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D3613" w14:textId="77777777" w:rsidR="008560D0" w:rsidRPr="007304C2" w:rsidRDefault="008560D0" w:rsidP="008560D0">
      <w:pPr>
        <w:suppressAutoHyphens/>
        <w:ind w:left="567" w:hanging="567"/>
        <w:jc w:val="center"/>
        <w:rPr>
          <w:b/>
          <w:bCs/>
          <w:lang w:val="lv-LV"/>
        </w:rPr>
      </w:pPr>
      <w:r w:rsidRPr="007304C2">
        <w:rPr>
          <w:b/>
          <w:bCs/>
          <w:lang w:val="lv-LV"/>
        </w:rPr>
        <w:t>ZĀĻU APRAKSTS</w:t>
      </w:r>
    </w:p>
    <w:p w14:paraId="2900784E" w14:textId="77777777" w:rsidR="000F7067" w:rsidRPr="007304C2" w:rsidRDefault="000F7067">
      <w:pPr>
        <w:suppressAutoHyphens/>
        <w:ind w:left="567" w:hanging="567"/>
        <w:jc w:val="center"/>
        <w:rPr>
          <w:b/>
          <w:lang w:val="lv-LV"/>
        </w:rPr>
      </w:pPr>
    </w:p>
    <w:p w14:paraId="1214167D" w14:textId="77777777" w:rsidR="000F7067" w:rsidRPr="007304C2" w:rsidRDefault="000F7067">
      <w:pPr>
        <w:suppressAutoHyphens/>
        <w:ind w:left="567" w:hanging="567"/>
        <w:jc w:val="center"/>
        <w:rPr>
          <w:b/>
          <w:lang w:val="lv-LV"/>
        </w:rPr>
      </w:pPr>
    </w:p>
    <w:p w14:paraId="27AF7E32" w14:textId="77777777" w:rsidR="008560D0" w:rsidRPr="007304C2" w:rsidRDefault="008560D0" w:rsidP="008560D0">
      <w:pPr>
        <w:suppressAutoHyphens/>
        <w:ind w:left="567" w:hanging="567"/>
        <w:rPr>
          <w:lang w:val="lv-LV"/>
        </w:rPr>
      </w:pPr>
      <w:r w:rsidRPr="007304C2">
        <w:rPr>
          <w:b/>
          <w:bCs/>
          <w:lang w:val="lv-LV"/>
        </w:rPr>
        <w:t>1.</w:t>
      </w:r>
      <w:r w:rsidRPr="007304C2">
        <w:rPr>
          <w:b/>
          <w:bCs/>
          <w:lang w:val="lv-LV"/>
        </w:rPr>
        <w:tab/>
        <w:t>ZĀĻU NOSAUKUMS</w:t>
      </w:r>
    </w:p>
    <w:p w14:paraId="12891444" w14:textId="77777777" w:rsidR="000F7067" w:rsidRPr="007304C2" w:rsidRDefault="000F7067">
      <w:pPr>
        <w:suppressAutoHyphens/>
        <w:rPr>
          <w:lang w:val="lv-LV"/>
        </w:rPr>
      </w:pPr>
    </w:p>
    <w:p w14:paraId="2FDB2ED9" w14:textId="77777777" w:rsidR="008560D0" w:rsidRPr="007304C2" w:rsidRDefault="008560D0" w:rsidP="008560D0">
      <w:pPr>
        <w:rPr>
          <w:lang w:val="lv-LV"/>
        </w:rPr>
      </w:pPr>
      <w:r w:rsidRPr="007304C2">
        <w:rPr>
          <w:lang w:val="lv-LV"/>
        </w:rPr>
        <w:t>Entonox 50%/50% medicīniskā gāze, saspiesta.</w:t>
      </w:r>
    </w:p>
    <w:p w14:paraId="06A112E0" w14:textId="77777777" w:rsidR="000F7067" w:rsidRPr="007304C2" w:rsidRDefault="000F7067">
      <w:pPr>
        <w:rPr>
          <w:lang w:val="lv-LV"/>
        </w:rPr>
      </w:pPr>
    </w:p>
    <w:p w14:paraId="6C5DDF42" w14:textId="77777777" w:rsidR="000F7067" w:rsidRPr="007304C2" w:rsidRDefault="000F7067">
      <w:pPr>
        <w:suppressAutoHyphens/>
        <w:rPr>
          <w:lang w:val="lv-LV"/>
        </w:rPr>
      </w:pPr>
    </w:p>
    <w:p w14:paraId="684AD68B" w14:textId="77777777" w:rsidR="008560D0" w:rsidRPr="007304C2" w:rsidRDefault="008560D0" w:rsidP="008560D0">
      <w:pPr>
        <w:suppressAutoHyphens/>
        <w:ind w:left="567" w:hanging="567"/>
        <w:rPr>
          <w:lang w:val="lv-LV"/>
        </w:rPr>
      </w:pPr>
      <w:r w:rsidRPr="007304C2">
        <w:rPr>
          <w:b/>
          <w:bCs/>
          <w:lang w:val="lv-LV"/>
        </w:rPr>
        <w:t>2.</w:t>
      </w:r>
      <w:r w:rsidRPr="007304C2">
        <w:rPr>
          <w:b/>
          <w:bCs/>
          <w:lang w:val="lv-LV"/>
        </w:rPr>
        <w:tab/>
        <w:t>KVALITATĪVAIS UN KVANTITATĪVAIS SASTĀVS</w:t>
      </w:r>
    </w:p>
    <w:p w14:paraId="1A157E2C" w14:textId="77777777" w:rsidR="000F7067" w:rsidRPr="007304C2" w:rsidRDefault="000F7067">
      <w:pPr>
        <w:rPr>
          <w:lang w:val="lv-LV"/>
        </w:rPr>
      </w:pPr>
    </w:p>
    <w:p w14:paraId="45961222" w14:textId="77777777" w:rsidR="008560D0" w:rsidRPr="007304C2" w:rsidRDefault="00E71F5A" w:rsidP="008560D0">
      <w:pPr>
        <w:pStyle w:val="BodyText"/>
        <w:tabs>
          <w:tab w:val="left" w:pos="567"/>
        </w:tabs>
        <w:spacing w:after="0"/>
        <w:rPr>
          <w:lang w:val="lv-LV"/>
        </w:rPr>
      </w:pPr>
      <w:r>
        <w:rPr>
          <w:sz w:val="22"/>
          <w:szCs w:val="22"/>
          <w:lang w:val="lv-LV"/>
        </w:rPr>
        <w:t>S</w:t>
      </w:r>
      <w:r w:rsidR="008560D0" w:rsidRPr="007304C2">
        <w:rPr>
          <w:sz w:val="22"/>
          <w:szCs w:val="22"/>
          <w:lang w:val="lv-LV"/>
        </w:rPr>
        <w:t xml:space="preserve">lāpekļa </w:t>
      </w:r>
      <w:proofErr w:type="spellStart"/>
      <w:r w:rsidR="008560D0" w:rsidRPr="007304C2">
        <w:rPr>
          <w:sz w:val="22"/>
          <w:szCs w:val="22"/>
          <w:lang w:val="lv-LV"/>
        </w:rPr>
        <w:t>oksidul</w:t>
      </w:r>
      <w:r>
        <w:rPr>
          <w:sz w:val="22"/>
          <w:szCs w:val="22"/>
          <w:lang w:val="lv-LV"/>
        </w:rPr>
        <w:t>s</w:t>
      </w:r>
      <w:proofErr w:type="spellEnd"/>
      <w:r w:rsidR="008560D0" w:rsidRPr="007304C2">
        <w:rPr>
          <w:sz w:val="22"/>
          <w:szCs w:val="22"/>
          <w:lang w:val="lv-LV"/>
        </w:rPr>
        <w:t xml:space="preserve"> (</w:t>
      </w:r>
      <w:proofErr w:type="spellStart"/>
      <w:r w:rsidR="008560D0" w:rsidRPr="007304C2">
        <w:rPr>
          <w:i/>
          <w:iCs/>
          <w:sz w:val="22"/>
          <w:szCs w:val="22"/>
          <w:lang w:val="lv-LV"/>
        </w:rPr>
        <w:t>Dinitrogenii</w:t>
      </w:r>
      <w:proofErr w:type="spellEnd"/>
      <w:r w:rsidR="008560D0" w:rsidRPr="007304C2">
        <w:rPr>
          <w:i/>
          <w:iCs/>
          <w:sz w:val="22"/>
          <w:szCs w:val="22"/>
          <w:lang w:val="lv-LV"/>
        </w:rPr>
        <w:t xml:space="preserve"> </w:t>
      </w:r>
      <w:proofErr w:type="spellStart"/>
      <w:r w:rsidR="008560D0" w:rsidRPr="007304C2">
        <w:rPr>
          <w:i/>
          <w:iCs/>
          <w:sz w:val="22"/>
          <w:szCs w:val="22"/>
          <w:lang w:val="lv-LV"/>
        </w:rPr>
        <w:t>oxidum</w:t>
      </w:r>
      <w:proofErr w:type="spellEnd"/>
      <w:r w:rsidR="008560D0" w:rsidRPr="007304C2">
        <w:rPr>
          <w:i/>
          <w:iCs/>
          <w:sz w:val="22"/>
          <w:szCs w:val="22"/>
          <w:lang w:val="lv-LV"/>
        </w:rPr>
        <w:t>)</w:t>
      </w:r>
      <w:r w:rsidR="008560D0" w:rsidRPr="007304C2">
        <w:rPr>
          <w:sz w:val="22"/>
          <w:szCs w:val="22"/>
          <w:lang w:val="lv-LV"/>
        </w:rPr>
        <w:t>, (N</w:t>
      </w:r>
      <w:r w:rsidR="008560D0" w:rsidRPr="007304C2">
        <w:rPr>
          <w:sz w:val="22"/>
          <w:szCs w:val="22"/>
          <w:vertAlign w:val="subscript"/>
          <w:lang w:val="lv-LV"/>
        </w:rPr>
        <w:t>2</w:t>
      </w:r>
      <w:r w:rsidR="008560D0" w:rsidRPr="007304C2">
        <w:rPr>
          <w:sz w:val="22"/>
          <w:szCs w:val="22"/>
          <w:lang w:val="lv-LV"/>
        </w:rPr>
        <w:t>O, medicīniskā smieklu gāze)</w:t>
      </w:r>
      <w:r w:rsidR="008560D0" w:rsidRPr="007304C2">
        <w:rPr>
          <w:sz w:val="22"/>
          <w:szCs w:val="22"/>
          <w:lang w:val="lv-LV"/>
        </w:rPr>
        <w:tab/>
        <w:t>50% v/v</w:t>
      </w:r>
      <w:r w:rsidR="008560D0" w:rsidRPr="007304C2">
        <w:rPr>
          <w:sz w:val="22"/>
          <w:szCs w:val="22"/>
          <w:lang w:val="lv-LV"/>
        </w:rPr>
        <w:br/>
        <w:t xml:space="preserve">un </w:t>
      </w:r>
      <w:r w:rsidR="008560D0" w:rsidRPr="007304C2">
        <w:rPr>
          <w:sz w:val="22"/>
          <w:szCs w:val="22"/>
          <w:lang w:val="lv-LV"/>
        </w:rPr>
        <w:br/>
        <w:t>skābekli</w:t>
      </w:r>
      <w:r>
        <w:rPr>
          <w:sz w:val="22"/>
          <w:szCs w:val="22"/>
          <w:lang w:val="lv-LV"/>
        </w:rPr>
        <w:t>s</w:t>
      </w:r>
      <w:r w:rsidR="008560D0" w:rsidRPr="007304C2">
        <w:rPr>
          <w:sz w:val="22"/>
          <w:szCs w:val="22"/>
          <w:lang w:val="lv-LV"/>
        </w:rPr>
        <w:t xml:space="preserve"> (</w:t>
      </w:r>
      <w:proofErr w:type="spellStart"/>
      <w:r w:rsidR="008560D0" w:rsidRPr="007304C2">
        <w:rPr>
          <w:i/>
          <w:iCs/>
          <w:sz w:val="22"/>
          <w:szCs w:val="22"/>
          <w:lang w:val="lv-LV"/>
        </w:rPr>
        <w:t>Oxygenium</w:t>
      </w:r>
      <w:proofErr w:type="spellEnd"/>
      <w:r w:rsidR="008560D0" w:rsidRPr="007304C2">
        <w:rPr>
          <w:i/>
          <w:iCs/>
          <w:sz w:val="22"/>
          <w:szCs w:val="22"/>
          <w:lang w:val="lv-LV"/>
        </w:rPr>
        <w:t xml:space="preserve">) </w:t>
      </w:r>
      <w:r w:rsidR="008560D0" w:rsidRPr="007304C2">
        <w:rPr>
          <w:sz w:val="22"/>
          <w:szCs w:val="22"/>
          <w:lang w:val="lv-LV"/>
        </w:rPr>
        <w:t>(O</w:t>
      </w:r>
      <w:r w:rsidR="008560D0" w:rsidRPr="007304C2">
        <w:rPr>
          <w:sz w:val="22"/>
          <w:szCs w:val="22"/>
          <w:vertAlign w:val="subscript"/>
          <w:lang w:val="lv-LV"/>
        </w:rPr>
        <w:t>2</w:t>
      </w:r>
      <w:r w:rsidR="008560D0" w:rsidRPr="007304C2">
        <w:rPr>
          <w:sz w:val="22"/>
          <w:szCs w:val="22"/>
          <w:lang w:val="lv-LV"/>
        </w:rPr>
        <w:t xml:space="preserve">, medicīniskais skābeklis) </w:t>
      </w:r>
      <w:r w:rsidR="008560D0" w:rsidRPr="007304C2">
        <w:rPr>
          <w:sz w:val="22"/>
          <w:szCs w:val="22"/>
          <w:lang w:val="lv-LV"/>
        </w:rPr>
        <w:tab/>
      </w:r>
      <w:r w:rsidR="008560D0" w:rsidRPr="007304C2">
        <w:rPr>
          <w:sz w:val="22"/>
          <w:szCs w:val="22"/>
          <w:lang w:val="lv-LV"/>
        </w:rPr>
        <w:tab/>
      </w:r>
      <w:r w:rsidR="008560D0" w:rsidRPr="007304C2">
        <w:rPr>
          <w:sz w:val="22"/>
          <w:szCs w:val="22"/>
          <w:lang w:val="lv-LV"/>
        </w:rPr>
        <w:tab/>
      </w:r>
      <w:r w:rsidR="00181002" w:rsidRPr="007304C2">
        <w:rPr>
          <w:sz w:val="22"/>
          <w:szCs w:val="22"/>
          <w:lang w:val="lv-LV"/>
        </w:rPr>
        <w:tab/>
      </w:r>
      <w:r w:rsidR="008560D0" w:rsidRPr="007304C2">
        <w:rPr>
          <w:sz w:val="22"/>
          <w:szCs w:val="22"/>
          <w:lang w:val="lv-LV"/>
        </w:rPr>
        <w:t>50 % v/v</w:t>
      </w:r>
    </w:p>
    <w:p w14:paraId="29428C60" w14:textId="77777777" w:rsidR="008560D0" w:rsidRPr="007304C2" w:rsidRDefault="008560D0" w:rsidP="008560D0">
      <w:pPr>
        <w:suppressAutoHyphens/>
        <w:rPr>
          <w:lang w:val="lv-LV"/>
        </w:rPr>
      </w:pPr>
      <w:r w:rsidRPr="007304C2">
        <w:rPr>
          <w:lang w:val="lv-LV"/>
        </w:rPr>
        <w:t>zem spiediena 170 bāri (15</w:t>
      </w:r>
      <w:r w:rsidRPr="007304C2">
        <w:rPr>
          <w:lang w:val="lv-LV"/>
        </w:rPr>
        <w:sym w:font="Symbol" w:char="F0B0"/>
      </w:r>
      <w:r w:rsidRPr="007304C2">
        <w:rPr>
          <w:lang w:val="lv-LV"/>
        </w:rPr>
        <w:t>C).</w:t>
      </w:r>
    </w:p>
    <w:p w14:paraId="79101989" w14:textId="77777777" w:rsidR="00596D7A" w:rsidRPr="007304C2" w:rsidRDefault="00596D7A">
      <w:pPr>
        <w:suppressAutoHyphens/>
        <w:rPr>
          <w:lang w:val="lv-LV"/>
        </w:rPr>
      </w:pPr>
    </w:p>
    <w:p w14:paraId="79B094BA" w14:textId="77777777" w:rsidR="008560D0" w:rsidRPr="007304C2" w:rsidRDefault="008560D0" w:rsidP="008560D0">
      <w:pPr>
        <w:widowControl w:val="0"/>
        <w:tabs>
          <w:tab w:val="left" w:pos="567"/>
        </w:tabs>
        <w:rPr>
          <w:lang w:val="lv-LV"/>
        </w:rPr>
      </w:pPr>
      <w:r w:rsidRPr="007304C2">
        <w:rPr>
          <w:lang w:val="lv-LV"/>
        </w:rPr>
        <w:t>Pilnu palīgvielu sarakstu skatīt 6.1. apakšpunktā.</w:t>
      </w:r>
    </w:p>
    <w:p w14:paraId="06469C6F" w14:textId="77777777" w:rsidR="000F7067" w:rsidRPr="007304C2" w:rsidRDefault="000F7067">
      <w:pPr>
        <w:suppressAutoHyphens/>
        <w:rPr>
          <w:lang w:val="lv-LV"/>
        </w:rPr>
      </w:pPr>
    </w:p>
    <w:p w14:paraId="5DEC0159" w14:textId="77777777" w:rsidR="008560D0" w:rsidRPr="007304C2" w:rsidRDefault="008560D0" w:rsidP="008560D0">
      <w:pPr>
        <w:suppressAutoHyphens/>
        <w:ind w:left="567" w:hanging="567"/>
        <w:rPr>
          <w:lang w:val="lv-LV"/>
        </w:rPr>
      </w:pPr>
      <w:r w:rsidRPr="007304C2">
        <w:rPr>
          <w:b/>
          <w:bCs/>
          <w:lang w:val="lv-LV"/>
        </w:rPr>
        <w:t>3.</w:t>
      </w:r>
      <w:r w:rsidRPr="007304C2">
        <w:rPr>
          <w:b/>
          <w:bCs/>
          <w:lang w:val="lv-LV"/>
        </w:rPr>
        <w:tab/>
        <w:t>ZĀĻU FORMA</w:t>
      </w:r>
    </w:p>
    <w:p w14:paraId="41FCA7EC" w14:textId="77777777" w:rsidR="000F7067" w:rsidRPr="007304C2" w:rsidRDefault="000F7067">
      <w:pPr>
        <w:suppressAutoHyphens/>
        <w:rPr>
          <w:lang w:val="lv-LV"/>
        </w:rPr>
      </w:pPr>
    </w:p>
    <w:p w14:paraId="14C2D47D" w14:textId="77777777" w:rsidR="008560D0" w:rsidRPr="007304C2" w:rsidRDefault="008560D0" w:rsidP="008560D0">
      <w:pPr>
        <w:pStyle w:val="BodyText"/>
        <w:tabs>
          <w:tab w:val="left" w:pos="567"/>
        </w:tabs>
        <w:spacing w:after="0"/>
        <w:rPr>
          <w:sz w:val="22"/>
          <w:szCs w:val="22"/>
          <w:lang w:val="lv-LV"/>
        </w:rPr>
      </w:pPr>
      <w:r w:rsidRPr="007304C2">
        <w:rPr>
          <w:sz w:val="22"/>
          <w:szCs w:val="22"/>
          <w:lang w:val="lv-LV"/>
        </w:rPr>
        <w:t>Medicīniskā gāze, saspiesta</w:t>
      </w:r>
    </w:p>
    <w:p w14:paraId="115E8B64" w14:textId="77777777" w:rsidR="008560D0" w:rsidRPr="007304C2" w:rsidRDefault="008560D0" w:rsidP="008560D0">
      <w:pPr>
        <w:pStyle w:val="BodyText"/>
        <w:tabs>
          <w:tab w:val="left" w:pos="567"/>
        </w:tabs>
        <w:spacing w:after="0"/>
        <w:rPr>
          <w:sz w:val="22"/>
          <w:szCs w:val="22"/>
          <w:lang w:val="lv-LV"/>
        </w:rPr>
      </w:pPr>
      <w:r w:rsidRPr="007304C2">
        <w:rPr>
          <w:sz w:val="22"/>
          <w:szCs w:val="22"/>
          <w:lang w:val="lv-LV"/>
        </w:rPr>
        <w:t>Bezkrāsaina gāze bez smaržas</w:t>
      </w:r>
    </w:p>
    <w:p w14:paraId="731635D8" w14:textId="77777777" w:rsidR="000F7067" w:rsidRPr="007304C2" w:rsidRDefault="000F7067">
      <w:pPr>
        <w:suppressAutoHyphens/>
        <w:rPr>
          <w:lang w:val="lv-LV"/>
        </w:rPr>
      </w:pPr>
    </w:p>
    <w:p w14:paraId="361C9A5A" w14:textId="77777777" w:rsidR="000F7067" w:rsidRPr="007304C2" w:rsidRDefault="000F7067">
      <w:pPr>
        <w:suppressAutoHyphens/>
        <w:rPr>
          <w:lang w:val="lv-LV"/>
        </w:rPr>
      </w:pPr>
    </w:p>
    <w:p w14:paraId="025A4458" w14:textId="77777777" w:rsidR="008560D0" w:rsidRPr="007304C2" w:rsidRDefault="008560D0" w:rsidP="008560D0">
      <w:pPr>
        <w:suppressAutoHyphens/>
        <w:ind w:left="567" w:hanging="567"/>
        <w:rPr>
          <w:lang w:val="lv-LV"/>
        </w:rPr>
      </w:pPr>
      <w:r w:rsidRPr="007304C2">
        <w:rPr>
          <w:b/>
          <w:bCs/>
          <w:lang w:val="lv-LV"/>
        </w:rPr>
        <w:t>4.</w:t>
      </w:r>
      <w:r w:rsidRPr="007304C2">
        <w:rPr>
          <w:b/>
          <w:bCs/>
          <w:lang w:val="lv-LV"/>
        </w:rPr>
        <w:tab/>
        <w:t>KLĪNISKĀ INFORMĀCIJA</w:t>
      </w:r>
    </w:p>
    <w:p w14:paraId="5BFC88AF" w14:textId="77777777" w:rsidR="000F7067" w:rsidRPr="007304C2" w:rsidRDefault="000F7067">
      <w:pPr>
        <w:suppressAutoHyphens/>
        <w:rPr>
          <w:lang w:val="lv-LV"/>
        </w:rPr>
      </w:pPr>
    </w:p>
    <w:p w14:paraId="02147B92" w14:textId="77777777" w:rsidR="008560D0" w:rsidRPr="007304C2" w:rsidRDefault="008560D0" w:rsidP="008560D0">
      <w:pPr>
        <w:suppressAutoHyphens/>
        <w:ind w:left="567" w:hanging="567"/>
        <w:rPr>
          <w:lang w:val="lv-LV"/>
        </w:rPr>
      </w:pPr>
      <w:r w:rsidRPr="007304C2">
        <w:rPr>
          <w:b/>
          <w:bCs/>
          <w:lang w:val="lv-LV"/>
        </w:rPr>
        <w:t>4.1.</w:t>
      </w:r>
      <w:r w:rsidRPr="007304C2">
        <w:rPr>
          <w:b/>
          <w:bCs/>
          <w:lang w:val="lv-LV"/>
        </w:rPr>
        <w:tab/>
        <w:t>Terapeitiskās indikācijas</w:t>
      </w:r>
    </w:p>
    <w:p w14:paraId="66D539EC" w14:textId="77777777" w:rsidR="000F7067" w:rsidRPr="007304C2" w:rsidRDefault="000F7067">
      <w:pPr>
        <w:suppressAutoHyphens/>
        <w:rPr>
          <w:lang w:val="lv-LV"/>
        </w:rPr>
      </w:pPr>
    </w:p>
    <w:p w14:paraId="1D1C012F" w14:textId="77777777" w:rsidR="008560D0" w:rsidRPr="007304C2" w:rsidRDefault="008560D0" w:rsidP="008560D0">
      <w:pPr>
        <w:suppressAutoHyphens/>
        <w:rPr>
          <w:lang w:val="lv-LV"/>
        </w:rPr>
      </w:pPr>
      <w:r w:rsidRPr="007304C2">
        <w:rPr>
          <w:lang w:val="lv-LV"/>
        </w:rPr>
        <w:t xml:space="preserve">Entonox ir paredzēts īslaicīgai vieglas un vidēji stipras intensitātes sāpju ārstēšanai, kad nepieciešams ātrs pretsāpju darbības sākums un izbeigšanās. </w:t>
      </w:r>
    </w:p>
    <w:p w14:paraId="56662883" w14:textId="77777777" w:rsidR="008560D0" w:rsidRPr="007304C2" w:rsidRDefault="008560D0" w:rsidP="008560D0">
      <w:pPr>
        <w:tabs>
          <w:tab w:val="left" w:pos="567"/>
        </w:tabs>
        <w:rPr>
          <w:lang w:val="lv-LV"/>
        </w:rPr>
      </w:pPr>
      <w:r w:rsidRPr="007304C2">
        <w:rPr>
          <w:lang w:val="lv-LV"/>
        </w:rPr>
        <w:t>To var lietot visa vecuma pacientiem, izņemot bērnus, kas jaunāki par 1 mēnesi.</w:t>
      </w:r>
    </w:p>
    <w:p w14:paraId="282D0B86" w14:textId="77777777" w:rsidR="000F7067" w:rsidRPr="007304C2" w:rsidRDefault="000F7067">
      <w:pPr>
        <w:suppressAutoHyphens/>
        <w:rPr>
          <w:lang w:val="lv-LV"/>
        </w:rPr>
      </w:pPr>
    </w:p>
    <w:p w14:paraId="631FD6AA" w14:textId="77777777" w:rsidR="008560D0" w:rsidRPr="007304C2" w:rsidRDefault="008560D0" w:rsidP="008560D0">
      <w:pPr>
        <w:suppressAutoHyphens/>
        <w:ind w:left="567" w:hanging="567"/>
        <w:rPr>
          <w:lang w:val="lv-LV"/>
        </w:rPr>
      </w:pPr>
      <w:r w:rsidRPr="007304C2">
        <w:rPr>
          <w:b/>
          <w:bCs/>
          <w:lang w:val="lv-LV"/>
        </w:rPr>
        <w:t>4.2.</w:t>
      </w:r>
      <w:r w:rsidRPr="007304C2">
        <w:rPr>
          <w:b/>
          <w:bCs/>
          <w:lang w:val="lv-LV"/>
        </w:rPr>
        <w:tab/>
        <w:t>Devas un lietošanas veids</w:t>
      </w:r>
    </w:p>
    <w:p w14:paraId="577B206E" w14:textId="77777777" w:rsidR="000F7067" w:rsidRPr="007304C2" w:rsidRDefault="000F7067">
      <w:pPr>
        <w:suppressAutoHyphens/>
        <w:rPr>
          <w:lang w:val="lv-LV"/>
        </w:rPr>
      </w:pPr>
    </w:p>
    <w:p w14:paraId="299812A6" w14:textId="77777777" w:rsidR="008560D0" w:rsidRPr="007304C2" w:rsidRDefault="008560D0" w:rsidP="008560D0">
      <w:pPr>
        <w:suppressAutoHyphens/>
        <w:rPr>
          <w:lang w:val="lv-LV"/>
        </w:rPr>
      </w:pPr>
      <w:r w:rsidRPr="007304C2">
        <w:rPr>
          <w:lang w:val="lv-LV"/>
        </w:rPr>
        <w:t>Entonox jāordinē tikai kompetentam personālam, kuram ir pieejams atbilstošs reanimācijas aprīkojums.</w:t>
      </w:r>
    </w:p>
    <w:p w14:paraId="4A10395B" w14:textId="77777777" w:rsidR="008560D0" w:rsidRPr="007304C2" w:rsidRDefault="008560D0" w:rsidP="008560D0">
      <w:pPr>
        <w:suppressAutoHyphens/>
        <w:rPr>
          <w:lang w:val="lv-LV"/>
        </w:rPr>
      </w:pPr>
      <w:r w:rsidRPr="007304C2">
        <w:rPr>
          <w:lang w:val="lv-LV"/>
        </w:rPr>
        <w:t>Strādājot ar slāpekļa oksidulu, jāievēro īpaša piesardzība. Slāpekļa oksiduls jāordinē saskaņā ar vietējām vadlīnijām.</w:t>
      </w:r>
    </w:p>
    <w:p w14:paraId="6B7523BC" w14:textId="77777777" w:rsidR="004165AE" w:rsidRPr="007304C2" w:rsidRDefault="004165AE">
      <w:pPr>
        <w:suppressAutoHyphens/>
        <w:rPr>
          <w:lang w:val="lv-LV"/>
        </w:rPr>
      </w:pPr>
    </w:p>
    <w:p w14:paraId="07E8CEAC" w14:textId="77777777" w:rsidR="008560D0" w:rsidRPr="007304C2" w:rsidRDefault="008560D0" w:rsidP="008560D0">
      <w:pPr>
        <w:rPr>
          <w:u w:val="single"/>
          <w:lang w:val="lv-LV"/>
        </w:rPr>
      </w:pPr>
      <w:r w:rsidRPr="007304C2">
        <w:rPr>
          <w:u w:val="single"/>
          <w:lang w:val="lv-LV"/>
        </w:rPr>
        <w:t>Devas</w:t>
      </w:r>
    </w:p>
    <w:p w14:paraId="094D5B34" w14:textId="77777777" w:rsidR="008560D0" w:rsidRPr="007304C2" w:rsidRDefault="008560D0" w:rsidP="008560D0">
      <w:pPr>
        <w:suppressAutoHyphens/>
        <w:rPr>
          <w:lang w:val="lv-LV"/>
        </w:rPr>
      </w:pPr>
      <w:r w:rsidRPr="007304C2">
        <w:rPr>
          <w:lang w:val="lv-LV"/>
        </w:rPr>
        <w:t>Entonox ordinēšana jāuzsāk neilgi pirms nepieciešama vēlamā pretsāpju iedarbība. Pretsāpju iedarbību novēro pēc 4-5 ieelpām, un tā sasniedz maksimālo iedarbību 2-3 minūšu laikā. Entonox jāturpina dot visas sāpīgās procedūras laikā vai tik ilgi, cik nepieciešama pretsāpju iedarbība. Pēc lietošanas/inhalācijas pārtraukšanas iedarbība izbeidzas ātri, dažu minūšu laikā.</w:t>
      </w:r>
    </w:p>
    <w:p w14:paraId="77B08EA3" w14:textId="77777777" w:rsidR="007D60B2" w:rsidRPr="007304C2" w:rsidRDefault="007D60B2" w:rsidP="007D60B2">
      <w:pPr>
        <w:rPr>
          <w:szCs w:val="22"/>
          <w:u w:val="single"/>
          <w:lang w:val="lv-LV"/>
        </w:rPr>
      </w:pPr>
    </w:p>
    <w:p w14:paraId="4B5CFE9F" w14:textId="77777777" w:rsidR="008560D0" w:rsidRPr="007304C2" w:rsidRDefault="008560D0" w:rsidP="008560D0">
      <w:pPr>
        <w:rPr>
          <w:i/>
          <w:iCs/>
          <w:lang w:val="lv-LV"/>
        </w:rPr>
      </w:pPr>
      <w:r w:rsidRPr="007304C2">
        <w:rPr>
          <w:i/>
          <w:iCs/>
          <w:lang w:val="lv-LV"/>
        </w:rPr>
        <w:t>Pediatriskā populācija</w:t>
      </w:r>
    </w:p>
    <w:p w14:paraId="49A0F9E5" w14:textId="77777777" w:rsidR="008560D0" w:rsidRPr="007304C2" w:rsidRDefault="008560D0" w:rsidP="008560D0">
      <w:pPr>
        <w:suppressAutoHyphens/>
        <w:rPr>
          <w:lang w:val="lv-LV"/>
        </w:rPr>
      </w:pPr>
      <w:r w:rsidRPr="007304C2">
        <w:rPr>
          <w:lang w:val="lv-LV"/>
        </w:rPr>
        <w:t>Ieteikumi par devām pediatriskā populācijā neatšķiras.</w:t>
      </w:r>
    </w:p>
    <w:p w14:paraId="3F9FA1C1" w14:textId="77777777" w:rsidR="00667AA6" w:rsidRPr="007304C2" w:rsidRDefault="00667AA6">
      <w:pPr>
        <w:suppressAutoHyphens/>
        <w:rPr>
          <w:lang w:val="lv-LV"/>
        </w:rPr>
      </w:pPr>
    </w:p>
    <w:p w14:paraId="6A0D419A" w14:textId="77777777" w:rsidR="008560D0" w:rsidRPr="007304C2" w:rsidRDefault="008560D0" w:rsidP="008560D0">
      <w:pPr>
        <w:rPr>
          <w:u w:val="single"/>
          <w:lang w:val="lv-LV"/>
        </w:rPr>
      </w:pPr>
      <w:r w:rsidRPr="007304C2">
        <w:rPr>
          <w:u w:val="single"/>
          <w:lang w:val="lv-LV"/>
        </w:rPr>
        <w:t>Lietošanas veids</w:t>
      </w:r>
    </w:p>
    <w:p w14:paraId="199A9EA5" w14:textId="77777777" w:rsidR="008560D0" w:rsidRPr="007304C2" w:rsidRDefault="008560D0" w:rsidP="008560D0">
      <w:pPr>
        <w:suppressAutoHyphens/>
        <w:rPr>
          <w:lang w:val="lv-LV"/>
        </w:rPr>
      </w:pPr>
      <w:r w:rsidRPr="007304C2">
        <w:rPr>
          <w:lang w:val="lv-LV"/>
        </w:rPr>
        <w:t>Entonox lieto inhalāciju veidā spontāni elpojošiem pacientiem ar sejas maskas palīdzību.</w:t>
      </w:r>
    </w:p>
    <w:p w14:paraId="5BC4D06B" w14:textId="77777777" w:rsidR="008560D0" w:rsidRPr="007304C2" w:rsidRDefault="008560D0" w:rsidP="008560D0">
      <w:pPr>
        <w:suppressAutoHyphens/>
        <w:rPr>
          <w:lang w:val="lv-LV"/>
        </w:rPr>
      </w:pPr>
      <w:r w:rsidRPr="007304C2">
        <w:rPr>
          <w:lang w:val="lv-LV"/>
        </w:rPr>
        <w:t>Entonox ievadīšanu regulē pacienta elpošana. Stingri turot masku pie mutes un deguna un elpojot caur masku, atveras tā saucamais „pieprasījuma vārsts” un Entonox izplūst no aprīkojuma un pa elpceļiem tiek pievadīts pacientam. Uzņemšana notiek plaušās.</w:t>
      </w:r>
    </w:p>
    <w:p w14:paraId="287C86B8" w14:textId="77777777" w:rsidR="000F7067" w:rsidRPr="007304C2" w:rsidRDefault="000F7067">
      <w:pPr>
        <w:suppressAutoHyphens/>
        <w:rPr>
          <w:lang w:val="lv-LV"/>
        </w:rPr>
      </w:pPr>
    </w:p>
    <w:p w14:paraId="4C48FF42" w14:textId="77777777" w:rsidR="008560D0" w:rsidRPr="007304C2" w:rsidRDefault="008560D0" w:rsidP="008560D0">
      <w:pPr>
        <w:suppressAutoHyphens/>
        <w:rPr>
          <w:lang w:val="lv-LV"/>
        </w:rPr>
      </w:pPr>
      <w:r w:rsidRPr="007304C2">
        <w:rPr>
          <w:lang w:val="lv-LV"/>
        </w:rPr>
        <w:t xml:space="preserve">Zobārstniecībā ieteicams lietot dubultu masku, alternatīvi lieto deguna masku vai nazobukālo masku ar atbilstošu atsūknēšanu/ventilāciju. </w:t>
      </w:r>
    </w:p>
    <w:p w14:paraId="27756C95" w14:textId="77777777" w:rsidR="00F4263F" w:rsidRPr="007304C2" w:rsidRDefault="00F4263F">
      <w:pPr>
        <w:suppressAutoHyphens/>
        <w:rPr>
          <w:lang w:val="lv-LV"/>
        </w:rPr>
      </w:pPr>
    </w:p>
    <w:p w14:paraId="5ED34F4B" w14:textId="77777777" w:rsidR="008560D0" w:rsidRPr="007304C2" w:rsidRDefault="008560D0" w:rsidP="0003573A">
      <w:pPr>
        <w:suppressAutoHyphens/>
        <w:rPr>
          <w:lang w:val="lv-LV"/>
        </w:rPr>
      </w:pPr>
      <w:r w:rsidRPr="007304C2">
        <w:rPr>
          <w:lang w:val="lv-LV"/>
        </w:rPr>
        <w:lastRenderedPageBreak/>
        <w:t xml:space="preserve">Ievadīšana caur endotraheālo zondi nav ieteicama. Ja Entonox jālieto pacientiem, kuri elpo caur endotraheālo </w:t>
      </w:r>
      <w:r w:rsidRPr="007264D3">
        <w:rPr>
          <w:lang w:val="lv-LV"/>
        </w:rPr>
        <w:t>zondi,</w:t>
      </w:r>
      <w:r w:rsidR="0003573A" w:rsidRPr="007264D3">
        <w:rPr>
          <w:lang w:val="lv-LV"/>
        </w:rPr>
        <w:t xml:space="preserve"> to ievada </w:t>
      </w:r>
      <w:r w:rsidRPr="007264D3">
        <w:rPr>
          <w:lang w:val="lv-LV"/>
        </w:rPr>
        <w:t>tikai veselības aprūpes personāl</w:t>
      </w:r>
      <w:r w:rsidR="0003573A" w:rsidRPr="007264D3">
        <w:rPr>
          <w:lang w:val="lv-LV"/>
        </w:rPr>
        <w:t>s</w:t>
      </w:r>
      <w:r w:rsidRPr="007264D3">
        <w:rPr>
          <w:lang w:val="lv-LV"/>
        </w:rPr>
        <w:t>,</w:t>
      </w:r>
      <w:r w:rsidRPr="007304C2">
        <w:rPr>
          <w:lang w:val="lv-LV"/>
        </w:rPr>
        <w:t xml:space="preserve"> kas ir apmācīts anestēzijas lietošanā.</w:t>
      </w:r>
    </w:p>
    <w:p w14:paraId="6B95CECE" w14:textId="77777777" w:rsidR="000F7067" w:rsidRPr="007304C2" w:rsidRDefault="000F7067">
      <w:pPr>
        <w:suppressAutoHyphens/>
        <w:rPr>
          <w:lang w:val="lv-LV"/>
        </w:rPr>
      </w:pPr>
    </w:p>
    <w:p w14:paraId="6D2B9784" w14:textId="77777777" w:rsidR="008560D0" w:rsidRPr="007304C2" w:rsidRDefault="008560D0" w:rsidP="008560D0">
      <w:pPr>
        <w:suppressAutoHyphens/>
        <w:rPr>
          <w:lang w:val="lv-LV"/>
        </w:rPr>
      </w:pPr>
      <w:r w:rsidRPr="007304C2">
        <w:rPr>
          <w:lang w:val="lv-LV"/>
        </w:rPr>
        <w:t>Atbilstoši pacienta individuālai pretsāpju atbildes reakcijai var būt nepieciešami papildu pretsāpju līdzekļi.</w:t>
      </w:r>
    </w:p>
    <w:p w14:paraId="3C608556" w14:textId="77777777" w:rsidR="00F4263F" w:rsidRPr="007304C2" w:rsidRDefault="00F4263F">
      <w:pPr>
        <w:suppressAutoHyphens/>
        <w:rPr>
          <w:lang w:val="lv-LV"/>
        </w:rPr>
      </w:pPr>
    </w:p>
    <w:p w14:paraId="5DE7FAC0" w14:textId="77777777" w:rsidR="008560D0" w:rsidRPr="007304C2" w:rsidRDefault="008560D0" w:rsidP="008560D0">
      <w:pPr>
        <w:suppressAutoHyphens/>
        <w:rPr>
          <w:lang w:val="lv-LV"/>
        </w:rPr>
      </w:pPr>
      <w:r w:rsidRPr="007304C2">
        <w:rPr>
          <w:lang w:val="lv-LV"/>
        </w:rPr>
        <w:t>Entonox jādod tikai personālam, kas pārzina tā lietošanu. Entonox jādod tikai tāda personāla uzraudzībā un tikai pēc tāda personāla norādījumiem, kas pārzina aprīkojumu un tā iedarbību. Entonox jādod tikai tad, ja ātri pieejama skābekļa padeve un reanimācijas aprīkojums.</w:t>
      </w:r>
    </w:p>
    <w:p w14:paraId="278B6EAB" w14:textId="77777777" w:rsidR="00F4263F" w:rsidRPr="007304C2" w:rsidRDefault="00F4263F">
      <w:pPr>
        <w:suppressAutoHyphens/>
        <w:rPr>
          <w:lang w:val="lv-LV"/>
        </w:rPr>
      </w:pPr>
    </w:p>
    <w:p w14:paraId="2B216493" w14:textId="77777777" w:rsidR="008560D0" w:rsidRPr="007304C2" w:rsidRDefault="008560D0" w:rsidP="008560D0">
      <w:pPr>
        <w:suppressAutoHyphens/>
        <w:rPr>
          <w:lang w:val="lv-LV"/>
        </w:rPr>
      </w:pPr>
      <w:r w:rsidRPr="007304C2">
        <w:rPr>
          <w:lang w:val="lv-LV"/>
        </w:rPr>
        <w:t>Ideāli, ja pacients tur masku, caur kuru tiek padots Entonox. Pacientam jādod norādījumi turēt masku pie sejas un normāli elpot. Tas ir papildu drošības pasākums, lai samazinātu pārdozēšanas risku. Ja jebkāda iemesla dēļ pacients saņem vairāk Entonox nekā nepieciešams un tas ietekmē nomodu, maska izkritīs no pacienta rokām</w:t>
      </w:r>
      <w:r w:rsidR="00883736">
        <w:rPr>
          <w:lang w:val="lv-LV"/>
        </w:rPr>
        <w:t>,</w:t>
      </w:r>
      <w:r w:rsidRPr="007304C2">
        <w:rPr>
          <w:lang w:val="lv-LV"/>
        </w:rPr>
        <w:t xml:space="preserve"> un ievadīšana tiks pārtraukta.</w:t>
      </w:r>
      <w:r w:rsidR="00561828" w:rsidRPr="007304C2">
        <w:rPr>
          <w:lang w:val="lv-LV"/>
        </w:rPr>
        <w:t xml:space="preserve"> </w:t>
      </w:r>
      <w:r w:rsidRPr="007304C2">
        <w:rPr>
          <w:lang w:val="lv-LV"/>
        </w:rPr>
        <w:t>Elpojot apkārtējo gaisu, Entonox iedarbība ātri izzudīs</w:t>
      </w:r>
      <w:r w:rsidR="00883736">
        <w:rPr>
          <w:lang w:val="lv-LV"/>
        </w:rPr>
        <w:t>,</w:t>
      </w:r>
      <w:r w:rsidRPr="007304C2">
        <w:rPr>
          <w:lang w:val="lv-LV"/>
        </w:rPr>
        <w:t xml:space="preserve"> un pacients atgūs samaņu.</w:t>
      </w:r>
    </w:p>
    <w:p w14:paraId="3B1C15B2" w14:textId="77777777" w:rsidR="00F4263F" w:rsidRPr="007304C2" w:rsidRDefault="00F4263F">
      <w:pPr>
        <w:suppressAutoHyphens/>
        <w:rPr>
          <w:lang w:val="lv-LV"/>
        </w:rPr>
      </w:pPr>
    </w:p>
    <w:p w14:paraId="3F7933A4" w14:textId="77777777" w:rsidR="008560D0" w:rsidRPr="007304C2" w:rsidRDefault="008560D0" w:rsidP="008560D0">
      <w:pPr>
        <w:suppressAutoHyphens/>
        <w:rPr>
          <w:lang w:val="lv-LV"/>
        </w:rPr>
      </w:pPr>
      <w:r w:rsidRPr="007304C2">
        <w:rPr>
          <w:lang w:val="lv-LV"/>
        </w:rPr>
        <w:t>Entonox ir vēlams lietot pacientiem, kuri spēj saprast un ievērot norādījumus par to, kā jālieto aprīkojums un maska.</w:t>
      </w:r>
    </w:p>
    <w:p w14:paraId="27BEFC96" w14:textId="77777777" w:rsidR="008560D0" w:rsidRPr="007304C2" w:rsidRDefault="00D021EE" w:rsidP="008560D0">
      <w:pPr>
        <w:suppressAutoHyphens/>
        <w:rPr>
          <w:lang w:val="lv-LV"/>
        </w:rPr>
      </w:pPr>
      <w:r>
        <w:rPr>
          <w:lang w:val="lv-LV"/>
        </w:rPr>
        <w:t>Ņ</w:t>
      </w:r>
      <w:r w:rsidR="008560D0" w:rsidRPr="007304C2">
        <w:rPr>
          <w:lang w:val="lv-LV"/>
        </w:rPr>
        <w:t>emot vērā paaugstinātu būtiskas pacienta sedācijas un bezsamaņas risku, šādu ievadīšanas veidu drīkst izmantot tikai kontrolētos apstākļos.</w:t>
      </w:r>
      <w:r w:rsidR="00561828" w:rsidRPr="007304C2">
        <w:rPr>
          <w:lang w:val="lv-LV"/>
        </w:rPr>
        <w:t xml:space="preserve"> </w:t>
      </w:r>
      <w:r w:rsidR="008560D0" w:rsidRPr="007304C2">
        <w:rPr>
          <w:lang w:val="lv-LV"/>
        </w:rPr>
        <w:t xml:space="preserve">Pastāvīga gāzes plūsma jālieto tikai kompetenta personāla klātbūtnē un, ja ir pieejams aprīkojums izteiktas sedācijas/pazemināta apziņas līmeņa novēršanai. Lietojot pastāvīgo plūsmu, jāņem vērā arī iespējamais elpceļu </w:t>
      </w:r>
      <w:proofErr w:type="spellStart"/>
      <w:r w:rsidR="008560D0" w:rsidRPr="007304C2">
        <w:rPr>
          <w:lang w:val="lv-LV"/>
        </w:rPr>
        <w:t>aizsargrefleksu</w:t>
      </w:r>
      <w:proofErr w:type="spellEnd"/>
      <w:r w:rsidR="008560D0" w:rsidRPr="007304C2">
        <w:rPr>
          <w:lang w:val="lv-LV"/>
        </w:rPr>
        <w:t xml:space="preserve"> nomākšanas risks</w:t>
      </w:r>
      <w:r w:rsidR="00883736">
        <w:rPr>
          <w:lang w:val="lv-LV"/>
        </w:rPr>
        <w:t>,</w:t>
      </w:r>
      <w:r w:rsidR="008560D0" w:rsidRPr="007304C2">
        <w:rPr>
          <w:lang w:val="lv-LV"/>
        </w:rPr>
        <w:t xml:space="preserve"> un jābūt gataviem nodrošināt elpceļu caurlaidību un mākslīgo ventilāciju.</w:t>
      </w:r>
    </w:p>
    <w:p w14:paraId="64ECD072" w14:textId="77777777" w:rsidR="000F7067" w:rsidRPr="007304C2" w:rsidRDefault="000F7067">
      <w:pPr>
        <w:suppressAutoHyphens/>
        <w:rPr>
          <w:lang w:val="lv-LV"/>
        </w:rPr>
      </w:pPr>
    </w:p>
    <w:p w14:paraId="6C0589F7" w14:textId="77777777" w:rsidR="008560D0" w:rsidRPr="007304C2" w:rsidRDefault="008560D0" w:rsidP="008560D0">
      <w:pPr>
        <w:suppressAutoHyphens/>
        <w:rPr>
          <w:lang w:val="lv-LV"/>
        </w:rPr>
      </w:pPr>
      <w:r w:rsidRPr="007304C2">
        <w:rPr>
          <w:lang w:val="lv-LV"/>
        </w:rPr>
        <w:t>Pēc lietošanas beigām pacientam jāļauj atlabt mierīgos un kontrolētos apstākļos aptuveni 5 minūtes vai tik ilgi, kamēr pacienta modrība/apziņa ir atjaunojusies apmierinošā pakāpē.</w:t>
      </w:r>
    </w:p>
    <w:p w14:paraId="2B8ABFCB" w14:textId="77777777" w:rsidR="000F7067" w:rsidRPr="007304C2" w:rsidRDefault="000F7067">
      <w:pPr>
        <w:suppressAutoHyphens/>
        <w:rPr>
          <w:lang w:val="lv-LV"/>
        </w:rPr>
      </w:pPr>
    </w:p>
    <w:p w14:paraId="04EC9A5A" w14:textId="77777777" w:rsidR="008560D0" w:rsidRDefault="008560D0" w:rsidP="008560D0">
      <w:pPr>
        <w:suppressAutoHyphens/>
        <w:rPr>
          <w:lang w:val="lv-LV"/>
        </w:rPr>
      </w:pPr>
      <w:r w:rsidRPr="007304C2">
        <w:rPr>
          <w:lang w:val="lv-LV"/>
        </w:rPr>
        <w:t>Bez hematoloģiskas kontroles Entonox var dot līdz 6 stu</w:t>
      </w:r>
      <w:r w:rsidR="004D1E6E" w:rsidRPr="007304C2">
        <w:rPr>
          <w:lang w:val="lv-LV"/>
        </w:rPr>
        <w:t>n</w:t>
      </w:r>
      <w:r w:rsidRPr="007304C2">
        <w:rPr>
          <w:lang w:val="lv-LV"/>
        </w:rPr>
        <w:t>dām pacientiem bez riska faktoriem (skatīt 4.4. apakšpunktu).</w:t>
      </w:r>
    </w:p>
    <w:p w14:paraId="03EA2CBD" w14:textId="77777777" w:rsidR="00080BCC" w:rsidRDefault="00080BCC" w:rsidP="008560D0">
      <w:pPr>
        <w:suppressAutoHyphens/>
        <w:rPr>
          <w:lang w:val="lv-LV"/>
        </w:rPr>
      </w:pPr>
    </w:p>
    <w:p w14:paraId="49C3116C" w14:textId="77777777" w:rsidR="00D021EE" w:rsidRPr="007304C2" w:rsidRDefault="00D021EE" w:rsidP="00D021EE">
      <w:pPr>
        <w:tabs>
          <w:tab w:val="left" w:pos="567"/>
        </w:tabs>
        <w:rPr>
          <w:lang w:val="lv-LV"/>
        </w:rPr>
      </w:pPr>
      <w:r w:rsidRPr="007304C2">
        <w:rPr>
          <w:u w:val="single"/>
          <w:lang w:val="lv-LV"/>
        </w:rPr>
        <w:t>Pediatriskā populācija</w:t>
      </w:r>
    </w:p>
    <w:p w14:paraId="5B803001" w14:textId="77777777" w:rsidR="000F7067" w:rsidRDefault="00D021EE">
      <w:pPr>
        <w:suppressAutoHyphens/>
        <w:rPr>
          <w:lang w:val="lv-LV"/>
        </w:rPr>
      </w:pPr>
      <w:r w:rsidRPr="007304C2">
        <w:rPr>
          <w:lang w:val="lv-LV"/>
        </w:rPr>
        <w:t xml:space="preserve">Bērniem  kuri nespēj saprast un ievērot norādījumus, </w:t>
      </w:r>
      <w:proofErr w:type="spellStart"/>
      <w:r w:rsidRPr="007304C2">
        <w:rPr>
          <w:lang w:val="lv-LV"/>
        </w:rPr>
        <w:t>Entonox</w:t>
      </w:r>
      <w:proofErr w:type="spellEnd"/>
      <w:r w:rsidRPr="007304C2">
        <w:rPr>
          <w:lang w:val="lv-LV"/>
        </w:rPr>
        <w:t xml:space="preserve"> var dot kompetenta medicīniskā personāla uzraudzībā, kas var viņiem palīdzēt turēt masku un aktīvi kontrolēt lietošanu.</w:t>
      </w:r>
      <w:r>
        <w:rPr>
          <w:lang w:val="lv-LV"/>
        </w:rPr>
        <w:t xml:space="preserve"> Tādos gadījumos </w:t>
      </w:r>
      <w:proofErr w:type="spellStart"/>
      <w:r w:rsidR="00797DA7">
        <w:rPr>
          <w:lang w:val="lv-LV"/>
        </w:rPr>
        <w:t>Entonox</w:t>
      </w:r>
      <w:proofErr w:type="spellEnd"/>
      <w:r w:rsidR="00797DA7">
        <w:rPr>
          <w:lang w:val="lv-LV"/>
        </w:rPr>
        <w:t xml:space="preserve"> var ievadīt ar pastāvīgas plūsmas palīdzību. </w:t>
      </w:r>
    </w:p>
    <w:p w14:paraId="5FBE730C" w14:textId="77777777" w:rsidR="00797DA7" w:rsidRPr="007304C2" w:rsidRDefault="00797DA7">
      <w:pPr>
        <w:suppressAutoHyphens/>
        <w:rPr>
          <w:lang w:val="lv-LV"/>
        </w:rPr>
      </w:pPr>
    </w:p>
    <w:p w14:paraId="285087A6" w14:textId="77777777" w:rsidR="008560D0" w:rsidRPr="007304C2" w:rsidRDefault="008560D0" w:rsidP="008560D0">
      <w:pPr>
        <w:suppressAutoHyphens/>
        <w:ind w:left="567" w:hanging="567"/>
        <w:rPr>
          <w:lang w:val="lv-LV"/>
        </w:rPr>
      </w:pPr>
      <w:r w:rsidRPr="007304C2">
        <w:rPr>
          <w:b/>
          <w:bCs/>
          <w:lang w:val="lv-LV"/>
        </w:rPr>
        <w:t>4.3.</w:t>
      </w:r>
      <w:r w:rsidRPr="007304C2">
        <w:rPr>
          <w:b/>
          <w:bCs/>
          <w:lang w:val="lv-LV"/>
        </w:rPr>
        <w:tab/>
        <w:t>Kontrindikācijas</w:t>
      </w:r>
    </w:p>
    <w:p w14:paraId="3470C18C" w14:textId="77777777" w:rsidR="000F7067" w:rsidRPr="007304C2" w:rsidRDefault="000F7067">
      <w:pPr>
        <w:pStyle w:val="Header"/>
        <w:tabs>
          <w:tab w:val="clear" w:pos="4320"/>
          <w:tab w:val="clear" w:pos="8640"/>
        </w:tabs>
        <w:suppressAutoHyphens/>
        <w:rPr>
          <w:lang w:val="lv-LV"/>
        </w:rPr>
      </w:pPr>
    </w:p>
    <w:p w14:paraId="64BDF452" w14:textId="77777777" w:rsidR="008560D0" w:rsidRPr="007304C2" w:rsidRDefault="008560D0" w:rsidP="008560D0">
      <w:pPr>
        <w:pStyle w:val="Header"/>
        <w:tabs>
          <w:tab w:val="clear" w:pos="4320"/>
          <w:tab w:val="clear" w:pos="8640"/>
        </w:tabs>
        <w:suppressAutoHyphens/>
        <w:rPr>
          <w:lang w:val="lv-LV"/>
        </w:rPr>
      </w:pPr>
      <w:r w:rsidRPr="007304C2">
        <w:rPr>
          <w:lang w:val="lv-LV"/>
        </w:rPr>
        <w:t>Entonox inhalācijas laikā gāzes burbuļi (gāzes emboli) un ar gāzi pildīti dobumi var paplašināties slāpekļa oksidula pastiprinātas difūzijas dēļ. Tādēļ Entonox ir kontrindicēts šādos gadījumos:</w:t>
      </w:r>
    </w:p>
    <w:p w14:paraId="6652CD2C" w14:textId="77777777" w:rsidR="000F7067" w:rsidRPr="007304C2" w:rsidRDefault="000F7067">
      <w:pPr>
        <w:suppressAutoHyphens/>
        <w:ind w:left="-153"/>
        <w:rPr>
          <w:lang w:val="lv-LV"/>
        </w:rPr>
      </w:pPr>
    </w:p>
    <w:p w14:paraId="1195F398" w14:textId="77777777" w:rsidR="008560D0" w:rsidRPr="007304C2" w:rsidRDefault="008560D0" w:rsidP="008560D0">
      <w:pPr>
        <w:numPr>
          <w:ilvl w:val="0"/>
          <w:numId w:val="7"/>
        </w:numPr>
        <w:suppressAutoHyphens/>
        <w:rPr>
          <w:lang w:val="lv-LV"/>
        </w:rPr>
      </w:pPr>
      <w:r w:rsidRPr="007304C2">
        <w:rPr>
          <w:lang w:val="lv-LV"/>
        </w:rPr>
        <w:t>pacientiem ar pneimotoraksa, pneimoperikarda, smagas emfizēmas, gāzes embolijas vai galvas traumas pazīmēm vai simptomiem;</w:t>
      </w:r>
    </w:p>
    <w:p w14:paraId="40AEC331" w14:textId="77777777" w:rsidR="008560D0" w:rsidRPr="007304C2" w:rsidRDefault="008560D0" w:rsidP="008560D0">
      <w:pPr>
        <w:numPr>
          <w:ilvl w:val="0"/>
          <w:numId w:val="7"/>
        </w:numPr>
        <w:suppressAutoHyphens/>
        <w:rPr>
          <w:lang w:val="lv-LV"/>
        </w:rPr>
      </w:pPr>
      <w:r w:rsidRPr="007304C2">
        <w:rPr>
          <w:lang w:val="lv-LV"/>
        </w:rPr>
        <w:t>pēc niršanas ar dekompresijas slimības risku (slāpekļa burbuļi);</w:t>
      </w:r>
    </w:p>
    <w:p w14:paraId="0B8318C1" w14:textId="77777777" w:rsidR="008560D0" w:rsidRPr="007304C2" w:rsidRDefault="008560D0" w:rsidP="008560D0">
      <w:pPr>
        <w:numPr>
          <w:ilvl w:val="0"/>
          <w:numId w:val="7"/>
        </w:numPr>
        <w:suppressAutoHyphens/>
        <w:rPr>
          <w:lang w:val="lv-LV"/>
        </w:rPr>
      </w:pPr>
      <w:r w:rsidRPr="007304C2">
        <w:rPr>
          <w:lang w:val="lv-LV"/>
        </w:rPr>
        <w:t xml:space="preserve">pēc kardiopulmonālās šuntēšanas mākslīgajā asinsritē vai </w:t>
      </w:r>
      <w:r w:rsidR="004D1E6E" w:rsidRPr="007304C2">
        <w:rPr>
          <w:lang w:val="lv-LV"/>
        </w:rPr>
        <w:t xml:space="preserve">pēc </w:t>
      </w:r>
      <w:r w:rsidRPr="007304C2">
        <w:rPr>
          <w:lang w:val="lv-LV"/>
        </w:rPr>
        <w:t>sirds šuntēšanas bez mākslīgās asinsrites ierīces izmantošanas;</w:t>
      </w:r>
    </w:p>
    <w:p w14:paraId="3F595172" w14:textId="77777777" w:rsidR="008560D0" w:rsidRPr="007304C2" w:rsidRDefault="008560D0" w:rsidP="008560D0">
      <w:pPr>
        <w:numPr>
          <w:ilvl w:val="0"/>
          <w:numId w:val="7"/>
        </w:numPr>
        <w:suppressAutoHyphens/>
        <w:rPr>
          <w:lang w:val="lv-LV"/>
        </w:rPr>
      </w:pPr>
      <w:r w:rsidRPr="007304C2">
        <w:rPr>
          <w:lang w:val="lv-LV"/>
        </w:rPr>
        <w:t>pacientiem pēc nesen veiktas intraokulāras gāzes injekcijas (piemēram, SF</w:t>
      </w:r>
      <w:r w:rsidRPr="007304C2">
        <w:rPr>
          <w:vertAlign w:val="subscript"/>
          <w:lang w:val="lv-LV"/>
        </w:rPr>
        <w:t>6</w:t>
      </w:r>
      <w:r w:rsidRPr="007304C2">
        <w:rPr>
          <w:lang w:val="lv-LV"/>
        </w:rPr>
        <w:t>, C</w:t>
      </w:r>
      <w:r w:rsidRPr="007304C2">
        <w:rPr>
          <w:vertAlign w:val="subscript"/>
          <w:lang w:val="lv-LV"/>
        </w:rPr>
        <w:t>3</w:t>
      </w:r>
      <w:r w:rsidRPr="007304C2">
        <w:rPr>
          <w:lang w:val="lv-LV"/>
        </w:rPr>
        <w:t>F</w:t>
      </w:r>
      <w:r w:rsidRPr="007304C2">
        <w:rPr>
          <w:vertAlign w:val="subscript"/>
          <w:lang w:val="lv-LV"/>
        </w:rPr>
        <w:t>8</w:t>
      </w:r>
      <w:r w:rsidRPr="007304C2">
        <w:rPr>
          <w:lang w:val="lv-LV"/>
        </w:rPr>
        <w:t>), līdz minētā gāze ir pilnībā absorbējusies, jo gāzes tilpums un spiediens var palielināties un izraisīt aklumu;</w:t>
      </w:r>
    </w:p>
    <w:p w14:paraId="60965821" w14:textId="77777777" w:rsidR="008560D0" w:rsidRPr="007304C2" w:rsidRDefault="004D1E6E" w:rsidP="008560D0">
      <w:pPr>
        <w:numPr>
          <w:ilvl w:val="0"/>
          <w:numId w:val="7"/>
        </w:numPr>
        <w:suppressAutoHyphens/>
        <w:rPr>
          <w:lang w:val="lv-LV"/>
        </w:rPr>
      </w:pPr>
      <w:r w:rsidRPr="007304C2">
        <w:rPr>
          <w:lang w:val="lv-LV"/>
        </w:rPr>
        <w:t>p</w:t>
      </w:r>
      <w:r w:rsidR="008560D0" w:rsidRPr="007304C2">
        <w:rPr>
          <w:lang w:val="lv-LV"/>
        </w:rPr>
        <w:t>acientiem ar izteiktu kuņģa-zarnu trakta dilatāciju.</w:t>
      </w:r>
    </w:p>
    <w:p w14:paraId="02BFE267" w14:textId="77777777" w:rsidR="000F7067" w:rsidRPr="007304C2" w:rsidRDefault="000F7067">
      <w:pPr>
        <w:suppressAutoHyphens/>
        <w:rPr>
          <w:lang w:val="lv-LV"/>
        </w:rPr>
      </w:pPr>
    </w:p>
    <w:p w14:paraId="165D38ED" w14:textId="77777777" w:rsidR="008560D0" w:rsidRPr="007304C2" w:rsidRDefault="008560D0" w:rsidP="008560D0">
      <w:pPr>
        <w:suppressAutoHyphens/>
        <w:rPr>
          <w:lang w:val="lv-LV"/>
        </w:rPr>
      </w:pPr>
      <w:r w:rsidRPr="007304C2">
        <w:rPr>
          <w:lang w:val="lv-LV"/>
        </w:rPr>
        <w:t>Entonox ir kontrindicēts arī:</w:t>
      </w:r>
    </w:p>
    <w:p w14:paraId="115D95B9" w14:textId="77777777" w:rsidR="008560D0" w:rsidRPr="007304C2" w:rsidRDefault="008560D0" w:rsidP="008560D0">
      <w:pPr>
        <w:numPr>
          <w:ilvl w:val="0"/>
          <w:numId w:val="7"/>
        </w:numPr>
        <w:suppressAutoHyphens/>
        <w:rPr>
          <w:lang w:val="lv-LV"/>
        </w:rPr>
      </w:pPr>
      <w:r w:rsidRPr="007304C2">
        <w:rPr>
          <w:lang w:val="lv-LV"/>
        </w:rPr>
        <w:t>pacientiem ar sirds mazspēju vai sirdsdarbības traucējumiem (piemēram, pēc sirds operācijas), lai izvairītos no tālākas sirdsdarbības pasliktināšanās;</w:t>
      </w:r>
    </w:p>
    <w:p w14:paraId="4E459879" w14:textId="77777777" w:rsidR="008560D0" w:rsidRPr="007304C2" w:rsidRDefault="008560D0" w:rsidP="008560D0">
      <w:pPr>
        <w:numPr>
          <w:ilvl w:val="0"/>
          <w:numId w:val="7"/>
        </w:numPr>
        <w:suppressAutoHyphens/>
        <w:rPr>
          <w:lang w:val="lv-LV"/>
        </w:rPr>
      </w:pPr>
      <w:r w:rsidRPr="007304C2">
        <w:rPr>
          <w:lang w:val="lv-LV"/>
        </w:rPr>
        <w:t>pacientiem ar pastāvīgām apjukuma, izmainītas apziņas pazīmēm vai citām pazīmēm, kas var būt saistītas ar paaugstinātu intrakraniālo spiedienu, jo slāpekļa oksiduls var vēl vairāk paaugstināt intrakraniālo spiedienu;</w:t>
      </w:r>
    </w:p>
    <w:p w14:paraId="5EF7319F" w14:textId="77777777" w:rsidR="008560D0" w:rsidRPr="007304C2" w:rsidRDefault="008560D0" w:rsidP="008560D0">
      <w:pPr>
        <w:numPr>
          <w:ilvl w:val="0"/>
          <w:numId w:val="7"/>
        </w:numPr>
        <w:suppressAutoHyphens/>
        <w:rPr>
          <w:lang w:val="lv-LV"/>
        </w:rPr>
      </w:pPr>
      <w:r w:rsidRPr="007304C2">
        <w:rPr>
          <w:lang w:val="lv-LV"/>
        </w:rPr>
        <w:lastRenderedPageBreak/>
        <w:t>pacientiem ar pazeminātu apziņas līmeni vai traucētu sazināšanās un norādījumu ievērošanas spēju, jo slāpekļa oksidula izraisītā nomierinošā iedarbība var ietekmēt dabiskos aizsargrefleksus;</w:t>
      </w:r>
    </w:p>
    <w:p w14:paraId="4C378E88" w14:textId="77777777" w:rsidR="008560D0" w:rsidRPr="007304C2" w:rsidRDefault="008560D0" w:rsidP="008560D0">
      <w:pPr>
        <w:numPr>
          <w:ilvl w:val="0"/>
          <w:numId w:val="7"/>
        </w:numPr>
        <w:suppressAutoHyphens/>
        <w:rPr>
          <w:lang w:val="lv-LV"/>
        </w:rPr>
      </w:pPr>
      <w:r w:rsidRPr="007304C2">
        <w:rPr>
          <w:lang w:val="lv-LV"/>
        </w:rPr>
        <w:t>pacientiem ar B</w:t>
      </w:r>
      <w:r w:rsidRPr="007304C2">
        <w:rPr>
          <w:vertAlign w:val="subscript"/>
          <w:lang w:val="lv-LV"/>
        </w:rPr>
        <w:t>12</w:t>
      </w:r>
      <w:r w:rsidRPr="007304C2">
        <w:rPr>
          <w:lang w:val="lv-LV"/>
        </w:rPr>
        <w:t xml:space="preserve"> vitamīna vai folskābes deficītu vai ģenētiskām izmaiņām šajā sistēmā;</w:t>
      </w:r>
    </w:p>
    <w:p w14:paraId="0A63D538" w14:textId="77777777" w:rsidR="008560D0" w:rsidRPr="007304C2" w:rsidRDefault="008560D0" w:rsidP="008560D0">
      <w:pPr>
        <w:numPr>
          <w:ilvl w:val="0"/>
          <w:numId w:val="7"/>
        </w:numPr>
        <w:suppressAutoHyphens/>
        <w:rPr>
          <w:lang w:val="lv-LV"/>
        </w:rPr>
      </w:pPr>
      <w:r w:rsidRPr="007304C2">
        <w:rPr>
          <w:lang w:val="lv-LV"/>
        </w:rPr>
        <w:t>pacientiem ar sejas traumu, ja sejas maskas izmantošana ir apgrūtināta vai izraisa risku.</w:t>
      </w:r>
    </w:p>
    <w:p w14:paraId="32F788B5" w14:textId="77777777" w:rsidR="000F7067" w:rsidRPr="007304C2" w:rsidRDefault="000F7067">
      <w:pPr>
        <w:suppressAutoHyphens/>
        <w:ind w:left="-153"/>
        <w:rPr>
          <w:lang w:val="lv-LV"/>
        </w:rPr>
      </w:pPr>
    </w:p>
    <w:p w14:paraId="5D44468B" w14:textId="77777777" w:rsidR="008560D0" w:rsidRPr="007304C2" w:rsidRDefault="008560D0" w:rsidP="008560D0">
      <w:pPr>
        <w:suppressAutoHyphens/>
        <w:ind w:left="567" w:hanging="567"/>
        <w:rPr>
          <w:lang w:val="lv-LV"/>
        </w:rPr>
      </w:pPr>
      <w:r w:rsidRPr="007304C2">
        <w:rPr>
          <w:b/>
          <w:bCs/>
          <w:lang w:val="lv-LV"/>
        </w:rPr>
        <w:t>4.4.</w:t>
      </w:r>
      <w:r w:rsidRPr="007304C2">
        <w:rPr>
          <w:b/>
          <w:bCs/>
          <w:lang w:val="lv-LV"/>
        </w:rPr>
        <w:tab/>
        <w:t>Īpaši brīdinājumi un piesardzība lietošanā</w:t>
      </w:r>
    </w:p>
    <w:p w14:paraId="1F532494" w14:textId="77777777" w:rsidR="000F7067" w:rsidRPr="007304C2" w:rsidRDefault="000F7067">
      <w:pPr>
        <w:suppressAutoHyphens/>
        <w:rPr>
          <w:lang w:val="lv-LV"/>
        </w:rPr>
      </w:pPr>
    </w:p>
    <w:p w14:paraId="53AF12B0" w14:textId="77777777" w:rsidR="008560D0" w:rsidRDefault="008560D0" w:rsidP="008560D0">
      <w:pPr>
        <w:pStyle w:val="BodyText3"/>
        <w:rPr>
          <w:color w:val="auto"/>
          <w:lang w:val="lv-LV"/>
        </w:rPr>
      </w:pPr>
      <w:r w:rsidRPr="007304C2">
        <w:rPr>
          <w:color w:val="auto"/>
          <w:lang w:val="lv-LV"/>
        </w:rPr>
        <w:t xml:space="preserve">Lietojot pastāvīgu gāzes maisījuma plūsmu, jāņem vērā izteiktas sedācijas, bezsamaņas un ietekmes uz aizsargrefleksiem, piemēram, regurgitācijas un aspirācijas risks. </w:t>
      </w:r>
    </w:p>
    <w:p w14:paraId="7E6CCA5E" w14:textId="77777777" w:rsidR="00995C12" w:rsidRDefault="00995C12" w:rsidP="008560D0">
      <w:pPr>
        <w:pStyle w:val="BodyText3"/>
        <w:rPr>
          <w:color w:val="auto"/>
          <w:u w:val="single"/>
          <w:lang w:val="lv-LV"/>
        </w:rPr>
      </w:pPr>
    </w:p>
    <w:p w14:paraId="2E9C6F96" w14:textId="77777777" w:rsidR="00995C12" w:rsidRPr="007304C2" w:rsidRDefault="00995C12" w:rsidP="00995C12">
      <w:pPr>
        <w:suppressAutoHyphens/>
        <w:rPr>
          <w:lang w:val="lv-LV"/>
        </w:rPr>
      </w:pPr>
      <w:r>
        <w:rPr>
          <w:lang w:val="lv-LV"/>
        </w:rPr>
        <w:t>S</w:t>
      </w:r>
      <w:r w:rsidRPr="007304C2">
        <w:rPr>
          <w:lang w:val="lv-LV"/>
        </w:rPr>
        <w:t xml:space="preserve">lāpekļa </w:t>
      </w:r>
      <w:proofErr w:type="spellStart"/>
      <w:r w:rsidRPr="007304C2">
        <w:rPr>
          <w:lang w:val="lv-LV"/>
        </w:rPr>
        <w:t>oksidul</w:t>
      </w:r>
      <w:r>
        <w:rPr>
          <w:lang w:val="lv-LV"/>
        </w:rPr>
        <w:t>s</w:t>
      </w:r>
      <w:proofErr w:type="spellEnd"/>
      <w:r>
        <w:rPr>
          <w:lang w:val="lv-LV"/>
        </w:rPr>
        <w:t xml:space="preserve"> var difundēt ar gaisu pildītos dobumos. Tādēļ </w:t>
      </w:r>
      <w:proofErr w:type="spellStart"/>
      <w:r w:rsidRPr="007304C2">
        <w:rPr>
          <w:lang w:val="lv-LV"/>
        </w:rPr>
        <w:t>Entonox</w:t>
      </w:r>
      <w:proofErr w:type="spellEnd"/>
      <w:r w:rsidRPr="007304C2">
        <w:rPr>
          <w:lang w:val="lv-LV"/>
        </w:rPr>
        <w:t xml:space="preserve"> var paaugstināt spiedienu vidusausī un citos ar gaisu pildītos dobumos.</w:t>
      </w:r>
    </w:p>
    <w:p w14:paraId="427195A6" w14:textId="77777777" w:rsidR="00995C12" w:rsidRPr="007304C2" w:rsidRDefault="00995C12" w:rsidP="00995C12">
      <w:pPr>
        <w:suppressAutoHyphens/>
        <w:rPr>
          <w:iCs/>
          <w:sz w:val="24"/>
          <w:szCs w:val="24"/>
          <w:lang w:val="lv-LV"/>
        </w:rPr>
      </w:pPr>
    </w:p>
    <w:p w14:paraId="1A86D813" w14:textId="43B173D1" w:rsidR="00995C12" w:rsidRPr="007304C2" w:rsidRDefault="00995C12" w:rsidP="00995C12">
      <w:pPr>
        <w:suppressAutoHyphens/>
        <w:rPr>
          <w:lang w:val="lv-LV"/>
        </w:rPr>
      </w:pPr>
      <w:r w:rsidRPr="007304C2">
        <w:rPr>
          <w:lang w:val="lv-LV"/>
        </w:rPr>
        <w:t>Pacientiem, kuri lieto citas centrālas darbības zāles, piemēram, morf</w:t>
      </w:r>
      <w:r w:rsidR="00603E21">
        <w:rPr>
          <w:lang w:val="lv-LV"/>
        </w:rPr>
        <w:t>īna</w:t>
      </w:r>
      <w:r w:rsidRPr="007304C2">
        <w:rPr>
          <w:lang w:val="lv-LV"/>
        </w:rPr>
        <w:t xml:space="preserve"> atvasinājumus un/vai </w:t>
      </w:r>
      <w:proofErr w:type="spellStart"/>
      <w:r w:rsidRPr="007304C2">
        <w:rPr>
          <w:lang w:val="lv-LV"/>
        </w:rPr>
        <w:t>benzodiazepīnus</w:t>
      </w:r>
      <w:proofErr w:type="spellEnd"/>
      <w:r w:rsidRPr="007304C2">
        <w:rPr>
          <w:lang w:val="lv-LV"/>
        </w:rPr>
        <w:t xml:space="preserve">, vienlaicīga </w:t>
      </w:r>
      <w:proofErr w:type="spellStart"/>
      <w:r w:rsidRPr="007304C2">
        <w:rPr>
          <w:lang w:val="lv-LV"/>
        </w:rPr>
        <w:t>Entonox</w:t>
      </w:r>
      <w:proofErr w:type="spellEnd"/>
      <w:r w:rsidRPr="007304C2">
        <w:rPr>
          <w:lang w:val="lv-LV"/>
        </w:rPr>
        <w:t xml:space="preserve"> lietošana var izraisīt pastiprinātu </w:t>
      </w:r>
      <w:proofErr w:type="spellStart"/>
      <w:r w:rsidRPr="007304C2">
        <w:rPr>
          <w:lang w:val="lv-LV"/>
        </w:rPr>
        <w:t>sedāciju</w:t>
      </w:r>
      <w:proofErr w:type="spellEnd"/>
      <w:r w:rsidRPr="007304C2">
        <w:rPr>
          <w:lang w:val="lv-LV"/>
        </w:rPr>
        <w:t xml:space="preserve"> un sekojošu ietekmi uz elpošanu, asinsriti un </w:t>
      </w:r>
      <w:proofErr w:type="spellStart"/>
      <w:r w:rsidRPr="007304C2">
        <w:rPr>
          <w:lang w:val="lv-LV"/>
        </w:rPr>
        <w:t>aizsargrefleksiem</w:t>
      </w:r>
      <w:proofErr w:type="spellEnd"/>
      <w:r w:rsidRPr="007304C2">
        <w:rPr>
          <w:lang w:val="lv-LV"/>
        </w:rPr>
        <w:t xml:space="preserve">. Ja </w:t>
      </w:r>
      <w:proofErr w:type="spellStart"/>
      <w:r w:rsidRPr="007304C2">
        <w:rPr>
          <w:lang w:val="lv-LV"/>
        </w:rPr>
        <w:t>Entonox</w:t>
      </w:r>
      <w:proofErr w:type="spellEnd"/>
      <w:r w:rsidRPr="007304C2">
        <w:rPr>
          <w:lang w:val="lv-LV"/>
        </w:rPr>
        <w:t xml:space="preserve"> jālieto šādiem pacientiem, tas jādara atbilstoši apmācīta personāla uzraudzībā (skatīt 4.5. apakšpunktu).</w:t>
      </w:r>
    </w:p>
    <w:p w14:paraId="421C116A" w14:textId="77777777" w:rsidR="00995C12" w:rsidRPr="007304C2" w:rsidRDefault="00995C12" w:rsidP="00995C12">
      <w:pPr>
        <w:suppressAutoHyphens/>
        <w:rPr>
          <w:lang w:val="lv-LV"/>
        </w:rPr>
      </w:pPr>
    </w:p>
    <w:p w14:paraId="49D4F868" w14:textId="77777777" w:rsidR="00995C12" w:rsidRPr="007304C2" w:rsidRDefault="00995C12" w:rsidP="00995C12">
      <w:pPr>
        <w:suppressAutoHyphens/>
        <w:rPr>
          <w:lang w:val="lv-LV"/>
        </w:rPr>
      </w:pPr>
      <w:proofErr w:type="spellStart"/>
      <w:r w:rsidRPr="007304C2">
        <w:rPr>
          <w:lang w:val="lv-LV"/>
        </w:rPr>
        <w:t>Entonox</w:t>
      </w:r>
      <w:proofErr w:type="spellEnd"/>
      <w:r w:rsidRPr="007304C2">
        <w:rPr>
          <w:lang w:val="lv-LV"/>
        </w:rPr>
        <w:t xml:space="preserve"> jālieto piesardzīgi pacientiem ar traucētu </w:t>
      </w:r>
      <w:proofErr w:type="spellStart"/>
      <w:r w:rsidRPr="007304C2">
        <w:rPr>
          <w:lang w:val="lv-LV"/>
        </w:rPr>
        <w:t>hemoreceptoru</w:t>
      </w:r>
      <w:proofErr w:type="spellEnd"/>
      <w:r w:rsidRPr="007304C2">
        <w:rPr>
          <w:lang w:val="lv-LV"/>
        </w:rPr>
        <w:t xml:space="preserve"> jutību/darbību (piemēram, hroniska </w:t>
      </w:r>
      <w:proofErr w:type="spellStart"/>
      <w:r w:rsidRPr="007304C2">
        <w:rPr>
          <w:lang w:val="lv-LV"/>
        </w:rPr>
        <w:t>obstruktīva</w:t>
      </w:r>
      <w:proofErr w:type="spellEnd"/>
      <w:r w:rsidRPr="007304C2">
        <w:rPr>
          <w:lang w:val="lv-LV"/>
        </w:rPr>
        <w:t xml:space="preserve"> plaušu slimība – HOPS), jo skābekļa saturs ir relatīvi liels (50 </w:t>
      </w:r>
      <w:proofErr w:type="spellStart"/>
      <w:r w:rsidRPr="007304C2">
        <w:rPr>
          <w:lang w:val="lv-LV"/>
        </w:rPr>
        <w:t>tilp</w:t>
      </w:r>
      <w:proofErr w:type="spellEnd"/>
      <w:r w:rsidRPr="007304C2">
        <w:rPr>
          <w:lang w:val="lv-LV"/>
        </w:rPr>
        <w:t>.%). Lielu skābekļa devu ieelpošana šādiem pacientiem var izraisīt elpošanas nomākumu un PaCO</w:t>
      </w:r>
      <w:r w:rsidRPr="007304C2">
        <w:rPr>
          <w:vertAlign w:val="subscript"/>
          <w:lang w:val="lv-LV"/>
        </w:rPr>
        <w:t>2</w:t>
      </w:r>
      <w:r w:rsidRPr="007304C2">
        <w:rPr>
          <w:lang w:val="lv-LV"/>
        </w:rPr>
        <w:t xml:space="preserve"> paaugstināšanos.</w:t>
      </w:r>
    </w:p>
    <w:p w14:paraId="0A4A9303" w14:textId="77777777" w:rsidR="00995C12" w:rsidRPr="007304C2" w:rsidRDefault="00995C12" w:rsidP="00995C12">
      <w:pPr>
        <w:suppressAutoHyphens/>
        <w:rPr>
          <w:lang w:val="lv-LV"/>
        </w:rPr>
      </w:pPr>
    </w:p>
    <w:p w14:paraId="69F69CC6" w14:textId="77777777" w:rsidR="00995C12" w:rsidRDefault="00995C12" w:rsidP="00995C12">
      <w:pPr>
        <w:suppressAutoHyphens/>
        <w:rPr>
          <w:lang w:val="lv-LV"/>
        </w:rPr>
      </w:pPr>
      <w:r w:rsidRPr="007304C2">
        <w:rPr>
          <w:lang w:val="lv-LV"/>
        </w:rPr>
        <w:t xml:space="preserve">Pēc </w:t>
      </w:r>
      <w:proofErr w:type="spellStart"/>
      <w:r w:rsidRPr="007304C2">
        <w:rPr>
          <w:lang w:val="lv-LV"/>
        </w:rPr>
        <w:t>Entonox</w:t>
      </w:r>
      <w:proofErr w:type="spellEnd"/>
      <w:r w:rsidRPr="007304C2">
        <w:rPr>
          <w:lang w:val="lv-LV"/>
        </w:rPr>
        <w:t xml:space="preserve"> lietošanas pārtraukšanas slāpekļa </w:t>
      </w:r>
      <w:proofErr w:type="spellStart"/>
      <w:r w:rsidRPr="007304C2">
        <w:rPr>
          <w:lang w:val="lv-LV"/>
        </w:rPr>
        <w:t>oksiduls</w:t>
      </w:r>
      <w:proofErr w:type="spellEnd"/>
      <w:r w:rsidRPr="007304C2">
        <w:rPr>
          <w:lang w:val="lv-LV"/>
        </w:rPr>
        <w:t xml:space="preserve"> ātri difundē no asinīm alveolās. Sakarā ar ātru izdalīšanās atšķaidīšanos var rasties skābekļa koncentrācijas alveolās pazemināšanās un difūzijas </w:t>
      </w:r>
      <w:proofErr w:type="spellStart"/>
      <w:r w:rsidRPr="007304C2">
        <w:rPr>
          <w:lang w:val="lv-LV"/>
        </w:rPr>
        <w:t>hipoksija</w:t>
      </w:r>
      <w:proofErr w:type="spellEnd"/>
      <w:r w:rsidRPr="007304C2">
        <w:rPr>
          <w:lang w:val="lv-LV"/>
        </w:rPr>
        <w:t>. To var novērst ar skābekļa padevi.</w:t>
      </w:r>
    </w:p>
    <w:p w14:paraId="34E94B18" w14:textId="77777777" w:rsidR="00580C36" w:rsidRDefault="00580C36" w:rsidP="00995C12">
      <w:pPr>
        <w:suppressAutoHyphens/>
        <w:rPr>
          <w:lang w:val="lv-LV"/>
        </w:rPr>
      </w:pPr>
    </w:p>
    <w:p w14:paraId="74F2B886" w14:textId="77777777" w:rsidR="00580C36" w:rsidRPr="007304C2" w:rsidRDefault="00580C36" w:rsidP="00580C36">
      <w:pPr>
        <w:suppressAutoHyphens/>
        <w:rPr>
          <w:lang w:val="lv-LV"/>
        </w:rPr>
      </w:pPr>
      <w:r w:rsidRPr="007304C2">
        <w:rPr>
          <w:lang w:val="lv-LV"/>
        </w:rPr>
        <w:t xml:space="preserve">Pēc </w:t>
      </w:r>
      <w:proofErr w:type="spellStart"/>
      <w:r w:rsidRPr="007304C2">
        <w:rPr>
          <w:lang w:val="lv-LV"/>
        </w:rPr>
        <w:t>Entonox</w:t>
      </w:r>
      <w:proofErr w:type="spellEnd"/>
      <w:r w:rsidRPr="007304C2">
        <w:rPr>
          <w:lang w:val="lv-LV"/>
        </w:rPr>
        <w:t xml:space="preserve"> lietošanas pārtraukšanas pacientam jāiesaka atlabt atbilstošā uzraudzībā, kamēr šis ar </w:t>
      </w:r>
      <w:proofErr w:type="spellStart"/>
      <w:r w:rsidRPr="007304C2">
        <w:rPr>
          <w:lang w:val="lv-LV"/>
        </w:rPr>
        <w:t>Entonox</w:t>
      </w:r>
      <w:proofErr w:type="spellEnd"/>
      <w:r w:rsidRPr="007304C2">
        <w:rPr>
          <w:lang w:val="lv-LV"/>
        </w:rPr>
        <w:t xml:space="preserve"> lietošanu saistītais iespējamais risks nav izzudis un pacients ir pietiekami atlabis. Pacienta atlabšana ir jānovērtē veselības aprūpes personālam.</w:t>
      </w:r>
    </w:p>
    <w:p w14:paraId="1E9DE099" w14:textId="77777777" w:rsidR="00C90D27" w:rsidRPr="007304C2" w:rsidRDefault="00C90D27" w:rsidP="00C90D27">
      <w:pPr>
        <w:suppressAutoHyphens/>
        <w:rPr>
          <w:bCs/>
          <w:i/>
          <w:lang w:val="lv-LV"/>
        </w:rPr>
      </w:pPr>
    </w:p>
    <w:p w14:paraId="29BE010F" w14:textId="77777777" w:rsidR="00C90D27" w:rsidRDefault="00C935D3">
      <w:pPr>
        <w:suppressAutoHyphens/>
        <w:rPr>
          <w:lang w:val="lv-LV"/>
        </w:rPr>
      </w:pPr>
      <w:r w:rsidRPr="007304C2">
        <w:rPr>
          <w:lang w:val="lv-LV"/>
        </w:rPr>
        <w:t xml:space="preserve">Ietekme uz DNS sintēzi ir viens no iespējamiem slāpekļa </w:t>
      </w:r>
      <w:proofErr w:type="spellStart"/>
      <w:r w:rsidRPr="007304C2">
        <w:rPr>
          <w:lang w:val="lv-LV"/>
        </w:rPr>
        <w:t>oksidula</w:t>
      </w:r>
      <w:proofErr w:type="spellEnd"/>
      <w:r w:rsidRPr="007304C2">
        <w:rPr>
          <w:lang w:val="lv-LV"/>
        </w:rPr>
        <w:t xml:space="preserve"> ietekmes uz </w:t>
      </w:r>
      <w:proofErr w:type="spellStart"/>
      <w:r w:rsidRPr="007304C2">
        <w:rPr>
          <w:lang w:val="lv-LV"/>
        </w:rPr>
        <w:t>asinsradi</w:t>
      </w:r>
      <w:proofErr w:type="spellEnd"/>
      <w:r w:rsidRPr="007304C2">
        <w:rPr>
          <w:lang w:val="lv-LV"/>
        </w:rPr>
        <w:t xml:space="preserve"> un pētījumos ar dzīvniekiem novērotā augļa bojājuma iemesliem.</w:t>
      </w:r>
    </w:p>
    <w:p w14:paraId="793B6E1E" w14:textId="77777777" w:rsidR="00C935D3" w:rsidRPr="007304C2" w:rsidRDefault="00C935D3">
      <w:pPr>
        <w:suppressAutoHyphens/>
        <w:rPr>
          <w:b/>
          <w:i/>
          <w:lang w:val="lv-LV"/>
        </w:rPr>
      </w:pPr>
    </w:p>
    <w:p w14:paraId="77FC74A6" w14:textId="77777777" w:rsidR="008560D0" w:rsidRPr="004914D4" w:rsidRDefault="007832AE" w:rsidP="008560D0">
      <w:pPr>
        <w:suppressAutoHyphens/>
        <w:rPr>
          <w:bCs/>
          <w:iCs/>
          <w:u w:val="single"/>
          <w:lang w:val="lv-LV"/>
        </w:rPr>
      </w:pPr>
      <w:r>
        <w:rPr>
          <w:bCs/>
          <w:iCs/>
          <w:u w:val="single"/>
          <w:lang w:val="lv-LV"/>
        </w:rPr>
        <w:t>Iedarbība darba vietā, apkārtējā gaisa piesārņošana</w:t>
      </w:r>
    </w:p>
    <w:p w14:paraId="2B13F8F8" w14:textId="77777777" w:rsidR="008560D0" w:rsidRPr="007304C2" w:rsidRDefault="008560D0" w:rsidP="008560D0">
      <w:pPr>
        <w:suppressAutoHyphens/>
        <w:rPr>
          <w:lang w:val="lv-LV"/>
        </w:rPr>
      </w:pPr>
      <w:r w:rsidRPr="007304C2">
        <w:rPr>
          <w:lang w:val="lv-LV"/>
        </w:rPr>
        <w:t xml:space="preserve">Pēc atkārtotas slāpekļa </w:t>
      </w:r>
      <w:proofErr w:type="spellStart"/>
      <w:r w:rsidRPr="007304C2">
        <w:rPr>
          <w:lang w:val="lv-LV"/>
        </w:rPr>
        <w:t>oksidula</w:t>
      </w:r>
      <w:proofErr w:type="spellEnd"/>
      <w:r w:rsidRPr="007304C2">
        <w:rPr>
          <w:lang w:val="lv-LV"/>
        </w:rPr>
        <w:t xml:space="preserve"> iedarbības uz medicīnisko personālu un palīgpersonālu nepietiekami ventilētās telpās ziņots par samazinātu fertilitāti. Pašlaik nav iespējams apstiprināt vai izslēgt jebkādu cēlonisku saistību starp šiem gadījumiem un slāpekļa oksidula iedarbību.</w:t>
      </w:r>
    </w:p>
    <w:p w14:paraId="384314E4" w14:textId="77777777" w:rsidR="008560D0" w:rsidRPr="007304C2" w:rsidRDefault="008560D0" w:rsidP="008560D0">
      <w:pPr>
        <w:suppressAutoHyphens/>
        <w:rPr>
          <w:lang w:val="lv-LV"/>
        </w:rPr>
      </w:pPr>
      <w:r w:rsidRPr="007304C2">
        <w:rPr>
          <w:lang w:val="lv-LV"/>
        </w:rPr>
        <w:t>Svarīgi, lai slāpekļa oksidula saturs apkārtējā gaisā būtu pēc iespējas mazāks un zem valstī noteiktās robežvērtības.</w:t>
      </w:r>
    </w:p>
    <w:p w14:paraId="00853DA8" w14:textId="77777777" w:rsidR="008560D0" w:rsidRPr="007304C2" w:rsidRDefault="008560D0" w:rsidP="008560D0">
      <w:pPr>
        <w:suppressAutoHyphens/>
        <w:rPr>
          <w:lang w:val="lv-LV"/>
        </w:rPr>
      </w:pPr>
      <w:r w:rsidRPr="007304C2">
        <w:rPr>
          <w:lang w:val="lv-LV"/>
        </w:rPr>
        <w:t>Zonām, kur izmanto Entonox, jābūt pienācīgi ventilētām un/vai aprīkotām ar atsūkšanas aprīkojumu, lai slāpekļa oksidula koncentrācija apkārtējā gaisā ir zem valstī noteiktās sanitārās robežvērtības; vienmēr jāievēro valstī noteiktās vērtības saskaņā ar TWA (</w:t>
      </w:r>
      <w:r w:rsidRPr="007304C2">
        <w:rPr>
          <w:i/>
          <w:iCs/>
          <w:lang w:val="lv-LV"/>
        </w:rPr>
        <w:t xml:space="preserve">time weight average – </w:t>
      </w:r>
      <w:r w:rsidRPr="007304C2">
        <w:rPr>
          <w:lang w:val="lv-LV"/>
        </w:rPr>
        <w:t>laikā svērtā vidējā koncentrācija) vidējo vērtību darba dienas laikā un STEL (</w:t>
      </w:r>
      <w:r w:rsidRPr="007304C2">
        <w:rPr>
          <w:i/>
          <w:iCs/>
          <w:lang w:val="lv-LV"/>
        </w:rPr>
        <w:t>short term exposure limit</w:t>
      </w:r>
      <w:r w:rsidRPr="007304C2">
        <w:rPr>
          <w:lang w:val="lv-LV"/>
        </w:rPr>
        <w:t xml:space="preserve"> – īslaicīgas iedarbības robežvērtība) vidējo vērtību īslaicīgas iedarbības laikā.</w:t>
      </w:r>
    </w:p>
    <w:p w14:paraId="129B0CCF" w14:textId="77777777" w:rsidR="00160AAF" w:rsidRDefault="00160AAF">
      <w:pPr>
        <w:suppressAutoHyphens/>
        <w:rPr>
          <w:lang w:val="lv-LV"/>
        </w:rPr>
      </w:pPr>
    </w:p>
    <w:p w14:paraId="2E2132D5" w14:textId="2985C1B5" w:rsidR="00777DFF" w:rsidRPr="00777DFF" w:rsidRDefault="00160AAF" w:rsidP="00777DFF">
      <w:pPr>
        <w:rPr>
          <w:lang w:val="lv-LV"/>
        </w:rPr>
      </w:pPr>
      <w:r w:rsidRPr="007304C2">
        <w:rPr>
          <w:lang w:val="lv-LV"/>
        </w:rPr>
        <w:t>Jāņem vērā arī iespējamā ļaunprātīga zāļu lietošana.</w:t>
      </w:r>
      <w:r w:rsidR="00777DFF" w:rsidRPr="00EE2FF2">
        <w:rPr>
          <w:lang w:val="lv-LV"/>
        </w:rPr>
        <w:t xml:space="preserve"> </w:t>
      </w:r>
      <w:r w:rsidR="00777DFF" w:rsidRPr="00777DFF">
        <w:rPr>
          <w:lang w:val="lv-LV"/>
        </w:rPr>
        <w:t xml:space="preserve">Slāpekļa </w:t>
      </w:r>
      <w:proofErr w:type="spellStart"/>
      <w:r w:rsidR="00777DFF" w:rsidRPr="00777DFF">
        <w:rPr>
          <w:lang w:val="lv-LV"/>
        </w:rPr>
        <w:t>oksidula</w:t>
      </w:r>
      <w:proofErr w:type="spellEnd"/>
      <w:r w:rsidR="00777DFF" w:rsidRPr="00777DFF">
        <w:rPr>
          <w:lang w:val="lv-LV"/>
        </w:rPr>
        <w:t xml:space="preserve"> atkārtota ievadīšana vai tā atkārtota iedarbība var izraisīt atkarību. </w:t>
      </w:r>
    </w:p>
    <w:p w14:paraId="4AA7EB9F" w14:textId="77777777" w:rsidR="00777DFF" w:rsidRPr="00777DFF" w:rsidRDefault="00777DFF" w:rsidP="00777DFF">
      <w:pPr>
        <w:rPr>
          <w:lang w:val="lv-LV"/>
        </w:rPr>
      </w:pPr>
      <w:r w:rsidRPr="00777DFF">
        <w:rPr>
          <w:lang w:val="lv-LV"/>
        </w:rPr>
        <w:t xml:space="preserve">Piesardzība ir jāievēro pacientiem, kuriem anamnēzē ir pārmērīga apreibinošu vielu lietošana, vai veselības aprūpes speciālistiem, kuri darbā tiek pakļauti slāpekļa </w:t>
      </w:r>
      <w:proofErr w:type="spellStart"/>
      <w:r w:rsidRPr="00777DFF">
        <w:rPr>
          <w:lang w:val="lv-LV"/>
        </w:rPr>
        <w:t>oksidula</w:t>
      </w:r>
      <w:proofErr w:type="spellEnd"/>
      <w:r w:rsidRPr="00777DFF">
        <w:rPr>
          <w:lang w:val="lv-LV"/>
        </w:rPr>
        <w:t xml:space="preserve"> iedarbībai. </w:t>
      </w:r>
    </w:p>
    <w:p w14:paraId="27070F3A" w14:textId="77777777" w:rsidR="00777DFF" w:rsidRPr="00777DFF" w:rsidRDefault="00777DFF" w:rsidP="00777DFF">
      <w:pPr>
        <w:rPr>
          <w:lang w:val="lv-LV"/>
        </w:rPr>
      </w:pPr>
      <w:r w:rsidRPr="00777DFF">
        <w:rPr>
          <w:lang w:val="lv-LV"/>
        </w:rPr>
        <w:t xml:space="preserve"> </w:t>
      </w:r>
    </w:p>
    <w:p w14:paraId="54DFDD17" w14:textId="77777777" w:rsidR="00777DFF" w:rsidRPr="00777DFF" w:rsidRDefault="00777DFF" w:rsidP="00777DFF">
      <w:pPr>
        <w:rPr>
          <w:lang w:val="lv-LV"/>
        </w:rPr>
      </w:pPr>
      <w:r w:rsidRPr="00777DFF">
        <w:rPr>
          <w:lang w:val="lv-LV"/>
        </w:rPr>
        <w:t xml:space="preserve">Slāpekļa </w:t>
      </w:r>
      <w:proofErr w:type="spellStart"/>
      <w:r w:rsidRPr="00777DFF">
        <w:rPr>
          <w:lang w:val="lv-LV"/>
        </w:rPr>
        <w:t>oksiduls</w:t>
      </w:r>
      <w:proofErr w:type="spellEnd"/>
      <w:r w:rsidRPr="00777DFF">
        <w:rPr>
          <w:lang w:val="lv-LV"/>
        </w:rPr>
        <w:t xml:space="preserve"> </w:t>
      </w:r>
      <w:proofErr w:type="spellStart"/>
      <w:r w:rsidRPr="00777DFF">
        <w:rPr>
          <w:lang w:val="lv-LV"/>
        </w:rPr>
        <w:t>inaktivē</w:t>
      </w:r>
      <w:proofErr w:type="spellEnd"/>
      <w:r w:rsidRPr="00777DFF">
        <w:rPr>
          <w:lang w:val="lv-LV"/>
        </w:rPr>
        <w:t xml:space="preserve"> B</w:t>
      </w:r>
      <w:r w:rsidRPr="00C77B91">
        <w:rPr>
          <w:vertAlign w:val="subscript"/>
          <w:lang w:val="lv-LV"/>
        </w:rPr>
        <w:t>12</w:t>
      </w:r>
      <w:r w:rsidRPr="00777DFF">
        <w:rPr>
          <w:lang w:val="lv-LV"/>
        </w:rPr>
        <w:t xml:space="preserve"> vitamīnu, kas ir </w:t>
      </w:r>
      <w:proofErr w:type="spellStart"/>
      <w:r w:rsidRPr="00777DFF">
        <w:rPr>
          <w:lang w:val="lv-LV"/>
        </w:rPr>
        <w:t>metionīnsintāzes</w:t>
      </w:r>
      <w:proofErr w:type="spellEnd"/>
      <w:r w:rsidRPr="00777DFF">
        <w:rPr>
          <w:lang w:val="lv-LV"/>
        </w:rPr>
        <w:t xml:space="preserve"> kofaktors. Ilgstoša slāpekļa </w:t>
      </w:r>
      <w:proofErr w:type="spellStart"/>
      <w:r w:rsidRPr="00777DFF">
        <w:rPr>
          <w:lang w:val="lv-LV"/>
        </w:rPr>
        <w:t>oksidula</w:t>
      </w:r>
      <w:proofErr w:type="spellEnd"/>
      <w:r w:rsidRPr="00777DFF">
        <w:rPr>
          <w:lang w:val="lv-LV"/>
        </w:rPr>
        <w:t xml:space="preserve"> ievadīšana traucē </w:t>
      </w:r>
      <w:proofErr w:type="spellStart"/>
      <w:r w:rsidRPr="00777DFF">
        <w:rPr>
          <w:lang w:val="lv-LV"/>
        </w:rPr>
        <w:t>folātu</w:t>
      </w:r>
      <w:proofErr w:type="spellEnd"/>
      <w:r w:rsidRPr="00777DFF">
        <w:rPr>
          <w:lang w:val="lv-LV"/>
        </w:rPr>
        <w:t xml:space="preserve"> metabolismu un kavē DNS sintēzi. Ilgstoša vai bieža slāpekļa </w:t>
      </w:r>
      <w:proofErr w:type="spellStart"/>
      <w:r w:rsidRPr="00777DFF">
        <w:rPr>
          <w:lang w:val="lv-LV"/>
        </w:rPr>
        <w:t>oksidulas</w:t>
      </w:r>
      <w:proofErr w:type="spellEnd"/>
      <w:r w:rsidRPr="00777DFF">
        <w:rPr>
          <w:lang w:val="lv-LV"/>
        </w:rPr>
        <w:t xml:space="preserve"> lietošana var izraisīt </w:t>
      </w:r>
      <w:proofErr w:type="spellStart"/>
      <w:r w:rsidRPr="00777DFF">
        <w:rPr>
          <w:lang w:val="lv-LV"/>
        </w:rPr>
        <w:t>megaloblastiskas</w:t>
      </w:r>
      <w:proofErr w:type="spellEnd"/>
      <w:r w:rsidRPr="00777DFF">
        <w:rPr>
          <w:lang w:val="lv-LV"/>
        </w:rPr>
        <w:t xml:space="preserve"> izmaiņas kaulu smadzenēs, </w:t>
      </w:r>
      <w:proofErr w:type="spellStart"/>
      <w:r w:rsidRPr="00777DFF">
        <w:rPr>
          <w:lang w:val="lv-LV"/>
        </w:rPr>
        <w:t>mieloneiropātiju</w:t>
      </w:r>
      <w:proofErr w:type="spellEnd"/>
      <w:r w:rsidRPr="00777DFF">
        <w:rPr>
          <w:lang w:val="lv-LV"/>
        </w:rPr>
        <w:t xml:space="preserve"> un </w:t>
      </w:r>
      <w:proofErr w:type="spellStart"/>
      <w:r w:rsidRPr="00777DFF">
        <w:rPr>
          <w:lang w:val="lv-LV"/>
        </w:rPr>
        <w:t>subakūtu</w:t>
      </w:r>
      <w:proofErr w:type="spellEnd"/>
      <w:r w:rsidRPr="00777DFF">
        <w:rPr>
          <w:lang w:val="lv-LV"/>
        </w:rPr>
        <w:t xml:space="preserve"> kombinētu muguras smadzeņu deģenerāciju. Slāpekļa </w:t>
      </w:r>
      <w:proofErr w:type="spellStart"/>
      <w:r w:rsidRPr="00777DFF">
        <w:rPr>
          <w:lang w:val="lv-LV"/>
        </w:rPr>
        <w:t>oksidulu</w:t>
      </w:r>
      <w:proofErr w:type="spellEnd"/>
      <w:r w:rsidRPr="00777DFF">
        <w:rPr>
          <w:lang w:val="lv-LV"/>
        </w:rPr>
        <w:t xml:space="preserve"> nedrīkst lietot bez rūpīgas klīniskās uzraudzības un </w:t>
      </w:r>
      <w:proofErr w:type="spellStart"/>
      <w:r w:rsidRPr="00777DFF">
        <w:rPr>
          <w:lang w:val="lv-LV"/>
        </w:rPr>
        <w:t>hematoloģiskas</w:t>
      </w:r>
      <w:proofErr w:type="spellEnd"/>
      <w:r w:rsidRPr="00777DFF">
        <w:rPr>
          <w:lang w:val="lv-LV"/>
        </w:rPr>
        <w:t xml:space="preserve"> novērošanas. Šādos gadījumos jāvēršas pēc specializētas konsultācijas pie hematologa. </w:t>
      </w:r>
    </w:p>
    <w:p w14:paraId="4D34064F" w14:textId="7001A0FB" w:rsidR="008933A3" w:rsidRDefault="00777DFF" w:rsidP="00C77B91">
      <w:pPr>
        <w:rPr>
          <w:lang w:val="lv-LV"/>
        </w:rPr>
      </w:pPr>
      <w:proofErr w:type="spellStart"/>
      <w:r w:rsidRPr="00777DFF">
        <w:rPr>
          <w:lang w:val="lv-LV"/>
        </w:rPr>
        <w:lastRenderedPageBreak/>
        <w:t>Hematoloģiskajā</w:t>
      </w:r>
      <w:proofErr w:type="spellEnd"/>
      <w:r w:rsidRPr="00777DFF">
        <w:rPr>
          <w:lang w:val="lv-LV"/>
        </w:rPr>
        <w:t xml:space="preserve"> novērtēšanā ir jānovērtē sarkano asins šūnu </w:t>
      </w:r>
      <w:proofErr w:type="spellStart"/>
      <w:r w:rsidRPr="00777DFF">
        <w:rPr>
          <w:lang w:val="lv-LV"/>
        </w:rPr>
        <w:t>megaloblastiskās</w:t>
      </w:r>
      <w:proofErr w:type="spellEnd"/>
      <w:r w:rsidRPr="00777DFF">
        <w:rPr>
          <w:lang w:val="lv-LV"/>
        </w:rPr>
        <w:t xml:space="preserve"> izmaiņas un </w:t>
      </w:r>
      <w:proofErr w:type="spellStart"/>
      <w:r w:rsidRPr="00777DFF">
        <w:rPr>
          <w:lang w:val="lv-LV"/>
        </w:rPr>
        <w:t>neitrofilu</w:t>
      </w:r>
      <w:proofErr w:type="spellEnd"/>
      <w:r w:rsidRPr="00777DFF">
        <w:rPr>
          <w:lang w:val="lv-LV"/>
        </w:rPr>
        <w:t xml:space="preserve"> </w:t>
      </w:r>
      <w:proofErr w:type="spellStart"/>
      <w:r w:rsidRPr="00777DFF">
        <w:rPr>
          <w:lang w:val="lv-LV"/>
        </w:rPr>
        <w:t>hipersegmentācija</w:t>
      </w:r>
      <w:proofErr w:type="spellEnd"/>
      <w:r w:rsidRPr="00777DFF">
        <w:rPr>
          <w:lang w:val="lv-LV"/>
        </w:rPr>
        <w:t xml:space="preserve">. Neiroloģiskā </w:t>
      </w:r>
      <w:proofErr w:type="spellStart"/>
      <w:r w:rsidRPr="00777DFF">
        <w:rPr>
          <w:lang w:val="lv-LV"/>
        </w:rPr>
        <w:t>toksicitāte</w:t>
      </w:r>
      <w:proofErr w:type="spellEnd"/>
      <w:r w:rsidRPr="00777DFF">
        <w:rPr>
          <w:lang w:val="lv-LV"/>
        </w:rPr>
        <w:t xml:space="preserve"> var rasties arī bez anēmijas vai </w:t>
      </w:r>
      <w:proofErr w:type="spellStart"/>
      <w:r w:rsidRPr="00777DFF">
        <w:rPr>
          <w:lang w:val="lv-LV"/>
        </w:rPr>
        <w:t>makrocistozes</w:t>
      </w:r>
      <w:proofErr w:type="spellEnd"/>
      <w:r w:rsidRPr="00777DFF">
        <w:rPr>
          <w:lang w:val="lv-LV"/>
        </w:rPr>
        <w:t xml:space="preserve"> pie B</w:t>
      </w:r>
      <w:r w:rsidRPr="00C77B91">
        <w:rPr>
          <w:vertAlign w:val="subscript"/>
          <w:lang w:val="lv-LV"/>
        </w:rPr>
        <w:t>12</w:t>
      </w:r>
      <w:r w:rsidRPr="00777DFF">
        <w:rPr>
          <w:lang w:val="lv-LV"/>
        </w:rPr>
        <w:t xml:space="preserve"> vitamīna līmeņiem normas robežās. Pacientiem ar nediagnosticētu </w:t>
      </w:r>
      <w:proofErr w:type="spellStart"/>
      <w:r w:rsidRPr="00777DFF">
        <w:rPr>
          <w:lang w:val="lv-LV"/>
        </w:rPr>
        <w:t>subklīnisku</w:t>
      </w:r>
      <w:proofErr w:type="spellEnd"/>
      <w:r w:rsidRPr="00777DFF">
        <w:rPr>
          <w:lang w:val="lv-LV"/>
        </w:rPr>
        <w:t xml:space="preserve"> B</w:t>
      </w:r>
      <w:r w:rsidRPr="00C77B91">
        <w:rPr>
          <w:vertAlign w:val="subscript"/>
          <w:lang w:val="lv-LV"/>
        </w:rPr>
        <w:t>12</w:t>
      </w:r>
      <w:r w:rsidRPr="00777DFF">
        <w:rPr>
          <w:lang w:val="lv-LV"/>
        </w:rPr>
        <w:t xml:space="preserve"> vitamīna deficītu pēc slāpekļa </w:t>
      </w:r>
      <w:proofErr w:type="spellStart"/>
      <w:r w:rsidRPr="00777DFF">
        <w:rPr>
          <w:lang w:val="lv-LV"/>
        </w:rPr>
        <w:t>oksidula</w:t>
      </w:r>
      <w:proofErr w:type="spellEnd"/>
      <w:r w:rsidRPr="00777DFF">
        <w:rPr>
          <w:lang w:val="lv-LV"/>
        </w:rPr>
        <w:t xml:space="preserve"> vienreizējas iedarbības anestēzijas laikā konstatēja neiroloģisko </w:t>
      </w:r>
      <w:proofErr w:type="spellStart"/>
      <w:r w:rsidRPr="00777DFF">
        <w:rPr>
          <w:lang w:val="lv-LV"/>
        </w:rPr>
        <w:t>toksicitāti</w:t>
      </w:r>
      <w:proofErr w:type="spellEnd"/>
      <w:r w:rsidRPr="00777DFF">
        <w:rPr>
          <w:lang w:val="lv-LV"/>
        </w:rPr>
        <w:t xml:space="preserve">. </w:t>
      </w:r>
      <w:r w:rsidR="007832AE">
        <w:rPr>
          <w:lang w:val="lv-LV"/>
        </w:rPr>
        <w:t xml:space="preserve"> </w:t>
      </w:r>
    </w:p>
    <w:p w14:paraId="5FE2E7FA" w14:textId="77777777" w:rsidR="00C06477" w:rsidRDefault="00C06477">
      <w:pPr>
        <w:suppressAutoHyphens/>
        <w:rPr>
          <w:lang w:val="lv-LV"/>
        </w:rPr>
      </w:pPr>
    </w:p>
    <w:p w14:paraId="1EEA5583" w14:textId="77777777" w:rsidR="005B1B52" w:rsidRPr="007304C2" w:rsidRDefault="005B1B52" w:rsidP="005B1B52">
      <w:pPr>
        <w:suppressAutoHyphens/>
        <w:rPr>
          <w:lang w:val="lv-LV"/>
        </w:rPr>
      </w:pPr>
      <w:r w:rsidRPr="007304C2">
        <w:rPr>
          <w:lang w:val="lv-LV"/>
        </w:rPr>
        <w:t xml:space="preserve">Slāpekļa </w:t>
      </w:r>
      <w:proofErr w:type="spellStart"/>
      <w:r w:rsidRPr="007304C2">
        <w:rPr>
          <w:lang w:val="lv-LV"/>
        </w:rPr>
        <w:t>oksiduls</w:t>
      </w:r>
      <w:proofErr w:type="spellEnd"/>
      <w:r w:rsidRPr="007304C2">
        <w:rPr>
          <w:lang w:val="lv-LV"/>
        </w:rPr>
        <w:t xml:space="preserve"> var ietekmēt B</w:t>
      </w:r>
      <w:r w:rsidRPr="007304C2">
        <w:rPr>
          <w:vertAlign w:val="subscript"/>
          <w:lang w:val="lv-LV"/>
        </w:rPr>
        <w:t>12</w:t>
      </w:r>
      <w:r w:rsidRPr="007304C2">
        <w:rPr>
          <w:lang w:val="lv-LV"/>
        </w:rPr>
        <w:t xml:space="preserve"> vitamīna un </w:t>
      </w:r>
      <w:proofErr w:type="spellStart"/>
      <w:r w:rsidRPr="007304C2">
        <w:rPr>
          <w:lang w:val="lv-LV"/>
        </w:rPr>
        <w:t>folātu</w:t>
      </w:r>
      <w:proofErr w:type="spellEnd"/>
      <w:r w:rsidRPr="007304C2">
        <w:rPr>
          <w:lang w:val="lv-LV"/>
        </w:rPr>
        <w:t xml:space="preserve"> metabolismu. Tādēļ </w:t>
      </w:r>
      <w:proofErr w:type="spellStart"/>
      <w:r w:rsidRPr="007304C2">
        <w:rPr>
          <w:lang w:val="lv-LV"/>
        </w:rPr>
        <w:t>Entonox</w:t>
      </w:r>
      <w:proofErr w:type="spellEnd"/>
      <w:r w:rsidRPr="007304C2">
        <w:rPr>
          <w:lang w:val="lv-LV"/>
        </w:rPr>
        <w:t xml:space="preserve"> jālieto piesardzīgi riska grupas pacientiem, t.i., pacientiem ar samazinātu B</w:t>
      </w:r>
      <w:r w:rsidRPr="007304C2">
        <w:rPr>
          <w:vertAlign w:val="subscript"/>
          <w:lang w:val="lv-LV"/>
        </w:rPr>
        <w:t>12</w:t>
      </w:r>
      <w:r w:rsidRPr="007304C2">
        <w:rPr>
          <w:lang w:val="lv-LV"/>
        </w:rPr>
        <w:t xml:space="preserve"> vitamīna un/vai </w:t>
      </w:r>
      <w:proofErr w:type="spellStart"/>
      <w:r w:rsidRPr="007304C2">
        <w:rPr>
          <w:lang w:val="lv-LV"/>
        </w:rPr>
        <w:t>folskābes</w:t>
      </w:r>
      <w:proofErr w:type="spellEnd"/>
      <w:r w:rsidRPr="007304C2">
        <w:rPr>
          <w:lang w:val="lv-LV"/>
        </w:rPr>
        <w:t xml:space="preserve"> uzņemšanu vai uzsūkšanos vai ar ģenētiskiem traucējumiem enzīmu sistēmā, kas iesaistīta šo vitamīnu metabolismā, kā arī pacientiem ar imūnās sistēmas nomākumu. Ja nepieciešams, jāapsver aizvietojoša terapija ar B</w:t>
      </w:r>
      <w:r w:rsidRPr="007304C2">
        <w:rPr>
          <w:vertAlign w:val="subscript"/>
          <w:lang w:val="lv-LV"/>
        </w:rPr>
        <w:t>12</w:t>
      </w:r>
      <w:r w:rsidRPr="007304C2">
        <w:rPr>
          <w:lang w:val="lv-LV"/>
        </w:rPr>
        <w:t xml:space="preserve"> vitamīnu/</w:t>
      </w:r>
      <w:proofErr w:type="spellStart"/>
      <w:r w:rsidRPr="007304C2">
        <w:rPr>
          <w:lang w:val="lv-LV"/>
        </w:rPr>
        <w:t>folskābi</w:t>
      </w:r>
      <w:proofErr w:type="spellEnd"/>
      <w:r w:rsidRPr="007304C2">
        <w:rPr>
          <w:lang w:val="lv-LV"/>
        </w:rPr>
        <w:t xml:space="preserve">. </w:t>
      </w:r>
    </w:p>
    <w:p w14:paraId="1EDF4774" w14:textId="77777777" w:rsidR="005B1B52" w:rsidRPr="007304C2" w:rsidRDefault="005B1B52">
      <w:pPr>
        <w:suppressAutoHyphens/>
        <w:rPr>
          <w:lang w:val="lv-LV"/>
        </w:rPr>
      </w:pPr>
    </w:p>
    <w:p w14:paraId="76C4DDD7" w14:textId="77777777" w:rsidR="008560D0" w:rsidRPr="007304C2" w:rsidRDefault="008560D0" w:rsidP="008560D0">
      <w:pPr>
        <w:suppressAutoHyphens/>
        <w:rPr>
          <w:lang w:val="lv-LV"/>
        </w:rPr>
      </w:pPr>
      <w:r w:rsidRPr="007304C2">
        <w:rPr>
          <w:lang w:val="lv-LV"/>
        </w:rPr>
        <w:t>Gāzu maisījum</w:t>
      </w:r>
      <w:r w:rsidR="00253058">
        <w:rPr>
          <w:lang w:val="lv-LV"/>
        </w:rPr>
        <w:t>s</w:t>
      </w:r>
      <w:r w:rsidRPr="007304C2">
        <w:rPr>
          <w:lang w:val="lv-LV"/>
        </w:rPr>
        <w:t xml:space="preserve"> jāglabā un jālieto tikai zonās/telpās, kur temperatūra pārsniedz </w:t>
      </w:r>
      <w:r w:rsidRPr="007304C2">
        <w:rPr>
          <w:lang w:val="lv-LV"/>
        </w:rPr>
        <w:noBreakHyphen/>
        <w:t>5</w:t>
      </w:r>
      <w:r w:rsidRPr="007304C2">
        <w:rPr>
          <w:lang w:val="lv-LV"/>
        </w:rPr>
        <w:sym w:font="Symbol" w:char="F0B0"/>
      </w:r>
      <w:r w:rsidRPr="007304C2">
        <w:rPr>
          <w:lang w:val="lv-LV"/>
        </w:rPr>
        <w:t xml:space="preserve">C. Zemākā temperatūrā gāzu maisījums var sadalīties, kā rezultātā tiks ievadīts hipoksisks gāzu maisījums. </w:t>
      </w:r>
    </w:p>
    <w:p w14:paraId="797F83DA" w14:textId="77777777" w:rsidR="000F7067" w:rsidRPr="007304C2" w:rsidRDefault="000F7067">
      <w:pPr>
        <w:suppressAutoHyphens/>
        <w:rPr>
          <w:lang w:val="lv-LV"/>
        </w:rPr>
      </w:pPr>
    </w:p>
    <w:p w14:paraId="2BF2410D" w14:textId="77777777" w:rsidR="008560D0" w:rsidRPr="007304C2" w:rsidRDefault="008560D0" w:rsidP="008560D0">
      <w:pPr>
        <w:tabs>
          <w:tab w:val="left" w:pos="567"/>
        </w:tabs>
        <w:rPr>
          <w:lang w:val="lv-LV"/>
        </w:rPr>
      </w:pPr>
      <w:r w:rsidRPr="007304C2">
        <w:rPr>
          <w:u w:val="single"/>
          <w:lang w:val="lv-LV"/>
        </w:rPr>
        <w:t>Pediatriskā populācija</w:t>
      </w:r>
    </w:p>
    <w:p w14:paraId="07B65722" w14:textId="77777777" w:rsidR="008560D0" w:rsidRPr="007304C2" w:rsidRDefault="008560D0" w:rsidP="008560D0">
      <w:pPr>
        <w:tabs>
          <w:tab w:val="left" w:pos="567"/>
        </w:tabs>
        <w:rPr>
          <w:lang w:val="lv-LV"/>
        </w:rPr>
      </w:pPr>
      <w:r w:rsidRPr="007304C2">
        <w:rPr>
          <w:lang w:val="lv-LV"/>
        </w:rPr>
        <w:t>Entonox var lietot bērniem, kuri spēj ievērot norādījumus par aprīkojuma izmantošanu. Jaunāku bērnu, kas nespēj ievērot norādījumus, ārstēšanā var būt nepieciešama pastāvīgas gāzes plūsmas lietošana.</w:t>
      </w:r>
    </w:p>
    <w:p w14:paraId="79396ACC" w14:textId="77777777" w:rsidR="008560D0" w:rsidRPr="007304C2" w:rsidRDefault="008560D0" w:rsidP="008560D0">
      <w:pPr>
        <w:tabs>
          <w:tab w:val="left" w:pos="567"/>
        </w:tabs>
        <w:rPr>
          <w:lang w:val="lv-LV"/>
        </w:rPr>
      </w:pPr>
      <w:r w:rsidRPr="007304C2">
        <w:rPr>
          <w:lang w:val="lv-LV"/>
        </w:rPr>
        <w:t>Pastāvīgu gāzes plūsmu drīkst nodrošināt tikai gāzes lietošanā apmācīts veselības aprūpes personāls, kuram ir pieejams aprīkojums elpceļu caurlaidības un mākslīgās ventilācijas nodrošināšanai (skatīt arī 4.2. apakšpunktu).</w:t>
      </w:r>
    </w:p>
    <w:p w14:paraId="2AC2FDD6" w14:textId="77777777" w:rsidR="00956FAB" w:rsidRPr="007304C2" w:rsidRDefault="00956FAB">
      <w:pPr>
        <w:suppressAutoHyphens/>
        <w:rPr>
          <w:lang w:val="lv-LV"/>
        </w:rPr>
      </w:pPr>
    </w:p>
    <w:p w14:paraId="1590B99C" w14:textId="77777777" w:rsidR="008560D0" w:rsidRPr="007304C2" w:rsidRDefault="008560D0" w:rsidP="008560D0">
      <w:pPr>
        <w:autoSpaceDE w:val="0"/>
        <w:autoSpaceDN w:val="0"/>
        <w:adjustRightInd w:val="0"/>
        <w:spacing w:line="240" w:lineRule="atLeast"/>
        <w:rPr>
          <w:rFonts w:ascii="Courier" w:hAnsi="Courier" w:cs="Courier"/>
          <w:sz w:val="20"/>
          <w:lang w:val="lv-LV"/>
        </w:rPr>
      </w:pPr>
      <w:r w:rsidRPr="007304C2">
        <w:rPr>
          <w:lang w:val="lv-LV"/>
        </w:rPr>
        <w:t>Pastāvīgu lietošan</w:t>
      </w:r>
      <w:r w:rsidR="00253058">
        <w:rPr>
          <w:lang w:val="lv-LV"/>
        </w:rPr>
        <w:t>a</w:t>
      </w:r>
      <w:r w:rsidRPr="007304C2">
        <w:rPr>
          <w:lang w:val="lv-LV"/>
        </w:rPr>
        <w:t xml:space="preserve"> ilgāk par 6 stundām jāpiemēro </w:t>
      </w:r>
      <w:r w:rsidR="00253058">
        <w:rPr>
          <w:lang w:val="lv-LV"/>
        </w:rPr>
        <w:t>piesardzīgi</w:t>
      </w:r>
      <w:r w:rsidRPr="007304C2">
        <w:rPr>
          <w:lang w:val="lv-LV"/>
        </w:rPr>
        <w:t>, jo pastāv ar metionīna sintetāzes inhibīciju saistītās iedarbības klīnisko izpausmju risks.</w:t>
      </w:r>
      <w:r w:rsidR="00561828" w:rsidRPr="007304C2">
        <w:rPr>
          <w:lang w:val="lv-LV"/>
        </w:rPr>
        <w:t xml:space="preserve"> </w:t>
      </w:r>
      <w:r w:rsidRPr="007304C2">
        <w:rPr>
          <w:lang w:val="lv-LV"/>
        </w:rPr>
        <w:t>Ilgstošas pastāvīgas lietošanas vai atkārtotas lietošanas gadījumā nepieciešama hematoloģiska kontrole, lai samazinātu iespējamo blakusparādību risku.</w:t>
      </w:r>
    </w:p>
    <w:p w14:paraId="6C2D585B" w14:textId="77777777" w:rsidR="000F7067" w:rsidRPr="007304C2" w:rsidRDefault="000F7067">
      <w:pPr>
        <w:suppressAutoHyphens/>
        <w:rPr>
          <w:lang w:val="lv-LV"/>
        </w:rPr>
      </w:pPr>
    </w:p>
    <w:p w14:paraId="22A38E3A" w14:textId="77777777" w:rsidR="008560D0" w:rsidRPr="007304C2" w:rsidRDefault="008560D0" w:rsidP="008560D0">
      <w:pPr>
        <w:suppressAutoHyphens/>
        <w:ind w:left="567" w:hanging="567"/>
        <w:rPr>
          <w:lang w:val="lv-LV"/>
        </w:rPr>
      </w:pPr>
      <w:r w:rsidRPr="007304C2">
        <w:rPr>
          <w:b/>
          <w:bCs/>
          <w:lang w:val="lv-LV"/>
        </w:rPr>
        <w:t>4.5.</w:t>
      </w:r>
      <w:r w:rsidRPr="007304C2">
        <w:rPr>
          <w:b/>
          <w:bCs/>
          <w:lang w:val="lv-LV"/>
        </w:rPr>
        <w:tab/>
        <w:t>Mijiedarbība ar citām zālēm un citi mijiedarbības veidi</w:t>
      </w:r>
    </w:p>
    <w:p w14:paraId="77940196" w14:textId="77777777" w:rsidR="000F7067" w:rsidRPr="007304C2" w:rsidRDefault="000F7067">
      <w:pPr>
        <w:suppressAutoHyphens/>
        <w:rPr>
          <w:lang w:val="lv-LV"/>
        </w:rPr>
      </w:pPr>
    </w:p>
    <w:p w14:paraId="040DD261" w14:textId="77777777" w:rsidR="008560D0" w:rsidRPr="004914D4" w:rsidRDefault="008560D0" w:rsidP="008560D0">
      <w:pPr>
        <w:suppressAutoHyphens/>
        <w:ind w:left="567" w:hanging="567"/>
        <w:rPr>
          <w:bCs/>
          <w:iCs/>
          <w:u w:val="single"/>
          <w:lang w:val="lv-LV"/>
        </w:rPr>
      </w:pPr>
      <w:r w:rsidRPr="004914D4">
        <w:rPr>
          <w:bCs/>
          <w:iCs/>
          <w:u w:val="single"/>
          <w:lang w:val="lv-LV"/>
        </w:rPr>
        <w:t>Kombinācija ar citām zālēm</w:t>
      </w:r>
    </w:p>
    <w:p w14:paraId="214C8285" w14:textId="77777777" w:rsidR="008560D0" w:rsidRPr="007304C2" w:rsidRDefault="008560D0" w:rsidP="008560D0">
      <w:pPr>
        <w:rPr>
          <w:lang w:val="lv-LV"/>
        </w:rPr>
      </w:pPr>
      <w:r w:rsidRPr="007304C2">
        <w:rPr>
          <w:lang w:val="lv-LV"/>
        </w:rPr>
        <w:t>Entonox sastāvdaļa, slāpekļa oksiduls, papildinoši mijiedarbojas ar inhalējamiem anestēzijas līdzekļiem un/vai citām aktīvām vielām, kas ietekmē centrālo nervu sistēmu (piemēram, opioīdi, benzodiazepīni un citi psihomimētiskie līdzekļi). Ja vienlaicīgi lieto centrālas darbības līdzekļus, jāņem vērā izteiktas sedācijas un aizsargrefleksu nomākšanas risks (skatīt 4.4. apakšpunktu).</w:t>
      </w:r>
    </w:p>
    <w:p w14:paraId="0F37F366" w14:textId="77777777" w:rsidR="008560D0" w:rsidRPr="007304C2" w:rsidRDefault="008560D0" w:rsidP="008560D0">
      <w:pPr>
        <w:rPr>
          <w:lang w:val="lv-LV"/>
        </w:rPr>
      </w:pPr>
      <w:r w:rsidRPr="007304C2">
        <w:rPr>
          <w:lang w:val="lv-LV"/>
        </w:rPr>
        <w:t>Entonox pastiprina metotreksāta inhibējošo ietekmi uz metionīna sintetāzes un folskābes metabolismu.</w:t>
      </w:r>
    </w:p>
    <w:p w14:paraId="708143AD" w14:textId="77777777" w:rsidR="008560D0" w:rsidRPr="007304C2" w:rsidRDefault="008560D0" w:rsidP="008560D0">
      <w:pPr>
        <w:suppressAutoHyphens/>
        <w:rPr>
          <w:lang w:val="lv-LV"/>
        </w:rPr>
      </w:pPr>
      <w:r w:rsidRPr="007304C2">
        <w:rPr>
          <w:lang w:val="lv-LV"/>
        </w:rPr>
        <w:t xml:space="preserve">Ieelpojot paaugstinātas koncentrācijas skābekli, var pastiprināties ar tādām aktīvām vielām kā bleomicīns, amiodarons, furadatīns un līdzīgiem antibiotiskajiem līdzekļiem saistītā pulmonāla toksicitāte. </w:t>
      </w:r>
    </w:p>
    <w:p w14:paraId="2A0E49D2" w14:textId="77777777" w:rsidR="002E27AD" w:rsidRPr="007304C2" w:rsidRDefault="002E27AD" w:rsidP="002E27AD">
      <w:pPr>
        <w:jc w:val="both"/>
        <w:rPr>
          <w:snapToGrid w:val="0"/>
          <w:lang w:val="lv-LV"/>
        </w:rPr>
      </w:pPr>
    </w:p>
    <w:p w14:paraId="0132CE71" w14:textId="77777777" w:rsidR="008560D0" w:rsidRPr="004914D4" w:rsidRDefault="008560D0" w:rsidP="004914D4">
      <w:pPr>
        <w:suppressAutoHyphens/>
        <w:ind w:left="567" w:hanging="567"/>
        <w:rPr>
          <w:bCs/>
          <w:iCs/>
          <w:u w:val="single"/>
          <w:lang w:val="lv-LV"/>
        </w:rPr>
      </w:pPr>
      <w:r w:rsidRPr="004914D4">
        <w:rPr>
          <w:bCs/>
          <w:iCs/>
          <w:u w:val="single"/>
          <w:lang w:val="lv-LV"/>
        </w:rPr>
        <w:t>Cita mijiedarbība</w:t>
      </w:r>
    </w:p>
    <w:p w14:paraId="15266DAA" w14:textId="77777777" w:rsidR="008560D0" w:rsidRPr="007304C2" w:rsidRDefault="008560D0" w:rsidP="008560D0">
      <w:pPr>
        <w:jc w:val="both"/>
        <w:rPr>
          <w:lang w:val="lv-LV"/>
        </w:rPr>
      </w:pPr>
      <w:r w:rsidRPr="007304C2">
        <w:rPr>
          <w:lang w:val="lv-LV"/>
        </w:rPr>
        <w:t>Entonox sastāvdaļa, slāpekļa oksiduls, izraisa B</w:t>
      </w:r>
      <w:r w:rsidRPr="007304C2">
        <w:rPr>
          <w:vertAlign w:val="subscript"/>
          <w:lang w:val="lv-LV"/>
        </w:rPr>
        <w:t xml:space="preserve">12 </w:t>
      </w:r>
      <w:r w:rsidRPr="007304C2">
        <w:rPr>
          <w:lang w:val="lv-LV"/>
        </w:rPr>
        <w:t>vitamīna (metionīna sintēzes kofaktora) inaktivāciju, kas traucē folskābes metabolismu. Tāpēc ilgstoša slāpekļa oksidula lietošana negatīvi ietekmē DNS sintēzi. Šie traucējumi var izraisīt megaloblastiskas izmaiņas kaulu smadzenēs un, iespējams, polineiropātiju un/vai subakūtu kombinētu muguras smadzeņu deģenerāciju. Tādēļ Entonox lietošanas laikam jābūt ierobežotam (skatīt arī 4.4. apakšpunktu).</w:t>
      </w:r>
    </w:p>
    <w:p w14:paraId="7E49D777" w14:textId="77777777" w:rsidR="000F7067" w:rsidRPr="007304C2" w:rsidRDefault="000F7067">
      <w:pPr>
        <w:suppressAutoHyphens/>
        <w:rPr>
          <w:lang w:val="lv-LV"/>
        </w:rPr>
      </w:pPr>
    </w:p>
    <w:p w14:paraId="71DBEB39" w14:textId="77777777" w:rsidR="008560D0" w:rsidRPr="007304C2" w:rsidRDefault="008560D0" w:rsidP="008560D0">
      <w:pPr>
        <w:keepNext/>
        <w:keepLines/>
        <w:suppressAutoHyphens/>
        <w:ind w:left="567" w:hanging="567"/>
        <w:rPr>
          <w:lang w:val="lv-LV"/>
        </w:rPr>
      </w:pPr>
      <w:r w:rsidRPr="007304C2">
        <w:rPr>
          <w:b/>
          <w:bCs/>
          <w:lang w:val="lv-LV"/>
        </w:rPr>
        <w:lastRenderedPageBreak/>
        <w:t>4.6.</w:t>
      </w:r>
      <w:r w:rsidRPr="007304C2">
        <w:rPr>
          <w:b/>
          <w:bCs/>
          <w:lang w:val="lv-LV"/>
        </w:rPr>
        <w:tab/>
        <w:t>Fertilitāte, grūtniecība un barošana ar krūti</w:t>
      </w:r>
    </w:p>
    <w:p w14:paraId="1CDBDD06" w14:textId="77777777" w:rsidR="000F7067" w:rsidRPr="007304C2" w:rsidRDefault="000F7067" w:rsidP="00D64D8B">
      <w:pPr>
        <w:keepNext/>
        <w:keepLines/>
        <w:suppressAutoHyphens/>
        <w:rPr>
          <w:lang w:val="lv-LV"/>
        </w:rPr>
      </w:pPr>
    </w:p>
    <w:p w14:paraId="39BAF7A3" w14:textId="77777777" w:rsidR="008560D0" w:rsidRPr="004914D4" w:rsidRDefault="008560D0" w:rsidP="008560D0">
      <w:pPr>
        <w:keepNext/>
        <w:keepLines/>
        <w:suppressAutoHyphens/>
        <w:rPr>
          <w:bCs/>
          <w:iCs/>
          <w:u w:val="single"/>
          <w:lang w:val="lv-LV"/>
        </w:rPr>
      </w:pPr>
      <w:r w:rsidRPr="004914D4">
        <w:rPr>
          <w:bCs/>
          <w:iCs/>
          <w:u w:val="single"/>
          <w:lang w:val="lv-LV"/>
        </w:rPr>
        <w:t>Grūtniecība</w:t>
      </w:r>
    </w:p>
    <w:p w14:paraId="54BAF47E" w14:textId="77777777" w:rsidR="00BD3E36" w:rsidRDefault="00BD3E36" w:rsidP="008560D0">
      <w:pPr>
        <w:keepNext/>
        <w:keepLines/>
        <w:suppressAutoHyphens/>
        <w:rPr>
          <w:lang w:val="it-IT"/>
        </w:rPr>
      </w:pPr>
      <w:r>
        <w:rPr>
          <w:lang w:val="it-IT"/>
        </w:rPr>
        <w:t>Analizējot lielu datu apjomu par grūtniecēm, kam 1. trimestrī vienreiz tika ievadīts slāpekļa oksiduls (vairāk nekā 1000 iedarbībai pakļauto pacienšu), netika konstatēta deformējoša toksiska iedarbība.</w:t>
      </w:r>
      <w:r w:rsidR="00E71F5A">
        <w:rPr>
          <w:lang w:val="it-IT"/>
        </w:rPr>
        <w:t xml:space="preserve"> </w:t>
      </w:r>
      <w:r>
        <w:rPr>
          <w:lang w:val="it-IT"/>
        </w:rPr>
        <w:t>Turklāt nav konstatēta tieša sakarība starp toksisku iedarbību uz augli vai jaundzimušo slāpekļa oksidula lietošanas rezultātā grūtniecības laikā. Tādējādi klīniskas nepieciešamības gadījumā slāpekļa oksidulu drīkst lietot grūtniecības laikā’</w:t>
      </w:r>
    </w:p>
    <w:p w14:paraId="23425C2B" w14:textId="043350B7" w:rsidR="00CD6320" w:rsidRDefault="00CD6320" w:rsidP="008560D0">
      <w:pPr>
        <w:keepNext/>
        <w:keepLines/>
        <w:suppressAutoHyphens/>
        <w:rPr>
          <w:lang w:val="lv-LV"/>
        </w:rPr>
      </w:pPr>
      <w:r>
        <w:rPr>
          <w:lang w:val="lv-LV"/>
        </w:rPr>
        <w:t xml:space="preserve">Retos gadījumos slāpekļa </w:t>
      </w:r>
      <w:proofErr w:type="spellStart"/>
      <w:r>
        <w:rPr>
          <w:lang w:val="lv-LV"/>
        </w:rPr>
        <w:t>oksiduls</w:t>
      </w:r>
      <w:proofErr w:type="spellEnd"/>
      <w:r>
        <w:rPr>
          <w:lang w:val="lv-LV"/>
        </w:rPr>
        <w:t xml:space="preserve"> var izraisīt elpošanas nomākumu jaundzimušajiem. Ja slāpekļa </w:t>
      </w:r>
      <w:bookmarkStart w:id="0" w:name="_Hlk5802463"/>
      <w:proofErr w:type="spellStart"/>
      <w:r>
        <w:rPr>
          <w:lang w:val="lv-LV"/>
        </w:rPr>
        <w:t>oksidul</w:t>
      </w:r>
      <w:r w:rsidR="007F0FB2">
        <w:rPr>
          <w:lang w:val="lv-LV"/>
        </w:rPr>
        <w:t>u</w:t>
      </w:r>
      <w:proofErr w:type="spellEnd"/>
      <w:r w:rsidR="007F0FB2">
        <w:rPr>
          <w:lang w:val="lv-LV"/>
        </w:rPr>
        <w:t xml:space="preserve"> </w:t>
      </w:r>
      <w:r>
        <w:rPr>
          <w:lang w:val="lv-LV"/>
        </w:rPr>
        <w:t xml:space="preserve">lieto </w:t>
      </w:r>
      <w:r w:rsidR="007F0FB2">
        <w:rPr>
          <w:lang w:val="lv-LV"/>
        </w:rPr>
        <w:t>neilgi pirms dzemdībām</w:t>
      </w:r>
      <w:bookmarkEnd w:id="0"/>
      <w:r w:rsidR="00FA6C10">
        <w:rPr>
          <w:lang w:val="lv-LV"/>
        </w:rPr>
        <w:t xml:space="preserve">, jaundzimušie jānovēro, vai nerodas elpošanas nomākums vai </w:t>
      </w:r>
      <w:r w:rsidR="00A80A06">
        <w:rPr>
          <w:lang w:val="lv-LV"/>
        </w:rPr>
        <w:t xml:space="preserve">citas nevēlamas blakus parādības (skatīt </w:t>
      </w:r>
      <w:r w:rsidR="00535F4D">
        <w:rPr>
          <w:lang w:val="lv-LV"/>
        </w:rPr>
        <w:t xml:space="preserve">4.4. un 4.8. </w:t>
      </w:r>
      <w:r w:rsidR="00A80A06">
        <w:rPr>
          <w:lang w:val="lv-LV"/>
        </w:rPr>
        <w:t xml:space="preserve">apakšpunktu). </w:t>
      </w:r>
      <w:r w:rsidR="00FA6C10">
        <w:rPr>
          <w:lang w:val="lv-LV"/>
        </w:rPr>
        <w:t xml:space="preserve"> </w:t>
      </w:r>
    </w:p>
    <w:p w14:paraId="43D6A1A8" w14:textId="77777777" w:rsidR="00FA6C10" w:rsidRDefault="00FA6C10" w:rsidP="008560D0">
      <w:pPr>
        <w:keepNext/>
        <w:keepLines/>
        <w:suppressAutoHyphens/>
        <w:rPr>
          <w:lang w:val="lv-LV"/>
        </w:rPr>
      </w:pPr>
    </w:p>
    <w:p w14:paraId="1C04812D" w14:textId="77777777" w:rsidR="00FA6C10" w:rsidRDefault="00BD3E36" w:rsidP="008560D0">
      <w:pPr>
        <w:keepNext/>
        <w:keepLines/>
        <w:suppressAutoHyphens/>
        <w:rPr>
          <w:lang w:val="lv-LV"/>
        </w:rPr>
      </w:pPr>
      <w:r>
        <w:rPr>
          <w:lang w:val="it-IT"/>
        </w:rPr>
        <w:t xml:space="preserve">Nav novērota negatīva iedarbība uz augli, ja grūtniecības laikā sievietes, veicot darba pienākumus, ir pakļautas hroniskai slāpekļa oksidula inhalācijai darba vietā, kas ir aprīkota ar atbilstošu </w:t>
      </w:r>
      <w:r w:rsidRPr="00BF445E">
        <w:rPr>
          <w:lang w:val="it-IT"/>
        </w:rPr>
        <w:t>atsūkšanas</w:t>
      </w:r>
      <w:r>
        <w:rPr>
          <w:lang w:val="it-IT"/>
        </w:rPr>
        <w:t xml:space="preserve"> vai ventilācijas sistēmu</w:t>
      </w:r>
      <w:r w:rsidR="00FA6C10">
        <w:rPr>
          <w:lang w:val="lv-LV"/>
        </w:rPr>
        <w:t xml:space="preserve"> </w:t>
      </w:r>
      <w:r w:rsidR="00DA49BC">
        <w:rPr>
          <w:lang w:val="lv-LV"/>
        </w:rPr>
        <w:t xml:space="preserve">. </w:t>
      </w:r>
      <w:r w:rsidR="00DA49BC">
        <w:rPr>
          <w:lang w:val="it-IT"/>
        </w:rPr>
        <w:t xml:space="preserve">Atbilstošu izpūšanas vai ventilācijas sistēmu neesamības gadījumā ir konstatēts spontāno abortu un anomāliju pieaugums. Šie konstatējumi ir apšaubāmi metodoloģiskas neobjektivitātes un iedarbības apstākļu dēļ, un turpmākajos pētījumos netika novērots nekāds risks, ja tika ierīkota atbilstoša </w:t>
      </w:r>
      <w:r w:rsidR="00DA49BC" w:rsidRPr="00BF445E">
        <w:rPr>
          <w:lang w:val="it-IT"/>
        </w:rPr>
        <w:t>atsūkšanas</w:t>
      </w:r>
      <w:r w:rsidR="00DA49BC">
        <w:rPr>
          <w:lang w:val="it-IT"/>
        </w:rPr>
        <w:t xml:space="preserve"> vai ventilācijas sistēma (skatīt apakšpunktu 4.4 </w:t>
      </w:r>
      <w:r w:rsidR="00DA49BC">
        <w:rPr>
          <w:bCs/>
          <w:iCs/>
          <w:u w:val="single"/>
          <w:lang w:val="lv-LV"/>
        </w:rPr>
        <w:t xml:space="preserve"> </w:t>
      </w:r>
      <w:r w:rsidR="00DA49BC">
        <w:rPr>
          <w:lang w:val="it-IT"/>
        </w:rPr>
        <w:t xml:space="preserve">par atbilstošas </w:t>
      </w:r>
      <w:r w:rsidR="00DA49BC" w:rsidRPr="00BF445E">
        <w:rPr>
          <w:lang w:val="it-IT"/>
        </w:rPr>
        <w:t xml:space="preserve">atsūkšanas </w:t>
      </w:r>
      <w:r w:rsidR="00DA49BC">
        <w:rPr>
          <w:lang w:val="it-IT"/>
        </w:rPr>
        <w:t>vai ventilācijas sistēmas nepieciešamību).</w:t>
      </w:r>
    </w:p>
    <w:p w14:paraId="73DC5856" w14:textId="77777777" w:rsidR="00190F9D" w:rsidRDefault="00190F9D" w:rsidP="008560D0">
      <w:pPr>
        <w:keepNext/>
        <w:keepLines/>
        <w:suppressAutoHyphens/>
        <w:rPr>
          <w:lang w:val="lv-LV"/>
        </w:rPr>
      </w:pPr>
    </w:p>
    <w:p w14:paraId="6735D5E6" w14:textId="77777777" w:rsidR="008560D0" w:rsidRPr="007304C2" w:rsidRDefault="008560D0" w:rsidP="002830F2">
      <w:pPr>
        <w:keepNext/>
        <w:suppressAutoHyphens/>
        <w:rPr>
          <w:b/>
          <w:bCs/>
          <w:i/>
          <w:iCs/>
          <w:lang w:val="lv-LV"/>
        </w:rPr>
      </w:pPr>
      <w:r w:rsidRPr="007304C2">
        <w:rPr>
          <w:b/>
          <w:bCs/>
          <w:i/>
          <w:iCs/>
          <w:lang w:val="lv-LV"/>
        </w:rPr>
        <w:t>Barošana ar krūti</w:t>
      </w:r>
    </w:p>
    <w:p w14:paraId="175BBFBC" w14:textId="3BDFD507" w:rsidR="008560D0" w:rsidRPr="007304C2" w:rsidRDefault="00FA6C10" w:rsidP="002830F2">
      <w:pPr>
        <w:keepNext/>
        <w:suppressAutoHyphens/>
        <w:rPr>
          <w:lang w:val="lv-LV"/>
        </w:rPr>
      </w:pPr>
      <w:bookmarkStart w:id="1" w:name="_Hlk5802660"/>
      <w:r>
        <w:rPr>
          <w:lang w:val="lv-LV"/>
        </w:rPr>
        <w:t xml:space="preserve">Lai arī nav </w:t>
      </w:r>
      <w:r w:rsidR="00BD3E36">
        <w:rPr>
          <w:lang w:val="lv-LV"/>
        </w:rPr>
        <w:t xml:space="preserve">zināmi dati par slāpekļa </w:t>
      </w:r>
      <w:proofErr w:type="spellStart"/>
      <w:r w:rsidR="00BD3E36">
        <w:rPr>
          <w:lang w:val="lv-LV"/>
        </w:rPr>
        <w:t>oksidula</w:t>
      </w:r>
      <w:proofErr w:type="spellEnd"/>
      <w:r w:rsidR="00BD3E36">
        <w:rPr>
          <w:lang w:val="lv-LV"/>
        </w:rPr>
        <w:t xml:space="preserve"> izdalīšanos cilvēka pien</w:t>
      </w:r>
      <w:r w:rsidR="004E4147">
        <w:rPr>
          <w:lang w:val="lv-LV"/>
        </w:rPr>
        <w:t>ā</w:t>
      </w:r>
      <w:r w:rsidR="00BD3E36">
        <w:rPr>
          <w:lang w:val="lv-LV"/>
        </w:rPr>
        <w:t xml:space="preserve">, zinot tā ātro izdalīšanos caur plaušām un slikto šķīdību </w:t>
      </w:r>
      <w:r w:rsidR="00A75B25">
        <w:rPr>
          <w:lang w:val="lv-LV"/>
        </w:rPr>
        <w:t xml:space="preserve">asinīs un audos, nav ticams, ka zīdainis uzņems nozīmīgu daudzumu orāli ar pienu. Barošana ar krūti nav jāpārtrauc pēc īslaicīgas slāpekļa </w:t>
      </w:r>
      <w:proofErr w:type="spellStart"/>
      <w:r w:rsidR="00A75B25">
        <w:rPr>
          <w:lang w:val="lv-LV"/>
        </w:rPr>
        <w:t>oksidula</w:t>
      </w:r>
      <w:proofErr w:type="spellEnd"/>
      <w:r w:rsidR="00A75B25">
        <w:rPr>
          <w:lang w:val="lv-LV"/>
        </w:rPr>
        <w:t xml:space="preserve"> lietošanas. Tādējādi  slāpekļa </w:t>
      </w:r>
      <w:proofErr w:type="spellStart"/>
      <w:r w:rsidR="00A75B25">
        <w:rPr>
          <w:lang w:val="lv-LV"/>
        </w:rPr>
        <w:t>oksidulu</w:t>
      </w:r>
      <w:proofErr w:type="spellEnd"/>
      <w:r w:rsidR="008560D0" w:rsidRPr="007304C2">
        <w:rPr>
          <w:lang w:val="lv-LV"/>
        </w:rPr>
        <w:t xml:space="preserve"> var izmantot</w:t>
      </w:r>
      <w:r w:rsidR="004E4147">
        <w:rPr>
          <w:lang w:val="lv-LV"/>
        </w:rPr>
        <w:t xml:space="preserve"> </w:t>
      </w:r>
      <w:r w:rsidR="004E4147" w:rsidRPr="00E61948">
        <w:rPr>
          <w:lang w:val="it-IT"/>
        </w:rPr>
        <w:t>bērn</w:t>
      </w:r>
      <w:r w:rsidR="004E4147">
        <w:rPr>
          <w:lang w:val="it-IT"/>
        </w:rPr>
        <w:t xml:space="preserve">a </w:t>
      </w:r>
      <w:r w:rsidR="004E4147" w:rsidRPr="00E61948">
        <w:rPr>
          <w:lang w:val="it-IT"/>
        </w:rPr>
        <w:t>baro</w:t>
      </w:r>
      <w:r w:rsidR="004E4147">
        <w:rPr>
          <w:lang w:val="it-IT"/>
        </w:rPr>
        <w:t>šanas</w:t>
      </w:r>
      <w:r w:rsidR="004E4147" w:rsidRPr="00E61948">
        <w:rPr>
          <w:lang w:val="it-IT"/>
        </w:rPr>
        <w:t xml:space="preserve"> ar krūti</w:t>
      </w:r>
      <w:r w:rsidR="008560D0" w:rsidRPr="007304C2">
        <w:rPr>
          <w:lang w:val="lv-LV"/>
        </w:rPr>
        <w:t xml:space="preserve"> periodā, bet </w:t>
      </w:r>
      <w:r w:rsidR="007914E8" w:rsidRPr="007304C2">
        <w:rPr>
          <w:lang w:val="lv-LV"/>
        </w:rPr>
        <w:t xml:space="preserve">to </w:t>
      </w:r>
      <w:r w:rsidR="008560D0" w:rsidRPr="007304C2">
        <w:rPr>
          <w:lang w:val="lv-LV"/>
        </w:rPr>
        <w:t xml:space="preserve">nedrīkst izmantot </w:t>
      </w:r>
      <w:r w:rsidR="004E4147">
        <w:rPr>
          <w:lang w:val="lv-LV"/>
        </w:rPr>
        <w:t>tieši</w:t>
      </w:r>
      <w:r w:rsidR="008560D0" w:rsidRPr="007304C2">
        <w:rPr>
          <w:lang w:val="lv-LV"/>
        </w:rPr>
        <w:t xml:space="preserve"> bērna barošanas ar krūti laikā.</w:t>
      </w:r>
    </w:p>
    <w:bookmarkEnd w:id="1"/>
    <w:p w14:paraId="35D74758" w14:textId="77777777" w:rsidR="0093417B" w:rsidRPr="007304C2" w:rsidRDefault="0093417B">
      <w:pPr>
        <w:suppressAutoHyphens/>
        <w:rPr>
          <w:lang w:val="lv-LV"/>
        </w:rPr>
      </w:pPr>
    </w:p>
    <w:p w14:paraId="1ED8CFB7" w14:textId="77777777" w:rsidR="008560D0" w:rsidRPr="007304C2" w:rsidRDefault="008560D0" w:rsidP="008560D0">
      <w:pPr>
        <w:keepNext/>
        <w:keepLines/>
        <w:suppressAutoHyphens/>
        <w:rPr>
          <w:b/>
          <w:bCs/>
          <w:i/>
          <w:iCs/>
          <w:lang w:val="lv-LV"/>
        </w:rPr>
      </w:pPr>
      <w:r w:rsidRPr="007304C2">
        <w:rPr>
          <w:b/>
          <w:bCs/>
          <w:i/>
          <w:iCs/>
          <w:lang w:val="lv-LV"/>
        </w:rPr>
        <w:t>Fertilitāte</w:t>
      </w:r>
    </w:p>
    <w:p w14:paraId="7EA563A9" w14:textId="672B9549" w:rsidR="008560D0" w:rsidRPr="007304C2" w:rsidRDefault="008560D0" w:rsidP="008560D0">
      <w:pPr>
        <w:keepNext/>
        <w:keepLines/>
        <w:suppressAutoHyphens/>
        <w:rPr>
          <w:lang w:val="lv-LV"/>
        </w:rPr>
      </w:pPr>
      <w:r w:rsidRPr="007304C2">
        <w:rPr>
          <w:lang w:val="lv-LV"/>
        </w:rPr>
        <w:t>Entonox klīnisko devu iespējamā ietekme uz pacientu fertilitāti nav zināma. Dati nav pieejami</w:t>
      </w:r>
      <w:r w:rsidR="00A75B25">
        <w:rPr>
          <w:lang w:val="lv-LV"/>
        </w:rPr>
        <w:t xml:space="preserve"> (skatīt 5.3</w:t>
      </w:r>
      <w:r w:rsidR="00585826">
        <w:rPr>
          <w:lang w:val="lv-LV"/>
        </w:rPr>
        <w:t>.</w:t>
      </w:r>
      <w:r w:rsidR="00A75B25">
        <w:rPr>
          <w:lang w:val="lv-LV"/>
        </w:rPr>
        <w:t xml:space="preserve"> apakšpunktu). </w:t>
      </w:r>
    </w:p>
    <w:p w14:paraId="29ED55D6" w14:textId="77777777" w:rsidR="008560D0" w:rsidRPr="007304C2" w:rsidRDefault="008560D0" w:rsidP="008560D0">
      <w:pPr>
        <w:keepNext/>
        <w:keepLines/>
        <w:suppressAutoHyphens/>
        <w:rPr>
          <w:lang w:val="lv-LV"/>
        </w:rPr>
      </w:pPr>
      <w:r w:rsidRPr="007304C2">
        <w:rPr>
          <w:lang w:val="lv-LV"/>
        </w:rPr>
        <w:t>Nevar izslēgt iespējamo risku, kas saistīts ar ilgstošu iedarbību darbavietā (skatīt 4.4. apakšpunktu).</w:t>
      </w:r>
    </w:p>
    <w:p w14:paraId="1102CDEF" w14:textId="77777777" w:rsidR="000F7067" w:rsidRPr="007304C2" w:rsidRDefault="000F7067">
      <w:pPr>
        <w:suppressAutoHyphens/>
        <w:rPr>
          <w:lang w:val="lv-LV"/>
        </w:rPr>
      </w:pPr>
    </w:p>
    <w:p w14:paraId="33A2FF79" w14:textId="77777777" w:rsidR="008560D0" w:rsidRDefault="008560D0" w:rsidP="008560D0">
      <w:pPr>
        <w:suppressAutoHyphens/>
        <w:ind w:left="567" w:hanging="567"/>
        <w:rPr>
          <w:b/>
          <w:bCs/>
          <w:lang w:val="lv-LV"/>
        </w:rPr>
      </w:pPr>
      <w:r w:rsidRPr="007304C2">
        <w:rPr>
          <w:b/>
          <w:bCs/>
          <w:lang w:val="lv-LV"/>
        </w:rPr>
        <w:t>4.7.</w:t>
      </w:r>
      <w:r w:rsidRPr="007304C2">
        <w:rPr>
          <w:b/>
          <w:bCs/>
          <w:lang w:val="lv-LV"/>
        </w:rPr>
        <w:tab/>
        <w:t>Ietekme uz spēju vadīt transportlīdzekļus un apkalpot mehānismus</w:t>
      </w:r>
    </w:p>
    <w:p w14:paraId="0F2FA0E6" w14:textId="77777777" w:rsidR="00190F9D" w:rsidRPr="007304C2" w:rsidRDefault="00190F9D" w:rsidP="008560D0">
      <w:pPr>
        <w:suppressAutoHyphens/>
        <w:ind w:left="567" w:hanging="567"/>
        <w:rPr>
          <w:b/>
          <w:bCs/>
          <w:lang w:val="lv-LV"/>
        </w:rPr>
      </w:pPr>
    </w:p>
    <w:p w14:paraId="313C4629" w14:textId="77777777" w:rsidR="008560D0" w:rsidRPr="007304C2" w:rsidRDefault="008560D0" w:rsidP="008560D0">
      <w:pPr>
        <w:suppressAutoHyphens/>
        <w:rPr>
          <w:lang w:val="lv-LV"/>
        </w:rPr>
      </w:pPr>
      <w:r w:rsidRPr="007304C2">
        <w:rPr>
          <w:lang w:val="lv-LV"/>
        </w:rPr>
        <w:t>Entonox sastāvdaļa, slāpekļa oksiduls, ietekmē kognitīvo un psihomotoro funkciju.</w:t>
      </w:r>
    </w:p>
    <w:p w14:paraId="705C6BFB" w14:textId="77777777" w:rsidR="00741713" w:rsidRPr="007304C2" w:rsidRDefault="00741713">
      <w:pPr>
        <w:suppressAutoHyphens/>
        <w:rPr>
          <w:lang w:val="lv-LV"/>
        </w:rPr>
      </w:pPr>
    </w:p>
    <w:p w14:paraId="24A77B44" w14:textId="77777777" w:rsidR="008560D0" w:rsidRPr="007304C2" w:rsidRDefault="00765E9C" w:rsidP="008560D0">
      <w:pPr>
        <w:suppressAutoHyphens/>
        <w:rPr>
          <w:lang w:val="lv-LV"/>
        </w:rPr>
      </w:pPr>
      <w:bookmarkStart w:id="2" w:name="_Hlk5802796"/>
      <w:r>
        <w:rPr>
          <w:lang w:val="lv-LV"/>
        </w:rPr>
        <w:t xml:space="preserve">Kā vienīgais līdzeklis </w:t>
      </w:r>
      <w:bookmarkEnd w:id="2"/>
      <w:r>
        <w:rPr>
          <w:lang w:val="lv-LV"/>
        </w:rPr>
        <w:t>t</w:t>
      </w:r>
      <w:r w:rsidR="008560D0" w:rsidRPr="007304C2">
        <w:rPr>
          <w:lang w:val="lv-LV"/>
        </w:rPr>
        <w:t xml:space="preserve">as ātri </w:t>
      </w:r>
      <w:proofErr w:type="spellStart"/>
      <w:r w:rsidR="008560D0" w:rsidRPr="007304C2">
        <w:rPr>
          <w:lang w:val="lv-LV"/>
        </w:rPr>
        <w:t>eliminējas</w:t>
      </w:r>
      <w:proofErr w:type="spellEnd"/>
      <w:r w:rsidR="008560D0" w:rsidRPr="007304C2">
        <w:rPr>
          <w:lang w:val="lv-LV"/>
        </w:rPr>
        <w:t xml:space="preserve"> no organisma pēc īsa elpošanas perioda, un 20 minūtes pēc lietošanas pārtraukšanas nevēlama psihomotora iedarbība ir reti sastopama, bet ietekme uz kognitīvām spējām var saglabāties vairākas stundas. </w:t>
      </w:r>
    </w:p>
    <w:p w14:paraId="48309594" w14:textId="77777777" w:rsidR="008560D0" w:rsidRPr="007304C2" w:rsidRDefault="008560D0" w:rsidP="008560D0">
      <w:pPr>
        <w:suppressAutoHyphens/>
        <w:rPr>
          <w:lang w:val="lv-LV"/>
        </w:rPr>
      </w:pPr>
      <w:r w:rsidRPr="007304C2">
        <w:rPr>
          <w:lang w:val="lv-LV"/>
        </w:rPr>
        <w:t>Lietojot kā vienīgo pretsāpju/sedatīvo līdzekli, transportlīdzekļa vadīšana un sarežģītu mehānismu lietošana nav ieteicama vismaz 30 minūtes pēc Entonox lietošanas pārtraukšanas un tikmēr, kamēr pacienta garīgais stāvoklis pēc klātesošā veselības aprūpes speciālista novērtējuma nav atgriezies sākotnējā stāvoklī.</w:t>
      </w:r>
    </w:p>
    <w:p w14:paraId="0AE7193F" w14:textId="77777777" w:rsidR="008A3403" w:rsidRPr="007304C2" w:rsidRDefault="008A3403">
      <w:pPr>
        <w:suppressAutoHyphens/>
        <w:rPr>
          <w:lang w:val="lv-LV"/>
        </w:rPr>
      </w:pPr>
    </w:p>
    <w:p w14:paraId="5EC04E7E" w14:textId="77777777" w:rsidR="008560D0" w:rsidRPr="007304C2" w:rsidRDefault="008560D0" w:rsidP="008560D0">
      <w:pPr>
        <w:suppressAutoHyphens/>
        <w:ind w:left="567" w:hanging="567"/>
        <w:rPr>
          <w:lang w:val="lv-LV"/>
        </w:rPr>
      </w:pPr>
      <w:r w:rsidRPr="007304C2">
        <w:rPr>
          <w:b/>
          <w:bCs/>
          <w:lang w:val="lv-LV"/>
        </w:rPr>
        <w:t>4.8.</w:t>
      </w:r>
      <w:r w:rsidRPr="007304C2">
        <w:rPr>
          <w:b/>
          <w:bCs/>
          <w:lang w:val="lv-LV"/>
        </w:rPr>
        <w:tab/>
        <w:t>Nevēlamās blakusparādības</w:t>
      </w:r>
    </w:p>
    <w:p w14:paraId="129011FD" w14:textId="77777777" w:rsidR="000F7067" w:rsidRPr="007304C2" w:rsidRDefault="000F7067">
      <w:pPr>
        <w:suppressAutoHyphens/>
        <w:rPr>
          <w:lang w:val="lv-LV"/>
        </w:rPr>
      </w:pPr>
    </w:p>
    <w:p w14:paraId="3C0EE510" w14:textId="77777777" w:rsidR="00A75B25" w:rsidRPr="007304C2" w:rsidRDefault="00A75B25" w:rsidP="00A75B25">
      <w:pPr>
        <w:suppressAutoHyphens/>
        <w:rPr>
          <w:lang w:val="lv-LV"/>
        </w:rPr>
      </w:pPr>
      <w:r w:rsidRPr="007304C2">
        <w:rPr>
          <w:lang w:val="lv-LV"/>
        </w:rPr>
        <w:t xml:space="preserve">Uzskaitītās nevēlamās blakusparādības iegūtas no publiski pieejamās medicīniskās zinātniskās literatūras un </w:t>
      </w:r>
      <w:proofErr w:type="spellStart"/>
      <w:r w:rsidRPr="007304C2">
        <w:rPr>
          <w:lang w:val="lv-LV"/>
        </w:rPr>
        <w:t>pēcreģistrācijas</w:t>
      </w:r>
      <w:proofErr w:type="spellEnd"/>
      <w:r w:rsidRPr="007304C2">
        <w:rPr>
          <w:lang w:val="lv-LV"/>
        </w:rPr>
        <w:t xml:space="preserve"> drošuma novērojumiem.</w:t>
      </w:r>
    </w:p>
    <w:p w14:paraId="22765B99" w14:textId="77777777" w:rsidR="00533B02" w:rsidRPr="007304C2" w:rsidRDefault="00533B02">
      <w:pPr>
        <w:suppressAutoHyphens/>
        <w:rPr>
          <w:lang w:val="lv-LV"/>
        </w:rPr>
      </w:pPr>
    </w:p>
    <w:p w14:paraId="31A4CCAE" w14:textId="77777777" w:rsidR="008560D0" w:rsidRPr="007304C2" w:rsidRDefault="008560D0" w:rsidP="008560D0">
      <w:pPr>
        <w:autoSpaceDE w:val="0"/>
        <w:autoSpaceDN w:val="0"/>
        <w:adjustRightInd w:val="0"/>
        <w:rPr>
          <w:i/>
          <w:iCs/>
          <w:lang w:val="lv-LV"/>
        </w:rPr>
      </w:pPr>
      <w:r w:rsidRPr="007304C2">
        <w:rPr>
          <w:lang w:val="lv-LV"/>
        </w:rPr>
        <w:t>Pēc ilgstošas vai atkārtotas Entonox iedarbības ziņots par megaloblastisku anēmiju un leikopēniju. Lietojot ārkārtīgi augstās koncentrācijās un bieži, ziņots par neiroloģisku iedarbību, piemēram, polineiropātiju un mielopātiju. Visos gadījumos, kad ir</w:t>
      </w:r>
      <w:r w:rsidR="00DA49BC">
        <w:rPr>
          <w:lang w:val="lv-LV"/>
        </w:rPr>
        <w:t xml:space="preserve"> apstiprinājums vai </w:t>
      </w:r>
      <w:r w:rsidRPr="007304C2">
        <w:rPr>
          <w:lang w:val="lv-LV"/>
        </w:rPr>
        <w:t xml:space="preserve"> aizdomas par B</w:t>
      </w:r>
      <w:r w:rsidRPr="007304C2">
        <w:rPr>
          <w:vertAlign w:val="subscript"/>
          <w:lang w:val="lv-LV"/>
        </w:rPr>
        <w:t>12</w:t>
      </w:r>
      <w:r w:rsidRPr="007304C2">
        <w:rPr>
          <w:lang w:val="lv-LV"/>
        </w:rPr>
        <w:t xml:space="preserve"> vitamīna vai folātu deficītu vai rodas slāpekļa oksidula izraisītas iedarbības uz metionīna </w:t>
      </w:r>
      <w:proofErr w:type="spellStart"/>
      <w:r w:rsidRPr="007304C2">
        <w:rPr>
          <w:lang w:val="lv-LV"/>
        </w:rPr>
        <w:t>sint</w:t>
      </w:r>
      <w:r w:rsidR="00C9741C">
        <w:rPr>
          <w:lang w:val="lv-LV"/>
        </w:rPr>
        <w:t>etāzi</w:t>
      </w:r>
      <w:proofErr w:type="spellEnd"/>
      <w:r w:rsidRPr="007304C2">
        <w:rPr>
          <w:lang w:val="lv-LV"/>
        </w:rPr>
        <w:t xml:space="preserve"> pazīmes vai simptomi, </w:t>
      </w:r>
      <w:r w:rsidR="00A75B25">
        <w:rPr>
          <w:lang w:val="lv-LV"/>
        </w:rPr>
        <w:t>jānozīmē vitamīna B aizvietošanas terapija, lai samazinātu nelabvēlīg</w:t>
      </w:r>
      <w:r w:rsidR="00C9741C">
        <w:rPr>
          <w:lang w:val="lv-LV"/>
        </w:rPr>
        <w:t xml:space="preserve">u simptomu risku saistībā ar metionīna </w:t>
      </w:r>
      <w:proofErr w:type="spellStart"/>
      <w:r w:rsidR="00C9741C">
        <w:rPr>
          <w:lang w:val="lv-LV"/>
        </w:rPr>
        <w:t>sintetāzes</w:t>
      </w:r>
      <w:proofErr w:type="spellEnd"/>
      <w:r w:rsidR="00C9741C">
        <w:rPr>
          <w:lang w:val="lv-LV"/>
        </w:rPr>
        <w:t xml:space="preserve"> </w:t>
      </w:r>
      <w:proofErr w:type="spellStart"/>
      <w:r w:rsidR="00C9741C">
        <w:rPr>
          <w:lang w:val="lv-LV"/>
        </w:rPr>
        <w:t>inhibīciju</w:t>
      </w:r>
      <w:proofErr w:type="spellEnd"/>
      <w:r w:rsidR="00C9741C">
        <w:rPr>
          <w:lang w:val="lv-LV"/>
        </w:rPr>
        <w:t xml:space="preserve"> – kā </w:t>
      </w:r>
      <w:proofErr w:type="spellStart"/>
      <w:r w:rsidR="00C9741C">
        <w:rPr>
          <w:lang w:val="lv-LV"/>
        </w:rPr>
        <w:t>leikopēnija</w:t>
      </w:r>
      <w:proofErr w:type="spellEnd"/>
      <w:r w:rsidR="00C9741C">
        <w:rPr>
          <w:lang w:val="lv-LV"/>
        </w:rPr>
        <w:t xml:space="preserve">, </w:t>
      </w:r>
      <w:proofErr w:type="spellStart"/>
      <w:r w:rsidR="00C9741C">
        <w:rPr>
          <w:lang w:val="lv-LV"/>
        </w:rPr>
        <w:t>megaloblastiskā</w:t>
      </w:r>
      <w:proofErr w:type="spellEnd"/>
      <w:r w:rsidR="00C9741C">
        <w:rPr>
          <w:lang w:val="lv-LV"/>
        </w:rPr>
        <w:t xml:space="preserve"> anēmija, </w:t>
      </w:r>
      <w:proofErr w:type="spellStart"/>
      <w:r w:rsidR="00C9741C">
        <w:rPr>
          <w:lang w:val="lv-LV"/>
        </w:rPr>
        <w:t>mielopātija</w:t>
      </w:r>
      <w:proofErr w:type="spellEnd"/>
      <w:r w:rsidR="00C9741C">
        <w:rPr>
          <w:lang w:val="lv-LV"/>
        </w:rPr>
        <w:t xml:space="preserve"> un </w:t>
      </w:r>
      <w:proofErr w:type="spellStart"/>
      <w:r w:rsidR="00C9741C">
        <w:rPr>
          <w:lang w:val="lv-LV"/>
        </w:rPr>
        <w:t>polineiropātija</w:t>
      </w:r>
      <w:proofErr w:type="spellEnd"/>
      <w:r w:rsidR="00C9741C">
        <w:rPr>
          <w:lang w:val="lv-LV"/>
        </w:rPr>
        <w:t xml:space="preserve">. </w:t>
      </w:r>
    </w:p>
    <w:p w14:paraId="1A4D0FB9" w14:textId="77777777" w:rsidR="000F7067" w:rsidRPr="007304C2" w:rsidRDefault="000F7067">
      <w:pPr>
        <w:suppressAutoHyphens/>
        <w:rPr>
          <w:lang w:val="lv-LV"/>
        </w:rPr>
      </w:pPr>
    </w:p>
    <w:p w14:paraId="1960DDE3" w14:textId="77777777" w:rsidR="008560D0" w:rsidRPr="007304C2" w:rsidRDefault="008560D0" w:rsidP="008560D0">
      <w:pPr>
        <w:tabs>
          <w:tab w:val="left" w:pos="567"/>
        </w:tabs>
        <w:rPr>
          <w:lang w:val="lv-LV"/>
        </w:rPr>
      </w:pPr>
      <w:r w:rsidRPr="007304C2">
        <w:rPr>
          <w:lang w:val="lv-LV"/>
        </w:rPr>
        <w:t>Pacientiem ar redzamām B</w:t>
      </w:r>
      <w:r w:rsidRPr="007304C2">
        <w:rPr>
          <w:vertAlign w:val="subscript"/>
          <w:lang w:val="lv-LV"/>
        </w:rPr>
        <w:t>12</w:t>
      </w:r>
      <w:r w:rsidRPr="007304C2">
        <w:rPr>
          <w:lang w:val="lv-LV"/>
        </w:rPr>
        <w:t xml:space="preserve"> vitamīna/folātu deficīta pazīmēm jāapsver cita pretsāpju terapija. </w:t>
      </w:r>
    </w:p>
    <w:p w14:paraId="342D115A" w14:textId="77777777" w:rsidR="00FA39C1" w:rsidRPr="007304C2" w:rsidRDefault="00FA39C1" w:rsidP="00FA39C1">
      <w:pPr>
        <w:tabs>
          <w:tab w:val="left" w:pos="567"/>
        </w:tabs>
        <w:rPr>
          <w:b/>
          <w:lang w:val="lv-LV"/>
        </w:rPr>
      </w:pPr>
    </w:p>
    <w:p w14:paraId="3FFF72E7" w14:textId="77777777" w:rsidR="00533B02" w:rsidRPr="007304C2" w:rsidRDefault="00533B02" w:rsidP="00FA39C1">
      <w:pPr>
        <w:suppressAutoHyphens/>
        <w:rPr>
          <w:lang w:val="lv-LV"/>
        </w:rPr>
      </w:pPr>
    </w:p>
    <w:tbl>
      <w:tblPr>
        <w:tblW w:w="9889" w:type="dxa"/>
        <w:tblLayout w:type="fixed"/>
        <w:tblLook w:val="01E0" w:firstRow="1" w:lastRow="1" w:firstColumn="1" w:lastColumn="1" w:noHBand="0" w:noVBand="0"/>
      </w:tblPr>
      <w:tblGrid>
        <w:gridCol w:w="1412"/>
        <w:gridCol w:w="1413"/>
        <w:gridCol w:w="1413"/>
        <w:gridCol w:w="1412"/>
        <w:gridCol w:w="1413"/>
        <w:gridCol w:w="1267"/>
        <w:gridCol w:w="1559"/>
      </w:tblGrid>
      <w:tr w:rsidR="00FA39C1" w:rsidRPr="003C2D02" w14:paraId="75C9CE77" w14:textId="77777777">
        <w:tc>
          <w:tcPr>
            <w:tcW w:w="1412" w:type="dxa"/>
            <w:tcBorders>
              <w:top w:val="single" w:sz="4" w:space="0" w:color="auto"/>
              <w:bottom w:val="single" w:sz="4" w:space="0" w:color="auto"/>
            </w:tcBorders>
          </w:tcPr>
          <w:p w14:paraId="45E7CD27" w14:textId="77777777" w:rsidR="00FA39C1" w:rsidRPr="007304C2" w:rsidRDefault="008560D0" w:rsidP="008560D0">
            <w:pPr>
              <w:rPr>
                <w:lang w:val="lv-LV"/>
              </w:rPr>
            </w:pPr>
            <w:r w:rsidRPr="007304C2">
              <w:rPr>
                <w:b/>
                <w:bCs/>
                <w:lang w:val="lv-LV"/>
              </w:rPr>
              <w:t>Orgānu sistēmu klasifikācija</w:t>
            </w:r>
          </w:p>
        </w:tc>
        <w:tc>
          <w:tcPr>
            <w:tcW w:w="1413" w:type="dxa"/>
            <w:tcBorders>
              <w:top w:val="single" w:sz="4" w:space="0" w:color="auto"/>
              <w:bottom w:val="single" w:sz="4" w:space="0" w:color="auto"/>
            </w:tcBorders>
          </w:tcPr>
          <w:p w14:paraId="68B624B6" w14:textId="77777777" w:rsidR="00FA39C1" w:rsidRPr="007304C2" w:rsidRDefault="008560D0" w:rsidP="008560D0">
            <w:pPr>
              <w:rPr>
                <w:lang w:val="lv-LV"/>
              </w:rPr>
            </w:pPr>
            <w:r w:rsidRPr="007304C2">
              <w:rPr>
                <w:b/>
                <w:bCs/>
                <w:lang w:val="lv-LV"/>
              </w:rPr>
              <w:t>Ļoti bieži</w:t>
            </w:r>
            <w:r w:rsidRPr="007304C2">
              <w:rPr>
                <w:rStyle w:val="apple-converted-space"/>
                <w:b/>
                <w:bCs/>
                <w:lang w:val="lv-LV"/>
              </w:rPr>
              <w:t> </w:t>
            </w:r>
            <w:r w:rsidRPr="007304C2">
              <w:rPr>
                <w:rStyle w:val="apple-style-span"/>
                <w:b/>
                <w:bCs/>
                <w:lang w:val="lv-LV"/>
              </w:rPr>
              <w:t>(</w:t>
            </w:r>
            <w:r w:rsidRPr="007304C2">
              <w:rPr>
                <w:b/>
                <w:bCs/>
                <w:lang w:val="lv-LV"/>
              </w:rPr>
              <w:t>≥</w:t>
            </w:r>
            <w:r w:rsidRPr="007304C2">
              <w:rPr>
                <w:rStyle w:val="apple-style-span"/>
                <w:b/>
                <w:bCs/>
                <w:lang w:val="lv-LV"/>
              </w:rPr>
              <w:t>1/10)</w:t>
            </w:r>
          </w:p>
        </w:tc>
        <w:tc>
          <w:tcPr>
            <w:tcW w:w="1413" w:type="dxa"/>
            <w:tcBorders>
              <w:top w:val="single" w:sz="4" w:space="0" w:color="auto"/>
              <w:bottom w:val="single" w:sz="4" w:space="0" w:color="auto"/>
            </w:tcBorders>
          </w:tcPr>
          <w:p w14:paraId="2EAB4843" w14:textId="77777777" w:rsidR="00FA39C1" w:rsidRPr="007304C2" w:rsidRDefault="008560D0" w:rsidP="008560D0">
            <w:pPr>
              <w:rPr>
                <w:lang w:val="lv-LV"/>
              </w:rPr>
            </w:pPr>
            <w:r w:rsidRPr="007304C2">
              <w:rPr>
                <w:rStyle w:val="apple-style-span"/>
                <w:b/>
                <w:bCs/>
                <w:lang w:val="lv-LV"/>
              </w:rPr>
              <w:t>Bieži (</w:t>
            </w:r>
            <w:r w:rsidRPr="007304C2">
              <w:rPr>
                <w:b/>
                <w:bCs/>
                <w:lang w:val="lv-LV"/>
              </w:rPr>
              <w:t>≥</w:t>
            </w:r>
            <w:r w:rsidRPr="007304C2">
              <w:rPr>
                <w:rStyle w:val="apple-style-span"/>
                <w:b/>
                <w:bCs/>
                <w:lang w:val="lv-LV"/>
              </w:rPr>
              <w:t>1/100 līdz &lt; 1/10)</w:t>
            </w:r>
          </w:p>
        </w:tc>
        <w:tc>
          <w:tcPr>
            <w:tcW w:w="1412" w:type="dxa"/>
            <w:tcBorders>
              <w:top w:val="single" w:sz="4" w:space="0" w:color="auto"/>
              <w:bottom w:val="single" w:sz="4" w:space="0" w:color="auto"/>
            </w:tcBorders>
          </w:tcPr>
          <w:p w14:paraId="7C000CA0" w14:textId="77777777" w:rsidR="00FA39C1" w:rsidRPr="007304C2" w:rsidRDefault="008560D0" w:rsidP="008560D0">
            <w:pPr>
              <w:rPr>
                <w:lang w:val="lv-LV"/>
              </w:rPr>
            </w:pPr>
            <w:r w:rsidRPr="007304C2">
              <w:rPr>
                <w:rStyle w:val="apple-style-span"/>
                <w:b/>
                <w:bCs/>
                <w:lang w:val="lv-LV"/>
              </w:rPr>
              <w:t>Retāk (</w:t>
            </w:r>
            <w:r w:rsidRPr="007304C2">
              <w:rPr>
                <w:b/>
                <w:bCs/>
                <w:lang w:val="lv-LV"/>
              </w:rPr>
              <w:t>≥</w:t>
            </w:r>
            <w:r w:rsidRPr="007304C2">
              <w:rPr>
                <w:rStyle w:val="apple-style-span"/>
                <w:b/>
                <w:bCs/>
                <w:lang w:val="lv-LV"/>
              </w:rPr>
              <w:t>1/1 000 līdz &lt;1/100)</w:t>
            </w:r>
          </w:p>
        </w:tc>
        <w:tc>
          <w:tcPr>
            <w:tcW w:w="1413" w:type="dxa"/>
            <w:tcBorders>
              <w:top w:val="single" w:sz="4" w:space="0" w:color="auto"/>
              <w:bottom w:val="single" w:sz="4" w:space="0" w:color="auto"/>
            </w:tcBorders>
          </w:tcPr>
          <w:p w14:paraId="28F1519C" w14:textId="77777777" w:rsidR="00FA39C1" w:rsidRPr="007304C2" w:rsidRDefault="008560D0" w:rsidP="008560D0">
            <w:pPr>
              <w:rPr>
                <w:lang w:val="lv-LV"/>
              </w:rPr>
            </w:pPr>
            <w:r w:rsidRPr="007304C2">
              <w:rPr>
                <w:b/>
                <w:bCs/>
                <w:lang w:val="lv-LV"/>
              </w:rPr>
              <w:t>Reti (≥1/10 000 līdz &lt;1/1 000)</w:t>
            </w:r>
          </w:p>
        </w:tc>
        <w:tc>
          <w:tcPr>
            <w:tcW w:w="1267" w:type="dxa"/>
            <w:tcBorders>
              <w:top w:val="single" w:sz="4" w:space="0" w:color="auto"/>
              <w:bottom w:val="single" w:sz="4" w:space="0" w:color="auto"/>
            </w:tcBorders>
          </w:tcPr>
          <w:p w14:paraId="4CD48E56" w14:textId="77777777" w:rsidR="00FA39C1" w:rsidRPr="007304C2" w:rsidRDefault="008560D0" w:rsidP="008560D0">
            <w:pPr>
              <w:rPr>
                <w:lang w:val="lv-LV"/>
              </w:rPr>
            </w:pPr>
            <w:r w:rsidRPr="007304C2">
              <w:rPr>
                <w:b/>
                <w:bCs/>
                <w:lang w:val="lv-LV"/>
              </w:rPr>
              <w:t>Ļoti reti (&lt;1/10 000)</w:t>
            </w:r>
          </w:p>
        </w:tc>
        <w:tc>
          <w:tcPr>
            <w:tcW w:w="1559" w:type="dxa"/>
            <w:tcBorders>
              <w:top w:val="single" w:sz="4" w:space="0" w:color="auto"/>
              <w:bottom w:val="single" w:sz="4" w:space="0" w:color="auto"/>
            </w:tcBorders>
          </w:tcPr>
          <w:p w14:paraId="116549B8" w14:textId="77777777" w:rsidR="00FA39C1" w:rsidRPr="007304C2" w:rsidRDefault="008560D0" w:rsidP="008560D0">
            <w:pPr>
              <w:rPr>
                <w:lang w:val="lv-LV"/>
              </w:rPr>
            </w:pPr>
            <w:r w:rsidRPr="007304C2">
              <w:rPr>
                <w:b/>
                <w:bCs/>
                <w:lang w:val="lv-LV"/>
              </w:rPr>
              <w:t>Nav zināmi (nevar noteikt pēc pieejamiem datiem)</w:t>
            </w:r>
          </w:p>
        </w:tc>
      </w:tr>
      <w:tr w:rsidR="00FA39C1" w:rsidRPr="007304C2" w14:paraId="4EBB4192" w14:textId="77777777">
        <w:tc>
          <w:tcPr>
            <w:tcW w:w="1412" w:type="dxa"/>
            <w:tcBorders>
              <w:top w:val="single" w:sz="4" w:space="0" w:color="auto"/>
            </w:tcBorders>
          </w:tcPr>
          <w:p w14:paraId="5A029507" w14:textId="77777777" w:rsidR="00FA39C1" w:rsidRDefault="008560D0" w:rsidP="008560D0">
            <w:pPr>
              <w:rPr>
                <w:lang w:val="lv-LV"/>
              </w:rPr>
            </w:pPr>
            <w:r w:rsidRPr="007304C2">
              <w:rPr>
                <w:lang w:val="lv-LV"/>
              </w:rPr>
              <w:t>Asins un limfātiskās sistēmas traucējumi</w:t>
            </w:r>
          </w:p>
          <w:p w14:paraId="301C19AA" w14:textId="77777777" w:rsidR="00C9741C" w:rsidRPr="007304C2" w:rsidRDefault="00C9741C" w:rsidP="008560D0">
            <w:pPr>
              <w:rPr>
                <w:lang w:val="lv-LV"/>
              </w:rPr>
            </w:pPr>
          </w:p>
        </w:tc>
        <w:tc>
          <w:tcPr>
            <w:tcW w:w="1413" w:type="dxa"/>
            <w:tcBorders>
              <w:top w:val="single" w:sz="4" w:space="0" w:color="auto"/>
            </w:tcBorders>
          </w:tcPr>
          <w:p w14:paraId="41116CB8" w14:textId="77777777" w:rsidR="00FA39C1" w:rsidRPr="007304C2" w:rsidRDefault="00FA39C1" w:rsidP="002C3FED">
            <w:pPr>
              <w:rPr>
                <w:szCs w:val="22"/>
                <w:lang w:val="lv-LV"/>
              </w:rPr>
            </w:pPr>
            <w:r w:rsidRPr="007304C2">
              <w:rPr>
                <w:szCs w:val="22"/>
                <w:lang w:val="lv-LV"/>
              </w:rPr>
              <w:t>-</w:t>
            </w:r>
          </w:p>
        </w:tc>
        <w:tc>
          <w:tcPr>
            <w:tcW w:w="1413" w:type="dxa"/>
            <w:tcBorders>
              <w:top w:val="single" w:sz="4" w:space="0" w:color="auto"/>
            </w:tcBorders>
          </w:tcPr>
          <w:p w14:paraId="5484A024" w14:textId="77777777" w:rsidR="00FA39C1" w:rsidRPr="007304C2" w:rsidRDefault="00FA39C1" w:rsidP="002C3FED">
            <w:pPr>
              <w:rPr>
                <w:szCs w:val="22"/>
                <w:lang w:val="lv-LV"/>
              </w:rPr>
            </w:pPr>
            <w:r w:rsidRPr="007304C2">
              <w:rPr>
                <w:szCs w:val="22"/>
                <w:lang w:val="lv-LV"/>
              </w:rPr>
              <w:t>-</w:t>
            </w:r>
          </w:p>
        </w:tc>
        <w:tc>
          <w:tcPr>
            <w:tcW w:w="1412" w:type="dxa"/>
            <w:tcBorders>
              <w:top w:val="single" w:sz="4" w:space="0" w:color="auto"/>
            </w:tcBorders>
          </w:tcPr>
          <w:p w14:paraId="7F0061FC" w14:textId="77777777" w:rsidR="00FA39C1" w:rsidRPr="007304C2" w:rsidRDefault="00FA39C1" w:rsidP="002C3FED">
            <w:pPr>
              <w:rPr>
                <w:szCs w:val="22"/>
                <w:lang w:val="lv-LV"/>
              </w:rPr>
            </w:pPr>
            <w:r w:rsidRPr="007304C2">
              <w:rPr>
                <w:szCs w:val="22"/>
                <w:lang w:val="lv-LV"/>
              </w:rPr>
              <w:t>-</w:t>
            </w:r>
          </w:p>
        </w:tc>
        <w:tc>
          <w:tcPr>
            <w:tcW w:w="1413" w:type="dxa"/>
            <w:tcBorders>
              <w:top w:val="single" w:sz="4" w:space="0" w:color="auto"/>
            </w:tcBorders>
          </w:tcPr>
          <w:p w14:paraId="4CBC09BD" w14:textId="77777777" w:rsidR="00FA39C1" w:rsidRPr="007304C2" w:rsidRDefault="00FA39C1" w:rsidP="002C3FED">
            <w:pPr>
              <w:rPr>
                <w:szCs w:val="22"/>
                <w:lang w:val="lv-LV"/>
              </w:rPr>
            </w:pPr>
            <w:r w:rsidRPr="007304C2">
              <w:rPr>
                <w:szCs w:val="22"/>
                <w:lang w:val="lv-LV"/>
              </w:rPr>
              <w:t>-</w:t>
            </w:r>
          </w:p>
        </w:tc>
        <w:tc>
          <w:tcPr>
            <w:tcW w:w="1267" w:type="dxa"/>
            <w:tcBorders>
              <w:top w:val="single" w:sz="4" w:space="0" w:color="auto"/>
            </w:tcBorders>
          </w:tcPr>
          <w:p w14:paraId="64CE87FA" w14:textId="77777777" w:rsidR="00FA39C1" w:rsidRPr="007304C2" w:rsidRDefault="00FA39C1" w:rsidP="002C3FED">
            <w:pPr>
              <w:rPr>
                <w:szCs w:val="22"/>
                <w:lang w:val="lv-LV"/>
              </w:rPr>
            </w:pPr>
            <w:r w:rsidRPr="007304C2">
              <w:rPr>
                <w:szCs w:val="22"/>
                <w:lang w:val="lv-LV"/>
              </w:rPr>
              <w:t>-</w:t>
            </w:r>
          </w:p>
        </w:tc>
        <w:tc>
          <w:tcPr>
            <w:tcW w:w="1559" w:type="dxa"/>
            <w:tcBorders>
              <w:top w:val="single" w:sz="4" w:space="0" w:color="auto"/>
            </w:tcBorders>
          </w:tcPr>
          <w:p w14:paraId="6243665F" w14:textId="77777777" w:rsidR="00FA39C1" w:rsidRPr="007304C2" w:rsidRDefault="008560D0" w:rsidP="008560D0">
            <w:pPr>
              <w:rPr>
                <w:lang w:val="lv-LV"/>
              </w:rPr>
            </w:pPr>
            <w:r w:rsidRPr="007304C2">
              <w:rPr>
                <w:lang w:val="lv-LV"/>
              </w:rPr>
              <w:t>Megaloblastiskā anēmija, leikopēnija</w:t>
            </w:r>
          </w:p>
        </w:tc>
      </w:tr>
      <w:tr w:rsidR="00FA39C1" w:rsidRPr="007304C2" w14:paraId="45087CF4" w14:textId="77777777">
        <w:tc>
          <w:tcPr>
            <w:tcW w:w="1412" w:type="dxa"/>
          </w:tcPr>
          <w:p w14:paraId="00CF6FEF" w14:textId="77777777" w:rsidR="00FA39C1" w:rsidRDefault="008560D0" w:rsidP="008560D0">
            <w:pPr>
              <w:rPr>
                <w:lang w:val="lv-LV"/>
              </w:rPr>
            </w:pPr>
            <w:r w:rsidRPr="007304C2">
              <w:rPr>
                <w:lang w:val="lv-LV"/>
              </w:rPr>
              <w:t>Psihiskie traucējumi</w:t>
            </w:r>
          </w:p>
          <w:p w14:paraId="3105DAE6" w14:textId="77777777" w:rsidR="00C9741C" w:rsidRDefault="00C9741C" w:rsidP="008560D0">
            <w:pPr>
              <w:rPr>
                <w:lang w:val="lv-LV"/>
              </w:rPr>
            </w:pPr>
          </w:p>
          <w:p w14:paraId="48AB7070" w14:textId="77777777" w:rsidR="00C9741C" w:rsidRPr="007304C2" w:rsidRDefault="00C9741C" w:rsidP="008560D0">
            <w:pPr>
              <w:rPr>
                <w:lang w:val="lv-LV"/>
              </w:rPr>
            </w:pPr>
          </w:p>
        </w:tc>
        <w:tc>
          <w:tcPr>
            <w:tcW w:w="1413" w:type="dxa"/>
          </w:tcPr>
          <w:p w14:paraId="74055795" w14:textId="77777777" w:rsidR="00FA39C1" w:rsidRPr="007304C2" w:rsidRDefault="00FA39C1" w:rsidP="002C3FED">
            <w:pPr>
              <w:rPr>
                <w:szCs w:val="22"/>
                <w:lang w:val="lv-LV"/>
              </w:rPr>
            </w:pPr>
            <w:r w:rsidRPr="007304C2">
              <w:rPr>
                <w:szCs w:val="22"/>
                <w:lang w:val="lv-LV"/>
              </w:rPr>
              <w:t>-</w:t>
            </w:r>
          </w:p>
        </w:tc>
        <w:tc>
          <w:tcPr>
            <w:tcW w:w="1413" w:type="dxa"/>
          </w:tcPr>
          <w:p w14:paraId="0BFDDE07" w14:textId="77777777" w:rsidR="00FA39C1" w:rsidRPr="007304C2" w:rsidRDefault="00765E9C" w:rsidP="002C3FED">
            <w:pPr>
              <w:rPr>
                <w:szCs w:val="22"/>
                <w:lang w:val="lv-LV"/>
              </w:rPr>
            </w:pPr>
            <w:r>
              <w:rPr>
                <w:szCs w:val="22"/>
                <w:lang w:val="lv-LV"/>
              </w:rPr>
              <w:t>Eiforija</w:t>
            </w:r>
          </w:p>
        </w:tc>
        <w:tc>
          <w:tcPr>
            <w:tcW w:w="1412" w:type="dxa"/>
          </w:tcPr>
          <w:p w14:paraId="253B5F6D" w14:textId="77777777" w:rsidR="00FA39C1" w:rsidRPr="007304C2" w:rsidRDefault="00FA39C1" w:rsidP="002C3FED">
            <w:pPr>
              <w:rPr>
                <w:szCs w:val="22"/>
                <w:lang w:val="lv-LV"/>
              </w:rPr>
            </w:pPr>
            <w:r w:rsidRPr="007304C2">
              <w:rPr>
                <w:szCs w:val="22"/>
                <w:lang w:val="lv-LV"/>
              </w:rPr>
              <w:t>-</w:t>
            </w:r>
          </w:p>
        </w:tc>
        <w:tc>
          <w:tcPr>
            <w:tcW w:w="1413" w:type="dxa"/>
          </w:tcPr>
          <w:p w14:paraId="71C8AADE" w14:textId="77777777" w:rsidR="00FA39C1" w:rsidRPr="007304C2" w:rsidRDefault="00FA39C1" w:rsidP="002C3FED">
            <w:pPr>
              <w:rPr>
                <w:szCs w:val="22"/>
                <w:lang w:val="lv-LV"/>
              </w:rPr>
            </w:pPr>
            <w:r w:rsidRPr="007304C2">
              <w:rPr>
                <w:szCs w:val="22"/>
                <w:lang w:val="lv-LV"/>
              </w:rPr>
              <w:t>-</w:t>
            </w:r>
          </w:p>
        </w:tc>
        <w:tc>
          <w:tcPr>
            <w:tcW w:w="1267" w:type="dxa"/>
          </w:tcPr>
          <w:p w14:paraId="3A4FF16C" w14:textId="77777777" w:rsidR="00FA39C1" w:rsidRPr="007304C2" w:rsidRDefault="00FA39C1" w:rsidP="002C3FED">
            <w:pPr>
              <w:rPr>
                <w:szCs w:val="22"/>
                <w:lang w:val="lv-LV"/>
              </w:rPr>
            </w:pPr>
            <w:r w:rsidRPr="007304C2">
              <w:rPr>
                <w:szCs w:val="22"/>
                <w:lang w:val="lv-LV"/>
              </w:rPr>
              <w:t>-</w:t>
            </w:r>
          </w:p>
        </w:tc>
        <w:tc>
          <w:tcPr>
            <w:tcW w:w="1559" w:type="dxa"/>
          </w:tcPr>
          <w:p w14:paraId="27ED8FEE" w14:textId="77777777" w:rsidR="00FA39C1" w:rsidRDefault="008560D0" w:rsidP="008560D0">
            <w:pPr>
              <w:rPr>
                <w:lang w:val="lv-LV"/>
              </w:rPr>
            </w:pPr>
            <w:r w:rsidRPr="007304C2">
              <w:rPr>
                <w:lang w:val="lv-LV"/>
              </w:rPr>
              <w:t>Psihoze, apjukums, nemiers</w:t>
            </w:r>
          </w:p>
          <w:p w14:paraId="5FB7732D" w14:textId="77777777" w:rsidR="007277FA" w:rsidRDefault="007277FA" w:rsidP="008560D0">
            <w:pPr>
              <w:rPr>
                <w:lang w:val="lv-LV"/>
              </w:rPr>
            </w:pPr>
            <w:r>
              <w:rPr>
                <w:lang w:val="lv-LV"/>
              </w:rPr>
              <w:t>atkarība</w:t>
            </w:r>
          </w:p>
          <w:p w14:paraId="1BCA7DC3" w14:textId="77777777" w:rsidR="007277FA" w:rsidRDefault="007277FA" w:rsidP="008560D0">
            <w:pPr>
              <w:rPr>
                <w:lang w:val="lv-LV"/>
              </w:rPr>
            </w:pPr>
          </w:p>
          <w:p w14:paraId="42475158" w14:textId="77777777" w:rsidR="007277FA" w:rsidRPr="007304C2" w:rsidRDefault="007277FA" w:rsidP="008560D0">
            <w:pPr>
              <w:rPr>
                <w:lang w:val="lv-LV"/>
              </w:rPr>
            </w:pPr>
          </w:p>
        </w:tc>
      </w:tr>
      <w:tr w:rsidR="00833D33" w:rsidRPr="003C2D02" w14:paraId="2AB1D876" w14:textId="77777777">
        <w:tc>
          <w:tcPr>
            <w:tcW w:w="1412" w:type="dxa"/>
          </w:tcPr>
          <w:p w14:paraId="71AE6A43" w14:textId="77777777" w:rsidR="00833D33" w:rsidRPr="007304C2" w:rsidRDefault="008560D0" w:rsidP="008560D0">
            <w:pPr>
              <w:rPr>
                <w:lang w:val="lv-LV"/>
              </w:rPr>
            </w:pPr>
            <w:r w:rsidRPr="007304C2">
              <w:rPr>
                <w:lang w:val="lv-LV"/>
              </w:rPr>
              <w:t>Nervu sistēmas traucējumi</w:t>
            </w:r>
          </w:p>
        </w:tc>
        <w:tc>
          <w:tcPr>
            <w:tcW w:w="1413" w:type="dxa"/>
          </w:tcPr>
          <w:p w14:paraId="4B2F936F" w14:textId="77777777" w:rsidR="00833D33" w:rsidRPr="007304C2" w:rsidRDefault="00833D33" w:rsidP="002C3FED">
            <w:pPr>
              <w:rPr>
                <w:szCs w:val="22"/>
                <w:lang w:val="lv-LV"/>
              </w:rPr>
            </w:pPr>
            <w:r w:rsidRPr="007304C2">
              <w:rPr>
                <w:szCs w:val="22"/>
                <w:lang w:val="lv-LV"/>
              </w:rPr>
              <w:t>-</w:t>
            </w:r>
          </w:p>
        </w:tc>
        <w:tc>
          <w:tcPr>
            <w:tcW w:w="1413" w:type="dxa"/>
          </w:tcPr>
          <w:p w14:paraId="7B37F657" w14:textId="77777777" w:rsidR="00833D33" w:rsidRPr="007304C2" w:rsidRDefault="008560D0" w:rsidP="008560D0">
            <w:pPr>
              <w:rPr>
                <w:lang w:val="lv-LV"/>
              </w:rPr>
            </w:pPr>
            <w:r w:rsidRPr="007304C2">
              <w:rPr>
                <w:lang w:val="lv-LV"/>
              </w:rPr>
              <w:t xml:space="preserve">Reibonis, ģībšanas sajūta </w:t>
            </w:r>
          </w:p>
        </w:tc>
        <w:tc>
          <w:tcPr>
            <w:tcW w:w="1412" w:type="dxa"/>
          </w:tcPr>
          <w:p w14:paraId="2CF272D3" w14:textId="77777777" w:rsidR="00833D33" w:rsidRPr="007304C2" w:rsidRDefault="008560D0" w:rsidP="008560D0">
            <w:pPr>
              <w:tabs>
                <w:tab w:val="left" w:pos="567"/>
              </w:tabs>
              <w:rPr>
                <w:lang w:val="lv-LV"/>
              </w:rPr>
            </w:pPr>
            <w:r w:rsidRPr="007304C2">
              <w:rPr>
                <w:lang w:val="lv-LV"/>
              </w:rPr>
              <w:t>Izteikts nogurums</w:t>
            </w:r>
          </w:p>
        </w:tc>
        <w:tc>
          <w:tcPr>
            <w:tcW w:w="1413" w:type="dxa"/>
          </w:tcPr>
          <w:p w14:paraId="6C2BCF02" w14:textId="77777777" w:rsidR="00833D33" w:rsidRPr="007304C2" w:rsidRDefault="00833D33" w:rsidP="002C3FED">
            <w:pPr>
              <w:rPr>
                <w:szCs w:val="22"/>
                <w:lang w:val="lv-LV"/>
              </w:rPr>
            </w:pPr>
            <w:r w:rsidRPr="007304C2">
              <w:rPr>
                <w:szCs w:val="22"/>
                <w:lang w:val="lv-LV"/>
              </w:rPr>
              <w:t>-</w:t>
            </w:r>
          </w:p>
        </w:tc>
        <w:tc>
          <w:tcPr>
            <w:tcW w:w="1267" w:type="dxa"/>
          </w:tcPr>
          <w:p w14:paraId="67B16F11" w14:textId="0E0AF7A6" w:rsidR="00833D33" w:rsidRPr="007304C2" w:rsidRDefault="008560D0" w:rsidP="008560D0">
            <w:pPr>
              <w:rPr>
                <w:lang w:val="lv-LV"/>
              </w:rPr>
            </w:pPr>
            <w:r w:rsidRPr="007304C2">
              <w:rPr>
                <w:lang w:val="lv-LV"/>
              </w:rPr>
              <w:t xml:space="preserve"> </w:t>
            </w:r>
            <w:proofErr w:type="spellStart"/>
            <w:r w:rsidR="00653EA4">
              <w:rPr>
                <w:lang w:val="lv-LV"/>
              </w:rPr>
              <w:t>P</w:t>
            </w:r>
            <w:r w:rsidRPr="007304C2">
              <w:rPr>
                <w:lang w:val="lv-LV"/>
              </w:rPr>
              <w:t>araparēze</w:t>
            </w:r>
            <w:proofErr w:type="spellEnd"/>
            <w:r w:rsidRPr="007304C2">
              <w:rPr>
                <w:lang w:val="lv-LV"/>
              </w:rPr>
              <w:t xml:space="preserve"> </w:t>
            </w:r>
          </w:p>
        </w:tc>
        <w:tc>
          <w:tcPr>
            <w:tcW w:w="1559" w:type="dxa"/>
          </w:tcPr>
          <w:p w14:paraId="1CFEDC62" w14:textId="77777777" w:rsidR="00833D33" w:rsidRDefault="008560D0" w:rsidP="008560D0">
            <w:pPr>
              <w:rPr>
                <w:lang w:val="lv-LV"/>
              </w:rPr>
            </w:pPr>
            <w:r w:rsidRPr="007304C2">
              <w:rPr>
                <w:lang w:val="lv-LV"/>
              </w:rPr>
              <w:t>Galvassāpes</w:t>
            </w:r>
            <w:r w:rsidR="00765E9C">
              <w:rPr>
                <w:lang w:val="lv-LV"/>
              </w:rPr>
              <w:t xml:space="preserve">, </w:t>
            </w:r>
          </w:p>
          <w:p w14:paraId="78596314" w14:textId="77777777" w:rsidR="00765E9C" w:rsidRDefault="00765E9C" w:rsidP="008560D0">
            <w:pPr>
              <w:rPr>
                <w:lang w:val="lv-LV"/>
              </w:rPr>
            </w:pPr>
            <w:proofErr w:type="spellStart"/>
            <w:r>
              <w:rPr>
                <w:lang w:val="lv-LV"/>
              </w:rPr>
              <w:t>Mieloneiropātija</w:t>
            </w:r>
            <w:proofErr w:type="spellEnd"/>
            <w:r>
              <w:rPr>
                <w:lang w:val="lv-LV"/>
              </w:rPr>
              <w:t>, neiropātija, mugur</w:t>
            </w:r>
            <w:r w:rsidR="00221941">
              <w:rPr>
                <w:lang w:val="lv-LV"/>
              </w:rPr>
              <w:t>as smadzeņu</w:t>
            </w:r>
            <w:r>
              <w:rPr>
                <w:lang w:val="lv-LV"/>
              </w:rPr>
              <w:t xml:space="preserve"> </w:t>
            </w:r>
            <w:proofErr w:type="spellStart"/>
            <w:r>
              <w:rPr>
                <w:lang w:val="lv-LV"/>
              </w:rPr>
              <w:t>subakūta</w:t>
            </w:r>
            <w:proofErr w:type="spellEnd"/>
            <w:r>
              <w:rPr>
                <w:lang w:val="lv-LV"/>
              </w:rPr>
              <w:t xml:space="preserve"> deģenerācija, </w:t>
            </w:r>
            <w:proofErr w:type="spellStart"/>
            <w:r w:rsidR="00480F81">
              <w:rPr>
                <w:lang w:val="lv-LV"/>
              </w:rPr>
              <w:t>ģeneralizēti</w:t>
            </w:r>
            <w:proofErr w:type="spellEnd"/>
            <w:r>
              <w:rPr>
                <w:lang w:val="lv-LV"/>
              </w:rPr>
              <w:t xml:space="preserve"> krampji</w:t>
            </w:r>
          </w:p>
          <w:p w14:paraId="183B0169" w14:textId="77777777" w:rsidR="00221941" w:rsidRPr="007304C2" w:rsidRDefault="00221941" w:rsidP="008560D0">
            <w:pPr>
              <w:rPr>
                <w:lang w:val="lv-LV"/>
              </w:rPr>
            </w:pPr>
          </w:p>
        </w:tc>
      </w:tr>
      <w:tr w:rsidR="00833D33" w:rsidRPr="007304C2" w14:paraId="73F75F3D" w14:textId="77777777">
        <w:tc>
          <w:tcPr>
            <w:tcW w:w="1412" w:type="dxa"/>
          </w:tcPr>
          <w:p w14:paraId="03C9ED01" w14:textId="77777777" w:rsidR="00833D33" w:rsidRPr="007304C2" w:rsidRDefault="008560D0" w:rsidP="008560D0">
            <w:pPr>
              <w:rPr>
                <w:lang w:val="lv-LV"/>
              </w:rPr>
            </w:pPr>
            <w:r w:rsidRPr="007304C2">
              <w:rPr>
                <w:lang w:val="lv-LV"/>
              </w:rPr>
              <w:t>Ausu un labirinta bojājumi</w:t>
            </w:r>
          </w:p>
        </w:tc>
        <w:tc>
          <w:tcPr>
            <w:tcW w:w="1413" w:type="dxa"/>
          </w:tcPr>
          <w:p w14:paraId="7495F370" w14:textId="77777777" w:rsidR="00833D33" w:rsidRPr="007304C2" w:rsidRDefault="00833D33" w:rsidP="002C3FED">
            <w:pPr>
              <w:rPr>
                <w:szCs w:val="22"/>
                <w:lang w:val="lv-LV"/>
              </w:rPr>
            </w:pPr>
            <w:r w:rsidRPr="007304C2">
              <w:rPr>
                <w:szCs w:val="22"/>
                <w:lang w:val="lv-LV"/>
              </w:rPr>
              <w:t>-</w:t>
            </w:r>
          </w:p>
        </w:tc>
        <w:tc>
          <w:tcPr>
            <w:tcW w:w="1413" w:type="dxa"/>
          </w:tcPr>
          <w:p w14:paraId="37A8F2BE" w14:textId="77777777" w:rsidR="00833D33" w:rsidRPr="007304C2" w:rsidRDefault="00833D33" w:rsidP="002C3FED">
            <w:pPr>
              <w:rPr>
                <w:szCs w:val="22"/>
                <w:lang w:val="lv-LV"/>
              </w:rPr>
            </w:pPr>
            <w:r w:rsidRPr="007304C2">
              <w:rPr>
                <w:szCs w:val="22"/>
                <w:lang w:val="lv-LV"/>
              </w:rPr>
              <w:t>-</w:t>
            </w:r>
          </w:p>
        </w:tc>
        <w:tc>
          <w:tcPr>
            <w:tcW w:w="1412" w:type="dxa"/>
          </w:tcPr>
          <w:p w14:paraId="677541F5" w14:textId="77777777" w:rsidR="00833D33" w:rsidRDefault="008560D0" w:rsidP="008560D0">
            <w:pPr>
              <w:rPr>
                <w:lang w:val="lv-LV"/>
              </w:rPr>
            </w:pPr>
            <w:r w:rsidRPr="007304C2">
              <w:rPr>
                <w:lang w:val="lv-LV"/>
              </w:rPr>
              <w:t>Spiediena sajūta vidusausī</w:t>
            </w:r>
          </w:p>
          <w:p w14:paraId="1870332A" w14:textId="77777777" w:rsidR="00221941" w:rsidRPr="007304C2" w:rsidRDefault="00221941" w:rsidP="008560D0">
            <w:pPr>
              <w:rPr>
                <w:lang w:val="lv-LV"/>
              </w:rPr>
            </w:pPr>
          </w:p>
        </w:tc>
        <w:tc>
          <w:tcPr>
            <w:tcW w:w="1413" w:type="dxa"/>
          </w:tcPr>
          <w:p w14:paraId="23679FF6" w14:textId="77777777" w:rsidR="00833D33" w:rsidRPr="007304C2" w:rsidRDefault="00833D33" w:rsidP="002C3FED">
            <w:pPr>
              <w:rPr>
                <w:szCs w:val="22"/>
                <w:lang w:val="lv-LV"/>
              </w:rPr>
            </w:pPr>
            <w:r w:rsidRPr="007304C2">
              <w:rPr>
                <w:szCs w:val="22"/>
                <w:lang w:val="lv-LV"/>
              </w:rPr>
              <w:t>-</w:t>
            </w:r>
          </w:p>
        </w:tc>
        <w:tc>
          <w:tcPr>
            <w:tcW w:w="1267" w:type="dxa"/>
          </w:tcPr>
          <w:p w14:paraId="597061B4" w14:textId="77777777" w:rsidR="00833D33" w:rsidRPr="007304C2" w:rsidRDefault="00833D33" w:rsidP="002C3FED">
            <w:pPr>
              <w:rPr>
                <w:szCs w:val="22"/>
                <w:lang w:val="lv-LV"/>
              </w:rPr>
            </w:pPr>
            <w:r w:rsidRPr="007304C2">
              <w:rPr>
                <w:szCs w:val="22"/>
                <w:lang w:val="lv-LV"/>
              </w:rPr>
              <w:t>-</w:t>
            </w:r>
          </w:p>
        </w:tc>
        <w:tc>
          <w:tcPr>
            <w:tcW w:w="1559" w:type="dxa"/>
          </w:tcPr>
          <w:p w14:paraId="47611F37" w14:textId="77777777" w:rsidR="00833D33" w:rsidRPr="007304C2" w:rsidRDefault="00833D33" w:rsidP="002C3FED">
            <w:pPr>
              <w:rPr>
                <w:szCs w:val="22"/>
                <w:lang w:val="lv-LV"/>
              </w:rPr>
            </w:pPr>
            <w:r w:rsidRPr="007304C2">
              <w:rPr>
                <w:szCs w:val="22"/>
                <w:lang w:val="lv-LV"/>
              </w:rPr>
              <w:t>-</w:t>
            </w:r>
          </w:p>
        </w:tc>
      </w:tr>
      <w:tr w:rsidR="00833D33" w:rsidRPr="007304C2" w14:paraId="7C24EA57" w14:textId="77777777">
        <w:tc>
          <w:tcPr>
            <w:tcW w:w="1412" w:type="dxa"/>
          </w:tcPr>
          <w:p w14:paraId="740D9454" w14:textId="77777777" w:rsidR="00833D33" w:rsidRPr="007304C2" w:rsidRDefault="008560D0" w:rsidP="008560D0">
            <w:pPr>
              <w:rPr>
                <w:lang w:val="lv-LV"/>
              </w:rPr>
            </w:pPr>
            <w:r w:rsidRPr="007304C2">
              <w:rPr>
                <w:lang w:val="lv-LV"/>
              </w:rPr>
              <w:t>Kuņģa-zarnu trakta traucējumi</w:t>
            </w:r>
          </w:p>
        </w:tc>
        <w:tc>
          <w:tcPr>
            <w:tcW w:w="1413" w:type="dxa"/>
          </w:tcPr>
          <w:p w14:paraId="48004D61" w14:textId="77777777" w:rsidR="00833D33" w:rsidRPr="007304C2" w:rsidRDefault="00833D33" w:rsidP="002C3FED">
            <w:pPr>
              <w:rPr>
                <w:szCs w:val="22"/>
                <w:lang w:val="lv-LV"/>
              </w:rPr>
            </w:pPr>
            <w:r w:rsidRPr="007304C2">
              <w:rPr>
                <w:szCs w:val="22"/>
                <w:lang w:val="lv-LV"/>
              </w:rPr>
              <w:t>-</w:t>
            </w:r>
          </w:p>
        </w:tc>
        <w:tc>
          <w:tcPr>
            <w:tcW w:w="1413" w:type="dxa"/>
          </w:tcPr>
          <w:p w14:paraId="4EA56D9C" w14:textId="77777777" w:rsidR="00833D33" w:rsidRPr="007304C2" w:rsidRDefault="008560D0" w:rsidP="008560D0">
            <w:pPr>
              <w:rPr>
                <w:lang w:val="lv-LV"/>
              </w:rPr>
            </w:pPr>
            <w:r w:rsidRPr="007304C2">
              <w:rPr>
                <w:lang w:val="lv-LV"/>
              </w:rPr>
              <w:t>Slikta dūša, vemšana</w:t>
            </w:r>
          </w:p>
        </w:tc>
        <w:tc>
          <w:tcPr>
            <w:tcW w:w="1412" w:type="dxa"/>
          </w:tcPr>
          <w:p w14:paraId="3B6ADEAD" w14:textId="77777777" w:rsidR="00833D33" w:rsidRDefault="008560D0" w:rsidP="008560D0">
            <w:pPr>
              <w:rPr>
                <w:lang w:val="lv-LV"/>
              </w:rPr>
            </w:pPr>
            <w:r w:rsidRPr="007304C2">
              <w:rPr>
                <w:lang w:val="lv-LV"/>
              </w:rPr>
              <w:t>Vēdera uzpūšanās, palielināts gāzu daudzums zarnās</w:t>
            </w:r>
          </w:p>
          <w:p w14:paraId="0DED66FF" w14:textId="77777777" w:rsidR="00221941" w:rsidRPr="007304C2" w:rsidRDefault="00221941" w:rsidP="008560D0">
            <w:pPr>
              <w:rPr>
                <w:lang w:val="lv-LV"/>
              </w:rPr>
            </w:pPr>
          </w:p>
        </w:tc>
        <w:tc>
          <w:tcPr>
            <w:tcW w:w="1413" w:type="dxa"/>
          </w:tcPr>
          <w:p w14:paraId="6794F770" w14:textId="77777777" w:rsidR="00833D33" w:rsidRPr="007304C2" w:rsidRDefault="00833D33" w:rsidP="002C3FED">
            <w:pPr>
              <w:rPr>
                <w:szCs w:val="22"/>
                <w:lang w:val="lv-LV"/>
              </w:rPr>
            </w:pPr>
            <w:r w:rsidRPr="007304C2">
              <w:rPr>
                <w:szCs w:val="22"/>
                <w:lang w:val="lv-LV"/>
              </w:rPr>
              <w:t>-</w:t>
            </w:r>
          </w:p>
        </w:tc>
        <w:tc>
          <w:tcPr>
            <w:tcW w:w="1267" w:type="dxa"/>
          </w:tcPr>
          <w:p w14:paraId="58E5635F" w14:textId="77777777" w:rsidR="00833D33" w:rsidRPr="007304C2" w:rsidRDefault="00833D33" w:rsidP="002C3FED">
            <w:pPr>
              <w:rPr>
                <w:szCs w:val="22"/>
                <w:lang w:val="lv-LV"/>
              </w:rPr>
            </w:pPr>
            <w:r w:rsidRPr="007304C2">
              <w:rPr>
                <w:szCs w:val="22"/>
                <w:lang w:val="lv-LV"/>
              </w:rPr>
              <w:t>-</w:t>
            </w:r>
          </w:p>
        </w:tc>
        <w:tc>
          <w:tcPr>
            <w:tcW w:w="1559" w:type="dxa"/>
          </w:tcPr>
          <w:p w14:paraId="73220BA0" w14:textId="77777777" w:rsidR="00833D33" w:rsidRPr="007304C2" w:rsidRDefault="00833D33" w:rsidP="002C3FED">
            <w:pPr>
              <w:rPr>
                <w:szCs w:val="22"/>
                <w:lang w:val="lv-LV"/>
              </w:rPr>
            </w:pPr>
            <w:r w:rsidRPr="007304C2">
              <w:rPr>
                <w:szCs w:val="22"/>
                <w:lang w:val="lv-LV"/>
              </w:rPr>
              <w:t>-</w:t>
            </w:r>
          </w:p>
        </w:tc>
      </w:tr>
      <w:tr w:rsidR="00833D33" w:rsidRPr="007304C2" w14:paraId="4EBBA80B" w14:textId="77777777">
        <w:tc>
          <w:tcPr>
            <w:tcW w:w="1412" w:type="dxa"/>
            <w:tcBorders>
              <w:bottom w:val="single" w:sz="4" w:space="0" w:color="auto"/>
            </w:tcBorders>
          </w:tcPr>
          <w:p w14:paraId="2F3EF721" w14:textId="77777777" w:rsidR="00833D33" w:rsidRPr="007304C2" w:rsidRDefault="008560D0" w:rsidP="008560D0">
            <w:pPr>
              <w:rPr>
                <w:lang w:val="lv-LV"/>
              </w:rPr>
            </w:pPr>
            <w:r w:rsidRPr="007304C2">
              <w:rPr>
                <w:lang w:val="lv-LV"/>
              </w:rPr>
              <w:t>Elpošanas sistēmas traucējumi, krūšu kurvja un videnes slimības</w:t>
            </w:r>
          </w:p>
        </w:tc>
        <w:tc>
          <w:tcPr>
            <w:tcW w:w="1413" w:type="dxa"/>
            <w:tcBorders>
              <w:bottom w:val="single" w:sz="4" w:space="0" w:color="auto"/>
            </w:tcBorders>
          </w:tcPr>
          <w:p w14:paraId="1D9B79A4" w14:textId="77777777" w:rsidR="00833D33" w:rsidRPr="007304C2" w:rsidRDefault="00833D33" w:rsidP="002C3FED">
            <w:pPr>
              <w:rPr>
                <w:szCs w:val="22"/>
                <w:lang w:val="lv-LV"/>
              </w:rPr>
            </w:pPr>
            <w:r w:rsidRPr="007304C2">
              <w:rPr>
                <w:szCs w:val="22"/>
                <w:lang w:val="lv-LV"/>
              </w:rPr>
              <w:t>-</w:t>
            </w:r>
          </w:p>
        </w:tc>
        <w:tc>
          <w:tcPr>
            <w:tcW w:w="1413" w:type="dxa"/>
            <w:tcBorders>
              <w:bottom w:val="single" w:sz="4" w:space="0" w:color="auto"/>
            </w:tcBorders>
          </w:tcPr>
          <w:p w14:paraId="70965B72" w14:textId="77777777" w:rsidR="00833D33" w:rsidRPr="007304C2" w:rsidRDefault="00833D33" w:rsidP="002C3FED">
            <w:pPr>
              <w:rPr>
                <w:szCs w:val="22"/>
                <w:lang w:val="lv-LV"/>
              </w:rPr>
            </w:pPr>
            <w:r w:rsidRPr="007304C2">
              <w:rPr>
                <w:szCs w:val="22"/>
                <w:lang w:val="lv-LV"/>
              </w:rPr>
              <w:t>-</w:t>
            </w:r>
          </w:p>
        </w:tc>
        <w:tc>
          <w:tcPr>
            <w:tcW w:w="1412" w:type="dxa"/>
            <w:tcBorders>
              <w:bottom w:val="single" w:sz="4" w:space="0" w:color="auto"/>
            </w:tcBorders>
          </w:tcPr>
          <w:p w14:paraId="533F2092" w14:textId="77777777" w:rsidR="00833D33" w:rsidRPr="007304C2" w:rsidRDefault="00833D33" w:rsidP="002C3FED">
            <w:pPr>
              <w:rPr>
                <w:szCs w:val="22"/>
                <w:lang w:val="lv-LV"/>
              </w:rPr>
            </w:pPr>
            <w:r w:rsidRPr="007304C2">
              <w:rPr>
                <w:szCs w:val="22"/>
                <w:lang w:val="lv-LV"/>
              </w:rPr>
              <w:t>-</w:t>
            </w:r>
          </w:p>
        </w:tc>
        <w:tc>
          <w:tcPr>
            <w:tcW w:w="1413" w:type="dxa"/>
            <w:tcBorders>
              <w:bottom w:val="single" w:sz="4" w:space="0" w:color="auto"/>
            </w:tcBorders>
          </w:tcPr>
          <w:p w14:paraId="37D15A21" w14:textId="77777777" w:rsidR="00833D33" w:rsidRPr="007304C2" w:rsidRDefault="00833D33" w:rsidP="002C3FED">
            <w:pPr>
              <w:rPr>
                <w:szCs w:val="22"/>
                <w:lang w:val="lv-LV"/>
              </w:rPr>
            </w:pPr>
            <w:r w:rsidRPr="007304C2">
              <w:rPr>
                <w:szCs w:val="22"/>
                <w:lang w:val="lv-LV"/>
              </w:rPr>
              <w:t>-</w:t>
            </w:r>
          </w:p>
        </w:tc>
        <w:tc>
          <w:tcPr>
            <w:tcW w:w="1267" w:type="dxa"/>
            <w:tcBorders>
              <w:bottom w:val="single" w:sz="4" w:space="0" w:color="auto"/>
            </w:tcBorders>
          </w:tcPr>
          <w:p w14:paraId="757B7CB3" w14:textId="77777777" w:rsidR="00833D33" w:rsidRPr="007304C2" w:rsidRDefault="00833D33" w:rsidP="002C3FED">
            <w:pPr>
              <w:rPr>
                <w:szCs w:val="22"/>
                <w:lang w:val="lv-LV"/>
              </w:rPr>
            </w:pPr>
            <w:r w:rsidRPr="007304C2">
              <w:rPr>
                <w:szCs w:val="22"/>
                <w:lang w:val="lv-LV"/>
              </w:rPr>
              <w:t>-</w:t>
            </w:r>
          </w:p>
        </w:tc>
        <w:tc>
          <w:tcPr>
            <w:tcW w:w="1559" w:type="dxa"/>
            <w:tcBorders>
              <w:bottom w:val="single" w:sz="4" w:space="0" w:color="auto"/>
            </w:tcBorders>
          </w:tcPr>
          <w:p w14:paraId="1D6BE1A1" w14:textId="77777777" w:rsidR="00833D33" w:rsidRPr="007304C2" w:rsidRDefault="008560D0" w:rsidP="008560D0">
            <w:pPr>
              <w:rPr>
                <w:lang w:val="lv-LV"/>
              </w:rPr>
            </w:pPr>
            <w:r w:rsidRPr="007304C2">
              <w:rPr>
                <w:lang w:val="lv-LV"/>
              </w:rPr>
              <w:t>Elpošanas nomākums</w:t>
            </w:r>
          </w:p>
        </w:tc>
      </w:tr>
    </w:tbl>
    <w:p w14:paraId="102A7D93" w14:textId="77777777" w:rsidR="00FA39C1" w:rsidRDefault="00FA39C1" w:rsidP="00FA39C1">
      <w:pPr>
        <w:suppressAutoHyphens/>
        <w:rPr>
          <w:lang w:val="lv-LV"/>
        </w:rPr>
      </w:pPr>
    </w:p>
    <w:p w14:paraId="49202022" w14:textId="77777777" w:rsidR="00221941" w:rsidRPr="004914D4" w:rsidRDefault="00221941" w:rsidP="00FA39C1">
      <w:pPr>
        <w:suppressAutoHyphens/>
        <w:rPr>
          <w:u w:val="single"/>
          <w:lang w:val="lv-LV"/>
        </w:rPr>
      </w:pPr>
      <w:r w:rsidRPr="004914D4">
        <w:rPr>
          <w:u w:val="single"/>
          <w:lang w:val="lv-LV"/>
        </w:rPr>
        <w:t>Pediatriskā populācija</w:t>
      </w:r>
    </w:p>
    <w:p w14:paraId="4C89E38D" w14:textId="77777777" w:rsidR="00653EA4" w:rsidRPr="00EE2FF2" w:rsidRDefault="00653EA4" w:rsidP="00C77B91">
      <w:pPr>
        <w:widowControl w:val="0"/>
        <w:autoSpaceDE w:val="0"/>
        <w:autoSpaceDN w:val="0"/>
        <w:adjustRightInd w:val="0"/>
        <w:spacing w:line="241" w:lineRule="auto"/>
        <w:ind w:right="1334"/>
        <w:jc w:val="both"/>
        <w:rPr>
          <w:szCs w:val="22"/>
          <w:lang w:val="lv-LV" w:eastAsia="sv-SE"/>
        </w:rPr>
      </w:pPr>
      <w:r w:rsidRPr="00EE2FF2">
        <w:rPr>
          <w:szCs w:val="22"/>
          <w:lang w:val="lv-LV" w:eastAsia="sv-SE"/>
        </w:rPr>
        <w:t>Nav zināmas citas nevēlamas blakusparādības pediatriskajai populācijai, izņemot tās, kas konstatētas pieaugušiem pacientiem.</w:t>
      </w:r>
    </w:p>
    <w:p w14:paraId="1AAC2701" w14:textId="77777777" w:rsidR="00221941" w:rsidRPr="00221941" w:rsidRDefault="00221941" w:rsidP="00FA39C1">
      <w:pPr>
        <w:suppressAutoHyphens/>
        <w:rPr>
          <w:lang w:val="lv-LV"/>
        </w:rPr>
      </w:pPr>
    </w:p>
    <w:p w14:paraId="59610CEE" w14:textId="77777777" w:rsidR="008560D0" w:rsidRPr="007304C2" w:rsidRDefault="008560D0" w:rsidP="008560D0">
      <w:pPr>
        <w:rPr>
          <w:u w:val="single"/>
          <w:lang w:val="lv-LV"/>
        </w:rPr>
      </w:pPr>
      <w:r w:rsidRPr="007304C2">
        <w:rPr>
          <w:u w:val="single"/>
          <w:lang w:val="lv-LV"/>
        </w:rPr>
        <w:t>Ziņošana par iespējamām nevēlamām blakusparādībām</w:t>
      </w:r>
    </w:p>
    <w:p w14:paraId="78B1C0DF" w14:textId="747A7152" w:rsidR="002830F2" w:rsidRPr="004914D4" w:rsidRDefault="008560D0" w:rsidP="00C77B91">
      <w:pPr>
        <w:autoSpaceDE w:val="0"/>
        <w:autoSpaceDN w:val="0"/>
        <w:adjustRightInd w:val="0"/>
        <w:jc w:val="both"/>
        <w:rPr>
          <w:color w:val="000000"/>
          <w:sz w:val="24"/>
          <w:szCs w:val="24"/>
          <w:lang w:val="lv-LV"/>
        </w:rPr>
      </w:pPr>
      <w:r w:rsidRPr="007304C2">
        <w:rPr>
          <w:lang w:val="lv-LV"/>
        </w:rPr>
        <w:t xml:space="preserve">Ir svarīgi ziņot par iespējamajām nevēlamām blakusparādībām pēc zāļu reģistrācijas. Tādējādi zāļu ieguvumu/riska attiecība tiek nepārtraukti uzraudzīta. </w:t>
      </w:r>
      <w:r w:rsidR="002830F2" w:rsidRPr="002830F2">
        <w:rPr>
          <w:szCs w:val="22"/>
          <w:lang w:val="lv-LV"/>
        </w:rPr>
        <w:t xml:space="preserve">Veselības aprūpes speciālisti tiek lūgti ziņot par </w:t>
      </w:r>
      <w:r w:rsidR="002830F2" w:rsidRPr="002830F2">
        <w:rPr>
          <w:szCs w:val="22"/>
          <w:lang w:val="lv-LV"/>
        </w:rPr>
        <w:lastRenderedPageBreak/>
        <w:t>jebkādām iespējamām nevēlamām blakusparādībām</w:t>
      </w:r>
      <w:r w:rsidR="00A63602" w:rsidRPr="001E79E1">
        <w:rPr>
          <w:sz w:val="24"/>
          <w:szCs w:val="24"/>
          <w:lang w:val="lv-LV"/>
        </w:rPr>
        <w:t xml:space="preserve"> Zāļu valsts aģentūrai, Jersikas ielā 15, Rīgā, LV 1003.</w:t>
      </w:r>
      <w:r w:rsidR="00653EA4">
        <w:rPr>
          <w:sz w:val="24"/>
          <w:szCs w:val="24"/>
          <w:lang w:val="lv-LV"/>
        </w:rPr>
        <w:t xml:space="preserve"> </w:t>
      </w:r>
      <w:r w:rsidR="00A63602" w:rsidRPr="004914D4">
        <w:rPr>
          <w:sz w:val="24"/>
          <w:szCs w:val="24"/>
          <w:lang w:val="lv-LV"/>
        </w:rPr>
        <w:t xml:space="preserve">Tīmekļa vietne: </w:t>
      </w:r>
      <w:hyperlink r:id="rId8" w:history="1">
        <w:r w:rsidR="00A63602" w:rsidRPr="004914D4">
          <w:rPr>
            <w:rStyle w:val="Hyperlink"/>
            <w:color w:val="000000"/>
            <w:sz w:val="24"/>
            <w:szCs w:val="24"/>
            <w:lang w:val="lv-LV"/>
          </w:rPr>
          <w:t>www.zva.gov.lv</w:t>
        </w:r>
      </w:hyperlink>
      <w:r w:rsidR="002830F2" w:rsidRPr="002830F2">
        <w:rPr>
          <w:szCs w:val="22"/>
          <w:lang w:val="lv-LV"/>
        </w:rPr>
        <w:t xml:space="preserve">. </w:t>
      </w:r>
    </w:p>
    <w:p w14:paraId="564121C6" w14:textId="77777777" w:rsidR="008560D0" w:rsidRPr="007304C2" w:rsidRDefault="008560D0" w:rsidP="008560D0">
      <w:pPr>
        <w:tabs>
          <w:tab w:val="left" w:pos="567"/>
        </w:tabs>
        <w:autoSpaceDE w:val="0"/>
        <w:autoSpaceDN w:val="0"/>
        <w:adjustRightInd w:val="0"/>
        <w:rPr>
          <w:lang w:val="lv-LV"/>
        </w:rPr>
      </w:pPr>
      <w:r w:rsidRPr="007304C2">
        <w:rPr>
          <w:lang w:val="lv-LV"/>
        </w:rPr>
        <w:t xml:space="preserve"> </w:t>
      </w:r>
    </w:p>
    <w:p w14:paraId="1BB97F06" w14:textId="77777777" w:rsidR="008560D0" w:rsidRPr="007304C2" w:rsidRDefault="008560D0" w:rsidP="008560D0">
      <w:pPr>
        <w:suppressAutoHyphens/>
        <w:rPr>
          <w:lang w:val="lv-LV"/>
        </w:rPr>
      </w:pPr>
      <w:r w:rsidRPr="007304C2">
        <w:rPr>
          <w:b/>
          <w:bCs/>
          <w:lang w:val="lv-LV"/>
        </w:rPr>
        <w:t>4.9.</w:t>
      </w:r>
      <w:r w:rsidRPr="007304C2">
        <w:rPr>
          <w:b/>
          <w:bCs/>
          <w:lang w:val="lv-LV"/>
        </w:rPr>
        <w:tab/>
        <w:t>Pārdozēšana</w:t>
      </w:r>
    </w:p>
    <w:p w14:paraId="364AD7B5" w14:textId="77777777" w:rsidR="000F7067" w:rsidRPr="007304C2" w:rsidRDefault="000F7067">
      <w:pPr>
        <w:suppressAutoHyphens/>
        <w:rPr>
          <w:lang w:val="lv-LV"/>
        </w:rPr>
      </w:pPr>
    </w:p>
    <w:p w14:paraId="7041FC04" w14:textId="77777777" w:rsidR="008560D0" w:rsidRPr="007304C2" w:rsidRDefault="008560D0" w:rsidP="008560D0">
      <w:pPr>
        <w:suppressAutoHyphens/>
        <w:rPr>
          <w:lang w:val="lv-LV"/>
        </w:rPr>
      </w:pPr>
      <w:r w:rsidRPr="007304C2">
        <w:rPr>
          <w:lang w:val="lv-LV"/>
        </w:rPr>
        <w:t xml:space="preserve">Tā kā ir nepieciešama pacienta līdzdalība gāzu maisījuma lietošanā, pārdozēšanas risks ir ļoti mazs.  </w:t>
      </w:r>
    </w:p>
    <w:p w14:paraId="2E6E0750" w14:textId="77777777" w:rsidR="008560D0" w:rsidRPr="007304C2" w:rsidRDefault="008560D0" w:rsidP="008560D0">
      <w:pPr>
        <w:suppressAutoHyphens/>
        <w:rPr>
          <w:lang w:val="lv-LV"/>
        </w:rPr>
      </w:pPr>
      <w:bookmarkStart w:id="3" w:name="OLE_LINK1"/>
      <w:r w:rsidRPr="007304C2">
        <w:rPr>
          <w:lang w:val="lv-LV"/>
        </w:rPr>
        <w:t>Ja Entonox lietošanas laikā pacientam novēro modrības pazemināšanās pazīmes, viņš neatbild vai neatbilstoši reaģē uz komandām, vai kā citādi novēro izteiktas sedācijas pazīmes, lietošana nekavējoties jāpārtrauc. Pacients nedrīkst vairs saņemt Entonox, kamēr apziņa neatjaunojas pilnībā.</w:t>
      </w:r>
    </w:p>
    <w:bookmarkEnd w:id="3"/>
    <w:p w14:paraId="4E1B443B" w14:textId="77777777" w:rsidR="008560D0" w:rsidRPr="007304C2" w:rsidRDefault="008560D0" w:rsidP="008560D0">
      <w:pPr>
        <w:suppressAutoHyphens/>
        <w:rPr>
          <w:lang w:val="lv-LV"/>
        </w:rPr>
      </w:pPr>
      <w:r w:rsidRPr="007304C2">
        <w:rPr>
          <w:lang w:val="lv-LV"/>
        </w:rPr>
        <w:t>Ja Entonox lietošanas laikā pacients kļūst cianotisks, ārstēšana nekavējoties jāpārtrauc</w:t>
      </w:r>
      <w:r w:rsidR="00A63602">
        <w:rPr>
          <w:lang w:val="lv-LV"/>
        </w:rPr>
        <w:t>,</w:t>
      </w:r>
      <w:r w:rsidRPr="007304C2">
        <w:rPr>
          <w:lang w:val="lv-LV"/>
        </w:rPr>
        <w:t xml:space="preserve"> un jāpiegādā tīrs skābeklis, var būt nepieciešama mākslīgā ventilācija. Pēc ārkārtīgi ilgstošas ieelpošanas novērota arī atgriezeniska neiroloģiska toksicitāte un megaloblastiskas izmaiņas kaulu smadzenēs.</w:t>
      </w:r>
    </w:p>
    <w:p w14:paraId="07155FCF" w14:textId="77777777" w:rsidR="008560D0" w:rsidRPr="007304C2" w:rsidRDefault="008560D0" w:rsidP="008560D0">
      <w:pPr>
        <w:suppressAutoHyphens/>
        <w:rPr>
          <w:lang w:val="lv-LV"/>
        </w:rPr>
      </w:pPr>
      <w:r w:rsidRPr="007304C2">
        <w:rPr>
          <w:lang w:val="lv-LV"/>
        </w:rPr>
        <w:t xml:space="preserve">Ja aprīkojums ir pakļauts aukstuma, temperatūras, kas zemāka par </w:t>
      </w:r>
      <w:r w:rsidRPr="007304C2">
        <w:rPr>
          <w:lang w:val="lv-LV"/>
        </w:rPr>
        <w:noBreakHyphen/>
        <w:t>5</w:t>
      </w:r>
      <w:r w:rsidRPr="007304C2">
        <w:rPr>
          <w:lang w:val="lv-LV"/>
        </w:rPr>
        <w:sym w:font="Symbol" w:char="F0B0"/>
      </w:r>
      <w:r w:rsidRPr="007304C2">
        <w:rPr>
          <w:lang w:val="lv-LV"/>
        </w:rPr>
        <w:t>C, iedarbībai, var rasties pārdozēšana vai hipoksisks gāzes maisījums. Tas var izraisīt gāzes maisījuma sadalīšanos, kā rezultātā no aprīkojuma tiek pievadīta ārkārtīgi augsta slāpekļa oksidula koncentrācija</w:t>
      </w:r>
      <w:r w:rsidR="00A63602">
        <w:rPr>
          <w:lang w:val="lv-LV"/>
        </w:rPr>
        <w:t>,</w:t>
      </w:r>
      <w:r w:rsidRPr="007304C2">
        <w:rPr>
          <w:lang w:val="lv-LV"/>
        </w:rPr>
        <w:t xml:space="preserve"> un pastāv hipoksiska gāzes maisījuma pievadīšanas risks. </w:t>
      </w:r>
    </w:p>
    <w:p w14:paraId="5A09298B" w14:textId="77777777" w:rsidR="000F7067" w:rsidRPr="007304C2" w:rsidRDefault="000F7067">
      <w:pPr>
        <w:suppressAutoHyphens/>
        <w:rPr>
          <w:lang w:val="lv-LV"/>
        </w:rPr>
      </w:pPr>
    </w:p>
    <w:p w14:paraId="2C8B8CD1" w14:textId="77777777" w:rsidR="000F7067" w:rsidRPr="007304C2" w:rsidRDefault="000F7067">
      <w:pPr>
        <w:suppressAutoHyphens/>
        <w:rPr>
          <w:lang w:val="lv-LV"/>
        </w:rPr>
      </w:pPr>
    </w:p>
    <w:p w14:paraId="00A6072B" w14:textId="77777777" w:rsidR="008560D0" w:rsidRPr="007304C2" w:rsidRDefault="008560D0" w:rsidP="008560D0">
      <w:pPr>
        <w:suppressAutoHyphens/>
        <w:ind w:left="567" w:hanging="567"/>
        <w:rPr>
          <w:lang w:val="lv-LV"/>
        </w:rPr>
      </w:pPr>
      <w:r w:rsidRPr="007304C2">
        <w:rPr>
          <w:b/>
          <w:bCs/>
          <w:lang w:val="lv-LV"/>
        </w:rPr>
        <w:t>5.</w:t>
      </w:r>
      <w:r w:rsidRPr="007304C2">
        <w:rPr>
          <w:b/>
          <w:bCs/>
          <w:lang w:val="lv-LV"/>
        </w:rPr>
        <w:tab/>
        <w:t>FARMAKOLOĢISKĀS ĪPAŠĪBAS</w:t>
      </w:r>
    </w:p>
    <w:p w14:paraId="7C6DBCE8" w14:textId="77777777" w:rsidR="000F7067" w:rsidRPr="007304C2" w:rsidRDefault="000F7067">
      <w:pPr>
        <w:suppressAutoHyphens/>
        <w:rPr>
          <w:lang w:val="lv-LV"/>
        </w:rPr>
      </w:pPr>
    </w:p>
    <w:p w14:paraId="18F50AA5" w14:textId="77777777" w:rsidR="008560D0" w:rsidRPr="007304C2" w:rsidRDefault="008560D0" w:rsidP="008560D0">
      <w:pPr>
        <w:suppressAutoHyphens/>
        <w:ind w:left="567" w:hanging="567"/>
        <w:rPr>
          <w:lang w:val="lv-LV"/>
        </w:rPr>
      </w:pPr>
      <w:r w:rsidRPr="007304C2">
        <w:rPr>
          <w:b/>
          <w:bCs/>
          <w:lang w:val="lv-LV"/>
        </w:rPr>
        <w:t>5.1.</w:t>
      </w:r>
      <w:r w:rsidRPr="007304C2">
        <w:rPr>
          <w:b/>
          <w:bCs/>
          <w:lang w:val="lv-LV"/>
        </w:rPr>
        <w:tab/>
        <w:t>Farmakodinamiskās īpašības</w:t>
      </w:r>
    </w:p>
    <w:p w14:paraId="0BA60C6C" w14:textId="77777777" w:rsidR="000F7067" w:rsidRPr="007304C2" w:rsidRDefault="000F7067">
      <w:pPr>
        <w:suppressAutoHyphens/>
        <w:rPr>
          <w:lang w:val="lv-LV"/>
        </w:rPr>
      </w:pPr>
    </w:p>
    <w:p w14:paraId="7C3752B6" w14:textId="77777777" w:rsidR="008560D0" w:rsidRPr="007304C2" w:rsidRDefault="008560D0" w:rsidP="008560D0">
      <w:pPr>
        <w:suppressAutoHyphens/>
        <w:rPr>
          <w:lang w:val="lv-LV"/>
        </w:rPr>
      </w:pPr>
      <w:r w:rsidRPr="007304C2">
        <w:rPr>
          <w:lang w:val="lv-LV"/>
        </w:rPr>
        <w:t>Farmakoterapeitiskā grupa: citi vispārējās anestēzijas līdzekļi, ATĶ kods: N01AX63</w:t>
      </w:r>
    </w:p>
    <w:p w14:paraId="716D1B42" w14:textId="77777777" w:rsidR="000F7067" w:rsidRPr="007304C2" w:rsidRDefault="000F7067">
      <w:pPr>
        <w:suppressAutoHyphens/>
        <w:rPr>
          <w:lang w:val="lv-LV"/>
        </w:rPr>
      </w:pPr>
    </w:p>
    <w:p w14:paraId="01BB98A9" w14:textId="77777777" w:rsidR="00913DDF" w:rsidRPr="007304C2" w:rsidRDefault="00913DDF" w:rsidP="00913DDF">
      <w:pPr>
        <w:suppressAutoHyphens/>
        <w:rPr>
          <w:lang w:val="lv-LV"/>
        </w:rPr>
      </w:pPr>
      <w:r w:rsidRPr="007304C2">
        <w:rPr>
          <w:lang w:val="lv-LV"/>
        </w:rPr>
        <w:t xml:space="preserve">Slāpekļa oksidulam koncentrācijā 50% ir pretsāpju iedarbība, tas paaugstina sāpju slieksni dažādu sāpju stimulu gadījumā. Pretsāpju iedarbības intensitāte galvenokārt atkarīga no pacienta psiholoģiskā stāvokļa. Šādā koncentrācijā (50%) slāpekļa oksidulam ir ierobežota anestezējošā iedarbība. Šādā koncentrācijā slāpekļa oksiduls nodrošina sedatīvu un nomierinošu iedarbību, bet pacients ir pie samaņas, viegli pamodināms, bet ar zināmu nošķirtību no apkārtnes. </w:t>
      </w:r>
    </w:p>
    <w:p w14:paraId="14DC2B3E" w14:textId="77777777" w:rsidR="000F7067" w:rsidRPr="007304C2" w:rsidRDefault="000F7067">
      <w:pPr>
        <w:suppressAutoHyphens/>
        <w:rPr>
          <w:lang w:val="lv-LV"/>
        </w:rPr>
      </w:pPr>
    </w:p>
    <w:p w14:paraId="5D73A491" w14:textId="77777777" w:rsidR="00913DDF" w:rsidRPr="007304C2" w:rsidRDefault="00913DDF" w:rsidP="00913DDF">
      <w:pPr>
        <w:suppressAutoHyphens/>
        <w:rPr>
          <w:lang w:val="lv-LV"/>
        </w:rPr>
      </w:pPr>
      <w:r w:rsidRPr="007304C2">
        <w:rPr>
          <w:lang w:val="lv-LV"/>
        </w:rPr>
        <w:t>Skābekļa koncentrācija 50% (vairāk nekā divas reizes pārsniedz koncentrāciju apkārtējā gaisā) nodrošina labu oksigenāciju un optimālu skābekļa saturāciju hemoglobīnā.</w:t>
      </w:r>
    </w:p>
    <w:p w14:paraId="387D449D" w14:textId="77777777" w:rsidR="000F7067" w:rsidRPr="007304C2" w:rsidRDefault="000F7067">
      <w:pPr>
        <w:suppressAutoHyphens/>
        <w:rPr>
          <w:sz w:val="20"/>
          <w:lang w:val="lv-LV"/>
        </w:rPr>
      </w:pPr>
    </w:p>
    <w:p w14:paraId="38BE1121" w14:textId="77777777" w:rsidR="00913DDF" w:rsidRPr="007304C2" w:rsidRDefault="00913DDF" w:rsidP="00913DDF">
      <w:pPr>
        <w:suppressAutoHyphens/>
        <w:ind w:left="567" w:hanging="567"/>
        <w:rPr>
          <w:b/>
          <w:bCs/>
          <w:lang w:val="lv-LV"/>
        </w:rPr>
      </w:pPr>
      <w:r w:rsidRPr="007304C2">
        <w:rPr>
          <w:b/>
          <w:bCs/>
          <w:lang w:val="lv-LV"/>
        </w:rPr>
        <w:t>5.2.</w:t>
      </w:r>
      <w:r w:rsidRPr="007304C2">
        <w:rPr>
          <w:b/>
          <w:bCs/>
          <w:lang w:val="lv-LV"/>
        </w:rPr>
        <w:tab/>
        <w:t>Farmakokinētiskās īpašības</w:t>
      </w:r>
    </w:p>
    <w:p w14:paraId="6EA3ED83" w14:textId="77777777" w:rsidR="000F7067" w:rsidRPr="007304C2" w:rsidRDefault="000F7067">
      <w:pPr>
        <w:suppressAutoHyphens/>
        <w:rPr>
          <w:lang w:val="lv-LV"/>
        </w:rPr>
      </w:pPr>
    </w:p>
    <w:p w14:paraId="21DBA238" w14:textId="77777777" w:rsidR="00CF28CA" w:rsidRPr="007304C2" w:rsidRDefault="00CF28CA" w:rsidP="00CF28CA">
      <w:pPr>
        <w:suppressAutoHyphens/>
        <w:rPr>
          <w:lang w:val="lv-LV"/>
        </w:rPr>
      </w:pPr>
      <w:r w:rsidRPr="007304C2">
        <w:rPr>
          <w:lang w:val="lv-LV"/>
        </w:rPr>
        <w:t xml:space="preserve">Slāpekļa oksidula uzņemšana un eliminācija notiek tikai caur plaušām. Tā kā slāpekļa oksidula šķīdība asinīs un citos audos ir zema, gan asiņu, gan mērķorgāna (CNS) piesātinājumu panāk ātri. Šīs fizikāli-ķīmiskās īpašības izskaidro ātro pretsāpju iedarbības sākumu un faktu, ka slāpekļa oksidula iedarbība ātri izzūd pēc lietošanas pārtraukšanas. Gāze eliminējas tikai ar elpošanas palīdzību, slāpekļa oksiduls netiek metabolizēts cilvēka organismā. </w:t>
      </w:r>
    </w:p>
    <w:p w14:paraId="01EAF9EA" w14:textId="77777777" w:rsidR="000F7067" w:rsidRPr="007304C2" w:rsidRDefault="000F7067">
      <w:pPr>
        <w:suppressAutoHyphens/>
        <w:rPr>
          <w:lang w:val="lv-LV"/>
        </w:rPr>
      </w:pPr>
    </w:p>
    <w:p w14:paraId="2E8248FF" w14:textId="77777777" w:rsidR="00CF28CA" w:rsidRPr="007304C2" w:rsidRDefault="00CF28CA" w:rsidP="00CF28CA">
      <w:pPr>
        <w:suppressAutoHyphens/>
        <w:rPr>
          <w:lang w:val="lv-LV"/>
        </w:rPr>
      </w:pPr>
      <w:r w:rsidRPr="007304C2">
        <w:rPr>
          <w:lang w:val="lv-LV"/>
        </w:rPr>
        <w:t>Slāpekļa oksidula ātrā difūzija gan no gāzes, gan no asinīm izskaidro dažas no kontrindikācijām un īpašiem brīdinājumiem, kas jāņem vērā, lietojot slāpekļa oksidulu/Entonox.</w:t>
      </w:r>
    </w:p>
    <w:p w14:paraId="573720F3" w14:textId="77777777" w:rsidR="000F7067" w:rsidRPr="007304C2" w:rsidRDefault="000F7067">
      <w:pPr>
        <w:suppressAutoHyphens/>
        <w:rPr>
          <w:lang w:val="lv-LV"/>
        </w:rPr>
      </w:pPr>
    </w:p>
    <w:p w14:paraId="78F7F19A" w14:textId="77777777" w:rsidR="00CF28CA" w:rsidRPr="007304C2" w:rsidRDefault="00CF28CA" w:rsidP="00CF28CA">
      <w:pPr>
        <w:suppressAutoHyphens/>
        <w:ind w:left="567" w:hanging="567"/>
        <w:rPr>
          <w:lang w:val="lv-LV"/>
        </w:rPr>
      </w:pPr>
      <w:r w:rsidRPr="007304C2">
        <w:rPr>
          <w:b/>
          <w:bCs/>
          <w:lang w:val="lv-LV"/>
        </w:rPr>
        <w:t>5.3.</w:t>
      </w:r>
      <w:r w:rsidRPr="007304C2">
        <w:rPr>
          <w:b/>
          <w:bCs/>
          <w:lang w:val="lv-LV"/>
        </w:rPr>
        <w:tab/>
        <w:t>Preklīniskie dati par drošumu</w:t>
      </w:r>
    </w:p>
    <w:p w14:paraId="5AFC8D4A" w14:textId="77777777" w:rsidR="000F7067" w:rsidRPr="007304C2" w:rsidRDefault="000F7067">
      <w:pPr>
        <w:suppressAutoHyphens/>
        <w:rPr>
          <w:lang w:val="lv-LV"/>
        </w:rPr>
      </w:pPr>
    </w:p>
    <w:p w14:paraId="25C542E6" w14:textId="77777777" w:rsidR="00CF28CA" w:rsidRPr="007304C2" w:rsidRDefault="00CF28CA" w:rsidP="00CF28CA">
      <w:pPr>
        <w:suppressAutoHyphens/>
        <w:rPr>
          <w:u w:val="single"/>
          <w:lang w:val="lv-LV"/>
        </w:rPr>
      </w:pPr>
      <w:r w:rsidRPr="007304C2">
        <w:rPr>
          <w:u w:val="single"/>
          <w:lang w:val="lv-LV"/>
        </w:rPr>
        <w:t>Slāpekļa oksiduls</w:t>
      </w:r>
    </w:p>
    <w:p w14:paraId="1BA4446E" w14:textId="77777777" w:rsidR="00CB7DAC" w:rsidRPr="007304C2" w:rsidRDefault="00CB7DAC" w:rsidP="00CB7DAC">
      <w:pPr>
        <w:widowControl w:val="0"/>
        <w:rPr>
          <w:lang w:val="lv-LV"/>
        </w:rPr>
      </w:pPr>
      <w:r w:rsidRPr="007304C2">
        <w:rPr>
          <w:lang w:val="lv-LV"/>
        </w:rPr>
        <w:t xml:space="preserve">Neklīniskajos pētījumos iegūtie dati par farmakoloģisko drošumu, atkārtotu devu toksicitāti, genotoksicitāti un iespējamo kancerogenitāti neliecina par īpašu risku cilvēkiem. </w:t>
      </w:r>
    </w:p>
    <w:p w14:paraId="07E1DF65" w14:textId="77777777" w:rsidR="006179CF" w:rsidRPr="007304C2" w:rsidRDefault="006179CF" w:rsidP="009D4D29">
      <w:pPr>
        <w:widowControl w:val="0"/>
        <w:rPr>
          <w:lang w:val="lv-LV"/>
        </w:rPr>
      </w:pPr>
      <w:r w:rsidRPr="007304C2">
        <w:rPr>
          <w:lang w:val="lv-LV"/>
        </w:rPr>
        <w:t>Ilgstoša, pastāvīga 15-50% slāpekļa oksidula iedarbība izraisa neiropātiju aug</w:t>
      </w:r>
      <w:r w:rsidR="009D4D29">
        <w:rPr>
          <w:lang w:val="lv-LV"/>
        </w:rPr>
        <w:t>ļ</w:t>
      </w:r>
      <w:r w:rsidRPr="007304C2">
        <w:rPr>
          <w:lang w:val="lv-LV"/>
        </w:rPr>
        <w:t>s</w:t>
      </w:r>
      <w:r w:rsidR="00612307">
        <w:rPr>
          <w:lang w:val="lv-LV"/>
        </w:rPr>
        <w:t>i</w:t>
      </w:r>
      <w:r w:rsidRPr="007304C2">
        <w:rPr>
          <w:lang w:val="lv-LV"/>
        </w:rPr>
        <w:t>kspārņiem, cūkām un pērtiķiem.</w:t>
      </w:r>
    </w:p>
    <w:p w14:paraId="7F43D857" w14:textId="77777777" w:rsidR="006179CF" w:rsidRPr="007304C2" w:rsidRDefault="006179CF" w:rsidP="006179CF">
      <w:pPr>
        <w:widowControl w:val="0"/>
        <w:rPr>
          <w:lang w:val="lv-LV"/>
        </w:rPr>
      </w:pPr>
      <w:r w:rsidRPr="007304C2">
        <w:rPr>
          <w:lang w:val="lv-LV"/>
        </w:rPr>
        <w:t xml:space="preserve">Žurkām pēc pastāvīgas pakļaušanas par 500 ppm augstāka līmeņa iedarbībai novērota slāpekļa oksidula teratogēna iedarbība. </w:t>
      </w:r>
    </w:p>
    <w:p w14:paraId="68CF79B7" w14:textId="77777777" w:rsidR="00FC3252" w:rsidRPr="007304C2" w:rsidRDefault="00FC3252" w:rsidP="00FC3252">
      <w:pPr>
        <w:rPr>
          <w:lang w:val="lv-LV"/>
        </w:rPr>
      </w:pPr>
      <w:r w:rsidRPr="007304C2">
        <w:rPr>
          <w:lang w:val="lv-LV"/>
        </w:rPr>
        <w:t xml:space="preserve">Grūsnām žurkām, kas pakļautas 50-75% slāpekļa oksidula iedarbībai 24 stundas katru dienu no 6. līdz 12. gestācijas dienai, bija lielāka augļa bojāejas un ribu, kā arī mugurkaula skriemeļu anomāliju sastopamība. </w:t>
      </w:r>
    </w:p>
    <w:p w14:paraId="7A7D41E9" w14:textId="5A35DDB6" w:rsidR="000965F0" w:rsidRDefault="00515BAB" w:rsidP="002F32BB">
      <w:pPr>
        <w:autoSpaceDE w:val="0"/>
        <w:autoSpaceDN w:val="0"/>
        <w:adjustRightInd w:val="0"/>
        <w:spacing w:line="240" w:lineRule="atLeast"/>
        <w:rPr>
          <w:szCs w:val="22"/>
          <w:u w:val="single"/>
          <w:lang w:val="lv-LV"/>
        </w:rPr>
      </w:pPr>
      <w:r>
        <w:rPr>
          <w:szCs w:val="22"/>
          <w:u w:val="single"/>
          <w:lang w:val="lv-LV"/>
        </w:rPr>
        <w:lastRenderedPageBreak/>
        <w:t>Pētījumi ar grauzējiem uzrādīja nelabvēlīgu ie</w:t>
      </w:r>
      <w:r w:rsidR="001969DB">
        <w:rPr>
          <w:szCs w:val="22"/>
          <w:u w:val="single"/>
          <w:lang w:val="lv-LV"/>
        </w:rPr>
        <w:t>tekmi</w:t>
      </w:r>
      <w:r>
        <w:rPr>
          <w:szCs w:val="22"/>
          <w:u w:val="single"/>
          <w:lang w:val="lv-LV"/>
        </w:rPr>
        <w:t xml:space="preserve"> uz reproduktīvajiem orgāniem. Ilgstoša mazu koncentrāciju </w:t>
      </w:r>
      <w:r w:rsidRPr="004914D4">
        <w:rPr>
          <w:szCs w:val="22"/>
          <w:lang w:val="lv-LV"/>
        </w:rPr>
        <w:t xml:space="preserve">(≤1%) </w:t>
      </w:r>
      <w:r>
        <w:rPr>
          <w:szCs w:val="22"/>
          <w:u w:val="single"/>
          <w:lang w:val="lv-LV"/>
        </w:rPr>
        <w:t xml:space="preserve">slāpekļa </w:t>
      </w:r>
      <w:proofErr w:type="spellStart"/>
      <w:r>
        <w:rPr>
          <w:szCs w:val="22"/>
          <w:u w:val="single"/>
          <w:lang w:val="lv-LV"/>
        </w:rPr>
        <w:t>oksidula</w:t>
      </w:r>
      <w:proofErr w:type="spellEnd"/>
      <w:r>
        <w:rPr>
          <w:szCs w:val="22"/>
          <w:u w:val="single"/>
          <w:lang w:val="lv-LV"/>
        </w:rPr>
        <w:t xml:space="preserve"> iedarbība negatīvi ietekmēja žurku tēviņu un mātīšu auglību</w:t>
      </w:r>
      <w:r w:rsidR="00F36241">
        <w:rPr>
          <w:szCs w:val="22"/>
          <w:u w:val="single"/>
          <w:lang w:val="lv-LV"/>
        </w:rPr>
        <w:t xml:space="preserve"> (neliela, ar devu saistīt</w:t>
      </w:r>
      <w:r w:rsidR="004370BB">
        <w:rPr>
          <w:szCs w:val="22"/>
          <w:u w:val="single"/>
          <w:lang w:val="lv-LV"/>
        </w:rPr>
        <w:t>a</w:t>
      </w:r>
      <w:r w:rsidR="00F36241">
        <w:rPr>
          <w:szCs w:val="22"/>
          <w:u w:val="single"/>
          <w:lang w:val="lv-LV"/>
        </w:rPr>
        <w:t xml:space="preserve"> </w:t>
      </w:r>
      <w:proofErr w:type="spellStart"/>
      <w:r w:rsidR="004370BB">
        <w:rPr>
          <w:szCs w:val="22"/>
          <w:u w:val="single"/>
          <w:lang w:val="lv-LV"/>
        </w:rPr>
        <w:t>rezorbcijas</w:t>
      </w:r>
      <w:proofErr w:type="spellEnd"/>
      <w:r w:rsidR="00F36241">
        <w:rPr>
          <w:szCs w:val="22"/>
          <w:u w:val="single"/>
          <w:lang w:val="lv-LV"/>
        </w:rPr>
        <w:t xml:space="preserve"> pieaugum</w:t>
      </w:r>
      <w:r w:rsidR="004370BB">
        <w:rPr>
          <w:szCs w:val="22"/>
          <w:u w:val="single"/>
          <w:lang w:val="lv-LV"/>
        </w:rPr>
        <w:t>a</w:t>
      </w:r>
      <w:r w:rsidR="00F36241">
        <w:rPr>
          <w:szCs w:val="22"/>
          <w:u w:val="single"/>
          <w:lang w:val="lv-LV"/>
        </w:rPr>
        <w:t xml:space="preserve"> un dzīvi dzimušo </w:t>
      </w:r>
      <w:r w:rsidR="004370BB">
        <w:rPr>
          <w:szCs w:val="22"/>
          <w:u w:val="single"/>
          <w:lang w:val="lv-LV"/>
        </w:rPr>
        <w:t xml:space="preserve">skaita </w:t>
      </w:r>
      <w:r w:rsidR="00F36241">
        <w:rPr>
          <w:szCs w:val="22"/>
          <w:u w:val="single"/>
          <w:lang w:val="lv-LV"/>
        </w:rPr>
        <w:t xml:space="preserve">samazināšanās tendence) </w:t>
      </w:r>
      <w:r w:rsidR="004370BB">
        <w:rPr>
          <w:szCs w:val="22"/>
          <w:u w:val="single"/>
          <w:lang w:val="lv-LV"/>
        </w:rPr>
        <w:t xml:space="preserve">. </w:t>
      </w:r>
    </w:p>
    <w:p w14:paraId="32567F15" w14:textId="77777777" w:rsidR="004370BB" w:rsidRDefault="004370BB" w:rsidP="002F32BB">
      <w:pPr>
        <w:autoSpaceDE w:val="0"/>
        <w:autoSpaceDN w:val="0"/>
        <w:adjustRightInd w:val="0"/>
        <w:spacing w:line="240" w:lineRule="atLeast"/>
        <w:rPr>
          <w:szCs w:val="22"/>
          <w:u w:val="single"/>
          <w:lang w:val="lv-LV"/>
        </w:rPr>
      </w:pPr>
      <w:r>
        <w:rPr>
          <w:szCs w:val="22"/>
          <w:u w:val="single"/>
          <w:lang w:val="lv-LV"/>
        </w:rPr>
        <w:t xml:space="preserve">Aprakstīts, ka neiedarbojas uz trušiem un pelēm. </w:t>
      </w:r>
    </w:p>
    <w:p w14:paraId="3B5610C9" w14:textId="38558329" w:rsidR="004370BB" w:rsidRDefault="004370BB" w:rsidP="002F32BB">
      <w:pPr>
        <w:autoSpaceDE w:val="0"/>
        <w:autoSpaceDN w:val="0"/>
        <w:adjustRightInd w:val="0"/>
        <w:spacing w:line="240" w:lineRule="atLeast"/>
        <w:rPr>
          <w:szCs w:val="22"/>
          <w:u w:val="single"/>
          <w:lang w:val="lv-LV"/>
        </w:rPr>
      </w:pPr>
      <w:r>
        <w:rPr>
          <w:szCs w:val="22"/>
          <w:u w:val="single"/>
          <w:lang w:val="lv-LV"/>
        </w:rPr>
        <w:t>Augstāk minēt</w:t>
      </w:r>
      <w:r w:rsidR="001969DB">
        <w:rPr>
          <w:szCs w:val="22"/>
          <w:u w:val="single"/>
          <w:lang w:val="lv-LV"/>
        </w:rPr>
        <w:t>ā</w:t>
      </w:r>
      <w:r>
        <w:rPr>
          <w:szCs w:val="22"/>
          <w:u w:val="single"/>
          <w:lang w:val="lv-LV"/>
        </w:rPr>
        <w:t xml:space="preserve"> nelabvēlīgā iedarbība novērot</w:t>
      </w:r>
      <w:r w:rsidR="001969DB">
        <w:rPr>
          <w:szCs w:val="22"/>
          <w:u w:val="single"/>
          <w:lang w:val="lv-LV"/>
        </w:rPr>
        <w:t>a</w:t>
      </w:r>
      <w:r>
        <w:rPr>
          <w:szCs w:val="22"/>
          <w:u w:val="single"/>
          <w:lang w:val="lv-LV"/>
        </w:rPr>
        <w:t xml:space="preserve"> </w:t>
      </w:r>
      <w:r w:rsidR="009D5B86">
        <w:rPr>
          <w:szCs w:val="22"/>
          <w:u w:val="single"/>
          <w:lang w:val="lv-LV"/>
        </w:rPr>
        <w:t>lietojot</w:t>
      </w:r>
      <w:r>
        <w:rPr>
          <w:szCs w:val="22"/>
          <w:u w:val="single"/>
          <w:lang w:val="lv-LV"/>
        </w:rPr>
        <w:t xml:space="preserve"> augstas koncentrācijas dev</w:t>
      </w:r>
      <w:r w:rsidR="009D5B86">
        <w:rPr>
          <w:szCs w:val="22"/>
          <w:u w:val="single"/>
          <w:lang w:val="lv-LV"/>
        </w:rPr>
        <w:t>as ilgstoši</w:t>
      </w:r>
      <w:r>
        <w:rPr>
          <w:szCs w:val="22"/>
          <w:u w:val="single"/>
          <w:lang w:val="lv-LV"/>
        </w:rPr>
        <w:t xml:space="preserve">, kas nav raksturīgi īslaicīgai slāpekļa </w:t>
      </w:r>
      <w:proofErr w:type="spellStart"/>
      <w:r>
        <w:rPr>
          <w:szCs w:val="22"/>
          <w:u w:val="single"/>
          <w:lang w:val="lv-LV"/>
        </w:rPr>
        <w:t>oksidula</w:t>
      </w:r>
      <w:proofErr w:type="spellEnd"/>
      <w:r>
        <w:rPr>
          <w:szCs w:val="22"/>
          <w:u w:val="single"/>
          <w:lang w:val="lv-LV"/>
        </w:rPr>
        <w:t xml:space="preserve"> </w:t>
      </w:r>
      <w:r w:rsidR="001D7FE6">
        <w:rPr>
          <w:szCs w:val="22"/>
          <w:u w:val="single"/>
          <w:lang w:val="lv-LV"/>
        </w:rPr>
        <w:t>k</w:t>
      </w:r>
      <w:r>
        <w:rPr>
          <w:szCs w:val="22"/>
          <w:u w:val="single"/>
          <w:lang w:val="lv-LV"/>
        </w:rPr>
        <w:t xml:space="preserve">līniskai lietošanai cilvēkiem. </w:t>
      </w:r>
    </w:p>
    <w:p w14:paraId="6FCEC5C9" w14:textId="77777777" w:rsidR="004370BB" w:rsidRPr="007304C2" w:rsidRDefault="004370BB" w:rsidP="002F32BB">
      <w:pPr>
        <w:autoSpaceDE w:val="0"/>
        <w:autoSpaceDN w:val="0"/>
        <w:adjustRightInd w:val="0"/>
        <w:spacing w:line="240" w:lineRule="atLeast"/>
        <w:rPr>
          <w:szCs w:val="22"/>
          <w:u w:val="single"/>
          <w:lang w:val="lv-LV"/>
        </w:rPr>
      </w:pPr>
    </w:p>
    <w:p w14:paraId="6A8696E5" w14:textId="77777777" w:rsidR="00FC3252" w:rsidRPr="007304C2" w:rsidRDefault="00FC3252" w:rsidP="00FC3252">
      <w:pPr>
        <w:autoSpaceDE w:val="0"/>
        <w:autoSpaceDN w:val="0"/>
        <w:adjustRightInd w:val="0"/>
        <w:spacing w:line="240" w:lineRule="atLeast"/>
        <w:rPr>
          <w:u w:val="single"/>
          <w:lang w:val="lv-LV"/>
        </w:rPr>
      </w:pPr>
      <w:r w:rsidRPr="007304C2">
        <w:rPr>
          <w:u w:val="single"/>
          <w:lang w:val="lv-LV"/>
        </w:rPr>
        <w:t>Skābeklis</w:t>
      </w:r>
    </w:p>
    <w:p w14:paraId="4857B82A" w14:textId="77777777" w:rsidR="00FC3252" w:rsidRPr="007304C2" w:rsidRDefault="00FC3252" w:rsidP="00FC3252">
      <w:pPr>
        <w:tabs>
          <w:tab w:val="left" w:pos="567"/>
        </w:tabs>
        <w:autoSpaceDE w:val="0"/>
        <w:autoSpaceDN w:val="0"/>
        <w:adjustRightInd w:val="0"/>
        <w:spacing w:line="240" w:lineRule="atLeast"/>
        <w:jc w:val="both"/>
        <w:rPr>
          <w:lang w:val="lv-LV"/>
        </w:rPr>
      </w:pPr>
      <w:r w:rsidRPr="007304C2">
        <w:rPr>
          <w:lang w:val="lv-LV"/>
        </w:rPr>
        <w:t xml:space="preserve">Neklīniskie dati neliecina par īpašu risku cilvēkiem. Neklīniskajos pētījumos iedarbību novēroja tikai tad, kad skābeklis pārsniedza 50% no pietiekamās iedarbības. </w:t>
      </w:r>
    </w:p>
    <w:p w14:paraId="68410F74" w14:textId="77777777" w:rsidR="000F7067" w:rsidRPr="007304C2" w:rsidRDefault="000F7067">
      <w:pPr>
        <w:suppressAutoHyphens/>
        <w:rPr>
          <w:lang w:val="lv-LV"/>
        </w:rPr>
      </w:pPr>
    </w:p>
    <w:p w14:paraId="22FABA12" w14:textId="77777777" w:rsidR="000F7067" w:rsidRPr="007304C2" w:rsidRDefault="000F7067">
      <w:pPr>
        <w:suppressAutoHyphens/>
        <w:rPr>
          <w:lang w:val="lv-LV"/>
        </w:rPr>
      </w:pPr>
    </w:p>
    <w:p w14:paraId="07C111B8" w14:textId="77777777" w:rsidR="00FC3252" w:rsidRPr="007304C2" w:rsidRDefault="00FC3252" w:rsidP="00FC3252">
      <w:pPr>
        <w:suppressAutoHyphens/>
        <w:ind w:left="567" w:hanging="567"/>
        <w:rPr>
          <w:lang w:val="lv-LV"/>
        </w:rPr>
      </w:pPr>
      <w:r w:rsidRPr="007304C2">
        <w:rPr>
          <w:b/>
          <w:bCs/>
          <w:lang w:val="lv-LV"/>
        </w:rPr>
        <w:t>6.</w:t>
      </w:r>
      <w:r w:rsidRPr="007304C2">
        <w:rPr>
          <w:b/>
          <w:bCs/>
          <w:lang w:val="lv-LV"/>
        </w:rPr>
        <w:tab/>
        <w:t>FARMACEITISKĀ INFORMĀCIJA</w:t>
      </w:r>
    </w:p>
    <w:p w14:paraId="14D176C5" w14:textId="77777777" w:rsidR="000F7067" w:rsidRPr="007304C2" w:rsidRDefault="000F7067">
      <w:pPr>
        <w:suppressAutoHyphens/>
        <w:rPr>
          <w:lang w:val="lv-LV"/>
        </w:rPr>
      </w:pPr>
    </w:p>
    <w:p w14:paraId="42C61C83" w14:textId="77777777" w:rsidR="00FC3252" w:rsidRPr="007304C2" w:rsidRDefault="00FC3252" w:rsidP="00FC3252">
      <w:pPr>
        <w:suppressAutoHyphens/>
        <w:ind w:left="567" w:hanging="567"/>
        <w:rPr>
          <w:lang w:val="lv-LV"/>
        </w:rPr>
      </w:pPr>
      <w:r w:rsidRPr="007304C2">
        <w:rPr>
          <w:b/>
          <w:bCs/>
          <w:lang w:val="lv-LV"/>
        </w:rPr>
        <w:t>6.1.</w:t>
      </w:r>
      <w:r w:rsidRPr="007304C2">
        <w:rPr>
          <w:b/>
          <w:bCs/>
          <w:lang w:val="lv-LV"/>
        </w:rPr>
        <w:tab/>
        <w:t>Palīgvielu saraksts</w:t>
      </w:r>
    </w:p>
    <w:p w14:paraId="4540A93A" w14:textId="77777777" w:rsidR="000F7067" w:rsidRPr="007304C2" w:rsidRDefault="000F7067">
      <w:pPr>
        <w:rPr>
          <w:lang w:val="lv-LV"/>
        </w:rPr>
      </w:pPr>
    </w:p>
    <w:p w14:paraId="5CA8F587" w14:textId="77777777" w:rsidR="00FC3252" w:rsidRPr="007304C2" w:rsidRDefault="00FC3252" w:rsidP="00FC3252">
      <w:pPr>
        <w:rPr>
          <w:lang w:val="lv-LV"/>
        </w:rPr>
      </w:pPr>
      <w:r w:rsidRPr="007304C2">
        <w:rPr>
          <w:lang w:val="lv-LV"/>
        </w:rPr>
        <w:t>Nav</w:t>
      </w:r>
    </w:p>
    <w:p w14:paraId="58E0259E" w14:textId="77777777" w:rsidR="000F7067" w:rsidRPr="007304C2" w:rsidRDefault="000F7067">
      <w:pPr>
        <w:suppressAutoHyphens/>
        <w:rPr>
          <w:lang w:val="lv-LV"/>
        </w:rPr>
      </w:pPr>
    </w:p>
    <w:p w14:paraId="2A0FF59E" w14:textId="77777777" w:rsidR="00FC3252" w:rsidRPr="007304C2" w:rsidRDefault="00FC3252" w:rsidP="00FC3252">
      <w:pPr>
        <w:suppressAutoHyphens/>
        <w:ind w:left="567" w:hanging="567"/>
        <w:rPr>
          <w:lang w:val="lv-LV"/>
        </w:rPr>
      </w:pPr>
      <w:r w:rsidRPr="007304C2">
        <w:rPr>
          <w:b/>
          <w:bCs/>
          <w:lang w:val="lv-LV"/>
        </w:rPr>
        <w:t>6.2.</w:t>
      </w:r>
      <w:r w:rsidRPr="007304C2">
        <w:rPr>
          <w:b/>
          <w:bCs/>
          <w:lang w:val="lv-LV"/>
        </w:rPr>
        <w:tab/>
        <w:t>Nesaderība</w:t>
      </w:r>
    </w:p>
    <w:p w14:paraId="414E725C" w14:textId="77777777" w:rsidR="000F7067" w:rsidRPr="007304C2" w:rsidRDefault="000F7067">
      <w:pPr>
        <w:suppressAutoHyphens/>
        <w:rPr>
          <w:lang w:val="lv-LV"/>
        </w:rPr>
      </w:pPr>
    </w:p>
    <w:p w14:paraId="79860398" w14:textId="77777777" w:rsidR="00FC3252" w:rsidRPr="007304C2" w:rsidRDefault="00FC3252" w:rsidP="00FC3252">
      <w:pPr>
        <w:suppressAutoHyphens/>
        <w:rPr>
          <w:lang w:val="lv-LV"/>
        </w:rPr>
      </w:pPr>
      <w:r w:rsidRPr="007304C2">
        <w:rPr>
          <w:lang w:val="lv-LV"/>
        </w:rPr>
        <w:t>Nav piemērojama.</w:t>
      </w:r>
    </w:p>
    <w:p w14:paraId="2544C5B2" w14:textId="77777777" w:rsidR="000F7067" w:rsidRPr="007304C2" w:rsidRDefault="000F7067">
      <w:pPr>
        <w:suppressAutoHyphens/>
        <w:rPr>
          <w:lang w:val="lv-LV"/>
        </w:rPr>
      </w:pPr>
    </w:p>
    <w:p w14:paraId="5A6111A8" w14:textId="77777777" w:rsidR="00FC3252" w:rsidRPr="007304C2" w:rsidRDefault="00FC3252" w:rsidP="00FC3252">
      <w:pPr>
        <w:keepNext/>
        <w:suppressAutoHyphens/>
        <w:ind w:left="567" w:hanging="567"/>
        <w:rPr>
          <w:lang w:val="lv-LV"/>
        </w:rPr>
      </w:pPr>
      <w:r w:rsidRPr="007304C2">
        <w:rPr>
          <w:b/>
          <w:bCs/>
          <w:lang w:val="lv-LV"/>
        </w:rPr>
        <w:t>6.3.</w:t>
      </w:r>
      <w:r w:rsidRPr="007304C2">
        <w:rPr>
          <w:b/>
          <w:bCs/>
          <w:lang w:val="lv-LV"/>
        </w:rPr>
        <w:tab/>
        <w:t>Uzglabāšanas laiks</w:t>
      </w:r>
    </w:p>
    <w:p w14:paraId="58EF4B9F" w14:textId="77777777" w:rsidR="000F7067" w:rsidRPr="007304C2" w:rsidRDefault="000F7067">
      <w:pPr>
        <w:pStyle w:val="Header"/>
        <w:keepNext/>
        <w:tabs>
          <w:tab w:val="clear" w:pos="4320"/>
          <w:tab w:val="clear" w:pos="8640"/>
        </w:tabs>
        <w:suppressAutoHyphens/>
        <w:rPr>
          <w:lang w:val="lv-LV"/>
        </w:rPr>
      </w:pPr>
    </w:p>
    <w:p w14:paraId="6F34FAAF" w14:textId="77777777" w:rsidR="00FC3252" w:rsidRPr="007304C2" w:rsidRDefault="00FC3252" w:rsidP="00FC3252">
      <w:pPr>
        <w:suppressAutoHyphens/>
        <w:rPr>
          <w:lang w:val="lv-LV"/>
        </w:rPr>
      </w:pPr>
      <w:r w:rsidRPr="007304C2">
        <w:rPr>
          <w:lang w:val="lv-LV"/>
        </w:rPr>
        <w:t>3 gadi.</w:t>
      </w:r>
    </w:p>
    <w:p w14:paraId="5E82094D" w14:textId="77777777" w:rsidR="000F7067" w:rsidRPr="007304C2" w:rsidRDefault="000F7067">
      <w:pPr>
        <w:pStyle w:val="Header"/>
        <w:tabs>
          <w:tab w:val="clear" w:pos="4320"/>
          <w:tab w:val="clear" w:pos="8640"/>
        </w:tabs>
        <w:rPr>
          <w:lang w:val="lv-LV"/>
        </w:rPr>
      </w:pPr>
    </w:p>
    <w:p w14:paraId="3DABC762" w14:textId="77777777" w:rsidR="00FC3252" w:rsidRPr="007304C2" w:rsidRDefault="00FC3252" w:rsidP="00FC3252">
      <w:pPr>
        <w:suppressAutoHyphens/>
        <w:ind w:left="567" w:hanging="567"/>
        <w:rPr>
          <w:lang w:val="lv-LV"/>
        </w:rPr>
      </w:pPr>
      <w:r w:rsidRPr="007304C2">
        <w:rPr>
          <w:b/>
          <w:bCs/>
          <w:lang w:val="lv-LV"/>
        </w:rPr>
        <w:t>6.4.</w:t>
      </w:r>
      <w:r w:rsidRPr="007304C2">
        <w:rPr>
          <w:b/>
          <w:bCs/>
          <w:lang w:val="lv-LV"/>
        </w:rPr>
        <w:tab/>
        <w:t>Īpaši uzglabāšanas nosacījumi</w:t>
      </w:r>
    </w:p>
    <w:p w14:paraId="020CD079" w14:textId="77777777" w:rsidR="000F7067" w:rsidRPr="007304C2" w:rsidRDefault="000F7067">
      <w:pPr>
        <w:rPr>
          <w:i/>
          <w:lang w:val="lv-LV"/>
        </w:rPr>
      </w:pPr>
    </w:p>
    <w:p w14:paraId="40A66B94" w14:textId="77777777" w:rsidR="00FC3252" w:rsidRPr="006461BE" w:rsidRDefault="00B87F5E" w:rsidP="00FC3252">
      <w:pPr>
        <w:rPr>
          <w:i/>
          <w:iCs/>
          <w:lang w:val="lv-LV"/>
        </w:rPr>
      </w:pPr>
      <w:r w:rsidRPr="006461BE">
        <w:rPr>
          <w:i/>
          <w:iCs/>
          <w:lang w:val="lv-LV"/>
        </w:rPr>
        <w:t>Z</w:t>
      </w:r>
      <w:r w:rsidR="00FC3252" w:rsidRPr="006461BE">
        <w:rPr>
          <w:i/>
          <w:iCs/>
          <w:lang w:val="lv-LV"/>
        </w:rPr>
        <w:t>ā</w:t>
      </w:r>
      <w:r w:rsidRPr="006461BE">
        <w:rPr>
          <w:i/>
          <w:iCs/>
          <w:lang w:val="lv-LV"/>
        </w:rPr>
        <w:t>ļu</w:t>
      </w:r>
      <w:r w:rsidR="00FC3252" w:rsidRPr="006461BE">
        <w:rPr>
          <w:i/>
          <w:iCs/>
          <w:lang w:val="lv-LV"/>
        </w:rPr>
        <w:t xml:space="preserve"> uzglabāšanas nosacījumi</w:t>
      </w:r>
    </w:p>
    <w:p w14:paraId="4B79DA65" w14:textId="77777777" w:rsidR="00FC3252" w:rsidRPr="007304C2" w:rsidRDefault="00FC3252" w:rsidP="001E79E1">
      <w:pPr>
        <w:jc w:val="both"/>
        <w:rPr>
          <w:lang w:val="lv-LV"/>
        </w:rPr>
      </w:pPr>
      <w:r w:rsidRPr="006461BE">
        <w:rPr>
          <w:lang w:val="lv-LV"/>
        </w:rPr>
        <w:t xml:space="preserve">Uzglabāt temperatūrā </w:t>
      </w:r>
      <w:r w:rsidR="004B5087" w:rsidRPr="006461BE">
        <w:rPr>
          <w:lang w:val="lv-LV"/>
        </w:rPr>
        <w:t>ne zemākā</w:t>
      </w:r>
      <w:r w:rsidR="004B5087">
        <w:rPr>
          <w:lang w:val="lv-LV"/>
        </w:rPr>
        <w:t xml:space="preserve"> par </w:t>
      </w:r>
      <w:r w:rsidRPr="007304C2">
        <w:rPr>
          <w:lang w:val="lv-LV"/>
        </w:rPr>
        <w:noBreakHyphen/>
        <w:t>5ºC.</w:t>
      </w:r>
    </w:p>
    <w:p w14:paraId="1CBC2611" w14:textId="77777777" w:rsidR="000F7067" w:rsidRPr="007304C2" w:rsidRDefault="000F7067">
      <w:pPr>
        <w:rPr>
          <w:lang w:val="lv-LV"/>
        </w:rPr>
      </w:pPr>
    </w:p>
    <w:p w14:paraId="790D17B0" w14:textId="77777777" w:rsidR="00FC3252" w:rsidRPr="007304C2" w:rsidRDefault="00FC3252" w:rsidP="00FC3252">
      <w:pPr>
        <w:rPr>
          <w:lang w:val="lv-LV"/>
        </w:rPr>
      </w:pPr>
      <w:r w:rsidRPr="007304C2">
        <w:rPr>
          <w:lang w:val="lv-LV"/>
        </w:rPr>
        <w:t>Ja ir aizdomas, ka Entonox ir uzglabāts pārāk aukstos apstākļos, pirms lietošanas baloni vismaz 48 stundas jāuzglabā horizontālā stāvoklī, temperatūrā virs +10</w:t>
      </w:r>
      <w:r w:rsidRPr="007304C2">
        <w:rPr>
          <w:lang w:val="lv-LV"/>
        </w:rPr>
        <w:sym w:font="Symbol" w:char="F0B0"/>
      </w:r>
      <w:r w:rsidRPr="007304C2">
        <w:rPr>
          <w:lang w:val="lv-LV"/>
        </w:rPr>
        <w:t>C .</w:t>
      </w:r>
    </w:p>
    <w:p w14:paraId="0652C004" w14:textId="77777777" w:rsidR="000F7067" w:rsidRPr="007304C2" w:rsidRDefault="000F7067">
      <w:pPr>
        <w:rPr>
          <w:i/>
          <w:lang w:val="lv-LV"/>
        </w:rPr>
      </w:pPr>
    </w:p>
    <w:p w14:paraId="2F9CFD58" w14:textId="77777777" w:rsidR="00FC3252" w:rsidRPr="007304C2" w:rsidRDefault="00180C3D" w:rsidP="00FC3252">
      <w:pPr>
        <w:rPr>
          <w:i/>
          <w:iCs/>
          <w:lang w:val="lv-LV"/>
        </w:rPr>
      </w:pPr>
      <w:r w:rsidRPr="006461BE">
        <w:rPr>
          <w:i/>
          <w:iCs/>
          <w:lang w:val="lv-LV"/>
        </w:rPr>
        <w:t>G</w:t>
      </w:r>
      <w:r w:rsidR="00FC3252" w:rsidRPr="006461BE">
        <w:rPr>
          <w:i/>
          <w:iCs/>
          <w:lang w:val="lv-LV"/>
        </w:rPr>
        <w:t>āzes balon</w:t>
      </w:r>
      <w:r w:rsidRPr="006461BE">
        <w:rPr>
          <w:i/>
          <w:iCs/>
          <w:lang w:val="lv-LV"/>
        </w:rPr>
        <w:t>u</w:t>
      </w:r>
      <w:r w:rsidR="00FC3252" w:rsidRPr="006461BE">
        <w:rPr>
          <w:i/>
          <w:iCs/>
          <w:lang w:val="lv-LV"/>
        </w:rPr>
        <w:t xml:space="preserve"> un gā</w:t>
      </w:r>
      <w:r w:rsidR="003657A4" w:rsidRPr="006461BE">
        <w:rPr>
          <w:i/>
          <w:iCs/>
          <w:lang w:val="lv-LV"/>
        </w:rPr>
        <w:t>z</w:t>
      </w:r>
      <w:r w:rsidRPr="006461BE">
        <w:rPr>
          <w:i/>
          <w:iCs/>
          <w:lang w:val="lv-LV"/>
        </w:rPr>
        <w:t>u</w:t>
      </w:r>
      <w:r w:rsidR="00FC3252" w:rsidRPr="006461BE">
        <w:rPr>
          <w:i/>
          <w:iCs/>
          <w:lang w:val="lv-LV"/>
        </w:rPr>
        <w:t xml:space="preserve"> zem</w:t>
      </w:r>
      <w:r w:rsidR="00FC3252" w:rsidRPr="007304C2">
        <w:rPr>
          <w:i/>
          <w:iCs/>
          <w:lang w:val="lv-LV"/>
        </w:rPr>
        <w:t xml:space="preserve"> spiediena uzglabāšanas nosacījumi</w:t>
      </w:r>
    </w:p>
    <w:p w14:paraId="34AFF309" w14:textId="77777777" w:rsidR="00FC3252" w:rsidRPr="007304C2" w:rsidRDefault="00FC3252" w:rsidP="00FC3252">
      <w:pPr>
        <w:autoSpaceDE w:val="0"/>
        <w:autoSpaceDN w:val="0"/>
        <w:adjustRightInd w:val="0"/>
        <w:rPr>
          <w:lang w:val="lv-LV"/>
        </w:rPr>
      </w:pPr>
      <w:r w:rsidRPr="007304C2">
        <w:rPr>
          <w:lang w:val="lv-LV"/>
        </w:rPr>
        <w:t>Saskaroties ar degošu materiālu, var izraisīt ugunsgrēku.</w:t>
      </w:r>
    </w:p>
    <w:p w14:paraId="5D0B607B" w14:textId="77777777" w:rsidR="00FC3252" w:rsidRPr="007304C2" w:rsidRDefault="00FC3252" w:rsidP="00FC3252">
      <w:pPr>
        <w:autoSpaceDE w:val="0"/>
        <w:autoSpaceDN w:val="0"/>
        <w:adjustRightInd w:val="0"/>
        <w:rPr>
          <w:lang w:val="lv-LV"/>
        </w:rPr>
      </w:pPr>
      <w:r w:rsidRPr="007304C2">
        <w:rPr>
          <w:lang w:val="lv-LV"/>
        </w:rPr>
        <w:t>Tvaiki var izraisīt miegainību un reiboni.</w:t>
      </w:r>
    </w:p>
    <w:p w14:paraId="18814213" w14:textId="77777777" w:rsidR="00FC3252" w:rsidRPr="007304C2" w:rsidRDefault="00FC3252" w:rsidP="00FC3252">
      <w:pPr>
        <w:autoSpaceDE w:val="0"/>
        <w:autoSpaceDN w:val="0"/>
        <w:adjustRightInd w:val="0"/>
        <w:rPr>
          <w:lang w:val="lv-LV"/>
        </w:rPr>
      </w:pPr>
      <w:r w:rsidRPr="007304C2">
        <w:rPr>
          <w:lang w:val="lv-LV"/>
        </w:rPr>
        <w:t>Sargāt no degoša materiāla.</w:t>
      </w:r>
    </w:p>
    <w:p w14:paraId="31D0A241" w14:textId="77777777" w:rsidR="00FC3252" w:rsidRPr="007304C2" w:rsidRDefault="00FC3252" w:rsidP="00FC3252">
      <w:pPr>
        <w:autoSpaceDE w:val="0"/>
        <w:autoSpaceDN w:val="0"/>
        <w:adjustRightInd w:val="0"/>
        <w:rPr>
          <w:lang w:val="lv-LV"/>
        </w:rPr>
      </w:pPr>
      <w:r w:rsidRPr="007304C2">
        <w:rPr>
          <w:lang w:val="lv-LV"/>
        </w:rPr>
        <w:t>Izmantot tikai labi vēdināmās telpās.</w:t>
      </w:r>
    </w:p>
    <w:p w14:paraId="2BED58CD" w14:textId="77777777" w:rsidR="00FC3252" w:rsidRPr="007304C2" w:rsidRDefault="00FC3252" w:rsidP="00FC3252">
      <w:pPr>
        <w:autoSpaceDE w:val="0"/>
        <w:autoSpaceDN w:val="0"/>
        <w:adjustRightInd w:val="0"/>
        <w:rPr>
          <w:lang w:val="lv-LV"/>
        </w:rPr>
      </w:pPr>
      <w:r w:rsidRPr="007304C2">
        <w:rPr>
          <w:lang w:val="lv-LV"/>
        </w:rPr>
        <w:t xml:space="preserve">Nesmēķēt! Nedrīkst pakļaut spēcīga karstuma iedarbībai. </w:t>
      </w:r>
    </w:p>
    <w:p w14:paraId="4B748B5C" w14:textId="77777777" w:rsidR="00FC3252" w:rsidRPr="007304C2" w:rsidRDefault="00FC3252" w:rsidP="00FC3252">
      <w:pPr>
        <w:autoSpaceDE w:val="0"/>
        <w:autoSpaceDN w:val="0"/>
        <w:adjustRightInd w:val="0"/>
        <w:rPr>
          <w:lang w:val="lv-LV"/>
        </w:rPr>
      </w:pPr>
      <w:r w:rsidRPr="007304C2">
        <w:rPr>
          <w:lang w:val="lv-LV"/>
        </w:rPr>
        <w:t xml:space="preserve">Aizdegšanās riska gadījumā pārvietot uz drošu vietu. </w:t>
      </w:r>
    </w:p>
    <w:p w14:paraId="51132EEC" w14:textId="77777777" w:rsidR="00FC3252" w:rsidRPr="007304C2" w:rsidRDefault="00FC3252" w:rsidP="00FC3252">
      <w:pPr>
        <w:autoSpaceDE w:val="0"/>
        <w:autoSpaceDN w:val="0"/>
        <w:adjustRightInd w:val="0"/>
        <w:rPr>
          <w:lang w:val="lv-LV"/>
        </w:rPr>
      </w:pPr>
      <w:r w:rsidRPr="007304C2">
        <w:rPr>
          <w:lang w:val="lv-LV"/>
        </w:rPr>
        <w:t xml:space="preserve">Uzturēt balonu tīru, sausu un nenotraipītu ar eļļu un taukiem. </w:t>
      </w:r>
    </w:p>
    <w:p w14:paraId="67FC0027" w14:textId="77777777" w:rsidR="00FC3252" w:rsidRPr="007304C2" w:rsidRDefault="00FC3252" w:rsidP="00FC3252">
      <w:pPr>
        <w:autoSpaceDE w:val="0"/>
        <w:autoSpaceDN w:val="0"/>
        <w:adjustRightInd w:val="0"/>
        <w:rPr>
          <w:lang w:val="lv-LV"/>
        </w:rPr>
      </w:pPr>
      <w:r w:rsidRPr="007304C2">
        <w:rPr>
          <w:lang w:val="lv-LV"/>
        </w:rPr>
        <w:t>Uzglabāt balonu medicīniskām gāzēm paredzētā slēgtā noliktavā.</w:t>
      </w:r>
    </w:p>
    <w:p w14:paraId="499ED200" w14:textId="77777777" w:rsidR="00FC3252" w:rsidRPr="007304C2" w:rsidRDefault="00FC3252" w:rsidP="00FC3252">
      <w:pPr>
        <w:autoSpaceDE w:val="0"/>
        <w:autoSpaceDN w:val="0"/>
        <w:adjustRightInd w:val="0"/>
        <w:rPr>
          <w:lang w:val="lv-LV"/>
        </w:rPr>
      </w:pPr>
      <w:r w:rsidRPr="007304C2">
        <w:rPr>
          <w:lang w:val="lv-LV"/>
        </w:rPr>
        <w:t>Pārliecinieties, ka balons nav sasists vai nomests zemē.</w:t>
      </w:r>
    </w:p>
    <w:p w14:paraId="6CEB312D" w14:textId="77777777" w:rsidR="00FC3252" w:rsidRPr="007304C2" w:rsidRDefault="00FC3252" w:rsidP="00612307">
      <w:pPr>
        <w:pStyle w:val="Header"/>
        <w:tabs>
          <w:tab w:val="clear" w:pos="4320"/>
          <w:tab w:val="clear" w:pos="8640"/>
        </w:tabs>
        <w:rPr>
          <w:rFonts w:ascii="LindeDax-Regular" w:hAnsi="LindeDax-Regular" w:cs="LindeDax-Regular"/>
          <w:sz w:val="16"/>
          <w:szCs w:val="16"/>
          <w:lang w:val="lv-LV"/>
        </w:rPr>
      </w:pPr>
      <w:r w:rsidRPr="007304C2">
        <w:rPr>
          <w:lang w:val="lv-LV"/>
        </w:rPr>
        <w:t>Uzglabāt un transportēt ar slēgtiem v</w:t>
      </w:r>
      <w:r w:rsidR="00612307">
        <w:rPr>
          <w:lang w:val="lv-LV"/>
        </w:rPr>
        <w:t>entiļiem</w:t>
      </w:r>
      <w:r w:rsidRPr="007304C2">
        <w:rPr>
          <w:lang w:val="lv-LV"/>
        </w:rPr>
        <w:t>.</w:t>
      </w:r>
    </w:p>
    <w:p w14:paraId="15CA69C3" w14:textId="77777777" w:rsidR="000F7067" w:rsidRPr="007304C2" w:rsidRDefault="000F7067">
      <w:pPr>
        <w:rPr>
          <w:lang w:val="lv-LV"/>
        </w:rPr>
      </w:pPr>
    </w:p>
    <w:p w14:paraId="11480C39" w14:textId="77777777" w:rsidR="00FC3252" w:rsidRPr="007304C2" w:rsidRDefault="00FC3252" w:rsidP="002830F2">
      <w:pPr>
        <w:keepNext/>
        <w:suppressAutoHyphens/>
        <w:ind w:left="567" w:hanging="567"/>
        <w:rPr>
          <w:lang w:val="lv-LV"/>
        </w:rPr>
      </w:pPr>
      <w:r w:rsidRPr="007304C2">
        <w:rPr>
          <w:b/>
          <w:bCs/>
          <w:lang w:val="lv-LV"/>
        </w:rPr>
        <w:t>6.5.</w:t>
      </w:r>
      <w:r w:rsidRPr="007304C2">
        <w:rPr>
          <w:b/>
          <w:bCs/>
          <w:lang w:val="lv-LV"/>
        </w:rPr>
        <w:tab/>
        <w:t>Iepakojuma veids un saturs</w:t>
      </w:r>
    </w:p>
    <w:p w14:paraId="1409AAE5" w14:textId="77777777" w:rsidR="000F7067" w:rsidRPr="007304C2" w:rsidRDefault="000F7067" w:rsidP="002830F2">
      <w:pPr>
        <w:keepNext/>
        <w:tabs>
          <w:tab w:val="left" w:pos="567"/>
        </w:tabs>
        <w:rPr>
          <w:lang w:val="lv-LV"/>
        </w:rPr>
      </w:pPr>
    </w:p>
    <w:p w14:paraId="51EDD1E8" w14:textId="77777777" w:rsidR="00FC3252" w:rsidRPr="007304C2" w:rsidRDefault="00FC3252" w:rsidP="002830F2">
      <w:pPr>
        <w:keepNext/>
        <w:tabs>
          <w:tab w:val="left" w:pos="567"/>
        </w:tabs>
        <w:rPr>
          <w:lang w:val="lv-LV"/>
        </w:rPr>
      </w:pPr>
      <w:r w:rsidRPr="007304C2">
        <w:rPr>
          <w:lang w:val="lv-LV"/>
        </w:rPr>
        <w:t>Gāzes balona pleca daļa ir marķēta ar baltu un zilu krāsu (skābeklis/slāpekļa oksiduls). Gāzes balona korpuss ir balts (medicīniskā gāze).</w:t>
      </w:r>
    </w:p>
    <w:p w14:paraId="2B9A8C65" w14:textId="77777777" w:rsidR="00FC3252" w:rsidRPr="007304C2" w:rsidRDefault="00FC3252" w:rsidP="00FC3252">
      <w:pPr>
        <w:pStyle w:val="BodyText"/>
        <w:tabs>
          <w:tab w:val="left" w:pos="567"/>
        </w:tabs>
        <w:spacing w:after="0"/>
        <w:rPr>
          <w:b/>
          <w:bCs/>
          <w:sz w:val="22"/>
          <w:szCs w:val="22"/>
          <w:lang w:val="lv-LV"/>
        </w:rPr>
      </w:pPr>
      <w:r w:rsidRPr="007304C2">
        <w:rPr>
          <w:b/>
          <w:bCs/>
          <w:sz w:val="22"/>
          <w:szCs w:val="22"/>
          <w:lang w:val="lv-LV"/>
        </w:rPr>
        <w:t>Alumīnija gāzes balons, uzpildīšanas spiediens 170 bāri:</w:t>
      </w:r>
    </w:p>
    <w:p w14:paraId="6308D3BC" w14:textId="77777777" w:rsidR="00FC3252" w:rsidRPr="007304C2" w:rsidRDefault="00FC3252" w:rsidP="009D4D29">
      <w:pPr>
        <w:pStyle w:val="BodyText"/>
        <w:tabs>
          <w:tab w:val="left" w:pos="567"/>
        </w:tabs>
        <w:spacing w:after="0"/>
        <w:rPr>
          <w:sz w:val="22"/>
          <w:szCs w:val="22"/>
          <w:lang w:val="lv-LV"/>
        </w:rPr>
      </w:pPr>
      <w:smartTag w:uri="schemas-tilde-lv/tildestengine" w:element="metric2">
        <w:smartTagPr>
          <w:attr w:name="metric_text" w:val="litru"/>
          <w:attr w:name="metric_value" w:val="2"/>
        </w:smartTagPr>
        <w:r w:rsidRPr="007304C2">
          <w:rPr>
            <w:sz w:val="22"/>
            <w:szCs w:val="22"/>
            <w:lang w:val="lv-LV"/>
          </w:rPr>
          <w:t>2 litru</w:t>
        </w:r>
      </w:smartTag>
      <w:r w:rsidRPr="007304C2">
        <w:rPr>
          <w:sz w:val="22"/>
          <w:szCs w:val="22"/>
          <w:lang w:val="lv-LV"/>
        </w:rPr>
        <w:t xml:space="preserve"> alumīnija gāzes balons ar </w:t>
      </w:r>
      <w:r w:rsidR="009D4D29">
        <w:rPr>
          <w:sz w:val="22"/>
          <w:szCs w:val="22"/>
          <w:lang w:val="lv-LV"/>
        </w:rPr>
        <w:t>slēgventili</w:t>
      </w:r>
      <w:r w:rsidRPr="007304C2">
        <w:rPr>
          <w:sz w:val="22"/>
          <w:szCs w:val="22"/>
          <w:lang w:val="lv-LV"/>
        </w:rPr>
        <w:t xml:space="preserve"> un iebūvētu spiediena regulatoru, plūsmas </w:t>
      </w:r>
      <w:r w:rsidR="00762849" w:rsidRPr="00B10EEC">
        <w:rPr>
          <w:sz w:val="22"/>
          <w:szCs w:val="22"/>
          <w:lang w:val="lv-LV"/>
        </w:rPr>
        <w:t>selektoru</w:t>
      </w:r>
      <w:r w:rsidRPr="007304C2">
        <w:rPr>
          <w:sz w:val="22"/>
          <w:szCs w:val="22"/>
          <w:lang w:val="lv-LV"/>
        </w:rPr>
        <w:t xml:space="preserve"> un uzpildīšanas spiedienu 170 bāri.</w:t>
      </w:r>
    </w:p>
    <w:p w14:paraId="64AFB35A" w14:textId="77777777" w:rsidR="00FC3252" w:rsidRPr="007304C2" w:rsidRDefault="00FC3252" w:rsidP="009D4D29">
      <w:pPr>
        <w:pStyle w:val="BodyText"/>
        <w:tabs>
          <w:tab w:val="left" w:pos="567"/>
        </w:tabs>
        <w:spacing w:after="0"/>
        <w:rPr>
          <w:sz w:val="22"/>
          <w:szCs w:val="22"/>
          <w:lang w:val="lv-LV"/>
        </w:rPr>
      </w:pPr>
      <w:smartTag w:uri="schemas-tilde-lv/tildestengine" w:element="metric2">
        <w:smartTagPr>
          <w:attr w:name="metric_text" w:val="litru"/>
          <w:attr w:name="metric_value" w:val="2"/>
        </w:smartTagPr>
        <w:r w:rsidRPr="007304C2">
          <w:rPr>
            <w:sz w:val="22"/>
            <w:szCs w:val="22"/>
            <w:lang w:val="lv-LV"/>
          </w:rPr>
          <w:t>2 litru</w:t>
        </w:r>
      </w:smartTag>
      <w:r w:rsidRPr="007304C2">
        <w:rPr>
          <w:sz w:val="22"/>
          <w:szCs w:val="22"/>
          <w:lang w:val="lv-LV"/>
        </w:rPr>
        <w:t xml:space="preserve"> alumīnija gāzes balons ar </w:t>
      </w:r>
      <w:r w:rsidR="009D4D29">
        <w:rPr>
          <w:sz w:val="22"/>
          <w:szCs w:val="22"/>
          <w:lang w:val="lv-LV"/>
        </w:rPr>
        <w:t xml:space="preserve">slēgventili </w:t>
      </w:r>
      <w:r w:rsidRPr="007304C2">
        <w:rPr>
          <w:sz w:val="22"/>
          <w:szCs w:val="22"/>
          <w:lang w:val="lv-LV"/>
        </w:rPr>
        <w:t>un iebūvētu spiediena regulatoru un uzpildīšanas spiedienu 170 bāri.</w:t>
      </w:r>
    </w:p>
    <w:p w14:paraId="43807EA7" w14:textId="77777777" w:rsidR="0030253B" w:rsidRPr="007304C2" w:rsidRDefault="0030253B" w:rsidP="0030253B">
      <w:pPr>
        <w:pStyle w:val="BodyText"/>
        <w:tabs>
          <w:tab w:val="left" w:pos="567"/>
        </w:tabs>
        <w:spacing w:after="0"/>
        <w:rPr>
          <w:sz w:val="22"/>
          <w:lang w:val="lv-LV"/>
        </w:rPr>
      </w:pPr>
    </w:p>
    <w:p w14:paraId="3387A948" w14:textId="77777777" w:rsidR="00FC3252" w:rsidRPr="007304C2" w:rsidRDefault="00FC3252" w:rsidP="009D4D29">
      <w:pPr>
        <w:rPr>
          <w:lang w:val="lv-LV"/>
        </w:rPr>
      </w:pPr>
      <w:smartTag w:uri="schemas-tilde-lv/tildestengine" w:element="metric2">
        <w:smartTagPr>
          <w:attr w:name="metric_text" w:val="litru"/>
          <w:attr w:name="metric_value" w:val="5"/>
        </w:smartTagPr>
        <w:r w:rsidRPr="007304C2">
          <w:rPr>
            <w:lang w:val="lv-LV"/>
          </w:rPr>
          <w:lastRenderedPageBreak/>
          <w:t>5 litru</w:t>
        </w:r>
      </w:smartTag>
      <w:r w:rsidRPr="007304C2">
        <w:rPr>
          <w:lang w:val="lv-LV"/>
        </w:rPr>
        <w:t xml:space="preserve"> alumīnija gāzes balons ar </w:t>
      </w:r>
      <w:r w:rsidR="009D4D29">
        <w:rPr>
          <w:szCs w:val="22"/>
          <w:lang w:val="lv-LV"/>
        </w:rPr>
        <w:t>slēgventili</w:t>
      </w:r>
      <w:r w:rsidRPr="007304C2">
        <w:rPr>
          <w:lang w:val="lv-LV"/>
        </w:rPr>
        <w:t xml:space="preserve"> un iebūvētu spiediena regulatoru, plūsmas </w:t>
      </w:r>
      <w:r w:rsidR="00762849" w:rsidRPr="009048C4">
        <w:rPr>
          <w:lang w:val="lv-LV"/>
        </w:rPr>
        <w:t>selektoru</w:t>
      </w:r>
      <w:r w:rsidRPr="007304C2">
        <w:rPr>
          <w:lang w:val="lv-LV"/>
        </w:rPr>
        <w:t xml:space="preserve"> un uzpildīšanas spiedienu 170 bāri.</w:t>
      </w:r>
    </w:p>
    <w:p w14:paraId="7675F61C" w14:textId="77777777" w:rsidR="00FC3252" w:rsidRPr="007304C2" w:rsidRDefault="00FC3252" w:rsidP="009D4D29">
      <w:pPr>
        <w:rPr>
          <w:lang w:val="lv-LV"/>
        </w:rPr>
      </w:pPr>
      <w:smartTag w:uri="schemas-tilde-lv/tildestengine" w:element="metric2">
        <w:smartTagPr>
          <w:attr w:name="metric_text" w:val="litru"/>
          <w:attr w:name="metric_value" w:val="5"/>
        </w:smartTagPr>
        <w:r w:rsidRPr="007304C2">
          <w:rPr>
            <w:lang w:val="lv-LV"/>
          </w:rPr>
          <w:t>5 litru</w:t>
        </w:r>
      </w:smartTag>
      <w:r w:rsidRPr="007304C2">
        <w:rPr>
          <w:lang w:val="lv-LV"/>
        </w:rPr>
        <w:t xml:space="preserve"> alumīnija gāzes balons ar </w:t>
      </w:r>
      <w:r w:rsidR="009D4D29">
        <w:rPr>
          <w:szCs w:val="22"/>
          <w:lang w:val="lv-LV"/>
        </w:rPr>
        <w:t>slēgventili</w:t>
      </w:r>
      <w:r w:rsidRPr="007304C2">
        <w:rPr>
          <w:lang w:val="lv-LV"/>
        </w:rPr>
        <w:t xml:space="preserve"> un iebūvētu spiediena regulatoru un uzpildīšanas spiedienu 170 bāri.</w:t>
      </w:r>
    </w:p>
    <w:p w14:paraId="266F90E7" w14:textId="77777777" w:rsidR="0030253B" w:rsidRPr="007304C2" w:rsidRDefault="0030253B" w:rsidP="0030253B">
      <w:pPr>
        <w:rPr>
          <w:lang w:val="lv-LV"/>
        </w:rPr>
      </w:pPr>
    </w:p>
    <w:p w14:paraId="2116A3CB" w14:textId="77777777" w:rsidR="00FC3252" w:rsidRPr="007304C2" w:rsidRDefault="00FC3252" w:rsidP="009D4D29">
      <w:pPr>
        <w:rPr>
          <w:lang w:val="lv-LV"/>
        </w:rPr>
      </w:pPr>
      <w:smartTag w:uri="schemas-tilde-lv/tildestengine" w:element="metric2">
        <w:smartTagPr>
          <w:attr w:name="metric_text" w:val="litru"/>
          <w:attr w:name="metric_value" w:val="10"/>
        </w:smartTagPr>
        <w:r w:rsidRPr="007304C2">
          <w:rPr>
            <w:lang w:val="lv-LV"/>
          </w:rPr>
          <w:t>10 litru</w:t>
        </w:r>
      </w:smartTag>
      <w:r w:rsidRPr="007304C2">
        <w:rPr>
          <w:lang w:val="lv-LV"/>
        </w:rPr>
        <w:t xml:space="preserve"> alumīnija gāzes balons ar </w:t>
      </w:r>
      <w:r w:rsidR="009D4D29">
        <w:rPr>
          <w:szCs w:val="22"/>
          <w:lang w:val="lv-LV"/>
        </w:rPr>
        <w:t>slēgventili</w:t>
      </w:r>
      <w:r w:rsidRPr="007304C2">
        <w:rPr>
          <w:lang w:val="lv-LV"/>
        </w:rPr>
        <w:t xml:space="preserve"> un iebūvētu spiediena regulatoru, plūsmas </w:t>
      </w:r>
      <w:r w:rsidR="00762849" w:rsidRPr="009048C4">
        <w:rPr>
          <w:lang w:val="lv-LV"/>
        </w:rPr>
        <w:t>selektoru</w:t>
      </w:r>
      <w:r w:rsidRPr="007304C2">
        <w:rPr>
          <w:lang w:val="lv-LV"/>
        </w:rPr>
        <w:t xml:space="preserve"> un uzpildīšanas spiedienu 170 bāri.</w:t>
      </w:r>
    </w:p>
    <w:p w14:paraId="7C966D39" w14:textId="77777777" w:rsidR="00FC3252" w:rsidRPr="007304C2" w:rsidRDefault="00FC3252" w:rsidP="009D4D29">
      <w:pPr>
        <w:rPr>
          <w:lang w:val="lv-LV"/>
        </w:rPr>
      </w:pPr>
      <w:smartTag w:uri="schemas-tilde-lv/tildestengine" w:element="metric2">
        <w:smartTagPr>
          <w:attr w:name="metric_text" w:val="litru"/>
          <w:attr w:name="metric_value" w:val="10"/>
        </w:smartTagPr>
        <w:r w:rsidRPr="007304C2">
          <w:rPr>
            <w:lang w:val="lv-LV"/>
          </w:rPr>
          <w:t>10 litru</w:t>
        </w:r>
      </w:smartTag>
      <w:r w:rsidRPr="007304C2">
        <w:rPr>
          <w:lang w:val="lv-LV"/>
        </w:rPr>
        <w:t xml:space="preserve"> alumīnija gāzes balons ar </w:t>
      </w:r>
      <w:r w:rsidR="009D4D29">
        <w:rPr>
          <w:szCs w:val="22"/>
          <w:lang w:val="lv-LV"/>
        </w:rPr>
        <w:t>slēgventili</w:t>
      </w:r>
      <w:r w:rsidRPr="007304C2">
        <w:rPr>
          <w:lang w:val="lv-LV"/>
        </w:rPr>
        <w:t xml:space="preserve"> un iebūvētu spiediena regulatoru un uzpildīšanas spiedienu 170 bāri.</w:t>
      </w:r>
    </w:p>
    <w:p w14:paraId="31E912AD" w14:textId="77777777" w:rsidR="0030253B" w:rsidRPr="007304C2" w:rsidRDefault="0030253B" w:rsidP="0030253B">
      <w:pPr>
        <w:rPr>
          <w:lang w:val="lv-LV"/>
        </w:rPr>
      </w:pPr>
    </w:p>
    <w:p w14:paraId="557E5123" w14:textId="77777777" w:rsidR="0030253B" w:rsidRPr="007304C2" w:rsidRDefault="00FC3252" w:rsidP="00FC3252">
      <w:pPr>
        <w:rPr>
          <w:lang w:val="lv-LV"/>
        </w:rPr>
      </w:pPr>
      <w:r w:rsidRPr="007304C2">
        <w:rPr>
          <w:lang w:val="lv-LV"/>
        </w:rPr>
        <w:t>Baloni, kas piepildīti ar 170 bāru spiedienu, nodrošina aptuveni X litrus gāzes pie atmosfēras spiediena un 15</w:t>
      </w:r>
      <w:r w:rsidRPr="007304C2">
        <w:rPr>
          <w:vertAlign w:val="superscript"/>
          <w:lang w:val="lv-LV"/>
        </w:rPr>
        <w:t>o</w:t>
      </w:r>
      <w:r w:rsidRPr="007304C2">
        <w:rPr>
          <w:lang w:val="lv-LV"/>
        </w:rPr>
        <w:t>C temperatūras atbilstoši tālāk norādītai tabulai.</w:t>
      </w:r>
    </w:p>
    <w:tbl>
      <w:tblPr>
        <w:tblW w:w="33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13"/>
        <w:gridCol w:w="1513"/>
        <w:gridCol w:w="1509"/>
      </w:tblGrid>
      <w:tr w:rsidR="00C2071F" w:rsidRPr="007304C2" w14:paraId="00993920" w14:textId="77777777" w:rsidTr="00C2071F">
        <w:tc>
          <w:tcPr>
            <w:tcW w:w="1250" w:type="pct"/>
          </w:tcPr>
          <w:p w14:paraId="69FB80D5" w14:textId="77777777" w:rsidR="00C2071F" w:rsidRPr="007304C2" w:rsidRDefault="00C2071F" w:rsidP="00FC3252">
            <w:pPr>
              <w:tabs>
                <w:tab w:val="left" w:pos="567"/>
              </w:tabs>
              <w:rPr>
                <w:lang w:val="lv-LV"/>
              </w:rPr>
            </w:pPr>
            <w:r w:rsidRPr="007304C2">
              <w:rPr>
                <w:lang w:val="lv-LV"/>
              </w:rPr>
              <w:t>Balona lielums litros</w:t>
            </w:r>
          </w:p>
        </w:tc>
        <w:tc>
          <w:tcPr>
            <w:tcW w:w="1251" w:type="pct"/>
          </w:tcPr>
          <w:p w14:paraId="708A5267" w14:textId="77777777" w:rsidR="00C2071F" w:rsidRPr="007304C2" w:rsidRDefault="00C2071F" w:rsidP="00FC3252">
            <w:pPr>
              <w:tabs>
                <w:tab w:val="left" w:pos="567"/>
              </w:tabs>
              <w:rPr>
                <w:lang w:val="lv-LV"/>
              </w:rPr>
            </w:pPr>
            <w:r w:rsidRPr="007304C2">
              <w:rPr>
                <w:lang w:val="lv-LV"/>
              </w:rPr>
              <w:t>2  (170 bar)</w:t>
            </w:r>
          </w:p>
        </w:tc>
        <w:tc>
          <w:tcPr>
            <w:tcW w:w="1251" w:type="pct"/>
          </w:tcPr>
          <w:p w14:paraId="05883042" w14:textId="77777777" w:rsidR="00C2071F" w:rsidRPr="007304C2" w:rsidRDefault="00C2071F" w:rsidP="00FC3252">
            <w:pPr>
              <w:tabs>
                <w:tab w:val="left" w:pos="567"/>
              </w:tabs>
              <w:rPr>
                <w:lang w:val="lv-LV"/>
              </w:rPr>
            </w:pPr>
            <w:r w:rsidRPr="007304C2">
              <w:rPr>
                <w:lang w:val="lv-LV"/>
              </w:rPr>
              <w:t>5  (170 bar)</w:t>
            </w:r>
          </w:p>
        </w:tc>
        <w:tc>
          <w:tcPr>
            <w:tcW w:w="1248" w:type="pct"/>
          </w:tcPr>
          <w:p w14:paraId="54B00AC0" w14:textId="77777777" w:rsidR="00C2071F" w:rsidRPr="007304C2" w:rsidRDefault="00C2071F" w:rsidP="00FC3252">
            <w:pPr>
              <w:tabs>
                <w:tab w:val="left" w:pos="567"/>
              </w:tabs>
              <w:rPr>
                <w:lang w:val="lv-LV"/>
              </w:rPr>
            </w:pPr>
            <w:r w:rsidRPr="007304C2">
              <w:rPr>
                <w:lang w:val="lv-LV"/>
              </w:rPr>
              <w:t>10  (170 bar)</w:t>
            </w:r>
          </w:p>
        </w:tc>
      </w:tr>
      <w:tr w:rsidR="00C2071F" w:rsidRPr="007304C2" w14:paraId="0D1F878D" w14:textId="77777777" w:rsidTr="00C2071F">
        <w:tc>
          <w:tcPr>
            <w:tcW w:w="1250" w:type="pct"/>
          </w:tcPr>
          <w:p w14:paraId="11313E25" w14:textId="77777777" w:rsidR="00C2071F" w:rsidRPr="007304C2" w:rsidRDefault="00C2071F" w:rsidP="00FC3252">
            <w:pPr>
              <w:tabs>
                <w:tab w:val="left" w:pos="567"/>
              </w:tabs>
              <w:rPr>
                <w:lang w:val="lv-LV"/>
              </w:rPr>
            </w:pPr>
            <w:r w:rsidRPr="007304C2">
              <w:rPr>
                <w:lang w:val="lv-LV"/>
              </w:rPr>
              <w:t>Litri gāzes</w:t>
            </w:r>
          </w:p>
        </w:tc>
        <w:tc>
          <w:tcPr>
            <w:tcW w:w="1251" w:type="pct"/>
          </w:tcPr>
          <w:p w14:paraId="2929C9CA" w14:textId="77777777" w:rsidR="00C2071F" w:rsidRPr="007304C2" w:rsidRDefault="00C2071F" w:rsidP="0030253B">
            <w:pPr>
              <w:tabs>
                <w:tab w:val="left" w:pos="567"/>
              </w:tabs>
              <w:rPr>
                <w:lang w:val="lv-LV"/>
              </w:rPr>
            </w:pPr>
            <w:r w:rsidRPr="007304C2">
              <w:rPr>
                <w:lang w:val="lv-LV"/>
              </w:rPr>
              <w:t xml:space="preserve">560 </w:t>
            </w:r>
          </w:p>
        </w:tc>
        <w:tc>
          <w:tcPr>
            <w:tcW w:w="1251" w:type="pct"/>
          </w:tcPr>
          <w:p w14:paraId="432F2023" w14:textId="77777777" w:rsidR="00C2071F" w:rsidRPr="007304C2" w:rsidRDefault="00C2071F" w:rsidP="0030253B">
            <w:pPr>
              <w:tabs>
                <w:tab w:val="left" w:pos="567"/>
              </w:tabs>
              <w:rPr>
                <w:lang w:val="lv-LV"/>
              </w:rPr>
            </w:pPr>
            <w:r w:rsidRPr="007304C2">
              <w:rPr>
                <w:lang w:val="lv-LV"/>
              </w:rPr>
              <w:t>1400</w:t>
            </w:r>
          </w:p>
        </w:tc>
        <w:tc>
          <w:tcPr>
            <w:tcW w:w="1248" w:type="pct"/>
          </w:tcPr>
          <w:p w14:paraId="01F0C76E" w14:textId="77777777" w:rsidR="00C2071F" w:rsidRPr="007304C2" w:rsidRDefault="00C2071F" w:rsidP="0030253B">
            <w:pPr>
              <w:tabs>
                <w:tab w:val="left" w:pos="567"/>
              </w:tabs>
              <w:rPr>
                <w:lang w:val="lv-LV"/>
              </w:rPr>
            </w:pPr>
            <w:r w:rsidRPr="007304C2">
              <w:rPr>
                <w:lang w:val="lv-LV"/>
              </w:rPr>
              <w:t>2800</w:t>
            </w:r>
          </w:p>
        </w:tc>
      </w:tr>
    </w:tbl>
    <w:p w14:paraId="0D9FF5BC" w14:textId="77777777" w:rsidR="000F7067" w:rsidRPr="007304C2" w:rsidRDefault="000F7067">
      <w:pPr>
        <w:suppressAutoHyphens/>
        <w:rPr>
          <w:lang w:val="lv-LV"/>
        </w:rPr>
      </w:pPr>
    </w:p>
    <w:p w14:paraId="4CA2D8AC" w14:textId="77777777" w:rsidR="00FC3252" w:rsidRPr="007304C2" w:rsidRDefault="00FC3252" w:rsidP="00FC3252">
      <w:pPr>
        <w:suppressAutoHyphens/>
        <w:rPr>
          <w:lang w:val="lv-LV"/>
        </w:rPr>
      </w:pPr>
      <w:r w:rsidRPr="007304C2">
        <w:rPr>
          <w:lang w:val="lv-LV"/>
        </w:rPr>
        <w:t>Visi iepakojuma lielumi tirgū var nebūt pieejami.</w:t>
      </w:r>
    </w:p>
    <w:p w14:paraId="1E5F0F99" w14:textId="77777777" w:rsidR="000F7067" w:rsidRPr="007304C2" w:rsidRDefault="000F7067">
      <w:pPr>
        <w:rPr>
          <w:lang w:val="lv-LV"/>
        </w:rPr>
      </w:pPr>
    </w:p>
    <w:p w14:paraId="3FE618EE" w14:textId="77777777" w:rsidR="00FC3252" w:rsidRPr="007304C2" w:rsidRDefault="00FC3252" w:rsidP="00FC3252">
      <w:pPr>
        <w:keepNext/>
        <w:suppressAutoHyphens/>
        <w:ind w:left="570" w:hanging="570"/>
        <w:rPr>
          <w:lang w:val="lv-LV"/>
        </w:rPr>
      </w:pPr>
      <w:r w:rsidRPr="007304C2">
        <w:rPr>
          <w:b/>
          <w:bCs/>
          <w:lang w:val="lv-LV"/>
        </w:rPr>
        <w:t>6.6.</w:t>
      </w:r>
      <w:r w:rsidRPr="007304C2">
        <w:rPr>
          <w:b/>
          <w:bCs/>
          <w:lang w:val="lv-LV"/>
        </w:rPr>
        <w:tab/>
        <w:t>Īpaši norādījumi atkritumu likvidēšanai un citi norādījumi par rīkošanos</w:t>
      </w:r>
    </w:p>
    <w:p w14:paraId="79572CB6" w14:textId="77777777" w:rsidR="000F7067" w:rsidRPr="007304C2" w:rsidRDefault="000F7067">
      <w:pPr>
        <w:keepNext/>
        <w:suppressAutoHyphens/>
        <w:rPr>
          <w:lang w:val="lv-LV"/>
        </w:rPr>
      </w:pPr>
    </w:p>
    <w:p w14:paraId="205B428C" w14:textId="77777777" w:rsidR="00FC3252" w:rsidRPr="007304C2" w:rsidRDefault="00FC3252" w:rsidP="00FC3252">
      <w:pPr>
        <w:rPr>
          <w:b/>
          <w:bCs/>
          <w:lang w:val="lv-LV"/>
        </w:rPr>
      </w:pPr>
      <w:r w:rsidRPr="007304C2">
        <w:rPr>
          <w:b/>
          <w:bCs/>
          <w:lang w:val="lv-LV"/>
        </w:rPr>
        <w:t>Norādījumi par lietošanu un rīkošanos</w:t>
      </w:r>
    </w:p>
    <w:p w14:paraId="6814B538" w14:textId="77777777" w:rsidR="000F7067" w:rsidRPr="007304C2" w:rsidRDefault="000F7067">
      <w:pPr>
        <w:keepNext/>
        <w:suppressAutoHyphens/>
        <w:rPr>
          <w:lang w:val="lv-LV"/>
        </w:rPr>
      </w:pPr>
    </w:p>
    <w:p w14:paraId="7D7926AB" w14:textId="77777777" w:rsidR="00FC3252" w:rsidRPr="007304C2" w:rsidRDefault="00FC3252" w:rsidP="00FC3252">
      <w:pPr>
        <w:rPr>
          <w:i/>
          <w:iCs/>
          <w:lang w:val="lv-LV"/>
        </w:rPr>
      </w:pPr>
      <w:r w:rsidRPr="007304C2">
        <w:rPr>
          <w:i/>
          <w:iCs/>
          <w:lang w:val="lv-LV"/>
        </w:rPr>
        <w:t>Vispārēji</w:t>
      </w:r>
    </w:p>
    <w:p w14:paraId="2BCD5B98" w14:textId="77777777" w:rsidR="00FC3252" w:rsidRPr="007304C2" w:rsidRDefault="00FC3252" w:rsidP="00FC3252">
      <w:pPr>
        <w:tabs>
          <w:tab w:val="left" w:pos="567"/>
        </w:tabs>
        <w:rPr>
          <w:lang w:val="lv-LV"/>
        </w:rPr>
      </w:pPr>
      <w:r w:rsidRPr="007304C2">
        <w:rPr>
          <w:lang w:val="lv-LV"/>
        </w:rPr>
        <w:t>Medicīniskās gāzes drīkst lietot tikai medicīniskiem mērķiem.</w:t>
      </w:r>
    </w:p>
    <w:p w14:paraId="003F983C" w14:textId="77777777" w:rsidR="000F7067" w:rsidRPr="007304C2" w:rsidRDefault="000F7067">
      <w:pPr>
        <w:tabs>
          <w:tab w:val="left" w:pos="567"/>
        </w:tabs>
        <w:rPr>
          <w:lang w:val="lv-LV"/>
        </w:rPr>
      </w:pPr>
    </w:p>
    <w:p w14:paraId="22BFEA40" w14:textId="77777777" w:rsidR="00FC3252" w:rsidRPr="007304C2" w:rsidRDefault="00FC3252" w:rsidP="00FC3252">
      <w:pPr>
        <w:tabs>
          <w:tab w:val="left" w:pos="567"/>
        </w:tabs>
        <w:rPr>
          <w:lang w:val="lv-LV"/>
        </w:rPr>
      </w:pPr>
      <w:r w:rsidRPr="007304C2">
        <w:rPr>
          <w:lang w:val="lv-LV"/>
        </w:rPr>
        <w:t>Dažāda veida gāzes jānodala atsevišķi. Pilnie un tukšie gāzes baloni jāglabā atsevišķi.</w:t>
      </w:r>
    </w:p>
    <w:p w14:paraId="378A526C" w14:textId="77777777" w:rsidR="00FC3252" w:rsidRPr="007304C2" w:rsidRDefault="00FC3252" w:rsidP="009D4D29">
      <w:pPr>
        <w:tabs>
          <w:tab w:val="left" w:pos="567"/>
        </w:tabs>
        <w:rPr>
          <w:lang w:val="lv-LV"/>
        </w:rPr>
      </w:pPr>
      <w:r w:rsidRPr="007304C2">
        <w:rPr>
          <w:lang w:val="lv-LV"/>
        </w:rPr>
        <w:t xml:space="preserve">Nekad nelietojiet eļļu vai taukainu vielu, pat, ja balona </w:t>
      </w:r>
      <w:r w:rsidR="009D4D29">
        <w:rPr>
          <w:lang w:val="lv-LV"/>
        </w:rPr>
        <w:t>ventilis</w:t>
      </w:r>
      <w:r w:rsidRPr="007304C2">
        <w:rPr>
          <w:lang w:val="lv-LV"/>
        </w:rPr>
        <w:t xml:space="preserve"> nekustas vai ja regulatoru ir grūti pievienot. Rīkojieties ar </w:t>
      </w:r>
      <w:r w:rsidR="009D4D29">
        <w:rPr>
          <w:lang w:val="lv-LV"/>
        </w:rPr>
        <w:t>ventiļiem</w:t>
      </w:r>
      <w:r w:rsidRPr="007304C2">
        <w:rPr>
          <w:lang w:val="lv-LV"/>
        </w:rPr>
        <w:t xml:space="preserve"> un papildaprīkojumu ar tīrām, netaukainām (roku krēms u.c.) rokām. </w:t>
      </w:r>
    </w:p>
    <w:p w14:paraId="5088D1CD" w14:textId="77777777" w:rsidR="00FC3252" w:rsidRPr="007304C2" w:rsidRDefault="00FC3252" w:rsidP="00FC3252">
      <w:pPr>
        <w:tabs>
          <w:tab w:val="left" w:pos="567"/>
        </w:tabs>
        <w:rPr>
          <w:lang w:val="lv-LV"/>
        </w:rPr>
      </w:pPr>
      <w:r w:rsidRPr="007304C2">
        <w:rPr>
          <w:lang w:val="lv-LV"/>
        </w:rPr>
        <w:t>Izslēdziet aprīkojumu ugunsgrēka gadījumā vai, ja nelietojat.</w:t>
      </w:r>
      <w:r w:rsidR="00561828" w:rsidRPr="007304C2">
        <w:rPr>
          <w:lang w:val="lv-LV"/>
        </w:rPr>
        <w:t xml:space="preserve"> </w:t>
      </w:r>
      <w:r w:rsidRPr="007304C2">
        <w:rPr>
          <w:lang w:val="lv-LV"/>
        </w:rPr>
        <w:t>Aizdegšanās riska gadījumā pārvietot uz drošu vietu.</w:t>
      </w:r>
    </w:p>
    <w:p w14:paraId="2BE573C6" w14:textId="77777777" w:rsidR="00FC3252" w:rsidRPr="007304C2" w:rsidRDefault="00FC3252" w:rsidP="00FC3252">
      <w:pPr>
        <w:tabs>
          <w:tab w:val="left" w:pos="567"/>
        </w:tabs>
        <w:rPr>
          <w:lang w:val="lv-LV"/>
        </w:rPr>
      </w:pPr>
      <w:r w:rsidRPr="007304C2">
        <w:rPr>
          <w:lang w:val="lv-LV"/>
        </w:rPr>
        <w:t>Izmantojiet tikai standarta aprīkojumu, kas paredzēts gāzu maisījumam 50% N</w:t>
      </w:r>
      <w:r w:rsidRPr="007304C2">
        <w:rPr>
          <w:vertAlign w:val="subscript"/>
          <w:lang w:val="lv-LV"/>
        </w:rPr>
        <w:t>2</w:t>
      </w:r>
      <w:r w:rsidRPr="007304C2">
        <w:rPr>
          <w:lang w:val="lv-LV"/>
        </w:rPr>
        <w:t>O/50% O</w:t>
      </w:r>
      <w:r w:rsidRPr="007304C2">
        <w:rPr>
          <w:vertAlign w:val="subscript"/>
          <w:lang w:val="lv-LV"/>
        </w:rPr>
        <w:t>2</w:t>
      </w:r>
      <w:r w:rsidRPr="007304C2">
        <w:rPr>
          <w:lang w:val="lv-LV"/>
        </w:rPr>
        <w:t xml:space="preserve">. </w:t>
      </w:r>
    </w:p>
    <w:p w14:paraId="1C9745A7" w14:textId="77777777" w:rsidR="00FC3252" w:rsidRPr="007304C2" w:rsidRDefault="00FC3252" w:rsidP="00FC3252">
      <w:pPr>
        <w:tabs>
          <w:tab w:val="left" w:pos="567"/>
        </w:tabs>
        <w:rPr>
          <w:lang w:val="lv-LV"/>
        </w:rPr>
      </w:pPr>
      <w:r w:rsidRPr="007304C2">
        <w:rPr>
          <w:lang w:val="lv-LV"/>
        </w:rPr>
        <w:t xml:space="preserve">Pirms lietošanas pārbaudiet, vai baloni ir plombēti. </w:t>
      </w:r>
    </w:p>
    <w:p w14:paraId="7257DF85" w14:textId="77777777" w:rsidR="000F7067" w:rsidRPr="007304C2" w:rsidRDefault="000F7067">
      <w:pPr>
        <w:tabs>
          <w:tab w:val="left" w:pos="567"/>
        </w:tabs>
        <w:rPr>
          <w:lang w:val="lv-LV"/>
        </w:rPr>
      </w:pPr>
    </w:p>
    <w:p w14:paraId="3026F8F0" w14:textId="77777777" w:rsidR="00FC3252" w:rsidRPr="007304C2" w:rsidRDefault="00FC3252" w:rsidP="00FC3252">
      <w:pPr>
        <w:rPr>
          <w:i/>
          <w:iCs/>
          <w:highlight w:val="yellow"/>
          <w:lang w:val="lv-LV"/>
        </w:rPr>
      </w:pPr>
      <w:r w:rsidRPr="007304C2">
        <w:rPr>
          <w:i/>
          <w:iCs/>
          <w:lang w:val="lv-LV"/>
        </w:rPr>
        <w:t>Sagatavošana pirms lietošanas</w:t>
      </w:r>
    </w:p>
    <w:p w14:paraId="6228E055" w14:textId="77777777" w:rsidR="00FC3252" w:rsidRPr="007304C2" w:rsidRDefault="00FC3252" w:rsidP="00B556BE">
      <w:pPr>
        <w:tabs>
          <w:tab w:val="left" w:pos="567"/>
        </w:tabs>
        <w:rPr>
          <w:lang w:val="lv-LV"/>
        </w:rPr>
      </w:pPr>
      <w:r w:rsidRPr="007304C2">
        <w:rPr>
          <w:lang w:val="lv-LV"/>
        </w:rPr>
        <w:t xml:space="preserve">Pirms lietošanas noņemiet no </w:t>
      </w:r>
      <w:r w:rsidR="00B556BE">
        <w:rPr>
          <w:lang w:val="lv-LV"/>
        </w:rPr>
        <w:t>ventiļa</w:t>
      </w:r>
      <w:r w:rsidRPr="007304C2">
        <w:rPr>
          <w:lang w:val="lv-LV"/>
        </w:rPr>
        <w:t xml:space="preserve"> plombi un aizsargvāciņu. </w:t>
      </w:r>
    </w:p>
    <w:p w14:paraId="55331237" w14:textId="77777777" w:rsidR="00FC3252" w:rsidRPr="007304C2" w:rsidRDefault="00FC3252" w:rsidP="00FC3252">
      <w:pPr>
        <w:tabs>
          <w:tab w:val="left" w:pos="567"/>
        </w:tabs>
        <w:rPr>
          <w:lang w:val="lv-LV"/>
        </w:rPr>
      </w:pPr>
    </w:p>
    <w:p w14:paraId="234EB30E" w14:textId="77777777" w:rsidR="00FC3252" w:rsidRPr="007304C2" w:rsidRDefault="00FC3252" w:rsidP="00FC3252">
      <w:pPr>
        <w:tabs>
          <w:tab w:val="left" w:pos="567"/>
        </w:tabs>
        <w:rPr>
          <w:lang w:val="lv-LV"/>
        </w:rPr>
      </w:pPr>
      <w:r w:rsidRPr="007304C2">
        <w:rPr>
          <w:lang w:val="lv-LV"/>
        </w:rPr>
        <w:t>Pārbaudiet, vai ātrais savienotājs ir tīr</w:t>
      </w:r>
      <w:r w:rsidR="004370BB">
        <w:rPr>
          <w:lang w:val="lv-LV"/>
        </w:rPr>
        <w:t>s</w:t>
      </w:r>
      <w:r w:rsidRPr="007304C2">
        <w:rPr>
          <w:lang w:val="lv-LV"/>
        </w:rPr>
        <w:t xml:space="preserve"> un vai savienojumi ir labā stāvoklī.</w:t>
      </w:r>
    </w:p>
    <w:p w14:paraId="1D37E938" w14:textId="77777777" w:rsidR="00FC3252" w:rsidRPr="007304C2" w:rsidRDefault="00FC3252" w:rsidP="00FC3252">
      <w:pPr>
        <w:tabs>
          <w:tab w:val="left" w:pos="567"/>
        </w:tabs>
        <w:rPr>
          <w:lang w:val="lv-LV"/>
        </w:rPr>
      </w:pPr>
      <w:r w:rsidRPr="007304C2">
        <w:rPr>
          <w:lang w:val="lv-LV"/>
        </w:rPr>
        <w:t xml:space="preserve"> </w:t>
      </w:r>
    </w:p>
    <w:p w14:paraId="04FAC79D" w14:textId="77777777" w:rsidR="00FC3252" w:rsidRPr="007304C2" w:rsidRDefault="00FC3252" w:rsidP="00B556BE">
      <w:pPr>
        <w:tabs>
          <w:tab w:val="left" w:pos="567"/>
          <w:tab w:val="left" w:pos="1134"/>
        </w:tabs>
        <w:rPr>
          <w:lang w:val="lv-LV"/>
        </w:rPr>
      </w:pPr>
      <w:r w:rsidRPr="007304C2">
        <w:rPr>
          <w:lang w:val="lv-LV"/>
        </w:rPr>
        <w:t xml:space="preserve">Atveriet balona </w:t>
      </w:r>
      <w:r w:rsidR="00B556BE">
        <w:rPr>
          <w:lang w:val="lv-LV"/>
        </w:rPr>
        <w:t>ventili</w:t>
      </w:r>
      <w:r w:rsidRPr="007304C2">
        <w:rPr>
          <w:lang w:val="lv-LV"/>
        </w:rPr>
        <w:t xml:space="preserve"> lēnām, vismaz par pusapgriezienu. </w:t>
      </w:r>
    </w:p>
    <w:p w14:paraId="23C88357" w14:textId="77777777" w:rsidR="00FC3252" w:rsidRPr="007304C2" w:rsidRDefault="00FC3252" w:rsidP="00B556BE">
      <w:pPr>
        <w:tabs>
          <w:tab w:val="left" w:pos="567"/>
        </w:tabs>
        <w:rPr>
          <w:lang w:val="lv-LV"/>
        </w:rPr>
      </w:pPr>
    </w:p>
    <w:p w14:paraId="5E636803" w14:textId="77777777" w:rsidR="00FC3252" w:rsidRPr="007304C2" w:rsidRDefault="00FC3252" w:rsidP="00B556BE">
      <w:pPr>
        <w:tabs>
          <w:tab w:val="left" w:pos="567"/>
        </w:tabs>
        <w:rPr>
          <w:lang w:val="lv-LV"/>
        </w:rPr>
      </w:pPr>
      <w:r w:rsidRPr="007304C2">
        <w:rPr>
          <w:lang w:val="lv-LV"/>
        </w:rPr>
        <w:t xml:space="preserve">Noplūdes gadījumā aizveriet </w:t>
      </w:r>
      <w:r w:rsidR="00B556BE">
        <w:rPr>
          <w:lang w:val="lv-LV"/>
        </w:rPr>
        <w:t>ventili</w:t>
      </w:r>
      <w:r w:rsidRPr="007304C2">
        <w:rPr>
          <w:lang w:val="lv-LV"/>
        </w:rPr>
        <w:t xml:space="preserve">. Ja noplūde no balona turpinās, iztukšojiet balonu ārpus telpām. Marķējiet bojātos </w:t>
      </w:r>
      <w:r w:rsidR="00B556BE">
        <w:rPr>
          <w:lang w:val="lv-LV"/>
        </w:rPr>
        <w:t>balonus</w:t>
      </w:r>
      <w:r w:rsidRPr="007304C2">
        <w:rPr>
          <w:lang w:val="lv-LV"/>
        </w:rPr>
        <w:t xml:space="preserve">, novietojiet tos atsevišķā vietā un atgrieziet atpakaļ piegādātājam. </w:t>
      </w:r>
    </w:p>
    <w:p w14:paraId="269A18E7" w14:textId="77777777" w:rsidR="00FC3252" w:rsidRPr="007304C2" w:rsidRDefault="00FC3252" w:rsidP="00B556BE">
      <w:pPr>
        <w:tabs>
          <w:tab w:val="left" w:pos="567"/>
        </w:tabs>
        <w:rPr>
          <w:lang w:val="lv-LV"/>
        </w:rPr>
      </w:pPr>
      <w:r w:rsidRPr="007304C2">
        <w:rPr>
          <w:lang w:val="lv-LV"/>
        </w:rPr>
        <w:t xml:space="preserve">Baloniem ar LIV </w:t>
      </w:r>
      <w:r w:rsidR="00B556BE">
        <w:rPr>
          <w:lang w:val="lv-LV"/>
        </w:rPr>
        <w:t xml:space="preserve">ventili </w:t>
      </w:r>
      <w:r w:rsidRPr="007304C2">
        <w:rPr>
          <w:lang w:val="lv-LV"/>
        </w:rPr>
        <w:t xml:space="preserve">ir </w:t>
      </w:r>
      <w:r w:rsidR="00B556BE">
        <w:rPr>
          <w:lang w:val="lv-LV"/>
        </w:rPr>
        <w:t xml:space="preserve">ventilī </w:t>
      </w:r>
      <w:r w:rsidRPr="007304C2">
        <w:rPr>
          <w:lang w:val="lv-LV"/>
        </w:rPr>
        <w:t xml:space="preserve"> iebūvēts spiediena regulators. Tātad atsevišķs spiediena regulators nav nepieciešams. LIV </w:t>
      </w:r>
      <w:r w:rsidR="00B556BE">
        <w:rPr>
          <w:lang w:val="lv-LV"/>
        </w:rPr>
        <w:t>ventilim</w:t>
      </w:r>
      <w:r w:rsidRPr="007304C2">
        <w:rPr>
          <w:lang w:val="lv-LV"/>
        </w:rPr>
        <w:t xml:space="preserve"> ir ātrais savienotājs, lai savienotu ar masku „pēc pieprasījuma”, kā arī atsevišķa izeja pastāvīgai gāzes plūsmai, kur var regulēt gāzes plūsmu no 0 līdz 15 litriem minūtē.</w:t>
      </w:r>
    </w:p>
    <w:p w14:paraId="00BA1948" w14:textId="77777777" w:rsidR="000F7067" w:rsidRPr="007304C2" w:rsidRDefault="000F7067">
      <w:pPr>
        <w:tabs>
          <w:tab w:val="left" w:pos="567"/>
        </w:tabs>
        <w:rPr>
          <w:lang w:val="lv-LV"/>
        </w:rPr>
      </w:pPr>
    </w:p>
    <w:p w14:paraId="7E689DF1" w14:textId="77777777" w:rsidR="00FC3252" w:rsidRPr="007304C2" w:rsidRDefault="00FC3252" w:rsidP="00FC3252">
      <w:pPr>
        <w:tabs>
          <w:tab w:val="left" w:pos="567"/>
        </w:tabs>
        <w:rPr>
          <w:i/>
          <w:iCs/>
          <w:lang w:val="lv-LV"/>
        </w:rPr>
      </w:pPr>
      <w:r w:rsidRPr="007304C2">
        <w:rPr>
          <w:i/>
          <w:iCs/>
          <w:lang w:val="lv-LV"/>
        </w:rPr>
        <w:t>Gāzes balona lietošana</w:t>
      </w:r>
    </w:p>
    <w:p w14:paraId="0E802F00" w14:textId="77777777" w:rsidR="00FC3252" w:rsidRPr="007304C2" w:rsidRDefault="00FC3252" w:rsidP="00FC3252">
      <w:pPr>
        <w:tabs>
          <w:tab w:val="left" w:pos="360"/>
          <w:tab w:val="left" w:pos="567"/>
        </w:tabs>
        <w:rPr>
          <w:lang w:val="lv-LV"/>
        </w:rPr>
      </w:pPr>
      <w:r w:rsidRPr="007304C2">
        <w:rPr>
          <w:lang w:val="lv-LV"/>
        </w:rPr>
        <w:t>Lielākie gāzes baloni jātransportē ar piemērota veida balonu ratiņiem. Pievērsiet īpašu uzmanību, lai pievienotās ierīces nejauši neatvienojas.</w:t>
      </w:r>
      <w:r w:rsidRPr="007304C2">
        <w:rPr>
          <w:highlight w:val="yellow"/>
          <w:lang w:val="lv-LV"/>
        </w:rPr>
        <w:t xml:space="preserve"> </w:t>
      </w:r>
    </w:p>
    <w:p w14:paraId="6697C92C" w14:textId="77777777" w:rsidR="00FC3252" w:rsidRPr="007304C2" w:rsidRDefault="00FC3252" w:rsidP="00FC3252">
      <w:pPr>
        <w:tabs>
          <w:tab w:val="left" w:pos="360"/>
          <w:tab w:val="left" w:pos="567"/>
        </w:tabs>
        <w:rPr>
          <w:lang w:val="lv-LV"/>
        </w:rPr>
      </w:pPr>
      <w:r w:rsidRPr="007304C2">
        <w:rPr>
          <w:lang w:val="lv-LV"/>
        </w:rPr>
        <w:t>Smēķēšana un atklāta liesma telpās, kur notiek ārstēšana ar Entonox, ir stingri aizliegta.</w:t>
      </w:r>
    </w:p>
    <w:p w14:paraId="680D8356" w14:textId="77777777" w:rsidR="00FC3252" w:rsidRPr="007304C2" w:rsidRDefault="00FC3252" w:rsidP="00FC3252">
      <w:pPr>
        <w:tabs>
          <w:tab w:val="left" w:pos="360"/>
          <w:tab w:val="left" w:pos="567"/>
        </w:tabs>
        <w:rPr>
          <w:lang w:val="lv-LV"/>
        </w:rPr>
      </w:pPr>
      <w:r w:rsidRPr="007304C2">
        <w:rPr>
          <w:lang w:val="lv-LV"/>
        </w:rPr>
        <w:t>Balona lietošanas laikā, tam jābūt nostiprinātam piemērotā balstā.</w:t>
      </w:r>
    </w:p>
    <w:p w14:paraId="697458B9" w14:textId="77777777" w:rsidR="00FC3252" w:rsidRPr="007304C2" w:rsidRDefault="00FC3252" w:rsidP="00B556BE">
      <w:pPr>
        <w:tabs>
          <w:tab w:val="left" w:pos="360"/>
          <w:tab w:val="left" w:pos="567"/>
        </w:tabs>
        <w:rPr>
          <w:lang w:val="lv-LV"/>
        </w:rPr>
      </w:pPr>
      <w:r w:rsidRPr="007304C2">
        <w:rPr>
          <w:lang w:val="lv-LV"/>
        </w:rPr>
        <w:t xml:space="preserve">Gāzes balona nomaiņa jāapsver, ja spiediens </w:t>
      </w:r>
      <w:r w:rsidR="00B556BE">
        <w:rPr>
          <w:lang w:val="lv-LV"/>
        </w:rPr>
        <w:t>balonā</w:t>
      </w:r>
      <w:r w:rsidRPr="007304C2">
        <w:rPr>
          <w:lang w:val="lv-LV"/>
        </w:rPr>
        <w:t xml:space="preserve"> ir pazeminājies līdz punktam, kad </w:t>
      </w:r>
      <w:r w:rsidR="00B556BE">
        <w:rPr>
          <w:lang w:val="lv-LV"/>
        </w:rPr>
        <w:t>spiediena i</w:t>
      </w:r>
      <w:r w:rsidRPr="007304C2">
        <w:rPr>
          <w:lang w:val="lv-LV"/>
        </w:rPr>
        <w:t>ndikators atrodas dzeltenajā zonā.</w:t>
      </w:r>
    </w:p>
    <w:p w14:paraId="2F7CB349" w14:textId="77777777" w:rsidR="00FC3252" w:rsidRPr="007304C2" w:rsidRDefault="00FC3252" w:rsidP="00B556BE">
      <w:pPr>
        <w:tabs>
          <w:tab w:val="left" w:pos="360"/>
          <w:tab w:val="left" w:pos="567"/>
        </w:tabs>
        <w:rPr>
          <w:lang w:val="lv-LV"/>
        </w:rPr>
      </w:pPr>
      <w:r w:rsidRPr="007304C2">
        <w:rPr>
          <w:lang w:val="lv-LV"/>
        </w:rPr>
        <w:t xml:space="preserve">Kad gāzes balonā atlicis neliels daudzums gāzes, balona </w:t>
      </w:r>
      <w:r w:rsidR="00B556BE">
        <w:rPr>
          <w:lang w:val="lv-LV"/>
        </w:rPr>
        <w:t>ventilis</w:t>
      </w:r>
      <w:r w:rsidRPr="007304C2">
        <w:rPr>
          <w:lang w:val="lv-LV"/>
        </w:rPr>
        <w:t xml:space="preserve"> ir jānoslēdz. Svarīgi, lai balonā paliktu neliels spiediena atlikums, lai pasargātu balonu no piesārņošanas.</w:t>
      </w:r>
    </w:p>
    <w:p w14:paraId="5DF6B795" w14:textId="77777777" w:rsidR="00FC3252" w:rsidRPr="007304C2" w:rsidRDefault="00FC3252" w:rsidP="00FC3252">
      <w:pPr>
        <w:tabs>
          <w:tab w:val="left" w:pos="567"/>
        </w:tabs>
        <w:rPr>
          <w:lang w:val="lv-LV"/>
        </w:rPr>
      </w:pPr>
      <w:r w:rsidRPr="007304C2">
        <w:rPr>
          <w:lang w:val="lv-LV"/>
        </w:rPr>
        <w:lastRenderedPageBreak/>
        <w:t>Pēc lietošanas balona vārsts jānoslēdz ar rokām. Samaziniet spiedienu regulatorā vai savienojumā.</w:t>
      </w:r>
    </w:p>
    <w:p w14:paraId="5CEDB495" w14:textId="77777777" w:rsidR="000F7067" w:rsidRPr="007304C2" w:rsidRDefault="000F7067">
      <w:pPr>
        <w:tabs>
          <w:tab w:val="left" w:pos="567"/>
        </w:tabs>
        <w:rPr>
          <w:lang w:val="lv-LV"/>
        </w:rPr>
      </w:pPr>
    </w:p>
    <w:p w14:paraId="26358FB9" w14:textId="77777777" w:rsidR="000F7067" w:rsidRPr="007304C2" w:rsidRDefault="000F7067">
      <w:pPr>
        <w:suppressAutoHyphens/>
        <w:rPr>
          <w:lang w:val="lv-LV"/>
        </w:rPr>
      </w:pPr>
    </w:p>
    <w:p w14:paraId="6FD76CA5" w14:textId="77777777" w:rsidR="00FC3252" w:rsidRPr="007304C2" w:rsidRDefault="00FC3252" w:rsidP="00FC3252">
      <w:pPr>
        <w:suppressAutoHyphens/>
        <w:ind w:left="567" w:hanging="567"/>
        <w:rPr>
          <w:lang w:val="lv-LV"/>
        </w:rPr>
      </w:pPr>
      <w:r w:rsidRPr="007304C2">
        <w:rPr>
          <w:b/>
          <w:bCs/>
          <w:lang w:val="lv-LV"/>
        </w:rPr>
        <w:t>7.</w:t>
      </w:r>
      <w:r w:rsidRPr="007304C2">
        <w:rPr>
          <w:b/>
          <w:bCs/>
          <w:lang w:val="lv-LV"/>
        </w:rPr>
        <w:tab/>
        <w:t>REĢISTRĀCIJAS APLIECĪBAS ĪPAŠNIEKS</w:t>
      </w:r>
    </w:p>
    <w:p w14:paraId="366FD7E0" w14:textId="77777777" w:rsidR="000F7067" w:rsidRPr="007304C2" w:rsidRDefault="000F7067">
      <w:pPr>
        <w:rPr>
          <w:lang w:val="lv-LV"/>
        </w:rPr>
      </w:pPr>
    </w:p>
    <w:p w14:paraId="13F4E4F8" w14:textId="26A7C34F" w:rsidR="00FC3252" w:rsidRDefault="00FC3252" w:rsidP="00FC3252">
      <w:pPr>
        <w:suppressAutoHyphens/>
        <w:rPr>
          <w:lang w:val="lv-LV"/>
        </w:rPr>
      </w:pPr>
    </w:p>
    <w:p w14:paraId="65AC9AC2" w14:textId="77777777" w:rsidR="00EE2FF2" w:rsidRPr="002733D7" w:rsidRDefault="00EE2FF2" w:rsidP="00EE2FF2">
      <w:pPr>
        <w:suppressAutoHyphens/>
        <w:rPr>
          <w:bCs/>
          <w:szCs w:val="22"/>
        </w:rPr>
      </w:pPr>
      <w:r w:rsidRPr="002733D7">
        <w:rPr>
          <w:bCs/>
          <w:szCs w:val="22"/>
        </w:rPr>
        <w:t>Linde Sverige AB</w:t>
      </w:r>
    </w:p>
    <w:p w14:paraId="29B9EA9B" w14:textId="77777777" w:rsidR="00EE2FF2" w:rsidRPr="002733D7" w:rsidRDefault="00EE2FF2" w:rsidP="00EE2FF2">
      <w:pPr>
        <w:suppressAutoHyphens/>
        <w:rPr>
          <w:bCs/>
          <w:szCs w:val="22"/>
        </w:rPr>
      </w:pPr>
      <w:r w:rsidRPr="002733D7">
        <w:rPr>
          <w:bCs/>
          <w:szCs w:val="22"/>
        </w:rPr>
        <w:t>Rättarvägen 3</w:t>
      </w:r>
    </w:p>
    <w:p w14:paraId="28FBBE7E" w14:textId="77777777" w:rsidR="00EE2FF2" w:rsidRDefault="00EE2FF2" w:rsidP="00EE2FF2">
      <w:pPr>
        <w:suppressAutoHyphens/>
        <w:rPr>
          <w:bCs/>
          <w:szCs w:val="22"/>
        </w:rPr>
      </w:pPr>
      <w:r w:rsidRPr="00A63FAA">
        <w:rPr>
          <w:bCs/>
          <w:szCs w:val="22"/>
        </w:rPr>
        <w:t>16968 Solna</w:t>
      </w:r>
    </w:p>
    <w:p w14:paraId="6D3998B8" w14:textId="0B431EA8" w:rsidR="00627A29" w:rsidRPr="007304C2" w:rsidRDefault="00627A29" w:rsidP="00EE2FF2">
      <w:pPr>
        <w:suppressAutoHyphens/>
        <w:rPr>
          <w:lang w:val="lv-LV"/>
        </w:rPr>
      </w:pPr>
      <w:r w:rsidRPr="007304C2">
        <w:rPr>
          <w:lang w:val="lv-LV"/>
        </w:rPr>
        <w:t>Zviedrija</w:t>
      </w:r>
    </w:p>
    <w:p w14:paraId="3500CA72" w14:textId="77777777" w:rsidR="000F7067" w:rsidRPr="007304C2" w:rsidRDefault="000F7067">
      <w:pPr>
        <w:suppressAutoHyphens/>
        <w:rPr>
          <w:lang w:val="lv-LV"/>
        </w:rPr>
      </w:pPr>
    </w:p>
    <w:p w14:paraId="7A6354C5" w14:textId="77777777" w:rsidR="000F7067" w:rsidRPr="007304C2" w:rsidRDefault="000F7067">
      <w:pPr>
        <w:suppressAutoHyphens/>
        <w:rPr>
          <w:lang w:val="lv-LV"/>
        </w:rPr>
      </w:pPr>
    </w:p>
    <w:p w14:paraId="4FB81635" w14:textId="77777777" w:rsidR="00FC3252" w:rsidRPr="007304C2" w:rsidRDefault="00FC3252" w:rsidP="00FC3252">
      <w:pPr>
        <w:suppressAutoHyphens/>
        <w:ind w:left="567" w:hanging="567"/>
        <w:rPr>
          <w:lang w:val="lv-LV"/>
        </w:rPr>
      </w:pPr>
      <w:r w:rsidRPr="007304C2">
        <w:rPr>
          <w:b/>
          <w:bCs/>
          <w:lang w:val="lv-LV"/>
        </w:rPr>
        <w:t>8.</w:t>
      </w:r>
      <w:r w:rsidRPr="007304C2">
        <w:rPr>
          <w:b/>
          <w:bCs/>
          <w:lang w:val="lv-LV"/>
        </w:rPr>
        <w:tab/>
        <w:t>REĢISTRĀCIJAS APLIECĪBAS NUMURS(-I)</w:t>
      </w:r>
    </w:p>
    <w:p w14:paraId="6438C6D8" w14:textId="77777777" w:rsidR="000F7067" w:rsidRPr="007304C2" w:rsidRDefault="000F7067">
      <w:pPr>
        <w:rPr>
          <w:i/>
          <w:lang w:val="lv-LV"/>
        </w:rPr>
      </w:pPr>
    </w:p>
    <w:p w14:paraId="71313345" w14:textId="77777777" w:rsidR="000F7067" w:rsidRPr="00D956A8" w:rsidRDefault="00D956A8">
      <w:pPr>
        <w:rPr>
          <w:lang w:val="lv-LV"/>
        </w:rPr>
      </w:pPr>
      <w:r>
        <w:rPr>
          <w:lang w:val="lv-LV"/>
        </w:rPr>
        <w:t>14-0155</w:t>
      </w:r>
    </w:p>
    <w:p w14:paraId="0788C000" w14:textId="77777777" w:rsidR="000F7067" w:rsidRPr="007304C2" w:rsidRDefault="000F7067">
      <w:pPr>
        <w:suppressAutoHyphens/>
        <w:rPr>
          <w:lang w:val="lv-LV"/>
        </w:rPr>
      </w:pPr>
    </w:p>
    <w:p w14:paraId="243A8310" w14:textId="77777777" w:rsidR="000F7067" w:rsidRPr="007304C2" w:rsidRDefault="000F7067">
      <w:pPr>
        <w:suppressAutoHyphens/>
        <w:rPr>
          <w:lang w:val="lv-LV"/>
        </w:rPr>
      </w:pPr>
    </w:p>
    <w:p w14:paraId="73C2C617" w14:textId="77777777" w:rsidR="00FC3252" w:rsidRPr="007304C2" w:rsidRDefault="00FC3252" w:rsidP="00FC3252">
      <w:pPr>
        <w:suppressAutoHyphens/>
        <w:ind w:left="567" w:hanging="567"/>
        <w:rPr>
          <w:lang w:val="lv-LV"/>
        </w:rPr>
      </w:pPr>
      <w:r w:rsidRPr="007304C2">
        <w:rPr>
          <w:b/>
          <w:bCs/>
          <w:lang w:val="lv-LV"/>
        </w:rPr>
        <w:t>9.</w:t>
      </w:r>
      <w:r w:rsidRPr="007304C2">
        <w:rPr>
          <w:b/>
          <w:bCs/>
          <w:lang w:val="lv-LV"/>
        </w:rPr>
        <w:tab/>
        <w:t>PIRMĀS REĢISTRĀCIJAS/PĀRREĢISTRĀCIJAS DATUMS</w:t>
      </w:r>
    </w:p>
    <w:p w14:paraId="123652ED" w14:textId="77777777" w:rsidR="000F7067" w:rsidRPr="007304C2" w:rsidRDefault="000F7067">
      <w:pPr>
        <w:rPr>
          <w:i/>
          <w:lang w:val="lv-LV"/>
        </w:rPr>
      </w:pPr>
    </w:p>
    <w:p w14:paraId="3AF09BC5" w14:textId="4395944F" w:rsidR="001D7FE6" w:rsidRDefault="001D7FE6">
      <w:pPr>
        <w:rPr>
          <w:lang w:val="lv-LV"/>
        </w:rPr>
      </w:pPr>
      <w:r>
        <w:rPr>
          <w:lang w:val="it-IT"/>
        </w:rPr>
        <w:t>Reģistrācijas datums:</w:t>
      </w:r>
      <w:r w:rsidRPr="007304C2">
        <w:rPr>
          <w:lang w:val="lv-LV"/>
        </w:rPr>
        <w:t xml:space="preserve"> </w:t>
      </w:r>
      <w:r w:rsidR="001B3EE9" w:rsidRPr="007304C2">
        <w:rPr>
          <w:lang w:val="lv-LV"/>
        </w:rPr>
        <w:t>16</w:t>
      </w:r>
      <w:r w:rsidR="000F7067" w:rsidRPr="007304C2">
        <w:rPr>
          <w:lang w:val="lv-LV"/>
        </w:rPr>
        <w:t>/</w:t>
      </w:r>
      <w:r w:rsidR="001B3EE9" w:rsidRPr="007304C2">
        <w:rPr>
          <w:lang w:val="lv-LV"/>
        </w:rPr>
        <w:t>04</w:t>
      </w:r>
      <w:r w:rsidR="000F7067" w:rsidRPr="007304C2">
        <w:rPr>
          <w:lang w:val="lv-LV"/>
        </w:rPr>
        <w:t>/</w:t>
      </w:r>
      <w:r w:rsidR="001B3EE9" w:rsidRPr="007304C2">
        <w:rPr>
          <w:lang w:val="lv-LV"/>
        </w:rPr>
        <w:t>2008</w:t>
      </w:r>
      <w:r w:rsidR="007D45AE" w:rsidRPr="007304C2">
        <w:rPr>
          <w:lang w:val="lv-LV"/>
        </w:rPr>
        <w:t xml:space="preserve">  </w:t>
      </w:r>
    </w:p>
    <w:p w14:paraId="4917F73C" w14:textId="0B94EE62" w:rsidR="000F7067" w:rsidRPr="007304C2" w:rsidRDefault="001D7FE6">
      <w:pPr>
        <w:rPr>
          <w:lang w:val="lv-LV"/>
        </w:rPr>
      </w:pPr>
      <w:r>
        <w:rPr>
          <w:lang w:val="it-IT"/>
        </w:rPr>
        <w:t xml:space="preserve">Pēdējās pārreģistrācijas datums: </w:t>
      </w:r>
      <w:r w:rsidR="007D45AE" w:rsidRPr="007304C2">
        <w:rPr>
          <w:lang w:val="lv-LV"/>
        </w:rPr>
        <w:t>07/12/2012</w:t>
      </w:r>
    </w:p>
    <w:p w14:paraId="377487EC" w14:textId="77777777" w:rsidR="000F7067" w:rsidRPr="007304C2" w:rsidRDefault="000F7067">
      <w:pPr>
        <w:rPr>
          <w:i/>
          <w:lang w:val="lv-LV"/>
        </w:rPr>
      </w:pPr>
    </w:p>
    <w:p w14:paraId="0C8F3B62" w14:textId="77777777" w:rsidR="000F7067" w:rsidRPr="007304C2" w:rsidRDefault="000F7067">
      <w:pPr>
        <w:rPr>
          <w:i/>
          <w:lang w:val="lv-LV"/>
        </w:rPr>
      </w:pPr>
    </w:p>
    <w:p w14:paraId="6DE5DF7D" w14:textId="77777777" w:rsidR="00FC3252" w:rsidRDefault="00FC3252" w:rsidP="00FC3252">
      <w:pPr>
        <w:keepNext/>
        <w:suppressAutoHyphens/>
        <w:ind w:left="567" w:hanging="567"/>
        <w:rPr>
          <w:b/>
          <w:bCs/>
          <w:lang w:val="lv-LV"/>
        </w:rPr>
      </w:pPr>
      <w:r w:rsidRPr="007304C2">
        <w:rPr>
          <w:b/>
          <w:bCs/>
          <w:lang w:val="lv-LV"/>
        </w:rPr>
        <w:t>10.</w:t>
      </w:r>
      <w:r w:rsidRPr="007304C2">
        <w:rPr>
          <w:b/>
          <w:bCs/>
          <w:lang w:val="lv-LV"/>
        </w:rPr>
        <w:tab/>
        <w:t>TEKSTA PĀRSKATĪŠANAS DATUMS</w:t>
      </w:r>
    </w:p>
    <w:p w14:paraId="26BBA3CA" w14:textId="77777777" w:rsidR="0095392F" w:rsidRDefault="0095392F" w:rsidP="00FC3252">
      <w:pPr>
        <w:keepNext/>
        <w:suppressAutoHyphens/>
        <w:ind w:left="567" w:hanging="567"/>
        <w:rPr>
          <w:b/>
          <w:bCs/>
          <w:lang w:val="lv-LV"/>
        </w:rPr>
      </w:pPr>
    </w:p>
    <w:p w14:paraId="6CA4EA27" w14:textId="01D11228" w:rsidR="000F7067" w:rsidRPr="007304C2" w:rsidRDefault="00EE2FF2">
      <w:pPr>
        <w:keepNext/>
        <w:suppressAutoHyphens/>
        <w:ind w:left="567" w:hanging="567"/>
        <w:rPr>
          <w:lang w:val="lv-LV"/>
        </w:rPr>
      </w:pPr>
      <w:r>
        <w:rPr>
          <w:lang w:val="lv-LV"/>
        </w:rPr>
        <w:t>2020-03-05</w:t>
      </w:r>
    </w:p>
    <w:p w14:paraId="0DB7DDF8" w14:textId="77777777" w:rsidR="000F7067" w:rsidRPr="007304C2" w:rsidRDefault="000F7067" w:rsidP="00FC3252">
      <w:pPr>
        <w:suppressAutoHyphens/>
        <w:rPr>
          <w:lang w:val="lv-LV"/>
        </w:rPr>
      </w:pPr>
    </w:p>
    <w:sectPr w:rsidR="000F7067" w:rsidRPr="007304C2" w:rsidSect="006770CB">
      <w:headerReference w:type="even" r:id="rId9"/>
      <w:headerReference w:type="default" r:id="rId10"/>
      <w:footerReference w:type="even" r:id="rId11"/>
      <w:footerReference w:type="default" r:id="rId12"/>
      <w:headerReference w:type="first" r:id="rId13"/>
      <w:footerReference w:type="first" r:id="rId14"/>
      <w:endnotePr>
        <w:numFmt w:val="decimal"/>
      </w:endnotePr>
      <w:pgSz w:w="11918"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69E4" w14:textId="77777777" w:rsidR="002F7E74" w:rsidRDefault="002F7E74">
      <w:r>
        <w:separator/>
      </w:r>
    </w:p>
  </w:endnote>
  <w:endnote w:type="continuationSeparator" w:id="0">
    <w:p w14:paraId="34413DDA" w14:textId="77777777" w:rsidR="002F7E74" w:rsidRDefault="002F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indeDax-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DAAC" w14:textId="77777777" w:rsidR="006770CB" w:rsidRDefault="0067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2EA5" w14:textId="77777777" w:rsidR="00A63602" w:rsidRDefault="00A63602">
    <w:pPr>
      <w:pStyle w:val="Footer"/>
      <w:tabs>
        <w:tab w:val="clear" w:pos="8930"/>
        <w:tab w:val="right" w:pos="8931"/>
      </w:tabs>
      <w:ind w:right="96"/>
      <w:jc w:val="center"/>
    </w:pPr>
    <w:r>
      <w:fldChar w:fldCharType="begin"/>
    </w:r>
    <w:r>
      <w:instrText xml:space="preserve"> EQ </w:instrText>
    </w:r>
    <w:r>
      <w:fldChar w:fldCharType="end"/>
    </w:r>
    <w:r>
      <w:fldChar w:fldCharType="begin"/>
    </w:r>
    <w:r>
      <w:instrText>PAGE</w:instrText>
    </w:r>
    <w:r>
      <w:rPr>
        <w:i/>
        <w:sz w:val="22"/>
        <w:lang w:val="sv-SE"/>
      </w:rPr>
      <w:instrText xml:space="preserve"> </w:instrText>
    </w:r>
    <w:r>
      <w:fldChar w:fldCharType="separate"/>
    </w:r>
    <w:r w:rsidR="00BD58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C88C" w14:textId="77777777" w:rsidR="00A63602" w:rsidRDefault="00A63602">
    <w:pPr>
      <w:pStyle w:val="Footer"/>
    </w:pPr>
  </w:p>
  <w:p w14:paraId="23D77A3A" w14:textId="77777777" w:rsidR="00A63602" w:rsidRDefault="00A63602">
    <w:pPr>
      <w:pStyle w:val="Footer"/>
      <w:tabs>
        <w:tab w:val="clear" w:pos="8930"/>
        <w:tab w:val="right" w:pos="8931"/>
      </w:tabs>
      <w:ind w:right="96"/>
      <w:jc w:val="center"/>
    </w:pPr>
    <w:r>
      <w:fldChar w:fldCharType="begin"/>
    </w:r>
    <w:r>
      <w:instrText xml:space="preserve"> EQ </w:instrText>
    </w:r>
    <w:r>
      <w:fldChar w:fldCharType="end"/>
    </w:r>
    <w:r>
      <w:fldChar w:fldCharType="begin"/>
    </w:r>
    <w:r>
      <w:instrText>PAGE</w:instrText>
    </w:r>
    <w:r>
      <w:rPr>
        <w:i/>
        <w:sz w:val="22"/>
        <w:lang w:val="sv-SE"/>
      </w:rPr>
      <w:instrText xml:space="preserve"> </w:instrText>
    </w:r>
    <w:r>
      <w:fldChar w:fldCharType="separate"/>
    </w:r>
    <w:r w:rsidR="00BD580F">
      <w:rPr>
        <w:noProof/>
      </w:rPr>
      <w:t>1</w:t>
    </w:r>
    <w:r>
      <w:fldChar w:fldCharType="end"/>
    </w:r>
  </w:p>
  <w:p w14:paraId="1C78D4F8" w14:textId="77777777" w:rsidR="00A63602" w:rsidRDefault="00A63602">
    <w:pPr>
      <w:pStyle w:val="Footer"/>
      <w:tabs>
        <w:tab w:val="clear" w:pos="8930"/>
        <w:tab w:val="right" w:pos="8931"/>
      </w:tabs>
      <w:ind w:right="9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67354" w14:textId="77777777" w:rsidR="002F7E74" w:rsidRDefault="002F7E74">
      <w:r>
        <w:separator/>
      </w:r>
    </w:p>
  </w:footnote>
  <w:footnote w:type="continuationSeparator" w:id="0">
    <w:p w14:paraId="62C3EBFF" w14:textId="77777777" w:rsidR="002F7E74" w:rsidRDefault="002F7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9949" w14:textId="77777777" w:rsidR="006770CB" w:rsidRDefault="00677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C7A6" w14:textId="77777777" w:rsidR="00FC362E" w:rsidRPr="009152B1" w:rsidRDefault="00FC362E" w:rsidP="00FC362E">
    <w:pPr>
      <w:pStyle w:val="Header"/>
      <w:jc w:val="right"/>
      <w:rPr>
        <w:sz w:val="24"/>
        <w:szCs w:val="24"/>
      </w:rPr>
    </w:pPr>
    <w:bookmarkStart w:id="4" w:name="_GoBack"/>
    <w:bookmarkEnd w:id="4"/>
    <w:r>
      <w:rPr>
        <w:sz w:val="24"/>
        <w:szCs w:val="24"/>
      </w:rPr>
      <w:t>SASKAŅOTS ZVA 28-05-2020</w:t>
    </w:r>
  </w:p>
  <w:p w14:paraId="6D5006B4" w14:textId="77777777" w:rsidR="00B665F6" w:rsidRPr="00B665F6" w:rsidRDefault="00B665F6" w:rsidP="00B665F6">
    <w:pPr>
      <w:pStyle w:val="Header"/>
      <w:jc w:val="right"/>
      <w:rPr>
        <w:sz w:val="24"/>
        <w:szCs w:val="24"/>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F906" w14:textId="3B6EA38C" w:rsidR="009152B1" w:rsidRPr="009152B1" w:rsidRDefault="009152B1" w:rsidP="009152B1">
    <w:pPr>
      <w:pStyle w:val="Header"/>
      <w:jc w:val="right"/>
      <w:rPr>
        <w:sz w:val="24"/>
        <w:szCs w:val="24"/>
      </w:rPr>
    </w:pPr>
    <w:r>
      <w:rPr>
        <w:sz w:val="24"/>
        <w:szCs w:val="24"/>
      </w:rPr>
      <w:t>SASKAŅOTS ZVA 28-05-2020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A17147"/>
    <w:multiLevelType w:val="hybridMultilevel"/>
    <w:tmpl w:val="2344647E"/>
    <w:lvl w:ilvl="0" w:tplc="C032F0B2">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143828"/>
    <w:multiLevelType w:val="hybridMultilevel"/>
    <w:tmpl w:val="0B4CE0D8"/>
    <w:lvl w:ilvl="0" w:tplc="D79E642A">
      <w:numFmt w:val="bullet"/>
      <w:lvlText w:val="-"/>
      <w:lvlJc w:val="left"/>
      <w:pPr>
        <w:tabs>
          <w:tab w:val="num" w:pos="720"/>
        </w:tabs>
        <w:ind w:left="720" w:hanging="360"/>
      </w:pPr>
      <w:rPr>
        <w:rFonts w:ascii="Times New Roman" w:eastAsia="Times New Roman" w:hAnsi="Times New Roman" w:cs="Times New Roman" w:hint="default"/>
      </w:rPr>
    </w:lvl>
    <w:lvl w:ilvl="1" w:tplc="05E46CF8" w:tentative="1">
      <w:start w:val="1"/>
      <w:numFmt w:val="bullet"/>
      <w:lvlText w:val="o"/>
      <w:lvlJc w:val="left"/>
      <w:pPr>
        <w:tabs>
          <w:tab w:val="num" w:pos="1440"/>
        </w:tabs>
        <w:ind w:left="1440" w:hanging="360"/>
      </w:pPr>
      <w:rPr>
        <w:rFonts w:ascii="Courier New" w:hAnsi="Courier New" w:hint="default"/>
      </w:rPr>
    </w:lvl>
    <w:lvl w:ilvl="2" w:tplc="E15E9608" w:tentative="1">
      <w:start w:val="1"/>
      <w:numFmt w:val="bullet"/>
      <w:lvlText w:val=""/>
      <w:lvlJc w:val="left"/>
      <w:pPr>
        <w:tabs>
          <w:tab w:val="num" w:pos="2160"/>
        </w:tabs>
        <w:ind w:left="2160" w:hanging="360"/>
      </w:pPr>
      <w:rPr>
        <w:rFonts w:ascii="Wingdings" w:hAnsi="Wingdings" w:hint="default"/>
      </w:rPr>
    </w:lvl>
    <w:lvl w:ilvl="3" w:tplc="262A630E" w:tentative="1">
      <w:start w:val="1"/>
      <w:numFmt w:val="bullet"/>
      <w:lvlText w:val=""/>
      <w:lvlJc w:val="left"/>
      <w:pPr>
        <w:tabs>
          <w:tab w:val="num" w:pos="2880"/>
        </w:tabs>
        <w:ind w:left="2880" w:hanging="360"/>
      </w:pPr>
      <w:rPr>
        <w:rFonts w:ascii="Symbol" w:hAnsi="Symbol" w:hint="default"/>
      </w:rPr>
    </w:lvl>
    <w:lvl w:ilvl="4" w:tplc="A40E279E" w:tentative="1">
      <w:start w:val="1"/>
      <w:numFmt w:val="bullet"/>
      <w:lvlText w:val="o"/>
      <w:lvlJc w:val="left"/>
      <w:pPr>
        <w:tabs>
          <w:tab w:val="num" w:pos="3600"/>
        </w:tabs>
        <w:ind w:left="3600" w:hanging="360"/>
      </w:pPr>
      <w:rPr>
        <w:rFonts w:ascii="Courier New" w:hAnsi="Courier New" w:hint="default"/>
      </w:rPr>
    </w:lvl>
    <w:lvl w:ilvl="5" w:tplc="5A6C7A10" w:tentative="1">
      <w:start w:val="1"/>
      <w:numFmt w:val="bullet"/>
      <w:lvlText w:val=""/>
      <w:lvlJc w:val="left"/>
      <w:pPr>
        <w:tabs>
          <w:tab w:val="num" w:pos="4320"/>
        </w:tabs>
        <w:ind w:left="4320" w:hanging="360"/>
      </w:pPr>
      <w:rPr>
        <w:rFonts w:ascii="Wingdings" w:hAnsi="Wingdings" w:hint="default"/>
      </w:rPr>
    </w:lvl>
    <w:lvl w:ilvl="6" w:tplc="2146BE50" w:tentative="1">
      <w:start w:val="1"/>
      <w:numFmt w:val="bullet"/>
      <w:lvlText w:val=""/>
      <w:lvlJc w:val="left"/>
      <w:pPr>
        <w:tabs>
          <w:tab w:val="num" w:pos="5040"/>
        </w:tabs>
        <w:ind w:left="5040" w:hanging="360"/>
      </w:pPr>
      <w:rPr>
        <w:rFonts w:ascii="Symbol" w:hAnsi="Symbol" w:hint="default"/>
      </w:rPr>
    </w:lvl>
    <w:lvl w:ilvl="7" w:tplc="7B1A3204" w:tentative="1">
      <w:start w:val="1"/>
      <w:numFmt w:val="bullet"/>
      <w:lvlText w:val="o"/>
      <w:lvlJc w:val="left"/>
      <w:pPr>
        <w:tabs>
          <w:tab w:val="num" w:pos="5760"/>
        </w:tabs>
        <w:ind w:left="5760" w:hanging="360"/>
      </w:pPr>
      <w:rPr>
        <w:rFonts w:ascii="Courier New" w:hAnsi="Courier New" w:hint="default"/>
      </w:rPr>
    </w:lvl>
    <w:lvl w:ilvl="8" w:tplc="3D6E0B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3194E"/>
    <w:multiLevelType w:val="hybridMultilevel"/>
    <w:tmpl w:val="E68405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8252CC"/>
    <w:multiLevelType w:val="hybridMultilevel"/>
    <w:tmpl w:val="FB2A467E"/>
    <w:lvl w:ilvl="0" w:tplc="FDBA65E0">
      <w:numFmt w:val="bullet"/>
      <w:lvlText w:val="-"/>
      <w:lvlJc w:val="left"/>
      <w:pPr>
        <w:tabs>
          <w:tab w:val="num" w:pos="207"/>
        </w:tabs>
        <w:ind w:left="207" w:hanging="360"/>
      </w:pPr>
      <w:rPr>
        <w:rFonts w:ascii="Times New Roman" w:eastAsia="Times New Roman" w:hAnsi="Times New Roman" w:cs="Times New Roman" w:hint="default"/>
      </w:rPr>
    </w:lvl>
    <w:lvl w:ilvl="1" w:tplc="D314669E" w:tentative="1">
      <w:start w:val="1"/>
      <w:numFmt w:val="bullet"/>
      <w:lvlText w:val="o"/>
      <w:lvlJc w:val="left"/>
      <w:pPr>
        <w:tabs>
          <w:tab w:val="num" w:pos="927"/>
        </w:tabs>
        <w:ind w:left="927" w:hanging="360"/>
      </w:pPr>
      <w:rPr>
        <w:rFonts w:ascii="Courier New" w:hAnsi="Courier New" w:hint="default"/>
      </w:rPr>
    </w:lvl>
    <w:lvl w:ilvl="2" w:tplc="223A620C" w:tentative="1">
      <w:start w:val="1"/>
      <w:numFmt w:val="bullet"/>
      <w:lvlText w:val=""/>
      <w:lvlJc w:val="left"/>
      <w:pPr>
        <w:tabs>
          <w:tab w:val="num" w:pos="1647"/>
        </w:tabs>
        <w:ind w:left="1647" w:hanging="360"/>
      </w:pPr>
      <w:rPr>
        <w:rFonts w:ascii="Wingdings" w:hAnsi="Wingdings" w:hint="default"/>
      </w:rPr>
    </w:lvl>
    <w:lvl w:ilvl="3" w:tplc="F01C1462" w:tentative="1">
      <w:start w:val="1"/>
      <w:numFmt w:val="bullet"/>
      <w:lvlText w:val=""/>
      <w:lvlJc w:val="left"/>
      <w:pPr>
        <w:tabs>
          <w:tab w:val="num" w:pos="2367"/>
        </w:tabs>
        <w:ind w:left="2367" w:hanging="360"/>
      </w:pPr>
      <w:rPr>
        <w:rFonts w:ascii="Symbol" w:hAnsi="Symbol" w:hint="default"/>
      </w:rPr>
    </w:lvl>
    <w:lvl w:ilvl="4" w:tplc="56E4F044" w:tentative="1">
      <w:start w:val="1"/>
      <w:numFmt w:val="bullet"/>
      <w:lvlText w:val="o"/>
      <w:lvlJc w:val="left"/>
      <w:pPr>
        <w:tabs>
          <w:tab w:val="num" w:pos="3087"/>
        </w:tabs>
        <w:ind w:left="3087" w:hanging="360"/>
      </w:pPr>
      <w:rPr>
        <w:rFonts w:ascii="Courier New" w:hAnsi="Courier New" w:hint="default"/>
      </w:rPr>
    </w:lvl>
    <w:lvl w:ilvl="5" w:tplc="ED323D0E" w:tentative="1">
      <w:start w:val="1"/>
      <w:numFmt w:val="bullet"/>
      <w:lvlText w:val=""/>
      <w:lvlJc w:val="left"/>
      <w:pPr>
        <w:tabs>
          <w:tab w:val="num" w:pos="3807"/>
        </w:tabs>
        <w:ind w:left="3807" w:hanging="360"/>
      </w:pPr>
      <w:rPr>
        <w:rFonts w:ascii="Wingdings" w:hAnsi="Wingdings" w:hint="default"/>
      </w:rPr>
    </w:lvl>
    <w:lvl w:ilvl="6" w:tplc="8E9A0D74" w:tentative="1">
      <w:start w:val="1"/>
      <w:numFmt w:val="bullet"/>
      <w:lvlText w:val=""/>
      <w:lvlJc w:val="left"/>
      <w:pPr>
        <w:tabs>
          <w:tab w:val="num" w:pos="4527"/>
        </w:tabs>
        <w:ind w:left="4527" w:hanging="360"/>
      </w:pPr>
      <w:rPr>
        <w:rFonts w:ascii="Symbol" w:hAnsi="Symbol" w:hint="default"/>
      </w:rPr>
    </w:lvl>
    <w:lvl w:ilvl="7" w:tplc="9AF2D332" w:tentative="1">
      <w:start w:val="1"/>
      <w:numFmt w:val="bullet"/>
      <w:lvlText w:val="o"/>
      <w:lvlJc w:val="left"/>
      <w:pPr>
        <w:tabs>
          <w:tab w:val="num" w:pos="5247"/>
        </w:tabs>
        <w:ind w:left="5247" w:hanging="360"/>
      </w:pPr>
      <w:rPr>
        <w:rFonts w:ascii="Courier New" w:hAnsi="Courier New" w:hint="default"/>
      </w:rPr>
    </w:lvl>
    <w:lvl w:ilvl="8" w:tplc="BB4E1734" w:tentative="1">
      <w:start w:val="1"/>
      <w:numFmt w:val="bullet"/>
      <w:lvlText w:val=""/>
      <w:lvlJc w:val="left"/>
      <w:pPr>
        <w:tabs>
          <w:tab w:val="num" w:pos="5967"/>
        </w:tabs>
        <w:ind w:left="5967" w:hanging="360"/>
      </w:pPr>
      <w:rPr>
        <w:rFonts w:ascii="Wingdings" w:hAnsi="Wingdings" w:hint="default"/>
      </w:rPr>
    </w:lvl>
  </w:abstractNum>
  <w:abstractNum w:abstractNumId="5" w15:restartNumberingAfterBreak="0">
    <w:nsid w:val="68A851D4"/>
    <w:multiLevelType w:val="hybridMultilevel"/>
    <w:tmpl w:val="F5BA991A"/>
    <w:lvl w:ilvl="0" w:tplc="F482B9F0">
      <w:numFmt w:val="bullet"/>
      <w:lvlText w:val="-"/>
      <w:lvlJc w:val="left"/>
      <w:pPr>
        <w:tabs>
          <w:tab w:val="num" w:pos="207"/>
        </w:tabs>
        <w:ind w:left="207" w:hanging="360"/>
      </w:pPr>
      <w:rPr>
        <w:rFonts w:ascii="Times New Roman" w:eastAsia="Times New Roman" w:hAnsi="Times New Roman" w:cs="Times New Roman" w:hint="default"/>
      </w:rPr>
    </w:lvl>
    <w:lvl w:ilvl="1" w:tplc="B128E8E2">
      <w:start w:val="1"/>
      <w:numFmt w:val="bullet"/>
      <w:lvlText w:val="o"/>
      <w:lvlJc w:val="left"/>
      <w:pPr>
        <w:tabs>
          <w:tab w:val="num" w:pos="1440"/>
        </w:tabs>
        <w:ind w:left="1440" w:hanging="360"/>
      </w:pPr>
      <w:rPr>
        <w:rFonts w:ascii="Courier New" w:hAnsi="Courier New" w:hint="default"/>
      </w:rPr>
    </w:lvl>
    <w:lvl w:ilvl="2" w:tplc="C51A02C6" w:tentative="1">
      <w:start w:val="1"/>
      <w:numFmt w:val="bullet"/>
      <w:lvlText w:val=""/>
      <w:lvlJc w:val="left"/>
      <w:pPr>
        <w:tabs>
          <w:tab w:val="num" w:pos="2160"/>
        </w:tabs>
        <w:ind w:left="2160" w:hanging="360"/>
      </w:pPr>
      <w:rPr>
        <w:rFonts w:ascii="Wingdings" w:hAnsi="Wingdings" w:hint="default"/>
      </w:rPr>
    </w:lvl>
    <w:lvl w:ilvl="3" w:tplc="C12E9528" w:tentative="1">
      <w:start w:val="1"/>
      <w:numFmt w:val="bullet"/>
      <w:lvlText w:val=""/>
      <w:lvlJc w:val="left"/>
      <w:pPr>
        <w:tabs>
          <w:tab w:val="num" w:pos="2880"/>
        </w:tabs>
        <w:ind w:left="2880" w:hanging="360"/>
      </w:pPr>
      <w:rPr>
        <w:rFonts w:ascii="Symbol" w:hAnsi="Symbol" w:hint="default"/>
      </w:rPr>
    </w:lvl>
    <w:lvl w:ilvl="4" w:tplc="B7D86FF2" w:tentative="1">
      <w:start w:val="1"/>
      <w:numFmt w:val="bullet"/>
      <w:lvlText w:val="o"/>
      <w:lvlJc w:val="left"/>
      <w:pPr>
        <w:tabs>
          <w:tab w:val="num" w:pos="3600"/>
        </w:tabs>
        <w:ind w:left="3600" w:hanging="360"/>
      </w:pPr>
      <w:rPr>
        <w:rFonts w:ascii="Courier New" w:hAnsi="Courier New" w:hint="default"/>
      </w:rPr>
    </w:lvl>
    <w:lvl w:ilvl="5" w:tplc="F02083CA" w:tentative="1">
      <w:start w:val="1"/>
      <w:numFmt w:val="bullet"/>
      <w:lvlText w:val=""/>
      <w:lvlJc w:val="left"/>
      <w:pPr>
        <w:tabs>
          <w:tab w:val="num" w:pos="4320"/>
        </w:tabs>
        <w:ind w:left="4320" w:hanging="360"/>
      </w:pPr>
      <w:rPr>
        <w:rFonts w:ascii="Wingdings" w:hAnsi="Wingdings" w:hint="default"/>
      </w:rPr>
    </w:lvl>
    <w:lvl w:ilvl="6" w:tplc="7D689310" w:tentative="1">
      <w:start w:val="1"/>
      <w:numFmt w:val="bullet"/>
      <w:lvlText w:val=""/>
      <w:lvlJc w:val="left"/>
      <w:pPr>
        <w:tabs>
          <w:tab w:val="num" w:pos="5040"/>
        </w:tabs>
        <w:ind w:left="5040" w:hanging="360"/>
      </w:pPr>
      <w:rPr>
        <w:rFonts w:ascii="Symbol" w:hAnsi="Symbol" w:hint="default"/>
      </w:rPr>
    </w:lvl>
    <w:lvl w:ilvl="7" w:tplc="77B25652" w:tentative="1">
      <w:start w:val="1"/>
      <w:numFmt w:val="bullet"/>
      <w:lvlText w:val="o"/>
      <w:lvlJc w:val="left"/>
      <w:pPr>
        <w:tabs>
          <w:tab w:val="num" w:pos="5760"/>
        </w:tabs>
        <w:ind w:left="5760" w:hanging="360"/>
      </w:pPr>
      <w:rPr>
        <w:rFonts w:ascii="Courier New" w:hAnsi="Courier New" w:hint="default"/>
      </w:rPr>
    </w:lvl>
    <w:lvl w:ilvl="8" w:tplc="03E60C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6767E8"/>
    <w:multiLevelType w:val="hybridMultilevel"/>
    <w:tmpl w:val="020E122E"/>
    <w:lvl w:ilvl="0" w:tplc="39B0A8EA">
      <w:start w:val="6"/>
      <w:numFmt w:val="bullet"/>
      <w:lvlText w:val="-"/>
      <w:lvlJc w:val="left"/>
      <w:pPr>
        <w:tabs>
          <w:tab w:val="num" w:pos="567"/>
        </w:tabs>
        <w:ind w:left="567" w:hanging="360"/>
      </w:pPr>
      <w:rPr>
        <w:rFonts w:ascii="Times New Roman" w:eastAsia="Times New Roman" w:hAnsi="Times New Roman" w:cs="Times New Roman" w:hint="default"/>
      </w:rPr>
    </w:lvl>
    <w:lvl w:ilvl="1" w:tplc="9774D704" w:tentative="1">
      <w:start w:val="1"/>
      <w:numFmt w:val="bullet"/>
      <w:lvlText w:val="o"/>
      <w:lvlJc w:val="left"/>
      <w:pPr>
        <w:tabs>
          <w:tab w:val="num" w:pos="1287"/>
        </w:tabs>
        <w:ind w:left="1287" w:hanging="360"/>
      </w:pPr>
      <w:rPr>
        <w:rFonts w:ascii="Courier New" w:hAnsi="Courier New" w:hint="default"/>
      </w:rPr>
    </w:lvl>
    <w:lvl w:ilvl="2" w:tplc="6944C198" w:tentative="1">
      <w:start w:val="1"/>
      <w:numFmt w:val="bullet"/>
      <w:lvlText w:val=""/>
      <w:lvlJc w:val="left"/>
      <w:pPr>
        <w:tabs>
          <w:tab w:val="num" w:pos="2007"/>
        </w:tabs>
        <w:ind w:left="2007" w:hanging="360"/>
      </w:pPr>
      <w:rPr>
        <w:rFonts w:ascii="Wingdings" w:hAnsi="Wingdings" w:hint="default"/>
      </w:rPr>
    </w:lvl>
    <w:lvl w:ilvl="3" w:tplc="7910F118" w:tentative="1">
      <w:start w:val="1"/>
      <w:numFmt w:val="bullet"/>
      <w:lvlText w:val=""/>
      <w:lvlJc w:val="left"/>
      <w:pPr>
        <w:tabs>
          <w:tab w:val="num" w:pos="2727"/>
        </w:tabs>
        <w:ind w:left="2727" w:hanging="360"/>
      </w:pPr>
      <w:rPr>
        <w:rFonts w:ascii="Symbol" w:hAnsi="Symbol" w:hint="default"/>
      </w:rPr>
    </w:lvl>
    <w:lvl w:ilvl="4" w:tplc="B644C600" w:tentative="1">
      <w:start w:val="1"/>
      <w:numFmt w:val="bullet"/>
      <w:lvlText w:val="o"/>
      <w:lvlJc w:val="left"/>
      <w:pPr>
        <w:tabs>
          <w:tab w:val="num" w:pos="3447"/>
        </w:tabs>
        <w:ind w:left="3447" w:hanging="360"/>
      </w:pPr>
      <w:rPr>
        <w:rFonts w:ascii="Courier New" w:hAnsi="Courier New" w:hint="default"/>
      </w:rPr>
    </w:lvl>
    <w:lvl w:ilvl="5" w:tplc="6AFCCF10" w:tentative="1">
      <w:start w:val="1"/>
      <w:numFmt w:val="bullet"/>
      <w:lvlText w:val=""/>
      <w:lvlJc w:val="left"/>
      <w:pPr>
        <w:tabs>
          <w:tab w:val="num" w:pos="4167"/>
        </w:tabs>
        <w:ind w:left="4167" w:hanging="360"/>
      </w:pPr>
      <w:rPr>
        <w:rFonts w:ascii="Wingdings" w:hAnsi="Wingdings" w:hint="default"/>
      </w:rPr>
    </w:lvl>
    <w:lvl w:ilvl="6" w:tplc="146850E6" w:tentative="1">
      <w:start w:val="1"/>
      <w:numFmt w:val="bullet"/>
      <w:lvlText w:val=""/>
      <w:lvlJc w:val="left"/>
      <w:pPr>
        <w:tabs>
          <w:tab w:val="num" w:pos="4887"/>
        </w:tabs>
        <w:ind w:left="4887" w:hanging="360"/>
      </w:pPr>
      <w:rPr>
        <w:rFonts w:ascii="Symbol" w:hAnsi="Symbol" w:hint="default"/>
      </w:rPr>
    </w:lvl>
    <w:lvl w:ilvl="7" w:tplc="21261622" w:tentative="1">
      <w:start w:val="1"/>
      <w:numFmt w:val="bullet"/>
      <w:lvlText w:val="o"/>
      <w:lvlJc w:val="left"/>
      <w:pPr>
        <w:tabs>
          <w:tab w:val="num" w:pos="5607"/>
        </w:tabs>
        <w:ind w:left="5607" w:hanging="360"/>
      </w:pPr>
      <w:rPr>
        <w:rFonts w:ascii="Courier New" w:hAnsi="Courier New" w:hint="default"/>
      </w:rPr>
    </w:lvl>
    <w:lvl w:ilvl="8" w:tplc="78F4A11E" w:tentative="1">
      <w:start w:val="1"/>
      <w:numFmt w:val="bullet"/>
      <w:lvlText w:val=""/>
      <w:lvlJc w:val="left"/>
      <w:pPr>
        <w:tabs>
          <w:tab w:val="num" w:pos="6327"/>
        </w:tabs>
        <w:ind w:left="6327" w:hanging="360"/>
      </w:pPr>
      <w:rPr>
        <w:rFonts w:ascii="Wingdings" w:hAnsi="Wingdings" w:hint="default"/>
      </w:rPr>
    </w:lvl>
  </w:abstractNum>
  <w:abstractNum w:abstractNumId="7" w15:restartNumberingAfterBreak="0">
    <w:nsid w:val="74E13837"/>
    <w:multiLevelType w:val="multilevel"/>
    <w:tmpl w:val="ABF202F2"/>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lvl>
    </w:lvlOverride>
  </w:num>
  <w:num w:numId="4">
    <w:abstractNumId w:val="7"/>
  </w:num>
  <w:num w:numId="5">
    <w:abstractNumId w:val="6"/>
  </w:num>
  <w:num w:numId="6">
    <w:abstractNumId w:val="4"/>
  </w:num>
  <w:num w:numId="7">
    <w:abstractNumId w:val="5"/>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it-IT" w:vendorID="3" w:dllVersion="512" w:checkStyle="1"/>
  <w:activeWritingStyle w:appName="MSWord" w:lang="nl-NL" w:vendorID="9" w:dllVersion="512" w:checkStyle="1"/>
  <w:activeWritingStyle w:appName="MSWord" w:lang="de-DE" w:vendorID="9" w:dllVersion="512" w:checkStyle="1"/>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sv-SE" w:vendorID="0" w:dllVersion="512" w:checkStyle="1"/>
  <w:activeWritingStyle w:appName="MSWord" w:lang="fr-FR" w:vendorID="9" w:dllVersion="512" w:checkStyle="1"/>
  <w:activeWritingStyle w:appName="MSWord" w:lang="it-IT" w:vendorID="3" w:dllVersion="517" w:checkStyle="1"/>
  <w:activeWritingStyle w:appName="MSWord" w:lang="sv-SE" w:vendorID="666" w:dllVersion="513" w:checkStyle="1"/>
  <w:activeWritingStyle w:appName="MSWord" w:lang="pl-PL" w:vendorID="12" w:dllVersion="512" w:checkStyle="1"/>
  <w:activeWritingStyle w:appName="MSWord" w:lang="sv-SE" w:vendorID="22" w:dllVersion="513"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 w:name="WtBookmark" w:val="00002"/>
  </w:docVars>
  <w:rsids>
    <w:rsidRoot w:val="003B0F51"/>
    <w:rsid w:val="0003573A"/>
    <w:rsid w:val="0003726D"/>
    <w:rsid w:val="000452FF"/>
    <w:rsid w:val="00053D01"/>
    <w:rsid w:val="00054238"/>
    <w:rsid w:val="00057406"/>
    <w:rsid w:val="00061B05"/>
    <w:rsid w:val="00071F67"/>
    <w:rsid w:val="00080BCC"/>
    <w:rsid w:val="000876E8"/>
    <w:rsid w:val="0009132A"/>
    <w:rsid w:val="000924CE"/>
    <w:rsid w:val="0009265D"/>
    <w:rsid w:val="000965F0"/>
    <w:rsid w:val="000A1280"/>
    <w:rsid w:val="000A310E"/>
    <w:rsid w:val="000A3A0B"/>
    <w:rsid w:val="000C1E91"/>
    <w:rsid w:val="000D03F1"/>
    <w:rsid w:val="000D4B37"/>
    <w:rsid w:val="000D5385"/>
    <w:rsid w:val="000D79A8"/>
    <w:rsid w:val="000E1484"/>
    <w:rsid w:val="000E46F4"/>
    <w:rsid w:val="000F3F8C"/>
    <w:rsid w:val="000F7067"/>
    <w:rsid w:val="001021D1"/>
    <w:rsid w:val="00133D1D"/>
    <w:rsid w:val="00133D28"/>
    <w:rsid w:val="0014336E"/>
    <w:rsid w:val="001526A6"/>
    <w:rsid w:val="00160AAF"/>
    <w:rsid w:val="0016450D"/>
    <w:rsid w:val="0017047D"/>
    <w:rsid w:val="001704D1"/>
    <w:rsid w:val="001735F8"/>
    <w:rsid w:val="00174728"/>
    <w:rsid w:val="00175362"/>
    <w:rsid w:val="00180C3D"/>
    <w:rsid w:val="00181002"/>
    <w:rsid w:val="00186B69"/>
    <w:rsid w:val="001870AF"/>
    <w:rsid w:val="00190F9D"/>
    <w:rsid w:val="001969DB"/>
    <w:rsid w:val="001A01A5"/>
    <w:rsid w:val="001A2BD3"/>
    <w:rsid w:val="001A528B"/>
    <w:rsid w:val="001A5BDC"/>
    <w:rsid w:val="001B006F"/>
    <w:rsid w:val="001B3EE9"/>
    <w:rsid w:val="001C26D2"/>
    <w:rsid w:val="001D1544"/>
    <w:rsid w:val="001D7FE6"/>
    <w:rsid w:val="001E79E1"/>
    <w:rsid w:val="001F09AD"/>
    <w:rsid w:val="00207F46"/>
    <w:rsid w:val="002154B9"/>
    <w:rsid w:val="002174ED"/>
    <w:rsid w:val="00221941"/>
    <w:rsid w:val="00225237"/>
    <w:rsid w:val="00225B85"/>
    <w:rsid w:val="00243CEE"/>
    <w:rsid w:val="00245B5D"/>
    <w:rsid w:val="00245D8D"/>
    <w:rsid w:val="002510B4"/>
    <w:rsid w:val="00253058"/>
    <w:rsid w:val="00255A1D"/>
    <w:rsid w:val="002830F2"/>
    <w:rsid w:val="002A4BDE"/>
    <w:rsid w:val="002A695F"/>
    <w:rsid w:val="002B20AD"/>
    <w:rsid w:val="002B3FB9"/>
    <w:rsid w:val="002B7A93"/>
    <w:rsid w:val="002C3FED"/>
    <w:rsid w:val="002D1DE3"/>
    <w:rsid w:val="002E27AD"/>
    <w:rsid w:val="002F1E4D"/>
    <w:rsid w:val="002F32BB"/>
    <w:rsid w:val="002F3CBE"/>
    <w:rsid w:val="002F7E74"/>
    <w:rsid w:val="0030253B"/>
    <w:rsid w:val="003071F0"/>
    <w:rsid w:val="00315784"/>
    <w:rsid w:val="0033609C"/>
    <w:rsid w:val="003657A4"/>
    <w:rsid w:val="00366A0E"/>
    <w:rsid w:val="00366EC0"/>
    <w:rsid w:val="00367310"/>
    <w:rsid w:val="003758AA"/>
    <w:rsid w:val="003764EA"/>
    <w:rsid w:val="0038036A"/>
    <w:rsid w:val="003906B7"/>
    <w:rsid w:val="00396959"/>
    <w:rsid w:val="003A0C07"/>
    <w:rsid w:val="003A4109"/>
    <w:rsid w:val="003A6872"/>
    <w:rsid w:val="003B0F51"/>
    <w:rsid w:val="003B2F1B"/>
    <w:rsid w:val="003B37DD"/>
    <w:rsid w:val="003B6E95"/>
    <w:rsid w:val="003B6EC4"/>
    <w:rsid w:val="003C2D02"/>
    <w:rsid w:val="003F1CB7"/>
    <w:rsid w:val="003F2095"/>
    <w:rsid w:val="004041D8"/>
    <w:rsid w:val="00411B8E"/>
    <w:rsid w:val="004165AE"/>
    <w:rsid w:val="004370BB"/>
    <w:rsid w:val="0043789E"/>
    <w:rsid w:val="00443642"/>
    <w:rsid w:val="00455F3D"/>
    <w:rsid w:val="00456B17"/>
    <w:rsid w:val="00457E3A"/>
    <w:rsid w:val="004610FF"/>
    <w:rsid w:val="00466BA3"/>
    <w:rsid w:val="00467EAC"/>
    <w:rsid w:val="00475285"/>
    <w:rsid w:val="00480F81"/>
    <w:rsid w:val="004914D4"/>
    <w:rsid w:val="004A4A0A"/>
    <w:rsid w:val="004B0627"/>
    <w:rsid w:val="004B5087"/>
    <w:rsid w:val="004B615C"/>
    <w:rsid w:val="004C5D30"/>
    <w:rsid w:val="004D1E6E"/>
    <w:rsid w:val="004D1F0A"/>
    <w:rsid w:val="004E4147"/>
    <w:rsid w:val="004E6AC1"/>
    <w:rsid w:val="004E75C7"/>
    <w:rsid w:val="004F1D58"/>
    <w:rsid w:val="004F4CF2"/>
    <w:rsid w:val="00500393"/>
    <w:rsid w:val="00515335"/>
    <w:rsid w:val="00515BAB"/>
    <w:rsid w:val="0052251B"/>
    <w:rsid w:val="00527E24"/>
    <w:rsid w:val="00533B02"/>
    <w:rsid w:val="00533C9F"/>
    <w:rsid w:val="005354ED"/>
    <w:rsid w:val="00535F4D"/>
    <w:rsid w:val="00540007"/>
    <w:rsid w:val="00545DAC"/>
    <w:rsid w:val="005579AD"/>
    <w:rsid w:val="00561828"/>
    <w:rsid w:val="0057503E"/>
    <w:rsid w:val="005771DB"/>
    <w:rsid w:val="00580C36"/>
    <w:rsid w:val="00585826"/>
    <w:rsid w:val="00587968"/>
    <w:rsid w:val="005968EF"/>
    <w:rsid w:val="00596D7A"/>
    <w:rsid w:val="005A3D33"/>
    <w:rsid w:val="005A4C0F"/>
    <w:rsid w:val="005B1B52"/>
    <w:rsid w:val="005C2543"/>
    <w:rsid w:val="005C49B4"/>
    <w:rsid w:val="005E125D"/>
    <w:rsid w:val="005F17DD"/>
    <w:rsid w:val="00601512"/>
    <w:rsid w:val="00603E21"/>
    <w:rsid w:val="006047FF"/>
    <w:rsid w:val="00605A28"/>
    <w:rsid w:val="00612307"/>
    <w:rsid w:val="006153D8"/>
    <w:rsid w:val="00615D4D"/>
    <w:rsid w:val="006179CF"/>
    <w:rsid w:val="00627A29"/>
    <w:rsid w:val="00632763"/>
    <w:rsid w:val="00633372"/>
    <w:rsid w:val="006461BE"/>
    <w:rsid w:val="00647479"/>
    <w:rsid w:val="00653EA4"/>
    <w:rsid w:val="006622C3"/>
    <w:rsid w:val="00664CE4"/>
    <w:rsid w:val="00665A41"/>
    <w:rsid w:val="00667AA6"/>
    <w:rsid w:val="006770CB"/>
    <w:rsid w:val="00684A41"/>
    <w:rsid w:val="00690995"/>
    <w:rsid w:val="00697C74"/>
    <w:rsid w:val="006A5332"/>
    <w:rsid w:val="006B0035"/>
    <w:rsid w:val="006B3E8E"/>
    <w:rsid w:val="006C2459"/>
    <w:rsid w:val="006C2BB0"/>
    <w:rsid w:val="006D0A24"/>
    <w:rsid w:val="006D0AF7"/>
    <w:rsid w:val="006E0EA7"/>
    <w:rsid w:val="006E10BC"/>
    <w:rsid w:val="006F21A0"/>
    <w:rsid w:val="0070264B"/>
    <w:rsid w:val="00707AD9"/>
    <w:rsid w:val="007225FB"/>
    <w:rsid w:val="007264D3"/>
    <w:rsid w:val="007277FA"/>
    <w:rsid w:val="007304C2"/>
    <w:rsid w:val="0073230A"/>
    <w:rsid w:val="00741713"/>
    <w:rsid w:val="007421C5"/>
    <w:rsid w:val="00753C2C"/>
    <w:rsid w:val="00760432"/>
    <w:rsid w:val="00762849"/>
    <w:rsid w:val="00762C3A"/>
    <w:rsid w:val="00765E9C"/>
    <w:rsid w:val="007703D0"/>
    <w:rsid w:val="007755BE"/>
    <w:rsid w:val="00777563"/>
    <w:rsid w:val="00777DFF"/>
    <w:rsid w:val="007832AE"/>
    <w:rsid w:val="0078588E"/>
    <w:rsid w:val="007861CF"/>
    <w:rsid w:val="007914E8"/>
    <w:rsid w:val="00797DA7"/>
    <w:rsid w:val="00797F73"/>
    <w:rsid w:val="007A20D8"/>
    <w:rsid w:val="007B1610"/>
    <w:rsid w:val="007C3559"/>
    <w:rsid w:val="007D45AE"/>
    <w:rsid w:val="007D60B2"/>
    <w:rsid w:val="007E5B9E"/>
    <w:rsid w:val="007F0934"/>
    <w:rsid w:val="007F0FB2"/>
    <w:rsid w:val="00811766"/>
    <w:rsid w:val="00814E1E"/>
    <w:rsid w:val="00821B63"/>
    <w:rsid w:val="00824C6A"/>
    <w:rsid w:val="00826F00"/>
    <w:rsid w:val="00831B13"/>
    <w:rsid w:val="00833D33"/>
    <w:rsid w:val="008560D0"/>
    <w:rsid w:val="00862482"/>
    <w:rsid w:val="00865523"/>
    <w:rsid w:val="008706F0"/>
    <w:rsid w:val="0087387C"/>
    <w:rsid w:val="00883736"/>
    <w:rsid w:val="008933A3"/>
    <w:rsid w:val="008A3403"/>
    <w:rsid w:val="008A374A"/>
    <w:rsid w:val="008A5CF0"/>
    <w:rsid w:val="008A624C"/>
    <w:rsid w:val="008B223F"/>
    <w:rsid w:val="008B5C2C"/>
    <w:rsid w:val="008C1CC2"/>
    <w:rsid w:val="008C565C"/>
    <w:rsid w:val="008C615D"/>
    <w:rsid w:val="008D6AE8"/>
    <w:rsid w:val="008E1487"/>
    <w:rsid w:val="008E22A3"/>
    <w:rsid w:val="009048C4"/>
    <w:rsid w:val="00913DDF"/>
    <w:rsid w:val="009152B1"/>
    <w:rsid w:val="009163B9"/>
    <w:rsid w:val="00924BDB"/>
    <w:rsid w:val="00924DFF"/>
    <w:rsid w:val="0093417B"/>
    <w:rsid w:val="0095392F"/>
    <w:rsid w:val="00956FAB"/>
    <w:rsid w:val="009665D2"/>
    <w:rsid w:val="00980B15"/>
    <w:rsid w:val="00987508"/>
    <w:rsid w:val="00995C12"/>
    <w:rsid w:val="009A0CBF"/>
    <w:rsid w:val="009A1EB9"/>
    <w:rsid w:val="009A483D"/>
    <w:rsid w:val="009C6EB3"/>
    <w:rsid w:val="009D4D29"/>
    <w:rsid w:val="009D5B86"/>
    <w:rsid w:val="009E6CAB"/>
    <w:rsid w:val="009F0223"/>
    <w:rsid w:val="009F184E"/>
    <w:rsid w:val="00A02F22"/>
    <w:rsid w:val="00A04FD1"/>
    <w:rsid w:val="00A20368"/>
    <w:rsid w:val="00A40B9F"/>
    <w:rsid w:val="00A60523"/>
    <w:rsid w:val="00A63602"/>
    <w:rsid w:val="00A646DA"/>
    <w:rsid w:val="00A74AAE"/>
    <w:rsid w:val="00A75B25"/>
    <w:rsid w:val="00A80A06"/>
    <w:rsid w:val="00A855D4"/>
    <w:rsid w:val="00A928B0"/>
    <w:rsid w:val="00A96DAB"/>
    <w:rsid w:val="00AC04A6"/>
    <w:rsid w:val="00AC426B"/>
    <w:rsid w:val="00AD27EC"/>
    <w:rsid w:val="00AD3B9C"/>
    <w:rsid w:val="00AF2359"/>
    <w:rsid w:val="00AF362F"/>
    <w:rsid w:val="00AF7D4F"/>
    <w:rsid w:val="00B01468"/>
    <w:rsid w:val="00B04D3E"/>
    <w:rsid w:val="00B10EEC"/>
    <w:rsid w:val="00B13A7B"/>
    <w:rsid w:val="00B22E2C"/>
    <w:rsid w:val="00B24B4E"/>
    <w:rsid w:val="00B36653"/>
    <w:rsid w:val="00B3730E"/>
    <w:rsid w:val="00B4720A"/>
    <w:rsid w:val="00B52541"/>
    <w:rsid w:val="00B556BE"/>
    <w:rsid w:val="00B665F6"/>
    <w:rsid w:val="00B87F5E"/>
    <w:rsid w:val="00B93A6E"/>
    <w:rsid w:val="00BA030F"/>
    <w:rsid w:val="00BA4A54"/>
    <w:rsid w:val="00BC6CA2"/>
    <w:rsid w:val="00BD3E36"/>
    <w:rsid w:val="00BD4270"/>
    <w:rsid w:val="00BD580F"/>
    <w:rsid w:val="00BE293B"/>
    <w:rsid w:val="00BE3328"/>
    <w:rsid w:val="00C06477"/>
    <w:rsid w:val="00C2071F"/>
    <w:rsid w:val="00C32239"/>
    <w:rsid w:val="00C570B1"/>
    <w:rsid w:val="00C63AE5"/>
    <w:rsid w:val="00C66208"/>
    <w:rsid w:val="00C67BE0"/>
    <w:rsid w:val="00C74DEF"/>
    <w:rsid w:val="00C77B91"/>
    <w:rsid w:val="00C832BA"/>
    <w:rsid w:val="00C8540F"/>
    <w:rsid w:val="00C90D27"/>
    <w:rsid w:val="00C935D3"/>
    <w:rsid w:val="00C9741C"/>
    <w:rsid w:val="00C97C9F"/>
    <w:rsid w:val="00CA7C8E"/>
    <w:rsid w:val="00CA7DCB"/>
    <w:rsid w:val="00CB744B"/>
    <w:rsid w:val="00CB7DAC"/>
    <w:rsid w:val="00CD6320"/>
    <w:rsid w:val="00CD7B34"/>
    <w:rsid w:val="00CE6C96"/>
    <w:rsid w:val="00CF28CA"/>
    <w:rsid w:val="00D021EE"/>
    <w:rsid w:val="00D10D5D"/>
    <w:rsid w:val="00D1151C"/>
    <w:rsid w:val="00D1525B"/>
    <w:rsid w:val="00D1576F"/>
    <w:rsid w:val="00D1760C"/>
    <w:rsid w:val="00D24C7F"/>
    <w:rsid w:val="00D34561"/>
    <w:rsid w:val="00D34F4B"/>
    <w:rsid w:val="00D40CEE"/>
    <w:rsid w:val="00D43835"/>
    <w:rsid w:val="00D450D5"/>
    <w:rsid w:val="00D568D9"/>
    <w:rsid w:val="00D5696E"/>
    <w:rsid w:val="00D630E5"/>
    <w:rsid w:val="00D64D8B"/>
    <w:rsid w:val="00D72783"/>
    <w:rsid w:val="00D86740"/>
    <w:rsid w:val="00D94F82"/>
    <w:rsid w:val="00D956A8"/>
    <w:rsid w:val="00DA35AF"/>
    <w:rsid w:val="00DA49BC"/>
    <w:rsid w:val="00DB03DC"/>
    <w:rsid w:val="00DB4048"/>
    <w:rsid w:val="00DC061A"/>
    <w:rsid w:val="00DC1786"/>
    <w:rsid w:val="00DC5C48"/>
    <w:rsid w:val="00DC7907"/>
    <w:rsid w:val="00DE131C"/>
    <w:rsid w:val="00DF06C5"/>
    <w:rsid w:val="00E008E6"/>
    <w:rsid w:val="00E27030"/>
    <w:rsid w:val="00E30129"/>
    <w:rsid w:val="00E32E98"/>
    <w:rsid w:val="00E33F23"/>
    <w:rsid w:val="00E36B53"/>
    <w:rsid w:val="00E36CB4"/>
    <w:rsid w:val="00E44CF4"/>
    <w:rsid w:val="00E50489"/>
    <w:rsid w:val="00E5051C"/>
    <w:rsid w:val="00E57C2C"/>
    <w:rsid w:val="00E645C7"/>
    <w:rsid w:val="00E65DBE"/>
    <w:rsid w:val="00E70C5C"/>
    <w:rsid w:val="00E71F5A"/>
    <w:rsid w:val="00E76EB4"/>
    <w:rsid w:val="00E81C76"/>
    <w:rsid w:val="00E81F84"/>
    <w:rsid w:val="00E843A2"/>
    <w:rsid w:val="00E92AE6"/>
    <w:rsid w:val="00E94E84"/>
    <w:rsid w:val="00E96400"/>
    <w:rsid w:val="00EB1C0B"/>
    <w:rsid w:val="00EC0AB4"/>
    <w:rsid w:val="00EC50BA"/>
    <w:rsid w:val="00EE2FF2"/>
    <w:rsid w:val="00EE5BC2"/>
    <w:rsid w:val="00EE608B"/>
    <w:rsid w:val="00EE66D8"/>
    <w:rsid w:val="00EF2614"/>
    <w:rsid w:val="00F00736"/>
    <w:rsid w:val="00F02BD3"/>
    <w:rsid w:val="00F1118B"/>
    <w:rsid w:val="00F14609"/>
    <w:rsid w:val="00F15094"/>
    <w:rsid w:val="00F21435"/>
    <w:rsid w:val="00F3193C"/>
    <w:rsid w:val="00F3246D"/>
    <w:rsid w:val="00F36241"/>
    <w:rsid w:val="00F4263F"/>
    <w:rsid w:val="00F4712E"/>
    <w:rsid w:val="00F51D01"/>
    <w:rsid w:val="00F52E4F"/>
    <w:rsid w:val="00F572F1"/>
    <w:rsid w:val="00F73E29"/>
    <w:rsid w:val="00F818DC"/>
    <w:rsid w:val="00F839D8"/>
    <w:rsid w:val="00F83B65"/>
    <w:rsid w:val="00FA39C1"/>
    <w:rsid w:val="00FA6C10"/>
    <w:rsid w:val="00FB4DEF"/>
    <w:rsid w:val="00FB53A4"/>
    <w:rsid w:val="00FC0930"/>
    <w:rsid w:val="00FC3252"/>
    <w:rsid w:val="00FC362E"/>
    <w:rsid w:val="00FC412A"/>
    <w:rsid w:val="00FC417B"/>
    <w:rsid w:val="00FC6C82"/>
    <w:rsid w:val="00FE48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hapeDefaults>
    <o:shapedefaults v:ext="edit" spidmax="1026"/>
    <o:shapelayout v:ext="edit">
      <o:idmap v:ext="edit" data="1"/>
    </o:shapelayout>
  </w:shapeDefaults>
  <w:decimalSymbol w:val=","/>
  <w:listSeparator w:val=";"/>
  <w14:docId w14:val="2AE93ACF"/>
  <w15:chartTrackingRefBased/>
  <w15:docId w15:val="{7B11F025-1694-4BA7-89CE-4FF9194B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sv-SE" w:eastAsia="en-US"/>
    </w:rPr>
  </w:style>
  <w:style w:type="paragraph" w:styleId="Heading1">
    <w:name w:val="heading 1"/>
    <w:basedOn w:val="Normal"/>
    <w:next w:val="Normal"/>
    <w:qFormat/>
    <w:pPr>
      <w:keepNext/>
      <w:tabs>
        <w:tab w:val="left" w:pos="-720"/>
        <w:tab w:val="left" w:pos="0"/>
      </w:tabs>
      <w:suppressAutoHyphens/>
      <w:spacing w:line="260" w:lineRule="exact"/>
      <w:ind w:left="720" w:hanging="720"/>
      <w:jc w:val="both"/>
      <w:outlineLvl w:val="0"/>
    </w:pPr>
    <w:rPr>
      <w:noProof/>
    </w:rPr>
  </w:style>
  <w:style w:type="paragraph" w:styleId="Heading2">
    <w:name w:val="heading 2"/>
    <w:basedOn w:val="Normal"/>
    <w:next w:val="Normal"/>
    <w:qFormat/>
    <w:pPr>
      <w:keepNext/>
      <w:tabs>
        <w:tab w:val="left" w:pos="-720"/>
      </w:tabs>
      <w:suppressAutoHyphens/>
      <w:spacing w:line="260" w:lineRule="exact"/>
      <w:ind w:left="567" w:hanging="567"/>
      <w:jc w:val="both"/>
      <w:outlineLvl w:val="1"/>
    </w:pPr>
    <w:rPr>
      <w:noProof/>
    </w:rPr>
  </w:style>
  <w:style w:type="paragraph" w:styleId="Heading3">
    <w:name w:val="heading 3"/>
    <w:basedOn w:val="Normal"/>
    <w:next w:val="Normal"/>
    <w:qFormat/>
    <w:pPr>
      <w:keepNext/>
      <w:tabs>
        <w:tab w:val="left" w:pos="-720"/>
      </w:tabs>
      <w:suppressAutoHyphens/>
      <w:spacing w:line="260" w:lineRule="exact"/>
      <w:outlineLvl w:val="2"/>
    </w:pPr>
    <w:rPr>
      <w:b/>
    </w:rPr>
  </w:style>
  <w:style w:type="paragraph" w:styleId="Heading4">
    <w:name w:val="heading 4"/>
    <w:basedOn w:val="Normal"/>
    <w:next w:val="Normal"/>
    <w:qFormat/>
    <w:pPr>
      <w:keepNext/>
      <w:tabs>
        <w:tab w:val="left" w:pos="567"/>
      </w:tabs>
      <w:spacing w:line="260" w:lineRule="exact"/>
      <w:jc w:val="both"/>
      <w:outlineLvl w:val="3"/>
    </w:pPr>
    <w:rPr>
      <w:b/>
      <w:noProof/>
    </w:rPr>
  </w:style>
  <w:style w:type="paragraph" w:styleId="Heading5">
    <w:name w:val="heading 5"/>
    <w:basedOn w:val="Normal"/>
    <w:next w:val="Normal"/>
    <w:qFormat/>
    <w:pPr>
      <w:keepNext/>
      <w:tabs>
        <w:tab w:val="left" w:pos="-720"/>
        <w:tab w:val="left" w:pos="0"/>
      </w:tabs>
      <w:suppressAutoHyphens/>
      <w:jc w:val="center"/>
      <w:outlineLvl w:val="4"/>
    </w:pPr>
    <w:rPr>
      <w:b/>
    </w:rPr>
  </w:style>
  <w:style w:type="paragraph" w:styleId="Heading6">
    <w:name w:val="heading 6"/>
    <w:basedOn w:val="Normal"/>
    <w:next w:val="Normal"/>
    <w:qFormat/>
    <w:pPr>
      <w:keepNext/>
      <w:tabs>
        <w:tab w:val="left" w:pos="-720"/>
        <w:tab w:val="left" w:pos="567"/>
        <w:tab w:val="left" w:pos="4536"/>
      </w:tabs>
      <w:suppressAutoHyphens/>
      <w:spacing w:line="260" w:lineRule="exact"/>
      <w:outlineLvl w:val="5"/>
    </w:pPr>
    <w:rPr>
      <w:i/>
      <w:lang w:val="en-GB"/>
    </w:rPr>
  </w:style>
  <w:style w:type="paragraph" w:styleId="Heading7">
    <w:name w:val="heading 7"/>
    <w:basedOn w:val="Normal"/>
    <w:next w:val="Normal"/>
    <w:qFormat/>
    <w:pPr>
      <w:keepNext/>
      <w:tabs>
        <w:tab w:val="left" w:pos="-720"/>
        <w:tab w:val="left" w:pos="567"/>
        <w:tab w:val="left" w:pos="4536"/>
      </w:tabs>
      <w:suppressAutoHyphens/>
      <w:spacing w:line="260" w:lineRule="exact"/>
      <w:jc w:val="both"/>
      <w:outlineLvl w:val="6"/>
    </w:pPr>
    <w:rPr>
      <w:i/>
      <w:lang w:val="en-GB"/>
    </w:rPr>
  </w:style>
  <w:style w:type="paragraph" w:styleId="Heading8">
    <w:name w:val="heading 8"/>
    <w:basedOn w:val="Normal"/>
    <w:next w:val="Normal"/>
    <w:qFormat/>
    <w:pPr>
      <w:keepNext/>
      <w:suppressAutoHyphens/>
      <w:outlineLvl w:val="7"/>
    </w:pPr>
    <w:rPr>
      <w:u w:val="single"/>
    </w:rPr>
  </w:style>
  <w:style w:type="paragraph" w:styleId="Heading9">
    <w:name w:val="heading 9"/>
    <w:basedOn w:val="Normal"/>
    <w:next w:val="Normal"/>
    <w:qFormat/>
    <w:pPr>
      <w:keepNext/>
      <w:suppressAutoHyphens/>
      <w:ind w:left="567" w:hanging="567"/>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center" w:pos="8930"/>
      </w:tabs>
    </w:pPr>
    <w:rPr>
      <w:rFonts w:ascii="Helvetica" w:hAnsi="Helvetica"/>
      <w:sz w:val="16"/>
      <w:lang w:val="es-ES_tradnl"/>
    </w:rPr>
  </w:style>
  <w:style w:type="paragraph" w:styleId="Header">
    <w:name w:val="header"/>
    <w:basedOn w:val="Normal"/>
    <w:link w:val="HeaderChar"/>
    <w:uiPriority w:val="99"/>
    <w:pPr>
      <w:tabs>
        <w:tab w:val="center" w:pos="4320"/>
        <w:tab w:val="right" w:pos="8640"/>
      </w:tabs>
    </w:pPr>
  </w:style>
  <w:style w:type="paragraph" w:customStyle="1" w:styleId="BalloonText1">
    <w:name w:val="Balloon Text1"/>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EMEAEnBodyText">
    <w:name w:val="EMEA En Body Text"/>
    <w:basedOn w:val="Normal"/>
    <w:pPr>
      <w:spacing w:before="120" w:after="120"/>
      <w:jc w:val="both"/>
    </w:pPr>
    <w:rPr>
      <w:lang w:val="en-US"/>
    </w:rPr>
  </w:style>
  <w:style w:type="paragraph" w:customStyle="1" w:styleId="ndringar">
    <w:name w:val="ändringar"/>
    <w:basedOn w:val="Normal"/>
    <w:rPr>
      <w:rFonts w:ascii="Arial" w:hAnsi="Arial"/>
      <w:color w:val="FF0000"/>
      <w:sz w:val="24"/>
    </w:rPr>
  </w:style>
  <w:style w:type="paragraph" w:styleId="BodyText">
    <w:name w:val="Body Text"/>
    <w:basedOn w:val="Normal"/>
    <w:pPr>
      <w:spacing w:after="240"/>
    </w:pPr>
    <w:rPr>
      <w:sz w:val="24"/>
      <w:szCs w:val="24"/>
      <w:lang w:val="en-GB"/>
    </w:rPr>
  </w:style>
  <w:style w:type="character" w:styleId="Hyperlink">
    <w:name w:val="Hyperlink"/>
    <w:rPr>
      <w:color w:val="0000FF"/>
      <w:u w:val="single"/>
    </w:rPr>
  </w:style>
  <w:style w:type="paragraph" w:styleId="BodyText2">
    <w:name w:val="Body Text 2"/>
    <w:basedOn w:val="Normal"/>
    <w:pPr>
      <w:suppressAutoHyphens/>
    </w:pPr>
    <w:rPr>
      <w:color w:val="0000FF"/>
      <w:lang w:val="en-US"/>
    </w:rPr>
  </w:style>
  <w:style w:type="paragraph" w:styleId="BodyText3">
    <w:name w:val="Body Text 3"/>
    <w:basedOn w:val="Normal"/>
    <w:pPr>
      <w:autoSpaceDE w:val="0"/>
      <w:autoSpaceDN w:val="0"/>
      <w:adjustRightInd w:val="0"/>
      <w:spacing w:line="240" w:lineRule="atLeast"/>
    </w:pPr>
    <w:rPr>
      <w:color w:val="00000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x-none"/>
    </w:rPr>
  </w:style>
  <w:style w:type="paragraph" w:customStyle="1" w:styleId="CommentSubject1">
    <w:name w:val="Comment Subject1"/>
    <w:basedOn w:val="CommentText"/>
    <w:next w:val="CommentText"/>
    <w:semiHidden/>
    <w:rPr>
      <w:b/>
      <w:bC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sid w:val="003B2F1B"/>
    <w:rPr>
      <w:rFonts w:ascii="Tahoma" w:hAnsi="Tahoma" w:cs="Tahoma"/>
      <w:sz w:val="16"/>
      <w:szCs w:val="16"/>
    </w:rPr>
  </w:style>
  <w:style w:type="table" w:styleId="TableGrid">
    <w:name w:val="Table Grid"/>
    <w:basedOn w:val="TableNormal"/>
    <w:rsid w:val="00302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5A28"/>
    <w:rPr>
      <w:sz w:val="22"/>
      <w:lang w:val="sv-SE" w:eastAsia="en-US"/>
    </w:rPr>
  </w:style>
  <w:style w:type="paragraph" w:styleId="CommentSubject">
    <w:name w:val="annotation subject"/>
    <w:basedOn w:val="CommentText"/>
    <w:next w:val="CommentText"/>
    <w:link w:val="CommentSubjectChar"/>
    <w:rsid w:val="000A3A0B"/>
    <w:rPr>
      <w:b/>
      <w:bCs/>
    </w:rPr>
  </w:style>
  <w:style w:type="character" w:customStyle="1" w:styleId="CommentTextChar">
    <w:name w:val="Comment Text Char"/>
    <w:link w:val="CommentText"/>
    <w:uiPriority w:val="99"/>
    <w:semiHidden/>
    <w:rsid w:val="000A3A0B"/>
    <w:rPr>
      <w:lang w:eastAsia="en-US"/>
    </w:rPr>
  </w:style>
  <w:style w:type="character" w:customStyle="1" w:styleId="CommentSubjectChar">
    <w:name w:val="Comment Subject Char"/>
    <w:basedOn w:val="CommentTextChar"/>
    <w:link w:val="CommentSubject"/>
    <w:rsid w:val="000A3A0B"/>
    <w:rPr>
      <w:lang w:eastAsia="en-US"/>
    </w:rPr>
  </w:style>
  <w:style w:type="paragraph" w:styleId="NormalWeb">
    <w:name w:val="Normal (Web)"/>
    <w:basedOn w:val="Normal"/>
    <w:rsid w:val="007B1610"/>
    <w:rPr>
      <w:sz w:val="24"/>
      <w:szCs w:val="24"/>
      <w:lang w:eastAsia="sv-SE"/>
    </w:rPr>
  </w:style>
  <w:style w:type="character" w:customStyle="1" w:styleId="tw4winMark">
    <w:name w:val="tw4winMark"/>
    <w:rsid w:val="00C570B1"/>
    <w:rPr>
      <w:rFonts w:ascii="Courier New" w:hAnsi="Courier New" w:cs="Courier New"/>
      <w:vanish/>
      <w:color w:val="800080"/>
      <w:vertAlign w:val="subscript"/>
    </w:rPr>
  </w:style>
  <w:style w:type="character" w:customStyle="1" w:styleId="apple-converted-space">
    <w:name w:val="apple-converted-space"/>
    <w:rsid w:val="00C570B1"/>
    <w:rPr>
      <w:rFonts w:cs="Times New Roman"/>
    </w:rPr>
  </w:style>
  <w:style w:type="character" w:customStyle="1" w:styleId="apple-style-span">
    <w:name w:val="apple-style-span"/>
    <w:rsid w:val="00C570B1"/>
    <w:rPr>
      <w:rFonts w:cs="Times New Roman"/>
    </w:rPr>
  </w:style>
  <w:style w:type="character" w:customStyle="1" w:styleId="HeaderChar">
    <w:name w:val="Header Char"/>
    <w:link w:val="Header"/>
    <w:uiPriority w:val="99"/>
    <w:rsid w:val="00B665F6"/>
    <w:rPr>
      <w:sz w:val="22"/>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058846">
      <w:bodyDiv w:val="1"/>
      <w:marLeft w:val="0"/>
      <w:marRight w:val="0"/>
      <w:marTop w:val="0"/>
      <w:marBottom w:val="0"/>
      <w:divBdr>
        <w:top w:val="none" w:sz="0" w:space="0" w:color="auto"/>
        <w:left w:val="none" w:sz="0" w:space="0" w:color="auto"/>
        <w:bottom w:val="none" w:sz="0" w:space="0" w:color="auto"/>
        <w:right w:val="none" w:sz="0" w:space="0" w:color="auto"/>
      </w:divBdr>
      <w:divsChild>
        <w:div w:id="1661613816">
          <w:marLeft w:val="0"/>
          <w:marRight w:val="0"/>
          <w:marTop w:val="0"/>
          <w:marBottom w:val="0"/>
          <w:divBdr>
            <w:top w:val="none" w:sz="0" w:space="0" w:color="auto"/>
            <w:left w:val="none" w:sz="0" w:space="0" w:color="auto"/>
            <w:bottom w:val="none" w:sz="0" w:space="0" w:color="auto"/>
            <w:right w:val="none" w:sz="0" w:space="0" w:color="auto"/>
          </w:divBdr>
        </w:div>
      </w:divsChild>
    </w:div>
    <w:div w:id="1820998917">
      <w:bodyDiv w:val="1"/>
      <w:marLeft w:val="0"/>
      <w:marRight w:val="0"/>
      <w:marTop w:val="0"/>
      <w:marBottom w:val="0"/>
      <w:divBdr>
        <w:top w:val="none" w:sz="0" w:space="0" w:color="auto"/>
        <w:left w:val="none" w:sz="0" w:space="0" w:color="auto"/>
        <w:bottom w:val="none" w:sz="0" w:space="0" w:color="auto"/>
        <w:right w:val="none" w:sz="0" w:space="0" w:color="auto"/>
      </w:divBdr>
      <w:divsChild>
        <w:div w:id="239826311">
          <w:marLeft w:val="0"/>
          <w:marRight w:val="0"/>
          <w:marTop w:val="0"/>
          <w:marBottom w:val="0"/>
          <w:divBdr>
            <w:top w:val="none" w:sz="0" w:space="0" w:color="auto"/>
            <w:left w:val="none" w:sz="0" w:space="0" w:color="auto"/>
            <w:bottom w:val="none" w:sz="0" w:space="0" w:color="auto"/>
            <w:right w:val="none" w:sz="0" w:space="0" w:color="auto"/>
          </w:divBdr>
          <w:divsChild>
            <w:div w:id="1511139067">
              <w:marLeft w:val="0"/>
              <w:marRight w:val="0"/>
              <w:marTop w:val="0"/>
              <w:marBottom w:val="0"/>
              <w:divBdr>
                <w:top w:val="none" w:sz="0" w:space="0" w:color="auto"/>
                <w:left w:val="none" w:sz="0" w:space="0" w:color="auto"/>
                <w:bottom w:val="none" w:sz="0" w:space="0" w:color="auto"/>
                <w:right w:val="none" w:sz="0" w:space="0" w:color="auto"/>
              </w:divBdr>
              <w:divsChild>
                <w:div w:id="1446729766">
                  <w:marLeft w:val="0"/>
                  <w:marRight w:val="0"/>
                  <w:marTop w:val="0"/>
                  <w:marBottom w:val="0"/>
                  <w:divBdr>
                    <w:top w:val="none" w:sz="0" w:space="0" w:color="auto"/>
                    <w:left w:val="none" w:sz="0" w:space="0" w:color="auto"/>
                    <w:bottom w:val="none" w:sz="0" w:space="0" w:color="auto"/>
                    <w:right w:val="none" w:sz="0" w:space="0" w:color="auto"/>
                  </w:divBdr>
                  <w:divsChild>
                    <w:div w:id="906692847">
                      <w:marLeft w:val="0"/>
                      <w:marRight w:val="0"/>
                      <w:marTop w:val="0"/>
                      <w:marBottom w:val="0"/>
                      <w:divBdr>
                        <w:top w:val="none" w:sz="0" w:space="0" w:color="auto"/>
                        <w:left w:val="none" w:sz="0" w:space="0" w:color="auto"/>
                        <w:bottom w:val="none" w:sz="0" w:space="0" w:color="auto"/>
                        <w:right w:val="none" w:sz="0" w:space="0" w:color="auto"/>
                      </w:divBdr>
                      <w:divsChild>
                        <w:div w:id="492844000">
                          <w:marLeft w:val="0"/>
                          <w:marRight w:val="0"/>
                          <w:marTop w:val="0"/>
                          <w:marBottom w:val="0"/>
                          <w:divBdr>
                            <w:top w:val="none" w:sz="0" w:space="0" w:color="auto"/>
                            <w:left w:val="none" w:sz="0" w:space="0" w:color="auto"/>
                            <w:bottom w:val="none" w:sz="0" w:space="0" w:color="auto"/>
                            <w:right w:val="none" w:sz="0" w:space="0" w:color="auto"/>
                          </w:divBdr>
                          <w:divsChild>
                            <w:div w:id="503858038">
                              <w:marLeft w:val="0"/>
                              <w:marRight w:val="0"/>
                              <w:marTop w:val="0"/>
                              <w:marBottom w:val="0"/>
                              <w:divBdr>
                                <w:top w:val="none" w:sz="0" w:space="0" w:color="auto"/>
                                <w:left w:val="none" w:sz="0" w:space="0" w:color="auto"/>
                                <w:bottom w:val="none" w:sz="0" w:space="0" w:color="auto"/>
                                <w:right w:val="none" w:sz="0" w:space="0" w:color="auto"/>
                              </w:divBdr>
                              <w:divsChild>
                                <w:div w:id="2040743134">
                                  <w:marLeft w:val="0"/>
                                  <w:marRight w:val="0"/>
                                  <w:marTop w:val="0"/>
                                  <w:marBottom w:val="0"/>
                                  <w:divBdr>
                                    <w:top w:val="none" w:sz="0" w:space="0" w:color="auto"/>
                                    <w:left w:val="none" w:sz="0" w:space="0" w:color="auto"/>
                                    <w:bottom w:val="none" w:sz="0" w:space="0" w:color="auto"/>
                                    <w:right w:val="none" w:sz="0" w:space="0" w:color="auto"/>
                                  </w:divBdr>
                                  <w:divsChild>
                                    <w:div w:id="62531066">
                                      <w:marLeft w:val="0"/>
                                      <w:marRight w:val="0"/>
                                      <w:marTop w:val="0"/>
                                      <w:marBottom w:val="0"/>
                                      <w:divBdr>
                                        <w:top w:val="none" w:sz="0" w:space="0" w:color="auto"/>
                                        <w:left w:val="none" w:sz="0" w:space="0" w:color="auto"/>
                                        <w:bottom w:val="none" w:sz="0" w:space="0" w:color="auto"/>
                                        <w:right w:val="none" w:sz="0" w:space="0" w:color="auto"/>
                                      </w:divBdr>
                                      <w:divsChild>
                                        <w:div w:id="1638340193">
                                          <w:marLeft w:val="0"/>
                                          <w:marRight w:val="0"/>
                                          <w:marTop w:val="0"/>
                                          <w:marBottom w:val="495"/>
                                          <w:divBdr>
                                            <w:top w:val="none" w:sz="0" w:space="0" w:color="auto"/>
                                            <w:left w:val="none" w:sz="0" w:space="0" w:color="auto"/>
                                            <w:bottom w:val="none" w:sz="0" w:space="0" w:color="auto"/>
                                            <w:right w:val="none" w:sz="0" w:space="0" w:color="auto"/>
                                          </w:divBdr>
                                          <w:divsChild>
                                            <w:div w:id="4117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740291">
      <w:bodyDiv w:val="1"/>
      <w:marLeft w:val="0"/>
      <w:marRight w:val="0"/>
      <w:marTop w:val="0"/>
      <w:marBottom w:val="0"/>
      <w:divBdr>
        <w:top w:val="none" w:sz="0" w:space="0" w:color="auto"/>
        <w:left w:val="none" w:sz="0" w:space="0" w:color="auto"/>
        <w:bottom w:val="none" w:sz="0" w:space="0" w:color="auto"/>
        <w:right w:val="none" w:sz="0" w:space="0" w:color="auto"/>
      </w:divBdr>
      <w:divsChild>
        <w:div w:id="203949316">
          <w:marLeft w:val="0"/>
          <w:marRight w:val="0"/>
          <w:marTop w:val="0"/>
          <w:marBottom w:val="0"/>
          <w:divBdr>
            <w:top w:val="none" w:sz="0" w:space="0" w:color="auto"/>
            <w:left w:val="none" w:sz="0" w:space="0" w:color="auto"/>
            <w:bottom w:val="none" w:sz="0" w:space="0" w:color="auto"/>
            <w:right w:val="none" w:sz="0" w:space="0" w:color="auto"/>
          </w:divBdr>
          <w:divsChild>
            <w:div w:id="927155899">
              <w:marLeft w:val="0"/>
              <w:marRight w:val="0"/>
              <w:marTop w:val="0"/>
              <w:marBottom w:val="0"/>
              <w:divBdr>
                <w:top w:val="none" w:sz="0" w:space="0" w:color="auto"/>
                <w:left w:val="none" w:sz="0" w:space="0" w:color="auto"/>
                <w:bottom w:val="none" w:sz="0" w:space="0" w:color="auto"/>
                <w:right w:val="none" w:sz="0" w:space="0" w:color="auto"/>
              </w:divBdr>
              <w:divsChild>
                <w:div w:id="833421393">
                  <w:marLeft w:val="0"/>
                  <w:marRight w:val="0"/>
                  <w:marTop w:val="0"/>
                  <w:marBottom w:val="0"/>
                  <w:divBdr>
                    <w:top w:val="none" w:sz="0" w:space="0" w:color="auto"/>
                    <w:left w:val="none" w:sz="0" w:space="0" w:color="auto"/>
                    <w:bottom w:val="none" w:sz="0" w:space="0" w:color="auto"/>
                    <w:right w:val="none" w:sz="0" w:space="0" w:color="auto"/>
                  </w:divBdr>
                  <w:divsChild>
                    <w:div w:id="1001543547">
                      <w:marLeft w:val="0"/>
                      <w:marRight w:val="0"/>
                      <w:marTop w:val="0"/>
                      <w:marBottom w:val="0"/>
                      <w:divBdr>
                        <w:top w:val="none" w:sz="0" w:space="0" w:color="auto"/>
                        <w:left w:val="none" w:sz="0" w:space="0" w:color="auto"/>
                        <w:bottom w:val="none" w:sz="0" w:space="0" w:color="auto"/>
                        <w:right w:val="none" w:sz="0" w:space="0" w:color="auto"/>
                      </w:divBdr>
                      <w:divsChild>
                        <w:div w:id="691108994">
                          <w:marLeft w:val="0"/>
                          <w:marRight w:val="0"/>
                          <w:marTop w:val="0"/>
                          <w:marBottom w:val="0"/>
                          <w:divBdr>
                            <w:top w:val="none" w:sz="0" w:space="0" w:color="auto"/>
                            <w:left w:val="none" w:sz="0" w:space="0" w:color="auto"/>
                            <w:bottom w:val="none" w:sz="0" w:space="0" w:color="auto"/>
                            <w:right w:val="none" w:sz="0" w:space="0" w:color="auto"/>
                          </w:divBdr>
                          <w:divsChild>
                            <w:div w:id="1810780614">
                              <w:marLeft w:val="0"/>
                              <w:marRight w:val="0"/>
                              <w:marTop w:val="0"/>
                              <w:marBottom w:val="0"/>
                              <w:divBdr>
                                <w:top w:val="none" w:sz="0" w:space="0" w:color="auto"/>
                                <w:left w:val="none" w:sz="0" w:space="0" w:color="auto"/>
                                <w:bottom w:val="none" w:sz="0" w:space="0" w:color="auto"/>
                                <w:right w:val="none" w:sz="0" w:space="0" w:color="auto"/>
                              </w:divBdr>
                              <w:divsChild>
                                <w:div w:id="1991639496">
                                  <w:marLeft w:val="0"/>
                                  <w:marRight w:val="0"/>
                                  <w:marTop w:val="0"/>
                                  <w:marBottom w:val="0"/>
                                  <w:divBdr>
                                    <w:top w:val="none" w:sz="0" w:space="0" w:color="auto"/>
                                    <w:left w:val="none" w:sz="0" w:space="0" w:color="auto"/>
                                    <w:bottom w:val="none" w:sz="0" w:space="0" w:color="auto"/>
                                    <w:right w:val="none" w:sz="0" w:space="0" w:color="auto"/>
                                  </w:divBdr>
                                  <w:divsChild>
                                    <w:div w:id="997460562">
                                      <w:marLeft w:val="0"/>
                                      <w:marRight w:val="0"/>
                                      <w:marTop w:val="0"/>
                                      <w:marBottom w:val="0"/>
                                      <w:divBdr>
                                        <w:top w:val="none" w:sz="0" w:space="0" w:color="auto"/>
                                        <w:left w:val="none" w:sz="0" w:space="0" w:color="auto"/>
                                        <w:bottom w:val="none" w:sz="0" w:space="0" w:color="auto"/>
                                        <w:right w:val="none" w:sz="0" w:space="0" w:color="auto"/>
                                      </w:divBdr>
                                      <w:divsChild>
                                        <w:div w:id="1589272731">
                                          <w:marLeft w:val="0"/>
                                          <w:marRight w:val="0"/>
                                          <w:marTop w:val="0"/>
                                          <w:marBottom w:val="495"/>
                                          <w:divBdr>
                                            <w:top w:val="none" w:sz="0" w:space="0" w:color="auto"/>
                                            <w:left w:val="none" w:sz="0" w:space="0" w:color="auto"/>
                                            <w:bottom w:val="none" w:sz="0" w:space="0" w:color="auto"/>
                                            <w:right w:val="none" w:sz="0" w:space="0" w:color="auto"/>
                                          </w:divBdr>
                                          <w:divsChild>
                                            <w:div w:id="13460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8B14A-86AF-44AF-91AB-BAF73463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3220</Words>
  <Characters>22692</Characters>
  <Application>Microsoft Office Word</Application>
  <DocSecurity>0</DocSecurity>
  <Lines>189</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Livopan medicinal gas, compressed ENG SmPC</vt:lpstr>
      <vt:lpstr>Livopan medicinal gas, compressed ENG SmPC</vt:lpstr>
    </vt:vector>
  </TitlesOfParts>
  <Company>Linde Group</Company>
  <LinksUpToDate>false</LinksUpToDate>
  <CharactersWithSpaces>25861</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Livopan medicinal gas, compressed ENG SmPC</dc:title>
  <dc:subject/>
  <dc:creator>Karin Rudhe</dc:creator>
  <cp:keywords/>
  <cp:lastModifiedBy>Skaidrīte Lapsenīte</cp:lastModifiedBy>
  <cp:revision>5</cp:revision>
  <cp:lastPrinted>2009-08-13T10:50:00Z</cp:lastPrinted>
  <dcterms:created xsi:type="dcterms:W3CDTF">2020-03-02T11:27:00Z</dcterms:created>
  <dcterms:modified xsi:type="dcterms:W3CDTF">2020-05-26T09:33:00Z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General-EMEA/403872/2005</vt:lpwstr>
  </property>
  <property fmtid="{D5CDD505-2E9C-101B-9397-08002B2CF9AE}" pid="6" name="DM_Title">
    <vt:lpwstr/>
  </property>
  <property fmtid="{D5CDD505-2E9C-101B-9397-08002B2CF9AE}" pid="7" name="DM_Language">
    <vt:lpwstr/>
  </property>
  <property fmtid="{D5CDD505-2E9C-101B-9397-08002B2CF9AE}" pid="8" name="DM_Name">
    <vt:lpwstr>H-SV_referral_SPC-lab-pl_v.2</vt:lpwstr>
  </property>
  <property fmtid="{D5CDD505-2E9C-101B-9397-08002B2CF9AE}" pid="9" name="DM_Owner">
    <vt:lpwstr>Holemarova Zuzana</vt:lpwstr>
  </property>
  <property fmtid="{D5CDD505-2E9C-101B-9397-08002B2CF9AE}" pid="10" name="DM_Creation_Date">
    <vt:lpwstr>01/12/2005 10:53:40</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02/12/2005 13:25:19</vt:lpwstr>
  </property>
  <property fmtid="{D5CDD505-2E9C-101B-9397-08002B2CF9AE}" pid="14" name="DM_Type">
    <vt:lpwstr>emea_document</vt:lpwstr>
  </property>
  <property fmtid="{D5CDD505-2E9C-101B-9397-08002B2CF9AE}" pid="15" name="DM_Version">
    <vt:lpwstr>0.1, CURRENT</vt:lpwstr>
  </property>
  <property fmtid="{D5CDD505-2E9C-101B-9397-08002B2CF9AE}" pid="16" name="DM_emea_doc_ref_id">
    <vt:lpwstr>EMEA/403872/2005</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403872</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2005</vt:lpwstr>
  </property>
  <property fmtid="{D5CDD505-2E9C-101B-9397-08002B2CF9AE}" pid="30" name="DM_emea_sent_date">
    <vt:lpwstr>nulldate</vt:lpwstr>
  </property>
  <property fmtid="{D5CDD505-2E9C-101B-9397-08002B2CF9AE}" pid="31" name="DM_emea_doc_lang">
    <vt:lpwstr/>
  </property>
  <property fmtid="{D5CDD505-2E9C-101B-9397-08002B2CF9AE}" pid="32" name="npl_id">
    <vt:lpwstr>20060113000032, </vt:lpwstr>
  </property>
</Properties>
</file>