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7A29" w14:textId="77777777" w:rsidR="00767FDF" w:rsidRPr="00117A80" w:rsidRDefault="00767FDF" w:rsidP="000B4D3E">
      <w:pPr>
        <w:widowControl w:val="0"/>
        <w:spacing w:line="240" w:lineRule="auto"/>
        <w:jc w:val="center"/>
        <w:rPr>
          <w:b/>
          <w:i/>
          <w:szCs w:val="22"/>
          <w:lang w:val="lv-LV"/>
        </w:rPr>
      </w:pPr>
      <w:r w:rsidRPr="00117A80">
        <w:rPr>
          <w:b/>
          <w:szCs w:val="22"/>
          <w:lang w:val="lv-LV"/>
        </w:rPr>
        <w:t>ZĀĻU APRAKSTS</w:t>
      </w:r>
    </w:p>
    <w:p w14:paraId="37442BB8" w14:textId="77777777" w:rsidR="00767FDF" w:rsidRPr="00E63831" w:rsidRDefault="00767FDF" w:rsidP="000B4D3E">
      <w:pPr>
        <w:widowControl w:val="0"/>
        <w:spacing w:line="240" w:lineRule="auto"/>
        <w:jc w:val="center"/>
        <w:rPr>
          <w:bCs/>
          <w:iCs/>
          <w:szCs w:val="22"/>
          <w:lang w:val="lv-LV"/>
        </w:rPr>
      </w:pPr>
    </w:p>
    <w:p w14:paraId="4D4E0DDB" w14:textId="77777777" w:rsidR="00767FDF" w:rsidRPr="00E63831" w:rsidRDefault="00767FDF" w:rsidP="000B4D3E">
      <w:pPr>
        <w:widowControl w:val="0"/>
        <w:spacing w:line="240" w:lineRule="auto"/>
        <w:jc w:val="center"/>
        <w:rPr>
          <w:bCs/>
          <w:iCs/>
          <w:szCs w:val="22"/>
          <w:lang w:val="lv-LV"/>
        </w:rPr>
      </w:pPr>
    </w:p>
    <w:p w14:paraId="4676667F" w14:textId="77777777" w:rsidR="00767FDF" w:rsidRPr="00117A80" w:rsidRDefault="00767FDF" w:rsidP="000B4D3E">
      <w:pPr>
        <w:widowControl w:val="0"/>
        <w:spacing w:line="240" w:lineRule="auto"/>
        <w:rPr>
          <w:b/>
          <w:szCs w:val="22"/>
          <w:lang w:val="lv-LV"/>
        </w:rPr>
      </w:pPr>
      <w:r w:rsidRPr="00117A80">
        <w:rPr>
          <w:b/>
          <w:szCs w:val="22"/>
          <w:lang w:val="lv-LV"/>
        </w:rPr>
        <w:t>1.</w:t>
      </w:r>
      <w:r w:rsidRPr="00117A80">
        <w:rPr>
          <w:b/>
          <w:szCs w:val="22"/>
          <w:lang w:val="lv-LV"/>
        </w:rPr>
        <w:tab/>
        <w:t>ZĀĻU NOSAUKUMS</w:t>
      </w:r>
    </w:p>
    <w:p w14:paraId="4746EB1B" w14:textId="77777777" w:rsidR="00767FDF" w:rsidRPr="00117A80" w:rsidRDefault="00767FDF" w:rsidP="000B4D3E">
      <w:pPr>
        <w:widowControl w:val="0"/>
        <w:spacing w:line="240" w:lineRule="auto"/>
        <w:rPr>
          <w:szCs w:val="22"/>
          <w:lang w:val="lv-LV"/>
        </w:rPr>
      </w:pPr>
    </w:p>
    <w:p w14:paraId="06B643E7" w14:textId="77777777" w:rsidR="00767FDF" w:rsidRPr="00117A80" w:rsidRDefault="00AF69D9" w:rsidP="000B4D3E">
      <w:pPr>
        <w:widowControl w:val="0"/>
        <w:spacing w:line="240" w:lineRule="auto"/>
        <w:rPr>
          <w:szCs w:val="22"/>
          <w:lang w:val="lv-LV"/>
        </w:rPr>
      </w:pPr>
      <w:r w:rsidRPr="00117A80">
        <w:rPr>
          <w:szCs w:val="22"/>
          <w:lang w:val="lv-LV"/>
        </w:rPr>
        <w:t xml:space="preserve">Bimican </w:t>
      </w:r>
      <w:r w:rsidR="00767FDF" w:rsidRPr="00117A80">
        <w:rPr>
          <w:szCs w:val="22"/>
          <w:lang w:val="lv-LV"/>
        </w:rPr>
        <w:t>0,3 mg/ml acu pilieni, šķīdums</w:t>
      </w:r>
    </w:p>
    <w:p w14:paraId="1957A746" w14:textId="77777777" w:rsidR="00767FDF" w:rsidRPr="00117A80" w:rsidRDefault="00767FDF" w:rsidP="000B4D3E">
      <w:pPr>
        <w:widowControl w:val="0"/>
        <w:spacing w:line="240" w:lineRule="auto"/>
        <w:rPr>
          <w:i/>
          <w:szCs w:val="22"/>
          <w:lang w:val="lv-LV"/>
        </w:rPr>
      </w:pPr>
    </w:p>
    <w:p w14:paraId="52B8DE4D" w14:textId="77777777" w:rsidR="00767FDF" w:rsidRPr="00117A80" w:rsidRDefault="00767FDF" w:rsidP="000B4D3E">
      <w:pPr>
        <w:widowControl w:val="0"/>
        <w:spacing w:line="240" w:lineRule="auto"/>
        <w:rPr>
          <w:szCs w:val="22"/>
          <w:lang w:val="lv-LV"/>
        </w:rPr>
      </w:pPr>
    </w:p>
    <w:p w14:paraId="193520D1" w14:textId="77777777" w:rsidR="00767FDF" w:rsidRPr="00117A80" w:rsidRDefault="00767FDF" w:rsidP="000B4D3E">
      <w:pPr>
        <w:widowControl w:val="0"/>
        <w:spacing w:line="240" w:lineRule="auto"/>
        <w:rPr>
          <w:szCs w:val="22"/>
          <w:lang w:val="lv-LV"/>
        </w:rPr>
      </w:pPr>
      <w:r w:rsidRPr="00117A80">
        <w:rPr>
          <w:b/>
          <w:szCs w:val="22"/>
          <w:lang w:val="lv-LV"/>
        </w:rPr>
        <w:t>2.</w:t>
      </w:r>
      <w:r w:rsidRPr="00117A80">
        <w:rPr>
          <w:b/>
          <w:szCs w:val="22"/>
          <w:lang w:val="lv-LV"/>
        </w:rPr>
        <w:tab/>
        <w:t>KVALITATĪVAIS UN KVANTITATĪVAIS SASTĀVS</w:t>
      </w:r>
    </w:p>
    <w:p w14:paraId="2638BA88" w14:textId="77777777" w:rsidR="00767FDF" w:rsidRPr="00117A80" w:rsidRDefault="00767FDF" w:rsidP="000B4D3E">
      <w:pPr>
        <w:widowControl w:val="0"/>
        <w:spacing w:line="240" w:lineRule="auto"/>
        <w:rPr>
          <w:szCs w:val="22"/>
          <w:lang w:val="lv-LV"/>
        </w:rPr>
      </w:pPr>
    </w:p>
    <w:p w14:paraId="6958CD9E" w14:textId="5D15DCEF" w:rsidR="00767FDF" w:rsidRPr="00117A80" w:rsidRDefault="004F23FA" w:rsidP="000B4D3E">
      <w:pPr>
        <w:widowControl w:val="0"/>
        <w:spacing w:line="240" w:lineRule="auto"/>
        <w:rPr>
          <w:szCs w:val="22"/>
          <w:lang w:val="lv-LV"/>
        </w:rPr>
      </w:pPr>
      <w:r w:rsidRPr="00680BEB">
        <w:rPr>
          <w:rStyle w:val="tlid-translation"/>
          <w:lang w:val="lv-LV"/>
        </w:rPr>
        <w:t>Katrs</w:t>
      </w:r>
      <w:r w:rsidR="00767FDF" w:rsidRPr="00117A80">
        <w:rPr>
          <w:szCs w:val="22"/>
          <w:lang w:val="lv-LV"/>
        </w:rPr>
        <w:t> ml šķīduma satur 0,3 mg bimatoprosta (</w:t>
      </w:r>
      <w:r w:rsidR="00767FDF" w:rsidRPr="00117A80">
        <w:rPr>
          <w:i/>
          <w:szCs w:val="22"/>
          <w:lang w:val="lv-LV"/>
        </w:rPr>
        <w:t>bimatoprostum</w:t>
      </w:r>
      <w:r w:rsidR="00767FDF" w:rsidRPr="00117A80">
        <w:rPr>
          <w:szCs w:val="22"/>
          <w:lang w:val="lv-LV"/>
        </w:rPr>
        <w:t>).</w:t>
      </w:r>
    </w:p>
    <w:p w14:paraId="0ED51AEA" w14:textId="2AC9B2FD" w:rsidR="00767FDF" w:rsidRPr="00117A80" w:rsidRDefault="004F23FA" w:rsidP="000B4D3E">
      <w:pPr>
        <w:widowControl w:val="0"/>
        <w:spacing w:line="240" w:lineRule="auto"/>
        <w:rPr>
          <w:szCs w:val="22"/>
          <w:lang w:val="lv-LV"/>
        </w:rPr>
      </w:pPr>
      <w:r w:rsidRPr="00680BEB">
        <w:rPr>
          <w:rStyle w:val="tlid-translation"/>
          <w:lang w:val="pl-PL"/>
        </w:rPr>
        <w:t xml:space="preserve">Katrs </w:t>
      </w:r>
      <w:r w:rsidR="00767FDF" w:rsidRPr="00117A80">
        <w:rPr>
          <w:szCs w:val="22"/>
          <w:lang w:val="lv-LV"/>
        </w:rPr>
        <w:t>piliens šķīduma satur 9 </w:t>
      </w:r>
      <w:r w:rsidR="00767FDF" w:rsidRPr="00117A80">
        <w:rPr>
          <w:szCs w:val="22"/>
          <w:lang w:val="lv-LV"/>
        </w:rPr>
        <w:sym w:font="Symbol" w:char="F06D"/>
      </w:r>
      <w:r w:rsidR="00767FDF" w:rsidRPr="00117A80">
        <w:rPr>
          <w:szCs w:val="22"/>
          <w:lang w:val="lv-LV"/>
        </w:rPr>
        <w:t>g bimatoprosta (</w:t>
      </w:r>
      <w:r w:rsidR="00767FDF" w:rsidRPr="00117A80">
        <w:rPr>
          <w:i/>
          <w:szCs w:val="22"/>
          <w:lang w:val="lv-LV"/>
        </w:rPr>
        <w:t>bimatoprostum</w:t>
      </w:r>
      <w:r w:rsidR="00767FDF" w:rsidRPr="00117A80">
        <w:rPr>
          <w:szCs w:val="22"/>
          <w:lang w:val="lv-LV"/>
        </w:rPr>
        <w:t>).</w:t>
      </w:r>
    </w:p>
    <w:p w14:paraId="207647CB" w14:textId="77777777" w:rsidR="00767FDF" w:rsidRPr="00CB5556" w:rsidRDefault="00767FDF" w:rsidP="000B4D3E">
      <w:pPr>
        <w:widowControl w:val="0"/>
        <w:spacing w:line="240" w:lineRule="auto"/>
        <w:rPr>
          <w:szCs w:val="22"/>
          <w:lang w:val="lv-LV"/>
        </w:rPr>
      </w:pPr>
    </w:p>
    <w:p w14:paraId="74AD06D7" w14:textId="3B5FC185" w:rsidR="00767FDF" w:rsidRPr="00CB5556" w:rsidRDefault="00767FDF" w:rsidP="00CB5556">
      <w:pPr>
        <w:pStyle w:val="Default"/>
        <w:rPr>
          <w:sz w:val="22"/>
          <w:szCs w:val="22"/>
          <w:lang w:val="lv-LV"/>
        </w:rPr>
      </w:pPr>
      <w:r w:rsidRPr="00CB5556">
        <w:rPr>
          <w:sz w:val="22"/>
          <w:szCs w:val="22"/>
          <w:u w:val="single"/>
          <w:lang w:val="lv-LV"/>
        </w:rPr>
        <w:t>Palīgviela</w:t>
      </w:r>
      <w:r w:rsidR="00CB5556" w:rsidRPr="00CB5556">
        <w:rPr>
          <w:sz w:val="22"/>
          <w:szCs w:val="22"/>
          <w:u w:val="single"/>
          <w:lang w:val="lv-LV"/>
        </w:rPr>
        <w:t>s</w:t>
      </w:r>
      <w:r w:rsidRPr="00CB5556">
        <w:rPr>
          <w:sz w:val="22"/>
          <w:szCs w:val="22"/>
          <w:u w:val="single"/>
          <w:lang w:val="lv-LV"/>
        </w:rPr>
        <w:t xml:space="preserve"> ar zināmu iedarbību</w:t>
      </w:r>
      <w:r w:rsidRPr="00CB5556">
        <w:rPr>
          <w:sz w:val="22"/>
          <w:szCs w:val="22"/>
          <w:lang w:val="lv-LV"/>
        </w:rPr>
        <w:t xml:space="preserve">: </w:t>
      </w:r>
      <w:r w:rsidR="004F23FA" w:rsidRPr="00CB5556">
        <w:rPr>
          <w:sz w:val="22"/>
          <w:szCs w:val="22"/>
          <w:lang w:val="lv-LV"/>
        </w:rPr>
        <w:t>benzalkonija hlorīd</w:t>
      </w:r>
      <w:r w:rsidR="00577F00">
        <w:rPr>
          <w:sz w:val="22"/>
          <w:szCs w:val="22"/>
          <w:lang w:val="lv-LV"/>
        </w:rPr>
        <w:t>s</w:t>
      </w:r>
      <w:r w:rsidR="00CB5556" w:rsidRPr="00CB5556">
        <w:rPr>
          <w:sz w:val="22"/>
          <w:szCs w:val="22"/>
          <w:lang w:val="lv-LV"/>
        </w:rPr>
        <w:t>, fosfāti</w:t>
      </w:r>
      <w:r w:rsidR="004F23FA" w:rsidRPr="00CB5556">
        <w:rPr>
          <w:sz w:val="22"/>
          <w:szCs w:val="22"/>
          <w:lang w:val="lv-LV"/>
        </w:rPr>
        <w:t>.</w:t>
      </w:r>
    </w:p>
    <w:p w14:paraId="2CEC6CFA" w14:textId="16E4588C" w:rsidR="00767FDF" w:rsidRPr="00CB5556" w:rsidRDefault="004F23FA" w:rsidP="000B4D3E">
      <w:pPr>
        <w:widowControl w:val="0"/>
        <w:spacing w:line="240" w:lineRule="auto"/>
        <w:rPr>
          <w:szCs w:val="22"/>
          <w:lang w:val="lv-LV"/>
        </w:rPr>
      </w:pPr>
      <w:r w:rsidRPr="00680BEB">
        <w:rPr>
          <w:rStyle w:val="tlid-translation"/>
          <w:szCs w:val="22"/>
          <w:lang w:val="lv-LV"/>
        </w:rPr>
        <w:t>Katrs</w:t>
      </w:r>
      <w:r w:rsidR="00767FDF" w:rsidRPr="00CB5556">
        <w:rPr>
          <w:szCs w:val="22"/>
          <w:lang w:val="lv-LV"/>
        </w:rPr>
        <w:t> ml šķīduma satur 0,05 mg benzalkonija hlorīda.</w:t>
      </w:r>
    </w:p>
    <w:p w14:paraId="37144BCE" w14:textId="638FDCE9" w:rsidR="00CB5556" w:rsidRPr="00CB5556" w:rsidRDefault="00CB5556" w:rsidP="00CB5556">
      <w:pPr>
        <w:pStyle w:val="Default"/>
        <w:rPr>
          <w:sz w:val="22"/>
          <w:szCs w:val="22"/>
          <w:lang w:val="lv-LV"/>
        </w:rPr>
      </w:pPr>
      <w:r w:rsidRPr="00CB5556">
        <w:rPr>
          <w:rStyle w:val="tlid-translation"/>
          <w:sz w:val="22"/>
          <w:szCs w:val="22"/>
          <w:lang w:val="lv-LV"/>
        </w:rPr>
        <w:t>Katrs</w:t>
      </w:r>
      <w:r w:rsidRPr="00CB5556">
        <w:rPr>
          <w:sz w:val="22"/>
          <w:szCs w:val="22"/>
          <w:lang w:val="lv-LV"/>
        </w:rPr>
        <w:t> ml šķīduma satur 0,96 mg fosfāt</w:t>
      </w:r>
      <w:r w:rsidR="00577F00">
        <w:rPr>
          <w:sz w:val="22"/>
          <w:szCs w:val="22"/>
          <w:lang w:val="lv-LV"/>
        </w:rPr>
        <w:t>u</w:t>
      </w:r>
      <w:r w:rsidRPr="00CB5556">
        <w:rPr>
          <w:sz w:val="22"/>
          <w:szCs w:val="22"/>
          <w:lang w:val="lv-LV"/>
        </w:rPr>
        <w:t>.</w:t>
      </w:r>
    </w:p>
    <w:p w14:paraId="051D8ADD" w14:textId="77777777" w:rsidR="00767FDF" w:rsidRPr="00CB5556" w:rsidRDefault="00767FDF" w:rsidP="000B4D3E">
      <w:pPr>
        <w:widowControl w:val="0"/>
        <w:spacing w:line="240" w:lineRule="auto"/>
        <w:rPr>
          <w:szCs w:val="22"/>
          <w:lang w:val="lv-LV"/>
        </w:rPr>
      </w:pPr>
    </w:p>
    <w:p w14:paraId="5965042B" w14:textId="77777777" w:rsidR="00767FDF" w:rsidRPr="00CB5556" w:rsidRDefault="00767FDF" w:rsidP="000B4D3E">
      <w:pPr>
        <w:widowControl w:val="0"/>
        <w:spacing w:line="240" w:lineRule="auto"/>
        <w:rPr>
          <w:szCs w:val="22"/>
          <w:lang w:val="lv-LV"/>
        </w:rPr>
      </w:pPr>
      <w:r w:rsidRPr="00CB5556">
        <w:rPr>
          <w:szCs w:val="22"/>
          <w:lang w:val="lv-LV"/>
        </w:rPr>
        <w:t>Pilnu palīgvielu sarakstu skatīt 6.1. apakšpunktā.</w:t>
      </w:r>
    </w:p>
    <w:p w14:paraId="135DD531" w14:textId="77777777" w:rsidR="00767FDF" w:rsidRPr="00117A80" w:rsidRDefault="00767FDF" w:rsidP="000B4D3E">
      <w:pPr>
        <w:widowControl w:val="0"/>
        <w:spacing w:line="240" w:lineRule="auto"/>
        <w:rPr>
          <w:szCs w:val="22"/>
          <w:lang w:val="lv-LV"/>
        </w:rPr>
      </w:pPr>
    </w:p>
    <w:p w14:paraId="11C87E0A" w14:textId="77777777" w:rsidR="00767FDF" w:rsidRPr="00117A80" w:rsidRDefault="00767FDF" w:rsidP="000B4D3E">
      <w:pPr>
        <w:widowControl w:val="0"/>
        <w:spacing w:line="240" w:lineRule="auto"/>
        <w:rPr>
          <w:szCs w:val="22"/>
          <w:lang w:val="lv-LV"/>
        </w:rPr>
      </w:pPr>
    </w:p>
    <w:p w14:paraId="5397F2D0" w14:textId="77777777" w:rsidR="00767FDF" w:rsidRPr="00117A80" w:rsidRDefault="00767FDF" w:rsidP="000B4D3E">
      <w:pPr>
        <w:widowControl w:val="0"/>
        <w:spacing w:line="240" w:lineRule="auto"/>
        <w:ind w:left="567" w:hanging="567"/>
        <w:rPr>
          <w:b/>
          <w:caps/>
          <w:szCs w:val="22"/>
          <w:lang w:val="lv-LV"/>
        </w:rPr>
      </w:pPr>
      <w:r w:rsidRPr="00117A80">
        <w:rPr>
          <w:b/>
          <w:szCs w:val="22"/>
          <w:lang w:val="lv-LV"/>
        </w:rPr>
        <w:t>3.</w:t>
      </w:r>
      <w:r w:rsidRPr="00117A80">
        <w:rPr>
          <w:b/>
          <w:szCs w:val="22"/>
          <w:lang w:val="lv-LV"/>
        </w:rPr>
        <w:tab/>
        <w:t>ZĀĻU FORMA</w:t>
      </w:r>
    </w:p>
    <w:p w14:paraId="074B03B6" w14:textId="77777777" w:rsidR="00767FDF" w:rsidRPr="00117A80" w:rsidRDefault="00767FDF" w:rsidP="000B4D3E">
      <w:pPr>
        <w:widowControl w:val="0"/>
        <w:spacing w:line="240" w:lineRule="auto"/>
        <w:rPr>
          <w:szCs w:val="22"/>
          <w:lang w:val="lv-LV"/>
        </w:rPr>
      </w:pPr>
    </w:p>
    <w:p w14:paraId="63DA110A" w14:textId="77777777" w:rsidR="00767FDF" w:rsidRPr="00117A80" w:rsidRDefault="00767FDF" w:rsidP="000B4D3E">
      <w:pPr>
        <w:widowControl w:val="0"/>
        <w:spacing w:line="240" w:lineRule="auto"/>
        <w:rPr>
          <w:szCs w:val="22"/>
          <w:lang w:val="lv-LV"/>
        </w:rPr>
      </w:pPr>
      <w:r w:rsidRPr="00117A80">
        <w:rPr>
          <w:szCs w:val="22"/>
          <w:lang w:val="lv-LV"/>
        </w:rPr>
        <w:t>Acu pilieni, šķīdums.</w:t>
      </w:r>
    </w:p>
    <w:p w14:paraId="3FCCA81D" w14:textId="77777777" w:rsidR="00767FDF" w:rsidRPr="00117A80" w:rsidRDefault="00767FDF" w:rsidP="000B4D3E">
      <w:pPr>
        <w:widowControl w:val="0"/>
        <w:spacing w:line="240" w:lineRule="auto"/>
        <w:rPr>
          <w:szCs w:val="22"/>
          <w:lang w:val="lv-LV"/>
        </w:rPr>
      </w:pPr>
    </w:p>
    <w:p w14:paraId="295A4790" w14:textId="77777777" w:rsidR="00767FDF" w:rsidRPr="00117A80" w:rsidRDefault="00767FDF" w:rsidP="000B4D3E">
      <w:pPr>
        <w:widowControl w:val="0"/>
        <w:spacing w:line="240" w:lineRule="auto"/>
        <w:rPr>
          <w:szCs w:val="22"/>
          <w:lang w:val="lv-LV"/>
        </w:rPr>
      </w:pPr>
      <w:r w:rsidRPr="00117A80">
        <w:rPr>
          <w:szCs w:val="22"/>
          <w:lang w:val="lv-LV"/>
        </w:rPr>
        <w:t xml:space="preserve">Dzidrs, bezkrāsains sterils šķīdums praktiski bez daļiņām. </w:t>
      </w:r>
    </w:p>
    <w:p w14:paraId="07782FCA" w14:textId="77777777" w:rsidR="00767FDF" w:rsidRPr="00117A80" w:rsidRDefault="00767FDF" w:rsidP="000B4D3E">
      <w:pPr>
        <w:widowControl w:val="0"/>
        <w:spacing w:line="240" w:lineRule="auto"/>
        <w:rPr>
          <w:szCs w:val="22"/>
          <w:lang w:val="lv-LV"/>
        </w:rPr>
      </w:pPr>
      <w:r w:rsidRPr="00117A80">
        <w:rPr>
          <w:szCs w:val="22"/>
          <w:lang w:val="lv-LV"/>
        </w:rPr>
        <w:t>pH 6,5–7,5; osmolalitāte 280–340 mOsm/kg.</w:t>
      </w:r>
    </w:p>
    <w:p w14:paraId="28CE0F02" w14:textId="77777777" w:rsidR="00767FDF" w:rsidRPr="00117A80" w:rsidRDefault="00767FDF" w:rsidP="000B4D3E">
      <w:pPr>
        <w:widowControl w:val="0"/>
        <w:spacing w:line="240" w:lineRule="auto"/>
        <w:rPr>
          <w:szCs w:val="22"/>
          <w:lang w:val="lv-LV"/>
        </w:rPr>
      </w:pPr>
    </w:p>
    <w:p w14:paraId="0422832A" w14:textId="77777777" w:rsidR="00767FDF" w:rsidRPr="00117A80" w:rsidRDefault="00767FDF" w:rsidP="000B4D3E">
      <w:pPr>
        <w:widowControl w:val="0"/>
        <w:spacing w:line="240" w:lineRule="auto"/>
        <w:rPr>
          <w:szCs w:val="22"/>
          <w:lang w:val="lv-LV"/>
        </w:rPr>
      </w:pPr>
    </w:p>
    <w:p w14:paraId="3B0EA804" w14:textId="77777777" w:rsidR="00767FDF" w:rsidRPr="00117A80" w:rsidRDefault="00767FDF" w:rsidP="000B4D3E">
      <w:pPr>
        <w:widowControl w:val="0"/>
        <w:spacing w:line="240" w:lineRule="auto"/>
        <w:ind w:left="567" w:hanging="567"/>
        <w:rPr>
          <w:caps/>
          <w:szCs w:val="22"/>
          <w:lang w:val="lv-LV"/>
        </w:rPr>
      </w:pPr>
      <w:r w:rsidRPr="00117A80">
        <w:rPr>
          <w:b/>
          <w:caps/>
          <w:szCs w:val="22"/>
          <w:lang w:val="lv-LV"/>
        </w:rPr>
        <w:t>4.</w:t>
      </w:r>
      <w:r w:rsidRPr="00117A80">
        <w:rPr>
          <w:b/>
          <w:caps/>
          <w:szCs w:val="22"/>
          <w:lang w:val="lv-LV"/>
        </w:rPr>
        <w:tab/>
        <w:t>KLĪNISKĀ INFORMĀCIJA</w:t>
      </w:r>
    </w:p>
    <w:p w14:paraId="3C507F6A" w14:textId="77777777" w:rsidR="00767FDF" w:rsidRPr="00117A80" w:rsidRDefault="00767FDF" w:rsidP="000B4D3E">
      <w:pPr>
        <w:widowControl w:val="0"/>
        <w:spacing w:line="240" w:lineRule="auto"/>
        <w:rPr>
          <w:szCs w:val="22"/>
          <w:lang w:val="lv-LV"/>
        </w:rPr>
      </w:pPr>
    </w:p>
    <w:p w14:paraId="7734D6CD" w14:textId="77777777" w:rsidR="00767FDF" w:rsidRPr="00117A80" w:rsidRDefault="00767FDF" w:rsidP="000B4D3E">
      <w:pPr>
        <w:widowControl w:val="0"/>
        <w:spacing w:line="240" w:lineRule="auto"/>
        <w:ind w:left="567" w:hanging="567"/>
        <w:rPr>
          <w:szCs w:val="22"/>
          <w:lang w:val="lv-LV"/>
        </w:rPr>
      </w:pPr>
      <w:r w:rsidRPr="00117A80">
        <w:rPr>
          <w:b/>
          <w:szCs w:val="22"/>
          <w:lang w:val="lv-LV"/>
        </w:rPr>
        <w:t>4.1.</w:t>
      </w:r>
      <w:r w:rsidRPr="00117A80">
        <w:rPr>
          <w:b/>
          <w:szCs w:val="22"/>
          <w:lang w:val="lv-LV"/>
        </w:rPr>
        <w:tab/>
        <w:t>Terapeitiskās indikācijas</w:t>
      </w:r>
    </w:p>
    <w:p w14:paraId="412179BF" w14:textId="77777777" w:rsidR="00767FDF" w:rsidRPr="00117A80" w:rsidRDefault="00767FDF" w:rsidP="000B4D3E">
      <w:pPr>
        <w:widowControl w:val="0"/>
        <w:spacing w:line="240" w:lineRule="auto"/>
        <w:rPr>
          <w:szCs w:val="22"/>
          <w:lang w:val="lv-LV"/>
        </w:rPr>
      </w:pPr>
    </w:p>
    <w:p w14:paraId="3C487738" w14:textId="416C96D4" w:rsidR="00767FDF" w:rsidRPr="00117A80" w:rsidRDefault="00767FDF" w:rsidP="000B4D3E">
      <w:pPr>
        <w:widowControl w:val="0"/>
        <w:tabs>
          <w:tab w:val="clear" w:pos="567"/>
        </w:tabs>
        <w:spacing w:line="240" w:lineRule="auto"/>
        <w:rPr>
          <w:szCs w:val="22"/>
          <w:lang w:val="lv-LV"/>
        </w:rPr>
      </w:pPr>
      <w:r w:rsidRPr="00117A80">
        <w:rPr>
          <w:color w:val="000000"/>
          <w:szCs w:val="22"/>
          <w:lang w:val="lv-LV"/>
        </w:rPr>
        <w:t>Paaugstināta intraokulārā spiediena pazemināšana hroniskas atvērta kakta glaukomas un okulāras hipertensija</w:t>
      </w:r>
      <w:r w:rsidR="00AE6630">
        <w:rPr>
          <w:color w:val="000000"/>
          <w:szCs w:val="22"/>
          <w:lang w:val="lv-LV"/>
        </w:rPr>
        <w:t>s</w:t>
      </w:r>
      <w:r w:rsidRPr="00117A80">
        <w:rPr>
          <w:color w:val="000000"/>
          <w:szCs w:val="22"/>
          <w:lang w:val="lv-LV"/>
        </w:rPr>
        <w:t xml:space="preserve"> gadījumā pieaugušajiem (monoterapijas veidā vai papildus ārstēšanai ar </w:t>
      </w:r>
      <w:r w:rsidR="00A75162">
        <w:rPr>
          <w:color w:val="000000"/>
          <w:szCs w:val="22"/>
          <w:lang w:val="lv-LV"/>
        </w:rPr>
        <w:t>bēta</w:t>
      </w:r>
      <w:r w:rsidRPr="00117A80">
        <w:rPr>
          <w:color w:val="000000"/>
          <w:szCs w:val="22"/>
          <w:lang w:val="lv-LV"/>
        </w:rPr>
        <w:t xml:space="preserve"> blokatoriem). </w:t>
      </w:r>
    </w:p>
    <w:p w14:paraId="43126939" w14:textId="77777777" w:rsidR="00767FDF" w:rsidRPr="00117A80" w:rsidRDefault="00767FDF" w:rsidP="000B4D3E">
      <w:pPr>
        <w:widowControl w:val="0"/>
        <w:spacing w:line="240" w:lineRule="auto"/>
        <w:rPr>
          <w:szCs w:val="22"/>
          <w:lang w:val="lv-LV"/>
        </w:rPr>
      </w:pPr>
    </w:p>
    <w:p w14:paraId="345B8D4B" w14:textId="77777777" w:rsidR="00767FDF" w:rsidRPr="00117A80" w:rsidRDefault="00767FDF" w:rsidP="000B4D3E">
      <w:pPr>
        <w:widowControl w:val="0"/>
        <w:spacing w:line="240" w:lineRule="auto"/>
        <w:ind w:left="567" w:hanging="567"/>
        <w:rPr>
          <w:b/>
          <w:szCs w:val="22"/>
          <w:lang w:val="lv-LV"/>
        </w:rPr>
      </w:pPr>
      <w:r w:rsidRPr="00117A80">
        <w:rPr>
          <w:b/>
          <w:szCs w:val="22"/>
          <w:lang w:val="lv-LV"/>
        </w:rPr>
        <w:t>4.2.</w:t>
      </w:r>
      <w:r w:rsidRPr="00117A80">
        <w:rPr>
          <w:b/>
          <w:szCs w:val="22"/>
          <w:lang w:val="lv-LV"/>
        </w:rPr>
        <w:tab/>
        <w:t>Devas un lietošanas veids</w:t>
      </w:r>
    </w:p>
    <w:p w14:paraId="37484B11" w14:textId="77777777" w:rsidR="00767FDF" w:rsidRPr="00117A80" w:rsidRDefault="00767FDF" w:rsidP="000B4D3E">
      <w:pPr>
        <w:widowControl w:val="0"/>
        <w:spacing w:line="240" w:lineRule="auto"/>
        <w:rPr>
          <w:szCs w:val="22"/>
          <w:lang w:val="lv-LV"/>
        </w:rPr>
      </w:pPr>
    </w:p>
    <w:p w14:paraId="6B749654" w14:textId="77777777" w:rsidR="00767FDF" w:rsidRPr="00117A80" w:rsidRDefault="00767FDF" w:rsidP="000B4D3E">
      <w:pPr>
        <w:widowControl w:val="0"/>
        <w:tabs>
          <w:tab w:val="clear" w:pos="567"/>
        </w:tabs>
        <w:spacing w:line="240" w:lineRule="auto"/>
        <w:rPr>
          <w:szCs w:val="22"/>
          <w:u w:val="single"/>
          <w:lang w:val="lv-LV"/>
        </w:rPr>
      </w:pPr>
      <w:r w:rsidRPr="00117A80">
        <w:rPr>
          <w:szCs w:val="22"/>
          <w:u w:val="single"/>
          <w:lang w:val="lv-LV"/>
        </w:rPr>
        <w:t>Devas</w:t>
      </w:r>
    </w:p>
    <w:p w14:paraId="72B7F578"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Ieteicamā deva ir viens piliens skartajā(-ās) acī(-īs) vienu reizi dienā vakarā. Devu nedrīkst lietot vairāk nekā vienu reizi dienā, jo biežāka lietošana var vājināt acs iekšējo spiedienu pazeminošo iedarbību.</w:t>
      </w:r>
    </w:p>
    <w:p w14:paraId="1650FE99"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3C43ECC1" w14:textId="77777777" w:rsidR="00767FDF" w:rsidRPr="00E63831" w:rsidRDefault="00767FDF" w:rsidP="000B4D3E">
      <w:pPr>
        <w:widowControl w:val="0"/>
        <w:tabs>
          <w:tab w:val="clear" w:pos="567"/>
        </w:tabs>
        <w:spacing w:line="240" w:lineRule="auto"/>
        <w:rPr>
          <w:bCs/>
          <w:i/>
          <w:szCs w:val="22"/>
          <w:lang w:val="lv-LV"/>
        </w:rPr>
      </w:pPr>
      <w:r w:rsidRPr="00117A80">
        <w:rPr>
          <w:i/>
          <w:szCs w:val="22"/>
          <w:lang w:val="lv-LV"/>
        </w:rPr>
        <w:t>Pediatriskā populācija</w:t>
      </w:r>
    </w:p>
    <w:p w14:paraId="14DE724C" w14:textId="77777777" w:rsidR="00767FDF" w:rsidRPr="00117A80" w:rsidRDefault="00AF69D9" w:rsidP="000B4D3E">
      <w:pPr>
        <w:widowControl w:val="0"/>
        <w:tabs>
          <w:tab w:val="clear" w:pos="567"/>
        </w:tabs>
        <w:autoSpaceDE w:val="0"/>
        <w:autoSpaceDN w:val="0"/>
        <w:adjustRightInd w:val="0"/>
        <w:spacing w:line="240" w:lineRule="auto"/>
        <w:rPr>
          <w:szCs w:val="22"/>
          <w:lang w:val="lv-LV"/>
        </w:rPr>
      </w:pPr>
      <w:r w:rsidRPr="00117A80">
        <w:rPr>
          <w:szCs w:val="22"/>
          <w:lang w:val="lv-LV"/>
        </w:rPr>
        <w:t>Bim</w:t>
      </w:r>
      <w:r w:rsidR="00EB56A5" w:rsidRPr="00117A80">
        <w:rPr>
          <w:szCs w:val="22"/>
          <w:lang w:val="lv-LV"/>
        </w:rPr>
        <w:t>atoprosta</w:t>
      </w:r>
      <w:r w:rsidRPr="00117A80">
        <w:rPr>
          <w:szCs w:val="22"/>
          <w:lang w:val="lv-LV"/>
        </w:rPr>
        <w:t xml:space="preserve"> </w:t>
      </w:r>
      <w:r w:rsidR="00767FDF" w:rsidRPr="00117A80">
        <w:rPr>
          <w:szCs w:val="22"/>
          <w:lang w:val="lv-LV"/>
        </w:rPr>
        <w:t>drošums un efektivitāte, lietojot bērniem vecumā no 0 līdz 18 gadiem, līdz šim nav pierādīta.</w:t>
      </w:r>
    </w:p>
    <w:p w14:paraId="34D37A58" w14:textId="77777777" w:rsidR="00767FDF" w:rsidRPr="00117A80" w:rsidRDefault="00767FDF" w:rsidP="000B4D3E">
      <w:pPr>
        <w:widowControl w:val="0"/>
        <w:tabs>
          <w:tab w:val="clear" w:pos="567"/>
        </w:tabs>
        <w:autoSpaceDE w:val="0"/>
        <w:autoSpaceDN w:val="0"/>
        <w:adjustRightInd w:val="0"/>
        <w:spacing w:line="240" w:lineRule="auto"/>
        <w:jc w:val="both"/>
        <w:rPr>
          <w:i/>
          <w:szCs w:val="22"/>
          <w:lang w:val="lv-LV"/>
        </w:rPr>
      </w:pPr>
    </w:p>
    <w:p w14:paraId="3009464E" w14:textId="77777777" w:rsidR="00767FDF" w:rsidRPr="00117A80" w:rsidRDefault="00EB56A5" w:rsidP="000B4D3E">
      <w:pPr>
        <w:widowControl w:val="0"/>
        <w:tabs>
          <w:tab w:val="clear" w:pos="567"/>
        </w:tabs>
        <w:autoSpaceDE w:val="0"/>
        <w:autoSpaceDN w:val="0"/>
        <w:adjustRightInd w:val="0"/>
        <w:spacing w:line="240" w:lineRule="auto"/>
        <w:jc w:val="both"/>
        <w:rPr>
          <w:szCs w:val="22"/>
          <w:u w:val="single"/>
          <w:lang w:val="lv-LV"/>
        </w:rPr>
      </w:pPr>
      <w:r w:rsidRPr="00117A80">
        <w:rPr>
          <w:szCs w:val="22"/>
          <w:u w:val="single"/>
          <w:lang w:val="lv-LV"/>
        </w:rPr>
        <w:t>P</w:t>
      </w:r>
      <w:r w:rsidR="00767FDF" w:rsidRPr="00117A80">
        <w:rPr>
          <w:szCs w:val="22"/>
          <w:u w:val="single"/>
          <w:lang w:val="lv-LV"/>
        </w:rPr>
        <w:t>acienti ar aknu un nieru darbības traucējumiem</w:t>
      </w:r>
    </w:p>
    <w:p w14:paraId="6EDAEAFC" w14:textId="77777777" w:rsidR="00767FDF" w:rsidRPr="00117A80" w:rsidRDefault="00AF69D9"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Bimican </w:t>
      </w:r>
      <w:r w:rsidR="00767FDF" w:rsidRPr="00117A80">
        <w:rPr>
          <w:szCs w:val="22"/>
          <w:lang w:val="lv-LV"/>
        </w:rPr>
        <w:t>lietošana pacientiem, kuriem ir nieru darbības traucējumi vai vidēji un smagi aknu darbības traucējumi, nav pētīta, tādēļ šādiem pacientiem šīs zāles jālieto piesardzīgi. Pacientiem, kuriem anamnēzē ir viegla aknu slimība vai pirms zāļu lietošanas sākšanas bija alanīnaminotransferāzes (ALAT), aspartātaminotransferāzes (ASAT) un/vai bilirubīna līmeņa novirzes, bimatoprosta 0,3 mg/ml acu pilienu šķīduma lietošana ilgāk par 24 mēnešiem neizraisīja nevēlamu ietekmi uz aknu darbību.</w:t>
      </w:r>
    </w:p>
    <w:p w14:paraId="5F75BEC7"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4324D499" w14:textId="77777777" w:rsidR="00767FDF" w:rsidRPr="00117A80" w:rsidRDefault="00767FDF" w:rsidP="000B4D3E">
      <w:pPr>
        <w:widowControl w:val="0"/>
        <w:tabs>
          <w:tab w:val="clear" w:pos="567"/>
        </w:tabs>
        <w:autoSpaceDE w:val="0"/>
        <w:autoSpaceDN w:val="0"/>
        <w:adjustRightInd w:val="0"/>
        <w:spacing w:line="240" w:lineRule="auto"/>
        <w:rPr>
          <w:szCs w:val="22"/>
          <w:u w:val="single"/>
          <w:lang w:val="lv-LV"/>
        </w:rPr>
      </w:pPr>
      <w:r w:rsidRPr="00117A80">
        <w:rPr>
          <w:szCs w:val="22"/>
          <w:u w:val="single"/>
          <w:lang w:val="lv-LV"/>
        </w:rPr>
        <w:t>Lietošanas veids</w:t>
      </w:r>
    </w:p>
    <w:p w14:paraId="76FCD888"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Lietošanai acīs. </w:t>
      </w:r>
    </w:p>
    <w:p w14:paraId="5D0BC946" w14:textId="265A81EB"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lastRenderedPageBreak/>
        <w:t xml:space="preserve">Ja tiek lietoti vairāki lokālai lietošanai paredzētie oftalmoloģiskie līdzekļi, </w:t>
      </w:r>
      <w:r w:rsidR="007500A0">
        <w:rPr>
          <w:szCs w:val="22"/>
          <w:lang w:val="lv-LV"/>
        </w:rPr>
        <w:t>katrs no tiem</w:t>
      </w:r>
      <w:r w:rsidRPr="00117A80">
        <w:rPr>
          <w:szCs w:val="22"/>
          <w:lang w:val="lv-LV"/>
        </w:rPr>
        <w:t xml:space="preserve"> jālieto ar vismaz piecu minūšu starplaiku.</w:t>
      </w:r>
    </w:p>
    <w:p w14:paraId="2835639D"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233B4811" w14:textId="77777777" w:rsidR="00767FDF" w:rsidRPr="00117A80" w:rsidRDefault="00767FDF" w:rsidP="000B4D3E">
      <w:pPr>
        <w:widowControl w:val="0"/>
        <w:spacing w:line="240" w:lineRule="auto"/>
        <w:ind w:left="567" w:hanging="567"/>
        <w:rPr>
          <w:szCs w:val="22"/>
          <w:lang w:val="lv-LV"/>
        </w:rPr>
      </w:pPr>
      <w:r w:rsidRPr="00117A80">
        <w:rPr>
          <w:b/>
          <w:szCs w:val="22"/>
          <w:lang w:val="lv-LV"/>
        </w:rPr>
        <w:t>4.3.</w:t>
      </w:r>
      <w:r w:rsidRPr="00117A80">
        <w:rPr>
          <w:b/>
          <w:szCs w:val="22"/>
          <w:lang w:val="lv-LV"/>
        </w:rPr>
        <w:tab/>
        <w:t>Kontrindikācijas</w:t>
      </w:r>
    </w:p>
    <w:p w14:paraId="34487956" w14:textId="77777777" w:rsidR="00767FDF" w:rsidRPr="00117A80" w:rsidRDefault="00767FDF" w:rsidP="000B4D3E">
      <w:pPr>
        <w:widowControl w:val="0"/>
        <w:spacing w:line="240" w:lineRule="auto"/>
        <w:rPr>
          <w:szCs w:val="22"/>
          <w:lang w:val="lv-LV"/>
        </w:rPr>
      </w:pPr>
    </w:p>
    <w:p w14:paraId="5B63A4D1" w14:textId="77777777" w:rsidR="00767FDF" w:rsidRPr="00117A80" w:rsidRDefault="00767FDF" w:rsidP="000B4D3E">
      <w:pPr>
        <w:widowControl w:val="0"/>
        <w:spacing w:line="240" w:lineRule="auto"/>
        <w:rPr>
          <w:szCs w:val="22"/>
          <w:lang w:val="lv-LV"/>
        </w:rPr>
      </w:pPr>
      <w:r w:rsidRPr="00117A80">
        <w:rPr>
          <w:szCs w:val="22"/>
          <w:lang w:val="lv-LV"/>
        </w:rPr>
        <w:t xml:space="preserve">Paaugstināta jutība pret aktīvo vielu vai jebkuru no 6.1. apakšpunktā uzskaitītajām palīgvielām. </w:t>
      </w:r>
    </w:p>
    <w:p w14:paraId="18B6D832" w14:textId="77777777" w:rsidR="00EB56A5" w:rsidRPr="00117A80" w:rsidRDefault="00EB56A5" w:rsidP="000B4D3E">
      <w:pPr>
        <w:widowControl w:val="0"/>
        <w:spacing w:line="240" w:lineRule="auto"/>
        <w:rPr>
          <w:szCs w:val="22"/>
          <w:lang w:val="lv-LV"/>
        </w:rPr>
      </w:pPr>
    </w:p>
    <w:p w14:paraId="3990A9B7" w14:textId="77777777" w:rsidR="00EB56A5" w:rsidRPr="00117A80" w:rsidRDefault="000A3BAB" w:rsidP="000A3BAB">
      <w:pPr>
        <w:widowControl w:val="0"/>
        <w:spacing w:line="240" w:lineRule="auto"/>
        <w:rPr>
          <w:szCs w:val="22"/>
          <w:lang w:val="lv-LV"/>
        </w:rPr>
      </w:pPr>
      <w:r w:rsidRPr="00117A80">
        <w:rPr>
          <w:szCs w:val="22"/>
          <w:lang w:val="lv-LV"/>
        </w:rPr>
        <w:t xml:space="preserve">Bimican 0,3 mg/ml ir kontrindicēts pacientiem, kuriem ir bijušas, iespējams, benzalkonija hlorīda izraisītas nevēlamas blakusparādības, kuru dēļ </w:t>
      </w:r>
      <w:r w:rsidR="00D90DAF" w:rsidRPr="00117A80">
        <w:rPr>
          <w:szCs w:val="22"/>
          <w:lang w:val="lv-LV"/>
        </w:rPr>
        <w:t>bij</w:t>
      </w:r>
      <w:r w:rsidR="00D90DAF">
        <w:rPr>
          <w:szCs w:val="22"/>
          <w:lang w:val="lv-LV"/>
        </w:rPr>
        <w:t>a</w:t>
      </w:r>
      <w:r w:rsidR="00D90DAF" w:rsidRPr="00117A80">
        <w:rPr>
          <w:szCs w:val="22"/>
          <w:lang w:val="lv-LV"/>
        </w:rPr>
        <w:t xml:space="preserve"> </w:t>
      </w:r>
      <w:r w:rsidRPr="00117A80">
        <w:rPr>
          <w:szCs w:val="22"/>
          <w:lang w:val="lv-LV"/>
        </w:rPr>
        <w:t>jāpārtrauc preparāta lietošana.</w:t>
      </w:r>
    </w:p>
    <w:p w14:paraId="7DCBAA1E" w14:textId="77777777" w:rsidR="00767FDF" w:rsidRPr="00117A80" w:rsidRDefault="00767FDF" w:rsidP="000B4D3E">
      <w:pPr>
        <w:widowControl w:val="0"/>
        <w:spacing w:line="240" w:lineRule="auto"/>
        <w:rPr>
          <w:szCs w:val="22"/>
          <w:lang w:val="lv-LV"/>
        </w:rPr>
      </w:pPr>
    </w:p>
    <w:p w14:paraId="094A3C89" w14:textId="77777777" w:rsidR="00767FDF" w:rsidRPr="00117A80" w:rsidRDefault="00767FDF" w:rsidP="000B4D3E">
      <w:pPr>
        <w:widowControl w:val="0"/>
        <w:spacing w:line="240" w:lineRule="auto"/>
        <w:ind w:left="567" w:hanging="567"/>
        <w:rPr>
          <w:b/>
          <w:szCs w:val="22"/>
          <w:lang w:val="lv-LV"/>
        </w:rPr>
      </w:pPr>
      <w:r w:rsidRPr="00117A80">
        <w:rPr>
          <w:b/>
          <w:szCs w:val="22"/>
          <w:lang w:val="lv-LV"/>
        </w:rPr>
        <w:t>4.4.</w:t>
      </w:r>
      <w:r w:rsidRPr="00117A80">
        <w:rPr>
          <w:b/>
          <w:szCs w:val="22"/>
          <w:lang w:val="lv-LV"/>
        </w:rPr>
        <w:tab/>
        <w:t>Īpaši brīdinājumi un piesardzība lietošanā</w:t>
      </w:r>
    </w:p>
    <w:p w14:paraId="0000FC29" w14:textId="77777777" w:rsidR="00767FDF" w:rsidRPr="00117A80" w:rsidRDefault="00767FDF" w:rsidP="000B4D3E">
      <w:pPr>
        <w:widowControl w:val="0"/>
        <w:spacing w:line="240" w:lineRule="auto"/>
        <w:ind w:left="567" w:hanging="567"/>
        <w:rPr>
          <w:szCs w:val="22"/>
          <w:lang w:val="lv-LV"/>
        </w:rPr>
      </w:pPr>
    </w:p>
    <w:p w14:paraId="40D660B3" w14:textId="77777777" w:rsidR="00767FDF" w:rsidRPr="00117A80" w:rsidRDefault="00767FDF" w:rsidP="000B4D3E">
      <w:pPr>
        <w:widowControl w:val="0"/>
        <w:spacing w:line="240" w:lineRule="auto"/>
        <w:ind w:left="567" w:hanging="567"/>
        <w:rPr>
          <w:szCs w:val="22"/>
          <w:u w:val="single"/>
          <w:lang w:val="lv-LV"/>
        </w:rPr>
      </w:pPr>
      <w:r w:rsidRPr="00117A80">
        <w:rPr>
          <w:szCs w:val="22"/>
          <w:u w:val="single"/>
          <w:lang w:val="lv-LV"/>
        </w:rPr>
        <w:t>Acis</w:t>
      </w:r>
    </w:p>
    <w:p w14:paraId="15DFD101" w14:textId="53E31880" w:rsidR="009E348D" w:rsidRPr="00E63831" w:rsidRDefault="009E348D" w:rsidP="00E63831">
      <w:pPr>
        <w:tabs>
          <w:tab w:val="clear" w:pos="567"/>
        </w:tabs>
        <w:autoSpaceDE w:val="0"/>
        <w:autoSpaceDN w:val="0"/>
        <w:adjustRightInd w:val="0"/>
        <w:spacing w:line="240" w:lineRule="auto"/>
        <w:rPr>
          <w:rFonts w:eastAsia="Calibri"/>
          <w:snapToGrid/>
          <w:szCs w:val="22"/>
          <w:lang w:val="lv-LV" w:eastAsia="pl-PL"/>
        </w:rPr>
      </w:pPr>
      <w:r w:rsidRPr="00E63831">
        <w:rPr>
          <w:rFonts w:eastAsia="Calibri"/>
          <w:snapToGrid/>
          <w:szCs w:val="22"/>
          <w:lang w:val="lv-LV" w:eastAsia="pl-PL"/>
        </w:rPr>
        <w:t>Pirms tiek uzsākta ārstēšana, pacienti jāinformē, ka ir iespējama prostaglandīna</w:t>
      </w:r>
      <w:r>
        <w:rPr>
          <w:rFonts w:eastAsia="Calibri"/>
          <w:snapToGrid/>
          <w:szCs w:val="22"/>
          <w:lang w:val="lv-LV" w:eastAsia="pl-PL"/>
        </w:rPr>
        <w:t xml:space="preserve"> </w:t>
      </w:r>
      <w:r w:rsidRPr="00E63831">
        <w:rPr>
          <w:rFonts w:eastAsia="Calibri"/>
          <w:snapToGrid/>
          <w:szCs w:val="22"/>
          <w:lang w:val="lv-LV" w:eastAsia="pl-PL"/>
        </w:rPr>
        <w:t xml:space="preserve">analoga periorbitopātija (PAP) un acs varavīksnenes pigmentācijas pastiprināšanās, </w:t>
      </w:r>
      <w:r w:rsidR="00DB6C3B">
        <w:rPr>
          <w:rFonts w:eastAsia="Calibri"/>
          <w:snapToGrid/>
          <w:szCs w:val="22"/>
          <w:lang w:val="lv-LV" w:eastAsia="pl-PL"/>
        </w:rPr>
        <w:t xml:space="preserve">jo </w:t>
      </w:r>
      <w:r w:rsidRPr="00E63831">
        <w:rPr>
          <w:rFonts w:eastAsia="Calibri"/>
          <w:snapToGrid/>
          <w:szCs w:val="22"/>
          <w:lang w:val="lv-LV" w:eastAsia="pl-PL"/>
        </w:rPr>
        <w:t xml:space="preserve">šīs parādības novērotas ārstēšanās ar </w:t>
      </w:r>
      <w:r>
        <w:rPr>
          <w:rFonts w:eastAsia="Calibri"/>
          <w:snapToGrid/>
          <w:szCs w:val="22"/>
          <w:lang w:val="lv-LV" w:eastAsia="pl-PL"/>
        </w:rPr>
        <w:t>bimatoprost</w:t>
      </w:r>
      <w:r w:rsidR="00B14383">
        <w:rPr>
          <w:rFonts w:eastAsia="Calibri"/>
          <w:snapToGrid/>
          <w:szCs w:val="22"/>
          <w:lang w:val="lv-LV" w:eastAsia="pl-PL"/>
        </w:rPr>
        <w:t>u</w:t>
      </w:r>
      <w:r w:rsidRPr="00E63831">
        <w:rPr>
          <w:rFonts w:eastAsia="Calibri"/>
          <w:snapToGrid/>
          <w:szCs w:val="22"/>
          <w:lang w:val="lv-LV" w:eastAsia="pl-PL"/>
        </w:rPr>
        <w:t xml:space="preserve"> laikā</w:t>
      </w:r>
      <w:r>
        <w:rPr>
          <w:rFonts w:eastAsia="Calibri"/>
          <w:snapToGrid/>
          <w:szCs w:val="22"/>
          <w:lang w:val="lv-LV" w:eastAsia="pl-PL"/>
        </w:rPr>
        <w:t xml:space="preserve"> </w:t>
      </w:r>
      <w:r w:rsidRPr="00E63831">
        <w:rPr>
          <w:rFonts w:eastAsia="Calibri"/>
          <w:snapToGrid/>
          <w:szCs w:val="22"/>
          <w:lang w:val="lv-LV" w:eastAsia="pl-PL"/>
        </w:rPr>
        <w:t>un dažas no šīm pārmaiņām var būt pastāvīgas un dažiem pacientiem var izraisīt mazāku redzes</w:t>
      </w:r>
      <w:r>
        <w:rPr>
          <w:rFonts w:eastAsia="Calibri"/>
          <w:snapToGrid/>
          <w:szCs w:val="22"/>
          <w:lang w:val="lv-LV" w:eastAsia="pl-PL"/>
        </w:rPr>
        <w:t xml:space="preserve"> </w:t>
      </w:r>
      <w:r w:rsidRPr="00E63831">
        <w:rPr>
          <w:rFonts w:eastAsia="Calibri"/>
          <w:snapToGrid/>
          <w:szCs w:val="22"/>
          <w:lang w:val="lv-LV" w:eastAsia="pl-PL"/>
        </w:rPr>
        <w:t>lauku ptozes dēļ un atšķirības izskatā, ja tiek ārstēta tikai viena acs (skatīt 4.8. apakšpunktu).</w:t>
      </w:r>
    </w:p>
    <w:p w14:paraId="372D6F79" w14:textId="22F9BEFE" w:rsidR="009E348D" w:rsidRDefault="009E348D" w:rsidP="000B4D3E">
      <w:pPr>
        <w:widowControl w:val="0"/>
        <w:spacing w:line="240" w:lineRule="auto"/>
        <w:rPr>
          <w:szCs w:val="22"/>
          <w:lang w:val="lv-LV"/>
        </w:rPr>
      </w:pPr>
    </w:p>
    <w:p w14:paraId="278CD7AC" w14:textId="77777777" w:rsidR="00767FDF" w:rsidRPr="00117A80" w:rsidRDefault="00767FDF" w:rsidP="000B4D3E">
      <w:pPr>
        <w:widowControl w:val="0"/>
        <w:spacing w:line="240" w:lineRule="auto"/>
        <w:rPr>
          <w:szCs w:val="22"/>
          <w:lang w:val="lv-LV"/>
        </w:rPr>
      </w:pPr>
      <w:r w:rsidRPr="00117A80">
        <w:rPr>
          <w:szCs w:val="22"/>
          <w:lang w:val="lv-LV"/>
        </w:rPr>
        <w:t xml:space="preserve">Retākos gadījumos (≥ 1/1000 līdz &lt; 1/100) pēc ārstēšanas ar bimatoprosta 0,3 mg/ml acu pilieniem ir ziņots par cistisku makulas tūsku. Tādēļ </w:t>
      </w:r>
      <w:r w:rsidR="00AF69D9" w:rsidRPr="00117A80">
        <w:rPr>
          <w:szCs w:val="22"/>
          <w:lang w:val="lv-LV"/>
        </w:rPr>
        <w:t xml:space="preserve">Bimican </w:t>
      </w:r>
      <w:r w:rsidRPr="00117A80">
        <w:rPr>
          <w:szCs w:val="22"/>
          <w:lang w:val="lv-LV"/>
        </w:rPr>
        <w:t>jālieto piesardzīgi pacientiem ar diagnosticētiem makulas tūskas riska faktoriem (piemēram, afakijas pacientiem, pseidofakijas pacientiem ar mugurējās lēcas kapsulas plīsumu).</w:t>
      </w:r>
    </w:p>
    <w:p w14:paraId="613AA5D1" w14:textId="77777777" w:rsidR="00767FDF" w:rsidRPr="00117A80" w:rsidRDefault="00767FDF" w:rsidP="000B4D3E">
      <w:pPr>
        <w:widowControl w:val="0"/>
        <w:spacing w:line="240" w:lineRule="auto"/>
        <w:rPr>
          <w:szCs w:val="22"/>
          <w:lang w:val="lv-LV"/>
        </w:rPr>
      </w:pPr>
    </w:p>
    <w:p w14:paraId="21F835F1" w14:textId="77777777" w:rsidR="00767FDF" w:rsidRPr="00117A80" w:rsidRDefault="00767FDF" w:rsidP="000B4D3E">
      <w:pPr>
        <w:widowControl w:val="0"/>
        <w:spacing w:line="240" w:lineRule="auto"/>
        <w:rPr>
          <w:szCs w:val="22"/>
          <w:lang w:val="lv-LV"/>
        </w:rPr>
      </w:pPr>
      <w:r w:rsidRPr="00117A80">
        <w:rPr>
          <w:szCs w:val="22"/>
          <w:lang w:val="lv-LV"/>
        </w:rPr>
        <w:t xml:space="preserve">Retos gadījumos ir saņemti spontāni ziņojumi par bimatoprosta 0,3 mg/ml acu pilienu šķīduma lietošanas laikā novērotu agrāk bijušu radzenes infiltrāciju vai acs infekciju reaktivāciju. </w:t>
      </w:r>
      <w:r w:rsidR="00AF69D9" w:rsidRPr="00117A80">
        <w:rPr>
          <w:szCs w:val="22"/>
          <w:lang w:val="lv-LV"/>
        </w:rPr>
        <w:t xml:space="preserve">Bimican </w:t>
      </w:r>
      <w:r w:rsidRPr="00117A80">
        <w:rPr>
          <w:szCs w:val="22"/>
          <w:lang w:val="lv-LV"/>
        </w:rPr>
        <w:t>piesardzīgi jālieto pacientiem, kuriem anamnēzē ir nozīmīgas vīrusu (</w:t>
      </w:r>
      <w:r w:rsidRPr="00117A80">
        <w:rPr>
          <w:i/>
          <w:szCs w:val="22"/>
          <w:lang w:val="lv-LV"/>
        </w:rPr>
        <w:t>herpes simplex</w:t>
      </w:r>
      <w:r w:rsidRPr="00117A80">
        <w:rPr>
          <w:szCs w:val="22"/>
          <w:lang w:val="lv-LV"/>
        </w:rPr>
        <w:t>) acu infekcijas vai uveīts/irīts.</w:t>
      </w:r>
    </w:p>
    <w:p w14:paraId="4A3A316C" w14:textId="77777777" w:rsidR="00767FDF" w:rsidRPr="00117A80" w:rsidRDefault="00767FDF" w:rsidP="000B4D3E">
      <w:pPr>
        <w:widowControl w:val="0"/>
        <w:spacing w:line="240" w:lineRule="auto"/>
        <w:rPr>
          <w:szCs w:val="22"/>
          <w:lang w:val="lv-LV"/>
        </w:rPr>
      </w:pPr>
    </w:p>
    <w:p w14:paraId="3586D207" w14:textId="77777777" w:rsidR="00767FDF" w:rsidRPr="00117A80" w:rsidRDefault="00767FDF" w:rsidP="000B4D3E">
      <w:pPr>
        <w:widowControl w:val="0"/>
        <w:spacing w:line="240" w:lineRule="auto"/>
        <w:rPr>
          <w:szCs w:val="22"/>
          <w:lang w:val="lv-LV"/>
        </w:rPr>
      </w:pPr>
      <w:r w:rsidRPr="00117A80">
        <w:rPr>
          <w:szCs w:val="22"/>
          <w:lang w:val="lv-LV"/>
        </w:rPr>
        <w:t>Bimatoprosta lietošana nav pētīta pacientiem ar iekaisīgām acu patoloģijām, neovaskulāru, iekaisīgu, slēgta kakta, pārmantotu vai šaurā leņķa glaukomu.</w:t>
      </w:r>
    </w:p>
    <w:p w14:paraId="10342F90" w14:textId="77777777" w:rsidR="00767FDF" w:rsidRPr="00117A80" w:rsidRDefault="00767FDF" w:rsidP="000B4D3E">
      <w:pPr>
        <w:widowControl w:val="0"/>
        <w:spacing w:line="240" w:lineRule="auto"/>
        <w:rPr>
          <w:szCs w:val="22"/>
          <w:lang w:val="lv-LV"/>
        </w:rPr>
      </w:pPr>
    </w:p>
    <w:p w14:paraId="3D1152B2" w14:textId="77777777" w:rsidR="00767FDF" w:rsidRPr="00117A80" w:rsidRDefault="00767FDF" w:rsidP="000B4D3E">
      <w:pPr>
        <w:widowControl w:val="0"/>
        <w:spacing w:line="240" w:lineRule="auto"/>
        <w:rPr>
          <w:szCs w:val="22"/>
          <w:u w:val="single"/>
          <w:lang w:val="lv-LV"/>
        </w:rPr>
      </w:pPr>
      <w:r w:rsidRPr="00117A80">
        <w:rPr>
          <w:szCs w:val="22"/>
          <w:u w:val="single"/>
          <w:lang w:val="lv-LV"/>
        </w:rPr>
        <w:t>Āda</w:t>
      </w:r>
    </w:p>
    <w:p w14:paraId="5C9E5705" w14:textId="77777777" w:rsidR="00767FDF" w:rsidRPr="00117A80" w:rsidRDefault="00767FDF" w:rsidP="000B4D3E">
      <w:pPr>
        <w:widowControl w:val="0"/>
        <w:spacing w:line="240" w:lineRule="auto"/>
        <w:rPr>
          <w:szCs w:val="22"/>
          <w:lang w:val="lv-LV"/>
        </w:rPr>
      </w:pPr>
      <w:r w:rsidRPr="00117A80">
        <w:rPr>
          <w:szCs w:val="22"/>
          <w:lang w:val="lv-LV"/>
        </w:rPr>
        <w:t xml:space="preserve">Vietās, kur bimatoprosta šķīdums atkārtoti nonāk saskarē ar ādas virsmu, ir iespējama apmatojuma augšana. Tādēļ ir svarīgi lietot </w:t>
      </w:r>
      <w:r w:rsidR="00AF69D9" w:rsidRPr="00117A80">
        <w:rPr>
          <w:szCs w:val="22"/>
          <w:lang w:val="lv-LV"/>
        </w:rPr>
        <w:t xml:space="preserve">Bimican </w:t>
      </w:r>
      <w:r w:rsidRPr="00117A80">
        <w:rPr>
          <w:szCs w:val="22"/>
          <w:lang w:val="lv-LV"/>
        </w:rPr>
        <w:t>saskaņā ar norādījumiem un neļaut tam notecēt uz vaigiem vai citām ādas zonām.</w:t>
      </w:r>
    </w:p>
    <w:p w14:paraId="417D4B49" w14:textId="77777777" w:rsidR="00767FDF" w:rsidRPr="00117A80" w:rsidRDefault="00767FDF" w:rsidP="000B4D3E">
      <w:pPr>
        <w:widowControl w:val="0"/>
        <w:spacing w:line="240" w:lineRule="auto"/>
        <w:rPr>
          <w:szCs w:val="22"/>
          <w:lang w:val="lv-LV"/>
        </w:rPr>
      </w:pPr>
    </w:p>
    <w:p w14:paraId="7EBDFBA5" w14:textId="77777777" w:rsidR="00767FDF" w:rsidRPr="00117A80" w:rsidRDefault="00767FDF" w:rsidP="000B4D3E">
      <w:pPr>
        <w:widowControl w:val="0"/>
        <w:spacing w:line="240" w:lineRule="auto"/>
        <w:rPr>
          <w:szCs w:val="22"/>
          <w:u w:val="single"/>
          <w:lang w:val="lv-LV"/>
        </w:rPr>
      </w:pPr>
      <w:r w:rsidRPr="00117A80">
        <w:rPr>
          <w:szCs w:val="22"/>
          <w:u w:val="single"/>
          <w:lang w:val="lv-LV"/>
        </w:rPr>
        <w:t>Elpošanas sistēma</w:t>
      </w:r>
    </w:p>
    <w:p w14:paraId="596BD7C2" w14:textId="77777777" w:rsidR="00767FDF" w:rsidRPr="00117A80" w:rsidRDefault="00767FDF" w:rsidP="000B4D3E">
      <w:pPr>
        <w:widowControl w:val="0"/>
        <w:spacing w:line="240" w:lineRule="auto"/>
        <w:rPr>
          <w:szCs w:val="22"/>
          <w:lang w:val="lv-LV"/>
        </w:rPr>
      </w:pPr>
      <w:r w:rsidRPr="00117A80">
        <w:rPr>
          <w:szCs w:val="22"/>
          <w:lang w:val="lv-LV"/>
        </w:rPr>
        <w:t xml:space="preserve">Bimatoprosta lietošana nav pētīta pacientiem ar elpceļu funkcijas traucējumiem. </w:t>
      </w:r>
    </w:p>
    <w:p w14:paraId="19412032" w14:textId="77777777" w:rsidR="009017EB" w:rsidRPr="00117A80" w:rsidRDefault="000A3BAB" w:rsidP="000A3BAB">
      <w:pPr>
        <w:widowControl w:val="0"/>
        <w:spacing w:line="240" w:lineRule="auto"/>
        <w:rPr>
          <w:szCs w:val="22"/>
          <w:lang w:val="lv-LV"/>
        </w:rPr>
      </w:pPr>
      <w:r w:rsidRPr="00117A80">
        <w:rPr>
          <w:szCs w:val="22"/>
          <w:lang w:val="lv-LV"/>
        </w:rPr>
        <w:t>Lai gan ir pieejama ierobežota informācija par pacientiem, kam anamnēzē ir astma vai HOPS, ir ziņots par astmas, elpas trūkuma un HOPS saasināšanos, turklāt pēcreģistrācijas periodā ir ziņots par astmu. Šo simptomu sastopamība nav zināma. Pacienti, kam ir citu patoloģiju izraisīta HOPS, astma vai elpošanas traucējumi, jāārstē piesardzīgi.</w:t>
      </w:r>
    </w:p>
    <w:p w14:paraId="727CD529" w14:textId="77777777" w:rsidR="00767FDF" w:rsidRPr="00117A80" w:rsidRDefault="00767FDF" w:rsidP="000B4D3E">
      <w:pPr>
        <w:widowControl w:val="0"/>
        <w:spacing w:line="240" w:lineRule="auto"/>
        <w:rPr>
          <w:szCs w:val="22"/>
          <w:lang w:val="lv-LV"/>
        </w:rPr>
      </w:pPr>
    </w:p>
    <w:p w14:paraId="3A0A6C2C" w14:textId="77777777" w:rsidR="00767FDF" w:rsidRPr="00117A80" w:rsidRDefault="00767FDF" w:rsidP="000B4D3E">
      <w:pPr>
        <w:widowControl w:val="0"/>
        <w:spacing w:line="240" w:lineRule="auto"/>
        <w:rPr>
          <w:szCs w:val="22"/>
          <w:u w:val="single"/>
          <w:lang w:val="lv-LV"/>
        </w:rPr>
      </w:pPr>
      <w:r w:rsidRPr="00117A80">
        <w:rPr>
          <w:szCs w:val="22"/>
          <w:u w:val="single"/>
          <w:lang w:val="lv-LV"/>
        </w:rPr>
        <w:t>Sirds-asinsvadu sistēma</w:t>
      </w:r>
    </w:p>
    <w:p w14:paraId="3CE4AB93" w14:textId="77777777" w:rsidR="00767FDF" w:rsidRPr="00117A80" w:rsidRDefault="00767FDF" w:rsidP="000B4D3E">
      <w:pPr>
        <w:widowControl w:val="0"/>
        <w:spacing w:line="240" w:lineRule="auto"/>
        <w:rPr>
          <w:szCs w:val="22"/>
          <w:lang w:val="lv-LV"/>
        </w:rPr>
      </w:pPr>
      <w:r w:rsidRPr="00117A80">
        <w:rPr>
          <w:szCs w:val="22"/>
          <w:lang w:val="lv-LV"/>
        </w:rPr>
        <w:t xml:space="preserve">Bimatoprosta lietošana nav pētīta pacientiem, kuriem sirds blokāde ir smagāka par 1. pakāpi, kā arī pacientiem ar nekontrolētu sastrēguma sirds mazspēju. Saņemts ierobežots skaits spontāno ziņojumu par bradikardiju vai hipotoniju pēc ārstēšanās ar bimatoprosta 0,3 mg/ml acu pilienu šķīdumu. Pacientiem ar noslieci uz lēnu sirdsdarbību vai zemu asinsspiedienu </w:t>
      </w:r>
      <w:r w:rsidR="00AF69D9" w:rsidRPr="00117A80">
        <w:rPr>
          <w:szCs w:val="22"/>
          <w:lang w:val="lv-LV"/>
        </w:rPr>
        <w:t xml:space="preserve">Bimican </w:t>
      </w:r>
      <w:r w:rsidRPr="00117A80">
        <w:rPr>
          <w:szCs w:val="22"/>
          <w:lang w:val="lv-LV"/>
        </w:rPr>
        <w:t>jālieto piesardzīgi.</w:t>
      </w:r>
    </w:p>
    <w:p w14:paraId="2B970D35" w14:textId="77777777" w:rsidR="00767FDF" w:rsidRPr="00117A80" w:rsidRDefault="00767FDF" w:rsidP="000B4D3E">
      <w:pPr>
        <w:widowControl w:val="0"/>
        <w:spacing w:line="240" w:lineRule="auto"/>
        <w:rPr>
          <w:szCs w:val="22"/>
          <w:lang w:val="lv-LV"/>
        </w:rPr>
      </w:pPr>
    </w:p>
    <w:p w14:paraId="5CE265D2" w14:textId="77777777" w:rsidR="00767FDF" w:rsidRPr="00117A80" w:rsidRDefault="00767FDF" w:rsidP="000B4D3E">
      <w:pPr>
        <w:widowControl w:val="0"/>
        <w:spacing w:line="240" w:lineRule="auto"/>
        <w:rPr>
          <w:szCs w:val="22"/>
          <w:u w:val="single"/>
          <w:lang w:val="lv-LV"/>
        </w:rPr>
      </w:pPr>
      <w:r w:rsidRPr="00117A80">
        <w:rPr>
          <w:szCs w:val="22"/>
          <w:u w:val="single"/>
          <w:lang w:val="lv-LV"/>
        </w:rPr>
        <w:t>Cita informācija</w:t>
      </w:r>
    </w:p>
    <w:p w14:paraId="746912A3" w14:textId="77777777" w:rsidR="00767FDF" w:rsidRPr="00117A80" w:rsidRDefault="00767FDF" w:rsidP="000B4D3E">
      <w:pPr>
        <w:widowControl w:val="0"/>
        <w:spacing w:line="240" w:lineRule="auto"/>
        <w:rPr>
          <w:szCs w:val="22"/>
          <w:lang w:val="lv-LV"/>
        </w:rPr>
      </w:pPr>
      <w:r w:rsidRPr="00117A80">
        <w:rPr>
          <w:szCs w:val="22"/>
          <w:lang w:val="lv-LV"/>
        </w:rPr>
        <w:t xml:space="preserve">Pētījumos par bimatoprosta 0,3 mg/ml šķīduma lietošanu pacientiem ar glaukomu vai acu hipertensiju ir novērots, ka tad, ja tiek lietota vairāk nekā viena bimatoprosta deva dienā, var vājināties acs iekšēja spiediena pazeminošā iedarbība (skatīt 4.5. apakšpunktu). Pacienti, kuri </w:t>
      </w:r>
      <w:r w:rsidR="00AF69D9" w:rsidRPr="00117A80">
        <w:rPr>
          <w:szCs w:val="22"/>
          <w:lang w:val="lv-LV"/>
        </w:rPr>
        <w:t xml:space="preserve">Bimican </w:t>
      </w:r>
      <w:r w:rsidRPr="00117A80">
        <w:rPr>
          <w:szCs w:val="22"/>
          <w:lang w:val="lv-LV"/>
        </w:rPr>
        <w:t>lieto vienlaicīgi ar citiem prostaglandīnu analogiem, jākontrolē attiecībā uz intraokulārā spiediena pārmaiņām.</w:t>
      </w:r>
    </w:p>
    <w:p w14:paraId="7DFCDFE3" w14:textId="77777777" w:rsidR="00767FDF" w:rsidRPr="00117A80" w:rsidRDefault="00767FDF" w:rsidP="000B4D3E">
      <w:pPr>
        <w:widowControl w:val="0"/>
        <w:spacing w:line="240" w:lineRule="auto"/>
        <w:rPr>
          <w:szCs w:val="22"/>
          <w:lang w:val="lv-LV"/>
        </w:rPr>
      </w:pPr>
    </w:p>
    <w:p w14:paraId="08FCDEA7" w14:textId="77777777" w:rsidR="00D11796" w:rsidRDefault="00D11796" w:rsidP="00E63831">
      <w:pPr>
        <w:pStyle w:val="Default"/>
        <w:keepNext/>
        <w:rPr>
          <w:i/>
          <w:iCs/>
          <w:sz w:val="22"/>
          <w:szCs w:val="22"/>
          <w:lang w:val="lv-LV" w:eastAsia="en-US"/>
        </w:rPr>
      </w:pPr>
      <w:r>
        <w:rPr>
          <w:i/>
          <w:iCs/>
          <w:sz w:val="22"/>
          <w:szCs w:val="22"/>
          <w:lang w:val="lv-LV"/>
        </w:rPr>
        <w:lastRenderedPageBreak/>
        <w:t>Konservanti</w:t>
      </w:r>
    </w:p>
    <w:p w14:paraId="6FBC952A" w14:textId="07998F15" w:rsidR="00D11796" w:rsidRPr="00680BEB" w:rsidRDefault="00D11796" w:rsidP="00E63831">
      <w:pPr>
        <w:pStyle w:val="Default"/>
        <w:keepNext/>
        <w:rPr>
          <w:i/>
          <w:iCs/>
          <w:sz w:val="22"/>
          <w:szCs w:val="22"/>
          <w:lang w:val="lv-LV"/>
        </w:rPr>
      </w:pPr>
      <w:r w:rsidRPr="00680BEB">
        <w:rPr>
          <w:sz w:val="22"/>
          <w:szCs w:val="22"/>
          <w:lang w:val="lv-LV"/>
        </w:rPr>
        <w:t>Bimican 0,3 mg/ml</w:t>
      </w:r>
      <w:r w:rsidRPr="00D11796">
        <w:rPr>
          <w:sz w:val="22"/>
          <w:szCs w:val="22"/>
          <w:lang w:val="lv-LV"/>
        </w:rPr>
        <w:t xml:space="preserve"> satur benzalkonija hlorīdu, ko parasti izmanto kā konservantu oftalmoloģiskās zālēs.</w:t>
      </w:r>
      <w:r>
        <w:rPr>
          <w:i/>
          <w:iCs/>
          <w:sz w:val="22"/>
          <w:szCs w:val="22"/>
          <w:lang w:val="lv-LV"/>
        </w:rPr>
        <w:t xml:space="preserve"> </w:t>
      </w:r>
      <w:r>
        <w:rPr>
          <w:iCs/>
          <w:sz w:val="22"/>
          <w:szCs w:val="22"/>
          <w:lang w:val="lv-LV"/>
        </w:rPr>
        <w:t>Ziņots, ka benzalkonija hlorīds var izraisīt acu kairinājumu, sausās acs simptomus un var ietekmēt asaru slāni un radzenes virsmu. Jālieto piesardzīgi pacientiem ar sausās acs sindromu un pacientiem, kuru radzene var būt bojāta.Ilgstoši lietojot, pacienti jānovēro.</w:t>
      </w:r>
    </w:p>
    <w:p w14:paraId="30B36B43" w14:textId="77777777" w:rsidR="00D11796" w:rsidRDefault="00D11796" w:rsidP="00D11796">
      <w:pPr>
        <w:pStyle w:val="Default"/>
        <w:rPr>
          <w:iCs/>
          <w:sz w:val="22"/>
          <w:szCs w:val="22"/>
          <w:lang w:val="lv-LV"/>
        </w:rPr>
      </w:pPr>
    </w:p>
    <w:p w14:paraId="6E26BEAE" w14:textId="77777777" w:rsidR="00D11796" w:rsidRDefault="00D11796" w:rsidP="00D11796">
      <w:pPr>
        <w:pStyle w:val="Default"/>
        <w:rPr>
          <w:sz w:val="22"/>
          <w:szCs w:val="22"/>
          <w:lang w:val="lv-LV"/>
        </w:rPr>
      </w:pPr>
      <w:r>
        <w:rPr>
          <w:i/>
          <w:iCs/>
          <w:sz w:val="22"/>
          <w:szCs w:val="22"/>
          <w:lang w:val="lv-LV"/>
        </w:rPr>
        <w:t>Kontaktlēcu lietošana</w:t>
      </w:r>
    </w:p>
    <w:p w14:paraId="4779609B" w14:textId="211ACF6E" w:rsidR="00D11796" w:rsidRPr="00117A80" w:rsidRDefault="00D11796" w:rsidP="00D11796">
      <w:pPr>
        <w:widowControl w:val="0"/>
        <w:spacing w:line="240" w:lineRule="auto"/>
        <w:rPr>
          <w:szCs w:val="22"/>
          <w:lang w:val="lv-LV"/>
        </w:rPr>
      </w:pPr>
      <w:r>
        <w:rPr>
          <w:lang w:val="lv-LV"/>
        </w:rPr>
        <w:t>Mīkstās kontaktlēcas var absorbēt benzalkonija hlorīdu, un tas var mainīt kontaktlēcu krāsu. Pirms šo zāļu lietošanas pacient</w:t>
      </w:r>
      <w:r w:rsidR="00445BC9">
        <w:rPr>
          <w:lang w:val="lv-LV"/>
        </w:rPr>
        <w:t>am</w:t>
      </w:r>
      <w:r>
        <w:rPr>
          <w:lang w:val="lv-LV"/>
        </w:rPr>
        <w:t xml:space="preserve"> jāizņem kontaktlēcas, un tās jāievieto atpakaļ pēc 15 minūtēm.</w:t>
      </w:r>
    </w:p>
    <w:p w14:paraId="3E90EA48" w14:textId="77777777" w:rsidR="00767FDF" w:rsidRPr="00117A80" w:rsidRDefault="00767FDF" w:rsidP="000B4D3E">
      <w:pPr>
        <w:widowControl w:val="0"/>
        <w:spacing w:line="240" w:lineRule="auto"/>
        <w:rPr>
          <w:szCs w:val="22"/>
          <w:lang w:val="lv-LV"/>
        </w:rPr>
      </w:pPr>
    </w:p>
    <w:p w14:paraId="5878AE03" w14:textId="77777777" w:rsidR="00767FDF" w:rsidRPr="00117A80" w:rsidRDefault="00767FDF" w:rsidP="000B4D3E">
      <w:pPr>
        <w:widowControl w:val="0"/>
        <w:spacing w:line="240" w:lineRule="auto"/>
        <w:rPr>
          <w:szCs w:val="22"/>
          <w:lang w:val="lv-LV"/>
        </w:rPr>
      </w:pPr>
      <w:r w:rsidRPr="00117A80">
        <w:rPr>
          <w:szCs w:val="22"/>
          <w:lang w:val="lv-LV"/>
        </w:rPr>
        <w:t xml:space="preserve">Saņemti ziņojumi par bakteriālu keratītu, kas saistīts ar vairākas devas saturošu oftalmoloģisko zāļu iepakojumu izmantošanu. Šādus iepakojumus vairumā gadījumu ir nejauši piesārņojuši pacienti, kuriem ir bijušas oftalmoloģiskas blakusslimības. Augstāks bakteriāla keratīta attīstības risks ir pacientiem ar acu epitēlija virsmas plīsumiem. </w:t>
      </w:r>
    </w:p>
    <w:p w14:paraId="28B88B79" w14:textId="77777777" w:rsidR="00767FDF" w:rsidRPr="00117A80" w:rsidRDefault="00767FDF" w:rsidP="000B4D3E">
      <w:pPr>
        <w:widowControl w:val="0"/>
        <w:spacing w:line="240" w:lineRule="auto"/>
        <w:rPr>
          <w:szCs w:val="22"/>
          <w:lang w:val="lv-LV"/>
        </w:rPr>
      </w:pPr>
    </w:p>
    <w:p w14:paraId="4ACB6764" w14:textId="77777777" w:rsidR="00767FDF" w:rsidRPr="00117A80" w:rsidRDefault="000A3BAB" w:rsidP="000B4D3E">
      <w:pPr>
        <w:widowControl w:val="0"/>
        <w:spacing w:line="240" w:lineRule="auto"/>
        <w:rPr>
          <w:szCs w:val="22"/>
          <w:lang w:val="lv-LV"/>
        </w:rPr>
      </w:pPr>
      <w:r w:rsidRPr="00117A80">
        <w:rPr>
          <w:szCs w:val="22"/>
          <w:lang w:val="lv-LV"/>
        </w:rPr>
        <w:t>Pacienti jāinstruē izvairīties no dozatora pilinātāja uzgaļa saskares ar aci vai apkārtējiem audiem, lai nepieļautu acs traumu vai šķīduma piesārņošanu.</w:t>
      </w:r>
    </w:p>
    <w:p w14:paraId="784A3746" w14:textId="77777777" w:rsidR="00767FDF" w:rsidRPr="00117A80" w:rsidRDefault="00767FDF" w:rsidP="000B4D3E">
      <w:pPr>
        <w:widowControl w:val="0"/>
        <w:spacing w:line="240" w:lineRule="auto"/>
        <w:rPr>
          <w:szCs w:val="22"/>
          <w:lang w:val="lv-LV"/>
        </w:rPr>
      </w:pPr>
    </w:p>
    <w:p w14:paraId="5237715D" w14:textId="77777777" w:rsidR="00767FDF" w:rsidRPr="00117A80" w:rsidRDefault="00767FDF" w:rsidP="000B4D3E">
      <w:pPr>
        <w:widowControl w:val="0"/>
        <w:spacing w:line="240" w:lineRule="auto"/>
        <w:ind w:left="567" w:hanging="567"/>
        <w:rPr>
          <w:szCs w:val="22"/>
          <w:lang w:val="lv-LV"/>
        </w:rPr>
      </w:pPr>
      <w:r w:rsidRPr="00117A80">
        <w:rPr>
          <w:b/>
          <w:szCs w:val="22"/>
          <w:lang w:val="lv-LV"/>
        </w:rPr>
        <w:t>4.5.</w:t>
      </w:r>
      <w:r w:rsidRPr="00117A80">
        <w:rPr>
          <w:b/>
          <w:szCs w:val="22"/>
          <w:lang w:val="lv-LV"/>
        </w:rPr>
        <w:tab/>
        <w:t>Mijiedarbība ar citām zālēm un citi mijiedarbības veidi</w:t>
      </w:r>
    </w:p>
    <w:p w14:paraId="3404DD38" w14:textId="77777777" w:rsidR="00767FDF" w:rsidRPr="00117A80" w:rsidRDefault="00767FDF" w:rsidP="000B4D3E">
      <w:pPr>
        <w:widowControl w:val="0"/>
        <w:spacing w:line="240" w:lineRule="auto"/>
        <w:rPr>
          <w:szCs w:val="22"/>
          <w:lang w:val="lv-LV"/>
        </w:rPr>
      </w:pPr>
    </w:p>
    <w:p w14:paraId="39A77E6B" w14:textId="77777777" w:rsidR="00767FDF" w:rsidRPr="00117A80" w:rsidRDefault="00767FDF" w:rsidP="000B4D3E">
      <w:pPr>
        <w:widowControl w:val="0"/>
        <w:spacing w:line="240" w:lineRule="auto"/>
        <w:rPr>
          <w:szCs w:val="22"/>
          <w:lang w:val="lv-LV"/>
        </w:rPr>
      </w:pPr>
      <w:r w:rsidRPr="00117A80">
        <w:rPr>
          <w:szCs w:val="22"/>
          <w:lang w:val="lv-LV"/>
        </w:rPr>
        <w:t>Mijiedarbības pētījumi nav veikti.</w:t>
      </w:r>
    </w:p>
    <w:p w14:paraId="69A996E0" w14:textId="77777777" w:rsidR="00767FDF" w:rsidRPr="00117A80" w:rsidRDefault="00767FDF" w:rsidP="000B4D3E">
      <w:pPr>
        <w:widowControl w:val="0"/>
        <w:spacing w:line="240" w:lineRule="auto"/>
        <w:rPr>
          <w:szCs w:val="22"/>
          <w:lang w:val="lv-LV"/>
        </w:rPr>
      </w:pPr>
    </w:p>
    <w:p w14:paraId="2A0DFE92"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Cilvēka organismā mijiedarbība nav paredzama, jo pēc bimatoprosta 0,3 mg/ml acu pilienu šķīduma lietošanas aktīvās vielas sistēmiskā koncentrācija ir ārkārtīgi maza (&lt; 0,2 ng/ml). Ar bimatoprosta biotransformāciju ir saistīti daudzi dažādi enzīmi un metabolisma ceļi, tomēr neklīniskajos pētījumos nav novērota ietekme uz enzīmiem, kuri aknās nodrošina aktīvās vielas metabolismu.</w:t>
      </w:r>
    </w:p>
    <w:p w14:paraId="75EBEFCB"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775B26E5" w14:textId="4B603F29"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Klīniskajos pētījumos bimatoprostu lietoja kopā ar daudziem dažādiem oftalmoloģiskajiem </w:t>
      </w:r>
      <w:r w:rsidR="00A75162">
        <w:rPr>
          <w:szCs w:val="22"/>
          <w:lang w:val="lv-LV"/>
        </w:rPr>
        <w:t>bēta</w:t>
      </w:r>
      <w:r w:rsidRPr="00117A80">
        <w:rPr>
          <w:szCs w:val="22"/>
          <w:lang w:val="lv-LV"/>
        </w:rPr>
        <w:t xml:space="preserve"> blokatoriem, tomēr mijiedarbības pazīmes netika novērotas.</w:t>
      </w:r>
    </w:p>
    <w:p w14:paraId="7EF00B9C"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59FA5994" w14:textId="4663DD3D" w:rsidR="00767FDF" w:rsidRPr="00117A80" w:rsidRDefault="00AF69D9"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Bimican </w:t>
      </w:r>
      <w:r w:rsidR="00767FDF" w:rsidRPr="00117A80">
        <w:rPr>
          <w:szCs w:val="22"/>
          <w:lang w:val="lv-LV"/>
        </w:rPr>
        <w:t xml:space="preserve">un pretglaukomas līdzekļu (izņemot lokāli lietojamo </w:t>
      </w:r>
      <w:r w:rsidR="00A75162">
        <w:rPr>
          <w:szCs w:val="22"/>
          <w:lang w:val="lv-LV"/>
        </w:rPr>
        <w:t>bēta</w:t>
      </w:r>
      <w:r w:rsidR="00767FDF" w:rsidRPr="00117A80">
        <w:rPr>
          <w:szCs w:val="22"/>
          <w:lang w:val="lv-LV"/>
        </w:rPr>
        <w:t xml:space="preserve"> blokatoru) vienlaicīga lietošana glaukomas papildterapijā nav vērtēta.</w:t>
      </w:r>
    </w:p>
    <w:p w14:paraId="744B70FB"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0D3A54CF"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Pacientiem, kuriem ir glaukoma vai acu hipertensija, pēc zāļu lietošanas kopā ar citiem prostaglandīnu analogiem var vājināties šo zāļu (piemēram, bimatoprosta) acs iekšējā spiediena pazeminošā iedarbība (skatīt 4.4. apakšpunktu).</w:t>
      </w:r>
    </w:p>
    <w:p w14:paraId="11D433FD"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14DB1986" w14:textId="77777777" w:rsidR="00767FDF" w:rsidRPr="00117A80" w:rsidRDefault="00767FDF" w:rsidP="000B4D3E">
      <w:pPr>
        <w:widowControl w:val="0"/>
        <w:spacing w:line="240" w:lineRule="auto"/>
        <w:ind w:left="567" w:hanging="567"/>
        <w:rPr>
          <w:szCs w:val="22"/>
          <w:lang w:val="lv-LV"/>
        </w:rPr>
      </w:pPr>
      <w:r w:rsidRPr="00117A80">
        <w:rPr>
          <w:b/>
          <w:szCs w:val="22"/>
          <w:lang w:val="lv-LV"/>
        </w:rPr>
        <w:t>4.6.</w:t>
      </w:r>
      <w:r w:rsidRPr="00117A80">
        <w:rPr>
          <w:b/>
          <w:szCs w:val="22"/>
          <w:lang w:val="lv-LV"/>
        </w:rPr>
        <w:tab/>
        <w:t>Fertilitāte, grūtniecība un barošana ar krūti</w:t>
      </w:r>
    </w:p>
    <w:p w14:paraId="346EEE64" w14:textId="77777777" w:rsidR="00767FDF" w:rsidRPr="00117A80" w:rsidRDefault="00767FDF" w:rsidP="000B4D3E">
      <w:pPr>
        <w:widowControl w:val="0"/>
        <w:spacing w:line="240" w:lineRule="auto"/>
        <w:rPr>
          <w:i/>
          <w:szCs w:val="22"/>
          <w:lang w:val="lv-LV"/>
        </w:rPr>
      </w:pPr>
    </w:p>
    <w:p w14:paraId="1EBC3B76" w14:textId="77777777" w:rsidR="00767FDF" w:rsidRPr="00117A80" w:rsidRDefault="00767FDF" w:rsidP="000B4D3E">
      <w:pPr>
        <w:widowControl w:val="0"/>
        <w:tabs>
          <w:tab w:val="clear" w:pos="567"/>
        </w:tabs>
        <w:autoSpaceDE w:val="0"/>
        <w:autoSpaceDN w:val="0"/>
        <w:adjustRightInd w:val="0"/>
        <w:spacing w:line="240" w:lineRule="auto"/>
        <w:rPr>
          <w:szCs w:val="22"/>
          <w:u w:val="single"/>
          <w:lang w:val="lv-LV"/>
        </w:rPr>
      </w:pPr>
      <w:r w:rsidRPr="00117A80">
        <w:rPr>
          <w:szCs w:val="22"/>
          <w:u w:val="single"/>
          <w:lang w:val="lv-LV"/>
        </w:rPr>
        <w:t>Grūtniecība</w:t>
      </w:r>
    </w:p>
    <w:p w14:paraId="3641DC22"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Dati par bimatoprosta lietošanu grūtniecēm nav pietiekami. Pētījumos ar dzīvniekiem pēc lielu, mātītēm toksisku devu lietošanas ir novērota toksiska ietekme uz reproduktivitāti (skatīt 5.3. apakšpunktu).</w:t>
      </w:r>
    </w:p>
    <w:p w14:paraId="17A6DC05" w14:textId="77777777" w:rsidR="00767FDF" w:rsidRPr="00117A80" w:rsidRDefault="00767FDF" w:rsidP="000B4D3E">
      <w:pPr>
        <w:widowControl w:val="0"/>
        <w:tabs>
          <w:tab w:val="clear" w:pos="567"/>
        </w:tabs>
        <w:autoSpaceDE w:val="0"/>
        <w:autoSpaceDN w:val="0"/>
        <w:adjustRightInd w:val="0"/>
        <w:spacing w:line="240" w:lineRule="auto"/>
        <w:rPr>
          <w:szCs w:val="22"/>
          <w:u w:val="single"/>
          <w:lang w:val="lv-LV"/>
        </w:rPr>
      </w:pPr>
    </w:p>
    <w:p w14:paraId="77537338"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Grūtniecības laikā </w:t>
      </w:r>
      <w:r w:rsidR="00AF69D9" w:rsidRPr="00117A80">
        <w:rPr>
          <w:szCs w:val="22"/>
          <w:lang w:val="lv-LV"/>
        </w:rPr>
        <w:t xml:space="preserve">Bimican </w:t>
      </w:r>
      <w:r w:rsidRPr="00117A80">
        <w:rPr>
          <w:szCs w:val="22"/>
          <w:lang w:val="lv-LV"/>
        </w:rPr>
        <w:t>drīkst lietot tikai absolūtu indikāciju gadījumos.</w:t>
      </w:r>
    </w:p>
    <w:p w14:paraId="57782F84"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38C3C4AD" w14:textId="77777777" w:rsidR="00767FDF" w:rsidRPr="00117A80" w:rsidRDefault="00767FDF" w:rsidP="000B4D3E">
      <w:pPr>
        <w:widowControl w:val="0"/>
        <w:tabs>
          <w:tab w:val="clear" w:pos="567"/>
        </w:tabs>
        <w:autoSpaceDE w:val="0"/>
        <w:autoSpaceDN w:val="0"/>
        <w:adjustRightInd w:val="0"/>
        <w:spacing w:line="240" w:lineRule="auto"/>
        <w:rPr>
          <w:szCs w:val="22"/>
          <w:u w:val="single"/>
          <w:lang w:val="lv-LV"/>
        </w:rPr>
      </w:pPr>
      <w:r w:rsidRPr="00117A80">
        <w:rPr>
          <w:szCs w:val="22"/>
          <w:u w:val="single"/>
          <w:lang w:val="lv-LV"/>
        </w:rPr>
        <w:t>Barošana ar krūti</w:t>
      </w:r>
    </w:p>
    <w:p w14:paraId="495D0600" w14:textId="2229A4B0"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Nav zināms, vai bimatoprosts izdalās cilvēka mātes pienā. Pētījumos ar dzīvniekiem ir novērots, ka bimatoprosts izdalās mātes pienā. Lēmums pārtraukt </w:t>
      </w:r>
      <w:r w:rsidR="00AA6F58">
        <w:rPr>
          <w:szCs w:val="22"/>
          <w:lang w:val="lv-LV"/>
        </w:rPr>
        <w:t>barošanu ar krūti</w:t>
      </w:r>
      <w:r w:rsidRPr="00117A80">
        <w:rPr>
          <w:szCs w:val="22"/>
          <w:lang w:val="lv-LV"/>
        </w:rPr>
        <w:t xml:space="preserve"> vai pārtraukt terapiju ar </w:t>
      </w:r>
      <w:r w:rsidR="00AF69D9" w:rsidRPr="00117A80">
        <w:rPr>
          <w:szCs w:val="22"/>
          <w:lang w:val="lv-LV"/>
        </w:rPr>
        <w:t>Bimican</w:t>
      </w:r>
      <w:r w:rsidRPr="00117A80">
        <w:rPr>
          <w:szCs w:val="22"/>
          <w:lang w:val="lv-LV"/>
        </w:rPr>
        <w:t>, jāpieņem, izvērtējot krūts barošanas ieguvumu bērnam un ieguvumu no terapijas sievietei.</w:t>
      </w:r>
    </w:p>
    <w:p w14:paraId="76C4AE61" w14:textId="77777777" w:rsidR="00037CBE" w:rsidRDefault="00037CBE" w:rsidP="000B4D3E">
      <w:pPr>
        <w:widowControl w:val="0"/>
        <w:tabs>
          <w:tab w:val="clear" w:pos="567"/>
        </w:tabs>
        <w:autoSpaceDE w:val="0"/>
        <w:autoSpaceDN w:val="0"/>
        <w:adjustRightInd w:val="0"/>
        <w:spacing w:line="240" w:lineRule="auto"/>
        <w:rPr>
          <w:szCs w:val="22"/>
          <w:u w:val="single"/>
          <w:lang w:val="lv-LV"/>
        </w:rPr>
      </w:pPr>
    </w:p>
    <w:p w14:paraId="10BC1016" w14:textId="705B39C8" w:rsidR="00767FDF" w:rsidRPr="00117A80" w:rsidRDefault="00767FDF" w:rsidP="000B4D3E">
      <w:pPr>
        <w:widowControl w:val="0"/>
        <w:tabs>
          <w:tab w:val="clear" w:pos="567"/>
        </w:tabs>
        <w:autoSpaceDE w:val="0"/>
        <w:autoSpaceDN w:val="0"/>
        <w:adjustRightInd w:val="0"/>
        <w:spacing w:line="240" w:lineRule="auto"/>
        <w:rPr>
          <w:szCs w:val="22"/>
          <w:u w:val="single"/>
          <w:lang w:val="lv-LV"/>
        </w:rPr>
      </w:pPr>
      <w:r w:rsidRPr="00117A80">
        <w:rPr>
          <w:szCs w:val="22"/>
          <w:u w:val="single"/>
          <w:lang w:val="lv-LV"/>
        </w:rPr>
        <w:t>Fertilitāte</w:t>
      </w:r>
    </w:p>
    <w:p w14:paraId="19C1C68E"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Datu par bimatoprosta ietekmi uz cilvēka fertilitāti nav.</w:t>
      </w:r>
    </w:p>
    <w:p w14:paraId="39EAEFA8" w14:textId="77777777" w:rsidR="00767FDF" w:rsidRPr="00E63831" w:rsidRDefault="00767FDF" w:rsidP="000B4D3E">
      <w:pPr>
        <w:widowControl w:val="0"/>
        <w:tabs>
          <w:tab w:val="clear" w:pos="567"/>
        </w:tabs>
        <w:autoSpaceDE w:val="0"/>
        <w:autoSpaceDN w:val="0"/>
        <w:adjustRightInd w:val="0"/>
        <w:spacing w:line="240" w:lineRule="auto"/>
        <w:rPr>
          <w:bCs/>
          <w:szCs w:val="22"/>
          <w:lang w:val="lv-LV"/>
        </w:rPr>
      </w:pPr>
    </w:p>
    <w:p w14:paraId="04F8D11C" w14:textId="77777777" w:rsidR="00767FDF" w:rsidRPr="00117A80" w:rsidRDefault="00767FDF" w:rsidP="000B4D3E">
      <w:pPr>
        <w:widowControl w:val="0"/>
        <w:spacing w:line="240" w:lineRule="auto"/>
        <w:ind w:left="567" w:hanging="567"/>
        <w:rPr>
          <w:szCs w:val="22"/>
          <w:lang w:val="lv-LV"/>
        </w:rPr>
      </w:pPr>
      <w:r w:rsidRPr="00117A80">
        <w:rPr>
          <w:b/>
          <w:szCs w:val="22"/>
          <w:lang w:val="lv-LV"/>
        </w:rPr>
        <w:t>4.7.</w:t>
      </w:r>
      <w:r w:rsidRPr="00117A80">
        <w:rPr>
          <w:b/>
          <w:szCs w:val="22"/>
          <w:lang w:val="lv-LV"/>
        </w:rPr>
        <w:tab/>
        <w:t>Ietekme uz spēju vadīt transportlīdzekļus un apkalpot mehānismus</w:t>
      </w:r>
    </w:p>
    <w:p w14:paraId="587AC0D0" w14:textId="77777777" w:rsidR="00767FDF" w:rsidRPr="00117A80" w:rsidRDefault="00767FDF" w:rsidP="000B4D3E">
      <w:pPr>
        <w:widowControl w:val="0"/>
        <w:spacing w:line="240" w:lineRule="auto"/>
        <w:rPr>
          <w:szCs w:val="22"/>
          <w:lang w:val="lv-LV"/>
        </w:rPr>
      </w:pPr>
    </w:p>
    <w:p w14:paraId="7843DAC1" w14:textId="77777777" w:rsidR="00767FDF" w:rsidRPr="00117A80" w:rsidRDefault="00AF69D9"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Bimican </w:t>
      </w:r>
      <w:r w:rsidR="00767FDF" w:rsidRPr="00117A80">
        <w:rPr>
          <w:szCs w:val="22"/>
          <w:lang w:val="lv-LV"/>
        </w:rPr>
        <w:t xml:space="preserve">nedaudz ietekmē spēju vadīt transportlīdzekļus un apkalpot mehānismus. Tāpat kā pēc </w:t>
      </w:r>
      <w:r w:rsidR="00767FDF" w:rsidRPr="00117A80">
        <w:rPr>
          <w:szCs w:val="22"/>
          <w:lang w:val="lv-LV"/>
        </w:rPr>
        <w:lastRenderedPageBreak/>
        <w:t>jebkuru oftalmoloģisku zāļu lietošanas pacientam rodas pārejoša neskaidra redze, viņam pirms transportlīdzekļa vadīšanas vai darba ar mehānismiem jānogaida, līdz atjaunojas redzes asums.</w:t>
      </w:r>
    </w:p>
    <w:p w14:paraId="5E2C0D3B"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5B0478A8" w14:textId="77777777" w:rsidR="00767FDF" w:rsidRPr="00117A80" w:rsidRDefault="00767FDF" w:rsidP="000B4D3E">
      <w:pPr>
        <w:widowControl w:val="0"/>
        <w:spacing w:line="240" w:lineRule="auto"/>
        <w:rPr>
          <w:b/>
          <w:szCs w:val="22"/>
          <w:lang w:val="lv-LV"/>
        </w:rPr>
      </w:pPr>
      <w:r w:rsidRPr="00117A80">
        <w:rPr>
          <w:b/>
          <w:szCs w:val="22"/>
          <w:lang w:val="lv-LV"/>
        </w:rPr>
        <w:t>4.8.</w:t>
      </w:r>
      <w:r w:rsidRPr="00117A80">
        <w:rPr>
          <w:b/>
          <w:szCs w:val="22"/>
          <w:lang w:val="lv-LV"/>
        </w:rPr>
        <w:tab/>
        <w:t>Nevēlamās blakusparādības</w:t>
      </w:r>
    </w:p>
    <w:p w14:paraId="5595B845"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6BCB16D7" w14:textId="4A2FD7DE" w:rsidR="00767FDF" w:rsidRPr="00117A80" w:rsidRDefault="00767FDF" w:rsidP="000B4D3E">
      <w:pPr>
        <w:widowControl w:val="0"/>
        <w:tabs>
          <w:tab w:val="clear" w:pos="567"/>
        </w:tabs>
        <w:spacing w:line="240" w:lineRule="auto"/>
        <w:rPr>
          <w:szCs w:val="22"/>
          <w:lang w:val="lv-LV"/>
        </w:rPr>
      </w:pPr>
      <w:r w:rsidRPr="00117A80">
        <w:rPr>
          <w:szCs w:val="22"/>
          <w:lang w:val="lv-LV"/>
        </w:rPr>
        <w:t>Klīniskajos pētījumos vairāk nekā 1800 pacientu ir ārstēti ar bimatoprosta 0,3 mg/ml acu pilienu šķīdumu. Apvienojot bimatoprosta 0,3 mg/ml acu pilienu šķīduma monoterapijas un papildu terapijas III fāzes pētījumu datus, biežāk ziņotās ar terapiju saistītās nevēlamās blakusparādības ir skropstu augšana pat par 45 % pirmajā gadā (otrajā un trešajā gadā jaunu ziņojumu sastopamība samazinās attiecīgi līdz 7 % un 2 %), konjunktīvas hiperēmija (galvenokārt viegla un, šķiet, neiekaisīga) līdz 44 % gadījumu pirmajā gadā (otrajā un trešajā gadā jaunu ziņojumu sastopamība samazinājās attiecīgi līdz 13 % un 12 %) un acu nieze līdz 14 % pacientu pirmajā gadā (otrajā un trešajā gadā jaunu ziņojumu sastopamība samazinājās attiecīgi līdz 3 % un 0 %). Pirmajā gadā jebkuras nevēlamas blakusparādības dēļ ārstēšanos pārtrauca mazāk nekā 9 % pacientu, bet otrajā un trešajā gadā nevēlamu blakusparādību dēļ ārstēšanos pārtrauca vēl 3 % pacientu katrā gadā.</w:t>
      </w:r>
    </w:p>
    <w:p w14:paraId="693825E5"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2A12C2B2" w14:textId="77777777" w:rsidR="00767FDF" w:rsidRPr="00117A80" w:rsidRDefault="00767FDF" w:rsidP="000B4D3E">
      <w:pPr>
        <w:widowControl w:val="0"/>
        <w:tabs>
          <w:tab w:val="clear" w:pos="567"/>
        </w:tabs>
        <w:spacing w:line="240" w:lineRule="auto"/>
        <w:rPr>
          <w:szCs w:val="22"/>
          <w:lang w:val="lv-LV"/>
        </w:rPr>
      </w:pPr>
      <w:r w:rsidRPr="00117A80">
        <w:rPr>
          <w:szCs w:val="22"/>
          <w:lang w:val="lv-LV"/>
        </w:rPr>
        <w:t>Bimatoprosta 0,3 mg/ml acu pilienu šķīduma klīniskajos pētījumos</w:t>
      </w:r>
      <w:r w:rsidR="00947B57" w:rsidRPr="00117A80">
        <w:rPr>
          <w:szCs w:val="22"/>
          <w:lang w:val="lv-LV"/>
        </w:rPr>
        <w:t xml:space="preserve"> un pēcreģistrācijas periodā</w:t>
      </w:r>
      <w:r w:rsidRPr="00117A80">
        <w:rPr>
          <w:szCs w:val="22"/>
          <w:lang w:val="lv-LV"/>
        </w:rPr>
        <w:t xml:space="preserve"> ir novērotas tālāk aprakstītās nevēlamās blakusparādības. Vairumā gadījumu tika novērotas ar acīm saistītas blakusparādības, kas bija vieglas vai vidēji smagas (netika novērota neviena smaga blakusparādība): </w:t>
      </w:r>
    </w:p>
    <w:p w14:paraId="2CC3EDD9"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738866BC"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ļoti bieži (</w:t>
      </w:r>
      <w:r w:rsidRPr="00117A80">
        <w:rPr>
          <w:szCs w:val="22"/>
          <w:lang w:val="lv-LV"/>
        </w:rPr>
        <w:sym w:font="Symbol" w:char="F0B3"/>
      </w:r>
      <w:r w:rsidRPr="00117A80">
        <w:rPr>
          <w:szCs w:val="22"/>
          <w:lang w:val="lv-LV"/>
        </w:rPr>
        <w:t> 1/10), bieži (</w:t>
      </w:r>
      <w:r w:rsidRPr="00117A80">
        <w:rPr>
          <w:szCs w:val="22"/>
          <w:lang w:val="lv-LV"/>
        </w:rPr>
        <w:sym w:font="Symbol" w:char="F0B3"/>
      </w:r>
      <w:r w:rsidRPr="00117A80">
        <w:rPr>
          <w:szCs w:val="22"/>
          <w:lang w:val="lv-LV"/>
        </w:rPr>
        <w:t> 1/100 līdz &lt; 1/10), retāk (</w:t>
      </w:r>
      <w:r w:rsidRPr="00117A80">
        <w:rPr>
          <w:szCs w:val="22"/>
          <w:lang w:val="lv-LV"/>
        </w:rPr>
        <w:sym w:font="Symbol" w:char="F0B3"/>
      </w:r>
      <w:r w:rsidRPr="00117A80">
        <w:rPr>
          <w:szCs w:val="22"/>
          <w:lang w:val="lv-LV"/>
        </w:rPr>
        <w:t> 1/1000 līdz &lt;1/100), reti (≥ 1/10 000 līdz &lt;1/1000), ļoti reti (&lt;1/10 000) vai nav zināmi (nevar noteikt pēc pieejamiem datiem) sastopamās nevēlamās blakusparādības ir aprakstītas 1. tabulā atbilstoši orgānu sistēmu klasifikācijai. Katrā biežuma grupā nevēlamās blakusparādības sakārtotas to nopietnības samazinājuma secībā.</w:t>
      </w:r>
    </w:p>
    <w:p w14:paraId="52DA3062" w14:textId="77777777" w:rsidR="00767FDF" w:rsidRPr="00117A80" w:rsidRDefault="00767FDF" w:rsidP="000B4D3E">
      <w:pPr>
        <w:widowControl w:val="0"/>
        <w:spacing w:line="240" w:lineRule="auto"/>
        <w:ind w:left="567" w:hanging="567"/>
        <w:rPr>
          <w:b/>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1"/>
        <w:gridCol w:w="2881"/>
        <w:gridCol w:w="2882"/>
      </w:tblGrid>
      <w:tr w:rsidR="00767FDF" w:rsidRPr="00117A80" w14:paraId="696FB514" w14:textId="77777777" w:rsidTr="00D368ED">
        <w:tc>
          <w:tcPr>
            <w:tcW w:w="2881" w:type="dxa"/>
          </w:tcPr>
          <w:p w14:paraId="177F03A2" w14:textId="77777777" w:rsidR="00767FDF" w:rsidRPr="00117A80" w:rsidRDefault="00767FDF" w:rsidP="000B4D3E">
            <w:pPr>
              <w:widowControl w:val="0"/>
              <w:spacing w:line="240" w:lineRule="auto"/>
              <w:jc w:val="center"/>
              <w:rPr>
                <w:b/>
                <w:szCs w:val="22"/>
                <w:lang w:val="lv-LV"/>
              </w:rPr>
            </w:pPr>
            <w:r w:rsidRPr="00117A80">
              <w:rPr>
                <w:b/>
                <w:szCs w:val="22"/>
                <w:lang w:val="lv-LV"/>
              </w:rPr>
              <w:t>Orgānu sistēmu klasifikācija</w:t>
            </w:r>
          </w:p>
          <w:p w14:paraId="7EBB2421" w14:textId="77777777" w:rsidR="00767FDF" w:rsidRPr="00117A80" w:rsidRDefault="00767FDF" w:rsidP="000B4D3E">
            <w:pPr>
              <w:widowControl w:val="0"/>
              <w:spacing w:line="240" w:lineRule="auto"/>
              <w:jc w:val="center"/>
              <w:rPr>
                <w:szCs w:val="22"/>
                <w:lang w:val="lv-LV"/>
              </w:rPr>
            </w:pPr>
          </w:p>
        </w:tc>
        <w:tc>
          <w:tcPr>
            <w:tcW w:w="2881" w:type="dxa"/>
          </w:tcPr>
          <w:p w14:paraId="6C6614B9" w14:textId="77777777" w:rsidR="00767FDF" w:rsidRPr="00117A80" w:rsidRDefault="00767FDF" w:rsidP="000B4D3E">
            <w:pPr>
              <w:widowControl w:val="0"/>
              <w:spacing w:line="240" w:lineRule="auto"/>
              <w:jc w:val="center"/>
              <w:rPr>
                <w:szCs w:val="22"/>
                <w:lang w:val="lv-LV"/>
              </w:rPr>
            </w:pPr>
            <w:r w:rsidRPr="00117A80">
              <w:rPr>
                <w:b/>
                <w:szCs w:val="22"/>
                <w:lang w:val="lv-LV"/>
              </w:rPr>
              <w:t>Biežums</w:t>
            </w:r>
          </w:p>
        </w:tc>
        <w:tc>
          <w:tcPr>
            <w:tcW w:w="2882" w:type="dxa"/>
          </w:tcPr>
          <w:p w14:paraId="2335FE76" w14:textId="77777777" w:rsidR="00767FDF" w:rsidRPr="00117A80" w:rsidRDefault="00767FDF" w:rsidP="000B4D3E">
            <w:pPr>
              <w:widowControl w:val="0"/>
              <w:spacing w:line="240" w:lineRule="auto"/>
              <w:jc w:val="center"/>
              <w:rPr>
                <w:szCs w:val="22"/>
                <w:lang w:val="lv-LV"/>
              </w:rPr>
            </w:pPr>
            <w:r w:rsidRPr="00117A80">
              <w:rPr>
                <w:b/>
                <w:szCs w:val="22"/>
                <w:lang w:val="lv-LV"/>
              </w:rPr>
              <w:t>Nevēlamā</w:t>
            </w:r>
            <w:r w:rsidR="00947B57" w:rsidRPr="00117A80">
              <w:rPr>
                <w:b/>
                <w:szCs w:val="22"/>
                <w:lang w:val="lv-LV"/>
              </w:rPr>
              <w:t>s</w:t>
            </w:r>
            <w:r w:rsidRPr="00117A80">
              <w:rPr>
                <w:b/>
                <w:szCs w:val="22"/>
                <w:lang w:val="lv-LV"/>
              </w:rPr>
              <w:t xml:space="preserve"> blakusparādība</w:t>
            </w:r>
            <w:r w:rsidR="00947B57" w:rsidRPr="00117A80">
              <w:rPr>
                <w:b/>
                <w:szCs w:val="22"/>
                <w:lang w:val="lv-LV"/>
              </w:rPr>
              <w:t>s</w:t>
            </w:r>
          </w:p>
        </w:tc>
      </w:tr>
      <w:tr w:rsidR="00536967" w:rsidRPr="00F30C7F" w14:paraId="7F0A0B23" w14:textId="77777777" w:rsidTr="00D368ED">
        <w:tc>
          <w:tcPr>
            <w:tcW w:w="2881" w:type="dxa"/>
          </w:tcPr>
          <w:p w14:paraId="7D82B3A7" w14:textId="77777777" w:rsidR="00536967" w:rsidRPr="00117A80" w:rsidRDefault="00536967" w:rsidP="007D2E55">
            <w:pPr>
              <w:widowControl w:val="0"/>
              <w:spacing w:line="240" w:lineRule="auto"/>
              <w:jc w:val="center"/>
              <w:rPr>
                <w:b/>
                <w:szCs w:val="22"/>
                <w:lang w:val="lv-LV"/>
              </w:rPr>
            </w:pPr>
            <w:r w:rsidRPr="000C2309">
              <w:rPr>
                <w:i/>
                <w:szCs w:val="22"/>
                <w:lang w:val="lv-LV"/>
              </w:rPr>
              <w:t>Imūnās sistēmas traucējumi</w:t>
            </w:r>
          </w:p>
        </w:tc>
        <w:tc>
          <w:tcPr>
            <w:tcW w:w="2881" w:type="dxa"/>
          </w:tcPr>
          <w:p w14:paraId="1A330362" w14:textId="177E4220" w:rsidR="00536967" w:rsidRPr="00117A80" w:rsidRDefault="00536967" w:rsidP="00536967">
            <w:pPr>
              <w:widowControl w:val="0"/>
              <w:spacing w:line="240" w:lineRule="auto"/>
              <w:jc w:val="center"/>
              <w:rPr>
                <w:b/>
                <w:szCs w:val="22"/>
                <w:lang w:val="lv-LV"/>
              </w:rPr>
            </w:pPr>
            <w:r w:rsidRPr="00117A80">
              <w:rPr>
                <w:szCs w:val="22"/>
                <w:lang w:val="lv-LV"/>
              </w:rPr>
              <w:t>nav zinām</w:t>
            </w:r>
            <w:r w:rsidR="00354B4B">
              <w:rPr>
                <w:szCs w:val="22"/>
                <w:lang w:val="lv-LV"/>
              </w:rPr>
              <w:t>i</w:t>
            </w:r>
          </w:p>
        </w:tc>
        <w:tc>
          <w:tcPr>
            <w:tcW w:w="2882" w:type="dxa"/>
          </w:tcPr>
          <w:p w14:paraId="321587DE" w14:textId="77777777" w:rsidR="00536967" w:rsidRPr="00117A80" w:rsidRDefault="00536967" w:rsidP="005C4B84">
            <w:pPr>
              <w:widowControl w:val="0"/>
              <w:spacing w:line="240" w:lineRule="auto"/>
              <w:rPr>
                <w:b/>
                <w:szCs w:val="22"/>
                <w:lang w:val="lv-LV"/>
              </w:rPr>
            </w:pPr>
            <w:r w:rsidRPr="000C2309">
              <w:rPr>
                <w:bCs/>
                <w:szCs w:val="22"/>
                <w:lang w:val="lv-LV"/>
              </w:rPr>
              <w:t>paaugstinātas jutības reakcija, tostarp acs alerģijas un alerģiska dermatīta pazīmes un simptomi</w:t>
            </w:r>
          </w:p>
        </w:tc>
      </w:tr>
      <w:tr w:rsidR="00767FDF" w:rsidRPr="00117A80" w14:paraId="06432A33" w14:textId="77777777" w:rsidTr="00D368ED">
        <w:tc>
          <w:tcPr>
            <w:tcW w:w="2881" w:type="dxa"/>
            <w:vMerge w:val="restart"/>
          </w:tcPr>
          <w:p w14:paraId="3F5A4676" w14:textId="77777777" w:rsidR="00767FDF" w:rsidRPr="00117A80" w:rsidRDefault="00767FDF" w:rsidP="000B4D3E">
            <w:pPr>
              <w:widowControl w:val="0"/>
              <w:spacing w:line="240" w:lineRule="auto"/>
              <w:rPr>
                <w:szCs w:val="22"/>
                <w:lang w:val="lv-LV"/>
              </w:rPr>
            </w:pPr>
            <w:r w:rsidRPr="00117A80">
              <w:rPr>
                <w:i/>
                <w:szCs w:val="22"/>
                <w:lang w:val="lv-LV"/>
              </w:rPr>
              <w:t>Nervu sistēmas traucējumi</w:t>
            </w:r>
          </w:p>
        </w:tc>
        <w:tc>
          <w:tcPr>
            <w:tcW w:w="2881" w:type="dxa"/>
          </w:tcPr>
          <w:p w14:paraId="054DE361" w14:textId="77777777" w:rsidR="00767FDF" w:rsidRPr="00117A80" w:rsidRDefault="00767FDF" w:rsidP="000B4D3E">
            <w:pPr>
              <w:widowControl w:val="0"/>
              <w:spacing w:line="240" w:lineRule="auto"/>
              <w:rPr>
                <w:szCs w:val="22"/>
                <w:lang w:val="lv-LV"/>
              </w:rPr>
            </w:pPr>
            <w:r w:rsidRPr="00117A80">
              <w:rPr>
                <w:szCs w:val="22"/>
                <w:lang w:val="lv-LV"/>
              </w:rPr>
              <w:t>bieži</w:t>
            </w:r>
          </w:p>
        </w:tc>
        <w:tc>
          <w:tcPr>
            <w:tcW w:w="2882" w:type="dxa"/>
          </w:tcPr>
          <w:p w14:paraId="1818B0CB" w14:textId="77777777" w:rsidR="00767FDF" w:rsidRPr="00117A80" w:rsidRDefault="00767FDF" w:rsidP="000B4D3E">
            <w:pPr>
              <w:widowControl w:val="0"/>
              <w:spacing w:line="240" w:lineRule="auto"/>
              <w:rPr>
                <w:szCs w:val="22"/>
                <w:lang w:val="lv-LV"/>
              </w:rPr>
            </w:pPr>
            <w:r w:rsidRPr="00117A80">
              <w:rPr>
                <w:szCs w:val="22"/>
                <w:lang w:val="lv-LV"/>
              </w:rPr>
              <w:t>galvassāpes</w:t>
            </w:r>
          </w:p>
        </w:tc>
      </w:tr>
      <w:tr w:rsidR="00767FDF" w:rsidRPr="00117A80" w14:paraId="66028812" w14:textId="77777777" w:rsidTr="00D368ED">
        <w:tc>
          <w:tcPr>
            <w:tcW w:w="2881" w:type="dxa"/>
            <w:vMerge/>
          </w:tcPr>
          <w:p w14:paraId="59B6A0D2" w14:textId="77777777" w:rsidR="00767FDF" w:rsidRPr="00117A80" w:rsidRDefault="00767FDF" w:rsidP="000B4D3E">
            <w:pPr>
              <w:widowControl w:val="0"/>
              <w:spacing w:line="240" w:lineRule="auto"/>
              <w:rPr>
                <w:i/>
                <w:szCs w:val="22"/>
                <w:lang w:val="lv-LV"/>
              </w:rPr>
            </w:pPr>
          </w:p>
        </w:tc>
        <w:tc>
          <w:tcPr>
            <w:tcW w:w="2881" w:type="dxa"/>
          </w:tcPr>
          <w:p w14:paraId="4E447E44" w14:textId="77777777" w:rsidR="00767FDF" w:rsidRPr="00117A80" w:rsidRDefault="00767FDF" w:rsidP="000B4D3E">
            <w:pPr>
              <w:widowControl w:val="0"/>
              <w:spacing w:line="240" w:lineRule="auto"/>
              <w:rPr>
                <w:szCs w:val="22"/>
                <w:lang w:val="lv-LV"/>
              </w:rPr>
            </w:pPr>
            <w:r w:rsidRPr="00117A80">
              <w:rPr>
                <w:szCs w:val="22"/>
                <w:lang w:val="lv-LV"/>
              </w:rPr>
              <w:t>retāk</w:t>
            </w:r>
          </w:p>
        </w:tc>
        <w:tc>
          <w:tcPr>
            <w:tcW w:w="2882" w:type="dxa"/>
          </w:tcPr>
          <w:p w14:paraId="34ACD8B6" w14:textId="77777777" w:rsidR="00767FDF" w:rsidRPr="00117A80" w:rsidRDefault="00767FDF" w:rsidP="000B4D3E">
            <w:pPr>
              <w:widowControl w:val="0"/>
              <w:spacing w:line="240" w:lineRule="auto"/>
              <w:rPr>
                <w:szCs w:val="22"/>
                <w:lang w:val="lv-LV"/>
              </w:rPr>
            </w:pPr>
            <w:r w:rsidRPr="00117A80">
              <w:rPr>
                <w:szCs w:val="22"/>
                <w:lang w:val="lv-LV"/>
              </w:rPr>
              <w:t>reibonis</w:t>
            </w:r>
          </w:p>
        </w:tc>
      </w:tr>
      <w:tr w:rsidR="00767FDF" w:rsidRPr="00F30C7F" w14:paraId="693D389E" w14:textId="77777777" w:rsidTr="00D368ED">
        <w:tc>
          <w:tcPr>
            <w:tcW w:w="2881" w:type="dxa"/>
            <w:vMerge w:val="restart"/>
          </w:tcPr>
          <w:p w14:paraId="0A2AFF19" w14:textId="77777777" w:rsidR="00767FDF" w:rsidRPr="00117A80" w:rsidRDefault="00767FDF" w:rsidP="000B4D3E">
            <w:pPr>
              <w:widowControl w:val="0"/>
              <w:spacing w:line="240" w:lineRule="auto"/>
              <w:rPr>
                <w:i/>
                <w:szCs w:val="22"/>
                <w:lang w:val="lv-LV"/>
              </w:rPr>
            </w:pPr>
            <w:r w:rsidRPr="00117A80">
              <w:rPr>
                <w:i/>
                <w:szCs w:val="22"/>
                <w:lang w:val="lv-LV"/>
              </w:rPr>
              <w:t>Acu bojājumi</w:t>
            </w:r>
          </w:p>
          <w:p w14:paraId="2E890C6B" w14:textId="77777777" w:rsidR="00767FDF" w:rsidRPr="00117A80" w:rsidRDefault="00767FDF" w:rsidP="000B4D3E">
            <w:pPr>
              <w:widowControl w:val="0"/>
              <w:spacing w:line="240" w:lineRule="auto"/>
              <w:rPr>
                <w:i/>
                <w:szCs w:val="22"/>
                <w:lang w:val="lv-LV"/>
              </w:rPr>
            </w:pPr>
          </w:p>
          <w:p w14:paraId="5AAE3066" w14:textId="77777777" w:rsidR="00767FDF" w:rsidRPr="00117A80" w:rsidRDefault="00767FDF" w:rsidP="000B4D3E">
            <w:pPr>
              <w:widowControl w:val="0"/>
              <w:spacing w:line="240" w:lineRule="auto"/>
              <w:rPr>
                <w:i/>
                <w:szCs w:val="22"/>
                <w:lang w:val="lv-LV"/>
              </w:rPr>
            </w:pPr>
          </w:p>
          <w:p w14:paraId="6783967D" w14:textId="77777777" w:rsidR="00767FDF" w:rsidRPr="00117A80" w:rsidRDefault="00767FDF" w:rsidP="000B4D3E">
            <w:pPr>
              <w:widowControl w:val="0"/>
              <w:spacing w:line="240" w:lineRule="auto"/>
              <w:rPr>
                <w:i/>
                <w:szCs w:val="22"/>
                <w:lang w:val="lv-LV"/>
              </w:rPr>
            </w:pPr>
          </w:p>
          <w:p w14:paraId="3E3126A8" w14:textId="77777777" w:rsidR="00767FDF" w:rsidRPr="00117A80" w:rsidRDefault="00767FDF" w:rsidP="000B4D3E">
            <w:pPr>
              <w:widowControl w:val="0"/>
              <w:spacing w:line="240" w:lineRule="auto"/>
              <w:rPr>
                <w:i/>
                <w:szCs w:val="22"/>
                <w:lang w:val="lv-LV"/>
              </w:rPr>
            </w:pPr>
          </w:p>
          <w:p w14:paraId="7EA4CE6C" w14:textId="77777777" w:rsidR="00767FDF" w:rsidRPr="00117A80" w:rsidRDefault="00767FDF" w:rsidP="000B4D3E">
            <w:pPr>
              <w:widowControl w:val="0"/>
              <w:spacing w:line="240" w:lineRule="auto"/>
              <w:rPr>
                <w:i/>
                <w:szCs w:val="22"/>
                <w:lang w:val="lv-LV"/>
              </w:rPr>
            </w:pPr>
          </w:p>
          <w:p w14:paraId="13900BCF" w14:textId="77777777" w:rsidR="00767FDF" w:rsidRPr="00117A80" w:rsidRDefault="00767FDF" w:rsidP="000B4D3E">
            <w:pPr>
              <w:widowControl w:val="0"/>
              <w:spacing w:line="240" w:lineRule="auto"/>
              <w:rPr>
                <w:i/>
                <w:szCs w:val="22"/>
                <w:lang w:val="lv-LV"/>
              </w:rPr>
            </w:pPr>
          </w:p>
          <w:p w14:paraId="1821C05F" w14:textId="77777777" w:rsidR="00767FDF" w:rsidRPr="00117A80" w:rsidRDefault="00767FDF" w:rsidP="000B4D3E">
            <w:pPr>
              <w:widowControl w:val="0"/>
              <w:spacing w:line="240" w:lineRule="auto"/>
              <w:rPr>
                <w:i/>
                <w:szCs w:val="22"/>
                <w:lang w:val="lv-LV"/>
              </w:rPr>
            </w:pPr>
          </w:p>
          <w:p w14:paraId="61DDAA84" w14:textId="77777777" w:rsidR="00767FDF" w:rsidRPr="00117A80" w:rsidRDefault="00767FDF" w:rsidP="000B4D3E">
            <w:pPr>
              <w:widowControl w:val="0"/>
              <w:spacing w:line="240" w:lineRule="auto"/>
              <w:rPr>
                <w:i/>
                <w:szCs w:val="22"/>
                <w:lang w:val="lv-LV"/>
              </w:rPr>
            </w:pPr>
          </w:p>
          <w:p w14:paraId="0FE37807" w14:textId="77777777" w:rsidR="00767FDF" w:rsidRPr="00117A80" w:rsidRDefault="00767FDF" w:rsidP="000B4D3E">
            <w:pPr>
              <w:widowControl w:val="0"/>
              <w:spacing w:line="240" w:lineRule="auto"/>
              <w:rPr>
                <w:i/>
                <w:szCs w:val="22"/>
                <w:lang w:val="lv-LV"/>
              </w:rPr>
            </w:pPr>
          </w:p>
          <w:p w14:paraId="24805180" w14:textId="77777777" w:rsidR="00767FDF" w:rsidRPr="00117A80" w:rsidRDefault="00767FDF" w:rsidP="000B4D3E">
            <w:pPr>
              <w:widowControl w:val="0"/>
              <w:spacing w:line="240" w:lineRule="auto"/>
              <w:rPr>
                <w:i/>
                <w:szCs w:val="22"/>
                <w:lang w:val="lv-LV"/>
              </w:rPr>
            </w:pPr>
          </w:p>
          <w:p w14:paraId="69C374BD" w14:textId="77777777" w:rsidR="00767FDF" w:rsidRPr="00117A80" w:rsidRDefault="00767FDF" w:rsidP="000B4D3E">
            <w:pPr>
              <w:widowControl w:val="0"/>
              <w:spacing w:line="240" w:lineRule="auto"/>
              <w:rPr>
                <w:i/>
                <w:szCs w:val="22"/>
                <w:lang w:val="lv-LV"/>
              </w:rPr>
            </w:pPr>
          </w:p>
          <w:p w14:paraId="0A625D51" w14:textId="77777777" w:rsidR="00767FDF" w:rsidRPr="00117A80" w:rsidRDefault="00767FDF" w:rsidP="000B4D3E">
            <w:pPr>
              <w:widowControl w:val="0"/>
              <w:spacing w:line="240" w:lineRule="auto"/>
              <w:rPr>
                <w:i/>
                <w:szCs w:val="22"/>
                <w:lang w:val="lv-LV"/>
              </w:rPr>
            </w:pPr>
          </w:p>
          <w:p w14:paraId="7AA29A0E" w14:textId="77777777" w:rsidR="00767FDF" w:rsidRPr="00117A80" w:rsidRDefault="00767FDF" w:rsidP="000B4D3E">
            <w:pPr>
              <w:widowControl w:val="0"/>
              <w:spacing w:line="240" w:lineRule="auto"/>
              <w:rPr>
                <w:i/>
                <w:szCs w:val="22"/>
                <w:lang w:val="lv-LV"/>
              </w:rPr>
            </w:pPr>
          </w:p>
          <w:p w14:paraId="4AFCFCAD" w14:textId="77777777" w:rsidR="00767FDF" w:rsidRPr="00117A80" w:rsidRDefault="00767FDF" w:rsidP="000B4D3E">
            <w:pPr>
              <w:widowControl w:val="0"/>
              <w:spacing w:line="240" w:lineRule="auto"/>
              <w:rPr>
                <w:i/>
                <w:szCs w:val="22"/>
                <w:lang w:val="lv-LV"/>
              </w:rPr>
            </w:pPr>
          </w:p>
          <w:p w14:paraId="667660C5" w14:textId="77777777" w:rsidR="00767FDF" w:rsidRPr="00117A80" w:rsidRDefault="00767FDF" w:rsidP="000B4D3E">
            <w:pPr>
              <w:widowControl w:val="0"/>
              <w:spacing w:line="240" w:lineRule="auto"/>
              <w:rPr>
                <w:i/>
                <w:szCs w:val="22"/>
                <w:lang w:val="lv-LV"/>
              </w:rPr>
            </w:pPr>
          </w:p>
          <w:p w14:paraId="666B634B" w14:textId="77777777" w:rsidR="00767FDF" w:rsidRPr="00117A80" w:rsidRDefault="00767FDF" w:rsidP="000B4D3E">
            <w:pPr>
              <w:widowControl w:val="0"/>
              <w:spacing w:line="240" w:lineRule="auto"/>
              <w:rPr>
                <w:i/>
                <w:szCs w:val="22"/>
                <w:lang w:val="lv-LV"/>
              </w:rPr>
            </w:pPr>
          </w:p>
          <w:p w14:paraId="40CD2C82" w14:textId="77777777" w:rsidR="00767FDF" w:rsidRPr="00117A80" w:rsidRDefault="00767FDF" w:rsidP="000B4D3E">
            <w:pPr>
              <w:widowControl w:val="0"/>
              <w:spacing w:line="240" w:lineRule="auto"/>
              <w:rPr>
                <w:i/>
                <w:szCs w:val="22"/>
                <w:lang w:val="lv-LV"/>
              </w:rPr>
            </w:pPr>
          </w:p>
          <w:p w14:paraId="1A313F29" w14:textId="77777777" w:rsidR="00767FDF" w:rsidRPr="00117A80" w:rsidRDefault="00767FDF" w:rsidP="000B4D3E">
            <w:pPr>
              <w:widowControl w:val="0"/>
              <w:spacing w:line="240" w:lineRule="auto"/>
              <w:rPr>
                <w:szCs w:val="22"/>
                <w:lang w:val="lv-LV"/>
              </w:rPr>
            </w:pPr>
          </w:p>
        </w:tc>
        <w:tc>
          <w:tcPr>
            <w:tcW w:w="2881" w:type="dxa"/>
          </w:tcPr>
          <w:p w14:paraId="6E50C9C1" w14:textId="77777777" w:rsidR="00767FDF" w:rsidRPr="00117A80" w:rsidRDefault="00767FDF" w:rsidP="000B4D3E">
            <w:pPr>
              <w:widowControl w:val="0"/>
              <w:spacing w:line="240" w:lineRule="auto"/>
              <w:rPr>
                <w:szCs w:val="22"/>
                <w:lang w:val="lv-LV"/>
              </w:rPr>
            </w:pPr>
            <w:r w:rsidRPr="00117A80">
              <w:rPr>
                <w:szCs w:val="22"/>
                <w:lang w:val="lv-LV"/>
              </w:rPr>
              <w:t>ļoti bieži</w:t>
            </w:r>
          </w:p>
        </w:tc>
        <w:tc>
          <w:tcPr>
            <w:tcW w:w="2882" w:type="dxa"/>
          </w:tcPr>
          <w:p w14:paraId="2C58E45B" w14:textId="7FD61E10" w:rsidR="00767FDF" w:rsidRPr="00117A80" w:rsidRDefault="00767FDF" w:rsidP="000B4D3E">
            <w:pPr>
              <w:widowControl w:val="0"/>
              <w:spacing w:line="240" w:lineRule="auto"/>
              <w:rPr>
                <w:szCs w:val="22"/>
                <w:lang w:val="lv-LV"/>
              </w:rPr>
            </w:pPr>
            <w:r w:rsidRPr="00117A80">
              <w:rPr>
                <w:szCs w:val="22"/>
                <w:lang w:val="lv-LV"/>
              </w:rPr>
              <w:t xml:space="preserve">konjunktīvas hiperēmija, acu </w:t>
            </w:r>
            <w:r w:rsidRPr="009E348D">
              <w:rPr>
                <w:szCs w:val="22"/>
                <w:lang w:val="lv-LV"/>
              </w:rPr>
              <w:t>nieze, skropstu augšana</w:t>
            </w:r>
            <w:r w:rsidR="009E348D" w:rsidRPr="009E348D">
              <w:rPr>
                <w:szCs w:val="22"/>
                <w:lang w:val="lv-LV"/>
              </w:rPr>
              <w:t xml:space="preserve">, </w:t>
            </w:r>
            <w:r w:rsidR="009E348D">
              <w:rPr>
                <w:rFonts w:eastAsia="Calibri"/>
                <w:snapToGrid/>
                <w:szCs w:val="22"/>
                <w:lang w:val="lv-LV" w:eastAsia="pl-PL"/>
              </w:rPr>
              <w:t>p</w:t>
            </w:r>
            <w:r w:rsidR="009E348D" w:rsidRPr="009E348D">
              <w:rPr>
                <w:rFonts w:eastAsia="Calibri"/>
                <w:snapToGrid/>
                <w:szCs w:val="22"/>
                <w:lang w:val="lv-LV" w:eastAsia="pl-PL"/>
              </w:rPr>
              <w:t>rostaglandīna analoga periorbitopātija</w:t>
            </w:r>
          </w:p>
        </w:tc>
      </w:tr>
      <w:tr w:rsidR="00767FDF" w:rsidRPr="00F30C7F" w14:paraId="732230C9" w14:textId="77777777" w:rsidTr="00D368ED">
        <w:tc>
          <w:tcPr>
            <w:tcW w:w="2881" w:type="dxa"/>
            <w:vMerge/>
          </w:tcPr>
          <w:p w14:paraId="6CB20320" w14:textId="77777777" w:rsidR="00767FDF" w:rsidRPr="00117A80" w:rsidRDefault="00767FDF" w:rsidP="000B4D3E">
            <w:pPr>
              <w:widowControl w:val="0"/>
              <w:spacing w:line="240" w:lineRule="auto"/>
              <w:rPr>
                <w:i/>
                <w:szCs w:val="22"/>
                <w:lang w:val="lv-LV"/>
              </w:rPr>
            </w:pPr>
          </w:p>
        </w:tc>
        <w:tc>
          <w:tcPr>
            <w:tcW w:w="2881" w:type="dxa"/>
          </w:tcPr>
          <w:p w14:paraId="042EDAE4" w14:textId="77777777" w:rsidR="00767FDF" w:rsidRPr="00117A80" w:rsidRDefault="00767FDF" w:rsidP="000B4D3E">
            <w:pPr>
              <w:widowControl w:val="0"/>
              <w:spacing w:line="240" w:lineRule="auto"/>
              <w:rPr>
                <w:szCs w:val="22"/>
                <w:lang w:val="lv-LV"/>
              </w:rPr>
            </w:pPr>
            <w:r w:rsidRPr="00117A80">
              <w:rPr>
                <w:szCs w:val="22"/>
                <w:lang w:val="lv-LV"/>
              </w:rPr>
              <w:t>bieži</w:t>
            </w:r>
          </w:p>
        </w:tc>
        <w:tc>
          <w:tcPr>
            <w:tcW w:w="2882" w:type="dxa"/>
          </w:tcPr>
          <w:p w14:paraId="148FFE79"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virspusējs punktveida keratīts, radzenes erozija, dedzināšanas sajūta acī, acs kairinājums, alerģisks konjunktivīts, blefarīts, redzes asuma samazināšanās, astenopija, konjunktīvas tūska, svešķermeņa sajūta acī, acu sausums, sāpes acīs, fotofobija, asarošana, izdalījumi no acīm, redzes traucējumi, neskaidra redze, varavīksnenes pigmentācijas pastiprināšanās, tumšākas skropstas</w:t>
            </w:r>
            <w:r w:rsidR="00947B57" w:rsidRPr="00117A80">
              <w:rPr>
                <w:szCs w:val="22"/>
                <w:lang w:val="lv-LV"/>
              </w:rPr>
              <w:t xml:space="preserve">, </w:t>
            </w:r>
            <w:r w:rsidR="000A3BAB" w:rsidRPr="00117A80">
              <w:rPr>
                <w:szCs w:val="22"/>
                <w:lang w:val="lv-LV"/>
              </w:rPr>
              <w:t>plakstiņu eritēma, plakstiņu nieze</w:t>
            </w:r>
          </w:p>
        </w:tc>
      </w:tr>
      <w:tr w:rsidR="00767FDF" w:rsidRPr="00F30C7F" w14:paraId="34ECA261" w14:textId="77777777" w:rsidTr="00D368ED">
        <w:tc>
          <w:tcPr>
            <w:tcW w:w="2881" w:type="dxa"/>
            <w:vMerge/>
          </w:tcPr>
          <w:p w14:paraId="01B67E24" w14:textId="77777777" w:rsidR="00767FDF" w:rsidRPr="00117A80" w:rsidRDefault="00767FDF" w:rsidP="000B4D3E">
            <w:pPr>
              <w:widowControl w:val="0"/>
              <w:spacing w:line="240" w:lineRule="auto"/>
              <w:rPr>
                <w:i/>
                <w:szCs w:val="22"/>
                <w:lang w:val="lv-LV"/>
              </w:rPr>
            </w:pPr>
          </w:p>
        </w:tc>
        <w:tc>
          <w:tcPr>
            <w:tcW w:w="2881" w:type="dxa"/>
          </w:tcPr>
          <w:p w14:paraId="5111ECF0" w14:textId="77777777" w:rsidR="00767FDF" w:rsidRPr="00117A80" w:rsidRDefault="00767FDF" w:rsidP="000B4D3E">
            <w:pPr>
              <w:widowControl w:val="0"/>
              <w:spacing w:line="240" w:lineRule="auto"/>
              <w:rPr>
                <w:szCs w:val="22"/>
                <w:lang w:val="lv-LV"/>
              </w:rPr>
            </w:pPr>
            <w:r w:rsidRPr="00117A80">
              <w:rPr>
                <w:szCs w:val="22"/>
                <w:lang w:val="lv-LV"/>
              </w:rPr>
              <w:t>retāk</w:t>
            </w:r>
          </w:p>
        </w:tc>
        <w:tc>
          <w:tcPr>
            <w:tcW w:w="2882" w:type="dxa"/>
          </w:tcPr>
          <w:p w14:paraId="37BBA66E"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tīklenes asiņošana, uveīts, cistiska makulas tūska, irīts, </w:t>
            </w:r>
            <w:r w:rsidRPr="00117A80">
              <w:rPr>
                <w:szCs w:val="22"/>
                <w:lang w:val="lv-LV"/>
              </w:rPr>
              <w:lastRenderedPageBreak/>
              <w:t>blefarospazmas, plakstiņu retrakcija, periorbitāla eritēma</w:t>
            </w:r>
            <w:r w:rsidR="00947B57" w:rsidRPr="00117A80">
              <w:rPr>
                <w:szCs w:val="22"/>
                <w:lang w:val="lv-LV"/>
              </w:rPr>
              <w:t xml:space="preserve">, </w:t>
            </w:r>
            <w:r w:rsidR="000A3BAB" w:rsidRPr="00117A80">
              <w:rPr>
                <w:szCs w:val="22"/>
                <w:lang w:val="lv-LV"/>
              </w:rPr>
              <w:t>plakstiņu tūska</w:t>
            </w:r>
          </w:p>
        </w:tc>
      </w:tr>
      <w:tr w:rsidR="00767FDF" w:rsidRPr="009E348D" w14:paraId="0406025A" w14:textId="77777777" w:rsidTr="00D368ED">
        <w:tc>
          <w:tcPr>
            <w:tcW w:w="2881" w:type="dxa"/>
            <w:vMerge/>
          </w:tcPr>
          <w:p w14:paraId="751E2399" w14:textId="77777777" w:rsidR="00767FDF" w:rsidRPr="00117A80" w:rsidRDefault="00767FDF" w:rsidP="000B4D3E">
            <w:pPr>
              <w:widowControl w:val="0"/>
              <w:spacing w:line="240" w:lineRule="auto"/>
              <w:rPr>
                <w:i/>
                <w:szCs w:val="22"/>
                <w:lang w:val="lv-LV"/>
              </w:rPr>
            </w:pPr>
          </w:p>
        </w:tc>
        <w:tc>
          <w:tcPr>
            <w:tcW w:w="2881" w:type="dxa"/>
          </w:tcPr>
          <w:p w14:paraId="2048A5E9" w14:textId="61BB7F8B" w:rsidR="00767FDF" w:rsidRPr="00117A80" w:rsidRDefault="00767FDF" w:rsidP="000B4D3E">
            <w:pPr>
              <w:widowControl w:val="0"/>
              <w:spacing w:line="240" w:lineRule="auto"/>
              <w:rPr>
                <w:szCs w:val="22"/>
                <w:lang w:val="lv-LV"/>
              </w:rPr>
            </w:pPr>
            <w:r w:rsidRPr="00117A80">
              <w:rPr>
                <w:szCs w:val="22"/>
                <w:lang w:val="lv-LV"/>
              </w:rPr>
              <w:t>nav zinām</w:t>
            </w:r>
            <w:r w:rsidR="00354B4B">
              <w:rPr>
                <w:szCs w:val="22"/>
                <w:lang w:val="lv-LV"/>
              </w:rPr>
              <w:t>i</w:t>
            </w:r>
          </w:p>
        </w:tc>
        <w:tc>
          <w:tcPr>
            <w:tcW w:w="2882" w:type="dxa"/>
          </w:tcPr>
          <w:p w14:paraId="25A347CB" w14:textId="65E08F8C" w:rsidR="00767FDF" w:rsidRPr="004F23FA" w:rsidRDefault="004F23FA" w:rsidP="00631CB3">
            <w:pPr>
              <w:pStyle w:val="Default"/>
              <w:rPr>
                <w:lang w:val="lv-LV"/>
              </w:rPr>
            </w:pPr>
            <w:r w:rsidRPr="00680BEB">
              <w:rPr>
                <w:rFonts w:eastAsia="Times New Roman"/>
                <w:snapToGrid w:val="0"/>
                <w:color w:val="auto"/>
                <w:sz w:val="22"/>
                <w:szCs w:val="22"/>
                <w:lang w:val="lv-LV" w:eastAsia="lv-LV"/>
              </w:rPr>
              <w:t>diskomforta sajūta acī</w:t>
            </w:r>
          </w:p>
        </w:tc>
      </w:tr>
      <w:tr w:rsidR="00767FDF" w:rsidRPr="00117A80" w14:paraId="5C573AFE" w14:textId="77777777" w:rsidTr="00D368ED">
        <w:tc>
          <w:tcPr>
            <w:tcW w:w="2881" w:type="dxa"/>
          </w:tcPr>
          <w:p w14:paraId="7594F4BC" w14:textId="77777777" w:rsidR="00767FDF" w:rsidRPr="00117A80" w:rsidRDefault="00767FDF" w:rsidP="000B4D3E">
            <w:pPr>
              <w:widowControl w:val="0"/>
              <w:spacing w:line="240" w:lineRule="auto"/>
              <w:rPr>
                <w:szCs w:val="22"/>
                <w:lang w:val="lv-LV"/>
              </w:rPr>
            </w:pPr>
            <w:r w:rsidRPr="00117A80">
              <w:rPr>
                <w:i/>
                <w:szCs w:val="22"/>
                <w:lang w:val="lv-LV"/>
              </w:rPr>
              <w:t>Asinsvadu sistēmas traucējumi</w:t>
            </w:r>
          </w:p>
        </w:tc>
        <w:tc>
          <w:tcPr>
            <w:tcW w:w="2881" w:type="dxa"/>
          </w:tcPr>
          <w:p w14:paraId="6E7DB96B" w14:textId="77777777" w:rsidR="00767FDF" w:rsidRPr="00117A80" w:rsidRDefault="00767FDF" w:rsidP="000B4D3E">
            <w:pPr>
              <w:widowControl w:val="0"/>
              <w:spacing w:line="240" w:lineRule="auto"/>
              <w:rPr>
                <w:szCs w:val="22"/>
                <w:lang w:val="lv-LV"/>
              </w:rPr>
            </w:pPr>
            <w:r w:rsidRPr="00117A80">
              <w:rPr>
                <w:szCs w:val="22"/>
                <w:lang w:val="lv-LV"/>
              </w:rPr>
              <w:t>bieži</w:t>
            </w:r>
          </w:p>
        </w:tc>
        <w:tc>
          <w:tcPr>
            <w:tcW w:w="2882" w:type="dxa"/>
          </w:tcPr>
          <w:p w14:paraId="683F3814"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hipertensija</w:t>
            </w:r>
          </w:p>
        </w:tc>
      </w:tr>
      <w:tr w:rsidR="00401636" w:rsidRPr="00117A80" w14:paraId="3C144F73" w14:textId="77777777" w:rsidTr="00D368ED">
        <w:tc>
          <w:tcPr>
            <w:tcW w:w="2881" w:type="dxa"/>
          </w:tcPr>
          <w:p w14:paraId="197F1969" w14:textId="77777777" w:rsidR="00401636" w:rsidRPr="00117A80" w:rsidRDefault="00401636" w:rsidP="000B4D3E">
            <w:pPr>
              <w:widowControl w:val="0"/>
              <w:spacing w:line="240" w:lineRule="auto"/>
              <w:rPr>
                <w:i/>
                <w:szCs w:val="22"/>
                <w:lang w:val="lv-LV"/>
              </w:rPr>
            </w:pPr>
            <w:r w:rsidRPr="00117A80">
              <w:rPr>
                <w:i/>
                <w:szCs w:val="22"/>
                <w:lang w:val="lv-LV"/>
              </w:rPr>
              <w:t>Elpošanas sistēmas traucējumi, krūšu kurvja un videnes slimības</w:t>
            </w:r>
          </w:p>
        </w:tc>
        <w:tc>
          <w:tcPr>
            <w:tcW w:w="2881" w:type="dxa"/>
          </w:tcPr>
          <w:p w14:paraId="3BFEA3A4" w14:textId="7118E0FE" w:rsidR="00401636" w:rsidRPr="00117A80" w:rsidRDefault="00401636" w:rsidP="000B4D3E">
            <w:pPr>
              <w:widowControl w:val="0"/>
              <w:spacing w:line="240" w:lineRule="auto"/>
              <w:rPr>
                <w:szCs w:val="22"/>
                <w:lang w:val="lv-LV"/>
              </w:rPr>
            </w:pPr>
            <w:r w:rsidRPr="00117A80">
              <w:rPr>
                <w:szCs w:val="22"/>
                <w:lang w:val="lv-LV"/>
              </w:rPr>
              <w:t>nav zinām</w:t>
            </w:r>
            <w:r w:rsidR="00354B4B">
              <w:rPr>
                <w:szCs w:val="22"/>
                <w:lang w:val="lv-LV"/>
              </w:rPr>
              <w:t>i</w:t>
            </w:r>
          </w:p>
        </w:tc>
        <w:tc>
          <w:tcPr>
            <w:tcW w:w="2882" w:type="dxa"/>
          </w:tcPr>
          <w:p w14:paraId="32D8A3E5" w14:textId="77777777" w:rsidR="00401636" w:rsidRPr="00117A80" w:rsidRDefault="000A3BAB"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astma, astmas </w:t>
            </w:r>
            <w:r w:rsidR="007E0533" w:rsidRPr="005C4B84">
              <w:rPr>
                <w:bCs/>
                <w:szCs w:val="22"/>
                <w:lang w:val="lv-LV"/>
              </w:rPr>
              <w:t>paasināšanās,</w:t>
            </w:r>
            <w:r w:rsidRPr="00117A80">
              <w:rPr>
                <w:szCs w:val="22"/>
                <w:lang w:val="lv-LV"/>
              </w:rPr>
              <w:t xml:space="preserve"> HOPS </w:t>
            </w:r>
            <w:r w:rsidR="007E0533" w:rsidRPr="005C4B84">
              <w:rPr>
                <w:bCs/>
                <w:szCs w:val="22"/>
                <w:lang w:val="lv-LV"/>
              </w:rPr>
              <w:t>paasināšanās un aizdusa</w:t>
            </w:r>
          </w:p>
        </w:tc>
      </w:tr>
      <w:tr w:rsidR="00767FDF" w:rsidRPr="00117A80" w14:paraId="799BCB96" w14:textId="77777777" w:rsidTr="00D368ED">
        <w:tc>
          <w:tcPr>
            <w:tcW w:w="2881" w:type="dxa"/>
          </w:tcPr>
          <w:p w14:paraId="7238BEA6" w14:textId="77777777" w:rsidR="00767FDF" w:rsidRPr="00117A80" w:rsidRDefault="00767FDF" w:rsidP="000B4D3E">
            <w:pPr>
              <w:widowControl w:val="0"/>
              <w:spacing w:line="240" w:lineRule="auto"/>
              <w:rPr>
                <w:szCs w:val="22"/>
                <w:lang w:val="lv-LV"/>
              </w:rPr>
            </w:pPr>
            <w:r w:rsidRPr="00117A80">
              <w:rPr>
                <w:i/>
                <w:szCs w:val="22"/>
                <w:lang w:val="lv-LV"/>
              </w:rPr>
              <w:t>Kuņģa-zarnu trakta traucējumi</w:t>
            </w:r>
          </w:p>
        </w:tc>
        <w:tc>
          <w:tcPr>
            <w:tcW w:w="2881" w:type="dxa"/>
          </w:tcPr>
          <w:p w14:paraId="05F6D846" w14:textId="77777777" w:rsidR="00767FDF" w:rsidRPr="00117A80" w:rsidRDefault="00767FDF" w:rsidP="000B4D3E">
            <w:pPr>
              <w:widowControl w:val="0"/>
              <w:spacing w:line="240" w:lineRule="auto"/>
              <w:rPr>
                <w:szCs w:val="22"/>
                <w:lang w:val="lv-LV"/>
              </w:rPr>
            </w:pPr>
            <w:r w:rsidRPr="00117A80">
              <w:rPr>
                <w:szCs w:val="22"/>
                <w:lang w:val="lv-LV"/>
              </w:rPr>
              <w:t>retāk</w:t>
            </w:r>
          </w:p>
        </w:tc>
        <w:tc>
          <w:tcPr>
            <w:tcW w:w="2882" w:type="dxa"/>
          </w:tcPr>
          <w:p w14:paraId="69D3B38B"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slikta dūša</w:t>
            </w:r>
          </w:p>
        </w:tc>
      </w:tr>
      <w:tr w:rsidR="004F23FA" w:rsidRPr="00117A80" w14:paraId="13093A65" w14:textId="77777777" w:rsidTr="00D368ED">
        <w:tc>
          <w:tcPr>
            <w:tcW w:w="2881" w:type="dxa"/>
            <w:vMerge w:val="restart"/>
          </w:tcPr>
          <w:p w14:paraId="68DE2F81" w14:textId="77777777" w:rsidR="004F23FA" w:rsidRPr="00117A80" w:rsidRDefault="004F23FA" w:rsidP="000B4D3E">
            <w:pPr>
              <w:widowControl w:val="0"/>
              <w:spacing w:line="240" w:lineRule="auto"/>
              <w:rPr>
                <w:szCs w:val="22"/>
                <w:lang w:val="lv-LV"/>
              </w:rPr>
            </w:pPr>
            <w:r w:rsidRPr="00117A80">
              <w:rPr>
                <w:i/>
                <w:szCs w:val="22"/>
                <w:lang w:val="lv-LV"/>
              </w:rPr>
              <w:t>Ādas un zemādas audu bojājumi</w:t>
            </w:r>
          </w:p>
        </w:tc>
        <w:tc>
          <w:tcPr>
            <w:tcW w:w="2881" w:type="dxa"/>
          </w:tcPr>
          <w:p w14:paraId="2ED14500" w14:textId="77777777" w:rsidR="004F23FA" w:rsidRPr="00117A80" w:rsidRDefault="004F23FA" w:rsidP="000B4D3E">
            <w:pPr>
              <w:widowControl w:val="0"/>
              <w:spacing w:line="240" w:lineRule="auto"/>
              <w:rPr>
                <w:szCs w:val="22"/>
                <w:lang w:val="lv-LV"/>
              </w:rPr>
            </w:pPr>
            <w:r w:rsidRPr="00117A80">
              <w:rPr>
                <w:szCs w:val="22"/>
                <w:lang w:val="lv-LV"/>
              </w:rPr>
              <w:t>bieži</w:t>
            </w:r>
          </w:p>
        </w:tc>
        <w:tc>
          <w:tcPr>
            <w:tcW w:w="2882" w:type="dxa"/>
          </w:tcPr>
          <w:p w14:paraId="2D50E260" w14:textId="77777777" w:rsidR="004F23FA" w:rsidRPr="00117A80" w:rsidRDefault="004F23FA" w:rsidP="000B4D3E">
            <w:pPr>
              <w:widowControl w:val="0"/>
              <w:tabs>
                <w:tab w:val="clear" w:pos="567"/>
              </w:tabs>
              <w:autoSpaceDE w:val="0"/>
              <w:autoSpaceDN w:val="0"/>
              <w:adjustRightInd w:val="0"/>
              <w:spacing w:line="240" w:lineRule="auto"/>
              <w:rPr>
                <w:szCs w:val="22"/>
                <w:lang w:val="lv-LV"/>
              </w:rPr>
            </w:pPr>
            <w:r w:rsidRPr="00117A80">
              <w:rPr>
                <w:szCs w:val="22"/>
                <w:lang w:val="lv-LV"/>
              </w:rPr>
              <w:t>periokulāra ādas pigmentācija</w:t>
            </w:r>
          </w:p>
        </w:tc>
      </w:tr>
      <w:tr w:rsidR="004F23FA" w:rsidRPr="00117A80" w14:paraId="7DB9B99E" w14:textId="77777777" w:rsidTr="00D368ED">
        <w:tc>
          <w:tcPr>
            <w:tcW w:w="2881" w:type="dxa"/>
            <w:vMerge/>
          </w:tcPr>
          <w:p w14:paraId="6411ED09" w14:textId="77777777" w:rsidR="004F23FA" w:rsidRPr="00117A80" w:rsidRDefault="004F23FA" w:rsidP="000B4D3E">
            <w:pPr>
              <w:widowControl w:val="0"/>
              <w:spacing w:line="240" w:lineRule="auto"/>
              <w:rPr>
                <w:i/>
                <w:szCs w:val="22"/>
                <w:lang w:val="lv-LV"/>
              </w:rPr>
            </w:pPr>
          </w:p>
        </w:tc>
        <w:tc>
          <w:tcPr>
            <w:tcW w:w="2881" w:type="dxa"/>
          </w:tcPr>
          <w:p w14:paraId="1EBF62E4" w14:textId="77777777" w:rsidR="004F23FA" w:rsidRPr="00117A80" w:rsidRDefault="004F23FA" w:rsidP="000B4D3E">
            <w:pPr>
              <w:widowControl w:val="0"/>
              <w:spacing w:line="240" w:lineRule="auto"/>
              <w:rPr>
                <w:szCs w:val="22"/>
                <w:lang w:val="lv-LV"/>
              </w:rPr>
            </w:pPr>
            <w:r w:rsidRPr="00117A80">
              <w:rPr>
                <w:szCs w:val="22"/>
                <w:lang w:val="lv-LV"/>
              </w:rPr>
              <w:t>retāk</w:t>
            </w:r>
          </w:p>
        </w:tc>
        <w:tc>
          <w:tcPr>
            <w:tcW w:w="2882" w:type="dxa"/>
          </w:tcPr>
          <w:p w14:paraId="2F417888" w14:textId="77777777" w:rsidR="004F23FA" w:rsidRPr="00117A80" w:rsidRDefault="004F23FA" w:rsidP="000B4D3E">
            <w:pPr>
              <w:widowControl w:val="0"/>
              <w:tabs>
                <w:tab w:val="clear" w:pos="567"/>
              </w:tabs>
              <w:autoSpaceDE w:val="0"/>
              <w:autoSpaceDN w:val="0"/>
              <w:adjustRightInd w:val="0"/>
              <w:spacing w:line="240" w:lineRule="auto"/>
              <w:rPr>
                <w:szCs w:val="22"/>
                <w:lang w:val="lv-LV"/>
              </w:rPr>
            </w:pPr>
            <w:r w:rsidRPr="00117A80">
              <w:rPr>
                <w:szCs w:val="22"/>
                <w:lang w:val="lv-LV"/>
              </w:rPr>
              <w:t>hirsūtisms</w:t>
            </w:r>
          </w:p>
        </w:tc>
      </w:tr>
      <w:tr w:rsidR="004F23FA" w:rsidRPr="00117A80" w14:paraId="2E46A225" w14:textId="77777777" w:rsidTr="00D368ED">
        <w:tc>
          <w:tcPr>
            <w:tcW w:w="2881" w:type="dxa"/>
            <w:vMerge/>
          </w:tcPr>
          <w:p w14:paraId="2D2E9866" w14:textId="77777777" w:rsidR="004F23FA" w:rsidRPr="00117A80" w:rsidRDefault="004F23FA" w:rsidP="000B4D3E">
            <w:pPr>
              <w:widowControl w:val="0"/>
              <w:spacing w:line="240" w:lineRule="auto"/>
              <w:rPr>
                <w:i/>
                <w:szCs w:val="22"/>
                <w:lang w:val="lv-LV"/>
              </w:rPr>
            </w:pPr>
          </w:p>
        </w:tc>
        <w:tc>
          <w:tcPr>
            <w:tcW w:w="2881" w:type="dxa"/>
          </w:tcPr>
          <w:p w14:paraId="6F995D5D" w14:textId="627C66E2" w:rsidR="004F23FA" w:rsidRPr="00117A80" w:rsidRDefault="004F23FA" w:rsidP="000B4D3E">
            <w:pPr>
              <w:widowControl w:val="0"/>
              <w:spacing w:line="240" w:lineRule="auto"/>
              <w:rPr>
                <w:szCs w:val="22"/>
                <w:lang w:val="lv-LV"/>
              </w:rPr>
            </w:pPr>
            <w:r w:rsidRPr="00117A80">
              <w:rPr>
                <w:szCs w:val="22"/>
                <w:lang w:val="lv-LV"/>
              </w:rPr>
              <w:t>nav zinām</w:t>
            </w:r>
            <w:r w:rsidR="00354B4B">
              <w:rPr>
                <w:szCs w:val="22"/>
                <w:lang w:val="lv-LV"/>
              </w:rPr>
              <w:t>i</w:t>
            </w:r>
          </w:p>
        </w:tc>
        <w:tc>
          <w:tcPr>
            <w:tcW w:w="2882" w:type="dxa"/>
          </w:tcPr>
          <w:p w14:paraId="699FB098" w14:textId="522A7252" w:rsidR="004F23FA" w:rsidRPr="00117A80" w:rsidRDefault="004F23FA" w:rsidP="00680BEB">
            <w:pPr>
              <w:widowControl w:val="0"/>
              <w:spacing w:line="240" w:lineRule="auto"/>
              <w:rPr>
                <w:szCs w:val="22"/>
                <w:lang w:val="lv-LV"/>
              </w:rPr>
            </w:pPr>
            <w:r w:rsidRPr="00680BEB">
              <w:rPr>
                <w:szCs w:val="22"/>
                <w:lang w:val="lv-LV"/>
              </w:rPr>
              <w:t>ādas krāsas maiņa (periokulāra)</w:t>
            </w:r>
          </w:p>
        </w:tc>
      </w:tr>
      <w:tr w:rsidR="00767FDF" w:rsidRPr="00117A80" w14:paraId="1D8865F0" w14:textId="77777777" w:rsidTr="00D368ED">
        <w:tc>
          <w:tcPr>
            <w:tcW w:w="2881" w:type="dxa"/>
          </w:tcPr>
          <w:p w14:paraId="5912D5C9" w14:textId="77777777" w:rsidR="00767FDF" w:rsidRPr="00117A80" w:rsidRDefault="00767FDF" w:rsidP="000B4D3E">
            <w:pPr>
              <w:widowControl w:val="0"/>
              <w:spacing w:line="240" w:lineRule="auto"/>
              <w:rPr>
                <w:szCs w:val="22"/>
                <w:lang w:val="lv-LV"/>
              </w:rPr>
            </w:pPr>
            <w:r w:rsidRPr="00117A80">
              <w:rPr>
                <w:i/>
                <w:szCs w:val="22"/>
                <w:lang w:val="lv-LV"/>
              </w:rPr>
              <w:t>Vispārēji traucējumi un reakcijas ievadīšanas vietā</w:t>
            </w:r>
          </w:p>
        </w:tc>
        <w:tc>
          <w:tcPr>
            <w:tcW w:w="2881" w:type="dxa"/>
          </w:tcPr>
          <w:p w14:paraId="42A075BB" w14:textId="77777777" w:rsidR="00767FDF" w:rsidRPr="00117A80" w:rsidRDefault="00767FDF" w:rsidP="000B4D3E">
            <w:pPr>
              <w:widowControl w:val="0"/>
              <w:spacing w:line="240" w:lineRule="auto"/>
              <w:rPr>
                <w:szCs w:val="22"/>
                <w:lang w:val="lv-LV"/>
              </w:rPr>
            </w:pPr>
            <w:r w:rsidRPr="00117A80">
              <w:rPr>
                <w:szCs w:val="22"/>
                <w:lang w:val="lv-LV"/>
              </w:rPr>
              <w:t>retāk</w:t>
            </w:r>
          </w:p>
        </w:tc>
        <w:tc>
          <w:tcPr>
            <w:tcW w:w="2882" w:type="dxa"/>
          </w:tcPr>
          <w:p w14:paraId="20D16E7D"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astēnija</w:t>
            </w:r>
          </w:p>
        </w:tc>
      </w:tr>
      <w:tr w:rsidR="00767FDF" w:rsidRPr="00117A80" w14:paraId="4FF1C856" w14:textId="77777777" w:rsidTr="00D368ED">
        <w:tc>
          <w:tcPr>
            <w:tcW w:w="2881" w:type="dxa"/>
          </w:tcPr>
          <w:p w14:paraId="14BB6854" w14:textId="77777777" w:rsidR="00767FDF" w:rsidRPr="00117A80" w:rsidRDefault="00767FDF" w:rsidP="000B4D3E">
            <w:pPr>
              <w:widowControl w:val="0"/>
              <w:spacing w:line="240" w:lineRule="auto"/>
              <w:rPr>
                <w:szCs w:val="22"/>
                <w:lang w:val="lv-LV"/>
              </w:rPr>
            </w:pPr>
            <w:r w:rsidRPr="00117A80">
              <w:rPr>
                <w:i/>
                <w:szCs w:val="22"/>
                <w:lang w:val="lv-LV"/>
              </w:rPr>
              <w:t>Izmeklējumi</w:t>
            </w:r>
          </w:p>
        </w:tc>
        <w:tc>
          <w:tcPr>
            <w:tcW w:w="2881" w:type="dxa"/>
          </w:tcPr>
          <w:p w14:paraId="749E2492" w14:textId="77777777" w:rsidR="00767FDF" w:rsidRPr="00117A80" w:rsidRDefault="00767FDF" w:rsidP="000B4D3E">
            <w:pPr>
              <w:widowControl w:val="0"/>
              <w:spacing w:line="240" w:lineRule="auto"/>
              <w:rPr>
                <w:szCs w:val="22"/>
                <w:lang w:val="lv-LV"/>
              </w:rPr>
            </w:pPr>
            <w:r w:rsidRPr="00117A80">
              <w:rPr>
                <w:szCs w:val="22"/>
                <w:lang w:val="lv-LV"/>
              </w:rPr>
              <w:t>bieži</w:t>
            </w:r>
          </w:p>
        </w:tc>
        <w:tc>
          <w:tcPr>
            <w:tcW w:w="2882" w:type="dxa"/>
          </w:tcPr>
          <w:p w14:paraId="71EDEEDF"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novirzes aknu funkciju testā</w:t>
            </w:r>
          </w:p>
        </w:tc>
      </w:tr>
    </w:tbl>
    <w:p w14:paraId="099F77AB" w14:textId="77777777" w:rsidR="00767FDF" w:rsidRPr="00E63831" w:rsidRDefault="00767FDF" w:rsidP="000B4D3E">
      <w:pPr>
        <w:widowControl w:val="0"/>
        <w:spacing w:line="240" w:lineRule="auto"/>
        <w:ind w:left="567" w:hanging="567"/>
        <w:rPr>
          <w:bCs/>
          <w:szCs w:val="22"/>
          <w:lang w:val="lv-LV"/>
        </w:rPr>
      </w:pPr>
    </w:p>
    <w:p w14:paraId="7C548194" w14:textId="77777777" w:rsidR="00792A04" w:rsidRPr="00F30C7F" w:rsidRDefault="00792A04" w:rsidP="00792A04">
      <w:pPr>
        <w:tabs>
          <w:tab w:val="clear" w:pos="567"/>
        </w:tabs>
        <w:autoSpaceDE w:val="0"/>
        <w:autoSpaceDN w:val="0"/>
        <w:adjustRightInd w:val="0"/>
        <w:spacing w:line="240" w:lineRule="auto"/>
        <w:rPr>
          <w:rFonts w:eastAsia="Calibri"/>
          <w:snapToGrid/>
          <w:szCs w:val="22"/>
          <w:lang w:val="lv-LV" w:eastAsia="pl-PL"/>
        </w:rPr>
      </w:pPr>
      <w:r w:rsidRPr="00F30C7F">
        <w:rPr>
          <w:rFonts w:eastAsia="Calibri"/>
          <w:snapToGrid/>
          <w:szCs w:val="22"/>
          <w:lang w:val="lv-LV" w:eastAsia="pl-PL"/>
        </w:rPr>
        <w:t>Atsevišķu blakusparādību apraksts</w:t>
      </w:r>
    </w:p>
    <w:p w14:paraId="5BA9487E" w14:textId="4CA52565" w:rsidR="00792A04" w:rsidRPr="00F30C7F" w:rsidRDefault="00792A04" w:rsidP="00792A04">
      <w:pPr>
        <w:tabs>
          <w:tab w:val="clear" w:pos="567"/>
        </w:tabs>
        <w:autoSpaceDE w:val="0"/>
        <w:autoSpaceDN w:val="0"/>
        <w:adjustRightInd w:val="0"/>
        <w:spacing w:line="240" w:lineRule="auto"/>
        <w:rPr>
          <w:rFonts w:eastAsia="Calibri"/>
          <w:snapToGrid/>
          <w:szCs w:val="22"/>
          <w:lang w:val="lv-LV" w:eastAsia="pl-PL"/>
        </w:rPr>
      </w:pPr>
    </w:p>
    <w:p w14:paraId="50FC06D9" w14:textId="4F3C6987" w:rsidR="00792A04" w:rsidRPr="00F30C7F" w:rsidRDefault="00792A04" w:rsidP="00792A04">
      <w:pPr>
        <w:tabs>
          <w:tab w:val="clear" w:pos="567"/>
        </w:tabs>
        <w:autoSpaceDE w:val="0"/>
        <w:autoSpaceDN w:val="0"/>
        <w:adjustRightInd w:val="0"/>
        <w:spacing w:line="240" w:lineRule="auto"/>
        <w:rPr>
          <w:rFonts w:eastAsia="Calibri"/>
          <w:snapToGrid/>
          <w:szCs w:val="22"/>
          <w:lang w:val="lv-LV" w:eastAsia="pl-PL"/>
        </w:rPr>
      </w:pPr>
      <w:r w:rsidRPr="00F30C7F">
        <w:rPr>
          <w:rFonts w:eastAsia="Calibri"/>
          <w:snapToGrid/>
          <w:szCs w:val="22"/>
          <w:lang w:val="lv-LV" w:eastAsia="pl-PL"/>
        </w:rPr>
        <w:t>Prostaglandīna analoga periorbitopātija (PAP)</w:t>
      </w:r>
    </w:p>
    <w:p w14:paraId="08E3F1BB" w14:textId="40C99DEE" w:rsidR="00792A04" w:rsidRPr="00F30C7F" w:rsidRDefault="00792A04" w:rsidP="00E63831">
      <w:pPr>
        <w:tabs>
          <w:tab w:val="clear" w:pos="567"/>
        </w:tabs>
        <w:autoSpaceDE w:val="0"/>
        <w:autoSpaceDN w:val="0"/>
        <w:adjustRightInd w:val="0"/>
        <w:spacing w:line="240" w:lineRule="auto"/>
        <w:rPr>
          <w:rFonts w:eastAsia="Calibri"/>
          <w:snapToGrid/>
          <w:szCs w:val="22"/>
          <w:lang w:val="lv-LV" w:eastAsia="pl-PL"/>
        </w:rPr>
      </w:pPr>
      <w:r w:rsidRPr="00F30C7F">
        <w:rPr>
          <w:rFonts w:eastAsia="Calibri"/>
          <w:snapToGrid/>
          <w:szCs w:val="22"/>
          <w:lang w:val="lv-LV" w:eastAsia="pl-PL"/>
        </w:rPr>
        <w:t>Prostaglandīna analogi, tostarp Bimican, var radīt periorbitālas lipodistrofiskas izmaiņas, kas var izraisīt plakstiņu rievas padziļināšanos, ptozi, enoftalmu, plakstiņu retrakciju, dermatohalāzes involūciju un apakšējās sklēras redzamību. Izmaiņas parasti ir vieglas, var rasties jau vienu mēnesi pēc ārstēšanas ar Bimican uzsākšanas un var izraisīt traucētu redzes lauku pat tad, ja pacients to nepamana. PAP ir arī saistīta ar periokulāru ādas hiperpigmentāciju vai krāsas izmaiņām un hipertrihozi. Ir norādīts, kas visas izmaiņas ir pilnībā vai daļēji atgriezeniskas, pārtraucot prostaglandīnu lietošanu vai izvēloties alternatīvu ārstēšanu.</w:t>
      </w:r>
    </w:p>
    <w:p w14:paraId="1520D464" w14:textId="5598E457" w:rsidR="00792A04" w:rsidRPr="00AE6630" w:rsidRDefault="00792A04" w:rsidP="000A3BAB">
      <w:pPr>
        <w:widowControl w:val="0"/>
        <w:autoSpaceDE w:val="0"/>
        <w:autoSpaceDN w:val="0"/>
        <w:adjustRightInd w:val="0"/>
        <w:spacing w:line="240" w:lineRule="auto"/>
        <w:rPr>
          <w:szCs w:val="22"/>
          <w:u w:val="single"/>
          <w:lang w:val="lv-LV"/>
        </w:rPr>
      </w:pPr>
    </w:p>
    <w:p w14:paraId="418C8C29" w14:textId="77777777" w:rsidR="00792A04" w:rsidRPr="00E63831" w:rsidRDefault="00792A04" w:rsidP="00792A04">
      <w:pPr>
        <w:tabs>
          <w:tab w:val="clear" w:pos="567"/>
        </w:tabs>
        <w:autoSpaceDE w:val="0"/>
        <w:autoSpaceDN w:val="0"/>
        <w:adjustRightInd w:val="0"/>
        <w:spacing w:line="240" w:lineRule="auto"/>
        <w:rPr>
          <w:rFonts w:eastAsia="Calibri"/>
          <w:snapToGrid/>
          <w:szCs w:val="22"/>
          <w:lang w:val="lv-LV" w:eastAsia="pl-PL"/>
        </w:rPr>
      </w:pPr>
      <w:r w:rsidRPr="00E63831">
        <w:rPr>
          <w:rFonts w:eastAsia="Calibri"/>
          <w:snapToGrid/>
          <w:szCs w:val="22"/>
          <w:lang w:val="lv-LV" w:eastAsia="pl-PL"/>
        </w:rPr>
        <w:t>Varavīksnenes pigmentācija</w:t>
      </w:r>
    </w:p>
    <w:p w14:paraId="5D370066" w14:textId="751598B0" w:rsidR="00792A04" w:rsidRPr="00E63831" w:rsidRDefault="00792A04" w:rsidP="00792A04">
      <w:pPr>
        <w:tabs>
          <w:tab w:val="clear" w:pos="567"/>
        </w:tabs>
        <w:autoSpaceDE w:val="0"/>
        <w:autoSpaceDN w:val="0"/>
        <w:adjustRightInd w:val="0"/>
        <w:spacing w:line="240" w:lineRule="auto"/>
        <w:rPr>
          <w:rFonts w:eastAsia="Calibri"/>
          <w:snapToGrid/>
          <w:szCs w:val="22"/>
          <w:lang w:val="lv-LV" w:eastAsia="pl-PL"/>
        </w:rPr>
      </w:pPr>
      <w:r w:rsidRPr="00E63831">
        <w:rPr>
          <w:rFonts w:eastAsia="Calibri"/>
          <w:snapToGrid/>
          <w:szCs w:val="22"/>
          <w:lang w:val="lv-LV" w:eastAsia="pl-PL"/>
        </w:rPr>
        <w:t>Pastiprināta varavīksnenes pigmentācija, iespējams, būs pastāvīga. Pigmentācijas izmaiņas</w:t>
      </w:r>
      <w:r>
        <w:rPr>
          <w:rFonts w:eastAsia="Calibri"/>
          <w:snapToGrid/>
          <w:szCs w:val="22"/>
          <w:lang w:val="lv-LV" w:eastAsia="pl-PL"/>
        </w:rPr>
        <w:t xml:space="preserve"> </w:t>
      </w:r>
      <w:r w:rsidRPr="00E63831">
        <w:rPr>
          <w:rFonts w:eastAsia="Calibri"/>
          <w:snapToGrid/>
          <w:szCs w:val="22"/>
          <w:lang w:val="lv-LV" w:eastAsia="pl-PL"/>
        </w:rPr>
        <w:t>drīzāk izraisa palielināta melanīna koncentrācija melanocītos, nevis melanocītu skaita</w:t>
      </w:r>
      <w:r>
        <w:rPr>
          <w:rFonts w:eastAsia="Calibri"/>
          <w:snapToGrid/>
          <w:szCs w:val="22"/>
          <w:lang w:val="lv-LV" w:eastAsia="pl-PL"/>
        </w:rPr>
        <w:t xml:space="preserve"> </w:t>
      </w:r>
      <w:r w:rsidRPr="00E63831">
        <w:rPr>
          <w:rFonts w:eastAsia="Calibri"/>
          <w:snapToGrid/>
          <w:szCs w:val="22"/>
          <w:lang w:val="lv-LV" w:eastAsia="pl-PL"/>
        </w:rPr>
        <w:t>palielināšanās. Ilgstošas pastiprinātas varavīksnenes pigmentācijas sekas nav zināmas.</w:t>
      </w:r>
    </w:p>
    <w:p w14:paraId="657CBC2A" w14:textId="05798363" w:rsidR="00792A04" w:rsidRPr="00E63831" w:rsidRDefault="00792A04" w:rsidP="00E63831">
      <w:pPr>
        <w:tabs>
          <w:tab w:val="clear" w:pos="567"/>
        </w:tabs>
        <w:autoSpaceDE w:val="0"/>
        <w:autoSpaceDN w:val="0"/>
        <w:adjustRightInd w:val="0"/>
        <w:spacing w:line="240" w:lineRule="auto"/>
        <w:rPr>
          <w:rFonts w:eastAsia="Calibri"/>
          <w:snapToGrid/>
          <w:szCs w:val="22"/>
          <w:lang w:val="lv-LV" w:eastAsia="pl-PL"/>
        </w:rPr>
      </w:pPr>
      <w:r w:rsidRPr="00E63831">
        <w:rPr>
          <w:rFonts w:eastAsia="Calibri"/>
          <w:snapToGrid/>
          <w:szCs w:val="22"/>
          <w:lang w:val="lv-LV" w:eastAsia="pl-PL"/>
        </w:rPr>
        <w:t>Varavīksnenes krāsas izmaiņas, oftalmoloģiski lietojot bimatoprostu, var nebūt pamanāmas</w:t>
      </w:r>
      <w:r>
        <w:rPr>
          <w:rFonts w:eastAsia="Calibri"/>
          <w:snapToGrid/>
          <w:szCs w:val="22"/>
          <w:lang w:val="lv-LV" w:eastAsia="pl-PL"/>
        </w:rPr>
        <w:t xml:space="preserve"> </w:t>
      </w:r>
      <w:r w:rsidRPr="00E63831">
        <w:rPr>
          <w:rFonts w:eastAsia="Calibri"/>
          <w:snapToGrid/>
          <w:szCs w:val="22"/>
          <w:lang w:val="lv-LV" w:eastAsia="pl-PL"/>
        </w:rPr>
        <w:t>vairākus mēnešus vai pat gadus. Brūnā pigmentācija ap zīlīti parasti izplatās koncentriski uz</w:t>
      </w:r>
      <w:r>
        <w:rPr>
          <w:rFonts w:eastAsia="Calibri"/>
          <w:snapToGrid/>
          <w:szCs w:val="22"/>
          <w:lang w:val="lv-LV" w:eastAsia="pl-PL"/>
        </w:rPr>
        <w:t xml:space="preserve"> </w:t>
      </w:r>
      <w:r w:rsidRPr="00E63831">
        <w:rPr>
          <w:rFonts w:eastAsia="Calibri"/>
          <w:snapToGrid/>
          <w:szCs w:val="22"/>
          <w:lang w:val="lv-LV" w:eastAsia="pl-PL"/>
        </w:rPr>
        <w:t>varavīksnenes ārpusi, un varavīksnene vai tās daļas kļūst brūnākas. Ārstēšana neietekmē ne</w:t>
      </w:r>
      <w:r>
        <w:rPr>
          <w:rFonts w:eastAsia="Calibri"/>
          <w:snapToGrid/>
          <w:szCs w:val="22"/>
          <w:lang w:val="lv-LV" w:eastAsia="pl-PL"/>
        </w:rPr>
        <w:t xml:space="preserve"> </w:t>
      </w:r>
      <w:r w:rsidRPr="00E63831">
        <w:rPr>
          <w:rFonts w:eastAsia="Calibri"/>
          <w:snapToGrid/>
          <w:szCs w:val="22"/>
          <w:lang w:val="lv-LV" w:eastAsia="pl-PL"/>
        </w:rPr>
        <w:t>varavīksnenes nēvusus, ne vasarraibumus. Pēc 12 mēnešus ilgas ārstēšanas ar</w:t>
      </w:r>
      <w:r>
        <w:rPr>
          <w:rFonts w:eastAsia="Calibri"/>
          <w:snapToGrid/>
          <w:szCs w:val="22"/>
          <w:lang w:val="lv-LV" w:eastAsia="pl-PL"/>
        </w:rPr>
        <w:t xml:space="preserve"> </w:t>
      </w:r>
      <w:r w:rsidRPr="00E63831">
        <w:rPr>
          <w:rFonts w:eastAsia="Calibri"/>
          <w:snapToGrid/>
          <w:szCs w:val="22"/>
          <w:lang w:val="lv-LV" w:eastAsia="pl-PL"/>
        </w:rPr>
        <w:t>bimatoprosta 0,1 mg/ml acu pilienu šķīdumu varavīksnenes hiperpigmentācijas biežums</w:t>
      </w:r>
      <w:r>
        <w:rPr>
          <w:rFonts w:eastAsia="Calibri"/>
          <w:snapToGrid/>
          <w:szCs w:val="22"/>
          <w:lang w:val="lv-LV" w:eastAsia="pl-PL"/>
        </w:rPr>
        <w:t xml:space="preserve"> </w:t>
      </w:r>
      <w:r w:rsidRPr="00E63831">
        <w:rPr>
          <w:rFonts w:eastAsia="Calibri"/>
          <w:snapToGrid/>
          <w:szCs w:val="22"/>
          <w:lang w:val="lv-LV" w:eastAsia="pl-PL"/>
        </w:rPr>
        <w:t>bija 0,5 %. Pēc 12 mēnešus ilgas ārstēšanas ar bimatoprosta 0,3 mg/ml acu pilienu</w:t>
      </w:r>
      <w:r>
        <w:rPr>
          <w:rFonts w:eastAsia="Calibri"/>
          <w:snapToGrid/>
          <w:szCs w:val="22"/>
          <w:lang w:val="lv-LV" w:eastAsia="pl-PL"/>
        </w:rPr>
        <w:t xml:space="preserve"> </w:t>
      </w:r>
      <w:r w:rsidRPr="00E63831">
        <w:rPr>
          <w:rFonts w:eastAsia="Calibri"/>
          <w:snapToGrid/>
          <w:szCs w:val="22"/>
          <w:lang w:val="lv-LV" w:eastAsia="pl-PL"/>
        </w:rPr>
        <w:t>šķīdumu šīs parādības biežums bija 1,5 %, un tas</w:t>
      </w:r>
      <w:r>
        <w:rPr>
          <w:rFonts w:eastAsia="Calibri"/>
          <w:snapToGrid/>
          <w:szCs w:val="22"/>
          <w:lang w:val="lv-LV" w:eastAsia="pl-PL"/>
        </w:rPr>
        <w:t xml:space="preserve"> </w:t>
      </w:r>
      <w:r w:rsidRPr="00E63831">
        <w:rPr>
          <w:rFonts w:eastAsia="Calibri"/>
          <w:snapToGrid/>
          <w:szCs w:val="22"/>
          <w:lang w:val="lv-LV" w:eastAsia="pl-PL"/>
        </w:rPr>
        <w:t>nepalielinājās pēc 3 gadus ilgas ārstēšanas.</w:t>
      </w:r>
    </w:p>
    <w:p w14:paraId="0AEB0AD7" w14:textId="77777777" w:rsidR="00792A04" w:rsidRDefault="00792A04" w:rsidP="00792A04">
      <w:pPr>
        <w:widowControl w:val="0"/>
        <w:autoSpaceDE w:val="0"/>
        <w:autoSpaceDN w:val="0"/>
        <w:adjustRightInd w:val="0"/>
        <w:spacing w:line="240" w:lineRule="auto"/>
        <w:rPr>
          <w:szCs w:val="22"/>
          <w:u w:val="single"/>
          <w:lang w:val="lv-LV"/>
        </w:rPr>
      </w:pPr>
    </w:p>
    <w:p w14:paraId="45BE883A" w14:textId="2BBD382D" w:rsidR="000A3BAB" w:rsidRPr="00117A80" w:rsidRDefault="000A3BAB" w:rsidP="000A3BAB">
      <w:pPr>
        <w:widowControl w:val="0"/>
        <w:autoSpaceDE w:val="0"/>
        <w:autoSpaceDN w:val="0"/>
        <w:adjustRightInd w:val="0"/>
        <w:spacing w:line="240" w:lineRule="auto"/>
        <w:rPr>
          <w:szCs w:val="22"/>
          <w:lang w:val="lv-LV"/>
        </w:rPr>
      </w:pPr>
      <w:r w:rsidRPr="00117A80">
        <w:rPr>
          <w:szCs w:val="22"/>
          <w:u w:val="single"/>
          <w:lang w:val="lv-LV"/>
        </w:rPr>
        <w:t>Pēc fosfātus saturošu acu pilienu lietošanas aprakstītās nevēlamās blakusparādības</w:t>
      </w:r>
    </w:p>
    <w:p w14:paraId="0B7F4F4D" w14:textId="153164A4" w:rsidR="007544AD" w:rsidRPr="00E63831" w:rsidRDefault="00754781" w:rsidP="0095681C">
      <w:pPr>
        <w:widowControl w:val="0"/>
        <w:tabs>
          <w:tab w:val="clear" w:pos="567"/>
          <w:tab w:val="left" w:pos="0"/>
        </w:tabs>
        <w:spacing w:line="240" w:lineRule="auto"/>
        <w:rPr>
          <w:bCs/>
          <w:szCs w:val="22"/>
          <w:lang w:val="lv-LV"/>
        </w:rPr>
      </w:pPr>
      <w:r w:rsidRPr="006A339A">
        <w:rPr>
          <w:szCs w:val="22"/>
          <w:lang w:val="lv-LV"/>
        </w:rPr>
        <w:t>Ļoti retos gadījumos saistībā ar fosfātus saturošu acu pilienu lietošanu dažiem pacientiem ar būtiskiem radzenes bojājumiem ziņots par radzenes kalcifikāciju</w:t>
      </w:r>
      <w:r w:rsidRPr="00754781">
        <w:rPr>
          <w:szCs w:val="22"/>
          <w:lang w:val="lv-LV"/>
        </w:rPr>
        <w:t>.</w:t>
      </w:r>
    </w:p>
    <w:p w14:paraId="4F760828" w14:textId="77777777" w:rsidR="00D2558E" w:rsidRDefault="00D2558E" w:rsidP="00E63831">
      <w:pPr>
        <w:widowControl w:val="0"/>
        <w:autoSpaceDE w:val="0"/>
        <w:autoSpaceDN w:val="0"/>
        <w:adjustRightInd w:val="0"/>
        <w:spacing w:line="240" w:lineRule="auto"/>
        <w:rPr>
          <w:szCs w:val="22"/>
          <w:u w:val="single"/>
          <w:lang w:val="lv-LV"/>
        </w:rPr>
      </w:pPr>
    </w:p>
    <w:p w14:paraId="2E11EB5B" w14:textId="7CEDF251" w:rsidR="00767FDF" w:rsidRPr="00117A80" w:rsidRDefault="00767FDF" w:rsidP="00E63831">
      <w:pPr>
        <w:widowControl w:val="0"/>
        <w:autoSpaceDE w:val="0"/>
        <w:autoSpaceDN w:val="0"/>
        <w:adjustRightInd w:val="0"/>
        <w:spacing w:line="240" w:lineRule="auto"/>
        <w:rPr>
          <w:szCs w:val="22"/>
          <w:u w:val="single"/>
          <w:lang w:val="lv-LV"/>
        </w:rPr>
      </w:pPr>
      <w:r w:rsidRPr="00117A80">
        <w:rPr>
          <w:szCs w:val="22"/>
          <w:u w:val="single"/>
          <w:lang w:val="lv-LV"/>
        </w:rPr>
        <w:t>Ziņošana par iespējamām nevēlamām blakusparādībām</w:t>
      </w:r>
    </w:p>
    <w:p w14:paraId="1A881D9B" w14:textId="72EFDD0D" w:rsidR="00767FDF" w:rsidRPr="00117A80" w:rsidRDefault="00767FDF" w:rsidP="00E63831">
      <w:pPr>
        <w:widowControl w:val="0"/>
        <w:autoSpaceDE w:val="0"/>
        <w:autoSpaceDN w:val="0"/>
        <w:adjustRightInd w:val="0"/>
        <w:spacing w:line="240" w:lineRule="auto"/>
        <w:rPr>
          <w:rFonts w:eastAsia="Calibri"/>
          <w:szCs w:val="22"/>
          <w:lang w:val="lv-LV" w:eastAsia="zh-CN"/>
        </w:rPr>
      </w:pPr>
      <w:r w:rsidRPr="00117A80">
        <w:rPr>
          <w:szCs w:val="22"/>
          <w:lang w:val="lv-LV"/>
        </w:rPr>
        <w:t>Ir svarīgi ziņot par iespējamām nevēlamām blakusparādībām pēc zāļu reģistrācijas. Tādējādi zāļu ieguvum</w:t>
      </w:r>
      <w:r w:rsidR="00DF3F15">
        <w:rPr>
          <w:szCs w:val="22"/>
          <w:lang w:val="lv-LV"/>
        </w:rPr>
        <w:t>a</w:t>
      </w:r>
      <w:r w:rsidRPr="00117A80">
        <w:rPr>
          <w:szCs w:val="22"/>
          <w:lang w:val="lv-LV"/>
        </w:rPr>
        <w:t xml:space="preserve">/riska attiecība tiek nepārtraukti uzraudzīta. Veselības aprūpes speciālisti tiek lūgti ziņot par jebkādām iespējamām nevēlamām blakusparādībām </w:t>
      </w:r>
      <w:r w:rsidRPr="00117A80">
        <w:rPr>
          <w:rFonts w:eastAsia="Calibri"/>
          <w:szCs w:val="22"/>
          <w:lang w:val="lv-LV" w:eastAsia="zh-CN"/>
        </w:rPr>
        <w:t xml:space="preserve">Zāļu valsts aģentūrai, Jersikas ielā 15, Rīga, LV 1003. Tīmekļa vietne: </w:t>
      </w:r>
      <w:hyperlink r:id="rId10" w:history="1">
        <w:r w:rsidRPr="00C93B6A">
          <w:rPr>
            <w:rStyle w:val="Hyperlink"/>
            <w:rFonts w:eastAsia="Calibri"/>
            <w:color w:val="auto"/>
            <w:szCs w:val="22"/>
            <w:u w:val="none"/>
            <w:lang w:val="lv-LV" w:eastAsia="zh-CN"/>
          </w:rPr>
          <w:t>www.zva.gov.lv</w:t>
        </w:r>
      </w:hyperlink>
    </w:p>
    <w:p w14:paraId="72E4780E" w14:textId="77777777" w:rsidR="00767FDF" w:rsidRPr="00E63831" w:rsidRDefault="00767FDF" w:rsidP="000B4D3E">
      <w:pPr>
        <w:widowControl w:val="0"/>
        <w:spacing w:line="240" w:lineRule="auto"/>
        <w:ind w:left="567" w:hanging="567"/>
        <w:rPr>
          <w:bCs/>
          <w:szCs w:val="22"/>
          <w:lang w:val="lv-LV"/>
        </w:rPr>
      </w:pPr>
    </w:p>
    <w:p w14:paraId="41DEB7FF" w14:textId="77777777" w:rsidR="00767FDF" w:rsidRPr="00117A80" w:rsidRDefault="00767FDF" w:rsidP="000B4D3E">
      <w:pPr>
        <w:widowControl w:val="0"/>
        <w:spacing w:line="240" w:lineRule="auto"/>
        <w:ind w:left="567" w:hanging="567"/>
        <w:rPr>
          <w:szCs w:val="22"/>
          <w:lang w:val="lv-LV"/>
        </w:rPr>
      </w:pPr>
      <w:r w:rsidRPr="00117A80">
        <w:rPr>
          <w:b/>
          <w:szCs w:val="22"/>
          <w:lang w:val="lv-LV"/>
        </w:rPr>
        <w:t>4.9.</w:t>
      </w:r>
      <w:r w:rsidRPr="00117A80">
        <w:rPr>
          <w:b/>
          <w:szCs w:val="22"/>
          <w:lang w:val="lv-LV"/>
        </w:rPr>
        <w:tab/>
        <w:t>Pārdozēšana</w:t>
      </w:r>
    </w:p>
    <w:p w14:paraId="18457A18" w14:textId="77777777" w:rsidR="00767FDF" w:rsidRPr="00117A80" w:rsidRDefault="00767FDF" w:rsidP="000B4D3E">
      <w:pPr>
        <w:widowControl w:val="0"/>
        <w:spacing w:line="240" w:lineRule="auto"/>
        <w:rPr>
          <w:szCs w:val="22"/>
          <w:lang w:val="lv-LV"/>
        </w:rPr>
      </w:pPr>
    </w:p>
    <w:p w14:paraId="3C69B6FF"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Pārdozēšanas gadījumi nav ziņoti, turklāt ir maz ticams, ka pēc zāļu lietošanas acīs ir iespējama pārdozēšana.</w:t>
      </w:r>
    </w:p>
    <w:p w14:paraId="3E9E2B08"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54E595F1"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lastRenderedPageBreak/>
        <w:t xml:space="preserve">Pārdozēšanas gadījumā ārstēšanai jābūt simptomātiskai un uzturošai. Ja </w:t>
      </w:r>
      <w:r w:rsidR="007423A3" w:rsidRPr="00117A80">
        <w:rPr>
          <w:szCs w:val="22"/>
          <w:lang w:val="lv-LV"/>
        </w:rPr>
        <w:t xml:space="preserve">bimatoprosta </w:t>
      </w:r>
      <w:r w:rsidRPr="00117A80">
        <w:rPr>
          <w:szCs w:val="22"/>
          <w:lang w:val="lv-LV"/>
        </w:rPr>
        <w:t>šķīdums nejauši ir norīts, var noderēt šāda informācija - divas nedēļas ilgā pētījumā ar pelēm un žurkām iekšķīgi lietotas devas līdz 100 mg/kg/dienā neizraisīja nekādu toksisku iedarbību. Šī deva, kas izteikta kā mg/m</w:t>
      </w:r>
      <w:r w:rsidRPr="00117A80">
        <w:rPr>
          <w:szCs w:val="22"/>
          <w:vertAlign w:val="superscript"/>
          <w:lang w:val="lv-LV"/>
        </w:rPr>
        <w:t>2</w:t>
      </w:r>
      <w:r w:rsidRPr="00117A80">
        <w:rPr>
          <w:szCs w:val="22"/>
          <w:lang w:val="lv-LV"/>
        </w:rPr>
        <w:t xml:space="preserve">, ir vismaz 70 reizes lielāka par devu, ko saņemtu </w:t>
      </w:r>
      <w:smartTag w:uri="urn:schemas-microsoft-com:office:smarttags" w:element="metricconverter">
        <w:smartTagPr>
          <w:attr w:name="ProductID" w:val="10 kg"/>
        </w:smartTagPr>
        <w:r w:rsidRPr="00117A80">
          <w:rPr>
            <w:szCs w:val="22"/>
            <w:lang w:val="lv-LV"/>
          </w:rPr>
          <w:t>10 kg</w:t>
        </w:r>
      </w:smartTag>
      <w:r w:rsidRPr="00117A80">
        <w:rPr>
          <w:szCs w:val="22"/>
          <w:lang w:val="lv-LV"/>
        </w:rPr>
        <w:t xml:space="preserve"> smags bērns, ja nejauši izdzertu vienu </w:t>
      </w:r>
      <w:r w:rsidR="007423A3" w:rsidRPr="00117A80">
        <w:rPr>
          <w:szCs w:val="22"/>
          <w:lang w:val="lv-LV"/>
        </w:rPr>
        <w:t xml:space="preserve">bimatoprosta </w:t>
      </w:r>
      <w:r w:rsidRPr="00117A80">
        <w:rPr>
          <w:szCs w:val="22"/>
          <w:lang w:val="lv-LV"/>
        </w:rPr>
        <w:t>0,3 mg/ml acu pilienu šķīduma pudelīti.</w:t>
      </w:r>
    </w:p>
    <w:p w14:paraId="06B615B2"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126B0AA9"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2F84A354" w14:textId="77777777" w:rsidR="00767FDF" w:rsidRPr="00117A80" w:rsidRDefault="00767FDF" w:rsidP="000B4D3E">
      <w:pPr>
        <w:widowControl w:val="0"/>
        <w:spacing w:line="240" w:lineRule="auto"/>
        <w:ind w:left="567" w:hanging="567"/>
        <w:rPr>
          <w:szCs w:val="22"/>
          <w:lang w:val="lv-LV"/>
        </w:rPr>
      </w:pPr>
      <w:r w:rsidRPr="00117A80">
        <w:rPr>
          <w:b/>
          <w:szCs w:val="22"/>
          <w:lang w:val="lv-LV"/>
        </w:rPr>
        <w:t>5.</w:t>
      </w:r>
      <w:r w:rsidRPr="00117A80">
        <w:rPr>
          <w:b/>
          <w:szCs w:val="22"/>
          <w:lang w:val="lv-LV"/>
        </w:rPr>
        <w:tab/>
        <w:t>FARMAKOLOĢISKĀS ĪPAŠĪBAS</w:t>
      </w:r>
    </w:p>
    <w:p w14:paraId="0E7A8E42" w14:textId="77777777" w:rsidR="00767FDF" w:rsidRPr="00E63831" w:rsidRDefault="00767FDF" w:rsidP="000B4D3E">
      <w:pPr>
        <w:widowControl w:val="0"/>
        <w:spacing w:line="240" w:lineRule="auto"/>
        <w:rPr>
          <w:bCs/>
          <w:szCs w:val="22"/>
          <w:lang w:val="lv-LV"/>
        </w:rPr>
      </w:pPr>
    </w:p>
    <w:p w14:paraId="0EB02B0F" w14:textId="77777777" w:rsidR="00767FDF" w:rsidRPr="00117A80" w:rsidRDefault="00117A80" w:rsidP="000B4D3E">
      <w:pPr>
        <w:widowControl w:val="0"/>
        <w:spacing w:line="240" w:lineRule="auto"/>
        <w:ind w:left="567" w:hanging="567"/>
        <w:rPr>
          <w:szCs w:val="22"/>
          <w:lang w:val="lv-LV"/>
        </w:rPr>
      </w:pPr>
      <w:r>
        <w:rPr>
          <w:b/>
          <w:szCs w:val="22"/>
          <w:lang w:val="lv-LV"/>
        </w:rPr>
        <w:t>5.1.</w:t>
      </w:r>
      <w:r w:rsidR="00767FDF" w:rsidRPr="00117A80">
        <w:rPr>
          <w:b/>
          <w:szCs w:val="22"/>
          <w:lang w:val="lv-LV"/>
        </w:rPr>
        <w:tab/>
        <w:t>Farmakodinamiskās īpašības</w:t>
      </w:r>
    </w:p>
    <w:p w14:paraId="177090F4" w14:textId="77777777" w:rsidR="00767FDF" w:rsidRPr="00117A80" w:rsidRDefault="00767FDF" w:rsidP="000B4D3E">
      <w:pPr>
        <w:widowControl w:val="0"/>
        <w:spacing w:line="240" w:lineRule="auto"/>
        <w:rPr>
          <w:szCs w:val="22"/>
          <w:lang w:val="lv-LV"/>
        </w:rPr>
      </w:pPr>
    </w:p>
    <w:p w14:paraId="5475A473"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Farmakoterapeitiskā grupa: oftalmoloģiskie prostaglandīnu analogi, ATĶ kods: S01EE03</w:t>
      </w:r>
    </w:p>
    <w:p w14:paraId="4032B861" w14:textId="77777777" w:rsidR="00767FDF" w:rsidRPr="00117A80" w:rsidRDefault="00767FDF" w:rsidP="000B4D3E">
      <w:pPr>
        <w:widowControl w:val="0"/>
        <w:spacing w:line="240" w:lineRule="auto"/>
        <w:rPr>
          <w:szCs w:val="22"/>
          <w:lang w:val="lv-LV"/>
        </w:rPr>
      </w:pPr>
    </w:p>
    <w:p w14:paraId="74D82A97" w14:textId="77777777" w:rsidR="00767FDF" w:rsidRPr="00117A80" w:rsidRDefault="00767FDF" w:rsidP="000B4D3E">
      <w:pPr>
        <w:widowControl w:val="0"/>
        <w:tabs>
          <w:tab w:val="clear" w:pos="567"/>
        </w:tabs>
        <w:autoSpaceDE w:val="0"/>
        <w:autoSpaceDN w:val="0"/>
        <w:adjustRightInd w:val="0"/>
        <w:spacing w:line="240" w:lineRule="auto"/>
        <w:rPr>
          <w:szCs w:val="22"/>
          <w:u w:val="single"/>
          <w:lang w:val="lv-LV"/>
        </w:rPr>
      </w:pPr>
      <w:r w:rsidRPr="00117A80">
        <w:rPr>
          <w:szCs w:val="22"/>
          <w:u w:val="single"/>
          <w:lang w:val="lv-LV"/>
        </w:rPr>
        <w:t>Darbības mehānisms</w:t>
      </w:r>
    </w:p>
    <w:p w14:paraId="23E6DC64"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Darbības mehānisms, ar kura palīdzību bimatoprosts cilvēkam pazemina acs iekšējo spiedienu, ir saistīts ar pastiprinātu acs šķidruma izplūdi pa trabekulāro tīklu un intensīvāku uveosklerālo atteci. Intraokulārā spiediena pazemināšanās sākas aptuveni četras stundas pēc zāļu pirmās lietošanas, un maksimālais efekts tiek sasniegts aptuveni 8–12 stundu laikā. Zāļu iedarbība turpinās vismaz 24 stundu garumā.</w:t>
      </w:r>
    </w:p>
    <w:p w14:paraId="6AA1B3C7"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587AD61F"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Bimatoprosts ir spēcīgs acs iekšējo spiedienu pazeminošs līdzeklis. Tas ir sintētisks prostamīds, kura ķīmiskā struktūra ir līdzīga prostaglandīnam F</w:t>
      </w:r>
      <w:r w:rsidRPr="00117A80">
        <w:rPr>
          <w:szCs w:val="22"/>
          <w:vertAlign w:val="subscript"/>
          <w:lang w:val="lv-LV"/>
        </w:rPr>
        <w:t>2α</w:t>
      </w:r>
      <w:r w:rsidRPr="00117A80">
        <w:rPr>
          <w:szCs w:val="22"/>
          <w:lang w:val="lv-LV"/>
        </w:rPr>
        <w:t xml:space="preserve"> (PGF</w:t>
      </w:r>
      <w:r w:rsidRPr="00117A80">
        <w:rPr>
          <w:szCs w:val="22"/>
          <w:vertAlign w:val="subscript"/>
          <w:lang w:val="lv-LV"/>
        </w:rPr>
        <w:t>2α</w:t>
      </w:r>
      <w:r w:rsidRPr="00117A80">
        <w:rPr>
          <w:szCs w:val="22"/>
          <w:lang w:val="lv-LV"/>
        </w:rPr>
        <w:t>) un kura iedarbību nepastarpina neviens no zināmajiem prostaglandīnu receptoriem. Bimatoprosts pēc iedarbības ir selektīvi līdzīgs nesen atklātajām biosintētiskajām vielām, kas tiek sauktas par prostamīdiem. Tomēr prostamīdu receptoru struktūra vēl nav identificēta.</w:t>
      </w:r>
    </w:p>
    <w:p w14:paraId="7B7554A0"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5F3C7782"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Salīdzinājumā ar timololu 12 mēnešus ilgas monoterapijas veidā lietots bimatoprosta 0,3 mg/ml šķīdums pieaugušajiem par 7,9–8,8 mmHg pazemināja sākotnējo rīta (plkst. 08:00) acs iekšējo spiedienu. Jebkuras vizītes laikā diennakts vidējais acs iekšējais spiediens, kas tika mērīts 12 mēnešu pētījuma periodā, neizmainījās vairāk kā 1,3 mmHg un nekad nebija augstāks par 18,0 mmHg.</w:t>
      </w:r>
    </w:p>
    <w:p w14:paraId="2DC199F5"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773C1CC6"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Sešus mēnešus ilgā klīniskā pētījumā, kura laikā bimatoprosta 0,3 mg/ml šķīdums tika salīdzināts ar latanoprostu, visa pētījuma garumā visās vizītēs tika konstatēts statistiski ticams samazinājums no rīta mērītā vidējā acs iekšējā spiediena mērījumos (par 7,6–8,2 mmHg, lietojot bimatoprostu, salīdzinājumā ar 6,0–7,2 mm/Hg, lietojot latanoprostu). Lietojot bimatoprostu salīdzinājumā ar latanoprosta lietošanu, statistiski biežāk parādījās tādas blakusparādības kā konjunktīvas hiperēmija, skropstu augšana un acs nieze. Tomēr ar blakusparādībām saistītas ārstēšanas pārtraukšanas rādītāji bija zemi, un statistiski ticamu atšķirību nebija.</w:t>
      </w:r>
    </w:p>
    <w:p w14:paraId="5828D0CA"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30DEAEC6" w14:textId="0A0A52EB"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Salīdzinājumā ar </w:t>
      </w:r>
      <w:r w:rsidR="00A75162">
        <w:rPr>
          <w:szCs w:val="22"/>
          <w:lang w:val="lv-LV"/>
        </w:rPr>
        <w:t>bēta</w:t>
      </w:r>
      <w:r w:rsidRPr="00117A80">
        <w:rPr>
          <w:szCs w:val="22"/>
          <w:lang w:val="lv-LV"/>
        </w:rPr>
        <w:t xml:space="preserve"> blokatoru lietošanu monoterapijas veidā bimatoprosta lietošana papildus </w:t>
      </w:r>
      <w:r w:rsidR="00A75162">
        <w:rPr>
          <w:szCs w:val="22"/>
          <w:lang w:val="lv-LV"/>
        </w:rPr>
        <w:t>bēta</w:t>
      </w:r>
      <w:r w:rsidRPr="00117A80">
        <w:rPr>
          <w:szCs w:val="22"/>
          <w:lang w:val="lv-LV"/>
        </w:rPr>
        <w:t xml:space="preserve"> blokatoriem vidējo rīta (plkst. 08:00) acs iekšējo spiedienu pazemināja par 6,5–8,1 mmHg.</w:t>
      </w:r>
    </w:p>
    <w:p w14:paraId="69E3B027"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5EE9BA48"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Pieredze par lietošanu pacientiem ar atvērta kakta, pseidoeksfoliatīvu un pigmentētu glaukomu, kā arī pacientiem ar hronisku slēgta kakta glaukomu, kuriem veikta iridotomija, ir ierobežota.</w:t>
      </w:r>
    </w:p>
    <w:p w14:paraId="479C4E7F"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527C3F05"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Klīniskajos pētījumos nav novērota klīniski nozīmīga ietekme uz sirdsdarbības ātrumu un asinsspiedienu.</w:t>
      </w:r>
    </w:p>
    <w:p w14:paraId="038A7757"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7210F3E2" w14:textId="77777777" w:rsidR="00767FDF" w:rsidRPr="00117A80" w:rsidRDefault="00767FDF" w:rsidP="000B4D3E">
      <w:pPr>
        <w:widowControl w:val="0"/>
        <w:tabs>
          <w:tab w:val="clear" w:pos="567"/>
        </w:tabs>
        <w:autoSpaceDE w:val="0"/>
        <w:autoSpaceDN w:val="0"/>
        <w:adjustRightInd w:val="0"/>
        <w:spacing w:line="240" w:lineRule="auto"/>
        <w:rPr>
          <w:szCs w:val="22"/>
          <w:u w:val="single"/>
          <w:lang w:val="lv-LV"/>
        </w:rPr>
      </w:pPr>
      <w:r w:rsidRPr="00117A80">
        <w:rPr>
          <w:szCs w:val="22"/>
          <w:u w:val="single"/>
          <w:lang w:val="lv-LV"/>
        </w:rPr>
        <w:t>Pediatriskā populācija</w:t>
      </w:r>
    </w:p>
    <w:p w14:paraId="0F69168C" w14:textId="77777777" w:rsidR="00767FDF" w:rsidRPr="00117A80" w:rsidRDefault="00AF69D9" w:rsidP="000B4D3E">
      <w:pPr>
        <w:widowControl w:val="0"/>
        <w:tabs>
          <w:tab w:val="clear" w:pos="567"/>
        </w:tabs>
        <w:autoSpaceDE w:val="0"/>
        <w:autoSpaceDN w:val="0"/>
        <w:adjustRightInd w:val="0"/>
        <w:spacing w:line="240" w:lineRule="auto"/>
        <w:rPr>
          <w:szCs w:val="22"/>
          <w:lang w:val="lv-LV"/>
        </w:rPr>
      </w:pPr>
      <w:r w:rsidRPr="00117A80">
        <w:rPr>
          <w:szCs w:val="22"/>
          <w:lang w:val="lv-LV"/>
        </w:rPr>
        <w:t>Bim</w:t>
      </w:r>
      <w:r w:rsidR="00AD6AEB" w:rsidRPr="00117A80">
        <w:rPr>
          <w:szCs w:val="22"/>
          <w:lang w:val="lv-LV"/>
        </w:rPr>
        <w:t>atoprosta</w:t>
      </w:r>
      <w:r w:rsidRPr="00117A80">
        <w:rPr>
          <w:szCs w:val="22"/>
          <w:lang w:val="lv-LV"/>
        </w:rPr>
        <w:t xml:space="preserve"> </w:t>
      </w:r>
      <w:r w:rsidR="00767FDF" w:rsidRPr="00117A80">
        <w:rPr>
          <w:szCs w:val="22"/>
          <w:lang w:val="lv-LV"/>
        </w:rPr>
        <w:t>drošums un efektivitāte, lietojot bērniem vecumā no 0 līdz 18 gadiem, līdz šim nav pierādīta.</w:t>
      </w:r>
    </w:p>
    <w:p w14:paraId="4D92ACA2"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0EF5B066" w14:textId="77777777" w:rsidR="00767FDF" w:rsidRPr="00117A80" w:rsidRDefault="00767FDF" w:rsidP="000B4D3E">
      <w:pPr>
        <w:widowControl w:val="0"/>
        <w:spacing w:line="240" w:lineRule="auto"/>
        <w:ind w:left="567" w:hanging="567"/>
        <w:rPr>
          <w:b/>
          <w:szCs w:val="22"/>
          <w:lang w:val="lv-LV"/>
        </w:rPr>
      </w:pPr>
      <w:r w:rsidRPr="00117A80">
        <w:rPr>
          <w:b/>
          <w:szCs w:val="22"/>
          <w:lang w:val="lv-LV"/>
        </w:rPr>
        <w:t>5.2.</w:t>
      </w:r>
      <w:r w:rsidRPr="00117A80">
        <w:rPr>
          <w:b/>
          <w:szCs w:val="22"/>
          <w:lang w:val="lv-LV"/>
        </w:rPr>
        <w:tab/>
        <w:t>Farmakokinētiskās īpašības</w:t>
      </w:r>
    </w:p>
    <w:p w14:paraId="027D01F7" w14:textId="77777777" w:rsidR="00767FDF" w:rsidRPr="00117A80" w:rsidRDefault="00767FDF" w:rsidP="000B4D3E">
      <w:pPr>
        <w:widowControl w:val="0"/>
        <w:spacing w:line="240" w:lineRule="auto"/>
        <w:ind w:left="567" w:hanging="567"/>
        <w:rPr>
          <w:szCs w:val="22"/>
          <w:lang w:val="lv-LV"/>
        </w:rPr>
      </w:pPr>
    </w:p>
    <w:p w14:paraId="10C10A18" w14:textId="77777777" w:rsidR="00767FDF" w:rsidRPr="00117A80" w:rsidRDefault="00767FDF" w:rsidP="000B4D3E">
      <w:pPr>
        <w:widowControl w:val="0"/>
        <w:tabs>
          <w:tab w:val="clear" w:pos="567"/>
        </w:tabs>
        <w:autoSpaceDE w:val="0"/>
        <w:autoSpaceDN w:val="0"/>
        <w:adjustRightInd w:val="0"/>
        <w:spacing w:line="240" w:lineRule="auto"/>
        <w:rPr>
          <w:i/>
          <w:szCs w:val="22"/>
          <w:u w:val="single"/>
          <w:lang w:val="lv-LV"/>
        </w:rPr>
      </w:pPr>
      <w:r w:rsidRPr="00117A80">
        <w:rPr>
          <w:szCs w:val="22"/>
          <w:u w:val="single"/>
          <w:lang w:val="lv-LV"/>
        </w:rPr>
        <w:t>Uzsūkšanās</w:t>
      </w:r>
    </w:p>
    <w:p w14:paraId="58ACF863"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 xml:space="preserve">Bimatoprosts </w:t>
      </w:r>
      <w:r w:rsidRPr="00117A80">
        <w:rPr>
          <w:i/>
          <w:szCs w:val="22"/>
          <w:lang w:val="lv-LV"/>
        </w:rPr>
        <w:t>in vitro</w:t>
      </w:r>
      <w:r w:rsidRPr="00117A80">
        <w:rPr>
          <w:szCs w:val="22"/>
          <w:lang w:val="lv-LV"/>
        </w:rPr>
        <w:t xml:space="preserve"> labi uzsūcas cilvēka radzenē un sklēras audos. Pēc bimatoprosta lietošanas acīs pieaugušajiem bimatoprosta sistēmiskās iedarbība ir ļoti zema un uzkrāšanās organismā laika gaitā </w:t>
      </w:r>
      <w:r w:rsidRPr="00117A80">
        <w:rPr>
          <w:szCs w:val="22"/>
          <w:lang w:val="lv-LV"/>
        </w:rPr>
        <w:lastRenderedPageBreak/>
        <w:t>netiek novērota. Pēc divas nedēļas ilgas bimatoprosta 0,3 mg/ml šķīduma lietošanas pa vienam pilienam abās acīs vienu reizi dienā aktīvās vielas maksimālā koncentrācija asinīs tika novērota 10 minūšu laikā pēc devas lietošanas un 1,5 stundu laikā pazeminājās līdz līmenim, kas zemāks par nosakāmo robežkoncentrāciju (0,025 ng/ml). Vidējās C</w:t>
      </w:r>
      <w:r w:rsidRPr="00117A80">
        <w:rPr>
          <w:szCs w:val="22"/>
          <w:vertAlign w:val="subscript"/>
          <w:lang w:val="lv-LV"/>
        </w:rPr>
        <w:t>max</w:t>
      </w:r>
      <w:r w:rsidRPr="00117A80">
        <w:rPr>
          <w:szCs w:val="22"/>
          <w:lang w:val="lv-LV"/>
        </w:rPr>
        <w:t xml:space="preserve"> un AUC</w:t>
      </w:r>
      <w:r w:rsidRPr="00117A80">
        <w:rPr>
          <w:szCs w:val="22"/>
          <w:vertAlign w:val="subscript"/>
          <w:lang w:val="lv-LV"/>
        </w:rPr>
        <w:t>0-24h</w:t>
      </w:r>
      <w:r w:rsidRPr="00117A80">
        <w:rPr>
          <w:szCs w:val="22"/>
          <w:lang w:val="lv-LV"/>
        </w:rPr>
        <w:t xml:space="preserve"> vērtības 7. un 14. dienā bija līdzīgas (attiecīgi aptuveni 0,08 ng/ml un 0,09 ng•h/ml), un tas norāda, ka bimatoprosta līdzsvara koncentrācija tika sasniegta pirmajā nedēļā pēc tam, kad sākta zāļu lietošana acīs.</w:t>
      </w:r>
    </w:p>
    <w:p w14:paraId="7EC1CB3F"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6B9F358E" w14:textId="77777777" w:rsidR="00767FDF" w:rsidRPr="00117A80" w:rsidRDefault="00767FDF" w:rsidP="000B4D3E">
      <w:pPr>
        <w:widowControl w:val="0"/>
        <w:tabs>
          <w:tab w:val="clear" w:pos="567"/>
        </w:tabs>
        <w:autoSpaceDE w:val="0"/>
        <w:autoSpaceDN w:val="0"/>
        <w:adjustRightInd w:val="0"/>
        <w:spacing w:line="240" w:lineRule="auto"/>
        <w:rPr>
          <w:i/>
          <w:szCs w:val="22"/>
          <w:u w:val="single"/>
          <w:lang w:val="lv-LV"/>
        </w:rPr>
      </w:pPr>
      <w:r w:rsidRPr="00117A80">
        <w:rPr>
          <w:szCs w:val="22"/>
          <w:u w:val="single"/>
          <w:lang w:val="lv-LV"/>
        </w:rPr>
        <w:t>Izkliede</w:t>
      </w:r>
    </w:p>
    <w:p w14:paraId="55D68A96"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Bimatoprosts vidēji izkliedējas organisma audos, un cilvēka organismā sistēmiskais izkliedes tilpums līdzsvara koncentrācijā ir 0,67 l/kg. Cilvēka asinīs bimatoprosts galvenokārt ir plazmā. Ar plazmas proteīniem saistās 88 % bimatoprosta.</w:t>
      </w:r>
    </w:p>
    <w:p w14:paraId="228F7C07"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7595E2B8" w14:textId="77777777" w:rsidR="00767FDF" w:rsidRPr="00117A80" w:rsidRDefault="00767FDF" w:rsidP="000B4D3E">
      <w:pPr>
        <w:widowControl w:val="0"/>
        <w:numPr>
          <w:ilvl w:val="12"/>
          <w:numId w:val="0"/>
        </w:numPr>
        <w:spacing w:line="240" w:lineRule="auto"/>
        <w:ind w:right="-2"/>
        <w:rPr>
          <w:i/>
          <w:szCs w:val="22"/>
          <w:u w:val="single"/>
          <w:lang w:val="lv-LV"/>
        </w:rPr>
      </w:pPr>
      <w:r w:rsidRPr="00117A80">
        <w:rPr>
          <w:szCs w:val="22"/>
          <w:u w:val="single"/>
          <w:lang w:val="lv-LV"/>
        </w:rPr>
        <w:t>Biotransformācija</w:t>
      </w:r>
    </w:p>
    <w:p w14:paraId="1227A64E"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Bimatoprosts pēc intraokulāras lietošanas, sasniedzot sistēmisku cirkulāciju, asinsritē atrodas galvenokārt neizmainītā veidā. Pēc tam bimatoprosts tiek oksidēts, N-deetilēts un glikuronidēts, veidojot daudz dažādu metabolītu.</w:t>
      </w:r>
    </w:p>
    <w:p w14:paraId="1623C2C0"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74F2ED01" w14:textId="77777777" w:rsidR="00767FDF" w:rsidRPr="00117A80" w:rsidRDefault="00767FDF" w:rsidP="000B4D3E">
      <w:pPr>
        <w:widowControl w:val="0"/>
        <w:numPr>
          <w:ilvl w:val="12"/>
          <w:numId w:val="0"/>
        </w:numPr>
        <w:spacing w:line="240" w:lineRule="auto"/>
        <w:ind w:right="-2"/>
        <w:rPr>
          <w:i/>
          <w:szCs w:val="22"/>
          <w:lang w:val="lv-LV"/>
        </w:rPr>
      </w:pPr>
      <w:r w:rsidRPr="00117A80">
        <w:rPr>
          <w:szCs w:val="22"/>
          <w:u w:val="single"/>
          <w:lang w:val="lv-LV"/>
        </w:rPr>
        <w:t>Eliminācija</w:t>
      </w:r>
    </w:p>
    <w:p w14:paraId="267B347A"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Bimatoprosts galvenokārt eliminējas caur nierēm – pēc intravenozas ievadīšanas veseliem pieaugušiem brīvprātīgajiem līdz 67 % devas eliminējās caur nierēm, bet 25 % devas ekskrēcija notika kopā ar izkārnījumiem. Pēc intravenozas ievadīšanas noteiktais eliminācijas pusperiods bija aptuveni 45 minūtes, un kopējais asins klīrenss bija 1,5 l/h/kg.</w:t>
      </w:r>
    </w:p>
    <w:p w14:paraId="5F990290"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0C042AC7"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u w:val="single"/>
          <w:lang w:val="lv-LV"/>
        </w:rPr>
        <w:t>Īpatnības gados vecāku pacientu organismā</w:t>
      </w:r>
    </w:p>
    <w:p w14:paraId="16E9CD51"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Pēc bimatoprosta 0,3 mg/ml šķīduma lietošanas divas reizes dienā gados vecākiem (vismaz 65 gadus veciem) pacientiem novērotā AUC</w:t>
      </w:r>
      <w:r w:rsidRPr="00117A80">
        <w:rPr>
          <w:szCs w:val="22"/>
          <w:vertAlign w:val="subscript"/>
          <w:lang w:val="lv-LV"/>
        </w:rPr>
        <w:t>0-24h</w:t>
      </w:r>
      <w:r w:rsidRPr="00117A80">
        <w:rPr>
          <w:szCs w:val="22"/>
          <w:lang w:val="lv-LV"/>
        </w:rPr>
        <w:t> vērtība (0,0634 ng•h/ml) bija ievērojami lielāka nekā gados jauniem veseliem pieaugušajiem (0,0218 ng•h/ml). Tomēr tam nav klīniskas nozīmes, jo gan gados vecākām, gan gados jaunām pētāmām personām novērotā sistēmiskā iedarbība pēc zāļu lietošanas acīs bija ļoti maza. Bimatoprosts laika gaitā asinīs neuzkrājās, un tā drošuma profils gados vecākiem un gados jauniem pacientiem ir līdzīgas.</w:t>
      </w:r>
    </w:p>
    <w:p w14:paraId="227658AC"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31347376" w14:textId="77777777" w:rsidR="00767FDF" w:rsidRPr="00117A80" w:rsidRDefault="00767FDF" w:rsidP="000B4D3E">
      <w:pPr>
        <w:widowControl w:val="0"/>
        <w:spacing w:line="240" w:lineRule="auto"/>
        <w:ind w:left="567" w:hanging="567"/>
        <w:rPr>
          <w:szCs w:val="22"/>
          <w:lang w:val="lv-LV"/>
        </w:rPr>
      </w:pPr>
      <w:r w:rsidRPr="00117A80">
        <w:rPr>
          <w:b/>
          <w:szCs w:val="22"/>
          <w:lang w:val="lv-LV"/>
        </w:rPr>
        <w:t>5.3.</w:t>
      </w:r>
      <w:r w:rsidRPr="00117A80">
        <w:rPr>
          <w:b/>
          <w:szCs w:val="22"/>
          <w:lang w:val="lv-LV"/>
        </w:rPr>
        <w:tab/>
        <w:t>Preklīniskie dati par drošumu</w:t>
      </w:r>
    </w:p>
    <w:p w14:paraId="443E3974" w14:textId="77777777" w:rsidR="00767FDF" w:rsidRPr="00117A80" w:rsidRDefault="00767FDF" w:rsidP="000B4D3E">
      <w:pPr>
        <w:widowControl w:val="0"/>
        <w:spacing w:line="240" w:lineRule="auto"/>
        <w:rPr>
          <w:szCs w:val="22"/>
          <w:lang w:val="lv-LV"/>
        </w:rPr>
      </w:pPr>
    </w:p>
    <w:p w14:paraId="222EEAD6"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Neklīniskajos standartpētījumos iedarbību novēroja vienīgi tad, ja izmantotās devas un iedarbības ilgums pārsniedza cilvēkam maksimāli pieļaujamos. Tas liecina, ka klīniskajā praksē šī iedarbība nav būtiska.</w:t>
      </w:r>
    </w:p>
    <w:p w14:paraId="7CF3E975"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345025EA"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Pērtiķiem, kuriem viena gada garumā katru dienu acīs ievadīja ≥ 0,3 mg/ml bimatoprosta šķīdumu, pastiprinājās varavīksnenes pigmentācija un periokulāri tika novērotas pārejošas, no devas atkarīgas parādības, kas raksturīgas ar izteiktu augšējo un/vai apakšējo rievu un plakstiņu fisūras paplašināšanos. Varavīksnenes pigmentācijas pastiprināšanos izraisa melanīna sintēzes stimulācija melanocītos, nevis melanocītu skaita palielināšanās. Ar periokulāru iedarbību saistītas funkciju vai mikroskopiski konstatētas pārmaiņas nav novērotas, un darbības mehānisms, kas izraisa periokulāras pārmaiņas, nav zināms.</w:t>
      </w:r>
    </w:p>
    <w:p w14:paraId="01CB57F4"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70F9EC3A"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Bimatoprosts nebija mutagēns vai kancerogēns daudzos</w:t>
      </w:r>
      <w:r w:rsidRPr="00117A80">
        <w:rPr>
          <w:i/>
          <w:szCs w:val="22"/>
          <w:lang w:val="lv-LV"/>
        </w:rPr>
        <w:t xml:space="preserve"> in vitro </w:t>
      </w:r>
      <w:r w:rsidRPr="00117A80">
        <w:rPr>
          <w:szCs w:val="22"/>
          <w:lang w:val="lv-LV"/>
        </w:rPr>
        <w:t>un</w:t>
      </w:r>
      <w:r w:rsidRPr="00117A80">
        <w:rPr>
          <w:i/>
          <w:szCs w:val="22"/>
          <w:lang w:val="lv-LV"/>
        </w:rPr>
        <w:t xml:space="preserve"> in vivo</w:t>
      </w:r>
      <w:r w:rsidRPr="00117A80">
        <w:rPr>
          <w:szCs w:val="22"/>
          <w:lang w:val="lv-LV"/>
        </w:rPr>
        <w:t xml:space="preserve"> testu sērijās.</w:t>
      </w:r>
    </w:p>
    <w:p w14:paraId="3EE85CF1"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73425B4B"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Bimatoprosts nesamazina žurku fertilitāti devās līdz 0,6 mg/kg/dienā (vismaz 103 reizes lielāka iedarbība nekā cilvēkam paredzētā iedarbība).. Embrija un augļa attīstības pētījumos ar pelēm un žurkām, kas saņēma devas, kas bija attiecīgi 860 un 1700 reižu lielākas par cilvēkiem paredzētajām devām, tika novērota embrija vai augļa bojāeja, bet ne attīstības traucējumi. Šīs devas izraisīja sistēmiskās iedarbības intensitāti, kas bija vismaz 33 vai 97 reizes lielāka nekā cilvēka organismā paredzamā iedarbības intensitāte. Pētījumos par žurku perinatālo un postnatālo attīstību ≥ 0,3 mg/kg lielu dienas devu (šādas devas ir vismaz 41 reizi lielākas par cilvēkam paredzētajām devām) toksiskā iedarbība uz mātītes organismu izraisīja grūsnības paildzināšanos, augļa bojāeju un mazuļu ķermeņa masas samazināšanos. Pēcnācēju nervu sistēmas darbības un uzvedības pārmaiņas netika novērotas.</w:t>
      </w:r>
    </w:p>
    <w:p w14:paraId="53B552F7" w14:textId="77777777" w:rsidR="00767FDF" w:rsidRPr="00E63831" w:rsidRDefault="00767FDF" w:rsidP="000B4D3E">
      <w:pPr>
        <w:widowControl w:val="0"/>
        <w:spacing w:line="240" w:lineRule="auto"/>
        <w:rPr>
          <w:bCs/>
          <w:szCs w:val="22"/>
          <w:lang w:val="lv-LV"/>
        </w:rPr>
      </w:pPr>
    </w:p>
    <w:p w14:paraId="6E3CBE58" w14:textId="77777777" w:rsidR="00767FDF" w:rsidRPr="00E63831" w:rsidRDefault="00767FDF" w:rsidP="000B4D3E">
      <w:pPr>
        <w:widowControl w:val="0"/>
        <w:spacing w:line="240" w:lineRule="auto"/>
        <w:rPr>
          <w:bCs/>
          <w:szCs w:val="22"/>
          <w:lang w:val="lv-LV"/>
        </w:rPr>
      </w:pPr>
    </w:p>
    <w:p w14:paraId="2B5F3666" w14:textId="77777777" w:rsidR="00767FDF" w:rsidRPr="00117A80" w:rsidRDefault="00767FDF" w:rsidP="000B4D3E">
      <w:pPr>
        <w:widowControl w:val="0"/>
        <w:spacing w:line="240" w:lineRule="auto"/>
        <w:ind w:left="567" w:hanging="567"/>
        <w:rPr>
          <w:b/>
          <w:szCs w:val="22"/>
          <w:lang w:val="lv-LV"/>
        </w:rPr>
      </w:pPr>
      <w:r w:rsidRPr="00117A80">
        <w:rPr>
          <w:b/>
          <w:szCs w:val="22"/>
          <w:lang w:val="lv-LV"/>
        </w:rPr>
        <w:t>6.</w:t>
      </w:r>
      <w:r w:rsidRPr="00117A80">
        <w:rPr>
          <w:b/>
          <w:szCs w:val="22"/>
          <w:lang w:val="lv-LV"/>
        </w:rPr>
        <w:tab/>
        <w:t>FARMACEITISKĀ INFORMĀCIJA</w:t>
      </w:r>
    </w:p>
    <w:p w14:paraId="7EB6A76A" w14:textId="77777777" w:rsidR="00767FDF" w:rsidRPr="00E63831" w:rsidRDefault="00767FDF" w:rsidP="000B4D3E">
      <w:pPr>
        <w:widowControl w:val="0"/>
        <w:spacing w:line="240" w:lineRule="auto"/>
        <w:rPr>
          <w:bCs/>
          <w:szCs w:val="22"/>
          <w:lang w:val="lv-LV"/>
        </w:rPr>
      </w:pPr>
    </w:p>
    <w:p w14:paraId="40418ED6" w14:textId="77777777" w:rsidR="00767FDF" w:rsidRPr="00117A80" w:rsidRDefault="00767FDF" w:rsidP="000B4D3E">
      <w:pPr>
        <w:widowControl w:val="0"/>
        <w:spacing w:line="240" w:lineRule="auto"/>
        <w:ind w:left="567" w:hanging="567"/>
        <w:rPr>
          <w:b/>
          <w:szCs w:val="22"/>
          <w:lang w:val="lv-LV"/>
        </w:rPr>
      </w:pPr>
      <w:r w:rsidRPr="00117A80">
        <w:rPr>
          <w:b/>
          <w:szCs w:val="22"/>
          <w:lang w:val="lv-LV"/>
        </w:rPr>
        <w:t>6.1.</w:t>
      </w:r>
      <w:r w:rsidRPr="00117A80">
        <w:rPr>
          <w:b/>
          <w:szCs w:val="22"/>
          <w:lang w:val="lv-LV"/>
        </w:rPr>
        <w:tab/>
        <w:t>Palīgvielu saraksts</w:t>
      </w:r>
    </w:p>
    <w:p w14:paraId="2E116F00" w14:textId="77777777" w:rsidR="00767FDF" w:rsidRPr="00117A80" w:rsidRDefault="00767FDF" w:rsidP="000B4D3E">
      <w:pPr>
        <w:widowControl w:val="0"/>
        <w:tabs>
          <w:tab w:val="clear" w:pos="567"/>
        </w:tabs>
        <w:spacing w:line="240" w:lineRule="auto"/>
        <w:ind w:right="-2"/>
        <w:rPr>
          <w:szCs w:val="22"/>
          <w:lang w:val="lv-LV"/>
        </w:rPr>
      </w:pPr>
    </w:p>
    <w:p w14:paraId="6DDC22DF" w14:textId="77777777" w:rsidR="00767FDF" w:rsidRPr="00117A80" w:rsidRDefault="00767FDF" w:rsidP="000B4D3E">
      <w:pPr>
        <w:widowControl w:val="0"/>
        <w:tabs>
          <w:tab w:val="clear" w:pos="567"/>
        </w:tabs>
        <w:spacing w:line="240" w:lineRule="auto"/>
        <w:ind w:right="-2"/>
        <w:rPr>
          <w:szCs w:val="22"/>
          <w:lang w:val="lv-LV"/>
        </w:rPr>
      </w:pPr>
      <w:r w:rsidRPr="00117A80">
        <w:rPr>
          <w:szCs w:val="22"/>
          <w:lang w:val="lv-LV"/>
        </w:rPr>
        <w:t>Nātrija hidrogēnfosfāta 12-hidrāts</w:t>
      </w:r>
    </w:p>
    <w:p w14:paraId="3132B6FB" w14:textId="77777777" w:rsidR="00767FDF" w:rsidRPr="00117A80" w:rsidRDefault="00767FDF" w:rsidP="000B4D3E">
      <w:pPr>
        <w:widowControl w:val="0"/>
        <w:tabs>
          <w:tab w:val="clear" w:pos="567"/>
        </w:tabs>
        <w:spacing w:line="240" w:lineRule="auto"/>
        <w:ind w:right="-2"/>
        <w:rPr>
          <w:szCs w:val="22"/>
          <w:lang w:val="lv-LV"/>
        </w:rPr>
      </w:pPr>
      <w:r w:rsidRPr="00117A80">
        <w:rPr>
          <w:szCs w:val="22"/>
          <w:lang w:val="lv-LV"/>
        </w:rPr>
        <w:t>Citronskābes monohidrāts</w:t>
      </w:r>
    </w:p>
    <w:p w14:paraId="01A2794E" w14:textId="77777777" w:rsidR="00767FDF" w:rsidRPr="00117A80" w:rsidRDefault="00767FDF" w:rsidP="000B4D3E">
      <w:pPr>
        <w:widowControl w:val="0"/>
        <w:tabs>
          <w:tab w:val="clear" w:pos="567"/>
        </w:tabs>
        <w:spacing w:line="240" w:lineRule="auto"/>
        <w:ind w:right="-2"/>
        <w:rPr>
          <w:szCs w:val="22"/>
          <w:lang w:val="lv-LV"/>
        </w:rPr>
      </w:pPr>
      <w:r w:rsidRPr="00117A80">
        <w:rPr>
          <w:szCs w:val="22"/>
          <w:lang w:val="lv-LV"/>
        </w:rPr>
        <w:t>Nātrija hlorīds</w:t>
      </w:r>
    </w:p>
    <w:p w14:paraId="511448B4" w14:textId="77777777" w:rsidR="00767FDF" w:rsidRPr="00117A80" w:rsidRDefault="00767FDF" w:rsidP="000B4D3E">
      <w:pPr>
        <w:widowControl w:val="0"/>
        <w:tabs>
          <w:tab w:val="clear" w:pos="567"/>
        </w:tabs>
        <w:spacing w:line="240" w:lineRule="auto"/>
        <w:ind w:right="-2"/>
        <w:rPr>
          <w:szCs w:val="22"/>
          <w:lang w:val="lv-LV"/>
        </w:rPr>
      </w:pPr>
      <w:r w:rsidRPr="00117A80">
        <w:rPr>
          <w:szCs w:val="22"/>
          <w:lang w:val="lv-LV"/>
        </w:rPr>
        <w:t xml:space="preserve">Benzalkonija hlorīds </w:t>
      </w:r>
    </w:p>
    <w:p w14:paraId="1235F10B" w14:textId="77777777" w:rsidR="00767FDF" w:rsidRPr="00117A80" w:rsidRDefault="00767FDF" w:rsidP="000B4D3E">
      <w:pPr>
        <w:widowControl w:val="0"/>
        <w:tabs>
          <w:tab w:val="clear" w:pos="567"/>
        </w:tabs>
        <w:spacing w:line="240" w:lineRule="auto"/>
        <w:ind w:right="-2"/>
        <w:rPr>
          <w:szCs w:val="22"/>
          <w:lang w:val="lv-LV"/>
        </w:rPr>
      </w:pPr>
      <w:r w:rsidRPr="00117A80">
        <w:rPr>
          <w:szCs w:val="22"/>
          <w:lang w:val="lv-LV"/>
        </w:rPr>
        <w:t>Sālsskābe un/vai nātrija hidroksīds (pH korekcijai)</w:t>
      </w:r>
    </w:p>
    <w:p w14:paraId="3A6CF529" w14:textId="77777777" w:rsidR="00767FDF" w:rsidRPr="00117A80" w:rsidRDefault="00767FDF" w:rsidP="000B4D3E">
      <w:pPr>
        <w:widowControl w:val="0"/>
        <w:tabs>
          <w:tab w:val="clear" w:pos="567"/>
        </w:tabs>
        <w:spacing w:line="240" w:lineRule="auto"/>
        <w:ind w:right="-2"/>
        <w:rPr>
          <w:szCs w:val="22"/>
          <w:lang w:val="lv-LV"/>
        </w:rPr>
      </w:pPr>
      <w:r w:rsidRPr="00117A80">
        <w:rPr>
          <w:szCs w:val="22"/>
          <w:lang w:val="lv-LV"/>
        </w:rPr>
        <w:t xml:space="preserve">Attīrīts ūdens </w:t>
      </w:r>
    </w:p>
    <w:p w14:paraId="0105E849" w14:textId="77777777" w:rsidR="00767FDF" w:rsidRPr="00117A80" w:rsidRDefault="00767FDF" w:rsidP="000B4D3E">
      <w:pPr>
        <w:widowControl w:val="0"/>
        <w:spacing w:line="240" w:lineRule="auto"/>
        <w:rPr>
          <w:szCs w:val="22"/>
          <w:lang w:val="lv-LV"/>
        </w:rPr>
      </w:pPr>
    </w:p>
    <w:p w14:paraId="5AACE972" w14:textId="77777777" w:rsidR="00767FDF" w:rsidRPr="00117A80" w:rsidRDefault="00767FDF" w:rsidP="000B4D3E">
      <w:pPr>
        <w:widowControl w:val="0"/>
        <w:spacing w:line="240" w:lineRule="auto"/>
        <w:ind w:left="567" w:hanging="567"/>
        <w:rPr>
          <w:szCs w:val="22"/>
          <w:lang w:val="lv-LV"/>
        </w:rPr>
      </w:pPr>
      <w:r w:rsidRPr="00117A80">
        <w:rPr>
          <w:b/>
          <w:szCs w:val="22"/>
          <w:lang w:val="lv-LV"/>
        </w:rPr>
        <w:t>6.2.</w:t>
      </w:r>
      <w:r w:rsidRPr="00117A80">
        <w:rPr>
          <w:b/>
          <w:szCs w:val="22"/>
          <w:lang w:val="lv-LV"/>
        </w:rPr>
        <w:tab/>
        <w:t>Nesaderība</w:t>
      </w:r>
    </w:p>
    <w:p w14:paraId="3684ABB5" w14:textId="77777777" w:rsidR="00767FDF" w:rsidRPr="00117A80" w:rsidRDefault="00767FDF" w:rsidP="000B4D3E">
      <w:pPr>
        <w:widowControl w:val="0"/>
        <w:spacing w:line="240" w:lineRule="auto"/>
        <w:rPr>
          <w:szCs w:val="22"/>
          <w:lang w:val="lv-LV"/>
        </w:rPr>
      </w:pPr>
    </w:p>
    <w:p w14:paraId="1ABC1646"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r w:rsidRPr="00117A80">
        <w:rPr>
          <w:szCs w:val="22"/>
          <w:lang w:val="lv-LV"/>
        </w:rPr>
        <w:t>Nav piemērojama.</w:t>
      </w:r>
    </w:p>
    <w:p w14:paraId="3CAF34E6" w14:textId="77777777" w:rsidR="00767FDF" w:rsidRPr="00117A80" w:rsidRDefault="00767FDF" w:rsidP="000B4D3E">
      <w:pPr>
        <w:widowControl w:val="0"/>
        <w:tabs>
          <w:tab w:val="clear" w:pos="567"/>
        </w:tabs>
        <w:autoSpaceDE w:val="0"/>
        <w:autoSpaceDN w:val="0"/>
        <w:adjustRightInd w:val="0"/>
        <w:spacing w:line="240" w:lineRule="auto"/>
        <w:rPr>
          <w:szCs w:val="22"/>
          <w:lang w:val="lv-LV"/>
        </w:rPr>
      </w:pPr>
    </w:p>
    <w:p w14:paraId="288D419C" w14:textId="77777777" w:rsidR="00767FDF" w:rsidRPr="00117A80" w:rsidRDefault="00767FDF" w:rsidP="000B4D3E">
      <w:pPr>
        <w:widowControl w:val="0"/>
        <w:spacing w:line="240" w:lineRule="auto"/>
        <w:ind w:left="567" w:hanging="567"/>
        <w:rPr>
          <w:szCs w:val="22"/>
          <w:lang w:val="lv-LV"/>
        </w:rPr>
      </w:pPr>
      <w:r w:rsidRPr="00117A80">
        <w:rPr>
          <w:b/>
          <w:szCs w:val="22"/>
          <w:lang w:val="lv-LV"/>
        </w:rPr>
        <w:t>6.3.</w:t>
      </w:r>
      <w:r w:rsidRPr="00117A80">
        <w:rPr>
          <w:b/>
          <w:szCs w:val="22"/>
          <w:lang w:val="lv-LV"/>
        </w:rPr>
        <w:tab/>
        <w:t>Uzglabāšanas laiks</w:t>
      </w:r>
    </w:p>
    <w:p w14:paraId="4E1AC048" w14:textId="77777777" w:rsidR="00767FDF" w:rsidRPr="00117A80" w:rsidRDefault="00767FDF" w:rsidP="000B4D3E">
      <w:pPr>
        <w:widowControl w:val="0"/>
        <w:spacing w:line="240" w:lineRule="auto"/>
        <w:rPr>
          <w:szCs w:val="22"/>
          <w:highlight w:val="magenta"/>
          <w:lang w:val="lv-LV"/>
        </w:rPr>
      </w:pPr>
    </w:p>
    <w:p w14:paraId="734F765A" w14:textId="77777777" w:rsidR="00767FDF" w:rsidRPr="00117A80" w:rsidRDefault="00AD6AEB" w:rsidP="000B4D3E">
      <w:pPr>
        <w:widowControl w:val="0"/>
        <w:spacing w:line="240" w:lineRule="auto"/>
        <w:rPr>
          <w:szCs w:val="22"/>
          <w:lang w:val="lv-LV"/>
        </w:rPr>
      </w:pPr>
      <w:r w:rsidRPr="00117A80">
        <w:rPr>
          <w:szCs w:val="22"/>
          <w:lang w:val="lv-LV"/>
        </w:rPr>
        <w:t>2 gadi</w:t>
      </w:r>
      <w:r w:rsidR="00767FDF" w:rsidRPr="00117A80">
        <w:rPr>
          <w:szCs w:val="22"/>
          <w:lang w:val="lv-LV"/>
        </w:rPr>
        <w:t>.</w:t>
      </w:r>
    </w:p>
    <w:p w14:paraId="4A7C3FA0" w14:textId="77777777" w:rsidR="00767FDF" w:rsidRPr="00117A80" w:rsidRDefault="00767FDF" w:rsidP="000B4D3E">
      <w:pPr>
        <w:widowControl w:val="0"/>
        <w:spacing w:line="240" w:lineRule="auto"/>
        <w:rPr>
          <w:szCs w:val="22"/>
          <w:lang w:val="lv-LV"/>
        </w:rPr>
      </w:pPr>
    </w:p>
    <w:p w14:paraId="1BA1AA61" w14:textId="77777777" w:rsidR="00767FDF" w:rsidRPr="00117A80" w:rsidRDefault="00767FDF" w:rsidP="000B4D3E">
      <w:pPr>
        <w:widowControl w:val="0"/>
        <w:spacing w:line="240" w:lineRule="auto"/>
        <w:rPr>
          <w:szCs w:val="22"/>
          <w:lang w:val="lv-LV"/>
        </w:rPr>
      </w:pPr>
      <w:r w:rsidRPr="00117A80">
        <w:rPr>
          <w:szCs w:val="22"/>
          <w:lang w:val="lv-LV"/>
        </w:rPr>
        <w:t>Četras nedēļas pēc iepakojuma pirmās atvēršanas.</w:t>
      </w:r>
    </w:p>
    <w:p w14:paraId="24120922" w14:textId="77777777" w:rsidR="00767FDF" w:rsidRPr="00117A80" w:rsidRDefault="00767FDF" w:rsidP="000B4D3E">
      <w:pPr>
        <w:widowControl w:val="0"/>
        <w:spacing w:line="240" w:lineRule="auto"/>
        <w:rPr>
          <w:b/>
          <w:szCs w:val="22"/>
          <w:lang w:val="lv-LV"/>
        </w:rPr>
      </w:pPr>
    </w:p>
    <w:p w14:paraId="62F5122D" w14:textId="77777777" w:rsidR="00767FDF" w:rsidRPr="00117A80" w:rsidRDefault="00767FDF" w:rsidP="000B4D3E">
      <w:pPr>
        <w:widowControl w:val="0"/>
        <w:spacing w:line="240" w:lineRule="auto"/>
        <w:ind w:left="567" w:hanging="567"/>
        <w:rPr>
          <w:b/>
          <w:szCs w:val="22"/>
          <w:lang w:val="lv-LV"/>
        </w:rPr>
      </w:pPr>
      <w:r w:rsidRPr="00117A80">
        <w:rPr>
          <w:b/>
          <w:szCs w:val="22"/>
          <w:lang w:val="lv-LV"/>
        </w:rPr>
        <w:t>6.4.</w:t>
      </w:r>
      <w:r w:rsidRPr="00117A80">
        <w:rPr>
          <w:b/>
          <w:szCs w:val="22"/>
          <w:lang w:val="lv-LV"/>
        </w:rPr>
        <w:tab/>
        <w:t>Īpaši uzglabāšanas nosacījumi</w:t>
      </w:r>
    </w:p>
    <w:p w14:paraId="6EC7245B" w14:textId="77777777" w:rsidR="00767FDF" w:rsidRPr="00117A80" w:rsidRDefault="00767FDF" w:rsidP="000B4D3E">
      <w:pPr>
        <w:widowControl w:val="0"/>
        <w:spacing w:line="240" w:lineRule="auto"/>
        <w:rPr>
          <w:i/>
          <w:szCs w:val="22"/>
          <w:lang w:val="lv-LV"/>
        </w:rPr>
      </w:pPr>
    </w:p>
    <w:p w14:paraId="68CAB95B" w14:textId="77777777" w:rsidR="00767FDF" w:rsidRPr="00117A80" w:rsidRDefault="00767FDF" w:rsidP="000B4D3E">
      <w:pPr>
        <w:widowControl w:val="0"/>
        <w:numPr>
          <w:ilvl w:val="12"/>
          <w:numId w:val="0"/>
        </w:numPr>
        <w:spacing w:line="240" w:lineRule="auto"/>
        <w:ind w:right="-2"/>
        <w:rPr>
          <w:szCs w:val="22"/>
          <w:lang w:val="lv-LV"/>
        </w:rPr>
      </w:pPr>
      <w:r w:rsidRPr="00117A80">
        <w:rPr>
          <w:szCs w:val="22"/>
          <w:lang w:val="lv-LV"/>
        </w:rPr>
        <w:t>Šīm zālēm nav nepieciešami īpaši uzglabāšanas apstākļi.</w:t>
      </w:r>
    </w:p>
    <w:p w14:paraId="4435D377" w14:textId="77777777" w:rsidR="00767FDF" w:rsidRPr="00117A80" w:rsidRDefault="00767FDF" w:rsidP="000B4D3E">
      <w:pPr>
        <w:widowControl w:val="0"/>
        <w:spacing w:line="240" w:lineRule="auto"/>
        <w:rPr>
          <w:szCs w:val="22"/>
          <w:lang w:val="lv-LV"/>
        </w:rPr>
      </w:pPr>
    </w:p>
    <w:p w14:paraId="5FFE5C49" w14:textId="77777777" w:rsidR="00767FDF" w:rsidRPr="00117A80" w:rsidRDefault="00767FDF" w:rsidP="000B4D3E">
      <w:pPr>
        <w:widowControl w:val="0"/>
        <w:spacing w:line="240" w:lineRule="auto"/>
        <w:rPr>
          <w:b/>
          <w:szCs w:val="22"/>
          <w:lang w:val="lv-LV"/>
        </w:rPr>
      </w:pPr>
      <w:r w:rsidRPr="00117A80">
        <w:rPr>
          <w:b/>
          <w:szCs w:val="22"/>
          <w:lang w:val="lv-LV"/>
        </w:rPr>
        <w:t>6.5.</w:t>
      </w:r>
      <w:r w:rsidRPr="00117A80">
        <w:rPr>
          <w:b/>
          <w:szCs w:val="22"/>
          <w:lang w:val="lv-LV"/>
        </w:rPr>
        <w:tab/>
        <w:t>Iepakojuma veids un saturs</w:t>
      </w:r>
    </w:p>
    <w:p w14:paraId="3C27577A" w14:textId="77777777" w:rsidR="00767FDF" w:rsidRPr="00117A80" w:rsidRDefault="00767FDF" w:rsidP="000B4D3E">
      <w:pPr>
        <w:widowControl w:val="0"/>
        <w:spacing w:line="240" w:lineRule="auto"/>
        <w:rPr>
          <w:szCs w:val="22"/>
          <w:lang w:val="lv-LV"/>
        </w:rPr>
      </w:pPr>
    </w:p>
    <w:p w14:paraId="4C53BFEE" w14:textId="77777777" w:rsidR="00767FDF" w:rsidRPr="00117A80" w:rsidRDefault="00767FDF" w:rsidP="000B4D3E">
      <w:pPr>
        <w:widowControl w:val="0"/>
        <w:spacing w:line="240" w:lineRule="auto"/>
        <w:rPr>
          <w:szCs w:val="22"/>
          <w:lang w:val="lv-LV"/>
        </w:rPr>
      </w:pPr>
      <w:r w:rsidRPr="00117A80">
        <w:rPr>
          <w:szCs w:val="22"/>
          <w:lang w:val="lv-LV"/>
        </w:rPr>
        <w:t>Balta, necaurspīdīga, zema blīvuma polietilēna pudelīte ar baltu, necaurspīdīgu, zema blīvuma polietilēna pilinātāju un baltu, necaurspīdīgu, augsta blīvuma polietilēna skrūvējamu vāciņu, kura bojājums liecina par atvēršanu. Vienā pudelītē ir 3 ml šķīduma.</w:t>
      </w:r>
    </w:p>
    <w:p w14:paraId="43F6FAC8" w14:textId="77777777" w:rsidR="00767FDF" w:rsidRPr="00117A80" w:rsidRDefault="00767FDF" w:rsidP="000B4D3E">
      <w:pPr>
        <w:widowControl w:val="0"/>
        <w:spacing w:line="240" w:lineRule="auto"/>
        <w:rPr>
          <w:szCs w:val="22"/>
          <w:highlight w:val="yellow"/>
          <w:lang w:val="lv-LV"/>
        </w:rPr>
      </w:pPr>
    </w:p>
    <w:p w14:paraId="74FFA504" w14:textId="77777777" w:rsidR="00767FDF" w:rsidRPr="00117A80" w:rsidRDefault="00767FDF" w:rsidP="000B4D3E">
      <w:pPr>
        <w:widowControl w:val="0"/>
        <w:spacing w:line="240" w:lineRule="auto"/>
        <w:rPr>
          <w:szCs w:val="22"/>
          <w:lang w:val="lv-LV"/>
        </w:rPr>
      </w:pPr>
      <w:r w:rsidRPr="00117A80">
        <w:rPr>
          <w:szCs w:val="22"/>
          <w:lang w:val="lv-LV"/>
        </w:rPr>
        <w:t>Kartona kastītē viena, trīs vai sešas pudelītes.</w:t>
      </w:r>
    </w:p>
    <w:p w14:paraId="0E6A8CE8" w14:textId="77777777" w:rsidR="00767FDF" w:rsidRPr="00117A80" w:rsidRDefault="00767FDF" w:rsidP="000B4D3E">
      <w:pPr>
        <w:widowControl w:val="0"/>
        <w:spacing w:line="240" w:lineRule="auto"/>
        <w:rPr>
          <w:szCs w:val="22"/>
          <w:lang w:val="lv-LV"/>
        </w:rPr>
      </w:pPr>
    </w:p>
    <w:p w14:paraId="28AC5CE6" w14:textId="77777777" w:rsidR="00767FDF" w:rsidRPr="00117A80" w:rsidRDefault="00767FDF" w:rsidP="000B4D3E">
      <w:pPr>
        <w:widowControl w:val="0"/>
        <w:spacing w:line="240" w:lineRule="auto"/>
        <w:ind w:left="567" w:hanging="567"/>
        <w:outlineLvl w:val="0"/>
        <w:rPr>
          <w:szCs w:val="22"/>
          <w:lang w:val="lv-LV"/>
        </w:rPr>
      </w:pPr>
      <w:r w:rsidRPr="00117A80">
        <w:rPr>
          <w:b/>
          <w:szCs w:val="22"/>
          <w:lang w:val="lv-LV"/>
        </w:rPr>
        <w:t>6.6.</w:t>
      </w:r>
      <w:r w:rsidRPr="00117A80">
        <w:rPr>
          <w:b/>
          <w:szCs w:val="22"/>
          <w:lang w:val="lv-LV"/>
        </w:rPr>
        <w:tab/>
        <w:t xml:space="preserve">Īpaši norādījumi atkritumu likvidēšanai </w:t>
      </w:r>
    </w:p>
    <w:p w14:paraId="7774BB5E" w14:textId="77777777" w:rsidR="00767FDF" w:rsidRPr="00117A80" w:rsidRDefault="00767FDF" w:rsidP="000B4D3E">
      <w:pPr>
        <w:widowControl w:val="0"/>
        <w:spacing w:line="240" w:lineRule="auto"/>
        <w:rPr>
          <w:szCs w:val="22"/>
          <w:lang w:val="lv-LV"/>
        </w:rPr>
      </w:pPr>
    </w:p>
    <w:p w14:paraId="544500DB" w14:textId="77777777" w:rsidR="00767FDF" w:rsidRPr="00117A80" w:rsidRDefault="00767FDF" w:rsidP="000B4D3E">
      <w:pPr>
        <w:widowControl w:val="0"/>
        <w:spacing w:line="240" w:lineRule="auto"/>
        <w:rPr>
          <w:szCs w:val="22"/>
          <w:lang w:val="lv-LV"/>
        </w:rPr>
      </w:pPr>
      <w:r w:rsidRPr="00117A80">
        <w:rPr>
          <w:szCs w:val="22"/>
          <w:lang w:val="lv-LV"/>
        </w:rPr>
        <w:t xml:space="preserve">Nav īpašu prasību. </w:t>
      </w:r>
    </w:p>
    <w:p w14:paraId="763EA733" w14:textId="77777777" w:rsidR="00767FDF" w:rsidRPr="00117A80" w:rsidRDefault="00767FDF" w:rsidP="000B4D3E">
      <w:pPr>
        <w:widowControl w:val="0"/>
        <w:spacing w:line="240" w:lineRule="auto"/>
        <w:rPr>
          <w:szCs w:val="22"/>
          <w:lang w:val="lv-LV"/>
        </w:rPr>
      </w:pPr>
    </w:p>
    <w:p w14:paraId="5CA140F8" w14:textId="77777777" w:rsidR="00767FDF" w:rsidRPr="00117A80" w:rsidRDefault="00767FDF" w:rsidP="000B4D3E">
      <w:pPr>
        <w:widowControl w:val="0"/>
        <w:spacing w:line="240" w:lineRule="auto"/>
        <w:rPr>
          <w:szCs w:val="22"/>
          <w:lang w:val="lv-LV"/>
        </w:rPr>
      </w:pPr>
      <w:r w:rsidRPr="00117A80">
        <w:rPr>
          <w:szCs w:val="22"/>
          <w:lang w:val="lv-LV"/>
        </w:rPr>
        <w:t>Neizlietotās zāles vai izlietotie materiāli jāiznīcina atbilstoši vietējām prasībām.</w:t>
      </w:r>
    </w:p>
    <w:p w14:paraId="3146443C" w14:textId="77777777" w:rsidR="00767FDF" w:rsidRPr="00117A80" w:rsidRDefault="00767FDF" w:rsidP="000B4D3E">
      <w:pPr>
        <w:widowControl w:val="0"/>
        <w:spacing w:line="240" w:lineRule="auto"/>
        <w:rPr>
          <w:szCs w:val="22"/>
          <w:lang w:val="lv-LV"/>
        </w:rPr>
      </w:pPr>
    </w:p>
    <w:p w14:paraId="6FB478FA" w14:textId="77777777" w:rsidR="00767FDF" w:rsidRPr="00117A80" w:rsidRDefault="00767FDF" w:rsidP="000B4D3E">
      <w:pPr>
        <w:widowControl w:val="0"/>
        <w:spacing w:line="240" w:lineRule="auto"/>
        <w:rPr>
          <w:szCs w:val="22"/>
          <w:lang w:val="lv-LV"/>
        </w:rPr>
      </w:pPr>
    </w:p>
    <w:p w14:paraId="7991FE16" w14:textId="77777777" w:rsidR="00767FDF" w:rsidRPr="00117A80" w:rsidRDefault="00767FDF" w:rsidP="000B4D3E">
      <w:pPr>
        <w:widowControl w:val="0"/>
        <w:spacing w:line="240" w:lineRule="auto"/>
        <w:ind w:left="567" w:hanging="567"/>
        <w:rPr>
          <w:szCs w:val="22"/>
          <w:lang w:val="lv-LV"/>
        </w:rPr>
      </w:pPr>
      <w:r w:rsidRPr="00117A80">
        <w:rPr>
          <w:b/>
          <w:szCs w:val="22"/>
          <w:lang w:val="lv-LV"/>
        </w:rPr>
        <w:t>7.</w:t>
      </w:r>
      <w:r w:rsidRPr="00117A80">
        <w:rPr>
          <w:b/>
          <w:szCs w:val="22"/>
          <w:lang w:val="lv-LV"/>
        </w:rPr>
        <w:tab/>
        <w:t>REĢISTRĀCIJAS APLIECĪBAS ĪPAŠNIEKS</w:t>
      </w:r>
    </w:p>
    <w:p w14:paraId="70CD8827" w14:textId="77777777" w:rsidR="00767FDF" w:rsidRPr="00117A80" w:rsidRDefault="00767FDF" w:rsidP="000B4D3E">
      <w:pPr>
        <w:widowControl w:val="0"/>
        <w:spacing w:line="240" w:lineRule="auto"/>
        <w:rPr>
          <w:szCs w:val="22"/>
          <w:lang w:val="lv-LV"/>
        </w:rPr>
      </w:pPr>
    </w:p>
    <w:p w14:paraId="17ED2B3E" w14:textId="77777777" w:rsidR="00767FDF" w:rsidRPr="00117A80" w:rsidRDefault="00767FDF" w:rsidP="000B4D3E">
      <w:pPr>
        <w:widowControl w:val="0"/>
        <w:spacing w:line="240" w:lineRule="auto"/>
        <w:rPr>
          <w:szCs w:val="22"/>
          <w:lang w:val="lv-LV"/>
        </w:rPr>
      </w:pPr>
      <w:r w:rsidRPr="00117A80">
        <w:rPr>
          <w:szCs w:val="22"/>
          <w:lang w:val="lv-LV"/>
        </w:rPr>
        <w:t>Pharmaceutical Works POLPHARMA SA</w:t>
      </w:r>
    </w:p>
    <w:p w14:paraId="00A0B2BC" w14:textId="77777777" w:rsidR="00767FDF" w:rsidRPr="00117A80" w:rsidRDefault="00767FDF" w:rsidP="000B4D3E">
      <w:pPr>
        <w:widowControl w:val="0"/>
        <w:spacing w:line="240" w:lineRule="auto"/>
        <w:rPr>
          <w:szCs w:val="22"/>
          <w:lang w:val="lv-LV"/>
        </w:rPr>
      </w:pPr>
      <w:r w:rsidRPr="00117A80">
        <w:rPr>
          <w:szCs w:val="22"/>
          <w:lang w:val="lv-LV"/>
        </w:rPr>
        <w:t>19, Pelplińska Str.</w:t>
      </w:r>
    </w:p>
    <w:p w14:paraId="2FF5752B" w14:textId="77777777" w:rsidR="00767FDF" w:rsidRPr="00117A80" w:rsidRDefault="00767FDF" w:rsidP="000B4D3E">
      <w:pPr>
        <w:widowControl w:val="0"/>
        <w:spacing w:line="240" w:lineRule="auto"/>
        <w:rPr>
          <w:szCs w:val="22"/>
          <w:lang w:val="lv-LV"/>
        </w:rPr>
      </w:pPr>
      <w:r w:rsidRPr="00117A80">
        <w:rPr>
          <w:szCs w:val="22"/>
          <w:lang w:val="lv-LV"/>
        </w:rPr>
        <w:t>83-200 Starogard Gdański</w:t>
      </w:r>
    </w:p>
    <w:p w14:paraId="769CC62A" w14:textId="77777777" w:rsidR="00767FDF" w:rsidRPr="00117A80" w:rsidRDefault="00767FDF" w:rsidP="000B4D3E">
      <w:pPr>
        <w:widowControl w:val="0"/>
        <w:tabs>
          <w:tab w:val="clear" w:pos="567"/>
        </w:tabs>
        <w:spacing w:line="240" w:lineRule="auto"/>
        <w:rPr>
          <w:szCs w:val="22"/>
          <w:lang w:val="lv-LV"/>
        </w:rPr>
      </w:pPr>
      <w:r w:rsidRPr="00117A80">
        <w:rPr>
          <w:szCs w:val="22"/>
          <w:lang w:val="lv-LV"/>
        </w:rPr>
        <w:t>Polija</w:t>
      </w:r>
    </w:p>
    <w:p w14:paraId="776B32E7" w14:textId="77777777" w:rsidR="00767FDF" w:rsidRPr="00117A80" w:rsidRDefault="00767FDF" w:rsidP="000B4D3E">
      <w:pPr>
        <w:widowControl w:val="0"/>
        <w:spacing w:line="240" w:lineRule="auto"/>
        <w:rPr>
          <w:szCs w:val="22"/>
          <w:lang w:val="lv-LV"/>
        </w:rPr>
      </w:pPr>
    </w:p>
    <w:p w14:paraId="668CB0E4" w14:textId="77777777" w:rsidR="00767FDF" w:rsidRPr="00117A80" w:rsidRDefault="00767FDF" w:rsidP="000B4D3E">
      <w:pPr>
        <w:widowControl w:val="0"/>
        <w:spacing w:line="240" w:lineRule="auto"/>
        <w:rPr>
          <w:szCs w:val="22"/>
          <w:lang w:val="lv-LV"/>
        </w:rPr>
      </w:pPr>
    </w:p>
    <w:p w14:paraId="3E6B071A" w14:textId="77777777" w:rsidR="00767FDF" w:rsidRPr="00117A80" w:rsidRDefault="00767FDF" w:rsidP="000B4D3E">
      <w:pPr>
        <w:widowControl w:val="0"/>
        <w:spacing w:line="240" w:lineRule="auto"/>
        <w:ind w:left="567" w:hanging="567"/>
        <w:rPr>
          <w:b/>
          <w:szCs w:val="22"/>
          <w:lang w:val="lv-LV"/>
        </w:rPr>
      </w:pPr>
      <w:r w:rsidRPr="00117A80">
        <w:rPr>
          <w:b/>
          <w:szCs w:val="22"/>
          <w:lang w:val="lv-LV"/>
        </w:rPr>
        <w:t>8.</w:t>
      </w:r>
      <w:r w:rsidRPr="00117A80">
        <w:rPr>
          <w:b/>
          <w:szCs w:val="22"/>
          <w:lang w:val="lv-LV"/>
        </w:rPr>
        <w:tab/>
        <w:t xml:space="preserve">REĢISTRĀCIJAS APLIECĪBAS NUMURS(-I) </w:t>
      </w:r>
    </w:p>
    <w:p w14:paraId="2AFC35FB" w14:textId="77777777" w:rsidR="00767FDF" w:rsidRPr="00117A80" w:rsidRDefault="00767FDF" w:rsidP="000B4D3E">
      <w:pPr>
        <w:widowControl w:val="0"/>
        <w:spacing w:line="240" w:lineRule="auto"/>
        <w:rPr>
          <w:i/>
          <w:szCs w:val="22"/>
          <w:lang w:val="lv-LV"/>
        </w:rPr>
      </w:pPr>
    </w:p>
    <w:p w14:paraId="28AFA73E" w14:textId="77777777" w:rsidR="00767FDF" w:rsidRPr="00117A80" w:rsidRDefault="008B1C54" w:rsidP="000B4D3E">
      <w:pPr>
        <w:widowControl w:val="0"/>
        <w:spacing w:line="240" w:lineRule="auto"/>
        <w:rPr>
          <w:szCs w:val="22"/>
          <w:lang w:val="lv-LV"/>
        </w:rPr>
      </w:pPr>
      <w:r w:rsidRPr="00117A80">
        <w:rPr>
          <w:szCs w:val="22"/>
          <w:lang w:val="lv-LV"/>
        </w:rPr>
        <w:t>14-0001</w:t>
      </w:r>
    </w:p>
    <w:p w14:paraId="75AFACD1" w14:textId="77777777" w:rsidR="00767FDF" w:rsidRPr="00117A80" w:rsidRDefault="00767FDF" w:rsidP="000B4D3E">
      <w:pPr>
        <w:widowControl w:val="0"/>
        <w:spacing w:line="240" w:lineRule="auto"/>
        <w:rPr>
          <w:szCs w:val="22"/>
          <w:lang w:val="lv-LV"/>
        </w:rPr>
      </w:pPr>
    </w:p>
    <w:p w14:paraId="6F85D013" w14:textId="77777777" w:rsidR="00767FDF" w:rsidRPr="00117A80" w:rsidRDefault="00767FDF" w:rsidP="000B4D3E">
      <w:pPr>
        <w:widowControl w:val="0"/>
        <w:spacing w:line="240" w:lineRule="auto"/>
        <w:rPr>
          <w:szCs w:val="22"/>
          <w:lang w:val="lv-LV"/>
        </w:rPr>
      </w:pPr>
    </w:p>
    <w:p w14:paraId="7B8C565F" w14:textId="77777777" w:rsidR="00767FDF" w:rsidRPr="00117A80" w:rsidRDefault="00767FDF" w:rsidP="000B4D3E">
      <w:pPr>
        <w:widowControl w:val="0"/>
        <w:spacing w:line="240" w:lineRule="auto"/>
        <w:ind w:left="567" w:hanging="567"/>
        <w:rPr>
          <w:szCs w:val="22"/>
          <w:lang w:val="lv-LV"/>
        </w:rPr>
      </w:pPr>
      <w:r w:rsidRPr="00117A80">
        <w:rPr>
          <w:b/>
          <w:szCs w:val="22"/>
          <w:lang w:val="lv-LV"/>
        </w:rPr>
        <w:t>9.</w:t>
      </w:r>
      <w:r w:rsidRPr="00117A80">
        <w:rPr>
          <w:b/>
          <w:szCs w:val="22"/>
          <w:lang w:val="lv-LV"/>
        </w:rPr>
        <w:tab/>
        <w:t>PIRMĀS REĢISTRĀCIJAS/PĀRREĢISTRĀCIJAS DATUMS</w:t>
      </w:r>
    </w:p>
    <w:p w14:paraId="51DA62E3" w14:textId="77777777" w:rsidR="00767FDF" w:rsidRPr="00117A80" w:rsidRDefault="00767FDF" w:rsidP="000B4D3E">
      <w:pPr>
        <w:widowControl w:val="0"/>
        <w:spacing w:line="240" w:lineRule="auto"/>
        <w:rPr>
          <w:i/>
          <w:szCs w:val="22"/>
          <w:lang w:val="lv-LV"/>
        </w:rPr>
      </w:pPr>
    </w:p>
    <w:p w14:paraId="4210795A" w14:textId="77777777" w:rsidR="00767FDF" w:rsidRPr="00117A80" w:rsidRDefault="00F54AA2" w:rsidP="000B4D3E">
      <w:pPr>
        <w:widowControl w:val="0"/>
        <w:spacing w:line="240" w:lineRule="auto"/>
        <w:rPr>
          <w:szCs w:val="22"/>
          <w:lang w:val="lv-LV"/>
        </w:rPr>
      </w:pPr>
      <w:r w:rsidRPr="00C93B6A">
        <w:rPr>
          <w:szCs w:val="22"/>
          <w:lang w:val="lv-LV"/>
        </w:rPr>
        <w:t>Reģistrācijas datums:</w:t>
      </w:r>
      <w:r w:rsidRPr="009E11B6">
        <w:rPr>
          <w:szCs w:val="22"/>
          <w:lang w:val="lv-LV"/>
        </w:rPr>
        <w:t xml:space="preserve"> </w:t>
      </w:r>
      <w:r w:rsidR="008B1C54" w:rsidRPr="00117A80">
        <w:rPr>
          <w:szCs w:val="22"/>
          <w:lang w:val="lv-LV"/>
        </w:rPr>
        <w:t>20.01.2014</w:t>
      </w:r>
    </w:p>
    <w:p w14:paraId="0D0C5833" w14:textId="05FBAC90" w:rsidR="00767FDF" w:rsidRPr="00117A80" w:rsidRDefault="00A6133A" w:rsidP="000B4D3E">
      <w:pPr>
        <w:widowControl w:val="0"/>
        <w:spacing w:line="240" w:lineRule="auto"/>
        <w:rPr>
          <w:szCs w:val="22"/>
          <w:lang w:val="lv-LV"/>
        </w:rPr>
      </w:pPr>
      <w:r>
        <w:rPr>
          <w:szCs w:val="22"/>
          <w:lang w:val="lv-LV"/>
        </w:rPr>
        <w:lastRenderedPageBreak/>
        <w:t>P</w:t>
      </w:r>
      <w:r w:rsidR="0058557E">
        <w:rPr>
          <w:szCs w:val="22"/>
          <w:lang w:val="lv-LV"/>
        </w:rPr>
        <w:t>ārreģistrācijas datums</w:t>
      </w:r>
      <w:r>
        <w:rPr>
          <w:szCs w:val="22"/>
          <w:lang w:val="lv-LV"/>
        </w:rPr>
        <w:t>: 26.06.2018</w:t>
      </w:r>
    </w:p>
    <w:p w14:paraId="2DA06296" w14:textId="10AFCB89" w:rsidR="00767FDF" w:rsidRPr="00F30C7F" w:rsidRDefault="00767FDF" w:rsidP="000B4D3E">
      <w:pPr>
        <w:widowControl w:val="0"/>
        <w:spacing w:line="240" w:lineRule="auto"/>
        <w:ind w:left="567" w:hanging="567"/>
        <w:rPr>
          <w:bCs/>
          <w:szCs w:val="22"/>
          <w:lang w:val="lv-LV"/>
        </w:rPr>
      </w:pPr>
    </w:p>
    <w:p w14:paraId="432013B9" w14:textId="77777777" w:rsidR="00F13BB7" w:rsidRPr="00F30C7F" w:rsidRDefault="00F13BB7" w:rsidP="000B4D3E">
      <w:pPr>
        <w:widowControl w:val="0"/>
        <w:spacing w:line="240" w:lineRule="auto"/>
        <w:ind w:left="567" w:hanging="567"/>
        <w:rPr>
          <w:bCs/>
          <w:szCs w:val="22"/>
          <w:lang w:val="lv-LV"/>
        </w:rPr>
      </w:pPr>
    </w:p>
    <w:p w14:paraId="7CF2E7F5" w14:textId="77777777" w:rsidR="00767FDF" w:rsidRPr="00117A80" w:rsidRDefault="00767FDF" w:rsidP="000B4D3E">
      <w:pPr>
        <w:widowControl w:val="0"/>
        <w:spacing w:line="240" w:lineRule="auto"/>
        <w:ind w:left="567" w:hanging="567"/>
        <w:rPr>
          <w:b/>
          <w:szCs w:val="22"/>
          <w:lang w:val="lv-LV"/>
        </w:rPr>
      </w:pPr>
      <w:r w:rsidRPr="00117A80">
        <w:rPr>
          <w:b/>
          <w:szCs w:val="22"/>
          <w:lang w:val="lv-LV"/>
        </w:rPr>
        <w:t>10.</w:t>
      </w:r>
      <w:r w:rsidRPr="00117A80">
        <w:rPr>
          <w:b/>
          <w:szCs w:val="22"/>
          <w:lang w:val="lv-LV"/>
        </w:rPr>
        <w:tab/>
        <w:t>TEKSTA PĀRSKATĪŠANAS DATUMS</w:t>
      </w:r>
    </w:p>
    <w:p w14:paraId="0DB9AF8C" w14:textId="250D1688" w:rsidR="00D31B7D" w:rsidRDefault="00D31B7D" w:rsidP="000B4D3E">
      <w:pPr>
        <w:widowControl w:val="0"/>
        <w:spacing w:line="240" w:lineRule="auto"/>
        <w:rPr>
          <w:szCs w:val="22"/>
          <w:lang w:val="cs-CZ"/>
        </w:rPr>
      </w:pPr>
    </w:p>
    <w:p w14:paraId="0226198E" w14:textId="6006DBE5" w:rsidR="009E11B6" w:rsidRPr="00D31B7D" w:rsidRDefault="00FB2646" w:rsidP="000B4D3E">
      <w:pPr>
        <w:widowControl w:val="0"/>
        <w:spacing w:line="240" w:lineRule="auto"/>
        <w:rPr>
          <w:szCs w:val="22"/>
          <w:lang w:val="cs-CZ"/>
        </w:rPr>
      </w:pPr>
      <w:r>
        <w:rPr>
          <w:szCs w:val="22"/>
          <w:lang w:val="cs-CZ"/>
        </w:rPr>
        <w:t>02/2022</w:t>
      </w:r>
    </w:p>
    <w:sectPr w:rsidR="009E11B6" w:rsidRPr="00D31B7D" w:rsidSect="00117A80">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1A26" w14:textId="77777777" w:rsidR="0033266C" w:rsidRDefault="0033266C">
      <w:pPr>
        <w:spacing w:line="240" w:lineRule="auto"/>
      </w:pPr>
      <w:r>
        <w:separator/>
      </w:r>
    </w:p>
  </w:endnote>
  <w:endnote w:type="continuationSeparator" w:id="0">
    <w:p w14:paraId="330F3776" w14:textId="77777777" w:rsidR="0033266C" w:rsidRDefault="00332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6613" w14:textId="77777777" w:rsidR="00B17FDA" w:rsidRDefault="00B17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F8A4" w14:textId="41C449E9" w:rsidR="00F73173" w:rsidRDefault="00F73173" w:rsidP="000B4D3E">
    <w:pPr>
      <w:pStyle w:val="Footer"/>
      <w:jc w:val="right"/>
    </w:pPr>
    <w:r>
      <w:fldChar w:fldCharType="begin"/>
    </w:r>
    <w:r>
      <w:instrText xml:space="preserve"> PAGE   \* MERGEFORMAT </w:instrText>
    </w:r>
    <w:r>
      <w:fldChar w:fldCharType="separate"/>
    </w:r>
    <w:r w:rsidR="00A0580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16FE" w14:textId="77777777" w:rsidR="00B17FDA" w:rsidRDefault="00B17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60B4" w14:textId="77777777" w:rsidR="0033266C" w:rsidRDefault="0033266C">
      <w:pPr>
        <w:spacing w:line="240" w:lineRule="auto"/>
      </w:pPr>
      <w:r>
        <w:separator/>
      </w:r>
    </w:p>
  </w:footnote>
  <w:footnote w:type="continuationSeparator" w:id="0">
    <w:p w14:paraId="50873F0D" w14:textId="77777777" w:rsidR="0033266C" w:rsidRDefault="003326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36FA" w14:textId="77777777" w:rsidR="00B17FDA" w:rsidRDefault="00B17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306" w14:textId="47C97AF1" w:rsidR="005F4914" w:rsidRPr="007F4A90" w:rsidRDefault="00A05802" w:rsidP="005C4B84">
    <w:pPr>
      <w:pStyle w:val="Header"/>
      <w:jc w:val="right"/>
      <w:rPr>
        <w:sz w:val="24"/>
        <w:szCs w:val="24"/>
      </w:rPr>
    </w:pPr>
    <w:r>
      <w:rPr>
        <w:sz w:val="24"/>
        <w:szCs w:val="24"/>
      </w:rPr>
      <w:t>SASKAŅOTS ZVA</w:t>
    </w:r>
    <w:r w:rsidR="00B17FDA">
      <w:rPr>
        <w:sz w:val="24"/>
        <w:szCs w:val="24"/>
      </w:rPr>
      <w:t xml:space="preserve"> 17-02-2022</w:t>
    </w:r>
    <w:r>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E374" w14:textId="77777777" w:rsidR="00B17FDA" w:rsidRDefault="00B17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DF"/>
    <w:rsid w:val="000138AA"/>
    <w:rsid w:val="00037CBE"/>
    <w:rsid w:val="000832AF"/>
    <w:rsid w:val="00084FFC"/>
    <w:rsid w:val="0009136A"/>
    <w:rsid w:val="000A1F51"/>
    <w:rsid w:val="000A3BAB"/>
    <w:rsid w:val="000B4D3E"/>
    <w:rsid w:val="000E4306"/>
    <w:rsid w:val="00110BB1"/>
    <w:rsid w:val="00117A80"/>
    <w:rsid w:val="0014717F"/>
    <w:rsid w:val="001B5216"/>
    <w:rsid w:val="001E061F"/>
    <w:rsid w:val="0020033B"/>
    <w:rsid w:val="002712CB"/>
    <w:rsid w:val="002C6ADC"/>
    <w:rsid w:val="002D415D"/>
    <w:rsid w:val="00305F9B"/>
    <w:rsid w:val="00312616"/>
    <w:rsid w:val="00312CFF"/>
    <w:rsid w:val="00317D53"/>
    <w:rsid w:val="0033266C"/>
    <w:rsid w:val="00354B4B"/>
    <w:rsid w:val="003673DF"/>
    <w:rsid w:val="0037657A"/>
    <w:rsid w:val="00377F3A"/>
    <w:rsid w:val="003B461A"/>
    <w:rsid w:val="00401636"/>
    <w:rsid w:val="00411B43"/>
    <w:rsid w:val="00445BC9"/>
    <w:rsid w:val="004B4241"/>
    <w:rsid w:val="004D2249"/>
    <w:rsid w:val="004F23FA"/>
    <w:rsid w:val="004F7226"/>
    <w:rsid w:val="00510A73"/>
    <w:rsid w:val="00527C33"/>
    <w:rsid w:val="00536967"/>
    <w:rsid w:val="00562DF0"/>
    <w:rsid w:val="00577F00"/>
    <w:rsid w:val="0058557E"/>
    <w:rsid w:val="005C4B84"/>
    <w:rsid w:val="005F4914"/>
    <w:rsid w:val="0060380F"/>
    <w:rsid w:val="00610FD5"/>
    <w:rsid w:val="00631CB3"/>
    <w:rsid w:val="00642D5F"/>
    <w:rsid w:val="00671209"/>
    <w:rsid w:val="00680BEB"/>
    <w:rsid w:val="006824BF"/>
    <w:rsid w:val="006C4EB9"/>
    <w:rsid w:val="007423A3"/>
    <w:rsid w:val="007443A1"/>
    <w:rsid w:val="007500A0"/>
    <w:rsid w:val="007544AD"/>
    <w:rsid w:val="00754781"/>
    <w:rsid w:val="007559FE"/>
    <w:rsid w:val="00767FDF"/>
    <w:rsid w:val="00773C03"/>
    <w:rsid w:val="00775F2C"/>
    <w:rsid w:val="00792A04"/>
    <w:rsid w:val="007D2E55"/>
    <w:rsid w:val="007E0533"/>
    <w:rsid w:val="007F1E5B"/>
    <w:rsid w:val="007F3C16"/>
    <w:rsid w:val="007F4A90"/>
    <w:rsid w:val="008154C2"/>
    <w:rsid w:val="00833B47"/>
    <w:rsid w:val="00850B1B"/>
    <w:rsid w:val="008B1C54"/>
    <w:rsid w:val="008E0FC0"/>
    <w:rsid w:val="008E3911"/>
    <w:rsid w:val="009017EB"/>
    <w:rsid w:val="0093177F"/>
    <w:rsid w:val="00941316"/>
    <w:rsid w:val="00947B57"/>
    <w:rsid w:val="0095681C"/>
    <w:rsid w:val="00957529"/>
    <w:rsid w:val="00964925"/>
    <w:rsid w:val="009E11B6"/>
    <w:rsid w:val="009E348D"/>
    <w:rsid w:val="009F63AE"/>
    <w:rsid w:val="00A05802"/>
    <w:rsid w:val="00A31832"/>
    <w:rsid w:val="00A56790"/>
    <w:rsid w:val="00A6133A"/>
    <w:rsid w:val="00A75162"/>
    <w:rsid w:val="00AA6F58"/>
    <w:rsid w:val="00AB4A4A"/>
    <w:rsid w:val="00AC05AE"/>
    <w:rsid w:val="00AD0E16"/>
    <w:rsid w:val="00AD6AEB"/>
    <w:rsid w:val="00AE6630"/>
    <w:rsid w:val="00AF494E"/>
    <w:rsid w:val="00AF69D9"/>
    <w:rsid w:val="00AF7D17"/>
    <w:rsid w:val="00B14383"/>
    <w:rsid w:val="00B17FDA"/>
    <w:rsid w:val="00B63B4D"/>
    <w:rsid w:val="00B80893"/>
    <w:rsid w:val="00B93119"/>
    <w:rsid w:val="00BA5B70"/>
    <w:rsid w:val="00BC2711"/>
    <w:rsid w:val="00BF5397"/>
    <w:rsid w:val="00C02E98"/>
    <w:rsid w:val="00C33138"/>
    <w:rsid w:val="00C34F79"/>
    <w:rsid w:val="00C55B5E"/>
    <w:rsid w:val="00C920F1"/>
    <w:rsid w:val="00C93B6A"/>
    <w:rsid w:val="00CB5556"/>
    <w:rsid w:val="00CC085C"/>
    <w:rsid w:val="00CE35D5"/>
    <w:rsid w:val="00CF3283"/>
    <w:rsid w:val="00D11796"/>
    <w:rsid w:val="00D2558E"/>
    <w:rsid w:val="00D31B7D"/>
    <w:rsid w:val="00D368ED"/>
    <w:rsid w:val="00D647F9"/>
    <w:rsid w:val="00D90DAF"/>
    <w:rsid w:val="00D951B2"/>
    <w:rsid w:val="00DB6C3B"/>
    <w:rsid w:val="00DF38F3"/>
    <w:rsid w:val="00DF3F15"/>
    <w:rsid w:val="00E00C33"/>
    <w:rsid w:val="00E632AF"/>
    <w:rsid w:val="00E63831"/>
    <w:rsid w:val="00EB56A5"/>
    <w:rsid w:val="00EC6E9D"/>
    <w:rsid w:val="00EE7942"/>
    <w:rsid w:val="00F02F00"/>
    <w:rsid w:val="00F13BB7"/>
    <w:rsid w:val="00F30C7F"/>
    <w:rsid w:val="00F34899"/>
    <w:rsid w:val="00F36565"/>
    <w:rsid w:val="00F54AA2"/>
    <w:rsid w:val="00F709BA"/>
    <w:rsid w:val="00F73173"/>
    <w:rsid w:val="00F933DA"/>
    <w:rsid w:val="00F95603"/>
    <w:rsid w:val="00FA436A"/>
    <w:rsid w:val="00FB2646"/>
    <w:rsid w:val="00FF6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2B1E0952"/>
  <w15:chartTrackingRefBased/>
  <w15:docId w15:val="{01C0E3FD-DBCB-4399-810E-3F861B5B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FDF"/>
    <w:pPr>
      <w:tabs>
        <w:tab w:val="left" w:pos="567"/>
      </w:tabs>
      <w:spacing w:line="260" w:lineRule="exact"/>
    </w:pPr>
    <w:rPr>
      <w:rFonts w:ascii="Times New Roman" w:eastAsia="Times New Roman" w:hAnsi="Times New Roman"/>
      <w:snapToGrid w:val="0"/>
      <w:sz w:val="22"/>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7FDF"/>
    <w:rPr>
      <w:rFonts w:cs="Times New Roman"/>
      <w:color w:val="0000FF"/>
      <w:u w:val="single"/>
    </w:rPr>
  </w:style>
  <w:style w:type="character" w:styleId="CommentReference">
    <w:name w:val="annotation reference"/>
    <w:uiPriority w:val="99"/>
    <w:semiHidden/>
    <w:rsid w:val="00767FDF"/>
    <w:rPr>
      <w:rFonts w:cs="Times New Roman"/>
      <w:sz w:val="16"/>
      <w:szCs w:val="16"/>
    </w:rPr>
  </w:style>
  <w:style w:type="paragraph" w:styleId="CommentText">
    <w:name w:val="annotation text"/>
    <w:basedOn w:val="Normal"/>
    <w:link w:val="CommentTextChar"/>
    <w:uiPriority w:val="99"/>
    <w:semiHidden/>
    <w:rsid w:val="00767FDF"/>
    <w:rPr>
      <w:sz w:val="20"/>
    </w:rPr>
  </w:style>
  <w:style w:type="character" w:customStyle="1" w:styleId="CommentTextChar">
    <w:name w:val="Comment Text Char"/>
    <w:link w:val="CommentText"/>
    <w:uiPriority w:val="99"/>
    <w:semiHidden/>
    <w:rsid w:val="00767FDF"/>
    <w:rPr>
      <w:rFonts w:ascii="Times New Roman" w:eastAsia="Times New Roman" w:hAnsi="Times New Roman" w:cs="Times New Roman"/>
      <w:snapToGrid w:val="0"/>
      <w:sz w:val="20"/>
      <w:szCs w:val="20"/>
      <w:lang w:val="en-GB" w:eastAsia="lv-LV"/>
    </w:rPr>
  </w:style>
  <w:style w:type="paragraph" w:styleId="BalloonText">
    <w:name w:val="Balloon Text"/>
    <w:basedOn w:val="Normal"/>
    <w:link w:val="BalloonTextChar"/>
    <w:uiPriority w:val="99"/>
    <w:semiHidden/>
    <w:unhideWhenUsed/>
    <w:rsid w:val="00767FDF"/>
    <w:pPr>
      <w:spacing w:line="240" w:lineRule="auto"/>
    </w:pPr>
    <w:rPr>
      <w:rFonts w:ascii="Tahoma" w:hAnsi="Tahoma"/>
      <w:sz w:val="16"/>
      <w:szCs w:val="16"/>
    </w:rPr>
  </w:style>
  <w:style w:type="character" w:customStyle="1" w:styleId="BalloonTextChar">
    <w:name w:val="Balloon Text Char"/>
    <w:link w:val="BalloonText"/>
    <w:uiPriority w:val="99"/>
    <w:semiHidden/>
    <w:rsid w:val="00767FDF"/>
    <w:rPr>
      <w:rFonts w:ascii="Tahoma" w:eastAsia="Times New Roman" w:hAnsi="Tahoma" w:cs="Tahoma"/>
      <w:snapToGrid w:val="0"/>
      <w:sz w:val="16"/>
      <w:szCs w:val="16"/>
      <w:lang w:val="en-GB" w:eastAsia="lv-LV"/>
    </w:rPr>
  </w:style>
  <w:style w:type="paragraph" w:styleId="Header">
    <w:name w:val="header"/>
    <w:basedOn w:val="Normal"/>
    <w:link w:val="HeaderChar"/>
    <w:uiPriority w:val="99"/>
    <w:unhideWhenUsed/>
    <w:rsid w:val="00F73173"/>
    <w:pPr>
      <w:tabs>
        <w:tab w:val="clear" w:pos="567"/>
        <w:tab w:val="center" w:pos="4536"/>
        <w:tab w:val="right" w:pos="9072"/>
      </w:tabs>
    </w:pPr>
  </w:style>
  <w:style w:type="character" w:customStyle="1" w:styleId="HeaderChar">
    <w:name w:val="Header Char"/>
    <w:link w:val="Header"/>
    <w:uiPriority w:val="99"/>
    <w:rsid w:val="00F73173"/>
    <w:rPr>
      <w:rFonts w:ascii="Times New Roman" w:eastAsia="Times New Roman" w:hAnsi="Times New Roman"/>
      <w:snapToGrid w:val="0"/>
      <w:sz w:val="22"/>
      <w:lang w:val="en-GB" w:eastAsia="lv-LV"/>
    </w:rPr>
  </w:style>
  <w:style w:type="paragraph" w:styleId="Footer">
    <w:name w:val="footer"/>
    <w:basedOn w:val="Normal"/>
    <w:link w:val="FooterChar"/>
    <w:uiPriority w:val="99"/>
    <w:unhideWhenUsed/>
    <w:rsid w:val="00F73173"/>
    <w:pPr>
      <w:tabs>
        <w:tab w:val="clear" w:pos="567"/>
        <w:tab w:val="center" w:pos="4536"/>
        <w:tab w:val="right" w:pos="9072"/>
      </w:tabs>
    </w:pPr>
  </w:style>
  <w:style w:type="character" w:customStyle="1" w:styleId="FooterChar">
    <w:name w:val="Footer Char"/>
    <w:link w:val="Footer"/>
    <w:uiPriority w:val="99"/>
    <w:rsid w:val="00F73173"/>
    <w:rPr>
      <w:rFonts w:ascii="Times New Roman" w:eastAsia="Times New Roman" w:hAnsi="Times New Roman"/>
      <w:snapToGrid w:val="0"/>
      <w:sz w:val="22"/>
      <w:lang w:val="en-GB" w:eastAsia="lv-LV"/>
    </w:rPr>
  </w:style>
  <w:style w:type="paragraph" w:styleId="Revision">
    <w:name w:val="Revision"/>
    <w:hidden/>
    <w:uiPriority w:val="99"/>
    <w:semiHidden/>
    <w:rsid w:val="005F4914"/>
    <w:rPr>
      <w:rFonts w:ascii="Times New Roman" w:eastAsia="Times New Roman" w:hAnsi="Times New Roman"/>
      <w:snapToGrid w:val="0"/>
      <w:sz w:val="22"/>
      <w:lang w:val="en-GB" w:eastAsia="lv-LV"/>
    </w:rPr>
  </w:style>
  <w:style w:type="paragraph" w:customStyle="1" w:styleId="Default">
    <w:name w:val="Default"/>
    <w:rsid w:val="00527C33"/>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B4A4A"/>
    <w:rPr>
      <w:b/>
      <w:bCs/>
    </w:rPr>
  </w:style>
  <w:style w:type="character" w:customStyle="1" w:styleId="CommentSubjectChar">
    <w:name w:val="Comment Subject Char"/>
    <w:basedOn w:val="CommentTextChar"/>
    <w:link w:val="CommentSubject"/>
    <w:uiPriority w:val="99"/>
    <w:semiHidden/>
    <w:rsid w:val="00AB4A4A"/>
    <w:rPr>
      <w:rFonts w:ascii="Times New Roman" w:eastAsia="Times New Roman" w:hAnsi="Times New Roman" w:cs="Times New Roman"/>
      <w:b/>
      <w:bCs/>
      <w:snapToGrid w:val="0"/>
      <w:sz w:val="20"/>
      <w:szCs w:val="20"/>
      <w:lang w:val="en-GB" w:eastAsia="lv-LV"/>
    </w:rPr>
  </w:style>
  <w:style w:type="character" w:customStyle="1" w:styleId="tlid-translation">
    <w:name w:val="tlid-translation"/>
    <w:basedOn w:val="DefaultParagraphFont"/>
    <w:rsid w:val="004F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0643">
      <w:bodyDiv w:val="1"/>
      <w:marLeft w:val="0"/>
      <w:marRight w:val="0"/>
      <w:marTop w:val="0"/>
      <w:marBottom w:val="0"/>
      <w:divBdr>
        <w:top w:val="none" w:sz="0" w:space="0" w:color="auto"/>
        <w:left w:val="none" w:sz="0" w:space="0" w:color="auto"/>
        <w:bottom w:val="none" w:sz="0" w:space="0" w:color="auto"/>
        <w:right w:val="none" w:sz="0" w:space="0" w:color="auto"/>
      </w:divBdr>
    </w:div>
    <w:div w:id="258369214">
      <w:bodyDiv w:val="1"/>
      <w:marLeft w:val="0"/>
      <w:marRight w:val="0"/>
      <w:marTop w:val="0"/>
      <w:marBottom w:val="0"/>
      <w:divBdr>
        <w:top w:val="none" w:sz="0" w:space="0" w:color="auto"/>
        <w:left w:val="none" w:sz="0" w:space="0" w:color="auto"/>
        <w:bottom w:val="none" w:sz="0" w:space="0" w:color="auto"/>
        <w:right w:val="none" w:sz="0" w:space="0" w:color="auto"/>
      </w:divBdr>
    </w:div>
    <w:div w:id="10341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va.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Bimatoprost Polpharma</Trade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31AA9-C56F-4019-AE0D-9AE4EB6ED473}">
  <ds:schemaRefs>
    <ds:schemaRef ds:uri="http://schemas.openxmlformats.org/officeDocument/2006/bibliography"/>
  </ds:schemaRefs>
</ds:datastoreItem>
</file>

<file path=customXml/itemProps2.xml><?xml version="1.0" encoding="utf-8"?>
<ds:datastoreItem xmlns:ds="http://schemas.openxmlformats.org/officeDocument/2006/customXml" ds:itemID="{D33D5F03-1CCD-4DEB-B8D9-3CA33B88C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4EB3-3108-4AEC-A67C-62461260B3FF}">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4.xml><?xml version="1.0" encoding="utf-8"?>
<ds:datastoreItem xmlns:ds="http://schemas.openxmlformats.org/officeDocument/2006/customXml" ds:itemID="{683DD76D-8F36-4BB1-A1F8-7B4A2E953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14140</Words>
  <Characters>8061</Characters>
  <Application>Microsoft Office Word</Application>
  <DocSecurity>0</DocSecurity>
  <Lines>67</Lines>
  <Paragraphs>44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Polpharma</Company>
  <LinksUpToDate>false</LinksUpToDate>
  <CharactersWithSpaces>22157</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Ania_w</dc:creator>
  <cp:keywords/>
  <cp:lastModifiedBy>Skaidrīte Lapsenīte</cp:lastModifiedBy>
  <cp:revision>20</cp:revision>
  <cp:lastPrinted>2019-04-30T08:03:00Z</cp:lastPrinted>
  <dcterms:created xsi:type="dcterms:W3CDTF">2019-04-30T08:04:00Z</dcterms:created>
  <dcterms:modified xsi:type="dcterms:W3CDTF">2022-02-16T06:26:00Z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y fmtid="{D5CDD505-2E9C-101B-9397-08002B2CF9AE}" pid="3" name="MSIP_Label_52c6716a-2832-4ee8-8ee5-b4471006f0c1_Enabled">
    <vt:lpwstr>true</vt:lpwstr>
  </property>
  <property fmtid="{D5CDD505-2E9C-101B-9397-08002B2CF9AE}" pid="4" name="MSIP_Label_52c6716a-2832-4ee8-8ee5-b4471006f0c1_SetDate">
    <vt:lpwstr>2021-12-14T08:11:28Z</vt:lpwstr>
  </property>
  <property fmtid="{D5CDD505-2E9C-101B-9397-08002B2CF9AE}" pid="5" name="MSIP_Label_52c6716a-2832-4ee8-8ee5-b4471006f0c1_Method">
    <vt:lpwstr>Standard</vt:lpwstr>
  </property>
  <property fmtid="{D5CDD505-2E9C-101B-9397-08002B2CF9AE}" pid="6" name="MSIP_Label_52c6716a-2832-4ee8-8ee5-b4471006f0c1_Name">
    <vt:lpwstr>Poufne – Bez Oznaczeń</vt:lpwstr>
  </property>
  <property fmtid="{D5CDD505-2E9C-101B-9397-08002B2CF9AE}" pid="7" name="MSIP_Label_52c6716a-2832-4ee8-8ee5-b4471006f0c1_SiteId">
    <vt:lpwstr>edf3cfc4-ee60-4b92-a2cb-da2c123fc895</vt:lpwstr>
  </property>
  <property fmtid="{D5CDD505-2E9C-101B-9397-08002B2CF9AE}" pid="8" name="MSIP_Label_52c6716a-2832-4ee8-8ee5-b4471006f0c1_ActionId">
    <vt:lpwstr>daba5c23-3574-4d94-a278-c75cc4f86ea2</vt:lpwstr>
  </property>
  <property fmtid="{D5CDD505-2E9C-101B-9397-08002B2CF9AE}" pid="9" name="MSIP_Label_52c6716a-2832-4ee8-8ee5-b4471006f0c1_ContentBits">
    <vt:lpwstr>0</vt:lpwstr>
  </property>
</Properties>
</file>