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506D8" w14:textId="77777777" w:rsidR="00F9193E" w:rsidRPr="00537A29" w:rsidRDefault="00F9193E" w:rsidP="00537A29">
      <w:pPr>
        <w:spacing w:line="240" w:lineRule="auto"/>
        <w:ind w:left="567" w:hanging="567"/>
        <w:jc w:val="center"/>
        <w:rPr>
          <w:b/>
          <w:szCs w:val="22"/>
          <w:lang w:val="lv-LV"/>
        </w:rPr>
      </w:pPr>
      <w:r w:rsidRPr="00537A29">
        <w:rPr>
          <w:b/>
          <w:lang w:val="lv-LV"/>
        </w:rPr>
        <w:t>ZĀĻU APRAKSTS</w:t>
      </w:r>
    </w:p>
    <w:p w14:paraId="034450A8" w14:textId="77777777" w:rsidR="00F9193E" w:rsidRPr="00537A29" w:rsidRDefault="00F9193E" w:rsidP="00537A29">
      <w:pPr>
        <w:tabs>
          <w:tab w:val="clear" w:pos="567"/>
          <w:tab w:val="left" w:pos="708"/>
        </w:tabs>
        <w:spacing w:line="240" w:lineRule="auto"/>
        <w:rPr>
          <w:b/>
          <w:szCs w:val="22"/>
          <w:lang w:val="lv-LV"/>
        </w:rPr>
      </w:pPr>
    </w:p>
    <w:p w14:paraId="6ED6FBBE" w14:textId="77777777" w:rsidR="00F9193E" w:rsidRPr="00537A29" w:rsidRDefault="00F9193E" w:rsidP="00537A29">
      <w:pPr>
        <w:tabs>
          <w:tab w:val="clear" w:pos="567"/>
          <w:tab w:val="left" w:pos="708"/>
        </w:tabs>
        <w:spacing w:line="240" w:lineRule="auto"/>
        <w:rPr>
          <w:b/>
          <w:szCs w:val="22"/>
          <w:lang w:val="lv-LV"/>
        </w:rPr>
      </w:pPr>
    </w:p>
    <w:p w14:paraId="4884A980" w14:textId="77777777" w:rsidR="00F9193E" w:rsidRPr="00537A29" w:rsidRDefault="00F9193E" w:rsidP="00537A29">
      <w:pPr>
        <w:tabs>
          <w:tab w:val="clear" w:pos="567"/>
          <w:tab w:val="left" w:pos="708"/>
        </w:tabs>
        <w:spacing w:line="240" w:lineRule="auto"/>
        <w:rPr>
          <w:iCs/>
          <w:szCs w:val="22"/>
          <w:lang w:val="lv-LV"/>
        </w:rPr>
      </w:pPr>
      <w:r w:rsidRPr="00537A29">
        <w:rPr>
          <w:b/>
          <w:szCs w:val="22"/>
          <w:lang w:val="lv-LV"/>
        </w:rPr>
        <w:t>1.</w:t>
      </w:r>
      <w:r w:rsidRPr="00537A29">
        <w:rPr>
          <w:b/>
          <w:szCs w:val="22"/>
          <w:lang w:val="lv-LV"/>
        </w:rPr>
        <w:tab/>
      </w:r>
      <w:r w:rsidRPr="00537A29">
        <w:rPr>
          <w:b/>
          <w:lang w:val="lv-LV"/>
        </w:rPr>
        <w:t>ZĀĻU NOSAUKUMS</w:t>
      </w:r>
    </w:p>
    <w:p w14:paraId="24677FA0" w14:textId="77777777" w:rsidR="00F9193E" w:rsidRPr="00537A29" w:rsidRDefault="00F9193E" w:rsidP="00537A29">
      <w:pPr>
        <w:tabs>
          <w:tab w:val="clear" w:pos="567"/>
          <w:tab w:val="left" w:pos="708"/>
        </w:tabs>
        <w:spacing w:line="240" w:lineRule="auto"/>
        <w:rPr>
          <w:iCs/>
          <w:szCs w:val="22"/>
          <w:lang w:val="lv-LV"/>
        </w:rPr>
      </w:pPr>
    </w:p>
    <w:p w14:paraId="3197D4B9" w14:textId="77777777" w:rsidR="00F9193E" w:rsidRPr="00537A29" w:rsidRDefault="00F9193E" w:rsidP="00537A29">
      <w:pPr>
        <w:widowControl w:val="0"/>
        <w:tabs>
          <w:tab w:val="clear" w:pos="567"/>
          <w:tab w:val="left" w:pos="708"/>
        </w:tabs>
        <w:spacing w:line="240" w:lineRule="auto"/>
        <w:rPr>
          <w:szCs w:val="22"/>
          <w:lang w:val="lv-LV"/>
        </w:rPr>
      </w:pPr>
      <w:r w:rsidRPr="00537A29">
        <w:rPr>
          <w:szCs w:val="22"/>
          <w:lang w:val="lv-LV"/>
        </w:rPr>
        <w:t>Polmatine 10 mg apvalkotās tabletes</w:t>
      </w:r>
    </w:p>
    <w:p w14:paraId="28C88E82" w14:textId="77777777" w:rsidR="00F9193E" w:rsidRPr="00537A29" w:rsidRDefault="00F9193E" w:rsidP="00537A29">
      <w:pPr>
        <w:widowControl w:val="0"/>
        <w:tabs>
          <w:tab w:val="clear" w:pos="567"/>
          <w:tab w:val="left" w:pos="708"/>
        </w:tabs>
        <w:spacing w:line="240" w:lineRule="auto"/>
        <w:rPr>
          <w:szCs w:val="22"/>
          <w:lang w:val="lv-LV"/>
        </w:rPr>
      </w:pPr>
      <w:r w:rsidRPr="00537A29">
        <w:rPr>
          <w:szCs w:val="22"/>
          <w:lang w:val="lv-LV"/>
        </w:rPr>
        <w:t>Polmatine 20 mg apvalkotās tabletes</w:t>
      </w:r>
    </w:p>
    <w:p w14:paraId="310FC7C7" w14:textId="77777777" w:rsidR="00F9193E" w:rsidRPr="00537A29" w:rsidRDefault="00F9193E" w:rsidP="00537A29">
      <w:pPr>
        <w:widowControl w:val="0"/>
        <w:tabs>
          <w:tab w:val="clear" w:pos="567"/>
          <w:tab w:val="left" w:pos="708"/>
        </w:tabs>
        <w:spacing w:line="240" w:lineRule="auto"/>
        <w:rPr>
          <w:bCs/>
          <w:szCs w:val="22"/>
          <w:lang w:val="lv-LV"/>
        </w:rPr>
      </w:pPr>
    </w:p>
    <w:p w14:paraId="456FD9C3" w14:textId="77777777" w:rsidR="00F9193E" w:rsidRPr="00537A29" w:rsidRDefault="00F9193E" w:rsidP="00537A29">
      <w:pPr>
        <w:widowControl w:val="0"/>
        <w:tabs>
          <w:tab w:val="clear" w:pos="567"/>
          <w:tab w:val="left" w:pos="708"/>
        </w:tabs>
        <w:spacing w:line="240" w:lineRule="auto"/>
        <w:rPr>
          <w:bCs/>
          <w:szCs w:val="22"/>
          <w:lang w:val="lv-LV"/>
        </w:rPr>
      </w:pPr>
    </w:p>
    <w:p w14:paraId="6F01D7B7" w14:textId="77777777" w:rsidR="00F9193E" w:rsidRPr="00537A29" w:rsidRDefault="00F9193E" w:rsidP="00537A29">
      <w:pPr>
        <w:widowControl w:val="0"/>
        <w:tabs>
          <w:tab w:val="clear" w:pos="567"/>
          <w:tab w:val="left" w:pos="708"/>
        </w:tabs>
        <w:spacing w:line="240" w:lineRule="auto"/>
        <w:rPr>
          <w:bCs/>
          <w:szCs w:val="22"/>
          <w:lang w:val="lv-LV"/>
        </w:rPr>
      </w:pPr>
      <w:r w:rsidRPr="00537A29">
        <w:rPr>
          <w:b/>
          <w:szCs w:val="22"/>
          <w:lang w:val="lv-LV"/>
        </w:rPr>
        <w:t>2.</w:t>
      </w:r>
      <w:r w:rsidRPr="00537A29">
        <w:rPr>
          <w:b/>
          <w:szCs w:val="22"/>
          <w:lang w:val="lv-LV"/>
        </w:rPr>
        <w:tab/>
      </w:r>
      <w:r w:rsidRPr="00537A29">
        <w:rPr>
          <w:b/>
          <w:lang w:val="lv-LV"/>
        </w:rPr>
        <w:t>KVALITATĪVAIS UN KVANTITATĪVAIS SASTĀVS</w:t>
      </w:r>
    </w:p>
    <w:p w14:paraId="34BD8B6E" w14:textId="77777777" w:rsidR="00F9193E" w:rsidRPr="00537A29" w:rsidRDefault="00F9193E" w:rsidP="00537A29">
      <w:pPr>
        <w:widowControl w:val="0"/>
        <w:tabs>
          <w:tab w:val="clear" w:pos="567"/>
          <w:tab w:val="left" w:pos="708"/>
        </w:tabs>
        <w:spacing w:line="240" w:lineRule="auto"/>
        <w:rPr>
          <w:bCs/>
          <w:szCs w:val="22"/>
          <w:lang w:val="lv-LV"/>
        </w:rPr>
      </w:pPr>
    </w:p>
    <w:p w14:paraId="669ACFDA" w14:textId="77777777" w:rsidR="00F9193E" w:rsidRPr="00537A29" w:rsidRDefault="00F9193E" w:rsidP="00537A29">
      <w:pPr>
        <w:widowControl w:val="0"/>
        <w:tabs>
          <w:tab w:val="clear" w:pos="567"/>
          <w:tab w:val="left" w:pos="708"/>
        </w:tabs>
        <w:spacing w:line="240" w:lineRule="auto"/>
        <w:rPr>
          <w:szCs w:val="22"/>
          <w:lang w:val="lv-LV"/>
        </w:rPr>
      </w:pPr>
      <w:r w:rsidRPr="00537A29">
        <w:rPr>
          <w:szCs w:val="22"/>
          <w:lang w:val="lv-LV"/>
        </w:rPr>
        <w:t>Polmatine 10 mg: katra apvalkotā tablete satur 10 mg memantīna hidrohlorīda (</w:t>
      </w:r>
      <w:r w:rsidRPr="00537A29">
        <w:rPr>
          <w:i/>
          <w:iCs/>
          <w:szCs w:val="22"/>
          <w:lang w:val="lv-LV"/>
        </w:rPr>
        <w:t xml:space="preserve">Memantini hydrochloridum), </w:t>
      </w:r>
      <w:r w:rsidRPr="00537A29">
        <w:rPr>
          <w:szCs w:val="22"/>
          <w:lang w:val="lv-LV"/>
        </w:rPr>
        <w:t>kas atbilst 8,31 mg memantīna.</w:t>
      </w:r>
    </w:p>
    <w:p w14:paraId="5C24D6AE" w14:textId="77777777" w:rsidR="00F9193E" w:rsidRPr="00537A29" w:rsidRDefault="00F9193E" w:rsidP="00537A29">
      <w:pPr>
        <w:widowControl w:val="0"/>
        <w:tabs>
          <w:tab w:val="clear" w:pos="567"/>
          <w:tab w:val="left" w:pos="708"/>
        </w:tabs>
        <w:spacing w:line="240" w:lineRule="auto"/>
        <w:rPr>
          <w:szCs w:val="22"/>
          <w:lang w:val="lv-LV"/>
        </w:rPr>
      </w:pPr>
    </w:p>
    <w:p w14:paraId="0C4CAE0D" w14:textId="77777777" w:rsidR="00F9193E" w:rsidRPr="00537A29" w:rsidRDefault="00F9193E" w:rsidP="00537A29">
      <w:pPr>
        <w:tabs>
          <w:tab w:val="clear" w:pos="567"/>
          <w:tab w:val="left" w:pos="708"/>
        </w:tabs>
        <w:spacing w:line="240" w:lineRule="auto"/>
        <w:rPr>
          <w:szCs w:val="22"/>
          <w:lang w:val="lv-LV"/>
        </w:rPr>
      </w:pPr>
      <w:r w:rsidRPr="00537A29">
        <w:rPr>
          <w:szCs w:val="22"/>
          <w:lang w:val="lv-LV"/>
        </w:rPr>
        <w:t>Polmatine 20 mg: katra apvalkotā tablete satur 20 mg memantīna hidrohlorīda (</w:t>
      </w:r>
      <w:r w:rsidRPr="00537A29">
        <w:rPr>
          <w:i/>
          <w:iCs/>
          <w:szCs w:val="22"/>
          <w:lang w:val="lv-LV"/>
        </w:rPr>
        <w:t>Memantini hydrochloridum)</w:t>
      </w:r>
      <w:r w:rsidRPr="00537A29">
        <w:rPr>
          <w:szCs w:val="22"/>
          <w:lang w:val="lv-LV"/>
        </w:rPr>
        <w:t>, kas atbilst</w:t>
      </w:r>
      <w:r w:rsidRPr="00537A29">
        <w:rPr>
          <w:szCs w:val="22"/>
          <w:lang w:val="lv-LV" w:eastAsia="pl-PL"/>
        </w:rPr>
        <w:t xml:space="preserve"> 16,62 mg memantīna.</w:t>
      </w:r>
    </w:p>
    <w:p w14:paraId="74BDDE38" w14:textId="77777777" w:rsidR="00F9193E" w:rsidRPr="00537A29" w:rsidRDefault="00F9193E" w:rsidP="00537A29">
      <w:pPr>
        <w:widowControl w:val="0"/>
        <w:tabs>
          <w:tab w:val="clear" w:pos="567"/>
          <w:tab w:val="left" w:pos="708"/>
        </w:tabs>
        <w:spacing w:line="240" w:lineRule="auto"/>
        <w:rPr>
          <w:b/>
          <w:bCs/>
          <w:szCs w:val="22"/>
          <w:lang w:val="lv-LV"/>
        </w:rPr>
      </w:pPr>
    </w:p>
    <w:p w14:paraId="3302FEB5" w14:textId="77777777" w:rsidR="00F9193E" w:rsidRPr="00537A29" w:rsidRDefault="00F9193E" w:rsidP="00537A29">
      <w:pPr>
        <w:pStyle w:val="EMEAEnBodyText"/>
        <w:autoSpaceDE w:val="0"/>
        <w:autoSpaceDN w:val="0"/>
        <w:adjustRightInd w:val="0"/>
        <w:spacing w:before="0" w:after="0"/>
        <w:rPr>
          <w:bCs/>
          <w:szCs w:val="22"/>
          <w:lang w:val="lv-LV"/>
        </w:rPr>
      </w:pPr>
      <w:r w:rsidRPr="00A14B1C">
        <w:rPr>
          <w:bCs/>
          <w:szCs w:val="22"/>
          <w:u w:val="single"/>
          <w:lang w:val="lv-LV"/>
        </w:rPr>
        <w:t>Palīgviela ar zināmu iedarbību:</w:t>
      </w:r>
      <w:r w:rsidRPr="00537A29">
        <w:rPr>
          <w:bCs/>
          <w:szCs w:val="22"/>
          <w:lang w:val="lv-LV"/>
        </w:rPr>
        <w:t xml:space="preserve"> laktozes monohidrāts.</w:t>
      </w:r>
    </w:p>
    <w:p w14:paraId="14F2430B" w14:textId="77777777" w:rsidR="00F9193E" w:rsidRPr="00537A29" w:rsidRDefault="00F9193E" w:rsidP="00537A29">
      <w:pPr>
        <w:pStyle w:val="EMEAEnBodyText"/>
        <w:autoSpaceDE w:val="0"/>
        <w:autoSpaceDN w:val="0"/>
        <w:adjustRightInd w:val="0"/>
        <w:spacing w:before="0" w:after="0"/>
        <w:rPr>
          <w:bCs/>
          <w:szCs w:val="22"/>
          <w:lang w:val="lv-LV"/>
        </w:rPr>
      </w:pPr>
      <w:r w:rsidRPr="00537A29">
        <w:rPr>
          <w:szCs w:val="22"/>
          <w:lang w:val="lv-LV"/>
        </w:rPr>
        <w:t>Polmatine 10 mg: katra tablete satur</w:t>
      </w:r>
      <w:r w:rsidRPr="00537A29">
        <w:rPr>
          <w:bCs/>
          <w:szCs w:val="22"/>
          <w:lang w:val="lv-LV"/>
        </w:rPr>
        <w:t xml:space="preserve"> 55 mg laktozes monohidrāta.</w:t>
      </w:r>
    </w:p>
    <w:p w14:paraId="2D02B5F1" w14:textId="77777777" w:rsidR="00F9193E" w:rsidRPr="00537A29" w:rsidRDefault="00F9193E" w:rsidP="00537A29">
      <w:pPr>
        <w:pStyle w:val="EMEAEnBodyText"/>
        <w:autoSpaceDE w:val="0"/>
        <w:autoSpaceDN w:val="0"/>
        <w:adjustRightInd w:val="0"/>
        <w:spacing w:before="0" w:after="0"/>
        <w:rPr>
          <w:bCs/>
          <w:szCs w:val="22"/>
          <w:lang w:val="lv-LV"/>
        </w:rPr>
      </w:pPr>
      <w:r w:rsidRPr="00537A29">
        <w:rPr>
          <w:szCs w:val="22"/>
          <w:lang w:val="lv-LV"/>
        </w:rPr>
        <w:t>Polmatine 20 mg: katra tablete satur</w:t>
      </w:r>
      <w:r w:rsidRPr="00537A29">
        <w:rPr>
          <w:bCs/>
          <w:szCs w:val="22"/>
          <w:lang w:val="lv-LV"/>
        </w:rPr>
        <w:t xml:space="preserve"> 110 mg laktozes monohidrāta.</w:t>
      </w:r>
    </w:p>
    <w:p w14:paraId="5C0ABA30" w14:textId="77777777" w:rsidR="00F9193E" w:rsidRPr="00537A29" w:rsidRDefault="00F9193E" w:rsidP="00537A29">
      <w:pPr>
        <w:tabs>
          <w:tab w:val="clear" w:pos="567"/>
          <w:tab w:val="left" w:pos="708"/>
        </w:tabs>
        <w:spacing w:line="240" w:lineRule="auto"/>
        <w:rPr>
          <w:lang w:val="lv-LV"/>
        </w:rPr>
      </w:pPr>
    </w:p>
    <w:p w14:paraId="2295A2E6" w14:textId="77777777" w:rsidR="00F9193E" w:rsidRPr="00537A29" w:rsidRDefault="00F9193E" w:rsidP="00537A29">
      <w:pPr>
        <w:tabs>
          <w:tab w:val="clear" w:pos="567"/>
          <w:tab w:val="left" w:pos="708"/>
        </w:tabs>
        <w:spacing w:line="240" w:lineRule="auto"/>
        <w:rPr>
          <w:szCs w:val="22"/>
          <w:lang w:val="lv-LV"/>
        </w:rPr>
      </w:pPr>
      <w:r w:rsidRPr="00537A29">
        <w:rPr>
          <w:lang w:val="lv-LV"/>
        </w:rPr>
        <w:t>Pilnu palīgvielu sarakstu skatīt 6.1</w:t>
      </w:r>
      <w:r w:rsidR="00301C51" w:rsidRPr="00537A29">
        <w:rPr>
          <w:lang w:val="lv-LV"/>
        </w:rPr>
        <w:t>.</w:t>
      </w:r>
      <w:r w:rsidRPr="00537A29">
        <w:rPr>
          <w:lang w:val="lv-LV"/>
        </w:rPr>
        <w:t xml:space="preserve"> apakšpunktā</w:t>
      </w:r>
      <w:r w:rsidRPr="00537A29">
        <w:rPr>
          <w:szCs w:val="22"/>
          <w:lang w:val="lv-LV"/>
        </w:rPr>
        <w:t>.</w:t>
      </w:r>
    </w:p>
    <w:p w14:paraId="619714C3" w14:textId="77777777" w:rsidR="00F9193E" w:rsidRPr="00537A29" w:rsidRDefault="00F9193E" w:rsidP="00537A29">
      <w:pPr>
        <w:tabs>
          <w:tab w:val="clear" w:pos="567"/>
          <w:tab w:val="left" w:pos="708"/>
        </w:tabs>
        <w:spacing w:line="240" w:lineRule="auto"/>
        <w:rPr>
          <w:szCs w:val="22"/>
          <w:lang w:val="lv-LV"/>
        </w:rPr>
      </w:pPr>
    </w:p>
    <w:p w14:paraId="7C047A6B" w14:textId="77777777" w:rsidR="00F9193E" w:rsidRPr="00537A29" w:rsidRDefault="00F9193E" w:rsidP="00537A29">
      <w:pPr>
        <w:tabs>
          <w:tab w:val="clear" w:pos="567"/>
          <w:tab w:val="left" w:pos="708"/>
        </w:tabs>
        <w:spacing w:line="240" w:lineRule="auto"/>
        <w:rPr>
          <w:szCs w:val="22"/>
          <w:lang w:val="lv-LV"/>
        </w:rPr>
      </w:pPr>
    </w:p>
    <w:p w14:paraId="52D94532" w14:textId="77777777" w:rsidR="00F9193E" w:rsidRPr="00537A29" w:rsidRDefault="00F9193E" w:rsidP="00537A29">
      <w:pPr>
        <w:tabs>
          <w:tab w:val="clear" w:pos="567"/>
          <w:tab w:val="left" w:pos="708"/>
        </w:tabs>
        <w:spacing w:line="240" w:lineRule="auto"/>
        <w:ind w:left="567" w:hanging="567"/>
        <w:rPr>
          <w:szCs w:val="22"/>
          <w:lang w:val="lv-LV"/>
        </w:rPr>
      </w:pPr>
      <w:r w:rsidRPr="00537A29">
        <w:rPr>
          <w:b/>
          <w:szCs w:val="22"/>
          <w:lang w:val="lv-LV"/>
        </w:rPr>
        <w:t>3.</w:t>
      </w:r>
      <w:r w:rsidRPr="00537A29">
        <w:rPr>
          <w:b/>
          <w:szCs w:val="22"/>
          <w:lang w:val="lv-LV"/>
        </w:rPr>
        <w:tab/>
      </w:r>
      <w:r w:rsidRPr="00537A29">
        <w:rPr>
          <w:b/>
          <w:lang w:val="lv-LV"/>
        </w:rPr>
        <w:t>ZĀĻU FORMA</w:t>
      </w:r>
    </w:p>
    <w:p w14:paraId="74405F69" w14:textId="77777777" w:rsidR="00F9193E" w:rsidRPr="00537A29" w:rsidRDefault="00F9193E" w:rsidP="00537A29">
      <w:pPr>
        <w:autoSpaceDE w:val="0"/>
        <w:spacing w:line="240" w:lineRule="auto"/>
        <w:jc w:val="both"/>
        <w:rPr>
          <w:szCs w:val="22"/>
          <w:lang w:val="lv-LV"/>
        </w:rPr>
      </w:pPr>
    </w:p>
    <w:p w14:paraId="64992D96" w14:textId="77777777" w:rsidR="00F9193E" w:rsidRPr="00537A29" w:rsidRDefault="00F9193E" w:rsidP="00537A29">
      <w:pPr>
        <w:autoSpaceDE w:val="0"/>
        <w:autoSpaceDN w:val="0"/>
        <w:adjustRightInd w:val="0"/>
        <w:spacing w:line="240" w:lineRule="auto"/>
        <w:jc w:val="both"/>
        <w:rPr>
          <w:szCs w:val="16"/>
          <w:lang w:val="lv-LV"/>
        </w:rPr>
      </w:pPr>
      <w:r w:rsidRPr="00537A29">
        <w:rPr>
          <w:szCs w:val="16"/>
          <w:lang w:val="lv-LV"/>
        </w:rPr>
        <w:t>Apvalkotā tablete.</w:t>
      </w:r>
    </w:p>
    <w:p w14:paraId="6376C9CD" w14:textId="77777777" w:rsidR="00F9193E" w:rsidRPr="00537A29" w:rsidRDefault="00F9193E" w:rsidP="00537A29">
      <w:pPr>
        <w:tabs>
          <w:tab w:val="clear" w:pos="567"/>
          <w:tab w:val="left" w:pos="708"/>
        </w:tabs>
        <w:spacing w:line="240" w:lineRule="auto"/>
        <w:rPr>
          <w:szCs w:val="22"/>
          <w:lang w:val="lv-LV"/>
        </w:rPr>
      </w:pPr>
    </w:p>
    <w:p w14:paraId="5F28B668" w14:textId="77777777" w:rsidR="00F9193E" w:rsidRPr="00537A29" w:rsidRDefault="00F9193E" w:rsidP="00537A29">
      <w:pPr>
        <w:spacing w:line="240" w:lineRule="auto"/>
        <w:rPr>
          <w:sz w:val="24"/>
          <w:szCs w:val="24"/>
          <w:lang w:val="lv-LV" w:eastAsia="pl-PL"/>
        </w:rPr>
      </w:pPr>
      <w:r w:rsidRPr="00537A29">
        <w:rPr>
          <w:szCs w:val="22"/>
          <w:lang w:val="lv-LV"/>
        </w:rPr>
        <w:t>Polmatine 10 mg: apvalkotas, iegarenas</w:t>
      </w:r>
      <w:r w:rsidRPr="00537A29">
        <w:rPr>
          <w:szCs w:val="16"/>
          <w:lang w:val="lv-LV"/>
        </w:rPr>
        <w:t xml:space="preserve">, abpusēji izliektas, </w:t>
      </w:r>
      <w:r w:rsidRPr="00537A29">
        <w:rPr>
          <w:color w:val="000000"/>
          <w:szCs w:val="22"/>
          <w:lang w:val="lv-LV" w:eastAsia="pl-PL"/>
        </w:rPr>
        <w:t>9,5 x 4,5 mm</w:t>
      </w:r>
      <w:r w:rsidRPr="00537A29">
        <w:rPr>
          <w:szCs w:val="16"/>
          <w:lang w:val="lv-LV"/>
        </w:rPr>
        <w:t xml:space="preserve"> tabletes, baltas vai gandrīz baltas, ar dalījuma līniju, pēc salaušanas tabletes kodola krāsa ir balta vai gandrīz balta.</w:t>
      </w:r>
      <w:r w:rsidRPr="00537A29">
        <w:rPr>
          <w:color w:val="000000"/>
          <w:sz w:val="20"/>
          <w:lang w:val="lv-LV"/>
        </w:rPr>
        <w:t xml:space="preserve"> </w:t>
      </w:r>
    </w:p>
    <w:p w14:paraId="37EA9411" w14:textId="77777777" w:rsidR="00F9193E" w:rsidRPr="00537A29" w:rsidRDefault="00F9193E" w:rsidP="00537A29">
      <w:pPr>
        <w:tabs>
          <w:tab w:val="clear" w:pos="567"/>
          <w:tab w:val="left" w:pos="708"/>
        </w:tabs>
        <w:spacing w:line="240" w:lineRule="auto"/>
        <w:rPr>
          <w:szCs w:val="22"/>
          <w:lang w:val="lv-LV"/>
        </w:rPr>
      </w:pPr>
      <w:r w:rsidRPr="00537A29">
        <w:rPr>
          <w:lang w:val="lv-LV"/>
        </w:rPr>
        <w:t>Tablet</w:t>
      </w:r>
      <w:r w:rsidR="00537A29" w:rsidRPr="00537A29">
        <w:rPr>
          <w:lang w:val="lv-LV"/>
        </w:rPr>
        <w:t>i</w:t>
      </w:r>
      <w:r w:rsidRPr="00537A29">
        <w:rPr>
          <w:lang w:val="lv-LV"/>
        </w:rPr>
        <w:t xml:space="preserve"> var sadalīt vienādās devās.</w:t>
      </w:r>
    </w:p>
    <w:p w14:paraId="3D3F1350" w14:textId="77777777" w:rsidR="00F9193E" w:rsidRPr="00537A29" w:rsidRDefault="00F9193E" w:rsidP="00537A29">
      <w:pPr>
        <w:spacing w:line="240" w:lineRule="auto"/>
        <w:rPr>
          <w:lang w:val="lv-LV"/>
        </w:rPr>
      </w:pPr>
    </w:p>
    <w:p w14:paraId="37D4B450" w14:textId="77777777" w:rsidR="00F9193E" w:rsidRPr="00537A29" w:rsidRDefault="00F9193E" w:rsidP="00537A29">
      <w:pPr>
        <w:spacing w:line="240" w:lineRule="auto"/>
        <w:rPr>
          <w:sz w:val="24"/>
          <w:szCs w:val="24"/>
          <w:lang w:val="lv-LV" w:eastAsia="pl-PL"/>
        </w:rPr>
      </w:pPr>
      <w:r w:rsidRPr="00537A29">
        <w:rPr>
          <w:szCs w:val="22"/>
          <w:lang w:val="lv-LV"/>
        </w:rPr>
        <w:t>Polmatine 20 mg: apvalkotas, iegarenas</w:t>
      </w:r>
      <w:r w:rsidRPr="00537A29">
        <w:rPr>
          <w:szCs w:val="16"/>
          <w:lang w:val="lv-LV"/>
        </w:rPr>
        <w:t xml:space="preserve">, abpusēji izliektas, </w:t>
      </w:r>
      <w:r w:rsidRPr="00537A29">
        <w:rPr>
          <w:color w:val="000000"/>
          <w:szCs w:val="22"/>
          <w:lang w:val="lv-LV" w:eastAsia="pl-PL"/>
        </w:rPr>
        <w:t>12,5 x 5,6 mm</w:t>
      </w:r>
      <w:r w:rsidRPr="00537A29">
        <w:rPr>
          <w:szCs w:val="16"/>
          <w:lang w:val="lv-LV"/>
        </w:rPr>
        <w:t xml:space="preserve"> tabletes, rozā, ar sašaurinājumu un abpusēju dalījuma līniju, pēc salaušanas tabletes kodola krāsa ir balta vai gandrīz balta.</w:t>
      </w:r>
    </w:p>
    <w:p w14:paraId="76162924" w14:textId="77777777" w:rsidR="00F9193E" w:rsidRPr="00537A29" w:rsidRDefault="00F9193E" w:rsidP="00537A29">
      <w:pPr>
        <w:tabs>
          <w:tab w:val="clear" w:pos="567"/>
          <w:tab w:val="left" w:pos="708"/>
        </w:tabs>
        <w:spacing w:line="240" w:lineRule="auto"/>
        <w:rPr>
          <w:szCs w:val="22"/>
          <w:lang w:val="lv-LV"/>
        </w:rPr>
      </w:pPr>
      <w:r w:rsidRPr="00537A29">
        <w:rPr>
          <w:lang w:val="lv-LV"/>
        </w:rPr>
        <w:t>Tablet</w:t>
      </w:r>
      <w:r w:rsidR="00537A29" w:rsidRPr="00537A29">
        <w:rPr>
          <w:lang w:val="lv-LV"/>
        </w:rPr>
        <w:t>i</w:t>
      </w:r>
      <w:r w:rsidRPr="00537A29">
        <w:rPr>
          <w:lang w:val="lv-LV"/>
        </w:rPr>
        <w:t xml:space="preserve"> var sadalīt vienādās devās.</w:t>
      </w:r>
    </w:p>
    <w:p w14:paraId="4B35403D" w14:textId="77777777" w:rsidR="00F9193E" w:rsidRPr="00537A29" w:rsidRDefault="00F9193E" w:rsidP="00537A29">
      <w:pPr>
        <w:tabs>
          <w:tab w:val="clear" w:pos="567"/>
          <w:tab w:val="left" w:pos="708"/>
        </w:tabs>
        <w:spacing w:line="240" w:lineRule="auto"/>
        <w:rPr>
          <w:szCs w:val="22"/>
          <w:lang w:val="lv-LV"/>
        </w:rPr>
      </w:pPr>
    </w:p>
    <w:p w14:paraId="54EE4F3B" w14:textId="77777777" w:rsidR="00F9193E" w:rsidRPr="00537A29" w:rsidRDefault="00F9193E" w:rsidP="00537A29">
      <w:pPr>
        <w:tabs>
          <w:tab w:val="clear" w:pos="567"/>
          <w:tab w:val="left" w:pos="708"/>
        </w:tabs>
        <w:spacing w:line="240" w:lineRule="auto"/>
        <w:rPr>
          <w:szCs w:val="22"/>
          <w:lang w:val="lv-LV"/>
        </w:rPr>
      </w:pPr>
    </w:p>
    <w:p w14:paraId="556279ED" w14:textId="77777777" w:rsidR="00F9193E" w:rsidRPr="00537A29" w:rsidRDefault="00F9193E" w:rsidP="00537A29">
      <w:pPr>
        <w:tabs>
          <w:tab w:val="clear" w:pos="567"/>
        </w:tabs>
        <w:spacing w:line="240" w:lineRule="auto"/>
        <w:ind w:left="567" w:hanging="567"/>
        <w:rPr>
          <w:lang w:val="lv-LV"/>
        </w:rPr>
      </w:pPr>
      <w:r w:rsidRPr="00537A29">
        <w:rPr>
          <w:b/>
          <w:caps/>
          <w:szCs w:val="22"/>
          <w:lang w:val="lv-LV"/>
        </w:rPr>
        <w:t>4.</w:t>
      </w:r>
      <w:r w:rsidRPr="00537A29">
        <w:rPr>
          <w:b/>
          <w:caps/>
          <w:szCs w:val="22"/>
          <w:lang w:val="lv-LV"/>
        </w:rPr>
        <w:tab/>
      </w:r>
      <w:r w:rsidRPr="00537A29">
        <w:rPr>
          <w:b/>
          <w:caps/>
          <w:lang w:val="lv-LV"/>
        </w:rPr>
        <w:t xml:space="preserve">KLĪNISKĀ INFORMĀCIJA </w:t>
      </w:r>
    </w:p>
    <w:p w14:paraId="3DEC5DBA" w14:textId="77777777" w:rsidR="00F9193E" w:rsidRPr="00537A29" w:rsidRDefault="00F9193E" w:rsidP="00537A29">
      <w:pPr>
        <w:spacing w:line="240" w:lineRule="auto"/>
        <w:ind w:left="567" w:hanging="567"/>
        <w:rPr>
          <w:lang w:val="lv-LV"/>
        </w:rPr>
      </w:pPr>
    </w:p>
    <w:p w14:paraId="2FD4803D" w14:textId="77777777" w:rsidR="00F9193E" w:rsidRPr="00537A29" w:rsidRDefault="00F9193E" w:rsidP="00537A29">
      <w:pPr>
        <w:tabs>
          <w:tab w:val="clear" w:pos="567"/>
        </w:tabs>
        <w:spacing w:line="240" w:lineRule="auto"/>
        <w:ind w:left="567" w:hanging="567"/>
        <w:rPr>
          <w:szCs w:val="22"/>
          <w:lang w:val="lv-LV"/>
        </w:rPr>
      </w:pPr>
      <w:r w:rsidRPr="00537A29">
        <w:rPr>
          <w:b/>
          <w:lang w:val="lv-LV"/>
        </w:rPr>
        <w:t>4.1</w:t>
      </w:r>
      <w:r w:rsidR="00301C51" w:rsidRPr="00537A29">
        <w:rPr>
          <w:b/>
          <w:lang w:val="lv-LV"/>
        </w:rPr>
        <w:t>.</w:t>
      </w:r>
      <w:r w:rsidRPr="00537A29">
        <w:rPr>
          <w:b/>
          <w:lang w:val="lv-LV"/>
        </w:rPr>
        <w:tab/>
        <w:t>Terapeitiskās indikācijas</w:t>
      </w:r>
    </w:p>
    <w:p w14:paraId="06486B92" w14:textId="77777777" w:rsidR="00F9193E" w:rsidRPr="00537A29" w:rsidRDefault="00F9193E" w:rsidP="00537A29">
      <w:pPr>
        <w:tabs>
          <w:tab w:val="clear" w:pos="567"/>
          <w:tab w:val="left" w:pos="708"/>
        </w:tabs>
        <w:spacing w:line="240" w:lineRule="auto"/>
        <w:rPr>
          <w:szCs w:val="22"/>
          <w:lang w:val="lv-LV"/>
        </w:rPr>
      </w:pPr>
    </w:p>
    <w:p w14:paraId="2353777D" w14:textId="77777777" w:rsidR="00F9193E" w:rsidRPr="00537A29" w:rsidRDefault="00F9193E" w:rsidP="00537A29">
      <w:pPr>
        <w:tabs>
          <w:tab w:val="clear" w:pos="567"/>
          <w:tab w:val="left" w:pos="708"/>
        </w:tabs>
        <w:spacing w:line="240" w:lineRule="auto"/>
        <w:rPr>
          <w:szCs w:val="22"/>
          <w:lang w:val="lv-LV"/>
        </w:rPr>
      </w:pPr>
      <w:r w:rsidRPr="00537A29">
        <w:rPr>
          <w:szCs w:val="22"/>
          <w:lang w:val="lv-LV"/>
        </w:rPr>
        <w:t>Pacientu ar vidēji smagu vai smagu Alcheimera slimību ārstēšana.</w:t>
      </w:r>
    </w:p>
    <w:p w14:paraId="541BB9C5" w14:textId="77777777" w:rsidR="00F9193E" w:rsidRPr="00537A29" w:rsidRDefault="00F9193E" w:rsidP="00537A29">
      <w:pPr>
        <w:tabs>
          <w:tab w:val="clear" w:pos="567"/>
          <w:tab w:val="left" w:pos="708"/>
        </w:tabs>
        <w:spacing w:line="240" w:lineRule="auto"/>
        <w:rPr>
          <w:szCs w:val="22"/>
          <w:lang w:val="lv-LV"/>
        </w:rPr>
      </w:pPr>
    </w:p>
    <w:p w14:paraId="46B29FB8" w14:textId="77777777" w:rsidR="00F9193E" w:rsidRPr="00537A29" w:rsidRDefault="00301C51" w:rsidP="00A14B1C">
      <w:pPr>
        <w:tabs>
          <w:tab w:val="clear" w:pos="567"/>
        </w:tabs>
        <w:spacing w:line="240" w:lineRule="auto"/>
        <w:rPr>
          <w:b/>
          <w:szCs w:val="22"/>
          <w:lang w:val="lv-LV"/>
        </w:rPr>
      </w:pPr>
      <w:r w:rsidRPr="00537A29">
        <w:rPr>
          <w:b/>
          <w:lang w:val="lv-LV"/>
        </w:rPr>
        <w:t>4.2.</w:t>
      </w:r>
      <w:r w:rsidRPr="00537A29">
        <w:rPr>
          <w:b/>
          <w:lang w:val="lv-LV"/>
        </w:rPr>
        <w:tab/>
      </w:r>
      <w:r w:rsidR="00F9193E" w:rsidRPr="00537A29">
        <w:rPr>
          <w:b/>
          <w:lang w:val="lv-LV"/>
        </w:rPr>
        <w:t>Devas un lietošanas veids</w:t>
      </w:r>
    </w:p>
    <w:p w14:paraId="4DA637ED" w14:textId="77777777" w:rsidR="00F9193E" w:rsidRPr="00537A29" w:rsidRDefault="00F9193E" w:rsidP="00537A29">
      <w:pPr>
        <w:tabs>
          <w:tab w:val="clear" w:pos="567"/>
          <w:tab w:val="left" w:pos="708"/>
        </w:tabs>
        <w:spacing w:line="240" w:lineRule="auto"/>
        <w:rPr>
          <w:b/>
          <w:szCs w:val="22"/>
          <w:lang w:val="lv-LV"/>
        </w:rPr>
      </w:pPr>
    </w:p>
    <w:p w14:paraId="7CBC5004" w14:textId="77777777" w:rsidR="00F9193E" w:rsidRPr="00537A29" w:rsidRDefault="00F9193E" w:rsidP="00537A29">
      <w:pPr>
        <w:tabs>
          <w:tab w:val="clear" w:pos="567"/>
        </w:tabs>
        <w:autoSpaceDE w:val="0"/>
        <w:spacing w:line="240" w:lineRule="auto"/>
        <w:rPr>
          <w:szCs w:val="22"/>
          <w:u w:val="single"/>
          <w:lang w:val="lv-LV"/>
        </w:rPr>
      </w:pPr>
      <w:r w:rsidRPr="00537A29">
        <w:rPr>
          <w:szCs w:val="22"/>
          <w:lang w:val="lv-LV"/>
        </w:rPr>
        <w:t>Ārstēšana jāsāk un jāuzrauga Alcheimera demences diagnosticēšanā un ārstēšanā pieredzējušam ārstam. Ārstēšana jāsāk tikai tad, ja ir pieejams kopējs, kas regulāri uzraudzīs, vai pacients lieto zāles. Diagnoze jānosaka atbilstoši spēkā esošajām vadlīnijām. Memantīna panesamība un deva regulāri jāizvērtē, vēlams trīs mēnešus pēc ārstēšanas uzsākšanas. Pēc tam memantīna klīniskā iedarbība un terapijas panesamība regulāri jāizvērtē atbilstoši spēkā esošajām klīniskām vadlīnijām. Balstterapiju var turpināt, kamēr vērojams terapeitisks ieguvums un pacientam ir laba memantīna terapijas panesamība. Memantīna lietošanas pārtraukšana jāapsver, kad vairs nav vērojama terapeitiska iedarbība vai ja pacients slikti panes terapiju.</w:t>
      </w:r>
    </w:p>
    <w:p w14:paraId="5F56B03F" w14:textId="77777777" w:rsidR="00F9193E" w:rsidRPr="00537A29" w:rsidRDefault="00F9193E" w:rsidP="00537A29">
      <w:pPr>
        <w:tabs>
          <w:tab w:val="clear" w:pos="567"/>
          <w:tab w:val="left" w:pos="708"/>
        </w:tabs>
        <w:spacing w:line="240" w:lineRule="auto"/>
        <w:rPr>
          <w:szCs w:val="22"/>
          <w:u w:val="single"/>
          <w:lang w:val="lv-LV"/>
        </w:rPr>
      </w:pPr>
    </w:p>
    <w:p w14:paraId="1BB45866" w14:textId="77777777" w:rsidR="00F9193E" w:rsidRPr="00537A29" w:rsidRDefault="00F9193E" w:rsidP="00537A29">
      <w:pPr>
        <w:tabs>
          <w:tab w:val="clear" w:pos="567"/>
          <w:tab w:val="left" w:pos="708"/>
        </w:tabs>
        <w:spacing w:line="240" w:lineRule="auto"/>
        <w:rPr>
          <w:szCs w:val="22"/>
          <w:lang w:val="lv-LV"/>
        </w:rPr>
      </w:pPr>
      <w:r w:rsidRPr="00537A29">
        <w:rPr>
          <w:szCs w:val="22"/>
          <w:u w:val="single"/>
          <w:lang w:val="lv-LV"/>
        </w:rPr>
        <w:lastRenderedPageBreak/>
        <w:t>Devas</w:t>
      </w:r>
    </w:p>
    <w:p w14:paraId="70B01007" w14:textId="77777777" w:rsidR="00F9193E" w:rsidRPr="00537A29" w:rsidRDefault="00F9193E" w:rsidP="00537A29">
      <w:pPr>
        <w:tabs>
          <w:tab w:val="clear" w:pos="567"/>
        </w:tabs>
        <w:autoSpaceDE w:val="0"/>
        <w:spacing w:line="240" w:lineRule="auto"/>
        <w:rPr>
          <w:szCs w:val="22"/>
          <w:lang w:val="lv-LV"/>
        </w:rPr>
      </w:pPr>
    </w:p>
    <w:p w14:paraId="2D63C79E" w14:textId="77777777" w:rsidR="00F9193E" w:rsidRPr="00537A29" w:rsidRDefault="00F9193E" w:rsidP="00537A29">
      <w:pPr>
        <w:tabs>
          <w:tab w:val="clear" w:pos="567"/>
        </w:tabs>
        <w:autoSpaceDE w:val="0"/>
        <w:spacing w:line="240" w:lineRule="auto"/>
        <w:rPr>
          <w:szCs w:val="22"/>
          <w:lang w:val="lv-LV"/>
        </w:rPr>
      </w:pPr>
      <w:r w:rsidRPr="00537A29">
        <w:rPr>
          <w:i/>
          <w:iCs/>
          <w:szCs w:val="22"/>
          <w:lang w:val="lv-LV"/>
        </w:rPr>
        <w:t>Pieaugušie</w:t>
      </w:r>
    </w:p>
    <w:p w14:paraId="67EDC19A" w14:textId="77777777" w:rsidR="00F9193E" w:rsidRPr="00537A29" w:rsidRDefault="00F9193E" w:rsidP="00537A29">
      <w:pPr>
        <w:tabs>
          <w:tab w:val="clear" w:pos="567"/>
        </w:tabs>
        <w:autoSpaceDE w:val="0"/>
        <w:spacing w:line="240" w:lineRule="auto"/>
        <w:rPr>
          <w:szCs w:val="22"/>
          <w:lang w:val="lv-LV"/>
        </w:rPr>
      </w:pPr>
    </w:p>
    <w:p w14:paraId="27291C8B" w14:textId="77777777" w:rsidR="00F9193E" w:rsidRPr="00537A29" w:rsidRDefault="00F9193E" w:rsidP="00537A29">
      <w:pPr>
        <w:tabs>
          <w:tab w:val="clear" w:pos="567"/>
        </w:tabs>
        <w:autoSpaceDE w:val="0"/>
        <w:spacing w:line="240" w:lineRule="auto"/>
        <w:rPr>
          <w:szCs w:val="22"/>
          <w:lang w:val="lv-LV"/>
        </w:rPr>
      </w:pPr>
      <w:r w:rsidRPr="00537A29">
        <w:rPr>
          <w:szCs w:val="22"/>
          <w:lang w:val="lv-LV"/>
        </w:rPr>
        <w:t>Devas titrēšana</w:t>
      </w:r>
    </w:p>
    <w:p w14:paraId="6F38D40A" w14:textId="77777777" w:rsidR="00F9193E" w:rsidRPr="00537A29" w:rsidRDefault="00F9193E" w:rsidP="00537A29">
      <w:pPr>
        <w:tabs>
          <w:tab w:val="clear" w:pos="567"/>
        </w:tabs>
        <w:autoSpaceDE w:val="0"/>
        <w:spacing w:line="240" w:lineRule="auto"/>
        <w:rPr>
          <w:szCs w:val="22"/>
          <w:lang w:val="lv-LV"/>
        </w:rPr>
      </w:pPr>
      <w:r w:rsidRPr="00537A29">
        <w:rPr>
          <w:szCs w:val="22"/>
          <w:lang w:val="lv-LV"/>
        </w:rPr>
        <w:t>Maksimālā dienas deva ir  20 mg dienā. Lai mazinātu nevēlamu blakusparādību risku, balstdevu sasniedz, palielinot devu pa 5 mg nedēļā pirmajās 3 nedēļās šādi.</w:t>
      </w:r>
    </w:p>
    <w:p w14:paraId="722B71C6" w14:textId="77777777" w:rsidR="00F9193E" w:rsidRPr="00537A29" w:rsidRDefault="00F9193E" w:rsidP="00537A29">
      <w:pPr>
        <w:tabs>
          <w:tab w:val="clear" w:pos="567"/>
        </w:tabs>
        <w:autoSpaceDE w:val="0"/>
        <w:spacing w:line="240" w:lineRule="auto"/>
        <w:rPr>
          <w:szCs w:val="22"/>
          <w:lang w:val="lv-LV"/>
        </w:rPr>
      </w:pPr>
    </w:p>
    <w:p w14:paraId="07B8B9BC" w14:textId="77777777" w:rsidR="00F9193E" w:rsidRPr="00537A29" w:rsidRDefault="00F9193E" w:rsidP="00537A29">
      <w:pPr>
        <w:tabs>
          <w:tab w:val="clear" w:pos="567"/>
        </w:tabs>
        <w:autoSpaceDE w:val="0"/>
        <w:spacing w:line="240" w:lineRule="auto"/>
        <w:rPr>
          <w:szCs w:val="22"/>
          <w:lang w:val="lv-LV"/>
        </w:rPr>
      </w:pPr>
      <w:r w:rsidRPr="00537A29">
        <w:rPr>
          <w:szCs w:val="22"/>
          <w:lang w:val="lv-LV"/>
        </w:rPr>
        <w:t>1. nedēļa (1. - 7. diena):</w:t>
      </w:r>
    </w:p>
    <w:p w14:paraId="54BA1E10" w14:textId="77777777" w:rsidR="00F9193E" w:rsidRPr="00537A29" w:rsidRDefault="00F9193E" w:rsidP="00537A29">
      <w:pPr>
        <w:tabs>
          <w:tab w:val="clear" w:pos="567"/>
        </w:tabs>
        <w:autoSpaceDE w:val="0"/>
        <w:spacing w:line="240" w:lineRule="auto"/>
        <w:rPr>
          <w:szCs w:val="22"/>
          <w:lang w:val="lv-LV"/>
        </w:rPr>
      </w:pPr>
      <w:r w:rsidRPr="00537A29">
        <w:rPr>
          <w:szCs w:val="22"/>
          <w:lang w:val="lv-LV"/>
        </w:rPr>
        <w:t>pacientam jālieto 5 mg memantīna dienā 7 dienas.</w:t>
      </w:r>
    </w:p>
    <w:p w14:paraId="03203192" w14:textId="77777777" w:rsidR="00F9193E" w:rsidRPr="00537A29" w:rsidRDefault="00F9193E" w:rsidP="00537A29">
      <w:pPr>
        <w:tabs>
          <w:tab w:val="clear" w:pos="567"/>
        </w:tabs>
        <w:autoSpaceDE w:val="0"/>
        <w:spacing w:line="240" w:lineRule="auto"/>
        <w:rPr>
          <w:szCs w:val="22"/>
          <w:lang w:val="lv-LV"/>
        </w:rPr>
      </w:pPr>
    </w:p>
    <w:p w14:paraId="051A54C8" w14:textId="77777777" w:rsidR="00F9193E" w:rsidRPr="00537A29" w:rsidRDefault="00F9193E" w:rsidP="00537A29">
      <w:pPr>
        <w:tabs>
          <w:tab w:val="clear" w:pos="567"/>
        </w:tabs>
        <w:autoSpaceDE w:val="0"/>
        <w:spacing w:line="240" w:lineRule="auto"/>
        <w:rPr>
          <w:szCs w:val="22"/>
          <w:lang w:val="lv-LV"/>
        </w:rPr>
      </w:pPr>
      <w:r w:rsidRPr="00537A29">
        <w:rPr>
          <w:szCs w:val="22"/>
          <w:lang w:val="lv-LV"/>
        </w:rPr>
        <w:t>2. nedēļa (8. - 14. diena):</w:t>
      </w:r>
    </w:p>
    <w:p w14:paraId="5E332C9C" w14:textId="77777777" w:rsidR="00F9193E" w:rsidRPr="00537A29" w:rsidRDefault="00F9193E" w:rsidP="00537A29">
      <w:pPr>
        <w:tabs>
          <w:tab w:val="clear" w:pos="567"/>
        </w:tabs>
        <w:autoSpaceDE w:val="0"/>
        <w:spacing w:line="240" w:lineRule="auto"/>
        <w:rPr>
          <w:szCs w:val="22"/>
          <w:lang w:val="lv-LV"/>
        </w:rPr>
      </w:pPr>
      <w:r w:rsidRPr="00537A29">
        <w:rPr>
          <w:szCs w:val="22"/>
          <w:lang w:val="lv-LV"/>
        </w:rPr>
        <w:t>pacientam jālieto 10 mg memantīna dienā 7 dienas.</w:t>
      </w:r>
    </w:p>
    <w:p w14:paraId="6C435718" w14:textId="77777777" w:rsidR="00F9193E" w:rsidRPr="00537A29" w:rsidRDefault="00F9193E" w:rsidP="00537A29">
      <w:pPr>
        <w:tabs>
          <w:tab w:val="clear" w:pos="567"/>
        </w:tabs>
        <w:autoSpaceDE w:val="0"/>
        <w:spacing w:line="240" w:lineRule="auto"/>
        <w:rPr>
          <w:szCs w:val="22"/>
          <w:lang w:val="lv-LV"/>
        </w:rPr>
      </w:pPr>
    </w:p>
    <w:p w14:paraId="6E711CFE" w14:textId="77777777" w:rsidR="00F9193E" w:rsidRPr="00537A29" w:rsidRDefault="00F9193E" w:rsidP="00537A29">
      <w:pPr>
        <w:tabs>
          <w:tab w:val="clear" w:pos="567"/>
        </w:tabs>
        <w:autoSpaceDE w:val="0"/>
        <w:spacing w:line="240" w:lineRule="auto"/>
        <w:rPr>
          <w:szCs w:val="22"/>
          <w:lang w:val="lv-LV"/>
        </w:rPr>
      </w:pPr>
      <w:r w:rsidRPr="00537A29">
        <w:rPr>
          <w:szCs w:val="22"/>
          <w:lang w:val="lv-LV"/>
        </w:rPr>
        <w:t>3. nedēļa (15. - 21. diena):</w:t>
      </w:r>
    </w:p>
    <w:p w14:paraId="04721E0F" w14:textId="77777777" w:rsidR="00F9193E" w:rsidRPr="00537A29" w:rsidRDefault="00F9193E" w:rsidP="00537A29">
      <w:pPr>
        <w:tabs>
          <w:tab w:val="clear" w:pos="567"/>
        </w:tabs>
        <w:autoSpaceDE w:val="0"/>
        <w:spacing w:line="240" w:lineRule="auto"/>
        <w:rPr>
          <w:i/>
          <w:iCs/>
          <w:szCs w:val="22"/>
          <w:lang w:val="lv-LV"/>
        </w:rPr>
      </w:pPr>
      <w:r w:rsidRPr="00537A29">
        <w:rPr>
          <w:szCs w:val="22"/>
          <w:lang w:val="lv-LV"/>
        </w:rPr>
        <w:t>pacientam jālieto  15 mg memantīna dienā 7 dienas.</w:t>
      </w:r>
    </w:p>
    <w:p w14:paraId="28F7DA93" w14:textId="77777777" w:rsidR="00F9193E" w:rsidRPr="00537A29" w:rsidRDefault="00F9193E" w:rsidP="00537A29">
      <w:pPr>
        <w:tabs>
          <w:tab w:val="clear" w:pos="567"/>
        </w:tabs>
        <w:autoSpaceDE w:val="0"/>
        <w:spacing w:line="240" w:lineRule="auto"/>
        <w:rPr>
          <w:i/>
          <w:iCs/>
          <w:szCs w:val="22"/>
          <w:lang w:val="lv-LV"/>
        </w:rPr>
      </w:pPr>
    </w:p>
    <w:p w14:paraId="47890AED" w14:textId="77777777" w:rsidR="00F9193E" w:rsidRPr="00537A29" w:rsidRDefault="00F9193E" w:rsidP="00537A29">
      <w:pPr>
        <w:tabs>
          <w:tab w:val="clear" w:pos="567"/>
        </w:tabs>
        <w:autoSpaceDE w:val="0"/>
        <w:spacing w:line="240" w:lineRule="auto"/>
        <w:rPr>
          <w:szCs w:val="22"/>
          <w:lang w:val="lv-LV"/>
        </w:rPr>
      </w:pPr>
      <w:r w:rsidRPr="00537A29">
        <w:rPr>
          <w:szCs w:val="22"/>
          <w:lang w:val="lv-LV"/>
        </w:rPr>
        <w:t>No 4. nedēļas:</w:t>
      </w:r>
    </w:p>
    <w:p w14:paraId="6F74F18C" w14:textId="77777777" w:rsidR="00F9193E" w:rsidRPr="00537A29" w:rsidRDefault="00F9193E" w:rsidP="00537A29">
      <w:pPr>
        <w:tabs>
          <w:tab w:val="clear" w:pos="567"/>
        </w:tabs>
        <w:autoSpaceDE w:val="0"/>
        <w:spacing w:line="240" w:lineRule="auto"/>
        <w:rPr>
          <w:szCs w:val="22"/>
          <w:lang w:val="lv-LV"/>
        </w:rPr>
      </w:pPr>
      <w:r w:rsidRPr="00537A29">
        <w:rPr>
          <w:szCs w:val="22"/>
          <w:lang w:val="lv-LV"/>
        </w:rPr>
        <w:t>pacientam jālieto 20 mg memantīna dienā.</w:t>
      </w:r>
    </w:p>
    <w:p w14:paraId="746384B0" w14:textId="77777777" w:rsidR="00F9193E" w:rsidRPr="00537A29" w:rsidRDefault="00F9193E" w:rsidP="00537A29">
      <w:pPr>
        <w:tabs>
          <w:tab w:val="clear" w:pos="567"/>
        </w:tabs>
        <w:autoSpaceDE w:val="0"/>
        <w:spacing w:line="240" w:lineRule="auto"/>
        <w:rPr>
          <w:szCs w:val="22"/>
          <w:lang w:val="lv-LV"/>
        </w:rPr>
      </w:pPr>
    </w:p>
    <w:p w14:paraId="28E64575" w14:textId="77777777" w:rsidR="00F9193E" w:rsidRPr="00537A29" w:rsidRDefault="00F9193E" w:rsidP="00537A29">
      <w:pPr>
        <w:tabs>
          <w:tab w:val="clear" w:pos="567"/>
        </w:tabs>
        <w:autoSpaceDE w:val="0"/>
        <w:spacing w:line="240" w:lineRule="auto"/>
        <w:rPr>
          <w:szCs w:val="22"/>
          <w:lang w:val="lv-LV"/>
        </w:rPr>
      </w:pPr>
      <w:r w:rsidRPr="00537A29">
        <w:rPr>
          <w:szCs w:val="22"/>
          <w:lang w:val="lv-LV"/>
        </w:rPr>
        <w:t>Balstdeva</w:t>
      </w:r>
    </w:p>
    <w:p w14:paraId="2503542D" w14:textId="77777777" w:rsidR="00F9193E" w:rsidRPr="00537A29" w:rsidRDefault="00F9193E" w:rsidP="00537A29">
      <w:pPr>
        <w:tabs>
          <w:tab w:val="clear" w:pos="567"/>
        </w:tabs>
        <w:autoSpaceDE w:val="0"/>
        <w:spacing w:line="240" w:lineRule="auto"/>
        <w:rPr>
          <w:i/>
          <w:iCs/>
          <w:szCs w:val="22"/>
          <w:lang w:val="lv-LV"/>
        </w:rPr>
      </w:pPr>
      <w:r w:rsidRPr="00537A29">
        <w:rPr>
          <w:szCs w:val="22"/>
          <w:lang w:val="lv-LV"/>
        </w:rPr>
        <w:t>Ieteicamā balstdeva ir 20 mg dienā.</w:t>
      </w:r>
    </w:p>
    <w:p w14:paraId="0BC0FE72" w14:textId="77777777" w:rsidR="00F9193E" w:rsidRPr="00537A29" w:rsidRDefault="00F9193E" w:rsidP="00537A29">
      <w:pPr>
        <w:tabs>
          <w:tab w:val="clear" w:pos="567"/>
        </w:tabs>
        <w:autoSpaceDE w:val="0"/>
        <w:spacing w:line="240" w:lineRule="auto"/>
        <w:rPr>
          <w:i/>
          <w:iCs/>
          <w:szCs w:val="22"/>
          <w:lang w:val="lv-LV"/>
        </w:rPr>
      </w:pPr>
    </w:p>
    <w:p w14:paraId="05EE0275" w14:textId="77777777" w:rsidR="00F9193E" w:rsidRPr="00537A29" w:rsidRDefault="00F9193E" w:rsidP="00537A29">
      <w:pPr>
        <w:tabs>
          <w:tab w:val="clear" w:pos="567"/>
        </w:tabs>
        <w:autoSpaceDE w:val="0"/>
        <w:spacing w:line="240" w:lineRule="auto"/>
        <w:rPr>
          <w:szCs w:val="22"/>
          <w:lang w:val="lv-LV"/>
        </w:rPr>
      </w:pPr>
      <w:r w:rsidRPr="00537A29">
        <w:rPr>
          <w:i/>
          <w:iCs/>
          <w:szCs w:val="22"/>
          <w:lang w:val="lv-LV"/>
        </w:rPr>
        <w:t>Gados vecāki pacienti</w:t>
      </w:r>
    </w:p>
    <w:p w14:paraId="16E0E7F9" w14:textId="77777777" w:rsidR="00F9193E" w:rsidRPr="00537A29" w:rsidRDefault="00F9193E" w:rsidP="00537A29">
      <w:pPr>
        <w:tabs>
          <w:tab w:val="clear" w:pos="567"/>
        </w:tabs>
        <w:autoSpaceDE w:val="0"/>
        <w:spacing w:line="240" w:lineRule="auto"/>
        <w:rPr>
          <w:i/>
          <w:iCs/>
          <w:szCs w:val="22"/>
          <w:lang w:val="lv-LV"/>
        </w:rPr>
      </w:pPr>
      <w:r w:rsidRPr="00537A29">
        <w:rPr>
          <w:szCs w:val="22"/>
          <w:lang w:val="lv-LV"/>
        </w:rPr>
        <w:t>Ņemot vērā klīnisko pētījumu datus, ieteicamā deva par 65 gadiem vecākiem pacientiem ir 20 mg dienā, kā aprakstīts iepriekš.</w:t>
      </w:r>
    </w:p>
    <w:p w14:paraId="4D2FE80A" w14:textId="77777777" w:rsidR="00F9193E" w:rsidRPr="00537A29" w:rsidRDefault="00F9193E" w:rsidP="00537A29">
      <w:pPr>
        <w:tabs>
          <w:tab w:val="clear" w:pos="567"/>
        </w:tabs>
        <w:autoSpaceDE w:val="0"/>
        <w:spacing w:line="240" w:lineRule="auto"/>
        <w:rPr>
          <w:i/>
          <w:iCs/>
          <w:szCs w:val="22"/>
          <w:lang w:val="lv-LV"/>
        </w:rPr>
      </w:pPr>
    </w:p>
    <w:p w14:paraId="41E5A465" w14:textId="77777777" w:rsidR="00F9193E" w:rsidRPr="00537A29" w:rsidRDefault="00301C51" w:rsidP="00537A29">
      <w:pPr>
        <w:tabs>
          <w:tab w:val="clear" w:pos="567"/>
        </w:tabs>
        <w:autoSpaceDE w:val="0"/>
        <w:spacing w:line="240" w:lineRule="auto"/>
        <w:rPr>
          <w:szCs w:val="22"/>
          <w:lang w:val="lv-LV"/>
        </w:rPr>
      </w:pPr>
      <w:r w:rsidRPr="00537A29">
        <w:rPr>
          <w:i/>
          <w:iCs/>
          <w:szCs w:val="22"/>
          <w:lang w:val="lv-LV"/>
        </w:rPr>
        <w:t>Pediatriskā populācija</w:t>
      </w:r>
    </w:p>
    <w:p w14:paraId="21E08B96" w14:textId="77777777" w:rsidR="00F9193E" w:rsidRPr="00537A29" w:rsidRDefault="00F9193E" w:rsidP="00537A29">
      <w:pPr>
        <w:tabs>
          <w:tab w:val="clear" w:pos="567"/>
        </w:tabs>
        <w:autoSpaceDE w:val="0"/>
        <w:spacing w:line="240" w:lineRule="auto"/>
        <w:rPr>
          <w:i/>
          <w:iCs/>
          <w:szCs w:val="22"/>
          <w:lang w:val="lv-LV"/>
        </w:rPr>
      </w:pPr>
      <w:r w:rsidRPr="00537A29">
        <w:rPr>
          <w:szCs w:val="22"/>
          <w:lang w:val="lv-LV"/>
        </w:rPr>
        <w:t>Memantīns nav ieteicams bērniem līdz 18 gadu vecumam, jo nav datu par tā lietošanas drošumu un efektivitāti.</w:t>
      </w:r>
    </w:p>
    <w:p w14:paraId="3E57CB9D" w14:textId="77777777" w:rsidR="00F9193E" w:rsidRPr="00537A29" w:rsidRDefault="00F9193E" w:rsidP="00537A29">
      <w:pPr>
        <w:tabs>
          <w:tab w:val="clear" w:pos="567"/>
        </w:tabs>
        <w:autoSpaceDE w:val="0"/>
        <w:spacing w:line="240" w:lineRule="auto"/>
        <w:rPr>
          <w:i/>
          <w:iCs/>
          <w:szCs w:val="22"/>
          <w:lang w:val="lv-LV"/>
        </w:rPr>
      </w:pPr>
    </w:p>
    <w:p w14:paraId="492B22DF" w14:textId="77777777" w:rsidR="00F9193E" w:rsidRPr="00537A29" w:rsidRDefault="00F9193E" w:rsidP="00537A29">
      <w:pPr>
        <w:tabs>
          <w:tab w:val="clear" w:pos="567"/>
        </w:tabs>
        <w:autoSpaceDE w:val="0"/>
        <w:spacing w:line="240" w:lineRule="auto"/>
        <w:rPr>
          <w:szCs w:val="22"/>
          <w:lang w:val="lv-LV"/>
        </w:rPr>
      </w:pPr>
      <w:r w:rsidRPr="00537A29">
        <w:rPr>
          <w:i/>
          <w:iCs/>
          <w:szCs w:val="22"/>
          <w:lang w:val="lv-LV"/>
        </w:rPr>
        <w:t>Nieru darbības traucējumi</w:t>
      </w:r>
    </w:p>
    <w:p w14:paraId="16E5A0E0" w14:textId="77777777" w:rsidR="00F9193E" w:rsidRPr="00537A29" w:rsidRDefault="00F9193E" w:rsidP="00537A29">
      <w:pPr>
        <w:tabs>
          <w:tab w:val="clear" w:pos="567"/>
        </w:tabs>
        <w:autoSpaceDE w:val="0"/>
        <w:spacing w:line="240" w:lineRule="auto"/>
        <w:rPr>
          <w:i/>
          <w:iCs/>
          <w:szCs w:val="22"/>
          <w:lang w:val="lv-LV"/>
        </w:rPr>
      </w:pPr>
      <w:r w:rsidRPr="00537A29">
        <w:rPr>
          <w:szCs w:val="22"/>
          <w:lang w:val="lv-LV"/>
        </w:rPr>
        <w:t>Pacientiem ar viegliem nieru darbības traucējumiem (kreatinīna klīrenss 50 – 80 ml/min) deva nav jāpielāgo. Pacientiem ar vidēji smagiem nieru darbības traucējumiem (kreatinīna klīrenss 30 - 49 ml/min) dienas devai jābūt 10 mg. Ja pēc vismaz 7 dienu ārstēšanas panesamība ir laba, devu var palielināt līdz 20 mg dienā atbilstoši  standarta titrēšanas shēmai. Pacientiem ar smagiem nieru darbības traucējumiem (kreatinīna klīrenss 5 - 29 ml/min) dienas devai jābūt 10 mg.</w:t>
      </w:r>
    </w:p>
    <w:p w14:paraId="02597F61" w14:textId="77777777" w:rsidR="00F9193E" w:rsidRPr="00537A29" w:rsidRDefault="00F9193E" w:rsidP="00537A29">
      <w:pPr>
        <w:tabs>
          <w:tab w:val="clear" w:pos="567"/>
        </w:tabs>
        <w:autoSpaceDE w:val="0"/>
        <w:spacing w:line="240" w:lineRule="auto"/>
        <w:rPr>
          <w:i/>
          <w:iCs/>
          <w:szCs w:val="22"/>
          <w:lang w:val="lv-LV"/>
        </w:rPr>
      </w:pPr>
    </w:p>
    <w:p w14:paraId="3E786316" w14:textId="77777777" w:rsidR="00F9193E" w:rsidRPr="00537A29" w:rsidRDefault="00F9193E" w:rsidP="00537A29">
      <w:pPr>
        <w:tabs>
          <w:tab w:val="clear" w:pos="567"/>
        </w:tabs>
        <w:autoSpaceDE w:val="0"/>
        <w:spacing w:line="240" w:lineRule="auto"/>
        <w:rPr>
          <w:szCs w:val="22"/>
          <w:lang w:val="lv-LV"/>
        </w:rPr>
      </w:pPr>
      <w:r w:rsidRPr="00537A29">
        <w:rPr>
          <w:i/>
          <w:iCs/>
          <w:szCs w:val="22"/>
          <w:lang w:val="lv-LV"/>
        </w:rPr>
        <w:t>Aknu darbības traucējumi</w:t>
      </w:r>
    </w:p>
    <w:p w14:paraId="2B7E1B56" w14:textId="77777777" w:rsidR="00F9193E" w:rsidRPr="00537A29" w:rsidRDefault="00F9193E" w:rsidP="00537A29">
      <w:pPr>
        <w:tabs>
          <w:tab w:val="clear" w:pos="567"/>
        </w:tabs>
        <w:autoSpaceDE w:val="0"/>
        <w:spacing w:line="240" w:lineRule="auto"/>
        <w:rPr>
          <w:szCs w:val="22"/>
          <w:lang w:val="lv-LV"/>
        </w:rPr>
      </w:pPr>
      <w:r w:rsidRPr="00537A29">
        <w:rPr>
          <w:szCs w:val="22"/>
          <w:lang w:val="lv-LV"/>
        </w:rPr>
        <w:t>Pacientiem ar viegliem vai vidēji smagiem aknu darbības traucējumiem (</w:t>
      </w:r>
      <w:r w:rsidRPr="00537A29">
        <w:rPr>
          <w:i/>
          <w:iCs/>
          <w:szCs w:val="22"/>
          <w:lang w:val="lv-LV"/>
        </w:rPr>
        <w:t xml:space="preserve">Child-Pugh A </w:t>
      </w:r>
      <w:r w:rsidRPr="00537A29">
        <w:rPr>
          <w:szCs w:val="22"/>
          <w:lang w:val="lv-LV"/>
        </w:rPr>
        <w:t>un</w:t>
      </w:r>
      <w:r w:rsidRPr="00537A29">
        <w:rPr>
          <w:i/>
          <w:iCs/>
          <w:szCs w:val="22"/>
          <w:lang w:val="lv-LV"/>
        </w:rPr>
        <w:t xml:space="preserve"> Child-Pugh B</w:t>
      </w:r>
      <w:r w:rsidRPr="00537A29">
        <w:rPr>
          <w:szCs w:val="22"/>
          <w:lang w:val="lv-LV"/>
        </w:rPr>
        <w:t>) deva nav jāpielāgo. Nav datu par memantīna lietošanu pacientiem ar smagiem aknu darbības traucējumiem. Memantīnu nav ieteicams lietot pacientiem ar smagiem aknu darbības traucējumiem.</w:t>
      </w:r>
    </w:p>
    <w:p w14:paraId="1FEB82A4" w14:textId="77777777" w:rsidR="00F9193E" w:rsidRPr="00537A29" w:rsidRDefault="00F9193E" w:rsidP="00537A29">
      <w:pPr>
        <w:tabs>
          <w:tab w:val="clear" w:pos="567"/>
          <w:tab w:val="left" w:pos="708"/>
        </w:tabs>
        <w:spacing w:line="240" w:lineRule="auto"/>
        <w:rPr>
          <w:szCs w:val="22"/>
          <w:lang w:val="lv-LV"/>
        </w:rPr>
      </w:pPr>
    </w:p>
    <w:p w14:paraId="28FFA399" w14:textId="77777777" w:rsidR="00F9193E" w:rsidRPr="00537A29" w:rsidRDefault="00F9193E" w:rsidP="00537A29">
      <w:pPr>
        <w:tabs>
          <w:tab w:val="clear" w:pos="567"/>
          <w:tab w:val="left" w:pos="708"/>
        </w:tabs>
        <w:spacing w:line="240" w:lineRule="auto"/>
        <w:rPr>
          <w:szCs w:val="22"/>
          <w:lang w:val="lv-LV"/>
        </w:rPr>
      </w:pPr>
      <w:r w:rsidRPr="00537A29">
        <w:rPr>
          <w:szCs w:val="22"/>
          <w:u w:val="single"/>
          <w:lang w:val="lv-LV"/>
        </w:rPr>
        <w:t xml:space="preserve">Lietošanas veids </w:t>
      </w:r>
    </w:p>
    <w:p w14:paraId="7233EC23" w14:textId="77777777" w:rsidR="00F9193E" w:rsidRPr="00537A29" w:rsidRDefault="00F9193E" w:rsidP="00537A29">
      <w:pPr>
        <w:tabs>
          <w:tab w:val="clear" w:pos="567"/>
        </w:tabs>
        <w:autoSpaceDE w:val="0"/>
        <w:spacing w:line="240" w:lineRule="auto"/>
        <w:rPr>
          <w:i/>
          <w:szCs w:val="22"/>
          <w:lang w:val="lv-LV"/>
        </w:rPr>
      </w:pPr>
      <w:r w:rsidRPr="00537A29">
        <w:rPr>
          <w:szCs w:val="22"/>
          <w:lang w:val="lv-LV"/>
        </w:rPr>
        <w:t>Memantīns jālieto reizi dienā, katru dienu vienā un tai pašā laikā. Apvalkotās tabletes var lietot kopā ar uzturu vai atsevišķi.</w:t>
      </w:r>
    </w:p>
    <w:p w14:paraId="4CF6E676" w14:textId="77777777" w:rsidR="00F9193E" w:rsidRPr="00537A29" w:rsidRDefault="00F9193E" w:rsidP="00537A29">
      <w:pPr>
        <w:tabs>
          <w:tab w:val="clear" w:pos="567"/>
          <w:tab w:val="left" w:pos="708"/>
        </w:tabs>
        <w:spacing w:line="240" w:lineRule="auto"/>
        <w:rPr>
          <w:i/>
          <w:szCs w:val="22"/>
          <w:lang w:val="lv-LV"/>
        </w:rPr>
      </w:pPr>
    </w:p>
    <w:p w14:paraId="36F41E80" w14:textId="77777777" w:rsidR="00F9193E" w:rsidRPr="00537A29" w:rsidRDefault="00F9193E" w:rsidP="00537A29">
      <w:pPr>
        <w:tabs>
          <w:tab w:val="clear" w:pos="567"/>
          <w:tab w:val="left" w:pos="708"/>
        </w:tabs>
        <w:spacing w:line="240" w:lineRule="auto"/>
        <w:ind w:left="567" w:hanging="567"/>
        <w:rPr>
          <w:szCs w:val="22"/>
          <w:lang w:val="lv-LV"/>
        </w:rPr>
      </w:pPr>
      <w:r w:rsidRPr="00537A29">
        <w:rPr>
          <w:b/>
          <w:szCs w:val="22"/>
          <w:lang w:val="lv-LV"/>
        </w:rPr>
        <w:t>4.3</w:t>
      </w:r>
      <w:r w:rsidR="00301C51" w:rsidRPr="00537A29">
        <w:rPr>
          <w:b/>
          <w:szCs w:val="22"/>
          <w:lang w:val="lv-LV"/>
        </w:rPr>
        <w:t>.</w:t>
      </w:r>
      <w:r w:rsidRPr="00537A29">
        <w:rPr>
          <w:b/>
          <w:szCs w:val="22"/>
          <w:lang w:val="lv-LV"/>
        </w:rPr>
        <w:tab/>
        <w:t>Kontrindikācijas</w:t>
      </w:r>
    </w:p>
    <w:p w14:paraId="4E42E1FA" w14:textId="77777777" w:rsidR="00F9193E" w:rsidRPr="00537A29" w:rsidRDefault="00F9193E" w:rsidP="00537A29">
      <w:pPr>
        <w:tabs>
          <w:tab w:val="clear" w:pos="567"/>
          <w:tab w:val="left" w:pos="708"/>
        </w:tabs>
        <w:spacing w:line="240" w:lineRule="auto"/>
        <w:rPr>
          <w:szCs w:val="22"/>
          <w:lang w:val="lv-LV"/>
        </w:rPr>
      </w:pPr>
    </w:p>
    <w:p w14:paraId="76E4069D" w14:textId="77777777" w:rsidR="00F9193E" w:rsidRPr="00537A29" w:rsidRDefault="00F9193E" w:rsidP="00537A29">
      <w:pPr>
        <w:tabs>
          <w:tab w:val="clear" w:pos="567"/>
          <w:tab w:val="left" w:pos="708"/>
        </w:tabs>
        <w:spacing w:line="240" w:lineRule="auto"/>
        <w:rPr>
          <w:szCs w:val="22"/>
          <w:lang w:val="lv-LV"/>
        </w:rPr>
      </w:pPr>
      <w:r w:rsidRPr="00537A29">
        <w:rPr>
          <w:lang w:val="lv-LV"/>
        </w:rPr>
        <w:t>Paaugstināta jutība pret aktīvo vielu vai jebkuru no 6.1</w:t>
      </w:r>
      <w:r w:rsidR="00301C51" w:rsidRPr="00537A29">
        <w:rPr>
          <w:lang w:val="lv-LV"/>
        </w:rPr>
        <w:t>.</w:t>
      </w:r>
      <w:r w:rsidRPr="00537A29">
        <w:rPr>
          <w:lang w:val="lv-LV"/>
        </w:rPr>
        <w:t xml:space="preserve"> apakšpunktā uzskaitītajām palīgvielām. </w:t>
      </w:r>
    </w:p>
    <w:p w14:paraId="24DEAA3A" w14:textId="77777777" w:rsidR="00F9193E" w:rsidRPr="00537A29" w:rsidRDefault="00F9193E" w:rsidP="00537A29">
      <w:pPr>
        <w:tabs>
          <w:tab w:val="clear" w:pos="567"/>
          <w:tab w:val="left" w:pos="708"/>
        </w:tabs>
        <w:spacing w:line="240" w:lineRule="auto"/>
        <w:rPr>
          <w:szCs w:val="22"/>
          <w:lang w:val="lv-LV"/>
        </w:rPr>
      </w:pPr>
    </w:p>
    <w:p w14:paraId="0D3529D9" w14:textId="77777777" w:rsidR="00F9193E" w:rsidRPr="00537A29" w:rsidRDefault="00F9193E" w:rsidP="00537A29">
      <w:pPr>
        <w:keepNext/>
        <w:tabs>
          <w:tab w:val="clear" w:pos="567"/>
          <w:tab w:val="left" w:pos="708"/>
        </w:tabs>
        <w:spacing w:line="240" w:lineRule="auto"/>
        <w:ind w:left="567" w:hanging="567"/>
        <w:rPr>
          <w:szCs w:val="22"/>
          <w:lang w:val="lv-LV"/>
        </w:rPr>
      </w:pPr>
      <w:r w:rsidRPr="00537A29">
        <w:rPr>
          <w:b/>
          <w:szCs w:val="22"/>
          <w:lang w:val="lv-LV"/>
        </w:rPr>
        <w:lastRenderedPageBreak/>
        <w:t>4.4</w:t>
      </w:r>
      <w:r w:rsidR="00301C51" w:rsidRPr="00537A29">
        <w:rPr>
          <w:b/>
          <w:szCs w:val="22"/>
          <w:lang w:val="lv-LV"/>
        </w:rPr>
        <w:t>.</w:t>
      </w:r>
      <w:r w:rsidRPr="00537A29">
        <w:rPr>
          <w:b/>
          <w:szCs w:val="22"/>
          <w:lang w:val="lv-LV"/>
        </w:rPr>
        <w:tab/>
      </w:r>
      <w:r w:rsidRPr="00537A29">
        <w:rPr>
          <w:b/>
          <w:lang w:val="lv-LV"/>
        </w:rPr>
        <w:t>Īpaši brīdinājumi un piesardzība lietošanā</w:t>
      </w:r>
    </w:p>
    <w:p w14:paraId="4B9314D7" w14:textId="77777777" w:rsidR="00F9193E" w:rsidRPr="00537A29" w:rsidRDefault="00F9193E" w:rsidP="00537A29">
      <w:pPr>
        <w:keepNext/>
        <w:tabs>
          <w:tab w:val="clear" w:pos="567"/>
          <w:tab w:val="left" w:pos="708"/>
        </w:tabs>
        <w:spacing w:line="240" w:lineRule="auto"/>
        <w:rPr>
          <w:szCs w:val="22"/>
          <w:lang w:val="lv-LV"/>
        </w:rPr>
      </w:pPr>
    </w:p>
    <w:p w14:paraId="64935FFC" w14:textId="77777777" w:rsidR="00F9193E" w:rsidRPr="00537A29" w:rsidRDefault="00F9193E" w:rsidP="00537A29">
      <w:pPr>
        <w:keepNext/>
        <w:tabs>
          <w:tab w:val="clear" w:pos="567"/>
        </w:tabs>
        <w:autoSpaceDE w:val="0"/>
        <w:spacing w:line="240" w:lineRule="auto"/>
        <w:rPr>
          <w:szCs w:val="22"/>
          <w:lang w:val="lv-LV"/>
        </w:rPr>
      </w:pPr>
      <w:r w:rsidRPr="00537A29">
        <w:rPr>
          <w:szCs w:val="22"/>
          <w:lang w:val="lv-LV"/>
        </w:rPr>
        <w:t>Piesardzība vēlama epilepsijas slimniekiem, pacientiem, kuriem anamnēzē ir krampji, un pacientiem ar faktoriem, kas rada noslieci uz epilepsiju.</w:t>
      </w:r>
    </w:p>
    <w:p w14:paraId="04D62543" w14:textId="77777777" w:rsidR="00F9193E" w:rsidRPr="00537A29" w:rsidRDefault="00F9193E" w:rsidP="00537A29">
      <w:pPr>
        <w:tabs>
          <w:tab w:val="clear" w:pos="567"/>
        </w:tabs>
        <w:autoSpaceDE w:val="0"/>
        <w:spacing w:line="240" w:lineRule="auto"/>
        <w:rPr>
          <w:szCs w:val="22"/>
          <w:lang w:val="lv-LV"/>
        </w:rPr>
      </w:pPr>
    </w:p>
    <w:p w14:paraId="26601F3B" w14:textId="77777777" w:rsidR="00F9193E" w:rsidRPr="00537A29" w:rsidRDefault="00F9193E" w:rsidP="00537A29">
      <w:pPr>
        <w:tabs>
          <w:tab w:val="clear" w:pos="567"/>
        </w:tabs>
        <w:autoSpaceDE w:val="0"/>
        <w:spacing w:line="240" w:lineRule="auto"/>
        <w:rPr>
          <w:szCs w:val="22"/>
          <w:lang w:val="lv-LV"/>
        </w:rPr>
      </w:pPr>
      <w:r w:rsidRPr="00537A29">
        <w:rPr>
          <w:szCs w:val="22"/>
          <w:lang w:val="lv-LV"/>
        </w:rPr>
        <w:t>Jāvairās no vienlaicīgas N-metil-D-aspartāta (NMDA)-antagonistu, piemēram, amantadīna, ketamīna vai dekstrometorfāna, lietošanas. Šīs vielas iedarbojas uz to pašu receptoru sistēmu kā memantīns, tāpēc iespējamas biežākas vai izteiktākas nevēlamās blakusparādības (galvenokārt saistītas ar centrālo nervu sistēmu (CNS)) (skatīt arī 4.5</w:t>
      </w:r>
      <w:r w:rsidR="00301C51" w:rsidRPr="00537A29">
        <w:rPr>
          <w:szCs w:val="22"/>
          <w:lang w:val="lv-LV"/>
        </w:rPr>
        <w:t>.</w:t>
      </w:r>
      <w:r w:rsidRPr="00537A29">
        <w:rPr>
          <w:szCs w:val="22"/>
          <w:lang w:val="lv-LV"/>
        </w:rPr>
        <w:t xml:space="preserve"> apakšpunktu).</w:t>
      </w:r>
    </w:p>
    <w:p w14:paraId="509AF47F" w14:textId="77777777" w:rsidR="00F9193E" w:rsidRPr="00537A29" w:rsidRDefault="00F9193E" w:rsidP="00537A29">
      <w:pPr>
        <w:tabs>
          <w:tab w:val="clear" w:pos="567"/>
        </w:tabs>
        <w:autoSpaceDE w:val="0"/>
        <w:spacing w:line="240" w:lineRule="auto"/>
        <w:rPr>
          <w:szCs w:val="22"/>
          <w:lang w:val="lv-LV"/>
        </w:rPr>
      </w:pPr>
    </w:p>
    <w:p w14:paraId="63A292B6" w14:textId="77777777" w:rsidR="00F9193E" w:rsidRPr="00537A29" w:rsidRDefault="00F9193E" w:rsidP="00537A29">
      <w:pPr>
        <w:pStyle w:val="BodyText"/>
        <w:tabs>
          <w:tab w:val="clear" w:pos="567"/>
        </w:tabs>
        <w:autoSpaceDE w:val="0"/>
        <w:spacing w:after="0" w:line="240" w:lineRule="auto"/>
        <w:rPr>
          <w:lang w:val="lv-LV"/>
        </w:rPr>
      </w:pPr>
      <w:r w:rsidRPr="00537A29">
        <w:rPr>
          <w:szCs w:val="22"/>
          <w:lang w:val="lv-LV"/>
        </w:rPr>
        <w:t>Daži faktori, kas var paaugstināt urīna pH (skatīt 5.2</w:t>
      </w:r>
      <w:r w:rsidR="00301C51" w:rsidRPr="00537A29">
        <w:rPr>
          <w:szCs w:val="22"/>
          <w:lang w:val="lv-LV"/>
        </w:rPr>
        <w:t>.</w:t>
      </w:r>
      <w:r w:rsidRPr="00537A29">
        <w:rPr>
          <w:szCs w:val="22"/>
          <w:lang w:val="lv-LV"/>
        </w:rPr>
        <w:t xml:space="preserve"> apakšpunktā </w:t>
      </w:r>
      <w:r w:rsidRPr="00537A29">
        <w:rPr>
          <w:i/>
          <w:iCs/>
          <w:szCs w:val="22"/>
          <w:lang w:val="lv-LV"/>
        </w:rPr>
        <w:t>Eliminācija</w:t>
      </w:r>
      <w:r w:rsidRPr="00537A29">
        <w:rPr>
          <w:szCs w:val="22"/>
          <w:lang w:val="lv-LV"/>
        </w:rPr>
        <w:t xml:space="preserve">), var būt par iemeslu nepieciešamībai rūpīgi novērot pacientu. Šie faktori ietver krasas diētas izmaiņas, piemēram, pāreju no diētas, kas satur gaļu, uz veģetāru diētu, vai arī sārmainu dzērienu lietošanu lielā daudzumā. Urīna pH var paaugstināt arī nieru tubulārā acidoze (NTA) vai </w:t>
      </w:r>
      <w:r w:rsidRPr="00537A29">
        <w:rPr>
          <w:i/>
          <w:szCs w:val="22"/>
          <w:lang w:val="lv-LV"/>
        </w:rPr>
        <w:t xml:space="preserve">Proteus bacteria </w:t>
      </w:r>
      <w:r w:rsidRPr="00537A29">
        <w:rPr>
          <w:szCs w:val="22"/>
          <w:lang w:val="lv-LV"/>
        </w:rPr>
        <w:t xml:space="preserve">izraisīta smaga urīnceļu infekcija. </w:t>
      </w:r>
    </w:p>
    <w:p w14:paraId="6EE34381" w14:textId="32EA882C" w:rsidR="00F9193E" w:rsidRDefault="00F9193E" w:rsidP="00537A29">
      <w:pPr>
        <w:pStyle w:val="BodyText"/>
        <w:spacing w:after="0" w:line="240" w:lineRule="auto"/>
        <w:rPr>
          <w:lang w:val="lv-LV"/>
        </w:rPr>
      </w:pPr>
      <w:r w:rsidRPr="00537A29">
        <w:rPr>
          <w:lang w:val="lv-LV"/>
        </w:rPr>
        <w:t>No vairuma klīnisko pētījumu izslēdza pacientus ar nesenu miokarda infarktu, nekompensētu sastrēguma sirds mazspēju (NYHA III-IV) vai nekontrolētu hipertensiju. Tādējādi pieejams maz datu, un šādi pacienti ir rūpīgi jānovēro.</w:t>
      </w:r>
    </w:p>
    <w:p w14:paraId="6A76C4C4" w14:textId="77777777" w:rsidR="00C01ACF" w:rsidRPr="00537A29" w:rsidRDefault="00C01ACF" w:rsidP="00537A29">
      <w:pPr>
        <w:pStyle w:val="BodyText"/>
        <w:spacing w:after="0" w:line="240" w:lineRule="auto"/>
        <w:rPr>
          <w:i/>
          <w:iCs/>
          <w:szCs w:val="22"/>
          <w:lang w:val="lv-LV"/>
        </w:rPr>
      </w:pPr>
    </w:p>
    <w:p w14:paraId="3C6AA307" w14:textId="78E3D8BC" w:rsidR="00C01ACF" w:rsidRPr="00380A9E" w:rsidRDefault="00C77D2E" w:rsidP="00C01ACF">
      <w:pPr>
        <w:tabs>
          <w:tab w:val="clear" w:pos="567"/>
        </w:tabs>
        <w:autoSpaceDE w:val="0"/>
        <w:spacing w:line="240" w:lineRule="auto"/>
        <w:rPr>
          <w:b/>
          <w:szCs w:val="22"/>
          <w:lang w:val="pl-PL"/>
        </w:rPr>
      </w:pPr>
      <w:r>
        <w:rPr>
          <w:szCs w:val="22"/>
          <w:lang w:val="lv-LV"/>
        </w:rPr>
        <w:t>Polm</w:t>
      </w:r>
      <w:r w:rsidR="000C3451">
        <w:rPr>
          <w:szCs w:val="22"/>
          <w:lang w:val="lv-LV"/>
        </w:rPr>
        <w:t>a</w:t>
      </w:r>
      <w:r>
        <w:rPr>
          <w:szCs w:val="22"/>
          <w:lang w:val="lv-LV"/>
        </w:rPr>
        <w:t>tine</w:t>
      </w:r>
      <w:r w:rsidRPr="00537A29">
        <w:rPr>
          <w:szCs w:val="22"/>
          <w:lang w:val="lv-LV"/>
        </w:rPr>
        <w:t xml:space="preserve"> </w:t>
      </w:r>
      <w:r w:rsidR="00F9193E" w:rsidRPr="00537A29">
        <w:rPr>
          <w:szCs w:val="22"/>
          <w:lang w:val="lv-LV"/>
        </w:rPr>
        <w:t xml:space="preserve">satur laktozi. Šīs zāles nevajadzētu lietot pacientiem ar retu iedzimtu galaktozes nepanesību, </w:t>
      </w:r>
      <w:r w:rsidR="00C01ACF" w:rsidRPr="00380A9E">
        <w:rPr>
          <w:bCs/>
          <w:szCs w:val="22"/>
          <w:lang w:val="pl-PL"/>
        </w:rPr>
        <w:t xml:space="preserve">ar </w:t>
      </w:r>
      <w:r w:rsidR="00C01ACF" w:rsidRPr="00380A9E">
        <w:rPr>
          <w:bCs/>
          <w:szCs w:val="22"/>
          <w:lang w:val="lv-LV"/>
        </w:rPr>
        <w:t>pilnīgu laktāzes deficītu vai glikozes-galaktozes malabsorbciju.</w:t>
      </w:r>
    </w:p>
    <w:p w14:paraId="16C06C08" w14:textId="77777777" w:rsidR="00F9193E" w:rsidRPr="00537A29" w:rsidRDefault="00F9193E" w:rsidP="00380A9E">
      <w:pPr>
        <w:tabs>
          <w:tab w:val="clear" w:pos="567"/>
          <w:tab w:val="left" w:pos="708"/>
        </w:tabs>
        <w:spacing w:line="240" w:lineRule="auto"/>
        <w:rPr>
          <w:b/>
          <w:szCs w:val="22"/>
          <w:lang w:val="lv-LV"/>
        </w:rPr>
      </w:pPr>
    </w:p>
    <w:p w14:paraId="6EFD2A66" w14:textId="77777777" w:rsidR="00F9193E" w:rsidRPr="00537A29" w:rsidRDefault="00F9193E" w:rsidP="00537A29">
      <w:pPr>
        <w:tabs>
          <w:tab w:val="clear" w:pos="567"/>
          <w:tab w:val="left" w:pos="708"/>
        </w:tabs>
        <w:spacing w:line="240" w:lineRule="auto"/>
        <w:ind w:left="567" w:hanging="567"/>
        <w:rPr>
          <w:szCs w:val="22"/>
          <w:lang w:val="lv-LV"/>
        </w:rPr>
      </w:pPr>
      <w:r w:rsidRPr="00537A29">
        <w:rPr>
          <w:b/>
          <w:szCs w:val="22"/>
          <w:lang w:val="lv-LV"/>
        </w:rPr>
        <w:t>4.5</w:t>
      </w:r>
      <w:r w:rsidR="00301C51" w:rsidRPr="00537A29">
        <w:rPr>
          <w:b/>
          <w:szCs w:val="22"/>
          <w:lang w:val="lv-LV"/>
        </w:rPr>
        <w:t>.</w:t>
      </w:r>
      <w:r w:rsidRPr="00537A29">
        <w:rPr>
          <w:b/>
          <w:szCs w:val="22"/>
          <w:lang w:val="lv-LV"/>
        </w:rPr>
        <w:tab/>
      </w:r>
      <w:r w:rsidRPr="00537A29">
        <w:rPr>
          <w:b/>
          <w:lang w:val="lv-LV"/>
        </w:rPr>
        <w:t>Mijiedarbība ar citām zālēm un citi mijiedarbības veidi</w:t>
      </w:r>
    </w:p>
    <w:p w14:paraId="01506D71" w14:textId="77777777" w:rsidR="00F9193E" w:rsidRPr="00537A29" w:rsidRDefault="00F9193E" w:rsidP="00537A29">
      <w:pPr>
        <w:tabs>
          <w:tab w:val="clear" w:pos="567"/>
          <w:tab w:val="left" w:pos="708"/>
        </w:tabs>
        <w:spacing w:line="240" w:lineRule="auto"/>
        <w:rPr>
          <w:szCs w:val="22"/>
          <w:lang w:val="lv-LV"/>
        </w:rPr>
      </w:pPr>
    </w:p>
    <w:p w14:paraId="05832833" w14:textId="77777777" w:rsidR="00F9193E" w:rsidRPr="00537A29" w:rsidRDefault="00F9193E" w:rsidP="00537A29">
      <w:pPr>
        <w:tabs>
          <w:tab w:val="clear" w:pos="567"/>
        </w:tabs>
        <w:autoSpaceDE w:val="0"/>
        <w:spacing w:line="240" w:lineRule="auto"/>
        <w:rPr>
          <w:szCs w:val="22"/>
          <w:lang w:val="lv-LV"/>
        </w:rPr>
      </w:pPr>
      <w:r w:rsidRPr="00537A29">
        <w:rPr>
          <w:szCs w:val="22"/>
          <w:lang w:val="lv-LV"/>
        </w:rPr>
        <w:t>Memantīna farmakoloģiskās iedarbības un darbības mehānisma dēļ iespējama šāda mijiedarbība:</w:t>
      </w:r>
    </w:p>
    <w:p w14:paraId="13A9DD16" w14:textId="77777777" w:rsidR="00F9193E" w:rsidRPr="00537A29" w:rsidRDefault="00F9193E" w:rsidP="00A14B1C">
      <w:pPr>
        <w:pStyle w:val="BodyText"/>
        <w:numPr>
          <w:ilvl w:val="0"/>
          <w:numId w:val="3"/>
        </w:numPr>
        <w:tabs>
          <w:tab w:val="clear" w:pos="567"/>
        </w:tabs>
        <w:autoSpaceDE w:val="0"/>
        <w:spacing w:after="0" w:line="240" w:lineRule="auto"/>
        <w:ind w:left="567" w:hanging="567"/>
        <w:rPr>
          <w:szCs w:val="22"/>
          <w:lang w:val="lv-LV"/>
        </w:rPr>
      </w:pPr>
      <w:r w:rsidRPr="00537A29">
        <w:rPr>
          <w:szCs w:val="22"/>
          <w:lang w:val="lv-LV"/>
        </w:rPr>
        <w:t xml:space="preserve">Darbības mehānisms norāda, ka L-dopas, dopamīnerģisko agonistu un antiholīnerģisku līdzekļu iedarbību var pastiprināt vienlaicīga NMDA antagonistu, piemēram, memantīna, lietošana. Barbiturātu un neiroleptisko līdzekļu iedarbība var būt pavājināta. Vienlaicīga memantīna un spazmolītisku līdzekļu – dantrolēna vai baklofēna – lietošana var mainīt to iedarbību, un var būt jāpielāgo deva. </w:t>
      </w:r>
    </w:p>
    <w:p w14:paraId="76934893" w14:textId="77777777" w:rsidR="00F9193E" w:rsidRPr="00537A29" w:rsidRDefault="00F9193E" w:rsidP="00A14B1C">
      <w:pPr>
        <w:pStyle w:val="BodyText"/>
        <w:numPr>
          <w:ilvl w:val="0"/>
          <w:numId w:val="3"/>
        </w:numPr>
        <w:tabs>
          <w:tab w:val="clear" w:pos="567"/>
        </w:tabs>
        <w:autoSpaceDE w:val="0"/>
        <w:spacing w:after="0" w:line="240" w:lineRule="auto"/>
        <w:ind w:left="567" w:hanging="567"/>
        <w:rPr>
          <w:szCs w:val="22"/>
          <w:lang w:val="lv-LV"/>
        </w:rPr>
      </w:pPr>
      <w:r w:rsidRPr="00537A29">
        <w:rPr>
          <w:szCs w:val="22"/>
          <w:lang w:val="lv-LV"/>
        </w:rPr>
        <w:t>Farmakotoksiskas psihozes riska dēļ jāizvairās vienlaikus lietot memantīnu un amantadīnu. Abi savienojumi ir ķīmiski radniecīgi NMDA antagonisti. Tas pats attiecas uz ketamīnu un dekstrometorfānu (skatīt arī 4.4</w:t>
      </w:r>
      <w:r w:rsidR="003B4C1E" w:rsidRPr="00537A29">
        <w:rPr>
          <w:szCs w:val="22"/>
          <w:lang w:val="lv-LV"/>
        </w:rPr>
        <w:t>.</w:t>
      </w:r>
      <w:r w:rsidRPr="00537A29">
        <w:rPr>
          <w:szCs w:val="22"/>
          <w:lang w:val="lv-LV"/>
        </w:rPr>
        <w:t xml:space="preserve"> apakšpunktu). Publicēts viens ziņojums par iespējamu risku, arī kombinējot memantīnu un fenitoīnu.</w:t>
      </w:r>
    </w:p>
    <w:p w14:paraId="0B541717" w14:textId="77777777" w:rsidR="00F9193E" w:rsidRPr="00537A29" w:rsidRDefault="00F9193E" w:rsidP="00A14B1C">
      <w:pPr>
        <w:pStyle w:val="BodyText"/>
        <w:numPr>
          <w:ilvl w:val="0"/>
          <w:numId w:val="3"/>
        </w:numPr>
        <w:tabs>
          <w:tab w:val="clear" w:pos="567"/>
        </w:tabs>
        <w:autoSpaceDE w:val="0"/>
        <w:spacing w:after="0" w:line="240" w:lineRule="auto"/>
        <w:ind w:left="567" w:hanging="567"/>
        <w:rPr>
          <w:szCs w:val="22"/>
          <w:lang w:val="lv-LV"/>
        </w:rPr>
      </w:pPr>
      <w:r w:rsidRPr="00537A29">
        <w:rPr>
          <w:szCs w:val="22"/>
          <w:lang w:val="lv-LV"/>
        </w:rPr>
        <w:t xml:space="preserve">Citas aktīvās vielas, piemēram, cimetidīns, ranitidīns, prokaīnamīds, hinidīns, hinīns un nikotīns, kas izmanto to pašu renālo katjonu transporta sistēmu kā amantadīns, iespējams, arī var mijiedarboties ar memantīnu un izraisīt paaugstināta līmeņa risku plazmā. </w:t>
      </w:r>
    </w:p>
    <w:p w14:paraId="34067166" w14:textId="77777777" w:rsidR="00F9193E" w:rsidRPr="00537A29" w:rsidRDefault="00F9193E" w:rsidP="00A14B1C">
      <w:pPr>
        <w:pStyle w:val="ListParagraph1"/>
        <w:numPr>
          <w:ilvl w:val="0"/>
          <w:numId w:val="3"/>
        </w:numPr>
        <w:tabs>
          <w:tab w:val="clear" w:pos="567"/>
        </w:tabs>
        <w:autoSpaceDE w:val="0"/>
        <w:spacing w:line="240" w:lineRule="auto"/>
        <w:ind w:left="567" w:hanging="567"/>
        <w:rPr>
          <w:szCs w:val="22"/>
          <w:lang w:val="lv-LV"/>
        </w:rPr>
      </w:pPr>
      <w:r w:rsidRPr="00537A29">
        <w:rPr>
          <w:szCs w:val="22"/>
          <w:lang w:val="lv-LV"/>
        </w:rPr>
        <w:t>Lietojot memantīnu vienlaikus ar hidrohlortiazīdu (HCT) vai jebkurā kombinācijā ar HCT, pastāv iespēja, ka HCT līmenis serumā var pazemināties.</w:t>
      </w:r>
    </w:p>
    <w:p w14:paraId="763917B0" w14:textId="77777777" w:rsidR="00F9193E" w:rsidRPr="00537A29" w:rsidRDefault="00F9193E" w:rsidP="00A14B1C">
      <w:pPr>
        <w:pStyle w:val="ListParagraph1"/>
        <w:numPr>
          <w:ilvl w:val="0"/>
          <w:numId w:val="3"/>
        </w:numPr>
        <w:tabs>
          <w:tab w:val="clear" w:pos="567"/>
        </w:tabs>
        <w:autoSpaceDE w:val="0"/>
        <w:spacing w:line="240" w:lineRule="auto"/>
        <w:ind w:left="567" w:hanging="567"/>
        <w:rPr>
          <w:szCs w:val="22"/>
          <w:lang w:val="lv-LV"/>
        </w:rPr>
      </w:pPr>
      <w:r w:rsidRPr="00537A29">
        <w:rPr>
          <w:szCs w:val="22"/>
          <w:lang w:val="lv-LV"/>
        </w:rPr>
        <w:t>Pēc ieviešanas tirgū ir ziņots par atsevišķiem gadījumiem ar palielinātu starptautisko standartizēto koeficientu (INR) pacientiem, kuri vienlaicīgi tika ārstēti ar varfarīnu. Lai gan cēloņsakarība nav noteikta, pacientiem, kuri vienlaicīgi tiek ārstēti ar perorālajiem antikoagulantiem, ieteicams stingri kontrolēt protrombīna laiku vai INR.</w:t>
      </w:r>
    </w:p>
    <w:p w14:paraId="074EBFA4" w14:textId="77777777" w:rsidR="00F9193E" w:rsidRPr="00537A29" w:rsidRDefault="00F9193E" w:rsidP="00537A29">
      <w:pPr>
        <w:tabs>
          <w:tab w:val="clear" w:pos="567"/>
        </w:tabs>
        <w:autoSpaceDE w:val="0"/>
        <w:spacing w:line="240" w:lineRule="auto"/>
        <w:rPr>
          <w:szCs w:val="22"/>
          <w:lang w:val="lv-LV"/>
        </w:rPr>
      </w:pPr>
    </w:p>
    <w:p w14:paraId="731A9E10" w14:textId="77777777" w:rsidR="00F9193E" w:rsidRPr="00537A29" w:rsidRDefault="00F9193E" w:rsidP="00537A29">
      <w:pPr>
        <w:pStyle w:val="BodyText"/>
        <w:tabs>
          <w:tab w:val="clear" w:pos="567"/>
        </w:tabs>
        <w:autoSpaceDE w:val="0"/>
        <w:spacing w:after="0" w:line="240" w:lineRule="auto"/>
        <w:rPr>
          <w:lang w:val="lv-LV"/>
        </w:rPr>
      </w:pPr>
      <w:r w:rsidRPr="00537A29">
        <w:rPr>
          <w:szCs w:val="22"/>
          <w:lang w:val="lv-LV"/>
        </w:rPr>
        <w:t xml:space="preserve">Vienreizējas devas farmakokinētikas (FK) pētījumos jaunām, veselām pētāmām personām netika konstatēta nozīmīga mijiedarbība starp memantīna aktīvo vielu un gliburīda/metformīna vai donepezila aktīvajām vielām. </w:t>
      </w:r>
    </w:p>
    <w:p w14:paraId="5F2EC173" w14:textId="77777777" w:rsidR="00F9193E" w:rsidRPr="00537A29" w:rsidRDefault="00F9193E" w:rsidP="00537A29">
      <w:pPr>
        <w:pStyle w:val="BodyText"/>
        <w:tabs>
          <w:tab w:val="clear" w:pos="567"/>
        </w:tabs>
        <w:autoSpaceDE w:val="0"/>
        <w:spacing w:after="0" w:line="240" w:lineRule="auto"/>
        <w:rPr>
          <w:i/>
          <w:lang w:val="lv-LV"/>
        </w:rPr>
      </w:pPr>
      <w:r w:rsidRPr="00537A29">
        <w:rPr>
          <w:lang w:val="lv-LV"/>
        </w:rPr>
        <w:t xml:space="preserve">Klīniskā pētījumā </w:t>
      </w:r>
      <w:r w:rsidRPr="00537A29">
        <w:rPr>
          <w:szCs w:val="22"/>
          <w:lang w:val="lv-LV"/>
        </w:rPr>
        <w:t>jaunām, veselām pētāmām personām</w:t>
      </w:r>
      <w:r w:rsidRPr="00537A29">
        <w:rPr>
          <w:lang w:val="lv-LV"/>
        </w:rPr>
        <w:t xml:space="preserve"> netika novērots, ka memantīns būtiski ietekmētu galantamīna farmakokinētiku. </w:t>
      </w:r>
    </w:p>
    <w:p w14:paraId="1FC03983" w14:textId="77777777" w:rsidR="00F9193E" w:rsidRPr="00537A29" w:rsidRDefault="00F9193E" w:rsidP="00537A29">
      <w:pPr>
        <w:pStyle w:val="BodyText"/>
        <w:tabs>
          <w:tab w:val="clear" w:pos="567"/>
        </w:tabs>
        <w:autoSpaceDE w:val="0"/>
        <w:spacing w:after="0" w:line="240" w:lineRule="auto"/>
        <w:rPr>
          <w:b/>
          <w:szCs w:val="22"/>
          <w:lang w:val="lv-LV"/>
        </w:rPr>
      </w:pPr>
      <w:r w:rsidRPr="00537A29">
        <w:rPr>
          <w:i/>
          <w:lang w:val="lv-LV"/>
        </w:rPr>
        <w:t xml:space="preserve">In vitro </w:t>
      </w:r>
      <w:r w:rsidRPr="00537A29">
        <w:rPr>
          <w:lang w:val="lv-LV"/>
        </w:rPr>
        <w:t>memantīns neinhibēja CYP 1A2, 2A6, 2C9, 2D6, 2E1, 3A, flavīnu saturošu monooksigenāzi, epoksīda hidrolāzi vai sulfatāciju</w:t>
      </w:r>
      <w:r w:rsidRPr="00537A29">
        <w:rPr>
          <w:i/>
          <w:lang w:val="lv-LV"/>
        </w:rPr>
        <w:t>.</w:t>
      </w:r>
    </w:p>
    <w:p w14:paraId="2C6B1D2C" w14:textId="77777777" w:rsidR="00F9193E" w:rsidRPr="00537A29" w:rsidRDefault="00F9193E" w:rsidP="00537A29">
      <w:pPr>
        <w:tabs>
          <w:tab w:val="clear" w:pos="567"/>
          <w:tab w:val="left" w:pos="708"/>
        </w:tabs>
        <w:spacing w:line="240" w:lineRule="auto"/>
        <w:ind w:left="567" w:hanging="567"/>
        <w:rPr>
          <w:b/>
          <w:szCs w:val="22"/>
          <w:lang w:val="lv-LV"/>
        </w:rPr>
      </w:pPr>
    </w:p>
    <w:p w14:paraId="244AFEDF" w14:textId="77777777" w:rsidR="00F9193E" w:rsidRPr="00537A29" w:rsidRDefault="00F9193E" w:rsidP="00A14B1C">
      <w:pPr>
        <w:keepNext/>
        <w:tabs>
          <w:tab w:val="clear" w:pos="567"/>
          <w:tab w:val="left" w:pos="708"/>
        </w:tabs>
        <w:spacing w:line="240" w:lineRule="auto"/>
        <w:ind w:left="567" w:hanging="567"/>
        <w:rPr>
          <w:i/>
          <w:szCs w:val="22"/>
          <w:lang w:val="lv-LV"/>
        </w:rPr>
      </w:pPr>
      <w:r w:rsidRPr="00537A29">
        <w:rPr>
          <w:b/>
          <w:szCs w:val="22"/>
          <w:lang w:val="lv-LV"/>
        </w:rPr>
        <w:lastRenderedPageBreak/>
        <w:t>4.6</w:t>
      </w:r>
      <w:r w:rsidR="00301C51" w:rsidRPr="00537A29">
        <w:rPr>
          <w:b/>
          <w:szCs w:val="22"/>
          <w:lang w:val="lv-LV"/>
        </w:rPr>
        <w:t>.</w:t>
      </w:r>
      <w:r w:rsidRPr="00537A29">
        <w:rPr>
          <w:b/>
          <w:szCs w:val="22"/>
          <w:lang w:val="lv-LV"/>
        </w:rPr>
        <w:tab/>
        <w:t xml:space="preserve">Fertilitāte, grūtniecība </w:t>
      </w:r>
      <w:r w:rsidRPr="00537A29">
        <w:rPr>
          <w:b/>
          <w:lang w:val="lv-LV"/>
        </w:rPr>
        <w:t xml:space="preserve">un </w:t>
      </w:r>
      <w:r w:rsidRPr="00537A29">
        <w:rPr>
          <w:b/>
          <w:szCs w:val="22"/>
          <w:lang w:val="lv-LV"/>
        </w:rPr>
        <w:t>barošana ar krūti</w:t>
      </w:r>
    </w:p>
    <w:p w14:paraId="6C207B57" w14:textId="77777777" w:rsidR="00F9193E" w:rsidRPr="00537A29" w:rsidRDefault="00F9193E" w:rsidP="00A14B1C">
      <w:pPr>
        <w:keepNext/>
        <w:tabs>
          <w:tab w:val="clear" w:pos="567"/>
          <w:tab w:val="left" w:pos="708"/>
        </w:tabs>
        <w:spacing w:line="240" w:lineRule="auto"/>
        <w:rPr>
          <w:i/>
          <w:szCs w:val="22"/>
          <w:lang w:val="lv-LV"/>
        </w:rPr>
      </w:pPr>
    </w:p>
    <w:p w14:paraId="352899A3" w14:textId="77777777" w:rsidR="00301C51" w:rsidRPr="00A14B1C" w:rsidRDefault="00301C51" w:rsidP="00A14B1C">
      <w:pPr>
        <w:pStyle w:val="BodyText"/>
        <w:keepNext/>
        <w:tabs>
          <w:tab w:val="clear" w:pos="567"/>
        </w:tabs>
        <w:autoSpaceDE w:val="0"/>
        <w:spacing w:after="0" w:line="240" w:lineRule="auto"/>
        <w:rPr>
          <w:szCs w:val="22"/>
          <w:u w:val="single"/>
          <w:lang w:val="lv-LV"/>
        </w:rPr>
      </w:pPr>
      <w:r w:rsidRPr="00537A29">
        <w:rPr>
          <w:szCs w:val="22"/>
          <w:u w:val="single"/>
          <w:lang w:val="lv-LV"/>
        </w:rPr>
        <w:t>Grūtniecība</w:t>
      </w:r>
    </w:p>
    <w:p w14:paraId="719AE4BE" w14:textId="77777777" w:rsidR="00F9193E" w:rsidRPr="00537A29" w:rsidRDefault="00F9193E" w:rsidP="00537A29">
      <w:pPr>
        <w:pStyle w:val="BodyText"/>
        <w:tabs>
          <w:tab w:val="clear" w:pos="567"/>
        </w:tabs>
        <w:autoSpaceDE w:val="0"/>
        <w:spacing w:after="0" w:line="240" w:lineRule="auto"/>
        <w:rPr>
          <w:lang w:val="lv-LV"/>
        </w:rPr>
      </w:pPr>
      <w:r w:rsidRPr="00537A29">
        <w:rPr>
          <w:szCs w:val="22"/>
          <w:lang w:val="lv-LV"/>
        </w:rPr>
        <w:t>Klīniski dati par memantīna lietošanu grūtniecības laikā nav pieejami. Pētījumi ar dzīvniekiem norādīja uz iespējamu augļa intrauterīnās augšanas samazināšanos pie iedarbības līmeņa, kas ir identisks vai nedaudz pārsniedz to, kāds tiek sasniegts cilvēkiem (skatīt 5.3</w:t>
      </w:r>
      <w:r w:rsidR="00301C51" w:rsidRPr="00537A29">
        <w:rPr>
          <w:szCs w:val="22"/>
          <w:lang w:val="lv-LV"/>
        </w:rPr>
        <w:t>.</w:t>
      </w:r>
      <w:r w:rsidRPr="00537A29">
        <w:rPr>
          <w:szCs w:val="22"/>
          <w:lang w:val="lv-LV"/>
        </w:rPr>
        <w:t xml:space="preserve"> apakšpunktu). Iespējamais risks cilvēkiem nav zināms. Memantīnu nedrīkst lietot grūtniecības laikā, ja vien tas nav absolūti nepieciešams. </w:t>
      </w:r>
    </w:p>
    <w:p w14:paraId="5E4647C1" w14:textId="77777777" w:rsidR="00301C51" w:rsidRPr="00537A29" w:rsidRDefault="00301C51" w:rsidP="00537A29">
      <w:pPr>
        <w:pStyle w:val="BodyText"/>
        <w:spacing w:after="0" w:line="240" w:lineRule="auto"/>
        <w:rPr>
          <w:lang w:val="lv-LV"/>
        </w:rPr>
      </w:pPr>
    </w:p>
    <w:p w14:paraId="493BA555" w14:textId="77777777" w:rsidR="00301C51" w:rsidRPr="00A14B1C" w:rsidRDefault="00301C51" w:rsidP="00537A29">
      <w:pPr>
        <w:pStyle w:val="BodyText"/>
        <w:spacing w:after="0" w:line="240" w:lineRule="auto"/>
        <w:rPr>
          <w:u w:val="single"/>
          <w:lang w:val="lv-LV"/>
        </w:rPr>
      </w:pPr>
      <w:r w:rsidRPr="00537A29">
        <w:rPr>
          <w:u w:val="single"/>
          <w:lang w:val="lv-LV"/>
        </w:rPr>
        <w:t>Barošana ar krūti</w:t>
      </w:r>
    </w:p>
    <w:p w14:paraId="10428F24" w14:textId="77777777" w:rsidR="00F9193E" w:rsidRPr="00537A29" w:rsidRDefault="00F9193E" w:rsidP="00537A29">
      <w:pPr>
        <w:pStyle w:val="BodyText"/>
        <w:spacing w:after="0" w:line="240" w:lineRule="auto"/>
        <w:rPr>
          <w:szCs w:val="22"/>
          <w:lang w:val="lv-LV"/>
        </w:rPr>
      </w:pPr>
      <w:r w:rsidRPr="00537A29">
        <w:rPr>
          <w:lang w:val="lv-LV"/>
        </w:rPr>
        <w:t>Nav zināms, vai memantīns izdalās ar mātes pienu cilvēkiem, bet, ņemot vērā vielas lipofilitāti, tas, iespējams, notiek. Sievietes, kuras lieto memantīnu, nedrīkst barot bērnu ar krūti.</w:t>
      </w:r>
    </w:p>
    <w:p w14:paraId="647A02B6" w14:textId="77777777" w:rsidR="00F9193E" w:rsidRPr="00537A29" w:rsidRDefault="00F9193E" w:rsidP="00537A29">
      <w:pPr>
        <w:tabs>
          <w:tab w:val="clear" w:pos="567"/>
        </w:tabs>
        <w:autoSpaceDE w:val="0"/>
        <w:spacing w:line="240" w:lineRule="auto"/>
        <w:rPr>
          <w:szCs w:val="22"/>
          <w:lang w:val="lv-LV"/>
        </w:rPr>
      </w:pPr>
    </w:p>
    <w:p w14:paraId="37C6E785" w14:textId="77777777" w:rsidR="00F9193E" w:rsidRPr="00537A29" w:rsidRDefault="00F9193E" w:rsidP="00537A29">
      <w:pPr>
        <w:tabs>
          <w:tab w:val="clear" w:pos="567"/>
          <w:tab w:val="left" w:pos="708"/>
        </w:tabs>
        <w:spacing w:line="240" w:lineRule="auto"/>
        <w:ind w:left="567" w:hanging="567"/>
        <w:rPr>
          <w:szCs w:val="22"/>
          <w:lang w:val="lv-LV"/>
        </w:rPr>
      </w:pPr>
      <w:r w:rsidRPr="00537A29">
        <w:rPr>
          <w:b/>
          <w:szCs w:val="22"/>
          <w:lang w:val="lv-LV"/>
        </w:rPr>
        <w:t>4.7</w:t>
      </w:r>
      <w:r w:rsidR="00301C51" w:rsidRPr="00537A29">
        <w:rPr>
          <w:b/>
          <w:szCs w:val="22"/>
          <w:lang w:val="lv-LV"/>
        </w:rPr>
        <w:t>.</w:t>
      </w:r>
      <w:r w:rsidRPr="00537A29">
        <w:rPr>
          <w:b/>
          <w:szCs w:val="22"/>
          <w:lang w:val="lv-LV"/>
        </w:rPr>
        <w:tab/>
      </w:r>
      <w:r w:rsidRPr="00537A29">
        <w:rPr>
          <w:b/>
          <w:lang w:val="lv-LV"/>
        </w:rPr>
        <w:t>Ietekme uz spēju vadīt transportlīdzekļus un apkalpot mehānismus</w:t>
      </w:r>
    </w:p>
    <w:p w14:paraId="64ACA644" w14:textId="77777777" w:rsidR="00F9193E" w:rsidRPr="00537A29" w:rsidRDefault="00F9193E" w:rsidP="00537A29">
      <w:pPr>
        <w:tabs>
          <w:tab w:val="clear" w:pos="567"/>
          <w:tab w:val="left" w:pos="708"/>
        </w:tabs>
        <w:spacing w:line="240" w:lineRule="auto"/>
        <w:rPr>
          <w:szCs w:val="22"/>
          <w:lang w:val="lv-LV"/>
        </w:rPr>
      </w:pPr>
    </w:p>
    <w:p w14:paraId="4E736D72" w14:textId="77777777" w:rsidR="00F9193E" w:rsidRPr="00537A29" w:rsidRDefault="00F9193E" w:rsidP="00537A29">
      <w:pPr>
        <w:pStyle w:val="BodyText"/>
        <w:tabs>
          <w:tab w:val="clear" w:pos="567"/>
        </w:tabs>
        <w:autoSpaceDE w:val="0"/>
        <w:spacing w:after="0" w:line="240" w:lineRule="auto"/>
        <w:rPr>
          <w:szCs w:val="22"/>
          <w:lang w:val="lv-LV"/>
        </w:rPr>
      </w:pPr>
      <w:r w:rsidRPr="00537A29">
        <w:rPr>
          <w:szCs w:val="22"/>
          <w:lang w:val="lv-LV"/>
        </w:rPr>
        <w:t>Vidēji smaga vai smaga Alcheimera slimība parasti pati par sevi pasliktina spēju vadīt transportlīdzekļus un ierobežo spēju apkalpot mehānismus. Memantīn</w:t>
      </w:r>
      <w:r w:rsidR="00301C51" w:rsidRPr="00537A29">
        <w:rPr>
          <w:szCs w:val="22"/>
          <w:lang w:val="lv-LV"/>
        </w:rPr>
        <w:t>s</w:t>
      </w:r>
      <w:r w:rsidRPr="00537A29">
        <w:rPr>
          <w:szCs w:val="22"/>
          <w:lang w:val="lv-LV"/>
        </w:rPr>
        <w:t xml:space="preserve"> turklāt </w:t>
      </w:r>
      <w:r w:rsidR="00301C51" w:rsidRPr="00537A29">
        <w:rPr>
          <w:szCs w:val="22"/>
          <w:lang w:val="lv-LV"/>
        </w:rPr>
        <w:t>maz</w:t>
      </w:r>
      <w:r w:rsidRPr="00537A29">
        <w:rPr>
          <w:szCs w:val="22"/>
          <w:lang w:val="lv-LV"/>
        </w:rPr>
        <w:t xml:space="preserve"> vai </w:t>
      </w:r>
      <w:r w:rsidR="00301C51" w:rsidRPr="00537A29">
        <w:rPr>
          <w:szCs w:val="22"/>
          <w:lang w:val="lv-LV"/>
        </w:rPr>
        <w:t>mēreni</w:t>
      </w:r>
      <w:r w:rsidRPr="00537A29">
        <w:rPr>
          <w:szCs w:val="22"/>
          <w:lang w:val="lv-LV"/>
        </w:rPr>
        <w:t xml:space="preserve"> ietekm</w:t>
      </w:r>
      <w:r w:rsidR="00301C51" w:rsidRPr="00537A29">
        <w:rPr>
          <w:szCs w:val="22"/>
          <w:lang w:val="lv-LV"/>
        </w:rPr>
        <w:t>ē</w:t>
      </w:r>
      <w:r w:rsidRPr="00537A29">
        <w:rPr>
          <w:szCs w:val="22"/>
          <w:lang w:val="lv-LV"/>
        </w:rPr>
        <w:t xml:space="preserve"> spēju vadīt transportlīdzekļus un apkalpot mehānismus, tādēļ ambulatorie pacienti jābrīdina, lai viņi būtu īpaši uzmanīgi.</w:t>
      </w:r>
    </w:p>
    <w:p w14:paraId="3D3A9A16" w14:textId="77777777" w:rsidR="00F9193E" w:rsidRPr="00537A29" w:rsidRDefault="00F9193E" w:rsidP="00537A29">
      <w:pPr>
        <w:tabs>
          <w:tab w:val="clear" w:pos="567"/>
        </w:tabs>
        <w:autoSpaceDE w:val="0"/>
        <w:spacing w:line="240" w:lineRule="auto"/>
        <w:rPr>
          <w:szCs w:val="22"/>
          <w:lang w:val="lv-LV"/>
        </w:rPr>
      </w:pPr>
    </w:p>
    <w:p w14:paraId="0C361882" w14:textId="77777777" w:rsidR="00F9193E" w:rsidRPr="00537A29" w:rsidRDefault="00301C51" w:rsidP="00A14B1C">
      <w:pPr>
        <w:spacing w:line="240" w:lineRule="auto"/>
        <w:rPr>
          <w:i/>
          <w:szCs w:val="22"/>
          <w:lang w:val="lv-LV"/>
        </w:rPr>
      </w:pPr>
      <w:r w:rsidRPr="00537A29">
        <w:rPr>
          <w:b/>
          <w:szCs w:val="22"/>
          <w:lang w:val="lv-LV"/>
        </w:rPr>
        <w:t>4.8.</w:t>
      </w:r>
      <w:r w:rsidRPr="00537A29">
        <w:rPr>
          <w:b/>
          <w:szCs w:val="22"/>
          <w:lang w:val="lv-LV"/>
        </w:rPr>
        <w:tab/>
      </w:r>
      <w:r w:rsidR="00F9193E" w:rsidRPr="00537A29">
        <w:rPr>
          <w:b/>
          <w:szCs w:val="22"/>
          <w:lang w:val="lv-LV"/>
        </w:rPr>
        <w:t>Nevēlamās blakusparādības</w:t>
      </w:r>
    </w:p>
    <w:p w14:paraId="1256F6E4" w14:textId="77777777" w:rsidR="00F9193E" w:rsidRPr="00537A29" w:rsidRDefault="00F9193E" w:rsidP="00537A29">
      <w:pPr>
        <w:tabs>
          <w:tab w:val="clear" w:pos="567"/>
          <w:tab w:val="left" w:pos="708"/>
        </w:tabs>
        <w:spacing w:line="240" w:lineRule="auto"/>
        <w:rPr>
          <w:i/>
          <w:szCs w:val="22"/>
          <w:lang w:val="lv-LV"/>
        </w:rPr>
      </w:pPr>
    </w:p>
    <w:p w14:paraId="2D4A3D21" w14:textId="77777777" w:rsidR="00F9193E" w:rsidRPr="00537A29" w:rsidRDefault="00F9193E" w:rsidP="00537A29">
      <w:pPr>
        <w:pStyle w:val="BodyText"/>
        <w:tabs>
          <w:tab w:val="clear" w:pos="567"/>
        </w:tabs>
        <w:autoSpaceDE w:val="0"/>
        <w:spacing w:after="0" w:line="240" w:lineRule="auto"/>
        <w:rPr>
          <w:lang w:val="lv-LV"/>
        </w:rPr>
      </w:pPr>
      <w:r w:rsidRPr="00537A29">
        <w:rPr>
          <w:szCs w:val="22"/>
          <w:lang w:val="lv-LV"/>
        </w:rPr>
        <w:t xml:space="preserve">Klīniskajos pētījumos par vieglu līdz smagu demenci, kuros bija iekļauti 1784 pacienti, kurus ārstēja ar memantīnu, un 1595 pacienti, kurus ārstēja ar placebo, vispārējā nevēlamo blakusparādību sastopamība memantīna lietošanas gadījumā neatšķīrās no tās, ko konstatēja, terapijā lietojot placebo; nevēlamās blakusparādības parasti bija vieglas vai vidēji smagas. Biežāk novērotās nevēlamās blakusparādības ar lielāku sastopamību memantīna grupā nekā </w:t>
      </w:r>
      <w:r w:rsidRPr="00537A29">
        <w:rPr>
          <w:lang w:val="lv-LV"/>
        </w:rPr>
        <w:t xml:space="preserve">placebo grupā bija reibonis (attiecīgi 6,3%, salīdzinot ar 5,6%), galvassāpes (5,2%, salīdzinot ar 3,9%), aizcietējums (4,6%, salīdzinot ar 2,6%), miegainība (3,4%, salīdzinot ar 2,2%) un hipertensija (4,1%, salīdzinot ar 2,8%). </w:t>
      </w:r>
    </w:p>
    <w:p w14:paraId="1417EC97" w14:textId="77777777" w:rsidR="00F9193E" w:rsidRPr="00537A29" w:rsidRDefault="00F9193E" w:rsidP="00537A29">
      <w:pPr>
        <w:pStyle w:val="BodyText"/>
        <w:spacing w:after="0" w:line="240" w:lineRule="auto"/>
        <w:rPr>
          <w:lang w:val="lv-LV"/>
        </w:rPr>
      </w:pPr>
      <w:r w:rsidRPr="00537A29">
        <w:rPr>
          <w:lang w:val="lv-LV"/>
        </w:rPr>
        <w:t xml:space="preserve">Tabulā ir norādītas nevēlamās blakusparādības, kas apkopotas no visiem memantīna klīniskajiem pētījumiem un kopš tā ieviešanas tirgū. Katrā sastopamības biežuma grupā nevēlamās blakusparādības sakārtotas to nopietnības samazinājuma secībā. </w:t>
      </w:r>
    </w:p>
    <w:p w14:paraId="74DC08E9" w14:textId="77777777" w:rsidR="00F9193E" w:rsidRPr="00537A29" w:rsidRDefault="00F9193E" w:rsidP="00537A29">
      <w:pPr>
        <w:pStyle w:val="BodyText"/>
        <w:spacing w:after="0" w:line="240" w:lineRule="auto"/>
        <w:rPr>
          <w:szCs w:val="22"/>
          <w:lang w:val="lv-LV"/>
        </w:rPr>
      </w:pPr>
      <w:r w:rsidRPr="00537A29">
        <w:rPr>
          <w:lang w:val="lv-LV"/>
        </w:rPr>
        <w:t xml:space="preserve">Nevēlamās blakusparādības sakārtotas atbilstoši orgānu sistēmām, izmantojot šādu biežuma iedalījumu: ļoti bieži (≥ 1/10), bieži (no ≥1/100 līdz &lt; 1/10), retāk (no ≥ 1/1000 līdz &lt; 1/100), reti (no ≥1/10 000 līdz &lt; 1/1000), ļoti reti (&lt; 1/10 000), nezināmi (nevar noteikt pēc pieejamiem datiem). </w:t>
      </w:r>
    </w:p>
    <w:p w14:paraId="384ECB5B" w14:textId="39AD9CF2" w:rsidR="00F9193E" w:rsidRDefault="00F9193E" w:rsidP="00537A29">
      <w:pPr>
        <w:tabs>
          <w:tab w:val="clear" w:pos="567"/>
        </w:tabs>
        <w:autoSpaceDE w:val="0"/>
        <w:spacing w:line="240" w:lineRule="auto"/>
        <w:rPr>
          <w:szCs w:val="22"/>
          <w:lang w:val="lv-LV"/>
        </w:rPr>
      </w:pPr>
    </w:p>
    <w:tbl>
      <w:tblPr>
        <w:tblStyle w:val="TableGrid"/>
        <w:tblW w:w="0" w:type="auto"/>
        <w:tblLook w:val="04A0" w:firstRow="1" w:lastRow="0" w:firstColumn="1" w:lastColumn="0" w:noHBand="0" w:noVBand="1"/>
      </w:tblPr>
      <w:tblGrid>
        <w:gridCol w:w="3009"/>
        <w:gridCol w:w="3004"/>
        <w:gridCol w:w="3049"/>
      </w:tblGrid>
      <w:tr w:rsidR="008E615F" w14:paraId="4E60078F" w14:textId="77777777" w:rsidTr="008E615F">
        <w:tc>
          <w:tcPr>
            <w:tcW w:w="3070" w:type="dxa"/>
          </w:tcPr>
          <w:p w14:paraId="21CB27A9" w14:textId="0993AD9C" w:rsidR="008E615F" w:rsidRDefault="008E615F" w:rsidP="00537A29">
            <w:pPr>
              <w:tabs>
                <w:tab w:val="clear" w:pos="567"/>
              </w:tabs>
              <w:autoSpaceDE w:val="0"/>
              <w:spacing w:line="240" w:lineRule="auto"/>
              <w:rPr>
                <w:szCs w:val="22"/>
                <w:lang w:val="lv-LV"/>
              </w:rPr>
            </w:pPr>
            <w:r w:rsidRPr="008E615F">
              <w:rPr>
                <w:b/>
                <w:bCs/>
                <w:szCs w:val="22"/>
                <w:lang w:val="lv-LV"/>
              </w:rPr>
              <w:t>Orgānu sistēmu grupa</w:t>
            </w:r>
          </w:p>
        </w:tc>
        <w:tc>
          <w:tcPr>
            <w:tcW w:w="3071" w:type="dxa"/>
          </w:tcPr>
          <w:p w14:paraId="4F447999" w14:textId="15BD5DCB" w:rsidR="008E615F" w:rsidRPr="00380A9E" w:rsidRDefault="008E615F" w:rsidP="008E615F">
            <w:pPr>
              <w:tabs>
                <w:tab w:val="clear" w:pos="567"/>
              </w:tabs>
              <w:autoSpaceDE w:val="0"/>
              <w:spacing w:line="240" w:lineRule="auto"/>
              <w:rPr>
                <w:b/>
                <w:bCs/>
                <w:szCs w:val="22"/>
                <w:lang w:val="pl-PL"/>
              </w:rPr>
            </w:pPr>
            <w:r w:rsidRPr="00380A9E">
              <w:rPr>
                <w:b/>
                <w:bCs/>
                <w:szCs w:val="22"/>
                <w:lang w:val="lv-LV"/>
              </w:rPr>
              <w:t>Biežums</w:t>
            </w:r>
          </w:p>
          <w:p w14:paraId="09BD546A" w14:textId="77777777" w:rsidR="008E615F" w:rsidRDefault="008E615F" w:rsidP="00537A29">
            <w:pPr>
              <w:tabs>
                <w:tab w:val="clear" w:pos="567"/>
              </w:tabs>
              <w:autoSpaceDE w:val="0"/>
              <w:spacing w:line="240" w:lineRule="auto"/>
              <w:rPr>
                <w:szCs w:val="22"/>
                <w:lang w:val="lv-LV"/>
              </w:rPr>
            </w:pPr>
          </w:p>
        </w:tc>
        <w:tc>
          <w:tcPr>
            <w:tcW w:w="3071" w:type="dxa"/>
          </w:tcPr>
          <w:p w14:paraId="3F5C2E11" w14:textId="49C73EC4" w:rsidR="008E615F" w:rsidRPr="00380A9E" w:rsidRDefault="008E615F" w:rsidP="00537A29">
            <w:pPr>
              <w:tabs>
                <w:tab w:val="clear" w:pos="567"/>
              </w:tabs>
              <w:autoSpaceDE w:val="0"/>
              <w:spacing w:line="240" w:lineRule="auto"/>
              <w:rPr>
                <w:b/>
                <w:bCs/>
                <w:szCs w:val="22"/>
                <w:lang w:val="lv-LV"/>
              </w:rPr>
            </w:pPr>
            <w:r w:rsidRPr="008E615F">
              <w:rPr>
                <w:b/>
                <w:bCs/>
                <w:szCs w:val="22"/>
                <w:lang w:val="lv-LV"/>
              </w:rPr>
              <w:t>Nevēlamās blakusparādības</w:t>
            </w:r>
          </w:p>
        </w:tc>
      </w:tr>
      <w:tr w:rsidR="008E615F" w14:paraId="190B1E3B" w14:textId="77777777" w:rsidTr="008E615F">
        <w:tc>
          <w:tcPr>
            <w:tcW w:w="3070" w:type="dxa"/>
          </w:tcPr>
          <w:p w14:paraId="4406A48B" w14:textId="77777777" w:rsidR="008E615F" w:rsidRPr="00380A9E" w:rsidRDefault="008E615F" w:rsidP="008E615F">
            <w:pPr>
              <w:tabs>
                <w:tab w:val="clear" w:pos="567"/>
              </w:tabs>
              <w:autoSpaceDE w:val="0"/>
              <w:spacing w:line="240" w:lineRule="auto"/>
              <w:rPr>
                <w:szCs w:val="22"/>
                <w:lang w:val="lv-LV"/>
              </w:rPr>
            </w:pPr>
            <w:r w:rsidRPr="00380A9E">
              <w:rPr>
                <w:szCs w:val="22"/>
                <w:lang w:val="lv-LV"/>
              </w:rPr>
              <w:t>Infekcijas un infestācijas</w:t>
            </w:r>
          </w:p>
          <w:p w14:paraId="550EDA6E" w14:textId="77777777" w:rsidR="008E615F" w:rsidRDefault="008E615F" w:rsidP="00537A29">
            <w:pPr>
              <w:tabs>
                <w:tab w:val="clear" w:pos="567"/>
              </w:tabs>
              <w:autoSpaceDE w:val="0"/>
              <w:spacing w:line="240" w:lineRule="auto"/>
              <w:rPr>
                <w:szCs w:val="22"/>
                <w:lang w:val="lv-LV"/>
              </w:rPr>
            </w:pPr>
          </w:p>
        </w:tc>
        <w:tc>
          <w:tcPr>
            <w:tcW w:w="3071" w:type="dxa"/>
          </w:tcPr>
          <w:p w14:paraId="35DE93DD" w14:textId="7421AF4E" w:rsidR="008E615F" w:rsidRDefault="008E615F" w:rsidP="00537A29">
            <w:pPr>
              <w:tabs>
                <w:tab w:val="clear" w:pos="567"/>
              </w:tabs>
              <w:autoSpaceDE w:val="0"/>
              <w:spacing w:line="240" w:lineRule="auto"/>
              <w:rPr>
                <w:szCs w:val="22"/>
                <w:lang w:val="lv-LV"/>
              </w:rPr>
            </w:pPr>
            <w:r w:rsidRPr="008E615F">
              <w:rPr>
                <w:szCs w:val="22"/>
                <w:lang w:val="lv-LV"/>
              </w:rPr>
              <w:t>Retāk</w:t>
            </w:r>
            <w:r w:rsidRPr="008E615F">
              <w:rPr>
                <w:szCs w:val="22"/>
                <w:lang w:val="lv-LV"/>
              </w:rPr>
              <w:tab/>
            </w:r>
          </w:p>
        </w:tc>
        <w:tc>
          <w:tcPr>
            <w:tcW w:w="3071" w:type="dxa"/>
          </w:tcPr>
          <w:p w14:paraId="36DB6053" w14:textId="50C6F5FC" w:rsidR="008E615F" w:rsidRDefault="008E615F" w:rsidP="00537A29">
            <w:pPr>
              <w:tabs>
                <w:tab w:val="clear" w:pos="567"/>
              </w:tabs>
              <w:autoSpaceDE w:val="0"/>
              <w:spacing w:line="240" w:lineRule="auto"/>
              <w:rPr>
                <w:szCs w:val="22"/>
                <w:lang w:val="lv-LV"/>
              </w:rPr>
            </w:pPr>
            <w:r w:rsidRPr="008E615F">
              <w:rPr>
                <w:szCs w:val="22"/>
                <w:lang w:val="lv-LV"/>
              </w:rPr>
              <w:t>Sēnīšinfekcijas</w:t>
            </w:r>
          </w:p>
        </w:tc>
      </w:tr>
      <w:tr w:rsidR="008E615F" w14:paraId="0E72B423" w14:textId="77777777" w:rsidTr="008E615F">
        <w:tc>
          <w:tcPr>
            <w:tcW w:w="3070" w:type="dxa"/>
          </w:tcPr>
          <w:p w14:paraId="507F7A74" w14:textId="77777777" w:rsidR="008E615F" w:rsidRPr="00380A9E" w:rsidRDefault="008E615F" w:rsidP="008E615F">
            <w:pPr>
              <w:tabs>
                <w:tab w:val="clear" w:pos="567"/>
              </w:tabs>
              <w:autoSpaceDE w:val="0"/>
              <w:spacing w:line="240" w:lineRule="auto"/>
              <w:rPr>
                <w:szCs w:val="22"/>
                <w:lang w:val="lv-LV"/>
              </w:rPr>
            </w:pPr>
            <w:r w:rsidRPr="00380A9E">
              <w:rPr>
                <w:szCs w:val="22"/>
                <w:lang w:val="lv-LV"/>
              </w:rPr>
              <w:t xml:space="preserve">Imūnās sistēmas traucējumi </w:t>
            </w:r>
          </w:p>
          <w:p w14:paraId="5A937B40" w14:textId="77777777" w:rsidR="008E615F" w:rsidRDefault="008E615F" w:rsidP="00537A29">
            <w:pPr>
              <w:tabs>
                <w:tab w:val="clear" w:pos="567"/>
              </w:tabs>
              <w:autoSpaceDE w:val="0"/>
              <w:spacing w:line="240" w:lineRule="auto"/>
              <w:rPr>
                <w:szCs w:val="22"/>
                <w:lang w:val="lv-LV"/>
              </w:rPr>
            </w:pPr>
          </w:p>
        </w:tc>
        <w:tc>
          <w:tcPr>
            <w:tcW w:w="3071" w:type="dxa"/>
          </w:tcPr>
          <w:p w14:paraId="66EC1A78" w14:textId="39CD557C" w:rsidR="008E615F" w:rsidRDefault="008E615F" w:rsidP="00537A29">
            <w:pPr>
              <w:tabs>
                <w:tab w:val="clear" w:pos="567"/>
              </w:tabs>
              <w:autoSpaceDE w:val="0"/>
              <w:spacing w:line="240" w:lineRule="auto"/>
              <w:rPr>
                <w:szCs w:val="22"/>
                <w:lang w:val="lv-LV"/>
              </w:rPr>
            </w:pPr>
            <w:r w:rsidRPr="008E615F">
              <w:rPr>
                <w:szCs w:val="22"/>
                <w:lang w:val="lv-LV"/>
              </w:rPr>
              <w:t>Bieži</w:t>
            </w:r>
          </w:p>
        </w:tc>
        <w:tc>
          <w:tcPr>
            <w:tcW w:w="3071" w:type="dxa"/>
          </w:tcPr>
          <w:p w14:paraId="0AC04DBB" w14:textId="72FC9F69" w:rsidR="008E615F" w:rsidRDefault="008E615F" w:rsidP="00537A29">
            <w:pPr>
              <w:tabs>
                <w:tab w:val="clear" w:pos="567"/>
              </w:tabs>
              <w:autoSpaceDE w:val="0"/>
              <w:spacing w:line="240" w:lineRule="auto"/>
              <w:rPr>
                <w:szCs w:val="22"/>
                <w:lang w:val="lv-LV"/>
              </w:rPr>
            </w:pPr>
            <w:r w:rsidRPr="008E615F">
              <w:rPr>
                <w:szCs w:val="22"/>
                <w:lang w:val="lv-LV"/>
              </w:rPr>
              <w:t>Paaugstināta jutība pret zālēm</w:t>
            </w:r>
          </w:p>
        </w:tc>
      </w:tr>
      <w:tr w:rsidR="00381B76" w14:paraId="03D38EFC" w14:textId="77777777" w:rsidTr="008E615F">
        <w:tc>
          <w:tcPr>
            <w:tcW w:w="3070" w:type="dxa"/>
            <w:vMerge w:val="restart"/>
          </w:tcPr>
          <w:p w14:paraId="71DE2699" w14:textId="77777777" w:rsidR="00381B76" w:rsidRPr="00380A9E" w:rsidRDefault="00381B76" w:rsidP="00381B76">
            <w:pPr>
              <w:tabs>
                <w:tab w:val="clear" w:pos="567"/>
              </w:tabs>
              <w:autoSpaceDE w:val="0"/>
              <w:spacing w:line="240" w:lineRule="auto"/>
              <w:rPr>
                <w:szCs w:val="22"/>
                <w:lang w:val="lv-LV"/>
              </w:rPr>
            </w:pPr>
            <w:r w:rsidRPr="00380A9E">
              <w:rPr>
                <w:szCs w:val="22"/>
                <w:lang w:val="lv-LV"/>
              </w:rPr>
              <w:t>Psihiskie traucējumi</w:t>
            </w:r>
          </w:p>
          <w:p w14:paraId="617554D7" w14:textId="77777777" w:rsidR="00381B76" w:rsidRDefault="00381B76" w:rsidP="00537A29">
            <w:pPr>
              <w:tabs>
                <w:tab w:val="clear" w:pos="567"/>
              </w:tabs>
              <w:autoSpaceDE w:val="0"/>
              <w:spacing w:line="240" w:lineRule="auto"/>
              <w:rPr>
                <w:szCs w:val="22"/>
                <w:lang w:val="lv-LV"/>
              </w:rPr>
            </w:pPr>
          </w:p>
        </w:tc>
        <w:tc>
          <w:tcPr>
            <w:tcW w:w="3071" w:type="dxa"/>
          </w:tcPr>
          <w:p w14:paraId="6D44A9CC" w14:textId="6D426AE7" w:rsidR="00381B76" w:rsidRDefault="00381B76" w:rsidP="00537A29">
            <w:pPr>
              <w:tabs>
                <w:tab w:val="clear" w:pos="567"/>
              </w:tabs>
              <w:autoSpaceDE w:val="0"/>
              <w:spacing w:line="240" w:lineRule="auto"/>
              <w:rPr>
                <w:szCs w:val="22"/>
                <w:lang w:val="lv-LV"/>
              </w:rPr>
            </w:pPr>
            <w:r w:rsidRPr="00381B76">
              <w:rPr>
                <w:szCs w:val="22"/>
                <w:lang w:val="lv-LV"/>
              </w:rPr>
              <w:t>Bieži</w:t>
            </w:r>
          </w:p>
        </w:tc>
        <w:tc>
          <w:tcPr>
            <w:tcW w:w="3071" w:type="dxa"/>
          </w:tcPr>
          <w:p w14:paraId="7E32F450" w14:textId="2D771CCD" w:rsidR="00381B76" w:rsidRDefault="00381B76" w:rsidP="00537A29">
            <w:pPr>
              <w:tabs>
                <w:tab w:val="clear" w:pos="567"/>
              </w:tabs>
              <w:autoSpaceDE w:val="0"/>
              <w:spacing w:line="240" w:lineRule="auto"/>
              <w:rPr>
                <w:szCs w:val="22"/>
                <w:lang w:val="lv-LV"/>
              </w:rPr>
            </w:pPr>
            <w:r w:rsidRPr="00381B76">
              <w:rPr>
                <w:szCs w:val="22"/>
                <w:lang w:val="lv-LV"/>
              </w:rPr>
              <w:t>Miegainība</w:t>
            </w:r>
          </w:p>
        </w:tc>
      </w:tr>
      <w:tr w:rsidR="00381B76" w14:paraId="427C5D62" w14:textId="77777777" w:rsidTr="008E615F">
        <w:tc>
          <w:tcPr>
            <w:tcW w:w="3070" w:type="dxa"/>
            <w:vMerge/>
          </w:tcPr>
          <w:p w14:paraId="66211F01" w14:textId="77777777" w:rsidR="00381B76" w:rsidRDefault="00381B76" w:rsidP="00537A29">
            <w:pPr>
              <w:tabs>
                <w:tab w:val="clear" w:pos="567"/>
              </w:tabs>
              <w:autoSpaceDE w:val="0"/>
              <w:spacing w:line="240" w:lineRule="auto"/>
              <w:rPr>
                <w:szCs w:val="22"/>
                <w:lang w:val="lv-LV"/>
              </w:rPr>
            </w:pPr>
          </w:p>
        </w:tc>
        <w:tc>
          <w:tcPr>
            <w:tcW w:w="3071" w:type="dxa"/>
          </w:tcPr>
          <w:p w14:paraId="1FAF51D1" w14:textId="1BD0A502" w:rsidR="00381B76" w:rsidRDefault="00381B76" w:rsidP="00537A29">
            <w:pPr>
              <w:tabs>
                <w:tab w:val="clear" w:pos="567"/>
              </w:tabs>
              <w:autoSpaceDE w:val="0"/>
              <w:spacing w:line="240" w:lineRule="auto"/>
              <w:rPr>
                <w:szCs w:val="22"/>
                <w:lang w:val="lv-LV"/>
              </w:rPr>
            </w:pPr>
            <w:r w:rsidRPr="00381B76">
              <w:rPr>
                <w:szCs w:val="22"/>
                <w:lang w:val="lv-LV"/>
              </w:rPr>
              <w:t>Retāk</w:t>
            </w:r>
          </w:p>
        </w:tc>
        <w:tc>
          <w:tcPr>
            <w:tcW w:w="3071" w:type="dxa"/>
          </w:tcPr>
          <w:p w14:paraId="23E27A59" w14:textId="5DB4E924" w:rsidR="00381B76" w:rsidRDefault="00381B76" w:rsidP="00537A29">
            <w:pPr>
              <w:tabs>
                <w:tab w:val="clear" w:pos="567"/>
              </w:tabs>
              <w:autoSpaceDE w:val="0"/>
              <w:spacing w:line="240" w:lineRule="auto"/>
              <w:rPr>
                <w:szCs w:val="22"/>
                <w:lang w:val="lv-LV"/>
              </w:rPr>
            </w:pPr>
            <w:r w:rsidRPr="00381B76">
              <w:rPr>
                <w:szCs w:val="22"/>
                <w:lang w:val="lv-LV"/>
              </w:rPr>
              <w:t>Apjukums, halucinācijas</w:t>
            </w:r>
            <w:r w:rsidRPr="00381B76">
              <w:rPr>
                <w:szCs w:val="22"/>
                <w:vertAlign w:val="superscript"/>
                <w:lang w:val="lv-LV"/>
              </w:rPr>
              <w:t>1</w:t>
            </w:r>
          </w:p>
        </w:tc>
      </w:tr>
      <w:tr w:rsidR="00381B76" w14:paraId="455D3685" w14:textId="77777777" w:rsidTr="008E615F">
        <w:tc>
          <w:tcPr>
            <w:tcW w:w="3070" w:type="dxa"/>
            <w:vMerge/>
          </w:tcPr>
          <w:p w14:paraId="38174328" w14:textId="77777777" w:rsidR="00381B76" w:rsidRDefault="00381B76" w:rsidP="00537A29">
            <w:pPr>
              <w:tabs>
                <w:tab w:val="clear" w:pos="567"/>
              </w:tabs>
              <w:autoSpaceDE w:val="0"/>
              <w:spacing w:line="240" w:lineRule="auto"/>
              <w:rPr>
                <w:szCs w:val="22"/>
                <w:lang w:val="lv-LV"/>
              </w:rPr>
            </w:pPr>
          </w:p>
        </w:tc>
        <w:tc>
          <w:tcPr>
            <w:tcW w:w="3071" w:type="dxa"/>
          </w:tcPr>
          <w:p w14:paraId="6F78251A" w14:textId="544219D4" w:rsidR="00381B76" w:rsidRDefault="00381B76" w:rsidP="00537A29">
            <w:pPr>
              <w:tabs>
                <w:tab w:val="clear" w:pos="567"/>
              </w:tabs>
              <w:autoSpaceDE w:val="0"/>
              <w:spacing w:line="240" w:lineRule="auto"/>
              <w:rPr>
                <w:szCs w:val="22"/>
                <w:lang w:val="lv-LV"/>
              </w:rPr>
            </w:pPr>
            <w:r w:rsidRPr="00381B76">
              <w:rPr>
                <w:szCs w:val="22"/>
                <w:lang w:val="lv-LV"/>
              </w:rPr>
              <w:t>Nezināmi</w:t>
            </w:r>
          </w:p>
        </w:tc>
        <w:tc>
          <w:tcPr>
            <w:tcW w:w="3071" w:type="dxa"/>
          </w:tcPr>
          <w:p w14:paraId="6F3452E6" w14:textId="50D3CC63" w:rsidR="00381B76" w:rsidRDefault="00381B76" w:rsidP="00537A29">
            <w:pPr>
              <w:tabs>
                <w:tab w:val="clear" w:pos="567"/>
              </w:tabs>
              <w:autoSpaceDE w:val="0"/>
              <w:spacing w:line="240" w:lineRule="auto"/>
              <w:rPr>
                <w:szCs w:val="22"/>
                <w:lang w:val="lv-LV"/>
              </w:rPr>
            </w:pPr>
            <w:r w:rsidRPr="00381B76">
              <w:rPr>
                <w:szCs w:val="22"/>
                <w:lang w:val="lv-LV"/>
              </w:rPr>
              <w:t>Psihotiskas reakcijas</w:t>
            </w:r>
            <w:r w:rsidRPr="00381B76">
              <w:rPr>
                <w:szCs w:val="22"/>
                <w:vertAlign w:val="superscript"/>
                <w:lang w:val="lv-LV"/>
              </w:rPr>
              <w:t>2</w:t>
            </w:r>
          </w:p>
        </w:tc>
      </w:tr>
      <w:tr w:rsidR="00381B76" w14:paraId="313A2AEF" w14:textId="77777777" w:rsidTr="008E615F">
        <w:tc>
          <w:tcPr>
            <w:tcW w:w="3070" w:type="dxa"/>
            <w:vMerge w:val="restart"/>
          </w:tcPr>
          <w:p w14:paraId="0EB6AA8C" w14:textId="77777777" w:rsidR="00381B76" w:rsidRPr="00380A9E" w:rsidRDefault="00381B76" w:rsidP="00381B76">
            <w:pPr>
              <w:tabs>
                <w:tab w:val="clear" w:pos="567"/>
              </w:tabs>
              <w:autoSpaceDE w:val="0"/>
              <w:spacing w:line="240" w:lineRule="auto"/>
              <w:rPr>
                <w:szCs w:val="22"/>
                <w:lang w:val="lv-LV"/>
              </w:rPr>
            </w:pPr>
            <w:r w:rsidRPr="00380A9E">
              <w:rPr>
                <w:szCs w:val="22"/>
                <w:lang w:val="lv-LV"/>
              </w:rPr>
              <w:t>Nervu sistēmas traucējumi</w:t>
            </w:r>
          </w:p>
          <w:p w14:paraId="240154A0" w14:textId="77777777" w:rsidR="00381B76" w:rsidRDefault="00381B76" w:rsidP="00537A29">
            <w:pPr>
              <w:tabs>
                <w:tab w:val="clear" w:pos="567"/>
              </w:tabs>
              <w:autoSpaceDE w:val="0"/>
              <w:spacing w:line="240" w:lineRule="auto"/>
              <w:rPr>
                <w:szCs w:val="22"/>
                <w:lang w:val="lv-LV"/>
              </w:rPr>
            </w:pPr>
          </w:p>
        </w:tc>
        <w:tc>
          <w:tcPr>
            <w:tcW w:w="3071" w:type="dxa"/>
          </w:tcPr>
          <w:p w14:paraId="62183C77" w14:textId="6EA542F8" w:rsidR="00381B76" w:rsidRDefault="00381B76" w:rsidP="00537A29">
            <w:pPr>
              <w:tabs>
                <w:tab w:val="clear" w:pos="567"/>
              </w:tabs>
              <w:autoSpaceDE w:val="0"/>
              <w:spacing w:line="240" w:lineRule="auto"/>
              <w:rPr>
                <w:szCs w:val="22"/>
                <w:lang w:val="lv-LV"/>
              </w:rPr>
            </w:pPr>
            <w:r w:rsidRPr="00381B76">
              <w:rPr>
                <w:szCs w:val="22"/>
                <w:lang w:val="lv-LV"/>
              </w:rPr>
              <w:t>Bieži</w:t>
            </w:r>
          </w:p>
        </w:tc>
        <w:tc>
          <w:tcPr>
            <w:tcW w:w="3071" w:type="dxa"/>
          </w:tcPr>
          <w:p w14:paraId="56D47FDD" w14:textId="0860A61B" w:rsidR="00381B76" w:rsidRDefault="00381B76" w:rsidP="00537A29">
            <w:pPr>
              <w:tabs>
                <w:tab w:val="clear" w:pos="567"/>
              </w:tabs>
              <w:autoSpaceDE w:val="0"/>
              <w:spacing w:line="240" w:lineRule="auto"/>
              <w:rPr>
                <w:szCs w:val="22"/>
                <w:lang w:val="lv-LV"/>
              </w:rPr>
            </w:pPr>
            <w:r w:rsidRPr="00381B76">
              <w:rPr>
                <w:szCs w:val="22"/>
                <w:lang w:val="lv-LV"/>
              </w:rPr>
              <w:t>Reibonis, līdzsvara traucējumi</w:t>
            </w:r>
          </w:p>
        </w:tc>
      </w:tr>
      <w:tr w:rsidR="00381B76" w14:paraId="1C3FD6AF" w14:textId="77777777" w:rsidTr="008E615F">
        <w:tc>
          <w:tcPr>
            <w:tcW w:w="3070" w:type="dxa"/>
            <w:vMerge/>
          </w:tcPr>
          <w:p w14:paraId="1F8DF103" w14:textId="77777777" w:rsidR="00381B76" w:rsidRDefault="00381B76" w:rsidP="00537A29">
            <w:pPr>
              <w:tabs>
                <w:tab w:val="clear" w:pos="567"/>
              </w:tabs>
              <w:autoSpaceDE w:val="0"/>
              <w:spacing w:line="240" w:lineRule="auto"/>
              <w:rPr>
                <w:szCs w:val="22"/>
                <w:lang w:val="lv-LV"/>
              </w:rPr>
            </w:pPr>
          </w:p>
        </w:tc>
        <w:tc>
          <w:tcPr>
            <w:tcW w:w="3071" w:type="dxa"/>
          </w:tcPr>
          <w:p w14:paraId="2363BFEE" w14:textId="4D7CE5A7" w:rsidR="00381B76" w:rsidRDefault="00381B76" w:rsidP="00537A29">
            <w:pPr>
              <w:tabs>
                <w:tab w:val="clear" w:pos="567"/>
              </w:tabs>
              <w:autoSpaceDE w:val="0"/>
              <w:spacing w:line="240" w:lineRule="auto"/>
              <w:rPr>
                <w:szCs w:val="22"/>
                <w:lang w:val="lv-LV"/>
              </w:rPr>
            </w:pPr>
            <w:r w:rsidRPr="00381B76">
              <w:rPr>
                <w:szCs w:val="22"/>
                <w:lang w:val="lv-LV"/>
              </w:rPr>
              <w:t>Retāk</w:t>
            </w:r>
            <w:r w:rsidRPr="00381B76">
              <w:rPr>
                <w:szCs w:val="22"/>
                <w:lang w:val="lv-LV"/>
              </w:rPr>
              <w:tab/>
            </w:r>
          </w:p>
        </w:tc>
        <w:tc>
          <w:tcPr>
            <w:tcW w:w="3071" w:type="dxa"/>
          </w:tcPr>
          <w:p w14:paraId="44C6DE02" w14:textId="64BBB081" w:rsidR="00381B76" w:rsidRDefault="00381B76" w:rsidP="00537A29">
            <w:pPr>
              <w:tabs>
                <w:tab w:val="clear" w:pos="567"/>
              </w:tabs>
              <w:autoSpaceDE w:val="0"/>
              <w:spacing w:line="240" w:lineRule="auto"/>
              <w:rPr>
                <w:szCs w:val="22"/>
                <w:lang w:val="lv-LV"/>
              </w:rPr>
            </w:pPr>
            <w:r w:rsidRPr="00381B76">
              <w:rPr>
                <w:szCs w:val="22"/>
                <w:lang w:val="lv-LV"/>
              </w:rPr>
              <w:t>Gaitas traucējumi</w:t>
            </w:r>
          </w:p>
        </w:tc>
      </w:tr>
      <w:tr w:rsidR="00381B76" w14:paraId="51A374F1" w14:textId="77777777" w:rsidTr="008E615F">
        <w:tc>
          <w:tcPr>
            <w:tcW w:w="3070" w:type="dxa"/>
            <w:vMerge/>
          </w:tcPr>
          <w:p w14:paraId="06E5F910" w14:textId="77777777" w:rsidR="00381B76" w:rsidRDefault="00381B76" w:rsidP="00537A29">
            <w:pPr>
              <w:tabs>
                <w:tab w:val="clear" w:pos="567"/>
              </w:tabs>
              <w:autoSpaceDE w:val="0"/>
              <w:spacing w:line="240" w:lineRule="auto"/>
              <w:rPr>
                <w:szCs w:val="22"/>
                <w:lang w:val="lv-LV"/>
              </w:rPr>
            </w:pPr>
          </w:p>
        </w:tc>
        <w:tc>
          <w:tcPr>
            <w:tcW w:w="3071" w:type="dxa"/>
          </w:tcPr>
          <w:p w14:paraId="3F908CF1" w14:textId="7A0A093F" w:rsidR="00381B76" w:rsidRDefault="00381B76" w:rsidP="00537A29">
            <w:pPr>
              <w:tabs>
                <w:tab w:val="clear" w:pos="567"/>
              </w:tabs>
              <w:autoSpaceDE w:val="0"/>
              <w:spacing w:line="240" w:lineRule="auto"/>
              <w:rPr>
                <w:szCs w:val="22"/>
                <w:lang w:val="lv-LV"/>
              </w:rPr>
            </w:pPr>
            <w:r w:rsidRPr="00381B76">
              <w:rPr>
                <w:szCs w:val="22"/>
                <w:lang w:val="lv-LV"/>
              </w:rPr>
              <w:t>Ļoti reti</w:t>
            </w:r>
          </w:p>
        </w:tc>
        <w:tc>
          <w:tcPr>
            <w:tcW w:w="3071" w:type="dxa"/>
          </w:tcPr>
          <w:p w14:paraId="277BC0E2" w14:textId="12906BD2" w:rsidR="00381B76" w:rsidRDefault="00381B76" w:rsidP="00537A29">
            <w:pPr>
              <w:tabs>
                <w:tab w:val="clear" w:pos="567"/>
              </w:tabs>
              <w:autoSpaceDE w:val="0"/>
              <w:spacing w:line="240" w:lineRule="auto"/>
              <w:rPr>
                <w:szCs w:val="22"/>
                <w:lang w:val="lv-LV"/>
              </w:rPr>
            </w:pPr>
            <w:r w:rsidRPr="00381B76">
              <w:rPr>
                <w:szCs w:val="22"/>
                <w:lang w:val="lv-LV"/>
              </w:rPr>
              <w:t>Krampji</w:t>
            </w:r>
          </w:p>
        </w:tc>
      </w:tr>
      <w:tr w:rsidR="008E615F" w14:paraId="55695E40" w14:textId="77777777" w:rsidTr="008E615F">
        <w:tc>
          <w:tcPr>
            <w:tcW w:w="3070" w:type="dxa"/>
          </w:tcPr>
          <w:p w14:paraId="6E05850B" w14:textId="77777777" w:rsidR="00381B76" w:rsidRPr="00380A9E" w:rsidRDefault="00381B76" w:rsidP="00381B76">
            <w:pPr>
              <w:tabs>
                <w:tab w:val="clear" w:pos="567"/>
              </w:tabs>
              <w:autoSpaceDE w:val="0"/>
              <w:spacing w:line="240" w:lineRule="auto"/>
              <w:rPr>
                <w:szCs w:val="22"/>
                <w:lang w:val="lv-LV"/>
              </w:rPr>
            </w:pPr>
            <w:r w:rsidRPr="00380A9E">
              <w:rPr>
                <w:szCs w:val="22"/>
                <w:lang w:val="lv-LV"/>
              </w:rPr>
              <w:t>Sirds funkcijas traucējumi</w:t>
            </w:r>
          </w:p>
          <w:p w14:paraId="11898AB2" w14:textId="77777777" w:rsidR="008E615F" w:rsidRPr="00380A9E" w:rsidRDefault="008E615F" w:rsidP="00537A29">
            <w:pPr>
              <w:tabs>
                <w:tab w:val="clear" w:pos="567"/>
              </w:tabs>
              <w:autoSpaceDE w:val="0"/>
              <w:spacing w:line="240" w:lineRule="auto"/>
              <w:rPr>
                <w:szCs w:val="22"/>
                <w:lang w:val="lv-LV"/>
              </w:rPr>
            </w:pPr>
          </w:p>
        </w:tc>
        <w:tc>
          <w:tcPr>
            <w:tcW w:w="3071" w:type="dxa"/>
          </w:tcPr>
          <w:p w14:paraId="649A86DC" w14:textId="17D31B35" w:rsidR="008E615F" w:rsidRDefault="00381B76" w:rsidP="00537A29">
            <w:pPr>
              <w:tabs>
                <w:tab w:val="clear" w:pos="567"/>
              </w:tabs>
              <w:autoSpaceDE w:val="0"/>
              <w:spacing w:line="240" w:lineRule="auto"/>
              <w:rPr>
                <w:szCs w:val="22"/>
                <w:lang w:val="lv-LV"/>
              </w:rPr>
            </w:pPr>
            <w:r w:rsidRPr="00381B76">
              <w:rPr>
                <w:szCs w:val="22"/>
                <w:lang w:val="lv-LV"/>
              </w:rPr>
              <w:t>Retāk</w:t>
            </w:r>
          </w:p>
        </w:tc>
        <w:tc>
          <w:tcPr>
            <w:tcW w:w="3071" w:type="dxa"/>
          </w:tcPr>
          <w:p w14:paraId="1734889B" w14:textId="53BC5ADF" w:rsidR="008E615F" w:rsidRDefault="00381B76" w:rsidP="00537A29">
            <w:pPr>
              <w:tabs>
                <w:tab w:val="clear" w:pos="567"/>
              </w:tabs>
              <w:autoSpaceDE w:val="0"/>
              <w:spacing w:line="240" w:lineRule="auto"/>
              <w:rPr>
                <w:szCs w:val="22"/>
                <w:lang w:val="lv-LV"/>
              </w:rPr>
            </w:pPr>
            <w:r w:rsidRPr="00381B76">
              <w:rPr>
                <w:szCs w:val="22"/>
                <w:lang w:val="lv-LV"/>
              </w:rPr>
              <w:t>Sirds mazspēja</w:t>
            </w:r>
          </w:p>
        </w:tc>
      </w:tr>
      <w:tr w:rsidR="00415ED6" w14:paraId="14789235" w14:textId="77777777" w:rsidTr="008E615F">
        <w:tc>
          <w:tcPr>
            <w:tcW w:w="3070" w:type="dxa"/>
            <w:vMerge w:val="restart"/>
          </w:tcPr>
          <w:p w14:paraId="1B90885A" w14:textId="77777777" w:rsidR="00415ED6" w:rsidRPr="00380A9E" w:rsidRDefault="00415ED6" w:rsidP="00381B76">
            <w:pPr>
              <w:tabs>
                <w:tab w:val="clear" w:pos="567"/>
              </w:tabs>
              <w:autoSpaceDE w:val="0"/>
              <w:spacing w:line="240" w:lineRule="auto"/>
              <w:rPr>
                <w:szCs w:val="22"/>
                <w:lang w:val="lv-LV"/>
              </w:rPr>
            </w:pPr>
            <w:r w:rsidRPr="00380A9E">
              <w:rPr>
                <w:szCs w:val="22"/>
                <w:lang w:val="lv-LV"/>
              </w:rPr>
              <w:t>Asinsvadu sistēmas traucējumi</w:t>
            </w:r>
          </w:p>
          <w:p w14:paraId="1F76477F" w14:textId="77777777" w:rsidR="00415ED6" w:rsidRPr="00380A9E" w:rsidRDefault="00415ED6" w:rsidP="00537A29">
            <w:pPr>
              <w:tabs>
                <w:tab w:val="clear" w:pos="567"/>
              </w:tabs>
              <w:autoSpaceDE w:val="0"/>
              <w:spacing w:line="240" w:lineRule="auto"/>
              <w:rPr>
                <w:szCs w:val="22"/>
                <w:lang w:val="lv-LV"/>
              </w:rPr>
            </w:pPr>
          </w:p>
        </w:tc>
        <w:tc>
          <w:tcPr>
            <w:tcW w:w="3071" w:type="dxa"/>
          </w:tcPr>
          <w:p w14:paraId="17A18484" w14:textId="465922CC" w:rsidR="00415ED6" w:rsidRDefault="00415ED6" w:rsidP="00537A29">
            <w:pPr>
              <w:tabs>
                <w:tab w:val="clear" w:pos="567"/>
              </w:tabs>
              <w:autoSpaceDE w:val="0"/>
              <w:spacing w:line="240" w:lineRule="auto"/>
              <w:rPr>
                <w:szCs w:val="22"/>
                <w:lang w:val="lv-LV"/>
              </w:rPr>
            </w:pPr>
            <w:r w:rsidRPr="00415ED6">
              <w:rPr>
                <w:szCs w:val="22"/>
                <w:lang w:val="lv-LV"/>
              </w:rPr>
              <w:t>Bieži</w:t>
            </w:r>
          </w:p>
        </w:tc>
        <w:tc>
          <w:tcPr>
            <w:tcW w:w="3071" w:type="dxa"/>
          </w:tcPr>
          <w:p w14:paraId="2A658A54" w14:textId="3600EB29" w:rsidR="00415ED6" w:rsidRDefault="00415ED6" w:rsidP="00537A29">
            <w:pPr>
              <w:tabs>
                <w:tab w:val="clear" w:pos="567"/>
              </w:tabs>
              <w:autoSpaceDE w:val="0"/>
              <w:spacing w:line="240" w:lineRule="auto"/>
              <w:rPr>
                <w:szCs w:val="22"/>
                <w:lang w:val="lv-LV"/>
              </w:rPr>
            </w:pPr>
            <w:r w:rsidRPr="00415ED6">
              <w:rPr>
                <w:szCs w:val="22"/>
                <w:lang w:val="lv-LV"/>
              </w:rPr>
              <w:t>Hipertensija</w:t>
            </w:r>
          </w:p>
        </w:tc>
      </w:tr>
      <w:tr w:rsidR="00415ED6" w14:paraId="6DFFC164" w14:textId="77777777" w:rsidTr="008E615F">
        <w:tc>
          <w:tcPr>
            <w:tcW w:w="3070" w:type="dxa"/>
            <w:vMerge/>
          </w:tcPr>
          <w:p w14:paraId="4D47991F" w14:textId="77777777" w:rsidR="00415ED6" w:rsidRDefault="00415ED6" w:rsidP="00537A29">
            <w:pPr>
              <w:tabs>
                <w:tab w:val="clear" w:pos="567"/>
              </w:tabs>
              <w:autoSpaceDE w:val="0"/>
              <w:spacing w:line="240" w:lineRule="auto"/>
              <w:rPr>
                <w:szCs w:val="22"/>
                <w:lang w:val="lv-LV"/>
              </w:rPr>
            </w:pPr>
          </w:p>
        </w:tc>
        <w:tc>
          <w:tcPr>
            <w:tcW w:w="3071" w:type="dxa"/>
          </w:tcPr>
          <w:p w14:paraId="4ECA2B54" w14:textId="6A72E1B5" w:rsidR="00415ED6" w:rsidRDefault="00415ED6" w:rsidP="00537A29">
            <w:pPr>
              <w:tabs>
                <w:tab w:val="clear" w:pos="567"/>
              </w:tabs>
              <w:autoSpaceDE w:val="0"/>
              <w:spacing w:line="240" w:lineRule="auto"/>
              <w:rPr>
                <w:szCs w:val="22"/>
                <w:lang w:val="lv-LV"/>
              </w:rPr>
            </w:pPr>
            <w:r w:rsidRPr="00415ED6">
              <w:rPr>
                <w:szCs w:val="22"/>
                <w:lang w:val="lv-LV"/>
              </w:rPr>
              <w:t>Retāk</w:t>
            </w:r>
          </w:p>
        </w:tc>
        <w:tc>
          <w:tcPr>
            <w:tcW w:w="3071" w:type="dxa"/>
          </w:tcPr>
          <w:p w14:paraId="3CED1307" w14:textId="516C7ACE" w:rsidR="00415ED6" w:rsidRDefault="00415ED6" w:rsidP="00537A29">
            <w:pPr>
              <w:tabs>
                <w:tab w:val="clear" w:pos="567"/>
              </w:tabs>
              <w:autoSpaceDE w:val="0"/>
              <w:spacing w:line="240" w:lineRule="auto"/>
              <w:rPr>
                <w:szCs w:val="22"/>
                <w:lang w:val="lv-LV"/>
              </w:rPr>
            </w:pPr>
            <w:r w:rsidRPr="00415ED6">
              <w:rPr>
                <w:szCs w:val="22"/>
                <w:lang w:val="lv-LV"/>
              </w:rPr>
              <w:t>Venoza tromboze/trombembolija</w:t>
            </w:r>
          </w:p>
        </w:tc>
      </w:tr>
      <w:tr w:rsidR="008E615F" w14:paraId="5A4DB68F" w14:textId="77777777" w:rsidTr="008E615F">
        <w:tc>
          <w:tcPr>
            <w:tcW w:w="3070" w:type="dxa"/>
          </w:tcPr>
          <w:p w14:paraId="4D266EB8" w14:textId="77777777" w:rsidR="00415ED6" w:rsidRPr="00380A9E" w:rsidRDefault="00415ED6" w:rsidP="00415ED6">
            <w:pPr>
              <w:tabs>
                <w:tab w:val="clear" w:pos="567"/>
              </w:tabs>
              <w:autoSpaceDE w:val="0"/>
              <w:spacing w:line="240" w:lineRule="auto"/>
              <w:rPr>
                <w:szCs w:val="22"/>
                <w:lang w:val="lv-LV"/>
              </w:rPr>
            </w:pPr>
            <w:r w:rsidRPr="00380A9E">
              <w:rPr>
                <w:szCs w:val="22"/>
                <w:lang w:val="lv-LV"/>
              </w:rPr>
              <w:lastRenderedPageBreak/>
              <w:t>Elpošanas sistēmas traucējumi, krūšu kurvja un videnes slimības</w:t>
            </w:r>
          </w:p>
          <w:p w14:paraId="1F13A273" w14:textId="77777777" w:rsidR="008E615F" w:rsidRDefault="008E615F" w:rsidP="00537A29">
            <w:pPr>
              <w:tabs>
                <w:tab w:val="clear" w:pos="567"/>
              </w:tabs>
              <w:autoSpaceDE w:val="0"/>
              <w:spacing w:line="240" w:lineRule="auto"/>
              <w:rPr>
                <w:szCs w:val="22"/>
                <w:lang w:val="lv-LV"/>
              </w:rPr>
            </w:pPr>
          </w:p>
        </w:tc>
        <w:tc>
          <w:tcPr>
            <w:tcW w:w="3071" w:type="dxa"/>
          </w:tcPr>
          <w:p w14:paraId="4F4BE01B" w14:textId="051CB0DE" w:rsidR="008E615F" w:rsidRDefault="00415ED6" w:rsidP="00537A29">
            <w:pPr>
              <w:tabs>
                <w:tab w:val="clear" w:pos="567"/>
              </w:tabs>
              <w:autoSpaceDE w:val="0"/>
              <w:spacing w:line="240" w:lineRule="auto"/>
              <w:rPr>
                <w:szCs w:val="22"/>
                <w:lang w:val="lv-LV"/>
              </w:rPr>
            </w:pPr>
            <w:r w:rsidRPr="00415ED6">
              <w:rPr>
                <w:szCs w:val="22"/>
                <w:lang w:val="lv-LV"/>
              </w:rPr>
              <w:t>Bieži</w:t>
            </w:r>
          </w:p>
        </w:tc>
        <w:tc>
          <w:tcPr>
            <w:tcW w:w="3071" w:type="dxa"/>
          </w:tcPr>
          <w:p w14:paraId="2CE14CD8" w14:textId="636849C6" w:rsidR="008E615F" w:rsidRDefault="00415ED6" w:rsidP="00537A29">
            <w:pPr>
              <w:tabs>
                <w:tab w:val="clear" w:pos="567"/>
              </w:tabs>
              <w:autoSpaceDE w:val="0"/>
              <w:spacing w:line="240" w:lineRule="auto"/>
              <w:rPr>
                <w:szCs w:val="22"/>
                <w:lang w:val="lv-LV"/>
              </w:rPr>
            </w:pPr>
            <w:r w:rsidRPr="00415ED6">
              <w:rPr>
                <w:szCs w:val="22"/>
                <w:lang w:val="lv-LV"/>
              </w:rPr>
              <w:t>Aizdusa</w:t>
            </w:r>
          </w:p>
        </w:tc>
      </w:tr>
      <w:tr w:rsidR="00415ED6" w14:paraId="4F0A30B9" w14:textId="77777777" w:rsidTr="008E615F">
        <w:tc>
          <w:tcPr>
            <w:tcW w:w="3070" w:type="dxa"/>
            <w:vMerge w:val="restart"/>
          </w:tcPr>
          <w:p w14:paraId="78762C08" w14:textId="77777777" w:rsidR="00415ED6" w:rsidRPr="00380A9E" w:rsidRDefault="00415ED6" w:rsidP="00415ED6">
            <w:pPr>
              <w:tabs>
                <w:tab w:val="clear" w:pos="567"/>
              </w:tabs>
              <w:autoSpaceDE w:val="0"/>
              <w:spacing w:line="240" w:lineRule="auto"/>
              <w:rPr>
                <w:szCs w:val="22"/>
                <w:lang w:val="lv-LV"/>
              </w:rPr>
            </w:pPr>
            <w:r w:rsidRPr="00380A9E">
              <w:rPr>
                <w:szCs w:val="22"/>
                <w:lang w:val="lv-LV"/>
              </w:rPr>
              <w:t>Kuņģa-zarnu trakta traucējumi</w:t>
            </w:r>
          </w:p>
          <w:p w14:paraId="2FE54C93" w14:textId="77777777" w:rsidR="00415ED6" w:rsidRPr="00380A9E" w:rsidRDefault="00415ED6" w:rsidP="00415ED6">
            <w:pPr>
              <w:tabs>
                <w:tab w:val="clear" w:pos="567"/>
              </w:tabs>
              <w:autoSpaceDE w:val="0"/>
              <w:spacing w:line="240" w:lineRule="auto"/>
              <w:rPr>
                <w:szCs w:val="22"/>
                <w:lang w:val="lv-LV"/>
              </w:rPr>
            </w:pPr>
          </w:p>
        </w:tc>
        <w:tc>
          <w:tcPr>
            <w:tcW w:w="3071" w:type="dxa"/>
          </w:tcPr>
          <w:p w14:paraId="0AB77647" w14:textId="775FD575" w:rsidR="00415ED6" w:rsidRPr="00415ED6" w:rsidRDefault="00415ED6" w:rsidP="00537A29">
            <w:pPr>
              <w:tabs>
                <w:tab w:val="clear" w:pos="567"/>
              </w:tabs>
              <w:autoSpaceDE w:val="0"/>
              <w:spacing w:line="240" w:lineRule="auto"/>
              <w:rPr>
                <w:szCs w:val="22"/>
                <w:lang w:val="lv-LV"/>
              </w:rPr>
            </w:pPr>
            <w:r w:rsidRPr="00415ED6">
              <w:rPr>
                <w:szCs w:val="22"/>
                <w:lang w:val="lv-LV"/>
              </w:rPr>
              <w:t>Bieži</w:t>
            </w:r>
            <w:r w:rsidRPr="00415ED6">
              <w:rPr>
                <w:szCs w:val="22"/>
                <w:lang w:val="lv-LV"/>
              </w:rPr>
              <w:tab/>
            </w:r>
          </w:p>
        </w:tc>
        <w:tc>
          <w:tcPr>
            <w:tcW w:w="3071" w:type="dxa"/>
          </w:tcPr>
          <w:p w14:paraId="3B413139" w14:textId="65656C75" w:rsidR="00415ED6" w:rsidRPr="00415ED6" w:rsidRDefault="00415ED6" w:rsidP="00537A29">
            <w:pPr>
              <w:tabs>
                <w:tab w:val="clear" w:pos="567"/>
              </w:tabs>
              <w:autoSpaceDE w:val="0"/>
              <w:spacing w:line="240" w:lineRule="auto"/>
              <w:rPr>
                <w:szCs w:val="22"/>
                <w:lang w:val="lv-LV"/>
              </w:rPr>
            </w:pPr>
            <w:r w:rsidRPr="00415ED6">
              <w:rPr>
                <w:szCs w:val="22"/>
                <w:lang w:val="lv-LV"/>
              </w:rPr>
              <w:t>Aizcietējums</w:t>
            </w:r>
          </w:p>
        </w:tc>
      </w:tr>
      <w:tr w:rsidR="00415ED6" w14:paraId="736403BC" w14:textId="77777777" w:rsidTr="008E615F">
        <w:tc>
          <w:tcPr>
            <w:tcW w:w="3070" w:type="dxa"/>
            <w:vMerge/>
          </w:tcPr>
          <w:p w14:paraId="102CD4F0" w14:textId="77777777" w:rsidR="00415ED6" w:rsidRPr="00380A9E" w:rsidRDefault="00415ED6" w:rsidP="00415ED6">
            <w:pPr>
              <w:tabs>
                <w:tab w:val="clear" w:pos="567"/>
              </w:tabs>
              <w:autoSpaceDE w:val="0"/>
              <w:spacing w:line="240" w:lineRule="auto"/>
              <w:rPr>
                <w:szCs w:val="22"/>
                <w:lang w:val="lv-LV"/>
              </w:rPr>
            </w:pPr>
          </w:p>
        </w:tc>
        <w:tc>
          <w:tcPr>
            <w:tcW w:w="3071" w:type="dxa"/>
          </w:tcPr>
          <w:p w14:paraId="22F1C3A5" w14:textId="1CD3B937" w:rsidR="00415ED6" w:rsidRPr="00415ED6" w:rsidRDefault="00415ED6" w:rsidP="00537A29">
            <w:pPr>
              <w:tabs>
                <w:tab w:val="clear" w:pos="567"/>
              </w:tabs>
              <w:autoSpaceDE w:val="0"/>
              <w:spacing w:line="240" w:lineRule="auto"/>
              <w:rPr>
                <w:szCs w:val="22"/>
                <w:lang w:val="lv-LV"/>
              </w:rPr>
            </w:pPr>
            <w:r w:rsidRPr="00415ED6">
              <w:rPr>
                <w:szCs w:val="22"/>
                <w:lang w:val="lv-LV"/>
              </w:rPr>
              <w:t>Retāk</w:t>
            </w:r>
          </w:p>
        </w:tc>
        <w:tc>
          <w:tcPr>
            <w:tcW w:w="3071" w:type="dxa"/>
          </w:tcPr>
          <w:p w14:paraId="2FEB5D38" w14:textId="490FD496" w:rsidR="00415ED6" w:rsidRPr="00415ED6" w:rsidRDefault="00415ED6" w:rsidP="00537A29">
            <w:pPr>
              <w:tabs>
                <w:tab w:val="clear" w:pos="567"/>
              </w:tabs>
              <w:autoSpaceDE w:val="0"/>
              <w:spacing w:line="240" w:lineRule="auto"/>
              <w:rPr>
                <w:szCs w:val="22"/>
                <w:lang w:val="lv-LV"/>
              </w:rPr>
            </w:pPr>
            <w:r w:rsidRPr="00415ED6">
              <w:rPr>
                <w:szCs w:val="22"/>
                <w:lang w:val="lv-LV"/>
              </w:rPr>
              <w:t>Vemšana</w:t>
            </w:r>
          </w:p>
        </w:tc>
      </w:tr>
      <w:tr w:rsidR="00415ED6" w14:paraId="510B32DF" w14:textId="77777777" w:rsidTr="008E615F">
        <w:tc>
          <w:tcPr>
            <w:tcW w:w="3070" w:type="dxa"/>
            <w:vMerge/>
          </w:tcPr>
          <w:p w14:paraId="485B6218" w14:textId="77777777" w:rsidR="00415ED6" w:rsidRPr="00380A9E" w:rsidRDefault="00415ED6" w:rsidP="00415ED6">
            <w:pPr>
              <w:tabs>
                <w:tab w:val="clear" w:pos="567"/>
              </w:tabs>
              <w:autoSpaceDE w:val="0"/>
              <w:spacing w:line="240" w:lineRule="auto"/>
              <w:rPr>
                <w:szCs w:val="22"/>
                <w:lang w:val="lv-LV"/>
              </w:rPr>
            </w:pPr>
          </w:p>
        </w:tc>
        <w:tc>
          <w:tcPr>
            <w:tcW w:w="3071" w:type="dxa"/>
          </w:tcPr>
          <w:p w14:paraId="74CF19D1" w14:textId="1CE606F6" w:rsidR="00415ED6" w:rsidRPr="00415ED6" w:rsidRDefault="00415ED6" w:rsidP="00537A29">
            <w:pPr>
              <w:tabs>
                <w:tab w:val="clear" w:pos="567"/>
              </w:tabs>
              <w:autoSpaceDE w:val="0"/>
              <w:spacing w:line="240" w:lineRule="auto"/>
              <w:rPr>
                <w:szCs w:val="22"/>
                <w:lang w:val="lv-LV"/>
              </w:rPr>
            </w:pPr>
            <w:r w:rsidRPr="00415ED6">
              <w:rPr>
                <w:szCs w:val="22"/>
                <w:lang w:val="lv-LV"/>
              </w:rPr>
              <w:t>Nezināmi</w:t>
            </w:r>
          </w:p>
        </w:tc>
        <w:tc>
          <w:tcPr>
            <w:tcW w:w="3071" w:type="dxa"/>
          </w:tcPr>
          <w:p w14:paraId="481E64BB" w14:textId="73230D43" w:rsidR="00415ED6" w:rsidRPr="00415ED6" w:rsidRDefault="00415ED6" w:rsidP="00537A29">
            <w:pPr>
              <w:tabs>
                <w:tab w:val="clear" w:pos="567"/>
              </w:tabs>
              <w:autoSpaceDE w:val="0"/>
              <w:spacing w:line="240" w:lineRule="auto"/>
              <w:rPr>
                <w:szCs w:val="22"/>
                <w:lang w:val="lv-LV"/>
              </w:rPr>
            </w:pPr>
            <w:r w:rsidRPr="00415ED6">
              <w:rPr>
                <w:szCs w:val="22"/>
                <w:lang w:val="lv-LV"/>
              </w:rPr>
              <w:t>Pankreatīts</w:t>
            </w:r>
            <w:r w:rsidRPr="00415ED6">
              <w:rPr>
                <w:szCs w:val="22"/>
                <w:vertAlign w:val="superscript"/>
                <w:lang w:val="lv-LV"/>
              </w:rPr>
              <w:t>2</w:t>
            </w:r>
          </w:p>
        </w:tc>
      </w:tr>
      <w:tr w:rsidR="00415ED6" w:rsidRPr="0044496C" w14:paraId="49E8243E" w14:textId="77777777" w:rsidTr="008E615F">
        <w:tc>
          <w:tcPr>
            <w:tcW w:w="3070" w:type="dxa"/>
            <w:vMerge w:val="restart"/>
          </w:tcPr>
          <w:p w14:paraId="6012D158" w14:textId="77777777" w:rsidR="00415ED6" w:rsidRPr="00380A9E" w:rsidRDefault="00415ED6" w:rsidP="00415ED6">
            <w:pPr>
              <w:tabs>
                <w:tab w:val="clear" w:pos="567"/>
              </w:tabs>
              <w:autoSpaceDE w:val="0"/>
              <w:spacing w:line="240" w:lineRule="auto"/>
              <w:rPr>
                <w:szCs w:val="22"/>
                <w:lang w:val="lv-LV"/>
              </w:rPr>
            </w:pPr>
            <w:r w:rsidRPr="00380A9E">
              <w:rPr>
                <w:szCs w:val="22"/>
                <w:lang w:val="lv-LV"/>
              </w:rPr>
              <w:t xml:space="preserve">Aknu un/vai žults izvades sistēmas traucējumi </w:t>
            </w:r>
          </w:p>
          <w:p w14:paraId="5DE24CEC" w14:textId="77777777" w:rsidR="00415ED6" w:rsidRPr="00380A9E" w:rsidRDefault="00415ED6" w:rsidP="00415ED6">
            <w:pPr>
              <w:tabs>
                <w:tab w:val="clear" w:pos="567"/>
              </w:tabs>
              <w:autoSpaceDE w:val="0"/>
              <w:spacing w:line="240" w:lineRule="auto"/>
              <w:rPr>
                <w:szCs w:val="22"/>
                <w:lang w:val="lv-LV"/>
              </w:rPr>
            </w:pPr>
          </w:p>
        </w:tc>
        <w:tc>
          <w:tcPr>
            <w:tcW w:w="3071" w:type="dxa"/>
          </w:tcPr>
          <w:p w14:paraId="4DADEDA6" w14:textId="3E0D3C17" w:rsidR="00415ED6" w:rsidRPr="00415ED6" w:rsidRDefault="00415ED6" w:rsidP="00537A29">
            <w:pPr>
              <w:tabs>
                <w:tab w:val="clear" w:pos="567"/>
              </w:tabs>
              <w:autoSpaceDE w:val="0"/>
              <w:spacing w:line="240" w:lineRule="auto"/>
              <w:rPr>
                <w:szCs w:val="22"/>
                <w:lang w:val="lv-LV"/>
              </w:rPr>
            </w:pPr>
            <w:r w:rsidRPr="00415ED6">
              <w:rPr>
                <w:szCs w:val="22"/>
                <w:lang w:val="lv-LV"/>
              </w:rPr>
              <w:t>Bieži</w:t>
            </w:r>
          </w:p>
        </w:tc>
        <w:tc>
          <w:tcPr>
            <w:tcW w:w="3071" w:type="dxa"/>
          </w:tcPr>
          <w:p w14:paraId="2482D312" w14:textId="4649CE3C" w:rsidR="00415ED6" w:rsidRPr="00415ED6" w:rsidRDefault="00415ED6" w:rsidP="00537A29">
            <w:pPr>
              <w:tabs>
                <w:tab w:val="clear" w:pos="567"/>
              </w:tabs>
              <w:autoSpaceDE w:val="0"/>
              <w:spacing w:line="240" w:lineRule="auto"/>
              <w:rPr>
                <w:szCs w:val="22"/>
                <w:lang w:val="lv-LV"/>
              </w:rPr>
            </w:pPr>
            <w:r w:rsidRPr="00415ED6">
              <w:rPr>
                <w:szCs w:val="22"/>
                <w:lang w:val="lv-LV"/>
              </w:rPr>
              <w:t>Paaugstināti aknu funkcionālo testu rezultāti</w:t>
            </w:r>
          </w:p>
        </w:tc>
      </w:tr>
      <w:tr w:rsidR="00415ED6" w14:paraId="4F69DD54" w14:textId="77777777" w:rsidTr="008E615F">
        <w:tc>
          <w:tcPr>
            <w:tcW w:w="3070" w:type="dxa"/>
            <w:vMerge/>
          </w:tcPr>
          <w:p w14:paraId="5D48575A" w14:textId="77777777" w:rsidR="00415ED6" w:rsidRPr="00380A9E" w:rsidRDefault="00415ED6" w:rsidP="00415ED6">
            <w:pPr>
              <w:tabs>
                <w:tab w:val="clear" w:pos="567"/>
              </w:tabs>
              <w:autoSpaceDE w:val="0"/>
              <w:spacing w:line="240" w:lineRule="auto"/>
              <w:rPr>
                <w:szCs w:val="22"/>
                <w:lang w:val="lv-LV"/>
              </w:rPr>
            </w:pPr>
          </w:p>
        </w:tc>
        <w:tc>
          <w:tcPr>
            <w:tcW w:w="3071" w:type="dxa"/>
          </w:tcPr>
          <w:p w14:paraId="3B4C0DB5" w14:textId="4DEDFAF3" w:rsidR="00415ED6" w:rsidRPr="00415ED6" w:rsidRDefault="00415ED6" w:rsidP="00537A29">
            <w:pPr>
              <w:tabs>
                <w:tab w:val="clear" w:pos="567"/>
              </w:tabs>
              <w:autoSpaceDE w:val="0"/>
              <w:spacing w:line="240" w:lineRule="auto"/>
              <w:rPr>
                <w:szCs w:val="22"/>
                <w:lang w:val="lv-LV"/>
              </w:rPr>
            </w:pPr>
            <w:r w:rsidRPr="00415ED6">
              <w:rPr>
                <w:szCs w:val="22"/>
                <w:lang w:val="lv-LV"/>
              </w:rPr>
              <w:t>Nezināmi</w:t>
            </w:r>
          </w:p>
        </w:tc>
        <w:tc>
          <w:tcPr>
            <w:tcW w:w="3071" w:type="dxa"/>
          </w:tcPr>
          <w:p w14:paraId="6FB6B5D0" w14:textId="533B3640" w:rsidR="00415ED6" w:rsidRPr="00415ED6" w:rsidRDefault="00415ED6" w:rsidP="00537A29">
            <w:pPr>
              <w:tabs>
                <w:tab w:val="clear" w:pos="567"/>
              </w:tabs>
              <w:autoSpaceDE w:val="0"/>
              <w:spacing w:line="240" w:lineRule="auto"/>
              <w:rPr>
                <w:szCs w:val="22"/>
                <w:lang w:val="lv-LV"/>
              </w:rPr>
            </w:pPr>
            <w:r w:rsidRPr="00415ED6">
              <w:rPr>
                <w:szCs w:val="22"/>
                <w:lang w:val="lv-LV"/>
              </w:rPr>
              <w:t>Hepatīts</w:t>
            </w:r>
          </w:p>
        </w:tc>
      </w:tr>
      <w:tr w:rsidR="00415ED6" w14:paraId="6828AF7A" w14:textId="77777777" w:rsidTr="008E615F">
        <w:tc>
          <w:tcPr>
            <w:tcW w:w="3070" w:type="dxa"/>
            <w:vMerge w:val="restart"/>
          </w:tcPr>
          <w:p w14:paraId="0A474933" w14:textId="77777777" w:rsidR="00415ED6" w:rsidRPr="00380A9E" w:rsidRDefault="00415ED6" w:rsidP="00415ED6">
            <w:pPr>
              <w:tabs>
                <w:tab w:val="clear" w:pos="567"/>
              </w:tabs>
              <w:autoSpaceDE w:val="0"/>
              <w:spacing w:line="240" w:lineRule="auto"/>
              <w:rPr>
                <w:szCs w:val="22"/>
                <w:lang w:val="lv-LV"/>
              </w:rPr>
            </w:pPr>
            <w:r w:rsidRPr="00380A9E">
              <w:rPr>
                <w:szCs w:val="22"/>
                <w:lang w:val="lv-LV"/>
              </w:rPr>
              <w:t>Vispārēji traucējumi un reakcijas ievadīšanas vietā</w:t>
            </w:r>
          </w:p>
          <w:p w14:paraId="1C7078E8" w14:textId="77777777" w:rsidR="00415ED6" w:rsidRPr="00380A9E" w:rsidRDefault="00415ED6" w:rsidP="00415ED6">
            <w:pPr>
              <w:tabs>
                <w:tab w:val="clear" w:pos="567"/>
              </w:tabs>
              <w:autoSpaceDE w:val="0"/>
              <w:spacing w:line="240" w:lineRule="auto"/>
              <w:rPr>
                <w:szCs w:val="22"/>
                <w:lang w:val="lv-LV"/>
              </w:rPr>
            </w:pPr>
          </w:p>
        </w:tc>
        <w:tc>
          <w:tcPr>
            <w:tcW w:w="3071" w:type="dxa"/>
          </w:tcPr>
          <w:p w14:paraId="21DB171A" w14:textId="0AA0E1A5" w:rsidR="00415ED6" w:rsidRPr="00415ED6" w:rsidRDefault="00415ED6" w:rsidP="00537A29">
            <w:pPr>
              <w:tabs>
                <w:tab w:val="clear" w:pos="567"/>
              </w:tabs>
              <w:autoSpaceDE w:val="0"/>
              <w:spacing w:line="240" w:lineRule="auto"/>
              <w:rPr>
                <w:szCs w:val="22"/>
                <w:lang w:val="lv-LV"/>
              </w:rPr>
            </w:pPr>
            <w:r w:rsidRPr="00415ED6">
              <w:rPr>
                <w:szCs w:val="22"/>
                <w:lang w:val="lv-LV"/>
              </w:rPr>
              <w:t>Bieži</w:t>
            </w:r>
          </w:p>
        </w:tc>
        <w:tc>
          <w:tcPr>
            <w:tcW w:w="3071" w:type="dxa"/>
          </w:tcPr>
          <w:p w14:paraId="6D120A79" w14:textId="4402C44B" w:rsidR="00415ED6" w:rsidRPr="00415ED6" w:rsidRDefault="00415ED6" w:rsidP="00537A29">
            <w:pPr>
              <w:tabs>
                <w:tab w:val="clear" w:pos="567"/>
              </w:tabs>
              <w:autoSpaceDE w:val="0"/>
              <w:spacing w:line="240" w:lineRule="auto"/>
              <w:rPr>
                <w:szCs w:val="22"/>
                <w:lang w:val="lv-LV"/>
              </w:rPr>
            </w:pPr>
            <w:r w:rsidRPr="00415ED6">
              <w:rPr>
                <w:szCs w:val="22"/>
                <w:lang w:val="lv-LV"/>
              </w:rPr>
              <w:t>Galvassāpes</w:t>
            </w:r>
          </w:p>
        </w:tc>
      </w:tr>
      <w:tr w:rsidR="00415ED6" w14:paraId="4A75DEA2" w14:textId="77777777" w:rsidTr="008E615F">
        <w:tc>
          <w:tcPr>
            <w:tcW w:w="3070" w:type="dxa"/>
            <w:vMerge/>
          </w:tcPr>
          <w:p w14:paraId="21229F42" w14:textId="77777777" w:rsidR="00415ED6" w:rsidRPr="00415ED6" w:rsidRDefault="00415ED6" w:rsidP="00415ED6">
            <w:pPr>
              <w:tabs>
                <w:tab w:val="clear" w:pos="567"/>
              </w:tabs>
              <w:autoSpaceDE w:val="0"/>
              <w:spacing w:line="240" w:lineRule="auto"/>
              <w:rPr>
                <w:szCs w:val="22"/>
                <w:u w:val="single"/>
                <w:lang w:val="lv-LV"/>
              </w:rPr>
            </w:pPr>
          </w:p>
        </w:tc>
        <w:tc>
          <w:tcPr>
            <w:tcW w:w="3071" w:type="dxa"/>
          </w:tcPr>
          <w:p w14:paraId="48446910" w14:textId="5FA06BB4" w:rsidR="00415ED6" w:rsidRPr="00415ED6" w:rsidRDefault="00415ED6" w:rsidP="00537A29">
            <w:pPr>
              <w:tabs>
                <w:tab w:val="clear" w:pos="567"/>
              </w:tabs>
              <w:autoSpaceDE w:val="0"/>
              <w:spacing w:line="240" w:lineRule="auto"/>
              <w:rPr>
                <w:szCs w:val="22"/>
                <w:lang w:val="lv-LV"/>
              </w:rPr>
            </w:pPr>
            <w:r w:rsidRPr="00415ED6">
              <w:rPr>
                <w:szCs w:val="22"/>
                <w:lang w:val="lv-LV"/>
              </w:rPr>
              <w:t>Retāk</w:t>
            </w:r>
          </w:p>
        </w:tc>
        <w:tc>
          <w:tcPr>
            <w:tcW w:w="3071" w:type="dxa"/>
          </w:tcPr>
          <w:p w14:paraId="037F6C99" w14:textId="48181C9D" w:rsidR="00415ED6" w:rsidRPr="00415ED6" w:rsidRDefault="00415ED6" w:rsidP="00537A29">
            <w:pPr>
              <w:tabs>
                <w:tab w:val="clear" w:pos="567"/>
              </w:tabs>
              <w:autoSpaceDE w:val="0"/>
              <w:spacing w:line="240" w:lineRule="auto"/>
              <w:rPr>
                <w:szCs w:val="22"/>
                <w:lang w:val="lv-LV"/>
              </w:rPr>
            </w:pPr>
            <w:r w:rsidRPr="00415ED6">
              <w:rPr>
                <w:szCs w:val="22"/>
                <w:lang w:val="lv-LV"/>
              </w:rPr>
              <w:t>Nespēks</w:t>
            </w:r>
          </w:p>
        </w:tc>
      </w:tr>
    </w:tbl>
    <w:p w14:paraId="518CF5C4" w14:textId="77777777" w:rsidR="00F9193E" w:rsidRPr="00537A29" w:rsidRDefault="00F9193E" w:rsidP="00537A29">
      <w:pPr>
        <w:tabs>
          <w:tab w:val="clear" w:pos="567"/>
          <w:tab w:val="left" w:pos="708"/>
        </w:tabs>
        <w:spacing w:line="240" w:lineRule="auto"/>
        <w:rPr>
          <w:szCs w:val="22"/>
          <w:lang w:val="lv-LV"/>
        </w:rPr>
      </w:pPr>
    </w:p>
    <w:p w14:paraId="27BD4E93" w14:textId="77777777" w:rsidR="00F9193E" w:rsidRPr="00537A29" w:rsidRDefault="00F9193E" w:rsidP="00537A29">
      <w:pPr>
        <w:tabs>
          <w:tab w:val="clear" w:pos="567"/>
        </w:tabs>
        <w:autoSpaceDE w:val="0"/>
        <w:spacing w:line="240" w:lineRule="auto"/>
        <w:rPr>
          <w:szCs w:val="22"/>
          <w:vertAlign w:val="superscript"/>
          <w:lang w:val="lv-LV"/>
        </w:rPr>
      </w:pPr>
      <w:r w:rsidRPr="00537A29">
        <w:rPr>
          <w:szCs w:val="22"/>
          <w:vertAlign w:val="superscript"/>
          <w:lang w:val="lv-LV"/>
        </w:rPr>
        <w:t>1</w:t>
      </w:r>
      <w:r w:rsidRPr="00537A29">
        <w:rPr>
          <w:szCs w:val="22"/>
          <w:lang w:val="lv-LV"/>
        </w:rPr>
        <w:t xml:space="preserve"> Halucinācijas galvenokārt novērotas pacientiem ar smagu Alcheimera slimību.</w:t>
      </w:r>
    </w:p>
    <w:p w14:paraId="247C263C" w14:textId="77777777" w:rsidR="00F9193E" w:rsidRPr="00537A29" w:rsidRDefault="00F9193E" w:rsidP="00537A29">
      <w:pPr>
        <w:tabs>
          <w:tab w:val="clear" w:pos="567"/>
        </w:tabs>
        <w:autoSpaceDE w:val="0"/>
        <w:spacing w:line="240" w:lineRule="auto"/>
        <w:rPr>
          <w:szCs w:val="22"/>
          <w:lang w:val="lv-LV"/>
        </w:rPr>
      </w:pPr>
      <w:r w:rsidRPr="00537A29">
        <w:rPr>
          <w:szCs w:val="22"/>
          <w:vertAlign w:val="superscript"/>
          <w:lang w:val="lv-LV"/>
        </w:rPr>
        <w:t xml:space="preserve">2 </w:t>
      </w:r>
      <w:r w:rsidRPr="00537A29">
        <w:rPr>
          <w:szCs w:val="22"/>
          <w:lang w:val="lv-LV"/>
        </w:rPr>
        <w:t>Pēcreģistrācijas periodā ir ziņots par atsevišķiem gadījumiem.</w:t>
      </w:r>
    </w:p>
    <w:p w14:paraId="49D3948D" w14:textId="77777777" w:rsidR="00F9193E" w:rsidRPr="00537A29" w:rsidRDefault="00F9193E" w:rsidP="00537A29">
      <w:pPr>
        <w:tabs>
          <w:tab w:val="clear" w:pos="567"/>
        </w:tabs>
        <w:autoSpaceDE w:val="0"/>
        <w:spacing w:line="240" w:lineRule="auto"/>
        <w:rPr>
          <w:szCs w:val="22"/>
          <w:lang w:val="lv-LV"/>
        </w:rPr>
      </w:pPr>
    </w:p>
    <w:p w14:paraId="54F6CD5F" w14:textId="77777777" w:rsidR="00301C51" w:rsidRPr="00537A29" w:rsidRDefault="00F9193E" w:rsidP="00537A29">
      <w:pPr>
        <w:pStyle w:val="BodyText"/>
        <w:tabs>
          <w:tab w:val="clear" w:pos="567"/>
        </w:tabs>
        <w:autoSpaceDE w:val="0"/>
        <w:spacing w:after="0" w:line="240" w:lineRule="auto"/>
        <w:rPr>
          <w:szCs w:val="22"/>
          <w:lang w:val="lv-LV"/>
        </w:rPr>
      </w:pPr>
      <w:r w:rsidRPr="00537A29">
        <w:rPr>
          <w:szCs w:val="22"/>
          <w:lang w:val="lv-LV"/>
        </w:rPr>
        <w:t>Alcheimera slimība ir saistīta ar depresiju, tieksmi uz pašnāvību un pašnāvības mēģinājumiem. Pēcreģistrācijas periodā ziņots par atsevišķiem šādiem gadījumiem pacientiem, kuri tika ārstēti ar memantīnu.</w:t>
      </w:r>
    </w:p>
    <w:p w14:paraId="1B31A1C9" w14:textId="77777777" w:rsidR="00301C51" w:rsidRPr="00537A29" w:rsidRDefault="00301C51" w:rsidP="00537A29">
      <w:pPr>
        <w:pStyle w:val="BodyText"/>
        <w:tabs>
          <w:tab w:val="clear" w:pos="567"/>
        </w:tabs>
        <w:autoSpaceDE w:val="0"/>
        <w:spacing w:after="0" w:line="240" w:lineRule="auto"/>
        <w:rPr>
          <w:szCs w:val="22"/>
          <w:lang w:val="lv-LV"/>
        </w:rPr>
      </w:pPr>
    </w:p>
    <w:p w14:paraId="5A18618D" w14:textId="77777777" w:rsidR="00301C51" w:rsidRPr="00A14B1C" w:rsidRDefault="00301C51" w:rsidP="00537A29">
      <w:pPr>
        <w:autoSpaceDE w:val="0"/>
        <w:autoSpaceDN w:val="0"/>
        <w:adjustRightInd w:val="0"/>
        <w:spacing w:line="240" w:lineRule="auto"/>
        <w:rPr>
          <w:szCs w:val="22"/>
          <w:u w:val="single"/>
          <w:lang w:val="lv-LV"/>
        </w:rPr>
      </w:pPr>
      <w:bookmarkStart w:id="0" w:name="OLE_LINK2"/>
      <w:r w:rsidRPr="00A14B1C">
        <w:rPr>
          <w:szCs w:val="22"/>
          <w:u w:val="single"/>
          <w:lang w:val="lv-LV"/>
        </w:rPr>
        <w:t>Ziņošana par iespējamām nevēlamām blakusparādībām</w:t>
      </w:r>
    </w:p>
    <w:p w14:paraId="74634DA3" w14:textId="4D2922F3" w:rsidR="00F9193E" w:rsidRPr="00040EF4" w:rsidRDefault="00301C51" w:rsidP="00A14B1C">
      <w:pPr>
        <w:spacing w:line="240" w:lineRule="auto"/>
        <w:rPr>
          <w:szCs w:val="22"/>
          <w:lang w:val="lv-LV"/>
        </w:rPr>
      </w:pPr>
      <w:r w:rsidRPr="00A14B1C">
        <w:rPr>
          <w:szCs w:val="22"/>
          <w:lang w:val="lv-LV"/>
        </w:rPr>
        <w:t xml:space="preserve">Ir svarīgi ziņot par iespējamām nevēlamām blakusparādībām pēc zāļu reģistrācijas. Tādējādi zāļu ieguvumu/riska attiecība tiek nepārtraukti uzraudzīta. Veselības aprūpes speciālisti tiek lūgti ziņot par jebkādām iespējamām nevēlamām blakusparādībām Zāļu valsts aģentūrai, </w:t>
      </w:r>
      <w:r w:rsidRPr="00A14B1C">
        <w:rPr>
          <w:color w:val="000000"/>
          <w:szCs w:val="22"/>
          <w:lang w:val="lv-LV"/>
        </w:rPr>
        <w:t xml:space="preserve">Jersikas ielā 15, Rīgā, LV 1003. </w:t>
      </w:r>
      <w:r w:rsidRPr="00537A29">
        <w:rPr>
          <w:color w:val="000000"/>
          <w:szCs w:val="22"/>
          <w:lang w:val="lv-LV"/>
        </w:rPr>
        <w:t xml:space="preserve">Tālr.: +371 67078400; fakss: +371 67078428. </w:t>
      </w:r>
      <w:r w:rsidRPr="00537A29">
        <w:rPr>
          <w:color w:val="000000"/>
          <w:szCs w:val="22"/>
          <w:lang w:val="lv-LV"/>
        </w:rPr>
        <w:br/>
        <w:t>Tīmekļa vietne:</w:t>
      </w:r>
      <w:r w:rsidRPr="00C01ACF">
        <w:rPr>
          <w:color w:val="000000"/>
          <w:szCs w:val="22"/>
          <w:lang w:val="lv-LV"/>
        </w:rPr>
        <w:t xml:space="preserve"> </w:t>
      </w:r>
      <w:hyperlink r:id="rId10" w:history="1">
        <w:r w:rsidRPr="00380A9E">
          <w:rPr>
            <w:rStyle w:val="Hyperlink"/>
            <w:color w:val="000000"/>
            <w:szCs w:val="22"/>
            <w:u w:val="none"/>
            <w:lang w:val="lv-LV"/>
          </w:rPr>
          <w:t>www.zva.gov.lv</w:t>
        </w:r>
      </w:hyperlink>
      <w:bookmarkEnd w:id="0"/>
    </w:p>
    <w:p w14:paraId="20A66A3E" w14:textId="77777777" w:rsidR="00F9193E" w:rsidRPr="00537A29" w:rsidRDefault="00F9193E" w:rsidP="00537A29">
      <w:pPr>
        <w:tabs>
          <w:tab w:val="clear" w:pos="567"/>
        </w:tabs>
        <w:autoSpaceDE w:val="0"/>
        <w:spacing w:line="240" w:lineRule="auto"/>
        <w:rPr>
          <w:szCs w:val="22"/>
          <w:lang w:val="lv-LV"/>
        </w:rPr>
      </w:pPr>
    </w:p>
    <w:p w14:paraId="2B468219" w14:textId="77777777" w:rsidR="00F9193E" w:rsidRPr="00537A29" w:rsidRDefault="00F9193E" w:rsidP="00537A29">
      <w:pPr>
        <w:tabs>
          <w:tab w:val="clear" w:pos="567"/>
          <w:tab w:val="left" w:pos="708"/>
        </w:tabs>
        <w:spacing w:line="240" w:lineRule="auto"/>
        <w:ind w:left="567" w:hanging="567"/>
        <w:rPr>
          <w:szCs w:val="22"/>
          <w:lang w:val="lv-LV"/>
        </w:rPr>
      </w:pPr>
      <w:r w:rsidRPr="00537A29">
        <w:rPr>
          <w:b/>
          <w:szCs w:val="22"/>
          <w:lang w:val="lv-LV"/>
        </w:rPr>
        <w:t>4.9</w:t>
      </w:r>
      <w:r w:rsidR="00301C51" w:rsidRPr="00537A29">
        <w:rPr>
          <w:b/>
          <w:szCs w:val="22"/>
          <w:lang w:val="lv-LV"/>
        </w:rPr>
        <w:t>.</w:t>
      </w:r>
      <w:r w:rsidRPr="00537A29">
        <w:rPr>
          <w:b/>
          <w:szCs w:val="22"/>
          <w:lang w:val="lv-LV"/>
        </w:rPr>
        <w:tab/>
        <w:t>Pārdozēšana</w:t>
      </w:r>
    </w:p>
    <w:p w14:paraId="4AF9CE0D" w14:textId="77777777" w:rsidR="00F9193E" w:rsidRPr="00537A29" w:rsidRDefault="00F9193E" w:rsidP="00537A29">
      <w:pPr>
        <w:tabs>
          <w:tab w:val="clear" w:pos="567"/>
          <w:tab w:val="left" w:pos="708"/>
        </w:tabs>
        <w:spacing w:line="240" w:lineRule="auto"/>
        <w:rPr>
          <w:szCs w:val="22"/>
          <w:lang w:val="lv-LV"/>
        </w:rPr>
      </w:pPr>
    </w:p>
    <w:p w14:paraId="6C62A1CF" w14:textId="77777777" w:rsidR="00F9193E" w:rsidRPr="00537A29" w:rsidRDefault="00F9193E" w:rsidP="00537A29">
      <w:pPr>
        <w:pStyle w:val="BodyText"/>
        <w:tabs>
          <w:tab w:val="clear" w:pos="567"/>
        </w:tabs>
        <w:autoSpaceDE w:val="0"/>
        <w:spacing w:after="0" w:line="240" w:lineRule="auto"/>
        <w:rPr>
          <w:i/>
          <w:lang w:val="lv-LV"/>
        </w:rPr>
      </w:pPr>
      <w:r w:rsidRPr="00537A29">
        <w:rPr>
          <w:szCs w:val="22"/>
          <w:lang w:val="lv-LV"/>
        </w:rPr>
        <w:t xml:space="preserve">Klīniskajos pētījumos un pēcreģistrācijas periodā iegūto datu par pārdozēšanas gadījumiem ir maz. </w:t>
      </w:r>
    </w:p>
    <w:p w14:paraId="1EE68148" w14:textId="77777777" w:rsidR="00F16757" w:rsidRPr="00537A29" w:rsidRDefault="00F16757" w:rsidP="00537A29">
      <w:pPr>
        <w:pStyle w:val="BodyText"/>
        <w:spacing w:after="0" w:line="240" w:lineRule="auto"/>
        <w:rPr>
          <w:i/>
          <w:lang w:val="lv-LV"/>
        </w:rPr>
      </w:pPr>
    </w:p>
    <w:p w14:paraId="0BFA5D08" w14:textId="77777777" w:rsidR="00F9193E" w:rsidRPr="00537A29" w:rsidRDefault="00F9193E" w:rsidP="00537A29">
      <w:pPr>
        <w:pStyle w:val="BodyText"/>
        <w:spacing w:after="0" w:line="240" w:lineRule="auto"/>
        <w:rPr>
          <w:lang w:val="lv-LV"/>
        </w:rPr>
      </w:pPr>
      <w:r w:rsidRPr="00537A29">
        <w:rPr>
          <w:i/>
          <w:lang w:val="lv-LV"/>
        </w:rPr>
        <w:t>Simptomi</w:t>
      </w:r>
    </w:p>
    <w:p w14:paraId="1ECFC663" w14:textId="77777777" w:rsidR="00F9193E" w:rsidRPr="00537A29" w:rsidRDefault="00F9193E" w:rsidP="00537A29">
      <w:pPr>
        <w:pStyle w:val="BodyText"/>
        <w:spacing w:after="0" w:line="240" w:lineRule="auto"/>
        <w:rPr>
          <w:lang w:val="lv-LV"/>
        </w:rPr>
      </w:pPr>
      <w:r w:rsidRPr="00537A29">
        <w:rPr>
          <w:lang w:val="lv-LV"/>
        </w:rPr>
        <w:t xml:space="preserve">Relatīvi liela pārdozēšana (attiecīgi 200 mg un 105 mg dienā 3 dienas) bija saistīta vai nu vienīgi ar nogurumu, vājumu un/vai caureju, vai bija bez simptomiem. Pārdozēšanas gadījumos ar devu, mazāku par 140 mg, vai nezināmu devu pacientiem parādījās centrālās nervu sistēmas simptomi (apjukums, miegainums, miegainība, vertigo, uzbudinājums, agresivitāte, halucinācijas un gaitas traucējumi) un/vai gastrointestināli simptomi (vemšana un caureja). </w:t>
      </w:r>
    </w:p>
    <w:p w14:paraId="23FA8C93" w14:textId="77777777" w:rsidR="00F9193E" w:rsidRPr="00537A29" w:rsidRDefault="00F9193E" w:rsidP="00537A29">
      <w:pPr>
        <w:pStyle w:val="BodyText"/>
        <w:spacing w:after="0" w:line="240" w:lineRule="auto"/>
        <w:rPr>
          <w:lang w:val="lv-LV"/>
        </w:rPr>
      </w:pPr>
      <w:r w:rsidRPr="00537A29">
        <w:rPr>
          <w:lang w:val="lv-LV"/>
        </w:rPr>
        <w:t xml:space="preserve">Visnopietnākajā pārdozēšanas gadījumā pacients izdzīvoja pēc iekšķīgas 2000 mg memantīna lietošanas, bet radās centrālās nervu sistēmas traucējumi (10 dienu koma, vēlāk diplopija un uzbudinājums). Pacientam veica simptomātisku ārstēšanu un plazmaferēzi. Pacients izveseļojās bez paliekošām sekām. </w:t>
      </w:r>
    </w:p>
    <w:p w14:paraId="5DEF9740" w14:textId="77777777" w:rsidR="00F9193E" w:rsidRPr="00537A29" w:rsidRDefault="00F9193E" w:rsidP="00537A29">
      <w:pPr>
        <w:pStyle w:val="BodyText"/>
        <w:spacing w:after="0" w:line="240" w:lineRule="auto"/>
        <w:rPr>
          <w:i/>
          <w:lang w:val="lv-LV"/>
        </w:rPr>
      </w:pPr>
      <w:r w:rsidRPr="00537A29">
        <w:rPr>
          <w:lang w:val="lv-LV"/>
        </w:rPr>
        <w:t xml:space="preserve">Arī citā nopietnā pārdozēšanas gadījumā pacients izdzīvoja un izveseļojās. Pacients iekšķīgi bija lietojis 400 mg memantīna. Pacientam novēroja tādus centrālās nervu sistēmas simptomus kā nemieru, psihozi, redzes halucinācijas, noslieci uz krampjiem, miegainību, stuporu un bezsamaņu. </w:t>
      </w:r>
    </w:p>
    <w:p w14:paraId="4B8A66C3" w14:textId="77777777" w:rsidR="00F16757" w:rsidRPr="00537A29" w:rsidRDefault="00F16757" w:rsidP="00537A29">
      <w:pPr>
        <w:pStyle w:val="BodyText"/>
        <w:spacing w:after="0" w:line="240" w:lineRule="auto"/>
        <w:rPr>
          <w:i/>
          <w:lang w:val="lv-LV"/>
        </w:rPr>
      </w:pPr>
    </w:p>
    <w:p w14:paraId="179531FD" w14:textId="77777777" w:rsidR="00F9193E" w:rsidRPr="00537A29" w:rsidRDefault="00F9193E" w:rsidP="00537A29">
      <w:pPr>
        <w:pStyle w:val="BodyText"/>
        <w:spacing w:after="0" w:line="240" w:lineRule="auto"/>
        <w:rPr>
          <w:lang w:val="lv-LV"/>
        </w:rPr>
      </w:pPr>
      <w:r w:rsidRPr="00537A29">
        <w:rPr>
          <w:i/>
          <w:lang w:val="lv-LV"/>
        </w:rPr>
        <w:t>Ārstēšana</w:t>
      </w:r>
    </w:p>
    <w:p w14:paraId="51AB8702" w14:textId="77777777" w:rsidR="00F9193E" w:rsidRPr="00537A29" w:rsidRDefault="00F9193E" w:rsidP="00537A29">
      <w:pPr>
        <w:pStyle w:val="BodyText"/>
        <w:spacing w:after="0" w:line="240" w:lineRule="auto"/>
        <w:rPr>
          <w:lang w:val="lv-LV"/>
        </w:rPr>
      </w:pPr>
      <w:r w:rsidRPr="00537A29">
        <w:rPr>
          <w:lang w:val="lv-LV"/>
        </w:rPr>
        <w:t xml:space="preserve">Pārdozēšanas gadījumā ārstēšanai jābūt simptomātiskai. Specifisks antidots intoksikācijas vai pārdozēšanas gadījumā nav pieejams. Atbilstoši jāveic standarta klīniskās procedūras aktīvās vielas izvadīšanai, piemēram, kuņģa skalošana, aktīvās ogles ievadīšana (iespējamās enterohepatiskās recirkulācijas pārtraukšana), urīna paskābināšana, forsēta diurēze. </w:t>
      </w:r>
    </w:p>
    <w:p w14:paraId="3C67383C" w14:textId="77777777" w:rsidR="00F9193E" w:rsidRPr="00537A29" w:rsidRDefault="00F9193E" w:rsidP="00537A29">
      <w:pPr>
        <w:pStyle w:val="BodyText"/>
        <w:spacing w:after="0" w:line="240" w:lineRule="auto"/>
        <w:rPr>
          <w:szCs w:val="22"/>
          <w:lang w:val="lv-LV"/>
        </w:rPr>
      </w:pPr>
      <w:r w:rsidRPr="00537A29">
        <w:rPr>
          <w:lang w:val="lv-LV"/>
        </w:rPr>
        <w:t>Ja pazīmes un simptomi liecina par vispārēju centrālās nervu sistēmas (CNS) pārkairinājumu, jāapsver rūpīga klīnisko simptomu ārstēšana.</w:t>
      </w:r>
    </w:p>
    <w:p w14:paraId="5EE52DD6" w14:textId="77777777" w:rsidR="00F9193E" w:rsidRPr="00537A29" w:rsidRDefault="00F9193E" w:rsidP="00537A29">
      <w:pPr>
        <w:tabs>
          <w:tab w:val="clear" w:pos="567"/>
          <w:tab w:val="left" w:pos="708"/>
        </w:tabs>
        <w:spacing w:line="240" w:lineRule="auto"/>
        <w:rPr>
          <w:szCs w:val="22"/>
          <w:lang w:val="lv-LV"/>
        </w:rPr>
      </w:pPr>
    </w:p>
    <w:p w14:paraId="191C54FE" w14:textId="77777777" w:rsidR="00F9193E" w:rsidRPr="00537A29" w:rsidRDefault="00F9193E" w:rsidP="00537A29">
      <w:pPr>
        <w:tabs>
          <w:tab w:val="clear" w:pos="567"/>
          <w:tab w:val="left" w:pos="708"/>
        </w:tabs>
        <w:spacing w:line="240" w:lineRule="auto"/>
        <w:rPr>
          <w:szCs w:val="22"/>
          <w:lang w:val="lv-LV"/>
        </w:rPr>
      </w:pPr>
    </w:p>
    <w:p w14:paraId="6EF55D7A" w14:textId="77777777" w:rsidR="00F9193E" w:rsidRPr="00537A29" w:rsidRDefault="00F9193E" w:rsidP="00537A29">
      <w:pPr>
        <w:tabs>
          <w:tab w:val="clear" w:pos="567"/>
        </w:tabs>
        <w:spacing w:line="240" w:lineRule="auto"/>
        <w:ind w:left="567" w:hanging="567"/>
        <w:rPr>
          <w:lang w:val="lv-LV"/>
        </w:rPr>
      </w:pPr>
      <w:r w:rsidRPr="00537A29">
        <w:rPr>
          <w:b/>
          <w:szCs w:val="22"/>
          <w:lang w:val="lv-LV"/>
        </w:rPr>
        <w:lastRenderedPageBreak/>
        <w:t>5.</w:t>
      </w:r>
      <w:r w:rsidRPr="00537A29">
        <w:rPr>
          <w:b/>
          <w:szCs w:val="22"/>
          <w:lang w:val="lv-LV"/>
        </w:rPr>
        <w:tab/>
      </w:r>
      <w:r w:rsidRPr="00537A29">
        <w:rPr>
          <w:b/>
          <w:lang w:val="lv-LV"/>
        </w:rPr>
        <w:t xml:space="preserve">FARMAKOLOĢISKĀS ĪPAŠĪBAS </w:t>
      </w:r>
    </w:p>
    <w:p w14:paraId="560FFCEB" w14:textId="77777777" w:rsidR="00F9193E" w:rsidRPr="00537A29" w:rsidRDefault="00F9193E" w:rsidP="00537A29">
      <w:pPr>
        <w:tabs>
          <w:tab w:val="clear" w:pos="567"/>
        </w:tabs>
        <w:spacing w:line="240" w:lineRule="auto"/>
        <w:ind w:left="567" w:hanging="567"/>
        <w:rPr>
          <w:lang w:val="lv-LV"/>
        </w:rPr>
      </w:pPr>
    </w:p>
    <w:p w14:paraId="3E6696EB" w14:textId="77777777" w:rsidR="00F9193E" w:rsidRPr="00537A29" w:rsidRDefault="00F9193E" w:rsidP="00537A29">
      <w:pPr>
        <w:tabs>
          <w:tab w:val="clear" w:pos="567"/>
        </w:tabs>
        <w:spacing w:line="240" w:lineRule="auto"/>
        <w:ind w:left="567" w:hanging="567"/>
        <w:rPr>
          <w:lang w:val="lv-LV"/>
        </w:rPr>
      </w:pPr>
      <w:r w:rsidRPr="00537A29">
        <w:rPr>
          <w:b/>
          <w:lang w:val="lv-LV"/>
        </w:rPr>
        <w:t>5.1</w:t>
      </w:r>
      <w:r w:rsidR="00301C51" w:rsidRPr="00537A29">
        <w:rPr>
          <w:b/>
          <w:lang w:val="lv-LV"/>
        </w:rPr>
        <w:t>.</w:t>
      </w:r>
      <w:r w:rsidRPr="00537A29">
        <w:rPr>
          <w:b/>
          <w:lang w:val="lv-LV"/>
        </w:rPr>
        <w:tab/>
        <w:t>Farmakodinamiskās īpašības</w:t>
      </w:r>
    </w:p>
    <w:p w14:paraId="00B87D28" w14:textId="77777777" w:rsidR="00F9193E" w:rsidRPr="00537A29" w:rsidRDefault="00F9193E" w:rsidP="00537A29">
      <w:pPr>
        <w:spacing w:line="240" w:lineRule="auto"/>
        <w:ind w:left="567" w:hanging="567"/>
        <w:rPr>
          <w:lang w:val="lv-LV"/>
        </w:rPr>
      </w:pPr>
    </w:p>
    <w:p w14:paraId="40A61B75" w14:textId="77777777" w:rsidR="00F9193E" w:rsidRPr="00537A29" w:rsidRDefault="00F9193E" w:rsidP="00537A29">
      <w:pPr>
        <w:tabs>
          <w:tab w:val="clear" w:pos="567"/>
        </w:tabs>
        <w:autoSpaceDE w:val="0"/>
        <w:spacing w:line="240" w:lineRule="auto"/>
        <w:rPr>
          <w:szCs w:val="22"/>
          <w:lang w:val="lv-LV"/>
        </w:rPr>
      </w:pPr>
      <w:r w:rsidRPr="00537A29">
        <w:rPr>
          <w:lang w:val="lv-LV"/>
        </w:rPr>
        <w:t xml:space="preserve">Farmakoterapeitiskā grupa: </w:t>
      </w:r>
      <w:r w:rsidRPr="00537A29">
        <w:rPr>
          <w:szCs w:val="22"/>
          <w:lang w:val="lv-LV"/>
        </w:rPr>
        <w:t xml:space="preserve">citas zāles demences ārstēšanai, </w:t>
      </w:r>
      <w:r w:rsidRPr="00537A29">
        <w:rPr>
          <w:lang w:val="lv-LV"/>
        </w:rPr>
        <w:t>ATĶ kods</w:t>
      </w:r>
      <w:r w:rsidRPr="00537A29">
        <w:rPr>
          <w:szCs w:val="22"/>
          <w:lang w:val="lv-LV"/>
        </w:rPr>
        <w:t>: N06DX01</w:t>
      </w:r>
    </w:p>
    <w:p w14:paraId="3F782CA0" w14:textId="77777777" w:rsidR="00F9193E" w:rsidRPr="00537A29" w:rsidRDefault="00F9193E" w:rsidP="00537A29">
      <w:pPr>
        <w:tabs>
          <w:tab w:val="clear" w:pos="567"/>
        </w:tabs>
        <w:autoSpaceDE w:val="0"/>
        <w:spacing w:line="240" w:lineRule="auto"/>
        <w:rPr>
          <w:szCs w:val="22"/>
          <w:lang w:val="lv-LV"/>
        </w:rPr>
      </w:pPr>
    </w:p>
    <w:p w14:paraId="0054C242" w14:textId="77777777" w:rsidR="00F9193E" w:rsidRPr="00537A29" w:rsidRDefault="00F9193E" w:rsidP="00537A29">
      <w:pPr>
        <w:pStyle w:val="BodyText"/>
        <w:tabs>
          <w:tab w:val="clear" w:pos="567"/>
        </w:tabs>
        <w:autoSpaceDE w:val="0"/>
        <w:spacing w:after="0" w:line="240" w:lineRule="auto"/>
        <w:rPr>
          <w:lang w:val="lv-LV"/>
        </w:rPr>
      </w:pPr>
      <w:r w:rsidRPr="00537A29">
        <w:rPr>
          <w:szCs w:val="22"/>
          <w:lang w:val="lv-LV"/>
        </w:rPr>
        <w:t xml:space="preserve">Ir palielinājies pierādījumu skaits par to, ka glutamāterģiskās neirotransmisijas disfunkcija, īpaši pie NMDA receptoriem, veicina gan simptomu izpausmi, gan slimības attīstību neirodeģeneratīvās demences gadījumā. </w:t>
      </w:r>
    </w:p>
    <w:p w14:paraId="4EAD0012" w14:textId="77777777" w:rsidR="00F9193E" w:rsidRPr="00537A29" w:rsidRDefault="00F9193E" w:rsidP="00537A29">
      <w:pPr>
        <w:pStyle w:val="BodyText"/>
        <w:spacing w:after="0" w:line="240" w:lineRule="auto"/>
        <w:rPr>
          <w:i/>
          <w:lang w:val="lv-LV"/>
        </w:rPr>
      </w:pPr>
      <w:r w:rsidRPr="00537A29">
        <w:rPr>
          <w:lang w:val="lv-LV"/>
        </w:rPr>
        <w:t xml:space="preserve">Memantīns ir spriegumatkarīgs, nekonkurējošs NMDA receptoru antagonists ar vidēju afinitāti. Tas modulē glutamāta izraisīto patoloģiski paaugstināto tonizējošo līmeni, kas var izraisīt neironu disfunkciju. </w:t>
      </w:r>
    </w:p>
    <w:p w14:paraId="5DE87ED1" w14:textId="77777777" w:rsidR="00F9193E" w:rsidRPr="00537A29" w:rsidRDefault="00F9193E" w:rsidP="00537A29">
      <w:pPr>
        <w:pStyle w:val="BodyText"/>
        <w:spacing w:after="0" w:line="240" w:lineRule="auto"/>
        <w:rPr>
          <w:i/>
          <w:lang w:val="lv-LV"/>
        </w:rPr>
      </w:pPr>
    </w:p>
    <w:p w14:paraId="3B55FCB4" w14:textId="77777777" w:rsidR="00F9193E" w:rsidRPr="00537A29" w:rsidRDefault="00F9193E" w:rsidP="00537A29">
      <w:pPr>
        <w:pStyle w:val="BodyText"/>
        <w:spacing w:after="0" w:line="240" w:lineRule="auto"/>
        <w:rPr>
          <w:lang w:val="lv-LV"/>
        </w:rPr>
      </w:pPr>
      <w:r w:rsidRPr="00537A29">
        <w:rPr>
          <w:i/>
          <w:lang w:val="lv-LV"/>
        </w:rPr>
        <w:t>Klīniskie pētījumi</w:t>
      </w:r>
    </w:p>
    <w:p w14:paraId="6CCC6AFE" w14:textId="77777777" w:rsidR="00F9193E" w:rsidRPr="00537A29" w:rsidRDefault="00F9193E" w:rsidP="00537A29">
      <w:pPr>
        <w:pStyle w:val="BodyText"/>
        <w:spacing w:after="0" w:line="240" w:lineRule="auto"/>
        <w:rPr>
          <w:szCs w:val="22"/>
          <w:lang w:val="lv-LV"/>
        </w:rPr>
      </w:pPr>
      <w:r w:rsidRPr="00537A29">
        <w:rPr>
          <w:lang w:val="lv-LV"/>
        </w:rPr>
        <w:t xml:space="preserve">Pivotālais monoterapijas pētījums ar vidēji smagas vai smagas Alcheimera slimības pacientu populāciju (īsajā garīgā stāvokļa skrīningā (MMSE) kopējais punktu skaits sākotnēji 3 – 14) ietvēra 252 ambulatoros pacientus. Pētījums parādīja labvēlīgu memantīna terapijas iedarbību, salīdzinot ar placebo, pēc 6 mēnešiem (novēroto gadījumu analīzes veiktas, klīnicista intervijā noskaidrojot pārmaiņu radīto iespaidu (CIBIC-plus): p=0,025; novērtējums, izmantojot Alcheimera slimības kooperatīvās izpētes metodes, – ikdienas dzīves aktivitātēs (ADCS-ADLsev): p=0,003; izpētes testu rādītājs smagu traucējumu gadījumā (SIB): p=0,002). </w:t>
      </w:r>
    </w:p>
    <w:p w14:paraId="793177CC" w14:textId="77777777" w:rsidR="00F9193E" w:rsidRPr="00537A29" w:rsidRDefault="00F9193E" w:rsidP="00537A29">
      <w:pPr>
        <w:pStyle w:val="BodyText"/>
        <w:tabs>
          <w:tab w:val="clear" w:pos="567"/>
        </w:tabs>
        <w:autoSpaceDE w:val="0"/>
        <w:spacing w:after="0" w:line="240" w:lineRule="auto"/>
        <w:rPr>
          <w:lang w:val="lv-LV"/>
        </w:rPr>
      </w:pPr>
      <w:r w:rsidRPr="00537A29">
        <w:rPr>
          <w:szCs w:val="22"/>
          <w:lang w:val="lv-LV"/>
        </w:rPr>
        <w:t xml:space="preserve">Pivotālais pētījums par memantīna monoterapiju vieglas vai vidēji smagas Alcheimera slimības ārstēšanā (MMSE kopējais punktu skaits sākotnēji 10 – 22) ietvēra 403 pacientus. Ar memantīnu </w:t>
      </w:r>
      <w:r w:rsidRPr="00537A29">
        <w:rPr>
          <w:lang w:val="lv-LV"/>
        </w:rPr>
        <w:t xml:space="preserve">ārstētiem pacientiem bija statistiski nozīmīgi labāka iedarbība nekā ar placebo ārstētiem pacientiem attiecībā uz šādiem primāriem mērķa kritērijiem: Alcheimera slimības novērtējuma skala (ADAS-cog (p=0,003) un CIBIC-plus (p=0,004) 24. nedēļā, mainīgos izmeklējumu raksturlielumus aizstājot ar pēdējā novērojumā iegūtajiem (LOCF). Citā monoterapijas pētījumā, ko veica pacientiem ar vieglu vai vidēji smagu Alcheimera slimību, tika nejaušināti izvēlēti kopumā 470 pacientu (MMSE kopējais punktu skaits sākotnēji 11 – 23). Prospektīvi definētajā primārajā analīzē primārās efektivitātes rezultāti 24. nedēļā statistisku nozīmību nesasniedza. </w:t>
      </w:r>
    </w:p>
    <w:p w14:paraId="79CDD21B" w14:textId="77777777" w:rsidR="00F9193E" w:rsidRPr="00537A29" w:rsidRDefault="00F9193E" w:rsidP="00537A29">
      <w:pPr>
        <w:pStyle w:val="BodyText"/>
        <w:spacing w:after="0" w:line="240" w:lineRule="auto"/>
        <w:rPr>
          <w:iCs/>
          <w:szCs w:val="22"/>
          <w:lang w:val="lv-LV"/>
        </w:rPr>
      </w:pPr>
      <w:r w:rsidRPr="00537A29">
        <w:rPr>
          <w:lang w:val="lv-LV"/>
        </w:rPr>
        <w:t>Pacientu ar vidēji smagu vai smagu Alcheimera slimību (MMSE kopējais punktu skaits sākotnēji &lt;</w:t>
      </w:r>
      <w:r w:rsidR="00537A29">
        <w:rPr>
          <w:lang w:val="lv-LV"/>
        </w:rPr>
        <w:t> </w:t>
      </w:r>
      <w:r w:rsidRPr="00537A29">
        <w:rPr>
          <w:lang w:val="lv-LV"/>
        </w:rPr>
        <w:t xml:space="preserve">20) datu metaanalīze no sešiem III fāzes, placebo kontrolētiem, 6 mēnešus ilgiem klīniskiem pētījumiem (ietverot monoterapijas pētījumus un pētījumus ar pacientiem, kuri saņēma stabilu acetilholīnesterāzes inhibitoru devu) liecināja, ka radusies statistiski nozīmīga iedarbība par labu ārstēšanai ar memantīnu kognitīvajā, vispārējā un funkcionālajā jomā. Kad tika identificēti pacienti, kuru stāvoklis vienlaikus pasliktinājās visās trijās jomās, iegūtie rezultāti liecināja par statistiski nozīmīgu memantīna efektivitāti klīniskas pasliktināšanās novēršanā, jo pasliktināšanos visās trijās jomās uzrādīja divas reizes vairāk ar placebo ārstētu pacientu nekā ar memantīnu ārstētu pacientu (21%, salīdzinot ar 11%, p&lt;0,0001). </w:t>
      </w:r>
    </w:p>
    <w:p w14:paraId="68023F88" w14:textId="77777777" w:rsidR="00F9193E" w:rsidRPr="00537A29" w:rsidRDefault="00F9193E" w:rsidP="00537A29">
      <w:pPr>
        <w:tabs>
          <w:tab w:val="clear" w:pos="567"/>
        </w:tabs>
        <w:autoSpaceDE w:val="0"/>
        <w:spacing w:line="240" w:lineRule="auto"/>
        <w:rPr>
          <w:iCs/>
          <w:szCs w:val="22"/>
          <w:lang w:val="lv-LV"/>
        </w:rPr>
      </w:pPr>
    </w:p>
    <w:p w14:paraId="394C29A3" w14:textId="77777777" w:rsidR="00F9193E" w:rsidRPr="00537A29" w:rsidRDefault="00F9193E" w:rsidP="00537A29">
      <w:pPr>
        <w:tabs>
          <w:tab w:val="clear" w:pos="567"/>
          <w:tab w:val="left" w:pos="708"/>
        </w:tabs>
        <w:spacing w:line="240" w:lineRule="auto"/>
        <w:ind w:left="567" w:hanging="567"/>
        <w:rPr>
          <w:b/>
          <w:szCs w:val="22"/>
          <w:lang w:val="lv-LV"/>
        </w:rPr>
      </w:pPr>
      <w:r w:rsidRPr="00537A29">
        <w:rPr>
          <w:b/>
          <w:szCs w:val="22"/>
          <w:lang w:val="lv-LV"/>
        </w:rPr>
        <w:t>5.2</w:t>
      </w:r>
      <w:r w:rsidR="00301C51" w:rsidRPr="00537A29">
        <w:rPr>
          <w:b/>
          <w:szCs w:val="22"/>
          <w:lang w:val="lv-LV"/>
        </w:rPr>
        <w:t>.</w:t>
      </w:r>
      <w:r w:rsidRPr="00537A29">
        <w:rPr>
          <w:b/>
          <w:szCs w:val="22"/>
          <w:lang w:val="lv-LV"/>
        </w:rPr>
        <w:tab/>
      </w:r>
      <w:r w:rsidRPr="00537A29">
        <w:rPr>
          <w:b/>
          <w:lang w:val="lv-LV"/>
        </w:rPr>
        <w:t>Farmakokinētiskās īpašības</w:t>
      </w:r>
    </w:p>
    <w:p w14:paraId="39E614E7" w14:textId="77777777" w:rsidR="00F9193E" w:rsidRPr="00537A29" w:rsidRDefault="00F9193E" w:rsidP="00537A29">
      <w:pPr>
        <w:tabs>
          <w:tab w:val="clear" w:pos="567"/>
          <w:tab w:val="left" w:pos="708"/>
        </w:tabs>
        <w:spacing w:line="240" w:lineRule="auto"/>
        <w:ind w:left="567" w:hanging="567"/>
        <w:rPr>
          <w:b/>
          <w:szCs w:val="22"/>
          <w:lang w:val="lv-LV"/>
        </w:rPr>
      </w:pPr>
    </w:p>
    <w:p w14:paraId="4ABCAEB8" w14:textId="77777777" w:rsidR="00F9193E" w:rsidRPr="00A14B1C" w:rsidRDefault="00F9193E" w:rsidP="00537A29">
      <w:pPr>
        <w:tabs>
          <w:tab w:val="clear" w:pos="567"/>
        </w:tabs>
        <w:spacing w:line="240" w:lineRule="auto"/>
        <w:rPr>
          <w:szCs w:val="22"/>
          <w:u w:val="single"/>
          <w:lang w:val="lv-LV"/>
        </w:rPr>
      </w:pPr>
      <w:r w:rsidRPr="00A14B1C">
        <w:rPr>
          <w:iCs/>
          <w:u w:val="single"/>
          <w:lang w:val="lv-LV"/>
        </w:rPr>
        <w:t>Uzsūkšanās</w:t>
      </w:r>
    </w:p>
    <w:p w14:paraId="4387A9A7" w14:textId="77777777" w:rsidR="00F9193E" w:rsidRPr="00537A29" w:rsidRDefault="00F9193E" w:rsidP="00537A29">
      <w:pPr>
        <w:pStyle w:val="BodyText"/>
        <w:tabs>
          <w:tab w:val="clear" w:pos="567"/>
        </w:tabs>
        <w:autoSpaceDE w:val="0"/>
        <w:spacing w:after="0" w:line="240" w:lineRule="auto"/>
        <w:rPr>
          <w:lang w:val="lv-LV"/>
        </w:rPr>
      </w:pPr>
      <w:r w:rsidRPr="00537A29">
        <w:rPr>
          <w:szCs w:val="22"/>
          <w:lang w:val="lv-LV"/>
        </w:rPr>
        <w:t>Memantīna absolūta biopieejamība ir aptuveni 100%. T</w:t>
      </w:r>
      <w:r w:rsidRPr="00537A29">
        <w:rPr>
          <w:sz w:val="14"/>
          <w:szCs w:val="22"/>
          <w:lang w:val="lv-LV"/>
        </w:rPr>
        <w:t xml:space="preserve">max </w:t>
      </w:r>
      <w:r w:rsidRPr="00537A29">
        <w:rPr>
          <w:szCs w:val="22"/>
          <w:lang w:val="lv-LV"/>
        </w:rPr>
        <w:t xml:space="preserve">ir no 3 līdz 8 stundām. Nav pierādījumu par uztura ietekmi uz memantīna uzsūkšanos. </w:t>
      </w:r>
    </w:p>
    <w:p w14:paraId="46843938" w14:textId="77777777" w:rsidR="00F9193E" w:rsidRPr="00537A29" w:rsidRDefault="00F9193E" w:rsidP="00537A29">
      <w:pPr>
        <w:pStyle w:val="BodyText"/>
        <w:tabs>
          <w:tab w:val="clear" w:pos="567"/>
        </w:tabs>
        <w:autoSpaceDE w:val="0"/>
        <w:spacing w:after="0" w:line="240" w:lineRule="auto"/>
        <w:rPr>
          <w:lang w:val="lv-LV"/>
        </w:rPr>
      </w:pPr>
    </w:p>
    <w:p w14:paraId="5993F31B" w14:textId="77777777" w:rsidR="00F9193E" w:rsidRPr="00A14B1C" w:rsidRDefault="00301C51" w:rsidP="00537A29">
      <w:pPr>
        <w:tabs>
          <w:tab w:val="clear" w:pos="567"/>
        </w:tabs>
        <w:autoSpaceDE w:val="0"/>
        <w:spacing w:line="240" w:lineRule="auto"/>
        <w:rPr>
          <w:szCs w:val="22"/>
          <w:u w:val="single"/>
          <w:lang w:val="lv-LV"/>
        </w:rPr>
      </w:pPr>
      <w:r w:rsidRPr="00537A29">
        <w:rPr>
          <w:iCs/>
          <w:u w:val="single"/>
          <w:lang w:val="lv-LV"/>
        </w:rPr>
        <w:t>Izkliede</w:t>
      </w:r>
    </w:p>
    <w:p w14:paraId="1BE243E1" w14:textId="77777777" w:rsidR="00F9193E" w:rsidRPr="00537A29" w:rsidRDefault="00F9193E" w:rsidP="00537A29">
      <w:pPr>
        <w:tabs>
          <w:tab w:val="clear" w:pos="567"/>
        </w:tabs>
        <w:autoSpaceDE w:val="0"/>
        <w:spacing w:line="240" w:lineRule="auto"/>
        <w:rPr>
          <w:i/>
          <w:iCs/>
          <w:szCs w:val="22"/>
          <w:lang w:val="lv-LV"/>
        </w:rPr>
      </w:pPr>
      <w:r w:rsidRPr="00537A29">
        <w:rPr>
          <w:szCs w:val="22"/>
          <w:lang w:val="lv-LV"/>
        </w:rPr>
        <w:t>20 mg dienas devas lietošanas gadījumā memantīna līdzsvara koncentrāciju plazmā ir robežās no 70</w:t>
      </w:r>
      <w:r w:rsidR="00537A29">
        <w:rPr>
          <w:szCs w:val="22"/>
          <w:lang w:val="lv-LV"/>
        </w:rPr>
        <w:t> </w:t>
      </w:r>
      <w:r w:rsidRPr="00537A29">
        <w:rPr>
          <w:szCs w:val="22"/>
          <w:lang w:val="lv-LV"/>
        </w:rPr>
        <w:t>līdz 150 ng/ml (0,5 – 1 μmol) ar plašām variācijām starp indivīdiem. Ja dienas deva bija no 5 līdz 30 mg, vidējā aprēķinātā cerebrospinālā šķidruma (CSŠ)/seruma attiecība bija 0,52. Izkliedes tilpums ir apmēram 10 l/kg. Aptuveni 45% memantīna saistās ar plazmas olbaltumvielām.</w:t>
      </w:r>
    </w:p>
    <w:p w14:paraId="5252C5E2" w14:textId="77777777" w:rsidR="00F9193E" w:rsidRPr="00537A29" w:rsidRDefault="00F9193E" w:rsidP="00537A29">
      <w:pPr>
        <w:tabs>
          <w:tab w:val="clear" w:pos="567"/>
        </w:tabs>
        <w:autoSpaceDE w:val="0"/>
        <w:spacing w:line="240" w:lineRule="auto"/>
        <w:rPr>
          <w:i/>
          <w:iCs/>
          <w:szCs w:val="22"/>
          <w:lang w:val="lv-LV"/>
        </w:rPr>
      </w:pPr>
    </w:p>
    <w:p w14:paraId="4C7E6351" w14:textId="77777777" w:rsidR="00F9193E" w:rsidRPr="00A14B1C" w:rsidRDefault="00F9193E" w:rsidP="00537A29">
      <w:pPr>
        <w:tabs>
          <w:tab w:val="clear" w:pos="567"/>
        </w:tabs>
        <w:autoSpaceDE w:val="0"/>
        <w:spacing w:line="240" w:lineRule="auto"/>
        <w:rPr>
          <w:szCs w:val="22"/>
          <w:u w:val="single"/>
          <w:lang w:val="lv-LV"/>
        </w:rPr>
      </w:pPr>
      <w:r w:rsidRPr="00A14B1C">
        <w:rPr>
          <w:iCs/>
          <w:szCs w:val="22"/>
          <w:u w:val="single"/>
          <w:lang w:val="lv-LV"/>
        </w:rPr>
        <w:t>Biotransformācija</w:t>
      </w:r>
    </w:p>
    <w:p w14:paraId="27B4E9B4" w14:textId="77777777" w:rsidR="00F9193E" w:rsidRPr="00537A29" w:rsidRDefault="00F9193E" w:rsidP="00537A29">
      <w:pPr>
        <w:tabs>
          <w:tab w:val="clear" w:pos="567"/>
        </w:tabs>
        <w:autoSpaceDE w:val="0"/>
        <w:spacing w:line="240" w:lineRule="auto"/>
        <w:rPr>
          <w:szCs w:val="22"/>
          <w:lang w:val="lv-LV"/>
        </w:rPr>
      </w:pPr>
      <w:r w:rsidRPr="00537A29">
        <w:rPr>
          <w:szCs w:val="22"/>
          <w:lang w:val="lv-LV"/>
        </w:rPr>
        <w:t>Cilvēkiem apmēram 80% cirkulējošā memantīna ir nemainītā veidā. Galvenie metabolīti cilvēkam ir N-3,5-dimetil-gludantāns – 4- un 6- hidroksimemantīna izomēru maisījums – un 1-nitro-3,5-dimetil-</w:t>
      </w:r>
      <w:r w:rsidRPr="00537A29">
        <w:rPr>
          <w:szCs w:val="22"/>
          <w:lang w:val="lv-LV"/>
        </w:rPr>
        <w:lastRenderedPageBreak/>
        <w:t xml:space="preserve">adamantāns. Nevienam no šiem metabolītiem nav NMDA antagonista aktivitātes. </w:t>
      </w:r>
      <w:r w:rsidRPr="00537A29">
        <w:rPr>
          <w:i/>
          <w:szCs w:val="22"/>
          <w:lang w:val="lv-LV"/>
        </w:rPr>
        <w:t xml:space="preserve">In vitro </w:t>
      </w:r>
      <w:r w:rsidRPr="00537A29">
        <w:rPr>
          <w:szCs w:val="22"/>
          <w:lang w:val="lv-LV"/>
        </w:rPr>
        <w:t>netika noteikts citohroma P 450 katalizēts metabolisms.</w:t>
      </w:r>
    </w:p>
    <w:p w14:paraId="6276589C" w14:textId="77777777" w:rsidR="00F9193E" w:rsidRPr="00537A29" w:rsidRDefault="00F9193E" w:rsidP="00537A29">
      <w:pPr>
        <w:tabs>
          <w:tab w:val="clear" w:pos="567"/>
        </w:tabs>
        <w:autoSpaceDE w:val="0"/>
        <w:spacing w:line="240" w:lineRule="auto"/>
        <w:rPr>
          <w:szCs w:val="22"/>
          <w:lang w:val="lv-LV"/>
        </w:rPr>
      </w:pPr>
    </w:p>
    <w:p w14:paraId="713237AE" w14:textId="77777777" w:rsidR="00F9193E" w:rsidRPr="00537A29" w:rsidRDefault="00F9193E" w:rsidP="00537A29">
      <w:pPr>
        <w:pStyle w:val="BodyText"/>
        <w:tabs>
          <w:tab w:val="clear" w:pos="567"/>
        </w:tabs>
        <w:autoSpaceDE w:val="0"/>
        <w:spacing w:after="0" w:line="240" w:lineRule="auto"/>
        <w:rPr>
          <w:lang w:val="lv-LV"/>
        </w:rPr>
      </w:pPr>
      <w:r w:rsidRPr="00537A29">
        <w:rPr>
          <w:szCs w:val="22"/>
          <w:lang w:val="lv-LV"/>
        </w:rPr>
        <w:t xml:space="preserve">Pētījumā ar perorāli ievadītu </w:t>
      </w:r>
      <w:r w:rsidRPr="00537A29">
        <w:rPr>
          <w:sz w:val="14"/>
          <w:szCs w:val="22"/>
          <w:lang w:val="lv-LV"/>
        </w:rPr>
        <w:t>14</w:t>
      </w:r>
      <w:r w:rsidRPr="00537A29">
        <w:rPr>
          <w:szCs w:val="22"/>
          <w:lang w:val="lv-LV"/>
        </w:rPr>
        <w:t>C-memantīnu vidēji 84% devas izdalījās 20 dienu laikā, vairāk nekā 99% izdalījās caur nierēm.</w:t>
      </w:r>
    </w:p>
    <w:p w14:paraId="2E8EF457" w14:textId="77777777" w:rsidR="00F9193E" w:rsidRPr="00537A29" w:rsidRDefault="00F9193E" w:rsidP="00537A29">
      <w:pPr>
        <w:pStyle w:val="BodyText"/>
        <w:tabs>
          <w:tab w:val="clear" w:pos="567"/>
        </w:tabs>
        <w:autoSpaceDE w:val="0"/>
        <w:spacing w:after="0" w:line="240" w:lineRule="auto"/>
        <w:rPr>
          <w:lang w:val="lv-LV"/>
        </w:rPr>
      </w:pPr>
    </w:p>
    <w:p w14:paraId="3D407743" w14:textId="77777777" w:rsidR="00F9193E" w:rsidRPr="00A14B1C" w:rsidRDefault="00F9193E" w:rsidP="00537A29">
      <w:pPr>
        <w:pStyle w:val="BodyText"/>
        <w:spacing w:after="0" w:line="240" w:lineRule="auto"/>
        <w:rPr>
          <w:u w:val="single"/>
          <w:lang w:val="lv-LV"/>
        </w:rPr>
      </w:pPr>
      <w:r w:rsidRPr="00A14B1C">
        <w:rPr>
          <w:iCs/>
          <w:u w:val="single"/>
          <w:lang w:val="lv-LV"/>
        </w:rPr>
        <w:t>Eliminācija</w:t>
      </w:r>
    </w:p>
    <w:p w14:paraId="6D2C0E05" w14:textId="77777777" w:rsidR="00F9193E" w:rsidRPr="00537A29" w:rsidRDefault="00F9193E" w:rsidP="00537A29">
      <w:pPr>
        <w:pStyle w:val="BodyText"/>
        <w:spacing w:after="0" w:line="240" w:lineRule="auto"/>
        <w:rPr>
          <w:lang w:val="lv-LV"/>
        </w:rPr>
      </w:pPr>
      <w:r w:rsidRPr="00537A29">
        <w:rPr>
          <w:lang w:val="lv-LV"/>
        </w:rPr>
        <w:t>Memantīns izdalās monoeksponenciāli ar eliminācijas pusperiodu t</w:t>
      </w:r>
      <w:r w:rsidRPr="00537A29">
        <w:rPr>
          <w:sz w:val="14"/>
          <w:lang w:val="lv-LV"/>
        </w:rPr>
        <w:t xml:space="preserve">1/2 </w:t>
      </w:r>
      <w:r w:rsidRPr="00537A29">
        <w:rPr>
          <w:lang w:val="lv-LV"/>
        </w:rPr>
        <w:t>no 60 līdz 100 stundu. Brīvprātīgajiem ar normālu nieru darbību kopējais klīrenss (Cl</w:t>
      </w:r>
      <w:r w:rsidRPr="00537A29">
        <w:rPr>
          <w:sz w:val="14"/>
          <w:lang w:val="lv-LV"/>
        </w:rPr>
        <w:t>tot</w:t>
      </w:r>
      <w:r w:rsidRPr="00537A29">
        <w:rPr>
          <w:lang w:val="lv-LV"/>
        </w:rPr>
        <w:t xml:space="preserve">) bija </w:t>
      </w:r>
      <w:r w:rsidRPr="00537A29">
        <w:rPr>
          <w:szCs w:val="22"/>
          <w:lang w:val="lv-LV"/>
        </w:rPr>
        <w:t>170 ml/min/1,73 m</w:t>
      </w:r>
      <w:r w:rsidRPr="00537A29">
        <w:rPr>
          <w:szCs w:val="22"/>
          <w:vertAlign w:val="superscript"/>
          <w:lang w:val="lv-LV"/>
        </w:rPr>
        <w:t>2</w:t>
      </w:r>
      <w:r w:rsidRPr="00537A29">
        <w:rPr>
          <w:lang w:val="lv-LV"/>
        </w:rPr>
        <w:t xml:space="preserve">, un daļa kopējā nieru klīrensa tika sasniegta ar tubulāro sekrēciju. </w:t>
      </w:r>
    </w:p>
    <w:p w14:paraId="4E22B6FF" w14:textId="77777777" w:rsidR="00F9193E" w:rsidRPr="00537A29" w:rsidRDefault="00F9193E" w:rsidP="00537A29">
      <w:pPr>
        <w:pStyle w:val="BodyText"/>
        <w:spacing w:after="0" w:line="240" w:lineRule="auto"/>
        <w:rPr>
          <w:i/>
          <w:iCs/>
          <w:szCs w:val="22"/>
          <w:lang w:val="lv-LV"/>
        </w:rPr>
      </w:pPr>
      <w:r w:rsidRPr="00537A29">
        <w:rPr>
          <w:lang w:val="lv-LV"/>
        </w:rPr>
        <w:t>Izdalīšanās caur nierēm ietver arī tubulāro reabsorbciju, kur kā starpnieks, iespējams, ir proteīns – katjonu pārnesējs. Memantīna renālās eliminācijas ātrumu var samazināt, mainot urīna pH no 7 uz 9 (skatīt 4.4</w:t>
      </w:r>
      <w:r w:rsidR="003B4C1E" w:rsidRPr="00537A29">
        <w:rPr>
          <w:lang w:val="lv-LV"/>
        </w:rPr>
        <w:t>.</w:t>
      </w:r>
      <w:r w:rsidRPr="00537A29">
        <w:rPr>
          <w:lang w:val="lv-LV"/>
        </w:rPr>
        <w:t xml:space="preserve"> apakšpunktu). Urīna pasārmināšanos var izraisīt krasa diētas maiņa, piemēram, pāreja no diētas, kas satur gaļu, uz veģetāru diētu, vai arī sārmainu dzērienu lietošana lielā daudzumā. </w:t>
      </w:r>
    </w:p>
    <w:p w14:paraId="24D3451B" w14:textId="77777777" w:rsidR="00F9193E" w:rsidRPr="00537A29" w:rsidRDefault="00F9193E" w:rsidP="00537A29">
      <w:pPr>
        <w:pStyle w:val="BodyText"/>
        <w:spacing w:after="0" w:line="240" w:lineRule="auto"/>
        <w:rPr>
          <w:i/>
          <w:iCs/>
          <w:szCs w:val="22"/>
          <w:lang w:val="lv-LV"/>
        </w:rPr>
      </w:pPr>
    </w:p>
    <w:p w14:paraId="580EE8EF" w14:textId="77777777" w:rsidR="00F9193E" w:rsidRPr="00A14B1C" w:rsidRDefault="00F9193E" w:rsidP="00537A29">
      <w:pPr>
        <w:tabs>
          <w:tab w:val="clear" w:pos="567"/>
        </w:tabs>
        <w:autoSpaceDE w:val="0"/>
        <w:spacing w:line="240" w:lineRule="auto"/>
        <w:rPr>
          <w:szCs w:val="22"/>
          <w:u w:val="single"/>
          <w:lang w:val="lv-LV"/>
        </w:rPr>
      </w:pPr>
      <w:r w:rsidRPr="00A14B1C">
        <w:rPr>
          <w:iCs/>
          <w:szCs w:val="22"/>
          <w:u w:val="single"/>
          <w:lang w:val="lv-LV"/>
        </w:rPr>
        <w:t>Linearitāte</w:t>
      </w:r>
      <w:r w:rsidR="00537A29" w:rsidRPr="00537A29">
        <w:rPr>
          <w:iCs/>
          <w:szCs w:val="22"/>
          <w:u w:val="single"/>
          <w:lang w:val="lv-LV"/>
        </w:rPr>
        <w:t>/nelinearitāte</w:t>
      </w:r>
    </w:p>
    <w:p w14:paraId="4F0B07A4" w14:textId="77777777" w:rsidR="00F9193E" w:rsidRPr="00537A29" w:rsidRDefault="00F9193E" w:rsidP="00537A29">
      <w:pPr>
        <w:pStyle w:val="BodyText"/>
        <w:tabs>
          <w:tab w:val="clear" w:pos="567"/>
        </w:tabs>
        <w:autoSpaceDE w:val="0"/>
        <w:spacing w:after="0" w:line="240" w:lineRule="auto"/>
        <w:rPr>
          <w:i/>
          <w:iCs/>
          <w:szCs w:val="22"/>
          <w:lang w:val="lv-LV"/>
        </w:rPr>
      </w:pPr>
      <w:r w:rsidRPr="00537A29">
        <w:rPr>
          <w:szCs w:val="22"/>
          <w:lang w:val="lv-LV"/>
        </w:rPr>
        <w:t xml:space="preserve">Pētījumi ar brīvprātīgajiem parādīja lineāru farmakokinētiku devu robežās no 10 līdz 40 mg. </w:t>
      </w:r>
    </w:p>
    <w:p w14:paraId="75311137" w14:textId="77777777" w:rsidR="00F9193E" w:rsidRPr="00537A29" w:rsidRDefault="00F9193E" w:rsidP="00537A29">
      <w:pPr>
        <w:tabs>
          <w:tab w:val="clear" w:pos="567"/>
        </w:tabs>
        <w:autoSpaceDE w:val="0"/>
        <w:spacing w:line="240" w:lineRule="auto"/>
        <w:rPr>
          <w:i/>
          <w:iCs/>
          <w:szCs w:val="22"/>
          <w:lang w:val="lv-LV"/>
        </w:rPr>
      </w:pPr>
    </w:p>
    <w:p w14:paraId="766E67BC" w14:textId="77777777" w:rsidR="00F9193E" w:rsidRPr="00A14B1C" w:rsidRDefault="00F9193E" w:rsidP="00537A29">
      <w:pPr>
        <w:tabs>
          <w:tab w:val="clear" w:pos="567"/>
        </w:tabs>
        <w:autoSpaceDE w:val="0"/>
        <w:spacing w:line="240" w:lineRule="auto"/>
        <w:rPr>
          <w:szCs w:val="22"/>
          <w:u w:val="single"/>
          <w:lang w:val="lv-LV"/>
        </w:rPr>
      </w:pPr>
      <w:r w:rsidRPr="00A14B1C">
        <w:rPr>
          <w:iCs/>
          <w:u w:val="single"/>
          <w:lang w:val="lv-LV"/>
        </w:rPr>
        <w:t>Farmakokinētiskā/farmakodinamiskā attiecība</w:t>
      </w:r>
      <w:r w:rsidRPr="00A14B1C">
        <w:rPr>
          <w:iCs/>
          <w:szCs w:val="22"/>
          <w:u w:val="single"/>
          <w:lang w:val="lv-LV"/>
        </w:rPr>
        <w:t xml:space="preserve"> </w:t>
      </w:r>
    </w:p>
    <w:p w14:paraId="048E81C6" w14:textId="77777777" w:rsidR="00F9193E" w:rsidRPr="00537A29" w:rsidRDefault="00F9193E" w:rsidP="00537A29">
      <w:pPr>
        <w:pStyle w:val="BodyText"/>
        <w:tabs>
          <w:tab w:val="clear" w:pos="567"/>
        </w:tabs>
        <w:autoSpaceDE w:val="0"/>
        <w:spacing w:after="0" w:line="240" w:lineRule="auto"/>
        <w:rPr>
          <w:iCs/>
          <w:szCs w:val="22"/>
          <w:lang w:val="lv-LV"/>
        </w:rPr>
      </w:pPr>
      <w:r w:rsidRPr="00537A29">
        <w:rPr>
          <w:szCs w:val="22"/>
          <w:lang w:val="lv-LV"/>
        </w:rPr>
        <w:t>Lietojot memantīna devu 20 mg dienā, memantīna līmenis CSŠ sakrīt ar k</w:t>
      </w:r>
      <w:r w:rsidRPr="00537A29">
        <w:rPr>
          <w:szCs w:val="22"/>
          <w:vertAlign w:val="subscript"/>
          <w:lang w:val="lv-LV"/>
        </w:rPr>
        <w:t>i</w:t>
      </w:r>
      <w:r w:rsidRPr="00537A29">
        <w:rPr>
          <w:szCs w:val="22"/>
          <w:lang w:val="lv-LV"/>
        </w:rPr>
        <w:t xml:space="preserve"> vērtību ( k</w:t>
      </w:r>
      <w:r w:rsidRPr="00537A29">
        <w:rPr>
          <w:szCs w:val="22"/>
          <w:vertAlign w:val="subscript"/>
          <w:lang w:val="lv-LV"/>
        </w:rPr>
        <w:t>i</w:t>
      </w:r>
      <w:r w:rsidRPr="00537A29">
        <w:rPr>
          <w:szCs w:val="22"/>
          <w:lang w:val="lv-LV"/>
        </w:rPr>
        <w:t xml:space="preserve"> = inhibēšanas konstante), kas ir 0,5 μmol cilvēka pieres daivas smadzeņu garozā. </w:t>
      </w:r>
    </w:p>
    <w:p w14:paraId="6A1540C0" w14:textId="77777777" w:rsidR="00F9193E" w:rsidRPr="00537A29" w:rsidRDefault="00F9193E" w:rsidP="00537A29">
      <w:pPr>
        <w:spacing w:line="240" w:lineRule="auto"/>
        <w:ind w:right="-2"/>
        <w:rPr>
          <w:iCs/>
          <w:szCs w:val="22"/>
          <w:lang w:val="lv-LV"/>
        </w:rPr>
      </w:pPr>
    </w:p>
    <w:p w14:paraId="4C61EBF4" w14:textId="77777777" w:rsidR="00F9193E" w:rsidRPr="00537A29" w:rsidRDefault="00F9193E" w:rsidP="00537A29">
      <w:pPr>
        <w:tabs>
          <w:tab w:val="clear" w:pos="567"/>
        </w:tabs>
        <w:spacing w:line="240" w:lineRule="auto"/>
        <w:rPr>
          <w:szCs w:val="22"/>
          <w:lang w:val="lv-LV"/>
        </w:rPr>
      </w:pPr>
      <w:r w:rsidRPr="00537A29">
        <w:rPr>
          <w:b/>
          <w:szCs w:val="22"/>
          <w:lang w:val="lv-LV"/>
        </w:rPr>
        <w:t>5.3</w:t>
      </w:r>
      <w:r w:rsidR="00301C51" w:rsidRPr="00537A29">
        <w:rPr>
          <w:b/>
          <w:szCs w:val="22"/>
          <w:lang w:val="lv-LV"/>
        </w:rPr>
        <w:t>.</w:t>
      </w:r>
      <w:r w:rsidRPr="00537A29">
        <w:rPr>
          <w:b/>
          <w:szCs w:val="22"/>
          <w:lang w:val="lv-LV"/>
        </w:rPr>
        <w:tab/>
      </w:r>
      <w:r w:rsidRPr="00537A29">
        <w:rPr>
          <w:b/>
          <w:lang w:val="lv-LV"/>
        </w:rPr>
        <w:t>Preklīniskie dati par drošumu</w:t>
      </w:r>
    </w:p>
    <w:p w14:paraId="63A5C030" w14:textId="77777777" w:rsidR="00F9193E" w:rsidRPr="00537A29" w:rsidRDefault="00F9193E" w:rsidP="00537A29">
      <w:pPr>
        <w:tabs>
          <w:tab w:val="clear" w:pos="567"/>
          <w:tab w:val="left" w:pos="708"/>
        </w:tabs>
        <w:spacing w:line="240" w:lineRule="auto"/>
        <w:rPr>
          <w:szCs w:val="22"/>
          <w:lang w:val="lv-LV"/>
        </w:rPr>
      </w:pPr>
    </w:p>
    <w:p w14:paraId="68CAD564" w14:textId="77777777" w:rsidR="00F9193E" w:rsidRPr="00537A29" w:rsidRDefault="00F9193E" w:rsidP="00537A29">
      <w:pPr>
        <w:pStyle w:val="BodyText"/>
        <w:tabs>
          <w:tab w:val="clear" w:pos="567"/>
        </w:tabs>
        <w:autoSpaceDE w:val="0"/>
        <w:spacing w:after="0" w:line="240" w:lineRule="auto"/>
        <w:rPr>
          <w:lang w:val="lv-LV"/>
        </w:rPr>
      </w:pPr>
      <w:r w:rsidRPr="00537A29">
        <w:rPr>
          <w:szCs w:val="22"/>
          <w:lang w:val="lv-LV"/>
        </w:rPr>
        <w:t>Īslaicīgos pētījumos ar žurkām memantīns, līdzīgi citiem NMDA antagonistiem, inducē vakuolu veidošanos neironos un nekrozi (</w:t>
      </w:r>
      <w:r w:rsidRPr="00537A29">
        <w:rPr>
          <w:i/>
          <w:szCs w:val="22"/>
          <w:lang w:val="lv-LV"/>
        </w:rPr>
        <w:t xml:space="preserve">Olney </w:t>
      </w:r>
      <w:r w:rsidRPr="00537A29">
        <w:rPr>
          <w:szCs w:val="22"/>
          <w:lang w:val="lv-LV"/>
        </w:rPr>
        <w:t xml:space="preserve">bojājumi) tikai pēc devām, kas izraisa ļoti augstu maksimālo koncentrāciju serumā. Pirms vakuolu veidošanās un nekrozes parādās ataksija un citas preklīniskas </w:t>
      </w:r>
      <w:r w:rsidRPr="00537A29">
        <w:rPr>
          <w:lang w:val="lv-LV"/>
        </w:rPr>
        <w:t xml:space="preserve">pazīmes. Šādu iedarbību nenovēroja ilglaicīgos pētījumos ne ar grauzējiem, ne citiem dzīvniekiem, tāpēc nav zināms, cik šie atklājumi ir klīniski nozīmīgi. </w:t>
      </w:r>
    </w:p>
    <w:p w14:paraId="48694301" w14:textId="77777777" w:rsidR="00F9193E" w:rsidRPr="00537A29" w:rsidRDefault="00F9193E" w:rsidP="00537A29">
      <w:pPr>
        <w:pStyle w:val="BodyText"/>
        <w:spacing w:after="0" w:line="240" w:lineRule="auto"/>
        <w:rPr>
          <w:lang w:val="lv-LV"/>
        </w:rPr>
      </w:pPr>
      <w:r w:rsidRPr="00537A29">
        <w:rPr>
          <w:lang w:val="lv-LV"/>
        </w:rPr>
        <w:t xml:space="preserve">Atkārtotu devu toksicitātes pētījumos novēroja nepastāvīgas redzes pārmaiņas grauzējiem un suņiem, bet ne pērtiķiem. Speciālas oftalmoskopiskas pārbaudes klīniskos pētījumos ar memantīnu neatklāja nekādas redzes pārmaiņas. </w:t>
      </w:r>
    </w:p>
    <w:p w14:paraId="093C69DD" w14:textId="77777777" w:rsidR="00F9193E" w:rsidRPr="00537A29" w:rsidRDefault="00F9193E" w:rsidP="00537A29">
      <w:pPr>
        <w:pStyle w:val="BodyText"/>
        <w:spacing w:after="0" w:line="240" w:lineRule="auto"/>
        <w:rPr>
          <w:szCs w:val="22"/>
          <w:lang w:val="lv-LV"/>
        </w:rPr>
      </w:pPr>
      <w:r w:rsidRPr="00537A29">
        <w:rPr>
          <w:lang w:val="lv-LV"/>
        </w:rPr>
        <w:t xml:space="preserve">Memantīna uzkrāšanās lizosomās grauzējiem izraisīja fosfolipidozi plaušu makrofāgos. Ir zināms, ka šāda iedarbība piemīt citām aktīvām vielām ar katjonamfifilām īpašībām. Iespējams, ka pastāv saistība starp šo uzkrāšanos un plaušās novēroto vakuolu veidošanos. Grauzējiem šādu iedarbību novēroja tikai lielu devu lietošanas gadījumā. Nav zināms, cik šie atklājumi ir klīniski nozīmīgi. </w:t>
      </w:r>
    </w:p>
    <w:p w14:paraId="6DB5F75C" w14:textId="77777777" w:rsidR="00F9193E" w:rsidRPr="00537A29" w:rsidRDefault="00F9193E" w:rsidP="00537A29">
      <w:pPr>
        <w:pStyle w:val="BodyText"/>
        <w:tabs>
          <w:tab w:val="clear" w:pos="567"/>
        </w:tabs>
        <w:autoSpaceDE w:val="0"/>
        <w:spacing w:after="0" w:line="240" w:lineRule="auto"/>
        <w:rPr>
          <w:szCs w:val="22"/>
          <w:lang w:val="lv-LV"/>
        </w:rPr>
      </w:pPr>
      <w:r w:rsidRPr="00537A29">
        <w:rPr>
          <w:szCs w:val="22"/>
          <w:lang w:val="lv-LV"/>
        </w:rPr>
        <w:t xml:space="preserve">Pēc memantīna testēšanas standarta apstākļos nenovēroja genotoksicitāti. Nav pierādījumu par kancerogenitāti pelēm un žurkām, veicot pētījumus visā to dzīves laikā. Memantīns nav teratogēns žurkām un trušiem, pat mātītei toksisku devu lietošanas gadījumā; neatklāja memantīna nelabvēlīgu ietekmi uz auglību. Žurkām tika novērota augļa augšanas samazināšanās, lietojot identiskas vai nedaudz lielākas devas nekā cilvēkiem ieteiktās memantīna devas. </w:t>
      </w:r>
    </w:p>
    <w:p w14:paraId="78DF6779" w14:textId="77777777" w:rsidR="00F9193E" w:rsidRPr="00537A29" w:rsidRDefault="00F9193E" w:rsidP="00537A29">
      <w:pPr>
        <w:tabs>
          <w:tab w:val="clear" w:pos="567"/>
        </w:tabs>
        <w:autoSpaceDE w:val="0"/>
        <w:spacing w:line="240" w:lineRule="auto"/>
        <w:rPr>
          <w:szCs w:val="22"/>
          <w:lang w:val="lv-LV"/>
        </w:rPr>
      </w:pPr>
    </w:p>
    <w:p w14:paraId="2D919242" w14:textId="77777777" w:rsidR="00F9193E" w:rsidRPr="00537A29" w:rsidRDefault="00F9193E" w:rsidP="00537A29">
      <w:pPr>
        <w:tabs>
          <w:tab w:val="clear" w:pos="567"/>
        </w:tabs>
        <w:autoSpaceDE w:val="0"/>
        <w:spacing w:line="240" w:lineRule="auto"/>
        <w:rPr>
          <w:szCs w:val="22"/>
          <w:lang w:val="lv-LV"/>
        </w:rPr>
      </w:pPr>
    </w:p>
    <w:p w14:paraId="44A4A6D9" w14:textId="77777777" w:rsidR="00F9193E" w:rsidRPr="00537A29" w:rsidRDefault="00F9193E" w:rsidP="00A14B1C">
      <w:pPr>
        <w:keepNext/>
        <w:tabs>
          <w:tab w:val="clear" w:pos="567"/>
        </w:tabs>
        <w:spacing w:line="240" w:lineRule="auto"/>
        <w:ind w:left="567" w:hanging="567"/>
        <w:rPr>
          <w:lang w:val="lv-LV"/>
        </w:rPr>
      </w:pPr>
      <w:r w:rsidRPr="00537A29">
        <w:rPr>
          <w:b/>
          <w:szCs w:val="22"/>
          <w:lang w:val="lv-LV"/>
        </w:rPr>
        <w:t>6.</w:t>
      </w:r>
      <w:r w:rsidRPr="00537A29">
        <w:rPr>
          <w:b/>
          <w:szCs w:val="22"/>
          <w:lang w:val="lv-LV"/>
        </w:rPr>
        <w:tab/>
      </w:r>
      <w:r w:rsidRPr="00537A29">
        <w:rPr>
          <w:b/>
          <w:lang w:val="lv-LV"/>
        </w:rPr>
        <w:t>FARMACEITISKĀ INFORMĀCIJA</w:t>
      </w:r>
    </w:p>
    <w:p w14:paraId="7BA1A77F" w14:textId="77777777" w:rsidR="00F9193E" w:rsidRPr="00537A29" w:rsidRDefault="00F9193E" w:rsidP="00A14B1C">
      <w:pPr>
        <w:keepNext/>
        <w:tabs>
          <w:tab w:val="clear" w:pos="567"/>
        </w:tabs>
        <w:spacing w:line="240" w:lineRule="auto"/>
        <w:ind w:left="567" w:hanging="567"/>
        <w:rPr>
          <w:lang w:val="lv-LV"/>
        </w:rPr>
      </w:pPr>
    </w:p>
    <w:p w14:paraId="03A3BD15" w14:textId="77777777" w:rsidR="00F9193E" w:rsidRPr="00537A29" w:rsidRDefault="00F9193E" w:rsidP="00A14B1C">
      <w:pPr>
        <w:keepNext/>
        <w:tabs>
          <w:tab w:val="clear" w:pos="567"/>
        </w:tabs>
        <w:spacing w:line="240" w:lineRule="auto"/>
        <w:ind w:left="567" w:hanging="567"/>
        <w:rPr>
          <w:szCs w:val="22"/>
          <w:lang w:val="lv-LV"/>
        </w:rPr>
      </w:pPr>
      <w:r w:rsidRPr="00537A29">
        <w:rPr>
          <w:b/>
          <w:lang w:val="lv-LV"/>
        </w:rPr>
        <w:t>6.1</w:t>
      </w:r>
      <w:r w:rsidR="00301C51" w:rsidRPr="00537A29">
        <w:rPr>
          <w:b/>
          <w:lang w:val="lv-LV"/>
        </w:rPr>
        <w:t>.</w:t>
      </w:r>
      <w:r w:rsidRPr="00537A29">
        <w:rPr>
          <w:b/>
          <w:lang w:val="lv-LV"/>
        </w:rPr>
        <w:tab/>
        <w:t>Palīgvielu saraksts</w:t>
      </w:r>
    </w:p>
    <w:p w14:paraId="3B99918A" w14:textId="77777777" w:rsidR="00F9193E" w:rsidRPr="00537A29" w:rsidRDefault="00F9193E" w:rsidP="00A14B1C">
      <w:pPr>
        <w:keepNext/>
        <w:tabs>
          <w:tab w:val="clear" w:pos="567"/>
          <w:tab w:val="left" w:pos="708"/>
        </w:tabs>
        <w:spacing w:line="240" w:lineRule="auto"/>
        <w:rPr>
          <w:szCs w:val="22"/>
          <w:lang w:val="lv-LV"/>
        </w:rPr>
      </w:pPr>
    </w:p>
    <w:p w14:paraId="0D713CD8" w14:textId="77777777" w:rsidR="00F9193E" w:rsidRPr="00A14B1C" w:rsidRDefault="00F9193E" w:rsidP="00A14B1C">
      <w:pPr>
        <w:keepNext/>
        <w:spacing w:line="240" w:lineRule="auto"/>
        <w:rPr>
          <w:lang w:val="lv-LV"/>
        </w:rPr>
      </w:pPr>
      <w:r w:rsidRPr="00A14B1C">
        <w:rPr>
          <w:lang w:val="lv-LV"/>
        </w:rPr>
        <w:t>Kodols</w:t>
      </w:r>
      <w:r w:rsidR="00537A29" w:rsidRPr="00537A29">
        <w:rPr>
          <w:lang w:val="lv-LV"/>
        </w:rPr>
        <w:t>:</w:t>
      </w:r>
    </w:p>
    <w:p w14:paraId="4C37D88D" w14:textId="77777777" w:rsidR="00F9193E" w:rsidRPr="00537A29" w:rsidRDefault="00F9193E" w:rsidP="00A14B1C">
      <w:pPr>
        <w:keepNext/>
        <w:spacing w:line="240" w:lineRule="auto"/>
        <w:rPr>
          <w:lang w:val="lv-LV"/>
        </w:rPr>
      </w:pPr>
      <w:r w:rsidRPr="00537A29">
        <w:rPr>
          <w:lang w:val="lv-LV"/>
        </w:rPr>
        <w:t>Laktozes monohidrāts</w:t>
      </w:r>
    </w:p>
    <w:p w14:paraId="157B67E6" w14:textId="77777777" w:rsidR="00F9193E" w:rsidRPr="00537A29" w:rsidRDefault="00F9193E" w:rsidP="00A14B1C">
      <w:pPr>
        <w:keepNext/>
        <w:spacing w:line="240" w:lineRule="auto"/>
        <w:rPr>
          <w:lang w:val="lv-LV"/>
        </w:rPr>
      </w:pPr>
      <w:r w:rsidRPr="00537A29">
        <w:rPr>
          <w:lang w:val="lv-LV"/>
        </w:rPr>
        <w:t>Mikrokristāliska celuloze</w:t>
      </w:r>
    </w:p>
    <w:p w14:paraId="3A4DB1C1" w14:textId="77777777" w:rsidR="00F9193E" w:rsidRPr="00537A29" w:rsidRDefault="00F9193E" w:rsidP="00A14B1C">
      <w:pPr>
        <w:keepNext/>
        <w:spacing w:line="240" w:lineRule="auto"/>
        <w:rPr>
          <w:lang w:val="lv-LV"/>
        </w:rPr>
      </w:pPr>
      <w:r w:rsidRPr="00537A29">
        <w:rPr>
          <w:lang w:val="lv-LV"/>
        </w:rPr>
        <w:t>Krospovidons, B tipa</w:t>
      </w:r>
    </w:p>
    <w:p w14:paraId="51A912BA" w14:textId="77777777" w:rsidR="00F9193E" w:rsidRPr="00537A29" w:rsidRDefault="00F9193E" w:rsidP="00A14B1C">
      <w:pPr>
        <w:keepNext/>
        <w:spacing w:line="240" w:lineRule="auto"/>
        <w:rPr>
          <w:lang w:val="lv-LV"/>
        </w:rPr>
      </w:pPr>
      <w:r w:rsidRPr="00537A29">
        <w:rPr>
          <w:lang w:val="lv-LV"/>
        </w:rPr>
        <w:t>Koloidālais bezūdens silīcija dioksīds</w:t>
      </w:r>
    </w:p>
    <w:p w14:paraId="5E404CB3" w14:textId="77777777" w:rsidR="00F9193E" w:rsidRPr="00537A29" w:rsidRDefault="00F9193E" w:rsidP="00537A29">
      <w:pPr>
        <w:spacing w:line="240" w:lineRule="auto"/>
        <w:rPr>
          <w:lang w:val="lv-LV"/>
        </w:rPr>
      </w:pPr>
      <w:r w:rsidRPr="00537A29">
        <w:rPr>
          <w:lang w:val="lv-LV"/>
        </w:rPr>
        <w:t>Magnija stearāts</w:t>
      </w:r>
    </w:p>
    <w:p w14:paraId="63CB54C7" w14:textId="77777777" w:rsidR="00F9193E" w:rsidRPr="00537A29" w:rsidRDefault="00F9193E" w:rsidP="00230EDB">
      <w:pPr>
        <w:keepNext/>
        <w:spacing w:line="240" w:lineRule="auto"/>
        <w:rPr>
          <w:lang w:val="lv-LV"/>
        </w:rPr>
      </w:pPr>
    </w:p>
    <w:p w14:paraId="0A8049C3" w14:textId="77777777" w:rsidR="00F9193E" w:rsidRPr="00A14B1C" w:rsidRDefault="00F9193E" w:rsidP="00230EDB">
      <w:pPr>
        <w:keepNext/>
        <w:spacing w:line="240" w:lineRule="auto"/>
        <w:rPr>
          <w:lang w:val="lv-LV"/>
        </w:rPr>
      </w:pPr>
      <w:r w:rsidRPr="00A14B1C">
        <w:rPr>
          <w:lang w:val="lv-LV"/>
        </w:rPr>
        <w:t>Apvalks</w:t>
      </w:r>
      <w:r w:rsidR="00537A29" w:rsidRPr="00537A29">
        <w:rPr>
          <w:lang w:val="lv-LV"/>
        </w:rPr>
        <w:t>:</w:t>
      </w:r>
    </w:p>
    <w:p w14:paraId="769A6DCA" w14:textId="77777777" w:rsidR="00F9193E" w:rsidRPr="00537A29" w:rsidRDefault="00F9193E" w:rsidP="00230EDB">
      <w:pPr>
        <w:keepNext/>
        <w:spacing w:line="240" w:lineRule="auto"/>
        <w:rPr>
          <w:lang w:val="lv-LV"/>
        </w:rPr>
      </w:pPr>
      <w:r w:rsidRPr="00537A29">
        <w:rPr>
          <w:lang w:val="lv-LV"/>
        </w:rPr>
        <w:t>Hipromeloze</w:t>
      </w:r>
    </w:p>
    <w:p w14:paraId="1D72E82E" w14:textId="77777777" w:rsidR="00F9193E" w:rsidRPr="00537A29" w:rsidRDefault="00F9193E" w:rsidP="00537A29">
      <w:pPr>
        <w:spacing w:line="240" w:lineRule="auto"/>
        <w:rPr>
          <w:lang w:val="lv-LV"/>
        </w:rPr>
      </w:pPr>
      <w:r w:rsidRPr="00537A29">
        <w:rPr>
          <w:lang w:val="lv-LV"/>
        </w:rPr>
        <w:t>Titāna dioksīds (E171)</w:t>
      </w:r>
    </w:p>
    <w:p w14:paraId="5C41E1AF" w14:textId="77777777" w:rsidR="00F9193E" w:rsidRPr="00537A29" w:rsidRDefault="00F9193E" w:rsidP="00537A29">
      <w:pPr>
        <w:spacing w:line="240" w:lineRule="auto"/>
        <w:rPr>
          <w:lang w:val="lv-LV"/>
        </w:rPr>
      </w:pPr>
      <w:r w:rsidRPr="00537A29">
        <w:rPr>
          <w:lang w:val="lv-LV"/>
        </w:rPr>
        <w:t>Sarkanais dzelzs oksīds (E172) (tikai 20 mg apvalkotajās tabletēs)</w:t>
      </w:r>
    </w:p>
    <w:p w14:paraId="667BE085" w14:textId="77777777" w:rsidR="00F9193E" w:rsidRPr="00537A29" w:rsidRDefault="00F9193E" w:rsidP="00537A29">
      <w:pPr>
        <w:spacing w:line="240" w:lineRule="auto"/>
        <w:rPr>
          <w:lang w:val="lv-LV"/>
        </w:rPr>
      </w:pPr>
      <w:r w:rsidRPr="00537A29">
        <w:rPr>
          <w:lang w:val="lv-LV"/>
        </w:rPr>
        <w:t>Makrogols 400</w:t>
      </w:r>
    </w:p>
    <w:p w14:paraId="39614860" w14:textId="77777777" w:rsidR="00F9193E" w:rsidRPr="00537A29" w:rsidRDefault="00F9193E" w:rsidP="00537A29">
      <w:pPr>
        <w:tabs>
          <w:tab w:val="clear" w:pos="567"/>
          <w:tab w:val="left" w:pos="708"/>
        </w:tabs>
        <w:spacing w:line="240" w:lineRule="auto"/>
        <w:rPr>
          <w:szCs w:val="22"/>
          <w:lang w:val="lv-LV"/>
        </w:rPr>
      </w:pPr>
    </w:p>
    <w:p w14:paraId="64226097" w14:textId="77777777" w:rsidR="00F9193E" w:rsidRPr="00537A29" w:rsidRDefault="00F9193E" w:rsidP="00537A29">
      <w:pPr>
        <w:tabs>
          <w:tab w:val="clear" w:pos="567"/>
          <w:tab w:val="left" w:pos="708"/>
        </w:tabs>
        <w:spacing w:line="240" w:lineRule="auto"/>
        <w:ind w:left="567" w:hanging="567"/>
        <w:rPr>
          <w:szCs w:val="22"/>
          <w:lang w:val="lv-LV"/>
        </w:rPr>
      </w:pPr>
      <w:r w:rsidRPr="00537A29">
        <w:rPr>
          <w:b/>
          <w:szCs w:val="22"/>
          <w:lang w:val="lv-LV"/>
        </w:rPr>
        <w:t>6.2</w:t>
      </w:r>
      <w:r w:rsidR="00301C51" w:rsidRPr="00537A29">
        <w:rPr>
          <w:b/>
          <w:szCs w:val="22"/>
          <w:lang w:val="lv-LV"/>
        </w:rPr>
        <w:t>.</w:t>
      </w:r>
      <w:r w:rsidRPr="00537A29">
        <w:rPr>
          <w:b/>
          <w:szCs w:val="22"/>
          <w:lang w:val="lv-LV"/>
        </w:rPr>
        <w:tab/>
      </w:r>
      <w:r w:rsidRPr="00537A29">
        <w:rPr>
          <w:b/>
          <w:lang w:val="lv-LV"/>
        </w:rPr>
        <w:t>Nesaderība</w:t>
      </w:r>
    </w:p>
    <w:p w14:paraId="15E07945" w14:textId="77777777" w:rsidR="00F9193E" w:rsidRPr="00537A29" w:rsidRDefault="00F9193E" w:rsidP="00537A29">
      <w:pPr>
        <w:tabs>
          <w:tab w:val="clear" w:pos="567"/>
          <w:tab w:val="left" w:pos="708"/>
        </w:tabs>
        <w:spacing w:line="240" w:lineRule="auto"/>
        <w:rPr>
          <w:szCs w:val="22"/>
          <w:lang w:val="lv-LV"/>
        </w:rPr>
      </w:pPr>
    </w:p>
    <w:p w14:paraId="5F98FB92" w14:textId="77777777" w:rsidR="00F9193E" w:rsidRPr="00537A29" w:rsidRDefault="00F9193E" w:rsidP="00537A29">
      <w:pPr>
        <w:tabs>
          <w:tab w:val="clear" w:pos="567"/>
          <w:tab w:val="left" w:pos="708"/>
        </w:tabs>
        <w:spacing w:line="240" w:lineRule="auto"/>
        <w:rPr>
          <w:szCs w:val="22"/>
          <w:lang w:val="lv-LV"/>
        </w:rPr>
      </w:pPr>
      <w:r w:rsidRPr="00537A29">
        <w:rPr>
          <w:lang w:val="lv-LV"/>
        </w:rPr>
        <w:t>Nav piemērojama</w:t>
      </w:r>
      <w:r w:rsidRPr="00537A29">
        <w:rPr>
          <w:szCs w:val="22"/>
          <w:lang w:val="lv-LV"/>
        </w:rPr>
        <w:t>.</w:t>
      </w:r>
    </w:p>
    <w:p w14:paraId="0AF7F007" w14:textId="77777777" w:rsidR="00F9193E" w:rsidRPr="00537A29" w:rsidRDefault="00F9193E" w:rsidP="00537A29">
      <w:pPr>
        <w:tabs>
          <w:tab w:val="clear" w:pos="567"/>
          <w:tab w:val="left" w:pos="708"/>
        </w:tabs>
        <w:spacing w:line="240" w:lineRule="auto"/>
        <w:rPr>
          <w:szCs w:val="22"/>
          <w:lang w:val="lv-LV"/>
        </w:rPr>
      </w:pPr>
    </w:p>
    <w:p w14:paraId="64BFE3CE" w14:textId="77777777" w:rsidR="00F9193E" w:rsidRPr="00537A29" w:rsidRDefault="00F9193E" w:rsidP="00537A29">
      <w:pPr>
        <w:tabs>
          <w:tab w:val="clear" w:pos="567"/>
          <w:tab w:val="left" w:pos="708"/>
        </w:tabs>
        <w:spacing w:line="240" w:lineRule="auto"/>
        <w:ind w:left="567" w:hanging="567"/>
        <w:rPr>
          <w:szCs w:val="22"/>
          <w:lang w:val="lv-LV"/>
        </w:rPr>
      </w:pPr>
      <w:r w:rsidRPr="00537A29">
        <w:rPr>
          <w:b/>
          <w:szCs w:val="22"/>
          <w:lang w:val="lv-LV"/>
        </w:rPr>
        <w:t>6.3</w:t>
      </w:r>
      <w:r w:rsidR="00301C51" w:rsidRPr="00537A29">
        <w:rPr>
          <w:b/>
          <w:szCs w:val="22"/>
          <w:lang w:val="lv-LV"/>
        </w:rPr>
        <w:t>.</w:t>
      </w:r>
      <w:r w:rsidRPr="00537A29">
        <w:rPr>
          <w:b/>
          <w:szCs w:val="22"/>
          <w:lang w:val="lv-LV"/>
        </w:rPr>
        <w:tab/>
      </w:r>
      <w:r w:rsidRPr="00537A29">
        <w:rPr>
          <w:b/>
          <w:lang w:val="lv-LV"/>
        </w:rPr>
        <w:t>Uzglabāšanas laiks</w:t>
      </w:r>
    </w:p>
    <w:p w14:paraId="30933692" w14:textId="77777777" w:rsidR="00F9193E" w:rsidRPr="00537A29" w:rsidRDefault="00F9193E" w:rsidP="00537A29">
      <w:pPr>
        <w:tabs>
          <w:tab w:val="clear" w:pos="567"/>
          <w:tab w:val="left" w:pos="708"/>
        </w:tabs>
        <w:spacing w:line="240" w:lineRule="auto"/>
        <w:rPr>
          <w:szCs w:val="22"/>
          <w:lang w:val="lv-LV"/>
        </w:rPr>
      </w:pPr>
    </w:p>
    <w:p w14:paraId="1AA145A0" w14:textId="77777777" w:rsidR="00F9193E" w:rsidRPr="00537A29" w:rsidRDefault="00F9193E" w:rsidP="00537A29">
      <w:pPr>
        <w:tabs>
          <w:tab w:val="clear" w:pos="567"/>
          <w:tab w:val="left" w:pos="708"/>
        </w:tabs>
        <w:spacing w:line="240" w:lineRule="auto"/>
        <w:rPr>
          <w:szCs w:val="22"/>
          <w:lang w:val="lv-LV"/>
        </w:rPr>
      </w:pPr>
      <w:r w:rsidRPr="00537A29">
        <w:rPr>
          <w:szCs w:val="22"/>
          <w:lang w:val="lv-LV"/>
        </w:rPr>
        <w:t>3 gadi</w:t>
      </w:r>
    </w:p>
    <w:p w14:paraId="37F8C2A6" w14:textId="77777777" w:rsidR="00F9193E" w:rsidRPr="00537A29" w:rsidRDefault="00F9193E" w:rsidP="00537A29">
      <w:pPr>
        <w:tabs>
          <w:tab w:val="clear" w:pos="567"/>
          <w:tab w:val="left" w:pos="708"/>
        </w:tabs>
        <w:spacing w:line="240" w:lineRule="auto"/>
        <w:rPr>
          <w:szCs w:val="22"/>
          <w:lang w:val="lv-LV"/>
        </w:rPr>
      </w:pPr>
    </w:p>
    <w:p w14:paraId="5D5024A2" w14:textId="77777777" w:rsidR="00F9193E" w:rsidRPr="00537A29" w:rsidRDefault="00F9193E" w:rsidP="00537A29">
      <w:pPr>
        <w:tabs>
          <w:tab w:val="clear" w:pos="567"/>
          <w:tab w:val="left" w:pos="708"/>
        </w:tabs>
        <w:spacing w:line="240" w:lineRule="auto"/>
        <w:ind w:left="567" w:hanging="567"/>
        <w:rPr>
          <w:i/>
          <w:szCs w:val="22"/>
          <w:lang w:val="lv-LV"/>
        </w:rPr>
      </w:pPr>
      <w:r w:rsidRPr="00537A29">
        <w:rPr>
          <w:b/>
          <w:szCs w:val="22"/>
          <w:lang w:val="lv-LV"/>
        </w:rPr>
        <w:t>6.4</w:t>
      </w:r>
      <w:r w:rsidR="00301C51" w:rsidRPr="00537A29">
        <w:rPr>
          <w:b/>
          <w:szCs w:val="22"/>
          <w:lang w:val="lv-LV"/>
        </w:rPr>
        <w:t>.</w:t>
      </w:r>
      <w:r w:rsidRPr="00537A29">
        <w:rPr>
          <w:b/>
          <w:szCs w:val="22"/>
          <w:lang w:val="lv-LV"/>
        </w:rPr>
        <w:tab/>
      </w:r>
      <w:r w:rsidRPr="00537A29">
        <w:rPr>
          <w:b/>
          <w:lang w:val="lv-LV"/>
        </w:rPr>
        <w:t>Īpaši uzglabāšanas nosacījumi</w:t>
      </w:r>
    </w:p>
    <w:p w14:paraId="669A3BE2" w14:textId="77777777" w:rsidR="00F9193E" w:rsidRPr="00537A29" w:rsidRDefault="00F9193E" w:rsidP="00537A29">
      <w:pPr>
        <w:tabs>
          <w:tab w:val="clear" w:pos="567"/>
          <w:tab w:val="left" w:pos="708"/>
        </w:tabs>
        <w:spacing w:line="240" w:lineRule="auto"/>
        <w:rPr>
          <w:i/>
          <w:szCs w:val="22"/>
          <w:lang w:val="lv-LV"/>
        </w:rPr>
      </w:pPr>
    </w:p>
    <w:p w14:paraId="45F82F8F" w14:textId="77777777" w:rsidR="00F9193E" w:rsidRPr="00537A29" w:rsidRDefault="00F9193E" w:rsidP="00537A29">
      <w:pPr>
        <w:tabs>
          <w:tab w:val="clear" w:pos="567"/>
          <w:tab w:val="left" w:pos="708"/>
        </w:tabs>
        <w:spacing w:line="240" w:lineRule="auto"/>
        <w:rPr>
          <w:lang w:val="lv-LV"/>
        </w:rPr>
      </w:pPr>
      <w:r w:rsidRPr="00537A29">
        <w:rPr>
          <w:lang w:val="lv-LV"/>
        </w:rPr>
        <w:t>Zālēm nav nepieciešami īpaši temperatūras uzglabāšanas apstākļi. Uzglabāt blisterus ārējā kartona kastītē, lai pasargātu no gaismas.</w:t>
      </w:r>
    </w:p>
    <w:p w14:paraId="5D454E59" w14:textId="77777777" w:rsidR="00F9193E" w:rsidRPr="00537A29" w:rsidRDefault="00F9193E" w:rsidP="00537A29">
      <w:pPr>
        <w:tabs>
          <w:tab w:val="clear" w:pos="567"/>
          <w:tab w:val="left" w:pos="708"/>
        </w:tabs>
        <w:spacing w:line="240" w:lineRule="auto"/>
        <w:rPr>
          <w:szCs w:val="22"/>
          <w:lang w:val="lv-LV"/>
        </w:rPr>
      </w:pPr>
    </w:p>
    <w:p w14:paraId="46DB9E86" w14:textId="77777777" w:rsidR="00F9193E" w:rsidRPr="00537A29" w:rsidRDefault="00301C51" w:rsidP="00A14B1C">
      <w:pPr>
        <w:tabs>
          <w:tab w:val="clear" w:pos="567"/>
        </w:tabs>
        <w:spacing w:line="240" w:lineRule="auto"/>
        <w:rPr>
          <w:szCs w:val="22"/>
          <w:lang w:val="lv-LV"/>
        </w:rPr>
      </w:pPr>
      <w:r w:rsidRPr="00537A29">
        <w:rPr>
          <w:b/>
          <w:lang w:val="lv-LV"/>
        </w:rPr>
        <w:t>6.5.</w:t>
      </w:r>
      <w:r w:rsidRPr="00537A29">
        <w:rPr>
          <w:b/>
          <w:lang w:val="lv-LV"/>
        </w:rPr>
        <w:tab/>
      </w:r>
      <w:r w:rsidR="00F9193E" w:rsidRPr="00537A29">
        <w:rPr>
          <w:b/>
          <w:lang w:val="lv-LV"/>
        </w:rPr>
        <w:t>Iepakojuma veids un saturs</w:t>
      </w:r>
    </w:p>
    <w:p w14:paraId="725D4D9F" w14:textId="77777777" w:rsidR="00F9193E" w:rsidRPr="00537A29" w:rsidRDefault="00F9193E" w:rsidP="00537A29">
      <w:pPr>
        <w:tabs>
          <w:tab w:val="clear" w:pos="567"/>
          <w:tab w:val="left" w:pos="708"/>
        </w:tabs>
        <w:spacing w:line="240" w:lineRule="auto"/>
        <w:rPr>
          <w:szCs w:val="22"/>
          <w:lang w:val="lv-LV"/>
        </w:rPr>
      </w:pPr>
    </w:p>
    <w:p w14:paraId="0077CFE4" w14:textId="77777777" w:rsidR="00F9193E" w:rsidRPr="00537A29" w:rsidRDefault="00F9193E" w:rsidP="00537A29">
      <w:pPr>
        <w:tabs>
          <w:tab w:val="clear" w:pos="567"/>
          <w:tab w:val="left" w:pos="708"/>
        </w:tabs>
        <w:spacing w:line="240" w:lineRule="auto"/>
        <w:rPr>
          <w:lang w:val="lv-LV"/>
        </w:rPr>
      </w:pPr>
      <w:r w:rsidRPr="00537A29">
        <w:rPr>
          <w:lang w:val="lv-LV"/>
        </w:rPr>
        <w:t>Al</w:t>
      </w:r>
      <w:r w:rsidR="00301C51" w:rsidRPr="00537A29">
        <w:rPr>
          <w:lang w:val="lv-LV"/>
        </w:rPr>
        <w:t>umīnija</w:t>
      </w:r>
      <w:r w:rsidRPr="00537A29">
        <w:rPr>
          <w:lang w:val="lv-LV"/>
        </w:rPr>
        <w:t>/PVH/PVDH blisteri.</w:t>
      </w:r>
    </w:p>
    <w:p w14:paraId="0F6F0C83" w14:textId="77777777" w:rsidR="00F9193E" w:rsidRPr="00537A29" w:rsidRDefault="00F9193E" w:rsidP="00537A29">
      <w:pPr>
        <w:spacing w:line="240" w:lineRule="auto"/>
        <w:rPr>
          <w:b/>
          <w:lang w:val="lv-LV"/>
        </w:rPr>
      </w:pPr>
    </w:p>
    <w:p w14:paraId="323FB749" w14:textId="77777777" w:rsidR="00F9193E" w:rsidRPr="00537A29" w:rsidRDefault="00F9193E" w:rsidP="00537A29">
      <w:pPr>
        <w:spacing w:line="240" w:lineRule="auto"/>
        <w:rPr>
          <w:u w:val="single"/>
          <w:lang w:val="lv-LV"/>
        </w:rPr>
      </w:pPr>
      <w:r w:rsidRPr="00537A29">
        <w:rPr>
          <w:u w:val="single"/>
          <w:lang w:val="lv-LV"/>
        </w:rPr>
        <w:t>Iepakojuma lielums:</w:t>
      </w:r>
    </w:p>
    <w:p w14:paraId="51674B9D" w14:textId="77777777" w:rsidR="00F9193E" w:rsidRPr="00537A29" w:rsidRDefault="00F9193E" w:rsidP="00537A29">
      <w:pPr>
        <w:spacing w:line="240" w:lineRule="auto"/>
        <w:rPr>
          <w:lang w:val="lv-LV"/>
        </w:rPr>
      </w:pPr>
      <w:r w:rsidRPr="00537A29">
        <w:rPr>
          <w:lang w:val="lv-LV"/>
        </w:rPr>
        <w:t>Polmatine 10 mg: 14, 28, 30, 42, 49x1, 50, 56, 56 x 1, 70, 84, 98, 98 x 1, 100, 100 x 1, 112 apvalkotās tabletes.</w:t>
      </w:r>
    </w:p>
    <w:p w14:paraId="02CCB14D" w14:textId="77777777" w:rsidR="00F9193E" w:rsidRPr="00537A29" w:rsidRDefault="00F9193E" w:rsidP="00537A29">
      <w:pPr>
        <w:spacing w:line="240" w:lineRule="auto"/>
        <w:rPr>
          <w:lang w:val="lv-LV"/>
        </w:rPr>
      </w:pPr>
      <w:r w:rsidRPr="00537A29">
        <w:rPr>
          <w:lang w:val="lv-LV"/>
        </w:rPr>
        <w:t>Polmatine 20 mg: 14, 28, 42, 49x1, 56, 56 x 1, 70, 84, 98, 98 x 1, 100 x 1, 112 apvalkotās tabletes.</w:t>
      </w:r>
    </w:p>
    <w:p w14:paraId="01BA77F2" w14:textId="77777777" w:rsidR="00F9193E" w:rsidRPr="00537A29" w:rsidRDefault="00F9193E" w:rsidP="00537A29">
      <w:pPr>
        <w:tabs>
          <w:tab w:val="left" w:pos="708"/>
        </w:tabs>
        <w:spacing w:line="240" w:lineRule="auto"/>
        <w:rPr>
          <w:szCs w:val="22"/>
          <w:lang w:val="lv-LV"/>
        </w:rPr>
      </w:pPr>
    </w:p>
    <w:p w14:paraId="69982F65" w14:textId="77777777" w:rsidR="00F9193E" w:rsidRPr="00537A29" w:rsidRDefault="00F9193E" w:rsidP="00537A29">
      <w:pPr>
        <w:tabs>
          <w:tab w:val="left" w:pos="708"/>
        </w:tabs>
        <w:spacing w:line="240" w:lineRule="auto"/>
        <w:rPr>
          <w:szCs w:val="22"/>
          <w:lang w:val="lv-LV"/>
        </w:rPr>
      </w:pPr>
      <w:r w:rsidRPr="00537A29">
        <w:rPr>
          <w:lang w:val="lv-LV"/>
        </w:rPr>
        <w:t>Visi iepakojuma lielumi tirgū var nebūt pieejami</w:t>
      </w:r>
      <w:r w:rsidRPr="00537A29">
        <w:rPr>
          <w:szCs w:val="22"/>
          <w:lang w:val="lv-LV"/>
        </w:rPr>
        <w:t>.</w:t>
      </w:r>
    </w:p>
    <w:p w14:paraId="0E5F142D" w14:textId="77777777" w:rsidR="00F9193E" w:rsidRPr="00537A29" w:rsidRDefault="00F9193E" w:rsidP="00537A29">
      <w:pPr>
        <w:tabs>
          <w:tab w:val="clear" w:pos="567"/>
          <w:tab w:val="left" w:pos="708"/>
        </w:tabs>
        <w:spacing w:line="240" w:lineRule="auto"/>
        <w:rPr>
          <w:szCs w:val="22"/>
          <w:lang w:val="lv-LV"/>
        </w:rPr>
      </w:pPr>
    </w:p>
    <w:p w14:paraId="7095B00D" w14:textId="77777777" w:rsidR="00F9193E" w:rsidRPr="00537A29" w:rsidRDefault="00F9193E" w:rsidP="00537A29">
      <w:pPr>
        <w:tabs>
          <w:tab w:val="clear" w:pos="567"/>
          <w:tab w:val="left" w:pos="708"/>
        </w:tabs>
        <w:spacing w:line="240" w:lineRule="auto"/>
        <w:ind w:left="567" w:hanging="567"/>
        <w:rPr>
          <w:szCs w:val="22"/>
          <w:lang w:val="lv-LV"/>
        </w:rPr>
      </w:pPr>
      <w:bookmarkStart w:id="1" w:name="OLE_LINK1"/>
      <w:r w:rsidRPr="00537A29">
        <w:rPr>
          <w:b/>
          <w:szCs w:val="22"/>
          <w:lang w:val="lv-LV"/>
        </w:rPr>
        <w:t>6.6</w:t>
      </w:r>
      <w:r w:rsidR="00301C51" w:rsidRPr="00537A29">
        <w:rPr>
          <w:b/>
          <w:szCs w:val="22"/>
          <w:lang w:val="lv-LV"/>
        </w:rPr>
        <w:t>.</w:t>
      </w:r>
      <w:r w:rsidRPr="00537A29">
        <w:rPr>
          <w:b/>
          <w:szCs w:val="22"/>
          <w:lang w:val="lv-LV"/>
        </w:rPr>
        <w:tab/>
      </w:r>
      <w:r w:rsidRPr="00537A29">
        <w:rPr>
          <w:b/>
          <w:color w:val="000000"/>
          <w:lang w:val="lv-LV"/>
        </w:rPr>
        <w:t>Īpaši norādījumi atkritumu likvidēšanai</w:t>
      </w:r>
      <w:r w:rsidRPr="00537A29">
        <w:rPr>
          <w:b/>
          <w:lang w:val="lv-LV"/>
        </w:rPr>
        <w:t xml:space="preserve"> </w:t>
      </w:r>
      <w:r w:rsidRPr="00537A29">
        <w:rPr>
          <w:b/>
          <w:color w:val="000000"/>
          <w:lang w:val="lv-LV"/>
        </w:rPr>
        <w:t xml:space="preserve">un </w:t>
      </w:r>
      <w:r w:rsidRPr="00537A29">
        <w:rPr>
          <w:b/>
          <w:color w:val="000000"/>
          <w:szCs w:val="22"/>
          <w:lang w:val="lv-LV"/>
        </w:rPr>
        <w:t>citi</w:t>
      </w:r>
      <w:r w:rsidRPr="00537A29">
        <w:rPr>
          <w:b/>
          <w:color w:val="000000"/>
          <w:lang w:val="lv-LV"/>
        </w:rPr>
        <w:t xml:space="preserve"> norādījumi par </w:t>
      </w:r>
      <w:r w:rsidRPr="00537A29">
        <w:rPr>
          <w:b/>
          <w:color w:val="000000"/>
          <w:szCs w:val="22"/>
          <w:lang w:val="lv-LV"/>
        </w:rPr>
        <w:t>rīkošanos</w:t>
      </w:r>
    </w:p>
    <w:p w14:paraId="398FDB48" w14:textId="77777777" w:rsidR="00F9193E" w:rsidRPr="00537A29" w:rsidRDefault="00F9193E" w:rsidP="00537A29">
      <w:pPr>
        <w:tabs>
          <w:tab w:val="clear" w:pos="567"/>
          <w:tab w:val="left" w:pos="708"/>
        </w:tabs>
        <w:spacing w:line="240" w:lineRule="auto"/>
        <w:rPr>
          <w:szCs w:val="22"/>
          <w:lang w:val="lv-LV"/>
        </w:rPr>
      </w:pPr>
    </w:p>
    <w:p w14:paraId="5EDC3D09" w14:textId="77777777" w:rsidR="00F9193E" w:rsidRPr="00537A29" w:rsidRDefault="00F9193E" w:rsidP="00537A29">
      <w:pPr>
        <w:tabs>
          <w:tab w:val="clear" w:pos="567"/>
          <w:tab w:val="left" w:pos="708"/>
        </w:tabs>
        <w:spacing w:line="240" w:lineRule="auto"/>
        <w:rPr>
          <w:szCs w:val="22"/>
          <w:lang w:val="lv-LV"/>
        </w:rPr>
      </w:pPr>
      <w:r w:rsidRPr="00537A29">
        <w:rPr>
          <w:szCs w:val="22"/>
          <w:lang w:val="lv-LV"/>
        </w:rPr>
        <w:t>Nav īpašu prasību.</w:t>
      </w:r>
    </w:p>
    <w:p w14:paraId="421E60FB" w14:textId="77777777" w:rsidR="00F9193E" w:rsidRPr="00537A29" w:rsidRDefault="00F9193E" w:rsidP="00537A29">
      <w:pPr>
        <w:tabs>
          <w:tab w:val="clear" w:pos="567"/>
          <w:tab w:val="left" w:pos="708"/>
        </w:tabs>
        <w:spacing w:line="240" w:lineRule="auto"/>
        <w:rPr>
          <w:szCs w:val="22"/>
          <w:lang w:val="lv-LV"/>
        </w:rPr>
      </w:pPr>
    </w:p>
    <w:p w14:paraId="227B4771" w14:textId="77777777" w:rsidR="00F9193E" w:rsidRPr="00537A29" w:rsidRDefault="00F9193E" w:rsidP="00537A29">
      <w:pPr>
        <w:tabs>
          <w:tab w:val="clear" w:pos="567"/>
          <w:tab w:val="left" w:pos="708"/>
        </w:tabs>
        <w:spacing w:line="240" w:lineRule="auto"/>
        <w:rPr>
          <w:szCs w:val="22"/>
          <w:lang w:val="lv-LV"/>
        </w:rPr>
      </w:pPr>
      <w:r w:rsidRPr="00537A29">
        <w:rPr>
          <w:lang w:val="lv-LV"/>
        </w:rPr>
        <w:t>Neizlietotās zāles vai izlietotie materiāli jāiznīcina atbilstoši vietējām prasībām</w:t>
      </w:r>
      <w:r w:rsidRPr="00537A29">
        <w:rPr>
          <w:szCs w:val="22"/>
          <w:lang w:val="lv-LV"/>
        </w:rPr>
        <w:t>.</w:t>
      </w:r>
    </w:p>
    <w:bookmarkEnd w:id="1"/>
    <w:p w14:paraId="6E706DC0" w14:textId="77777777" w:rsidR="00F9193E" w:rsidRPr="00537A29" w:rsidRDefault="00F9193E" w:rsidP="00537A29">
      <w:pPr>
        <w:tabs>
          <w:tab w:val="clear" w:pos="567"/>
          <w:tab w:val="left" w:pos="708"/>
        </w:tabs>
        <w:spacing w:line="240" w:lineRule="auto"/>
        <w:rPr>
          <w:szCs w:val="22"/>
          <w:lang w:val="lv-LV"/>
        </w:rPr>
      </w:pPr>
    </w:p>
    <w:p w14:paraId="6A2F4553" w14:textId="77777777" w:rsidR="00F9193E" w:rsidRPr="00537A29" w:rsidRDefault="00F9193E" w:rsidP="00537A29">
      <w:pPr>
        <w:tabs>
          <w:tab w:val="clear" w:pos="567"/>
          <w:tab w:val="left" w:pos="708"/>
        </w:tabs>
        <w:spacing w:line="240" w:lineRule="auto"/>
        <w:rPr>
          <w:szCs w:val="22"/>
          <w:lang w:val="lv-LV"/>
        </w:rPr>
      </w:pPr>
    </w:p>
    <w:p w14:paraId="3283749E" w14:textId="77777777" w:rsidR="00F9193E" w:rsidRPr="00537A29" w:rsidRDefault="00F9193E" w:rsidP="00537A29">
      <w:pPr>
        <w:tabs>
          <w:tab w:val="clear" w:pos="567"/>
        </w:tabs>
        <w:spacing w:line="240" w:lineRule="auto"/>
        <w:ind w:left="567" w:hanging="567"/>
        <w:rPr>
          <w:szCs w:val="22"/>
          <w:lang w:val="lv-LV"/>
        </w:rPr>
      </w:pPr>
      <w:r w:rsidRPr="00537A29">
        <w:rPr>
          <w:b/>
          <w:szCs w:val="22"/>
          <w:lang w:val="lv-LV"/>
        </w:rPr>
        <w:t>7.</w:t>
      </w:r>
      <w:r w:rsidRPr="00537A29">
        <w:rPr>
          <w:b/>
          <w:szCs w:val="22"/>
          <w:lang w:val="lv-LV"/>
        </w:rPr>
        <w:tab/>
      </w:r>
      <w:r w:rsidRPr="00537A29">
        <w:rPr>
          <w:b/>
          <w:lang w:val="lv-LV"/>
        </w:rPr>
        <w:t>REĢISTRĀCIJAS APLIECĪBAS ĪPAŠNIEKS</w:t>
      </w:r>
    </w:p>
    <w:p w14:paraId="781DA7B6" w14:textId="77777777" w:rsidR="00F9193E" w:rsidRPr="00537A29" w:rsidRDefault="00F9193E" w:rsidP="00537A29">
      <w:pPr>
        <w:tabs>
          <w:tab w:val="clear" w:pos="567"/>
          <w:tab w:val="left" w:pos="708"/>
        </w:tabs>
        <w:spacing w:line="240" w:lineRule="auto"/>
        <w:rPr>
          <w:szCs w:val="22"/>
          <w:lang w:val="lv-LV"/>
        </w:rPr>
      </w:pPr>
    </w:p>
    <w:p w14:paraId="14ABA52A" w14:textId="77777777" w:rsidR="008D62E7" w:rsidRPr="008D62E7" w:rsidRDefault="008D62E7" w:rsidP="008D62E7">
      <w:pPr>
        <w:tabs>
          <w:tab w:val="clear" w:pos="567"/>
          <w:tab w:val="left" w:pos="708"/>
        </w:tabs>
        <w:spacing w:line="240" w:lineRule="auto"/>
        <w:rPr>
          <w:rFonts w:eastAsia="Times New Roman"/>
          <w:szCs w:val="22"/>
          <w:lang w:val="pl-PL" w:eastAsia="lv-LV" w:bidi="or-IN"/>
        </w:rPr>
      </w:pPr>
      <w:r w:rsidRPr="008D62E7">
        <w:rPr>
          <w:rFonts w:eastAsia="Times New Roman"/>
          <w:szCs w:val="22"/>
          <w:lang w:val="pl-PL" w:eastAsia="lv-LV" w:bidi="or-IN"/>
        </w:rPr>
        <w:t>Zakłady Farmaceutyczne POLPHARMA S.A.</w:t>
      </w:r>
    </w:p>
    <w:p w14:paraId="3790FAC3" w14:textId="77777777" w:rsidR="008D62E7" w:rsidRDefault="008D62E7" w:rsidP="008D62E7">
      <w:pPr>
        <w:tabs>
          <w:tab w:val="clear" w:pos="567"/>
        </w:tabs>
        <w:suppressAutoHyphens w:val="0"/>
        <w:spacing w:line="240" w:lineRule="auto"/>
        <w:rPr>
          <w:rFonts w:eastAsia="Times New Roman"/>
          <w:szCs w:val="22"/>
          <w:lang w:val="lv-LV" w:eastAsia="lv-LV" w:bidi="or-IN"/>
        </w:rPr>
      </w:pPr>
      <w:r w:rsidRPr="008D62E7">
        <w:rPr>
          <w:rFonts w:eastAsia="Times New Roman"/>
          <w:szCs w:val="22"/>
          <w:lang w:val="pl-PL" w:eastAsia="lv-LV" w:bidi="or-IN"/>
        </w:rPr>
        <w:t>ul. Pelplińska 19, 83-200 Starogard Gdański</w:t>
      </w:r>
      <w:r w:rsidRPr="008D62E7" w:rsidDel="008D62E7">
        <w:rPr>
          <w:rFonts w:eastAsia="Times New Roman"/>
          <w:szCs w:val="22"/>
          <w:lang w:val="lv-LV" w:eastAsia="lv-LV" w:bidi="or-IN"/>
        </w:rPr>
        <w:t xml:space="preserve"> </w:t>
      </w:r>
    </w:p>
    <w:p w14:paraId="1551860D" w14:textId="77777777" w:rsidR="00957AB9" w:rsidRPr="00537A29" w:rsidRDefault="00957AB9" w:rsidP="00537A29">
      <w:pPr>
        <w:tabs>
          <w:tab w:val="clear" w:pos="567"/>
        </w:tabs>
        <w:suppressAutoHyphens w:val="0"/>
        <w:spacing w:line="240" w:lineRule="auto"/>
        <w:rPr>
          <w:rFonts w:eastAsia="Times New Roman"/>
          <w:szCs w:val="22"/>
          <w:lang w:val="lv-LV" w:eastAsia="lv-LV" w:bidi="or-IN"/>
        </w:rPr>
      </w:pPr>
      <w:r w:rsidRPr="00537A29">
        <w:rPr>
          <w:rFonts w:eastAsia="Times New Roman"/>
          <w:szCs w:val="22"/>
          <w:lang w:val="lv-LV" w:eastAsia="lv-LV" w:bidi="or-IN"/>
        </w:rPr>
        <w:t>Polija</w:t>
      </w:r>
    </w:p>
    <w:p w14:paraId="73905013" w14:textId="77777777" w:rsidR="00F9193E" w:rsidRPr="00537A29" w:rsidRDefault="00F9193E" w:rsidP="00537A29">
      <w:pPr>
        <w:tabs>
          <w:tab w:val="clear" w:pos="567"/>
          <w:tab w:val="left" w:pos="708"/>
        </w:tabs>
        <w:spacing w:line="240" w:lineRule="auto"/>
        <w:rPr>
          <w:szCs w:val="22"/>
          <w:lang w:val="lv-LV"/>
        </w:rPr>
      </w:pPr>
    </w:p>
    <w:p w14:paraId="025CE151" w14:textId="77777777" w:rsidR="00F9193E" w:rsidRPr="00537A29" w:rsidRDefault="00F9193E" w:rsidP="00537A29">
      <w:pPr>
        <w:tabs>
          <w:tab w:val="clear" w:pos="567"/>
          <w:tab w:val="left" w:pos="708"/>
        </w:tabs>
        <w:spacing w:line="240" w:lineRule="auto"/>
        <w:rPr>
          <w:szCs w:val="22"/>
          <w:lang w:val="lv-LV"/>
        </w:rPr>
      </w:pPr>
    </w:p>
    <w:p w14:paraId="403C9001" w14:textId="77777777" w:rsidR="00F9193E" w:rsidRPr="00537A29" w:rsidRDefault="00F9193E" w:rsidP="00537A29">
      <w:pPr>
        <w:tabs>
          <w:tab w:val="clear" w:pos="567"/>
          <w:tab w:val="left" w:pos="708"/>
        </w:tabs>
        <w:spacing w:line="240" w:lineRule="auto"/>
        <w:ind w:left="567" w:hanging="567"/>
        <w:rPr>
          <w:szCs w:val="22"/>
          <w:lang w:val="lv-LV"/>
        </w:rPr>
      </w:pPr>
      <w:r w:rsidRPr="00537A29">
        <w:rPr>
          <w:b/>
          <w:szCs w:val="22"/>
          <w:lang w:val="lv-LV"/>
        </w:rPr>
        <w:t>8.</w:t>
      </w:r>
      <w:r w:rsidRPr="00537A29">
        <w:rPr>
          <w:b/>
          <w:szCs w:val="22"/>
          <w:lang w:val="lv-LV"/>
        </w:rPr>
        <w:tab/>
      </w:r>
      <w:r w:rsidRPr="00537A29">
        <w:rPr>
          <w:b/>
          <w:lang w:val="lv-LV"/>
        </w:rPr>
        <w:t>REĢISTRĀCIJAS APLIECĪBAS NUMURS(-I)</w:t>
      </w:r>
    </w:p>
    <w:p w14:paraId="6E6D5D51" w14:textId="77777777" w:rsidR="00F9193E" w:rsidRPr="00537A29" w:rsidRDefault="00F9193E" w:rsidP="00537A29">
      <w:pPr>
        <w:tabs>
          <w:tab w:val="clear" w:pos="567"/>
          <w:tab w:val="left" w:pos="708"/>
        </w:tabs>
        <w:spacing w:line="240" w:lineRule="auto"/>
        <w:rPr>
          <w:szCs w:val="22"/>
          <w:lang w:val="lv-LV"/>
        </w:rPr>
      </w:pPr>
    </w:p>
    <w:p w14:paraId="74A1CCEE" w14:textId="77777777" w:rsidR="00F9193E" w:rsidRPr="00537A29" w:rsidRDefault="00145A2A" w:rsidP="00537A29">
      <w:pPr>
        <w:tabs>
          <w:tab w:val="clear" w:pos="567"/>
          <w:tab w:val="left" w:pos="708"/>
        </w:tabs>
        <w:spacing w:line="240" w:lineRule="auto"/>
        <w:rPr>
          <w:szCs w:val="22"/>
          <w:lang w:val="lv-LV"/>
        </w:rPr>
      </w:pPr>
      <w:r w:rsidRPr="00537A29">
        <w:rPr>
          <w:szCs w:val="22"/>
          <w:lang w:val="lv-LV"/>
        </w:rPr>
        <w:t>Polmatine 10 mg:</w:t>
      </w:r>
      <w:r w:rsidRPr="00537A29">
        <w:rPr>
          <w:szCs w:val="22"/>
          <w:lang w:val="lv-LV"/>
        </w:rPr>
        <w:tab/>
        <w:t>13-0178</w:t>
      </w:r>
    </w:p>
    <w:p w14:paraId="7E3FC4DD" w14:textId="77777777" w:rsidR="00145A2A" w:rsidRPr="00537A29" w:rsidRDefault="00145A2A" w:rsidP="00537A29">
      <w:pPr>
        <w:tabs>
          <w:tab w:val="clear" w:pos="567"/>
          <w:tab w:val="left" w:pos="708"/>
        </w:tabs>
        <w:spacing w:line="240" w:lineRule="auto"/>
        <w:rPr>
          <w:szCs w:val="22"/>
          <w:lang w:val="lv-LV"/>
        </w:rPr>
      </w:pPr>
      <w:r w:rsidRPr="00537A29">
        <w:rPr>
          <w:szCs w:val="22"/>
          <w:lang w:val="lv-LV"/>
        </w:rPr>
        <w:t>Polmatine 20 mg:</w:t>
      </w:r>
      <w:r w:rsidRPr="00537A29">
        <w:rPr>
          <w:szCs w:val="22"/>
          <w:lang w:val="lv-LV"/>
        </w:rPr>
        <w:tab/>
        <w:t>13-0179</w:t>
      </w:r>
    </w:p>
    <w:p w14:paraId="6F703C9B" w14:textId="77777777" w:rsidR="00145A2A" w:rsidRPr="00537A29" w:rsidRDefault="00145A2A" w:rsidP="00537A29">
      <w:pPr>
        <w:tabs>
          <w:tab w:val="clear" w:pos="567"/>
          <w:tab w:val="left" w:pos="708"/>
        </w:tabs>
        <w:spacing w:line="240" w:lineRule="auto"/>
        <w:rPr>
          <w:szCs w:val="22"/>
          <w:lang w:val="lv-LV"/>
        </w:rPr>
      </w:pPr>
    </w:p>
    <w:p w14:paraId="3FD1FCEC" w14:textId="77777777" w:rsidR="00F9193E" w:rsidRPr="00537A29" w:rsidRDefault="00F9193E" w:rsidP="00537A29">
      <w:pPr>
        <w:tabs>
          <w:tab w:val="clear" w:pos="567"/>
          <w:tab w:val="left" w:pos="708"/>
        </w:tabs>
        <w:spacing w:line="240" w:lineRule="auto"/>
        <w:rPr>
          <w:szCs w:val="22"/>
          <w:lang w:val="lv-LV"/>
        </w:rPr>
      </w:pPr>
    </w:p>
    <w:p w14:paraId="75E0B1E3" w14:textId="77777777" w:rsidR="00F9193E" w:rsidRPr="00537A29" w:rsidRDefault="00F9193E" w:rsidP="00537A29">
      <w:pPr>
        <w:tabs>
          <w:tab w:val="clear" w:pos="567"/>
          <w:tab w:val="left" w:pos="708"/>
        </w:tabs>
        <w:spacing w:line="240" w:lineRule="auto"/>
        <w:ind w:left="567" w:hanging="567"/>
        <w:rPr>
          <w:szCs w:val="22"/>
          <w:lang w:val="lv-LV"/>
        </w:rPr>
      </w:pPr>
      <w:r w:rsidRPr="00537A29">
        <w:rPr>
          <w:b/>
          <w:szCs w:val="22"/>
          <w:lang w:val="lv-LV"/>
        </w:rPr>
        <w:t>9.</w:t>
      </w:r>
      <w:r w:rsidRPr="00537A29">
        <w:rPr>
          <w:b/>
          <w:szCs w:val="22"/>
          <w:lang w:val="lv-LV"/>
        </w:rPr>
        <w:tab/>
        <w:t xml:space="preserve">PIRMĀS </w:t>
      </w:r>
      <w:r w:rsidRPr="00537A29">
        <w:rPr>
          <w:b/>
          <w:lang w:val="lv-LV"/>
        </w:rPr>
        <w:t>REĢISTRĀCIJAS/PĀRREĢISTRĀCIJAS DATUMS</w:t>
      </w:r>
    </w:p>
    <w:p w14:paraId="48154E98" w14:textId="77777777" w:rsidR="00F9193E" w:rsidRPr="00537A29" w:rsidRDefault="00F9193E" w:rsidP="00537A29">
      <w:pPr>
        <w:tabs>
          <w:tab w:val="clear" w:pos="567"/>
          <w:tab w:val="left" w:pos="708"/>
        </w:tabs>
        <w:spacing w:line="240" w:lineRule="auto"/>
        <w:rPr>
          <w:szCs w:val="22"/>
          <w:lang w:val="lv-LV"/>
        </w:rPr>
      </w:pPr>
    </w:p>
    <w:p w14:paraId="7475043E" w14:textId="77777777" w:rsidR="00F9193E" w:rsidRPr="00537A29" w:rsidRDefault="00F9193E" w:rsidP="00537A29">
      <w:pPr>
        <w:tabs>
          <w:tab w:val="clear" w:pos="567"/>
          <w:tab w:val="left" w:pos="708"/>
        </w:tabs>
        <w:spacing w:line="240" w:lineRule="auto"/>
        <w:rPr>
          <w:szCs w:val="22"/>
          <w:lang w:val="lv-LV"/>
        </w:rPr>
      </w:pPr>
      <w:r w:rsidRPr="00537A29">
        <w:rPr>
          <w:szCs w:val="22"/>
          <w:lang w:val="lv-LV"/>
        </w:rPr>
        <w:t>Reģistrācijas datums:</w:t>
      </w:r>
      <w:r w:rsidR="00145A2A" w:rsidRPr="00537A29">
        <w:rPr>
          <w:szCs w:val="22"/>
          <w:lang w:val="lv-LV"/>
        </w:rPr>
        <w:tab/>
        <w:t>23.08.2013</w:t>
      </w:r>
    </w:p>
    <w:p w14:paraId="4830B55C" w14:textId="6C19A50B" w:rsidR="00F9193E" w:rsidRPr="00537A29" w:rsidRDefault="00F9193E" w:rsidP="00537A29">
      <w:pPr>
        <w:tabs>
          <w:tab w:val="clear" w:pos="567"/>
          <w:tab w:val="left" w:pos="708"/>
        </w:tabs>
        <w:spacing w:line="240" w:lineRule="auto"/>
        <w:rPr>
          <w:szCs w:val="22"/>
          <w:lang w:val="lv-LV"/>
        </w:rPr>
      </w:pPr>
      <w:r w:rsidRPr="00537A29">
        <w:rPr>
          <w:szCs w:val="22"/>
          <w:lang w:val="lv-LV"/>
        </w:rPr>
        <w:t>Pēdējās pārreģistrācijas datums:</w:t>
      </w:r>
      <w:r w:rsidR="00145A2A" w:rsidRPr="00537A29">
        <w:rPr>
          <w:szCs w:val="22"/>
          <w:lang w:val="lv-LV"/>
        </w:rPr>
        <w:t xml:space="preserve"> </w:t>
      </w:r>
      <w:r w:rsidR="00FF5649">
        <w:rPr>
          <w:szCs w:val="22"/>
          <w:lang w:val="lv-LV"/>
        </w:rPr>
        <w:t>11.09.2017</w:t>
      </w:r>
    </w:p>
    <w:p w14:paraId="0FAA6790" w14:textId="77777777" w:rsidR="00F9193E" w:rsidRPr="00537A29" w:rsidRDefault="00F9193E" w:rsidP="00537A29">
      <w:pPr>
        <w:tabs>
          <w:tab w:val="clear" w:pos="567"/>
          <w:tab w:val="left" w:pos="708"/>
        </w:tabs>
        <w:spacing w:line="240" w:lineRule="auto"/>
        <w:rPr>
          <w:szCs w:val="22"/>
          <w:lang w:val="lv-LV"/>
        </w:rPr>
      </w:pPr>
    </w:p>
    <w:p w14:paraId="1753AA53" w14:textId="77777777" w:rsidR="00F9193E" w:rsidRPr="00537A29" w:rsidRDefault="00F9193E" w:rsidP="00537A29">
      <w:pPr>
        <w:tabs>
          <w:tab w:val="clear" w:pos="567"/>
          <w:tab w:val="left" w:pos="708"/>
        </w:tabs>
        <w:spacing w:line="240" w:lineRule="auto"/>
        <w:rPr>
          <w:szCs w:val="22"/>
          <w:lang w:val="lv-LV"/>
        </w:rPr>
      </w:pPr>
    </w:p>
    <w:p w14:paraId="7FB9EFAA" w14:textId="38710F0F" w:rsidR="00F9193E" w:rsidRDefault="00F9193E" w:rsidP="00537A29">
      <w:pPr>
        <w:tabs>
          <w:tab w:val="clear" w:pos="567"/>
          <w:tab w:val="left" w:pos="708"/>
        </w:tabs>
        <w:spacing w:line="240" w:lineRule="auto"/>
        <w:ind w:left="567" w:hanging="567"/>
        <w:rPr>
          <w:b/>
          <w:lang w:val="lv-LV"/>
        </w:rPr>
      </w:pPr>
      <w:r w:rsidRPr="00537A29">
        <w:rPr>
          <w:b/>
          <w:szCs w:val="22"/>
          <w:lang w:val="lv-LV"/>
        </w:rPr>
        <w:t>10.</w:t>
      </w:r>
      <w:r w:rsidRPr="00537A29">
        <w:rPr>
          <w:b/>
          <w:szCs w:val="22"/>
          <w:lang w:val="lv-LV"/>
        </w:rPr>
        <w:tab/>
      </w:r>
      <w:r w:rsidRPr="00537A29">
        <w:rPr>
          <w:b/>
          <w:lang w:val="lv-LV"/>
        </w:rPr>
        <w:t>TEKSTA PĀRSKATĪŠANAS DATUMS</w:t>
      </w:r>
    </w:p>
    <w:p w14:paraId="645B9594" w14:textId="77777777" w:rsidR="00B36F11" w:rsidRDefault="00B36F11" w:rsidP="00537A29">
      <w:pPr>
        <w:tabs>
          <w:tab w:val="clear" w:pos="567"/>
          <w:tab w:val="left" w:pos="708"/>
        </w:tabs>
        <w:spacing w:line="240" w:lineRule="auto"/>
        <w:ind w:left="567" w:hanging="567"/>
        <w:rPr>
          <w:b/>
          <w:lang w:val="lv-LV"/>
        </w:rPr>
      </w:pPr>
    </w:p>
    <w:p w14:paraId="4D0AA023" w14:textId="74A66AB6" w:rsidR="0044496C" w:rsidRPr="00537A29" w:rsidRDefault="0044496C" w:rsidP="00537A29">
      <w:pPr>
        <w:tabs>
          <w:tab w:val="clear" w:pos="567"/>
          <w:tab w:val="left" w:pos="708"/>
        </w:tabs>
        <w:spacing w:line="240" w:lineRule="auto"/>
        <w:ind w:left="567" w:hanging="567"/>
        <w:rPr>
          <w:szCs w:val="22"/>
          <w:lang w:val="lv-LV"/>
        </w:rPr>
      </w:pPr>
      <w:r>
        <w:rPr>
          <w:b/>
          <w:lang w:val="lv-LV"/>
        </w:rPr>
        <w:t>04/2021</w:t>
      </w:r>
    </w:p>
    <w:p w14:paraId="1B2C51D5" w14:textId="77777777" w:rsidR="00F9193E" w:rsidRPr="00537A29" w:rsidRDefault="00F9193E" w:rsidP="00537A29">
      <w:pPr>
        <w:tabs>
          <w:tab w:val="clear" w:pos="567"/>
          <w:tab w:val="left" w:pos="708"/>
        </w:tabs>
        <w:spacing w:line="240" w:lineRule="auto"/>
        <w:rPr>
          <w:szCs w:val="22"/>
          <w:lang w:val="lv-LV"/>
        </w:rPr>
      </w:pPr>
    </w:p>
    <w:p w14:paraId="0E4C22A3" w14:textId="5330DBC2" w:rsidR="00957529" w:rsidRPr="00537A29" w:rsidRDefault="00957529" w:rsidP="00537A29">
      <w:pPr>
        <w:spacing w:line="240" w:lineRule="auto"/>
        <w:rPr>
          <w:lang w:val="lv-LV"/>
        </w:rPr>
      </w:pPr>
    </w:p>
    <w:sectPr w:rsidR="00957529" w:rsidRPr="00537A2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20E26" w14:textId="77777777" w:rsidR="00951B8B" w:rsidRDefault="00951B8B" w:rsidP="007D6949">
      <w:pPr>
        <w:spacing w:line="240" w:lineRule="auto"/>
      </w:pPr>
      <w:r>
        <w:separator/>
      </w:r>
    </w:p>
  </w:endnote>
  <w:endnote w:type="continuationSeparator" w:id="0">
    <w:p w14:paraId="64907B9F" w14:textId="77777777" w:rsidR="00951B8B" w:rsidRDefault="00951B8B" w:rsidP="007D69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07C35" w14:textId="77777777" w:rsidR="00332CDD" w:rsidRDefault="00332C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AA9F0" w14:textId="77777777" w:rsidR="00C01ACF" w:rsidRDefault="00C01ACF">
    <w:pPr>
      <w:pStyle w:val="Footer"/>
      <w:jc w:val="right"/>
    </w:pPr>
    <w:r>
      <w:fldChar w:fldCharType="begin"/>
    </w:r>
    <w:r>
      <w:instrText>PAGE   \* MERGEFORMAT</w:instrText>
    </w:r>
    <w:r>
      <w:fldChar w:fldCharType="separate"/>
    </w:r>
    <w:r>
      <w:rPr>
        <w:lang w:val="pl-PL"/>
      </w:rPr>
      <w:t>2</w:t>
    </w:r>
    <w:r>
      <w:fldChar w:fldCharType="end"/>
    </w:r>
  </w:p>
  <w:p w14:paraId="6BA02CD0" w14:textId="77777777" w:rsidR="00C01ACF" w:rsidRDefault="00C01A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5BA80" w14:textId="77777777" w:rsidR="00332CDD" w:rsidRDefault="00332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14709" w14:textId="77777777" w:rsidR="00951B8B" w:rsidRDefault="00951B8B" w:rsidP="007D6949">
      <w:pPr>
        <w:spacing w:line="240" w:lineRule="auto"/>
      </w:pPr>
      <w:r>
        <w:separator/>
      </w:r>
    </w:p>
  </w:footnote>
  <w:footnote w:type="continuationSeparator" w:id="0">
    <w:p w14:paraId="11A70DC8" w14:textId="77777777" w:rsidR="00951B8B" w:rsidRDefault="00951B8B" w:rsidP="007D69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196A7" w14:textId="77777777" w:rsidR="00332CDD" w:rsidRDefault="00332C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CFD6F" w14:textId="11040018" w:rsidR="007D6949" w:rsidRPr="003834B3" w:rsidRDefault="00332CDD" w:rsidP="00EB26DE">
    <w:pPr>
      <w:pStyle w:val="Header"/>
      <w:jc w:val="right"/>
      <w:rPr>
        <w:sz w:val="24"/>
        <w:lang w:val="en-US"/>
      </w:rPr>
    </w:pPr>
    <w:r>
      <w:rPr>
        <w:sz w:val="24"/>
        <w:lang w:val="en-US"/>
      </w:rPr>
      <w:t>SASKAŅOTS ZVA 01-04-2021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AD548" w14:textId="77777777" w:rsidR="00332CDD" w:rsidRDefault="00332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4"/>
      <w:numFmt w:val="decimal"/>
      <w:lvlText w:val="%1"/>
      <w:lvlJc w:val="left"/>
      <w:pPr>
        <w:tabs>
          <w:tab w:val="num" w:pos="570"/>
        </w:tabs>
        <w:ind w:left="570" w:hanging="570"/>
      </w:pPr>
      <w:rPr>
        <w:rFonts w:cs="Times New Roman"/>
      </w:rPr>
    </w:lvl>
    <w:lvl w:ilvl="1">
      <w:start w:val="2"/>
      <w:numFmt w:val="decimal"/>
      <w:lvlText w:val="%1.%2"/>
      <w:lvlJc w:val="left"/>
      <w:pPr>
        <w:tabs>
          <w:tab w:val="num" w:pos="570"/>
        </w:tabs>
        <w:ind w:left="570" w:hanging="57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000002"/>
    <w:multiLevelType w:val="multilevel"/>
    <w:tmpl w:val="00000002"/>
    <w:name w:val="WW8Num2"/>
    <w:lvl w:ilvl="0">
      <w:start w:val="6"/>
      <w:numFmt w:val="decimal"/>
      <w:lvlText w:val="%1"/>
      <w:lvlJc w:val="left"/>
      <w:pPr>
        <w:tabs>
          <w:tab w:val="num" w:pos="570"/>
        </w:tabs>
        <w:ind w:left="570" w:hanging="570"/>
      </w:pPr>
      <w:rPr>
        <w:rFonts w:cs="Times New Roman"/>
      </w:rPr>
    </w:lvl>
    <w:lvl w:ilvl="1">
      <w:start w:val="5"/>
      <w:numFmt w:val="decimal"/>
      <w:lvlText w:val="%1.%2"/>
      <w:lvlJc w:val="left"/>
      <w:pPr>
        <w:tabs>
          <w:tab w:val="num" w:pos="570"/>
        </w:tabs>
        <w:ind w:left="570" w:hanging="57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15:restartNumberingAfterBreak="0">
    <w:nsid w:val="00000003"/>
    <w:multiLevelType w:val="singleLevel"/>
    <w:tmpl w:val="00000003"/>
    <w:name w:val="WW8Num3"/>
    <w:lvl w:ilvl="0">
      <w:numFmt w:val="bullet"/>
      <w:lvlText w:val="-"/>
      <w:lvlJc w:val="left"/>
      <w:pPr>
        <w:tabs>
          <w:tab w:val="num" w:pos="0"/>
        </w:tabs>
        <w:ind w:left="720" w:hanging="360"/>
      </w:pPr>
      <w:rPr>
        <w:rFonts w:ascii="OpenSymbol" w:hAnsi="OpenSymbol"/>
      </w:rPr>
    </w:lvl>
  </w:abstractNum>
  <w:abstractNum w:abstractNumId="3" w15:restartNumberingAfterBreak="0">
    <w:nsid w:val="00000004"/>
    <w:multiLevelType w:val="multilevel"/>
    <w:tmpl w:val="00000004"/>
    <w:name w:val="WW8Num4"/>
    <w:lvl w:ilvl="0">
      <w:start w:val="4"/>
      <w:numFmt w:val="decimal"/>
      <w:lvlText w:val="%1"/>
      <w:lvlJc w:val="left"/>
      <w:pPr>
        <w:tabs>
          <w:tab w:val="num" w:pos="570"/>
        </w:tabs>
        <w:ind w:left="570" w:hanging="570"/>
      </w:pPr>
      <w:rPr>
        <w:rFonts w:cs="Times New Roman"/>
      </w:rPr>
    </w:lvl>
    <w:lvl w:ilvl="1">
      <w:start w:val="8"/>
      <w:numFmt w:val="decimal"/>
      <w:lvlText w:val="%1.%2"/>
      <w:lvlJc w:val="left"/>
      <w:pPr>
        <w:tabs>
          <w:tab w:val="num" w:pos="570"/>
        </w:tabs>
        <w:ind w:left="570" w:hanging="57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0000006"/>
    <w:multiLevelType w:val="multilevel"/>
    <w:tmpl w:val="00000006"/>
    <w:lvl w:ilvl="0">
      <w:start w:val="4"/>
      <w:numFmt w:val="decimal"/>
      <w:lvlText w:val="%1"/>
      <w:lvlJc w:val="left"/>
      <w:pPr>
        <w:tabs>
          <w:tab w:val="num" w:pos="570"/>
        </w:tabs>
        <w:ind w:left="570" w:hanging="570"/>
      </w:pPr>
      <w:rPr>
        <w:rFonts w:cs="Times New Roman"/>
      </w:rPr>
    </w:lvl>
    <w:lvl w:ilvl="1">
      <w:start w:val="2"/>
      <w:numFmt w:val="decimal"/>
      <w:lvlText w:val="%1.%2"/>
      <w:lvlJc w:val="left"/>
      <w:pPr>
        <w:tabs>
          <w:tab w:val="num" w:pos="570"/>
        </w:tabs>
        <w:ind w:left="570" w:hanging="57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6" w15:restartNumberingAfterBreak="0">
    <w:nsid w:val="00000007"/>
    <w:multiLevelType w:val="multilevel"/>
    <w:tmpl w:val="2DB6057C"/>
    <w:lvl w:ilvl="0">
      <w:start w:val="4"/>
      <w:numFmt w:val="decimal"/>
      <w:lvlText w:val="%1"/>
      <w:lvlJc w:val="left"/>
      <w:pPr>
        <w:tabs>
          <w:tab w:val="num" w:pos="570"/>
        </w:tabs>
        <w:ind w:left="570" w:hanging="570"/>
      </w:pPr>
      <w:rPr>
        <w:rFonts w:cs="Times New Roman"/>
      </w:rPr>
    </w:lvl>
    <w:lvl w:ilvl="1">
      <w:start w:val="8"/>
      <w:numFmt w:val="decimal"/>
      <w:lvlText w:val="%1.%2"/>
      <w:lvlJc w:val="left"/>
      <w:pPr>
        <w:tabs>
          <w:tab w:val="num" w:pos="570"/>
        </w:tabs>
        <w:ind w:left="570" w:hanging="570"/>
      </w:pPr>
      <w:rPr>
        <w:rFonts w:cs="Times New Roman"/>
        <w:b/>
        <w:bCs/>
        <w:i w:val="0"/>
        <w:iCs/>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15:restartNumberingAfterBreak="0">
    <w:nsid w:val="00000008"/>
    <w:multiLevelType w:val="multilevel"/>
    <w:tmpl w:val="4B464768"/>
    <w:lvl w:ilvl="0">
      <w:start w:val="6"/>
      <w:numFmt w:val="decimal"/>
      <w:lvlText w:val="%1"/>
      <w:lvlJc w:val="left"/>
      <w:pPr>
        <w:tabs>
          <w:tab w:val="num" w:pos="570"/>
        </w:tabs>
        <w:ind w:left="570" w:hanging="570"/>
      </w:pPr>
      <w:rPr>
        <w:rFonts w:cs="Times New Roman"/>
      </w:rPr>
    </w:lvl>
    <w:lvl w:ilvl="1">
      <w:start w:val="5"/>
      <w:numFmt w:val="decimal"/>
      <w:lvlText w:val="%1.%2"/>
      <w:lvlJc w:val="left"/>
      <w:pPr>
        <w:tabs>
          <w:tab w:val="num" w:pos="570"/>
        </w:tabs>
        <w:ind w:left="570" w:hanging="570"/>
      </w:pPr>
      <w:rPr>
        <w:rFonts w:cs="Times New Roman"/>
        <w:b/>
        <w:bCs/>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93E"/>
    <w:rsid w:val="00040EF4"/>
    <w:rsid w:val="00076FBB"/>
    <w:rsid w:val="000C3451"/>
    <w:rsid w:val="000E36E4"/>
    <w:rsid w:val="000F5CC7"/>
    <w:rsid w:val="00107DC7"/>
    <w:rsid w:val="00145A2A"/>
    <w:rsid w:val="001C4848"/>
    <w:rsid w:val="001E061F"/>
    <w:rsid w:val="00230EDB"/>
    <w:rsid w:val="00234FF6"/>
    <w:rsid w:val="002411F0"/>
    <w:rsid w:val="00284738"/>
    <w:rsid w:val="002D5A1C"/>
    <w:rsid w:val="00301C51"/>
    <w:rsid w:val="00332CDD"/>
    <w:rsid w:val="00380A9E"/>
    <w:rsid w:val="00381B76"/>
    <w:rsid w:val="003834B3"/>
    <w:rsid w:val="003B4C1E"/>
    <w:rsid w:val="003E47CA"/>
    <w:rsid w:val="00415ED6"/>
    <w:rsid w:val="0044496C"/>
    <w:rsid w:val="004C7350"/>
    <w:rsid w:val="004F4666"/>
    <w:rsid w:val="00537A29"/>
    <w:rsid w:val="005D15D8"/>
    <w:rsid w:val="00624A54"/>
    <w:rsid w:val="00736411"/>
    <w:rsid w:val="00756ACF"/>
    <w:rsid w:val="007D6949"/>
    <w:rsid w:val="008D62E7"/>
    <w:rsid w:val="008E615F"/>
    <w:rsid w:val="00920ABB"/>
    <w:rsid w:val="0094599A"/>
    <w:rsid w:val="00951B8B"/>
    <w:rsid w:val="00957529"/>
    <w:rsid w:val="00957AB9"/>
    <w:rsid w:val="009B6905"/>
    <w:rsid w:val="00A14B1C"/>
    <w:rsid w:val="00A4266A"/>
    <w:rsid w:val="00AB64B9"/>
    <w:rsid w:val="00B36F11"/>
    <w:rsid w:val="00B56229"/>
    <w:rsid w:val="00BE6D2C"/>
    <w:rsid w:val="00C01ACF"/>
    <w:rsid w:val="00C759E4"/>
    <w:rsid w:val="00C77D2E"/>
    <w:rsid w:val="00DF38F3"/>
    <w:rsid w:val="00E23614"/>
    <w:rsid w:val="00E701C3"/>
    <w:rsid w:val="00EB26DE"/>
    <w:rsid w:val="00F16757"/>
    <w:rsid w:val="00F9193E"/>
    <w:rsid w:val="00FE60B6"/>
    <w:rsid w:val="00FF56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7F6F0"/>
  <w15:chartTrackingRefBased/>
  <w15:docId w15:val="{CE9C6EE4-6A05-4269-8EA6-EF54CD29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ED6"/>
    <w:pPr>
      <w:tabs>
        <w:tab w:val="left" w:pos="567"/>
      </w:tabs>
      <w:suppressAutoHyphens/>
      <w:spacing w:line="260" w:lineRule="exact"/>
    </w:pPr>
    <w:rPr>
      <w:rFonts w:ascii="Times New Roman" w:hAnsi="Times New Roman"/>
      <w:sz w:val="2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9193E"/>
    <w:rPr>
      <w:rFonts w:cs="Times New Roman"/>
    </w:rPr>
  </w:style>
  <w:style w:type="character" w:customStyle="1" w:styleId="WW8Num2z0">
    <w:name w:val="WW8Num2z0"/>
    <w:rsid w:val="00F9193E"/>
    <w:rPr>
      <w:rFonts w:cs="Times New Roman"/>
    </w:rPr>
  </w:style>
  <w:style w:type="character" w:customStyle="1" w:styleId="WW8Num3z1">
    <w:name w:val="WW8Num3z1"/>
    <w:rsid w:val="00F9193E"/>
    <w:rPr>
      <w:rFonts w:ascii="Courier New" w:hAnsi="Courier New" w:cs="Courier New"/>
    </w:rPr>
  </w:style>
  <w:style w:type="character" w:customStyle="1" w:styleId="WW8Num3z2">
    <w:name w:val="WW8Num3z2"/>
    <w:rsid w:val="00F9193E"/>
    <w:rPr>
      <w:rFonts w:ascii="Wingdings" w:hAnsi="Wingdings" w:cs="Wingdings"/>
    </w:rPr>
  </w:style>
  <w:style w:type="character" w:customStyle="1" w:styleId="WW8Num3z3">
    <w:name w:val="WW8Num3z3"/>
    <w:rsid w:val="00F9193E"/>
    <w:rPr>
      <w:rFonts w:ascii="Symbol" w:hAnsi="Symbol" w:cs="Symbol"/>
    </w:rPr>
  </w:style>
  <w:style w:type="character" w:customStyle="1" w:styleId="WW8Num4z0">
    <w:name w:val="WW8Num4z0"/>
    <w:rsid w:val="00F9193E"/>
    <w:rPr>
      <w:rFonts w:cs="Times New Roman"/>
    </w:rPr>
  </w:style>
  <w:style w:type="character" w:customStyle="1" w:styleId="BalloonTextChar">
    <w:name w:val="Balloon Text Char"/>
    <w:rsid w:val="00F9193E"/>
    <w:rPr>
      <w:rFonts w:ascii="Tahoma" w:hAnsi="Tahoma" w:cs="Tahoma"/>
      <w:sz w:val="16"/>
      <w:szCs w:val="16"/>
      <w:lang w:val="en-GB"/>
    </w:rPr>
  </w:style>
  <w:style w:type="character" w:customStyle="1" w:styleId="Bullets">
    <w:name w:val="Bullets"/>
    <w:rsid w:val="00F9193E"/>
    <w:rPr>
      <w:rFonts w:ascii="OpenSymbol" w:eastAsia="OpenSymbol" w:hAnsi="OpenSymbol" w:cs="OpenSymbol"/>
    </w:rPr>
  </w:style>
  <w:style w:type="character" w:customStyle="1" w:styleId="NumberingSymbols">
    <w:name w:val="Numbering Symbols"/>
    <w:rsid w:val="00F9193E"/>
  </w:style>
  <w:style w:type="paragraph" w:customStyle="1" w:styleId="Heading">
    <w:name w:val="Heading"/>
    <w:basedOn w:val="Normal"/>
    <w:next w:val="BodyText"/>
    <w:rsid w:val="00F9193E"/>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F9193E"/>
    <w:pPr>
      <w:spacing w:after="120"/>
    </w:pPr>
  </w:style>
  <w:style w:type="character" w:customStyle="1" w:styleId="BodyTextChar">
    <w:name w:val="Body Text Char"/>
    <w:link w:val="BodyText"/>
    <w:rsid w:val="00F9193E"/>
    <w:rPr>
      <w:rFonts w:ascii="Times New Roman" w:eastAsia="Calibri" w:hAnsi="Times New Roman" w:cs="Times New Roman"/>
      <w:szCs w:val="20"/>
      <w:lang w:val="en-GB" w:eastAsia="ar-SA"/>
    </w:rPr>
  </w:style>
  <w:style w:type="paragraph" w:styleId="List">
    <w:name w:val="List"/>
    <w:basedOn w:val="BodyText"/>
    <w:rsid w:val="00F9193E"/>
  </w:style>
  <w:style w:type="paragraph" w:styleId="Caption">
    <w:name w:val="caption"/>
    <w:basedOn w:val="Normal"/>
    <w:qFormat/>
    <w:rsid w:val="00F9193E"/>
    <w:pPr>
      <w:suppressLineNumbers/>
      <w:spacing w:before="120" w:after="120"/>
    </w:pPr>
    <w:rPr>
      <w:i/>
      <w:iCs/>
      <w:sz w:val="24"/>
      <w:szCs w:val="24"/>
    </w:rPr>
  </w:style>
  <w:style w:type="paragraph" w:customStyle="1" w:styleId="Index">
    <w:name w:val="Index"/>
    <w:basedOn w:val="Normal"/>
    <w:rsid w:val="00F9193E"/>
    <w:pPr>
      <w:suppressLineNumbers/>
    </w:pPr>
  </w:style>
  <w:style w:type="paragraph" w:customStyle="1" w:styleId="ListParagraph1">
    <w:name w:val="List Paragraph1"/>
    <w:basedOn w:val="Normal"/>
    <w:rsid w:val="00F9193E"/>
    <w:pPr>
      <w:ind w:left="720"/>
    </w:pPr>
  </w:style>
  <w:style w:type="paragraph" w:styleId="BalloonText">
    <w:name w:val="Balloon Text"/>
    <w:basedOn w:val="Normal"/>
    <w:link w:val="BalloonTextChar1"/>
    <w:rsid w:val="00F9193E"/>
    <w:pPr>
      <w:spacing w:line="240" w:lineRule="auto"/>
    </w:pPr>
    <w:rPr>
      <w:rFonts w:ascii="Tahoma" w:hAnsi="Tahoma" w:cs="Tahoma"/>
      <w:sz w:val="16"/>
      <w:szCs w:val="16"/>
    </w:rPr>
  </w:style>
  <w:style w:type="character" w:customStyle="1" w:styleId="BalloonTextChar1">
    <w:name w:val="Balloon Text Char1"/>
    <w:link w:val="BalloonText"/>
    <w:rsid w:val="00F9193E"/>
    <w:rPr>
      <w:rFonts w:ascii="Tahoma" w:eastAsia="Calibri" w:hAnsi="Tahoma" w:cs="Tahoma"/>
      <w:sz w:val="16"/>
      <w:szCs w:val="16"/>
      <w:lang w:val="en-GB" w:eastAsia="ar-SA"/>
    </w:rPr>
  </w:style>
  <w:style w:type="paragraph" w:styleId="NormalWeb">
    <w:name w:val="Normal (Web)"/>
    <w:basedOn w:val="Normal"/>
    <w:rsid w:val="00F9193E"/>
    <w:pPr>
      <w:tabs>
        <w:tab w:val="clear" w:pos="567"/>
      </w:tabs>
      <w:spacing w:before="280" w:after="94" w:line="240" w:lineRule="auto"/>
    </w:pPr>
    <w:rPr>
      <w:rFonts w:eastAsia="Times New Roman"/>
      <w:color w:val="000000"/>
      <w:sz w:val="24"/>
      <w:szCs w:val="24"/>
      <w:lang w:val="en-US"/>
    </w:rPr>
  </w:style>
  <w:style w:type="paragraph" w:customStyle="1" w:styleId="EMEAEnBodyText">
    <w:name w:val="EMEA En Body Text"/>
    <w:basedOn w:val="Normal"/>
    <w:rsid w:val="00F9193E"/>
    <w:pPr>
      <w:tabs>
        <w:tab w:val="clear" w:pos="567"/>
      </w:tabs>
      <w:spacing w:before="120" w:after="120" w:line="240" w:lineRule="auto"/>
      <w:jc w:val="both"/>
    </w:pPr>
    <w:rPr>
      <w:rFonts w:eastAsia="Times New Roman"/>
      <w:lang w:val="en-US"/>
    </w:rPr>
  </w:style>
  <w:style w:type="character" w:styleId="CommentReference">
    <w:name w:val="annotation reference"/>
    <w:rsid w:val="00F9193E"/>
    <w:rPr>
      <w:sz w:val="16"/>
      <w:szCs w:val="16"/>
    </w:rPr>
  </w:style>
  <w:style w:type="paragraph" w:styleId="CommentText">
    <w:name w:val="annotation text"/>
    <w:basedOn w:val="Normal"/>
    <w:link w:val="CommentTextChar"/>
    <w:rsid w:val="00F9193E"/>
    <w:rPr>
      <w:sz w:val="20"/>
    </w:rPr>
  </w:style>
  <w:style w:type="character" w:customStyle="1" w:styleId="CommentTextChar">
    <w:name w:val="Comment Text Char"/>
    <w:link w:val="CommentText"/>
    <w:rsid w:val="00F9193E"/>
    <w:rPr>
      <w:rFonts w:ascii="Times New Roman" w:eastAsia="Calibri" w:hAnsi="Times New Roman" w:cs="Times New Roman"/>
      <w:sz w:val="20"/>
      <w:szCs w:val="20"/>
      <w:lang w:val="en-GB" w:eastAsia="ar-SA"/>
    </w:rPr>
  </w:style>
  <w:style w:type="paragraph" w:styleId="CommentSubject">
    <w:name w:val="annotation subject"/>
    <w:basedOn w:val="CommentText"/>
    <w:next w:val="CommentText"/>
    <w:link w:val="CommentSubjectChar"/>
    <w:rsid w:val="00F9193E"/>
    <w:rPr>
      <w:b/>
      <w:bCs/>
    </w:rPr>
  </w:style>
  <w:style w:type="character" w:customStyle="1" w:styleId="CommentSubjectChar">
    <w:name w:val="Comment Subject Char"/>
    <w:link w:val="CommentSubject"/>
    <w:rsid w:val="00F9193E"/>
    <w:rPr>
      <w:rFonts w:ascii="Times New Roman" w:eastAsia="Calibri" w:hAnsi="Times New Roman" w:cs="Times New Roman"/>
      <w:b/>
      <w:bCs/>
      <w:sz w:val="20"/>
      <w:szCs w:val="20"/>
      <w:lang w:val="en-GB" w:eastAsia="ar-SA"/>
    </w:rPr>
  </w:style>
  <w:style w:type="paragraph" w:styleId="Revision">
    <w:name w:val="Revision"/>
    <w:hidden/>
    <w:uiPriority w:val="99"/>
    <w:semiHidden/>
    <w:rsid w:val="007D6949"/>
    <w:rPr>
      <w:rFonts w:ascii="Times New Roman" w:hAnsi="Times New Roman"/>
      <w:sz w:val="22"/>
      <w:lang w:val="en-GB" w:eastAsia="ar-SA"/>
    </w:rPr>
  </w:style>
  <w:style w:type="paragraph" w:styleId="Header">
    <w:name w:val="header"/>
    <w:basedOn w:val="Normal"/>
    <w:link w:val="HeaderChar"/>
    <w:unhideWhenUsed/>
    <w:rsid w:val="007D6949"/>
    <w:pPr>
      <w:tabs>
        <w:tab w:val="clear" w:pos="567"/>
        <w:tab w:val="center" w:pos="4153"/>
        <w:tab w:val="right" w:pos="8306"/>
      </w:tabs>
    </w:pPr>
  </w:style>
  <w:style w:type="character" w:customStyle="1" w:styleId="HeaderChar">
    <w:name w:val="Header Char"/>
    <w:link w:val="Header"/>
    <w:rsid w:val="007D6949"/>
    <w:rPr>
      <w:rFonts w:ascii="Times New Roman" w:hAnsi="Times New Roman"/>
      <w:sz w:val="22"/>
      <w:lang w:val="en-GB" w:eastAsia="ar-SA"/>
    </w:rPr>
  </w:style>
  <w:style w:type="paragraph" w:styleId="Footer">
    <w:name w:val="footer"/>
    <w:basedOn w:val="Normal"/>
    <w:link w:val="FooterChar"/>
    <w:uiPriority w:val="99"/>
    <w:unhideWhenUsed/>
    <w:rsid w:val="007D6949"/>
    <w:pPr>
      <w:tabs>
        <w:tab w:val="clear" w:pos="567"/>
        <w:tab w:val="center" w:pos="4153"/>
        <w:tab w:val="right" w:pos="8306"/>
      </w:tabs>
    </w:pPr>
  </w:style>
  <w:style w:type="character" w:customStyle="1" w:styleId="FooterChar">
    <w:name w:val="Footer Char"/>
    <w:link w:val="Footer"/>
    <w:uiPriority w:val="99"/>
    <w:rsid w:val="007D6949"/>
    <w:rPr>
      <w:rFonts w:ascii="Times New Roman" w:hAnsi="Times New Roman"/>
      <w:sz w:val="22"/>
      <w:lang w:val="en-GB" w:eastAsia="ar-SA"/>
    </w:rPr>
  </w:style>
  <w:style w:type="character" w:styleId="Hyperlink">
    <w:name w:val="Hyperlink"/>
    <w:rsid w:val="00301C51"/>
    <w:rPr>
      <w:color w:val="0000FF"/>
      <w:u w:val="single"/>
    </w:rPr>
  </w:style>
  <w:style w:type="table" w:styleId="TableGrid">
    <w:name w:val="Table Grid"/>
    <w:basedOn w:val="TableNormal"/>
    <w:uiPriority w:val="59"/>
    <w:rsid w:val="008E6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53988">
      <w:bodyDiv w:val="1"/>
      <w:marLeft w:val="0"/>
      <w:marRight w:val="0"/>
      <w:marTop w:val="0"/>
      <w:marBottom w:val="0"/>
      <w:divBdr>
        <w:top w:val="none" w:sz="0" w:space="0" w:color="auto"/>
        <w:left w:val="none" w:sz="0" w:space="0" w:color="auto"/>
        <w:bottom w:val="none" w:sz="0" w:space="0" w:color="auto"/>
        <w:right w:val="none" w:sz="0" w:space="0" w:color="auto"/>
      </w:divBdr>
      <w:divsChild>
        <w:div w:id="373818498">
          <w:marLeft w:val="0"/>
          <w:marRight w:val="0"/>
          <w:marTop w:val="0"/>
          <w:marBottom w:val="0"/>
          <w:divBdr>
            <w:top w:val="none" w:sz="0" w:space="0" w:color="auto"/>
            <w:left w:val="none" w:sz="0" w:space="0" w:color="auto"/>
            <w:bottom w:val="none" w:sz="0" w:space="0" w:color="auto"/>
            <w:right w:val="none" w:sz="0" w:space="0" w:color="auto"/>
          </w:divBdr>
          <w:divsChild>
            <w:div w:id="1056272105">
              <w:marLeft w:val="0"/>
              <w:marRight w:val="0"/>
              <w:marTop w:val="0"/>
              <w:marBottom w:val="0"/>
              <w:divBdr>
                <w:top w:val="none" w:sz="0" w:space="0" w:color="auto"/>
                <w:left w:val="none" w:sz="0" w:space="0" w:color="auto"/>
                <w:bottom w:val="none" w:sz="0" w:space="0" w:color="auto"/>
                <w:right w:val="none" w:sz="0" w:space="0" w:color="auto"/>
              </w:divBdr>
              <w:divsChild>
                <w:div w:id="1165509061">
                  <w:marLeft w:val="0"/>
                  <w:marRight w:val="0"/>
                  <w:marTop w:val="0"/>
                  <w:marBottom w:val="0"/>
                  <w:divBdr>
                    <w:top w:val="none" w:sz="0" w:space="0" w:color="auto"/>
                    <w:left w:val="none" w:sz="0" w:space="0" w:color="auto"/>
                    <w:bottom w:val="none" w:sz="0" w:space="0" w:color="auto"/>
                    <w:right w:val="none" w:sz="0" w:space="0" w:color="auto"/>
                  </w:divBdr>
                  <w:divsChild>
                    <w:div w:id="1228682485">
                      <w:marLeft w:val="0"/>
                      <w:marRight w:val="0"/>
                      <w:marTop w:val="0"/>
                      <w:marBottom w:val="0"/>
                      <w:divBdr>
                        <w:top w:val="none" w:sz="0" w:space="0" w:color="auto"/>
                        <w:left w:val="none" w:sz="0" w:space="0" w:color="auto"/>
                        <w:bottom w:val="none" w:sz="0" w:space="0" w:color="auto"/>
                        <w:right w:val="none" w:sz="0" w:space="0" w:color="auto"/>
                      </w:divBdr>
                      <w:divsChild>
                        <w:div w:id="194196349">
                          <w:marLeft w:val="0"/>
                          <w:marRight w:val="0"/>
                          <w:marTop w:val="0"/>
                          <w:marBottom w:val="0"/>
                          <w:divBdr>
                            <w:top w:val="none" w:sz="0" w:space="0" w:color="auto"/>
                            <w:left w:val="none" w:sz="0" w:space="0" w:color="auto"/>
                            <w:bottom w:val="none" w:sz="0" w:space="0" w:color="auto"/>
                            <w:right w:val="none" w:sz="0" w:space="0" w:color="auto"/>
                          </w:divBdr>
                          <w:divsChild>
                            <w:div w:id="188303816">
                              <w:marLeft w:val="0"/>
                              <w:marRight w:val="0"/>
                              <w:marTop w:val="0"/>
                              <w:marBottom w:val="0"/>
                              <w:divBdr>
                                <w:top w:val="none" w:sz="0" w:space="0" w:color="auto"/>
                                <w:left w:val="none" w:sz="0" w:space="0" w:color="auto"/>
                                <w:bottom w:val="none" w:sz="0" w:space="0" w:color="auto"/>
                                <w:right w:val="none" w:sz="0" w:space="0" w:color="auto"/>
                              </w:divBdr>
                              <w:divsChild>
                                <w:div w:id="1687780174">
                                  <w:marLeft w:val="0"/>
                                  <w:marRight w:val="0"/>
                                  <w:marTop w:val="0"/>
                                  <w:marBottom w:val="0"/>
                                  <w:divBdr>
                                    <w:top w:val="none" w:sz="0" w:space="0" w:color="auto"/>
                                    <w:left w:val="none" w:sz="0" w:space="0" w:color="auto"/>
                                    <w:bottom w:val="none" w:sz="0" w:space="0" w:color="auto"/>
                                    <w:right w:val="none" w:sz="0" w:space="0" w:color="auto"/>
                                  </w:divBdr>
                                  <w:divsChild>
                                    <w:div w:id="1884756296">
                                      <w:marLeft w:val="0"/>
                                      <w:marRight w:val="0"/>
                                      <w:marTop w:val="0"/>
                                      <w:marBottom w:val="0"/>
                                      <w:divBdr>
                                        <w:top w:val="none" w:sz="0" w:space="0" w:color="auto"/>
                                        <w:left w:val="none" w:sz="0" w:space="0" w:color="auto"/>
                                        <w:bottom w:val="none" w:sz="0" w:space="0" w:color="auto"/>
                                        <w:right w:val="none" w:sz="0" w:space="0" w:color="auto"/>
                                      </w:divBdr>
                                      <w:divsChild>
                                        <w:div w:id="1715695183">
                                          <w:marLeft w:val="0"/>
                                          <w:marRight w:val="0"/>
                                          <w:marTop w:val="0"/>
                                          <w:marBottom w:val="0"/>
                                          <w:divBdr>
                                            <w:top w:val="none" w:sz="0" w:space="0" w:color="auto"/>
                                            <w:left w:val="none" w:sz="0" w:space="0" w:color="auto"/>
                                            <w:bottom w:val="none" w:sz="0" w:space="0" w:color="auto"/>
                                            <w:right w:val="none" w:sz="0" w:space="0" w:color="auto"/>
                                          </w:divBdr>
                                          <w:divsChild>
                                            <w:div w:id="918248394">
                                              <w:marLeft w:val="0"/>
                                              <w:marRight w:val="0"/>
                                              <w:marTop w:val="0"/>
                                              <w:marBottom w:val="495"/>
                                              <w:divBdr>
                                                <w:top w:val="none" w:sz="0" w:space="0" w:color="auto"/>
                                                <w:left w:val="none" w:sz="0" w:space="0" w:color="auto"/>
                                                <w:bottom w:val="none" w:sz="0" w:space="0" w:color="auto"/>
                                                <w:right w:val="none" w:sz="0" w:space="0" w:color="auto"/>
                                              </w:divBdr>
                                              <w:divsChild>
                                                <w:div w:id="16077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24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zva.gov.lv/../?id=613&amp;sa=613&amp;top=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cedure_number xmlns="82db5bd2-3f09-4eff-b4f8-de6a53cd5a02" xsi:nil="true"/>
    <IconOverlay xmlns="http://schemas.microsoft.com/sharepoint/v4" xsi:nil="true"/>
    <Trade_x0020_name xmlns="82db5bd2-3f09-4eff-b4f8-de6a53cd5a02">Polmatine</Trade_x0020_nam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6161AA78E4354FBC4919F68D2AA10E" ma:contentTypeVersion="28" ma:contentTypeDescription="Create a new document." ma:contentTypeScope="" ma:versionID="f07d9413f6c2f1fd6f62c9c779925026">
  <xsd:schema xmlns:xsd="http://www.w3.org/2001/XMLSchema" xmlns:xs="http://www.w3.org/2001/XMLSchema" xmlns:p="http://schemas.microsoft.com/office/2006/metadata/properties" xmlns:ns2="http://schemas.microsoft.com/sharepoint/v4" xmlns:ns3="82db5bd2-3f09-4eff-b4f8-de6a53cd5a02" targetNamespace="http://schemas.microsoft.com/office/2006/metadata/properties" ma:root="true" ma:fieldsID="21c383961ba268f75156adb0319cd7aa" ns2:_="" ns3:_="">
    <xsd:import namespace="http://schemas.microsoft.com/sharepoint/v4"/>
    <xsd:import namespace="82db5bd2-3f09-4eff-b4f8-de6a53cd5a02"/>
    <xsd:element name="properties">
      <xsd:complexType>
        <xsd:sequence>
          <xsd:element name="documentManagement">
            <xsd:complexType>
              <xsd:all>
                <xsd:element ref="ns2:IconOverlay" minOccurs="0"/>
                <xsd:element ref="ns3:Procedure_number" minOccurs="0"/>
                <xsd:element ref="ns3:Trade_x0020_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b5bd2-3f09-4eff-b4f8-de6a53cd5a02" elementFormDefault="qualified">
    <xsd:import namespace="http://schemas.microsoft.com/office/2006/documentManagement/types"/>
    <xsd:import namespace="http://schemas.microsoft.com/office/infopath/2007/PartnerControls"/>
    <xsd:element name="Procedure_number" ma:index="9" nillable="true" ma:displayName="Procedure number" ma:internalName="Procedure_number">
      <xsd:simpleType>
        <xsd:restriction base="dms:Text">
          <xsd:maxLength value="255"/>
        </xsd:restriction>
      </xsd:simpleType>
    </xsd:element>
    <xsd:element name="Trade_x0020_name" ma:index="10" nillable="true" ma:displayName="Trade name" ma:internalName="Trade_x0020_name" ma:readOnly="false">
      <xsd:simpleType>
        <xsd:restriction base="dms:Text">
          <xsd:maxLength value="25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B0C90D-0ECC-42DD-A4E9-656911229C90}">
  <ds:schemaRefs>
    <ds:schemaRef ds:uri="http://schemas.microsoft.com/sharepoint/v3/contenttype/forms"/>
  </ds:schemaRefs>
</ds:datastoreItem>
</file>

<file path=customXml/itemProps2.xml><?xml version="1.0" encoding="utf-8"?>
<ds:datastoreItem xmlns:ds="http://schemas.openxmlformats.org/officeDocument/2006/customXml" ds:itemID="{ACE2A842-4C5D-4610-AEC3-A94C9CE86F05}">
  <ds:schemaRefs>
    <ds:schemaRef ds:uri="http://schemas.microsoft.com/office/2006/metadata/properties"/>
    <ds:schemaRef ds:uri="http://schemas.microsoft.com/office/infopath/2007/PartnerControls"/>
    <ds:schemaRef ds:uri="82db5bd2-3f09-4eff-b4f8-de6a53cd5a02"/>
    <ds:schemaRef ds:uri="http://schemas.microsoft.com/sharepoint/v4"/>
  </ds:schemaRefs>
</ds:datastoreItem>
</file>

<file path=customXml/itemProps3.xml><?xml version="1.0" encoding="utf-8"?>
<ds:datastoreItem xmlns:ds="http://schemas.openxmlformats.org/officeDocument/2006/customXml" ds:itemID="{0EDF9CFC-2AA4-44ED-88CF-38A8E7294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82db5bd2-3f09-4eff-b4f8-de6a53cd5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13418</Words>
  <Characters>7649</Characters>
  <Application>Microsoft Office Word</Application>
  <DocSecurity>0</DocSecurity>
  <Lines>63</Lines>
  <Paragraphs>42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21025</CharactersWithSpaces>
  <SharedDoc>false</SharedDoc>
  <HLinks>
    <vt:vector size="6" baseType="variant">
      <vt:variant>
        <vt:i4>7471210</vt:i4>
      </vt:variant>
      <vt:variant>
        <vt:i4>0</vt:i4>
      </vt:variant>
      <vt:variant>
        <vt:i4>0</vt:i4>
      </vt:variant>
      <vt:variant>
        <vt:i4>5</vt:i4>
      </vt:variant>
      <vt:variant>
        <vt:lpwstr>http://www.zva.gov.lv/?id=613&amp;sa=613&amp;top=3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Ania_w</dc:creator>
  <cp:keywords/>
  <cp:lastModifiedBy>Skaidrīte Lapsenīte</cp:lastModifiedBy>
  <cp:revision>6</cp:revision>
  <dcterms:created xsi:type="dcterms:W3CDTF">2021-01-10T21:47:00Z</dcterms:created>
  <dcterms:modified xsi:type="dcterms:W3CDTF">2021-03-26T12:08:00Z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0x010100A46161AA78E4354FBC4919F68D2AA10E</vt:lpwstr>
  </property>
</Properties>
</file>