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9A03" w14:textId="77777777" w:rsidR="0012694E" w:rsidRPr="00B2709F" w:rsidRDefault="0012694E" w:rsidP="00FD0398">
      <w:pPr>
        <w:spacing w:line="240" w:lineRule="auto"/>
        <w:jc w:val="center"/>
        <w:rPr>
          <w:szCs w:val="22"/>
        </w:rPr>
      </w:pPr>
      <w:r w:rsidRPr="00B2709F">
        <w:rPr>
          <w:b/>
          <w:szCs w:val="22"/>
        </w:rPr>
        <w:t>ZĀĻU APRAKSTS</w:t>
      </w:r>
    </w:p>
    <w:p w14:paraId="48FA2215" w14:textId="77777777" w:rsidR="0012694E" w:rsidRPr="00B2709F" w:rsidRDefault="0012694E" w:rsidP="00FD0398">
      <w:pPr>
        <w:spacing w:line="240" w:lineRule="auto"/>
        <w:rPr>
          <w:b/>
          <w:szCs w:val="22"/>
        </w:rPr>
      </w:pPr>
    </w:p>
    <w:p w14:paraId="3EFA53EC" w14:textId="77777777" w:rsidR="0012694E" w:rsidRPr="00B2709F" w:rsidRDefault="0012694E" w:rsidP="00FD0398">
      <w:pPr>
        <w:spacing w:line="240" w:lineRule="auto"/>
        <w:rPr>
          <w:b/>
          <w:szCs w:val="22"/>
        </w:rPr>
      </w:pPr>
      <w:r w:rsidRPr="00B2709F">
        <w:rPr>
          <w:b/>
          <w:szCs w:val="22"/>
        </w:rPr>
        <w:t>1.</w:t>
      </w:r>
      <w:r w:rsidRPr="00B2709F">
        <w:rPr>
          <w:b/>
          <w:szCs w:val="22"/>
        </w:rPr>
        <w:tab/>
        <w:t>ZĀĻU NOSAUKUMS</w:t>
      </w:r>
    </w:p>
    <w:p w14:paraId="24726BD6" w14:textId="77777777" w:rsidR="0012694E" w:rsidRPr="00B2709F" w:rsidRDefault="0012694E" w:rsidP="00FD0398">
      <w:pPr>
        <w:spacing w:line="240" w:lineRule="auto"/>
        <w:rPr>
          <w:szCs w:val="22"/>
        </w:rPr>
      </w:pPr>
    </w:p>
    <w:p w14:paraId="549FC82F" w14:textId="77777777" w:rsidR="0012694E" w:rsidRPr="00B2709F" w:rsidRDefault="00646F12" w:rsidP="00FD0398">
      <w:pPr>
        <w:spacing w:line="240" w:lineRule="auto"/>
        <w:rPr>
          <w:bCs/>
          <w:iCs/>
          <w:noProof/>
          <w:szCs w:val="22"/>
        </w:rPr>
      </w:pPr>
      <w:r w:rsidRPr="00B2709F">
        <w:rPr>
          <w:bCs/>
          <w:iCs/>
          <w:noProof/>
          <w:szCs w:val="22"/>
        </w:rPr>
        <w:t>Flavamed</w:t>
      </w:r>
      <w:r w:rsidR="00796A4A" w:rsidRPr="00B2709F">
        <w:rPr>
          <w:bCs/>
          <w:iCs/>
          <w:noProof/>
          <w:szCs w:val="22"/>
        </w:rPr>
        <w:t xml:space="preserve"> 30 mg/5 ml šķīdums iekšķīgai lietošanai</w:t>
      </w:r>
    </w:p>
    <w:p w14:paraId="10CF8BF1" w14:textId="77777777" w:rsidR="00796A4A" w:rsidRPr="00B2709F" w:rsidRDefault="00796A4A" w:rsidP="00FD0398">
      <w:pPr>
        <w:spacing w:line="240" w:lineRule="auto"/>
        <w:rPr>
          <w:szCs w:val="22"/>
        </w:rPr>
      </w:pPr>
    </w:p>
    <w:p w14:paraId="0538605D" w14:textId="77777777" w:rsidR="00796A4A" w:rsidRPr="00B2709F" w:rsidRDefault="00796A4A" w:rsidP="00FD0398">
      <w:pPr>
        <w:spacing w:line="240" w:lineRule="auto"/>
        <w:rPr>
          <w:szCs w:val="22"/>
        </w:rPr>
      </w:pPr>
    </w:p>
    <w:p w14:paraId="5ED59205" w14:textId="77777777" w:rsidR="0012694E" w:rsidRPr="00B2709F" w:rsidRDefault="0012694E" w:rsidP="00FD0398">
      <w:pPr>
        <w:spacing w:line="240" w:lineRule="auto"/>
        <w:rPr>
          <w:b/>
          <w:szCs w:val="22"/>
        </w:rPr>
      </w:pPr>
      <w:r w:rsidRPr="00B2709F">
        <w:rPr>
          <w:b/>
          <w:szCs w:val="22"/>
        </w:rPr>
        <w:t>2.</w:t>
      </w:r>
      <w:r w:rsidRPr="00B2709F">
        <w:rPr>
          <w:b/>
          <w:szCs w:val="22"/>
        </w:rPr>
        <w:tab/>
        <w:t>KVALITATĪVAIS UN KVANTITATĪVAIS SASTĀVS</w:t>
      </w:r>
    </w:p>
    <w:p w14:paraId="424FB989" w14:textId="77777777" w:rsidR="0012694E" w:rsidRPr="00B2709F" w:rsidRDefault="0012694E" w:rsidP="00FD0398">
      <w:pPr>
        <w:spacing w:line="240" w:lineRule="auto"/>
        <w:rPr>
          <w:szCs w:val="22"/>
        </w:rPr>
      </w:pPr>
    </w:p>
    <w:p w14:paraId="078D8FF2" w14:textId="361E9907" w:rsidR="00CA3500" w:rsidRPr="00B2709F" w:rsidRDefault="00CA3500" w:rsidP="00FD0398">
      <w:pPr>
        <w:spacing w:line="240" w:lineRule="auto"/>
        <w:rPr>
          <w:noProof/>
          <w:szCs w:val="22"/>
        </w:rPr>
      </w:pPr>
      <w:r w:rsidRPr="00B2709F">
        <w:rPr>
          <w:noProof/>
          <w:szCs w:val="22"/>
        </w:rPr>
        <w:t>1 mililitrā šķīduma iekšķīgai lietošanai ir 6</w:t>
      </w:r>
      <w:r w:rsidR="00C304B2" w:rsidRPr="00B2709F">
        <w:rPr>
          <w:noProof/>
          <w:szCs w:val="22"/>
        </w:rPr>
        <w:t> </w:t>
      </w:r>
      <w:r w:rsidRPr="00B2709F">
        <w:rPr>
          <w:noProof/>
          <w:szCs w:val="22"/>
        </w:rPr>
        <w:t>mg ambroksola hidrohlorīda (</w:t>
      </w:r>
      <w:r w:rsidR="00FF7A43">
        <w:rPr>
          <w:i/>
          <w:iCs/>
          <w:noProof/>
          <w:szCs w:val="22"/>
        </w:rPr>
        <w:t>a</w:t>
      </w:r>
      <w:r w:rsidRPr="00B2709F">
        <w:rPr>
          <w:i/>
          <w:iCs/>
          <w:noProof/>
          <w:szCs w:val="22"/>
        </w:rPr>
        <w:t>mbroxoli hydrochloridum</w:t>
      </w:r>
      <w:r w:rsidRPr="00B2709F">
        <w:rPr>
          <w:noProof/>
          <w:szCs w:val="22"/>
        </w:rPr>
        <w:t>).</w:t>
      </w:r>
    </w:p>
    <w:p w14:paraId="5CD7DBDA" w14:textId="77777777" w:rsidR="00CA3500" w:rsidRPr="00B2709F" w:rsidRDefault="00CA3500" w:rsidP="00FD0398">
      <w:pPr>
        <w:spacing w:line="240" w:lineRule="auto"/>
        <w:rPr>
          <w:noProof/>
          <w:szCs w:val="22"/>
        </w:rPr>
      </w:pPr>
    </w:p>
    <w:p w14:paraId="601A2916" w14:textId="77777777" w:rsidR="00CA3500" w:rsidRPr="00B2709F" w:rsidRDefault="00CA3500" w:rsidP="00FD0398">
      <w:pPr>
        <w:spacing w:line="240" w:lineRule="auto"/>
        <w:rPr>
          <w:noProof/>
          <w:szCs w:val="22"/>
        </w:rPr>
      </w:pPr>
      <w:r w:rsidRPr="00B2709F">
        <w:rPr>
          <w:noProof/>
          <w:szCs w:val="22"/>
        </w:rPr>
        <w:t>Katrā mērkarotē ar 5</w:t>
      </w:r>
      <w:r w:rsidR="00C304B2" w:rsidRPr="00B2709F">
        <w:rPr>
          <w:noProof/>
          <w:szCs w:val="22"/>
        </w:rPr>
        <w:t> </w:t>
      </w:r>
      <w:r w:rsidRPr="00B2709F">
        <w:rPr>
          <w:noProof/>
          <w:szCs w:val="22"/>
        </w:rPr>
        <w:t>ml šķīduma iekšķīgai lietošanai ir 30</w:t>
      </w:r>
      <w:r w:rsidR="00C304B2" w:rsidRPr="00B2709F">
        <w:rPr>
          <w:noProof/>
          <w:szCs w:val="22"/>
        </w:rPr>
        <w:t> </w:t>
      </w:r>
      <w:r w:rsidRPr="00B2709F">
        <w:rPr>
          <w:noProof/>
          <w:szCs w:val="22"/>
        </w:rPr>
        <w:t>mg ambroksola hidrohlorīda.</w:t>
      </w:r>
    </w:p>
    <w:p w14:paraId="66A72A99" w14:textId="77777777" w:rsidR="00CA3500" w:rsidRPr="00B2709F" w:rsidRDefault="00CA3500" w:rsidP="00FD0398">
      <w:pPr>
        <w:spacing w:line="240" w:lineRule="auto"/>
        <w:rPr>
          <w:szCs w:val="22"/>
        </w:rPr>
      </w:pPr>
    </w:p>
    <w:p w14:paraId="361A2838" w14:textId="77777777" w:rsidR="00556F4F" w:rsidRPr="00B2709F" w:rsidRDefault="0012694E" w:rsidP="00FD0398">
      <w:pPr>
        <w:spacing w:line="240" w:lineRule="auto"/>
        <w:rPr>
          <w:szCs w:val="22"/>
        </w:rPr>
      </w:pPr>
      <w:r w:rsidRPr="00B6166F">
        <w:rPr>
          <w:szCs w:val="22"/>
          <w:u w:val="single"/>
        </w:rPr>
        <w:t>Palīgviela</w:t>
      </w:r>
      <w:r w:rsidR="00556F4F" w:rsidRPr="00B6166F">
        <w:rPr>
          <w:szCs w:val="22"/>
          <w:u w:val="single"/>
        </w:rPr>
        <w:t>(-s)</w:t>
      </w:r>
      <w:r w:rsidRPr="00B6166F">
        <w:rPr>
          <w:szCs w:val="22"/>
          <w:u w:val="single"/>
        </w:rPr>
        <w:t xml:space="preserve"> ar zināmu iedarbību</w:t>
      </w:r>
    </w:p>
    <w:p w14:paraId="2485B0C1" w14:textId="6B4777C7" w:rsidR="00CA3500" w:rsidRPr="00B2709F" w:rsidRDefault="00124749" w:rsidP="00FD0398">
      <w:pPr>
        <w:spacing w:line="240" w:lineRule="auto"/>
        <w:rPr>
          <w:noProof/>
          <w:szCs w:val="22"/>
        </w:rPr>
      </w:pPr>
      <w:r w:rsidRPr="00B2709F">
        <w:rPr>
          <w:noProof/>
          <w:szCs w:val="22"/>
        </w:rPr>
        <w:t xml:space="preserve">Katrā mērkarotē ar 5 ml šķīduma iekšķīgai lietošanai ir </w:t>
      </w:r>
      <w:r w:rsidR="00CA3500" w:rsidRPr="00B2709F">
        <w:rPr>
          <w:noProof/>
          <w:szCs w:val="22"/>
        </w:rPr>
        <w:t>1,75</w:t>
      </w:r>
      <w:r w:rsidR="00C304B2" w:rsidRPr="00B2709F">
        <w:rPr>
          <w:noProof/>
          <w:szCs w:val="22"/>
        </w:rPr>
        <w:t> </w:t>
      </w:r>
      <w:r w:rsidR="00CA3500" w:rsidRPr="00B2709F">
        <w:rPr>
          <w:noProof/>
          <w:szCs w:val="22"/>
        </w:rPr>
        <w:t xml:space="preserve">g </w:t>
      </w:r>
      <w:r>
        <w:rPr>
          <w:noProof/>
          <w:szCs w:val="22"/>
        </w:rPr>
        <w:t>sorbīta un 5,75 mg benzoskābes</w:t>
      </w:r>
      <w:r w:rsidR="00CA3500" w:rsidRPr="00B2709F">
        <w:rPr>
          <w:noProof/>
          <w:szCs w:val="22"/>
        </w:rPr>
        <w:t>.</w:t>
      </w:r>
    </w:p>
    <w:p w14:paraId="37DAAFBC" w14:textId="77777777" w:rsidR="00CA3500" w:rsidRPr="00B2709F" w:rsidRDefault="00CA3500" w:rsidP="00FD0398">
      <w:pPr>
        <w:spacing w:line="240" w:lineRule="auto"/>
        <w:rPr>
          <w:szCs w:val="22"/>
        </w:rPr>
      </w:pPr>
    </w:p>
    <w:p w14:paraId="5B948E0C" w14:textId="77777777" w:rsidR="0012694E" w:rsidRPr="00B2709F" w:rsidRDefault="0012694E" w:rsidP="00FD0398">
      <w:pPr>
        <w:spacing w:line="240" w:lineRule="auto"/>
        <w:rPr>
          <w:szCs w:val="22"/>
        </w:rPr>
      </w:pPr>
      <w:r w:rsidRPr="00B2709F">
        <w:rPr>
          <w:szCs w:val="22"/>
        </w:rPr>
        <w:t>Pilnu palīgvielu sarakstu skatīt 6.1</w:t>
      </w:r>
      <w:r w:rsidR="00CA3500" w:rsidRPr="00B2709F">
        <w:rPr>
          <w:szCs w:val="22"/>
        </w:rPr>
        <w:t>.</w:t>
      </w:r>
      <w:r w:rsidRPr="00B2709F">
        <w:rPr>
          <w:szCs w:val="22"/>
        </w:rPr>
        <w:t xml:space="preserve"> apakšpunktā.</w:t>
      </w:r>
    </w:p>
    <w:p w14:paraId="6D1A3886" w14:textId="77777777" w:rsidR="0012694E" w:rsidRPr="00B2709F" w:rsidRDefault="0012694E" w:rsidP="00FD0398">
      <w:pPr>
        <w:spacing w:line="240" w:lineRule="auto"/>
        <w:rPr>
          <w:szCs w:val="22"/>
        </w:rPr>
      </w:pPr>
    </w:p>
    <w:p w14:paraId="21F7688A" w14:textId="77777777" w:rsidR="0012694E" w:rsidRPr="00B2709F" w:rsidRDefault="0012694E" w:rsidP="00FD0398">
      <w:pPr>
        <w:spacing w:line="240" w:lineRule="auto"/>
        <w:rPr>
          <w:szCs w:val="22"/>
        </w:rPr>
      </w:pPr>
    </w:p>
    <w:p w14:paraId="2B72335A" w14:textId="77777777" w:rsidR="0012694E" w:rsidRPr="00B2709F" w:rsidRDefault="0012694E" w:rsidP="00FD0398">
      <w:pPr>
        <w:spacing w:line="240" w:lineRule="auto"/>
        <w:rPr>
          <w:b/>
          <w:caps/>
          <w:szCs w:val="22"/>
        </w:rPr>
      </w:pPr>
      <w:r w:rsidRPr="00B2709F">
        <w:rPr>
          <w:b/>
          <w:szCs w:val="22"/>
        </w:rPr>
        <w:t>3.</w:t>
      </w:r>
      <w:r w:rsidRPr="00B2709F">
        <w:rPr>
          <w:b/>
          <w:szCs w:val="22"/>
        </w:rPr>
        <w:tab/>
        <w:t>ZĀĻU FORMA</w:t>
      </w:r>
    </w:p>
    <w:p w14:paraId="5728C688" w14:textId="77777777" w:rsidR="0012694E" w:rsidRPr="00B2709F" w:rsidRDefault="0012694E" w:rsidP="00FD0398">
      <w:pPr>
        <w:spacing w:line="240" w:lineRule="auto"/>
        <w:rPr>
          <w:szCs w:val="22"/>
        </w:rPr>
      </w:pPr>
    </w:p>
    <w:p w14:paraId="52552A25" w14:textId="77777777" w:rsidR="00914CE2" w:rsidRPr="00B2709F" w:rsidRDefault="00914CE2" w:rsidP="00FD0398">
      <w:pPr>
        <w:tabs>
          <w:tab w:val="left" w:pos="0"/>
        </w:tabs>
        <w:spacing w:line="240" w:lineRule="auto"/>
        <w:rPr>
          <w:noProof/>
          <w:szCs w:val="22"/>
        </w:rPr>
      </w:pPr>
      <w:r w:rsidRPr="00B2709F">
        <w:rPr>
          <w:noProof/>
          <w:szCs w:val="22"/>
        </w:rPr>
        <w:t>Šķīdums iekšķīgai lietošanai</w:t>
      </w:r>
    </w:p>
    <w:p w14:paraId="283EA602" w14:textId="77777777" w:rsidR="00914CE2" w:rsidRPr="00B2709F" w:rsidRDefault="00914CE2" w:rsidP="00FD0398">
      <w:pPr>
        <w:tabs>
          <w:tab w:val="left" w:pos="0"/>
        </w:tabs>
        <w:spacing w:line="240" w:lineRule="auto"/>
        <w:rPr>
          <w:noProof/>
          <w:szCs w:val="22"/>
        </w:rPr>
      </w:pPr>
    </w:p>
    <w:p w14:paraId="06736908" w14:textId="77777777" w:rsidR="00914CE2" w:rsidRPr="00B2709F" w:rsidRDefault="00914CE2" w:rsidP="00FD0398">
      <w:pPr>
        <w:tabs>
          <w:tab w:val="left" w:pos="0"/>
        </w:tabs>
        <w:spacing w:line="240" w:lineRule="auto"/>
        <w:rPr>
          <w:noProof/>
          <w:szCs w:val="22"/>
        </w:rPr>
      </w:pPr>
      <w:r w:rsidRPr="00B2709F">
        <w:rPr>
          <w:noProof/>
          <w:szCs w:val="22"/>
        </w:rPr>
        <w:t>Dzidrs, gaiši dzeltens vai bezkrāsains šķīdums.</w:t>
      </w:r>
    </w:p>
    <w:p w14:paraId="14910444" w14:textId="77777777" w:rsidR="0012694E" w:rsidRPr="00B2709F" w:rsidRDefault="0012694E" w:rsidP="00FD0398">
      <w:pPr>
        <w:spacing w:line="240" w:lineRule="auto"/>
        <w:rPr>
          <w:szCs w:val="22"/>
        </w:rPr>
      </w:pPr>
    </w:p>
    <w:p w14:paraId="1A5D6C90" w14:textId="77777777" w:rsidR="0012694E" w:rsidRPr="00B2709F" w:rsidRDefault="0012694E" w:rsidP="00FD0398">
      <w:pPr>
        <w:spacing w:line="240" w:lineRule="auto"/>
        <w:rPr>
          <w:szCs w:val="22"/>
        </w:rPr>
      </w:pPr>
    </w:p>
    <w:p w14:paraId="0D1A8B36" w14:textId="77777777" w:rsidR="0012694E" w:rsidRPr="00B2709F" w:rsidRDefault="0012694E" w:rsidP="00FD0398">
      <w:pPr>
        <w:spacing w:line="240" w:lineRule="auto"/>
        <w:rPr>
          <w:b/>
          <w:szCs w:val="22"/>
        </w:rPr>
      </w:pPr>
      <w:r w:rsidRPr="00B2709F">
        <w:rPr>
          <w:b/>
          <w:caps/>
          <w:szCs w:val="22"/>
        </w:rPr>
        <w:t>4.</w:t>
      </w:r>
      <w:r w:rsidRPr="00B2709F">
        <w:rPr>
          <w:b/>
          <w:caps/>
          <w:szCs w:val="22"/>
        </w:rPr>
        <w:tab/>
        <w:t xml:space="preserve">KLĪNISKĀ INFORMĀCIJA </w:t>
      </w:r>
    </w:p>
    <w:p w14:paraId="4E5B4140" w14:textId="77777777" w:rsidR="0012694E" w:rsidRPr="00B2709F" w:rsidRDefault="0012694E" w:rsidP="00FD0398">
      <w:pPr>
        <w:spacing w:line="240" w:lineRule="auto"/>
        <w:rPr>
          <w:szCs w:val="22"/>
        </w:rPr>
      </w:pPr>
    </w:p>
    <w:p w14:paraId="1DE31BA7" w14:textId="77777777" w:rsidR="0012694E" w:rsidRPr="00B2709F" w:rsidRDefault="0012694E" w:rsidP="00FD0398">
      <w:pPr>
        <w:spacing w:line="240" w:lineRule="auto"/>
        <w:rPr>
          <w:szCs w:val="22"/>
        </w:rPr>
      </w:pPr>
      <w:r w:rsidRPr="00B2709F">
        <w:rPr>
          <w:b/>
          <w:szCs w:val="22"/>
        </w:rPr>
        <w:t>4.1</w:t>
      </w:r>
      <w:r w:rsidR="0038607D" w:rsidRPr="00B2709F">
        <w:rPr>
          <w:b/>
          <w:szCs w:val="22"/>
        </w:rPr>
        <w:t>.</w:t>
      </w:r>
      <w:r w:rsidRPr="00B2709F">
        <w:rPr>
          <w:b/>
          <w:szCs w:val="22"/>
        </w:rPr>
        <w:tab/>
        <w:t>Terapeitiskās indikācijas</w:t>
      </w:r>
    </w:p>
    <w:p w14:paraId="2CA8A29F" w14:textId="77777777" w:rsidR="0012694E" w:rsidRPr="00B2709F" w:rsidRDefault="0012694E" w:rsidP="00FD0398">
      <w:pPr>
        <w:spacing w:line="240" w:lineRule="auto"/>
        <w:rPr>
          <w:szCs w:val="22"/>
        </w:rPr>
      </w:pPr>
    </w:p>
    <w:p w14:paraId="5C737624" w14:textId="77777777" w:rsidR="00BA7E85" w:rsidRPr="00B2709F" w:rsidRDefault="00BA7E85" w:rsidP="00FD0398">
      <w:pPr>
        <w:spacing w:line="240" w:lineRule="auto"/>
        <w:rPr>
          <w:noProof/>
          <w:szCs w:val="22"/>
        </w:rPr>
      </w:pPr>
      <w:r w:rsidRPr="00B2709F">
        <w:rPr>
          <w:noProof/>
          <w:szCs w:val="22"/>
        </w:rPr>
        <w:t>Produktīva klepus m</w:t>
      </w:r>
      <w:r w:rsidRPr="00B2709F">
        <w:rPr>
          <w:szCs w:val="22"/>
        </w:rPr>
        <w:t>ukolītiska terapija akūtu un hronisku bronhopulmonālu slimību gadījumā.</w:t>
      </w:r>
    </w:p>
    <w:p w14:paraId="54882EC0" w14:textId="77777777" w:rsidR="00556F4F" w:rsidRPr="00B2709F" w:rsidRDefault="00556F4F" w:rsidP="00556F4F">
      <w:pPr>
        <w:spacing w:line="240" w:lineRule="auto"/>
        <w:rPr>
          <w:bCs/>
          <w:iCs/>
          <w:szCs w:val="22"/>
        </w:rPr>
      </w:pPr>
    </w:p>
    <w:p w14:paraId="07765644" w14:textId="77777777" w:rsidR="00556F4F" w:rsidRPr="00B2709F" w:rsidRDefault="00556F4F" w:rsidP="00556F4F">
      <w:pPr>
        <w:spacing w:line="240" w:lineRule="auto"/>
        <w:rPr>
          <w:szCs w:val="22"/>
        </w:rPr>
      </w:pPr>
      <w:r w:rsidRPr="00B2709F">
        <w:rPr>
          <w:bCs/>
          <w:iCs/>
          <w:szCs w:val="22"/>
        </w:rPr>
        <w:t>Flavamed šķīdums ir indicēts bērniem no divu gadu vecuma, pusaudžiem un pieaugušajiem.</w:t>
      </w:r>
    </w:p>
    <w:p w14:paraId="61D8325D" w14:textId="77777777" w:rsidR="0012694E" w:rsidRPr="00B2709F" w:rsidRDefault="0012694E" w:rsidP="00FD0398">
      <w:pPr>
        <w:spacing w:line="240" w:lineRule="auto"/>
        <w:rPr>
          <w:szCs w:val="22"/>
        </w:rPr>
      </w:pPr>
    </w:p>
    <w:p w14:paraId="3E10F473" w14:textId="77777777" w:rsidR="0012694E" w:rsidRPr="00B2709F" w:rsidRDefault="0012694E" w:rsidP="00FD0398">
      <w:pPr>
        <w:spacing w:line="240" w:lineRule="auto"/>
        <w:rPr>
          <w:b/>
          <w:szCs w:val="22"/>
        </w:rPr>
      </w:pPr>
      <w:r w:rsidRPr="00B2709F">
        <w:rPr>
          <w:b/>
          <w:szCs w:val="22"/>
        </w:rPr>
        <w:t>4.2</w:t>
      </w:r>
      <w:r w:rsidR="0038607D" w:rsidRPr="00B2709F">
        <w:rPr>
          <w:b/>
          <w:szCs w:val="22"/>
        </w:rPr>
        <w:t>.</w:t>
      </w:r>
      <w:r w:rsidRPr="00B2709F">
        <w:rPr>
          <w:b/>
          <w:szCs w:val="22"/>
        </w:rPr>
        <w:tab/>
        <w:t>Devas un lietošanas veids</w:t>
      </w:r>
    </w:p>
    <w:p w14:paraId="2B7EB160" w14:textId="77777777" w:rsidR="0012694E" w:rsidRPr="00B2709F" w:rsidRDefault="0012694E" w:rsidP="00FD0398">
      <w:pPr>
        <w:spacing w:line="240" w:lineRule="auto"/>
        <w:rPr>
          <w:szCs w:val="22"/>
        </w:rPr>
      </w:pPr>
    </w:p>
    <w:p w14:paraId="3667824C" w14:textId="77777777" w:rsidR="005A7E86" w:rsidRPr="00B2709F" w:rsidRDefault="005A7E86" w:rsidP="005A7E86">
      <w:pPr>
        <w:spacing w:line="240" w:lineRule="auto"/>
        <w:rPr>
          <w:bCs/>
          <w:iCs/>
          <w:szCs w:val="22"/>
          <w:u w:val="single"/>
        </w:rPr>
      </w:pPr>
      <w:r w:rsidRPr="00B2709F">
        <w:rPr>
          <w:bCs/>
          <w:iCs/>
          <w:szCs w:val="22"/>
          <w:u w:val="single"/>
        </w:rPr>
        <w:t>Devas</w:t>
      </w:r>
    </w:p>
    <w:p w14:paraId="3BFE6FF5" w14:textId="77777777" w:rsidR="005A7E86" w:rsidRPr="00B2709F" w:rsidRDefault="005A7E86" w:rsidP="005A7E86">
      <w:pPr>
        <w:spacing w:line="240" w:lineRule="auto"/>
        <w:rPr>
          <w:bCs/>
          <w:iCs/>
          <w:szCs w:val="22"/>
        </w:rPr>
      </w:pPr>
    </w:p>
    <w:p w14:paraId="2B19D562" w14:textId="77777777" w:rsidR="0012694E" w:rsidRPr="00B2709F" w:rsidRDefault="00646F12" w:rsidP="00FD0398">
      <w:pPr>
        <w:spacing w:line="240" w:lineRule="auto"/>
        <w:rPr>
          <w:noProof/>
          <w:szCs w:val="22"/>
        </w:rPr>
      </w:pPr>
      <w:r w:rsidRPr="00B2709F">
        <w:rPr>
          <w:noProof/>
          <w:szCs w:val="22"/>
        </w:rPr>
        <w:t>Flavamed</w:t>
      </w:r>
      <w:r w:rsidR="0034285D" w:rsidRPr="00B2709F">
        <w:rPr>
          <w:noProof/>
          <w:szCs w:val="22"/>
        </w:rPr>
        <w:t xml:space="preserve"> šķīduma ieteicamās devas</w:t>
      </w:r>
      <w:r w:rsidR="005B0925" w:rsidRPr="00B2709F">
        <w:rPr>
          <w:noProof/>
          <w:szCs w:val="22"/>
        </w:rPr>
        <w:t xml:space="preserve"> ir norādītas tālāk, ja nav parakstīts lietot citādi.</w:t>
      </w:r>
    </w:p>
    <w:p w14:paraId="191BE01A" w14:textId="77777777" w:rsidR="0034285D" w:rsidRPr="00B2709F" w:rsidRDefault="0034285D" w:rsidP="00FD0398">
      <w:pPr>
        <w:spacing w:line="240" w:lineRule="auto"/>
        <w:rPr>
          <w:szCs w:val="22"/>
          <w:u w:val="single"/>
        </w:rPr>
      </w:pPr>
    </w:p>
    <w:p w14:paraId="5D711491" w14:textId="77777777" w:rsidR="0034285D" w:rsidRPr="00B6166F" w:rsidRDefault="0034285D" w:rsidP="00FD0398">
      <w:pPr>
        <w:spacing w:line="240" w:lineRule="auto"/>
        <w:rPr>
          <w:i/>
          <w:szCs w:val="22"/>
        </w:rPr>
      </w:pPr>
      <w:r w:rsidRPr="00B6166F">
        <w:rPr>
          <w:i/>
          <w:szCs w:val="22"/>
        </w:rPr>
        <w:t>Bērniem no 2 līdz 5 gadu vecumam</w:t>
      </w:r>
    </w:p>
    <w:p w14:paraId="562EF7AF" w14:textId="12B18179" w:rsidR="0034285D" w:rsidRPr="00B2709F" w:rsidRDefault="0034285D" w:rsidP="00FD0398">
      <w:pPr>
        <w:spacing w:line="240" w:lineRule="auto"/>
        <w:rPr>
          <w:noProof/>
          <w:szCs w:val="22"/>
        </w:rPr>
      </w:pPr>
      <w:r w:rsidRPr="00B2709F">
        <w:rPr>
          <w:szCs w:val="22"/>
        </w:rPr>
        <w:t>Pa ¼ mērkarotes</w:t>
      </w:r>
      <w:r w:rsidR="002A284F">
        <w:rPr>
          <w:szCs w:val="22"/>
        </w:rPr>
        <w:t xml:space="preserve"> </w:t>
      </w:r>
      <w:r w:rsidR="007C7A3B">
        <w:rPr>
          <w:szCs w:val="22"/>
        </w:rPr>
        <w:t>(jeb</w:t>
      </w:r>
      <w:r w:rsidRPr="00B2709F">
        <w:rPr>
          <w:szCs w:val="22"/>
        </w:rPr>
        <w:t xml:space="preserve"> 1,25</w:t>
      </w:r>
      <w:r w:rsidR="00C304B2" w:rsidRPr="00B2709F">
        <w:rPr>
          <w:szCs w:val="22"/>
        </w:rPr>
        <w:t> </w:t>
      </w:r>
      <w:r w:rsidRPr="00B2709F">
        <w:rPr>
          <w:szCs w:val="22"/>
        </w:rPr>
        <w:t xml:space="preserve">ml </w:t>
      </w:r>
      <w:r w:rsidRPr="00B2709F">
        <w:rPr>
          <w:noProof/>
          <w:szCs w:val="22"/>
        </w:rPr>
        <w:t>šķīduma iekšķīgai lietošanai</w:t>
      </w:r>
      <w:r w:rsidR="0045656F">
        <w:rPr>
          <w:noProof/>
          <w:szCs w:val="22"/>
        </w:rPr>
        <w:t>)</w:t>
      </w:r>
      <w:r w:rsidRPr="00B2709F">
        <w:rPr>
          <w:noProof/>
          <w:szCs w:val="22"/>
        </w:rPr>
        <w:t xml:space="preserve"> </w:t>
      </w:r>
      <w:r w:rsidRPr="00B2709F">
        <w:rPr>
          <w:szCs w:val="22"/>
        </w:rPr>
        <w:t>3 reizes dienā (atbilst 22,5</w:t>
      </w:r>
      <w:r w:rsidR="00C304B2" w:rsidRPr="00B2709F">
        <w:rPr>
          <w:szCs w:val="22"/>
        </w:rPr>
        <w:t> </w:t>
      </w:r>
      <w:r w:rsidRPr="00B2709F">
        <w:rPr>
          <w:szCs w:val="22"/>
        </w:rPr>
        <w:t xml:space="preserve">mg </w:t>
      </w:r>
      <w:r w:rsidRPr="00B2709F">
        <w:rPr>
          <w:noProof/>
          <w:szCs w:val="22"/>
        </w:rPr>
        <w:t>ambroksola hidrohlorīda dienā).</w:t>
      </w:r>
    </w:p>
    <w:p w14:paraId="62E0DBD3" w14:textId="77777777" w:rsidR="005E56C1" w:rsidRPr="00B2709F" w:rsidRDefault="005E56C1" w:rsidP="00FD0398">
      <w:pPr>
        <w:spacing w:line="240" w:lineRule="auto"/>
        <w:rPr>
          <w:noProof/>
          <w:szCs w:val="22"/>
        </w:rPr>
      </w:pPr>
    </w:p>
    <w:p w14:paraId="675E1307" w14:textId="77777777" w:rsidR="005E56C1" w:rsidRPr="00B6166F" w:rsidRDefault="005E56C1" w:rsidP="00FD0398">
      <w:pPr>
        <w:spacing w:line="240" w:lineRule="auto"/>
        <w:rPr>
          <w:i/>
          <w:noProof/>
          <w:szCs w:val="22"/>
        </w:rPr>
      </w:pPr>
      <w:r w:rsidRPr="00B6166F">
        <w:rPr>
          <w:i/>
          <w:noProof/>
          <w:szCs w:val="22"/>
        </w:rPr>
        <w:t>Bērniem no 6 līdz 12 gadu vecumam</w:t>
      </w:r>
    </w:p>
    <w:p w14:paraId="1F0CEA88" w14:textId="3EC0CD12" w:rsidR="005E56C1" w:rsidRPr="00B2709F" w:rsidRDefault="005E56C1" w:rsidP="00FD0398">
      <w:pPr>
        <w:spacing w:line="240" w:lineRule="auto"/>
        <w:rPr>
          <w:noProof/>
          <w:szCs w:val="22"/>
        </w:rPr>
      </w:pPr>
      <w:r w:rsidRPr="00B2709F">
        <w:rPr>
          <w:noProof/>
          <w:szCs w:val="22"/>
        </w:rPr>
        <w:t xml:space="preserve">Pa ½ mērkarotes </w:t>
      </w:r>
      <w:r w:rsidR="007C7A3B">
        <w:rPr>
          <w:noProof/>
          <w:szCs w:val="22"/>
        </w:rPr>
        <w:t>(jeb</w:t>
      </w:r>
      <w:r w:rsidR="0045656F">
        <w:rPr>
          <w:noProof/>
          <w:szCs w:val="22"/>
        </w:rPr>
        <w:t xml:space="preserve"> </w:t>
      </w:r>
      <w:r w:rsidRPr="00B2709F">
        <w:rPr>
          <w:noProof/>
          <w:szCs w:val="22"/>
        </w:rPr>
        <w:t>2,5</w:t>
      </w:r>
      <w:r w:rsidR="00C304B2" w:rsidRPr="00B2709F">
        <w:rPr>
          <w:noProof/>
          <w:szCs w:val="22"/>
        </w:rPr>
        <w:t> </w:t>
      </w:r>
      <w:r w:rsidRPr="00B2709F">
        <w:rPr>
          <w:noProof/>
          <w:szCs w:val="22"/>
        </w:rPr>
        <w:t>ml šķīduma iekšķīgai lietošanai</w:t>
      </w:r>
      <w:r w:rsidR="0045656F">
        <w:rPr>
          <w:noProof/>
          <w:szCs w:val="22"/>
        </w:rPr>
        <w:t>)</w:t>
      </w:r>
      <w:r w:rsidRPr="00B2709F">
        <w:rPr>
          <w:noProof/>
          <w:szCs w:val="22"/>
        </w:rPr>
        <w:t xml:space="preserve"> 2 – 3 </w:t>
      </w:r>
      <w:r w:rsidRPr="00B2709F">
        <w:rPr>
          <w:szCs w:val="22"/>
        </w:rPr>
        <w:t>reizes dienā (atbilst 30 – 45</w:t>
      </w:r>
      <w:r w:rsidR="00C304B2" w:rsidRPr="00B2709F">
        <w:rPr>
          <w:szCs w:val="22"/>
        </w:rPr>
        <w:t> </w:t>
      </w:r>
      <w:r w:rsidRPr="00B2709F">
        <w:rPr>
          <w:szCs w:val="22"/>
        </w:rPr>
        <w:t xml:space="preserve">mg </w:t>
      </w:r>
      <w:r w:rsidRPr="00B2709F">
        <w:rPr>
          <w:noProof/>
          <w:szCs w:val="22"/>
        </w:rPr>
        <w:t>ambroksola hidrohlorīda dienā).</w:t>
      </w:r>
    </w:p>
    <w:p w14:paraId="4D8E27F7" w14:textId="77777777" w:rsidR="005E56C1" w:rsidRPr="00B2709F" w:rsidRDefault="005E56C1" w:rsidP="00FD0398">
      <w:pPr>
        <w:spacing w:line="240" w:lineRule="auto"/>
        <w:rPr>
          <w:szCs w:val="22"/>
        </w:rPr>
      </w:pPr>
    </w:p>
    <w:p w14:paraId="61A01049" w14:textId="77777777" w:rsidR="000826A5" w:rsidRPr="00B6166F" w:rsidRDefault="00A57F4C" w:rsidP="00FD0398">
      <w:pPr>
        <w:spacing w:line="240" w:lineRule="auto"/>
        <w:rPr>
          <w:i/>
          <w:noProof/>
          <w:szCs w:val="22"/>
        </w:rPr>
      </w:pPr>
      <w:r w:rsidRPr="00B6166F">
        <w:rPr>
          <w:i/>
          <w:noProof/>
          <w:szCs w:val="22"/>
        </w:rPr>
        <w:t>P</w:t>
      </w:r>
      <w:r w:rsidR="000826A5" w:rsidRPr="00B6166F">
        <w:rPr>
          <w:i/>
          <w:noProof/>
          <w:szCs w:val="22"/>
        </w:rPr>
        <w:t>usaudžiem no 12 gadu vecuma</w:t>
      </w:r>
      <w:r w:rsidRPr="00B6166F">
        <w:rPr>
          <w:i/>
          <w:noProof/>
          <w:szCs w:val="22"/>
        </w:rPr>
        <w:t xml:space="preserve"> un pieaugušajiem</w:t>
      </w:r>
    </w:p>
    <w:p w14:paraId="549DAD64" w14:textId="4D75A532" w:rsidR="000826A5" w:rsidRPr="00B2709F" w:rsidRDefault="000826A5" w:rsidP="00FD0398">
      <w:pPr>
        <w:pStyle w:val="BodyText"/>
        <w:tabs>
          <w:tab w:val="left" w:pos="567"/>
        </w:tabs>
        <w:rPr>
          <w:noProof/>
          <w:szCs w:val="22"/>
        </w:rPr>
      </w:pPr>
      <w:r w:rsidRPr="00B2709F">
        <w:rPr>
          <w:noProof/>
          <w:szCs w:val="22"/>
        </w:rPr>
        <w:t xml:space="preserve">Pirmajās 2 – 3 dienās pa 1 mērkarotei </w:t>
      </w:r>
      <w:r w:rsidR="007C7A3B">
        <w:rPr>
          <w:noProof/>
          <w:szCs w:val="22"/>
        </w:rPr>
        <w:t>(jeb</w:t>
      </w:r>
      <w:r w:rsidRPr="00B2709F">
        <w:rPr>
          <w:noProof/>
          <w:szCs w:val="22"/>
        </w:rPr>
        <w:t xml:space="preserve"> 5</w:t>
      </w:r>
      <w:r w:rsidR="00C304B2" w:rsidRPr="00B2709F">
        <w:rPr>
          <w:noProof/>
          <w:szCs w:val="22"/>
        </w:rPr>
        <w:t> </w:t>
      </w:r>
      <w:r w:rsidRPr="00B2709F">
        <w:rPr>
          <w:noProof/>
          <w:szCs w:val="22"/>
        </w:rPr>
        <w:t>ml šķīduma iekšķīgai lietošanai</w:t>
      </w:r>
      <w:r w:rsidR="00D84325">
        <w:rPr>
          <w:noProof/>
          <w:szCs w:val="22"/>
        </w:rPr>
        <w:t>)</w:t>
      </w:r>
      <w:r w:rsidRPr="00B2709F">
        <w:rPr>
          <w:noProof/>
          <w:szCs w:val="22"/>
        </w:rPr>
        <w:t xml:space="preserve"> 3 reizes dienā (atbilst 90</w:t>
      </w:r>
      <w:r w:rsidR="00C304B2" w:rsidRPr="00B2709F">
        <w:rPr>
          <w:noProof/>
          <w:szCs w:val="22"/>
        </w:rPr>
        <w:t> </w:t>
      </w:r>
      <w:r w:rsidRPr="00B2709F">
        <w:rPr>
          <w:noProof/>
          <w:szCs w:val="22"/>
        </w:rPr>
        <w:t xml:space="preserve">mg ambroksola hidrohlorīda dienā), pēc tam pa 1 mērkarotei </w:t>
      </w:r>
      <w:r w:rsidR="007C7A3B">
        <w:rPr>
          <w:noProof/>
          <w:szCs w:val="22"/>
        </w:rPr>
        <w:t>(jeb</w:t>
      </w:r>
      <w:r w:rsidRPr="00B2709F">
        <w:rPr>
          <w:noProof/>
          <w:szCs w:val="22"/>
        </w:rPr>
        <w:t xml:space="preserve"> 5</w:t>
      </w:r>
      <w:r w:rsidR="00C304B2" w:rsidRPr="00B2709F">
        <w:rPr>
          <w:noProof/>
          <w:szCs w:val="22"/>
        </w:rPr>
        <w:t> </w:t>
      </w:r>
      <w:r w:rsidRPr="00B2709F">
        <w:rPr>
          <w:noProof/>
          <w:szCs w:val="22"/>
        </w:rPr>
        <w:t>ml šķīduma iekšķīgai lietošanai</w:t>
      </w:r>
      <w:r w:rsidR="00D84325">
        <w:rPr>
          <w:noProof/>
          <w:szCs w:val="22"/>
        </w:rPr>
        <w:t>)</w:t>
      </w:r>
      <w:r w:rsidRPr="00B2709F">
        <w:rPr>
          <w:noProof/>
          <w:szCs w:val="22"/>
        </w:rPr>
        <w:t xml:space="preserve"> 2 reizes dienā (atbilst 60</w:t>
      </w:r>
      <w:r w:rsidR="00C304B2" w:rsidRPr="00B2709F">
        <w:rPr>
          <w:noProof/>
          <w:szCs w:val="22"/>
        </w:rPr>
        <w:t> </w:t>
      </w:r>
      <w:r w:rsidRPr="00B2709F">
        <w:rPr>
          <w:noProof/>
          <w:szCs w:val="22"/>
        </w:rPr>
        <w:t>mg ambroksola hidrohlorīda dienā).</w:t>
      </w:r>
    </w:p>
    <w:p w14:paraId="4011AC3F" w14:textId="77777777" w:rsidR="0034285D" w:rsidRPr="00B2709F" w:rsidRDefault="0034285D" w:rsidP="00FD0398">
      <w:pPr>
        <w:spacing w:line="240" w:lineRule="auto"/>
        <w:rPr>
          <w:szCs w:val="22"/>
        </w:rPr>
      </w:pPr>
    </w:p>
    <w:p w14:paraId="0109BB57" w14:textId="77777777" w:rsidR="000826A5" w:rsidRPr="00B6166F" w:rsidRDefault="000826A5" w:rsidP="00FD0398">
      <w:pPr>
        <w:spacing w:line="240" w:lineRule="auto"/>
        <w:rPr>
          <w:i/>
          <w:noProof/>
          <w:szCs w:val="22"/>
        </w:rPr>
      </w:pPr>
      <w:r w:rsidRPr="00B6166F">
        <w:rPr>
          <w:i/>
          <w:noProof/>
          <w:szCs w:val="22"/>
        </w:rPr>
        <w:t>Piezīme</w:t>
      </w:r>
    </w:p>
    <w:p w14:paraId="6D64B2E6" w14:textId="77777777" w:rsidR="000826A5" w:rsidRPr="00B2709F" w:rsidRDefault="000826A5" w:rsidP="00FD0398">
      <w:pPr>
        <w:spacing w:line="240" w:lineRule="auto"/>
        <w:rPr>
          <w:noProof/>
          <w:szCs w:val="22"/>
        </w:rPr>
      </w:pPr>
      <w:r w:rsidRPr="00B2709F">
        <w:rPr>
          <w:noProof/>
          <w:szCs w:val="22"/>
        </w:rPr>
        <w:t>Ja nepieciešams, pieaugušajiem devu var palielināt līdz 60</w:t>
      </w:r>
      <w:r w:rsidR="00C304B2" w:rsidRPr="00B2709F">
        <w:rPr>
          <w:noProof/>
          <w:szCs w:val="22"/>
        </w:rPr>
        <w:t> </w:t>
      </w:r>
      <w:r w:rsidRPr="00B2709F">
        <w:rPr>
          <w:noProof/>
          <w:szCs w:val="22"/>
        </w:rPr>
        <w:t>mg ambroksola hidrohlorīda 2 reizes dienā (atbilst 120</w:t>
      </w:r>
      <w:r w:rsidR="00C304B2" w:rsidRPr="00B2709F">
        <w:rPr>
          <w:noProof/>
          <w:szCs w:val="22"/>
        </w:rPr>
        <w:t> </w:t>
      </w:r>
      <w:r w:rsidRPr="00B2709F">
        <w:rPr>
          <w:noProof/>
          <w:szCs w:val="22"/>
        </w:rPr>
        <w:t>mg ambroksola hidrohlorīda dienā).</w:t>
      </w:r>
    </w:p>
    <w:p w14:paraId="4B300788" w14:textId="77777777" w:rsidR="000826A5" w:rsidRPr="00B2709F" w:rsidRDefault="000826A5" w:rsidP="00FD0398">
      <w:pPr>
        <w:spacing w:line="240" w:lineRule="auto"/>
        <w:rPr>
          <w:szCs w:val="22"/>
        </w:rPr>
      </w:pPr>
    </w:p>
    <w:p w14:paraId="0C9DDA08" w14:textId="77777777" w:rsidR="008621E9" w:rsidRPr="00B2709F" w:rsidRDefault="008621E9" w:rsidP="008621E9">
      <w:pPr>
        <w:spacing w:line="240" w:lineRule="auto"/>
        <w:rPr>
          <w:i/>
          <w:szCs w:val="22"/>
        </w:rPr>
      </w:pPr>
      <w:r w:rsidRPr="00B2709F">
        <w:rPr>
          <w:i/>
          <w:szCs w:val="22"/>
        </w:rPr>
        <w:lastRenderedPageBreak/>
        <w:t>Pediatriskā populācija</w:t>
      </w:r>
    </w:p>
    <w:p w14:paraId="1EC20E6B" w14:textId="77777777" w:rsidR="008621E9" w:rsidRPr="00B2709F" w:rsidRDefault="008621E9" w:rsidP="008621E9">
      <w:pPr>
        <w:spacing w:line="240" w:lineRule="auto"/>
        <w:rPr>
          <w:szCs w:val="22"/>
        </w:rPr>
      </w:pPr>
      <w:r w:rsidRPr="00B2709F">
        <w:rPr>
          <w:szCs w:val="22"/>
        </w:rPr>
        <w:t>Skatīt 4.3. apakšpunktu par lietošanu bērniem, kuri nav sasnieguši divu gadu vecumu.</w:t>
      </w:r>
    </w:p>
    <w:p w14:paraId="15AFEA7A" w14:textId="77777777" w:rsidR="008621E9" w:rsidRPr="00B2709F" w:rsidRDefault="008621E9" w:rsidP="00FD0398">
      <w:pPr>
        <w:spacing w:line="240" w:lineRule="auto"/>
        <w:rPr>
          <w:szCs w:val="22"/>
        </w:rPr>
      </w:pPr>
    </w:p>
    <w:p w14:paraId="18C3085D" w14:textId="77777777" w:rsidR="0012694E" w:rsidRPr="00B6166F" w:rsidRDefault="0012694E" w:rsidP="00FD0398">
      <w:pPr>
        <w:spacing w:line="240" w:lineRule="auto"/>
        <w:rPr>
          <w:szCs w:val="22"/>
          <w:u w:val="single"/>
        </w:rPr>
      </w:pPr>
      <w:r w:rsidRPr="00B6166F">
        <w:rPr>
          <w:szCs w:val="22"/>
          <w:u w:val="single"/>
        </w:rPr>
        <w:t>Lietošanas veids</w:t>
      </w:r>
      <w:r w:rsidR="000826A5" w:rsidRPr="00B6166F">
        <w:rPr>
          <w:szCs w:val="22"/>
          <w:u w:val="single"/>
        </w:rPr>
        <w:t xml:space="preserve"> un ilgums</w:t>
      </w:r>
    </w:p>
    <w:p w14:paraId="0D249A8D" w14:textId="77777777" w:rsidR="000826A5" w:rsidRPr="00B2709F" w:rsidRDefault="00646F12" w:rsidP="00FD0398">
      <w:pPr>
        <w:tabs>
          <w:tab w:val="left" w:pos="0"/>
        </w:tabs>
        <w:spacing w:line="240" w:lineRule="auto"/>
        <w:rPr>
          <w:noProof/>
          <w:szCs w:val="22"/>
        </w:rPr>
      </w:pPr>
      <w:r w:rsidRPr="00B2709F">
        <w:rPr>
          <w:noProof/>
          <w:szCs w:val="22"/>
        </w:rPr>
        <w:t xml:space="preserve">Flavamed </w:t>
      </w:r>
      <w:r w:rsidR="000826A5" w:rsidRPr="00B2709F">
        <w:rPr>
          <w:noProof/>
          <w:szCs w:val="22"/>
        </w:rPr>
        <w:t>šķīdums ir paredzēts iekšķīgai lietošanai, un to lieto ar mērkaroti pēc ēšanas.</w:t>
      </w:r>
    </w:p>
    <w:p w14:paraId="5049C0A1" w14:textId="77777777" w:rsidR="002A6097" w:rsidRPr="00B2709F" w:rsidRDefault="00646F12" w:rsidP="00FD0398">
      <w:pPr>
        <w:spacing w:line="240" w:lineRule="auto"/>
        <w:rPr>
          <w:szCs w:val="22"/>
        </w:rPr>
      </w:pPr>
      <w:r w:rsidRPr="00B2709F">
        <w:rPr>
          <w:noProof/>
          <w:szCs w:val="22"/>
        </w:rPr>
        <w:t xml:space="preserve">Flavamed </w:t>
      </w:r>
      <w:r w:rsidR="002A6097" w:rsidRPr="00B2709F">
        <w:rPr>
          <w:szCs w:val="22"/>
        </w:rPr>
        <w:t xml:space="preserve">šķīdumu </w:t>
      </w:r>
      <w:r w:rsidR="00066A3D" w:rsidRPr="00B2709F">
        <w:rPr>
          <w:szCs w:val="22"/>
        </w:rPr>
        <w:t>nevajadzētu</w:t>
      </w:r>
      <w:r w:rsidR="002A6097" w:rsidRPr="00B2709F">
        <w:rPr>
          <w:szCs w:val="22"/>
        </w:rPr>
        <w:t xml:space="preserve"> lietot ilgāk par 4 – 5 dienām, nekonsultējoties ar ārstu.</w:t>
      </w:r>
    </w:p>
    <w:p w14:paraId="386FBD2D" w14:textId="77777777" w:rsidR="000826A5" w:rsidRPr="00B2709F" w:rsidRDefault="000826A5" w:rsidP="00FD0398">
      <w:pPr>
        <w:spacing w:line="240" w:lineRule="auto"/>
        <w:rPr>
          <w:noProof/>
          <w:szCs w:val="22"/>
        </w:rPr>
      </w:pPr>
    </w:p>
    <w:p w14:paraId="31B93546" w14:textId="77777777" w:rsidR="00032CE2" w:rsidRPr="00B2709F" w:rsidRDefault="00032CE2" w:rsidP="00FD0398">
      <w:pPr>
        <w:spacing w:line="240" w:lineRule="auto"/>
        <w:rPr>
          <w:noProof/>
          <w:szCs w:val="22"/>
        </w:rPr>
      </w:pPr>
      <w:r w:rsidRPr="00B2709F">
        <w:rPr>
          <w:szCs w:val="22"/>
        </w:rPr>
        <w:t>Par devām nieru un aknu slimību gadījumā lasiet 4.4. apakšpunktā.</w:t>
      </w:r>
    </w:p>
    <w:p w14:paraId="293D94AD" w14:textId="77777777" w:rsidR="002A6097" w:rsidRPr="00B2709F" w:rsidRDefault="002A6097" w:rsidP="00FD0398">
      <w:pPr>
        <w:spacing w:line="240" w:lineRule="auto"/>
        <w:rPr>
          <w:noProof/>
          <w:szCs w:val="22"/>
        </w:rPr>
      </w:pPr>
    </w:p>
    <w:p w14:paraId="3A7D66F2" w14:textId="77777777" w:rsidR="0012694E" w:rsidRPr="00B2709F" w:rsidRDefault="0012694E" w:rsidP="00FD0398">
      <w:pPr>
        <w:spacing w:line="240" w:lineRule="auto"/>
        <w:rPr>
          <w:szCs w:val="22"/>
        </w:rPr>
      </w:pPr>
      <w:r w:rsidRPr="00B2709F">
        <w:rPr>
          <w:b/>
          <w:szCs w:val="22"/>
        </w:rPr>
        <w:t>4.3</w:t>
      </w:r>
      <w:r w:rsidR="0038607D" w:rsidRPr="00B2709F">
        <w:rPr>
          <w:b/>
          <w:szCs w:val="22"/>
        </w:rPr>
        <w:t>.</w:t>
      </w:r>
      <w:r w:rsidRPr="00B2709F">
        <w:rPr>
          <w:b/>
          <w:szCs w:val="22"/>
        </w:rPr>
        <w:tab/>
        <w:t xml:space="preserve">Kontrindikācijas </w:t>
      </w:r>
    </w:p>
    <w:p w14:paraId="77E3314B" w14:textId="77777777" w:rsidR="0012694E" w:rsidRPr="00B2709F" w:rsidRDefault="0012694E" w:rsidP="00FD0398">
      <w:pPr>
        <w:spacing w:line="240" w:lineRule="auto"/>
        <w:rPr>
          <w:szCs w:val="22"/>
        </w:rPr>
      </w:pPr>
    </w:p>
    <w:p w14:paraId="61E71337" w14:textId="77777777" w:rsidR="0012694E" w:rsidRPr="00B2709F" w:rsidRDefault="0012694E" w:rsidP="00FD0398">
      <w:pPr>
        <w:spacing w:line="240" w:lineRule="auto"/>
        <w:rPr>
          <w:szCs w:val="22"/>
        </w:rPr>
      </w:pPr>
      <w:r w:rsidRPr="00B2709F">
        <w:rPr>
          <w:szCs w:val="22"/>
        </w:rPr>
        <w:t>Paaugstināta jutība pret aktīvo vielu vai jebkuru no 6.1</w:t>
      </w:r>
      <w:r w:rsidR="0053741D" w:rsidRPr="00B2709F">
        <w:rPr>
          <w:szCs w:val="22"/>
        </w:rPr>
        <w:t>.</w:t>
      </w:r>
      <w:r w:rsidRPr="00B2709F">
        <w:rPr>
          <w:szCs w:val="22"/>
        </w:rPr>
        <w:t xml:space="preserve"> apakšpunktā uzskaitītajām palīgvielām</w:t>
      </w:r>
      <w:r w:rsidR="0053741D" w:rsidRPr="00B2709F">
        <w:rPr>
          <w:szCs w:val="22"/>
        </w:rPr>
        <w:t>.</w:t>
      </w:r>
    </w:p>
    <w:p w14:paraId="78D90051" w14:textId="77777777" w:rsidR="0053741D" w:rsidRPr="00B2709F" w:rsidRDefault="00646F12" w:rsidP="00FD0398">
      <w:pPr>
        <w:spacing w:line="240" w:lineRule="auto"/>
        <w:rPr>
          <w:szCs w:val="22"/>
        </w:rPr>
      </w:pPr>
      <w:r w:rsidRPr="00B2709F">
        <w:rPr>
          <w:noProof/>
          <w:szCs w:val="22"/>
        </w:rPr>
        <w:t xml:space="preserve">Flavamed </w:t>
      </w:r>
      <w:r w:rsidR="0053741D" w:rsidRPr="00B2709F">
        <w:rPr>
          <w:szCs w:val="22"/>
        </w:rPr>
        <w:t>šķīdumu nedrīkst lietot bērni līdz 2 gadu vecumam.</w:t>
      </w:r>
    </w:p>
    <w:p w14:paraId="37EE0D60" w14:textId="77777777" w:rsidR="0012694E" w:rsidRPr="00B2709F" w:rsidRDefault="0012694E" w:rsidP="00FD0398">
      <w:pPr>
        <w:spacing w:line="240" w:lineRule="auto"/>
        <w:rPr>
          <w:szCs w:val="22"/>
        </w:rPr>
      </w:pPr>
    </w:p>
    <w:p w14:paraId="4283EFB8" w14:textId="77777777" w:rsidR="0012694E" w:rsidRPr="00B2709F" w:rsidRDefault="0012694E" w:rsidP="00FD0398">
      <w:pPr>
        <w:spacing w:line="240" w:lineRule="auto"/>
        <w:rPr>
          <w:b/>
          <w:szCs w:val="22"/>
        </w:rPr>
      </w:pPr>
      <w:r w:rsidRPr="00B2709F">
        <w:rPr>
          <w:b/>
          <w:szCs w:val="22"/>
        </w:rPr>
        <w:t>4.4</w:t>
      </w:r>
      <w:r w:rsidR="0038607D" w:rsidRPr="00B2709F">
        <w:rPr>
          <w:b/>
          <w:szCs w:val="22"/>
        </w:rPr>
        <w:t>.</w:t>
      </w:r>
      <w:r w:rsidRPr="00B2709F">
        <w:rPr>
          <w:b/>
          <w:szCs w:val="22"/>
        </w:rPr>
        <w:tab/>
        <w:t>Īpaši brīdinājumi un piesardzība lietošanā</w:t>
      </w:r>
    </w:p>
    <w:p w14:paraId="5A90497F" w14:textId="77777777" w:rsidR="0012694E" w:rsidRPr="00B2709F" w:rsidRDefault="0012694E" w:rsidP="00FD0398">
      <w:pPr>
        <w:spacing w:line="240" w:lineRule="auto"/>
        <w:rPr>
          <w:szCs w:val="22"/>
        </w:rPr>
      </w:pPr>
    </w:p>
    <w:p w14:paraId="6C607D4D" w14:textId="77777777" w:rsidR="002D5C54" w:rsidRPr="00B2709F" w:rsidRDefault="005A08A2" w:rsidP="00FD0398">
      <w:pPr>
        <w:pStyle w:val="BodyText"/>
        <w:tabs>
          <w:tab w:val="left" w:pos="567"/>
        </w:tabs>
        <w:rPr>
          <w:szCs w:val="22"/>
        </w:rPr>
      </w:pPr>
      <w:r w:rsidRPr="00B2709F">
        <w:rPr>
          <w:szCs w:val="22"/>
        </w:rPr>
        <w:t xml:space="preserve">Ir bijuši ziņojumi par smagām ādas reakcijām, piemēram, </w:t>
      </w:r>
      <w:r w:rsidRPr="00B2709F">
        <w:rPr>
          <w:i/>
          <w:iCs/>
          <w:szCs w:val="22"/>
        </w:rPr>
        <w:t>erythema multiforme</w:t>
      </w:r>
      <w:r w:rsidRPr="00B2709F">
        <w:rPr>
          <w:szCs w:val="22"/>
        </w:rPr>
        <w:t>, Stīvensa-Džonsona sindromu (SJS)/toksisko epidermas nekrolīzi (TEN) un akūtu ģeneralizētu eksantematozu pustulozi (AĢEP), kas saistītas ar ambroksola lietošanu. Progresējošu ādas izsitumu (dažreiz kā pūšļi vai gļotādas bojājumi) simptomu vai pazīmju gadījumā, ambroksola terapija nekavējoties jāpārtrauc un jāsaņem medicīniskā konsultācija.</w:t>
      </w:r>
    </w:p>
    <w:p w14:paraId="4CB3EFF4" w14:textId="77777777" w:rsidR="0012694E" w:rsidRPr="00B2709F" w:rsidRDefault="0012694E" w:rsidP="00FD0398">
      <w:pPr>
        <w:spacing w:line="240" w:lineRule="auto"/>
        <w:rPr>
          <w:szCs w:val="22"/>
        </w:rPr>
      </w:pPr>
    </w:p>
    <w:p w14:paraId="2E093C95" w14:textId="77777777" w:rsidR="00B84A60" w:rsidRPr="00B2709F" w:rsidRDefault="00B84A60" w:rsidP="00FD0398">
      <w:pPr>
        <w:spacing w:line="240" w:lineRule="auto"/>
        <w:rPr>
          <w:szCs w:val="22"/>
        </w:rPr>
      </w:pPr>
      <w:r w:rsidRPr="00B2709F">
        <w:rPr>
          <w:szCs w:val="22"/>
        </w:rPr>
        <w:t xml:space="preserve">Traucētas bronhu motorās funkcijas un liela sekrēta daudzuma, piemēram, reti sastopamās primārās skropstiņepitēlija diskinēzijas, gadījumā </w:t>
      </w:r>
      <w:r w:rsidR="00646F12" w:rsidRPr="00B2709F">
        <w:rPr>
          <w:noProof/>
          <w:szCs w:val="22"/>
        </w:rPr>
        <w:t xml:space="preserve">Flavamed </w:t>
      </w:r>
      <w:r w:rsidRPr="00B2709F">
        <w:rPr>
          <w:szCs w:val="22"/>
        </w:rPr>
        <w:t>šķīdumu drīkst lietot tikai ļoti piesardzīgi, jo iespējama sekrēta uzkrāšanās.</w:t>
      </w:r>
    </w:p>
    <w:p w14:paraId="3365EAE9" w14:textId="77777777" w:rsidR="003C287B" w:rsidRPr="00B2709F" w:rsidRDefault="003C287B" w:rsidP="00FD0398">
      <w:pPr>
        <w:spacing w:line="240" w:lineRule="auto"/>
        <w:rPr>
          <w:szCs w:val="22"/>
        </w:rPr>
      </w:pPr>
    </w:p>
    <w:p w14:paraId="67F1AAC2" w14:textId="77777777" w:rsidR="0050583A" w:rsidRDefault="0050583A" w:rsidP="0050583A">
      <w:pPr>
        <w:rPr>
          <w:szCs w:val="22"/>
        </w:rPr>
      </w:pPr>
      <w:r>
        <w:rPr>
          <w:szCs w:val="22"/>
        </w:rPr>
        <w:t>Nieru darbības traucējumu vai smagu aknu darbības traucējumu gadījumā Flavamed šķīdumu drīkst lietot tikai pēc ārsta norādījuma.</w:t>
      </w:r>
    </w:p>
    <w:p w14:paraId="3D30C492" w14:textId="77777777" w:rsidR="0050583A" w:rsidRPr="00A6716D" w:rsidRDefault="0050583A" w:rsidP="0050583A">
      <w:pPr>
        <w:rPr>
          <w:szCs w:val="22"/>
        </w:rPr>
      </w:pPr>
      <w:r>
        <w:rPr>
          <w:szCs w:val="22"/>
        </w:rPr>
        <w:t>Smagu nieru darbības traucējumu gadījumā paredzama aknās izveidojušos ambroksola metabolītu uzkrāšanās, kā tas ir jebkurām zālēm, kam pēc metabolisma aknās seko eliminācija caur nierēm.</w:t>
      </w:r>
    </w:p>
    <w:p w14:paraId="12F1E4B1" w14:textId="77777777" w:rsidR="00771FD5" w:rsidRPr="00B2709F" w:rsidRDefault="00771FD5" w:rsidP="00FD0398">
      <w:pPr>
        <w:spacing w:line="240" w:lineRule="auto"/>
        <w:rPr>
          <w:szCs w:val="22"/>
        </w:rPr>
      </w:pPr>
    </w:p>
    <w:p w14:paraId="64DF10FF" w14:textId="21DD7E09" w:rsidR="008C1901" w:rsidRPr="00B2709F" w:rsidRDefault="00445CDF" w:rsidP="00773D0F">
      <w:pPr>
        <w:spacing w:line="240" w:lineRule="auto"/>
        <w:rPr>
          <w:szCs w:val="22"/>
        </w:rPr>
      </w:pPr>
      <w:r>
        <w:rPr>
          <w:szCs w:val="22"/>
        </w:rPr>
        <w:t xml:space="preserve">Šīs zāles satur 1,75 g </w:t>
      </w:r>
      <w:r w:rsidR="008C1901" w:rsidRPr="00B2709F">
        <w:rPr>
          <w:szCs w:val="22"/>
        </w:rPr>
        <w:t>sorbīt</w:t>
      </w:r>
      <w:r>
        <w:rPr>
          <w:szCs w:val="22"/>
        </w:rPr>
        <w:t>a</w:t>
      </w:r>
      <w:r w:rsidR="00773D0F">
        <w:rPr>
          <w:szCs w:val="22"/>
        </w:rPr>
        <w:t xml:space="preserve"> katrā </w:t>
      </w:r>
      <w:r w:rsidR="00773D0F" w:rsidRPr="00B2709F">
        <w:rPr>
          <w:noProof/>
          <w:szCs w:val="22"/>
        </w:rPr>
        <w:t>mērkarotē ar 5 ml šķīduma iekšķīgai lietošanai</w:t>
      </w:r>
      <w:r w:rsidR="008C1901" w:rsidRPr="00B2709F">
        <w:rPr>
          <w:szCs w:val="22"/>
        </w:rPr>
        <w:t>.</w:t>
      </w:r>
      <w:r w:rsidR="00773D0F">
        <w:rPr>
          <w:szCs w:val="22"/>
        </w:rPr>
        <w:t xml:space="preserve"> </w:t>
      </w:r>
      <w:r w:rsidR="00773D0F" w:rsidRPr="00773D0F">
        <w:rPr>
          <w:szCs w:val="22"/>
        </w:rPr>
        <w:t>Pacienti ar iedzimtu fruktozes nepanesību nedrīkst</w:t>
      </w:r>
      <w:r w:rsidR="00773D0F">
        <w:rPr>
          <w:szCs w:val="22"/>
        </w:rPr>
        <w:t xml:space="preserve"> </w:t>
      </w:r>
      <w:r w:rsidR="00773D0F" w:rsidRPr="00773D0F">
        <w:rPr>
          <w:szCs w:val="22"/>
        </w:rPr>
        <w:t>lietot/saņemt šīs zāles.</w:t>
      </w:r>
    </w:p>
    <w:p w14:paraId="0888AB37" w14:textId="77777777" w:rsidR="00773D0F" w:rsidRDefault="00773D0F" w:rsidP="00773D0F">
      <w:pPr>
        <w:spacing w:line="240" w:lineRule="auto"/>
        <w:rPr>
          <w:noProof/>
          <w:szCs w:val="22"/>
        </w:rPr>
      </w:pPr>
    </w:p>
    <w:p w14:paraId="666F126B" w14:textId="70B78F04" w:rsidR="008C1901" w:rsidRDefault="00773D0F" w:rsidP="00773D0F">
      <w:pPr>
        <w:spacing w:line="240" w:lineRule="auto"/>
        <w:rPr>
          <w:noProof/>
          <w:szCs w:val="22"/>
        </w:rPr>
      </w:pPr>
      <w:r w:rsidRPr="00773D0F">
        <w:rPr>
          <w:noProof/>
          <w:szCs w:val="22"/>
        </w:rPr>
        <w:t>Sorbīts var izraisīt nepatīkamas sajūtas kuņģ</w:t>
      </w:r>
      <w:r w:rsidR="00185950">
        <w:rPr>
          <w:noProof/>
          <w:szCs w:val="22"/>
        </w:rPr>
        <w:t>a</w:t>
      </w:r>
      <w:r w:rsidRPr="00773D0F">
        <w:rPr>
          <w:noProof/>
          <w:szCs w:val="22"/>
        </w:rPr>
        <w:t xml:space="preserve"> -</w:t>
      </w:r>
      <w:r>
        <w:rPr>
          <w:noProof/>
          <w:szCs w:val="22"/>
        </w:rPr>
        <w:t xml:space="preserve"> </w:t>
      </w:r>
      <w:r w:rsidRPr="00773D0F">
        <w:rPr>
          <w:noProof/>
          <w:szCs w:val="22"/>
        </w:rPr>
        <w:t>zarnu traktā un vieglu caureju veicinošu iedarbību.</w:t>
      </w:r>
    </w:p>
    <w:p w14:paraId="152DE928" w14:textId="77777777" w:rsidR="00773D0F" w:rsidRDefault="00773D0F" w:rsidP="00773D0F">
      <w:pPr>
        <w:spacing w:line="240" w:lineRule="auto"/>
        <w:rPr>
          <w:noProof/>
          <w:szCs w:val="22"/>
        </w:rPr>
      </w:pPr>
    </w:p>
    <w:p w14:paraId="20C87720" w14:textId="29E2A564" w:rsidR="00773D0F" w:rsidRDefault="00773D0F" w:rsidP="00773D0F">
      <w:pPr>
        <w:spacing w:line="240" w:lineRule="auto"/>
        <w:rPr>
          <w:noProof/>
          <w:szCs w:val="22"/>
        </w:rPr>
      </w:pPr>
      <w:r>
        <w:rPr>
          <w:noProof/>
          <w:szCs w:val="22"/>
        </w:rPr>
        <w:t xml:space="preserve">Šīs zāles satur 5,75 mg benzoskābes </w:t>
      </w:r>
      <w:r>
        <w:rPr>
          <w:szCs w:val="22"/>
        </w:rPr>
        <w:t xml:space="preserve">katrā </w:t>
      </w:r>
      <w:r w:rsidRPr="00B2709F">
        <w:rPr>
          <w:noProof/>
          <w:szCs w:val="22"/>
        </w:rPr>
        <w:t>mērkarotē ar 5 ml šķīduma iekšķīgai lietošanai</w:t>
      </w:r>
      <w:r>
        <w:rPr>
          <w:noProof/>
          <w:szCs w:val="22"/>
        </w:rPr>
        <w:t>.</w:t>
      </w:r>
    </w:p>
    <w:p w14:paraId="6454F25C" w14:textId="77777777" w:rsidR="00773D0F" w:rsidRPr="00B2709F" w:rsidRDefault="00773D0F" w:rsidP="00773D0F">
      <w:pPr>
        <w:spacing w:line="240" w:lineRule="auto"/>
        <w:rPr>
          <w:noProof/>
          <w:szCs w:val="22"/>
        </w:rPr>
      </w:pPr>
    </w:p>
    <w:p w14:paraId="4E227135" w14:textId="77777777" w:rsidR="00F65093" w:rsidRPr="00B2709F" w:rsidRDefault="00F65093" w:rsidP="00FD0398">
      <w:pPr>
        <w:spacing w:line="240" w:lineRule="auto"/>
        <w:rPr>
          <w:szCs w:val="22"/>
        </w:rPr>
      </w:pPr>
      <w:r w:rsidRPr="00B2709F">
        <w:rPr>
          <w:szCs w:val="22"/>
        </w:rPr>
        <w:t>Mukolītiskie līdzekļi var izjaukt kuņģa gļotādas barjeru, tāpēc ambroksols uzmanīgi lietojams pacientiem ar peptiskās čūlas slimību anamnēzē.</w:t>
      </w:r>
    </w:p>
    <w:p w14:paraId="1A5DCC08" w14:textId="77777777" w:rsidR="000B35F6" w:rsidRPr="00B2709F" w:rsidRDefault="000B35F6" w:rsidP="00FD0398">
      <w:pPr>
        <w:spacing w:line="240" w:lineRule="auto"/>
        <w:rPr>
          <w:szCs w:val="22"/>
        </w:rPr>
      </w:pPr>
    </w:p>
    <w:p w14:paraId="1B691737" w14:textId="77777777" w:rsidR="0012694E" w:rsidRPr="00B2709F" w:rsidRDefault="0012694E" w:rsidP="00FD0398">
      <w:pPr>
        <w:spacing w:line="240" w:lineRule="auto"/>
        <w:rPr>
          <w:b/>
          <w:szCs w:val="22"/>
        </w:rPr>
      </w:pPr>
      <w:r w:rsidRPr="00B2709F">
        <w:rPr>
          <w:b/>
          <w:szCs w:val="22"/>
        </w:rPr>
        <w:t>4.5</w:t>
      </w:r>
      <w:r w:rsidR="0038607D" w:rsidRPr="00B2709F">
        <w:rPr>
          <w:b/>
          <w:szCs w:val="22"/>
        </w:rPr>
        <w:t>.</w:t>
      </w:r>
      <w:r w:rsidRPr="00B2709F">
        <w:rPr>
          <w:b/>
          <w:szCs w:val="22"/>
        </w:rPr>
        <w:tab/>
        <w:t>Mijiedarbība ar citām zālēm un citi mijiedarbības veidi</w:t>
      </w:r>
    </w:p>
    <w:p w14:paraId="29AC5753" w14:textId="77777777" w:rsidR="0012694E" w:rsidRPr="00B2709F" w:rsidRDefault="0012694E" w:rsidP="00FD0398">
      <w:pPr>
        <w:spacing w:line="240" w:lineRule="auto"/>
        <w:rPr>
          <w:b/>
          <w:szCs w:val="22"/>
        </w:rPr>
      </w:pPr>
    </w:p>
    <w:p w14:paraId="539EC36C" w14:textId="77777777" w:rsidR="0050583A" w:rsidRDefault="0050583A" w:rsidP="00FD0398">
      <w:pPr>
        <w:pStyle w:val="BodyText"/>
        <w:tabs>
          <w:tab w:val="left" w:pos="567"/>
        </w:tabs>
        <w:rPr>
          <w:szCs w:val="22"/>
        </w:rPr>
      </w:pPr>
      <w:r>
        <w:rPr>
          <w:szCs w:val="22"/>
        </w:rPr>
        <w:t>Nav ziņots par klīniski nozīmīgu nevēlamu mijiedarbību ar citām zālēm.</w:t>
      </w:r>
    </w:p>
    <w:p w14:paraId="0CBBEFE3" w14:textId="77777777" w:rsidR="00E15319" w:rsidRPr="00B2709F" w:rsidRDefault="00E15319" w:rsidP="00FD0398">
      <w:pPr>
        <w:pStyle w:val="BodyText"/>
        <w:tabs>
          <w:tab w:val="left" w:pos="567"/>
        </w:tabs>
        <w:rPr>
          <w:noProof/>
          <w:szCs w:val="22"/>
        </w:rPr>
      </w:pPr>
      <w:r w:rsidRPr="00B2709F">
        <w:rPr>
          <w:szCs w:val="22"/>
        </w:rPr>
        <w:t xml:space="preserve">Ja </w:t>
      </w:r>
      <w:r w:rsidR="00646F12" w:rsidRPr="00B2709F">
        <w:rPr>
          <w:noProof/>
          <w:szCs w:val="22"/>
        </w:rPr>
        <w:t xml:space="preserve">Flavamed </w:t>
      </w:r>
      <w:r w:rsidRPr="00B2709F">
        <w:rPr>
          <w:szCs w:val="22"/>
        </w:rPr>
        <w:t>šķīdums tiek lietots vienlaikus ar pretklepus līdzekļiem, nomāktā klepus refleksa dēļ iespējama bīstama sekrēta uzkrāšanās, kas nozīmē, ka indikācija šādai kombinētai terapijai jāizvērtē īpaši uzmanīgi.</w:t>
      </w:r>
    </w:p>
    <w:p w14:paraId="20EE8F4A" w14:textId="77777777" w:rsidR="0012694E" w:rsidRPr="00B2709F" w:rsidRDefault="0012694E" w:rsidP="00FD0398">
      <w:pPr>
        <w:spacing w:line="240" w:lineRule="auto"/>
        <w:rPr>
          <w:szCs w:val="22"/>
        </w:rPr>
      </w:pPr>
    </w:p>
    <w:p w14:paraId="7AFBC9B8" w14:textId="77777777" w:rsidR="0012694E" w:rsidRPr="00B2709F" w:rsidRDefault="0012694E" w:rsidP="00FD0398">
      <w:pPr>
        <w:spacing w:line="240" w:lineRule="auto"/>
        <w:rPr>
          <w:szCs w:val="22"/>
        </w:rPr>
      </w:pPr>
      <w:r w:rsidRPr="00B2709F">
        <w:rPr>
          <w:b/>
          <w:szCs w:val="22"/>
        </w:rPr>
        <w:t>4.6</w:t>
      </w:r>
      <w:r w:rsidR="0038607D" w:rsidRPr="00B2709F">
        <w:rPr>
          <w:b/>
          <w:szCs w:val="22"/>
        </w:rPr>
        <w:t>.</w:t>
      </w:r>
      <w:r w:rsidRPr="00B2709F">
        <w:rPr>
          <w:b/>
          <w:szCs w:val="22"/>
        </w:rPr>
        <w:tab/>
      </w:r>
      <w:r w:rsidRPr="00B2709F">
        <w:rPr>
          <w:b/>
          <w:noProof/>
          <w:szCs w:val="22"/>
        </w:rPr>
        <w:t xml:space="preserve">Fertilitāte, grūtniecība </w:t>
      </w:r>
      <w:r w:rsidRPr="00B2709F">
        <w:rPr>
          <w:b/>
          <w:szCs w:val="22"/>
        </w:rPr>
        <w:t xml:space="preserve">un </w:t>
      </w:r>
      <w:r w:rsidR="007A6D60">
        <w:rPr>
          <w:b/>
          <w:szCs w:val="22"/>
        </w:rPr>
        <w:t>barošana ar krūti</w:t>
      </w:r>
    </w:p>
    <w:p w14:paraId="28768EC2" w14:textId="77777777" w:rsidR="0012694E" w:rsidRPr="00B2709F" w:rsidRDefault="0012694E" w:rsidP="00FD0398">
      <w:pPr>
        <w:spacing w:line="240" w:lineRule="auto"/>
        <w:rPr>
          <w:i/>
          <w:szCs w:val="22"/>
        </w:rPr>
      </w:pPr>
    </w:p>
    <w:p w14:paraId="674F6624" w14:textId="77777777" w:rsidR="002572C6" w:rsidRPr="00B2709F" w:rsidRDefault="002572C6" w:rsidP="00FD0398">
      <w:pPr>
        <w:pStyle w:val="Heading1"/>
        <w:tabs>
          <w:tab w:val="left" w:pos="567"/>
        </w:tabs>
        <w:rPr>
          <w:b w:val="0"/>
          <w:bCs w:val="0"/>
          <w:i w:val="0"/>
          <w:iCs w:val="0"/>
          <w:szCs w:val="22"/>
          <w:u w:val="single"/>
          <w:lang w:val="lv-LV"/>
        </w:rPr>
      </w:pPr>
      <w:r w:rsidRPr="00B2709F">
        <w:rPr>
          <w:b w:val="0"/>
          <w:bCs w:val="0"/>
          <w:i w:val="0"/>
          <w:iCs w:val="0"/>
          <w:szCs w:val="22"/>
          <w:u w:val="single"/>
          <w:lang w:val="lv-LV"/>
        </w:rPr>
        <w:t>Grūtniecība</w:t>
      </w:r>
    </w:p>
    <w:p w14:paraId="6C0E5FB9" w14:textId="354F3FCA" w:rsidR="0050583A" w:rsidRDefault="0050583A" w:rsidP="0050583A">
      <w:pPr>
        <w:tabs>
          <w:tab w:val="left" w:pos="0"/>
          <w:tab w:val="left" w:pos="1882"/>
          <w:tab w:val="left" w:pos="8650"/>
        </w:tabs>
        <w:rPr>
          <w:szCs w:val="22"/>
        </w:rPr>
      </w:pPr>
      <w:r w:rsidRPr="00383691">
        <w:rPr>
          <w:szCs w:val="22"/>
        </w:rPr>
        <w:t>Ambroksola hidrohlorīds šķērso placent</w:t>
      </w:r>
      <w:r>
        <w:rPr>
          <w:szCs w:val="22"/>
        </w:rPr>
        <w:t>as</w:t>
      </w:r>
      <w:r w:rsidRPr="00383691">
        <w:rPr>
          <w:szCs w:val="22"/>
        </w:rPr>
        <w:t xml:space="preserve"> barjeru. Pētījumi ar dzīvniekiem neliecina par tiešu vai netiešu kaitīgu ietekmi uz grūtniecību, embrija/augļa attīstību, dzemdībām vai </w:t>
      </w:r>
      <w:r w:rsidR="00A91AEE">
        <w:rPr>
          <w:szCs w:val="22"/>
        </w:rPr>
        <w:t>postnatālo</w:t>
      </w:r>
      <w:r w:rsidRPr="00383691">
        <w:rPr>
          <w:szCs w:val="22"/>
        </w:rPr>
        <w:t xml:space="preserve"> </w:t>
      </w:r>
      <w:r>
        <w:rPr>
          <w:szCs w:val="22"/>
        </w:rPr>
        <w:t>attīstību.</w:t>
      </w:r>
    </w:p>
    <w:p w14:paraId="7E7B2494" w14:textId="77777777" w:rsidR="0050583A" w:rsidRPr="00383691" w:rsidRDefault="0050583A" w:rsidP="0050583A">
      <w:pPr>
        <w:tabs>
          <w:tab w:val="left" w:pos="0"/>
          <w:tab w:val="left" w:pos="1882"/>
          <w:tab w:val="left" w:pos="8650"/>
        </w:tabs>
        <w:rPr>
          <w:szCs w:val="22"/>
        </w:rPr>
      </w:pPr>
      <w:r w:rsidRPr="00FD0A1B">
        <w:rPr>
          <w:szCs w:val="22"/>
        </w:rPr>
        <w:t>Plaša klīniskā pieredze par laiku pēc 28. grūtniecības nedēļas</w:t>
      </w:r>
      <w:r w:rsidRPr="00383691">
        <w:rPr>
          <w:szCs w:val="22"/>
        </w:rPr>
        <w:t xml:space="preserve"> neliecina par </w:t>
      </w:r>
      <w:r>
        <w:rPr>
          <w:szCs w:val="22"/>
        </w:rPr>
        <w:t>kaitīgu ietekmi uz augli</w:t>
      </w:r>
      <w:r w:rsidRPr="00383691">
        <w:rPr>
          <w:szCs w:val="22"/>
        </w:rPr>
        <w:t xml:space="preserve">. </w:t>
      </w:r>
      <w:r>
        <w:rPr>
          <w:szCs w:val="22"/>
        </w:rPr>
        <w:t>Tomēr</w:t>
      </w:r>
      <w:r w:rsidRPr="00383691">
        <w:rPr>
          <w:szCs w:val="22"/>
        </w:rPr>
        <w:t xml:space="preserve"> jāievēro parastie piesardzības pasākumi</w:t>
      </w:r>
      <w:r>
        <w:rPr>
          <w:szCs w:val="22"/>
        </w:rPr>
        <w:t xml:space="preserve">, </w:t>
      </w:r>
      <w:r w:rsidRPr="00383691">
        <w:rPr>
          <w:szCs w:val="22"/>
        </w:rPr>
        <w:t>lieto</w:t>
      </w:r>
      <w:r>
        <w:rPr>
          <w:szCs w:val="22"/>
        </w:rPr>
        <w:t>jot zāles</w:t>
      </w:r>
      <w:r w:rsidRPr="00383691">
        <w:rPr>
          <w:szCs w:val="22"/>
        </w:rPr>
        <w:t xml:space="preserve"> grūtniecības laikā. </w:t>
      </w:r>
      <w:r>
        <w:rPr>
          <w:szCs w:val="22"/>
        </w:rPr>
        <w:t xml:space="preserve">Flavamed </w:t>
      </w:r>
      <w:r w:rsidR="00056D75">
        <w:rPr>
          <w:szCs w:val="22"/>
        </w:rPr>
        <w:t>šķīduma</w:t>
      </w:r>
      <w:r w:rsidRPr="00383691">
        <w:rPr>
          <w:szCs w:val="22"/>
        </w:rPr>
        <w:t xml:space="preserve"> lietošana nav ieteicama, it īpaši pirmajā grūtniecības trimestrī.</w:t>
      </w:r>
    </w:p>
    <w:p w14:paraId="55374304" w14:textId="77777777" w:rsidR="002572C6" w:rsidRPr="00B2709F" w:rsidRDefault="002572C6" w:rsidP="00FD0398">
      <w:pPr>
        <w:spacing w:line="240" w:lineRule="auto"/>
        <w:rPr>
          <w:noProof/>
          <w:szCs w:val="22"/>
          <w:highlight w:val="yellow"/>
          <w:u w:val="single"/>
        </w:rPr>
      </w:pPr>
    </w:p>
    <w:p w14:paraId="4412D708" w14:textId="77777777" w:rsidR="0012694E" w:rsidRPr="00B2709F" w:rsidRDefault="0012694E" w:rsidP="00FD0398">
      <w:pPr>
        <w:spacing w:line="240" w:lineRule="auto"/>
        <w:rPr>
          <w:noProof/>
          <w:szCs w:val="22"/>
          <w:u w:val="single"/>
        </w:rPr>
      </w:pPr>
      <w:r w:rsidRPr="00B2709F">
        <w:rPr>
          <w:noProof/>
          <w:szCs w:val="22"/>
          <w:u w:val="single"/>
        </w:rPr>
        <w:lastRenderedPageBreak/>
        <w:t>Barošana ar krūt</w:t>
      </w:r>
      <w:r w:rsidR="0094527D" w:rsidRPr="00B2709F">
        <w:rPr>
          <w:noProof/>
          <w:szCs w:val="22"/>
          <w:u w:val="single"/>
        </w:rPr>
        <w:t>i</w:t>
      </w:r>
    </w:p>
    <w:p w14:paraId="21D01AEF" w14:textId="77777777" w:rsidR="00605184" w:rsidRPr="00B2709F" w:rsidRDefault="00605184" w:rsidP="00FD0398">
      <w:pPr>
        <w:pStyle w:val="BodyText"/>
        <w:tabs>
          <w:tab w:val="left" w:pos="567"/>
        </w:tabs>
        <w:rPr>
          <w:noProof/>
          <w:szCs w:val="22"/>
        </w:rPr>
      </w:pPr>
      <w:r w:rsidRPr="00B2709F">
        <w:rPr>
          <w:szCs w:val="22"/>
        </w:rPr>
        <w:t>Ambroksol</w:t>
      </w:r>
      <w:r w:rsidR="006A1373">
        <w:rPr>
          <w:szCs w:val="22"/>
        </w:rPr>
        <w:t>a hidrohlorīd</w:t>
      </w:r>
      <w:r w:rsidRPr="00B2709F">
        <w:rPr>
          <w:szCs w:val="22"/>
        </w:rPr>
        <w:t xml:space="preserve">s izdalās mātes pienā. </w:t>
      </w:r>
      <w:r w:rsidR="006A1373">
        <w:rPr>
          <w:szCs w:val="22"/>
        </w:rPr>
        <w:t xml:space="preserve">Flavamed šķīdumu nav ieteicams lietot mātēm, kuras baro bērnu ar krūti, lai gan nav sagaidāma nevēlama ietekme </w:t>
      </w:r>
      <w:r w:rsidR="006A1373" w:rsidRPr="00DF3B9D">
        <w:rPr>
          <w:szCs w:val="22"/>
        </w:rPr>
        <w:t>uz zīdaini.</w:t>
      </w:r>
    </w:p>
    <w:p w14:paraId="47A6122C" w14:textId="77777777" w:rsidR="007A6D60" w:rsidRDefault="007A6D60" w:rsidP="007A6D60">
      <w:pPr>
        <w:spacing w:line="240" w:lineRule="auto"/>
        <w:rPr>
          <w:noProof/>
          <w:szCs w:val="22"/>
          <w:u w:val="single"/>
        </w:rPr>
      </w:pPr>
    </w:p>
    <w:p w14:paraId="49140989" w14:textId="77777777" w:rsidR="007A6D60" w:rsidRPr="00B2709F" w:rsidRDefault="007A6D60" w:rsidP="007A6D60">
      <w:pPr>
        <w:spacing w:line="240" w:lineRule="auto"/>
        <w:rPr>
          <w:noProof/>
          <w:szCs w:val="22"/>
          <w:u w:val="single"/>
        </w:rPr>
      </w:pPr>
      <w:r w:rsidRPr="00B2709F">
        <w:rPr>
          <w:noProof/>
          <w:szCs w:val="22"/>
          <w:u w:val="single"/>
        </w:rPr>
        <w:t>Fertilitāte</w:t>
      </w:r>
    </w:p>
    <w:p w14:paraId="20BEA7A9" w14:textId="77777777" w:rsidR="007A6D60" w:rsidRPr="00B2709F" w:rsidRDefault="007A6D60" w:rsidP="007A6D60">
      <w:pPr>
        <w:spacing w:line="240" w:lineRule="auto"/>
        <w:rPr>
          <w:noProof/>
          <w:szCs w:val="22"/>
        </w:rPr>
      </w:pPr>
      <w:r w:rsidRPr="00B2709F">
        <w:rPr>
          <w:noProof/>
          <w:szCs w:val="22"/>
        </w:rPr>
        <w:t>Pētījumos ar dzīvniekiem netika novērots, ka ambroksolam būtu kaitīga ietekme uz fertilitāti (skatīt 5.3. apakšpunktu).</w:t>
      </w:r>
    </w:p>
    <w:p w14:paraId="4D32BE88" w14:textId="77777777" w:rsidR="0012694E" w:rsidRPr="00B2709F" w:rsidRDefault="0012694E" w:rsidP="00FD0398">
      <w:pPr>
        <w:spacing w:line="240" w:lineRule="auto"/>
        <w:rPr>
          <w:szCs w:val="22"/>
        </w:rPr>
      </w:pPr>
    </w:p>
    <w:p w14:paraId="2EC453D4" w14:textId="77777777" w:rsidR="0012694E" w:rsidRPr="00B2709F" w:rsidRDefault="0012694E" w:rsidP="00FD0398">
      <w:pPr>
        <w:spacing w:line="240" w:lineRule="auto"/>
        <w:rPr>
          <w:szCs w:val="22"/>
        </w:rPr>
      </w:pPr>
      <w:r w:rsidRPr="00B2709F">
        <w:rPr>
          <w:b/>
          <w:szCs w:val="22"/>
        </w:rPr>
        <w:t>4.7</w:t>
      </w:r>
      <w:r w:rsidR="0038607D" w:rsidRPr="00B2709F">
        <w:rPr>
          <w:b/>
          <w:szCs w:val="22"/>
        </w:rPr>
        <w:t>.</w:t>
      </w:r>
      <w:r w:rsidRPr="00B2709F">
        <w:rPr>
          <w:b/>
          <w:szCs w:val="22"/>
        </w:rPr>
        <w:tab/>
        <w:t>Ietekme uz spēju vadīt transportlīdzekļus un apkalpot mehānismus</w:t>
      </w:r>
    </w:p>
    <w:p w14:paraId="3CD0BF7C" w14:textId="77777777" w:rsidR="0012694E" w:rsidRPr="00B2709F" w:rsidRDefault="0012694E" w:rsidP="00FD0398">
      <w:pPr>
        <w:spacing w:line="240" w:lineRule="auto"/>
        <w:rPr>
          <w:szCs w:val="22"/>
        </w:rPr>
      </w:pPr>
    </w:p>
    <w:p w14:paraId="2F4EDF39" w14:textId="77777777" w:rsidR="00254C2A" w:rsidRPr="00B2709F" w:rsidRDefault="00254C2A" w:rsidP="00FD0398">
      <w:pPr>
        <w:spacing w:line="240" w:lineRule="auto"/>
        <w:rPr>
          <w:szCs w:val="22"/>
        </w:rPr>
      </w:pPr>
      <w:r w:rsidRPr="00B2709F">
        <w:rPr>
          <w:szCs w:val="22"/>
        </w:rPr>
        <w:t xml:space="preserve">Nav pierādījumu par ietekmi uz spēju </w:t>
      </w:r>
      <w:r w:rsidR="0012694E" w:rsidRPr="00B2709F">
        <w:rPr>
          <w:szCs w:val="22"/>
        </w:rPr>
        <w:t>vadīt transportl</w:t>
      </w:r>
      <w:r w:rsidRPr="00B2709F">
        <w:rPr>
          <w:szCs w:val="22"/>
        </w:rPr>
        <w:t>īdzekļus un apkalpot mehānismus.</w:t>
      </w:r>
    </w:p>
    <w:p w14:paraId="7FD66C1D" w14:textId="77777777" w:rsidR="00254C2A" w:rsidRPr="00B2709F" w:rsidRDefault="00254C2A" w:rsidP="00FD0398">
      <w:pPr>
        <w:spacing w:line="240" w:lineRule="auto"/>
        <w:rPr>
          <w:szCs w:val="22"/>
        </w:rPr>
      </w:pPr>
      <w:r w:rsidRPr="00B2709F">
        <w:rPr>
          <w:szCs w:val="22"/>
        </w:rPr>
        <w:t>Pētījumi par ietekmi uz spēju vadīt transportlīdzekļus un apkalpot mehānismus nav veikti.</w:t>
      </w:r>
    </w:p>
    <w:p w14:paraId="5FFE8FA4" w14:textId="77777777" w:rsidR="0012694E" w:rsidRPr="00B2709F" w:rsidRDefault="0012694E" w:rsidP="00FD0398">
      <w:pPr>
        <w:spacing w:line="240" w:lineRule="auto"/>
        <w:rPr>
          <w:szCs w:val="22"/>
        </w:rPr>
      </w:pPr>
    </w:p>
    <w:p w14:paraId="43D97134" w14:textId="77777777" w:rsidR="0012694E" w:rsidRPr="00B2709F" w:rsidRDefault="0012694E" w:rsidP="00FD0398">
      <w:pPr>
        <w:spacing w:line="240" w:lineRule="auto"/>
        <w:rPr>
          <w:b/>
          <w:szCs w:val="22"/>
        </w:rPr>
      </w:pPr>
      <w:r w:rsidRPr="00B2709F">
        <w:rPr>
          <w:b/>
          <w:szCs w:val="22"/>
        </w:rPr>
        <w:t>4.8</w:t>
      </w:r>
      <w:r w:rsidR="0038607D" w:rsidRPr="00B2709F">
        <w:rPr>
          <w:b/>
          <w:szCs w:val="22"/>
        </w:rPr>
        <w:t>.</w:t>
      </w:r>
      <w:r w:rsidRPr="00B2709F">
        <w:rPr>
          <w:b/>
          <w:szCs w:val="22"/>
        </w:rPr>
        <w:tab/>
        <w:t>Nevēlamās blakusparādības</w:t>
      </w:r>
    </w:p>
    <w:p w14:paraId="07D89D94" w14:textId="77777777" w:rsidR="00122AD5" w:rsidRPr="00B2709F" w:rsidRDefault="00122AD5" w:rsidP="00FD0398">
      <w:pPr>
        <w:pStyle w:val="BodyText"/>
        <w:tabs>
          <w:tab w:val="left" w:pos="567"/>
        </w:tabs>
        <w:rPr>
          <w:szCs w:val="22"/>
        </w:rPr>
      </w:pPr>
    </w:p>
    <w:p w14:paraId="1C21E766" w14:textId="77777777" w:rsidR="00122AD5" w:rsidRPr="00B2709F" w:rsidRDefault="00122AD5" w:rsidP="00FD0398">
      <w:pPr>
        <w:pStyle w:val="BodyText"/>
        <w:tabs>
          <w:tab w:val="left" w:pos="567"/>
        </w:tabs>
        <w:rPr>
          <w:szCs w:val="22"/>
        </w:rPr>
      </w:pPr>
      <w:r w:rsidRPr="00B2709F">
        <w:rPr>
          <w:szCs w:val="22"/>
        </w:rPr>
        <w:t>Novērtējot nevēlamās blakusparādības, tiek izmantots šāds sastopamības iedalījums:</w:t>
      </w:r>
    </w:p>
    <w:p w14:paraId="5BB6E31C" w14:textId="77777777" w:rsidR="00122AD5" w:rsidRPr="00B2709F" w:rsidRDefault="00122AD5" w:rsidP="00FD0398">
      <w:pPr>
        <w:pStyle w:val="BodyText"/>
        <w:tabs>
          <w:tab w:val="left" w:pos="567"/>
        </w:tabs>
        <w:rPr>
          <w:szCs w:val="22"/>
        </w:rPr>
      </w:pPr>
    </w:p>
    <w:p w14:paraId="123385B6" w14:textId="759F7071" w:rsidR="00A0272B" w:rsidRPr="002264AE" w:rsidRDefault="00612C5F" w:rsidP="00A0272B">
      <w:pPr>
        <w:pStyle w:val="BodyText"/>
        <w:tabs>
          <w:tab w:val="left" w:pos="567"/>
        </w:tabs>
        <w:rPr>
          <w:szCs w:val="22"/>
        </w:rPr>
      </w:pPr>
      <w:r>
        <w:rPr>
          <w:szCs w:val="22"/>
        </w:rPr>
        <w:t>ļ</w:t>
      </w:r>
      <w:r w:rsidRPr="002264AE">
        <w:rPr>
          <w:szCs w:val="22"/>
        </w:rPr>
        <w:t xml:space="preserve">oti </w:t>
      </w:r>
      <w:r w:rsidR="00A0272B" w:rsidRPr="002264AE">
        <w:rPr>
          <w:szCs w:val="22"/>
        </w:rPr>
        <w:t>bieži:</w:t>
      </w:r>
      <w:r w:rsidR="00A0272B" w:rsidRPr="002264AE">
        <w:rPr>
          <w:szCs w:val="22"/>
        </w:rPr>
        <w:tab/>
        <w:t>≥1/10</w:t>
      </w:r>
      <w:r>
        <w:rPr>
          <w:szCs w:val="22"/>
        </w:rPr>
        <w:t>;</w:t>
      </w:r>
    </w:p>
    <w:p w14:paraId="5D9D571B" w14:textId="02390170" w:rsidR="00A0272B" w:rsidRPr="002264AE" w:rsidRDefault="00612C5F" w:rsidP="00A0272B">
      <w:pPr>
        <w:pStyle w:val="BodyText"/>
        <w:tabs>
          <w:tab w:val="left" w:pos="567"/>
        </w:tabs>
        <w:rPr>
          <w:szCs w:val="22"/>
        </w:rPr>
      </w:pPr>
      <w:r>
        <w:rPr>
          <w:szCs w:val="22"/>
        </w:rPr>
        <w:t>b</w:t>
      </w:r>
      <w:r w:rsidRPr="002264AE">
        <w:rPr>
          <w:szCs w:val="22"/>
        </w:rPr>
        <w:t>ieži</w:t>
      </w:r>
      <w:r w:rsidR="00A0272B" w:rsidRPr="002264AE">
        <w:rPr>
          <w:szCs w:val="22"/>
        </w:rPr>
        <w:t>:</w:t>
      </w:r>
      <w:r w:rsidR="00A0272B" w:rsidRPr="002264AE">
        <w:rPr>
          <w:szCs w:val="22"/>
        </w:rPr>
        <w:tab/>
      </w:r>
      <w:r w:rsidR="00A0272B" w:rsidRPr="002264AE">
        <w:rPr>
          <w:szCs w:val="22"/>
        </w:rPr>
        <w:tab/>
      </w:r>
      <w:r w:rsidR="00A0272B" w:rsidRPr="002264AE">
        <w:rPr>
          <w:szCs w:val="22"/>
        </w:rPr>
        <w:tab/>
        <w:t>≥1/100</w:t>
      </w:r>
      <w:r w:rsidR="00D148A7">
        <w:rPr>
          <w:szCs w:val="22"/>
        </w:rPr>
        <w:t xml:space="preserve"> līdz </w:t>
      </w:r>
      <w:r w:rsidR="00D148A7" w:rsidRPr="002264AE">
        <w:rPr>
          <w:szCs w:val="22"/>
        </w:rPr>
        <w:t>&lt;</w:t>
      </w:r>
      <w:r w:rsidR="00A0272B" w:rsidRPr="002264AE">
        <w:rPr>
          <w:szCs w:val="22"/>
        </w:rPr>
        <w:t>1/10</w:t>
      </w:r>
      <w:r>
        <w:rPr>
          <w:szCs w:val="22"/>
        </w:rPr>
        <w:t>;</w:t>
      </w:r>
    </w:p>
    <w:p w14:paraId="7823854A" w14:textId="4E84D15F" w:rsidR="00A0272B" w:rsidRPr="002264AE" w:rsidRDefault="00612C5F" w:rsidP="00CE01B2">
      <w:pPr>
        <w:pStyle w:val="BodyText"/>
        <w:rPr>
          <w:szCs w:val="22"/>
        </w:rPr>
      </w:pPr>
      <w:r>
        <w:rPr>
          <w:szCs w:val="22"/>
        </w:rPr>
        <w:t>r</w:t>
      </w:r>
      <w:r w:rsidRPr="002264AE">
        <w:rPr>
          <w:szCs w:val="22"/>
        </w:rPr>
        <w:t>etāk</w:t>
      </w:r>
      <w:r w:rsidR="00A0272B" w:rsidRPr="002264AE">
        <w:rPr>
          <w:szCs w:val="22"/>
        </w:rPr>
        <w:t>:</w:t>
      </w:r>
      <w:r w:rsidR="00A0272B" w:rsidRPr="002264AE">
        <w:rPr>
          <w:szCs w:val="22"/>
        </w:rPr>
        <w:tab/>
      </w:r>
      <w:r w:rsidR="00A0272B" w:rsidRPr="002264AE">
        <w:rPr>
          <w:szCs w:val="22"/>
        </w:rPr>
        <w:tab/>
        <w:t>≥1/1000</w:t>
      </w:r>
      <w:r w:rsidR="00D148A7">
        <w:rPr>
          <w:szCs w:val="22"/>
        </w:rPr>
        <w:t xml:space="preserve"> līdz </w:t>
      </w:r>
      <w:r w:rsidR="00A0272B" w:rsidRPr="002264AE">
        <w:rPr>
          <w:szCs w:val="22"/>
        </w:rPr>
        <w:t>&lt;1/100</w:t>
      </w:r>
      <w:r>
        <w:rPr>
          <w:szCs w:val="22"/>
        </w:rPr>
        <w:t>;</w:t>
      </w:r>
    </w:p>
    <w:p w14:paraId="05BD69F6" w14:textId="7B874B75" w:rsidR="00A0272B" w:rsidRPr="002264AE" w:rsidRDefault="00612C5F" w:rsidP="00A0272B">
      <w:pPr>
        <w:pStyle w:val="BodyText"/>
        <w:tabs>
          <w:tab w:val="left" w:pos="567"/>
        </w:tabs>
        <w:rPr>
          <w:szCs w:val="22"/>
        </w:rPr>
      </w:pPr>
      <w:r>
        <w:rPr>
          <w:szCs w:val="22"/>
        </w:rPr>
        <w:t>r</w:t>
      </w:r>
      <w:r w:rsidRPr="002264AE">
        <w:rPr>
          <w:szCs w:val="22"/>
        </w:rPr>
        <w:t>eti</w:t>
      </w:r>
      <w:r w:rsidR="00A0272B" w:rsidRPr="002264AE">
        <w:rPr>
          <w:szCs w:val="22"/>
        </w:rPr>
        <w:t>:</w:t>
      </w:r>
      <w:r w:rsidR="00A0272B" w:rsidRPr="002264AE">
        <w:rPr>
          <w:szCs w:val="22"/>
        </w:rPr>
        <w:tab/>
      </w:r>
      <w:r w:rsidR="00A0272B" w:rsidRPr="002264AE">
        <w:rPr>
          <w:szCs w:val="22"/>
        </w:rPr>
        <w:tab/>
      </w:r>
      <w:r w:rsidR="00A0272B" w:rsidRPr="002264AE">
        <w:rPr>
          <w:szCs w:val="22"/>
        </w:rPr>
        <w:tab/>
        <w:t>≥1/10 000</w:t>
      </w:r>
      <w:r w:rsidR="00D148A7">
        <w:rPr>
          <w:szCs w:val="22"/>
        </w:rPr>
        <w:t xml:space="preserve"> līdz </w:t>
      </w:r>
      <w:r w:rsidR="00A0272B" w:rsidRPr="002264AE">
        <w:rPr>
          <w:szCs w:val="22"/>
        </w:rPr>
        <w:t>&lt;1/1000</w:t>
      </w:r>
      <w:r>
        <w:rPr>
          <w:szCs w:val="22"/>
        </w:rPr>
        <w:t>;</w:t>
      </w:r>
    </w:p>
    <w:p w14:paraId="4E96C26E" w14:textId="1066BFEB" w:rsidR="00A0272B" w:rsidRPr="002264AE" w:rsidRDefault="00612C5F" w:rsidP="00A0272B">
      <w:pPr>
        <w:pStyle w:val="BodyText"/>
        <w:tabs>
          <w:tab w:val="left" w:pos="567"/>
        </w:tabs>
        <w:rPr>
          <w:szCs w:val="22"/>
        </w:rPr>
      </w:pPr>
      <w:r>
        <w:rPr>
          <w:szCs w:val="22"/>
        </w:rPr>
        <w:t>ļ</w:t>
      </w:r>
      <w:r w:rsidRPr="002264AE">
        <w:rPr>
          <w:szCs w:val="22"/>
        </w:rPr>
        <w:t xml:space="preserve">oti </w:t>
      </w:r>
      <w:r w:rsidR="00A0272B" w:rsidRPr="002264AE">
        <w:rPr>
          <w:szCs w:val="22"/>
        </w:rPr>
        <w:t>reti:</w:t>
      </w:r>
      <w:r>
        <w:rPr>
          <w:szCs w:val="22"/>
        </w:rPr>
        <w:t xml:space="preserve"> </w:t>
      </w:r>
      <w:r w:rsidR="00A0272B" w:rsidRPr="002264AE">
        <w:rPr>
          <w:szCs w:val="22"/>
        </w:rPr>
        <w:tab/>
        <w:t>&lt;1/10 000</w:t>
      </w:r>
      <w:r>
        <w:rPr>
          <w:szCs w:val="22"/>
        </w:rPr>
        <w:t>;</w:t>
      </w:r>
    </w:p>
    <w:p w14:paraId="08ADDB6B" w14:textId="546AD63A" w:rsidR="00122AD5" w:rsidRPr="00B2709F" w:rsidRDefault="00612C5F" w:rsidP="00FD0398">
      <w:pPr>
        <w:pStyle w:val="BodyText"/>
        <w:tabs>
          <w:tab w:val="left" w:pos="567"/>
        </w:tabs>
        <w:rPr>
          <w:bCs/>
          <w:noProof/>
          <w:szCs w:val="22"/>
          <w:lang w:val="fr-FR"/>
        </w:rPr>
      </w:pPr>
      <w:r>
        <w:rPr>
          <w:szCs w:val="22"/>
        </w:rPr>
        <w:t>n</w:t>
      </w:r>
      <w:r w:rsidRPr="00B2709F">
        <w:rPr>
          <w:bCs/>
          <w:noProof/>
          <w:szCs w:val="22"/>
          <w:lang w:val="fr-FR"/>
        </w:rPr>
        <w:t xml:space="preserve">av </w:t>
      </w:r>
      <w:r w:rsidR="00122AD5" w:rsidRPr="00B2709F">
        <w:rPr>
          <w:bCs/>
          <w:noProof/>
          <w:szCs w:val="22"/>
          <w:lang w:val="fr-FR"/>
        </w:rPr>
        <w:t>zinām</w:t>
      </w:r>
      <w:r w:rsidR="00A0272B">
        <w:rPr>
          <w:bCs/>
          <w:noProof/>
          <w:szCs w:val="22"/>
          <w:lang w:val="fr-FR"/>
        </w:rPr>
        <w:t>i</w:t>
      </w:r>
      <w:r w:rsidR="00122AD5" w:rsidRPr="00B2709F">
        <w:rPr>
          <w:bCs/>
          <w:noProof/>
          <w:szCs w:val="22"/>
          <w:lang w:val="fr-FR"/>
        </w:rPr>
        <w:t xml:space="preserve"> (nevar noteikt pēc pieejamiem datiem).</w:t>
      </w:r>
    </w:p>
    <w:p w14:paraId="10C7491A" w14:textId="77777777" w:rsidR="00122AD5" w:rsidRPr="00B2709F" w:rsidRDefault="00122AD5" w:rsidP="00FD0398">
      <w:pPr>
        <w:pStyle w:val="BodyText"/>
        <w:tabs>
          <w:tab w:val="left" w:pos="567"/>
        </w:tabs>
        <w:rPr>
          <w:bCs/>
          <w:noProof/>
          <w:szCs w:val="22"/>
          <w:lang w:val="fr-FR"/>
        </w:rPr>
      </w:pPr>
    </w:p>
    <w:p w14:paraId="484C2AE2" w14:textId="77777777" w:rsidR="00B85B1A" w:rsidRPr="00B2709F" w:rsidRDefault="00B85B1A" w:rsidP="00FD0398">
      <w:pPr>
        <w:pStyle w:val="BodyText"/>
        <w:tabs>
          <w:tab w:val="left" w:pos="567"/>
        </w:tabs>
        <w:rPr>
          <w:noProof/>
          <w:szCs w:val="22"/>
          <w:u w:val="single"/>
          <w:lang w:val="fr-FR"/>
        </w:rPr>
      </w:pPr>
      <w:r w:rsidRPr="00B2709F">
        <w:rPr>
          <w:noProof/>
          <w:szCs w:val="22"/>
          <w:u w:val="single"/>
          <w:lang w:val="fr-FR"/>
        </w:rPr>
        <w:t>Imūnās sistēmas traucējumi</w:t>
      </w:r>
    </w:p>
    <w:p w14:paraId="2D160209" w14:textId="3C4EECF1" w:rsidR="0056221C" w:rsidRPr="00B2709F" w:rsidRDefault="0056221C" w:rsidP="0056221C">
      <w:pPr>
        <w:pStyle w:val="BodyText"/>
        <w:tabs>
          <w:tab w:val="left" w:pos="567"/>
        </w:tabs>
        <w:rPr>
          <w:noProof/>
          <w:szCs w:val="22"/>
          <w:lang w:val="fr-FR"/>
        </w:rPr>
      </w:pPr>
      <w:r w:rsidRPr="00B2709F">
        <w:rPr>
          <w:noProof/>
          <w:szCs w:val="22"/>
          <w:lang w:val="fr-FR"/>
        </w:rPr>
        <w:t>Retāk: drudzis.</w:t>
      </w:r>
    </w:p>
    <w:p w14:paraId="4058D641" w14:textId="3AE4BB1C" w:rsidR="00B85B1A" w:rsidRPr="00B2709F" w:rsidRDefault="00817F87" w:rsidP="00FD0398">
      <w:pPr>
        <w:pStyle w:val="BodyText"/>
        <w:tabs>
          <w:tab w:val="left" w:pos="567"/>
        </w:tabs>
        <w:rPr>
          <w:noProof/>
          <w:szCs w:val="22"/>
          <w:lang w:val="fr-FR"/>
        </w:rPr>
      </w:pPr>
      <w:r w:rsidRPr="00B2709F">
        <w:rPr>
          <w:noProof/>
          <w:szCs w:val="22"/>
          <w:lang w:val="fr-FR"/>
        </w:rPr>
        <w:t xml:space="preserve">Reti: </w:t>
      </w:r>
      <w:r w:rsidR="0056221C" w:rsidRPr="002264AE">
        <w:rPr>
          <w:szCs w:val="22"/>
        </w:rPr>
        <w:t>paaugstinātas jutības reakcijas</w:t>
      </w:r>
      <w:r w:rsidR="0056221C">
        <w:rPr>
          <w:szCs w:val="22"/>
        </w:rPr>
        <w:t>.</w:t>
      </w:r>
    </w:p>
    <w:p w14:paraId="2B20644A" w14:textId="73EAE7AD" w:rsidR="00B85B1A" w:rsidRPr="00B2709F" w:rsidRDefault="00817F87" w:rsidP="00FD0398">
      <w:pPr>
        <w:pStyle w:val="BodyText"/>
        <w:tabs>
          <w:tab w:val="left" w:pos="567"/>
        </w:tabs>
        <w:rPr>
          <w:noProof/>
          <w:szCs w:val="22"/>
          <w:lang w:val="fr-FR"/>
        </w:rPr>
      </w:pPr>
      <w:r w:rsidRPr="00B2709F">
        <w:rPr>
          <w:noProof/>
          <w:szCs w:val="22"/>
          <w:lang w:val="fr-FR"/>
        </w:rPr>
        <w:t>Nav zinām</w:t>
      </w:r>
      <w:r w:rsidR="0056221C">
        <w:rPr>
          <w:noProof/>
          <w:szCs w:val="22"/>
          <w:lang w:val="fr-FR"/>
        </w:rPr>
        <w:t>i</w:t>
      </w:r>
      <w:r w:rsidRPr="00B2709F">
        <w:rPr>
          <w:noProof/>
          <w:szCs w:val="22"/>
          <w:lang w:val="fr-FR"/>
        </w:rPr>
        <w:t xml:space="preserve">: anafilaktiskas reakcijas, </w:t>
      </w:r>
      <w:r w:rsidR="0056221C" w:rsidRPr="002264AE">
        <w:rPr>
          <w:szCs w:val="22"/>
        </w:rPr>
        <w:t>ieskaitot anafilaktisko šoku, angioedēma un nieze</w:t>
      </w:r>
      <w:r w:rsidR="0056221C">
        <w:rPr>
          <w:szCs w:val="22"/>
        </w:rPr>
        <w:t>.</w:t>
      </w:r>
    </w:p>
    <w:p w14:paraId="14B43B35" w14:textId="77777777" w:rsidR="006A1373" w:rsidRDefault="006A1373" w:rsidP="006A1373">
      <w:pPr>
        <w:pStyle w:val="BodyText"/>
        <w:tabs>
          <w:tab w:val="left" w:pos="567"/>
        </w:tabs>
        <w:rPr>
          <w:szCs w:val="22"/>
          <w:u w:val="single"/>
        </w:rPr>
      </w:pPr>
    </w:p>
    <w:p w14:paraId="61502F4D" w14:textId="77777777" w:rsidR="006A1373" w:rsidRPr="00B2709F" w:rsidRDefault="006A1373" w:rsidP="006A1373">
      <w:pPr>
        <w:pStyle w:val="BodyText"/>
        <w:tabs>
          <w:tab w:val="left" w:pos="567"/>
        </w:tabs>
        <w:rPr>
          <w:szCs w:val="22"/>
          <w:u w:val="single"/>
        </w:rPr>
      </w:pPr>
      <w:r w:rsidRPr="00B2709F">
        <w:rPr>
          <w:szCs w:val="22"/>
          <w:u w:val="single"/>
        </w:rPr>
        <w:t>Nervu sistēmas traucējumi</w:t>
      </w:r>
    </w:p>
    <w:p w14:paraId="5C338F03" w14:textId="15C6D521" w:rsidR="006A1373" w:rsidRPr="00B2709F" w:rsidRDefault="006A1373" w:rsidP="006A1373">
      <w:pPr>
        <w:pStyle w:val="BodyText"/>
        <w:tabs>
          <w:tab w:val="left" w:pos="567"/>
        </w:tabs>
        <w:rPr>
          <w:szCs w:val="22"/>
        </w:rPr>
      </w:pPr>
      <w:r w:rsidRPr="00B2709F">
        <w:rPr>
          <w:szCs w:val="22"/>
        </w:rPr>
        <w:t>Bieži: disgeizija (garšas sajūtas pārmaiņas).</w:t>
      </w:r>
    </w:p>
    <w:p w14:paraId="41025176" w14:textId="77777777" w:rsidR="006A1373" w:rsidRDefault="006A1373" w:rsidP="006A1373">
      <w:pPr>
        <w:pStyle w:val="BodyText"/>
        <w:tabs>
          <w:tab w:val="left" w:pos="567"/>
        </w:tabs>
        <w:rPr>
          <w:szCs w:val="22"/>
          <w:u w:val="single"/>
        </w:rPr>
      </w:pPr>
    </w:p>
    <w:p w14:paraId="10FC00E0" w14:textId="77777777" w:rsidR="006A1373" w:rsidRPr="00B2709F" w:rsidRDefault="006A1373" w:rsidP="006A1373">
      <w:pPr>
        <w:pStyle w:val="BodyText"/>
        <w:tabs>
          <w:tab w:val="left" w:pos="567"/>
        </w:tabs>
        <w:rPr>
          <w:szCs w:val="22"/>
          <w:u w:val="single"/>
        </w:rPr>
      </w:pPr>
      <w:r w:rsidRPr="00B2709F">
        <w:rPr>
          <w:szCs w:val="22"/>
          <w:u w:val="single"/>
        </w:rPr>
        <w:t>Kuņģa-zarnu trakta traucējumi</w:t>
      </w:r>
      <w:r>
        <w:rPr>
          <w:szCs w:val="22"/>
          <w:u w:val="single"/>
        </w:rPr>
        <w:t xml:space="preserve"> un e</w:t>
      </w:r>
      <w:r w:rsidRPr="00B2709F">
        <w:rPr>
          <w:szCs w:val="22"/>
          <w:u w:val="single"/>
        </w:rPr>
        <w:t>lpošanas sistēmas traucējumi, krūšu kurvja un videnes slimības</w:t>
      </w:r>
    </w:p>
    <w:p w14:paraId="2EBA3F28" w14:textId="70AD517B" w:rsidR="006A1373" w:rsidRPr="006A1373" w:rsidRDefault="006A1373" w:rsidP="006A1373">
      <w:pPr>
        <w:pStyle w:val="BodyText"/>
        <w:tabs>
          <w:tab w:val="left" w:pos="567"/>
        </w:tabs>
        <w:rPr>
          <w:szCs w:val="22"/>
        </w:rPr>
      </w:pPr>
      <w:r w:rsidRPr="00B2709F">
        <w:rPr>
          <w:noProof/>
          <w:szCs w:val="22"/>
          <w:lang w:val="fr-FR"/>
        </w:rPr>
        <w:t>Bieži: slikta dūša</w:t>
      </w:r>
      <w:r>
        <w:rPr>
          <w:noProof/>
          <w:szCs w:val="22"/>
          <w:lang w:val="fr-FR"/>
        </w:rPr>
        <w:t>,</w:t>
      </w:r>
      <w:r w:rsidRPr="006A1373">
        <w:rPr>
          <w:szCs w:val="22"/>
        </w:rPr>
        <w:t xml:space="preserve"> </w:t>
      </w:r>
      <w:r>
        <w:rPr>
          <w:szCs w:val="22"/>
        </w:rPr>
        <w:t>mutes un rīkles hipestēzija</w:t>
      </w:r>
      <w:r w:rsidRPr="00B2709F">
        <w:rPr>
          <w:noProof/>
          <w:szCs w:val="22"/>
          <w:lang w:val="fr-FR"/>
        </w:rPr>
        <w:t>.</w:t>
      </w:r>
    </w:p>
    <w:p w14:paraId="3A15BAB2" w14:textId="77FB313C" w:rsidR="006A1373" w:rsidRDefault="006A1373" w:rsidP="006A1373">
      <w:pPr>
        <w:pStyle w:val="BodyText"/>
        <w:tabs>
          <w:tab w:val="left" w:pos="567"/>
        </w:tabs>
        <w:rPr>
          <w:noProof/>
          <w:szCs w:val="22"/>
          <w:lang w:val="fr-FR"/>
        </w:rPr>
      </w:pPr>
      <w:r w:rsidRPr="00B2709F">
        <w:rPr>
          <w:noProof/>
          <w:szCs w:val="22"/>
          <w:lang w:val="fr-FR"/>
        </w:rPr>
        <w:t>Retāk: vemšana, sausums</w:t>
      </w:r>
      <w:r w:rsidR="00634091">
        <w:rPr>
          <w:noProof/>
          <w:szCs w:val="22"/>
          <w:lang w:val="fr-FR"/>
        </w:rPr>
        <w:t xml:space="preserve"> mutē</w:t>
      </w:r>
      <w:r w:rsidRPr="00B2709F">
        <w:rPr>
          <w:noProof/>
          <w:szCs w:val="22"/>
          <w:lang w:val="fr-FR"/>
        </w:rPr>
        <w:t>, caureja, dispepsija un vēdersāpes.</w:t>
      </w:r>
    </w:p>
    <w:p w14:paraId="6EA81E58" w14:textId="522C4745" w:rsidR="006A1373" w:rsidRPr="00B2709F" w:rsidRDefault="006A1373" w:rsidP="006A1373">
      <w:pPr>
        <w:pStyle w:val="BodyText"/>
        <w:tabs>
          <w:tab w:val="left" w:pos="567"/>
        </w:tabs>
        <w:rPr>
          <w:noProof/>
          <w:szCs w:val="22"/>
          <w:lang w:val="fr-FR"/>
        </w:rPr>
      </w:pPr>
      <w:r w:rsidRPr="00B2709F">
        <w:rPr>
          <w:szCs w:val="22"/>
        </w:rPr>
        <w:t>Nav zinām</w:t>
      </w:r>
      <w:r>
        <w:rPr>
          <w:szCs w:val="22"/>
        </w:rPr>
        <w:t>i</w:t>
      </w:r>
      <w:r w:rsidRPr="00B2709F">
        <w:rPr>
          <w:szCs w:val="22"/>
        </w:rPr>
        <w:t xml:space="preserve">: </w:t>
      </w:r>
      <w:r w:rsidR="003742DE">
        <w:rPr>
          <w:szCs w:val="22"/>
        </w:rPr>
        <w:t>s</w:t>
      </w:r>
      <w:r w:rsidRPr="00B2709F">
        <w:rPr>
          <w:szCs w:val="22"/>
        </w:rPr>
        <w:t>ausums</w:t>
      </w:r>
      <w:r w:rsidR="00E14CC9">
        <w:rPr>
          <w:szCs w:val="22"/>
        </w:rPr>
        <w:t xml:space="preserve"> rīklē</w:t>
      </w:r>
      <w:r w:rsidRPr="00B2709F">
        <w:rPr>
          <w:szCs w:val="22"/>
        </w:rPr>
        <w:t>.</w:t>
      </w:r>
    </w:p>
    <w:p w14:paraId="42A11473" w14:textId="77777777" w:rsidR="00817F87" w:rsidRPr="00B2709F" w:rsidRDefault="00817F87" w:rsidP="00FD0398">
      <w:pPr>
        <w:pStyle w:val="BodyText"/>
        <w:tabs>
          <w:tab w:val="left" w:pos="567"/>
        </w:tabs>
        <w:rPr>
          <w:noProof/>
          <w:szCs w:val="22"/>
          <w:lang w:val="fr-FR"/>
        </w:rPr>
      </w:pPr>
    </w:p>
    <w:p w14:paraId="389A4AA2" w14:textId="77777777" w:rsidR="00817F87" w:rsidRPr="00B2709F" w:rsidRDefault="00D124E5" w:rsidP="00FD0398">
      <w:pPr>
        <w:pStyle w:val="BodyText"/>
        <w:tabs>
          <w:tab w:val="left" w:pos="567"/>
        </w:tabs>
        <w:rPr>
          <w:noProof/>
          <w:szCs w:val="22"/>
          <w:u w:val="single"/>
          <w:lang w:val="fr-FR"/>
        </w:rPr>
      </w:pPr>
      <w:r w:rsidRPr="00B2709F">
        <w:rPr>
          <w:noProof/>
          <w:szCs w:val="22"/>
          <w:u w:val="single"/>
          <w:lang w:val="fr-FR"/>
        </w:rPr>
        <w:t>Ādas un zemādas audu bojājumi</w:t>
      </w:r>
    </w:p>
    <w:p w14:paraId="122DEDF0" w14:textId="77777777" w:rsidR="00C53A00" w:rsidRPr="002264AE" w:rsidRDefault="00C53A00" w:rsidP="00C53A00">
      <w:pPr>
        <w:pStyle w:val="Default"/>
        <w:rPr>
          <w:rFonts w:ascii="Times New Roman" w:hAnsi="Times New Roman" w:cs="Times New Roman"/>
          <w:sz w:val="22"/>
          <w:szCs w:val="22"/>
          <w:lang w:val="lv-LV"/>
        </w:rPr>
      </w:pPr>
      <w:r w:rsidRPr="002264AE">
        <w:rPr>
          <w:rFonts w:ascii="Times New Roman" w:hAnsi="Times New Roman" w:cs="Times New Roman"/>
          <w:sz w:val="22"/>
          <w:szCs w:val="22"/>
          <w:lang w:val="lv-LV"/>
        </w:rPr>
        <w:t>Reti: izsitumi, nātrene</w:t>
      </w:r>
      <w:r>
        <w:rPr>
          <w:rFonts w:ascii="Times New Roman" w:hAnsi="Times New Roman" w:cs="Times New Roman"/>
          <w:sz w:val="22"/>
          <w:szCs w:val="22"/>
          <w:lang w:val="lv-LV"/>
        </w:rPr>
        <w:t>.</w:t>
      </w:r>
    </w:p>
    <w:p w14:paraId="070DD5CD" w14:textId="77777777" w:rsidR="00B07564" w:rsidRPr="00B2709F" w:rsidRDefault="00C53A00" w:rsidP="00C53A00">
      <w:pPr>
        <w:pStyle w:val="BodyText"/>
        <w:tabs>
          <w:tab w:val="left" w:pos="567"/>
        </w:tabs>
        <w:rPr>
          <w:szCs w:val="22"/>
        </w:rPr>
      </w:pPr>
      <w:r w:rsidRPr="002264AE">
        <w:rPr>
          <w:szCs w:val="22"/>
        </w:rPr>
        <w:t xml:space="preserve">Nav zināmi: smagas ādas reakcijas (ieskaitot </w:t>
      </w:r>
      <w:r w:rsidRPr="002264AE">
        <w:rPr>
          <w:i/>
          <w:iCs/>
          <w:szCs w:val="22"/>
        </w:rPr>
        <w:t>erythema multiforme</w:t>
      </w:r>
      <w:r w:rsidRPr="002264AE">
        <w:rPr>
          <w:szCs w:val="22"/>
        </w:rPr>
        <w:t>, Stīvensa-Džonsona sindromu/toksisko epidermas nekrolīzi un akūtu ģeneralizētu eksantematozu pustulozi).</w:t>
      </w:r>
    </w:p>
    <w:p w14:paraId="38CFC322" w14:textId="77777777" w:rsidR="00B07564" w:rsidRPr="00B2709F" w:rsidRDefault="00B07564" w:rsidP="00FD0398">
      <w:pPr>
        <w:pStyle w:val="BodyText"/>
        <w:tabs>
          <w:tab w:val="left" w:pos="567"/>
        </w:tabs>
        <w:rPr>
          <w:szCs w:val="22"/>
        </w:rPr>
      </w:pPr>
    </w:p>
    <w:p w14:paraId="157DC8E5" w14:textId="77777777" w:rsidR="00C5604E" w:rsidRPr="002264AE" w:rsidRDefault="00C5604E" w:rsidP="00C5604E">
      <w:pPr>
        <w:autoSpaceDE w:val="0"/>
        <w:autoSpaceDN w:val="0"/>
        <w:adjustRightInd w:val="0"/>
        <w:jc w:val="both"/>
        <w:rPr>
          <w:szCs w:val="22"/>
          <w:u w:val="single"/>
        </w:rPr>
      </w:pPr>
      <w:r w:rsidRPr="002264AE">
        <w:rPr>
          <w:szCs w:val="22"/>
          <w:u w:val="single"/>
        </w:rPr>
        <w:t>Ziņošana par iespējamām nevēlamām blakusparādībām</w:t>
      </w:r>
    </w:p>
    <w:p w14:paraId="1590AEFE" w14:textId="780E190F" w:rsidR="00C5604E" w:rsidRPr="002264AE" w:rsidRDefault="00C5604E" w:rsidP="00C5604E">
      <w:pPr>
        <w:pStyle w:val="BodyText"/>
        <w:tabs>
          <w:tab w:val="left" w:pos="567"/>
        </w:tabs>
        <w:rPr>
          <w:szCs w:val="22"/>
        </w:rPr>
      </w:pPr>
      <w:r w:rsidRPr="002264AE">
        <w:rPr>
          <w:szCs w:val="22"/>
        </w:rPr>
        <w:t xml:space="preserve">Ir svarīgi ziņot par iespējamām nevēlamām blakusparādībām pēc zāļu reģistrācijas. Tādējādi zāļu ieguvuma/riska attiecība tiek nepārtraukti uzraudzīta. Veselības aprūpes speciālisti tiek lūgti ziņot par jebkādām iespējamām nevēlamām blakusparādībām Zāļu valsts aģentūrai, Jersikas ielā 15, Rīgā, LV 1003. </w:t>
      </w:r>
    </w:p>
    <w:p w14:paraId="6A9609C8" w14:textId="77777777" w:rsidR="00C5604E" w:rsidRPr="002264AE" w:rsidRDefault="00C5604E" w:rsidP="00C5604E">
      <w:pPr>
        <w:pStyle w:val="BodyText"/>
        <w:tabs>
          <w:tab w:val="left" w:pos="567"/>
        </w:tabs>
        <w:rPr>
          <w:szCs w:val="22"/>
        </w:rPr>
      </w:pPr>
      <w:r w:rsidRPr="002264AE">
        <w:rPr>
          <w:szCs w:val="22"/>
        </w:rPr>
        <w:t xml:space="preserve">Tīmekļa vietne: </w:t>
      </w:r>
      <w:hyperlink r:id="rId7" w:history="1">
        <w:r w:rsidRPr="002264AE">
          <w:rPr>
            <w:rStyle w:val="Hyperlink"/>
            <w:szCs w:val="22"/>
          </w:rPr>
          <w:t>www.zva.gov.lv</w:t>
        </w:r>
      </w:hyperlink>
      <w:r w:rsidRPr="002264AE">
        <w:rPr>
          <w:szCs w:val="22"/>
        </w:rPr>
        <w:t>.</w:t>
      </w:r>
    </w:p>
    <w:p w14:paraId="190230C0" w14:textId="77777777" w:rsidR="00817F87" w:rsidRPr="00B2709F" w:rsidRDefault="00817F87" w:rsidP="00FD0398">
      <w:pPr>
        <w:pStyle w:val="BodyText"/>
        <w:tabs>
          <w:tab w:val="left" w:pos="567"/>
        </w:tabs>
        <w:rPr>
          <w:szCs w:val="22"/>
        </w:rPr>
      </w:pPr>
    </w:p>
    <w:p w14:paraId="0414E93B" w14:textId="77777777" w:rsidR="0012694E" w:rsidRPr="00B2709F" w:rsidRDefault="0012694E" w:rsidP="00FD0398">
      <w:pPr>
        <w:spacing w:line="240" w:lineRule="auto"/>
        <w:rPr>
          <w:szCs w:val="22"/>
        </w:rPr>
      </w:pPr>
      <w:r w:rsidRPr="00B2709F">
        <w:rPr>
          <w:b/>
          <w:szCs w:val="22"/>
        </w:rPr>
        <w:t>4.9</w:t>
      </w:r>
      <w:r w:rsidR="0038607D" w:rsidRPr="00B2709F">
        <w:rPr>
          <w:b/>
          <w:szCs w:val="22"/>
        </w:rPr>
        <w:t>.</w:t>
      </w:r>
      <w:r w:rsidRPr="00B2709F">
        <w:rPr>
          <w:b/>
          <w:szCs w:val="22"/>
        </w:rPr>
        <w:tab/>
        <w:t>Pārdozēšana</w:t>
      </w:r>
    </w:p>
    <w:p w14:paraId="314427BE" w14:textId="77777777" w:rsidR="0012694E" w:rsidRPr="00B2709F" w:rsidRDefault="0012694E" w:rsidP="00FD0398">
      <w:pPr>
        <w:spacing w:line="240" w:lineRule="auto"/>
        <w:rPr>
          <w:szCs w:val="22"/>
        </w:rPr>
      </w:pPr>
    </w:p>
    <w:p w14:paraId="1EB57D6A" w14:textId="77777777" w:rsidR="00AA4D0D" w:rsidRPr="00AD2C0C" w:rsidRDefault="00AA4D0D" w:rsidP="00AA4D0D">
      <w:pPr>
        <w:pStyle w:val="BodyText"/>
        <w:tabs>
          <w:tab w:val="left" w:pos="567"/>
        </w:tabs>
        <w:rPr>
          <w:szCs w:val="22"/>
        </w:rPr>
      </w:pPr>
      <w:r w:rsidRPr="00AD2C0C">
        <w:rPr>
          <w:szCs w:val="22"/>
        </w:rPr>
        <w:t>Līdz šim nav saņemti ziņojumi par īpašiem pārdozēšanas simptomiem cilvēkiem.</w:t>
      </w:r>
    </w:p>
    <w:p w14:paraId="339919BC" w14:textId="77777777" w:rsidR="00AA4D0D" w:rsidRPr="00AD2C0C" w:rsidRDefault="00AA4D0D" w:rsidP="00AA4D0D">
      <w:pPr>
        <w:rPr>
          <w:szCs w:val="22"/>
        </w:rPr>
      </w:pPr>
      <w:r w:rsidRPr="00AD2C0C">
        <w:rPr>
          <w:szCs w:val="22"/>
        </w:rPr>
        <w:t>Ziņojumos par nejaušu pārdozēšanu un/vai ārstēšanas kļūdām minētie simptomi atbilst zināmajām ieteicamās devās lietot</w:t>
      </w:r>
      <w:r>
        <w:rPr>
          <w:szCs w:val="22"/>
        </w:rPr>
        <w:t>a</w:t>
      </w:r>
      <w:r w:rsidRPr="00AD2C0C">
        <w:rPr>
          <w:szCs w:val="22"/>
        </w:rPr>
        <w:t xml:space="preserve"> </w:t>
      </w:r>
      <w:r>
        <w:rPr>
          <w:szCs w:val="22"/>
        </w:rPr>
        <w:t>Flavamed</w:t>
      </w:r>
      <w:r w:rsidRPr="00AD2C0C">
        <w:rPr>
          <w:szCs w:val="22"/>
        </w:rPr>
        <w:t xml:space="preserve"> </w:t>
      </w:r>
      <w:r>
        <w:rPr>
          <w:szCs w:val="22"/>
        </w:rPr>
        <w:t xml:space="preserve">šķīduma </w:t>
      </w:r>
      <w:r w:rsidRPr="00AD2C0C">
        <w:rPr>
          <w:szCs w:val="22"/>
        </w:rPr>
        <w:t>blakusparādībām, un tādos gadījumos var būt nepieciešama simptomātiska ārstēšana.</w:t>
      </w:r>
    </w:p>
    <w:p w14:paraId="137D0D0D" w14:textId="77777777" w:rsidR="00951882" w:rsidRPr="00B2709F" w:rsidRDefault="00951882" w:rsidP="00FD0398">
      <w:pPr>
        <w:spacing w:line="240" w:lineRule="auto"/>
        <w:rPr>
          <w:szCs w:val="22"/>
        </w:rPr>
      </w:pPr>
    </w:p>
    <w:p w14:paraId="3F6A77B3" w14:textId="77777777" w:rsidR="0012694E" w:rsidRPr="00B2709F" w:rsidRDefault="0012694E" w:rsidP="00FD0398">
      <w:pPr>
        <w:spacing w:line="240" w:lineRule="auto"/>
        <w:rPr>
          <w:szCs w:val="22"/>
        </w:rPr>
      </w:pPr>
    </w:p>
    <w:p w14:paraId="727EEEE8" w14:textId="77777777" w:rsidR="0012694E" w:rsidRPr="00B2709F" w:rsidRDefault="0012694E" w:rsidP="00FD0398">
      <w:pPr>
        <w:spacing w:line="240" w:lineRule="auto"/>
        <w:rPr>
          <w:b/>
          <w:szCs w:val="22"/>
        </w:rPr>
      </w:pPr>
      <w:r w:rsidRPr="00B2709F">
        <w:rPr>
          <w:b/>
          <w:szCs w:val="22"/>
        </w:rPr>
        <w:lastRenderedPageBreak/>
        <w:t>5.</w:t>
      </w:r>
      <w:r w:rsidRPr="00B2709F">
        <w:rPr>
          <w:b/>
          <w:szCs w:val="22"/>
        </w:rPr>
        <w:tab/>
        <w:t xml:space="preserve">FARMAKOLOĢISKĀS ĪPAŠĪBAS </w:t>
      </w:r>
    </w:p>
    <w:p w14:paraId="0AA0352B" w14:textId="77777777" w:rsidR="0012694E" w:rsidRPr="00B2709F" w:rsidRDefault="0012694E" w:rsidP="00FD0398">
      <w:pPr>
        <w:spacing w:line="240" w:lineRule="auto"/>
        <w:rPr>
          <w:szCs w:val="22"/>
        </w:rPr>
      </w:pPr>
    </w:p>
    <w:p w14:paraId="3F2461E7" w14:textId="77777777" w:rsidR="0012694E" w:rsidRPr="00B2709F" w:rsidRDefault="0012694E" w:rsidP="00FD0398">
      <w:pPr>
        <w:spacing w:line="240" w:lineRule="auto"/>
        <w:rPr>
          <w:szCs w:val="22"/>
        </w:rPr>
      </w:pPr>
      <w:r w:rsidRPr="00B2709F">
        <w:rPr>
          <w:b/>
          <w:szCs w:val="22"/>
        </w:rPr>
        <w:t>5.1</w:t>
      </w:r>
      <w:r w:rsidR="0038607D" w:rsidRPr="00B2709F">
        <w:rPr>
          <w:b/>
          <w:szCs w:val="22"/>
        </w:rPr>
        <w:t>.</w:t>
      </w:r>
      <w:r w:rsidRPr="00B2709F">
        <w:rPr>
          <w:b/>
          <w:szCs w:val="22"/>
        </w:rPr>
        <w:tab/>
        <w:t>Farmakodinamiskās īpašības</w:t>
      </w:r>
    </w:p>
    <w:p w14:paraId="71CCA5FE" w14:textId="77777777" w:rsidR="0012694E" w:rsidRPr="00B2709F" w:rsidRDefault="0012694E" w:rsidP="00FD0398">
      <w:pPr>
        <w:spacing w:line="240" w:lineRule="auto"/>
        <w:rPr>
          <w:szCs w:val="22"/>
        </w:rPr>
      </w:pPr>
    </w:p>
    <w:p w14:paraId="530901A0" w14:textId="79ABFE4B" w:rsidR="00B6482E" w:rsidRPr="00B2709F" w:rsidRDefault="0012694E" w:rsidP="00FD0398">
      <w:pPr>
        <w:spacing w:line="240" w:lineRule="auto"/>
        <w:rPr>
          <w:szCs w:val="22"/>
          <w:lang w:eastAsia="lv-LV"/>
        </w:rPr>
      </w:pPr>
      <w:r w:rsidRPr="00B2709F">
        <w:rPr>
          <w:szCs w:val="22"/>
        </w:rPr>
        <w:t xml:space="preserve">Farmakoterapeitiskā grupa: </w:t>
      </w:r>
      <w:r w:rsidR="00A7370A">
        <w:rPr>
          <w:szCs w:val="22"/>
        </w:rPr>
        <w:t>p</w:t>
      </w:r>
      <w:r w:rsidR="00A7370A" w:rsidRPr="00B2709F">
        <w:rPr>
          <w:bCs/>
          <w:szCs w:val="22"/>
          <w:lang w:eastAsia="lv-LV"/>
        </w:rPr>
        <w:t xml:space="preserve">retklepus </w:t>
      </w:r>
      <w:r w:rsidR="005872CB" w:rsidRPr="00B2709F">
        <w:rPr>
          <w:bCs/>
          <w:szCs w:val="22"/>
          <w:lang w:eastAsia="lv-LV"/>
        </w:rPr>
        <w:t>un pretsaaukstēšanās līdzekļi</w:t>
      </w:r>
      <w:r w:rsidR="00B6482E" w:rsidRPr="00B2709F">
        <w:rPr>
          <w:bCs/>
          <w:szCs w:val="22"/>
          <w:lang w:eastAsia="lv-LV"/>
        </w:rPr>
        <w:t>, m</w:t>
      </w:r>
      <w:r w:rsidR="005872CB" w:rsidRPr="00B2709F">
        <w:rPr>
          <w:szCs w:val="22"/>
          <w:lang w:eastAsia="lv-LV"/>
        </w:rPr>
        <w:t>ukolītiski</w:t>
      </w:r>
      <w:r w:rsidR="00C072FE">
        <w:rPr>
          <w:szCs w:val="22"/>
          <w:lang w:eastAsia="lv-LV"/>
        </w:rPr>
        <w:t>e</w:t>
      </w:r>
      <w:r w:rsidR="005872CB" w:rsidRPr="00B2709F">
        <w:rPr>
          <w:szCs w:val="22"/>
          <w:lang w:eastAsia="lv-LV"/>
        </w:rPr>
        <w:t xml:space="preserve"> līdzekļi</w:t>
      </w:r>
    </w:p>
    <w:p w14:paraId="1B9036D0" w14:textId="77777777" w:rsidR="00B6482E" w:rsidRPr="00B2709F" w:rsidRDefault="00B6482E" w:rsidP="00FD0398">
      <w:pPr>
        <w:spacing w:line="240" w:lineRule="auto"/>
        <w:rPr>
          <w:noProof/>
          <w:szCs w:val="22"/>
        </w:rPr>
      </w:pPr>
      <w:r w:rsidRPr="00B2709F">
        <w:rPr>
          <w:noProof/>
          <w:szCs w:val="22"/>
        </w:rPr>
        <w:t>ATĶ kods: R05CB06</w:t>
      </w:r>
    </w:p>
    <w:p w14:paraId="06937B52" w14:textId="77777777" w:rsidR="0012694E" w:rsidRPr="00B2709F" w:rsidRDefault="0012694E" w:rsidP="00FD0398">
      <w:pPr>
        <w:spacing w:line="240" w:lineRule="auto"/>
        <w:rPr>
          <w:szCs w:val="22"/>
        </w:rPr>
      </w:pPr>
    </w:p>
    <w:p w14:paraId="62EE9D47" w14:textId="77777777" w:rsidR="00E477C0" w:rsidRPr="00B2709F" w:rsidRDefault="00E477C0" w:rsidP="00FD0398">
      <w:pPr>
        <w:pStyle w:val="BodyText"/>
        <w:tabs>
          <w:tab w:val="left" w:pos="567"/>
        </w:tabs>
        <w:rPr>
          <w:szCs w:val="22"/>
        </w:rPr>
      </w:pPr>
      <w:r w:rsidRPr="00B2709F">
        <w:rPr>
          <w:szCs w:val="22"/>
        </w:rPr>
        <w:t xml:space="preserve">Ambroksols – aizvietots benzilamīns – ir bromheksīna metabolīts. Atšķirībā no bromheksīna tam nav metilgrupas un cikloheksila gredzena para-trans pozīcijā ir hidroksilgrupa. Lai gan tā darbības mehānisms vēl nav pilnībā noskaidrots, tomēr dažādos izmeklējumos atklāta sekretolītiska un sekretomotora iedarbība. </w:t>
      </w:r>
    </w:p>
    <w:p w14:paraId="7714983D" w14:textId="77777777" w:rsidR="00B6482E" w:rsidRPr="00B2709F" w:rsidRDefault="00B6482E" w:rsidP="00FD0398">
      <w:pPr>
        <w:spacing w:line="240" w:lineRule="auto"/>
        <w:rPr>
          <w:szCs w:val="22"/>
        </w:rPr>
      </w:pPr>
    </w:p>
    <w:p w14:paraId="6C214821" w14:textId="56476CAB" w:rsidR="00516626" w:rsidRPr="00B2709F" w:rsidRDefault="00516626" w:rsidP="00FD0398">
      <w:pPr>
        <w:pStyle w:val="BodyText"/>
        <w:tabs>
          <w:tab w:val="left" w:pos="567"/>
        </w:tabs>
        <w:rPr>
          <w:szCs w:val="22"/>
        </w:rPr>
      </w:pPr>
      <w:r w:rsidRPr="00B2709F">
        <w:rPr>
          <w:szCs w:val="22"/>
        </w:rPr>
        <w:t xml:space="preserve">Pēc </w:t>
      </w:r>
      <w:r w:rsidR="00441ADE">
        <w:rPr>
          <w:szCs w:val="22"/>
        </w:rPr>
        <w:t>iekšķīgas</w:t>
      </w:r>
      <w:r w:rsidR="00441ADE" w:rsidRPr="00B2709F">
        <w:rPr>
          <w:szCs w:val="22"/>
        </w:rPr>
        <w:t xml:space="preserve"> </w:t>
      </w:r>
      <w:r w:rsidRPr="00B2709F">
        <w:rPr>
          <w:szCs w:val="22"/>
        </w:rPr>
        <w:t>lietošanas darbība sākas vidēji pēc 30 minūtēm un ilgst 6 – 12 stundas atkarībā no reizes devas.</w:t>
      </w:r>
    </w:p>
    <w:p w14:paraId="53D91073" w14:textId="77777777" w:rsidR="00E477C0" w:rsidRPr="00B2709F" w:rsidRDefault="00E477C0" w:rsidP="00FD0398">
      <w:pPr>
        <w:spacing w:line="240" w:lineRule="auto"/>
        <w:rPr>
          <w:szCs w:val="22"/>
        </w:rPr>
      </w:pPr>
    </w:p>
    <w:p w14:paraId="4958EC5C" w14:textId="77777777" w:rsidR="006573E8" w:rsidRPr="00B2709F" w:rsidRDefault="006573E8" w:rsidP="00FD0398">
      <w:pPr>
        <w:pStyle w:val="BodyText"/>
        <w:tabs>
          <w:tab w:val="left" w:pos="567"/>
        </w:tabs>
        <w:rPr>
          <w:szCs w:val="22"/>
        </w:rPr>
      </w:pPr>
      <w:r w:rsidRPr="00B2709F">
        <w:rPr>
          <w:szCs w:val="22"/>
        </w:rPr>
        <w:t>Preklīniskajās pārbaudēs noskaidrots, ka tas palielina serozā bronhu sekrēta daļu. Tiek uzskatīts, ka krēpu transportu veicina samazinātā viskozitāte un skropstiņepitēlija aktivēšana.</w:t>
      </w:r>
    </w:p>
    <w:p w14:paraId="7370646E" w14:textId="77777777" w:rsidR="006573E8" w:rsidRPr="00B2709F" w:rsidRDefault="006573E8" w:rsidP="00FD0398">
      <w:pPr>
        <w:spacing w:line="240" w:lineRule="auto"/>
        <w:rPr>
          <w:szCs w:val="22"/>
        </w:rPr>
      </w:pPr>
    </w:p>
    <w:p w14:paraId="39C9B617" w14:textId="77777777" w:rsidR="007F446B" w:rsidRPr="00B2709F" w:rsidRDefault="007F446B" w:rsidP="00FD0398">
      <w:pPr>
        <w:pStyle w:val="BodyText"/>
        <w:tabs>
          <w:tab w:val="left" w:pos="567"/>
        </w:tabs>
        <w:rPr>
          <w:szCs w:val="22"/>
        </w:rPr>
      </w:pPr>
      <w:r w:rsidRPr="00B2709F">
        <w:rPr>
          <w:szCs w:val="22"/>
        </w:rPr>
        <w:t>Ambroksols ierosina surfaktanta sistēmas aktivāciju, tieši iedarbojoties uz II tipa pneimocītiem alveolās un</w:t>
      </w:r>
      <w:r w:rsidRPr="00B2709F">
        <w:rPr>
          <w:i/>
          <w:iCs/>
          <w:szCs w:val="22"/>
        </w:rPr>
        <w:t xml:space="preserve"> Clara</w:t>
      </w:r>
      <w:r w:rsidRPr="00B2709F">
        <w:rPr>
          <w:szCs w:val="22"/>
        </w:rPr>
        <w:t xml:space="preserve"> šūnām sīko elpceļu apvidū.</w:t>
      </w:r>
    </w:p>
    <w:p w14:paraId="0A5B5A03" w14:textId="77777777" w:rsidR="00325864" w:rsidRPr="00B2709F" w:rsidRDefault="00325864" w:rsidP="00FD0398">
      <w:pPr>
        <w:spacing w:line="240" w:lineRule="auto"/>
        <w:rPr>
          <w:szCs w:val="22"/>
        </w:rPr>
      </w:pPr>
    </w:p>
    <w:p w14:paraId="6D98EDC5" w14:textId="77777777" w:rsidR="006E7A16" w:rsidRPr="00B2709F" w:rsidRDefault="006E7A16" w:rsidP="00FD0398">
      <w:pPr>
        <w:spacing w:line="240" w:lineRule="auto"/>
        <w:rPr>
          <w:szCs w:val="22"/>
        </w:rPr>
      </w:pPr>
      <w:r w:rsidRPr="00B2709F">
        <w:rPr>
          <w:szCs w:val="22"/>
        </w:rPr>
        <w:t xml:space="preserve">Tas veicina virsmas aktīvā materiāla veidošanos un izvadi augļa un pieauguša cilvēka plaušu alveolās un bronhos. Šī iedarbība pierādīta šūnu kultūrās un </w:t>
      </w:r>
      <w:r w:rsidRPr="00B2709F">
        <w:rPr>
          <w:i/>
          <w:iCs/>
          <w:szCs w:val="22"/>
        </w:rPr>
        <w:t>in vivo</w:t>
      </w:r>
      <w:r w:rsidRPr="00B2709F">
        <w:rPr>
          <w:szCs w:val="22"/>
        </w:rPr>
        <w:t xml:space="preserve"> dažādām sugām.</w:t>
      </w:r>
    </w:p>
    <w:p w14:paraId="1EE67FC0" w14:textId="77777777" w:rsidR="007F446B" w:rsidRPr="00B2709F" w:rsidRDefault="007F446B" w:rsidP="00FD0398">
      <w:pPr>
        <w:spacing w:line="240" w:lineRule="auto"/>
        <w:rPr>
          <w:szCs w:val="22"/>
        </w:rPr>
      </w:pPr>
    </w:p>
    <w:p w14:paraId="0BBFB2DC" w14:textId="77777777" w:rsidR="00B6482E" w:rsidRPr="00B2709F" w:rsidRDefault="007212D0" w:rsidP="00FD0398">
      <w:pPr>
        <w:spacing w:line="240" w:lineRule="auto"/>
        <w:rPr>
          <w:szCs w:val="22"/>
        </w:rPr>
      </w:pPr>
      <w:r w:rsidRPr="00B2709F">
        <w:rPr>
          <w:szCs w:val="22"/>
        </w:rPr>
        <w:t>K</w:t>
      </w:r>
      <w:r w:rsidR="00DB4BA9" w:rsidRPr="00B2709F">
        <w:rPr>
          <w:szCs w:val="22"/>
        </w:rPr>
        <w:t>rēpās un bronhu sekrētā</w:t>
      </w:r>
      <w:r w:rsidR="00146C1A" w:rsidRPr="00B2709F">
        <w:rPr>
          <w:szCs w:val="22"/>
        </w:rPr>
        <w:t xml:space="preserve"> </w:t>
      </w:r>
      <w:r w:rsidRPr="00B2709F">
        <w:rPr>
          <w:szCs w:val="22"/>
        </w:rPr>
        <w:t xml:space="preserve">pēc ambroksola lietošanas </w:t>
      </w:r>
      <w:r w:rsidR="00146C1A" w:rsidRPr="00B2709F">
        <w:rPr>
          <w:szCs w:val="22"/>
        </w:rPr>
        <w:t xml:space="preserve">palielinās antibiotisko līdzekļu (amoksicilīna, cefuroksīma, eritromicīna un doksiciklīna) koncentrācija. </w:t>
      </w:r>
      <w:r w:rsidR="004A32D0" w:rsidRPr="00B2709F">
        <w:rPr>
          <w:szCs w:val="22"/>
        </w:rPr>
        <w:t>Šī novērojuma klīniskā nozīme vēl nav skaidra.</w:t>
      </w:r>
    </w:p>
    <w:p w14:paraId="543D47AF" w14:textId="77777777" w:rsidR="004A32D0" w:rsidRPr="00B2709F" w:rsidRDefault="004A32D0" w:rsidP="00FD0398">
      <w:pPr>
        <w:spacing w:line="240" w:lineRule="auto"/>
        <w:rPr>
          <w:szCs w:val="22"/>
        </w:rPr>
      </w:pPr>
    </w:p>
    <w:p w14:paraId="4DF3F365" w14:textId="77777777" w:rsidR="0012694E" w:rsidRPr="00B2709F" w:rsidRDefault="0012694E" w:rsidP="00FD0398">
      <w:pPr>
        <w:spacing w:line="240" w:lineRule="auto"/>
        <w:rPr>
          <w:b/>
          <w:szCs w:val="22"/>
        </w:rPr>
      </w:pPr>
      <w:r w:rsidRPr="00B2709F">
        <w:rPr>
          <w:b/>
          <w:szCs w:val="22"/>
        </w:rPr>
        <w:t>5.2</w:t>
      </w:r>
      <w:r w:rsidR="0038607D" w:rsidRPr="00B2709F">
        <w:rPr>
          <w:b/>
          <w:szCs w:val="22"/>
        </w:rPr>
        <w:t>.</w:t>
      </w:r>
      <w:r w:rsidRPr="00B2709F">
        <w:rPr>
          <w:b/>
          <w:szCs w:val="22"/>
        </w:rPr>
        <w:tab/>
        <w:t>Farmakokinētiskās īpašības</w:t>
      </w:r>
    </w:p>
    <w:p w14:paraId="22CD35F8" w14:textId="77777777" w:rsidR="0012694E" w:rsidRPr="00B2709F" w:rsidRDefault="0012694E" w:rsidP="00FD0398">
      <w:pPr>
        <w:spacing w:line="240" w:lineRule="auto"/>
        <w:rPr>
          <w:szCs w:val="22"/>
        </w:rPr>
      </w:pPr>
    </w:p>
    <w:p w14:paraId="359C417D" w14:textId="3E38CA47" w:rsidR="00401B3C" w:rsidRPr="00B2709F" w:rsidRDefault="00401B3C" w:rsidP="00FD0398">
      <w:pPr>
        <w:pStyle w:val="BodyText"/>
        <w:tabs>
          <w:tab w:val="left" w:pos="567"/>
        </w:tabs>
        <w:rPr>
          <w:szCs w:val="22"/>
        </w:rPr>
      </w:pPr>
      <w:r w:rsidRPr="00B2709F">
        <w:rPr>
          <w:szCs w:val="22"/>
        </w:rPr>
        <w:t>Ambroksols pēc iekšķīgas lietošanas uzsūcas praktiski pilnībā. T</w:t>
      </w:r>
      <w:r w:rsidRPr="00B2709F">
        <w:rPr>
          <w:szCs w:val="22"/>
          <w:vertAlign w:val="subscript"/>
        </w:rPr>
        <w:t>max</w:t>
      </w:r>
      <w:r w:rsidRPr="00B2709F">
        <w:rPr>
          <w:szCs w:val="22"/>
        </w:rPr>
        <w:t xml:space="preserve"> pēc </w:t>
      </w:r>
      <w:r w:rsidR="009345E1">
        <w:rPr>
          <w:szCs w:val="22"/>
        </w:rPr>
        <w:t>iekšķīgas</w:t>
      </w:r>
      <w:r w:rsidR="009345E1" w:rsidRPr="00B2709F">
        <w:rPr>
          <w:szCs w:val="22"/>
        </w:rPr>
        <w:t xml:space="preserve"> </w:t>
      </w:r>
      <w:r w:rsidRPr="00B2709F">
        <w:rPr>
          <w:szCs w:val="22"/>
        </w:rPr>
        <w:t xml:space="preserve">lietošanas ir 1 – 3 stundas. Ambroksola absolūto biopieejamību </w:t>
      </w:r>
      <w:r w:rsidR="009345E1">
        <w:rPr>
          <w:szCs w:val="22"/>
        </w:rPr>
        <w:t>iekšķīgas</w:t>
      </w:r>
      <w:r w:rsidR="009345E1" w:rsidRPr="00B2709F">
        <w:rPr>
          <w:szCs w:val="22"/>
        </w:rPr>
        <w:t xml:space="preserve"> </w:t>
      </w:r>
      <w:r w:rsidRPr="00B2709F">
        <w:rPr>
          <w:szCs w:val="22"/>
        </w:rPr>
        <w:t>lietošanas gadījumā par aptuveni vienu trešdaļu samazina pirmā loka efekts. Procesā veidojas caur nierēm izvadīti metabolīti (piemēram, dibromantranilskābe, glikuronīdi). Ar plazmas olbaltumiem saistās aptuveni 85% (80 – 90%). Terminālais pusperiods plazmā ir 7 – 12 stundas. Ambroksola un tā metabolītu kopējais plazmas pusperiods ir aptuveni 22 stundas.</w:t>
      </w:r>
    </w:p>
    <w:p w14:paraId="46891C72" w14:textId="77777777" w:rsidR="00401B3C" w:rsidRPr="00B2709F" w:rsidRDefault="00401B3C" w:rsidP="00FD0398">
      <w:pPr>
        <w:pStyle w:val="BodyText"/>
        <w:tabs>
          <w:tab w:val="left" w:pos="567"/>
        </w:tabs>
        <w:rPr>
          <w:szCs w:val="22"/>
        </w:rPr>
      </w:pPr>
    </w:p>
    <w:p w14:paraId="1515188F" w14:textId="66E75F4E" w:rsidR="00401B3C" w:rsidRPr="00B2709F" w:rsidRDefault="00401B3C" w:rsidP="00FD0398">
      <w:pPr>
        <w:pStyle w:val="BodyText"/>
        <w:tabs>
          <w:tab w:val="left" w:pos="567"/>
        </w:tabs>
        <w:rPr>
          <w:szCs w:val="22"/>
        </w:rPr>
      </w:pPr>
      <w:r w:rsidRPr="00B2709F">
        <w:rPr>
          <w:szCs w:val="22"/>
        </w:rPr>
        <w:t xml:space="preserve">Ambroksols šķērso placentas barjeru un </w:t>
      </w:r>
      <w:r w:rsidR="00CD51BE">
        <w:rPr>
          <w:szCs w:val="22"/>
        </w:rPr>
        <w:t>no</w:t>
      </w:r>
      <w:r w:rsidRPr="00B2709F">
        <w:rPr>
          <w:szCs w:val="22"/>
        </w:rPr>
        <w:t>kļūst cerebrospinālajā šķidrumā un mātes pienā.</w:t>
      </w:r>
    </w:p>
    <w:p w14:paraId="655BE2F0" w14:textId="77777777" w:rsidR="00401B3C" w:rsidRPr="00B2709F" w:rsidRDefault="00401B3C" w:rsidP="00FD0398">
      <w:pPr>
        <w:pStyle w:val="BodyText"/>
        <w:tabs>
          <w:tab w:val="left" w:pos="567"/>
        </w:tabs>
        <w:rPr>
          <w:szCs w:val="22"/>
        </w:rPr>
      </w:pPr>
    </w:p>
    <w:p w14:paraId="111E0BD9" w14:textId="55402500" w:rsidR="00401B3C" w:rsidRPr="00B2709F" w:rsidRDefault="00401B3C" w:rsidP="00FD0398">
      <w:pPr>
        <w:pStyle w:val="BodyText"/>
        <w:tabs>
          <w:tab w:val="left" w:pos="567"/>
        </w:tabs>
        <w:rPr>
          <w:szCs w:val="22"/>
        </w:rPr>
      </w:pPr>
      <w:r w:rsidRPr="00B2709F">
        <w:rPr>
          <w:szCs w:val="22"/>
        </w:rPr>
        <w:t>90% ekskrēcijas notiek caur nierēm metabolītu veidā, kas radušies aknās. Mazāk nekā 10% nieru ekskrēcijas ir nemainīts ambroksols.</w:t>
      </w:r>
    </w:p>
    <w:p w14:paraId="48B94492" w14:textId="77777777" w:rsidR="00401B3C" w:rsidRPr="00B2709F" w:rsidRDefault="00401B3C" w:rsidP="00FD0398">
      <w:pPr>
        <w:pStyle w:val="BodyText"/>
        <w:tabs>
          <w:tab w:val="left" w:pos="567"/>
        </w:tabs>
        <w:rPr>
          <w:szCs w:val="22"/>
        </w:rPr>
      </w:pPr>
    </w:p>
    <w:p w14:paraId="06886C7C" w14:textId="77777777" w:rsidR="00401B3C" w:rsidRPr="00B2709F" w:rsidRDefault="00401B3C" w:rsidP="00FD0398">
      <w:pPr>
        <w:pStyle w:val="BodyText"/>
        <w:tabs>
          <w:tab w:val="left" w:pos="567"/>
        </w:tabs>
        <w:rPr>
          <w:szCs w:val="22"/>
        </w:rPr>
      </w:pPr>
      <w:r w:rsidRPr="00B2709F">
        <w:rPr>
          <w:szCs w:val="22"/>
        </w:rPr>
        <w:t>Izteiktās saistības dēļ ar olbaltumiem un lielā izkliedes tilpuma dēļ, kā arī lēnās pārdales dēļ no audiem asinīs nav paredzama nozīmīga ambroksola izvadīšana dialīzē vai forsētajā diurēzē.</w:t>
      </w:r>
    </w:p>
    <w:p w14:paraId="3AB6838D" w14:textId="77777777" w:rsidR="00401B3C" w:rsidRPr="00B2709F" w:rsidRDefault="00401B3C" w:rsidP="00FD0398">
      <w:pPr>
        <w:pStyle w:val="BodyText"/>
        <w:tabs>
          <w:tab w:val="left" w:pos="567"/>
        </w:tabs>
        <w:rPr>
          <w:szCs w:val="22"/>
        </w:rPr>
      </w:pPr>
    </w:p>
    <w:p w14:paraId="06E17C09" w14:textId="77777777" w:rsidR="00401B3C" w:rsidRPr="00B2709F" w:rsidRDefault="00401B3C" w:rsidP="00FD0398">
      <w:pPr>
        <w:spacing w:line="240" w:lineRule="auto"/>
        <w:rPr>
          <w:noProof/>
          <w:szCs w:val="22"/>
        </w:rPr>
      </w:pPr>
      <w:r w:rsidRPr="00B2709F">
        <w:rPr>
          <w:szCs w:val="22"/>
        </w:rPr>
        <w:t>Smagu aknu slimību gadījumā ambroksola klīrenss ir samazināts par 20 – 40%. Smagu nieru darbības traucējumu gadījumā paredzama ambroksola metabolītu uzkrāšanās.</w:t>
      </w:r>
    </w:p>
    <w:p w14:paraId="13602782" w14:textId="77777777" w:rsidR="0012694E" w:rsidRPr="00B2709F" w:rsidRDefault="0012694E" w:rsidP="00FD0398">
      <w:pPr>
        <w:spacing w:line="240" w:lineRule="auto"/>
        <w:rPr>
          <w:szCs w:val="22"/>
        </w:rPr>
      </w:pPr>
    </w:p>
    <w:p w14:paraId="6AD86F94" w14:textId="77777777" w:rsidR="0012694E" w:rsidRPr="00B2709F" w:rsidRDefault="0012694E" w:rsidP="00FD0398">
      <w:pPr>
        <w:spacing w:line="240" w:lineRule="auto"/>
        <w:rPr>
          <w:szCs w:val="22"/>
        </w:rPr>
      </w:pPr>
      <w:r w:rsidRPr="00B2709F">
        <w:rPr>
          <w:b/>
          <w:szCs w:val="22"/>
        </w:rPr>
        <w:t>5.3</w:t>
      </w:r>
      <w:r w:rsidR="0038607D" w:rsidRPr="00B2709F">
        <w:rPr>
          <w:b/>
          <w:szCs w:val="22"/>
        </w:rPr>
        <w:t>.</w:t>
      </w:r>
      <w:r w:rsidRPr="00B2709F">
        <w:rPr>
          <w:b/>
          <w:szCs w:val="22"/>
        </w:rPr>
        <w:tab/>
        <w:t>Preklīniskie dati par drošumu</w:t>
      </w:r>
    </w:p>
    <w:p w14:paraId="0C3D7A4E" w14:textId="77777777" w:rsidR="0012694E" w:rsidRPr="00B2709F" w:rsidRDefault="0012694E" w:rsidP="00FD0398">
      <w:pPr>
        <w:spacing w:line="240" w:lineRule="auto"/>
        <w:rPr>
          <w:szCs w:val="22"/>
        </w:rPr>
      </w:pPr>
    </w:p>
    <w:p w14:paraId="2D89A76D" w14:textId="23B4D119" w:rsidR="00F60739" w:rsidRPr="00033275" w:rsidRDefault="00F60739" w:rsidP="00F60739">
      <w:pPr>
        <w:tabs>
          <w:tab w:val="left" w:pos="720"/>
        </w:tabs>
        <w:autoSpaceDE w:val="0"/>
        <w:autoSpaceDN w:val="0"/>
        <w:adjustRightInd w:val="0"/>
        <w:rPr>
          <w:szCs w:val="22"/>
          <w:lang w:eastAsia="en-GB"/>
        </w:rPr>
      </w:pPr>
      <w:r w:rsidRPr="0018283E">
        <w:rPr>
          <w:szCs w:val="22"/>
        </w:rPr>
        <w:t xml:space="preserve">Ambroksola hidrohlorīdam ir </w:t>
      </w:r>
      <w:r w:rsidR="005D2210">
        <w:rPr>
          <w:szCs w:val="22"/>
        </w:rPr>
        <w:t>zems</w:t>
      </w:r>
      <w:r w:rsidRPr="0018283E">
        <w:rPr>
          <w:szCs w:val="22"/>
        </w:rPr>
        <w:t xml:space="preserve"> akūt</w:t>
      </w:r>
      <w:r w:rsidR="00FE46E4">
        <w:rPr>
          <w:szCs w:val="22"/>
        </w:rPr>
        <w:t>ā</w:t>
      </w:r>
      <w:r w:rsidR="005D2210">
        <w:rPr>
          <w:szCs w:val="22"/>
        </w:rPr>
        <w:t>s</w:t>
      </w:r>
      <w:r w:rsidRPr="0018283E">
        <w:rPr>
          <w:szCs w:val="22"/>
        </w:rPr>
        <w:t xml:space="preserve"> toksicitāte</w:t>
      </w:r>
      <w:r w:rsidR="005D2210">
        <w:rPr>
          <w:szCs w:val="22"/>
        </w:rPr>
        <w:t>s indekss</w:t>
      </w:r>
      <w:r w:rsidRPr="0018283E">
        <w:rPr>
          <w:szCs w:val="22"/>
        </w:rPr>
        <w:t xml:space="preserve">. </w:t>
      </w:r>
      <w:r w:rsidRPr="005D2210">
        <w:rPr>
          <w:szCs w:val="22"/>
          <w:lang w:eastAsia="en-GB"/>
        </w:rPr>
        <w:t>Atkārtot</w:t>
      </w:r>
      <w:r w:rsidR="003F5454">
        <w:rPr>
          <w:szCs w:val="22"/>
          <w:lang w:eastAsia="en-GB"/>
        </w:rPr>
        <w:t>u</w:t>
      </w:r>
      <w:r w:rsidRPr="005D2210">
        <w:rPr>
          <w:szCs w:val="22"/>
          <w:lang w:eastAsia="en-GB"/>
        </w:rPr>
        <w:t xml:space="preserve"> dev</w:t>
      </w:r>
      <w:r w:rsidR="003F5454">
        <w:rPr>
          <w:szCs w:val="22"/>
          <w:lang w:eastAsia="en-GB"/>
        </w:rPr>
        <w:t>u</w:t>
      </w:r>
      <w:r w:rsidRPr="005D2210">
        <w:rPr>
          <w:szCs w:val="22"/>
          <w:lang w:eastAsia="en-GB"/>
        </w:rPr>
        <w:t xml:space="preserve"> pētījumos </w:t>
      </w:r>
      <w:r w:rsidR="009345E1">
        <w:rPr>
          <w:szCs w:val="22"/>
          <w:lang w:eastAsia="en-GB"/>
        </w:rPr>
        <w:t>iekšķīgi</w:t>
      </w:r>
      <w:r w:rsidR="009345E1" w:rsidRPr="005D2210">
        <w:rPr>
          <w:szCs w:val="22"/>
          <w:lang w:eastAsia="en-GB"/>
        </w:rPr>
        <w:t xml:space="preserve"> </w:t>
      </w:r>
      <w:r w:rsidRPr="005D2210">
        <w:rPr>
          <w:szCs w:val="22"/>
          <w:lang w:eastAsia="en-GB"/>
        </w:rPr>
        <w:t>ievadīt</w:t>
      </w:r>
      <w:r w:rsidR="00033275">
        <w:rPr>
          <w:szCs w:val="22"/>
          <w:lang w:eastAsia="en-GB"/>
        </w:rPr>
        <w:t>ajām</w:t>
      </w:r>
      <w:r w:rsidRPr="005D2210">
        <w:rPr>
          <w:szCs w:val="22"/>
          <w:lang w:eastAsia="en-GB"/>
        </w:rPr>
        <w:t xml:space="preserve"> dev</w:t>
      </w:r>
      <w:r w:rsidR="00033275">
        <w:rPr>
          <w:szCs w:val="22"/>
          <w:lang w:eastAsia="en-GB"/>
        </w:rPr>
        <w:t>ām</w:t>
      </w:r>
      <w:r w:rsidRPr="005D2210">
        <w:rPr>
          <w:szCs w:val="22"/>
          <w:lang w:eastAsia="en-GB"/>
        </w:rPr>
        <w:t> – 150 mg/kg/dienā (pelēm, 4 nedēļas), 50 mg/kg/dienā (žurkām, 52 un 78 nedēļas), 40 mg/kg/dienā (trušiem, 26 nedēļas) un 10 mg/kg/dienā (suņiem, 52 nedēļas) – bija nenovēro</w:t>
      </w:r>
      <w:r w:rsidR="00033275">
        <w:rPr>
          <w:szCs w:val="22"/>
          <w:lang w:eastAsia="en-GB"/>
        </w:rPr>
        <w:t>jamas</w:t>
      </w:r>
      <w:r w:rsidRPr="005D2210">
        <w:rPr>
          <w:szCs w:val="22"/>
          <w:lang w:eastAsia="en-GB"/>
        </w:rPr>
        <w:t xml:space="preserve"> nelabvēlīgas ietekmes līmenis (</w:t>
      </w:r>
      <w:r w:rsidRPr="005D2210">
        <w:rPr>
          <w:i/>
          <w:szCs w:val="22"/>
        </w:rPr>
        <w:t>no observed adverse effect level, NOAEL).</w:t>
      </w:r>
      <w:r w:rsidRPr="005D2210">
        <w:rPr>
          <w:szCs w:val="22"/>
          <w:lang w:eastAsia="en-GB"/>
        </w:rPr>
        <w:t xml:space="preserve"> Netika novērota toksicitāte mērķa orgānos. Četras nedēļas ilgā ambroksola hidrohlorīda intravenozas toksicitātes pētījumā ar žurkām, lietojot 4, 16 un 64 mg/kg/dienā, un suņiem, lietojot 45, 90 un 120 mg/kg/dienā (3 h infūzija </w:t>
      </w:r>
      <w:r w:rsidRPr="005D2210">
        <w:rPr>
          <w:szCs w:val="22"/>
          <w:lang w:eastAsia="en-GB"/>
        </w:rPr>
        <w:lastRenderedPageBreak/>
        <w:t xml:space="preserve">dienā), netika novērota smaga vietēja un sistēmiska toksicitāte, arī </w:t>
      </w:r>
      <w:r w:rsidRPr="00033275">
        <w:rPr>
          <w:szCs w:val="22"/>
        </w:rPr>
        <w:t>histopatoloģija</w:t>
      </w:r>
      <w:r w:rsidRPr="00033275">
        <w:rPr>
          <w:szCs w:val="22"/>
          <w:lang w:eastAsia="en-GB"/>
        </w:rPr>
        <w:t>. Visas nevēlamās blakusparādības bija atgriezeniskas.</w:t>
      </w:r>
    </w:p>
    <w:p w14:paraId="14E8D711" w14:textId="6AC6749C" w:rsidR="00F60739" w:rsidRPr="0018283E" w:rsidRDefault="00F60739" w:rsidP="00F60739">
      <w:pPr>
        <w:tabs>
          <w:tab w:val="left" w:pos="720"/>
        </w:tabs>
        <w:autoSpaceDE w:val="0"/>
        <w:autoSpaceDN w:val="0"/>
        <w:adjustRightInd w:val="0"/>
        <w:rPr>
          <w:szCs w:val="22"/>
        </w:rPr>
      </w:pPr>
      <w:r w:rsidRPr="00677E0C">
        <w:rPr>
          <w:szCs w:val="22"/>
          <w:lang w:eastAsia="en-GB"/>
        </w:rPr>
        <w:t xml:space="preserve">Pārbaudot </w:t>
      </w:r>
      <w:r w:rsidR="00461616">
        <w:rPr>
          <w:szCs w:val="22"/>
          <w:lang w:eastAsia="en-GB"/>
        </w:rPr>
        <w:t>iekšķ</w:t>
      </w:r>
      <w:r w:rsidR="00D93EC8">
        <w:rPr>
          <w:szCs w:val="22"/>
          <w:lang w:eastAsia="en-GB"/>
        </w:rPr>
        <w:t>īgi lietojamās</w:t>
      </w:r>
      <w:r w:rsidR="00461616" w:rsidRPr="00677E0C">
        <w:rPr>
          <w:szCs w:val="22"/>
          <w:lang w:eastAsia="en-GB"/>
        </w:rPr>
        <w:t xml:space="preserve"> </w:t>
      </w:r>
      <w:r w:rsidRPr="00677E0C">
        <w:rPr>
          <w:szCs w:val="22"/>
          <w:lang w:eastAsia="en-GB"/>
        </w:rPr>
        <w:t>devas līdz 3000 mg/kg/dienā ž</w:t>
      </w:r>
      <w:r w:rsidRPr="00752E70">
        <w:rPr>
          <w:szCs w:val="22"/>
          <w:lang w:eastAsia="en-GB"/>
        </w:rPr>
        <w:t>urkām un līdz 200 mg/kg/dienā trušiem, netika novērota ne ambroksola hidrohlorīda embriotoksicitāte, ne arī teratogenitāte. Žurku tēviņu un mātīšu auglību neietekmēja devas līdz 500 mg/kg/dienā. P</w:t>
      </w:r>
      <w:r w:rsidRPr="000E1DB2">
        <w:rPr>
          <w:szCs w:val="22"/>
        </w:rPr>
        <w:t xml:space="preserve">erinatālās un postnatālās attīstības pētījumā </w:t>
      </w:r>
      <w:r w:rsidRPr="000E1DB2">
        <w:rPr>
          <w:i/>
          <w:szCs w:val="22"/>
        </w:rPr>
        <w:t>NOAEL</w:t>
      </w:r>
      <w:r w:rsidRPr="000E1DB2">
        <w:rPr>
          <w:szCs w:val="22"/>
        </w:rPr>
        <w:t xml:space="preserve"> bija 50 mg/kg/dienā. </w:t>
      </w:r>
    </w:p>
    <w:p w14:paraId="438F722E" w14:textId="77777777" w:rsidR="00F60739" w:rsidRPr="0018283E" w:rsidRDefault="00F60739" w:rsidP="00F60739">
      <w:pPr>
        <w:tabs>
          <w:tab w:val="left" w:pos="720"/>
        </w:tabs>
        <w:autoSpaceDE w:val="0"/>
        <w:autoSpaceDN w:val="0"/>
        <w:adjustRightInd w:val="0"/>
        <w:rPr>
          <w:szCs w:val="22"/>
          <w:lang w:eastAsia="en-GB"/>
        </w:rPr>
      </w:pPr>
      <w:r w:rsidRPr="0018283E">
        <w:rPr>
          <w:szCs w:val="22"/>
          <w:lang w:eastAsia="en-GB"/>
        </w:rPr>
        <w:t xml:space="preserve">Ievadot 500 mg/kg/dienā, ambroksola hidrohlorīds </w:t>
      </w:r>
      <w:r w:rsidRPr="0018283E">
        <w:rPr>
          <w:szCs w:val="22"/>
        </w:rPr>
        <w:t>bija nedaudz toksisks mātītēm un mazuļiem, kas izpaudās kā</w:t>
      </w:r>
      <w:r w:rsidRPr="0018283E">
        <w:rPr>
          <w:szCs w:val="22"/>
          <w:lang w:eastAsia="en-GB"/>
        </w:rPr>
        <w:t xml:space="preserve"> ķermeņa masas pieauguma aizkavēšanās un metiena samazināšanās. </w:t>
      </w:r>
    </w:p>
    <w:p w14:paraId="711C21BB" w14:textId="77777777" w:rsidR="00F60739" w:rsidRPr="0018283E" w:rsidRDefault="00F60739" w:rsidP="00F60739">
      <w:pPr>
        <w:tabs>
          <w:tab w:val="left" w:pos="720"/>
        </w:tabs>
        <w:autoSpaceDE w:val="0"/>
        <w:autoSpaceDN w:val="0"/>
        <w:adjustRightInd w:val="0"/>
        <w:rPr>
          <w:szCs w:val="22"/>
          <w:lang w:eastAsia="en-GB"/>
        </w:rPr>
      </w:pPr>
      <w:r w:rsidRPr="0018283E">
        <w:rPr>
          <w:i/>
          <w:iCs/>
          <w:szCs w:val="22"/>
          <w:lang w:eastAsia="en-GB"/>
        </w:rPr>
        <w:t>In vitro</w:t>
      </w:r>
      <w:r w:rsidRPr="0018283E">
        <w:rPr>
          <w:iCs/>
          <w:szCs w:val="22"/>
          <w:lang w:eastAsia="en-GB"/>
        </w:rPr>
        <w:t xml:space="preserve"> genotoksicitātes pētījumos (Eimsa (</w:t>
      </w:r>
      <w:r w:rsidRPr="0018283E">
        <w:rPr>
          <w:i/>
          <w:iCs/>
          <w:szCs w:val="22"/>
          <w:lang w:eastAsia="en-GB"/>
        </w:rPr>
        <w:t>Ames</w:t>
      </w:r>
      <w:r w:rsidRPr="0018283E">
        <w:rPr>
          <w:iCs/>
          <w:szCs w:val="22"/>
          <w:lang w:eastAsia="en-GB"/>
        </w:rPr>
        <w:t>)</w:t>
      </w:r>
      <w:r w:rsidRPr="0018283E">
        <w:rPr>
          <w:i/>
          <w:iCs/>
          <w:szCs w:val="22"/>
          <w:lang w:eastAsia="en-GB"/>
        </w:rPr>
        <w:t xml:space="preserve"> </w:t>
      </w:r>
      <w:r w:rsidRPr="0018283E">
        <w:rPr>
          <w:szCs w:val="22"/>
          <w:lang w:eastAsia="en-GB"/>
        </w:rPr>
        <w:t>un hromosomu aberācijas testā) un</w:t>
      </w:r>
      <w:r w:rsidRPr="0018283E">
        <w:rPr>
          <w:i/>
          <w:szCs w:val="22"/>
          <w:lang w:eastAsia="en-GB"/>
        </w:rPr>
        <w:t xml:space="preserve"> in vivo </w:t>
      </w:r>
      <w:r w:rsidRPr="0018283E">
        <w:rPr>
          <w:iCs/>
          <w:szCs w:val="22"/>
          <w:lang w:eastAsia="en-GB"/>
        </w:rPr>
        <w:t>genotoksicitātes pētījumos</w:t>
      </w:r>
      <w:r w:rsidRPr="0018283E">
        <w:rPr>
          <w:szCs w:val="22"/>
          <w:lang w:eastAsia="en-GB"/>
        </w:rPr>
        <w:t xml:space="preserve"> (peļu mikrokodoliņu testā) ambroksola hidrohlorīdam netika novērota nekāda iespējama mutagenitāte.</w:t>
      </w:r>
    </w:p>
    <w:p w14:paraId="5F46E6A9" w14:textId="77777777" w:rsidR="00F60739" w:rsidRPr="00B3531E" w:rsidRDefault="00F60739" w:rsidP="00F60739">
      <w:pPr>
        <w:tabs>
          <w:tab w:val="left" w:pos="720"/>
        </w:tabs>
        <w:rPr>
          <w:szCs w:val="22"/>
          <w:lang w:eastAsia="en-GB"/>
        </w:rPr>
      </w:pPr>
      <w:r w:rsidRPr="0018283E">
        <w:rPr>
          <w:szCs w:val="22"/>
          <w:lang w:eastAsia="en-GB"/>
        </w:rPr>
        <w:t>Kancerogenitātes pētījumos ar pelēm (50, 200 un 800 mg/kg/dienā) un žurkām (65, 250 un 1000 mg/kg/dienā), ambroksola hidrohlorīdu lietojot maisījumā ar ēdienu attiecīgi 105 un 116 nedēļas, tam netika novērota nekāda iespējama kancerogenitāte.</w:t>
      </w:r>
    </w:p>
    <w:p w14:paraId="3E0BD89B" w14:textId="77777777" w:rsidR="00685192" w:rsidRPr="00B2709F" w:rsidRDefault="00685192" w:rsidP="00FD0398">
      <w:pPr>
        <w:spacing w:line="240" w:lineRule="auto"/>
        <w:rPr>
          <w:szCs w:val="22"/>
        </w:rPr>
      </w:pPr>
    </w:p>
    <w:p w14:paraId="67818BC5" w14:textId="77777777" w:rsidR="00685192" w:rsidRPr="00B2709F" w:rsidRDefault="00685192" w:rsidP="00FD0398">
      <w:pPr>
        <w:spacing w:line="240" w:lineRule="auto"/>
        <w:rPr>
          <w:noProof/>
          <w:szCs w:val="22"/>
        </w:rPr>
      </w:pPr>
    </w:p>
    <w:p w14:paraId="6FDC001F" w14:textId="77777777" w:rsidR="0012694E" w:rsidRPr="00B2709F" w:rsidRDefault="0012694E" w:rsidP="00FD0398">
      <w:pPr>
        <w:spacing w:line="240" w:lineRule="auto"/>
        <w:rPr>
          <w:b/>
          <w:szCs w:val="22"/>
        </w:rPr>
      </w:pPr>
      <w:r w:rsidRPr="00B2709F">
        <w:rPr>
          <w:b/>
          <w:szCs w:val="22"/>
        </w:rPr>
        <w:t>6.</w:t>
      </w:r>
      <w:r w:rsidRPr="00B2709F">
        <w:rPr>
          <w:b/>
          <w:szCs w:val="22"/>
        </w:rPr>
        <w:tab/>
        <w:t>FARMACEITISKĀ INFORMĀCIJA</w:t>
      </w:r>
    </w:p>
    <w:p w14:paraId="65FD9341" w14:textId="77777777" w:rsidR="0012694E" w:rsidRPr="00B2709F" w:rsidRDefault="0012694E" w:rsidP="00FD0398">
      <w:pPr>
        <w:spacing w:line="240" w:lineRule="auto"/>
        <w:rPr>
          <w:szCs w:val="22"/>
        </w:rPr>
      </w:pPr>
    </w:p>
    <w:p w14:paraId="4C071754" w14:textId="77777777" w:rsidR="0012694E" w:rsidRPr="00B2709F" w:rsidRDefault="0012694E" w:rsidP="00FD0398">
      <w:pPr>
        <w:spacing w:line="240" w:lineRule="auto"/>
        <w:rPr>
          <w:szCs w:val="22"/>
        </w:rPr>
      </w:pPr>
      <w:r w:rsidRPr="00B2709F">
        <w:rPr>
          <w:b/>
          <w:szCs w:val="22"/>
        </w:rPr>
        <w:t>6.1</w:t>
      </w:r>
      <w:r w:rsidR="0038607D" w:rsidRPr="00B2709F">
        <w:rPr>
          <w:b/>
          <w:szCs w:val="22"/>
        </w:rPr>
        <w:t>.</w:t>
      </w:r>
      <w:r w:rsidRPr="00B2709F">
        <w:rPr>
          <w:b/>
          <w:szCs w:val="22"/>
        </w:rPr>
        <w:tab/>
        <w:t>Palīgvielu saraksts</w:t>
      </w:r>
    </w:p>
    <w:p w14:paraId="4716CEE0" w14:textId="77777777" w:rsidR="00072260" w:rsidRPr="00B2709F" w:rsidRDefault="00072260" w:rsidP="00FD0398">
      <w:pPr>
        <w:spacing w:line="240" w:lineRule="auto"/>
        <w:rPr>
          <w:noProof/>
          <w:szCs w:val="22"/>
        </w:rPr>
      </w:pPr>
    </w:p>
    <w:p w14:paraId="510B4DA7" w14:textId="6E0B5844" w:rsidR="00072260" w:rsidRPr="00B2709F" w:rsidRDefault="00547078" w:rsidP="00FD0398">
      <w:pPr>
        <w:spacing w:line="240" w:lineRule="auto"/>
        <w:rPr>
          <w:noProof/>
          <w:szCs w:val="22"/>
        </w:rPr>
      </w:pPr>
      <w:r w:rsidRPr="00B2709F">
        <w:rPr>
          <w:noProof/>
          <w:szCs w:val="22"/>
        </w:rPr>
        <w:t>S</w:t>
      </w:r>
      <w:r w:rsidR="00072260" w:rsidRPr="00B2709F">
        <w:rPr>
          <w:noProof/>
          <w:szCs w:val="22"/>
        </w:rPr>
        <w:t>orbīta (E</w:t>
      </w:r>
      <w:r w:rsidR="00D846A5">
        <w:rPr>
          <w:noProof/>
          <w:szCs w:val="22"/>
        </w:rPr>
        <w:t xml:space="preserve"> </w:t>
      </w:r>
      <w:r w:rsidR="00072260" w:rsidRPr="00B2709F">
        <w:rPr>
          <w:noProof/>
          <w:szCs w:val="22"/>
        </w:rPr>
        <w:t>420) šķīdums (krist</w:t>
      </w:r>
      <w:r w:rsidR="002237A9" w:rsidRPr="00B2709F">
        <w:rPr>
          <w:noProof/>
          <w:szCs w:val="22"/>
        </w:rPr>
        <w:t>ālus neveidojošs)</w:t>
      </w:r>
      <w:r w:rsidR="001518FD">
        <w:rPr>
          <w:noProof/>
          <w:szCs w:val="22"/>
        </w:rPr>
        <w:t xml:space="preserve"> (</w:t>
      </w:r>
      <w:r w:rsidR="001518FD" w:rsidRPr="00FA32F2">
        <w:rPr>
          <w:i/>
          <w:noProof/>
          <w:szCs w:val="22"/>
        </w:rPr>
        <w:t>Ph. Eur.</w:t>
      </w:r>
      <w:r w:rsidR="001518FD">
        <w:rPr>
          <w:noProof/>
          <w:szCs w:val="22"/>
        </w:rPr>
        <w:t>)</w:t>
      </w:r>
    </w:p>
    <w:p w14:paraId="39AED72F" w14:textId="40C475E7" w:rsidR="00072260" w:rsidRPr="00B2709F" w:rsidRDefault="00072260" w:rsidP="00FD0398">
      <w:pPr>
        <w:spacing w:line="240" w:lineRule="auto"/>
        <w:rPr>
          <w:noProof/>
          <w:szCs w:val="22"/>
        </w:rPr>
      </w:pPr>
      <w:r w:rsidRPr="00B2709F">
        <w:rPr>
          <w:noProof/>
          <w:szCs w:val="22"/>
        </w:rPr>
        <w:t>Benzoskābe</w:t>
      </w:r>
      <w:r w:rsidR="003A08B0">
        <w:rPr>
          <w:noProof/>
          <w:szCs w:val="22"/>
        </w:rPr>
        <w:t xml:space="preserve"> (E 210)</w:t>
      </w:r>
    </w:p>
    <w:p w14:paraId="038205E9" w14:textId="0695F093" w:rsidR="00072260" w:rsidRPr="00B2709F" w:rsidRDefault="00072260" w:rsidP="00FD0398">
      <w:pPr>
        <w:spacing w:line="240" w:lineRule="auto"/>
        <w:rPr>
          <w:noProof/>
          <w:szCs w:val="22"/>
        </w:rPr>
      </w:pPr>
      <w:r w:rsidRPr="00B2709F">
        <w:rPr>
          <w:noProof/>
          <w:szCs w:val="22"/>
        </w:rPr>
        <w:t>Glicerīns</w:t>
      </w:r>
      <w:r w:rsidR="003A08B0">
        <w:rPr>
          <w:noProof/>
          <w:szCs w:val="22"/>
        </w:rPr>
        <w:t xml:space="preserve"> (E 422), </w:t>
      </w:r>
      <w:r w:rsidRPr="00B2709F">
        <w:rPr>
          <w:noProof/>
          <w:szCs w:val="22"/>
        </w:rPr>
        <w:t>85%</w:t>
      </w:r>
    </w:p>
    <w:p w14:paraId="2E297B56" w14:textId="77777777" w:rsidR="00072260" w:rsidRPr="00B2709F" w:rsidRDefault="00072260" w:rsidP="00FD0398">
      <w:pPr>
        <w:spacing w:line="240" w:lineRule="auto"/>
        <w:rPr>
          <w:noProof/>
          <w:szCs w:val="22"/>
        </w:rPr>
      </w:pPr>
      <w:r w:rsidRPr="00B2709F">
        <w:rPr>
          <w:noProof/>
          <w:szCs w:val="22"/>
        </w:rPr>
        <w:t>Hidroksietilceluloze</w:t>
      </w:r>
    </w:p>
    <w:p w14:paraId="086D54DB" w14:textId="7C58BA3D" w:rsidR="00072260" w:rsidRPr="00B2709F" w:rsidRDefault="00072260" w:rsidP="00FD0398">
      <w:pPr>
        <w:spacing w:line="240" w:lineRule="auto"/>
        <w:rPr>
          <w:noProof/>
          <w:szCs w:val="22"/>
        </w:rPr>
      </w:pPr>
      <w:r w:rsidRPr="00B2709F">
        <w:rPr>
          <w:noProof/>
          <w:szCs w:val="22"/>
        </w:rPr>
        <w:t xml:space="preserve">Aveņu </w:t>
      </w:r>
      <w:r w:rsidR="00176926">
        <w:rPr>
          <w:noProof/>
          <w:szCs w:val="22"/>
        </w:rPr>
        <w:t xml:space="preserve">aromatizētājs </w:t>
      </w:r>
      <w:r w:rsidR="003A08B0">
        <w:rPr>
          <w:noProof/>
          <w:szCs w:val="22"/>
        </w:rPr>
        <w:t>(</w:t>
      </w:r>
      <w:r w:rsidR="009704C7">
        <w:rPr>
          <w:noProof/>
          <w:szCs w:val="22"/>
        </w:rPr>
        <w:t xml:space="preserve">satur </w:t>
      </w:r>
      <w:r w:rsidR="00DA4360">
        <w:rPr>
          <w:noProof/>
          <w:szCs w:val="22"/>
        </w:rPr>
        <w:t>baldriāna eļļu</w:t>
      </w:r>
      <w:r w:rsidR="003A08B0">
        <w:rPr>
          <w:noProof/>
          <w:szCs w:val="22"/>
        </w:rPr>
        <w:t>, etilacetāt</w:t>
      </w:r>
      <w:r w:rsidR="00DA4360">
        <w:rPr>
          <w:noProof/>
          <w:szCs w:val="22"/>
        </w:rPr>
        <w:t>u, etilbutirātu</w:t>
      </w:r>
      <w:r w:rsidR="003A08B0">
        <w:rPr>
          <w:noProof/>
          <w:szCs w:val="22"/>
        </w:rPr>
        <w:t>, p-hidroksifenilbutanon</w:t>
      </w:r>
      <w:r w:rsidR="00DA4360">
        <w:rPr>
          <w:noProof/>
          <w:szCs w:val="22"/>
        </w:rPr>
        <w:t>u</w:t>
      </w:r>
      <w:r w:rsidR="003A08B0">
        <w:rPr>
          <w:noProof/>
          <w:szCs w:val="22"/>
        </w:rPr>
        <w:t xml:space="preserve">, </w:t>
      </w:r>
      <w:r w:rsidR="00D846A5">
        <w:rPr>
          <w:noProof/>
          <w:szCs w:val="22"/>
        </w:rPr>
        <w:t>alfa ionon</w:t>
      </w:r>
      <w:r w:rsidR="00DA4360">
        <w:rPr>
          <w:noProof/>
          <w:szCs w:val="22"/>
        </w:rPr>
        <w:t>u</w:t>
      </w:r>
      <w:r w:rsidR="00D846A5">
        <w:rPr>
          <w:noProof/>
          <w:szCs w:val="22"/>
        </w:rPr>
        <w:t>,</w:t>
      </w:r>
      <w:r w:rsidR="003A08B0">
        <w:rPr>
          <w:noProof/>
          <w:szCs w:val="22"/>
        </w:rPr>
        <w:t xml:space="preserve"> izoamilacetāt</w:t>
      </w:r>
      <w:r w:rsidR="00DA4360">
        <w:rPr>
          <w:noProof/>
          <w:szCs w:val="22"/>
        </w:rPr>
        <w:t>u</w:t>
      </w:r>
      <w:r w:rsidR="003A08B0">
        <w:rPr>
          <w:noProof/>
          <w:szCs w:val="22"/>
        </w:rPr>
        <w:t xml:space="preserve">, </w:t>
      </w:r>
      <w:r w:rsidR="00B24D88">
        <w:rPr>
          <w:noProof/>
          <w:szCs w:val="22"/>
        </w:rPr>
        <w:t>izoamilbutirāt</w:t>
      </w:r>
      <w:r w:rsidR="00DA4360">
        <w:rPr>
          <w:noProof/>
          <w:szCs w:val="22"/>
        </w:rPr>
        <w:t>u</w:t>
      </w:r>
      <w:r w:rsidR="00B24D88">
        <w:rPr>
          <w:noProof/>
          <w:szCs w:val="22"/>
        </w:rPr>
        <w:t>, rozes eļļ</w:t>
      </w:r>
      <w:r w:rsidR="00DA4360">
        <w:rPr>
          <w:noProof/>
          <w:szCs w:val="22"/>
        </w:rPr>
        <w:t>u</w:t>
      </w:r>
      <w:r w:rsidR="00B24D88">
        <w:rPr>
          <w:noProof/>
          <w:szCs w:val="22"/>
        </w:rPr>
        <w:t xml:space="preserve"> un 1,2-propilēnglikol</w:t>
      </w:r>
      <w:r w:rsidR="00DA4360">
        <w:rPr>
          <w:noProof/>
          <w:szCs w:val="22"/>
        </w:rPr>
        <w:t>u</w:t>
      </w:r>
      <w:r w:rsidR="00B24D88">
        <w:rPr>
          <w:noProof/>
          <w:szCs w:val="22"/>
        </w:rPr>
        <w:t xml:space="preserve"> [E 1520])</w:t>
      </w:r>
    </w:p>
    <w:p w14:paraId="655D1B64" w14:textId="77777777" w:rsidR="0012694E" w:rsidRPr="00B2709F" w:rsidRDefault="00072260" w:rsidP="00FD0398">
      <w:pPr>
        <w:spacing w:line="240" w:lineRule="auto"/>
        <w:rPr>
          <w:noProof/>
          <w:szCs w:val="22"/>
        </w:rPr>
      </w:pPr>
      <w:r w:rsidRPr="00B2709F">
        <w:rPr>
          <w:noProof/>
          <w:szCs w:val="22"/>
        </w:rPr>
        <w:t>Attīrīts ūdens</w:t>
      </w:r>
    </w:p>
    <w:p w14:paraId="3FF0B042" w14:textId="77777777" w:rsidR="00072260" w:rsidRPr="00B2709F" w:rsidRDefault="00072260" w:rsidP="00FD0398">
      <w:pPr>
        <w:spacing w:line="240" w:lineRule="auto"/>
        <w:rPr>
          <w:szCs w:val="22"/>
        </w:rPr>
      </w:pPr>
    </w:p>
    <w:p w14:paraId="0FA6A128" w14:textId="77777777" w:rsidR="0012694E" w:rsidRPr="00B2709F" w:rsidRDefault="0012694E" w:rsidP="00FD0398">
      <w:pPr>
        <w:spacing w:line="240" w:lineRule="auto"/>
        <w:rPr>
          <w:szCs w:val="22"/>
        </w:rPr>
      </w:pPr>
      <w:r w:rsidRPr="00B2709F">
        <w:rPr>
          <w:b/>
          <w:szCs w:val="22"/>
        </w:rPr>
        <w:t>6.2</w:t>
      </w:r>
      <w:r w:rsidR="0038607D" w:rsidRPr="00B2709F">
        <w:rPr>
          <w:b/>
          <w:szCs w:val="22"/>
        </w:rPr>
        <w:t>.</w:t>
      </w:r>
      <w:r w:rsidRPr="00B2709F">
        <w:rPr>
          <w:b/>
          <w:szCs w:val="22"/>
        </w:rPr>
        <w:tab/>
        <w:t>Nesaderība</w:t>
      </w:r>
    </w:p>
    <w:p w14:paraId="06813275" w14:textId="77777777" w:rsidR="0012694E" w:rsidRPr="00B2709F" w:rsidRDefault="0012694E" w:rsidP="00FD0398">
      <w:pPr>
        <w:spacing w:line="240" w:lineRule="auto"/>
        <w:rPr>
          <w:szCs w:val="22"/>
        </w:rPr>
      </w:pPr>
    </w:p>
    <w:p w14:paraId="25796B74" w14:textId="77777777" w:rsidR="0012694E" w:rsidRPr="00B2709F" w:rsidRDefault="0012694E" w:rsidP="00FD0398">
      <w:pPr>
        <w:spacing w:line="240" w:lineRule="auto"/>
        <w:rPr>
          <w:szCs w:val="22"/>
        </w:rPr>
      </w:pPr>
      <w:r w:rsidRPr="00B2709F">
        <w:rPr>
          <w:szCs w:val="22"/>
        </w:rPr>
        <w:t>Nav piemērojama.</w:t>
      </w:r>
    </w:p>
    <w:p w14:paraId="3E1BF66A" w14:textId="77777777" w:rsidR="00AA34F5" w:rsidRPr="00B2709F" w:rsidRDefault="00AA34F5" w:rsidP="00FD0398">
      <w:pPr>
        <w:spacing w:line="240" w:lineRule="auto"/>
        <w:rPr>
          <w:b/>
          <w:szCs w:val="22"/>
        </w:rPr>
      </w:pPr>
    </w:p>
    <w:p w14:paraId="51C91FF7" w14:textId="77777777" w:rsidR="0012694E" w:rsidRPr="00B2709F" w:rsidRDefault="0012694E" w:rsidP="00FD0398">
      <w:pPr>
        <w:spacing w:line="240" w:lineRule="auto"/>
        <w:rPr>
          <w:szCs w:val="22"/>
        </w:rPr>
      </w:pPr>
      <w:r w:rsidRPr="00B2709F">
        <w:rPr>
          <w:b/>
          <w:szCs w:val="22"/>
        </w:rPr>
        <w:t>6.3</w:t>
      </w:r>
      <w:r w:rsidR="0038607D" w:rsidRPr="00B2709F">
        <w:rPr>
          <w:b/>
          <w:szCs w:val="22"/>
        </w:rPr>
        <w:t>.</w:t>
      </w:r>
      <w:r w:rsidRPr="00B2709F">
        <w:rPr>
          <w:b/>
          <w:szCs w:val="22"/>
        </w:rPr>
        <w:tab/>
        <w:t>Uzglabāšanas laiks</w:t>
      </w:r>
    </w:p>
    <w:p w14:paraId="2BDC304E" w14:textId="77777777" w:rsidR="0012694E" w:rsidRPr="00B2709F" w:rsidRDefault="0012694E" w:rsidP="00FD0398">
      <w:pPr>
        <w:spacing w:line="240" w:lineRule="auto"/>
        <w:rPr>
          <w:szCs w:val="22"/>
        </w:rPr>
      </w:pPr>
    </w:p>
    <w:p w14:paraId="3935F78E" w14:textId="77777777" w:rsidR="00E2624C" w:rsidRPr="00B2709F" w:rsidRDefault="00E2624C" w:rsidP="00FD0398">
      <w:pPr>
        <w:spacing w:line="240" w:lineRule="auto"/>
        <w:rPr>
          <w:noProof/>
          <w:szCs w:val="22"/>
        </w:rPr>
      </w:pPr>
      <w:r w:rsidRPr="00B2709F">
        <w:rPr>
          <w:noProof/>
          <w:szCs w:val="22"/>
        </w:rPr>
        <w:t xml:space="preserve">3 gadi. </w:t>
      </w:r>
    </w:p>
    <w:p w14:paraId="6666C68B" w14:textId="77777777" w:rsidR="00E2624C" w:rsidRPr="00B2709F" w:rsidRDefault="00E2624C" w:rsidP="00FD0398">
      <w:pPr>
        <w:spacing w:line="240" w:lineRule="auto"/>
        <w:rPr>
          <w:noProof/>
          <w:szCs w:val="22"/>
        </w:rPr>
      </w:pPr>
    </w:p>
    <w:p w14:paraId="0FDBB909" w14:textId="77777777" w:rsidR="00E2624C" w:rsidRPr="00B2709F" w:rsidRDefault="00E2624C" w:rsidP="00FD0398">
      <w:pPr>
        <w:spacing w:line="240" w:lineRule="auto"/>
        <w:rPr>
          <w:noProof/>
          <w:szCs w:val="22"/>
        </w:rPr>
      </w:pPr>
      <w:r w:rsidRPr="00B2709F">
        <w:rPr>
          <w:noProof/>
          <w:szCs w:val="22"/>
        </w:rPr>
        <w:t>Pēc pudelītes pirmās atvēršanas – 6 mēneši.</w:t>
      </w:r>
    </w:p>
    <w:p w14:paraId="7B564F61" w14:textId="77777777" w:rsidR="0012694E" w:rsidRPr="00B2709F" w:rsidRDefault="0012694E" w:rsidP="00FD0398">
      <w:pPr>
        <w:spacing w:line="240" w:lineRule="auto"/>
        <w:rPr>
          <w:szCs w:val="22"/>
        </w:rPr>
      </w:pPr>
    </w:p>
    <w:p w14:paraId="39303686" w14:textId="77777777" w:rsidR="0012694E" w:rsidRPr="00B2709F" w:rsidRDefault="0012694E" w:rsidP="00FD0398">
      <w:pPr>
        <w:spacing w:line="240" w:lineRule="auto"/>
        <w:rPr>
          <w:szCs w:val="22"/>
        </w:rPr>
      </w:pPr>
      <w:r w:rsidRPr="00B2709F">
        <w:rPr>
          <w:b/>
          <w:szCs w:val="22"/>
        </w:rPr>
        <w:t>6.4</w:t>
      </w:r>
      <w:r w:rsidR="0038607D" w:rsidRPr="00B2709F">
        <w:rPr>
          <w:b/>
          <w:szCs w:val="22"/>
        </w:rPr>
        <w:t>.</w:t>
      </w:r>
      <w:r w:rsidRPr="00B2709F">
        <w:rPr>
          <w:b/>
          <w:szCs w:val="22"/>
        </w:rPr>
        <w:tab/>
        <w:t>Īpaši uzglabāšanas nosacījumi</w:t>
      </w:r>
    </w:p>
    <w:p w14:paraId="09A876F1" w14:textId="77777777" w:rsidR="00E2624C" w:rsidRPr="00B2709F" w:rsidRDefault="00E2624C" w:rsidP="00FD0398">
      <w:pPr>
        <w:spacing w:line="240" w:lineRule="auto"/>
        <w:rPr>
          <w:noProof/>
          <w:szCs w:val="22"/>
        </w:rPr>
      </w:pPr>
    </w:p>
    <w:p w14:paraId="1EE7C13D" w14:textId="77777777" w:rsidR="00E2624C" w:rsidRPr="00B2709F" w:rsidRDefault="00E2624C" w:rsidP="00FD0398">
      <w:pPr>
        <w:spacing w:line="240" w:lineRule="auto"/>
        <w:rPr>
          <w:noProof/>
          <w:szCs w:val="22"/>
        </w:rPr>
      </w:pPr>
      <w:r w:rsidRPr="00B2709F">
        <w:rPr>
          <w:noProof/>
          <w:szCs w:val="22"/>
        </w:rPr>
        <w:t>Zālēm nav nepieciešami īpaši uzglabāšanas apstākļi.</w:t>
      </w:r>
    </w:p>
    <w:p w14:paraId="3BECF1CA" w14:textId="77777777" w:rsidR="0012694E" w:rsidRPr="00B2709F" w:rsidRDefault="0012694E" w:rsidP="00FD0398">
      <w:pPr>
        <w:spacing w:line="240" w:lineRule="auto"/>
        <w:rPr>
          <w:szCs w:val="22"/>
        </w:rPr>
      </w:pPr>
    </w:p>
    <w:p w14:paraId="0C04A7CE" w14:textId="77777777" w:rsidR="0012694E" w:rsidRPr="00B2709F" w:rsidRDefault="0012694E" w:rsidP="00FD0398">
      <w:pPr>
        <w:spacing w:line="240" w:lineRule="auto"/>
        <w:rPr>
          <w:szCs w:val="22"/>
        </w:rPr>
      </w:pPr>
      <w:r w:rsidRPr="00B2709F">
        <w:rPr>
          <w:b/>
          <w:szCs w:val="22"/>
        </w:rPr>
        <w:t>6.5</w:t>
      </w:r>
      <w:r w:rsidR="0038607D" w:rsidRPr="00B2709F">
        <w:rPr>
          <w:b/>
          <w:szCs w:val="22"/>
        </w:rPr>
        <w:t>.</w:t>
      </w:r>
      <w:r w:rsidRPr="00B2709F">
        <w:rPr>
          <w:b/>
          <w:szCs w:val="22"/>
        </w:rPr>
        <w:tab/>
        <w:t>Iepakojuma veids un saturs</w:t>
      </w:r>
    </w:p>
    <w:p w14:paraId="29A64003" w14:textId="77777777" w:rsidR="0012694E" w:rsidRPr="00B2709F" w:rsidRDefault="0012694E" w:rsidP="00FD0398">
      <w:pPr>
        <w:spacing w:line="240" w:lineRule="auto"/>
        <w:rPr>
          <w:szCs w:val="22"/>
        </w:rPr>
      </w:pPr>
    </w:p>
    <w:p w14:paraId="69F27314" w14:textId="77777777" w:rsidR="00AC7D85" w:rsidRPr="00B2709F" w:rsidRDefault="00AC7D85" w:rsidP="00FD0398">
      <w:pPr>
        <w:spacing w:line="240" w:lineRule="auto"/>
        <w:rPr>
          <w:noProof/>
          <w:szCs w:val="22"/>
        </w:rPr>
      </w:pPr>
      <w:r w:rsidRPr="00B2709F">
        <w:rPr>
          <w:noProof/>
          <w:szCs w:val="22"/>
        </w:rPr>
        <w:t xml:space="preserve">Dzintarkrāsas stikla (III klases) pudelīte ar etiķeti, aizskrūvējamu vāciņu, </w:t>
      </w:r>
      <w:r w:rsidR="001A04F5" w:rsidRPr="00B2709F">
        <w:rPr>
          <w:noProof/>
          <w:szCs w:val="22"/>
        </w:rPr>
        <w:t>aizdari, kas ļauj konstatēt, vai iepakojums nav bijis atvērts,</w:t>
      </w:r>
      <w:r w:rsidRPr="00B2709F">
        <w:rPr>
          <w:noProof/>
          <w:szCs w:val="22"/>
        </w:rPr>
        <w:t xml:space="preserve"> un mērkaroti.</w:t>
      </w:r>
    </w:p>
    <w:p w14:paraId="1535A4C1" w14:textId="77777777" w:rsidR="00BD53E9" w:rsidRPr="00B2709F" w:rsidRDefault="00BD53E9" w:rsidP="00FD0398">
      <w:pPr>
        <w:spacing w:line="240" w:lineRule="auto"/>
        <w:rPr>
          <w:noProof/>
          <w:szCs w:val="22"/>
        </w:rPr>
      </w:pPr>
      <w:r w:rsidRPr="00B2709F">
        <w:rPr>
          <w:noProof/>
          <w:szCs w:val="22"/>
        </w:rPr>
        <w:t xml:space="preserve">Aizskrūvējamais vāciņš ir izgatavots no polipropilēna. Kā krāsviela tiek lietots baltās krāsas koncentrāts. </w:t>
      </w:r>
    </w:p>
    <w:p w14:paraId="45FE3576" w14:textId="72EDAC05" w:rsidR="00BD53E9" w:rsidRPr="00B2709F" w:rsidRDefault="00BD53E9" w:rsidP="00FD0398">
      <w:pPr>
        <w:spacing w:line="240" w:lineRule="auto"/>
        <w:rPr>
          <w:noProof/>
          <w:szCs w:val="22"/>
        </w:rPr>
      </w:pPr>
      <w:r w:rsidRPr="00B2709F">
        <w:rPr>
          <w:noProof/>
          <w:szCs w:val="22"/>
        </w:rPr>
        <w:t xml:space="preserve">Mērkarote ir izgatavota no polipropilēna un tai ir </w:t>
      </w:r>
      <w:r w:rsidR="008F0F21" w:rsidRPr="00B2709F">
        <w:rPr>
          <w:noProof/>
          <w:szCs w:val="22"/>
        </w:rPr>
        <w:t>dozēšanas iedaļas: 1,25</w:t>
      </w:r>
      <w:r w:rsidR="00E22546" w:rsidRPr="00B2709F">
        <w:rPr>
          <w:noProof/>
          <w:szCs w:val="22"/>
        </w:rPr>
        <w:t> </w:t>
      </w:r>
      <w:r w:rsidR="008F0F21" w:rsidRPr="00B2709F">
        <w:rPr>
          <w:noProof/>
          <w:szCs w:val="22"/>
        </w:rPr>
        <w:t>ml, 2,5</w:t>
      </w:r>
      <w:r w:rsidR="00E22546" w:rsidRPr="00B2709F">
        <w:rPr>
          <w:noProof/>
          <w:szCs w:val="22"/>
        </w:rPr>
        <w:t> </w:t>
      </w:r>
      <w:r w:rsidR="008F0F21" w:rsidRPr="00B2709F">
        <w:rPr>
          <w:noProof/>
          <w:szCs w:val="22"/>
        </w:rPr>
        <w:t>ml un 5</w:t>
      </w:r>
      <w:r w:rsidR="00E22546" w:rsidRPr="00B2709F">
        <w:rPr>
          <w:noProof/>
          <w:szCs w:val="22"/>
        </w:rPr>
        <w:t> </w:t>
      </w:r>
      <w:r w:rsidR="008F0F21" w:rsidRPr="00B2709F">
        <w:rPr>
          <w:noProof/>
          <w:szCs w:val="22"/>
        </w:rPr>
        <w:t>ml (mērkarotes mala).</w:t>
      </w:r>
    </w:p>
    <w:p w14:paraId="4455D64B" w14:textId="77777777" w:rsidR="00AC7D85" w:rsidRPr="00B2709F" w:rsidRDefault="00AC7D85" w:rsidP="00FD0398">
      <w:pPr>
        <w:spacing w:line="240" w:lineRule="auto"/>
        <w:rPr>
          <w:szCs w:val="22"/>
        </w:rPr>
      </w:pPr>
    </w:p>
    <w:p w14:paraId="2C0AE0B3" w14:textId="77777777" w:rsidR="00BD53E9" w:rsidRPr="00B2709F" w:rsidRDefault="00BD53E9" w:rsidP="00FD0398">
      <w:pPr>
        <w:spacing w:line="240" w:lineRule="auto"/>
        <w:rPr>
          <w:noProof/>
          <w:szCs w:val="22"/>
        </w:rPr>
      </w:pPr>
      <w:r w:rsidRPr="00B2709F">
        <w:rPr>
          <w:noProof/>
          <w:szCs w:val="22"/>
        </w:rPr>
        <w:t>Iepakojumā ir 100</w:t>
      </w:r>
      <w:r w:rsidR="00C304B2" w:rsidRPr="00B2709F">
        <w:rPr>
          <w:noProof/>
          <w:szCs w:val="22"/>
        </w:rPr>
        <w:t> </w:t>
      </w:r>
      <w:r w:rsidRPr="00B2709F">
        <w:rPr>
          <w:noProof/>
          <w:szCs w:val="22"/>
        </w:rPr>
        <w:t>ml šķīduma iekšķīgai lietošanai.</w:t>
      </w:r>
    </w:p>
    <w:p w14:paraId="385B0A9F" w14:textId="77777777" w:rsidR="0012694E" w:rsidRPr="00B2709F" w:rsidRDefault="0012694E" w:rsidP="00FD0398">
      <w:pPr>
        <w:spacing w:line="240" w:lineRule="auto"/>
        <w:rPr>
          <w:szCs w:val="22"/>
        </w:rPr>
      </w:pPr>
    </w:p>
    <w:p w14:paraId="17B33634" w14:textId="77777777" w:rsidR="0012694E" w:rsidRPr="00B2709F" w:rsidRDefault="0012694E" w:rsidP="0038607D">
      <w:pPr>
        <w:numPr>
          <w:ilvl w:val="1"/>
          <w:numId w:val="3"/>
        </w:numPr>
        <w:spacing w:line="240" w:lineRule="auto"/>
        <w:rPr>
          <w:b/>
          <w:szCs w:val="22"/>
        </w:rPr>
      </w:pPr>
      <w:r w:rsidRPr="00B2709F">
        <w:rPr>
          <w:b/>
          <w:noProof/>
          <w:szCs w:val="22"/>
        </w:rPr>
        <w:t>Īpaši norādījumi atkritumu likvidēšanai</w:t>
      </w:r>
    </w:p>
    <w:p w14:paraId="51332475" w14:textId="77777777" w:rsidR="00DE2514" w:rsidRPr="00B2709F" w:rsidRDefault="00DE2514" w:rsidP="00FD0398">
      <w:pPr>
        <w:spacing w:line="240" w:lineRule="auto"/>
        <w:rPr>
          <w:b/>
          <w:szCs w:val="22"/>
        </w:rPr>
      </w:pPr>
    </w:p>
    <w:p w14:paraId="320A85DB" w14:textId="77777777" w:rsidR="0012694E" w:rsidRPr="00B2709F" w:rsidRDefault="0012694E" w:rsidP="00FD0398">
      <w:pPr>
        <w:spacing w:line="240" w:lineRule="auto"/>
        <w:rPr>
          <w:szCs w:val="22"/>
        </w:rPr>
      </w:pPr>
      <w:r w:rsidRPr="00B2709F">
        <w:rPr>
          <w:szCs w:val="22"/>
        </w:rPr>
        <w:t>Neizlietotās zāles vai izlietotie materiāli jāiznīcina atbilstoši vietējām prasībām.</w:t>
      </w:r>
    </w:p>
    <w:p w14:paraId="58BDE4DE" w14:textId="77777777" w:rsidR="00DE2514" w:rsidRPr="00B2709F" w:rsidRDefault="00DE2514" w:rsidP="00FD0398">
      <w:pPr>
        <w:spacing w:line="240" w:lineRule="auto"/>
        <w:rPr>
          <w:szCs w:val="22"/>
        </w:rPr>
      </w:pPr>
    </w:p>
    <w:p w14:paraId="08020F57" w14:textId="77777777" w:rsidR="0012694E" w:rsidRPr="00B2709F" w:rsidRDefault="0012694E" w:rsidP="00FD0398">
      <w:pPr>
        <w:spacing w:line="240" w:lineRule="auto"/>
        <w:rPr>
          <w:szCs w:val="22"/>
        </w:rPr>
      </w:pPr>
    </w:p>
    <w:p w14:paraId="5213254A" w14:textId="77777777" w:rsidR="0012694E" w:rsidRPr="00B2709F" w:rsidRDefault="0012694E" w:rsidP="00FD0398">
      <w:pPr>
        <w:spacing w:line="240" w:lineRule="auto"/>
        <w:rPr>
          <w:szCs w:val="22"/>
        </w:rPr>
      </w:pPr>
      <w:r w:rsidRPr="00B2709F">
        <w:rPr>
          <w:b/>
          <w:szCs w:val="22"/>
        </w:rPr>
        <w:t>7.</w:t>
      </w:r>
      <w:r w:rsidRPr="00B2709F">
        <w:rPr>
          <w:b/>
          <w:szCs w:val="22"/>
        </w:rPr>
        <w:tab/>
        <w:t>REĢISTRĀCIJAS APLIECĪBAS ĪPAŠNIEKS</w:t>
      </w:r>
    </w:p>
    <w:p w14:paraId="438A79EC" w14:textId="77777777" w:rsidR="0012694E" w:rsidRPr="00B2709F" w:rsidRDefault="0012694E" w:rsidP="00FD0398">
      <w:pPr>
        <w:spacing w:line="240" w:lineRule="auto"/>
        <w:rPr>
          <w:szCs w:val="22"/>
        </w:rPr>
      </w:pPr>
    </w:p>
    <w:p w14:paraId="32743E1C" w14:textId="77777777" w:rsidR="00890149" w:rsidRPr="00B2709F" w:rsidRDefault="00890149" w:rsidP="00FD0398">
      <w:pPr>
        <w:spacing w:line="240" w:lineRule="auto"/>
        <w:rPr>
          <w:noProof/>
          <w:szCs w:val="22"/>
        </w:rPr>
      </w:pPr>
      <w:r w:rsidRPr="00B2709F">
        <w:rPr>
          <w:noProof/>
          <w:szCs w:val="22"/>
        </w:rPr>
        <w:t>Berlin-Chemie AG</w:t>
      </w:r>
    </w:p>
    <w:p w14:paraId="307F76D0" w14:textId="77777777" w:rsidR="00890149" w:rsidRPr="00B2709F" w:rsidRDefault="00890149" w:rsidP="00FD0398">
      <w:pPr>
        <w:spacing w:line="240" w:lineRule="auto"/>
        <w:rPr>
          <w:noProof/>
          <w:szCs w:val="22"/>
        </w:rPr>
      </w:pPr>
      <w:r w:rsidRPr="00B2709F">
        <w:rPr>
          <w:noProof/>
          <w:szCs w:val="22"/>
        </w:rPr>
        <w:t>Glienicker Weg 125</w:t>
      </w:r>
    </w:p>
    <w:p w14:paraId="24FDDDB5" w14:textId="77777777" w:rsidR="00890149" w:rsidRPr="00B2709F" w:rsidRDefault="00890149" w:rsidP="00FD0398">
      <w:pPr>
        <w:spacing w:line="240" w:lineRule="auto"/>
        <w:rPr>
          <w:noProof/>
          <w:szCs w:val="22"/>
        </w:rPr>
      </w:pPr>
      <w:r w:rsidRPr="00B2709F">
        <w:rPr>
          <w:noProof/>
          <w:szCs w:val="22"/>
        </w:rPr>
        <w:t>12489 Berlin</w:t>
      </w:r>
    </w:p>
    <w:p w14:paraId="3A2F41EB" w14:textId="77777777" w:rsidR="00890149" w:rsidRPr="00B2709F" w:rsidRDefault="00890149" w:rsidP="00FD0398">
      <w:pPr>
        <w:spacing w:line="240" w:lineRule="auto"/>
        <w:rPr>
          <w:noProof/>
          <w:szCs w:val="22"/>
        </w:rPr>
      </w:pPr>
      <w:r w:rsidRPr="00B2709F">
        <w:rPr>
          <w:noProof/>
          <w:szCs w:val="22"/>
        </w:rPr>
        <w:t>Vācija</w:t>
      </w:r>
    </w:p>
    <w:p w14:paraId="4200B40E" w14:textId="77777777" w:rsidR="0012694E" w:rsidRDefault="0012694E" w:rsidP="00FD0398">
      <w:pPr>
        <w:spacing w:line="240" w:lineRule="auto"/>
        <w:rPr>
          <w:szCs w:val="22"/>
        </w:rPr>
      </w:pPr>
    </w:p>
    <w:p w14:paraId="30085534" w14:textId="77777777" w:rsidR="00696C96" w:rsidRPr="00B2709F" w:rsidRDefault="00696C96" w:rsidP="00FD0398">
      <w:pPr>
        <w:spacing w:line="240" w:lineRule="auto"/>
        <w:rPr>
          <w:szCs w:val="22"/>
        </w:rPr>
      </w:pPr>
    </w:p>
    <w:p w14:paraId="4AB976BE" w14:textId="77777777" w:rsidR="0012694E" w:rsidRPr="00B2709F" w:rsidRDefault="0012694E" w:rsidP="00FD0398">
      <w:pPr>
        <w:spacing w:line="240" w:lineRule="auto"/>
        <w:rPr>
          <w:b/>
          <w:szCs w:val="22"/>
        </w:rPr>
      </w:pPr>
      <w:r w:rsidRPr="00B2709F">
        <w:rPr>
          <w:b/>
          <w:szCs w:val="22"/>
        </w:rPr>
        <w:t>8.</w:t>
      </w:r>
      <w:r w:rsidRPr="00B2709F">
        <w:rPr>
          <w:b/>
          <w:szCs w:val="22"/>
        </w:rPr>
        <w:tab/>
        <w:t xml:space="preserve">REĢISTRĀCIJAS APLIECĪBAS NUMURS(-I) </w:t>
      </w:r>
    </w:p>
    <w:p w14:paraId="480D4278" w14:textId="77777777" w:rsidR="0012694E" w:rsidRPr="00B2709F" w:rsidRDefault="0012694E" w:rsidP="00FD0398">
      <w:pPr>
        <w:spacing w:line="240" w:lineRule="auto"/>
        <w:rPr>
          <w:i/>
          <w:szCs w:val="22"/>
        </w:rPr>
      </w:pPr>
    </w:p>
    <w:p w14:paraId="3FBBE191" w14:textId="77777777" w:rsidR="0012694E" w:rsidRPr="00B2709F" w:rsidRDefault="007B273F" w:rsidP="00FD0398">
      <w:pPr>
        <w:spacing w:line="240" w:lineRule="auto"/>
        <w:rPr>
          <w:i/>
          <w:iCs/>
          <w:szCs w:val="22"/>
        </w:rPr>
      </w:pPr>
      <w:r w:rsidRPr="00B2709F">
        <w:rPr>
          <w:szCs w:val="22"/>
        </w:rPr>
        <w:t>12-0239</w:t>
      </w:r>
    </w:p>
    <w:p w14:paraId="25C947B3" w14:textId="77777777" w:rsidR="0012694E" w:rsidRPr="00B2709F" w:rsidRDefault="0012694E" w:rsidP="00FD0398">
      <w:pPr>
        <w:spacing w:line="240" w:lineRule="auto"/>
        <w:rPr>
          <w:szCs w:val="22"/>
        </w:rPr>
      </w:pPr>
    </w:p>
    <w:p w14:paraId="35D07791" w14:textId="77777777" w:rsidR="0012694E" w:rsidRPr="00B2709F" w:rsidRDefault="0012694E" w:rsidP="00FD0398">
      <w:pPr>
        <w:spacing w:line="240" w:lineRule="auto"/>
        <w:rPr>
          <w:szCs w:val="22"/>
        </w:rPr>
      </w:pPr>
    </w:p>
    <w:p w14:paraId="1987D1D7" w14:textId="77777777" w:rsidR="0012694E" w:rsidRPr="00B2709F" w:rsidRDefault="0012694E" w:rsidP="00FD0398">
      <w:pPr>
        <w:spacing w:line="240" w:lineRule="auto"/>
        <w:rPr>
          <w:b/>
          <w:szCs w:val="22"/>
        </w:rPr>
      </w:pPr>
      <w:r w:rsidRPr="00B2709F">
        <w:rPr>
          <w:b/>
          <w:szCs w:val="22"/>
        </w:rPr>
        <w:t>9.</w:t>
      </w:r>
      <w:r w:rsidRPr="00B2709F">
        <w:rPr>
          <w:b/>
          <w:szCs w:val="22"/>
        </w:rPr>
        <w:tab/>
      </w:r>
      <w:r w:rsidR="00244DFE">
        <w:rPr>
          <w:b/>
          <w:szCs w:val="22"/>
        </w:rPr>
        <w:t xml:space="preserve">PIRMĀS </w:t>
      </w:r>
      <w:r w:rsidRPr="00B2709F">
        <w:rPr>
          <w:b/>
          <w:szCs w:val="22"/>
        </w:rPr>
        <w:t>REĢISTRĀCIJAS/PĀRREĢISTRĀCIJAS DATUMS</w:t>
      </w:r>
    </w:p>
    <w:p w14:paraId="0A89E89F" w14:textId="77777777" w:rsidR="0012694E" w:rsidRPr="00B2709F" w:rsidRDefault="0012694E" w:rsidP="00FD0398">
      <w:pPr>
        <w:spacing w:line="240" w:lineRule="auto"/>
        <w:rPr>
          <w:szCs w:val="22"/>
        </w:rPr>
      </w:pPr>
    </w:p>
    <w:p w14:paraId="67ADC21F" w14:textId="2B016F41" w:rsidR="0081105E" w:rsidRDefault="0012694E" w:rsidP="00FD0398">
      <w:pPr>
        <w:spacing w:line="240" w:lineRule="auto"/>
        <w:rPr>
          <w:szCs w:val="22"/>
        </w:rPr>
      </w:pPr>
      <w:r w:rsidRPr="00B2709F">
        <w:rPr>
          <w:szCs w:val="22"/>
        </w:rPr>
        <w:t xml:space="preserve">Reģistrācijas datums: </w:t>
      </w:r>
      <w:r w:rsidR="0081105E" w:rsidRPr="00B2709F">
        <w:rPr>
          <w:szCs w:val="22"/>
        </w:rPr>
        <w:t>2012. gada</w:t>
      </w:r>
      <w:r w:rsidR="007B273F" w:rsidRPr="00B2709F">
        <w:rPr>
          <w:szCs w:val="22"/>
        </w:rPr>
        <w:t xml:space="preserve"> 24. </w:t>
      </w:r>
      <w:r w:rsidR="00B24D88">
        <w:rPr>
          <w:szCs w:val="22"/>
        </w:rPr>
        <w:t>s</w:t>
      </w:r>
      <w:r w:rsidR="007B273F" w:rsidRPr="00B2709F">
        <w:rPr>
          <w:szCs w:val="22"/>
        </w:rPr>
        <w:t>eptembr</w:t>
      </w:r>
      <w:r w:rsidR="00244DFE">
        <w:rPr>
          <w:szCs w:val="22"/>
        </w:rPr>
        <w:t>is</w:t>
      </w:r>
    </w:p>
    <w:p w14:paraId="0FFD1F78" w14:textId="2086C1DB" w:rsidR="0012694E" w:rsidRPr="00B2709F" w:rsidRDefault="00B24D88" w:rsidP="00FD0398">
      <w:pPr>
        <w:spacing w:line="240" w:lineRule="auto"/>
        <w:rPr>
          <w:szCs w:val="22"/>
        </w:rPr>
      </w:pPr>
      <w:r w:rsidRPr="002B3817">
        <w:rPr>
          <w:szCs w:val="22"/>
        </w:rPr>
        <w:t>Pēdējās pārreģistrācijas datums:</w:t>
      </w:r>
      <w:r w:rsidR="008C0D7C">
        <w:rPr>
          <w:szCs w:val="22"/>
        </w:rPr>
        <w:t xml:space="preserve"> 2017. gada 19. jūlijs</w:t>
      </w:r>
    </w:p>
    <w:p w14:paraId="7CACE9E6" w14:textId="77777777" w:rsidR="001F68ED" w:rsidRPr="00B2709F" w:rsidRDefault="001F68ED" w:rsidP="00FD0398">
      <w:pPr>
        <w:spacing w:line="240" w:lineRule="auto"/>
        <w:rPr>
          <w:szCs w:val="22"/>
        </w:rPr>
      </w:pPr>
    </w:p>
    <w:p w14:paraId="10961C50" w14:textId="77777777" w:rsidR="0012694E" w:rsidRPr="00B2709F" w:rsidRDefault="0012694E" w:rsidP="00FD0398">
      <w:pPr>
        <w:spacing w:line="240" w:lineRule="auto"/>
        <w:rPr>
          <w:b/>
          <w:szCs w:val="22"/>
        </w:rPr>
      </w:pPr>
      <w:r w:rsidRPr="00B2709F">
        <w:rPr>
          <w:b/>
          <w:szCs w:val="22"/>
        </w:rPr>
        <w:t>10.</w:t>
      </w:r>
      <w:r w:rsidRPr="00B2709F">
        <w:rPr>
          <w:b/>
          <w:szCs w:val="22"/>
        </w:rPr>
        <w:tab/>
        <w:t>TEKSTA PĀRSKATĪŠANAS DATUMS</w:t>
      </w:r>
    </w:p>
    <w:p w14:paraId="69C8D0FF" w14:textId="77777777" w:rsidR="0012694E" w:rsidRPr="00B2709F" w:rsidRDefault="0012694E" w:rsidP="00FD0398">
      <w:pPr>
        <w:spacing w:line="240" w:lineRule="auto"/>
        <w:rPr>
          <w:b/>
          <w:szCs w:val="22"/>
        </w:rPr>
      </w:pPr>
    </w:p>
    <w:p w14:paraId="5806BFB8" w14:textId="1B68BF86" w:rsidR="0012694E" w:rsidRPr="00B2709F" w:rsidRDefault="00852A42" w:rsidP="00FD0398">
      <w:pPr>
        <w:spacing w:line="240" w:lineRule="auto"/>
        <w:rPr>
          <w:szCs w:val="22"/>
        </w:rPr>
      </w:pPr>
      <w:r>
        <w:rPr>
          <w:szCs w:val="22"/>
        </w:rPr>
        <w:t>04</w:t>
      </w:r>
      <w:r w:rsidR="001518FD">
        <w:rPr>
          <w:szCs w:val="22"/>
        </w:rPr>
        <w:t>/202</w:t>
      </w:r>
      <w:r w:rsidR="00D37766">
        <w:rPr>
          <w:szCs w:val="22"/>
        </w:rPr>
        <w:t>1</w:t>
      </w:r>
    </w:p>
    <w:sectPr w:rsidR="0012694E" w:rsidRPr="00B2709F" w:rsidSect="00FD039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0530" w14:textId="77777777" w:rsidR="00E26615" w:rsidRDefault="00E26615">
      <w:r>
        <w:separator/>
      </w:r>
    </w:p>
  </w:endnote>
  <w:endnote w:type="continuationSeparator" w:id="0">
    <w:p w14:paraId="3A4B2FB3" w14:textId="77777777" w:rsidR="00E26615" w:rsidRDefault="00E2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8F5D" w14:textId="77777777" w:rsidR="00DD2A3C" w:rsidRDefault="00DD2A3C" w:rsidP="00E76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CC29E" w14:textId="77777777" w:rsidR="00DD2A3C" w:rsidRDefault="00DD2A3C" w:rsidP="008932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DDC1" w14:textId="438BEAEB" w:rsidR="00FD0398" w:rsidRPr="00FD0398" w:rsidRDefault="00F42503" w:rsidP="00F42503">
    <w:pPr>
      <w:pStyle w:val="Footer"/>
      <w:tabs>
        <w:tab w:val="clear" w:pos="4536"/>
        <w:tab w:val="center" w:pos="4535"/>
      </w:tabs>
      <w:rPr>
        <w:rFonts w:ascii="Arial" w:hAnsi="Arial" w:cs="Arial"/>
        <w:szCs w:val="16"/>
      </w:rPr>
    </w:pPr>
    <w:r>
      <w:rPr>
        <w:rFonts w:ascii="Arial" w:hAnsi="Arial" w:cs="Arial"/>
        <w:szCs w:val="16"/>
      </w:rPr>
      <w:t>12-0239_SmPC_LV_008</w:t>
    </w:r>
    <w:r>
      <w:rPr>
        <w:rFonts w:ascii="Arial" w:hAnsi="Arial" w:cs="Arial"/>
        <w:szCs w:val="16"/>
      </w:rPr>
      <w:tab/>
    </w:r>
    <w:r w:rsidR="00FD0398" w:rsidRPr="00FD0398">
      <w:rPr>
        <w:rFonts w:ascii="Arial" w:hAnsi="Arial" w:cs="Arial"/>
        <w:szCs w:val="16"/>
      </w:rPr>
      <w:fldChar w:fldCharType="begin"/>
    </w:r>
    <w:r w:rsidR="00FD0398" w:rsidRPr="00FD0398">
      <w:rPr>
        <w:rFonts w:ascii="Arial" w:hAnsi="Arial" w:cs="Arial"/>
        <w:szCs w:val="16"/>
      </w:rPr>
      <w:instrText xml:space="preserve"> PAGE   \* MERGEFORMAT </w:instrText>
    </w:r>
    <w:r w:rsidR="00FD0398" w:rsidRPr="00FD0398">
      <w:rPr>
        <w:rFonts w:ascii="Arial" w:hAnsi="Arial" w:cs="Arial"/>
        <w:szCs w:val="16"/>
      </w:rPr>
      <w:fldChar w:fldCharType="separate"/>
    </w:r>
    <w:r w:rsidR="00CB2607">
      <w:rPr>
        <w:rFonts w:ascii="Arial" w:hAnsi="Arial" w:cs="Arial"/>
        <w:noProof/>
        <w:szCs w:val="16"/>
      </w:rPr>
      <w:t>4</w:t>
    </w:r>
    <w:r w:rsidR="00FD0398" w:rsidRPr="00FD0398">
      <w:rPr>
        <w:rFonts w:ascii="Arial" w:hAnsi="Arial"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46F1" w14:textId="77777777" w:rsidR="006C0334" w:rsidRDefault="006C0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4879" w14:textId="77777777" w:rsidR="00E26615" w:rsidRDefault="00E26615">
      <w:r>
        <w:separator/>
      </w:r>
    </w:p>
  </w:footnote>
  <w:footnote w:type="continuationSeparator" w:id="0">
    <w:p w14:paraId="2D932215" w14:textId="77777777" w:rsidR="00E26615" w:rsidRDefault="00E26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4F70" w14:textId="77777777" w:rsidR="006C0334" w:rsidRDefault="006C0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449E" w14:textId="782CFB74" w:rsidR="00384F45" w:rsidRPr="006C0334" w:rsidRDefault="006C0334" w:rsidP="00FF3E39">
    <w:pPr>
      <w:pStyle w:val="Header"/>
      <w:jc w:val="right"/>
      <w:rPr>
        <w:rFonts w:ascii="Times New Roman" w:hAnsi="Times New Roman"/>
        <w:sz w:val="24"/>
        <w:lang w:val="en-US"/>
      </w:rPr>
    </w:pPr>
    <w:r>
      <w:rPr>
        <w:rFonts w:ascii="Times New Roman" w:hAnsi="Times New Roman"/>
        <w:sz w:val="24"/>
        <w:lang w:val="en-US"/>
      </w:rPr>
      <w:t>SASKAŅOTS ZVA 06-05-2021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28CD" w14:textId="77777777" w:rsidR="006C0334" w:rsidRDefault="006C0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6354F"/>
    <w:multiLevelType w:val="multilevel"/>
    <w:tmpl w:val="ACFA94F4"/>
    <w:lvl w:ilvl="0">
      <w:start w:val="6"/>
      <w:numFmt w:val="decimal"/>
      <w:lvlText w:val="%1"/>
      <w:lvlJc w:val="left"/>
      <w:pPr>
        <w:tabs>
          <w:tab w:val="num" w:pos="570"/>
        </w:tabs>
        <w:ind w:left="570" w:hanging="570"/>
      </w:pPr>
      <w:rPr>
        <w:rFonts w:cs="Times New Roman" w:hint="default"/>
      </w:rPr>
    </w:lvl>
    <w:lvl w:ilvl="1">
      <w:start w:val="6"/>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4BEB4962"/>
    <w:multiLevelType w:val="multilevel"/>
    <w:tmpl w:val="F55A18EE"/>
    <w:lvl w:ilvl="0">
      <w:start w:val="6"/>
      <w:numFmt w:val="decimal"/>
      <w:lvlText w:val="%1."/>
      <w:lvlJc w:val="left"/>
      <w:pPr>
        <w:ind w:left="360" w:hanging="360"/>
      </w:pPr>
      <w:rPr>
        <w:rFonts w:cs="Times New Roman" w:hint="default"/>
        <w:color w:val="000000"/>
      </w:rPr>
    </w:lvl>
    <w:lvl w:ilvl="1">
      <w:start w:val="6"/>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15:restartNumberingAfterBreak="0">
    <w:nsid w:val="760C0269"/>
    <w:multiLevelType w:val="hybridMultilevel"/>
    <w:tmpl w:val="07BAB566"/>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10241"/>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694E"/>
    <w:rsid w:val="000011FC"/>
    <w:rsid w:val="000079B6"/>
    <w:rsid w:val="00032CE2"/>
    <w:rsid w:val="00033275"/>
    <w:rsid w:val="000345BC"/>
    <w:rsid w:val="0005074E"/>
    <w:rsid w:val="0005370C"/>
    <w:rsid w:val="00056D75"/>
    <w:rsid w:val="0006077B"/>
    <w:rsid w:val="00064E07"/>
    <w:rsid w:val="00065B84"/>
    <w:rsid w:val="00066A3D"/>
    <w:rsid w:val="00072260"/>
    <w:rsid w:val="000744B1"/>
    <w:rsid w:val="00077738"/>
    <w:rsid w:val="000826A5"/>
    <w:rsid w:val="00087AB1"/>
    <w:rsid w:val="00090AC4"/>
    <w:rsid w:val="00097E40"/>
    <w:rsid w:val="000A4DC7"/>
    <w:rsid w:val="000B35F6"/>
    <w:rsid w:val="000B6288"/>
    <w:rsid w:val="000C18A8"/>
    <w:rsid w:val="000D2E35"/>
    <w:rsid w:val="000D6EBE"/>
    <w:rsid w:val="000E1DB2"/>
    <w:rsid w:val="000E51C6"/>
    <w:rsid w:val="000E6207"/>
    <w:rsid w:val="000F0B12"/>
    <w:rsid w:val="000F215D"/>
    <w:rsid w:val="001007B8"/>
    <w:rsid w:val="00104430"/>
    <w:rsid w:val="001074AF"/>
    <w:rsid w:val="00114B73"/>
    <w:rsid w:val="001227AB"/>
    <w:rsid w:val="00122AD5"/>
    <w:rsid w:val="00124749"/>
    <w:rsid w:val="0012694E"/>
    <w:rsid w:val="001319AC"/>
    <w:rsid w:val="0013390A"/>
    <w:rsid w:val="001339DB"/>
    <w:rsid w:val="00145D04"/>
    <w:rsid w:val="00146C1A"/>
    <w:rsid w:val="00150998"/>
    <w:rsid w:val="001518FD"/>
    <w:rsid w:val="00154205"/>
    <w:rsid w:val="00163801"/>
    <w:rsid w:val="00167546"/>
    <w:rsid w:val="001701DA"/>
    <w:rsid w:val="00175B2B"/>
    <w:rsid w:val="00176926"/>
    <w:rsid w:val="0018283E"/>
    <w:rsid w:val="00183E6F"/>
    <w:rsid w:val="00185950"/>
    <w:rsid w:val="00186DF3"/>
    <w:rsid w:val="00193C40"/>
    <w:rsid w:val="001967A4"/>
    <w:rsid w:val="0019782A"/>
    <w:rsid w:val="00197EE2"/>
    <w:rsid w:val="001A04F5"/>
    <w:rsid w:val="001A3C63"/>
    <w:rsid w:val="001B202B"/>
    <w:rsid w:val="001E5E01"/>
    <w:rsid w:val="001F09BA"/>
    <w:rsid w:val="001F68ED"/>
    <w:rsid w:val="001F6F73"/>
    <w:rsid w:val="002237A9"/>
    <w:rsid w:val="002264AE"/>
    <w:rsid w:val="00227E4D"/>
    <w:rsid w:val="00231FF9"/>
    <w:rsid w:val="0023357B"/>
    <w:rsid w:val="00244DFE"/>
    <w:rsid w:val="0025258B"/>
    <w:rsid w:val="00252B1D"/>
    <w:rsid w:val="00254C2A"/>
    <w:rsid w:val="00256B8D"/>
    <w:rsid w:val="002572C6"/>
    <w:rsid w:val="0025739F"/>
    <w:rsid w:val="00264D5E"/>
    <w:rsid w:val="00272ABA"/>
    <w:rsid w:val="002812B0"/>
    <w:rsid w:val="002824E5"/>
    <w:rsid w:val="00286A2D"/>
    <w:rsid w:val="002A284F"/>
    <w:rsid w:val="002A6097"/>
    <w:rsid w:val="002B4DD0"/>
    <w:rsid w:val="002C2246"/>
    <w:rsid w:val="002C6E97"/>
    <w:rsid w:val="002C7A82"/>
    <w:rsid w:val="002D5C54"/>
    <w:rsid w:val="002D7206"/>
    <w:rsid w:val="00325864"/>
    <w:rsid w:val="00333570"/>
    <w:rsid w:val="0034285D"/>
    <w:rsid w:val="003701A4"/>
    <w:rsid w:val="003742DE"/>
    <w:rsid w:val="0038018E"/>
    <w:rsid w:val="00384F45"/>
    <w:rsid w:val="0038607D"/>
    <w:rsid w:val="0039389D"/>
    <w:rsid w:val="003938C4"/>
    <w:rsid w:val="00394209"/>
    <w:rsid w:val="00396094"/>
    <w:rsid w:val="003A08B0"/>
    <w:rsid w:val="003A5B0F"/>
    <w:rsid w:val="003B2EDF"/>
    <w:rsid w:val="003B56EE"/>
    <w:rsid w:val="003C287B"/>
    <w:rsid w:val="003D585E"/>
    <w:rsid w:val="003D6C00"/>
    <w:rsid w:val="003E2573"/>
    <w:rsid w:val="003E2EA7"/>
    <w:rsid w:val="003E727A"/>
    <w:rsid w:val="003F5454"/>
    <w:rsid w:val="003F7CCD"/>
    <w:rsid w:val="00401B3C"/>
    <w:rsid w:val="004078ED"/>
    <w:rsid w:val="00432C62"/>
    <w:rsid w:val="00436E17"/>
    <w:rsid w:val="00441ADE"/>
    <w:rsid w:val="00445CDF"/>
    <w:rsid w:val="00450E38"/>
    <w:rsid w:val="0045656F"/>
    <w:rsid w:val="00461616"/>
    <w:rsid w:val="004658A9"/>
    <w:rsid w:val="00490FC6"/>
    <w:rsid w:val="00494E86"/>
    <w:rsid w:val="0049677C"/>
    <w:rsid w:val="004A1B6C"/>
    <w:rsid w:val="004A32D0"/>
    <w:rsid w:val="004A49FD"/>
    <w:rsid w:val="004B139A"/>
    <w:rsid w:val="004C00DD"/>
    <w:rsid w:val="004C1E48"/>
    <w:rsid w:val="004C3447"/>
    <w:rsid w:val="004C606E"/>
    <w:rsid w:val="004F6B48"/>
    <w:rsid w:val="00503932"/>
    <w:rsid w:val="00504319"/>
    <w:rsid w:val="0050583A"/>
    <w:rsid w:val="005123CC"/>
    <w:rsid w:val="0051570F"/>
    <w:rsid w:val="00516626"/>
    <w:rsid w:val="00534D6B"/>
    <w:rsid w:val="0053741D"/>
    <w:rsid w:val="00540683"/>
    <w:rsid w:val="00547078"/>
    <w:rsid w:val="00551058"/>
    <w:rsid w:val="00556F4F"/>
    <w:rsid w:val="0056221C"/>
    <w:rsid w:val="0056629D"/>
    <w:rsid w:val="00573F9E"/>
    <w:rsid w:val="0057518F"/>
    <w:rsid w:val="00576224"/>
    <w:rsid w:val="00584F39"/>
    <w:rsid w:val="005872CB"/>
    <w:rsid w:val="00592ADB"/>
    <w:rsid w:val="00594468"/>
    <w:rsid w:val="005A08A2"/>
    <w:rsid w:val="005A7315"/>
    <w:rsid w:val="005A7E86"/>
    <w:rsid w:val="005B0925"/>
    <w:rsid w:val="005B14C8"/>
    <w:rsid w:val="005C1046"/>
    <w:rsid w:val="005C6104"/>
    <w:rsid w:val="005C6153"/>
    <w:rsid w:val="005D2210"/>
    <w:rsid w:val="005E56C1"/>
    <w:rsid w:val="005E585E"/>
    <w:rsid w:val="005F4B8A"/>
    <w:rsid w:val="00605184"/>
    <w:rsid w:val="006062B0"/>
    <w:rsid w:val="00612C5F"/>
    <w:rsid w:val="006156C4"/>
    <w:rsid w:val="00616A4D"/>
    <w:rsid w:val="00616BE2"/>
    <w:rsid w:val="00634091"/>
    <w:rsid w:val="00646F12"/>
    <w:rsid w:val="00653245"/>
    <w:rsid w:val="006573E8"/>
    <w:rsid w:val="006602E9"/>
    <w:rsid w:val="0066156B"/>
    <w:rsid w:val="00670FA4"/>
    <w:rsid w:val="00677E0C"/>
    <w:rsid w:val="00685192"/>
    <w:rsid w:val="00696C96"/>
    <w:rsid w:val="00696F75"/>
    <w:rsid w:val="006A1373"/>
    <w:rsid w:val="006B2FEB"/>
    <w:rsid w:val="006C0334"/>
    <w:rsid w:val="006C5003"/>
    <w:rsid w:val="006E43EA"/>
    <w:rsid w:val="006E7A16"/>
    <w:rsid w:val="006F31E9"/>
    <w:rsid w:val="0070160A"/>
    <w:rsid w:val="00714BD3"/>
    <w:rsid w:val="00717C8A"/>
    <w:rsid w:val="00717CE7"/>
    <w:rsid w:val="007212D0"/>
    <w:rsid w:val="0072505D"/>
    <w:rsid w:val="007272E5"/>
    <w:rsid w:val="00745BA5"/>
    <w:rsid w:val="0075001D"/>
    <w:rsid w:val="00752E70"/>
    <w:rsid w:val="00754E20"/>
    <w:rsid w:val="00761812"/>
    <w:rsid w:val="00771FD5"/>
    <w:rsid w:val="00773D0F"/>
    <w:rsid w:val="00775C23"/>
    <w:rsid w:val="00780186"/>
    <w:rsid w:val="00780354"/>
    <w:rsid w:val="0078706D"/>
    <w:rsid w:val="0079348B"/>
    <w:rsid w:val="00796A4A"/>
    <w:rsid w:val="007A6D60"/>
    <w:rsid w:val="007A7641"/>
    <w:rsid w:val="007B273F"/>
    <w:rsid w:val="007C1C91"/>
    <w:rsid w:val="007C3270"/>
    <w:rsid w:val="007C791D"/>
    <w:rsid w:val="007C7A3B"/>
    <w:rsid w:val="007D1B57"/>
    <w:rsid w:val="007E6D58"/>
    <w:rsid w:val="007E760F"/>
    <w:rsid w:val="007E77E1"/>
    <w:rsid w:val="007F318F"/>
    <w:rsid w:val="007F446B"/>
    <w:rsid w:val="00800631"/>
    <w:rsid w:val="0081105E"/>
    <w:rsid w:val="00812663"/>
    <w:rsid w:val="00815E1E"/>
    <w:rsid w:val="00817F87"/>
    <w:rsid w:val="00825EED"/>
    <w:rsid w:val="00831BE5"/>
    <w:rsid w:val="0083246F"/>
    <w:rsid w:val="008354BC"/>
    <w:rsid w:val="00836E0D"/>
    <w:rsid w:val="0084037E"/>
    <w:rsid w:val="00844F21"/>
    <w:rsid w:val="00852A42"/>
    <w:rsid w:val="00860632"/>
    <w:rsid w:val="008621E9"/>
    <w:rsid w:val="00870721"/>
    <w:rsid w:val="00877BA6"/>
    <w:rsid w:val="00890149"/>
    <w:rsid w:val="0089320F"/>
    <w:rsid w:val="008965BF"/>
    <w:rsid w:val="008A5586"/>
    <w:rsid w:val="008C0D7C"/>
    <w:rsid w:val="008C1901"/>
    <w:rsid w:val="008C689E"/>
    <w:rsid w:val="008C74EA"/>
    <w:rsid w:val="008D2169"/>
    <w:rsid w:val="008E7972"/>
    <w:rsid w:val="008F0F21"/>
    <w:rsid w:val="008F1F16"/>
    <w:rsid w:val="008F6E25"/>
    <w:rsid w:val="0090233E"/>
    <w:rsid w:val="00914CE2"/>
    <w:rsid w:val="00916AE8"/>
    <w:rsid w:val="00927A0C"/>
    <w:rsid w:val="00933D37"/>
    <w:rsid w:val="009345E1"/>
    <w:rsid w:val="00934EDE"/>
    <w:rsid w:val="0093619C"/>
    <w:rsid w:val="00943DC0"/>
    <w:rsid w:val="0094527D"/>
    <w:rsid w:val="00951882"/>
    <w:rsid w:val="00963D43"/>
    <w:rsid w:val="009704C7"/>
    <w:rsid w:val="00984780"/>
    <w:rsid w:val="009A0CE5"/>
    <w:rsid w:val="009A14DF"/>
    <w:rsid w:val="009A2E4E"/>
    <w:rsid w:val="009A6B89"/>
    <w:rsid w:val="009E0054"/>
    <w:rsid w:val="009E66B1"/>
    <w:rsid w:val="009F09FE"/>
    <w:rsid w:val="00A010DA"/>
    <w:rsid w:val="00A0272B"/>
    <w:rsid w:val="00A153D0"/>
    <w:rsid w:val="00A209D2"/>
    <w:rsid w:val="00A21C0E"/>
    <w:rsid w:val="00A27113"/>
    <w:rsid w:val="00A360F5"/>
    <w:rsid w:val="00A4190D"/>
    <w:rsid w:val="00A41F60"/>
    <w:rsid w:val="00A467E9"/>
    <w:rsid w:val="00A57F4C"/>
    <w:rsid w:val="00A62B2C"/>
    <w:rsid w:val="00A63220"/>
    <w:rsid w:val="00A70F9F"/>
    <w:rsid w:val="00A7370A"/>
    <w:rsid w:val="00A91AEE"/>
    <w:rsid w:val="00A946AD"/>
    <w:rsid w:val="00A96A7C"/>
    <w:rsid w:val="00AA34F5"/>
    <w:rsid w:val="00AA4D0D"/>
    <w:rsid w:val="00AB53D3"/>
    <w:rsid w:val="00AC294F"/>
    <w:rsid w:val="00AC7D85"/>
    <w:rsid w:val="00AD63A3"/>
    <w:rsid w:val="00AE7FB2"/>
    <w:rsid w:val="00AF1F04"/>
    <w:rsid w:val="00AF3EE4"/>
    <w:rsid w:val="00B07564"/>
    <w:rsid w:val="00B13A9E"/>
    <w:rsid w:val="00B159C9"/>
    <w:rsid w:val="00B24D88"/>
    <w:rsid w:val="00B2709F"/>
    <w:rsid w:val="00B36A2D"/>
    <w:rsid w:val="00B44B33"/>
    <w:rsid w:val="00B45D48"/>
    <w:rsid w:val="00B47EAC"/>
    <w:rsid w:val="00B52BA8"/>
    <w:rsid w:val="00B56370"/>
    <w:rsid w:val="00B6166F"/>
    <w:rsid w:val="00B6482E"/>
    <w:rsid w:val="00B8403C"/>
    <w:rsid w:val="00B84A60"/>
    <w:rsid w:val="00B85B1A"/>
    <w:rsid w:val="00B90ED9"/>
    <w:rsid w:val="00BA228F"/>
    <w:rsid w:val="00BA2811"/>
    <w:rsid w:val="00BA7E85"/>
    <w:rsid w:val="00BC1251"/>
    <w:rsid w:val="00BC2BA4"/>
    <w:rsid w:val="00BC3DC5"/>
    <w:rsid w:val="00BD53E9"/>
    <w:rsid w:val="00BE1F8E"/>
    <w:rsid w:val="00BE243D"/>
    <w:rsid w:val="00BF1A31"/>
    <w:rsid w:val="00C072FE"/>
    <w:rsid w:val="00C23EF5"/>
    <w:rsid w:val="00C304B2"/>
    <w:rsid w:val="00C321C0"/>
    <w:rsid w:val="00C40E96"/>
    <w:rsid w:val="00C40F2C"/>
    <w:rsid w:val="00C44F93"/>
    <w:rsid w:val="00C475A8"/>
    <w:rsid w:val="00C53A00"/>
    <w:rsid w:val="00C5604E"/>
    <w:rsid w:val="00C60422"/>
    <w:rsid w:val="00C64A55"/>
    <w:rsid w:val="00C70D27"/>
    <w:rsid w:val="00C8198A"/>
    <w:rsid w:val="00C847E1"/>
    <w:rsid w:val="00C8607E"/>
    <w:rsid w:val="00C90C2C"/>
    <w:rsid w:val="00C9307D"/>
    <w:rsid w:val="00C94675"/>
    <w:rsid w:val="00C96D74"/>
    <w:rsid w:val="00C974F1"/>
    <w:rsid w:val="00CA3500"/>
    <w:rsid w:val="00CA7C0F"/>
    <w:rsid w:val="00CB2607"/>
    <w:rsid w:val="00CD191A"/>
    <w:rsid w:val="00CD4614"/>
    <w:rsid w:val="00CD51BE"/>
    <w:rsid w:val="00CE01B2"/>
    <w:rsid w:val="00CE17D6"/>
    <w:rsid w:val="00CE20DC"/>
    <w:rsid w:val="00CF1547"/>
    <w:rsid w:val="00D03979"/>
    <w:rsid w:val="00D0536A"/>
    <w:rsid w:val="00D124E5"/>
    <w:rsid w:val="00D148A7"/>
    <w:rsid w:val="00D2297D"/>
    <w:rsid w:val="00D22C59"/>
    <w:rsid w:val="00D24697"/>
    <w:rsid w:val="00D26B72"/>
    <w:rsid w:val="00D27599"/>
    <w:rsid w:val="00D37766"/>
    <w:rsid w:val="00D42B15"/>
    <w:rsid w:val="00D6106C"/>
    <w:rsid w:val="00D62A25"/>
    <w:rsid w:val="00D63C47"/>
    <w:rsid w:val="00D6562C"/>
    <w:rsid w:val="00D70D4B"/>
    <w:rsid w:val="00D84325"/>
    <w:rsid w:val="00D846A5"/>
    <w:rsid w:val="00D93EC8"/>
    <w:rsid w:val="00D9782A"/>
    <w:rsid w:val="00DA4360"/>
    <w:rsid w:val="00DB26B6"/>
    <w:rsid w:val="00DB39F9"/>
    <w:rsid w:val="00DB3D4B"/>
    <w:rsid w:val="00DB4BA9"/>
    <w:rsid w:val="00DB642B"/>
    <w:rsid w:val="00DC5381"/>
    <w:rsid w:val="00DC7B62"/>
    <w:rsid w:val="00DD1621"/>
    <w:rsid w:val="00DD2A3C"/>
    <w:rsid w:val="00DD42D5"/>
    <w:rsid w:val="00DE2514"/>
    <w:rsid w:val="00DF2383"/>
    <w:rsid w:val="00E01415"/>
    <w:rsid w:val="00E059F3"/>
    <w:rsid w:val="00E06AB5"/>
    <w:rsid w:val="00E06FD8"/>
    <w:rsid w:val="00E14CC9"/>
    <w:rsid w:val="00E15319"/>
    <w:rsid w:val="00E22546"/>
    <w:rsid w:val="00E2340A"/>
    <w:rsid w:val="00E2624C"/>
    <w:rsid w:val="00E26615"/>
    <w:rsid w:val="00E477C0"/>
    <w:rsid w:val="00E66451"/>
    <w:rsid w:val="00E73F1A"/>
    <w:rsid w:val="00E76ECF"/>
    <w:rsid w:val="00E77318"/>
    <w:rsid w:val="00E816C3"/>
    <w:rsid w:val="00E95604"/>
    <w:rsid w:val="00E95C09"/>
    <w:rsid w:val="00EC2FB4"/>
    <w:rsid w:val="00EC3C6D"/>
    <w:rsid w:val="00EC72C5"/>
    <w:rsid w:val="00EF625F"/>
    <w:rsid w:val="00F060A0"/>
    <w:rsid w:val="00F14553"/>
    <w:rsid w:val="00F14646"/>
    <w:rsid w:val="00F15F30"/>
    <w:rsid w:val="00F22E04"/>
    <w:rsid w:val="00F420F0"/>
    <w:rsid w:val="00F42503"/>
    <w:rsid w:val="00F60739"/>
    <w:rsid w:val="00F62E69"/>
    <w:rsid w:val="00F65093"/>
    <w:rsid w:val="00F66151"/>
    <w:rsid w:val="00F67299"/>
    <w:rsid w:val="00F67D45"/>
    <w:rsid w:val="00F73D24"/>
    <w:rsid w:val="00F8154C"/>
    <w:rsid w:val="00F8406E"/>
    <w:rsid w:val="00F84F5E"/>
    <w:rsid w:val="00F87315"/>
    <w:rsid w:val="00F96BEF"/>
    <w:rsid w:val="00FA32F2"/>
    <w:rsid w:val="00FA47AB"/>
    <w:rsid w:val="00FB2FEA"/>
    <w:rsid w:val="00FB7259"/>
    <w:rsid w:val="00FC029E"/>
    <w:rsid w:val="00FD0398"/>
    <w:rsid w:val="00FD10B0"/>
    <w:rsid w:val="00FD6831"/>
    <w:rsid w:val="00FE46E4"/>
    <w:rsid w:val="00FE7862"/>
    <w:rsid w:val="00FF1221"/>
    <w:rsid w:val="00FF3E39"/>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7BD06E"/>
  <w14:defaultImageDpi w14:val="96"/>
  <w15:docId w15:val="{412057F0-8B50-46A7-9CAE-A44C90B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94E"/>
    <w:pPr>
      <w:tabs>
        <w:tab w:val="left" w:pos="567"/>
      </w:tabs>
      <w:spacing w:line="260" w:lineRule="exact"/>
    </w:pPr>
    <w:rPr>
      <w:sz w:val="22"/>
      <w:lang w:val="lv-LV" w:eastAsia="en-US"/>
    </w:rPr>
  </w:style>
  <w:style w:type="paragraph" w:styleId="Heading1">
    <w:name w:val="heading 1"/>
    <w:basedOn w:val="Normal"/>
    <w:next w:val="Normal"/>
    <w:link w:val="Heading1Char"/>
    <w:uiPriority w:val="99"/>
    <w:qFormat/>
    <w:rsid w:val="002572C6"/>
    <w:pPr>
      <w:keepNext/>
      <w:tabs>
        <w:tab w:val="clear" w:pos="567"/>
      </w:tabs>
      <w:spacing w:line="240" w:lineRule="auto"/>
      <w:outlineLvl w:val="0"/>
    </w:pPr>
    <w:rPr>
      <w:b/>
      <w:bCs/>
      <w:i/>
      <w:iCs/>
      <w:noProo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x-none" w:eastAsia="en-US"/>
    </w:rPr>
  </w:style>
  <w:style w:type="paragraph" w:styleId="Header">
    <w:name w:val="header"/>
    <w:basedOn w:val="Normal"/>
    <w:link w:val="HeaderChar"/>
    <w:uiPriority w:val="99"/>
    <w:rsid w:val="0012694E"/>
    <w:pPr>
      <w:tabs>
        <w:tab w:val="center" w:pos="4153"/>
        <w:tab w:val="right" w:pos="8306"/>
      </w:tabs>
      <w:spacing w:line="240" w:lineRule="auto"/>
    </w:pPr>
    <w:rPr>
      <w:rFonts w:ascii="Helvetica" w:hAnsi="Helvetica"/>
      <w:sz w:val="20"/>
    </w:rPr>
  </w:style>
  <w:style w:type="character" w:customStyle="1" w:styleId="HeaderChar">
    <w:name w:val="Header Char"/>
    <w:link w:val="Header"/>
    <w:uiPriority w:val="99"/>
    <w:locked/>
    <w:rPr>
      <w:rFonts w:cs="Times New Roman"/>
      <w:sz w:val="22"/>
      <w:lang w:val="x-none" w:eastAsia="en-US"/>
    </w:rPr>
  </w:style>
  <w:style w:type="paragraph" w:styleId="Footer">
    <w:name w:val="footer"/>
    <w:basedOn w:val="Normal"/>
    <w:link w:val="FooterChar"/>
    <w:uiPriority w:val="99"/>
    <w:rsid w:val="0012694E"/>
    <w:pPr>
      <w:tabs>
        <w:tab w:val="center" w:pos="4536"/>
        <w:tab w:val="center" w:pos="8930"/>
      </w:tabs>
      <w:spacing w:line="240" w:lineRule="auto"/>
    </w:pPr>
    <w:rPr>
      <w:rFonts w:ascii="Helvetica" w:hAnsi="Helvetica"/>
      <w:sz w:val="16"/>
    </w:rPr>
  </w:style>
  <w:style w:type="character" w:customStyle="1" w:styleId="FooterChar">
    <w:name w:val="Footer Char"/>
    <w:link w:val="Footer"/>
    <w:uiPriority w:val="99"/>
    <w:locked/>
    <w:rPr>
      <w:rFonts w:cs="Times New Roman"/>
      <w:sz w:val="22"/>
      <w:lang w:val="x-none" w:eastAsia="en-US"/>
    </w:rPr>
  </w:style>
  <w:style w:type="character" w:styleId="PageNumber">
    <w:name w:val="page number"/>
    <w:uiPriority w:val="99"/>
    <w:rsid w:val="0012694E"/>
    <w:rPr>
      <w:rFonts w:cs="Times New Roman"/>
    </w:rPr>
  </w:style>
  <w:style w:type="character" w:styleId="Hyperlink">
    <w:name w:val="Hyperlink"/>
    <w:uiPriority w:val="99"/>
    <w:rsid w:val="0012694E"/>
    <w:rPr>
      <w:rFonts w:cs="Times New Roman"/>
      <w:color w:val="0000FF"/>
      <w:u w:val="single"/>
    </w:rPr>
  </w:style>
  <w:style w:type="paragraph" w:customStyle="1" w:styleId="EMEAEnBodyText">
    <w:name w:val="EMEA En Body Text"/>
    <w:basedOn w:val="Normal"/>
    <w:uiPriority w:val="99"/>
    <w:rsid w:val="0012694E"/>
    <w:pPr>
      <w:tabs>
        <w:tab w:val="clear" w:pos="567"/>
      </w:tabs>
      <w:spacing w:before="120" w:after="120" w:line="240" w:lineRule="auto"/>
      <w:jc w:val="both"/>
    </w:pPr>
    <w:rPr>
      <w:lang w:val="en-US"/>
    </w:rPr>
  </w:style>
  <w:style w:type="paragraph" w:styleId="BalloonText">
    <w:name w:val="Balloon Text"/>
    <w:basedOn w:val="Normal"/>
    <w:link w:val="BalloonTextChar"/>
    <w:uiPriority w:val="99"/>
    <w:semiHidden/>
    <w:rsid w:val="0012694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sid w:val="000826A5"/>
    <w:pPr>
      <w:tabs>
        <w:tab w:val="clear" w:pos="567"/>
      </w:tabs>
      <w:spacing w:line="240" w:lineRule="auto"/>
    </w:pPr>
    <w:rPr>
      <w:szCs w:val="24"/>
    </w:rPr>
  </w:style>
  <w:style w:type="character" w:customStyle="1" w:styleId="BodyTextChar">
    <w:name w:val="Body Text Char"/>
    <w:link w:val="BodyText"/>
    <w:uiPriority w:val="99"/>
    <w:semiHidden/>
    <w:locked/>
    <w:rPr>
      <w:rFonts w:cs="Times New Roman"/>
      <w:sz w:val="22"/>
      <w:lang w:val="x-none" w:eastAsia="en-US"/>
    </w:rPr>
  </w:style>
  <w:style w:type="paragraph" w:styleId="Revision">
    <w:name w:val="Revision"/>
    <w:hidden/>
    <w:uiPriority w:val="99"/>
    <w:semiHidden/>
    <w:rsid w:val="00384F45"/>
    <w:rPr>
      <w:sz w:val="22"/>
      <w:lang w:val="lv-LV" w:eastAsia="en-US"/>
    </w:rPr>
  </w:style>
  <w:style w:type="paragraph" w:styleId="CommentText">
    <w:name w:val="annotation text"/>
    <w:basedOn w:val="Normal"/>
    <w:link w:val="CommentTextChar"/>
    <w:uiPriority w:val="99"/>
    <w:semiHidden/>
    <w:unhideWhenUsed/>
    <w:rsid w:val="00C53A00"/>
    <w:rPr>
      <w:sz w:val="20"/>
    </w:rPr>
  </w:style>
  <w:style w:type="character" w:customStyle="1" w:styleId="CommentTextChar">
    <w:name w:val="Comment Text Char"/>
    <w:link w:val="CommentText"/>
    <w:uiPriority w:val="99"/>
    <w:semiHidden/>
    <w:locked/>
    <w:rsid w:val="00C53A00"/>
    <w:rPr>
      <w:rFonts w:cs="Times New Roman"/>
      <w:sz w:val="20"/>
      <w:szCs w:val="20"/>
      <w:lang w:val="lv-LV" w:eastAsia="x-none"/>
    </w:rPr>
  </w:style>
  <w:style w:type="paragraph" w:styleId="CommentSubject">
    <w:name w:val="annotation subject"/>
    <w:basedOn w:val="CommentText"/>
    <w:next w:val="CommentText"/>
    <w:link w:val="CommentSubjectChar"/>
    <w:uiPriority w:val="99"/>
    <w:rsid w:val="00C53A00"/>
    <w:rPr>
      <w:b/>
      <w:bCs/>
    </w:rPr>
  </w:style>
  <w:style w:type="character" w:customStyle="1" w:styleId="CommentSubjectChar">
    <w:name w:val="Comment Subject Char"/>
    <w:link w:val="CommentSubject"/>
    <w:uiPriority w:val="99"/>
    <w:locked/>
    <w:rsid w:val="00C53A00"/>
    <w:rPr>
      <w:rFonts w:cs="Times New Roman"/>
      <w:b/>
      <w:bCs/>
      <w:sz w:val="20"/>
      <w:szCs w:val="20"/>
      <w:lang w:val="lv-LV" w:eastAsia="x-none"/>
    </w:rPr>
  </w:style>
  <w:style w:type="paragraph" w:customStyle="1" w:styleId="Default">
    <w:name w:val="Default"/>
    <w:rsid w:val="00C53A00"/>
    <w:pPr>
      <w:autoSpaceDE w:val="0"/>
      <w:autoSpaceDN w:val="0"/>
      <w:adjustRightInd w:val="0"/>
    </w:pPr>
    <w:rPr>
      <w:rFonts w:ascii="Verdana" w:hAnsi="Verdana" w:cs="Verdana"/>
      <w:color w:val="000000"/>
      <w:sz w:val="24"/>
      <w:szCs w:val="24"/>
      <w:lang w:val="en-US" w:eastAsia="en-US"/>
    </w:rPr>
  </w:style>
  <w:style w:type="character" w:styleId="CommentReference">
    <w:name w:val="annotation reference"/>
    <w:uiPriority w:val="99"/>
    <w:semiHidden/>
    <w:unhideWhenUsed/>
    <w:rsid w:val="00D843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54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8088</Words>
  <Characters>4611</Characters>
  <Application>Microsoft Office Word</Application>
  <DocSecurity>0</DocSecurity>
  <Lines>38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ZĀĻU APRAKSTS</vt:lpstr>
      <vt:lpstr>ZĀĻU APRAKSTS</vt:lpstr>
    </vt:vector>
  </TitlesOfParts>
  <Company>BCMB</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APRAKSTS</dc:title>
  <dc:creator>vilkal</dc:creator>
  <cp:lastModifiedBy>Agnese Gudrupe</cp:lastModifiedBy>
  <cp:revision>6</cp:revision>
  <cp:lastPrinted>2016-11-24T12:54:00Z</cp:lastPrinted>
  <dcterms:created xsi:type="dcterms:W3CDTF">2020-09-10T11:57:00Z</dcterms:created>
  <dcterms:modified xsi:type="dcterms:W3CDTF">2021-05-10T07:52:00Z</dcterms:modified>
</cp:coreProperties>
</file>