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36E1" w14:textId="77777777" w:rsidR="00CD10AA" w:rsidRPr="00ED49AE" w:rsidRDefault="00CD10AA" w:rsidP="00ED49AE">
      <w:pPr>
        <w:spacing w:line="240" w:lineRule="auto"/>
        <w:jc w:val="center"/>
        <w:rPr>
          <w:color w:val="000000"/>
          <w:szCs w:val="22"/>
        </w:rPr>
      </w:pPr>
      <w:r w:rsidRPr="00ED49AE">
        <w:rPr>
          <w:b/>
          <w:color w:val="000000"/>
          <w:szCs w:val="22"/>
        </w:rPr>
        <w:t>ZĀĻU APRAKSTS</w:t>
      </w:r>
    </w:p>
    <w:p w14:paraId="5EA3229D" w14:textId="77777777" w:rsidR="008871B0" w:rsidRPr="00ED49AE" w:rsidRDefault="008871B0" w:rsidP="00ED49AE">
      <w:pPr>
        <w:spacing w:line="240" w:lineRule="auto"/>
        <w:jc w:val="both"/>
        <w:rPr>
          <w:color w:val="000000"/>
          <w:szCs w:val="22"/>
        </w:rPr>
      </w:pPr>
    </w:p>
    <w:p w14:paraId="3373C8D0" w14:textId="77777777" w:rsidR="00C33C7E" w:rsidRPr="00ED49AE" w:rsidRDefault="00C33C7E" w:rsidP="00ED49AE">
      <w:pPr>
        <w:spacing w:line="240" w:lineRule="auto"/>
        <w:jc w:val="both"/>
        <w:rPr>
          <w:color w:val="000000"/>
          <w:szCs w:val="22"/>
        </w:rPr>
      </w:pPr>
    </w:p>
    <w:p w14:paraId="7BEB9CFD" w14:textId="77777777" w:rsidR="00CD10AA" w:rsidRPr="00ED49AE" w:rsidRDefault="00CD10AA" w:rsidP="00ED49AE">
      <w:pPr>
        <w:spacing w:line="240" w:lineRule="auto"/>
        <w:jc w:val="both"/>
        <w:rPr>
          <w:b/>
          <w:color w:val="000000"/>
          <w:szCs w:val="22"/>
        </w:rPr>
      </w:pPr>
      <w:r w:rsidRPr="00ED49AE">
        <w:rPr>
          <w:b/>
          <w:color w:val="000000"/>
          <w:szCs w:val="22"/>
        </w:rPr>
        <w:t>1.</w:t>
      </w:r>
      <w:r w:rsidRPr="00ED49AE">
        <w:rPr>
          <w:b/>
          <w:color w:val="000000"/>
          <w:szCs w:val="22"/>
        </w:rPr>
        <w:tab/>
        <w:t>ZĀĻU NOSAUKUMS</w:t>
      </w:r>
    </w:p>
    <w:p w14:paraId="18F2966A" w14:textId="77777777" w:rsidR="00C33C7E" w:rsidRPr="00ED49AE" w:rsidRDefault="00C33C7E" w:rsidP="00ED49AE">
      <w:pPr>
        <w:pStyle w:val="Default"/>
        <w:jc w:val="both"/>
        <w:rPr>
          <w:b/>
          <w:bCs/>
          <w:sz w:val="22"/>
          <w:szCs w:val="22"/>
          <w:lang w:val="lv-LV"/>
        </w:rPr>
      </w:pPr>
    </w:p>
    <w:p w14:paraId="2D8127C4" w14:textId="77777777" w:rsidR="00B43BD6" w:rsidRPr="00ED49AE" w:rsidRDefault="0090378E" w:rsidP="00ED49AE">
      <w:pPr>
        <w:pStyle w:val="Default"/>
        <w:jc w:val="both"/>
        <w:rPr>
          <w:b/>
          <w:sz w:val="22"/>
          <w:szCs w:val="22"/>
          <w:lang w:val="lv-LV"/>
        </w:rPr>
      </w:pPr>
      <w:proofErr w:type="spellStart"/>
      <w:r w:rsidRPr="00ED49AE">
        <w:rPr>
          <w:b/>
          <w:bCs/>
          <w:sz w:val="22"/>
          <w:szCs w:val="22"/>
          <w:lang w:val="lv-LV"/>
        </w:rPr>
        <w:t>Paracetamol</w:t>
      </w:r>
      <w:proofErr w:type="spellEnd"/>
      <w:r w:rsidRPr="00ED49AE">
        <w:rPr>
          <w:b/>
          <w:bCs/>
          <w:sz w:val="22"/>
          <w:szCs w:val="22"/>
          <w:lang w:val="lv-LV"/>
        </w:rPr>
        <w:t xml:space="preserve"> </w:t>
      </w:r>
      <w:proofErr w:type="spellStart"/>
      <w:r w:rsidRPr="00ED49AE">
        <w:rPr>
          <w:b/>
          <w:bCs/>
          <w:sz w:val="22"/>
          <w:szCs w:val="22"/>
          <w:lang w:val="lv-LV"/>
        </w:rPr>
        <w:t>Phs</w:t>
      </w:r>
      <w:proofErr w:type="spellEnd"/>
      <w:r w:rsidR="00B43BD6" w:rsidRPr="00ED49AE">
        <w:rPr>
          <w:b/>
          <w:sz w:val="22"/>
          <w:szCs w:val="22"/>
          <w:lang w:val="lv-LV"/>
        </w:rPr>
        <w:t xml:space="preserve"> 24 mg/ml </w:t>
      </w:r>
      <w:r w:rsidRPr="00ED49AE">
        <w:rPr>
          <w:b/>
          <w:sz w:val="22"/>
          <w:szCs w:val="22"/>
          <w:lang w:val="lv-LV"/>
        </w:rPr>
        <w:t>suspensija iekšķīgai lietošanai bērniem</w:t>
      </w:r>
    </w:p>
    <w:p w14:paraId="4EDF5A13" w14:textId="77777777" w:rsidR="00CD10AA" w:rsidRPr="00ED49AE" w:rsidRDefault="00CD10AA" w:rsidP="00ED49AE">
      <w:pPr>
        <w:spacing w:line="240" w:lineRule="auto"/>
        <w:jc w:val="both"/>
        <w:rPr>
          <w:color w:val="000000"/>
          <w:szCs w:val="22"/>
        </w:rPr>
      </w:pPr>
    </w:p>
    <w:p w14:paraId="698F7CDE" w14:textId="77777777" w:rsidR="00C33C7E" w:rsidRPr="00ED49AE" w:rsidRDefault="00C33C7E" w:rsidP="00ED49AE">
      <w:pPr>
        <w:spacing w:line="240" w:lineRule="auto"/>
        <w:jc w:val="both"/>
        <w:rPr>
          <w:color w:val="000000"/>
          <w:szCs w:val="22"/>
        </w:rPr>
      </w:pPr>
    </w:p>
    <w:p w14:paraId="40B6350D" w14:textId="77777777" w:rsidR="00CD10AA" w:rsidRPr="00ED49AE" w:rsidRDefault="00CD10AA" w:rsidP="00ED49AE">
      <w:pPr>
        <w:spacing w:line="240" w:lineRule="auto"/>
        <w:jc w:val="both"/>
        <w:rPr>
          <w:b/>
          <w:color w:val="000000"/>
          <w:szCs w:val="22"/>
        </w:rPr>
      </w:pPr>
      <w:r w:rsidRPr="00ED49AE">
        <w:rPr>
          <w:b/>
          <w:color w:val="000000"/>
          <w:szCs w:val="22"/>
        </w:rPr>
        <w:t>2.</w:t>
      </w:r>
      <w:r w:rsidRPr="00ED49AE">
        <w:rPr>
          <w:b/>
          <w:color w:val="000000"/>
          <w:szCs w:val="22"/>
        </w:rPr>
        <w:tab/>
        <w:t>KVALITATĪVAIS UN KVANTITATĪVAIS SASTĀVS</w:t>
      </w:r>
    </w:p>
    <w:p w14:paraId="291E1CD9" w14:textId="77777777" w:rsidR="00C33C7E" w:rsidRPr="00ED49AE" w:rsidRDefault="00C33C7E" w:rsidP="00ED49AE">
      <w:pPr>
        <w:pStyle w:val="Default"/>
        <w:jc w:val="both"/>
        <w:rPr>
          <w:sz w:val="22"/>
          <w:szCs w:val="22"/>
          <w:lang w:val="lv-LV"/>
        </w:rPr>
      </w:pPr>
    </w:p>
    <w:p w14:paraId="0345849B" w14:textId="77777777" w:rsidR="00B43BD6" w:rsidRPr="00ED49AE" w:rsidRDefault="00B43BD6" w:rsidP="00ED49AE">
      <w:pPr>
        <w:pStyle w:val="Default"/>
        <w:jc w:val="both"/>
        <w:rPr>
          <w:sz w:val="22"/>
          <w:szCs w:val="22"/>
          <w:lang w:val="lv-LV"/>
        </w:rPr>
      </w:pPr>
      <w:r w:rsidRPr="00ED49AE">
        <w:rPr>
          <w:sz w:val="22"/>
          <w:szCs w:val="22"/>
          <w:lang w:val="lv-LV"/>
        </w:rPr>
        <w:t xml:space="preserve">1 ml suspensijas satur 24 mg </w:t>
      </w:r>
      <w:proofErr w:type="spellStart"/>
      <w:r w:rsidRPr="00ED49AE">
        <w:rPr>
          <w:sz w:val="22"/>
          <w:szCs w:val="22"/>
          <w:lang w:val="lv-LV"/>
        </w:rPr>
        <w:t>paracetamola</w:t>
      </w:r>
      <w:proofErr w:type="spellEnd"/>
      <w:r w:rsidRPr="00ED49AE">
        <w:rPr>
          <w:sz w:val="22"/>
          <w:szCs w:val="22"/>
          <w:lang w:val="lv-LV"/>
        </w:rPr>
        <w:t xml:space="preserve"> (</w:t>
      </w:r>
      <w:proofErr w:type="spellStart"/>
      <w:r w:rsidRPr="00ED49AE">
        <w:rPr>
          <w:i/>
          <w:iCs/>
          <w:sz w:val="22"/>
          <w:szCs w:val="22"/>
          <w:lang w:val="lv-LV"/>
        </w:rPr>
        <w:t>Paracetamolum</w:t>
      </w:r>
      <w:proofErr w:type="spellEnd"/>
      <w:r w:rsidRPr="00ED49AE">
        <w:rPr>
          <w:sz w:val="22"/>
          <w:szCs w:val="22"/>
          <w:lang w:val="lv-LV"/>
        </w:rPr>
        <w:t>).</w:t>
      </w:r>
    </w:p>
    <w:p w14:paraId="1CFCE4A2" w14:textId="77777777" w:rsidR="00B43BD6" w:rsidRPr="00ED49AE" w:rsidRDefault="00B43BD6" w:rsidP="00ED49AE">
      <w:pPr>
        <w:pStyle w:val="Default"/>
        <w:jc w:val="both"/>
        <w:rPr>
          <w:sz w:val="22"/>
          <w:szCs w:val="22"/>
          <w:lang w:val="lv-LV"/>
        </w:rPr>
      </w:pPr>
    </w:p>
    <w:p w14:paraId="2CDBE8C8" w14:textId="77777777" w:rsidR="00B43BD6" w:rsidRPr="00ED49AE" w:rsidRDefault="00B43BD6" w:rsidP="00ED49AE">
      <w:pPr>
        <w:pStyle w:val="EMEAEnBodyText"/>
        <w:autoSpaceDE w:val="0"/>
        <w:autoSpaceDN w:val="0"/>
        <w:adjustRightInd w:val="0"/>
        <w:spacing w:before="0" w:after="0"/>
        <w:rPr>
          <w:color w:val="000000"/>
          <w:szCs w:val="22"/>
          <w:u w:val="single"/>
          <w:lang w:val="lv-LV"/>
        </w:rPr>
      </w:pPr>
      <w:proofErr w:type="spellStart"/>
      <w:r w:rsidRPr="00ED49AE">
        <w:rPr>
          <w:color w:val="000000"/>
          <w:szCs w:val="22"/>
          <w:u w:val="single"/>
          <w:lang w:val="lv-LV"/>
        </w:rPr>
        <w:t>Palīgvielas</w:t>
      </w:r>
      <w:proofErr w:type="spellEnd"/>
      <w:r w:rsidRPr="00ED49AE">
        <w:rPr>
          <w:color w:val="000000"/>
          <w:szCs w:val="22"/>
          <w:u w:val="single"/>
          <w:lang w:val="lv-LV"/>
        </w:rPr>
        <w:t xml:space="preserve"> ar zināmu iedarbību:</w:t>
      </w:r>
    </w:p>
    <w:p w14:paraId="0B7E078B" w14:textId="77777777" w:rsidR="00B43BD6" w:rsidRPr="00ED49AE" w:rsidRDefault="00B43BD6" w:rsidP="00ED49AE">
      <w:pPr>
        <w:pStyle w:val="Default"/>
        <w:jc w:val="both"/>
        <w:rPr>
          <w:sz w:val="22"/>
          <w:szCs w:val="22"/>
          <w:lang w:val="lv-LV"/>
        </w:rPr>
      </w:pPr>
      <w:r w:rsidRPr="00ED49AE">
        <w:rPr>
          <w:sz w:val="22"/>
          <w:szCs w:val="22"/>
          <w:lang w:val="lv-LV"/>
        </w:rPr>
        <w:t xml:space="preserve">1 ml suspensijas satur 1 mg </w:t>
      </w:r>
      <w:proofErr w:type="spellStart"/>
      <w:r w:rsidRPr="00ED49AE">
        <w:rPr>
          <w:sz w:val="22"/>
          <w:szCs w:val="22"/>
          <w:lang w:val="lv-LV"/>
        </w:rPr>
        <w:t>metil</w:t>
      </w:r>
      <w:r w:rsidR="00EE7C86" w:rsidRPr="00ED49AE">
        <w:rPr>
          <w:sz w:val="22"/>
          <w:szCs w:val="22"/>
          <w:lang w:val="lv-LV"/>
        </w:rPr>
        <w:t>parahidroksibenzoāta</w:t>
      </w:r>
      <w:proofErr w:type="spellEnd"/>
      <w:r w:rsidR="00EE7C86" w:rsidRPr="00ED49AE">
        <w:rPr>
          <w:sz w:val="22"/>
          <w:szCs w:val="22"/>
          <w:lang w:val="lv-LV"/>
        </w:rPr>
        <w:t xml:space="preserve"> </w:t>
      </w:r>
      <w:r w:rsidRPr="00ED49AE">
        <w:rPr>
          <w:sz w:val="22"/>
          <w:szCs w:val="22"/>
          <w:lang w:val="lv-LV"/>
        </w:rPr>
        <w:t xml:space="preserve">(E218), 330 mg saharozes un 225,75 mg </w:t>
      </w:r>
      <w:proofErr w:type="spellStart"/>
      <w:r w:rsidRPr="00ED49AE">
        <w:rPr>
          <w:sz w:val="22"/>
          <w:szCs w:val="22"/>
          <w:lang w:val="lv-LV"/>
        </w:rPr>
        <w:t>sorbīta</w:t>
      </w:r>
      <w:proofErr w:type="spellEnd"/>
      <w:r w:rsidR="00C33C7E" w:rsidRPr="00ED49AE">
        <w:rPr>
          <w:sz w:val="22"/>
          <w:szCs w:val="22"/>
          <w:lang w:val="lv-LV"/>
        </w:rPr>
        <w:t xml:space="preserve"> (E420)</w:t>
      </w:r>
      <w:r w:rsidRPr="00ED49AE">
        <w:rPr>
          <w:sz w:val="22"/>
          <w:szCs w:val="22"/>
          <w:lang w:val="lv-LV"/>
        </w:rPr>
        <w:t>.</w:t>
      </w:r>
    </w:p>
    <w:p w14:paraId="7CF40C86" w14:textId="77777777" w:rsidR="003F45AD" w:rsidRPr="00ED49AE" w:rsidRDefault="003F45AD" w:rsidP="00ED49AE">
      <w:pPr>
        <w:pStyle w:val="EMEAEnBodyText"/>
        <w:autoSpaceDE w:val="0"/>
        <w:autoSpaceDN w:val="0"/>
        <w:adjustRightInd w:val="0"/>
        <w:spacing w:before="0" w:after="0"/>
        <w:rPr>
          <w:color w:val="000000"/>
          <w:szCs w:val="22"/>
          <w:u w:val="single"/>
          <w:lang w:val="lv-LV"/>
        </w:rPr>
      </w:pPr>
    </w:p>
    <w:p w14:paraId="39917740" w14:textId="77777777" w:rsidR="00CD10AA" w:rsidRPr="00ED49AE" w:rsidRDefault="00CD10AA" w:rsidP="00ED49AE">
      <w:pPr>
        <w:spacing w:line="240" w:lineRule="auto"/>
        <w:jc w:val="both"/>
        <w:rPr>
          <w:color w:val="000000"/>
          <w:szCs w:val="22"/>
        </w:rPr>
      </w:pPr>
      <w:r w:rsidRPr="00ED49AE">
        <w:rPr>
          <w:color w:val="000000"/>
          <w:szCs w:val="22"/>
        </w:rPr>
        <w:t xml:space="preserve">Pilnu </w:t>
      </w:r>
      <w:proofErr w:type="spellStart"/>
      <w:r w:rsidRPr="00ED49AE">
        <w:rPr>
          <w:color w:val="000000"/>
          <w:szCs w:val="22"/>
        </w:rPr>
        <w:t>palīgvielu</w:t>
      </w:r>
      <w:proofErr w:type="spellEnd"/>
      <w:r w:rsidRPr="00ED49AE">
        <w:rPr>
          <w:color w:val="000000"/>
          <w:szCs w:val="22"/>
        </w:rPr>
        <w:t xml:space="preserve"> sarakstu skatīt </w:t>
      </w:r>
      <w:r w:rsidR="0020587A" w:rsidRPr="00ED49AE">
        <w:rPr>
          <w:color w:val="000000"/>
          <w:szCs w:val="22"/>
        </w:rPr>
        <w:t>6.1</w:t>
      </w:r>
      <w:r w:rsidR="00F41868" w:rsidRPr="00ED49AE">
        <w:rPr>
          <w:color w:val="000000"/>
          <w:szCs w:val="22"/>
        </w:rPr>
        <w:t>.</w:t>
      </w:r>
      <w:r w:rsidR="0020587A" w:rsidRPr="00ED49AE">
        <w:rPr>
          <w:color w:val="000000"/>
          <w:szCs w:val="22"/>
        </w:rPr>
        <w:t xml:space="preserve"> </w:t>
      </w:r>
      <w:r w:rsidRPr="00ED49AE">
        <w:rPr>
          <w:color w:val="000000"/>
          <w:szCs w:val="22"/>
        </w:rPr>
        <w:t>apakšpunktā</w:t>
      </w:r>
      <w:r w:rsidR="0020587A" w:rsidRPr="00ED49AE">
        <w:rPr>
          <w:color w:val="000000"/>
          <w:szCs w:val="22"/>
        </w:rPr>
        <w:t>.</w:t>
      </w:r>
    </w:p>
    <w:p w14:paraId="1C98B4C8" w14:textId="77777777" w:rsidR="00CD10AA" w:rsidRPr="00ED49AE" w:rsidRDefault="00CD10AA" w:rsidP="00ED49AE">
      <w:pPr>
        <w:spacing w:line="240" w:lineRule="auto"/>
        <w:jc w:val="both"/>
        <w:rPr>
          <w:color w:val="000000"/>
          <w:szCs w:val="22"/>
        </w:rPr>
      </w:pPr>
    </w:p>
    <w:p w14:paraId="295C3107" w14:textId="77777777" w:rsidR="00C33C7E" w:rsidRPr="00ED49AE" w:rsidRDefault="00C33C7E" w:rsidP="00ED49AE">
      <w:pPr>
        <w:spacing w:line="240" w:lineRule="auto"/>
        <w:jc w:val="both"/>
        <w:rPr>
          <w:color w:val="000000"/>
          <w:szCs w:val="22"/>
        </w:rPr>
      </w:pPr>
    </w:p>
    <w:p w14:paraId="50D1A140" w14:textId="77777777" w:rsidR="00CD10AA" w:rsidRPr="00ED49AE" w:rsidRDefault="00CD10AA" w:rsidP="00ED49AE">
      <w:pPr>
        <w:spacing w:line="240" w:lineRule="auto"/>
        <w:jc w:val="both"/>
        <w:rPr>
          <w:b/>
          <w:caps/>
          <w:color w:val="000000"/>
          <w:szCs w:val="22"/>
        </w:rPr>
      </w:pPr>
      <w:r w:rsidRPr="00ED49AE">
        <w:rPr>
          <w:b/>
          <w:color w:val="000000"/>
          <w:szCs w:val="22"/>
        </w:rPr>
        <w:t>3.</w:t>
      </w:r>
      <w:r w:rsidRPr="00ED49AE">
        <w:rPr>
          <w:b/>
          <w:color w:val="000000"/>
          <w:szCs w:val="22"/>
        </w:rPr>
        <w:tab/>
        <w:t>ZĀĻU FORMA</w:t>
      </w:r>
    </w:p>
    <w:p w14:paraId="1523E793" w14:textId="77777777" w:rsidR="00C33C7E" w:rsidRPr="00ED49AE" w:rsidRDefault="00C33C7E" w:rsidP="00ED49AE">
      <w:pPr>
        <w:pStyle w:val="Default"/>
        <w:jc w:val="both"/>
        <w:rPr>
          <w:sz w:val="22"/>
          <w:szCs w:val="22"/>
          <w:lang w:val="lv-LV"/>
        </w:rPr>
      </w:pPr>
    </w:p>
    <w:p w14:paraId="1D77A548" w14:textId="77777777" w:rsidR="00B43BD6" w:rsidRPr="00ED49AE" w:rsidRDefault="00B43BD6" w:rsidP="00ED49AE">
      <w:pPr>
        <w:pStyle w:val="Default"/>
        <w:jc w:val="both"/>
        <w:rPr>
          <w:sz w:val="22"/>
          <w:szCs w:val="22"/>
          <w:lang w:val="lv-LV"/>
        </w:rPr>
      </w:pPr>
      <w:r w:rsidRPr="00ED49AE">
        <w:rPr>
          <w:sz w:val="22"/>
          <w:szCs w:val="22"/>
          <w:lang w:val="lv-LV"/>
        </w:rPr>
        <w:t>Suspensija iekšķīgai lietošanai.</w:t>
      </w:r>
    </w:p>
    <w:p w14:paraId="120C7B73" w14:textId="77777777" w:rsidR="00B43BD6" w:rsidRPr="00ED49AE" w:rsidRDefault="00B43BD6" w:rsidP="00ED49AE">
      <w:pPr>
        <w:pStyle w:val="Default"/>
        <w:jc w:val="both"/>
        <w:rPr>
          <w:sz w:val="22"/>
          <w:szCs w:val="22"/>
          <w:lang w:val="lv-LV"/>
        </w:rPr>
      </w:pPr>
    </w:p>
    <w:p w14:paraId="03E8986A" w14:textId="77777777" w:rsidR="00190E5C" w:rsidRPr="00ED49AE" w:rsidRDefault="00190E5C" w:rsidP="00ED49AE">
      <w:pPr>
        <w:pStyle w:val="Default"/>
        <w:jc w:val="both"/>
        <w:rPr>
          <w:sz w:val="22"/>
          <w:szCs w:val="22"/>
          <w:lang w:val="lv-LV"/>
        </w:rPr>
      </w:pPr>
      <w:r w:rsidRPr="00ED49AE">
        <w:rPr>
          <w:sz w:val="22"/>
          <w:szCs w:val="22"/>
          <w:lang w:val="lv-LV"/>
        </w:rPr>
        <w:t xml:space="preserve">Viendabīga suspensija gaiši pelēkā </w:t>
      </w:r>
      <w:r w:rsidR="003112CE" w:rsidRPr="00ED49AE">
        <w:rPr>
          <w:sz w:val="22"/>
          <w:szCs w:val="22"/>
          <w:lang w:val="lv-LV"/>
        </w:rPr>
        <w:t xml:space="preserve">krāsā </w:t>
      </w:r>
      <w:r w:rsidRPr="00ED49AE">
        <w:rPr>
          <w:sz w:val="22"/>
          <w:szCs w:val="22"/>
          <w:lang w:val="lv-LV"/>
        </w:rPr>
        <w:t>vai pelēkā krāsā ar dzeltenīgu līdz pelēcīgu nokrāsu</w:t>
      </w:r>
      <w:r w:rsidR="00964E83" w:rsidRPr="00ED49AE">
        <w:rPr>
          <w:sz w:val="22"/>
          <w:szCs w:val="22"/>
          <w:lang w:val="lv-LV"/>
        </w:rPr>
        <w:t>,</w:t>
      </w:r>
      <w:r w:rsidRPr="00ED49AE">
        <w:rPr>
          <w:sz w:val="22"/>
          <w:szCs w:val="22"/>
          <w:lang w:val="lv-LV"/>
        </w:rPr>
        <w:t xml:space="preserve"> vai pelēkā krāsā ar dzeltenīgu nokrāsu un ar specifisku augļu smaržu.</w:t>
      </w:r>
    </w:p>
    <w:p w14:paraId="0D2BBF60" w14:textId="77777777" w:rsidR="00CD10AA" w:rsidRPr="00ED49AE" w:rsidRDefault="00CD10AA" w:rsidP="00ED49AE">
      <w:pPr>
        <w:spacing w:line="240" w:lineRule="auto"/>
        <w:jc w:val="both"/>
        <w:rPr>
          <w:color w:val="000000"/>
          <w:szCs w:val="22"/>
        </w:rPr>
      </w:pPr>
    </w:p>
    <w:p w14:paraId="6259876F" w14:textId="77777777" w:rsidR="00C33C7E" w:rsidRPr="00ED49AE" w:rsidRDefault="00C33C7E" w:rsidP="00ED49AE">
      <w:pPr>
        <w:spacing w:line="240" w:lineRule="auto"/>
        <w:jc w:val="both"/>
        <w:rPr>
          <w:color w:val="000000"/>
          <w:szCs w:val="22"/>
        </w:rPr>
      </w:pPr>
    </w:p>
    <w:p w14:paraId="1FADAB0E" w14:textId="77777777" w:rsidR="00CD10AA" w:rsidRPr="00ED49AE" w:rsidRDefault="00CD10AA" w:rsidP="00ED49AE">
      <w:pPr>
        <w:tabs>
          <w:tab w:val="clear" w:pos="567"/>
        </w:tabs>
        <w:spacing w:line="240" w:lineRule="auto"/>
        <w:jc w:val="both"/>
        <w:rPr>
          <w:b/>
          <w:color w:val="000000"/>
          <w:szCs w:val="22"/>
        </w:rPr>
      </w:pPr>
      <w:r w:rsidRPr="00ED49AE">
        <w:rPr>
          <w:b/>
          <w:caps/>
          <w:color w:val="000000"/>
          <w:szCs w:val="22"/>
        </w:rPr>
        <w:t>4.</w:t>
      </w:r>
      <w:r w:rsidRPr="00ED49AE">
        <w:rPr>
          <w:b/>
          <w:caps/>
          <w:color w:val="000000"/>
          <w:szCs w:val="22"/>
        </w:rPr>
        <w:tab/>
        <w:t>KLĪNISKĀ INFORMĀCIJA</w:t>
      </w:r>
    </w:p>
    <w:p w14:paraId="648809FB" w14:textId="77777777" w:rsidR="00C33C7E" w:rsidRPr="00ED49AE" w:rsidRDefault="00C33C7E" w:rsidP="00ED49AE">
      <w:pPr>
        <w:tabs>
          <w:tab w:val="clear" w:pos="567"/>
        </w:tabs>
        <w:spacing w:line="240" w:lineRule="auto"/>
        <w:jc w:val="both"/>
        <w:rPr>
          <w:b/>
          <w:color w:val="000000"/>
          <w:szCs w:val="22"/>
        </w:rPr>
      </w:pPr>
    </w:p>
    <w:p w14:paraId="51F3D07A" w14:textId="77777777" w:rsidR="00CD10AA" w:rsidRPr="00ED49AE" w:rsidRDefault="00CD10AA" w:rsidP="00ED49AE">
      <w:pPr>
        <w:tabs>
          <w:tab w:val="clear" w:pos="567"/>
        </w:tabs>
        <w:spacing w:line="240" w:lineRule="auto"/>
        <w:jc w:val="both"/>
        <w:rPr>
          <w:color w:val="000000"/>
          <w:szCs w:val="22"/>
        </w:rPr>
      </w:pPr>
      <w:r w:rsidRPr="00ED49AE">
        <w:rPr>
          <w:b/>
          <w:color w:val="000000"/>
          <w:szCs w:val="22"/>
        </w:rPr>
        <w:t>4.1</w:t>
      </w:r>
      <w:r w:rsidR="003B0FF0" w:rsidRPr="00ED49AE">
        <w:rPr>
          <w:b/>
          <w:color w:val="000000"/>
          <w:szCs w:val="22"/>
        </w:rPr>
        <w:t>.</w:t>
      </w:r>
      <w:r w:rsidRPr="00ED49AE">
        <w:rPr>
          <w:b/>
          <w:color w:val="000000"/>
          <w:szCs w:val="22"/>
        </w:rPr>
        <w:tab/>
        <w:t>Terapeitiskās indikācijas</w:t>
      </w:r>
    </w:p>
    <w:p w14:paraId="1191C08C" w14:textId="77777777" w:rsidR="00C33C7E" w:rsidRPr="00ED49AE" w:rsidRDefault="00C33C7E" w:rsidP="00ED49AE">
      <w:pPr>
        <w:tabs>
          <w:tab w:val="clear" w:pos="567"/>
        </w:tabs>
        <w:autoSpaceDE w:val="0"/>
        <w:autoSpaceDN w:val="0"/>
        <w:adjustRightInd w:val="0"/>
        <w:spacing w:line="240" w:lineRule="auto"/>
        <w:jc w:val="both"/>
        <w:rPr>
          <w:color w:val="000000"/>
          <w:szCs w:val="22"/>
        </w:rPr>
      </w:pPr>
    </w:p>
    <w:p w14:paraId="1F9487BD" w14:textId="77777777" w:rsidR="004035FA" w:rsidRPr="00ED49AE" w:rsidRDefault="0090378E" w:rsidP="00ED49AE">
      <w:pPr>
        <w:tabs>
          <w:tab w:val="clear" w:pos="567"/>
        </w:tabs>
        <w:autoSpaceDE w:val="0"/>
        <w:autoSpaceDN w:val="0"/>
        <w:adjustRightInd w:val="0"/>
        <w:spacing w:line="240" w:lineRule="auto"/>
        <w:jc w:val="both"/>
        <w:rPr>
          <w:color w:val="000000"/>
          <w:szCs w:val="22"/>
        </w:rPr>
      </w:pPr>
      <w:proofErr w:type="spellStart"/>
      <w:r w:rsidRPr="00ED49AE">
        <w:rPr>
          <w:color w:val="000000"/>
          <w:szCs w:val="22"/>
        </w:rPr>
        <w:t>Paracetamol</w:t>
      </w:r>
      <w:proofErr w:type="spellEnd"/>
      <w:r w:rsidRPr="00ED49AE">
        <w:rPr>
          <w:color w:val="000000"/>
          <w:szCs w:val="22"/>
        </w:rPr>
        <w:t xml:space="preserve"> </w:t>
      </w:r>
      <w:proofErr w:type="spellStart"/>
      <w:r w:rsidRPr="00ED49AE">
        <w:rPr>
          <w:color w:val="000000"/>
          <w:szCs w:val="22"/>
        </w:rPr>
        <w:t>Phs</w:t>
      </w:r>
      <w:proofErr w:type="spellEnd"/>
      <w:r w:rsidR="004035FA" w:rsidRPr="00ED49AE">
        <w:rPr>
          <w:color w:val="000000"/>
          <w:szCs w:val="22"/>
        </w:rPr>
        <w:t xml:space="preserve"> lieto:</w:t>
      </w:r>
    </w:p>
    <w:p w14:paraId="20281F13" w14:textId="77777777" w:rsidR="004035FA" w:rsidRPr="00ED49AE" w:rsidRDefault="00C34573" w:rsidP="00ED49AE">
      <w:pPr>
        <w:pStyle w:val="Default"/>
        <w:numPr>
          <w:ilvl w:val="0"/>
          <w:numId w:val="28"/>
        </w:numPr>
        <w:tabs>
          <w:tab w:val="left" w:pos="709"/>
        </w:tabs>
        <w:jc w:val="both"/>
        <w:rPr>
          <w:sz w:val="22"/>
          <w:szCs w:val="22"/>
          <w:lang w:val="lv-LV"/>
        </w:rPr>
      </w:pPr>
      <w:r w:rsidRPr="00ED49AE">
        <w:rPr>
          <w:sz w:val="22"/>
          <w:szCs w:val="22"/>
          <w:lang w:val="lv-LV"/>
        </w:rPr>
        <w:t>d</w:t>
      </w:r>
      <w:r w:rsidR="004035FA" w:rsidRPr="00ED49AE">
        <w:rPr>
          <w:sz w:val="22"/>
          <w:szCs w:val="22"/>
          <w:lang w:val="lv-LV"/>
        </w:rPr>
        <w:t>rudža</w:t>
      </w:r>
      <w:r w:rsidRPr="00ED49AE">
        <w:rPr>
          <w:sz w:val="22"/>
          <w:szCs w:val="22"/>
          <w:lang w:val="lv-LV"/>
        </w:rPr>
        <w:t xml:space="preserve"> mazināšanai (lai atvieglotu drudzi, kas saistīts ar</w:t>
      </w:r>
      <w:r w:rsidR="004035FA" w:rsidRPr="00ED49AE">
        <w:rPr>
          <w:sz w:val="22"/>
          <w:szCs w:val="22"/>
          <w:lang w:val="lv-LV"/>
        </w:rPr>
        <w:t xml:space="preserve"> gripu, saaukstēšanos un jebkādiem patoloģiskiem stāvokļiem</w:t>
      </w:r>
      <w:r w:rsidRPr="00ED49AE">
        <w:rPr>
          <w:sz w:val="22"/>
          <w:szCs w:val="22"/>
          <w:lang w:val="lv-LV"/>
        </w:rPr>
        <w:t>,</w:t>
      </w:r>
      <w:r w:rsidR="004035FA" w:rsidRPr="00ED49AE">
        <w:rPr>
          <w:sz w:val="22"/>
          <w:szCs w:val="22"/>
          <w:lang w:val="lv-LV"/>
        </w:rPr>
        <w:t xml:space="preserve"> </w:t>
      </w:r>
      <w:r w:rsidRPr="00ED49AE">
        <w:rPr>
          <w:sz w:val="22"/>
          <w:szCs w:val="22"/>
          <w:lang w:val="lv-LV"/>
        </w:rPr>
        <w:t xml:space="preserve">kā arī </w:t>
      </w:r>
      <w:r w:rsidR="004035FA" w:rsidRPr="00ED49AE">
        <w:rPr>
          <w:sz w:val="22"/>
          <w:szCs w:val="22"/>
          <w:lang w:val="lv-LV"/>
        </w:rPr>
        <w:t>pēc vakcinācijas</w:t>
      </w:r>
      <w:r w:rsidRPr="00ED49AE">
        <w:rPr>
          <w:sz w:val="22"/>
          <w:szCs w:val="22"/>
          <w:lang w:val="lv-LV"/>
        </w:rPr>
        <w:t>)</w:t>
      </w:r>
      <w:r w:rsidR="004035FA" w:rsidRPr="00ED49AE">
        <w:rPr>
          <w:sz w:val="22"/>
          <w:szCs w:val="22"/>
          <w:lang w:val="lv-LV"/>
        </w:rPr>
        <w:t>;</w:t>
      </w:r>
    </w:p>
    <w:p w14:paraId="3E3CE555" w14:textId="77777777" w:rsidR="004035FA" w:rsidRPr="00ED49AE" w:rsidRDefault="004035FA" w:rsidP="00ED49AE">
      <w:pPr>
        <w:pStyle w:val="Default"/>
        <w:numPr>
          <w:ilvl w:val="0"/>
          <w:numId w:val="28"/>
        </w:numPr>
        <w:tabs>
          <w:tab w:val="left" w:pos="709"/>
        </w:tabs>
        <w:jc w:val="both"/>
        <w:rPr>
          <w:sz w:val="22"/>
          <w:szCs w:val="22"/>
          <w:lang w:val="lv-LV"/>
        </w:rPr>
      </w:pPr>
      <w:r w:rsidRPr="00ED49AE">
        <w:rPr>
          <w:sz w:val="22"/>
          <w:szCs w:val="22"/>
          <w:lang w:val="lv-LV"/>
        </w:rPr>
        <w:t xml:space="preserve">kā pretsāpju līdzekli vieglu līdz vidēji smagu sāpju gadījumā, tajā skaitā, galvassāpju, zobu sāpju, zobu griešanas, </w:t>
      </w:r>
      <w:proofErr w:type="spellStart"/>
      <w:r w:rsidRPr="00ED49AE">
        <w:rPr>
          <w:sz w:val="22"/>
          <w:szCs w:val="22"/>
          <w:lang w:val="lv-LV"/>
        </w:rPr>
        <w:t>mialģijas</w:t>
      </w:r>
      <w:proofErr w:type="spellEnd"/>
      <w:r w:rsidRPr="00ED49AE">
        <w:rPr>
          <w:sz w:val="22"/>
          <w:szCs w:val="22"/>
          <w:lang w:val="lv-LV"/>
        </w:rPr>
        <w:t xml:space="preserve">, </w:t>
      </w:r>
      <w:proofErr w:type="spellStart"/>
      <w:r w:rsidRPr="00ED49AE">
        <w:rPr>
          <w:sz w:val="22"/>
          <w:szCs w:val="22"/>
          <w:lang w:val="lv-LV"/>
        </w:rPr>
        <w:t>artralģijas</w:t>
      </w:r>
      <w:proofErr w:type="spellEnd"/>
      <w:r w:rsidRPr="00ED49AE">
        <w:rPr>
          <w:sz w:val="22"/>
          <w:szCs w:val="22"/>
          <w:lang w:val="lv-LV"/>
        </w:rPr>
        <w:t>, neiralģijas, traumu un apdedzinājumu izraisītu sāpju gadījumā.</w:t>
      </w:r>
    </w:p>
    <w:p w14:paraId="4136C805" w14:textId="77777777" w:rsidR="00CD10AA" w:rsidRPr="00ED49AE" w:rsidRDefault="00CD10AA" w:rsidP="00ED49AE">
      <w:pPr>
        <w:tabs>
          <w:tab w:val="clear" w:pos="567"/>
        </w:tabs>
        <w:spacing w:line="240" w:lineRule="auto"/>
        <w:jc w:val="both"/>
        <w:rPr>
          <w:color w:val="000000"/>
          <w:szCs w:val="22"/>
        </w:rPr>
      </w:pPr>
    </w:p>
    <w:p w14:paraId="6DA42EFF" w14:textId="77777777" w:rsidR="00CD10AA" w:rsidRPr="00ED49AE" w:rsidRDefault="00CD10AA" w:rsidP="00ED49AE">
      <w:pPr>
        <w:tabs>
          <w:tab w:val="clear" w:pos="567"/>
        </w:tabs>
        <w:spacing w:line="240" w:lineRule="auto"/>
        <w:jc w:val="both"/>
        <w:rPr>
          <w:b/>
          <w:color w:val="000000"/>
          <w:szCs w:val="22"/>
        </w:rPr>
      </w:pPr>
      <w:r w:rsidRPr="00ED49AE">
        <w:rPr>
          <w:b/>
          <w:color w:val="000000"/>
          <w:szCs w:val="22"/>
        </w:rPr>
        <w:t>4.2</w:t>
      </w:r>
      <w:r w:rsidR="00FB475A" w:rsidRPr="00ED49AE">
        <w:rPr>
          <w:b/>
          <w:color w:val="000000"/>
          <w:szCs w:val="22"/>
        </w:rPr>
        <w:t>.</w:t>
      </w:r>
      <w:r w:rsidRPr="00ED49AE">
        <w:rPr>
          <w:b/>
          <w:color w:val="000000"/>
          <w:szCs w:val="22"/>
        </w:rPr>
        <w:tab/>
        <w:t>Devas un lietošanas veids</w:t>
      </w:r>
    </w:p>
    <w:p w14:paraId="4EABDBE8" w14:textId="77777777" w:rsidR="00C33C7E" w:rsidRPr="00ED49AE" w:rsidRDefault="00C33C7E" w:rsidP="00ED49AE">
      <w:pPr>
        <w:tabs>
          <w:tab w:val="clear" w:pos="567"/>
        </w:tabs>
        <w:spacing w:line="240" w:lineRule="auto"/>
        <w:jc w:val="both"/>
        <w:rPr>
          <w:color w:val="000000"/>
          <w:szCs w:val="22"/>
          <w:u w:val="single"/>
        </w:rPr>
      </w:pPr>
    </w:p>
    <w:p w14:paraId="32202315" w14:textId="77777777" w:rsidR="0097548A" w:rsidRPr="00ED49AE" w:rsidRDefault="003F45AD" w:rsidP="00ED49AE">
      <w:pPr>
        <w:tabs>
          <w:tab w:val="clear" w:pos="567"/>
        </w:tabs>
        <w:spacing w:line="240" w:lineRule="auto"/>
        <w:jc w:val="both"/>
        <w:rPr>
          <w:color w:val="000000"/>
          <w:szCs w:val="22"/>
          <w:u w:val="single"/>
        </w:rPr>
      </w:pPr>
      <w:r w:rsidRPr="00ED49AE">
        <w:rPr>
          <w:color w:val="000000"/>
          <w:szCs w:val="22"/>
          <w:u w:val="single"/>
        </w:rPr>
        <w:t>Devas</w:t>
      </w:r>
    </w:p>
    <w:p w14:paraId="15EEA144" w14:textId="77777777" w:rsidR="004035FA" w:rsidRPr="00ED49AE" w:rsidRDefault="004035FA" w:rsidP="00ED49AE">
      <w:pPr>
        <w:pStyle w:val="Default"/>
        <w:jc w:val="both"/>
        <w:rPr>
          <w:sz w:val="22"/>
          <w:szCs w:val="22"/>
          <w:lang w:val="lv-LV"/>
        </w:rPr>
      </w:pPr>
      <w:r w:rsidRPr="00ED49AE">
        <w:rPr>
          <w:sz w:val="22"/>
          <w:szCs w:val="22"/>
          <w:lang w:val="lv-LV"/>
        </w:rPr>
        <w:t>Reizes deva ir 10 – 15 mg/kg ķermeņa masas. Maksimālā deva nedrīkst pārsniegt 60 mg/kg ķermeņa masas.</w:t>
      </w:r>
    </w:p>
    <w:p w14:paraId="7EAD6FDC" w14:textId="77777777" w:rsidR="004035FA" w:rsidRPr="00ED49AE" w:rsidRDefault="004035FA" w:rsidP="00ED49AE">
      <w:pPr>
        <w:pStyle w:val="Default"/>
        <w:jc w:val="both"/>
        <w:rPr>
          <w:sz w:val="22"/>
          <w:szCs w:val="22"/>
          <w:lang w:val="lv-LV"/>
        </w:rPr>
      </w:pPr>
      <w:r w:rsidRPr="00ED49AE">
        <w:rPr>
          <w:sz w:val="22"/>
          <w:szCs w:val="22"/>
          <w:lang w:val="lv-LV"/>
        </w:rPr>
        <w:t>Deva jāatkārto ik pēc 4 – 6 stundām, bet ne vairāk kā 4 devas 24 stundu laikā.</w:t>
      </w:r>
    </w:p>
    <w:p w14:paraId="5EA95A09" w14:textId="77777777" w:rsidR="004035FA" w:rsidRPr="00ED49AE" w:rsidRDefault="004035FA" w:rsidP="00ED49AE">
      <w:pPr>
        <w:pStyle w:val="Default"/>
        <w:jc w:val="both"/>
        <w:rPr>
          <w:sz w:val="22"/>
          <w:szCs w:val="22"/>
          <w:lang w:val="lv-LV"/>
        </w:rPr>
      </w:pPr>
      <w:r w:rsidRPr="00ED49AE">
        <w:rPr>
          <w:sz w:val="22"/>
          <w:szCs w:val="22"/>
          <w:lang w:val="lv-LV"/>
        </w:rPr>
        <w:t xml:space="preserve">Bērniem vecumā no 2 līdz 3 mēnešiem (kuriem attīstās drudzis pēc vakcinācijas): reizes deva ir </w:t>
      </w:r>
      <w:r w:rsidR="00951632" w:rsidRPr="00ED49AE">
        <w:rPr>
          <w:sz w:val="22"/>
          <w:szCs w:val="22"/>
          <w:lang w:val="lv-LV"/>
        </w:rPr>
        <w:t>2</w:t>
      </w:r>
      <w:r w:rsidRPr="00ED49AE">
        <w:rPr>
          <w:sz w:val="22"/>
          <w:szCs w:val="22"/>
          <w:lang w:val="lv-LV"/>
        </w:rPr>
        <w:t>,5 ml (</w:t>
      </w:r>
      <w:r w:rsidR="00951632" w:rsidRPr="00ED49AE">
        <w:rPr>
          <w:sz w:val="22"/>
          <w:szCs w:val="22"/>
          <w:lang w:val="lv-LV"/>
        </w:rPr>
        <w:t xml:space="preserve">60 </w:t>
      </w:r>
      <w:r w:rsidRPr="00ED49AE">
        <w:rPr>
          <w:sz w:val="22"/>
          <w:szCs w:val="22"/>
          <w:lang w:val="lv-LV"/>
        </w:rPr>
        <w:t xml:space="preserve">mg </w:t>
      </w:r>
      <w:proofErr w:type="spellStart"/>
      <w:r w:rsidRPr="00ED49AE">
        <w:rPr>
          <w:sz w:val="22"/>
          <w:szCs w:val="22"/>
          <w:lang w:val="lv-LV"/>
        </w:rPr>
        <w:t>paracetamola</w:t>
      </w:r>
      <w:proofErr w:type="spellEnd"/>
      <w:r w:rsidRPr="00ED49AE">
        <w:rPr>
          <w:sz w:val="22"/>
          <w:szCs w:val="22"/>
          <w:lang w:val="lv-LV"/>
        </w:rPr>
        <w:t>).</w:t>
      </w:r>
    </w:p>
    <w:p w14:paraId="21EFE2B7" w14:textId="77777777" w:rsidR="004035FA" w:rsidRPr="00ED49AE" w:rsidRDefault="004035FA" w:rsidP="00ED49AE">
      <w:pPr>
        <w:pStyle w:val="Default"/>
        <w:jc w:val="both"/>
        <w:rPr>
          <w:sz w:val="22"/>
          <w:szCs w:val="22"/>
          <w:lang w:val="lv-LV"/>
        </w:rPr>
      </w:pPr>
      <w:r w:rsidRPr="00ED49AE">
        <w:rPr>
          <w:sz w:val="22"/>
          <w:szCs w:val="22"/>
          <w:lang w:val="lv-LV"/>
        </w:rPr>
        <w:t xml:space="preserve">Bērniem vecumā no 3 mēnešiem līdz 1 gadam: reizes deva ir 2,5 – 5 ml (60 – 120 mg </w:t>
      </w:r>
      <w:proofErr w:type="spellStart"/>
      <w:r w:rsidRPr="00ED49AE">
        <w:rPr>
          <w:sz w:val="22"/>
          <w:szCs w:val="22"/>
          <w:lang w:val="lv-LV"/>
        </w:rPr>
        <w:t>paracetamola</w:t>
      </w:r>
      <w:proofErr w:type="spellEnd"/>
      <w:r w:rsidRPr="00ED49AE">
        <w:rPr>
          <w:sz w:val="22"/>
          <w:szCs w:val="22"/>
          <w:lang w:val="lv-LV"/>
        </w:rPr>
        <w:t>).</w:t>
      </w:r>
    </w:p>
    <w:p w14:paraId="0AD938FC" w14:textId="77777777" w:rsidR="004035FA" w:rsidRPr="00ED49AE" w:rsidRDefault="004035FA" w:rsidP="00ED49AE">
      <w:pPr>
        <w:pStyle w:val="Default"/>
        <w:jc w:val="both"/>
        <w:rPr>
          <w:sz w:val="22"/>
          <w:szCs w:val="22"/>
          <w:lang w:val="lv-LV"/>
        </w:rPr>
      </w:pPr>
      <w:r w:rsidRPr="00ED49AE">
        <w:rPr>
          <w:sz w:val="22"/>
          <w:szCs w:val="22"/>
          <w:lang w:val="lv-LV"/>
        </w:rPr>
        <w:t xml:space="preserve">Bērniem vecumā no 1 līdz 6 gadiem: reizes deva ir 5 – 10 ml (120 – 240 mg </w:t>
      </w:r>
      <w:proofErr w:type="spellStart"/>
      <w:r w:rsidRPr="00ED49AE">
        <w:rPr>
          <w:sz w:val="22"/>
          <w:szCs w:val="22"/>
          <w:lang w:val="lv-LV"/>
        </w:rPr>
        <w:t>paracetamola</w:t>
      </w:r>
      <w:proofErr w:type="spellEnd"/>
      <w:r w:rsidRPr="00ED49AE">
        <w:rPr>
          <w:sz w:val="22"/>
          <w:szCs w:val="22"/>
          <w:lang w:val="lv-LV"/>
        </w:rPr>
        <w:t>).</w:t>
      </w:r>
    </w:p>
    <w:p w14:paraId="4A6BDF5B" w14:textId="77777777" w:rsidR="004035FA" w:rsidRPr="00ED49AE" w:rsidRDefault="004035FA" w:rsidP="00ED49AE">
      <w:pPr>
        <w:pStyle w:val="Default"/>
        <w:jc w:val="both"/>
        <w:rPr>
          <w:sz w:val="22"/>
          <w:szCs w:val="22"/>
          <w:lang w:val="lv-LV"/>
        </w:rPr>
      </w:pPr>
      <w:r w:rsidRPr="00ED49AE">
        <w:rPr>
          <w:sz w:val="22"/>
          <w:szCs w:val="22"/>
          <w:lang w:val="lv-LV"/>
        </w:rPr>
        <w:t xml:space="preserve">Bērniem vecumā no 6 līdz 14 gadiem: reizes deva ir 10 – 20 ml (240 – 480 mg </w:t>
      </w:r>
      <w:proofErr w:type="spellStart"/>
      <w:r w:rsidRPr="00ED49AE">
        <w:rPr>
          <w:sz w:val="22"/>
          <w:szCs w:val="22"/>
          <w:lang w:val="lv-LV"/>
        </w:rPr>
        <w:t>paracetamola</w:t>
      </w:r>
      <w:proofErr w:type="spellEnd"/>
      <w:r w:rsidRPr="00ED49AE">
        <w:rPr>
          <w:sz w:val="22"/>
          <w:szCs w:val="22"/>
          <w:lang w:val="lv-LV"/>
        </w:rPr>
        <w:t>).</w:t>
      </w:r>
    </w:p>
    <w:p w14:paraId="27648EA9" w14:textId="77777777" w:rsidR="004035FA" w:rsidRPr="00ED49AE" w:rsidRDefault="004035FA" w:rsidP="00ED49AE">
      <w:pPr>
        <w:pStyle w:val="Default"/>
        <w:jc w:val="both"/>
        <w:rPr>
          <w:sz w:val="22"/>
          <w:szCs w:val="22"/>
          <w:lang w:val="lv-LV"/>
        </w:rPr>
      </w:pPr>
    </w:p>
    <w:p w14:paraId="57C1B2C0" w14:textId="77777777" w:rsidR="004035FA" w:rsidRPr="00ED49AE" w:rsidRDefault="004035FA" w:rsidP="00ED49AE">
      <w:pPr>
        <w:pStyle w:val="Default"/>
        <w:jc w:val="both"/>
        <w:rPr>
          <w:sz w:val="22"/>
          <w:szCs w:val="22"/>
          <w:lang w:val="lv-LV"/>
        </w:rPr>
      </w:pPr>
      <w:r w:rsidRPr="00ED49AE">
        <w:rPr>
          <w:sz w:val="22"/>
          <w:szCs w:val="22"/>
          <w:lang w:val="lv-LV"/>
        </w:rPr>
        <w:t>Nepārsniegt ieteicamās devas.</w:t>
      </w:r>
    </w:p>
    <w:p w14:paraId="3CF342EC" w14:textId="77777777" w:rsidR="004035FA" w:rsidRPr="00ED49AE" w:rsidRDefault="004035FA" w:rsidP="00ED49AE">
      <w:pPr>
        <w:pStyle w:val="Default"/>
        <w:jc w:val="both"/>
        <w:rPr>
          <w:sz w:val="22"/>
          <w:szCs w:val="22"/>
          <w:lang w:val="lv-LV"/>
        </w:rPr>
      </w:pPr>
      <w:r w:rsidRPr="00ED49AE">
        <w:rPr>
          <w:sz w:val="22"/>
          <w:szCs w:val="22"/>
          <w:lang w:val="lv-LV"/>
        </w:rPr>
        <w:t>24 stundu laikā nedrīkst lietot vairāk kā 4 devas.</w:t>
      </w:r>
    </w:p>
    <w:p w14:paraId="5B5B2309" w14:textId="77777777" w:rsidR="004035FA" w:rsidRPr="00ED49AE" w:rsidRDefault="004035FA" w:rsidP="00ED49AE">
      <w:pPr>
        <w:pStyle w:val="Default"/>
        <w:jc w:val="both"/>
        <w:rPr>
          <w:sz w:val="22"/>
          <w:szCs w:val="22"/>
          <w:lang w:val="lv-LV"/>
        </w:rPr>
      </w:pPr>
      <w:r w:rsidRPr="00ED49AE">
        <w:rPr>
          <w:sz w:val="22"/>
          <w:szCs w:val="22"/>
          <w:lang w:val="lv-LV"/>
        </w:rPr>
        <w:t>Drudža gadījumā nedrīkst lietot ilgāk par 3 dienām un sāpju gadījumā ilgāk par 5 dienām.</w:t>
      </w:r>
    </w:p>
    <w:p w14:paraId="525BFF2A" w14:textId="77777777" w:rsidR="00C32980" w:rsidRPr="00ED49AE" w:rsidRDefault="00C32980" w:rsidP="00ED49AE">
      <w:pPr>
        <w:pStyle w:val="Default"/>
        <w:jc w:val="both"/>
        <w:rPr>
          <w:sz w:val="22"/>
          <w:szCs w:val="22"/>
          <w:lang w:val="lv-LV"/>
        </w:rPr>
      </w:pPr>
    </w:p>
    <w:p w14:paraId="2E58C181" w14:textId="77777777" w:rsidR="00C32980" w:rsidRPr="00ED49AE" w:rsidRDefault="00CE2B4E" w:rsidP="00ED49AE">
      <w:pPr>
        <w:pStyle w:val="Default"/>
        <w:jc w:val="both"/>
        <w:rPr>
          <w:i/>
          <w:sz w:val="22"/>
          <w:szCs w:val="22"/>
          <w:lang w:val="lv-LV"/>
        </w:rPr>
      </w:pPr>
      <w:r w:rsidRPr="00ED49AE">
        <w:rPr>
          <w:i/>
          <w:sz w:val="22"/>
          <w:szCs w:val="22"/>
          <w:lang w:val="lv-LV"/>
        </w:rPr>
        <w:t>Nieru darbības traucējumi</w:t>
      </w:r>
    </w:p>
    <w:p w14:paraId="1E044423" w14:textId="77777777" w:rsidR="00CE2B4E" w:rsidRPr="00ED49AE" w:rsidRDefault="00CE2B4E" w:rsidP="00ED49AE">
      <w:pPr>
        <w:pStyle w:val="Default"/>
        <w:jc w:val="both"/>
        <w:rPr>
          <w:sz w:val="22"/>
          <w:szCs w:val="22"/>
          <w:lang w:val="lv-LV"/>
        </w:rPr>
      </w:pPr>
      <w:r w:rsidRPr="00ED49AE">
        <w:rPr>
          <w:sz w:val="22"/>
          <w:szCs w:val="22"/>
          <w:lang w:val="lv-LV"/>
        </w:rPr>
        <w:t>Piesardzība jāievēro lietojot pacientiem ar smagiem nieru darbības traucējumiem (skatīt 4.4. apakšpunktu).</w:t>
      </w:r>
    </w:p>
    <w:p w14:paraId="24B6B720" w14:textId="77777777" w:rsidR="00CE2B4E" w:rsidRPr="00ED49AE" w:rsidRDefault="00CE2B4E" w:rsidP="00ED49AE">
      <w:pPr>
        <w:pStyle w:val="Default"/>
        <w:jc w:val="both"/>
        <w:rPr>
          <w:sz w:val="22"/>
          <w:szCs w:val="22"/>
          <w:lang w:val="lv-LV"/>
        </w:rPr>
      </w:pPr>
      <w:r w:rsidRPr="00ED49AE">
        <w:rPr>
          <w:sz w:val="22"/>
          <w:szCs w:val="22"/>
          <w:lang w:val="lv-LV"/>
        </w:rPr>
        <w:lastRenderedPageBreak/>
        <w:t xml:space="preserve">Smagas nieru mazspējas gadījumā ieteicams palielināt starplaiku starp devu lietošanas reizēm. Ja </w:t>
      </w:r>
      <w:proofErr w:type="spellStart"/>
      <w:r w:rsidRPr="00ED49AE">
        <w:rPr>
          <w:sz w:val="22"/>
          <w:szCs w:val="22"/>
          <w:lang w:val="lv-LV"/>
        </w:rPr>
        <w:t>kreatinīna</w:t>
      </w:r>
      <w:proofErr w:type="spellEnd"/>
      <w:r w:rsidRPr="00ED49AE">
        <w:rPr>
          <w:sz w:val="22"/>
          <w:szCs w:val="22"/>
          <w:lang w:val="lv-LV"/>
        </w:rPr>
        <w:t xml:space="preserve"> </w:t>
      </w:r>
      <w:proofErr w:type="spellStart"/>
      <w:r w:rsidRPr="00ED49AE">
        <w:rPr>
          <w:sz w:val="22"/>
          <w:szCs w:val="22"/>
          <w:lang w:val="lv-LV"/>
        </w:rPr>
        <w:t>klīrenss</w:t>
      </w:r>
      <w:proofErr w:type="spellEnd"/>
      <w:r w:rsidRPr="00ED49AE">
        <w:rPr>
          <w:sz w:val="22"/>
          <w:szCs w:val="22"/>
          <w:lang w:val="lv-LV"/>
        </w:rPr>
        <w:t xml:space="preserve"> ir mazāks par 10 ml/min, minimālais starplaiks starp devu lietošanas reizēm ir 8 stundas.</w:t>
      </w:r>
    </w:p>
    <w:p w14:paraId="109C1A40" w14:textId="77777777" w:rsidR="00CE2B4E" w:rsidRPr="00ED49AE" w:rsidRDefault="00CE2B4E" w:rsidP="00ED49AE">
      <w:pPr>
        <w:pStyle w:val="Default"/>
        <w:jc w:val="both"/>
        <w:rPr>
          <w:sz w:val="22"/>
          <w:szCs w:val="22"/>
          <w:lang w:val="lv-LV"/>
        </w:rPr>
      </w:pPr>
    </w:p>
    <w:p w14:paraId="4FA7B1A3" w14:textId="77777777" w:rsidR="00CE2B4E" w:rsidRPr="00ED49AE" w:rsidRDefault="00CE2B4E" w:rsidP="00ED49AE">
      <w:pPr>
        <w:pStyle w:val="Default"/>
        <w:jc w:val="both"/>
        <w:rPr>
          <w:i/>
          <w:sz w:val="22"/>
          <w:szCs w:val="22"/>
          <w:lang w:val="lv-LV"/>
        </w:rPr>
      </w:pPr>
      <w:r w:rsidRPr="00ED49AE">
        <w:rPr>
          <w:i/>
          <w:sz w:val="22"/>
          <w:szCs w:val="22"/>
          <w:lang w:val="lv-LV"/>
        </w:rPr>
        <w:t>Aknu darbības traucējumi</w:t>
      </w:r>
    </w:p>
    <w:p w14:paraId="6F569061" w14:textId="77777777" w:rsidR="00106DE1" w:rsidRPr="00ED49AE" w:rsidRDefault="00CE2B4E" w:rsidP="00ED49AE">
      <w:pPr>
        <w:tabs>
          <w:tab w:val="clear" w:pos="567"/>
        </w:tabs>
        <w:spacing w:line="240" w:lineRule="auto"/>
        <w:jc w:val="both"/>
        <w:rPr>
          <w:color w:val="000000"/>
          <w:szCs w:val="22"/>
        </w:rPr>
      </w:pPr>
      <w:r w:rsidRPr="00ED49AE">
        <w:rPr>
          <w:color w:val="000000"/>
          <w:szCs w:val="22"/>
        </w:rPr>
        <w:t xml:space="preserve">Piesardzība jāievēro lietojot pacientiem ar viegliem līdz vidēji smagiem aknu darbības traucējumiem (ieskaitot </w:t>
      </w:r>
      <w:proofErr w:type="spellStart"/>
      <w:r w:rsidRPr="00ED49AE">
        <w:rPr>
          <w:color w:val="000000"/>
          <w:szCs w:val="22"/>
        </w:rPr>
        <w:t>Žilbēra</w:t>
      </w:r>
      <w:proofErr w:type="spellEnd"/>
      <w:r w:rsidRPr="00ED49AE">
        <w:rPr>
          <w:color w:val="000000"/>
          <w:szCs w:val="22"/>
        </w:rPr>
        <w:t xml:space="preserve"> sindromu) vai smagiem (</w:t>
      </w:r>
      <w:proofErr w:type="spellStart"/>
      <w:r w:rsidRPr="00ED49AE">
        <w:rPr>
          <w:i/>
          <w:color w:val="000000"/>
          <w:szCs w:val="22"/>
        </w:rPr>
        <w:t>Child-Pugh</w:t>
      </w:r>
      <w:proofErr w:type="spellEnd"/>
      <w:r w:rsidRPr="00ED49AE">
        <w:rPr>
          <w:color w:val="000000"/>
          <w:szCs w:val="22"/>
        </w:rPr>
        <w:t xml:space="preserve"> &gt; 9) aknu darbības traucējumiem, kā arī pacientiem ar akūtu hepatītu (skatīt 4.4. apakšpunktu).</w:t>
      </w:r>
    </w:p>
    <w:p w14:paraId="66EDD518" w14:textId="77777777" w:rsidR="00CE2B4E" w:rsidRPr="00ED49AE" w:rsidRDefault="00294B1F" w:rsidP="00ED49AE">
      <w:pPr>
        <w:tabs>
          <w:tab w:val="clear" w:pos="567"/>
        </w:tabs>
        <w:spacing w:line="240" w:lineRule="auto"/>
        <w:jc w:val="both"/>
        <w:rPr>
          <w:color w:val="000000"/>
          <w:szCs w:val="22"/>
        </w:rPr>
      </w:pPr>
      <w:r w:rsidRPr="00ED49AE">
        <w:rPr>
          <w:color w:val="000000"/>
          <w:szCs w:val="22"/>
        </w:rPr>
        <w:t>Aknu darbības traucējumu gadījumu var būt nepieciešams samazināt devu vai pagarināt starplaiku starp devu lietošanas reizēm.</w:t>
      </w:r>
    </w:p>
    <w:p w14:paraId="4D14DD4C" w14:textId="77777777" w:rsidR="00294B1F" w:rsidRPr="00ED49AE" w:rsidRDefault="00294B1F" w:rsidP="00ED49AE">
      <w:pPr>
        <w:tabs>
          <w:tab w:val="clear" w:pos="567"/>
        </w:tabs>
        <w:spacing w:line="240" w:lineRule="auto"/>
        <w:jc w:val="both"/>
        <w:rPr>
          <w:b/>
          <w:i/>
          <w:color w:val="000000"/>
          <w:szCs w:val="22"/>
        </w:rPr>
      </w:pPr>
    </w:p>
    <w:p w14:paraId="347A95CF" w14:textId="77777777" w:rsidR="0097548A" w:rsidRPr="00ED49AE" w:rsidRDefault="0097548A" w:rsidP="00ED49AE">
      <w:pPr>
        <w:tabs>
          <w:tab w:val="clear" w:pos="567"/>
        </w:tabs>
        <w:spacing w:line="240" w:lineRule="auto"/>
        <w:jc w:val="both"/>
        <w:rPr>
          <w:color w:val="000000"/>
          <w:szCs w:val="22"/>
          <w:u w:val="single"/>
        </w:rPr>
      </w:pPr>
      <w:r w:rsidRPr="00ED49AE">
        <w:rPr>
          <w:color w:val="000000"/>
          <w:szCs w:val="22"/>
          <w:u w:val="single"/>
        </w:rPr>
        <w:t>Lietošanas veids</w:t>
      </w:r>
    </w:p>
    <w:p w14:paraId="5DD200F0" w14:textId="77777777" w:rsidR="004035FA" w:rsidRPr="00ED49AE" w:rsidRDefault="004035FA" w:rsidP="00ED49AE">
      <w:pPr>
        <w:pStyle w:val="Default"/>
        <w:jc w:val="both"/>
        <w:rPr>
          <w:sz w:val="22"/>
          <w:szCs w:val="22"/>
          <w:lang w:val="lv-LV"/>
        </w:rPr>
      </w:pPr>
      <w:r w:rsidRPr="00ED49AE">
        <w:rPr>
          <w:sz w:val="22"/>
          <w:szCs w:val="22"/>
          <w:lang w:val="lv-LV"/>
        </w:rPr>
        <w:t>Iekšķīgai lietošanai.</w:t>
      </w:r>
    </w:p>
    <w:p w14:paraId="5C7ACFC0" w14:textId="77777777" w:rsidR="00A9354F" w:rsidRPr="00ED49AE" w:rsidRDefault="004035FA" w:rsidP="00ED49AE">
      <w:pPr>
        <w:pStyle w:val="Default"/>
        <w:jc w:val="both"/>
        <w:rPr>
          <w:sz w:val="22"/>
          <w:szCs w:val="22"/>
          <w:lang w:val="lv-LV"/>
        </w:rPr>
      </w:pPr>
      <w:r w:rsidRPr="00ED49AE">
        <w:rPr>
          <w:sz w:val="22"/>
          <w:szCs w:val="22"/>
          <w:lang w:val="lv-LV"/>
        </w:rPr>
        <w:t>Jālieto pirms ēdienreizēm, uzd</w:t>
      </w:r>
      <w:r w:rsidR="002D210E" w:rsidRPr="00ED49AE">
        <w:rPr>
          <w:sz w:val="22"/>
          <w:szCs w:val="22"/>
          <w:lang w:val="lv-LV"/>
        </w:rPr>
        <w:t>z</w:t>
      </w:r>
      <w:r w:rsidRPr="00ED49AE">
        <w:rPr>
          <w:sz w:val="22"/>
          <w:szCs w:val="22"/>
          <w:lang w:val="lv-LV"/>
        </w:rPr>
        <w:t>erot pietiekamu daudzumu ūd</w:t>
      </w:r>
      <w:r w:rsidR="00A9354F" w:rsidRPr="00ED49AE">
        <w:rPr>
          <w:sz w:val="22"/>
          <w:szCs w:val="22"/>
          <w:lang w:val="lv-LV"/>
        </w:rPr>
        <w:t>ens.</w:t>
      </w:r>
    </w:p>
    <w:p w14:paraId="6E80ED69" w14:textId="77777777" w:rsidR="0097548A" w:rsidRPr="00ED49AE" w:rsidRDefault="0097548A" w:rsidP="00ED49AE">
      <w:pPr>
        <w:tabs>
          <w:tab w:val="clear" w:pos="567"/>
        </w:tabs>
        <w:spacing w:line="240" w:lineRule="auto"/>
        <w:jc w:val="both"/>
        <w:rPr>
          <w:color w:val="000000"/>
          <w:szCs w:val="22"/>
        </w:rPr>
      </w:pPr>
    </w:p>
    <w:p w14:paraId="6320CE3A" w14:textId="77777777" w:rsidR="00B55A1A" w:rsidRPr="00ED49AE" w:rsidRDefault="00B55A1A" w:rsidP="00ED49AE">
      <w:pPr>
        <w:spacing w:line="240" w:lineRule="auto"/>
        <w:jc w:val="both"/>
        <w:rPr>
          <w:color w:val="000000"/>
          <w:szCs w:val="22"/>
        </w:rPr>
      </w:pPr>
      <w:r w:rsidRPr="00ED49AE">
        <w:rPr>
          <w:color w:val="000000"/>
          <w:szCs w:val="22"/>
        </w:rPr>
        <w:t>Lai nomērītu zāļu devu, jāizmanto iepakojumā esošā graduētā (gradācijas skala 0,5 ml - 10 ml) šļirce zāļu iekšķīgai lietošanai.</w:t>
      </w:r>
    </w:p>
    <w:p w14:paraId="7C947549" w14:textId="77777777" w:rsidR="00B55A1A" w:rsidRPr="00ED49AE" w:rsidRDefault="00B55A1A" w:rsidP="00ED49AE">
      <w:pPr>
        <w:spacing w:line="240" w:lineRule="auto"/>
        <w:jc w:val="both"/>
        <w:rPr>
          <w:color w:val="000000"/>
          <w:szCs w:val="22"/>
        </w:rPr>
      </w:pPr>
    </w:p>
    <w:p w14:paraId="66647923" w14:textId="77777777" w:rsidR="00B55A1A" w:rsidRPr="00ED49AE" w:rsidRDefault="00B55A1A" w:rsidP="00ED49AE">
      <w:pPr>
        <w:spacing w:line="240" w:lineRule="auto"/>
        <w:jc w:val="both"/>
        <w:rPr>
          <w:color w:val="000000"/>
          <w:szCs w:val="22"/>
        </w:rPr>
      </w:pPr>
      <w:r w:rsidRPr="00ED49AE">
        <w:rPr>
          <w:color w:val="000000"/>
          <w:szCs w:val="22"/>
        </w:rPr>
        <w:t>Zāļu lietošana:</w:t>
      </w:r>
    </w:p>
    <w:p w14:paraId="37882B3A" w14:textId="77777777" w:rsidR="00B55A1A" w:rsidRPr="00ED49AE" w:rsidRDefault="00B55A1A" w:rsidP="00ED49AE">
      <w:pPr>
        <w:numPr>
          <w:ilvl w:val="0"/>
          <w:numId w:val="30"/>
        </w:numPr>
        <w:tabs>
          <w:tab w:val="clear" w:pos="567"/>
          <w:tab w:val="left" w:pos="709"/>
        </w:tabs>
        <w:spacing w:line="240" w:lineRule="auto"/>
        <w:jc w:val="both"/>
        <w:rPr>
          <w:color w:val="000000"/>
          <w:szCs w:val="22"/>
        </w:rPr>
      </w:pPr>
      <w:r w:rsidRPr="00ED49AE">
        <w:rPr>
          <w:color w:val="000000"/>
          <w:szCs w:val="22"/>
        </w:rPr>
        <w:t>Pirms lietošanas suspensija kārtīgi jāsakrata.</w:t>
      </w:r>
    </w:p>
    <w:p w14:paraId="7DEF1F0B" w14:textId="77777777" w:rsidR="00B55A1A" w:rsidRPr="00ED49AE" w:rsidRDefault="00B55A1A" w:rsidP="00ED49AE">
      <w:pPr>
        <w:numPr>
          <w:ilvl w:val="0"/>
          <w:numId w:val="30"/>
        </w:numPr>
        <w:tabs>
          <w:tab w:val="clear" w:pos="567"/>
          <w:tab w:val="left" w:pos="709"/>
        </w:tabs>
        <w:spacing w:line="240" w:lineRule="auto"/>
        <w:jc w:val="both"/>
        <w:rPr>
          <w:color w:val="000000"/>
          <w:szCs w:val="22"/>
        </w:rPr>
      </w:pPr>
      <w:r w:rsidRPr="00ED49AE">
        <w:rPr>
          <w:color w:val="000000"/>
          <w:szCs w:val="22"/>
        </w:rPr>
        <w:t>Jānoņem pudeles vāciņš.</w:t>
      </w:r>
    </w:p>
    <w:p w14:paraId="5986D411" w14:textId="77777777" w:rsidR="00B55A1A" w:rsidRPr="00ED49AE" w:rsidRDefault="00B55A1A" w:rsidP="00ED49AE">
      <w:pPr>
        <w:numPr>
          <w:ilvl w:val="0"/>
          <w:numId w:val="30"/>
        </w:numPr>
        <w:tabs>
          <w:tab w:val="clear" w:pos="567"/>
          <w:tab w:val="left" w:pos="709"/>
        </w:tabs>
        <w:spacing w:line="240" w:lineRule="auto"/>
        <w:jc w:val="both"/>
        <w:rPr>
          <w:color w:val="000000"/>
          <w:szCs w:val="22"/>
        </w:rPr>
      </w:pPr>
      <w:r w:rsidRPr="00ED49AE">
        <w:rPr>
          <w:color w:val="000000"/>
          <w:szCs w:val="22"/>
        </w:rPr>
        <w:t>Šļirce zāļu iekšķīgai lietošanai cieši jāievieto adapterī, kas atrodas pudeles kakliņā.</w:t>
      </w:r>
    </w:p>
    <w:p w14:paraId="24827FBF" w14:textId="77777777" w:rsidR="004A5851" w:rsidRPr="00ED49AE" w:rsidRDefault="004A5851" w:rsidP="00ED49AE">
      <w:pPr>
        <w:numPr>
          <w:ilvl w:val="0"/>
          <w:numId w:val="30"/>
        </w:numPr>
        <w:tabs>
          <w:tab w:val="clear" w:pos="567"/>
          <w:tab w:val="left" w:pos="709"/>
        </w:tabs>
        <w:spacing w:line="240" w:lineRule="auto"/>
        <w:jc w:val="both"/>
        <w:rPr>
          <w:color w:val="000000"/>
          <w:szCs w:val="22"/>
        </w:rPr>
      </w:pPr>
      <w:r w:rsidRPr="00ED49AE">
        <w:rPr>
          <w:color w:val="000000"/>
          <w:szCs w:val="22"/>
        </w:rPr>
        <w:t>Pudele jāapgriež ar apakšpusi uz augšu un jāvelk virzulis uz leju, ievelkot suspensiju šļircē zāļu iekšķīgai lietošanai līdz atzīmei, kas atbilst nepieciešamajai devai. Ja nepieciešams lietot lielāku devu par 10 ml, deva jālieto divās dalītās devās – no sākuma lietojot 10 ml (ievelkot suspensiju līdz 10 ml atzīmei) un uzreiz pēc tam, lietojot atlikušo nepieciešamo zāļu daudzumu (ievelkot suspensiju līdz nepieciešamajai atzīmei, kas atbilst nepieciešamajai devai, ņemot vērā, ka 10 ml suspensijas jau ir lietota), lai sasniegtu pilnu lietojamo devu.</w:t>
      </w:r>
    </w:p>
    <w:p w14:paraId="3D6B879F" w14:textId="77777777" w:rsidR="00B55A1A" w:rsidRPr="00ED49AE" w:rsidRDefault="00B55A1A" w:rsidP="00ED49AE">
      <w:pPr>
        <w:numPr>
          <w:ilvl w:val="0"/>
          <w:numId w:val="30"/>
        </w:numPr>
        <w:tabs>
          <w:tab w:val="clear" w:pos="567"/>
          <w:tab w:val="left" w:pos="709"/>
        </w:tabs>
        <w:spacing w:line="240" w:lineRule="auto"/>
        <w:jc w:val="both"/>
        <w:rPr>
          <w:color w:val="000000"/>
          <w:szCs w:val="22"/>
        </w:rPr>
      </w:pPr>
      <w:r w:rsidRPr="00ED49AE">
        <w:rPr>
          <w:color w:val="000000"/>
          <w:szCs w:val="22"/>
        </w:rPr>
        <w:t>Pudele jāapgriež atpakaļ stāvus un jāizņem šļirce zāļu iekšķīgai lietošanai, rūpīgi to pagriežot.</w:t>
      </w:r>
    </w:p>
    <w:p w14:paraId="613EB24E" w14:textId="77777777" w:rsidR="00B55A1A" w:rsidRPr="00ED49AE" w:rsidRDefault="00B55A1A" w:rsidP="00ED49AE">
      <w:pPr>
        <w:numPr>
          <w:ilvl w:val="0"/>
          <w:numId w:val="30"/>
        </w:numPr>
        <w:tabs>
          <w:tab w:val="clear" w:pos="567"/>
          <w:tab w:val="left" w:pos="709"/>
        </w:tabs>
        <w:spacing w:line="240" w:lineRule="auto"/>
        <w:jc w:val="both"/>
        <w:rPr>
          <w:color w:val="000000"/>
          <w:szCs w:val="22"/>
        </w:rPr>
      </w:pPr>
      <w:r w:rsidRPr="00ED49AE">
        <w:rPr>
          <w:color w:val="000000"/>
          <w:szCs w:val="22"/>
        </w:rPr>
        <w:t>Jādod šīs zāles bērnam, izmantojot šļirci zāļu iekšķīgai lietošanai. Lai nodrošinātu vienmērīgu suspensijas ievadīšanu mutē, lēnām jānospiež virzulis.</w:t>
      </w:r>
    </w:p>
    <w:p w14:paraId="3D4B487B" w14:textId="77777777" w:rsidR="00B55A1A" w:rsidRPr="00ED49AE" w:rsidRDefault="00B55A1A" w:rsidP="00ED49AE">
      <w:pPr>
        <w:spacing w:line="240" w:lineRule="auto"/>
        <w:jc w:val="both"/>
        <w:rPr>
          <w:color w:val="000000"/>
          <w:szCs w:val="22"/>
        </w:rPr>
      </w:pPr>
    </w:p>
    <w:p w14:paraId="0C2870FA" w14:textId="77777777" w:rsidR="00B55A1A" w:rsidRPr="00ED49AE" w:rsidRDefault="00B55A1A" w:rsidP="00ED49AE">
      <w:pPr>
        <w:spacing w:line="240" w:lineRule="auto"/>
        <w:jc w:val="both"/>
        <w:rPr>
          <w:b/>
          <w:color w:val="000000"/>
          <w:szCs w:val="22"/>
        </w:rPr>
      </w:pPr>
      <w:r w:rsidRPr="00ED49AE">
        <w:rPr>
          <w:b/>
          <w:color w:val="000000"/>
          <w:szCs w:val="22"/>
        </w:rPr>
        <w:t>Tīrīšana</w:t>
      </w:r>
    </w:p>
    <w:p w14:paraId="0682D594" w14:textId="77777777" w:rsidR="00B55A1A" w:rsidRPr="00ED49AE" w:rsidRDefault="00B55A1A" w:rsidP="00ED49AE">
      <w:pPr>
        <w:spacing w:line="240" w:lineRule="auto"/>
        <w:jc w:val="both"/>
        <w:rPr>
          <w:color w:val="000000"/>
          <w:szCs w:val="22"/>
        </w:rPr>
      </w:pPr>
      <w:r w:rsidRPr="00ED49AE">
        <w:rPr>
          <w:color w:val="000000"/>
          <w:szCs w:val="22"/>
        </w:rPr>
        <w:t>Pirms tīrīšanas jāizņem virzulis no šļirces korpusa. Šļirces korpuss un virzulis jāmazgā zem tekoša ūdens pēc katras lietošanas reizes un jāatļauj tiem nožūt istabas temperatūrā bērniem neredzamā un nepieejamā vietā. Pēc tam virzulis jāievieto atpakaļ šļirces korpusā un šļirce zāļu iekšķīgai lietošanai jāieliek atpakaļ kartona kastītē pie zālēm.</w:t>
      </w:r>
    </w:p>
    <w:p w14:paraId="64484F6D" w14:textId="77777777" w:rsidR="00B55A1A" w:rsidRPr="00ED49AE" w:rsidRDefault="00B55A1A" w:rsidP="00ED49AE">
      <w:pPr>
        <w:tabs>
          <w:tab w:val="clear" w:pos="567"/>
        </w:tabs>
        <w:spacing w:line="240" w:lineRule="auto"/>
        <w:jc w:val="both"/>
        <w:rPr>
          <w:b/>
          <w:color w:val="000000"/>
          <w:szCs w:val="22"/>
        </w:rPr>
      </w:pPr>
    </w:p>
    <w:p w14:paraId="451BFF6F" w14:textId="77777777" w:rsidR="00F14D88" w:rsidRPr="00ED49AE" w:rsidRDefault="00F14D88" w:rsidP="00ED49AE">
      <w:pPr>
        <w:tabs>
          <w:tab w:val="clear" w:pos="567"/>
        </w:tabs>
        <w:spacing w:line="240" w:lineRule="auto"/>
        <w:jc w:val="both"/>
        <w:rPr>
          <w:b/>
          <w:color w:val="000000"/>
          <w:szCs w:val="22"/>
        </w:rPr>
      </w:pPr>
      <w:r w:rsidRPr="00ED49AE">
        <w:rPr>
          <w:b/>
          <w:color w:val="000000"/>
          <w:szCs w:val="22"/>
        </w:rPr>
        <w:t>Brīdinājums</w:t>
      </w:r>
    </w:p>
    <w:p w14:paraId="5E23224F" w14:textId="77777777" w:rsidR="00F14D88" w:rsidRPr="00ED49AE" w:rsidRDefault="00F14D88" w:rsidP="00ED49AE">
      <w:pPr>
        <w:tabs>
          <w:tab w:val="clear" w:pos="567"/>
        </w:tabs>
        <w:spacing w:line="240" w:lineRule="auto"/>
        <w:jc w:val="both"/>
        <w:rPr>
          <w:color w:val="000000"/>
          <w:szCs w:val="22"/>
        </w:rPr>
      </w:pPr>
      <w:r w:rsidRPr="00ED49AE">
        <w:rPr>
          <w:color w:val="000000"/>
          <w:szCs w:val="22"/>
        </w:rPr>
        <w:t xml:space="preserve">Bērniem līdz 3 gadu vecumam </w:t>
      </w:r>
      <w:proofErr w:type="spellStart"/>
      <w:r w:rsidRPr="00ED49AE">
        <w:rPr>
          <w:color w:val="000000"/>
          <w:szCs w:val="22"/>
        </w:rPr>
        <w:t>paracetamolu</w:t>
      </w:r>
      <w:proofErr w:type="spellEnd"/>
      <w:r w:rsidRPr="00ED49AE">
        <w:rPr>
          <w:color w:val="000000"/>
          <w:szCs w:val="22"/>
        </w:rPr>
        <w:t xml:space="preserve"> drīkst lietot tikai pēc ārsta norādījuma.</w:t>
      </w:r>
    </w:p>
    <w:p w14:paraId="04E81A80" w14:textId="77777777" w:rsidR="00F14D88" w:rsidRPr="00ED49AE" w:rsidRDefault="00F14D88" w:rsidP="00ED49AE">
      <w:pPr>
        <w:tabs>
          <w:tab w:val="clear" w:pos="567"/>
        </w:tabs>
        <w:spacing w:line="240" w:lineRule="auto"/>
        <w:jc w:val="both"/>
        <w:rPr>
          <w:color w:val="000000"/>
          <w:szCs w:val="22"/>
        </w:rPr>
      </w:pPr>
    </w:p>
    <w:p w14:paraId="574D6642" w14:textId="77777777" w:rsidR="00CD10AA" w:rsidRPr="00ED49AE" w:rsidRDefault="00CD10AA" w:rsidP="00ED49AE">
      <w:pPr>
        <w:tabs>
          <w:tab w:val="clear" w:pos="567"/>
        </w:tabs>
        <w:spacing w:line="240" w:lineRule="auto"/>
        <w:jc w:val="both"/>
        <w:rPr>
          <w:b/>
          <w:color w:val="000000"/>
          <w:szCs w:val="22"/>
        </w:rPr>
      </w:pPr>
      <w:r w:rsidRPr="00ED49AE">
        <w:rPr>
          <w:b/>
          <w:color w:val="000000"/>
          <w:szCs w:val="22"/>
        </w:rPr>
        <w:t>4.3</w:t>
      </w:r>
      <w:r w:rsidR="004D591D" w:rsidRPr="00ED49AE">
        <w:rPr>
          <w:b/>
          <w:color w:val="000000"/>
          <w:szCs w:val="22"/>
        </w:rPr>
        <w:t>.</w:t>
      </w:r>
      <w:r w:rsidRPr="00ED49AE">
        <w:rPr>
          <w:b/>
          <w:color w:val="000000"/>
          <w:szCs w:val="22"/>
        </w:rPr>
        <w:tab/>
        <w:t>Kontrindikācijas</w:t>
      </w:r>
    </w:p>
    <w:p w14:paraId="4F58CFF0" w14:textId="77777777" w:rsidR="00C33C7E" w:rsidRPr="00ED49AE" w:rsidRDefault="00C33C7E" w:rsidP="00ED49AE">
      <w:pPr>
        <w:tabs>
          <w:tab w:val="clear" w:pos="567"/>
        </w:tabs>
        <w:spacing w:line="240" w:lineRule="auto"/>
        <w:jc w:val="both"/>
        <w:rPr>
          <w:color w:val="000000"/>
          <w:szCs w:val="22"/>
        </w:rPr>
      </w:pPr>
    </w:p>
    <w:p w14:paraId="1D2DFB7D" w14:textId="77777777" w:rsidR="003F45AD" w:rsidRPr="00ED49AE" w:rsidRDefault="00CD10AA" w:rsidP="00ED49AE">
      <w:pPr>
        <w:numPr>
          <w:ilvl w:val="0"/>
          <w:numId w:val="29"/>
        </w:numPr>
        <w:tabs>
          <w:tab w:val="clear" w:pos="567"/>
          <w:tab w:val="left" w:pos="709"/>
        </w:tabs>
        <w:spacing w:line="240" w:lineRule="auto"/>
        <w:jc w:val="both"/>
        <w:rPr>
          <w:color w:val="000000"/>
          <w:szCs w:val="22"/>
        </w:rPr>
      </w:pPr>
      <w:r w:rsidRPr="00ED49AE">
        <w:rPr>
          <w:color w:val="000000"/>
          <w:szCs w:val="22"/>
        </w:rPr>
        <w:t xml:space="preserve">Paaugstināta jutība pret aktīvo vielu vai jebkuru no </w:t>
      </w:r>
      <w:r w:rsidR="00870E9B" w:rsidRPr="00ED49AE">
        <w:rPr>
          <w:color w:val="000000"/>
          <w:szCs w:val="22"/>
        </w:rPr>
        <w:t>6.1</w:t>
      </w:r>
      <w:r w:rsidR="004D591D" w:rsidRPr="00ED49AE">
        <w:rPr>
          <w:color w:val="000000"/>
          <w:szCs w:val="22"/>
        </w:rPr>
        <w:t>.</w:t>
      </w:r>
      <w:r w:rsidR="00870E9B" w:rsidRPr="00ED49AE">
        <w:rPr>
          <w:color w:val="000000"/>
          <w:szCs w:val="22"/>
        </w:rPr>
        <w:t xml:space="preserve"> apakšpunktā uzskaitītajām </w:t>
      </w:r>
      <w:proofErr w:type="spellStart"/>
      <w:r w:rsidRPr="00ED49AE">
        <w:rPr>
          <w:color w:val="000000"/>
          <w:szCs w:val="22"/>
        </w:rPr>
        <w:t>palīgvielām</w:t>
      </w:r>
      <w:proofErr w:type="spellEnd"/>
      <w:r w:rsidR="003F45AD" w:rsidRPr="00ED49AE">
        <w:rPr>
          <w:color w:val="000000"/>
          <w:szCs w:val="22"/>
        </w:rPr>
        <w:t>.</w:t>
      </w:r>
    </w:p>
    <w:p w14:paraId="0815A0F6" w14:textId="77777777" w:rsidR="004035FA" w:rsidRPr="00ED49AE" w:rsidRDefault="004035FA" w:rsidP="00ED49AE">
      <w:pPr>
        <w:pStyle w:val="Default"/>
        <w:numPr>
          <w:ilvl w:val="0"/>
          <w:numId w:val="29"/>
        </w:numPr>
        <w:tabs>
          <w:tab w:val="left" w:pos="709"/>
        </w:tabs>
        <w:jc w:val="both"/>
        <w:rPr>
          <w:sz w:val="22"/>
          <w:szCs w:val="22"/>
          <w:lang w:val="lv-LV"/>
        </w:rPr>
      </w:pPr>
      <w:r w:rsidRPr="00ED49AE">
        <w:rPr>
          <w:sz w:val="22"/>
          <w:szCs w:val="22"/>
          <w:lang w:val="lv-LV"/>
        </w:rPr>
        <w:t xml:space="preserve">Bērni, </w:t>
      </w:r>
      <w:r w:rsidR="007F7E23" w:rsidRPr="00ED49AE">
        <w:rPr>
          <w:sz w:val="22"/>
          <w:szCs w:val="22"/>
          <w:lang w:val="lv-LV"/>
        </w:rPr>
        <w:t xml:space="preserve">kuri </w:t>
      </w:r>
      <w:r w:rsidRPr="00ED49AE">
        <w:rPr>
          <w:sz w:val="22"/>
          <w:szCs w:val="22"/>
          <w:lang w:val="lv-LV"/>
        </w:rPr>
        <w:t>jaunāki par 2 mēnešiem.</w:t>
      </w:r>
    </w:p>
    <w:p w14:paraId="40CCB9D6" w14:textId="77777777" w:rsidR="00CD10AA" w:rsidRPr="00ED49AE" w:rsidRDefault="00CD10AA" w:rsidP="00ED49AE">
      <w:pPr>
        <w:tabs>
          <w:tab w:val="clear" w:pos="567"/>
        </w:tabs>
        <w:spacing w:line="240" w:lineRule="auto"/>
        <w:jc w:val="both"/>
        <w:rPr>
          <w:color w:val="000000"/>
          <w:szCs w:val="22"/>
        </w:rPr>
      </w:pPr>
    </w:p>
    <w:p w14:paraId="090210A0" w14:textId="77777777" w:rsidR="00CD10AA" w:rsidRPr="00ED49AE" w:rsidRDefault="00CD10AA" w:rsidP="00ED49AE">
      <w:pPr>
        <w:tabs>
          <w:tab w:val="clear" w:pos="567"/>
        </w:tabs>
        <w:spacing w:line="240" w:lineRule="auto"/>
        <w:jc w:val="both"/>
        <w:rPr>
          <w:b/>
          <w:color w:val="000000"/>
          <w:szCs w:val="22"/>
        </w:rPr>
      </w:pPr>
      <w:r w:rsidRPr="00ED49AE">
        <w:rPr>
          <w:b/>
          <w:color w:val="000000"/>
          <w:szCs w:val="22"/>
        </w:rPr>
        <w:t>4.4</w:t>
      </w:r>
      <w:r w:rsidR="004D591D" w:rsidRPr="00ED49AE">
        <w:rPr>
          <w:b/>
          <w:color w:val="000000"/>
          <w:szCs w:val="22"/>
        </w:rPr>
        <w:t>.</w:t>
      </w:r>
      <w:r w:rsidRPr="00ED49AE">
        <w:rPr>
          <w:b/>
          <w:color w:val="000000"/>
          <w:szCs w:val="22"/>
        </w:rPr>
        <w:tab/>
        <w:t>Īpaši brīdinājumi un piesardzība lietošanā</w:t>
      </w:r>
    </w:p>
    <w:p w14:paraId="2F448159" w14:textId="77777777" w:rsidR="00C33C7E" w:rsidRPr="00ED49AE" w:rsidRDefault="00C33C7E" w:rsidP="00ED49AE">
      <w:pPr>
        <w:pStyle w:val="Default"/>
        <w:jc w:val="both"/>
        <w:rPr>
          <w:sz w:val="22"/>
          <w:szCs w:val="22"/>
          <w:lang w:val="lv-LV"/>
        </w:rPr>
      </w:pPr>
    </w:p>
    <w:p w14:paraId="72230826" w14:textId="77777777" w:rsidR="007F7E23" w:rsidRPr="00ED49AE" w:rsidRDefault="007F7E23" w:rsidP="00ED49AE">
      <w:pPr>
        <w:pStyle w:val="Default"/>
        <w:jc w:val="both"/>
        <w:rPr>
          <w:sz w:val="22"/>
          <w:szCs w:val="22"/>
          <w:lang w:val="lv-LV"/>
        </w:rPr>
      </w:pPr>
      <w:r w:rsidRPr="00ED49AE">
        <w:rPr>
          <w:sz w:val="22"/>
          <w:szCs w:val="22"/>
          <w:lang w:val="lv-LV"/>
        </w:rPr>
        <w:t>Ilgstoša un/vai bieža lietošana nav ieteicama.</w:t>
      </w:r>
    </w:p>
    <w:p w14:paraId="44FC8B52" w14:textId="77777777" w:rsidR="007F7E23" w:rsidRPr="00ED49AE" w:rsidRDefault="007F7E23" w:rsidP="00ED49AE">
      <w:pPr>
        <w:pStyle w:val="Default"/>
        <w:jc w:val="both"/>
        <w:rPr>
          <w:sz w:val="22"/>
          <w:szCs w:val="22"/>
          <w:lang w:val="lv-LV"/>
        </w:rPr>
      </w:pPr>
    </w:p>
    <w:p w14:paraId="2779A9D3" w14:textId="77777777" w:rsidR="004035FA" w:rsidRPr="00ED49AE" w:rsidRDefault="0090378E" w:rsidP="00ED49AE">
      <w:pPr>
        <w:pStyle w:val="Default"/>
        <w:jc w:val="both"/>
        <w:rPr>
          <w:sz w:val="22"/>
          <w:szCs w:val="22"/>
          <w:lang w:val="lv-LV"/>
        </w:rPr>
      </w:pPr>
      <w:proofErr w:type="spellStart"/>
      <w:r w:rsidRPr="00ED49AE">
        <w:rPr>
          <w:sz w:val="22"/>
          <w:szCs w:val="22"/>
          <w:lang w:val="lv-LV"/>
        </w:rPr>
        <w:t>Paracetamol</w:t>
      </w:r>
      <w:proofErr w:type="spellEnd"/>
      <w:r w:rsidRPr="00ED49AE">
        <w:rPr>
          <w:sz w:val="22"/>
          <w:szCs w:val="22"/>
          <w:lang w:val="lv-LV"/>
        </w:rPr>
        <w:t xml:space="preserve"> </w:t>
      </w:r>
      <w:proofErr w:type="spellStart"/>
      <w:r w:rsidRPr="00ED49AE">
        <w:rPr>
          <w:sz w:val="22"/>
          <w:szCs w:val="22"/>
          <w:lang w:val="lv-LV"/>
        </w:rPr>
        <w:t>Phs</w:t>
      </w:r>
      <w:proofErr w:type="spellEnd"/>
      <w:r w:rsidR="004035FA" w:rsidRPr="00ED49AE">
        <w:rPr>
          <w:sz w:val="22"/>
          <w:szCs w:val="22"/>
          <w:lang w:val="lv-LV"/>
        </w:rPr>
        <w:t xml:space="preserve"> nedrīkst lietot vienlaicīgi ar citām </w:t>
      </w:r>
      <w:proofErr w:type="spellStart"/>
      <w:r w:rsidR="004035FA" w:rsidRPr="00ED49AE">
        <w:rPr>
          <w:sz w:val="22"/>
          <w:szCs w:val="22"/>
          <w:lang w:val="lv-LV"/>
        </w:rPr>
        <w:t>paracetamolu</w:t>
      </w:r>
      <w:proofErr w:type="spellEnd"/>
      <w:r w:rsidR="004035FA" w:rsidRPr="00ED49AE">
        <w:rPr>
          <w:sz w:val="22"/>
          <w:szCs w:val="22"/>
          <w:lang w:val="lv-LV"/>
        </w:rPr>
        <w:t xml:space="preserve"> saturošām zālēm.</w:t>
      </w:r>
    </w:p>
    <w:p w14:paraId="0174BFC0" w14:textId="77777777" w:rsidR="004035FA" w:rsidRPr="00ED49AE" w:rsidRDefault="004035FA" w:rsidP="00ED49AE">
      <w:pPr>
        <w:pStyle w:val="Default"/>
        <w:jc w:val="both"/>
        <w:rPr>
          <w:sz w:val="22"/>
          <w:szCs w:val="22"/>
          <w:lang w:val="lv-LV"/>
        </w:rPr>
      </w:pPr>
    </w:p>
    <w:p w14:paraId="76ECCFC9" w14:textId="77777777" w:rsidR="004E16EE" w:rsidRPr="00ED49AE" w:rsidRDefault="004E16EE" w:rsidP="00ED49AE">
      <w:pPr>
        <w:pStyle w:val="Default"/>
        <w:jc w:val="both"/>
        <w:rPr>
          <w:sz w:val="22"/>
          <w:szCs w:val="22"/>
          <w:lang w:val="lv-LV"/>
        </w:rPr>
      </w:pPr>
      <w:r w:rsidRPr="00ED49AE">
        <w:rPr>
          <w:sz w:val="22"/>
          <w:szCs w:val="22"/>
          <w:lang w:val="lv-LV"/>
        </w:rPr>
        <w:t xml:space="preserve">Piesardzība jāievēro lietojot </w:t>
      </w:r>
      <w:proofErr w:type="spellStart"/>
      <w:r w:rsidRPr="00ED49AE">
        <w:rPr>
          <w:sz w:val="22"/>
          <w:szCs w:val="22"/>
          <w:lang w:val="lv-LV"/>
        </w:rPr>
        <w:t>paracetamolu</w:t>
      </w:r>
      <w:proofErr w:type="spellEnd"/>
      <w:r w:rsidRPr="00ED49AE">
        <w:rPr>
          <w:sz w:val="22"/>
          <w:szCs w:val="22"/>
          <w:lang w:val="lv-LV"/>
        </w:rPr>
        <w:t xml:space="preserve"> pacientiem ar smagiem nieru vai smagiem aknu darbības traucējumiem (</w:t>
      </w:r>
      <w:proofErr w:type="spellStart"/>
      <w:r w:rsidRPr="00ED49AE">
        <w:rPr>
          <w:i/>
          <w:sz w:val="22"/>
          <w:szCs w:val="22"/>
          <w:lang w:val="lv-LV"/>
        </w:rPr>
        <w:t>Child-Pugh</w:t>
      </w:r>
      <w:proofErr w:type="spellEnd"/>
      <w:r w:rsidRPr="00ED49AE">
        <w:rPr>
          <w:sz w:val="22"/>
          <w:szCs w:val="22"/>
          <w:lang w:val="lv-LV"/>
        </w:rPr>
        <w:t xml:space="preserve"> &gt; 9), viegliem līdz vidēji smagiem aknu darbības traucējumiem (ieskaitot </w:t>
      </w:r>
      <w:proofErr w:type="spellStart"/>
      <w:r w:rsidRPr="00ED49AE">
        <w:rPr>
          <w:sz w:val="22"/>
          <w:szCs w:val="22"/>
          <w:lang w:val="lv-LV"/>
        </w:rPr>
        <w:t>Žilbēra</w:t>
      </w:r>
      <w:proofErr w:type="spellEnd"/>
      <w:r w:rsidRPr="00ED49AE">
        <w:rPr>
          <w:sz w:val="22"/>
          <w:szCs w:val="22"/>
          <w:lang w:val="lv-LV"/>
        </w:rPr>
        <w:t xml:space="preserve"> sindromu), akūtu hepatītu, lietojot vienlaicīgi ar zālēm, kas ietekmē aknu darbību, pacientiem ar glikozes-6-fosfātdehidrogenāzes deficītu.</w:t>
      </w:r>
    </w:p>
    <w:p w14:paraId="75EC4435" w14:textId="77777777" w:rsidR="004E16EE" w:rsidRPr="00ED49AE" w:rsidRDefault="004E16EE" w:rsidP="00ED49AE">
      <w:pPr>
        <w:pStyle w:val="Default"/>
        <w:jc w:val="both"/>
        <w:rPr>
          <w:sz w:val="22"/>
          <w:szCs w:val="22"/>
          <w:lang w:val="lv-LV"/>
        </w:rPr>
      </w:pPr>
    </w:p>
    <w:p w14:paraId="0401AA1B" w14:textId="77777777" w:rsidR="002D5EE4" w:rsidRPr="00ED49AE" w:rsidRDefault="002D5EE4" w:rsidP="00ED49AE">
      <w:pPr>
        <w:pStyle w:val="Default"/>
        <w:jc w:val="both"/>
        <w:rPr>
          <w:sz w:val="22"/>
          <w:szCs w:val="22"/>
          <w:lang w:val="lv-LV"/>
        </w:rPr>
      </w:pPr>
      <w:r w:rsidRPr="00ED49AE">
        <w:rPr>
          <w:sz w:val="22"/>
          <w:szCs w:val="22"/>
          <w:lang w:val="lv-LV"/>
        </w:rPr>
        <w:lastRenderedPageBreak/>
        <w:t xml:space="preserve">Lietojot pacientiem ar </w:t>
      </w:r>
      <w:proofErr w:type="spellStart"/>
      <w:r w:rsidRPr="00ED49AE">
        <w:rPr>
          <w:sz w:val="22"/>
          <w:szCs w:val="22"/>
          <w:lang w:val="lv-LV"/>
        </w:rPr>
        <w:t>hemolītisku</w:t>
      </w:r>
      <w:proofErr w:type="spellEnd"/>
      <w:r w:rsidRPr="00ED49AE">
        <w:rPr>
          <w:sz w:val="22"/>
          <w:szCs w:val="22"/>
          <w:lang w:val="lv-LV"/>
        </w:rPr>
        <w:t xml:space="preserve"> anēmiju, </w:t>
      </w:r>
      <w:proofErr w:type="spellStart"/>
      <w:r w:rsidRPr="00ED49AE">
        <w:rPr>
          <w:sz w:val="22"/>
          <w:szCs w:val="22"/>
          <w:lang w:val="lv-LV"/>
        </w:rPr>
        <w:t>dehidratētiem</w:t>
      </w:r>
      <w:proofErr w:type="spellEnd"/>
      <w:r w:rsidRPr="00ED49AE">
        <w:rPr>
          <w:sz w:val="22"/>
          <w:szCs w:val="22"/>
          <w:lang w:val="lv-LV"/>
        </w:rPr>
        <w:t xml:space="preserve"> pacientiem un pacientiem, kuri neuzņem pietiekamu daudzumu uztura, jāievēro piesardzība.</w:t>
      </w:r>
    </w:p>
    <w:p w14:paraId="4EE7833B" w14:textId="77777777" w:rsidR="002D5EE4" w:rsidRPr="00ED49AE" w:rsidRDefault="002D5EE4" w:rsidP="00ED49AE">
      <w:pPr>
        <w:pStyle w:val="Default"/>
        <w:jc w:val="both"/>
        <w:rPr>
          <w:sz w:val="22"/>
          <w:szCs w:val="22"/>
          <w:lang w:val="lv-LV"/>
        </w:rPr>
      </w:pPr>
    </w:p>
    <w:p w14:paraId="22A25BD5" w14:textId="77777777" w:rsidR="00B45B48" w:rsidRPr="00ED49AE" w:rsidRDefault="00B45B48" w:rsidP="00ED49AE">
      <w:pPr>
        <w:pStyle w:val="Default"/>
        <w:jc w:val="both"/>
        <w:rPr>
          <w:sz w:val="22"/>
          <w:szCs w:val="22"/>
          <w:lang w:val="lv-LV"/>
        </w:rPr>
      </w:pPr>
      <w:r w:rsidRPr="00ED49AE">
        <w:rPr>
          <w:sz w:val="22"/>
          <w:szCs w:val="22"/>
          <w:lang w:val="lv-LV"/>
        </w:rPr>
        <w:t xml:space="preserve">Piesardzība jāievēro pacientiem ar astmu, kuri ir jutīgi pret acetilsalicilskābi, jo ir ziņots par vieglām </w:t>
      </w:r>
      <w:proofErr w:type="spellStart"/>
      <w:r w:rsidRPr="00ED49AE">
        <w:rPr>
          <w:sz w:val="22"/>
          <w:szCs w:val="22"/>
          <w:lang w:val="lv-LV"/>
        </w:rPr>
        <w:t>bronhospazmām</w:t>
      </w:r>
      <w:proofErr w:type="spellEnd"/>
      <w:r w:rsidRPr="00ED49AE">
        <w:rPr>
          <w:sz w:val="22"/>
          <w:szCs w:val="22"/>
          <w:lang w:val="lv-LV"/>
        </w:rPr>
        <w:t xml:space="preserve"> saistībā ar </w:t>
      </w:r>
      <w:proofErr w:type="spellStart"/>
      <w:r w:rsidRPr="00ED49AE">
        <w:rPr>
          <w:sz w:val="22"/>
          <w:szCs w:val="22"/>
          <w:lang w:val="lv-LV"/>
        </w:rPr>
        <w:t>paracetamola</w:t>
      </w:r>
      <w:proofErr w:type="spellEnd"/>
      <w:r w:rsidRPr="00ED49AE">
        <w:rPr>
          <w:sz w:val="22"/>
          <w:szCs w:val="22"/>
          <w:lang w:val="lv-LV"/>
        </w:rPr>
        <w:t xml:space="preserve"> (krusteniskā reakcija) lietošanu.</w:t>
      </w:r>
    </w:p>
    <w:p w14:paraId="49A9B559" w14:textId="77777777" w:rsidR="00B45B48" w:rsidRPr="00ED49AE" w:rsidRDefault="00B45B48" w:rsidP="00ED49AE">
      <w:pPr>
        <w:pStyle w:val="Default"/>
        <w:jc w:val="both"/>
        <w:rPr>
          <w:i/>
          <w:sz w:val="22"/>
          <w:szCs w:val="22"/>
          <w:lang w:val="lv-LV"/>
        </w:rPr>
      </w:pPr>
    </w:p>
    <w:p w14:paraId="0E9EEF4D" w14:textId="77777777" w:rsidR="002D5EE4" w:rsidRPr="00ED49AE" w:rsidRDefault="002D5EE4" w:rsidP="00ED49AE">
      <w:pPr>
        <w:pStyle w:val="NormalIndent"/>
        <w:tabs>
          <w:tab w:val="left" w:pos="567"/>
        </w:tabs>
        <w:spacing w:after="0"/>
        <w:ind w:left="0"/>
        <w:jc w:val="both"/>
        <w:rPr>
          <w:color w:val="000000"/>
          <w:szCs w:val="22"/>
          <w:lang w:val="lv-LV"/>
        </w:rPr>
      </w:pPr>
      <w:r w:rsidRPr="00ED49AE">
        <w:rPr>
          <w:color w:val="000000"/>
          <w:szCs w:val="22"/>
          <w:lang w:val="lv-LV"/>
        </w:rPr>
        <w:t>Stipra drudža, sekundāras infekcijas pazīmju vai simptomu, kas ilgst ilgāk par trīs dienām, gadījumā pacientam jāiesaka konsultēties ar savu ārstu.</w:t>
      </w:r>
    </w:p>
    <w:p w14:paraId="024F19E5" w14:textId="77777777" w:rsidR="002D5EE4" w:rsidRPr="00ED49AE" w:rsidRDefault="002D5EE4" w:rsidP="00ED49AE">
      <w:pPr>
        <w:pStyle w:val="Default"/>
        <w:jc w:val="both"/>
        <w:rPr>
          <w:i/>
          <w:sz w:val="22"/>
          <w:szCs w:val="22"/>
          <w:lang w:val="lv-LV"/>
        </w:rPr>
      </w:pPr>
    </w:p>
    <w:p w14:paraId="2FA10D28" w14:textId="77777777" w:rsidR="00EF7FE5" w:rsidRPr="00ED49AE" w:rsidRDefault="00EF7FE5" w:rsidP="00ED49AE">
      <w:pPr>
        <w:pStyle w:val="Default"/>
        <w:jc w:val="both"/>
        <w:rPr>
          <w:sz w:val="22"/>
          <w:szCs w:val="22"/>
          <w:lang w:val="lv-LV"/>
        </w:rPr>
      </w:pPr>
      <w:r w:rsidRPr="00ED49AE">
        <w:rPr>
          <w:sz w:val="22"/>
          <w:szCs w:val="22"/>
          <w:lang w:val="lv-LV"/>
        </w:rPr>
        <w:t>Lietojot pretsāpju līdzekļu</w:t>
      </w:r>
      <w:r w:rsidR="004E16EE" w:rsidRPr="00ED49AE">
        <w:rPr>
          <w:sz w:val="22"/>
          <w:szCs w:val="22"/>
          <w:lang w:val="lv-LV"/>
        </w:rPr>
        <w:t>s</w:t>
      </w:r>
      <w:r w:rsidRPr="00ED49AE">
        <w:rPr>
          <w:sz w:val="22"/>
          <w:szCs w:val="22"/>
          <w:lang w:val="lv-LV"/>
        </w:rPr>
        <w:t xml:space="preserve"> ilgstoši, lielās devas vai neatbilstoši norādījumiem, var rasties galvassāpes, ko nedrīkst ārstēt palielinot šo zāļu devu.</w:t>
      </w:r>
    </w:p>
    <w:p w14:paraId="50827C64" w14:textId="77777777" w:rsidR="00EF7FE5" w:rsidRPr="00ED49AE" w:rsidRDefault="00EF7FE5" w:rsidP="00ED49AE">
      <w:pPr>
        <w:pStyle w:val="Default"/>
        <w:jc w:val="both"/>
        <w:rPr>
          <w:i/>
          <w:sz w:val="22"/>
          <w:szCs w:val="22"/>
          <w:lang w:val="lv-LV"/>
        </w:rPr>
      </w:pPr>
    </w:p>
    <w:p w14:paraId="38EAF666" w14:textId="77777777" w:rsidR="004E16EE" w:rsidRPr="00ED49AE" w:rsidRDefault="004E16EE" w:rsidP="00ED49AE">
      <w:pPr>
        <w:pStyle w:val="Default"/>
        <w:jc w:val="both"/>
        <w:rPr>
          <w:sz w:val="22"/>
          <w:szCs w:val="22"/>
          <w:lang w:val="lv-LV"/>
        </w:rPr>
      </w:pPr>
      <w:r w:rsidRPr="00ED49AE">
        <w:rPr>
          <w:sz w:val="22"/>
          <w:szCs w:val="22"/>
          <w:lang w:val="lv-LV"/>
        </w:rPr>
        <w:t xml:space="preserve">Pārdozēšanas risks ir lielāks pacientiem, kuriem ir </w:t>
      </w:r>
      <w:proofErr w:type="spellStart"/>
      <w:r w:rsidRPr="00ED49AE">
        <w:rPr>
          <w:sz w:val="22"/>
          <w:szCs w:val="22"/>
          <w:lang w:val="lv-LV"/>
        </w:rPr>
        <w:t>necirotiskas</w:t>
      </w:r>
      <w:proofErr w:type="spellEnd"/>
      <w:r w:rsidRPr="00ED49AE">
        <w:rPr>
          <w:sz w:val="22"/>
          <w:szCs w:val="22"/>
          <w:lang w:val="lv-LV"/>
        </w:rPr>
        <w:t xml:space="preserve"> alkohola izraisītas aknu slimības. Piesardzība jāievēro, lietojot hroniskiem alkoholiķiem. Šajos gadījumos dienas devas nedrīkst pārsniegt 2 g. </w:t>
      </w:r>
      <w:proofErr w:type="spellStart"/>
      <w:r w:rsidRPr="00ED49AE">
        <w:rPr>
          <w:sz w:val="22"/>
          <w:szCs w:val="22"/>
          <w:lang w:val="lv-LV"/>
        </w:rPr>
        <w:t>Paracetamola</w:t>
      </w:r>
      <w:proofErr w:type="spellEnd"/>
      <w:r w:rsidRPr="00ED49AE">
        <w:rPr>
          <w:sz w:val="22"/>
          <w:szCs w:val="22"/>
          <w:lang w:val="lv-LV"/>
        </w:rPr>
        <w:t xml:space="preserve"> terapijas laikā nedrīkst lietot alkoholu, jo tas var nodarīt nopietnu bojājumu aknām.</w:t>
      </w:r>
    </w:p>
    <w:p w14:paraId="28FB7A60" w14:textId="77777777" w:rsidR="004E16EE" w:rsidRPr="00ED49AE" w:rsidRDefault="004E16EE" w:rsidP="00ED49AE">
      <w:pPr>
        <w:pStyle w:val="Default"/>
        <w:jc w:val="both"/>
        <w:rPr>
          <w:i/>
          <w:sz w:val="22"/>
          <w:szCs w:val="22"/>
          <w:lang w:val="lv-LV"/>
        </w:rPr>
      </w:pPr>
    </w:p>
    <w:p w14:paraId="52928E1D" w14:textId="77777777" w:rsidR="00092B16" w:rsidRPr="00ED49AE" w:rsidRDefault="00092B16" w:rsidP="00ED49AE">
      <w:pPr>
        <w:pStyle w:val="Default"/>
        <w:jc w:val="both"/>
        <w:rPr>
          <w:sz w:val="22"/>
          <w:szCs w:val="22"/>
          <w:lang w:val="lv-LV"/>
        </w:rPr>
      </w:pPr>
      <w:r w:rsidRPr="00ED49AE">
        <w:rPr>
          <w:sz w:val="22"/>
          <w:szCs w:val="22"/>
          <w:lang w:val="lv-LV"/>
        </w:rPr>
        <w:t xml:space="preserve">Devas, kas lielākas par ieteiktajām, saistītas ar smagu aknu bojājuma risku. Aknu bojājuma klīniskie simptomi un pazīmes (ieskaitot smagu </w:t>
      </w:r>
      <w:proofErr w:type="spellStart"/>
      <w:r w:rsidRPr="00ED49AE">
        <w:rPr>
          <w:sz w:val="22"/>
          <w:szCs w:val="22"/>
          <w:lang w:val="lv-LV"/>
        </w:rPr>
        <w:t>hepatocelulāro</w:t>
      </w:r>
      <w:proofErr w:type="spellEnd"/>
      <w:r w:rsidRPr="00ED49AE">
        <w:rPr>
          <w:sz w:val="22"/>
          <w:szCs w:val="22"/>
          <w:lang w:val="lv-LV"/>
        </w:rPr>
        <w:t xml:space="preserve"> nekrozi) parasti vispirms parādās tikai pēc trim zāļu lietošanas dienām ar to maksimumu parasti pēc 4 – 6 dienām. Ārstēšana ar </w:t>
      </w:r>
      <w:proofErr w:type="spellStart"/>
      <w:r w:rsidRPr="00ED49AE">
        <w:rPr>
          <w:sz w:val="22"/>
          <w:szCs w:val="22"/>
          <w:lang w:val="lv-LV"/>
        </w:rPr>
        <w:t>antidotu</w:t>
      </w:r>
      <w:proofErr w:type="spellEnd"/>
      <w:r w:rsidRPr="00ED49AE">
        <w:rPr>
          <w:sz w:val="22"/>
          <w:szCs w:val="22"/>
          <w:lang w:val="lv-LV"/>
        </w:rPr>
        <w:t xml:space="preserve"> jāuzsāk pēc iespējas ātrāk (skatīt 4.9. apakšpunktu).</w:t>
      </w:r>
    </w:p>
    <w:p w14:paraId="5B62D530" w14:textId="77777777" w:rsidR="00092B16" w:rsidRPr="00ED49AE" w:rsidRDefault="00092B16" w:rsidP="00ED49AE">
      <w:pPr>
        <w:pStyle w:val="Default"/>
        <w:jc w:val="both"/>
        <w:rPr>
          <w:i/>
          <w:sz w:val="22"/>
          <w:szCs w:val="22"/>
          <w:lang w:val="lv-LV"/>
        </w:rPr>
      </w:pPr>
    </w:p>
    <w:p w14:paraId="7999666E" w14:textId="77777777" w:rsidR="004035FA" w:rsidRPr="00ED49AE" w:rsidRDefault="004035FA" w:rsidP="00ED49AE">
      <w:pPr>
        <w:pStyle w:val="Default"/>
        <w:jc w:val="both"/>
        <w:rPr>
          <w:i/>
          <w:sz w:val="22"/>
          <w:szCs w:val="22"/>
          <w:lang w:val="lv-LV"/>
        </w:rPr>
      </w:pPr>
      <w:proofErr w:type="spellStart"/>
      <w:r w:rsidRPr="00ED49AE">
        <w:rPr>
          <w:i/>
          <w:sz w:val="22"/>
          <w:szCs w:val="22"/>
          <w:lang w:val="lv-LV"/>
        </w:rPr>
        <w:t>Palīgvielas</w:t>
      </w:r>
      <w:proofErr w:type="spellEnd"/>
    </w:p>
    <w:p w14:paraId="0CFB7B8E" w14:textId="77777777" w:rsidR="004035FA" w:rsidRPr="00ED49AE" w:rsidRDefault="004035FA" w:rsidP="00ED49AE">
      <w:pPr>
        <w:pStyle w:val="Default"/>
        <w:jc w:val="both"/>
        <w:rPr>
          <w:sz w:val="22"/>
          <w:szCs w:val="22"/>
          <w:lang w:val="lv-LV"/>
        </w:rPr>
      </w:pPr>
      <w:r w:rsidRPr="00ED49AE">
        <w:rPr>
          <w:sz w:val="22"/>
          <w:szCs w:val="22"/>
          <w:lang w:val="lv-LV"/>
        </w:rPr>
        <w:t xml:space="preserve">Šīs zāles satur saharozi. Šīs zāles nevajadzētu lietot pacientiem ar retu iedzimtu fruktozes nepanesību, glikozes – </w:t>
      </w:r>
      <w:proofErr w:type="spellStart"/>
      <w:r w:rsidRPr="00ED49AE">
        <w:rPr>
          <w:sz w:val="22"/>
          <w:szCs w:val="22"/>
          <w:lang w:val="lv-LV"/>
        </w:rPr>
        <w:t>galaktozes</w:t>
      </w:r>
      <w:proofErr w:type="spellEnd"/>
      <w:r w:rsidRPr="00ED49AE">
        <w:rPr>
          <w:sz w:val="22"/>
          <w:szCs w:val="22"/>
          <w:lang w:val="lv-LV"/>
        </w:rPr>
        <w:t xml:space="preserve"> </w:t>
      </w:r>
      <w:proofErr w:type="spellStart"/>
      <w:r w:rsidRPr="00ED49AE">
        <w:rPr>
          <w:sz w:val="22"/>
          <w:szCs w:val="22"/>
          <w:lang w:val="lv-LV"/>
        </w:rPr>
        <w:t>malabsorbciju</w:t>
      </w:r>
      <w:proofErr w:type="spellEnd"/>
      <w:r w:rsidRPr="00ED49AE">
        <w:rPr>
          <w:sz w:val="22"/>
          <w:szCs w:val="22"/>
          <w:lang w:val="lv-LV"/>
        </w:rPr>
        <w:t xml:space="preserve"> vai </w:t>
      </w:r>
      <w:proofErr w:type="spellStart"/>
      <w:r w:rsidRPr="00ED49AE">
        <w:rPr>
          <w:sz w:val="22"/>
          <w:szCs w:val="22"/>
          <w:lang w:val="lv-LV"/>
        </w:rPr>
        <w:t>sahar</w:t>
      </w:r>
      <w:r w:rsidR="00190E5C" w:rsidRPr="00ED49AE">
        <w:rPr>
          <w:sz w:val="22"/>
          <w:szCs w:val="22"/>
          <w:lang w:val="lv-LV"/>
        </w:rPr>
        <w:t>ā</w:t>
      </w:r>
      <w:r w:rsidRPr="00ED49AE">
        <w:rPr>
          <w:sz w:val="22"/>
          <w:szCs w:val="22"/>
          <w:lang w:val="lv-LV"/>
        </w:rPr>
        <w:t>zes</w:t>
      </w:r>
      <w:proofErr w:type="spellEnd"/>
      <w:r w:rsidRPr="00ED49AE">
        <w:rPr>
          <w:sz w:val="22"/>
          <w:szCs w:val="22"/>
          <w:lang w:val="lv-LV"/>
        </w:rPr>
        <w:t xml:space="preserve"> – </w:t>
      </w:r>
      <w:proofErr w:type="spellStart"/>
      <w:r w:rsidRPr="00ED49AE">
        <w:rPr>
          <w:sz w:val="22"/>
          <w:szCs w:val="22"/>
          <w:lang w:val="lv-LV"/>
        </w:rPr>
        <w:t>izomaltāzes</w:t>
      </w:r>
      <w:proofErr w:type="spellEnd"/>
      <w:r w:rsidRPr="00ED49AE">
        <w:rPr>
          <w:sz w:val="22"/>
          <w:szCs w:val="22"/>
          <w:lang w:val="lv-LV"/>
        </w:rPr>
        <w:t xml:space="preserve"> nepietiekamību.</w:t>
      </w:r>
    </w:p>
    <w:p w14:paraId="26BFB826" w14:textId="77777777" w:rsidR="00C33C7E" w:rsidRPr="00ED49AE" w:rsidRDefault="00C33C7E" w:rsidP="00ED49AE">
      <w:pPr>
        <w:pStyle w:val="Default"/>
        <w:jc w:val="both"/>
        <w:rPr>
          <w:sz w:val="22"/>
          <w:szCs w:val="22"/>
          <w:lang w:val="lv-LV"/>
        </w:rPr>
      </w:pPr>
    </w:p>
    <w:p w14:paraId="2408612C" w14:textId="77777777" w:rsidR="008F7B29" w:rsidRPr="00ED49AE" w:rsidRDefault="008F7B29" w:rsidP="00ED49AE">
      <w:pPr>
        <w:tabs>
          <w:tab w:val="clear" w:pos="567"/>
        </w:tabs>
        <w:autoSpaceDE w:val="0"/>
        <w:autoSpaceDN w:val="0"/>
        <w:adjustRightInd w:val="0"/>
        <w:spacing w:line="240" w:lineRule="auto"/>
        <w:jc w:val="both"/>
        <w:rPr>
          <w:color w:val="000000"/>
          <w:szCs w:val="22"/>
          <w:lang w:eastAsia="en-GB"/>
        </w:rPr>
      </w:pPr>
      <w:r w:rsidRPr="00ED49AE">
        <w:rPr>
          <w:color w:val="000000"/>
          <w:szCs w:val="22"/>
          <w:lang w:eastAsia="en-GB"/>
        </w:rPr>
        <w:t xml:space="preserve">Šīs zāles satur 1128,75 mg </w:t>
      </w:r>
      <w:proofErr w:type="spellStart"/>
      <w:r w:rsidRPr="00ED49AE">
        <w:rPr>
          <w:color w:val="000000"/>
          <w:szCs w:val="22"/>
          <w:lang w:eastAsia="en-GB"/>
        </w:rPr>
        <w:t>sorbīta</w:t>
      </w:r>
      <w:proofErr w:type="spellEnd"/>
      <w:r w:rsidRPr="00ED49AE">
        <w:rPr>
          <w:color w:val="000000"/>
          <w:szCs w:val="22"/>
          <w:lang w:eastAsia="en-GB"/>
        </w:rPr>
        <w:t xml:space="preserve"> katros 5 ml sīrupa, kas ir līdzvērtīgi 225,75 mg/ml. Pacienti ar iedzimtu fruktozes nepanesību nedrīkst lietot/saņemt šīs zāles.</w:t>
      </w:r>
    </w:p>
    <w:p w14:paraId="7084A6E1" w14:textId="77777777" w:rsidR="00C33C7E" w:rsidRPr="00ED49AE" w:rsidRDefault="00891770" w:rsidP="00ED49AE">
      <w:pPr>
        <w:pStyle w:val="Default"/>
        <w:jc w:val="both"/>
        <w:rPr>
          <w:sz w:val="22"/>
          <w:szCs w:val="22"/>
          <w:lang w:val="lv-LV"/>
        </w:rPr>
      </w:pPr>
      <w:proofErr w:type="spellStart"/>
      <w:r w:rsidRPr="00ED49AE">
        <w:rPr>
          <w:sz w:val="22"/>
          <w:szCs w:val="22"/>
          <w:lang w:val="lv-LV"/>
        </w:rPr>
        <w:t>Sorbīts</w:t>
      </w:r>
      <w:proofErr w:type="spellEnd"/>
      <w:r w:rsidRPr="00ED49AE">
        <w:rPr>
          <w:sz w:val="22"/>
          <w:szCs w:val="22"/>
          <w:lang w:val="lv-LV"/>
        </w:rPr>
        <w:t xml:space="preserve"> var izraisīt nepatīkamas sajūtas kuņģa - zarnu traktā un vieglu caureju veicinošu iedarbību.</w:t>
      </w:r>
    </w:p>
    <w:p w14:paraId="2C02F409" w14:textId="77777777" w:rsidR="00891770" w:rsidRPr="00ED49AE" w:rsidRDefault="00891770" w:rsidP="00ED49AE">
      <w:pPr>
        <w:pStyle w:val="Default"/>
        <w:jc w:val="both"/>
        <w:rPr>
          <w:sz w:val="22"/>
          <w:szCs w:val="22"/>
          <w:lang w:val="lv-LV"/>
        </w:rPr>
      </w:pPr>
    </w:p>
    <w:p w14:paraId="0858BF23" w14:textId="77777777" w:rsidR="004035FA" w:rsidRPr="00ED49AE" w:rsidRDefault="0090378E" w:rsidP="00ED49AE">
      <w:pPr>
        <w:pStyle w:val="Default"/>
        <w:jc w:val="both"/>
        <w:rPr>
          <w:sz w:val="22"/>
          <w:szCs w:val="22"/>
          <w:lang w:val="lv-LV"/>
        </w:rPr>
      </w:pPr>
      <w:proofErr w:type="spellStart"/>
      <w:r w:rsidRPr="00ED49AE">
        <w:rPr>
          <w:sz w:val="22"/>
          <w:szCs w:val="22"/>
          <w:lang w:val="lv-LV"/>
        </w:rPr>
        <w:t>Paracetamol</w:t>
      </w:r>
      <w:proofErr w:type="spellEnd"/>
      <w:r w:rsidRPr="00ED49AE">
        <w:rPr>
          <w:sz w:val="22"/>
          <w:szCs w:val="22"/>
          <w:lang w:val="lv-LV"/>
        </w:rPr>
        <w:t xml:space="preserve"> </w:t>
      </w:r>
      <w:proofErr w:type="spellStart"/>
      <w:r w:rsidRPr="00ED49AE">
        <w:rPr>
          <w:sz w:val="22"/>
          <w:szCs w:val="22"/>
          <w:lang w:val="lv-LV"/>
        </w:rPr>
        <w:t>Phs</w:t>
      </w:r>
      <w:proofErr w:type="spellEnd"/>
      <w:r w:rsidR="004035FA" w:rsidRPr="00ED49AE">
        <w:rPr>
          <w:sz w:val="22"/>
          <w:szCs w:val="22"/>
          <w:lang w:val="lv-LV"/>
        </w:rPr>
        <w:t xml:space="preserve"> satur arī </w:t>
      </w:r>
      <w:proofErr w:type="spellStart"/>
      <w:r w:rsidR="004035FA" w:rsidRPr="00ED49AE">
        <w:rPr>
          <w:sz w:val="22"/>
          <w:szCs w:val="22"/>
          <w:lang w:val="lv-LV"/>
        </w:rPr>
        <w:t>metilp</w:t>
      </w:r>
      <w:r w:rsidR="00B35BF6" w:rsidRPr="00ED49AE">
        <w:rPr>
          <w:sz w:val="22"/>
          <w:szCs w:val="22"/>
          <w:lang w:val="lv-LV"/>
        </w:rPr>
        <w:t>ara</w:t>
      </w:r>
      <w:r w:rsidR="004035FA" w:rsidRPr="00ED49AE">
        <w:rPr>
          <w:sz w:val="22"/>
          <w:szCs w:val="22"/>
          <w:lang w:val="lv-LV"/>
        </w:rPr>
        <w:t>hidroksibenzoātu</w:t>
      </w:r>
      <w:proofErr w:type="spellEnd"/>
      <w:r w:rsidR="004035FA" w:rsidRPr="00ED49AE">
        <w:rPr>
          <w:sz w:val="22"/>
          <w:szCs w:val="22"/>
          <w:lang w:val="lv-LV"/>
        </w:rPr>
        <w:t xml:space="preserve"> (E218), </w:t>
      </w:r>
      <w:r w:rsidR="006618F0" w:rsidRPr="00ED49AE">
        <w:rPr>
          <w:sz w:val="22"/>
          <w:szCs w:val="22"/>
          <w:lang w:val="lv-LV"/>
        </w:rPr>
        <w:t>kas v</w:t>
      </w:r>
      <w:r w:rsidR="004035FA" w:rsidRPr="00ED49AE">
        <w:rPr>
          <w:sz w:val="22"/>
          <w:szCs w:val="22"/>
          <w:lang w:val="lv-LV"/>
        </w:rPr>
        <w:t xml:space="preserve">ar izraisīt alerģiskas reakcijas (iespējams, </w:t>
      </w:r>
      <w:r w:rsidR="00C33C7E" w:rsidRPr="00ED49AE">
        <w:rPr>
          <w:sz w:val="22"/>
          <w:szCs w:val="22"/>
          <w:lang w:val="lv-LV"/>
        </w:rPr>
        <w:t>vēlīnas</w:t>
      </w:r>
      <w:r w:rsidR="004035FA" w:rsidRPr="00ED49AE">
        <w:rPr>
          <w:sz w:val="22"/>
          <w:szCs w:val="22"/>
          <w:lang w:val="lv-LV"/>
        </w:rPr>
        <w:t>)</w:t>
      </w:r>
      <w:r w:rsidR="0063400C" w:rsidRPr="00ED49AE">
        <w:rPr>
          <w:sz w:val="22"/>
          <w:szCs w:val="22"/>
          <w:lang w:val="lv-LV"/>
        </w:rPr>
        <w:t>.</w:t>
      </w:r>
    </w:p>
    <w:p w14:paraId="4FA9483A" w14:textId="77777777" w:rsidR="00CD10AA" w:rsidRPr="00ED49AE" w:rsidRDefault="00CD10AA" w:rsidP="00ED49AE">
      <w:pPr>
        <w:tabs>
          <w:tab w:val="clear" w:pos="567"/>
        </w:tabs>
        <w:spacing w:line="240" w:lineRule="auto"/>
        <w:jc w:val="both"/>
        <w:rPr>
          <w:color w:val="000000"/>
          <w:szCs w:val="22"/>
        </w:rPr>
      </w:pPr>
    </w:p>
    <w:p w14:paraId="2C44C0D9" w14:textId="77777777" w:rsidR="00CD10AA" w:rsidRPr="00ED49AE" w:rsidRDefault="00CD10AA" w:rsidP="00ED49AE">
      <w:pPr>
        <w:tabs>
          <w:tab w:val="clear" w:pos="567"/>
        </w:tabs>
        <w:spacing w:line="240" w:lineRule="auto"/>
        <w:jc w:val="both"/>
        <w:rPr>
          <w:b/>
          <w:color w:val="000000"/>
          <w:szCs w:val="22"/>
        </w:rPr>
      </w:pPr>
      <w:r w:rsidRPr="00ED49AE">
        <w:rPr>
          <w:b/>
          <w:color w:val="000000"/>
          <w:szCs w:val="22"/>
        </w:rPr>
        <w:t>4.5</w:t>
      </w:r>
      <w:r w:rsidR="004D591D" w:rsidRPr="00ED49AE">
        <w:rPr>
          <w:b/>
          <w:color w:val="000000"/>
          <w:szCs w:val="22"/>
        </w:rPr>
        <w:t>.</w:t>
      </w:r>
      <w:r w:rsidRPr="00ED49AE">
        <w:rPr>
          <w:b/>
          <w:color w:val="000000"/>
          <w:szCs w:val="22"/>
        </w:rPr>
        <w:tab/>
        <w:t>Mijiedarbība ar citām zālēm un citi mijiedarbības veidi</w:t>
      </w:r>
    </w:p>
    <w:p w14:paraId="64A70E43" w14:textId="77777777" w:rsidR="00C33C7E" w:rsidRPr="00ED49AE" w:rsidRDefault="00C33C7E" w:rsidP="00ED49AE">
      <w:pPr>
        <w:pStyle w:val="Default"/>
        <w:jc w:val="both"/>
        <w:rPr>
          <w:sz w:val="22"/>
          <w:szCs w:val="22"/>
          <w:lang w:val="lv-LV"/>
        </w:rPr>
      </w:pPr>
    </w:p>
    <w:p w14:paraId="77DAFA7A" w14:textId="77777777" w:rsidR="004035FA" w:rsidRPr="00ED49AE" w:rsidRDefault="004035FA" w:rsidP="00ED49AE">
      <w:pPr>
        <w:pStyle w:val="Default"/>
        <w:jc w:val="both"/>
        <w:rPr>
          <w:sz w:val="22"/>
          <w:szCs w:val="22"/>
          <w:lang w:val="lv-LV"/>
        </w:rPr>
      </w:pPr>
      <w:proofErr w:type="spellStart"/>
      <w:r w:rsidRPr="00ED49AE">
        <w:rPr>
          <w:sz w:val="22"/>
          <w:szCs w:val="22"/>
          <w:lang w:val="lv-LV"/>
        </w:rPr>
        <w:t>Paracetamols</w:t>
      </w:r>
      <w:proofErr w:type="spellEnd"/>
      <w:r w:rsidRPr="00ED49AE">
        <w:rPr>
          <w:sz w:val="22"/>
          <w:szCs w:val="22"/>
          <w:lang w:val="lv-LV"/>
        </w:rPr>
        <w:t xml:space="preserve"> var ietekmēt laboratorisko analīžu rezultātus (glikozes un urīnskābes noteikšanu).</w:t>
      </w:r>
    </w:p>
    <w:p w14:paraId="26C807DE" w14:textId="77777777" w:rsidR="004035FA" w:rsidRPr="00ED49AE" w:rsidRDefault="004035FA" w:rsidP="00ED49AE">
      <w:pPr>
        <w:pStyle w:val="Default"/>
        <w:jc w:val="both"/>
        <w:rPr>
          <w:sz w:val="22"/>
          <w:szCs w:val="22"/>
          <w:lang w:val="lv-LV"/>
        </w:rPr>
      </w:pPr>
    </w:p>
    <w:p w14:paraId="62E298B4" w14:textId="77777777" w:rsidR="004035FA" w:rsidRPr="00ED49AE" w:rsidRDefault="004035FA" w:rsidP="00ED49AE">
      <w:pPr>
        <w:pStyle w:val="Default"/>
        <w:jc w:val="both"/>
        <w:rPr>
          <w:sz w:val="22"/>
          <w:szCs w:val="22"/>
          <w:lang w:val="lv-LV"/>
        </w:rPr>
      </w:pPr>
      <w:proofErr w:type="spellStart"/>
      <w:r w:rsidRPr="00ED49AE">
        <w:rPr>
          <w:sz w:val="22"/>
          <w:szCs w:val="22"/>
          <w:lang w:val="lv-LV"/>
        </w:rPr>
        <w:t>Paracetamola</w:t>
      </w:r>
      <w:proofErr w:type="spellEnd"/>
      <w:r w:rsidRPr="00ED49AE">
        <w:rPr>
          <w:sz w:val="22"/>
          <w:szCs w:val="22"/>
          <w:lang w:val="lv-LV"/>
        </w:rPr>
        <w:t xml:space="preserve"> </w:t>
      </w:r>
      <w:proofErr w:type="spellStart"/>
      <w:r w:rsidRPr="00ED49AE">
        <w:rPr>
          <w:sz w:val="22"/>
          <w:szCs w:val="22"/>
          <w:lang w:val="lv-LV"/>
        </w:rPr>
        <w:t>hepatotoksicitāte</w:t>
      </w:r>
      <w:proofErr w:type="spellEnd"/>
      <w:r w:rsidRPr="00ED49AE">
        <w:rPr>
          <w:sz w:val="22"/>
          <w:szCs w:val="22"/>
          <w:lang w:val="lv-LV"/>
        </w:rPr>
        <w:t xml:space="preserve">, it īpaši pārdozēšanas gadījumā, var būt pastiprināta, ja vienlaicīgi tiek lietotas zāles, kas stimulē aknu </w:t>
      </w:r>
      <w:proofErr w:type="spellStart"/>
      <w:r w:rsidRPr="00ED49AE">
        <w:rPr>
          <w:sz w:val="22"/>
          <w:szCs w:val="22"/>
          <w:lang w:val="lv-LV"/>
        </w:rPr>
        <w:t>mikrosomu</w:t>
      </w:r>
      <w:proofErr w:type="spellEnd"/>
      <w:r w:rsidRPr="00ED49AE">
        <w:rPr>
          <w:sz w:val="22"/>
          <w:szCs w:val="22"/>
          <w:lang w:val="lv-LV"/>
        </w:rPr>
        <w:t xml:space="preserve"> enzīmus, piemēram, alkohols, </w:t>
      </w:r>
      <w:proofErr w:type="spellStart"/>
      <w:r w:rsidRPr="00ED49AE">
        <w:rPr>
          <w:sz w:val="22"/>
          <w:szCs w:val="22"/>
          <w:lang w:val="lv-LV"/>
        </w:rPr>
        <w:t>fenitoīns</w:t>
      </w:r>
      <w:proofErr w:type="spellEnd"/>
      <w:r w:rsidRPr="00ED49AE">
        <w:rPr>
          <w:sz w:val="22"/>
          <w:szCs w:val="22"/>
          <w:lang w:val="lv-LV"/>
        </w:rPr>
        <w:t xml:space="preserve">, </w:t>
      </w:r>
      <w:proofErr w:type="spellStart"/>
      <w:r w:rsidRPr="00ED49AE">
        <w:rPr>
          <w:sz w:val="22"/>
          <w:szCs w:val="22"/>
          <w:lang w:val="lv-LV"/>
        </w:rPr>
        <w:t>barbiturāti</w:t>
      </w:r>
      <w:proofErr w:type="spellEnd"/>
      <w:r w:rsidRPr="00ED49AE">
        <w:rPr>
          <w:sz w:val="22"/>
          <w:szCs w:val="22"/>
          <w:lang w:val="lv-LV"/>
        </w:rPr>
        <w:t xml:space="preserve">, </w:t>
      </w:r>
      <w:proofErr w:type="spellStart"/>
      <w:r w:rsidRPr="00ED49AE">
        <w:rPr>
          <w:sz w:val="22"/>
          <w:szCs w:val="22"/>
          <w:lang w:val="lv-LV"/>
        </w:rPr>
        <w:t>tricikliskie</w:t>
      </w:r>
      <w:proofErr w:type="spellEnd"/>
      <w:r w:rsidRPr="00ED49AE">
        <w:rPr>
          <w:sz w:val="22"/>
          <w:szCs w:val="22"/>
          <w:lang w:val="lv-LV"/>
        </w:rPr>
        <w:t xml:space="preserve"> antidepresanti, </w:t>
      </w:r>
      <w:proofErr w:type="spellStart"/>
      <w:r w:rsidRPr="00ED49AE">
        <w:rPr>
          <w:sz w:val="22"/>
          <w:szCs w:val="22"/>
          <w:lang w:val="lv-LV"/>
        </w:rPr>
        <w:t>rifampicīns</w:t>
      </w:r>
      <w:proofErr w:type="spellEnd"/>
      <w:r w:rsidRPr="00ED49AE">
        <w:rPr>
          <w:sz w:val="22"/>
          <w:szCs w:val="22"/>
          <w:lang w:val="lv-LV"/>
        </w:rPr>
        <w:t xml:space="preserve">, </w:t>
      </w:r>
      <w:proofErr w:type="spellStart"/>
      <w:r w:rsidRPr="00ED49AE">
        <w:rPr>
          <w:sz w:val="22"/>
          <w:szCs w:val="22"/>
          <w:lang w:val="lv-LV"/>
        </w:rPr>
        <w:t>fenilbutazons</w:t>
      </w:r>
      <w:proofErr w:type="spellEnd"/>
      <w:r w:rsidR="00E51FFF" w:rsidRPr="00ED49AE">
        <w:rPr>
          <w:sz w:val="22"/>
          <w:szCs w:val="22"/>
          <w:lang w:val="lv-LV"/>
        </w:rPr>
        <w:t xml:space="preserve"> un </w:t>
      </w:r>
      <w:proofErr w:type="spellStart"/>
      <w:r w:rsidR="00E51FFF" w:rsidRPr="00ED49AE">
        <w:rPr>
          <w:sz w:val="22"/>
          <w:szCs w:val="22"/>
          <w:lang w:val="lv-LV"/>
        </w:rPr>
        <w:t>izoniazīds</w:t>
      </w:r>
      <w:proofErr w:type="spellEnd"/>
      <w:r w:rsidRPr="00ED49AE">
        <w:rPr>
          <w:sz w:val="22"/>
          <w:szCs w:val="22"/>
          <w:lang w:val="lv-LV"/>
        </w:rPr>
        <w:t>.</w:t>
      </w:r>
    </w:p>
    <w:p w14:paraId="2A090F0D" w14:textId="77777777" w:rsidR="004035FA" w:rsidRPr="00ED49AE" w:rsidRDefault="004035FA" w:rsidP="00ED49AE">
      <w:pPr>
        <w:pStyle w:val="Default"/>
        <w:jc w:val="both"/>
        <w:rPr>
          <w:sz w:val="22"/>
          <w:szCs w:val="22"/>
          <w:lang w:val="lv-LV"/>
        </w:rPr>
      </w:pPr>
    </w:p>
    <w:p w14:paraId="38934183" w14:textId="77777777" w:rsidR="004035FA" w:rsidRPr="00ED49AE" w:rsidRDefault="004035FA" w:rsidP="00ED49AE">
      <w:pPr>
        <w:pStyle w:val="Default"/>
        <w:jc w:val="both"/>
        <w:rPr>
          <w:sz w:val="22"/>
          <w:szCs w:val="22"/>
          <w:lang w:val="lv-LV"/>
        </w:rPr>
      </w:pPr>
      <w:proofErr w:type="spellStart"/>
      <w:r w:rsidRPr="00ED49AE">
        <w:rPr>
          <w:sz w:val="22"/>
          <w:szCs w:val="22"/>
          <w:lang w:val="lv-LV"/>
        </w:rPr>
        <w:t>Paracetamola</w:t>
      </w:r>
      <w:proofErr w:type="spellEnd"/>
      <w:r w:rsidRPr="00ED49AE">
        <w:rPr>
          <w:sz w:val="22"/>
          <w:szCs w:val="22"/>
          <w:lang w:val="lv-LV"/>
        </w:rPr>
        <w:t xml:space="preserve"> </w:t>
      </w:r>
      <w:proofErr w:type="spellStart"/>
      <w:r w:rsidRPr="00ED49AE">
        <w:rPr>
          <w:sz w:val="22"/>
          <w:szCs w:val="22"/>
          <w:lang w:val="lv-LV"/>
        </w:rPr>
        <w:t>hepatotoksicitāti</w:t>
      </w:r>
      <w:proofErr w:type="spellEnd"/>
      <w:r w:rsidRPr="00ED49AE">
        <w:rPr>
          <w:sz w:val="22"/>
          <w:szCs w:val="22"/>
          <w:lang w:val="lv-LV"/>
        </w:rPr>
        <w:t xml:space="preserve"> samazina vienlaicīga zāļu, kas nomāc aknu </w:t>
      </w:r>
      <w:proofErr w:type="spellStart"/>
      <w:r w:rsidRPr="00ED49AE">
        <w:rPr>
          <w:sz w:val="22"/>
          <w:szCs w:val="22"/>
          <w:lang w:val="lv-LV"/>
        </w:rPr>
        <w:t>mikrosomu</w:t>
      </w:r>
      <w:proofErr w:type="spellEnd"/>
      <w:r w:rsidRPr="00ED49AE">
        <w:rPr>
          <w:sz w:val="22"/>
          <w:szCs w:val="22"/>
          <w:lang w:val="lv-LV"/>
        </w:rPr>
        <w:t xml:space="preserve"> enzīmus, piemēram, cimetidīna, lietošana.</w:t>
      </w:r>
    </w:p>
    <w:p w14:paraId="044505A0" w14:textId="77777777" w:rsidR="004035FA" w:rsidRPr="00ED49AE" w:rsidRDefault="004035FA" w:rsidP="00ED49AE">
      <w:pPr>
        <w:pStyle w:val="Default"/>
        <w:jc w:val="both"/>
        <w:rPr>
          <w:sz w:val="22"/>
          <w:szCs w:val="22"/>
          <w:lang w:val="lv-LV"/>
        </w:rPr>
      </w:pPr>
    </w:p>
    <w:p w14:paraId="66F58617" w14:textId="77777777" w:rsidR="004035FA" w:rsidRPr="00ED49AE" w:rsidRDefault="004035FA" w:rsidP="00ED49AE">
      <w:pPr>
        <w:pStyle w:val="Default"/>
        <w:jc w:val="both"/>
        <w:rPr>
          <w:sz w:val="22"/>
          <w:szCs w:val="22"/>
          <w:lang w:val="lv-LV"/>
        </w:rPr>
      </w:pPr>
      <w:proofErr w:type="spellStart"/>
      <w:r w:rsidRPr="00ED49AE">
        <w:rPr>
          <w:sz w:val="22"/>
          <w:szCs w:val="22"/>
          <w:lang w:val="lv-LV"/>
        </w:rPr>
        <w:t>Salicilāti</w:t>
      </w:r>
      <w:proofErr w:type="spellEnd"/>
      <w:r w:rsidRPr="00ED49AE">
        <w:rPr>
          <w:sz w:val="22"/>
          <w:szCs w:val="22"/>
          <w:lang w:val="lv-LV"/>
        </w:rPr>
        <w:t xml:space="preserve"> var palielināt </w:t>
      </w:r>
      <w:proofErr w:type="spellStart"/>
      <w:r w:rsidRPr="00ED49AE">
        <w:rPr>
          <w:sz w:val="22"/>
          <w:szCs w:val="22"/>
          <w:lang w:val="lv-LV"/>
        </w:rPr>
        <w:t>paracetamola</w:t>
      </w:r>
      <w:proofErr w:type="spellEnd"/>
      <w:r w:rsidRPr="00ED49AE">
        <w:rPr>
          <w:sz w:val="22"/>
          <w:szCs w:val="22"/>
          <w:lang w:val="lv-LV"/>
        </w:rPr>
        <w:t xml:space="preserve"> </w:t>
      </w:r>
      <w:proofErr w:type="spellStart"/>
      <w:r w:rsidRPr="00ED49AE">
        <w:rPr>
          <w:sz w:val="22"/>
          <w:szCs w:val="22"/>
          <w:lang w:val="lv-LV"/>
        </w:rPr>
        <w:t>nefrotoksicitāti</w:t>
      </w:r>
      <w:proofErr w:type="spellEnd"/>
      <w:r w:rsidRPr="00ED49AE">
        <w:rPr>
          <w:sz w:val="22"/>
          <w:szCs w:val="22"/>
          <w:lang w:val="lv-LV"/>
        </w:rPr>
        <w:t>.</w:t>
      </w:r>
    </w:p>
    <w:p w14:paraId="74261EAF" w14:textId="77777777" w:rsidR="004035FA" w:rsidRPr="00ED49AE" w:rsidRDefault="004035FA" w:rsidP="00ED49AE">
      <w:pPr>
        <w:pStyle w:val="Default"/>
        <w:jc w:val="both"/>
        <w:rPr>
          <w:sz w:val="22"/>
          <w:szCs w:val="22"/>
          <w:lang w:val="lv-LV"/>
        </w:rPr>
      </w:pPr>
    </w:p>
    <w:p w14:paraId="757402DA" w14:textId="77777777" w:rsidR="004035FA" w:rsidRPr="00ED49AE" w:rsidRDefault="004035FA" w:rsidP="00ED49AE">
      <w:pPr>
        <w:pStyle w:val="Default"/>
        <w:jc w:val="both"/>
        <w:rPr>
          <w:sz w:val="22"/>
          <w:szCs w:val="22"/>
          <w:lang w:val="lv-LV"/>
        </w:rPr>
      </w:pPr>
      <w:proofErr w:type="spellStart"/>
      <w:r w:rsidRPr="00ED49AE">
        <w:rPr>
          <w:sz w:val="22"/>
          <w:szCs w:val="22"/>
          <w:lang w:val="lv-LV"/>
        </w:rPr>
        <w:t>Hloramfenikols</w:t>
      </w:r>
      <w:proofErr w:type="spellEnd"/>
      <w:r w:rsidRPr="00ED49AE">
        <w:rPr>
          <w:sz w:val="22"/>
          <w:szCs w:val="22"/>
          <w:lang w:val="lv-LV"/>
        </w:rPr>
        <w:t xml:space="preserve"> palielina </w:t>
      </w:r>
      <w:proofErr w:type="spellStart"/>
      <w:r w:rsidRPr="00ED49AE">
        <w:rPr>
          <w:sz w:val="22"/>
          <w:szCs w:val="22"/>
          <w:lang w:val="lv-LV"/>
        </w:rPr>
        <w:t>paracetamola</w:t>
      </w:r>
      <w:proofErr w:type="spellEnd"/>
      <w:r w:rsidRPr="00ED49AE">
        <w:rPr>
          <w:sz w:val="22"/>
          <w:szCs w:val="22"/>
          <w:lang w:val="lv-LV"/>
        </w:rPr>
        <w:t xml:space="preserve"> </w:t>
      </w:r>
      <w:proofErr w:type="spellStart"/>
      <w:r w:rsidRPr="00ED49AE">
        <w:rPr>
          <w:sz w:val="22"/>
          <w:szCs w:val="22"/>
          <w:lang w:val="lv-LV"/>
        </w:rPr>
        <w:t>toksicitāti</w:t>
      </w:r>
      <w:proofErr w:type="spellEnd"/>
      <w:r w:rsidRPr="00ED49AE">
        <w:rPr>
          <w:sz w:val="22"/>
          <w:szCs w:val="22"/>
          <w:lang w:val="lv-LV"/>
        </w:rPr>
        <w:t>.</w:t>
      </w:r>
    </w:p>
    <w:p w14:paraId="7E9E58F5" w14:textId="77777777" w:rsidR="004035FA" w:rsidRPr="00ED49AE" w:rsidRDefault="004035FA" w:rsidP="00ED49AE">
      <w:pPr>
        <w:pStyle w:val="Default"/>
        <w:jc w:val="both"/>
        <w:rPr>
          <w:sz w:val="22"/>
          <w:szCs w:val="22"/>
          <w:lang w:val="lv-LV"/>
        </w:rPr>
      </w:pPr>
    </w:p>
    <w:p w14:paraId="1BC7A146" w14:textId="77777777" w:rsidR="004035FA" w:rsidRPr="00ED49AE" w:rsidRDefault="004035FA" w:rsidP="00ED49AE">
      <w:pPr>
        <w:pStyle w:val="Default"/>
        <w:jc w:val="both"/>
        <w:rPr>
          <w:sz w:val="22"/>
          <w:szCs w:val="22"/>
          <w:lang w:val="lv-LV"/>
        </w:rPr>
      </w:pPr>
      <w:proofErr w:type="spellStart"/>
      <w:r w:rsidRPr="00ED49AE">
        <w:rPr>
          <w:sz w:val="22"/>
          <w:szCs w:val="22"/>
          <w:lang w:val="lv-LV"/>
        </w:rPr>
        <w:t>Paracetamola</w:t>
      </w:r>
      <w:proofErr w:type="spellEnd"/>
      <w:r w:rsidRPr="00ED49AE">
        <w:rPr>
          <w:sz w:val="22"/>
          <w:szCs w:val="22"/>
          <w:lang w:val="lv-LV"/>
        </w:rPr>
        <w:t xml:space="preserve"> absorbciju var paātrināt metoklopramīds vai domperidons, bet </w:t>
      </w:r>
      <w:proofErr w:type="spellStart"/>
      <w:r w:rsidRPr="00ED49AE">
        <w:rPr>
          <w:sz w:val="22"/>
          <w:szCs w:val="22"/>
          <w:lang w:val="lv-LV"/>
        </w:rPr>
        <w:t>holestiramīns</w:t>
      </w:r>
      <w:proofErr w:type="spellEnd"/>
      <w:r w:rsidRPr="00ED49AE">
        <w:rPr>
          <w:sz w:val="22"/>
          <w:szCs w:val="22"/>
          <w:lang w:val="lv-LV"/>
        </w:rPr>
        <w:t xml:space="preserve"> var to palēnināt.</w:t>
      </w:r>
    </w:p>
    <w:p w14:paraId="5482AE0E" w14:textId="77777777" w:rsidR="004035FA" w:rsidRPr="00ED49AE" w:rsidRDefault="004035FA" w:rsidP="00ED49AE">
      <w:pPr>
        <w:pStyle w:val="Default"/>
        <w:jc w:val="both"/>
        <w:rPr>
          <w:sz w:val="22"/>
          <w:szCs w:val="22"/>
          <w:lang w:val="lv-LV"/>
        </w:rPr>
      </w:pPr>
    </w:p>
    <w:p w14:paraId="345C2EB2" w14:textId="77777777" w:rsidR="00E51FFF" w:rsidRPr="00ED49AE" w:rsidRDefault="00E51FFF" w:rsidP="00ED49AE">
      <w:pPr>
        <w:pStyle w:val="Default"/>
        <w:jc w:val="both"/>
        <w:rPr>
          <w:sz w:val="22"/>
          <w:szCs w:val="22"/>
          <w:lang w:val="lv-LV"/>
        </w:rPr>
      </w:pPr>
      <w:proofErr w:type="spellStart"/>
      <w:r w:rsidRPr="00ED49AE">
        <w:rPr>
          <w:sz w:val="22"/>
          <w:szCs w:val="22"/>
          <w:lang w:val="lv-LV"/>
        </w:rPr>
        <w:t>Probenecīds</w:t>
      </w:r>
      <w:proofErr w:type="spellEnd"/>
      <w:r w:rsidRPr="00ED49AE">
        <w:rPr>
          <w:sz w:val="22"/>
          <w:szCs w:val="22"/>
          <w:lang w:val="lv-LV"/>
        </w:rPr>
        <w:t xml:space="preserve"> aizkavē </w:t>
      </w:r>
      <w:proofErr w:type="spellStart"/>
      <w:r w:rsidRPr="00ED49AE">
        <w:rPr>
          <w:sz w:val="22"/>
          <w:szCs w:val="22"/>
          <w:lang w:val="lv-LV"/>
        </w:rPr>
        <w:t>paracetamola</w:t>
      </w:r>
      <w:proofErr w:type="spellEnd"/>
      <w:r w:rsidRPr="00ED49AE">
        <w:rPr>
          <w:sz w:val="22"/>
          <w:szCs w:val="22"/>
          <w:lang w:val="lv-LV"/>
        </w:rPr>
        <w:t xml:space="preserve"> </w:t>
      </w:r>
      <w:proofErr w:type="spellStart"/>
      <w:r w:rsidRPr="00ED49AE">
        <w:rPr>
          <w:sz w:val="22"/>
          <w:szCs w:val="22"/>
          <w:lang w:val="lv-LV"/>
        </w:rPr>
        <w:t>glukuronidāciju</w:t>
      </w:r>
      <w:proofErr w:type="spellEnd"/>
      <w:r w:rsidRPr="00ED49AE">
        <w:rPr>
          <w:sz w:val="22"/>
          <w:szCs w:val="22"/>
          <w:lang w:val="lv-LV"/>
        </w:rPr>
        <w:t xml:space="preserve"> un pagarina tā eliminācijas pusperiodu.</w:t>
      </w:r>
    </w:p>
    <w:p w14:paraId="4F7833D0" w14:textId="77777777" w:rsidR="00E51FFF" w:rsidRPr="00ED49AE" w:rsidRDefault="00E51FFF" w:rsidP="00ED49AE">
      <w:pPr>
        <w:pStyle w:val="Default"/>
        <w:jc w:val="both"/>
        <w:rPr>
          <w:sz w:val="22"/>
          <w:szCs w:val="22"/>
          <w:lang w:val="lv-LV"/>
        </w:rPr>
      </w:pPr>
    </w:p>
    <w:p w14:paraId="51688189" w14:textId="77777777" w:rsidR="00E51FFF" w:rsidRPr="00ED49AE" w:rsidRDefault="00E51FFF" w:rsidP="00ED49AE">
      <w:pPr>
        <w:pStyle w:val="Default"/>
        <w:jc w:val="both"/>
        <w:rPr>
          <w:sz w:val="22"/>
          <w:szCs w:val="22"/>
          <w:lang w:val="lv-LV"/>
        </w:rPr>
      </w:pPr>
      <w:proofErr w:type="spellStart"/>
      <w:r w:rsidRPr="00ED49AE">
        <w:rPr>
          <w:sz w:val="22"/>
          <w:szCs w:val="22"/>
          <w:lang w:val="lv-LV"/>
        </w:rPr>
        <w:t>Paracetamols</w:t>
      </w:r>
      <w:proofErr w:type="spellEnd"/>
      <w:r w:rsidRPr="00ED49AE">
        <w:rPr>
          <w:sz w:val="22"/>
          <w:szCs w:val="22"/>
          <w:lang w:val="lv-LV"/>
        </w:rPr>
        <w:t xml:space="preserve"> var samazināt </w:t>
      </w:r>
      <w:proofErr w:type="spellStart"/>
      <w:r w:rsidRPr="00ED49AE">
        <w:rPr>
          <w:sz w:val="22"/>
          <w:szCs w:val="22"/>
          <w:lang w:val="lv-LV"/>
        </w:rPr>
        <w:t>lamotrigīna</w:t>
      </w:r>
      <w:proofErr w:type="spellEnd"/>
      <w:r w:rsidRPr="00ED49AE">
        <w:rPr>
          <w:sz w:val="22"/>
          <w:szCs w:val="22"/>
          <w:lang w:val="lv-LV"/>
        </w:rPr>
        <w:t xml:space="preserve"> </w:t>
      </w:r>
      <w:proofErr w:type="spellStart"/>
      <w:r w:rsidRPr="00ED49AE">
        <w:rPr>
          <w:sz w:val="22"/>
          <w:szCs w:val="22"/>
          <w:lang w:val="lv-LV"/>
        </w:rPr>
        <w:t>biopieejamību</w:t>
      </w:r>
      <w:proofErr w:type="spellEnd"/>
      <w:r w:rsidRPr="00ED49AE">
        <w:rPr>
          <w:sz w:val="22"/>
          <w:szCs w:val="22"/>
          <w:lang w:val="lv-LV"/>
        </w:rPr>
        <w:t xml:space="preserve"> ar iespējamu tā iedarbības samazināšanos, kam pamatā ir nomākts </w:t>
      </w:r>
      <w:proofErr w:type="spellStart"/>
      <w:r w:rsidRPr="00ED49AE">
        <w:rPr>
          <w:sz w:val="22"/>
          <w:szCs w:val="22"/>
          <w:lang w:val="lv-LV"/>
        </w:rPr>
        <w:t>lamotrigīna</w:t>
      </w:r>
      <w:proofErr w:type="spellEnd"/>
      <w:r w:rsidRPr="00ED49AE">
        <w:rPr>
          <w:sz w:val="22"/>
          <w:szCs w:val="22"/>
          <w:lang w:val="lv-LV"/>
        </w:rPr>
        <w:t xml:space="preserve"> metabolisms aknās.</w:t>
      </w:r>
    </w:p>
    <w:p w14:paraId="313E4FD8" w14:textId="77777777" w:rsidR="00E51FFF" w:rsidRPr="00ED49AE" w:rsidRDefault="00E51FFF" w:rsidP="00ED49AE">
      <w:pPr>
        <w:pStyle w:val="Default"/>
        <w:jc w:val="both"/>
        <w:rPr>
          <w:sz w:val="22"/>
          <w:szCs w:val="22"/>
          <w:lang w:val="lv-LV"/>
        </w:rPr>
      </w:pPr>
    </w:p>
    <w:p w14:paraId="3E89DA99" w14:textId="77777777" w:rsidR="004035FA" w:rsidRPr="00ED49AE" w:rsidRDefault="004035FA" w:rsidP="00ED49AE">
      <w:pPr>
        <w:pStyle w:val="Default"/>
        <w:jc w:val="both"/>
        <w:rPr>
          <w:sz w:val="22"/>
          <w:szCs w:val="22"/>
          <w:lang w:val="lv-LV"/>
        </w:rPr>
      </w:pPr>
      <w:r w:rsidRPr="00ED49AE">
        <w:rPr>
          <w:sz w:val="22"/>
          <w:szCs w:val="22"/>
          <w:lang w:val="lv-LV"/>
        </w:rPr>
        <w:t xml:space="preserve">Pretvīrusu zāles: regulāra </w:t>
      </w:r>
      <w:proofErr w:type="spellStart"/>
      <w:r w:rsidRPr="00ED49AE">
        <w:rPr>
          <w:sz w:val="22"/>
          <w:szCs w:val="22"/>
          <w:lang w:val="lv-LV"/>
        </w:rPr>
        <w:t>paracetamola</w:t>
      </w:r>
      <w:proofErr w:type="spellEnd"/>
      <w:r w:rsidRPr="00ED49AE">
        <w:rPr>
          <w:sz w:val="22"/>
          <w:szCs w:val="22"/>
          <w:lang w:val="lv-LV"/>
        </w:rPr>
        <w:t xml:space="preserve"> lietošana, iespējams, samazinās </w:t>
      </w:r>
      <w:proofErr w:type="spellStart"/>
      <w:r w:rsidRPr="00ED49AE">
        <w:rPr>
          <w:sz w:val="22"/>
          <w:szCs w:val="22"/>
          <w:lang w:val="lv-LV"/>
        </w:rPr>
        <w:t>zidovudīna</w:t>
      </w:r>
      <w:proofErr w:type="spellEnd"/>
      <w:r w:rsidRPr="00ED49AE">
        <w:rPr>
          <w:sz w:val="22"/>
          <w:szCs w:val="22"/>
          <w:lang w:val="lv-LV"/>
        </w:rPr>
        <w:t xml:space="preserve"> metabolismu (palielināts </w:t>
      </w:r>
      <w:proofErr w:type="spellStart"/>
      <w:r w:rsidRPr="00ED49AE">
        <w:rPr>
          <w:sz w:val="22"/>
          <w:szCs w:val="22"/>
          <w:lang w:val="lv-LV"/>
        </w:rPr>
        <w:t>neitropēnijas</w:t>
      </w:r>
      <w:proofErr w:type="spellEnd"/>
      <w:r w:rsidRPr="00ED49AE">
        <w:rPr>
          <w:sz w:val="22"/>
          <w:szCs w:val="22"/>
          <w:lang w:val="lv-LV"/>
        </w:rPr>
        <w:t xml:space="preserve"> risks).</w:t>
      </w:r>
    </w:p>
    <w:p w14:paraId="49940436" w14:textId="77777777" w:rsidR="004035FA" w:rsidRPr="00ED49AE" w:rsidRDefault="004035FA" w:rsidP="00ED49AE">
      <w:pPr>
        <w:pStyle w:val="Default"/>
        <w:jc w:val="both"/>
        <w:rPr>
          <w:sz w:val="22"/>
          <w:szCs w:val="22"/>
          <w:lang w:val="lv-LV"/>
        </w:rPr>
      </w:pPr>
    </w:p>
    <w:p w14:paraId="4E726348" w14:textId="77777777" w:rsidR="004035FA" w:rsidRPr="00ED49AE" w:rsidRDefault="004035FA" w:rsidP="00ED49AE">
      <w:pPr>
        <w:pStyle w:val="Default"/>
        <w:jc w:val="both"/>
        <w:rPr>
          <w:sz w:val="22"/>
          <w:szCs w:val="22"/>
          <w:lang w:val="lv-LV"/>
        </w:rPr>
      </w:pPr>
      <w:r w:rsidRPr="00ED49AE">
        <w:rPr>
          <w:sz w:val="22"/>
          <w:szCs w:val="22"/>
          <w:lang w:val="lv-LV"/>
        </w:rPr>
        <w:t xml:space="preserve">Ilgstoši un regulāri lietojot </w:t>
      </w:r>
      <w:proofErr w:type="spellStart"/>
      <w:r w:rsidRPr="00ED49AE">
        <w:rPr>
          <w:sz w:val="22"/>
          <w:szCs w:val="22"/>
          <w:lang w:val="lv-LV"/>
        </w:rPr>
        <w:t>paracetamolu</w:t>
      </w:r>
      <w:proofErr w:type="spellEnd"/>
      <w:r w:rsidRPr="00ED49AE">
        <w:rPr>
          <w:sz w:val="22"/>
          <w:szCs w:val="22"/>
          <w:lang w:val="lv-LV"/>
        </w:rPr>
        <w:t xml:space="preserve"> var būt pastiprināta </w:t>
      </w:r>
      <w:proofErr w:type="spellStart"/>
      <w:r w:rsidRPr="00ED49AE">
        <w:rPr>
          <w:sz w:val="22"/>
          <w:szCs w:val="22"/>
          <w:lang w:val="lv-LV"/>
        </w:rPr>
        <w:t>varfarīna</w:t>
      </w:r>
      <w:proofErr w:type="spellEnd"/>
      <w:r w:rsidRPr="00ED49AE">
        <w:rPr>
          <w:sz w:val="22"/>
          <w:szCs w:val="22"/>
          <w:lang w:val="lv-LV"/>
        </w:rPr>
        <w:t xml:space="preserve"> un citu </w:t>
      </w:r>
      <w:proofErr w:type="spellStart"/>
      <w:r w:rsidRPr="00ED49AE">
        <w:rPr>
          <w:sz w:val="22"/>
          <w:szCs w:val="22"/>
          <w:lang w:val="lv-LV"/>
        </w:rPr>
        <w:t>kumarīnu</w:t>
      </w:r>
      <w:proofErr w:type="spellEnd"/>
      <w:r w:rsidRPr="00ED49AE">
        <w:rPr>
          <w:sz w:val="22"/>
          <w:szCs w:val="22"/>
          <w:lang w:val="lv-LV"/>
        </w:rPr>
        <w:t xml:space="preserve"> asins šķidrinošā iedarbība, kā rezultātā palielinās asiņošanas risks. Atsevišķām devām nav būtiskas ietekmes.</w:t>
      </w:r>
    </w:p>
    <w:p w14:paraId="1557AEEE" w14:textId="77777777" w:rsidR="00CD10AA" w:rsidRPr="00ED49AE" w:rsidRDefault="00CD10AA" w:rsidP="00ED49AE">
      <w:pPr>
        <w:tabs>
          <w:tab w:val="clear" w:pos="567"/>
        </w:tabs>
        <w:spacing w:line="240" w:lineRule="auto"/>
        <w:jc w:val="both"/>
        <w:rPr>
          <w:color w:val="000000"/>
          <w:szCs w:val="22"/>
        </w:rPr>
      </w:pPr>
    </w:p>
    <w:p w14:paraId="5FDE97E8" w14:textId="77777777" w:rsidR="00CD10AA" w:rsidRPr="00ED49AE" w:rsidRDefault="00CD10AA" w:rsidP="00ED49AE">
      <w:pPr>
        <w:tabs>
          <w:tab w:val="clear" w:pos="567"/>
        </w:tabs>
        <w:spacing w:line="240" w:lineRule="auto"/>
        <w:jc w:val="both"/>
        <w:rPr>
          <w:color w:val="000000"/>
          <w:szCs w:val="22"/>
        </w:rPr>
      </w:pPr>
      <w:r w:rsidRPr="00ED49AE">
        <w:rPr>
          <w:b/>
          <w:color w:val="000000"/>
          <w:szCs w:val="22"/>
        </w:rPr>
        <w:t>4.6</w:t>
      </w:r>
      <w:r w:rsidR="00E2542E" w:rsidRPr="00ED49AE">
        <w:rPr>
          <w:b/>
          <w:color w:val="000000"/>
          <w:szCs w:val="22"/>
        </w:rPr>
        <w:t>.</w:t>
      </w:r>
      <w:r w:rsidRPr="00ED49AE">
        <w:rPr>
          <w:b/>
          <w:color w:val="000000"/>
          <w:szCs w:val="22"/>
        </w:rPr>
        <w:tab/>
      </w:r>
      <w:proofErr w:type="spellStart"/>
      <w:r w:rsidR="0097548A" w:rsidRPr="00ED49AE">
        <w:rPr>
          <w:b/>
          <w:color w:val="000000"/>
          <w:szCs w:val="22"/>
        </w:rPr>
        <w:t>Fertilitāte</w:t>
      </w:r>
      <w:proofErr w:type="spellEnd"/>
      <w:r w:rsidR="0097548A" w:rsidRPr="00ED49AE">
        <w:rPr>
          <w:b/>
          <w:color w:val="000000"/>
          <w:szCs w:val="22"/>
        </w:rPr>
        <w:t xml:space="preserve">, grūtniecība </w:t>
      </w:r>
      <w:r w:rsidRPr="00ED49AE">
        <w:rPr>
          <w:b/>
          <w:color w:val="000000"/>
          <w:szCs w:val="22"/>
        </w:rPr>
        <w:t xml:space="preserve">un </w:t>
      </w:r>
      <w:r w:rsidR="00E2542E" w:rsidRPr="00ED49AE">
        <w:rPr>
          <w:b/>
          <w:noProof/>
          <w:color w:val="000000"/>
          <w:szCs w:val="22"/>
        </w:rPr>
        <w:t>barošana ar krūti</w:t>
      </w:r>
    </w:p>
    <w:p w14:paraId="79768900" w14:textId="77777777" w:rsidR="00C33C7E" w:rsidRPr="00ED49AE" w:rsidRDefault="00C33C7E" w:rsidP="00ED49AE">
      <w:pPr>
        <w:tabs>
          <w:tab w:val="clear" w:pos="567"/>
        </w:tabs>
        <w:spacing w:line="240" w:lineRule="auto"/>
        <w:jc w:val="both"/>
        <w:rPr>
          <w:noProof/>
          <w:color w:val="000000"/>
          <w:szCs w:val="22"/>
          <w:u w:val="single"/>
        </w:rPr>
      </w:pPr>
    </w:p>
    <w:p w14:paraId="5372D084" w14:textId="77777777" w:rsidR="0097548A" w:rsidRPr="00ED49AE" w:rsidRDefault="003F45AD" w:rsidP="00ED49AE">
      <w:pPr>
        <w:tabs>
          <w:tab w:val="clear" w:pos="567"/>
        </w:tabs>
        <w:spacing w:line="240" w:lineRule="auto"/>
        <w:jc w:val="both"/>
        <w:rPr>
          <w:noProof/>
          <w:color w:val="000000"/>
          <w:szCs w:val="22"/>
          <w:u w:val="single"/>
        </w:rPr>
      </w:pPr>
      <w:r w:rsidRPr="00ED49AE">
        <w:rPr>
          <w:noProof/>
          <w:color w:val="000000"/>
          <w:szCs w:val="22"/>
          <w:u w:val="single"/>
        </w:rPr>
        <w:t>Grūtniecība</w:t>
      </w:r>
    </w:p>
    <w:p w14:paraId="76B63A2E" w14:textId="77777777" w:rsidR="00ED49AE" w:rsidRPr="00ED49AE" w:rsidRDefault="00ED49AE" w:rsidP="00ED49AE">
      <w:pPr>
        <w:pStyle w:val="Default"/>
        <w:jc w:val="both"/>
        <w:rPr>
          <w:sz w:val="22"/>
          <w:szCs w:val="22"/>
          <w:lang w:val="lv-LV"/>
        </w:rPr>
      </w:pPr>
      <w:r w:rsidRPr="00ED49AE">
        <w:rPr>
          <w:sz w:val="22"/>
          <w:szCs w:val="22"/>
          <w:lang w:val="lv-LV"/>
        </w:rPr>
        <w:t xml:space="preserve">Liels daudzums datu par grūtniecēm neliecina ne par anomālijas izraisošu iedarbību, ne toksisku ietekmi uz augli/jaundzimušo. Epidemioloģisko pētījumu rezultāti par neiroloģisko attīstību bērniem, kuri </w:t>
      </w:r>
      <w:proofErr w:type="spellStart"/>
      <w:r w:rsidRPr="00ED49AE">
        <w:rPr>
          <w:sz w:val="22"/>
          <w:szCs w:val="22"/>
          <w:lang w:val="lv-LV"/>
        </w:rPr>
        <w:t>in</w:t>
      </w:r>
      <w:proofErr w:type="spellEnd"/>
      <w:r w:rsidRPr="00ED49AE">
        <w:rPr>
          <w:sz w:val="22"/>
          <w:szCs w:val="22"/>
          <w:lang w:val="lv-LV"/>
        </w:rPr>
        <w:t xml:space="preserve"> </w:t>
      </w:r>
      <w:proofErr w:type="spellStart"/>
      <w:r w:rsidRPr="00ED49AE">
        <w:rPr>
          <w:sz w:val="22"/>
          <w:szCs w:val="22"/>
          <w:lang w:val="lv-LV"/>
        </w:rPr>
        <w:t>utero</w:t>
      </w:r>
      <w:proofErr w:type="spellEnd"/>
      <w:r w:rsidRPr="00ED49AE">
        <w:rPr>
          <w:sz w:val="22"/>
          <w:szCs w:val="22"/>
          <w:lang w:val="lv-LV"/>
        </w:rPr>
        <w:t xml:space="preserve"> pakļauti </w:t>
      </w:r>
      <w:proofErr w:type="spellStart"/>
      <w:r w:rsidRPr="00ED49AE">
        <w:rPr>
          <w:sz w:val="22"/>
          <w:szCs w:val="22"/>
          <w:lang w:val="lv-LV"/>
        </w:rPr>
        <w:t>paracetamola</w:t>
      </w:r>
      <w:proofErr w:type="spellEnd"/>
      <w:r w:rsidRPr="00ED49AE">
        <w:rPr>
          <w:sz w:val="22"/>
          <w:szCs w:val="22"/>
          <w:lang w:val="lv-LV"/>
        </w:rPr>
        <w:t xml:space="preserve"> iedarbībai, nav viennozīmīgi. Ja klīniski nepieciešams, </w:t>
      </w:r>
      <w:proofErr w:type="spellStart"/>
      <w:r w:rsidRPr="00ED49AE">
        <w:rPr>
          <w:sz w:val="22"/>
          <w:szCs w:val="22"/>
          <w:lang w:val="lv-LV"/>
        </w:rPr>
        <w:t>paracetamolu</w:t>
      </w:r>
      <w:proofErr w:type="spellEnd"/>
      <w:r w:rsidRPr="00ED49AE">
        <w:rPr>
          <w:sz w:val="22"/>
          <w:szCs w:val="22"/>
          <w:lang w:val="lv-LV"/>
        </w:rPr>
        <w:t xml:space="preserve"> var lietot grūtniecības laikā, taču tas jālieto mazākajā efektīvajā devā iespējami īsāko laiku un iespējami retāk.</w:t>
      </w:r>
    </w:p>
    <w:p w14:paraId="47E2FBEF" w14:textId="77777777" w:rsidR="004035FA" w:rsidRPr="00ED49AE" w:rsidRDefault="004035FA" w:rsidP="00ED49AE">
      <w:pPr>
        <w:pStyle w:val="Default"/>
        <w:jc w:val="both"/>
        <w:rPr>
          <w:sz w:val="22"/>
          <w:szCs w:val="22"/>
          <w:lang w:val="lv-LV"/>
        </w:rPr>
      </w:pPr>
    </w:p>
    <w:p w14:paraId="69E7D82A" w14:textId="77777777" w:rsidR="004035FA" w:rsidRPr="00ED49AE" w:rsidRDefault="004035FA" w:rsidP="00ED49AE">
      <w:pPr>
        <w:tabs>
          <w:tab w:val="clear" w:pos="567"/>
        </w:tabs>
        <w:spacing w:line="240" w:lineRule="auto"/>
        <w:jc w:val="both"/>
        <w:rPr>
          <w:noProof/>
          <w:color w:val="000000"/>
          <w:szCs w:val="22"/>
          <w:u w:val="single"/>
        </w:rPr>
      </w:pPr>
      <w:r w:rsidRPr="00ED49AE">
        <w:rPr>
          <w:noProof/>
          <w:color w:val="000000"/>
          <w:szCs w:val="22"/>
          <w:u w:val="single"/>
        </w:rPr>
        <w:t>Barošana ar krūti</w:t>
      </w:r>
    </w:p>
    <w:p w14:paraId="7E5CA303" w14:textId="77777777" w:rsidR="004035FA" w:rsidRPr="00ED49AE" w:rsidRDefault="004035FA" w:rsidP="00ED49AE">
      <w:pPr>
        <w:pStyle w:val="Default"/>
        <w:jc w:val="both"/>
        <w:rPr>
          <w:sz w:val="22"/>
          <w:szCs w:val="22"/>
          <w:lang w:val="lv-LV"/>
        </w:rPr>
      </w:pPr>
      <w:proofErr w:type="spellStart"/>
      <w:r w:rsidRPr="00ED49AE">
        <w:rPr>
          <w:sz w:val="22"/>
          <w:szCs w:val="22"/>
          <w:lang w:val="lv-LV"/>
        </w:rPr>
        <w:t>Paracetamols</w:t>
      </w:r>
      <w:proofErr w:type="spellEnd"/>
      <w:r w:rsidRPr="00ED49AE">
        <w:rPr>
          <w:sz w:val="22"/>
          <w:szCs w:val="22"/>
          <w:lang w:val="lv-LV"/>
        </w:rPr>
        <w:t xml:space="preserve"> izdalās mātes pienā, bet klīniski nenozīmīgā daudzumā. Pieejamā publicētā informācija neaizliedz tā lietošanu mātēm, kas baro bērnu ar krūti.</w:t>
      </w:r>
    </w:p>
    <w:p w14:paraId="42E6AF8A" w14:textId="77777777" w:rsidR="00CD10AA" w:rsidRPr="00ED49AE" w:rsidRDefault="00CD10AA" w:rsidP="00ED49AE">
      <w:pPr>
        <w:tabs>
          <w:tab w:val="clear" w:pos="567"/>
        </w:tabs>
        <w:spacing w:line="240" w:lineRule="auto"/>
        <w:jc w:val="both"/>
        <w:rPr>
          <w:color w:val="000000"/>
          <w:szCs w:val="22"/>
        </w:rPr>
      </w:pPr>
    </w:p>
    <w:p w14:paraId="26E907F1" w14:textId="77777777" w:rsidR="00CD10AA" w:rsidRPr="00ED49AE" w:rsidRDefault="00CD10AA" w:rsidP="00ED49AE">
      <w:pPr>
        <w:tabs>
          <w:tab w:val="clear" w:pos="567"/>
        </w:tabs>
        <w:spacing w:line="240" w:lineRule="auto"/>
        <w:jc w:val="both"/>
        <w:rPr>
          <w:color w:val="000000"/>
          <w:szCs w:val="22"/>
        </w:rPr>
      </w:pPr>
      <w:r w:rsidRPr="00ED49AE">
        <w:rPr>
          <w:b/>
          <w:color w:val="000000"/>
          <w:szCs w:val="22"/>
        </w:rPr>
        <w:t>4.7</w:t>
      </w:r>
      <w:r w:rsidR="00ED4652" w:rsidRPr="00ED49AE">
        <w:rPr>
          <w:b/>
          <w:color w:val="000000"/>
          <w:szCs w:val="22"/>
        </w:rPr>
        <w:t>.</w:t>
      </w:r>
      <w:r w:rsidRPr="00ED49AE">
        <w:rPr>
          <w:b/>
          <w:color w:val="000000"/>
          <w:szCs w:val="22"/>
        </w:rPr>
        <w:tab/>
        <w:t>Ietekme uz spēju vadīt transportlīdzekļus un apkalpot mehānismus</w:t>
      </w:r>
    </w:p>
    <w:p w14:paraId="54E274FA" w14:textId="77777777" w:rsidR="00C33C7E" w:rsidRPr="00ED49AE" w:rsidRDefault="00C33C7E" w:rsidP="00ED49AE">
      <w:pPr>
        <w:pStyle w:val="Default"/>
        <w:jc w:val="both"/>
        <w:rPr>
          <w:sz w:val="22"/>
          <w:szCs w:val="22"/>
          <w:lang w:val="lv-LV"/>
        </w:rPr>
      </w:pPr>
    </w:p>
    <w:p w14:paraId="0EAE7F27" w14:textId="77777777" w:rsidR="004035FA" w:rsidRPr="00ED49AE" w:rsidRDefault="004035FA" w:rsidP="00ED49AE">
      <w:pPr>
        <w:pStyle w:val="Default"/>
        <w:jc w:val="both"/>
        <w:rPr>
          <w:sz w:val="22"/>
          <w:szCs w:val="22"/>
          <w:lang w:val="lv-LV"/>
        </w:rPr>
      </w:pPr>
      <w:r w:rsidRPr="00ED49AE">
        <w:rPr>
          <w:sz w:val="22"/>
          <w:szCs w:val="22"/>
          <w:lang w:val="lv-LV"/>
        </w:rPr>
        <w:t>Nav zināmas blakusparādības, kas varētu ietekmēt spējas vadīt transportlīdzekļus vai apkalpot mehānismus.</w:t>
      </w:r>
    </w:p>
    <w:p w14:paraId="5750B6F6" w14:textId="77777777" w:rsidR="00CD10AA" w:rsidRPr="00ED49AE" w:rsidRDefault="00CD10AA" w:rsidP="00ED49AE">
      <w:pPr>
        <w:tabs>
          <w:tab w:val="clear" w:pos="567"/>
        </w:tabs>
        <w:spacing w:line="240" w:lineRule="auto"/>
        <w:jc w:val="both"/>
        <w:rPr>
          <w:color w:val="000000"/>
          <w:szCs w:val="22"/>
        </w:rPr>
      </w:pPr>
    </w:p>
    <w:p w14:paraId="4E87D342" w14:textId="77777777" w:rsidR="00CD10AA" w:rsidRPr="00ED49AE" w:rsidRDefault="00CD10AA" w:rsidP="00ED49AE">
      <w:pPr>
        <w:tabs>
          <w:tab w:val="clear" w:pos="567"/>
        </w:tabs>
        <w:spacing w:line="240" w:lineRule="auto"/>
        <w:jc w:val="both"/>
        <w:rPr>
          <w:b/>
          <w:color w:val="000000"/>
          <w:szCs w:val="22"/>
        </w:rPr>
      </w:pPr>
      <w:r w:rsidRPr="00ED49AE">
        <w:rPr>
          <w:b/>
          <w:color w:val="000000"/>
          <w:szCs w:val="22"/>
        </w:rPr>
        <w:t>4.8</w:t>
      </w:r>
      <w:r w:rsidR="002A61E1" w:rsidRPr="00ED49AE">
        <w:rPr>
          <w:b/>
          <w:color w:val="000000"/>
          <w:szCs w:val="22"/>
        </w:rPr>
        <w:t>.</w:t>
      </w:r>
      <w:r w:rsidRPr="00ED49AE">
        <w:rPr>
          <w:b/>
          <w:color w:val="000000"/>
          <w:szCs w:val="22"/>
        </w:rPr>
        <w:tab/>
        <w:t>Nevēlamās blakusparādības</w:t>
      </w:r>
    </w:p>
    <w:p w14:paraId="4BC0674A" w14:textId="77777777" w:rsidR="00C33C7E" w:rsidRPr="00ED49AE" w:rsidRDefault="00C33C7E" w:rsidP="00ED49AE">
      <w:pPr>
        <w:pStyle w:val="CM8"/>
        <w:jc w:val="both"/>
        <w:rPr>
          <w:color w:val="000000"/>
          <w:sz w:val="22"/>
          <w:szCs w:val="22"/>
          <w:lang w:val="lv-LV"/>
        </w:rPr>
      </w:pPr>
    </w:p>
    <w:p w14:paraId="2F475355" w14:textId="77777777" w:rsidR="002D7130" w:rsidRPr="00ED49AE" w:rsidRDefault="002D7130" w:rsidP="00ED49AE">
      <w:pPr>
        <w:pStyle w:val="CM8"/>
        <w:jc w:val="both"/>
        <w:rPr>
          <w:color w:val="000000"/>
          <w:sz w:val="22"/>
          <w:szCs w:val="22"/>
          <w:lang w:val="lv-LV"/>
        </w:rPr>
      </w:pPr>
      <w:r w:rsidRPr="00ED49AE">
        <w:rPr>
          <w:color w:val="000000"/>
          <w:sz w:val="22"/>
          <w:szCs w:val="22"/>
          <w:lang w:val="lv-LV"/>
        </w:rPr>
        <w:t xml:space="preserve">Pacientiem </w:t>
      </w:r>
      <w:proofErr w:type="spellStart"/>
      <w:r w:rsidRPr="00ED49AE">
        <w:rPr>
          <w:color w:val="000000"/>
          <w:sz w:val="22"/>
          <w:szCs w:val="22"/>
          <w:lang w:val="lv-LV"/>
        </w:rPr>
        <w:t>paracetamola</w:t>
      </w:r>
      <w:proofErr w:type="spellEnd"/>
      <w:r w:rsidRPr="00ED49AE">
        <w:rPr>
          <w:color w:val="000000"/>
          <w:sz w:val="22"/>
          <w:szCs w:val="22"/>
          <w:lang w:val="lv-LV"/>
        </w:rPr>
        <w:t xml:space="preserve"> panesamība parasti ir laba.</w:t>
      </w:r>
    </w:p>
    <w:p w14:paraId="5E54A85D" w14:textId="77777777" w:rsidR="002D7130" w:rsidRPr="00ED49AE" w:rsidRDefault="002D7130" w:rsidP="00ED49AE">
      <w:pPr>
        <w:pStyle w:val="EMEAEnBodyText"/>
        <w:spacing w:before="0" w:after="0"/>
        <w:rPr>
          <w:color w:val="000000"/>
          <w:szCs w:val="22"/>
          <w:lang w:val="lv-LV"/>
        </w:rPr>
      </w:pPr>
    </w:p>
    <w:p w14:paraId="70CBD25F" w14:textId="77777777" w:rsidR="002D7130" w:rsidRPr="00ED49AE" w:rsidRDefault="002D7130" w:rsidP="00ED49AE">
      <w:pPr>
        <w:pStyle w:val="EMEAEnBodyText"/>
        <w:spacing w:before="0" w:after="0"/>
        <w:rPr>
          <w:color w:val="000000"/>
          <w:szCs w:val="22"/>
          <w:lang w:val="lv-LV"/>
        </w:rPr>
      </w:pPr>
      <w:r w:rsidRPr="00ED49AE">
        <w:rPr>
          <w:color w:val="000000"/>
          <w:szCs w:val="22"/>
          <w:lang w:val="lv-LV"/>
        </w:rPr>
        <w:t xml:space="preserve">Zemāk uzskaitītas blakusparādības ir sagrupētas atbilstoši orgānu sistēmām un to sastopamības biežumam: ļoti bieži </w:t>
      </w:r>
      <w:r w:rsidRPr="00ED49AE">
        <w:rPr>
          <w:bCs/>
          <w:noProof/>
          <w:color w:val="000000"/>
          <w:szCs w:val="22"/>
          <w:lang w:val="lv-LV"/>
        </w:rPr>
        <w:t>(</w:t>
      </w:r>
      <w:r w:rsidRPr="00ED49AE">
        <w:rPr>
          <w:bCs/>
          <w:noProof/>
          <w:color w:val="000000"/>
          <w:szCs w:val="22"/>
          <w:lang w:val="lv-LV"/>
        </w:rPr>
        <w:sym w:font="Symbol" w:char="F0B3"/>
      </w:r>
      <w:r w:rsidRPr="00ED49AE">
        <w:rPr>
          <w:color w:val="000000"/>
          <w:szCs w:val="22"/>
          <w:lang w:val="lv-LV"/>
        </w:rPr>
        <w:t>1/10</w:t>
      </w:r>
      <w:r w:rsidRPr="00ED49AE">
        <w:rPr>
          <w:bCs/>
          <w:noProof/>
          <w:color w:val="000000"/>
          <w:szCs w:val="22"/>
          <w:lang w:val="lv-LV"/>
        </w:rPr>
        <w:t>),</w:t>
      </w:r>
      <w:r w:rsidRPr="00ED49AE">
        <w:rPr>
          <w:color w:val="000000"/>
          <w:szCs w:val="22"/>
          <w:lang w:val="lv-LV"/>
        </w:rPr>
        <w:t xml:space="preserve"> bieži </w:t>
      </w:r>
      <w:r w:rsidRPr="00ED49AE">
        <w:rPr>
          <w:bCs/>
          <w:noProof/>
          <w:color w:val="000000"/>
          <w:szCs w:val="22"/>
          <w:lang w:val="lv-LV"/>
        </w:rPr>
        <w:t>(</w:t>
      </w:r>
      <w:r w:rsidRPr="00ED49AE">
        <w:rPr>
          <w:bCs/>
          <w:noProof/>
          <w:color w:val="000000"/>
          <w:szCs w:val="22"/>
          <w:lang w:val="lv-LV"/>
        </w:rPr>
        <w:sym w:font="Symbol" w:char="F0B3"/>
      </w:r>
      <w:r w:rsidRPr="00ED49AE">
        <w:rPr>
          <w:color w:val="000000"/>
          <w:szCs w:val="22"/>
          <w:lang w:val="lv-LV"/>
        </w:rPr>
        <w:t xml:space="preserve">1/100 līdz &lt;1/10), retāk </w:t>
      </w:r>
      <w:r w:rsidRPr="00ED49AE">
        <w:rPr>
          <w:bCs/>
          <w:noProof/>
          <w:color w:val="000000"/>
          <w:szCs w:val="22"/>
          <w:lang w:val="lv-LV"/>
        </w:rPr>
        <w:t>(</w:t>
      </w:r>
      <w:r w:rsidRPr="00ED49AE">
        <w:rPr>
          <w:bCs/>
          <w:noProof/>
          <w:color w:val="000000"/>
          <w:szCs w:val="22"/>
          <w:lang w:val="lv-LV"/>
        </w:rPr>
        <w:sym w:font="Symbol" w:char="F0B3"/>
      </w:r>
      <w:r w:rsidRPr="00ED49AE">
        <w:rPr>
          <w:color w:val="000000"/>
          <w:szCs w:val="22"/>
          <w:lang w:val="lv-LV"/>
        </w:rPr>
        <w:t>1/1</w:t>
      </w:r>
      <w:r w:rsidRPr="00ED49AE">
        <w:rPr>
          <w:bCs/>
          <w:noProof/>
          <w:color w:val="000000"/>
          <w:szCs w:val="22"/>
          <w:lang w:val="lv-LV"/>
        </w:rPr>
        <w:t> </w:t>
      </w:r>
      <w:r w:rsidRPr="00ED49AE">
        <w:rPr>
          <w:color w:val="000000"/>
          <w:szCs w:val="22"/>
          <w:lang w:val="lv-LV"/>
        </w:rPr>
        <w:t>000 līdz &lt;1/100</w:t>
      </w:r>
      <w:r w:rsidRPr="00ED49AE">
        <w:rPr>
          <w:bCs/>
          <w:noProof/>
          <w:color w:val="000000"/>
          <w:szCs w:val="22"/>
          <w:lang w:val="lv-LV"/>
        </w:rPr>
        <w:t>),</w:t>
      </w:r>
      <w:r w:rsidRPr="00ED49AE">
        <w:rPr>
          <w:color w:val="000000"/>
          <w:szCs w:val="22"/>
          <w:lang w:val="lv-LV"/>
        </w:rPr>
        <w:t xml:space="preserve"> reti </w:t>
      </w:r>
      <w:r w:rsidRPr="00ED49AE">
        <w:rPr>
          <w:bCs/>
          <w:noProof/>
          <w:color w:val="000000"/>
          <w:szCs w:val="22"/>
          <w:lang w:val="lv-LV"/>
        </w:rPr>
        <w:t>(</w:t>
      </w:r>
      <w:r w:rsidRPr="00ED49AE">
        <w:rPr>
          <w:bCs/>
          <w:noProof/>
          <w:color w:val="000000"/>
          <w:szCs w:val="22"/>
          <w:lang w:val="lv-LV"/>
        </w:rPr>
        <w:sym w:font="Symbol" w:char="F0B3"/>
      </w:r>
      <w:r w:rsidRPr="00ED49AE">
        <w:rPr>
          <w:color w:val="000000"/>
          <w:szCs w:val="22"/>
          <w:lang w:val="lv-LV"/>
        </w:rPr>
        <w:t>1/10</w:t>
      </w:r>
      <w:r w:rsidRPr="00ED49AE">
        <w:rPr>
          <w:bCs/>
          <w:noProof/>
          <w:color w:val="000000"/>
          <w:szCs w:val="22"/>
          <w:lang w:val="lv-LV"/>
        </w:rPr>
        <w:t> </w:t>
      </w:r>
      <w:r w:rsidRPr="00ED49AE">
        <w:rPr>
          <w:color w:val="000000"/>
          <w:szCs w:val="22"/>
          <w:lang w:val="lv-LV"/>
        </w:rPr>
        <w:t>000 līdz &lt;1/1</w:t>
      </w:r>
      <w:r w:rsidRPr="00ED49AE">
        <w:rPr>
          <w:bCs/>
          <w:noProof/>
          <w:color w:val="000000"/>
          <w:szCs w:val="22"/>
          <w:lang w:val="lv-LV"/>
        </w:rPr>
        <w:t> </w:t>
      </w:r>
      <w:r w:rsidRPr="00ED49AE">
        <w:rPr>
          <w:color w:val="000000"/>
          <w:szCs w:val="22"/>
          <w:lang w:val="lv-LV"/>
        </w:rPr>
        <w:t>000</w:t>
      </w:r>
      <w:r w:rsidRPr="00ED49AE">
        <w:rPr>
          <w:bCs/>
          <w:noProof/>
          <w:color w:val="000000"/>
          <w:szCs w:val="22"/>
          <w:lang w:val="lv-LV"/>
        </w:rPr>
        <w:t>),</w:t>
      </w:r>
      <w:r w:rsidRPr="00ED49AE">
        <w:rPr>
          <w:color w:val="000000"/>
          <w:szCs w:val="22"/>
          <w:lang w:val="lv-LV"/>
        </w:rPr>
        <w:t xml:space="preserve"> ļoti reti (&lt;1/10</w:t>
      </w:r>
      <w:r w:rsidRPr="00ED49AE">
        <w:rPr>
          <w:bCs/>
          <w:noProof/>
          <w:color w:val="000000"/>
          <w:szCs w:val="22"/>
          <w:lang w:val="lv-LV"/>
        </w:rPr>
        <w:t> </w:t>
      </w:r>
      <w:r w:rsidRPr="00ED49AE">
        <w:rPr>
          <w:color w:val="000000"/>
          <w:szCs w:val="22"/>
          <w:lang w:val="lv-LV"/>
        </w:rPr>
        <w:t>000), nav zināmi (nevar noteikt pēc pieejamiem datiem).</w:t>
      </w:r>
    </w:p>
    <w:p w14:paraId="56527781" w14:textId="77777777" w:rsidR="002D7130" w:rsidRPr="00ED49AE" w:rsidRDefault="002D7130" w:rsidP="00ED49AE">
      <w:pPr>
        <w:pStyle w:val="EMEAEnBodyText"/>
        <w:spacing w:before="0" w:after="0"/>
        <w:rPr>
          <w:color w:val="000000"/>
          <w:szCs w:val="22"/>
          <w:lang w:val="lv-LV"/>
        </w:rPr>
      </w:pPr>
    </w:p>
    <w:p w14:paraId="34BF6668" w14:textId="77777777" w:rsidR="002D7130" w:rsidRPr="00ED49AE" w:rsidRDefault="002D7130" w:rsidP="00ED49AE">
      <w:pPr>
        <w:pStyle w:val="CM8"/>
        <w:jc w:val="both"/>
        <w:rPr>
          <w:color w:val="000000"/>
          <w:sz w:val="22"/>
          <w:szCs w:val="22"/>
          <w:lang w:val="lv-LV"/>
        </w:rPr>
      </w:pPr>
      <w:r w:rsidRPr="00ED49AE">
        <w:rPr>
          <w:color w:val="000000"/>
          <w:sz w:val="22"/>
          <w:szCs w:val="22"/>
          <w:lang w:val="lv-LV"/>
        </w:rPr>
        <w:t>Blakusparādību sastopamības biežums ir izvērtēts ņemot vērā spontānos ziņojumus, kas saņemti pēc zāļu nonākšanas tirgū.</w:t>
      </w:r>
    </w:p>
    <w:p w14:paraId="2DC875C1" w14:textId="77777777" w:rsidR="004035FA" w:rsidRPr="00ED49AE" w:rsidRDefault="004035FA" w:rsidP="00ED49AE">
      <w:pPr>
        <w:pStyle w:val="Default"/>
        <w:jc w:val="both"/>
        <w:rPr>
          <w:sz w:val="22"/>
          <w:szCs w:val="22"/>
          <w:lang w:val="lv-LV"/>
        </w:rPr>
      </w:pPr>
    </w:p>
    <w:p w14:paraId="7E5A3C02" w14:textId="77777777" w:rsidR="004035FA" w:rsidRPr="00ED49AE" w:rsidRDefault="004035FA" w:rsidP="00ED49AE">
      <w:pPr>
        <w:pStyle w:val="Default"/>
        <w:jc w:val="both"/>
        <w:rPr>
          <w:sz w:val="22"/>
          <w:szCs w:val="22"/>
          <w:lang w:val="lv-LV"/>
        </w:rPr>
      </w:pPr>
      <w:r w:rsidRPr="00ED49AE">
        <w:rPr>
          <w:sz w:val="22"/>
          <w:szCs w:val="22"/>
          <w:u w:val="single"/>
          <w:lang w:val="lv-LV"/>
        </w:rPr>
        <w:t xml:space="preserve">Asins un </w:t>
      </w:r>
      <w:proofErr w:type="spellStart"/>
      <w:r w:rsidRPr="00ED49AE">
        <w:rPr>
          <w:sz w:val="22"/>
          <w:szCs w:val="22"/>
          <w:u w:val="single"/>
          <w:lang w:val="lv-LV"/>
        </w:rPr>
        <w:t>limfatiskās</w:t>
      </w:r>
      <w:proofErr w:type="spellEnd"/>
      <w:r w:rsidRPr="00ED49AE">
        <w:rPr>
          <w:sz w:val="22"/>
          <w:szCs w:val="22"/>
          <w:u w:val="single"/>
          <w:lang w:val="lv-LV"/>
        </w:rPr>
        <w:t xml:space="preserve"> sistēmas traucējumi</w:t>
      </w:r>
    </w:p>
    <w:p w14:paraId="66BD2331" w14:textId="77777777" w:rsidR="004035FA" w:rsidRPr="00ED49AE" w:rsidRDefault="004035FA" w:rsidP="00ED49AE">
      <w:pPr>
        <w:pStyle w:val="Default"/>
        <w:jc w:val="both"/>
        <w:rPr>
          <w:sz w:val="22"/>
          <w:szCs w:val="22"/>
          <w:lang w:val="lv-LV"/>
        </w:rPr>
      </w:pPr>
      <w:r w:rsidRPr="00ED49AE">
        <w:rPr>
          <w:i/>
          <w:iCs/>
          <w:sz w:val="22"/>
          <w:szCs w:val="22"/>
          <w:lang w:val="lv-LV"/>
        </w:rPr>
        <w:t>Ļoti reti</w:t>
      </w:r>
      <w:r w:rsidRPr="00ED49AE">
        <w:rPr>
          <w:sz w:val="22"/>
          <w:szCs w:val="22"/>
          <w:lang w:val="lv-LV"/>
        </w:rPr>
        <w:t xml:space="preserve">: </w:t>
      </w:r>
      <w:proofErr w:type="spellStart"/>
      <w:r w:rsidR="00765C6D" w:rsidRPr="00ED49AE">
        <w:rPr>
          <w:sz w:val="22"/>
          <w:szCs w:val="22"/>
          <w:lang w:val="lv-LV"/>
        </w:rPr>
        <w:t>leikopēnija</w:t>
      </w:r>
      <w:proofErr w:type="spellEnd"/>
      <w:r w:rsidRPr="00ED49AE">
        <w:rPr>
          <w:sz w:val="22"/>
          <w:szCs w:val="22"/>
          <w:lang w:val="lv-LV"/>
        </w:rPr>
        <w:t xml:space="preserve">, </w:t>
      </w:r>
      <w:proofErr w:type="spellStart"/>
      <w:r w:rsidRPr="00ED49AE">
        <w:rPr>
          <w:sz w:val="22"/>
          <w:szCs w:val="22"/>
          <w:lang w:val="lv-LV"/>
        </w:rPr>
        <w:t>trombocitopēnija</w:t>
      </w:r>
      <w:proofErr w:type="spellEnd"/>
      <w:r w:rsidRPr="00ED49AE">
        <w:rPr>
          <w:sz w:val="22"/>
          <w:szCs w:val="22"/>
          <w:lang w:val="lv-LV"/>
        </w:rPr>
        <w:t xml:space="preserve">, </w:t>
      </w:r>
      <w:proofErr w:type="spellStart"/>
      <w:r w:rsidRPr="00ED49AE">
        <w:rPr>
          <w:sz w:val="22"/>
          <w:szCs w:val="22"/>
          <w:lang w:val="lv-LV"/>
        </w:rPr>
        <w:t>agranulocitoze</w:t>
      </w:r>
      <w:proofErr w:type="spellEnd"/>
      <w:r w:rsidR="00E51FFF" w:rsidRPr="00ED49AE">
        <w:rPr>
          <w:sz w:val="22"/>
          <w:szCs w:val="22"/>
          <w:lang w:val="lv-LV"/>
        </w:rPr>
        <w:t xml:space="preserve">, </w:t>
      </w:r>
      <w:proofErr w:type="spellStart"/>
      <w:r w:rsidR="00E51FFF" w:rsidRPr="00ED49AE">
        <w:rPr>
          <w:sz w:val="22"/>
          <w:szCs w:val="22"/>
          <w:lang w:val="lv-LV"/>
        </w:rPr>
        <w:t>neitropēnija</w:t>
      </w:r>
      <w:proofErr w:type="spellEnd"/>
      <w:r w:rsidRPr="00ED49AE">
        <w:rPr>
          <w:sz w:val="22"/>
          <w:szCs w:val="22"/>
          <w:lang w:val="lv-LV"/>
        </w:rPr>
        <w:t>.</w:t>
      </w:r>
    </w:p>
    <w:p w14:paraId="00FC026B" w14:textId="77777777" w:rsidR="004035FA" w:rsidRPr="00ED49AE" w:rsidRDefault="004035FA" w:rsidP="00ED49AE">
      <w:pPr>
        <w:pStyle w:val="Default"/>
        <w:jc w:val="both"/>
        <w:rPr>
          <w:sz w:val="22"/>
          <w:szCs w:val="22"/>
          <w:lang w:val="lv-LV"/>
        </w:rPr>
      </w:pPr>
    </w:p>
    <w:p w14:paraId="5EF580C3" w14:textId="77777777" w:rsidR="004035FA" w:rsidRPr="00ED49AE" w:rsidRDefault="004035FA" w:rsidP="00ED49AE">
      <w:pPr>
        <w:pStyle w:val="Default"/>
        <w:jc w:val="both"/>
        <w:rPr>
          <w:sz w:val="22"/>
          <w:szCs w:val="22"/>
          <w:lang w:val="lv-LV"/>
        </w:rPr>
      </w:pPr>
      <w:r w:rsidRPr="00ED49AE">
        <w:rPr>
          <w:sz w:val="22"/>
          <w:szCs w:val="22"/>
          <w:u w:val="single"/>
          <w:lang w:val="lv-LV"/>
        </w:rPr>
        <w:t>Imūnās sistēmas traucējumi</w:t>
      </w:r>
    </w:p>
    <w:p w14:paraId="0B599408" w14:textId="77777777" w:rsidR="004035FA" w:rsidRPr="00ED49AE" w:rsidRDefault="004035FA" w:rsidP="00ED49AE">
      <w:pPr>
        <w:pStyle w:val="Default"/>
        <w:jc w:val="both"/>
        <w:rPr>
          <w:sz w:val="22"/>
          <w:szCs w:val="22"/>
          <w:lang w:val="lv-LV"/>
        </w:rPr>
      </w:pPr>
      <w:r w:rsidRPr="00ED49AE">
        <w:rPr>
          <w:i/>
          <w:iCs/>
          <w:sz w:val="22"/>
          <w:szCs w:val="22"/>
          <w:lang w:val="lv-LV"/>
        </w:rPr>
        <w:t>Ļoti reti</w:t>
      </w:r>
      <w:r w:rsidRPr="00ED49AE">
        <w:rPr>
          <w:sz w:val="22"/>
          <w:szCs w:val="22"/>
          <w:lang w:val="lv-LV"/>
        </w:rPr>
        <w:t xml:space="preserve">: </w:t>
      </w:r>
      <w:r w:rsidR="00765C6D" w:rsidRPr="00ED49AE">
        <w:rPr>
          <w:sz w:val="22"/>
          <w:szCs w:val="22"/>
          <w:lang w:val="lv-LV"/>
        </w:rPr>
        <w:t xml:space="preserve">alerģiskas </w:t>
      </w:r>
      <w:r w:rsidRPr="00ED49AE">
        <w:rPr>
          <w:sz w:val="22"/>
          <w:szCs w:val="22"/>
          <w:lang w:val="lv-LV"/>
        </w:rPr>
        <w:t xml:space="preserve">reakcijas (nātrene, izsitumi uz ādas, </w:t>
      </w:r>
      <w:proofErr w:type="spellStart"/>
      <w:r w:rsidRPr="00ED49AE">
        <w:rPr>
          <w:sz w:val="22"/>
          <w:szCs w:val="22"/>
          <w:lang w:val="lv-LV"/>
        </w:rPr>
        <w:t>anafilaktisks</w:t>
      </w:r>
      <w:proofErr w:type="spellEnd"/>
      <w:r w:rsidRPr="00ED49AE">
        <w:rPr>
          <w:sz w:val="22"/>
          <w:szCs w:val="22"/>
          <w:lang w:val="lv-LV"/>
        </w:rPr>
        <w:t xml:space="preserve"> šoks).</w:t>
      </w:r>
    </w:p>
    <w:p w14:paraId="0690B806" w14:textId="77777777" w:rsidR="004035FA" w:rsidRPr="00ED49AE" w:rsidRDefault="004035FA" w:rsidP="00ED49AE">
      <w:pPr>
        <w:pStyle w:val="Default"/>
        <w:jc w:val="both"/>
        <w:rPr>
          <w:sz w:val="22"/>
          <w:szCs w:val="22"/>
          <w:lang w:val="lv-LV"/>
        </w:rPr>
      </w:pPr>
    </w:p>
    <w:p w14:paraId="78F06BBC" w14:textId="77777777" w:rsidR="004035FA" w:rsidRPr="00ED49AE" w:rsidRDefault="004035FA" w:rsidP="00ED49AE">
      <w:pPr>
        <w:pStyle w:val="Default"/>
        <w:jc w:val="both"/>
        <w:rPr>
          <w:sz w:val="22"/>
          <w:szCs w:val="22"/>
          <w:lang w:val="lv-LV"/>
        </w:rPr>
      </w:pPr>
      <w:r w:rsidRPr="00ED49AE">
        <w:rPr>
          <w:i/>
          <w:iCs/>
          <w:sz w:val="22"/>
          <w:szCs w:val="22"/>
          <w:u w:val="single"/>
          <w:lang w:val="lv-LV"/>
        </w:rPr>
        <w:t>Kuņģa zarnu trakta traucējumi</w:t>
      </w:r>
    </w:p>
    <w:p w14:paraId="3A61F5EC" w14:textId="77777777" w:rsidR="004035FA" w:rsidRPr="00ED49AE" w:rsidRDefault="004035FA" w:rsidP="00ED49AE">
      <w:pPr>
        <w:pStyle w:val="Default"/>
        <w:jc w:val="both"/>
        <w:rPr>
          <w:sz w:val="22"/>
          <w:szCs w:val="22"/>
          <w:lang w:val="lv-LV"/>
        </w:rPr>
      </w:pPr>
      <w:r w:rsidRPr="00ED49AE">
        <w:rPr>
          <w:i/>
          <w:iCs/>
          <w:sz w:val="22"/>
          <w:szCs w:val="22"/>
          <w:lang w:val="lv-LV"/>
        </w:rPr>
        <w:t>Ļoti reti</w:t>
      </w:r>
      <w:r w:rsidRPr="00ED49AE">
        <w:rPr>
          <w:sz w:val="22"/>
          <w:szCs w:val="22"/>
          <w:lang w:val="lv-LV"/>
        </w:rPr>
        <w:t xml:space="preserve">: </w:t>
      </w:r>
      <w:r w:rsidR="00765C6D" w:rsidRPr="00ED49AE">
        <w:rPr>
          <w:sz w:val="22"/>
          <w:szCs w:val="22"/>
          <w:lang w:val="lv-LV"/>
        </w:rPr>
        <w:t xml:space="preserve">slikta </w:t>
      </w:r>
      <w:r w:rsidRPr="00ED49AE">
        <w:rPr>
          <w:sz w:val="22"/>
          <w:szCs w:val="22"/>
          <w:lang w:val="lv-LV"/>
        </w:rPr>
        <w:t>dūša, vemšana, sāpes vēderā.</w:t>
      </w:r>
    </w:p>
    <w:p w14:paraId="5B24247E" w14:textId="77777777" w:rsidR="004035FA" w:rsidRPr="00ED49AE" w:rsidRDefault="004035FA" w:rsidP="00ED49AE">
      <w:pPr>
        <w:pStyle w:val="Default"/>
        <w:jc w:val="both"/>
        <w:rPr>
          <w:sz w:val="22"/>
          <w:szCs w:val="22"/>
          <w:lang w:val="lv-LV"/>
        </w:rPr>
      </w:pPr>
    </w:p>
    <w:p w14:paraId="1498D3BD" w14:textId="77777777" w:rsidR="006735EA" w:rsidRPr="00ED49AE" w:rsidRDefault="006735EA" w:rsidP="00ED49AE">
      <w:pPr>
        <w:pStyle w:val="EMEAEnBodyText"/>
        <w:spacing w:before="0" w:after="0"/>
        <w:rPr>
          <w:noProof/>
          <w:color w:val="000000"/>
          <w:szCs w:val="22"/>
          <w:u w:val="single"/>
          <w:lang w:val="lv-LV"/>
        </w:rPr>
      </w:pPr>
      <w:r w:rsidRPr="00ED49AE">
        <w:rPr>
          <w:noProof/>
          <w:color w:val="000000"/>
          <w:szCs w:val="22"/>
          <w:u w:val="single"/>
          <w:lang w:val="lv-LV"/>
        </w:rPr>
        <w:t>Ādas un zemādas audu bojājumi</w:t>
      </w:r>
    </w:p>
    <w:p w14:paraId="45FFA498" w14:textId="77777777" w:rsidR="00902024" w:rsidRPr="00ED49AE" w:rsidRDefault="006735EA" w:rsidP="00ED49AE">
      <w:pPr>
        <w:pStyle w:val="Default"/>
        <w:jc w:val="both"/>
        <w:rPr>
          <w:sz w:val="22"/>
          <w:szCs w:val="22"/>
          <w:lang w:val="lv-LV"/>
        </w:rPr>
      </w:pPr>
      <w:r w:rsidRPr="00ED49AE">
        <w:rPr>
          <w:i/>
          <w:sz w:val="22"/>
          <w:szCs w:val="22"/>
          <w:lang w:val="lv-LV"/>
        </w:rPr>
        <w:t>Ļoti ret</w:t>
      </w:r>
      <w:r w:rsidR="00E51FFF" w:rsidRPr="00ED49AE">
        <w:rPr>
          <w:i/>
          <w:sz w:val="22"/>
          <w:szCs w:val="22"/>
          <w:lang w:val="lv-LV"/>
        </w:rPr>
        <w:t>i</w:t>
      </w:r>
      <w:r w:rsidR="00E51FFF" w:rsidRPr="00ED49AE">
        <w:rPr>
          <w:sz w:val="22"/>
          <w:szCs w:val="22"/>
          <w:lang w:val="lv-LV"/>
        </w:rPr>
        <w:t xml:space="preserve">: </w:t>
      </w:r>
      <w:r w:rsidRPr="00ED49AE">
        <w:rPr>
          <w:sz w:val="22"/>
          <w:szCs w:val="22"/>
          <w:lang w:val="lv-LV"/>
        </w:rPr>
        <w:t>ziņots par smagām ādas reakcijām.</w:t>
      </w:r>
    </w:p>
    <w:p w14:paraId="7B5A3820" w14:textId="77777777" w:rsidR="006735EA" w:rsidRPr="00ED49AE" w:rsidRDefault="00E51FFF" w:rsidP="00ED49AE">
      <w:pPr>
        <w:pStyle w:val="Default"/>
        <w:jc w:val="both"/>
        <w:rPr>
          <w:rStyle w:val="Emphasis"/>
          <w:i w:val="0"/>
          <w:sz w:val="22"/>
          <w:szCs w:val="22"/>
          <w:lang w:val="lv-LV"/>
        </w:rPr>
      </w:pPr>
      <w:r w:rsidRPr="00ED49AE">
        <w:rPr>
          <w:i/>
          <w:sz w:val="22"/>
          <w:szCs w:val="22"/>
          <w:lang w:val="lv-LV"/>
        </w:rPr>
        <w:t>Nav zināmi</w:t>
      </w:r>
      <w:r w:rsidRPr="00ED49AE">
        <w:rPr>
          <w:sz w:val="22"/>
          <w:szCs w:val="22"/>
          <w:lang w:val="lv-LV"/>
        </w:rPr>
        <w:t>: a</w:t>
      </w:r>
      <w:r w:rsidRPr="00ED49AE">
        <w:rPr>
          <w:rStyle w:val="Emphasis"/>
          <w:i w:val="0"/>
          <w:sz w:val="22"/>
          <w:szCs w:val="22"/>
          <w:lang w:val="lv-LV"/>
        </w:rPr>
        <w:t xml:space="preserve">kūta </w:t>
      </w:r>
      <w:proofErr w:type="spellStart"/>
      <w:r w:rsidRPr="00ED49AE">
        <w:rPr>
          <w:rStyle w:val="Emphasis"/>
          <w:i w:val="0"/>
          <w:sz w:val="22"/>
          <w:szCs w:val="22"/>
          <w:lang w:val="lv-LV"/>
        </w:rPr>
        <w:t>ģeneralizēta</w:t>
      </w:r>
      <w:proofErr w:type="spellEnd"/>
      <w:r w:rsidRPr="00ED49AE">
        <w:rPr>
          <w:rStyle w:val="Emphasis"/>
          <w:i w:val="0"/>
          <w:sz w:val="22"/>
          <w:szCs w:val="22"/>
          <w:lang w:val="lv-LV"/>
        </w:rPr>
        <w:t xml:space="preserve"> </w:t>
      </w:r>
      <w:proofErr w:type="spellStart"/>
      <w:r w:rsidRPr="00ED49AE">
        <w:rPr>
          <w:rStyle w:val="Emphasis"/>
          <w:i w:val="0"/>
          <w:sz w:val="22"/>
          <w:szCs w:val="22"/>
          <w:lang w:val="lv-LV"/>
        </w:rPr>
        <w:t>eksantematozā</w:t>
      </w:r>
      <w:proofErr w:type="spellEnd"/>
      <w:r w:rsidRPr="00ED49AE">
        <w:rPr>
          <w:rStyle w:val="Emphasis"/>
          <w:i w:val="0"/>
          <w:sz w:val="22"/>
          <w:szCs w:val="22"/>
          <w:lang w:val="lv-LV"/>
        </w:rPr>
        <w:t xml:space="preserve"> </w:t>
      </w:r>
      <w:proofErr w:type="spellStart"/>
      <w:r w:rsidRPr="00ED49AE">
        <w:rPr>
          <w:rStyle w:val="Emphasis"/>
          <w:i w:val="0"/>
          <w:sz w:val="22"/>
          <w:szCs w:val="22"/>
          <w:lang w:val="lv-LV"/>
        </w:rPr>
        <w:t>pustuloze</w:t>
      </w:r>
      <w:proofErr w:type="spellEnd"/>
      <w:r w:rsidRPr="00ED49AE">
        <w:rPr>
          <w:rStyle w:val="Emphasis"/>
          <w:i w:val="0"/>
          <w:sz w:val="22"/>
          <w:szCs w:val="22"/>
          <w:lang w:val="lv-LV"/>
        </w:rPr>
        <w:t xml:space="preserve">, toksiska epidermas </w:t>
      </w:r>
      <w:proofErr w:type="spellStart"/>
      <w:r w:rsidRPr="00ED49AE">
        <w:rPr>
          <w:rStyle w:val="Emphasis"/>
          <w:i w:val="0"/>
          <w:sz w:val="22"/>
          <w:szCs w:val="22"/>
          <w:lang w:val="lv-LV"/>
        </w:rPr>
        <w:t>nekrolīze</w:t>
      </w:r>
      <w:proofErr w:type="spellEnd"/>
      <w:r w:rsidRPr="00ED49AE">
        <w:rPr>
          <w:rStyle w:val="Emphasis"/>
          <w:i w:val="0"/>
          <w:sz w:val="22"/>
          <w:szCs w:val="22"/>
          <w:lang w:val="lv-LV"/>
        </w:rPr>
        <w:t>, Stīvensa - Džonsona sindroms.</w:t>
      </w:r>
    </w:p>
    <w:p w14:paraId="4F282CD1" w14:textId="77777777" w:rsidR="00E51FFF" w:rsidRPr="00ED49AE" w:rsidRDefault="00E51FFF" w:rsidP="00ED49AE">
      <w:pPr>
        <w:pStyle w:val="Default"/>
        <w:jc w:val="both"/>
        <w:rPr>
          <w:sz w:val="22"/>
          <w:szCs w:val="22"/>
          <w:lang w:val="lv-LV"/>
        </w:rPr>
      </w:pPr>
    </w:p>
    <w:p w14:paraId="534C3E3E" w14:textId="77777777" w:rsidR="004035FA" w:rsidRPr="00ED49AE" w:rsidRDefault="002D7130" w:rsidP="00ED49AE">
      <w:pPr>
        <w:pStyle w:val="Default"/>
        <w:jc w:val="both"/>
        <w:rPr>
          <w:sz w:val="22"/>
          <w:szCs w:val="22"/>
          <w:lang w:val="lv-LV"/>
        </w:rPr>
      </w:pPr>
      <w:r w:rsidRPr="00ED49AE">
        <w:rPr>
          <w:sz w:val="22"/>
          <w:szCs w:val="22"/>
          <w:lang w:val="lv-LV"/>
        </w:rPr>
        <w:t xml:space="preserve">Ja </w:t>
      </w:r>
      <w:proofErr w:type="spellStart"/>
      <w:r w:rsidRPr="00ED49AE">
        <w:rPr>
          <w:sz w:val="22"/>
          <w:szCs w:val="22"/>
          <w:lang w:val="lv-LV"/>
        </w:rPr>
        <w:t>paracetamolu</w:t>
      </w:r>
      <w:proofErr w:type="spellEnd"/>
      <w:r w:rsidRPr="00ED49AE">
        <w:rPr>
          <w:sz w:val="22"/>
          <w:szCs w:val="22"/>
          <w:lang w:val="lv-LV"/>
        </w:rPr>
        <w:t xml:space="preserve"> lieto lielās devās un ilgstoši, tas var izraisīt</w:t>
      </w:r>
      <w:r w:rsidR="004035FA" w:rsidRPr="00ED49AE">
        <w:rPr>
          <w:sz w:val="22"/>
          <w:szCs w:val="22"/>
          <w:lang w:val="lv-LV"/>
        </w:rPr>
        <w:t xml:space="preserve"> </w:t>
      </w:r>
      <w:proofErr w:type="spellStart"/>
      <w:r w:rsidR="004035FA" w:rsidRPr="00ED49AE">
        <w:rPr>
          <w:sz w:val="22"/>
          <w:szCs w:val="22"/>
          <w:lang w:val="lv-LV"/>
        </w:rPr>
        <w:t>hepatotoksicitāt</w:t>
      </w:r>
      <w:r w:rsidRPr="00ED49AE">
        <w:rPr>
          <w:sz w:val="22"/>
          <w:szCs w:val="22"/>
          <w:lang w:val="lv-LV"/>
        </w:rPr>
        <w:t>i</w:t>
      </w:r>
      <w:proofErr w:type="spellEnd"/>
      <w:r w:rsidR="004035FA" w:rsidRPr="00ED49AE">
        <w:rPr>
          <w:sz w:val="22"/>
          <w:szCs w:val="22"/>
          <w:lang w:val="lv-LV"/>
        </w:rPr>
        <w:t xml:space="preserve">, </w:t>
      </w:r>
      <w:proofErr w:type="spellStart"/>
      <w:r w:rsidR="004035FA" w:rsidRPr="00ED49AE">
        <w:rPr>
          <w:sz w:val="22"/>
          <w:szCs w:val="22"/>
          <w:lang w:val="lv-LV"/>
        </w:rPr>
        <w:t>nefrotoksicitāt</w:t>
      </w:r>
      <w:r w:rsidRPr="00ED49AE">
        <w:rPr>
          <w:sz w:val="22"/>
          <w:szCs w:val="22"/>
          <w:lang w:val="lv-LV"/>
        </w:rPr>
        <w:t>i</w:t>
      </w:r>
      <w:proofErr w:type="spellEnd"/>
      <w:r w:rsidR="004035FA" w:rsidRPr="00ED49AE">
        <w:rPr>
          <w:sz w:val="22"/>
          <w:szCs w:val="22"/>
          <w:lang w:val="lv-LV"/>
        </w:rPr>
        <w:t xml:space="preserve"> (</w:t>
      </w:r>
      <w:proofErr w:type="spellStart"/>
      <w:r w:rsidR="004035FA" w:rsidRPr="00ED49AE">
        <w:rPr>
          <w:sz w:val="22"/>
          <w:szCs w:val="22"/>
          <w:lang w:val="lv-LV"/>
        </w:rPr>
        <w:t>intersticiāls</w:t>
      </w:r>
      <w:proofErr w:type="spellEnd"/>
      <w:r w:rsidR="004035FA" w:rsidRPr="00ED49AE">
        <w:rPr>
          <w:sz w:val="22"/>
          <w:szCs w:val="22"/>
          <w:lang w:val="lv-LV"/>
        </w:rPr>
        <w:t xml:space="preserve"> nefrīts un </w:t>
      </w:r>
      <w:proofErr w:type="spellStart"/>
      <w:r w:rsidR="004035FA" w:rsidRPr="00ED49AE">
        <w:rPr>
          <w:sz w:val="22"/>
          <w:szCs w:val="22"/>
          <w:lang w:val="lv-LV"/>
        </w:rPr>
        <w:t>papilāra</w:t>
      </w:r>
      <w:proofErr w:type="spellEnd"/>
      <w:r w:rsidR="004035FA" w:rsidRPr="00ED49AE">
        <w:rPr>
          <w:sz w:val="22"/>
          <w:szCs w:val="22"/>
          <w:lang w:val="lv-LV"/>
        </w:rPr>
        <w:t xml:space="preserve"> nekroze), </w:t>
      </w:r>
      <w:proofErr w:type="spellStart"/>
      <w:r w:rsidR="004035FA" w:rsidRPr="00ED49AE">
        <w:rPr>
          <w:sz w:val="22"/>
          <w:szCs w:val="22"/>
          <w:lang w:val="lv-LV"/>
        </w:rPr>
        <w:t>hemolītisk</w:t>
      </w:r>
      <w:r w:rsidRPr="00ED49AE">
        <w:rPr>
          <w:sz w:val="22"/>
          <w:szCs w:val="22"/>
          <w:lang w:val="lv-LV"/>
        </w:rPr>
        <w:t>u</w:t>
      </w:r>
      <w:proofErr w:type="spellEnd"/>
      <w:r w:rsidR="004035FA" w:rsidRPr="00ED49AE">
        <w:rPr>
          <w:sz w:val="22"/>
          <w:szCs w:val="22"/>
          <w:lang w:val="lv-LV"/>
        </w:rPr>
        <w:t xml:space="preserve"> anēmij</w:t>
      </w:r>
      <w:r w:rsidRPr="00ED49AE">
        <w:rPr>
          <w:sz w:val="22"/>
          <w:szCs w:val="22"/>
          <w:lang w:val="lv-LV"/>
        </w:rPr>
        <w:t>u</w:t>
      </w:r>
      <w:r w:rsidR="004035FA" w:rsidRPr="00ED49AE">
        <w:rPr>
          <w:sz w:val="22"/>
          <w:szCs w:val="22"/>
          <w:lang w:val="lv-LV"/>
        </w:rPr>
        <w:t xml:space="preserve">, </w:t>
      </w:r>
      <w:proofErr w:type="spellStart"/>
      <w:r w:rsidR="004035FA" w:rsidRPr="00ED49AE">
        <w:rPr>
          <w:sz w:val="22"/>
          <w:szCs w:val="22"/>
          <w:lang w:val="lv-LV"/>
        </w:rPr>
        <w:t>aplastisk</w:t>
      </w:r>
      <w:r w:rsidRPr="00ED49AE">
        <w:rPr>
          <w:sz w:val="22"/>
          <w:szCs w:val="22"/>
          <w:lang w:val="lv-LV"/>
        </w:rPr>
        <w:t>u</w:t>
      </w:r>
      <w:proofErr w:type="spellEnd"/>
      <w:r w:rsidR="004035FA" w:rsidRPr="00ED49AE">
        <w:rPr>
          <w:sz w:val="22"/>
          <w:szCs w:val="22"/>
          <w:lang w:val="lv-LV"/>
        </w:rPr>
        <w:t xml:space="preserve"> anēmij</w:t>
      </w:r>
      <w:r w:rsidRPr="00ED49AE">
        <w:rPr>
          <w:sz w:val="22"/>
          <w:szCs w:val="22"/>
          <w:lang w:val="lv-LV"/>
        </w:rPr>
        <w:t>u</w:t>
      </w:r>
      <w:r w:rsidR="004035FA" w:rsidRPr="00ED49AE">
        <w:rPr>
          <w:sz w:val="22"/>
          <w:szCs w:val="22"/>
          <w:lang w:val="lv-LV"/>
        </w:rPr>
        <w:t xml:space="preserve">, </w:t>
      </w:r>
      <w:proofErr w:type="spellStart"/>
      <w:r w:rsidR="004035FA" w:rsidRPr="00ED49AE">
        <w:rPr>
          <w:sz w:val="22"/>
          <w:szCs w:val="22"/>
          <w:lang w:val="lv-LV"/>
        </w:rPr>
        <w:t>methemoglobinēmij</w:t>
      </w:r>
      <w:r w:rsidRPr="00ED49AE">
        <w:rPr>
          <w:sz w:val="22"/>
          <w:szCs w:val="22"/>
          <w:lang w:val="lv-LV"/>
        </w:rPr>
        <w:t>u</w:t>
      </w:r>
      <w:proofErr w:type="spellEnd"/>
      <w:r w:rsidR="004035FA" w:rsidRPr="00ED49AE">
        <w:rPr>
          <w:sz w:val="22"/>
          <w:szCs w:val="22"/>
          <w:lang w:val="lv-LV"/>
        </w:rPr>
        <w:t xml:space="preserve">, </w:t>
      </w:r>
      <w:proofErr w:type="spellStart"/>
      <w:r w:rsidR="004035FA" w:rsidRPr="00ED49AE">
        <w:rPr>
          <w:sz w:val="22"/>
          <w:szCs w:val="22"/>
          <w:lang w:val="lv-LV"/>
        </w:rPr>
        <w:t>pancitopēnij</w:t>
      </w:r>
      <w:r w:rsidRPr="00ED49AE">
        <w:rPr>
          <w:sz w:val="22"/>
          <w:szCs w:val="22"/>
          <w:lang w:val="lv-LV"/>
        </w:rPr>
        <w:t>u</w:t>
      </w:r>
      <w:proofErr w:type="spellEnd"/>
      <w:r w:rsidR="004035FA" w:rsidRPr="00ED49AE">
        <w:rPr>
          <w:sz w:val="22"/>
          <w:szCs w:val="22"/>
          <w:lang w:val="lv-LV"/>
        </w:rPr>
        <w:t>.</w:t>
      </w:r>
    </w:p>
    <w:p w14:paraId="2EFCB514" w14:textId="77777777" w:rsidR="002A61E1" w:rsidRPr="00ED49AE" w:rsidRDefault="002A61E1" w:rsidP="00ED49AE">
      <w:pPr>
        <w:tabs>
          <w:tab w:val="clear" w:pos="567"/>
        </w:tabs>
        <w:spacing w:line="240" w:lineRule="auto"/>
        <w:jc w:val="both"/>
        <w:rPr>
          <w:color w:val="000000"/>
          <w:szCs w:val="22"/>
          <w:u w:val="single"/>
        </w:rPr>
      </w:pPr>
    </w:p>
    <w:p w14:paraId="2FBB90F7" w14:textId="77777777" w:rsidR="0048297B" w:rsidRPr="00ED49AE" w:rsidRDefault="0048297B" w:rsidP="00ED49AE">
      <w:pPr>
        <w:autoSpaceDE w:val="0"/>
        <w:autoSpaceDN w:val="0"/>
        <w:adjustRightInd w:val="0"/>
        <w:spacing w:line="240" w:lineRule="auto"/>
        <w:jc w:val="both"/>
        <w:rPr>
          <w:color w:val="000000"/>
          <w:szCs w:val="22"/>
          <w:u w:val="single"/>
        </w:rPr>
      </w:pPr>
      <w:r w:rsidRPr="00ED49AE">
        <w:rPr>
          <w:color w:val="000000"/>
          <w:szCs w:val="22"/>
          <w:u w:val="single"/>
        </w:rPr>
        <w:t>Ziņošana par iespējamām nevēlamām blakusparādībām</w:t>
      </w:r>
    </w:p>
    <w:p w14:paraId="49B51F42" w14:textId="77777777" w:rsidR="0048297B" w:rsidRPr="00ED49AE" w:rsidRDefault="0048297B" w:rsidP="00ED49AE">
      <w:pPr>
        <w:autoSpaceDE w:val="0"/>
        <w:autoSpaceDN w:val="0"/>
        <w:adjustRightInd w:val="0"/>
        <w:spacing w:line="240" w:lineRule="auto"/>
        <w:jc w:val="both"/>
        <w:rPr>
          <w:rFonts w:eastAsia="Calibri"/>
          <w:color w:val="000000"/>
          <w:szCs w:val="22"/>
          <w:lang w:eastAsia="zh-CN"/>
        </w:rPr>
      </w:pPr>
      <w:r w:rsidRPr="00ED49AE">
        <w:rPr>
          <w:color w:val="000000"/>
          <w:szCs w:val="22"/>
        </w:rPr>
        <w:t>Ir svarīgi ziņot par iespējamām nevēlamām blakusparādībām pēc zāļu reģistrācijas. Tādējādi zāļu ieguvum</w:t>
      </w:r>
      <w:r w:rsidR="00324FAD" w:rsidRPr="00ED49AE">
        <w:rPr>
          <w:color w:val="000000"/>
          <w:szCs w:val="22"/>
        </w:rPr>
        <w:t>a</w:t>
      </w:r>
      <w:r w:rsidRPr="00ED49AE">
        <w:rPr>
          <w:color w:val="000000"/>
          <w:szCs w:val="22"/>
        </w:rPr>
        <w:t>/riska attiecība tiek nepārtraukti uzraudzīta. Veselības aprūpes speciālisti tiek lūgti ziņot par jebkādām iespējamām nevēlamām blakusparādībām Zāļu valsts aģentūrai, Jersikas ielā</w:t>
      </w:r>
      <w:r w:rsidR="005F1F82" w:rsidRPr="00ED49AE">
        <w:rPr>
          <w:color w:val="000000"/>
          <w:szCs w:val="22"/>
        </w:rPr>
        <w:t xml:space="preserve"> </w:t>
      </w:r>
      <w:r w:rsidRPr="00ED49AE">
        <w:rPr>
          <w:color w:val="000000"/>
          <w:szCs w:val="22"/>
        </w:rPr>
        <w:t xml:space="preserve">15, Rīgā, LV 1003. </w:t>
      </w:r>
      <w:r w:rsidRPr="00ED49AE">
        <w:rPr>
          <w:rFonts w:eastAsia="Calibri"/>
          <w:color w:val="000000"/>
          <w:szCs w:val="22"/>
          <w:lang w:eastAsia="zh-CN"/>
        </w:rPr>
        <w:t xml:space="preserve">Tīmekļa vietne: </w:t>
      </w:r>
      <w:hyperlink r:id="rId37" w:history="1">
        <w:r w:rsidRPr="00ED49AE">
          <w:rPr>
            <w:rFonts w:eastAsia="Calibri"/>
            <w:color w:val="000000"/>
            <w:szCs w:val="22"/>
            <w:u w:val="single"/>
          </w:rPr>
          <w:t>www.zva.gov.lv</w:t>
        </w:r>
      </w:hyperlink>
    </w:p>
    <w:p w14:paraId="447D046A" w14:textId="77777777" w:rsidR="00CD10AA" w:rsidRPr="00ED49AE" w:rsidRDefault="00CD10AA" w:rsidP="00ED49AE">
      <w:pPr>
        <w:tabs>
          <w:tab w:val="clear" w:pos="567"/>
        </w:tabs>
        <w:spacing w:line="240" w:lineRule="auto"/>
        <w:jc w:val="both"/>
        <w:rPr>
          <w:color w:val="000000"/>
          <w:szCs w:val="22"/>
        </w:rPr>
      </w:pPr>
    </w:p>
    <w:p w14:paraId="0B1F1D65" w14:textId="77777777" w:rsidR="00CD10AA" w:rsidRPr="00ED49AE" w:rsidRDefault="00CD10AA" w:rsidP="00ED49AE">
      <w:pPr>
        <w:tabs>
          <w:tab w:val="clear" w:pos="567"/>
        </w:tabs>
        <w:spacing w:line="240" w:lineRule="auto"/>
        <w:jc w:val="both"/>
        <w:rPr>
          <w:color w:val="000000"/>
          <w:szCs w:val="22"/>
        </w:rPr>
      </w:pPr>
      <w:r w:rsidRPr="00ED49AE">
        <w:rPr>
          <w:b/>
          <w:color w:val="000000"/>
          <w:szCs w:val="22"/>
        </w:rPr>
        <w:lastRenderedPageBreak/>
        <w:t>4.9</w:t>
      </w:r>
      <w:r w:rsidR="002A61E1" w:rsidRPr="00ED49AE">
        <w:rPr>
          <w:b/>
          <w:color w:val="000000"/>
          <w:szCs w:val="22"/>
        </w:rPr>
        <w:t>.</w:t>
      </w:r>
      <w:r w:rsidRPr="00ED49AE">
        <w:rPr>
          <w:b/>
          <w:color w:val="000000"/>
          <w:szCs w:val="22"/>
        </w:rPr>
        <w:tab/>
        <w:t>Pārdozēšana</w:t>
      </w:r>
    </w:p>
    <w:p w14:paraId="43B758B9" w14:textId="77777777" w:rsidR="00C33C7E" w:rsidRPr="00ED49AE" w:rsidRDefault="00C33C7E" w:rsidP="00ED49AE">
      <w:pPr>
        <w:pStyle w:val="Default"/>
        <w:jc w:val="both"/>
        <w:rPr>
          <w:sz w:val="22"/>
          <w:szCs w:val="22"/>
          <w:u w:val="single"/>
          <w:lang w:val="lv-LV"/>
        </w:rPr>
      </w:pPr>
    </w:p>
    <w:p w14:paraId="6BD3916A" w14:textId="77777777" w:rsidR="004035FA" w:rsidRPr="00ED49AE" w:rsidRDefault="004035FA" w:rsidP="00ED49AE">
      <w:pPr>
        <w:pStyle w:val="Default"/>
        <w:jc w:val="both"/>
        <w:rPr>
          <w:sz w:val="22"/>
          <w:szCs w:val="22"/>
          <w:lang w:val="lv-LV"/>
        </w:rPr>
      </w:pPr>
      <w:r w:rsidRPr="00ED49AE">
        <w:rPr>
          <w:sz w:val="22"/>
          <w:szCs w:val="22"/>
          <w:u w:val="single"/>
          <w:lang w:val="lv-LV"/>
        </w:rPr>
        <w:t>Simptomi</w:t>
      </w:r>
    </w:p>
    <w:p w14:paraId="2E7E720A" w14:textId="77777777" w:rsidR="004035FA" w:rsidRPr="00ED49AE" w:rsidRDefault="004035FA" w:rsidP="00ED49AE">
      <w:pPr>
        <w:pStyle w:val="Default"/>
        <w:jc w:val="both"/>
        <w:rPr>
          <w:sz w:val="22"/>
          <w:szCs w:val="22"/>
          <w:lang w:val="lv-LV"/>
        </w:rPr>
      </w:pPr>
      <w:r w:rsidRPr="00ED49AE">
        <w:rPr>
          <w:sz w:val="22"/>
          <w:szCs w:val="22"/>
          <w:lang w:val="lv-LV"/>
        </w:rPr>
        <w:t xml:space="preserve">Pirmo 24 stundu laikā pēc </w:t>
      </w:r>
      <w:proofErr w:type="spellStart"/>
      <w:r w:rsidRPr="00ED49AE">
        <w:rPr>
          <w:sz w:val="22"/>
          <w:szCs w:val="22"/>
          <w:lang w:val="lv-LV"/>
        </w:rPr>
        <w:t>paracetamola</w:t>
      </w:r>
      <w:proofErr w:type="spellEnd"/>
      <w:r w:rsidRPr="00ED49AE">
        <w:rPr>
          <w:sz w:val="22"/>
          <w:szCs w:val="22"/>
          <w:lang w:val="lv-LV"/>
        </w:rPr>
        <w:t xml:space="preserve"> pārdozēšanas simptomi ir bālums, slikta dūša, vemšana, anoreksija un sāpes vēderā. 12 – 48 stundu laikā pēc lietošanas var būt novērojami aknu bojājumi. Smagas pārdozēšanas gadījumā, aknu mazspēja var progresēt līdz encefalopātijai, asiņošanai, cerebrālai tūskai un nāvei. Akūta nieru mazspēja ar akūtu </w:t>
      </w:r>
      <w:proofErr w:type="spellStart"/>
      <w:r w:rsidRPr="00ED49AE">
        <w:rPr>
          <w:sz w:val="22"/>
          <w:szCs w:val="22"/>
          <w:lang w:val="lv-LV"/>
        </w:rPr>
        <w:t>tubulāru</w:t>
      </w:r>
      <w:proofErr w:type="spellEnd"/>
      <w:r w:rsidRPr="00ED49AE">
        <w:rPr>
          <w:sz w:val="22"/>
          <w:szCs w:val="22"/>
          <w:lang w:val="lv-LV"/>
        </w:rPr>
        <w:t xml:space="preserve"> nekrozi, par ko liecina sāpes jostas vietā, </w:t>
      </w:r>
      <w:proofErr w:type="spellStart"/>
      <w:r w:rsidRPr="00ED49AE">
        <w:rPr>
          <w:sz w:val="22"/>
          <w:szCs w:val="22"/>
          <w:lang w:val="lv-LV"/>
        </w:rPr>
        <w:t>hematūrija</w:t>
      </w:r>
      <w:proofErr w:type="spellEnd"/>
      <w:r w:rsidRPr="00ED49AE">
        <w:rPr>
          <w:sz w:val="22"/>
          <w:szCs w:val="22"/>
          <w:lang w:val="lv-LV"/>
        </w:rPr>
        <w:t xml:space="preserve"> un </w:t>
      </w:r>
      <w:proofErr w:type="spellStart"/>
      <w:r w:rsidRPr="00ED49AE">
        <w:rPr>
          <w:sz w:val="22"/>
          <w:szCs w:val="22"/>
          <w:lang w:val="lv-LV"/>
        </w:rPr>
        <w:t>proteīnūrija</w:t>
      </w:r>
      <w:proofErr w:type="spellEnd"/>
      <w:r w:rsidRPr="00ED49AE">
        <w:rPr>
          <w:sz w:val="22"/>
          <w:szCs w:val="22"/>
          <w:lang w:val="lv-LV"/>
        </w:rPr>
        <w:t xml:space="preserve"> var attīstīties arī gadījumos, kad nav novērojama smaga aknu mazspēja. Ziņots par sirds aritmijām un </w:t>
      </w:r>
      <w:proofErr w:type="spellStart"/>
      <w:r w:rsidRPr="00ED49AE">
        <w:rPr>
          <w:sz w:val="22"/>
          <w:szCs w:val="22"/>
          <w:lang w:val="lv-LV"/>
        </w:rPr>
        <w:t>pankreatītu</w:t>
      </w:r>
      <w:proofErr w:type="spellEnd"/>
      <w:r w:rsidRPr="00ED49AE">
        <w:rPr>
          <w:sz w:val="22"/>
          <w:szCs w:val="22"/>
          <w:lang w:val="lv-LV"/>
        </w:rPr>
        <w:t>.</w:t>
      </w:r>
    </w:p>
    <w:p w14:paraId="43E9BE14" w14:textId="77777777" w:rsidR="004035FA" w:rsidRPr="00ED49AE" w:rsidRDefault="004035FA" w:rsidP="00ED49AE">
      <w:pPr>
        <w:pStyle w:val="Default"/>
        <w:jc w:val="both"/>
        <w:rPr>
          <w:sz w:val="22"/>
          <w:szCs w:val="22"/>
          <w:lang w:val="lv-LV"/>
        </w:rPr>
      </w:pPr>
    </w:p>
    <w:p w14:paraId="792DD3F0" w14:textId="77777777" w:rsidR="004035FA" w:rsidRPr="00ED49AE" w:rsidRDefault="004035FA" w:rsidP="00ED49AE">
      <w:pPr>
        <w:pStyle w:val="Default"/>
        <w:jc w:val="both"/>
        <w:rPr>
          <w:sz w:val="22"/>
          <w:szCs w:val="22"/>
          <w:lang w:val="lv-LV"/>
        </w:rPr>
      </w:pPr>
      <w:r w:rsidRPr="00ED49AE">
        <w:rPr>
          <w:sz w:val="22"/>
          <w:szCs w:val="22"/>
          <w:u w:val="single"/>
          <w:lang w:val="lv-LV"/>
        </w:rPr>
        <w:t>Ārstēšana</w:t>
      </w:r>
    </w:p>
    <w:p w14:paraId="6E2893BF" w14:textId="77777777" w:rsidR="004035FA" w:rsidRPr="00ED49AE" w:rsidRDefault="004035FA" w:rsidP="00ED49AE">
      <w:pPr>
        <w:pStyle w:val="Default"/>
        <w:jc w:val="both"/>
        <w:rPr>
          <w:sz w:val="22"/>
          <w:szCs w:val="22"/>
          <w:lang w:val="lv-LV"/>
        </w:rPr>
      </w:pPr>
      <w:r w:rsidRPr="00ED49AE">
        <w:rPr>
          <w:sz w:val="22"/>
          <w:szCs w:val="22"/>
          <w:lang w:val="lv-LV"/>
        </w:rPr>
        <w:t>Pārdozēšanas gadījumā nepieciešama tūlītēja ārstēšana. Neskatoties uz to, ka nav būtisku agrīno simptomu, pacients nekavējoties jānogādā slimnīcā, lai varētu veikt medicīnisku uzraudzību. Novērojamie simptomi var būt limitēti (slikta dūša vai vemšana) un var neatspoguļot pārdozēšanas vai arī orgānu bojājuma riska pakāpi.</w:t>
      </w:r>
    </w:p>
    <w:p w14:paraId="25B90671" w14:textId="77777777" w:rsidR="004035FA" w:rsidRPr="00ED49AE" w:rsidRDefault="004035FA" w:rsidP="00ED49AE">
      <w:pPr>
        <w:pStyle w:val="Default"/>
        <w:jc w:val="both"/>
        <w:rPr>
          <w:sz w:val="22"/>
          <w:szCs w:val="22"/>
          <w:lang w:val="lv-LV"/>
        </w:rPr>
      </w:pPr>
      <w:r w:rsidRPr="00ED49AE">
        <w:rPr>
          <w:sz w:val="22"/>
          <w:szCs w:val="22"/>
          <w:lang w:val="lv-LV"/>
        </w:rPr>
        <w:t xml:space="preserve">Pēc zāļu lietošanas 4 stundu laikā jāveic kuņģa skalošana. Ja pārdozēšana notikusi pirms vienas stundas, jāapsver aktivētās ogles lietošana. 4 stundas vai vēlāk pēc pārdozēšanas jānosaka </w:t>
      </w:r>
      <w:proofErr w:type="spellStart"/>
      <w:r w:rsidRPr="00ED49AE">
        <w:rPr>
          <w:sz w:val="22"/>
          <w:szCs w:val="22"/>
          <w:lang w:val="lv-LV"/>
        </w:rPr>
        <w:t>paracetamola</w:t>
      </w:r>
      <w:proofErr w:type="spellEnd"/>
      <w:r w:rsidRPr="00ED49AE">
        <w:rPr>
          <w:sz w:val="22"/>
          <w:szCs w:val="22"/>
          <w:lang w:val="lv-LV"/>
        </w:rPr>
        <w:t xml:space="preserve"> koncentrācija asinīs (nosakot koncentrāciju ātrāk tā ir maldinoša). 24 stundu laikā pēc </w:t>
      </w:r>
      <w:proofErr w:type="spellStart"/>
      <w:r w:rsidRPr="00ED49AE">
        <w:rPr>
          <w:sz w:val="22"/>
          <w:szCs w:val="22"/>
          <w:lang w:val="lv-LV"/>
        </w:rPr>
        <w:t>paracetamola</w:t>
      </w:r>
      <w:proofErr w:type="spellEnd"/>
      <w:r w:rsidRPr="00ED49AE">
        <w:rPr>
          <w:sz w:val="22"/>
          <w:szCs w:val="22"/>
          <w:lang w:val="lv-LV"/>
        </w:rPr>
        <w:t xml:space="preserve"> pārdozēšanas var lietot N – </w:t>
      </w:r>
      <w:proofErr w:type="spellStart"/>
      <w:r w:rsidRPr="00ED49AE">
        <w:rPr>
          <w:sz w:val="22"/>
          <w:szCs w:val="22"/>
          <w:lang w:val="lv-LV"/>
        </w:rPr>
        <w:t>acetilcisteīnu</w:t>
      </w:r>
      <w:proofErr w:type="spellEnd"/>
      <w:r w:rsidRPr="00ED49AE">
        <w:rPr>
          <w:sz w:val="22"/>
          <w:szCs w:val="22"/>
          <w:lang w:val="lv-LV"/>
        </w:rPr>
        <w:t xml:space="preserve">, tomēr maksimālā iedarbība pārdozēšanas novēršanai novērojama, ja tas lietots pirmo 8 stundu laikā. pēc 8 stundām </w:t>
      </w:r>
      <w:proofErr w:type="spellStart"/>
      <w:r w:rsidRPr="00ED49AE">
        <w:rPr>
          <w:sz w:val="22"/>
          <w:szCs w:val="22"/>
          <w:lang w:val="lv-LV"/>
        </w:rPr>
        <w:t>antidota</w:t>
      </w:r>
      <w:proofErr w:type="spellEnd"/>
      <w:r w:rsidRPr="00ED49AE">
        <w:rPr>
          <w:sz w:val="22"/>
          <w:szCs w:val="22"/>
          <w:lang w:val="lv-LV"/>
        </w:rPr>
        <w:t xml:space="preserve"> efektivitāte strauji samazinās. Nepieciešamības gadījumā pacientam var intravenozi ievadīt N-</w:t>
      </w:r>
      <w:proofErr w:type="spellStart"/>
      <w:r w:rsidRPr="00ED49AE">
        <w:rPr>
          <w:sz w:val="22"/>
          <w:szCs w:val="22"/>
          <w:lang w:val="lv-LV"/>
        </w:rPr>
        <w:t>acetilcisteīnu</w:t>
      </w:r>
      <w:proofErr w:type="spellEnd"/>
      <w:r w:rsidRPr="00ED49AE">
        <w:rPr>
          <w:sz w:val="22"/>
          <w:szCs w:val="22"/>
          <w:lang w:val="lv-LV"/>
        </w:rPr>
        <w:t xml:space="preserve"> atbilstoši noteiktajām devu shēmām. Ja nav novērojama vemšana, ārpus slimnīcas var iekšķīgi lietot metionīnu. Ja pacientam 24 stundas pēc pārdozēšanas joprojām saglabājas smagu aknu darbības traucējumu simptomi, jākonsultējas ar saindēšanās vai aknu ārstēšanas nodaļas speciālistiem.</w:t>
      </w:r>
    </w:p>
    <w:p w14:paraId="4638E0DC" w14:textId="77777777" w:rsidR="00CD10AA" w:rsidRPr="00ED49AE" w:rsidRDefault="00CD10AA" w:rsidP="00ED49AE">
      <w:pPr>
        <w:tabs>
          <w:tab w:val="clear" w:pos="567"/>
        </w:tabs>
        <w:spacing w:line="240" w:lineRule="auto"/>
        <w:jc w:val="both"/>
        <w:rPr>
          <w:color w:val="000000"/>
          <w:szCs w:val="22"/>
        </w:rPr>
      </w:pPr>
    </w:p>
    <w:p w14:paraId="0F174086" w14:textId="77777777" w:rsidR="00C33C7E" w:rsidRPr="00ED49AE" w:rsidRDefault="00C33C7E" w:rsidP="00ED49AE">
      <w:pPr>
        <w:tabs>
          <w:tab w:val="clear" w:pos="567"/>
        </w:tabs>
        <w:spacing w:line="240" w:lineRule="auto"/>
        <w:jc w:val="both"/>
        <w:rPr>
          <w:color w:val="000000"/>
          <w:szCs w:val="22"/>
        </w:rPr>
      </w:pPr>
    </w:p>
    <w:p w14:paraId="0A131E0A" w14:textId="77777777" w:rsidR="00CD10AA" w:rsidRPr="00ED49AE" w:rsidRDefault="00846D85" w:rsidP="00ED49AE">
      <w:pPr>
        <w:tabs>
          <w:tab w:val="clear" w:pos="567"/>
        </w:tabs>
        <w:spacing w:line="240" w:lineRule="auto"/>
        <w:jc w:val="both"/>
        <w:rPr>
          <w:b/>
          <w:color w:val="000000"/>
          <w:szCs w:val="22"/>
        </w:rPr>
      </w:pPr>
      <w:r w:rsidRPr="00ED49AE">
        <w:rPr>
          <w:b/>
          <w:color w:val="000000"/>
          <w:szCs w:val="22"/>
        </w:rPr>
        <w:t>5.</w:t>
      </w:r>
      <w:r w:rsidRPr="00ED49AE">
        <w:rPr>
          <w:b/>
          <w:color w:val="000000"/>
          <w:szCs w:val="22"/>
        </w:rPr>
        <w:tab/>
        <w:t>FARMAKOLOĢISKĀS ĪPAŠĪBAS</w:t>
      </w:r>
    </w:p>
    <w:p w14:paraId="1A741271" w14:textId="77777777" w:rsidR="00C33C7E" w:rsidRPr="00ED49AE" w:rsidRDefault="00C33C7E" w:rsidP="00ED49AE">
      <w:pPr>
        <w:tabs>
          <w:tab w:val="clear" w:pos="567"/>
        </w:tabs>
        <w:spacing w:line="240" w:lineRule="auto"/>
        <w:jc w:val="both"/>
        <w:rPr>
          <w:b/>
          <w:color w:val="000000"/>
          <w:szCs w:val="22"/>
        </w:rPr>
      </w:pPr>
    </w:p>
    <w:p w14:paraId="71F4445A" w14:textId="77777777" w:rsidR="00CD10AA" w:rsidRPr="00ED49AE" w:rsidRDefault="00CD10AA" w:rsidP="00ED49AE">
      <w:pPr>
        <w:tabs>
          <w:tab w:val="clear" w:pos="567"/>
        </w:tabs>
        <w:spacing w:line="240" w:lineRule="auto"/>
        <w:jc w:val="both"/>
        <w:rPr>
          <w:color w:val="000000"/>
          <w:szCs w:val="22"/>
        </w:rPr>
      </w:pPr>
      <w:r w:rsidRPr="00ED49AE">
        <w:rPr>
          <w:b/>
          <w:color w:val="000000"/>
          <w:szCs w:val="22"/>
        </w:rPr>
        <w:t>5.1</w:t>
      </w:r>
      <w:r w:rsidR="00F311D8" w:rsidRPr="00ED49AE">
        <w:rPr>
          <w:b/>
          <w:color w:val="000000"/>
          <w:szCs w:val="22"/>
        </w:rPr>
        <w:t>.</w:t>
      </w:r>
      <w:r w:rsidRPr="00ED49AE">
        <w:rPr>
          <w:b/>
          <w:color w:val="000000"/>
          <w:szCs w:val="22"/>
        </w:rPr>
        <w:tab/>
      </w:r>
      <w:proofErr w:type="spellStart"/>
      <w:r w:rsidRPr="00ED49AE">
        <w:rPr>
          <w:b/>
          <w:color w:val="000000"/>
          <w:szCs w:val="22"/>
        </w:rPr>
        <w:t>Farmakodinamiskās</w:t>
      </w:r>
      <w:proofErr w:type="spellEnd"/>
      <w:r w:rsidRPr="00ED49AE">
        <w:rPr>
          <w:b/>
          <w:color w:val="000000"/>
          <w:szCs w:val="22"/>
        </w:rPr>
        <w:t xml:space="preserve"> īpašības</w:t>
      </w:r>
    </w:p>
    <w:p w14:paraId="42EF1F97" w14:textId="77777777" w:rsidR="00C33C7E" w:rsidRPr="00ED49AE" w:rsidRDefault="00C33C7E" w:rsidP="00ED49AE">
      <w:pPr>
        <w:tabs>
          <w:tab w:val="clear" w:pos="567"/>
        </w:tabs>
        <w:spacing w:line="240" w:lineRule="auto"/>
        <w:jc w:val="both"/>
        <w:rPr>
          <w:b/>
          <w:color w:val="000000"/>
          <w:szCs w:val="22"/>
        </w:rPr>
      </w:pPr>
    </w:p>
    <w:p w14:paraId="6A9BB719" w14:textId="77777777" w:rsidR="003F45AD" w:rsidRPr="00ED49AE" w:rsidRDefault="00CD10AA" w:rsidP="00ED49AE">
      <w:pPr>
        <w:tabs>
          <w:tab w:val="clear" w:pos="567"/>
        </w:tabs>
        <w:spacing w:line="240" w:lineRule="auto"/>
        <w:jc w:val="both"/>
        <w:rPr>
          <w:color w:val="000000"/>
          <w:szCs w:val="22"/>
        </w:rPr>
      </w:pPr>
      <w:proofErr w:type="spellStart"/>
      <w:r w:rsidRPr="00ED49AE">
        <w:rPr>
          <w:b/>
          <w:color w:val="000000"/>
          <w:szCs w:val="22"/>
        </w:rPr>
        <w:t>Farmakoterapeitiskā</w:t>
      </w:r>
      <w:proofErr w:type="spellEnd"/>
      <w:r w:rsidRPr="00ED49AE">
        <w:rPr>
          <w:b/>
          <w:color w:val="000000"/>
          <w:szCs w:val="22"/>
        </w:rPr>
        <w:t xml:space="preserve"> grupa</w:t>
      </w:r>
      <w:r w:rsidRPr="00ED49AE">
        <w:rPr>
          <w:color w:val="000000"/>
          <w:szCs w:val="22"/>
        </w:rPr>
        <w:t xml:space="preserve">: </w:t>
      </w:r>
      <w:r w:rsidR="00DE6BCE" w:rsidRPr="00ED49AE">
        <w:rPr>
          <w:color w:val="000000"/>
          <w:szCs w:val="22"/>
        </w:rPr>
        <w:t xml:space="preserve">citi </w:t>
      </w:r>
      <w:r w:rsidR="004035FA" w:rsidRPr="00ED49AE">
        <w:rPr>
          <w:color w:val="000000"/>
          <w:szCs w:val="22"/>
        </w:rPr>
        <w:t>pretsāpju un pretdrudža līdzekļi, anilīna atvasinājumi.</w:t>
      </w:r>
    </w:p>
    <w:p w14:paraId="72CC32B7" w14:textId="77777777" w:rsidR="00CD10AA" w:rsidRPr="00ED49AE" w:rsidRDefault="00CD10AA" w:rsidP="00ED49AE">
      <w:pPr>
        <w:tabs>
          <w:tab w:val="clear" w:pos="567"/>
        </w:tabs>
        <w:spacing w:line="240" w:lineRule="auto"/>
        <w:jc w:val="both"/>
        <w:rPr>
          <w:color w:val="000000"/>
          <w:szCs w:val="22"/>
        </w:rPr>
      </w:pPr>
      <w:r w:rsidRPr="00ED49AE">
        <w:rPr>
          <w:b/>
          <w:color w:val="000000"/>
          <w:szCs w:val="22"/>
        </w:rPr>
        <w:t>ATĶ kods</w:t>
      </w:r>
      <w:r w:rsidRPr="00ED49AE">
        <w:rPr>
          <w:color w:val="000000"/>
          <w:szCs w:val="22"/>
        </w:rPr>
        <w:t xml:space="preserve">: </w:t>
      </w:r>
      <w:r w:rsidR="004035FA" w:rsidRPr="00ED49AE">
        <w:rPr>
          <w:color w:val="000000"/>
          <w:szCs w:val="22"/>
        </w:rPr>
        <w:t>N02BE01</w:t>
      </w:r>
    </w:p>
    <w:p w14:paraId="1EC28141" w14:textId="77777777" w:rsidR="00CD10AA" w:rsidRPr="00ED49AE" w:rsidRDefault="00CD10AA" w:rsidP="00ED49AE">
      <w:pPr>
        <w:tabs>
          <w:tab w:val="clear" w:pos="567"/>
        </w:tabs>
        <w:spacing w:line="240" w:lineRule="auto"/>
        <w:jc w:val="both"/>
        <w:rPr>
          <w:color w:val="000000"/>
          <w:szCs w:val="22"/>
        </w:rPr>
      </w:pPr>
    </w:p>
    <w:p w14:paraId="26E56E4F" w14:textId="77777777" w:rsidR="0097548A" w:rsidRPr="00ED49AE" w:rsidRDefault="003F45AD" w:rsidP="00ED49AE">
      <w:pPr>
        <w:spacing w:line="240" w:lineRule="auto"/>
        <w:jc w:val="both"/>
        <w:rPr>
          <w:noProof/>
          <w:color w:val="000000"/>
          <w:szCs w:val="22"/>
          <w:u w:val="single"/>
        </w:rPr>
      </w:pPr>
      <w:r w:rsidRPr="00ED49AE">
        <w:rPr>
          <w:noProof/>
          <w:color w:val="000000"/>
          <w:szCs w:val="22"/>
          <w:u w:val="single"/>
        </w:rPr>
        <w:t>Darbības mehānisms</w:t>
      </w:r>
    </w:p>
    <w:p w14:paraId="4AC5A26B" w14:textId="77777777" w:rsidR="004035FA" w:rsidRPr="00ED49AE" w:rsidRDefault="004035FA" w:rsidP="00ED49AE">
      <w:pPr>
        <w:pStyle w:val="Default"/>
        <w:jc w:val="both"/>
        <w:rPr>
          <w:sz w:val="22"/>
          <w:szCs w:val="22"/>
          <w:lang w:val="lv-LV"/>
        </w:rPr>
      </w:pPr>
      <w:proofErr w:type="spellStart"/>
      <w:r w:rsidRPr="00ED49AE">
        <w:rPr>
          <w:sz w:val="22"/>
          <w:szCs w:val="22"/>
          <w:lang w:val="lv-LV"/>
        </w:rPr>
        <w:t>Paracetamols</w:t>
      </w:r>
      <w:proofErr w:type="spellEnd"/>
      <w:r w:rsidRPr="00ED49AE">
        <w:rPr>
          <w:sz w:val="22"/>
          <w:szCs w:val="22"/>
          <w:lang w:val="lv-LV"/>
        </w:rPr>
        <w:t xml:space="preserve"> ir pretdrudža un pretsāpju līdzeklis.</w:t>
      </w:r>
    </w:p>
    <w:p w14:paraId="1AF4B4EC" w14:textId="77777777" w:rsidR="004035FA" w:rsidRPr="00ED49AE" w:rsidRDefault="004035FA" w:rsidP="00ED49AE">
      <w:pPr>
        <w:pStyle w:val="Default"/>
        <w:jc w:val="both"/>
        <w:rPr>
          <w:sz w:val="22"/>
          <w:szCs w:val="22"/>
          <w:lang w:val="lv-LV"/>
        </w:rPr>
      </w:pPr>
    </w:p>
    <w:p w14:paraId="38CD713D" w14:textId="77777777" w:rsidR="004035FA" w:rsidRPr="00ED49AE" w:rsidRDefault="004035FA" w:rsidP="00ED49AE">
      <w:pPr>
        <w:pStyle w:val="Default"/>
        <w:jc w:val="both"/>
        <w:rPr>
          <w:sz w:val="22"/>
          <w:szCs w:val="22"/>
          <w:lang w:val="lv-LV"/>
        </w:rPr>
      </w:pPr>
      <w:proofErr w:type="spellStart"/>
      <w:r w:rsidRPr="00ED49AE">
        <w:rPr>
          <w:sz w:val="22"/>
          <w:szCs w:val="22"/>
          <w:lang w:val="lv-LV"/>
        </w:rPr>
        <w:t>Paracetamols</w:t>
      </w:r>
      <w:proofErr w:type="spellEnd"/>
      <w:r w:rsidRPr="00ED49AE">
        <w:rPr>
          <w:sz w:val="22"/>
          <w:szCs w:val="22"/>
          <w:lang w:val="lv-LV"/>
        </w:rPr>
        <w:t xml:space="preserve"> iedarbojas galvenokārt nomācot prostaglandīnu sintēzi centrālajā nervu sistēmā (CNS) un mazākā mērā, iedarbojoties </w:t>
      </w:r>
      <w:proofErr w:type="spellStart"/>
      <w:r w:rsidRPr="00ED49AE">
        <w:rPr>
          <w:sz w:val="22"/>
          <w:szCs w:val="22"/>
          <w:lang w:val="lv-LV"/>
        </w:rPr>
        <w:t>perifēri</w:t>
      </w:r>
      <w:proofErr w:type="spellEnd"/>
      <w:r w:rsidRPr="00ED49AE">
        <w:rPr>
          <w:sz w:val="22"/>
          <w:szCs w:val="22"/>
          <w:lang w:val="lv-LV"/>
        </w:rPr>
        <w:t xml:space="preserve">, bloķējot sāpju impulsu veidošanos. </w:t>
      </w:r>
      <w:proofErr w:type="spellStart"/>
      <w:r w:rsidRPr="00ED49AE">
        <w:rPr>
          <w:sz w:val="22"/>
          <w:szCs w:val="22"/>
          <w:lang w:val="lv-LV"/>
        </w:rPr>
        <w:t>Perifērā</w:t>
      </w:r>
      <w:proofErr w:type="spellEnd"/>
      <w:r w:rsidRPr="00ED49AE">
        <w:rPr>
          <w:sz w:val="22"/>
          <w:szCs w:val="22"/>
          <w:lang w:val="lv-LV"/>
        </w:rPr>
        <w:t xml:space="preserve"> iedarbība var būt saistīta arī ar prostaglandīnu sintēzes nomākumu vai citu vielu, kas jutīgi ietekmē sāpju receptorus mehāniskas vai ķīmiskas stimulācijas rezultātā, sintēzes vai iedarbības nomākumu.</w:t>
      </w:r>
    </w:p>
    <w:p w14:paraId="3C7E1125" w14:textId="77777777" w:rsidR="004035FA" w:rsidRPr="00ED49AE" w:rsidRDefault="004035FA" w:rsidP="00ED49AE">
      <w:pPr>
        <w:pStyle w:val="Default"/>
        <w:jc w:val="both"/>
        <w:rPr>
          <w:sz w:val="22"/>
          <w:szCs w:val="22"/>
          <w:lang w:val="lv-LV"/>
        </w:rPr>
      </w:pPr>
    </w:p>
    <w:p w14:paraId="4B648611" w14:textId="77777777" w:rsidR="004035FA" w:rsidRPr="00ED49AE" w:rsidRDefault="004035FA" w:rsidP="00ED49AE">
      <w:pPr>
        <w:pStyle w:val="Default"/>
        <w:jc w:val="both"/>
        <w:rPr>
          <w:sz w:val="22"/>
          <w:szCs w:val="22"/>
          <w:lang w:val="lv-LV"/>
        </w:rPr>
      </w:pPr>
      <w:proofErr w:type="spellStart"/>
      <w:r w:rsidRPr="00ED49AE">
        <w:rPr>
          <w:sz w:val="22"/>
          <w:szCs w:val="22"/>
          <w:lang w:val="lv-LV"/>
        </w:rPr>
        <w:t>Paracetamols</w:t>
      </w:r>
      <w:proofErr w:type="spellEnd"/>
      <w:r w:rsidRPr="00ED49AE">
        <w:rPr>
          <w:sz w:val="22"/>
          <w:szCs w:val="22"/>
          <w:lang w:val="lv-LV"/>
        </w:rPr>
        <w:t xml:space="preserve">, iespējams, samazina drudzi centrāli iedarbojoties uz hipotalāma siltumu regulējošo centru izraisot </w:t>
      </w:r>
      <w:proofErr w:type="spellStart"/>
      <w:r w:rsidRPr="00ED49AE">
        <w:rPr>
          <w:sz w:val="22"/>
          <w:szCs w:val="22"/>
          <w:lang w:val="lv-LV"/>
        </w:rPr>
        <w:t>perifēro</w:t>
      </w:r>
      <w:proofErr w:type="spellEnd"/>
      <w:r w:rsidRPr="00ED49AE">
        <w:rPr>
          <w:sz w:val="22"/>
          <w:szCs w:val="22"/>
          <w:lang w:val="lv-LV"/>
        </w:rPr>
        <w:t xml:space="preserve"> asinsvadu paplašināšanos, kā rezultātā palielinās asins plūsma ādā, svīšanu un siltuma zudumu. Centrāla iedarbība, iespējams, ietver prostaglandīnu sintēzes nomākumu hipotalāmā.</w:t>
      </w:r>
    </w:p>
    <w:p w14:paraId="6A781AE8" w14:textId="77777777" w:rsidR="004035FA" w:rsidRPr="00ED49AE" w:rsidRDefault="004035FA" w:rsidP="00ED49AE">
      <w:pPr>
        <w:pStyle w:val="Default"/>
        <w:jc w:val="both"/>
        <w:rPr>
          <w:sz w:val="22"/>
          <w:szCs w:val="22"/>
          <w:lang w:val="lv-LV"/>
        </w:rPr>
      </w:pPr>
    </w:p>
    <w:p w14:paraId="1CAD233B" w14:textId="77777777" w:rsidR="004035FA" w:rsidRPr="00ED49AE" w:rsidRDefault="004035FA" w:rsidP="00ED49AE">
      <w:pPr>
        <w:pStyle w:val="Default"/>
        <w:jc w:val="both"/>
        <w:rPr>
          <w:sz w:val="22"/>
          <w:szCs w:val="22"/>
          <w:lang w:val="lv-LV"/>
        </w:rPr>
      </w:pPr>
      <w:proofErr w:type="spellStart"/>
      <w:r w:rsidRPr="00ED49AE">
        <w:rPr>
          <w:sz w:val="22"/>
          <w:szCs w:val="22"/>
          <w:lang w:val="lv-LV"/>
        </w:rPr>
        <w:t>Paracetamols</w:t>
      </w:r>
      <w:proofErr w:type="spellEnd"/>
      <w:r w:rsidRPr="00ED49AE">
        <w:rPr>
          <w:sz w:val="22"/>
          <w:szCs w:val="22"/>
          <w:lang w:val="lv-LV"/>
        </w:rPr>
        <w:t xml:space="preserve"> neietekmē kuņģa – zarnu sistēmu un neizraisa šķidruma uzkrāšanos.</w:t>
      </w:r>
    </w:p>
    <w:p w14:paraId="392D45F5" w14:textId="77777777" w:rsidR="0097548A" w:rsidRPr="00ED49AE" w:rsidRDefault="0097548A" w:rsidP="00ED49AE">
      <w:pPr>
        <w:spacing w:line="240" w:lineRule="auto"/>
        <w:jc w:val="both"/>
        <w:rPr>
          <w:color w:val="000000"/>
          <w:szCs w:val="22"/>
        </w:rPr>
      </w:pPr>
    </w:p>
    <w:p w14:paraId="18E19256" w14:textId="77777777" w:rsidR="00CD10AA" w:rsidRPr="00ED49AE" w:rsidRDefault="00CD10AA" w:rsidP="00ED49AE">
      <w:pPr>
        <w:tabs>
          <w:tab w:val="clear" w:pos="567"/>
        </w:tabs>
        <w:spacing w:line="240" w:lineRule="auto"/>
        <w:jc w:val="both"/>
        <w:rPr>
          <w:b/>
          <w:color w:val="000000"/>
          <w:szCs w:val="22"/>
        </w:rPr>
      </w:pPr>
      <w:r w:rsidRPr="00ED49AE">
        <w:rPr>
          <w:b/>
          <w:color w:val="000000"/>
          <w:szCs w:val="22"/>
        </w:rPr>
        <w:t>5.2</w:t>
      </w:r>
      <w:r w:rsidR="00565B11" w:rsidRPr="00ED49AE">
        <w:rPr>
          <w:b/>
          <w:color w:val="000000"/>
          <w:szCs w:val="22"/>
        </w:rPr>
        <w:t>.</w:t>
      </w:r>
      <w:r w:rsidRPr="00ED49AE">
        <w:rPr>
          <w:b/>
          <w:color w:val="000000"/>
          <w:szCs w:val="22"/>
        </w:rPr>
        <w:tab/>
      </w:r>
      <w:proofErr w:type="spellStart"/>
      <w:r w:rsidRPr="00ED49AE">
        <w:rPr>
          <w:b/>
          <w:color w:val="000000"/>
          <w:szCs w:val="22"/>
        </w:rPr>
        <w:t>Farmakokinētiskās</w:t>
      </w:r>
      <w:proofErr w:type="spellEnd"/>
      <w:r w:rsidRPr="00ED49AE">
        <w:rPr>
          <w:b/>
          <w:color w:val="000000"/>
          <w:szCs w:val="22"/>
        </w:rPr>
        <w:t xml:space="preserve"> īpašības</w:t>
      </w:r>
    </w:p>
    <w:p w14:paraId="20B7A7EA" w14:textId="77777777" w:rsidR="00C33C7E" w:rsidRPr="00ED49AE" w:rsidRDefault="00C33C7E" w:rsidP="00ED49AE">
      <w:pPr>
        <w:tabs>
          <w:tab w:val="clear" w:pos="567"/>
        </w:tabs>
        <w:spacing w:line="240" w:lineRule="auto"/>
        <w:jc w:val="both"/>
        <w:rPr>
          <w:color w:val="000000"/>
          <w:szCs w:val="22"/>
          <w:u w:val="single"/>
        </w:rPr>
      </w:pPr>
    </w:p>
    <w:p w14:paraId="40B1781A" w14:textId="77777777" w:rsidR="004035FA" w:rsidRPr="00ED49AE" w:rsidRDefault="004035FA" w:rsidP="00ED49AE">
      <w:pPr>
        <w:tabs>
          <w:tab w:val="clear" w:pos="567"/>
        </w:tabs>
        <w:spacing w:line="240" w:lineRule="auto"/>
        <w:jc w:val="both"/>
        <w:rPr>
          <w:color w:val="000000"/>
          <w:szCs w:val="22"/>
          <w:u w:val="single"/>
        </w:rPr>
      </w:pPr>
      <w:r w:rsidRPr="00ED49AE">
        <w:rPr>
          <w:color w:val="000000"/>
          <w:szCs w:val="22"/>
          <w:u w:val="single"/>
        </w:rPr>
        <w:t>Uzsūkšanās</w:t>
      </w:r>
    </w:p>
    <w:p w14:paraId="73594AD8" w14:textId="77777777" w:rsidR="004035FA" w:rsidRPr="00ED49AE" w:rsidRDefault="004035FA" w:rsidP="00ED49AE">
      <w:pPr>
        <w:pStyle w:val="Default"/>
        <w:jc w:val="both"/>
        <w:rPr>
          <w:sz w:val="22"/>
          <w:szCs w:val="22"/>
          <w:lang w:val="lv-LV"/>
        </w:rPr>
      </w:pPr>
      <w:r w:rsidRPr="00ED49AE">
        <w:rPr>
          <w:sz w:val="22"/>
          <w:szCs w:val="22"/>
          <w:lang w:val="lv-LV"/>
        </w:rPr>
        <w:t xml:space="preserve">Uzsūkšanās pēc iekšķīgas lietošanas ir ātra un gandrīz pilnīga. Tā var būt samazināta, ja </w:t>
      </w:r>
      <w:proofErr w:type="spellStart"/>
      <w:r w:rsidRPr="00ED49AE">
        <w:rPr>
          <w:sz w:val="22"/>
          <w:szCs w:val="22"/>
          <w:lang w:val="lv-LV"/>
        </w:rPr>
        <w:t>paracetamols</w:t>
      </w:r>
      <w:proofErr w:type="spellEnd"/>
      <w:r w:rsidRPr="00ED49AE">
        <w:rPr>
          <w:sz w:val="22"/>
          <w:szCs w:val="22"/>
          <w:lang w:val="lv-LV"/>
        </w:rPr>
        <w:t xml:space="preserve"> tiek lietots pēc maltītes, kas bagāta ar ogļhidrātiem.</w:t>
      </w:r>
    </w:p>
    <w:p w14:paraId="439932A9" w14:textId="77777777" w:rsidR="004035FA" w:rsidRPr="00ED49AE" w:rsidRDefault="004035FA" w:rsidP="00ED49AE">
      <w:pPr>
        <w:pStyle w:val="Default"/>
        <w:jc w:val="both"/>
        <w:rPr>
          <w:sz w:val="22"/>
          <w:szCs w:val="22"/>
          <w:lang w:val="lv-LV"/>
        </w:rPr>
      </w:pPr>
      <w:r w:rsidRPr="00ED49AE">
        <w:rPr>
          <w:sz w:val="22"/>
          <w:szCs w:val="22"/>
          <w:lang w:val="lv-LV"/>
        </w:rPr>
        <w:t>Maksimālā koncentrācija tiek sasniegta 0,5 – 3 stundu laikā.</w:t>
      </w:r>
    </w:p>
    <w:p w14:paraId="67395057" w14:textId="77777777" w:rsidR="004035FA" w:rsidRPr="00ED49AE" w:rsidRDefault="004035FA" w:rsidP="00ED49AE">
      <w:pPr>
        <w:pStyle w:val="Default"/>
        <w:jc w:val="both"/>
        <w:rPr>
          <w:sz w:val="22"/>
          <w:szCs w:val="22"/>
          <w:lang w:val="lv-LV"/>
        </w:rPr>
      </w:pPr>
    </w:p>
    <w:p w14:paraId="1CCBF65F" w14:textId="77777777" w:rsidR="004035FA" w:rsidRPr="00ED49AE" w:rsidRDefault="004035FA" w:rsidP="00ED49AE">
      <w:pPr>
        <w:tabs>
          <w:tab w:val="clear" w:pos="567"/>
        </w:tabs>
        <w:spacing w:line="240" w:lineRule="auto"/>
        <w:jc w:val="both"/>
        <w:rPr>
          <w:color w:val="000000"/>
          <w:szCs w:val="22"/>
          <w:u w:val="single"/>
        </w:rPr>
      </w:pPr>
      <w:r w:rsidRPr="00ED49AE">
        <w:rPr>
          <w:color w:val="000000"/>
          <w:szCs w:val="22"/>
          <w:u w:val="single"/>
        </w:rPr>
        <w:t>Izkliede</w:t>
      </w:r>
    </w:p>
    <w:p w14:paraId="57B7490B" w14:textId="77777777" w:rsidR="004035FA" w:rsidRPr="00ED49AE" w:rsidRDefault="004035FA" w:rsidP="00ED49AE">
      <w:pPr>
        <w:pStyle w:val="Default"/>
        <w:jc w:val="both"/>
        <w:rPr>
          <w:sz w:val="22"/>
          <w:szCs w:val="22"/>
          <w:lang w:val="lv-LV"/>
        </w:rPr>
      </w:pPr>
      <w:r w:rsidRPr="00ED49AE">
        <w:rPr>
          <w:sz w:val="22"/>
          <w:szCs w:val="22"/>
          <w:lang w:val="lv-LV"/>
        </w:rPr>
        <w:t>Saistīšanās ar olbaltumvielām ir 15</w:t>
      </w:r>
      <w:r w:rsidR="00190E5C" w:rsidRPr="00ED49AE">
        <w:rPr>
          <w:sz w:val="22"/>
          <w:szCs w:val="22"/>
          <w:lang w:val="lv-LV"/>
        </w:rPr>
        <w:t> </w:t>
      </w:r>
      <w:r w:rsidRPr="00ED49AE">
        <w:rPr>
          <w:sz w:val="22"/>
          <w:szCs w:val="22"/>
          <w:lang w:val="lv-LV"/>
        </w:rPr>
        <w:t>%.</w:t>
      </w:r>
    </w:p>
    <w:p w14:paraId="2D79FD1E" w14:textId="77777777" w:rsidR="004035FA" w:rsidRPr="00ED49AE" w:rsidRDefault="004035FA" w:rsidP="00ED49AE">
      <w:pPr>
        <w:pStyle w:val="Default"/>
        <w:jc w:val="both"/>
        <w:rPr>
          <w:sz w:val="22"/>
          <w:szCs w:val="22"/>
          <w:lang w:val="lv-LV"/>
        </w:rPr>
      </w:pPr>
    </w:p>
    <w:p w14:paraId="3BF044BC" w14:textId="77777777" w:rsidR="004035FA" w:rsidRPr="00ED49AE" w:rsidRDefault="004035FA" w:rsidP="00ED49AE">
      <w:pPr>
        <w:tabs>
          <w:tab w:val="clear" w:pos="567"/>
        </w:tabs>
        <w:spacing w:line="240" w:lineRule="auto"/>
        <w:jc w:val="both"/>
        <w:rPr>
          <w:color w:val="000000"/>
          <w:szCs w:val="22"/>
        </w:rPr>
      </w:pPr>
      <w:proofErr w:type="spellStart"/>
      <w:r w:rsidRPr="00ED49AE">
        <w:rPr>
          <w:color w:val="000000"/>
          <w:szCs w:val="22"/>
          <w:u w:val="single"/>
        </w:rPr>
        <w:lastRenderedPageBreak/>
        <w:t>Biotransformācija</w:t>
      </w:r>
      <w:proofErr w:type="spellEnd"/>
    </w:p>
    <w:p w14:paraId="0B89BC2A" w14:textId="77777777" w:rsidR="004035FA" w:rsidRPr="00ED49AE" w:rsidRDefault="004035FA" w:rsidP="00ED49AE">
      <w:pPr>
        <w:pStyle w:val="Default"/>
        <w:jc w:val="both"/>
        <w:rPr>
          <w:sz w:val="22"/>
          <w:szCs w:val="22"/>
          <w:lang w:val="lv-LV"/>
        </w:rPr>
      </w:pPr>
      <w:r w:rsidRPr="00ED49AE">
        <w:rPr>
          <w:sz w:val="22"/>
          <w:szCs w:val="22"/>
          <w:lang w:val="lv-LV"/>
        </w:rPr>
        <w:t>Aptuveni 90 – 95</w:t>
      </w:r>
      <w:r w:rsidR="00190E5C" w:rsidRPr="00ED49AE">
        <w:rPr>
          <w:sz w:val="22"/>
          <w:szCs w:val="22"/>
          <w:lang w:val="lv-LV"/>
        </w:rPr>
        <w:t> </w:t>
      </w:r>
      <w:r w:rsidRPr="00ED49AE">
        <w:rPr>
          <w:sz w:val="22"/>
          <w:szCs w:val="22"/>
          <w:lang w:val="lv-LV"/>
        </w:rPr>
        <w:t xml:space="preserve">% devas tiek </w:t>
      </w:r>
      <w:proofErr w:type="spellStart"/>
      <w:r w:rsidRPr="00ED49AE">
        <w:rPr>
          <w:sz w:val="22"/>
          <w:szCs w:val="22"/>
          <w:lang w:val="lv-LV"/>
        </w:rPr>
        <w:t>metabolizēta</w:t>
      </w:r>
      <w:proofErr w:type="spellEnd"/>
      <w:r w:rsidRPr="00ED49AE">
        <w:rPr>
          <w:sz w:val="22"/>
          <w:szCs w:val="22"/>
          <w:lang w:val="lv-LV"/>
        </w:rPr>
        <w:t xml:space="preserve"> aknās, galvenokārt konjugējot par </w:t>
      </w:r>
      <w:proofErr w:type="spellStart"/>
      <w:r w:rsidRPr="00ED49AE">
        <w:rPr>
          <w:sz w:val="22"/>
          <w:szCs w:val="22"/>
          <w:lang w:val="lv-LV"/>
        </w:rPr>
        <w:t>glikuronskābi</w:t>
      </w:r>
      <w:proofErr w:type="spellEnd"/>
      <w:r w:rsidRPr="00ED49AE">
        <w:rPr>
          <w:sz w:val="22"/>
          <w:szCs w:val="22"/>
          <w:lang w:val="lv-LV"/>
        </w:rPr>
        <w:t>, sērskābi un cisteīnu (aptuveni 80</w:t>
      </w:r>
      <w:r w:rsidR="00190E5C" w:rsidRPr="00ED49AE">
        <w:rPr>
          <w:sz w:val="22"/>
          <w:szCs w:val="22"/>
          <w:lang w:val="lv-LV"/>
        </w:rPr>
        <w:t> </w:t>
      </w:r>
      <w:r w:rsidRPr="00ED49AE">
        <w:rPr>
          <w:sz w:val="22"/>
          <w:szCs w:val="22"/>
          <w:lang w:val="lv-LV"/>
        </w:rPr>
        <w:t xml:space="preserve">%). </w:t>
      </w:r>
      <w:proofErr w:type="spellStart"/>
      <w:r w:rsidRPr="00ED49AE">
        <w:rPr>
          <w:sz w:val="22"/>
          <w:szCs w:val="22"/>
          <w:lang w:val="lv-LV"/>
        </w:rPr>
        <w:t>Starpmetabolīts</w:t>
      </w:r>
      <w:proofErr w:type="spellEnd"/>
      <w:r w:rsidRPr="00ED49AE">
        <w:rPr>
          <w:sz w:val="22"/>
          <w:szCs w:val="22"/>
          <w:lang w:val="lv-LV"/>
        </w:rPr>
        <w:t xml:space="preserve">, kas var akumulēties pārdozēšanas gadījumā tiek piesātināts pēc pirmā loka metabolisma un tas ir </w:t>
      </w:r>
      <w:proofErr w:type="spellStart"/>
      <w:r w:rsidRPr="00ED49AE">
        <w:rPr>
          <w:sz w:val="22"/>
          <w:szCs w:val="22"/>
          <w:lang w:val="lv-LV"/>
        </w:rPr>
        <w:t>hepatotoksisks</w:t>
      </w:r>
      <w:proofErr w:type="spellEnd"/>
      <w:r w:rsidRPr="00ED49AE">
        <w:rPr>
          <w:sz w:val="22"/>
          <w:szCs w:val="22"/>
          <w:lang w:val="lv-LV"/>
        </w:rPr>
        <w:t xml:space="preserve"> un iespējams arī </w:t>
      </w:r>
      <w:proofErr w:type="spellStart"/>
      <w:r w:rsidRPr="00ED49AE">
        <w:rPr>
          <w:sz w:val="22"/>
          <w:szCs w:val="22"/>
          <w:lang w:val="lv-LV"/>
        </w:rPr>
        <w:t>nefrotoksisks</w:t>
      </w:r>
      <w:proofErr w:type="spellEnd"/>
      <w:r w:rsidRPr="00ED49AE">
        <w:rPr>
          <w:sz w:val="22"/>
          <w:szCs w:val="22"/>
          <w:lang w:val="lv-LV"/>
        </w:rPr>
        <w:t>.</w:t>
      </w:r>
    </w:p>
    <w:p w14:paraId="3E043EE5" w14:textId="77777777" w:rsidR="004035FA" w:rsidRPr="00ED49AE" w:rsidRDefault="004035FA" w:rsidP="00ED49AE">
      <w:pPr>
        <w:pStyle w:val="Default"/>
        <w:jc w:val="both"/>
        <w:rPr>
          <w:sz w:val="22"/>
          <w:szCs w:val="22"/>
          <w:lang w:val="lv-LV"/>
        </w:rPr>
      </w:pPr>
    </w:p>
    <w:p w14:paraId="43EDB467" w14:textId="77777777" w:rsidR="004035FA" w:rsidRPr="00ED49AE" w:rsidRDefault="004035FA" w:rsidP="00ED49AE">
      <w:pPr>
        <w:tabs>
          <w:tab w:val="clear" w:pos="567"/>
        </w:tabs>
        <w:spacing w:line="240" w:lineRule="auto"/>
        <w:jc w:val="both"/>
        <w:rPr>
          <w:color w:val="000000"/>
          <w:szCs w:val="22"/>
          <w:u w:val="single"/>
        </w:rPr>
      </w:pPr>
      <w:r w:rsidRPr="00ED49AE">
        <w:rPr>
          <w:color w:val="000000"/>
          <w:szCs w:val="22"/>
          <w:u w:val="single"/>
        </w:rPr>
        <w:t>Eliminācija</w:t>
      </w:r>
    </w:p>
    <w:p w14:paraId="112EABC3" w14:textId="77777777" w:rsidR="004035FA" w:rsidRPr="00ED49AE" w:rsidRDefault="004035FA" w:rsidP="00ED49AE">
      <w:pPr>
        <w:pStyle w:val="Default"/>
        <w:jc w:val="both"/>
        <w:rPr>
          <w:sz w:val="22"/>
          <w:szCs w:val="22"/>
          <w:lang w:val="lv-LV"/>
        </w:rPr>
      </w:pPr>
      <w:r w:rsidRPr="00ED49AE">
        <w:rPr>
          <w:sz w:val="22"/>
          <w:szCs w:val="22"/>
          <w:lang w:val="lv-LV"/>
        </w:rPr>
        <w:t>Eliminācijas pusperiods ir 1 līdz 4 stundas. Nieru mazspējas gadījumā tas paliek nemainīgs, bet akūtas pārdozēšanas, dažu aknu slimību gadījumā, gados vecākiem pacientiem un jaundzimušajiem tas var būt pagarināts. Bērniem tas arī var būt samazināts.</w:t>
      </w:r>
    </w:p>
    <w:p w14:paraId="4680113C" w14:textId="77777777" w:rsidR="004035FA" w:rsidRPr="00ED49AE" w:rsidRDefault="004035FA" w:rsidP="00ED49AE">
      <w:pPr>
        <w:pStyle w:val="Default"/>
        <w:jc w:val="both"/>
        <w:rPr>
          <w:sz w:val="22"/>
          <w:szCs w:val="22"/>
          <w:lang w:val="lv-LV"/>
        </w:rPr>
      </w:pPr>
      <w:r w:rsidRPr="00ED49AE">
        <w:rPr>
          <w:sz w:val="22"/>
          <w:szCs w:val="22"/>
          <w:lang w:val="lv-LV"/>
        </w:rPr>
        <w:t xml:space="preserve">Eliminācija notiek caur nierēm, metabolītu un primāro </w:t>
      </w:r>
      <w:proofErr w:type="spellStart"/>
      <w:r w:rsidRPr="00ED49AE">
        <w:rPr>
          <w:sz w:val="22"/>
          <w:szCs w:val="22"/>
          <w:lang w:val="lv-LV"/>
        </w:rPr>
        <w:t>konjugātu</w:t>
      </w:r>
      <w:proofErr w:type="spellEnd"/>
      <w:r w:rsidRPr="00ED49AE">
        <w:rPr>
          <w:sz w:val="22"/>
          <w:szCs w:val="22"/>
          <w:lang w:val="lv-LV"/>
        </w:rPr>
        <w:t xml:space="preserve"> veidā. 3</w:t>
      </w:r>
      <w:r w:rsidR="00190E5C" w:rsidRPr="00ED49AE">
        <w:rPr>
          <w:sz w:val="22"/>
          <w:szCs w:val="22"/>
          <w:lang w:val="lv-LV"/>
        </w:rPr>
        <w:t> </w:t>
      </w:r>
      <w:r w:rsidRPr="00ED49AE">
        <w:rPr>
          <w:sz w:val="22"/>
          <w:szCs w:val="22"/>
          <w:lang w:val="lv-LV"/>
        </w:rPr>
        <w:t>% no lietotās devas izdalās neizmainītā veidā.</w:t>
      </w:r>
    </w:p>
    <w:p w14:paraId="3A2209E2" w14:textId="77777777" w:rsidR="004035FA" w:rsidRPr="00ED49AE" w:rsidRDefault="004035FA" w:rsidP="00ED49AE">
      <w:pPr>
        <w:pStyle w:val="Default"/>
        <w:jc w:val="both"/>
        <w:rPr>
          <w:sz w:val="22"/>
          <w:szCs w:val="22"/>
          <w:lang w:val="lv-LV"/>
        </w:rPr>
      </w:pPr>
    </w:p>
    <w:p w14:paraId="46E1E9D5" w14:textId="77777777" w:rsidR="004035FA" w:rsidRPr="00ED49AE" w:rsidRDefault="004035FA" w:rsidP="00ED49AE">
      <w:pPr>
        <w:pStyle w:val="Default"/>
        <w:jc w:val="both"/>
        <w:rPr>
          <w:sz w:val="22"/>
          <w:szCs w:val="22"/>
          <w:lang w:val="lv-LV"/>
        </w:rPr>
      </w:pPr>
      <w:r w:rsidRPr="00ED49AE">
        <w:rPr>
          <w:sz w:val="22"/>
          <w:szCs w:val="22"/>
          <w:lang w:val="lv-LV"/>
        </w:rPr>
        <w:t xml:space="preserve">Mātes pienā maksimālā koncentrācija ir 1 – 15 </w:t>
      </w:r>
      <w:proofErr w:type="spellStart"/>
      <w:r w:rsidRPr="00ED49AE">
        <w:rPr>
          <w:sz w:val="22"/>
          <w:szCs w:val="22"/>
          <w:lang w:val="lv-LV"/>
        </w:rPr>
        <w:t>mcg</w:t>
      </w:r>
      <w:proofErr w:type="spellEnd"/>
      <w:r w:rsidRPr="00ED49AE">
        <w:rPr>
          <w:sz w:val="22"/>
          <w:szCs w:val="22"/>
          <w:lang w:val="lv-LV"/>
        </w:rPr>
        <w:t>/ml tika noteikta 1 – 2 stundas pēc vienas 650 mg lielas devas lietošanas. Eliminācijas pusperiods no mātes piena ir 1,35 – 3,5 stundas.</w:t>
      </w:r>
    </w:p>
    <w:p w14:paraId="63D47C33" w14:textId="77777777" w:rsidR="00CD10AA" w:rsidRPr="00ED49AE" w:rsidRDefault="00CD10AA" w:rsidP="00ED49AE">
      <w:pPr>
        <w:spacing w:line="240" w:lineRule="auto"/>
        <w:jc w:val="both"/>
        <w:rPr>
          <w:color w:val="000000"/>
          <w:szCs w:val="22"/>
        </w:rPr>
      </w:pPr>
    </w:p>
    <w:p w14:paraId="69AD98FA" w14:textId="77777777" w:rsidR="00CD10AA" w:rsidRPr="00ED49AE" w:rsidRDefault="00CD10AA" w:rsidP="00ED49AE">
      <w:pPr>
        <w:tabs>
          <w:tab w:val="clear" w:pos="567"/>
        </w:tabs>
        <w:spacing w:line="240" w:lineRule="auto"/>
        <w:jc w:val="both"/>
        <w:rPr>
          <w:color w:val="000000"/>
          <w:szCs w:val="22"/>
        </w:rPr>
      </w:pPr>
      <w:r w:rsidRPr="00ED49AE">
        <w:rPr>
          <w:b/>
          <w:color w:val="000000"/>
          <w:szCs w:val="22"/>
        </w:rPr>
        <w:t>5.3</w:t>
      </w:r>
      <w:r w:rsidR="008C59E2" w:rsidRPr="00ED49AE">
        <w:rPr>
          <w:b/>
          <w:color w:val="000000"/>
          <w:szCs w:val="22"/>
        </w:rPr>
        <w:t>.</w:t>
      </w:r>
      <w:r w:rsidRPr="00ED49AE">
        <w:rPr>
          <w:b/>
          <w:color w:val="000000"/>
          <w:szCs w:val="22"/>
        </w:rPr>
        <w:tab/>
      </w:r>
      <w:proofErr w:type="spellStart"/>
      <w:r w:rsidRPr="00ED49AE">
        <w:rPr>
          <w:b/>
          <w:color w:val="000000"/>
          <w:szCs w:val="22"/>
        </w:rPr>
        <w:t>Preklīniskie</w:t>
      </w:r>
      <w:proofErr w:type="spellEnd"/>
      <w:r w:rsidRPr="00ED49AE">
        <w:rPr>
          <w:b/>
          <w:color w:val="000000"/>
          <w:szCs w:val="22"/>
        </w:rPr>
        <w:t xml:space="preserve"> dati par droš</w:t>
      </w:r>
      <w:r w:rsidR="00E53972" w:rsidRPr="00ED49AE">
        <w:rPr>
          <w:b/>
          <w:color w:val="000000"/>
          <w:szCs w:val="22"/>
        </w:rPr>
        <w:t>umu</w:t>
      </w:r>
    </w:p>
    <w:p w14:paraId="43D2909A" w14:textId="77777777" w:rsidR="00C33C7E" w:rsidRPr="00ED49AE" w:rsidRDefault="00C33C7E" w:rsidP="00ED49AE">
      <w:pPr>
        <w:pStyle w:val="Default"/>
        <w:jc w:val="both"/>
        <w:rPr>
          <w:sz w:val="22"/>
          <w:szCs w:val="22"/>
          <w:lang w:val="lv-LV"/>
        </w:rPr>
      </w:pPr>
    </w:p>
    <w:p w14:paraId="00023F5D" w14:textId="77777777" w:rsidR="004035FA" w:rsidRPr="00ED49AE" w:rsidRDefault="004035FA" w:rsidP="00ED49AE">
      <w:pPr>
        <w:pStyle w:val="Default"/>
        <w:jc w:val="both"/>
        <w:rPr>
          <w:sz w:val="22"/>
          <w:szCs w:val="22"/>
          <w:lang w:val="lv-LV"/>
        </w:rPr>
      </w:pPr>
      <w:r w:rsidRPr="00ED49AE">
        <w:rPr>
          <w:sz w:val="22"/>
          <w:szCs w:val="22"/>
          <w:lang w:val="lv-LV"/>
        </w:rPr>
        <w:t>Šo zāļu aktīvā viela ir plaši pazīstama un tās drošuma profils ir labi dokumentēts.</w:t>
      </w:r>
    </w:p>
    <w:p w14:paraId="714576F9" w14:textId="77777777" w:rsidR="00CD10AA" w:rsidRPr="00ED49AE" w:rsidRDefault="00CD10AA" w:rsidP="00ED49AE">
      <w:pPr>
        <w:tabs>
          <w:tab w:val="clear" w:pos="567"/>
        </w:tabs>
        <w:spacing w:line="240" w:lineRule="auto"/>
        <w:jc w:val="both"/>
        <w:rPr>
          <w:color w:val="000000"/>
          <w:szCs w:val="22"/>
        </w:rPr>
      </w:pPr>
    </w:p>
    <w:p w14:paraId="10F22466" w14:textId="77777777" w:rsidR="00ED49AE" w:rsidRPr="00ED49AE" w:rsidRDefault="00ED49AE" w:rsidP="00ED49AE">
      <w:pPr>
        <w:pStyle w:val="Default"/>
        <w:jc w:val="both"/>
        <w:rPr>
          <w:sz w:val="22"/>
          <w:szCs w:val="22"/>
          <w:lang w:val="lv-LV"/>
        </w:rPr>
      </w:pPr>
      <w:proofErr w:type="spellStart"/>
      <w:r w:rsidRPr="00ED49AE">
        <w:rPr>
          <w:sz w:val="22"/>
          <w:szCs w:val="22"/>
          <w:lang w:val="lv-LV"/>
        </w:rPr>
        <w:t>Standartpētījumi</w:t>
      </w:r>
      <w:proofErr w:type="spellEnd"/>
      <w:r w:rsidRPr="00ED49AE">
        <w:rPr>
          <w:sz w:val="22"/>
          <w:szCs w:val="22"/>
          <w:lang w:val="lv-LV"/>
        </w:rPr>
        <w:t xml:space="preserve">, izmantojot šobrīd spēkā esošos standartus toksiskas ietekmes uz </w:t>
      </w:r>
      <w:proofErr w:type="spellStart"/>
      <w:r w:rsidRPr="00ED49AE">
        <w:rPr>
          <w:sz w:val="22"/>
          <w:szCs w:val="22"/>
          <w:lang w:val="lv-LV"/>
        </w:rPr>
        <w:t>reproduktivitāti</w:t>
      </w:r>
      <w:proofErr w:type="spellEnd"/>
      <w:r w:rsidRPr="00ED49AE">
        <w:rPr>
          <w:sz w:val="22"/>
          <w:szCs w:val="22"/>
          <w:lang w:val="lv-LV"/>
        </w:rPr>
        <w:t xml:space="preserve"> un attīstību vērtēšanai, nav pieejami.</w:t>
      </w:r>
    </w:p>
    <w:p w14:paraId="346B1AB9" w14:textId="77777777" w:rsidR="00C33C7E" w:rsidRPr="00ED49AE" w:rsidRDefault="00C33C7E" w:rsidP="00ED49AE">
      <w:pPr>
        <w:tabs>
          <w:tab w:val="clear" w:pos="567"/>
        </w:tabs>
        <w:spacing w:line="240" w:lineRule="auto"/>
        <w:jc w:val="both"/>
        <w:rPr>
          <w:color w:val="000000"/>
          <w:szCs w:val="22"/>
        </w:rPr>
      </w:pPr>
    </w:p>
    <w:p w14:paraId="0BECF17E" w14:textId="77777777" w:rsidR="00ED49AE" w:rsidRPr="00ED49AE" w:rsidRDefault="00ED49AE" w:rsidP="00ED49AE">
      <w:pPr>
        <w:tabs>
          <w:tab w:val="clear" w:pos="567"/>
        </w:tabs>
        <w:spacing w:line="240" w:lineRule="auto"/>
        <w:jc w:val="both"/>
        <w:rPr>
          <w:color w:val="000000"/>
          <w:szCs w:val="22"/>
        </w:rPr>
      </w:pPr>
    </w:p>
    <w:p w14:paraId="1BF930CA" w14:textId="77777777" w:rsidR="00CD10AA" w:rsidRPr="00ED49AE" w:rsidRDefault="00CD10AA" w:rsidP="00ED49AE">
      <w:pPr>
        <w:tabs>
          <w:tab w:val="clear" w:pos="567"/>
        </w:tabs>
        <w:spacing w:line="240" w:lineRule="auto"/>
        <w:jc w:val="both"/>
        <w:rPr>
          <w:b/>
          <w:color w:val="000000"/>
          <w:szCs w:val="22"/>
        </w:rPr>
      </w:pPr>
      <w:r w:rsidRPr="00ED49AE">
        <w:rPr>
          <w:b/>
          <w:color w:val="000000"/>
          <w:szCs w:val="22"/>
        </w:rPr>
        <w:t>6.</w:t>
      </w:r>
      <w:r w:rsidRPr="00ED49AE">
        <w:rPr>
          <w:b/>
          <w:color w:val="000000"/>
          <w:szCs w:val="22"/>
        </w:rPr>
        <w:tab/>
        <w:t>FARMACEITISKĀ INFORMĀCIJA</w:t>
      </w:r>
    </w:p>
    <w:p w14:paraId="41D169D5" w14:textId="77777777" w:rsidR="00C33C7E" w:rsidRPr="00ED49AE" w:rsidRDefault="00C33C7E" w:rsidP="00ED49AE">
      <w:pPr>
        <w:tabs>
          <w:tab w:val="clear" w:pos="567"/>
        </w:tabs>
        <w:spacing w:line="240" w:lineRule="auto"/>
        <w:jc w:val="both"/>
        <w:rPr>
          <w:b/>
          <w:color w:val="000000"/>
          <w:szCs w:val="22"/>
        </w:rPr>
      </w:pPr>
    </w:p>
    <w:p w14:paraId="19D5EFEA" w14:textId="77777777" w:rsidR="00CD10AA" w:rsidRPr="00ED49AE" w:rsidRDefault="00CD10AA" w:rsidP="00ED49AE">
      <w:pPr>
        <w:tabs>
          <w:tab w:val="clear" w:pos="567"/>
        </w:tabs>
        <w:spacing w:line="240" w:lineRule="auto"/>
        <w:jc w:val="both"/>
        <w:rPr>
          <w:color w:val="000000"/>
          <w:szCs w:val="22"/>
        </w:rPr>
      </w:pPr>
      <w:r w:rsidRPr="00ED49AE">
        <w:rPr>
          <w:b/>
          <w:color w:val="000000"/>
          <w:szCs w:val="22"/>
        </w:rPr>
        <w:t>6.1</w:t>
      </w:r>
      <w:r w:rsidR="00980C1E" w:rsidRPr="00ED49AE">
        <w:rPr>
          <w:b/>
          <w:color w:val="000000"/>
          <w:szCs w:val="22"/>
        </w:rPr>
        <w:t>.</w:t>
      </w:r>
      <w:r w:rsidRPr="00ED49AE">
        <w:rPr>
          <w:b/>
          <w:color w:val="000000"/>
          <w:szCs w:val="22"/>
        </w:rPr>
        <w:tab/>
      </w:r>
      <w:proofErr w:type="spellStart"/>
      <w:r w:rsidRPr="00ED49AE">
        <w:rPr>
          <w:b/>
          <w:color w:val="000000"/>
          <w:szCs w:val="22"/>
        </w:rPr>
        <w:t>Palīgvielu</w:t>
      </w:r>
      <w:proofErr w:type="spellEnd"/>
      <w:r w:rsidRPr="00ED49AE">
        <w:rPr>
          <w:b/>
          <w:color w:val="000000"/>
          <w:szCs w:val="22"/>
        </w:rPr>
        <w:t xml:space="preserve"> saraksts</w:t>
      </w:r>
    </w:p>
    <w:p w14:paraId="3F61AE30" w14:textId="77777777" w:rsidR="00C33C7E" w:rsidRPr="00ED49AE" w:rsidRDefault="00C33C7E" w:rsidP="00ED49AE">
      <w:pPr>
        <w:pStyle w:val="Default"/>
        <w:jc w:val="both"/>
        <w:rPr>
          <w:sz w:val="22"/>
          <w:szCs w:val="22"/>
          <w:lang w:val="lv-LV"/>
        </w:rPr>
      </w:pPr>
    </w:p>
    <w:p w14:paraId="21643A89" w14:textId="77777777" w:rsidR="004035FA" w:rsidRPr="00ED49AE" w:rsidRDefault="004035FA" w:rsidP="00ED49AE">
      <w:pPr>
        <w:pStyle w:val="Default"/>
        <w:jc w:val="both"/>
        <w:rPr>
          <w:sz w:val="22"/>
          <w:szCs w:val="22"/>
          <w:lang w:val="lv-LV"/>
        </w:rPr>
      </w:pPr>
      <w:proofErr w:type="spellStart"/>
      <w:r w:rsidRPr="00ED49AE">
        <w:rPr>
          <w:sz w:val="22"/>
          <w:szCs w:val="22"/>
          <w:lang w:val="lv-LV"/>
        </w:rPr>
        <w:t>Disperģējamā</w:t>
      </w:r>
      <w:proofErr w:type="spellEnd"/>
      <w:r w:rsidRPr="00ED49AE">
        <w:rPr>
          <w:sz w:val="22"/>
          <w:szCs w:val="22"/>
          <w:lang w:val="lv-LV"/>
        </w:rPr>
        <w:t xml:space="preserve"> celuloze</w:t>
      </w:r>
    </w:p>
    <w:p w14:paraId="1D265E1B" w14:textId="77777777" w:rsidR="004035FA" w:rsidRPr="00ED49AE" w:rsidRDefault="004035FA" w:rsidP="00ED49AE">
      <w:pPr>
        <w:pStyle w:val="Default"/>
        <w:jc w:val="both"/>
        <w:rPr>
          <w:sz w:val="22"/>
          <w:szCs w:val="22"/>
          <w:lang w:val="lv-LV"/>
        </w:rPr>
      </w:pPr>
      <w:proofErr w:type="spellStart"/>
      <w:r w:rsidRPr="00ED49AE">
        <w:rPr>
          <w:sz w:val="22"/>
          <w:szCs w:val="22"/>
          <w:lang w:val="lv-LV"/>
        </w:rPr>
        <w:t>Ksantāna</w:t>
      </w:r>
      <w:proofErr w:type="spellEnd"/>
      <w:r w:rsidRPr="00ED49AE">
        <w:rPr>
          <w:sz w:val="22"/>
          <w:szCs w:val="22"/>
          <w:lang w:val="lv-LV"/>
        </w:rPr>
        <w:t xml:space="preserve"> sveķi</w:t>
      </w:r>
    </w:p>
    <w:p w14:paraId="63F4FE75" w14:textId="77777777" w:rsidR="004035FA" w:rsidRPr="00ED49AE" w:rsidRDefault="004035FA" w:rsidP="00ED49AE">
      <w:pPr>
        <w:pStyle w:val="Default"/>
        <w:jc w:val="both"/>
        <w:rPr>
          <w:sz w:val="22"/>
          <w:szCs w:val="22"/>
          <w:lang w:val="lv-LV"/>
        </w:rPr>
      </w:pPr>
      <w:proofErr w:type="spellStart"/>
      <w:r w:rsidRPr="00ED49AE">
        <w:rPr>
          <w:sz w:val="22"/>
          <w:szCs w:val="22"/>
          <w:lang w:val="lv-LV"/>
        </w:rPr>
        <w:t>Metil</w:t>
      </w:r>
      <w:r w:rsidR="000962F1" w:rsidRPr="00ED49AE">
        <w:rPr>
          <w:sz w:val="22"/>
          <w:szCs w:val="22"/>
          <w:lang w:val="lv-LV"/>
        </w:rPr>
        <w:t>para</w:t>
      </w:r>
      <w:r w:rsidRPr="00ED49AE">
        <w:rPr>
          <w:sz w:val="22"/>
          <w:szCs w:val="22"/>
          <w:lang w:val="lv-LV"/>
        </w:rPr>
        <w:t>hidroksibenzoāts</w:t>
      </w:r>
      <w:proofErr w:type="spellEnd"/>
      <w:r w:rsidRPr="00ED49AE">
        <w:rPr>
          <w:sz w:val="22"/>
          <w:szCs w:val="22"/>
          <w:lang w:val="lv-LV"/>
        </w:rPr>
        <w:t xml:space="preserve"> (E218)</w:t>
      </w:r>
    </w:p>
    <w:p w14:paraId="48D2C7BD" w14:textId="77777777" w:rsidR="004035FA" w:rsidRPr="00ED49AE" w:rsidRDefault="004035FA" w:rsidP="00ED49AE">
      <w:pPr>
        <w:pStyle w:val="Default"/>
        <w:jc w:val="both"/>
        <w:rPr>
          <w:sz w:val="22"/>
          <w:szCs w:val="22"/>
          <w:lang w:val="lv-LV"/>
        </w:rPr>
      </w:pPr>
      <w:proofErr w:type="spellStart"/>
      <w:r w:rsidRPr="00ED49AE">
        <w:rPr>
          <w:sz w:val="22"/>
          <w:szCs w:val="22"/>
          <w:lang w:val="lv-LV"/>
        </w:rPr>
        <w:t>Propilēnglikols</w:t>
      </w:r>
      <w:proofErr w:type="spellEnd"/>
    </w:p>
    <w:p w14:paraId="59457374" w14:textId="77777777" w:rsidR="004035FA" w:rsidRPr="00ED49AE" w:rsidRDefault="004035FA" w:rsidP="00ED49AE">
      <w:pPr>
        <w:pStyle w:val="Default"/>
        <w:jc w:val="both"/>
        <w:rPr>
          <w:sz w:val="22"/>
          <w:szCs w:val="22"/>
          <w:lang w:val="lv-LV"/>
        </w:rPr>
      </w:pPr>
      <w:r w:rsidRPr="00ED49AE">
        <w:rPr>
          <w:sz w:val="22"/>
          <w:szCs w:val="22"/>
          <w:lang w:val="lv-LV"/>
        </w:rPr>
        <w:t>Saharoze</w:t>
      </w:r>
    </w:p>
    <w:p w14:paraId="586B0227" w14:textId="77777777" w:rsidR="004035FA" w:rsidRPr="00ED49AE" w:rsidRDefault="004035FA" w:rsidP="00ED49AE">
      <w:pPr>
        <w:pStyle w:val="Default"/>
        <w:jc w:val="both"/>
        <w:rPr>
          <w:sz w:val="22"/>
          <w:szCs w:val="22"/>
          <w:lang w:val="lv-LV"/>
        </w:rPr>
      </w:pPr>
      <w:proofErr w:type="spellStart"/>
      <w:r w:rsidRPr="00ED49AE">
        <w:rPr>
          <w:sz w:val="22"/>
          <w:szCs w:val="22"/>
          <w:lang w:val="lv-LV"/>
        </w:rPr>
        <w:t>Sorbīts</w:t>
      </w:r>
      <w:proofErr w:type="spellEnd"/>
      <w:r w:rsidRPr="00ED49AE">
        <w:rPr>
          <w:sz w:val="22"/>
          <w:szCs w:val="22"/>
          <w:lang w:val="lv-LV"/>
        </w:rPr>
        <w:t xml:space="preserve"> (E420)</w:t>
      </w:r>
    </w:p>
    <w:p w14:paraId="1C3E8A48" w14:textId="77777777" w:rsidR="004035FA" w:rsidRPr="00ED49AE" w:rsidRDefault="004035FA" w:rsidP="00ED49AE">
      <w:pPr>
        <w:pStyle w:val="Default"/>
        <w:jc w:val="both"/>
        <w:rPr>
          <w:sz w:val="22"/>
          <w:szCs w:val="22"/>
          <w:lang w:val="lv-LV"/>
        </w:rPr>
      </w:pPr>
      <w:r w:rsidRPr="00ED49AE">
        <w:rPr>
          <w:sz w:val="22"/>
          <w:szCs w:val="22"/>
          <w:lang w:val="lv-LV"/>
        </w:rPr>
        <w:t>Glicerīns</w:t>
      </w:r>
    </w:p>
    <w:p w14:paraId="264BA627" w14:textId="77777777" w:rsidR="00190E5C" w:rsidRPr="00ED49AE" w:rsidRDefault="00761273" w:rsidP="00ED49AE">
      <w:pPr>
        <w:pStyle w:val="Default"/>
        <w:jc w:val="both"/>
        <w:rPr>
          <w:sz w:val="22"/>
          <w:szCs w:val="22"/>
          <w:lang w:val="lv-LV"/>
        </w:rPr>
      </w:pPr>
      <w:r w:rsidRPr="00ED49AE">
        <w:rPr>
          <w:sz w:val="22"/>
          <w:szCs w:val="22"/>
          <w:lang w:val="lv-LV"/>
        </w:rPr>
        <w:t xml:space="preserve">Zemeņu </w:t>
      </w:r>
      <w:r w:rsidR="00190E5C" w:rsidRPr="00ED49AE">
        <w:rPr>
          <w:sz w:val="22"/>
          <w:szCs w:val="22"/>
          <w:lang w:val="lv-LV"/>
        </w:rPr>
        <w:t>aromātviela</w:t>
      </w:r>
      <w:r w:rsidR="008C37E5" w:rsidRPr="00ED49AE">
        <w:rPr>
          <w:sz w:val="22"/>
          <w:szCs w:val="22"/>
          <w:lang w:val="lv-LV"/>
        </w:rPr>
        <w:t xml:space="preserve"> (aromātvielas un </w:t>
      </w:r>
      <w:proofErr w:type="spellStart"/>
      <w:r w:rsidR="008C37E5" w:rsidRPr="00ED49AE">
        <w:rPr>
          <w:sz w:val="22"/>
          <w:szCs w:val="22"/>
          <w:lang w:val="lv-LV"/>
        </w:rPr>
        <w:t>propilēnglikols</w:t>
      </w:r>
      <w:proofErr w:type="spellEnd"/>
      <w:r w:rsidR="008C37E5" w:rsidRPr="00ED49AE">
        <w:rPr>
          <w:sz w:val="22"/>
          <w:szCs w:val="22"/>
          <w:lang w:val="lv-LV"/>
        </w:rPr>
        <w:t xml:space="preserve"> (E1520))</w:t>
      </w:r>
    </w:p>
    <w:p w14:paraId="3F31F046" w14:textId="77777777" w:rsidR="00190E5C" w:rsidRPr="00ED49AE" w:rsidRDefault="00190E5C" w:rsidP="00ED49AE">
      <w:pPr>
        <w:pStyle w:val="Default"/>
        <w:jc w:val="both"/>
        <w:rPr>
          <w:sz w:val="22"/>
          <w:szCs w:val="22"/>
          <w:lang w:val="lv-LV"/>
        </w:rPr>
      </w:pPr>
      <w:r w:rsidRPr="00ED49AE">
        <w:rPr>
          <w:sz w:val="22"/>
          <w:szCs w:val="22"/>
          <w:lang w:val="lv-LV"/>
        </w:rPr>
        <w:t>Attīrīts ūdens</w:t>
      </w:r>
    </w:p>
    <w:p w14:paraId="79DB798E" w14:textId="77777777" w:rsidR="00CD10AA" w:rsidRPr="00ED49AE" w:rsidRDefault="00CD10AA" w:rsidP="00ED49AE">
      <w:pPr>
        <w:tabs>
          <w:tab w:val="clear" w:pos="567"/>
        </w:tabs>
        <w:spacing w:line="240" w:lineRule="auto"/>
        <w:jc w:val="both"/>
        <w:rPr>
          <w:color w:val="000000"/>
          <w:szCs w:val="22"/>
        </w:rPr>
      </w:pPr>
    </w:p>
    <w:p w14:paraId="73D32B67" w14:textId="77777777" w:rsidR="00CD10AA" w:rsidRPr="00ED49AE" w:rsidRDefault="00CD10AA" w:rsidP="00ED49AE">
      <w:pPr>
        <w:tabs>
          <w:tab w:val="clear" w:pos="567"/>
        </w:tabs>
        <w:spacing w:line="240" w:lineRule="auto"/>
        <w:jc w:val="both"/>
        <w:rPr>
          <w:color w:val="000000"/>
          <w:szCs w:val="22"/>
        </w:rPr>
      </w:pPr>
      <w:r w:rsidRPr="00ED49AE">
        <w:rPr>
          <w:b/>
          <w:color w:val="000000"/>
          <w:szCs w:val="22"/>
        </w:rPr>
        <w:t>6.2</w:t>
      </w:r>
      <w:r w:rsidR="00980C1E" w:rsidRPr="00ED49AE">
        <w:rPr>
          <w:b/>
          <w:color w:val="000000"/>
          <w:szCs w:val="22"/>
        </w:rPr>
        <w:t>.</w:t>
      </w:r>
      <w:r w:rsidRPr="00ED49AE">
        <w:rPr>
          <w:b/>
          <w:color w:val="000000"/>
          <w:szCs w:val="22"/>
        </w:rPr>
        <w:tab/>
        <w:t>Nesaderība</w:t>
      </w:r>
    </w:p>
    <w:p w14:paraId="07350123" w14:textId="77777777" w:rsidR="00C33C7E" w:rsidRPr="00ED49AE" w:rsidRDefault="00C33C7E" w:rsidP="00ED49AE">
      <w:pPr>
        <w:tabs>
          <w:tab w:val="clear" w:pos="567"/>
        </w:tabs>
        <w:spacing w:line="240" w:lineRule="auto"/>
        <w:jc w:val="both"/>
        <w:rPr>
          <w:color w:val="000000"/>
          <w:szCs w:val="22"/>
        </w:rPr>
      </w:pPr>
    </w:p>
    <w:p w14:paraId="177952CA" w14:textId="77777777" w:rsidR="00CD10AA" w:rsidRPr="00ED49AE" w:rsidRDefault="003F45AD" w:rsidP="00ED49AE">
      <w:pPr>
        <w:tabs>
          <w:tab w:val="clear" w:pos="567"/>
        </w:tabs>
        <w:spacing w:line="240" w:lineRule="auto"/>
        <w:jc w:val="both"/>
        <w:rPr>
          <w:color w:val="000000"/>
          <w:szCs w:val="22"/>
        </w:rPr>
      </w:pPr>
      <w:r w:rsidRPr="00ED49AE">
        <w:rPr>
          <w:color w:val="000000"/>
          <w:szCs w:val="22"/>
        </w:rPr>
        <w:t>Nav piemērojama.</w:t>
      </w:r>
    </w:p>
    <w:p w14:paraId="2469D644" w14:textId="77777777" w:rsidR="00CD10AA" w:rsidRPr="00ED49AE" w:rsidRDefault="00CD10AA" w:rsidP="00ED49AE">
      <w:pPr>
        <w:tabs>
          <w:tab w:val="clear" w:pos="567"/>
        </w:tabs>
        <w:spacing w:line="240" w:lineRule="auto"/>
        <w:jc w:val="both"/>
        <w:rPr>
          <w:color w:val="000000"/>
          <w:szCs w:val="22"/>
        </w:rPr>
      </w:pPr>
    </w:p>
    <w:p w14:paraId="0B4DC21A" w14:textId="77777777" w:rsidR="00CD10AA" w:rsidRPr="00ED49AE" w:rsidRDefault="00CD10AA" w:rsidP="00ED49AE">
      <w:pPr>
        <w:tabs>
          <w:tab w:val="clear" w:pos="567"/>
        </w:tabs>
        <w:spacing w:line="240" w:lineRule="auto"/>
        <w:jc w:val="both"/>
        <w:rPr>
          <w:color w:val="000000"/>
          <w:szCs w:val="22"/>
        </w:rPr>
      </w:pPr>
      <w:r w:rsidRPr="00ED49AE">
        <w:rPr>
          <w:b/>
          <w:color w:val="000000"/>
          <w:szCs w:val="22"/>
        </w:rPr>
        <w:t>6.3</w:t>
      </w:r>
      <w:r w:rsidR="00980C1E" w:rsidRPr="00ED49AE">
        <w:rPr>
          <w:b/>
          <w:color w:val="000000"/>
          <w:szCs w:val="22"/>
        </w:rPr>
        <w:t>.</w:t>
      </w:r>
      <w:r w:rsidRPr="00ED49AE">
        <w:rPr>
          <w:b/>
          <w:color w:val="000000"/>
          <w:szCs w:val="22"/>
        </w:rPr>
        <w:tab/>
        <w:t>Uzglabāšanas laiks</w:t>
      </w:r>
    </w:p>
    <w:p w14:paraId="411C194A" w14:textId="77777777" w:rsidR="00C33C7E" w:rsidRPr="00ED49AE" w:rsidRDefault="00C33C7E" w:rsidP="00ED49AE">
      <w:pPr>
        <w:tabs>
          <w:tab w:val="clear" w:pos="567"/>
        </w:tabs>
        <w:spacing w:line="240" w:lineRule="auto"/>
        <w:jc w:val="both"/>
        <w:rPr>
          <w:color w:val="000000"/>
          <w:szCs w:val="22"/>
        </w:rPr>
      </w:pPr>
    </w:p>
    <w:p w14:paraId="6E030E69" w14:textId="77777777" w:rsidR="00CD10AA" w:rsidRPr="00ED49AE" w:rsidRDefault="004035FA" w:rsidP="00ED49AE">
      <w:pPr>
        <w:tabs>
          <w:tab w:val="clear" w:pos="567"/>
        </w:tabs>
        <w:spacing w:line="240" w:lineRule="auto"/>
        <w:jc w:val="both"/>
        <w:rPr>
          <w:color w:val="000000"/>
          <w:szCs w:val="22"/>
        </w:rPr>
      </w:pPr>
      <w:r w:rsidRPr="00ED49AE">
        <w:rPr>
          <w:color w:val="000000"/>
          <w:szCs w:val="22"/>
        </w:rPr>
        <w:t>3</w:t>
      </w:r>
      <w:r w:rsidR="00B944A8" w:rsidRPr="00ED49AE">
        <w:rPr>
          <w:color w:val="000000"/>
          <w:szCs w:val="22"/>
        </w:rPr>
        <w:t xml:space="preserve"> gadi.</w:t>
      </w:r>
    </w:p>
    <w:p w14:paraId="064CCCE2" w14:textId="77777777" w:rsidR="00CD10AA" w:rsidRPr="00ED49AE" w:rsidRDefault="00CD10AA" w:rsidP="00ED49AE">
      <w:pPr>
        <w:tabs>
          <w:tab w:val="clear" w:pos="567"/>
        </w:tabs>
        <w:spacing w:line="240" w:lineRule="auto"/>
        <w:jc w:val="both"/>
        <w:rPr>
          <w:color w:val="000000"/>
          <w:szCs w:val="22"/>
        </w:rPr>
      </w:pPr>
    </w:p>
    <w:p w14:paraId="4B5C9B98" w14:textId="77777777" w:rsidR="00CD10AA" w:rsidRPr="00ED49AE" w:rsidRDefault="00CD10AA" w:rsidP="00ED49AE">
      <w:pPr>
        <w:tabs>
          <w:tab w:val="clear" w:pos="567"/>
        </w:tabs>
        <w:spacing w:line="240" w:lineRule="auto"/>
        <w:jc w:val="both"/>
        <w:rPr>
          <w:color w:val="000000"/>
          <w:szCs w:val="22"/>
        </w:rPr>
      </w:pPr>
      <w:r w:rsidRPr="00ED49AE">
        <w:rPr>
          <w:b/>
          <w:color w:val="000000"/>
          <w:szCs w:val="22"/>
        </w:rPr>
        <w:t>6.4</w:t>
      </w:r>
      <w:r w:rsidR="00980C1E" w:rsidRPr="00ED49AE">
        <w:rPr>
          <w:b/>
          <w:color w:val="000000"/>
          <w:szCs w:val="22"/>
        </w:rPr>
        <w:t>.</w:t>
      </w:r>
      <w:r w:rsidRPr="00ED49AE">
        <w:rPr>
          <w:b/>
          <w:color w:val="000000"/>
          <w:szCs w:val="22"/>
        </w:rPr>
        <w:tab/>
        <w:t>Īpaši uzglabāšanas nosacījumi</w:t>
      </w:r>
    </w:p>
    <w:p w14:paraId="3AC9F77A" w14:textId="77777777" w:rsidR="00C33C7E" w:rsidRPr="00ED49AE" w:rsidRDefault="00C33C7E" w:rsidP="00ED49AE">
      <w:pPr>
        <w:spacing w:line="240" w:lineRule="auto"/>
        <w:jc w:val="both"/>
        <w:rPr>
          <w:color w:val="000000"/>
          <w:szCs w:val="22"/>
        </w:rPr>
      </w:pPr>
    </w:p>
    <w:p w14:paraId="7127D451" w14:textId="77777777" w:rsidR="00C54BD0" w:rsidRPr="00ED49AE" w:rsidRDefault="00C54BD0" w:rsidP="00ED49AE">
      <w:pPr>
        <w:spacing w:line="240" w:lineRule="auto"/>
        <w:jc w:val="both"/>
        <w:rPr>
          <w:color w:val="000000"/>
          <w:szCs w:val="22"/>
        </w:rPr>
      </w:pPr>
      <w:r w:rsidRPr="00ED49AE">
        <w:rPr>
          <w:color w:val="000000"/>
          <w:szCs w:val="22"/>
        </w:rPr>
        <w:t>Uzglabāt temperatūrā līdz 25°C.</w:t>
      </w:r>
    </w:p>
    <w:p w14:paraId="20090ED4" w14:textId="77777777" w:rsidR="004035FA" w:rsidRPr="00ED49AE" w:rsidRDefault="004035FA" w:rsidP="00ED49AE">
      <w:pPr>
        <w:spacing w:line="240" w:lineRule="auto"/>
        <w:jc w:val="both"/>
        <w:rPr>
          <w:color w:val="000000"/>
          <w:szCs w:val="22"/>
        </w:rPr>
      </w:pPr>
      <w:r w:rsidRPr="00ED49AE">
        <w:rPr>
          <w:color w:val="000000"/>
          <w:szCs w:val="22"/>
        </w:rPr>
        <w:t>Uzglabāt oriģinālā iepakojumā</w:t>
      </w:r>
      <w:r w:rsidR="0083302F" w:rsidRPr="00ED49AE">
        <w:rPr>
          <w:color w:val="000000"/>
          <w:szCs w:val="22"/>
        </w:rPr>
        <w:t>,</w:t>
      </w:r>
      <w:r w:rsidR="007B6F3A" w:rsidRPr="00ED49AE">
        <w:rPr>
          <w:color w:val="000000"/>
          <w:szCs w:val="22"/>
        </w:rPr>
        <w:t xml:space="preserve"> </w:t>
      </w:r>
      <w:r w:rsidR="0083302F" w:rsidRPr="00ED49AE">
        <w:rPr>
          <w:color w:val="000000"/>
          <w:szCs w:val="22"/>
        </w:rPr>
        <w:t>lai pas</w:t>
      </w:r>
      <w:r w:rsidRPr="00ED49AE">
        <w:rPr>
          <w:color w:val="000000"/>
          <w:szCs w:val="22"/>
        </w:rPr>
        <w:t>argāt</w:t>
      </w:r>
      <w:r w:rsidR="003A590C" w:rsidRPr="00ED49AE">
        <w:rPr>
          <w:color w:val="000000"/>
          <w:szCs w:val="22"/>
        </w:rPr>
        <w:t>u</w:t>
      </w:r>
      <w:r w:rsidRPr="00ED49AE">
        <w:rPr>
          <w:color w:val="000000"/>
          <w:szCs w:val="22"/>
        </w:rPr>
        <w:t xml:space="preserve"> no gaismas un mitruma.</w:t>
      </w:r>
    </w:p>
    <w:p w14:paraId="168AA7F8" w14:textId="77777777" w:rsidR="00C54BD0" w:rsidRPr="00ED49AE" w:rsidRDefault="004035FA" w:rsidP="00ED49AE">
      <w:pPr>
        <w:spacing w:line="240" w:lineRule="auto"/>
        <w:jc w:val="both"/>
        <w:rPr>
          <w:color w:val="000000"/>
          <w:szCs w:val="22"/>
        </w:rPr>
      </w:pPr>
      <w:r w:rsidRPr="00ED49AE">
        <w:rPr>
          <w:color w:val="000000"/>
          <w:szCs w:val="22"/>
        </w:rPr>
        <w:t>N</w:t>
      </w:r>
      <w:r w:rsidR="00C54BD0" w:rsidRPr="00ED49AE">
        <w:rPr>
          <w:color w:val="000000"/>
          <w:szCs w:val="22"/>
        </w:rPr>
        <w:t>esasaldēt</w:t>
      </w:r>
      <w:r w:rsidRPr="00ED49AE">
        <w:rPr>
          <w:color w:val="000000"/>
          <w:szCs w:val="22"/>
        </w:rPr>
        <w:t>.</w:t>
      </w:r>
    </w:p>
    <w:p w14:paraId="605A9D79" w14:textId="77777777" w:rsidR="00CD10AA" w:rsidRPr="00ED49AE" w:rsidRDefault="00CD10AA" w:rsidP="00ED49AE">
      <w:pPr>
        <w:spacing w:line="240" w:lineRule="auto"/>
        <w:jc w:val="both"/>
        <w:rPr>
          <w:i/>
          <w:color w:val="000000"/>
          <w:szCs w:val="22"/>
        </w:rPr>
      </w:pPr>
    </w:p>
    <w:p w14:paraId="0F5816A2" w14:textId="77777777" w:rsidR="00CD10AA" w:rsidRPr="00ED49AE" w:rsidRDefault="00CD10AA" w:rsidP="00ED49AE">
      <w:pPr>
        <w:tabs>
          <w:tab w:val="clear" w:pos="567"/>
        </w:tabs>
        <w:spacing w:line="240" w:lineRule="auto"/>
        <w:jc w:val="both"/>
        <w:rPr>
          <w:color w:val="000000"/>
          <w:szCs w:val="22"/>
        </w:rPr>
      </w:pPr>
      <w:r w:rsidRPr="00ED49AE">
        <w:rPr>
          <w:b/>
          <w:color w:val="000000"/>
          <w:szCs w:val="22"/>
        </w:rPr>
        <w:t>6.5</w:t>
      </w:r>
      <w:r w:rsidR="00980C1E" w:rsidRPr="00ED49AE">
        <w:rPr>
          <w:b/>
          <w:color w:val="000000"/>
          <w:szCs w:val="22"/>
        </w:rPr>
        <w:t>.</w:t>
      </w:r>
      <w:r w:rsidRPr="00ED49AE">
        <w:rPr>
          <w:b/>
          <w:color w:val="000000"/>
          <w:szCs w:val="22"/>
        </w:rPr>
        <w:tab/>
        <w:t>Iepakojuma veids un saturs</w:t>
      </w:r>
    </w:p>
    <w:p w14:paraId="4168F900" w14:textId="77777777" w:rsidR="00C33C7E" w:rsidRPr="00ED49AE" w:rsidRDefault="00C33C7E" w:rsidP="00ED49AE">
      <w:pPr>
        <w:pStyle w:val="Default"/>
        <w:jc w:val="both"/>
        <w:rPr>
          <w:sz w:val="22"/>
          <w:szCs w:val="22"/>
          <w:lang w:val="lv-LV"/>
        </w:rPr>
      </w:pPr>
    </w:p>
    <w:p w14:paraId="73255F05" w14:textId="77777777" w:rsidR="00B55A1A" w:rsidRPr="00ED49AE" w:rsidRDefault="00B55A1A" w:rsidP="00ED49AE">
      <w:pPr>
        <w:pStyle w:val="Default"/>
        <w:jc w:val="both"/>
        <w:rPr>
          <w:sz w:val="22"/>
          <w:szCs w:val="22"/>
          <w:lang w:val="lv-LV"/>
        </w:rPr>
      </w:pPr>
      <w:r w:rsidRPr="00ED49AE">
        <w:rPr>
          <w:sz w:val="22"/>
          <w:szCs w:val="22"/>
          <w:lang w:val="lv-LV"/>
        </w:rPr>
        <w:t>100 ml suspensijas oranžās stikla pudelēs ar augsta blīvuma polietilēna (ABPE) vāciņu un zema blīvuma polietilēna (ZBPE) adapteri (šļirces ievietošanai). Šļirce sastāv no polipropilēna (PP) korpusa un augsta blīvuma polietilēna (ABPE) virzuļa un tai ir gradācijas skala no 0,5 ml līdz 10 ml (ar iedaļām 0,5 ml).</w:t>
      </w:r>
      <w:r w:rsidR="00A86B8D" w:rsidRPr="00ED49AE">
        <w:rPr>
          <w:sz w:val="22"/>
          <w:szCs w:val="22"/>
          <w:lang w:val="lv-LV"/>
        </w:rPr>
        <w:t xml:space="preserve"> Katra pudelīte ievietota kartona kastītē kopā ar lietošanas instrukciju un graduētu šļirci zāļu iekšķīgai </w:t>
      </w:r>
      <w:r w:rsidR="00A86B8D" w:rsidRPr="00ED49AE">
        <w:rPr>
          <w:sz w:val="22"/>
          <w:szCs w:val="22"/>
          <w:lang w:val="lv-LV"/>
        </w:rPr>
        <w:lastRenderedPageBreak/>
        <w:t>lietošanai.</w:t>
      </w:r>
    </w:p>
    <w:p w14:paraId="7BBB43D7" w14:textId="77777777" w:rsidR="00CD10AA" w:rsidRPr="00ED49AE" w:rsidRDefault="00CD10AA" w:rsidP="00ED49AE">
      <w:pPr>
        <w:tabs>
          <w:tab w:val="clear" w:pos="567"/>
        </w:tabs>
        <w:spacing w:line="240" w:lineRule="auto"/>
        <w:jc w:val="both"/>
        <w:rPr>
          <w:color w:val="000000"/>
          <w:szCs w:val="22"/>
        </w:rPr>
      </w:pPr>
    </w:p>
    <w:p w14:paraId="5A268737" w14:textId="77777777" w:rsidR="00CD10AA" w:rsidRPr="00ED49AE" w:rsidRDefault="00CD10AA" w:rsidP="00ED49AE">
      <w:pPr>
        <w:tabs>
          <w:tab w:val="clear" w:pos="567"/>
        </w:tabs>
        <w:spacing w:line="240" w:lineRule="auto"/>
        <w:jc w:val="both"/>
        <w:rPr>
          <w:b/>
          <w:color w:val="000000"/>
          <w:szCs w:val="22"/>
        </w:rPr>
      </w:pPr>
      <w:r w:rsidRPr="00ED49AE">
        <w:rPr>
          <w:b/>
          <w:color w:val="000000"/>
          <w:szCs w:val="22"/>
        </w:rPr>
        <w:t>6.6</w:t>
      </w:r>
      <w:r w:rsidR="00980C1E" w:rsidRPr="00ED49AE">
        <w:rPr>
          <w:b/>
          <w:color w:val="000000"/>
          <w:szCs w:val="22"/>
        </w:rPr>
        <w:t>.</w:t>
      </w:r>
      <w:r w:rsidRPr="00ED49AE">
        <w:rPr>
          <w:b/>
          <w:color w:val="000000"/>
          <w:szCs w:val="22"/>
        </w:rPr>
        <w:tab/>
        <w:t>Īpaši norādījumi atkritumu likvidēšanai</w:t>
      </w:r>
    </w:p>
    <w:p w14:paraId="131E296B" w14:textId="77777777" w:rsidR="00C33C7E" w:rsidRPr="00ED49AE" w:rsidRDefault="00C33C7E" w:rsidP="00ED49AE">
      <w:pPr>
        <w:tabs>
          <w:tab w:val="clear" w:pos="567"/>
        </w:tabs>
        <w:spacing w:line="240" w:lineRule="auto"/>
        <w:jc w:val="both"/>
        <w:rPr>
          <w:color w:val="000000"/>
          <w:szCs w:val="22"/>
        </w:rPr>
      </w:pPr>
    </w:p>
    <w:p w14:paraId="07279896" w14:textId="77777777" w:rsidR="00CD10AA" w:rsidRPr="00ED49AE" w:rsidRDefault="00CD10AA" w:rsidP="00ED49AE">
      <w:pPr>
        <w:tabs>
          <w:tab w:val="clear" w:pos="567"/>
        </w:tabs>
        <w:spacing w:line="240" w:lineRule="auto"/>
        <w:jc w:val="both"/>
        <w:rPr>
          <w:color w:val="000000"/>
          <w:szCs w:val="22"/>
        </w:rPr>
      </w:pPr>
      <w:r w:rsidRPr="00ED49AE">
        <w:rPr>
          <w:color w:val="000000"/>
          <w:szCs w:val="22"/>
        </w:rPr>
        <w:t>Nav īpašu</w:t>
      </w:r>
      <w:r w:rsidR="00CC4E9B" w:rsidRPr="00ED49AE">
        <w:rPr>
          <w:color w:val="000000"/>
          <w:szCs w:val="22"/>
        </w:rPr>
        <w:t xml:space="preserve"> </w:t>
      </w:r>
      <w:r w:rsidR="00B944A8" w:rsidRPr="00ED49AE">
        <w:rPr>
          <w:color w:val="000000"/>
          <w:szCs w:val="22"/>
        </w:rPr>
        <w:t>prasību.</w:t>
      </w:r>
    </w:p>
    <w:p w14:paraId="15155423" w14:textId="77777777" w:rsidR="00CD10AA" w:rsidRPr="00ED49AE" w:rsidRDefault="00CD10AA" w:rsidP="00ED49AE">
      <w:pPr>
        <w:tabs>
          <w:tab w:val="clear" w:pos="567"/>
        </w:tabs>
        <w:spacing w:line="240" w:lineRule="auto"/>
        <w:jc w:val="both"/>
        <w:rPr>
          <w:color w:val="000000"/>
          <w:szCs w:val="22"/>
        </w:rPr>
      </w:pPr>
    </w:p>
    <w:p w14:paraId="6E498B8B" w14:textId="77777777" w:rsidR="00C33C7E" w:rsidRPr="00ED49AE" w:rsidRDefault="00C33C7E" w:rsidP="00ED49AE">
      <w:pPr>
        <w:tabs>
          <w:tab w:val="clear" w:pos="567"/>
        </w:tabs>
        <w:spacing w:line="240" w:lineRule="auto"/>
        <w:jc w:val="both"/>
        <w:rPr>
          <w:color w:val="000000"/>
          <w:szCs w:val="22"/>
        </w:rPr>
      </w:pPr>
    </w:p>
    <w:p w14:paraId="167B429E" w14:textId="77777777" w:rsidR="00CD10AA" w:rsidRPr="00ED49AE" w:rsidRDefault="00CD10AA" w:rsidP="00ED49AE">
      <w:pPr>
        <w:tabs>
          <w:tab w:val="clear" w:pos="567"/>
        </w:tabs>
        <w:spacing w:line="240" w:lineRule="auto"/>
        <w:jc w:val="both"/>
        <w:rPr>
          <w:color w:val="000000"/>
          <w:szCs w:val="22"/>
        </w:rPr>
      </w:pPr>
      <w:r w:rsidRPr="00ED49AE">
        <w:rPr>
          <w:b/>
          <w:color w:val="000000"/>
          <w:szCs w:val="22"/>
        </w:rPr>
        <w:t>7.</w:t>
      </w:r>
      <w:r w:rsidRPr="00ED49AE">
        <w:rPr>
          <w:b/>
          <w:color w:val="000000"/>
          <w:szCs w:val="22"/>
        </w:rPr>
        <w:tab/>
        <w:t>REĢISTRĀCIJAS APLIECĪBAS ĪPAŠNIEKS</w:t>
      </w:r>
    </w:p>
    <w:p w14:paraId="11B76943" w14:textId="77777777" w:rsidR="00C33C7E" w:rsidRPr="00ED49AE" w:rsidRDefault="00C33C7E" w:rsidP="00ED49AE">
      <w:pPr>
        <w:pStyle w:val="CM4"/>
        <w:spacing w:line="240" w:lineRule="auto"/>
        <w:jc w:val="both"/>
        <w:rPr>
          <w:color w:val="000000"/>
          <w:sz w:val="22"/>
          <w:szCs w:val="22"/>
        </w:rPr>
      </w:pPr>
    </w:p>
    <w:p w14:paraId="444DFC37" w14:textId="69F85735" w:rsidR="004035FA" w:rsidRPr="00ED49AE" w:rsidRDefault="00850BAD" w:rsidP="00ED49AE">
      <w:pPr>
        <w:pStyle w:val="CM4"/>
        <w:spacing w:line="240" w:lineRule="auto"/>
        <w:jc w:val="both"/>
        <w:rPr>
          <w:color w:val="000000"/>
          <w:sz w:val="22"/>
          <w:szCs w:val="22"/>
        </w:rPr>
      </w:pPr>
      <w:r w:rsidRPr="006E4ED7">
        <w:rPr>
          <w:color w:val="000000"/>
        </w:rPr>
        <w:t xml:space="preserve">VIP </w:t>
      </w:r>
      <w:proofErr w:type="spellStart"/>
      <w:r w:rsidRPr="006E4ED7">
        <w:rPr>
          <w:color w:val="000000"/>
        </w:rPr>
        <w:t>Pharma</w:t>
      </w:r>
      <w:proofErr w:type="spellEnd"/>
      <w:r w:rsidRPr="006E4ED7">
        <w:rPr>
          <w:color w:val="000000"/>
        </w:rPr>
        <w:t xml:space="preserve"> </w:t>
      </w:r>
      <w:proofErr w:type="spellStart"/>
      <w:r w:rsidRPr="006E4ED7">
        <w:rPr>
          <w:color w:val="000000"/>
        </w:rPr>
        <w:t>Eesti</w:t>
      </w:r>
      <w:proofErr w:type="spellEnd"/>
      <w:r w:rsidRPr="006E4ED7">
        <w:rPr>
          <w:color w:val="000000"/>
        </w:rPr>
        <w:t xml:space="preserve"> OÜ, </w:t>
      </w:r>
      <w:proofErr w:type="spellStart"/>
      <w:r w:rsidRPr="006E4ED7">
        <w:rPr>
          <w:color w:val="000000"/>
        </w:rPr>
        <w:t>Uusaru</w:t>
      </w:r>
      <w:proofErr w:type="spellEnd"/>
      <w:r w:rsidRPr="006E4ED7">
        <w:rPr>
          <w:color w:val="000000"/>
        </w:rPr>
        <w:t xml:space="preserve"> 5, </w:t>
      </w:r>
      <w:proofErr w:type="spellStart"/>
      <w:r w:rsidRPr="006E4ED7">
        <w:rPr>
          <w:color w:val="000000"/>
        </w:rPr>
        <w:t>Saue</w:t>
      </w:r>
      <w:proofErr w:type="spellEnd"/>
      <w:r w:rsidRPr="006E4ED7">
        <w:rPr>
          <w:color w:val="000000"/>
        </w:rPr>
        <w:t xml:space="preserve"> 76505, </w:t>
      </w:r>
      <w:proofErr w:type="spellStart"/>
      <w:r w:rsidRPr="006E4ED7">
        <w:rPr>
          <w:color w:val="000000"/>
        </w:rPr>
        <w:t>Harjumaa</w:t>
      </w:r>
      <w:proofErr w:type="spellEnd"/>
      <w:r w:rsidRPr="006E4ED7">
        <w:rPr>
          <w:color w:val="000000"/>
        </w:rPr>
        <w:t>, Igaunija</w:t>
      </w:r>
    </w:p>
    <w:p w14:paraId="7ED1B1C1" w14:textId="77777777" w:rsidR="00CD10AA" w:rsidRPr="00ED49AE" w:rsidRDefault="00CD10AA" w:rsidP="00ED49AE">
      <w:pPr>
        <w:spacing w:line="240" w:lineRule="auto"/>
        <w:jc w:val="both"/>
        <w:rPr>
          <w:color w:val="000000"/>
          <w:szCs w:val="22"/>
        </w:rPr>
      </w:pPr>
    </w:p>
    <w:p w14:paraId="4D9D28E8" w14:textId="77777777" w:rsidR="00C33C7E" w:rsidRPr="00ED49AE" w:rsidRDefault="00C33C7E" w:rsidP="00ED49AE">
      <w:pPr>
        <w:spacing w:line="240" w:lineRule="auto"/>
        <w:jc w:val="both"/>
        <w:rPr>
          <w:color w:val="000000"/>
          <w:szCs w:val="22"/>
        </w:rPr>
      </w:pPr>
    </w:p>
    <w:p w14:paraId="2137266C" w14:textId="77777777" w:rsidR="00CD10AA" w:rsidRPr="00ED49AE" w:rsidRDefault="00CD10AA" w:rsidP="00ED49AE">
      <w:pPr>
        <w:tabs>
          <w:tab w:val="clear" w:pos="567"/>
        </w:tabs>
        <w:spacing w:line="240" w:lineRule="auto"/>
        <w:jc w:val="both"/>
        <w:rPr>
          <w:b/>
          <w:color w:val="000000"/>
          <w:szCs w:val="22"/>
        </w:rPr>
      </w:pPr>
      <w:r w:rsidRPr="00ED49AE">
        <w:rPr>
          <w:b/>
          <w:color w:val="000000"/>
          <w:szCs w:val="22"/>
        </w:rPr>
        <w:t>8.</w:t>
      </w:r>
      <w:r w:rsidRPr="00ED49AE">
        <w:rPr>
          <w:b/>
          <w:color w:val="000000"/>
          <w:szCs w:val="22"/>
        </w:rPr>
        <w:tab/>
        <w:t>REĢISTRĀCIJAS</w:t>
      </w:r>
      <w:r w:rsidR="0082246A" w:rsidRPr="00ED49AE">
        <w:rPr>
          <w:b/>
          <w:color w:val="000000"/>
          <w:szCs w:val="22"/>
        </w:rPr>
        <w:t xml:space="preserve"> APLIECĪBAS</w:t>
      </w:r>
      <w:r w:rsidR="004035FA" w:rsidRPr="00ED49AE">
        <w:rPr>
          <w:b/>
          <w:color w:val="000000"/>
          <w:szCs w:val="22"/>
        </w:rPr>
        <w:t xml:space="preserve"> NUMURS</w:t>
      </w:r>
    </w:p>
    <w:p w14:paraId="5BC9C46A" w14:textId="77777777" w:rsidR="00C33C7E" w:rsidRPr="00ED49AE" w:rsidRDefault="00C33C7E" w:rsidP="00ED49AE">
      <w:pPr>
        <w:spacing w:line="240" w:lineRule="auto"/>
        <w:jc w:val="both"/>
        <w:rPr>
          <w:rStyle w:val="apple-style-span"/>
          <w:color w:val="000000"/>
          <w:szCs w:val="22"/>
        </w:rPr>
      </w:pPr>
    </w:p>
    <w:p w14:paraId="668105C6" w14:textId="77777777" w:rsidR="00324FAD" w:rsidRPr="00ED49AE" w:rsidRDefault="00324FAD" w:rsidP="00ED49AE">
      <w:pPr>
        <w:spacing w:line="240" w:lineRule="auto"/>
        <w:jc w:val="both"/>
        <w:rPr>
          <w:rStyle w:val="apple-style-span"/>
          <w:color w:val="000000"/>
          <w:szCs w:val="22"/>
        </w:rPr>
      </w:pPr>
      <w:r w:rsidRPr="00ED49AE">
        <w:rPr>
          <w:rStyle w:val="apple-style-span"/>
          <w:color w:val="000000"/>
          <w:szCs w:val="22"/>
        </w:rPr>
        <w:t>11-0156</w:t>
      </w:r>
    </w:p>
    <w:p w14:paraId="7EC77303" w14:textId="77777777" w:rsidR="00CD10AA" w:rsidRPr="00ED49AE" w:rsidRDefault="00CD10AA" w:rsidP="00ED49AE">
      <w:pPr>
        <w:tabs>
          <w:tab w:val="clear" w:pos="567"/>
        </w:tabs>
        <w:spacing w:line="240" w:lineRule="auto"/>
        <w:jc w:val="both"/>
        <w:rPr>
          <w:color w:val="000000"/>
          <w:szCs w:val="22"/>
        </w:rPr>
      </w:pPr>
    </w:p>
    <w:p w14:paraId="4494447C" w14:textId="77777777" w:rsidR="00C33C7E" w:rsidRPr="00ED49AE" w:rsidRDefault="00C33C7E" w:rsidP="00ED49AE">
      <w:pPr>
        <w:tabs>
          <w:tab w:val="clear" w:pos="567"/>
        </w:tabs>
        <w:spacing w:line="240" w:lineRule="auto"/>
        <w:jc w:val="both"/>
        <w:rPr>
          <w:color w:val="000000"/>
          <w:szCs w:val="22"/>
        </w:rPr>
      </w:pPr>
    </w:p>
    <w:p w14:paraId="07140F69" w14:textId="77777777" w:rsidR="00CD10AA" w:rsidRPr="00ED49AE" w:rsidRDefault="00CD10AA" w:rsidP="00ED49AE">
      <w:pPr>
        <w:tabs>
          <w:tab w:val="clear" w:pos="567"/>
        </w:tabs>
        <w:spacing w:line="240" w:lineRule="auto"/>
        <w:jc w:val="both"/>
        <w:rPr>
          <w:b/>
          <w:color w:val="000000"/>
          <w:szCs w:val="22"/>
        </w:rPr>
      </w:pPr>
      <w:r w:rsidRPr="00ED49AE">
        <w:rPr>
          <w:b/>
          <w:color w:val="000000"/>
          <w:szCs w:val="22"/>
        </w:rPr>
        <w:t>9.</w:t>
      </w:r>
      <w:r w:rsidRPr="00ED49AE">
        <w:rPr>
          <w:b/>
          <w:color w:val="000000"/>
          <w:szCs w:val="22"/>
        </w:rPr>
        <w:tab/>
      </w:r>
      <w:r w:rsidR="00980C1E" w:rsidRPr="00ED49AE">
        <w:rPr>
          <w:b/>
          <w:color w:val="000000"/>
          <w:szCs w:val="22"/>
        </w:rPr>
        <w:t xml:space="preserve">PIRMĀS </w:t>
      </w:r>
      <w:r w:rsidRPr="00ED49AE">
        <w:rPr>
          <w:b/>
          <w:color w:val="000000"/>
          <w:szCs w:val="22"/>
        </w:rPr>
        <w:t>REĢISTRĀCIJAS/PĀRREĢISTRĀCIJAS DATUMS</w:t>
      </w:r>
    </w:p>
    <w:p w14:paraId="279FD1C3" w14:textId="77777777" w:rsidR="00C33C7E" w:rsidRPr="00ED49AE" w:rsidRDefault="00C33C7E" w:rsidP="00ED49AE">
      <w:pPr>
        <w:spacing w:line="240" w:lineRule="auto"/>
        <w:jc w:val="both"/>
        <w:rPr>
          <w:color w:val="000000"/>
          <w:szCs w:val="22"/>
        </w:rPr>
      </w:pPr>
    </w:p>
    <w:p w14:paraId="393EFC88" w14:textId="77777777" w:rsidR="00B944A8" w:rsidRPr="00ED49AE" w:rsidRDefault="0082246A" w:rsidP="00ED49AE">
      <w:pPr>
        <w:spacing w:line="240" w:lineRule="auto"/>
        <w:jc w:val="both"/>
        <w:rPr>
          <w:color w:val="000000"/>
          <w:szCs w:val="22"/>
        </w:rPr>
      </w:pPr>
      <w:r w:rsidRPr="00ED49AE">
        <w:rPr>
          <w:color w:val="000000"/>
          <w:szCs w:val="22"/>
        </w:rPr>
        <w:t xml:space="preserve">Reģistrācijas datums: </w:t>
      </w:r>
      <w:r w:rsidR="00AB04CE" w:rsidRPr="00ED49AE">
        <w:rPr>
          <w:color w:val="000000"/>
          <w:szCs w:val="22"/>
        </w:rPr>
        <w:t>2011.gada 3.maijs.</w:t>
      </w:r>
    </w:p>
    <w:p w14:paraId="406ACD51" w14:textId="77777777" w:rsidR="00324FAD" w:rsidRPr="00ED49AE" w:rsidRDefault="00324FAD" w:rsidP="00ED49AE">
      <w:pPr>
        <w:spacing w:line="240" w:lineRule="auto"/>
        <w:jc w:val="both"/>
        <w:rPr>
          <w:noProof/>
          <w:color w:val="000000"/>
          <w:szCs w:val="22"/>
        </w:rPr>
      </w:pPr>
      <w:r w:rsidRPr="00ED49AE">
        <w:rPr>
          <w:color w:val="000000"/>
          <w:szCs w:val="22"/>
        </w:rPr>
        <w:t xml:space="preserve">Pēdējās </w:t>
      </w:r>
      <w:proofErr w:type="spellStart"/>
      <w:r w:rsidRPr="00ED49AE">
        <w:rPr>
          <w:color w:val="000000"/>
          <w:szCs w:val="22"/>
        </w:rPr>
        <w:t>pārreģistrācijas</w:t>
      </w:r>
      <w:proofErr w:type="spellEnd"/>
      <w:r w:rsidRPr="00ED49AE">
        <w:rPr>
          <w:color w:val="000000"/>
          <w:szCs w:val="22"/>
        </w:rPr>
        <w:t xml:space="preserve"> datums: </w:t>
      </w:r>
      <w:r w:rsidR="003457E9" w:rsidRPr="00ED49AE">
        <w:rPr>
          <w:color w:val="000000"/>
          <w:szCs w:val="22"/>
        </w:rPr>
        <w:t>2016.gada 17.jūnijs.</w:t>
      </w:r>
    </w:p>
    <w:p w14:paraId="5C536315" w14:textId="77777777" w:rsidR="00CD10AA" w:rsidRPr="00ED49AE" w:rsidRDefault="00CD10AA" w:rsidP="00ED49AE">
      <w:pPr>
        <w:tabs>
          <w:tab w:val="clear" w:pos="567"/>
        </w:tabs>
        <w:spacing w:line="240" w:lineRule="auto"/>
        <w:jc w:val="both"/>
        <w:rPr>
          <w:color w:val="000000"/>
          <w:szCs w:val="22"/>
        </w:rPr>
      </w:pPr>
    </w:p>
    <w:p w14:paraId="060D017C" w14:textId="77777777" w:rsidR="00C33C7E" w:rsidRPr="00ED49AE" w:rsidRDefault="00C33C7E" w:rsidP="00ED49AE">
      <w:pPr>
        <w:tabs>
          <w:tab w:val="clear" w:pos="567"/>
        </w:tabs>
        <w:spacing w:line="240" w:lineRule="auto"/>
        <w:jc w:val="both"/>
        <w:rPr>
          <w:color w:val="000000"/>
          <w:szCs w:val="22"/>
        </w:rPr>
      </w:pPr>
    </w:p>
    <w:p w14:paraId="3BFEB841" w14:textId="77777777" w:rsidR="00CD10AA" w:rsidRPr="00ED49AE" w:rsidRDefault="00CD10AA" w:rsidP="00ED49AE">
      <w:pPr>
        <w:tabs>
          <w:tab w:val="clear" w:pos="567"/>
        </w:tabs>
        <w:spacing w:line="240" w:lineRule="auto"/>
        <w:jc w:val="both"/>
        <w:rPr>
          <w:b/>
          <w:color w:val="000000"/>
          <w:szCs w:val="22"/>
        </w:rPr>
      </w:pPr>
      <w:r w:rsidRPr="00ED49AE">
        <w:rPr>
          <w:b/>
          <w:color w:val="000000"/>
          <w:szCs w:val="22"/>
        </w:rPr>
        <w:t>10.</w:t>
      </w:r>
      <w:r w:rsidRPr="00ED49AE">
        <w:rPr>
          <w:b/>
          <w:color w:val="000000"/>
          <w:szCs w:val="22"/>
        </w:rPr>
        <w:tab/>
        <w:t>TEKSTA</w:t>
      </w:r>
      <w:r w:rsidR="00171350" w:rsidRPr="00ED49AE">
        <w:rPr>
          <w:b/>
          <w:color w:val="000000"/>
          <w:szCs w:val="22"/>
        </w:rPr>
        <w:t xml:space="preserve"> </w:t>
      </w:r>
      <w:r w:rsidRPr="00ED49AE">
        <w:rPr>
          <w:b/>
          <w:color w:val="000000"/>
          <w:szCs w:val="22"/>
        </w:rPr>
        <w:t>PĀRSKATĪŠANAS DATUMS</w:t>
      </w:r>
    </w:p>
    <w:p w14:paraId="35EF7705" w14:textId="77777777" w:rsidR="00C33C7E" w:rsidRPr="00ED49AE" w:rsidRDefault="00C33C7E" w:rsidP="00ED49AE">
      <w:pPr>
        <w:tabs>
          <w:tab w:val="clear" w:pos="567"/>
        </w:tabs>
        <w:spacing w:line="240" w:lineRule="auto"/>
        <w:jc w:val="both"/>
        <w:rPr>
          <w:color w:val="000000"/>
          <w:szCs w:val="22"/>
        </w:rPr>
      </w:pPr>
    </w:p>
    <w:p w14:paraId="3EB5D9C0" w14:textId="24E4BC00" w:rsidR="006B6344" w:rsidRPr="00ED49AE" w:rsidRDefault="00426F88" w:rsidP="00ED49AE">
      <w:pPr>
        <w:tabs>
          <w:tab w:val="clear" w:pos="567"/>
        </w:tabs>
        <w:spacing w:line="240" w:lineRule="auto"/>
        <w:jc w:val="both"/>
        <w:rPr>
          <w:color w:val="000000"/>
          <w:szCs w:val="22"/>
        </w:rPr>
      </w:pPr>
      <w:r>
        <w:rPr>
          <w:color w:val="000000"/>
          <w:szCs w:val="22"/>
        </w:rPr>
        <w:t>1</w:t>
      </w:r>
      <w:r w:rsidR="00BF21DE">
        <w:rPr>
          <w:color w:val="000000"/>
          <w:szCs w:val="22"/>
        </w:rPr>
        <w:t>2</w:t>
      </w:r>
      <w:r>
        <w:rPr>
          <w:color w:val="000000"/>
          <w:szCs w:val="22"/>
        </w:rPr>
        <w:t>/</w:t>
      </w:r>
      <w:r w:rsidR="00190E5C" w:rsidRPr="00ED49AE">
        <w:rPr>
          <w:color w:val="000000"/>
          <w:szCs w:val="22"/>
        </w:rPr>
        <w:t>20</w:t>
      </w:r>
      <w:r>
        <w:rPr>
          <w:color w:val="000000"/>
          <w:szCs w:val="22"/>
        </w:rPr>
        <w:t>2</w:t>
      </w:r>
      <w:r w:rsidR="00190E5C" w:rsidRPr="00ED49AE">
        <w:rPr>
          <w:color w:val="000000"/>
          <w:szCs w:val="22"/>
        </w:rPr>
        <w:t>1</w:t>
      </w:r>
    </w:p>
    <w:p w14:paraId="616F79E8" w14:textId="77777777" w:rsidR="00C33C7E" w:rsidRPr="00ED49AE" w:rsidRDefault="00C33C7E" w:rsidP="00ED49AE">
      <w:pPr>
        <w:tabs>
          <w:tab w:val="clear" w:pos="567"/>
        </w:tabs>
        <w:spacing w:line="240" w:lineRule="auto"/>
        <w:jc w:val="both"/>
        <w:rPr>
          <w:color w:val="000000"/>
          <w:szCs w:val="22"/>
        </w:rPr>
      </w:pPr>
    </w:p>
    <w:p w14:paraId="0CA4AD59" w14:textId="77777777" w:rsidR="00C33C7E" w:rsidRPr="00ED49AE" w:rsidRDefault="00C33C7E" w:rsidP="00ED49AE">
      <w:pPr>
        <w:tabs>
          <w:tab w:val="clear" w:pos="567"/>
        </w:tabs>
        <w:spacing w:line="240" w:lineRule="auto"/>
        <w:jc w:val="both"/>
        <w:rPr>
          <w:color w:val="000000"/>
          <w:szCs w:val="22"/>
        </w:rPr>
      </w:pPr>
    </w:p>
    <w:sectPr w:rsidR="00C33C7E" w:rsidRPr="00ED49AE" w:rsidSect="00AB04CE">
      <w:headerReference w:type="default" r:id="rId38"/>
      <w:footerReference w:type="default" r:id="rId39"/>
      <w:footerReference w:type="first" r:id="rId40"/>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C2B18" w14:textId="77777777" w:rsidR="00875D11" w:rsidRDefault="00875D11">
      <w:r>
        <w:separator/>
      </w:r>
    </w:p>
  </w:endnote>
  <w:endnote w:type="continuationSeparator" w:id="0">
    <w:p w14:paraId="69BB2751" w14:textId="77777777" w:rsidR="00875D11" w:rsidRDefault="0087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8DB3" w14:textId="00186268" w:rsidR="00891770" w:rsidRPr="00DF7F62" w:rsidRDefault="00891770">
    <w:pPr>
      <w:pStyle w:val="Footer"/>
      <w:tabs>
        <w:tab w:val="clear" w:pos="8930"/>
        <w:tab w:val="right" w:pos="8931"/>
      </w:tabs>
      <w:ind w:right="96"/>
      <w:jc w:val="center"/>
      <w:rPr>
        <w:sz w:val="20"/>
      </w:rPr>
    </w:pPr>
    <w:r w:rsidRPr="00DF7F62">
      <w:rPr>
        <w:rStyle w:val="apple-style-span"/>
        <w:rFonts w:ascii="Times New Roman" w:hAnsi="Times New Roman"/>
        <w:sz w:val="20"/>
      </w:rPr>
      <w:t>11-0156/I</w:t>
    </w:r>
    <w:r w:rsidR="00426F88">
      <w:rPr>
        <w:rStyle w:val="apple-style-span"/>
        <w:rFonts w:ascii="Times New Roman" w:hAnsi="Times New Roman"/>
        <w:sz w:val="20"/>
      </w:rPr>
      <w:t>I</w:t>
    </w:r>
    <w:r w:rsidRPr="00DF7F62">
      <w:rPr>
        <w:rStyle w:val="apple-style-span"/>
        <w:rFonts w:ascii="Times New Roman" w:hAnsi="Times New Roman"/>
        <w:sz w:val="20"/>
      </w:rPr>
      <w:t>/02</w:t>
    </w:r>
    <w:r w:rsidR="00426F88">
      <w:rPr>
        <w:rStyle w:val="apple-style-span"/>
        <w:rFonts w:ascii="Times New Roman" w:hAnsi="Times New Roman"/>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D327" w14:textId="77777777" w:rsidR="00891770" w:rsidRDefault="00891770">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E0D67" w14:textId="77777777" w:rsidR="00875D11" w:rsidRDefault="00875D11">
      <w:r>
        <w:separator/>
      </w:r>
    </w:p>
  </w:footnote>
  <w:footnote w:type="continuationSeparator" w:id="0">
    <w:p w14:paraId="06478B96" w14:textId="77777777" w:rsidR="00875D11" w:rsidRDefault="00875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20E0" w14:textId="461814DA" w:rsidR="00891770" w:rsidRPr="000F0C40" w:rsidRDefault="000F0C40" w:rsidP="00C84ABE">
    <w:pPr>
      <w:pStyle w:val="Header"/>
      <w:jc w:val="right"/>
      <w:rPr>
        <w:rFonts w:ascii="Times New Roman" w:hAnsi="Times New Roman"/>
        <w:sz w:val="24"/>
        <w:lang w:val="en-US"/>
      </w:rPr>
    </w:pPr>
    <w:r>
      <w:rPr>
        <w:rFonts w:ascii="Times New Roman" w:hAnsi="Times New Roman"/>
        <w:sz w:val="24"/>
        <w:lang w:val="en-US"/>
      </w:rPr>
      <w:t xml:space="preserve">SASKAŅOTS ZVA 14-12-2021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F351A5E"/>
    <w:multiLevelType w:val="hybridMultilevel"/>
    <w:tmpl w:val="754424AA"/>
    <w:lvl w:ilvl="0" w:tplc="D428A8CA">
      <w:start w:val="4"/>
      <w:numFmt w:val="decimal"/>
      <w:lvlText w:val="%1."/>
      <w:lvlJc w:val="left"/>
      <w:pPr>
        <w:tabs>
          <w:tab w:val="num" w:pos="930"/>
        </w:tabs>
        <w:ind w:left="930" w:hanging="570"/>
      </w:pPr>
      <w:rPr>
        <w:rFonts w:hint="default"/>
      </w:rPr>
    </w:lvl>
    <w:lvl w:ilvl="1" w:tplc="FBCC7ECE" w:tentative="1">
      <w:start w:val="1"/>
      <w:numFmt w:val="lowerLetter"/>
      <w:lvlText w:val="%2."/>
      <w:lvlJc w:val="left"/>
      <w:pPr>
        <w:tabs>
          <w:tab w:val="num" w:pos="1440"/>
        </w:tabs>
        <w:ind w:left="1440" w:hanging="360"/>
      </w:pPr>
    </w:lvl>
    <w:lvl w:ilvl="2" w:tplc="30127170" w:tentative="1">
      <w:start w:val="1"/>
      <w:numFmt w:val="lowerRoman"/>
      <w:lvlText w:val="%3."/>
      <w:lvlJc w:val="right"/>
      <w:pPr>
        <w:tabs>
          <w:tab w:val="num" w:pos="2160"/>
        </w:tabs>
        <w:ind w:left="2160" w:hanging="180"/>
      </w:pPr>
    </w:lvl>
    <w:lvl w:ilvl="3" w:tplc="75F6E444" w:tentative="1">
      <w:start w:val="1"/>
      <w:numFmt w:val="decimal"/>
      <w:lvlText w:val="%4."/>
      <w:lvlJc w:val="left"/>
      <w:pPr>
        <w:tabs>
          <w:tab w:val="num" w:pos="2880"/>
        </w:tabs>
        <w:ind w:left="2880" w:hanging="360"/>
      </w:pPr>
    </w:lvl>
    <w:lvl w:ilvl="4" w:tplc="C43A6E0C" w:tentative="1">
      <w:start w:val="1"/>
      <w:numFmt w:val="lowerLetter"/>
      <w:lvlText w:val="%5."/>
      <w:lvlJc w:val="left"/>
      <w:pPr>
        <w:tabs>
          <w:tab w:val="num" w:pos="3600"/>
        </w:tabs>
        <w:ind w:left="3600" w:hanging="360"/>
      </w:pPr>
    </w:lvl>
    <w:lvl w:ilvl="5" w:tplc="1E24C6BE" w:tentative="1">
      <w:start w:val="1"/>
      <w:numFmt w:val="lowerRoman"/>
      <w:lvlText w:val="%6."/>
      <w:lvlJc w:val="right"/>
      <w:pPr>
        <w:tabs>
          <w:tab w:val="num" w:pos="4320"/>
        </w:tabs>
        <w:ind w:left="4320" w:hanging="180"/>
      </w:pPr>
    </w:lvl>
    <w:lvl w:ilvl="6" w:tplc="1F5A2946" w:tentative="1">
      <w:start w:val="1"/>
      <w:numFmt w:val="decimal"/>
      <w:lvlText w:val="%7."/>
      <w:lvlJc w:val="left"/>
      <w:pPr>
        <w:tabs>
          <w:tab w:val="num" w:pos="5040"/>
        </w:tabs>
        <w:ind w:left="5040" w:hanging="360"/>
      </w:pPr>
    </w:lvl>
    <w:lvl w:ilvl="7" w:tplc="CF4A09E8" w:tentative="1">
      <w:start w:val="1"/>
      <w:numFmt w:val="lowerLetter"/>
      <w:lvlText w:val="%8."/>
      <w:lvlJc w:val="left"/>
      <w:pPr>
        <w:tabs>
          <w:tab w:val="num" w:pos="5760"/>
        </w:tabs>
        <w:ind w:left="5760" w:hanging="360"/>
      </w:pPr>
    </w:lvl>
    <w:lvl w:ilvl="8" w:tplc="7006F644" w:tentative="1">
      <w:start w:val="1"/>
      <w:numFmt w:val="lowerRoman"/>
      <w:lvlText w:val="%9."/>
      <w:lvlJc w:val="right"/>
      <w:pPr>
        <w:tabs>
          <w:tab w:val="num" w:pos="6480"/>
        </w:tabs>
        <w:ind w:left="6480" w:hanging="180"/>
      </w:pPr>
    </w:lvl>
  </w:abstractNum>
  <w:abstractNum w:abstractNumId="3" w15:restartNumberingAfterBreak="0">
    <w:nsid w:val="19440B01"/>
    <w:multiLevelType w:val="hybridMultilevel"/>
    <w:tmpl w:val="87AE8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5" w15:restartNumberingAfterBreak="0">
    <w:nsid w:val="1F8D2DAC"/>
    <w:multiLevelType w:val="hybridMultilevel"/>
    <w:tmpl w:val="A1A82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62EA6"/>
    <w:multiLevelType w:val="hybridMultilevel"/>
    <w:tmpl w:val="9B4E9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6163C9"/>
    <w:multiLevelType w:val="hybridMultilevel"/>
    <w:tmpl w:val="C6843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83D1B"/>
    <w:multiLevelType w:val="hybridMultilevel"/>
    <w:tmpl w:val="DCD683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E64394"/>
    <w:multiLevelType w:val="hybridMultilevel"/>
    <w:tmpl w:val="6D720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44BCF"/>
    <w:multiLevelType w:val="hybridMultilevel"/>
    <w:tmpl w:val="F4E2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8B0BCD"/>
    <w:multiLevelType w:val="hybridMultilevel"/>
    <w:tmpl w:val="BBCE7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D6658"/>
    <w:multiLevelType w:val="hybridMultilevel"/>
    <w:tmpl w:val="17F8F9DC"/>
    <w:lvl w:ilvl="0" w:tplc="448AF000">
      <w:start w:val="1"/>
      <w:numFmt w:val="bullet"/>
      <w:lvlText w:val=""/>
      <w:lvlJc w:val="left"/>
      <w:pPr>
        <w:tabs>
          <w:tab w:val="num" w:pos="567"/>
        </w:tabs>
        <w:ind w:left="567" w:hanging="454"/>
      </w:pPr>
      <w:rPr>
        <w:rFonts w:ascii="Symbol" w:hAnsi="Symbol" w:hint="default"/>
      </w:rPr>
    </w:lvl>
    <w:lvl w:ilvl="1" w:tplc="D058573A">
      <w:start w:val="1"/>
      <w:numFmt w:val="bullet"/>
      <w:lvlText w:val="o"/>
      <w:lvlJc w:val="left"/>
      <w:pPr>
        <w:tabs>
          <w:tab w:val="num" w:pos="1440"/>
        </w:tabs>
        <w:ind w:left="1440" w:hanging="360"/>
      </w:pPr>
      <w:rPr>
        <w:rFonts w:ascii="Courier New" w:hAnsi="Courier New" w:hint="default"/>
      </w:rPr>
    </w:lvl>
    <w:lvl w:ilvl="2" w:tplc="B184C37E" w:tentative="1">
      <w:start w:val="1"/>
      <w:numFmt w:val="bullet"/>
      <w:lvlText w:val=""/>
      <w:lvlJc w:val="left"/>
      <w:pPr>
        <w:tabs>
          <w:tab w:val="num" w:pos="2160"/>
        </w:tabs>
        <w:ind w:left="2160" w:hanging="360"/>
      </w:pPr>
      <w:rPr>
        <w:rFonts w:ascii="Wingdings" w:hAnsi="Wingdings" w:hint="default"/>
      </w:rPr>
    </w:lvl>
    <w:lvl w:ilvl="3" w:tplc="61B4D2F8" w:tentative="1">
      <w:start w:val="1"/>
      <w:numFmt w:val="bullet"/>
      <w:lvlText w:val=""/>
      <w:lvlJc w:val="left"/>
      <w:pPr>
        <w:tabs>
          <w:tab w:val="num" w:pos="2880"/>
        </w:tabs>
        <w:ind w:left="2880" w:hanging="360"/>
      </w:pPr>
      <w:rPr>
        <w:rFonts w:ascii="Symbol" w:hAnsi="Symbol" w:hint="default"/>
      </w:rPr>
    </w:lvl>
    <w:lvl w:ilvl="4" w:tplc="1D882B12" w:tentative="1">
      <w:start w:val="1"/>
      <w:numFmt w:val="bullet"/>
      <w:lvlText w:val="o"/>
      <w:lvlJc w:val="left"/>
      <w:pPr>
        <w:tabs>
          <w:tab w:val="num" w:pos="3600"/>
        </w:tabs>
        <w:ind w:left="3600" w:hanging="360"/>
      </w:pPr>
      <w:rPr>
        <w:rFonts w:ascii="Courier New" w:hAnsi="Courier New" w:hint="default"/>
      </w:rPr>
    </w:lvl>
    <w:lvl w:ilvl="5" w:tplc="DE6C9A66" w:tentative="1">
      <w:start w:val="1"/>
      <w:numFmt w:val="bullet"/>
      <w:lvlText w:val=""/>
      <w:lvlJc w:val="left"/>
      <w:pPr>
        <w:tabs>
          <w:tab w:val="num" w:pos="4320"/>
        </w:tabs>
        <w:ind w:left="4320" w:hanging="360"/>
      </w:pPr>
      <w:rPr>
        <w:rFonts w:ascii="Wingdings" w:hAnsi="Wingdings" w:hint="default"/>
      </w:rPr>
    </w:lvl>
    <w:lvl w:ilvl="6" w:tplc="DD98A604" w:tentative="1">
      <w:start w:val="1"/>
      <w:numFmt w:val="bullet"/>
      <w:lvlText w:val=""/>
      <w:lvlJc w:val="left"/>
      <w:pPr>
        <w:tabs>
          <w:tab w:val="num" w:pos="5040"/>
        </w:tabs>
        <w:ind w:left="5040" w:hanging="360"/>
      </w:pPr>
      <w:rPr>
        <w:rFonts w:ascii="Symbol" w:hAnsi="Symbol" w:hint="default"/>
      </w:rPr>
    </w:lvl>
    <w:lvl w:ilvl="7" w:tplc="9BC2CBF4" w:tentative="1">
      <w:start w:val="1"/>
      <w:numFmt w:val="bullet"/>
      <w:lvlText w:val="o"/>
      <w:lvlJc w:val="left"/>
      <w:pPr>
        <w:tabs>
          <w:tab w:val="num" w:pos="5760"/>
        </w:tabs>
        <w:ind w:left="5760" w:hanging="360"/>
      </w:pPr>
      <w:rPr>
        <w:rFonts w:ascii="Courier New" w:hAnsi="Courier New" w:hint="default"/>
      </w:rPr>
    </w:lvl>
    <w:lvl w:ilvl="8" w:tplc="E246470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307A4"/>
    <w:multiLevelType w:val="hybridMultilevel"/>
    <w:tmpl w:val="A2F874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7" w15:restartNumberingAfterBreak="0">
    <w:nsid w:val="4BE54AFE"/>
    <w:multiLevelType w:val="hybridMultilevel"/>
    <w:tmpl w:val="B1A46980"/>
    <w:lvl w:ilvl="0" w:tplc="118ECFB0">
      <w:start w:val="8"/>
      <w:numFmt w:val="decimal"/>
      <w:lvlText w:val="%1."/>
      <w:lvlJc w:val="left"/>
      <w:pPr>
        <w:tabs>
          <w:tab w:val="num" w:pos="570"/>
        </w:tabs>
        <w:ind w:left="570" w:hanging="570"/>
      </w:pPr>
      <w:rPr>
        <w:rFonts w:hint="default"/>
      </w:rPr>
    </w:lvl>
    <w:lvl w:ilvl="1" w:tplc="3C56250C" w:tentative="1">
      <w:start w:val="1"/>
      <w:numFmt w:val="lowerLetter"/>
      <w:lvlText w:val="%2."/>
      <w:lvlJc w:val="left"/>
      <w:pPr>
        <w:tabs>
          <w:tab w:val="num" w:pos="1080"/>
        </w:tabs>
        <w:ind w:left="1080" w:hanging="360"/>
      </w:pPr>
    </w:lvl>
    <w:lvl w:ilvl="2" w:tplc="821AC060" w:tentative="1">
      <w:start w:val="1"/>
      <w:numFmt w:val="lowerRoman"/>
      <w:lvlText w:val="%3."/>
      <w:lvlJc w:val="right"/>
      <w:pPr>
        <w:tabs>
          <w:tab w:val="num" w:pos="1800"/>
        </w:tabs>
        <w:ind w:left="1800" w:hanging="180"/>
      </w:pPr>
    </w:lvl>
    <w:lvl w:ilvl="3" w:tplc="DAF6964E" w:tentative="1">
      <w:start w:val="1"/>
      <w:numFmt w:val="decimal"/>
      <w:lvlText w:val="%4."/>
      <w:lvlJc w:val="left"/>
      <w:pPr>
        <w:tabs>
          <w:tab w:val="num" w:pos="2520"/>
        </w:tabs>
        <w:ind w:left="2520" w:hanging="360"/>
      </w:pPr>
    </w:lvl>
    <w:lvl w:ilvl="4" w:tplc="D276ACB8" w:tentative="1">
      <w:start w:val="1"/>
      <w:numFmt w:val="lowerLetter"/>
      <w:lvlText w:val="%5."/>
      <w:lvlJc w:val="left"/>
      <w:pPr>
        <w:tabs>
          <w:tab w:val="num" w:pos="3240"/>
        </w:tabs>
        <w:ind w:left="3240" w:hanging="360"/>
      </w:pPr>
    </w:lvl>
    <w:lvl w:ilvl="5" w:tplc="98B612CC" w:tentative="1">
      <w:start w:val="1"/>
      <w:numFmt w:val="lowerRoman"/>
      <w:lvlText w:val="%6."/>
      <w:lvlJc w:val="right"/>
      <w:pPr>
        <w:tabs>
          <w:tab w:val="num" w:pos="3960"/>
        </w:tabs>
        <w:ind w:left="3960" w:hanging="180"/>
      </w:pPr>
    </w:lvl>
    <w:lvl w:ilvl="6" w:tplc="8146B92C" w:tentative="1">
      <w:start w:val="1"/>
      <w:numFmt w:val="decimal"/>
      <w:lvlText w:val="%7."/>
      <w:lvlJc w:val="left"/>
      <w:pPr>
        <w:tabs>
          <w:tab w:val="num" w:pos="4680"/>
        </w:tabs>
        <w:ind w:left="4680" w:hanging="360"/>
      </w:pPr>
    </w:lvl>
    <w:lvl w:ilvl="7" w:tplc="6706EFC4" w:tentative="1">
      <w:start w:val="1"/>
      <w:numFmt w:val="lowerLetter"/>
      <w:lvlText w:val="%8."/>
      <w:lvlJc w:val="left"/>
      <w:pPr>
        <w:tabs>
          <w:tab w:val="num" w:pos="5400"/>
        </w:tabs>
        <w:ind w:left="5400" w:hanging="360"/>
      </w:pPr>
    </w:lvl>
    <w:lvl w:ilvl="8" w:tplc="BB2C3C9C" w:tentative="1">
      <w:start w:val="1"/>
      <w:numFmt w:val="lowerRoman"/>
      <w:lvlText w:val="%9."/>
      <w:lvlJc w:val="right"/>
      <w:pPr>
        <w:tabs>
          <w:tab w:val="num" w:pos="6120"/>
        </w:tabs>
        <w:ind w:left="6120" w:hanging="180"/>
      </w:pPr>
    </w:lvl>
  </w:abstractNum>
  <w:abstractNum w:abstractNumId="18" w15:restartNumberingAfterBreak="0">
    <w:nsid w:val="4F715EA8"/>
    <w:multiLevelType w:val="hybridMultilevel"/>
    <w:tmpl w:val="85242A24"/>
    <w:lvl w:ilvl="0" w:tplc="14788F98">
      <w:start w:val="4"/>
      <w:numFmt w:val="decimal"/>
      <w:lvlText w:val="%1."/>
      <w:lvlJc w:val="left"/>
      <w:pPr>
        <w:tabs>
          <w:tab w:val="num" w:pos="720"/>
        </w:tabs>
        <w:ind w:left="720" w:hanging="360"/>
      </w:pPr>
      <w:rPr>
        <w:rFonts w:hint="default"/>
      </w:rPr>
    </w:lvl>
    <w:lvl w:ilvl="1" w:tplc="51B2AF7E" w:tentative="1">
      <w:start w:val="1"/>
      <w:numFmt w:val="lowerLetter"/>
      <w:lvlText w:val="%2."/>
      <w:lvlJc w:val="left"/>
      <w:pPr>
        <w:tabs>
          <w:tab w:val="num" w:pos="1440"/>
        </w:tabs>
        <w:ind w:left="1440" w:hanging="360"/>
      </w:pPr>
    </w:lvl>
    <w:lvl w:ilvl="2" w:tplc="E69CB668" w:tentative="1">
      <w:start w:val="1"/>
      <w:numFmt w:val="lowerRoman"/>
      <w:lvlText w:val="%3."/>
      <w:lvlJc w:val="right"/>
      <w:pPr>
        <w:tabs>
          <w:tab w:val="num" w:pos="2160"/>
        </w:tabs>
        <w:ind w:left="2160" w:hanging="180"/>
      </w:pPr>
    </w:lvl>
    <w:lvl w:ilvl="3" w:tplc="49E4400C" w:tentative="1">
      <w:start w:val="1"/>
      <w:numFmt w:val="decimal"/>
      <w:lvlText w:val="%4."/>
      <w:lvlJc w:val="left"/>
      <w:pPr>
        <w:tabs>
          <w:tab w:val="num" w:pos="2880"/>
        </w:tabs>
        <w:ind w:left="2880" w:hanging="360"/>
      </w:pPr>
    </w:lvl>
    <w:lvl w:ilvl="4" w:tplc="5BB6C9A6" w:tentative="1">
      <w:start w:val="1"/>
      <w:numFmt w:val="lowerLetter"/>
      <w:lvlText w:val="%5."/>
      <w:lvlJc w:val="left"/>
      <w:pPr>
        <w:tabs>
          <w:tab w:val="num" w:pos="3600"/>
        </w:tabs>
        <w:ind w:left="3600" w:hanging="360"/>
      </w:pPr>
    </w:lvl>
    <w:lvl w:ilvl="5" w:tplc="6B4E263E" w:tentative="1">
      <w:start w:val="1"/>
      <w:numFmt w:val="lowerRoman"/>
      <w:lvlText w:val="%6."/>
      <w:lvlJc w:val="right"/>
      <w:pPr>
        <w:tabs>
          <w:tab w:val="num" w:pos="4320"/>
        </w:tabs>
        <w:ind w:left="4320" w:hanging="180"/>
      </w:pPr>
    </w:lvl>
    <w:lvl w:ilvl="6" w:tplc="82DE1500" w:tentative="1">
      <w:start w:val="1"/>
      <w:numFmt w:val="decimal"/>
      <w:lvlText w:val="%7."/>
      <w:lvlJc w:val="left"/>
      <w:pPr>
        <w:tabs>
          <w:tab w:val="num" w:pos="5040"/>
        </w:tabs>
        <w:ind w:left="5040" w:hanging="360"/>
      </w:pPr>
    </w:lvl>
    <w:lvl w:ilvl="7" w:tplc="FAEAAC64" w:tentative="1">
      <w:start w:val="1"/>
      <w:numFmt w:val="lowerLetter"/>
      <w:lvlText w:val="%8."/>
      <w:lvlJc w:val="left"/>
      <w:pPr>
        <w:tabs>
          <w:tab w:val="num" w:pos="5760"/>
        </w:tabs>
        <w:ind w:left="5760" w:hanging="360"/>
      </w:pPr>
    </w:lvl>
    <w:lvl w:ilvl="8" w:tplc="EEA4CC14" w:tentative="1">
      <w:start w:val="1"/>
      <w:numFmt w:val="lowerRoman"/>
      <w:lvlText w:val="%9."/>
      <w:lvlJc w:val="right"/>
      <w:pPr>
        <w:tabs>
          <w:tab w:val="num" w:pos="6480"/>
        </w:tabs>
        <w:ind w:left="6480" w:hanging="180"/>
      </w:pPr>
    </w:lvl>
  </w:abstractNum>
  <w:abstractNum w:abstractNumId="19"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5CBB3F0F"/>
    <w:multiLevelType w:val="hybridMultilevel"/>
    <w:tmpl w:val="E7ECF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6755A"/>
    <w:multiLevelType w:val="hybridMultilevel"/>
    <w:tmpl w:val="332A37D2"/>
    <w:lvl w:ilvl="0" w:tplc="7B16593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6D4F3A43"/>
    <w:multiLevelType w:val="hybridMultilevel"/>
    <w:tmpl w:val="44EA2960"/>
    <w:lvl w:ilvl="0" w:tplc="49B8AB84">
      <w:start w:val="5"/>
      <w:numFmt w:val="decimal"/>
      <w:lvlText w:val="%1."/>
      <w:lvlJc w:val="left"/>
      <w:pPr>
        <w:tabs>
          <w:tab w:val="num" w:pos="930"/>
        </w:tabs>
        <w:ind w:left="930" w:hanging="570"/>
      </w:pPr>
      <w:rPr>
        <w:rFonts w:hint="default"/>
        <w:color w:val="auto"/>
      </w:rPr>
    </w:lvl>
    <w:lvl w:ilvl="1" w:tplc="94F4C7B4" w:tentative="1">
      <w:start w:val="1"/>
      <w:numFmt w:val="lowerLetter"/>
      <w:lvlText w:val="%2."/>
      <w:lvlJc w:val="left"/>
      <w:pPr>
        <w:tabs>
          <w:tab w:val="num" w:pos="1440"/>
        </w:tabs>
        <w:ind w:left="1440" w:hanging="360"/>
      </w:pPr>
    </w:lvl>
    <w:lvl w:ilvl="2" w:tplc="F8661AA6" w:tentative="1">
      <w:start w:val="1"/>
      <w:numFmt w:val="lowerRoman"/>
      <w:lvlText w:val="%3."/>
      <w:lvlJc w:val="right"/>
      <w:pPr>
        <w:tabs>
          <w:tab w:val="num" w:pos="2160"/>
        </w:tabs>
        <w:ind w:left="2160" w:hanging="180"/>
      </w:pPr>
    </w:lvl>
    <w:lvl w:ilvl="3" w:tplc="AFDC173A" w:tentative="1">
      <w:start w:val="1"/>
      <w:numFmt w:val="decimal"/>
      <w:lvlText w:val="%4."/>
      <w:lvlJc w:val="left"/>
      <w:pPr>
        <w:tabs>
          <w:tab w:val="num" w:pos="2880"/>
        </w:tabs>
        <w:ind w:left="2880" w:hanging="360"/>
      </w:pPr>
    </w:lvl>
    <w:lvl w:ilvl="4" w:tplc="8702B88E" w:tentative="1">
      <w:start w:val="1"/>
      <w:numFmt w:val="lowerLetter"/>
      <w:lvlText w:val="%5."/>
      <w:lvlJc w:val="left"/>
      <w:pPr>
        <w:tabs>
          <w:tab w:val="num" w:pos="3600"/>
        </w:tabs>
        <w:ind w:left="3600" w:hanging="360"/>
      </w:pPr>
    </w:lvl>
    <w:lvl w:ilvl="5" w:tplc="AE708344" w:tentative="1">
      <w:start w:val="1"/>
      <w:numFmt w:val="lowerRoman"/>
      <w:lvlText w:val="%6."/>
      <w:lvlJc w:val="right"/>
      <w:pPr>
        <w:tabs>
          <w:tab w:val="num" w:pos="4320"/>
        </w:tabs>
        <w:ind w:left="4320" w:hanging="180"/>
      </w:pPr>
    </w:lvl>
    <w:lvl w:ilvl="6" w:tplc="27485F90" w:tentative="1">
      <w:start w:val="1"/>
      <w:numFmt w:val="decimal"/>
      <w:lvlText w:val="%7."/>
      <w:lvlJc w:val="left"/>
      <w:pPr>
        <w:tabs>
          <w:tab w:val="num" w:pos="5040"/>
        </w:tabs>
        <w:ind w:left="5040" w:hanging="360"/>
      </w:pPr>
    </w:lvl>
    <w:lvl w:ilvl="7" w:tplc="90B27A8A" w:tentative="1">
      <w:start w:val="1"/>
      <w:numFmt w:val="lowerLetter"/>
      <w:lvlText w:val="%8."/>
      <w:lvlJc w:val="left"/>
      <w:pPr>
        <w:tabs>
          <w:tab w:val="num" w:pos="5760"/>
        </w:tabs>
        <w:ind w:left="5760" w:hanging="360"/>
      </w:pPr>
    </w:lvl>
    <w:lvl w:ilvl="8" w:tplc="9454D5D2" w:tentative="1">
      <w:start w:val="1"/>
      <w:numFmt w:val="lowerRoman"/>
      <w:lvlText w:val="%9."/>
      <w:lvlJc w:val="right"/>
      <w:pPr>
        <w:tabs>
          <w:tab w:val="num" w:pos="6480"/>
        </w:tabs>
        <w:ind w:left="6480" w:hanging="180"/>
      </w:pPr>
    </w:lvl>
  </w:abstractNum>
  <w:abstractNum w:abstractNumId="2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6" w15:restartNumberingAfterBreak="0">
    <w:nsid w:val="6F8768A6"/>
    <w:multiLevelType w:val="hybridMultilevel"/>
    <w:tmpl w:val="C70A71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709E1"/>
    <w:multiLevelType w:val="hybridMultilevel"/>
    <w:tmpl w:val="440A813E"/>
    <w:lvl w:ilvl="0" w:tplc="C1289E94">
      <w:start w:val="4"/>
      <w:numFmt w:val="decimal"/>
      <w:lvlText w:val="%1."/>
      <w:lvlJc w:val="left"/>
      <w:pPr>
        <w:tabs>
          <w:tab w:val="num" w:pos="720"/>
        </w:tabs>
        <w:ind w:left="720" w:hanging="360"/>
      </w:pPr>
      <w:rPr>
        <w:rFonts w:hint="default"/>
      </w:rPr>
    </w:lvl>
    <w:lvl w:ilvl="1" w:tplc="3934CB80" w:tentative="1">
      <w:start w:val="1"/>
      <w:numFmt w:val="lowerLetter"/>
      <w:lvlText w:val="%2."/>
      <w:lvlJc w:val="left"/>
      <w:pPr>
        <w:tabs>
          <w:tab w:val="num" w:pos="1440"/>
        </w:tabs>
        <w:ind w:left="1440" w:hanging="360"/>
      </w:pPr>
    </w:lvl>
    <w:lvl w:ilvl="2" w:tplc="77940342" w:tentative="1">
      <w:start w:val="1"/>
      <w:numFmt w:val="lowerRoman"/>
      <w:lvlText w:val="%3."/>
      <w:lvlJc w:val="right"/>
      <w:pPr>
        <w:tabs>
          <w:tab w:val="num" w:pos="2160"/>
        </w:tabs>
        <w:ind w:left="2160" w:hanging="180"/>
      </w:pPr>
    </w:lvl>
    <w:lvl w:ilvl="3" w:tplc="57E2E4E8" w:tentative="1">
      <w:start w:val="1"/>
      <w:numFmt w:val="decimal"/>
      <w:lvlText w:val="%4."/>
      <w:lvlJc w:val="left"/>
      <w:pPr>
        <w:tabs>
          <w:tab w:val="num" w:pos="2880"/>
        </w:tabs>
        <w:ind w:left="2880" w:hanging="360"/>
      </w:pPr>
    </w:lvl>
    <w:lvl w:ilvl="4" w:tplc="1BF25624" w:tentative="1">
      <w:start w:val="1"/>
      <w:numFmt w:val="lowerLetter"/>
      <w:lvlText w:val="%5."/>
      <w:lvlJc w:val="left"/>
      <w:pPr>
        <w:tabs>
          <w:tab w:val="num" w:pos="3600"/>
        </w:tabs>
        <w:ind w:left="3600" w:hanging="360"/>
      </w:pPr>
    </w:lvl>
    <w:lvl w:ilvl="5" w:tplc="3EBACE04" w:tentative="1">
      <w:start w:val="1"/>
      <w:numFmt w:val="lowerRoman"/>
      <w:lvlText w:val="%6."/>
      <w:lvlJc w:val="right"/>
      <w:pPr>
        <w:tabs>
          <w:tab w:val="num" w:pos="4320"/>
        </w:tabs>
        <w:ind w:left="4320" w:hanging="180"/>
      </w:pPr>
    </w:lvl>
    <w:lvl w:ilvl="6" w:tplc="21B2F36E" w:tentative="1">
      <w:start w:val="1"/>
      <w:numFmt w:val="decimal"/>
      <w:lvlText w:val="%7."/>
      <w:lvlJc w:val="left"/>
      <w:pPr>
        <w:tabs>
          <w:tab w:val="num" w:pos="5040"/>
        </w:tabs>
        <w:ind w:left="5040" w:hanging="360"/>
      </w:pPr>
    </w:lvl>
    <w:lvl w:ilvl="7" w:tplc="6A9690DC" w:tentative="1">
      <w:start w:val="1"/>
      <w:numFmt w:val="lowerLetter"/>
      <w:lvlText w:val="%8."/>
      <w:lvlJc w:val="left"/>
      <w:pPr>
        <w:tabs>
          <w:tab w:val="num" w:pos="5760"/>
        </w:tabs>
        <w:ind w:left="5760" w:hanging="360"/>
      </w:pPr>
    </w:lvl>
    <w:lvl w:ilvl="8" w:tplc="D8889340" w:tentative="1">
      <w:start w:val="1"/>
      <w:numFmt w:val="lowerRoman"/>
      <w:lvlText w:val="%9."/>
      <w:lvlJc w:val="right"/>
      <w:pPr>
        <w:tabs>
          <w:tab w:val="num" w:pos="6480"/>
        </w:tabs>
        <w:ind w:left="6480" w:hanging="180"/>
      </w:pPr>
    </w:lvl>
  </w:abstractNum>
  <w:abstractNum w:abstractNumId="28" w15:restartNumberingAfterBreak="0">
    <w:nsid w:val="7D6D0D0D"/>
    <w:multiLevelType w:val="hybridMultilevel"/>
    <w:tmpl w:val="D9E26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FB52F6"/>
    <w:multiLevelType w:val="hybridMultilevel"/>
    <w:tmpl w:val="B7EC6880"/>
    <w:lvl w:ilvl="0" w:tplc="8618E19A">
      <w:start w:val="1"/>
      <w:numFmt w:val="decimal"/>
      <w:lvlText w:val="%1."/>
      <w:lvlJc w:val="left"/>
      <w:pPr>
        <w:tabs>
          <w:tab w:val="num" w:pos="360"/>
        </w:tabs>
        <w:ind w:left="360" w:hanging="360"/>
      </w:pPr>
    </w:lvl>
    <w:lvl w:ilvl="1" w:tplc="56DC90AE" w:tentative="1">
      <w:start w:val="1"/>
      <w:numFmt w:val="lowerLetter"/>
      <w:lvlText w:val="%2."/>
      <w:lvlJc w:val="left"/>
      <w:pPr>
        <w:tabs>
          <w:tab w:val="num" w:pos="1080"/>
        </w:tabs>
        <w:ind w:left="1080" w:hanging="360"/>
      </w:pPr>
    </w:lvl>
    <w:lvl w:ilvl="2" w:tplc="CAD626CA" w:tentative="1">
      <w:start w:val="1"/>
      <w:numFmt w:val="lowerRoman"/>
      <w:lvlText w:val="%3."/>
      <w:lvlJc w:val="right"/>
      <w:pPr>
        <w:tabs>
          <w:tab w:val="num" w:pos="1800"/>
        </w:tabs>
        <w:ind w:left="1800" w:hanging="180"/>
      </w:pPr>
    </w:lvl>
    <w:lvl w:ilvl="3" w:tplc="8A24E88A" w:tentative="1">
      <w:start w:val="1"/>
      <w:numFmt w:val="decimal"/>
      <w:lvlText w:val="%4."/>
      <w:lvlJc w:val="left"/>
      <w:pPr>
        <w:tabs>
          <w:tab w:val="num" w:pos="2520"/>
        </w:tabs>
        <w:ind w:left="2520" w:hanging="360"/>
      </w:pPr>
    </w:lvl>
    <w:lvl w:ilvl="4" w:tplc="8662F842" w:tentative="1">
      <w:start w:val="1"/>
      <w:numFmt w:val="lowerLetter"/>
      <w:lvlText w:val="%5."/>
      <w:lvlJc w:val="left"/>
      <w:pPr>
        <w:tabs>
          <w:tab w:val="num" w:pos="3240"/>
        </w:tabs>
        <w:ind w:left="3240" w:hanging="360"/>
      </w:pPr>
    </w:lvl>
    <w:lvl w:ilvl="5" w:tplc="B5C0FF36" w:tentative="1">
      <w:start w:val="1"/>
      <w:numFmt w:val="lowerRoman"/>
      <w:lvlText w:val="%6."/>
      <w:lvlJc w:val="right"/>
      <w:pPr>
        <w:tabs>
          <w:tab w:val="num" w:pos="3960"/>
        </w:tabs>
        <w:ind w:left="3960" w:hanging="180"/>
      </w:pPr>
    </w:lvl>
    <w:lvl w:ilvl="6" w:tplc="56069242" w:tentative="1">
      <w:start w:val="1"/>
      <w:numFmt w:val="decimal"/>
      <w:lvlText w:val="%7."/>
      <w:lvlJc w:val="left"/>
      <w:pPr>
        <w:tabs>
          <w:tab w:val="num" w:pos="4680"/>
        </w:tabs>
        <w:ind w:left="4680" w:hanging="360"/>
      </w:pPr>
    </w:lvl>
    <w:lvl w:ilvl="7" w:tplc="70A25D9C" w:tentative="1">
      <w:start w:val="1"/>
      <w:numFmt w:val="lowerLetter"/>
      <w:lvlText w:val="%8."/>
      <w:lvlJc w:val="left"/>
      <w:pPr>
        <w:tabs>
          <w:tab w:val="num" w:pos="5400"/>
        </w:tabs>
        <w:ind w:left="5400" w:hanging="360"/>
      </w:pPr>
    </w:lvl>
    <w:lvl w:ilvl="8" w:tplc="8EF60D64"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5"/>
  </w:num>
  <w:num w:numId="4">
    <w:abstractNumId w:val="23"/>
  </w:num>
  <w:num w:numId="5">
    <w:abstractNumId w:val="10"/>
  </w:num>
  <w:num w:numId="6">
    <w:abstractNumId w:val="19"/>
  </w:num>
  <w:num w:numId="7">
    <w:abstractNumId w:val="16"/>
  </w:num>
  <w:num w:numId="8">
    <w:abstractNumId w:val="4"/>
  </w:num>
  <w:num w:numId="9">
    <w:abstractNumId w:val="22"/>
  </w:num>
  <w:num w:numId="10">
    <w:abstractNumId w:val="17"/>
  </w:num>
  <w:num w:numId="11">
    <w:abstractNumId w:val="24"/>
  </w:num>
  <w:num w:numId="12">
    <w:abstractNumId w:val="2"/>
  </w:num>
  <w:num w:numId="13">
    <w:abstractNumId w:val="7"/>
  </w:num>
  <w:num w:numId="14">
    <w:abstractNumId w:val="29"/>
  </w:num>
  <w:num w:numId="15">
    <w:abstractNumId w:val="27"/>
  </w:num>
  <w:num w:numId="16">
    <w:abstractNumId w:val="18"/>
  </w:num>
  <w:num w:numId="17">
    <w:abstractNumId w:val="14"/>
  </w:num>
  <w:num w:numId="18">
    <w:abstractNumId w:val="1"/>
  </w:num>
  <w:num w:numId="19">
    <w:abstractNumId w:val="6"/>
  </w:num>
  <w:num w:numId="20">
    <w:abstractNumId w:val="12"/>
  </w:num>
  <w:num w:numId="21">
    <w:abstractNumId w:val="21"/>
  </w:num>
  <w:num w:numId="22">
    <w:abstractNumId w:val="20"/>
  </w:num>
  <w:num w:numId="23">
    <w:abstractNumId w:val="5"/>
  </w:num>
  <w:num w:numId="24">
    <w:abstractNumId w:val="3"/>
  </w:num>
  <w:num w:numId="25">
    <w:abstractNumId w:val="11"/>
  </w:num>
  <w:num w:numId="26">
    <w:abstractNumId w:val="13"/>
  </w:num>
  <w:num w:numId="27">
    <w:abstractNumId w:val="26"/>
  </w:num>
  <w:num w:numId="28">
    <w:abstractNumId w:val="15"/>
  </w:num>
  <w:num w:numId="29">
    <w:abstractNumId w:val="9"/>
  </w:num>
  <w:num w:numId="30">
    <w:abstractNumId w:val="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215"/>
    <w:rsid w:val="00001D78"/>
    <w:rsid w:val="000071FF"/>
    <w:rsid w:val="00010846"/>
    <w:rsid w:val="000174DB"/>
    <w:rsid w:val="00020C95"/>
    <w:rsid w:val="000235FD"/>
    <w:rsid w:val="00033061"/>
    <w:rsid w:val="00033516"/>
    <w:rsid w:val="00035E19"/>
    <w:rsid w:val="000371F4"/>
    <w:rsid w:val="00047D9D"/>
    <w:rsid w:val="000535C0"/>
    <w:rsid w:val="00054254"/>
    <w:rsid w:val="00060872"/>
    <w:rsid w:val="000612ED"/>
    <w:rsid w:val="00063BCA"/>
    <w:rsid w:val="00067D94"/>
    <w:rsid w:val="00067E82"/>
    <w:rsid w:val="000802BB"/>
    <w:rsid w:val="00081F8A"/>
    <w:rsid w:val="00083B2F"/>
    <w:rsid w:val="0008529E"/>
    <w:rsid w:val="00087199"/>
    <w:rsid w:val="00092B16"/>
    <w:rsid w:val="000962F1"/>
    <w:rsid w:val="000A3804"/>
    <w:rsid w:val="000A5FA6"/>
    <w:rsid w:val="000B367B"/>
    <w:rsid w:val="000D7A48"/>
    <w:rsid w:val="000E09A7"/>
    <w:rsid w:val="000E6CD5"/>
    <w:rsid w:val="000E72E4"/>
    <w:rsid w:val="000F0148"/>
    <w:rsid w:val="000F0C40"/>
    <w:rsid w:val="000F4516"/>
    <w:rsid w:val="00106DE1"/>
    <w:rsid w:val="00110914"/>
    <w:rsid w:val="00113A9A"/>
    <w:rsid w:val="00117E6F"/>
    <w:rsid w:val="00121C5E"/>
    <w:rsid w:val="00127324"/>
    <w:rsid w:val="00132092"/>
    <w:rsid w:val="001351D4"/>
    <w:rsid w:val="00135C1E"/>
    <w:rsid w:val="00147C79"/>
    <w:rsid w:val="00152D0E"/>
    <w:rsid w:val="0016329F"/>
    <w:rsid w:val="00165887"/>
    <w:rsid w:val="00171350"/>
    <w:rsid w:val="0017355A"/>
    <w:rsid w:val="00176DD3"/>
    <w:rsid w:val="001812F2"/>
    <w:rsid w:val="00190E5C"/>
    <w:rsid w:val="001944F8"/>
    <w:rsid w:val="001B3C0B"/>
    <w:rsid w:val="001D0FE7"/>
    <w:rsid w:val="001D37B5"/>
    <w:rsid w:val="001E3B77"/>
    <w:rsid w:val="001F2770"/>
    <w:rsid w:val="001F5487"/>
    <w:rsid w:val="00200E68"/>
    <w:rsid w:val="00203B70"/>
    <w:rsid w:val="00204C37"/>
    <w:rsid w:val="0020587A"/>
    <w:rsid w:val="002362A1"/>
    <w:rsid w:val="0024100A"/>
    <w:rsid w:val="00242473"/>
    <w:rsid w:val="00261D24"/>
    <w:rsid w:val="00263616"/>
    <w:rsid w:val="00265C65"/>
    <w:rsid w:val="00273FDB"/>
    <w:rsid w:val="0027668E"/>
    <w:rsid w:val="00282286"/>
    <w:rsid w:val="00284850"/>
    <w:rsid w:val="00286B91"/>
    <w:rsid w:val="00291935"/>
    <w:rsid w:val="00294B1F"/>
    <w:rsid w:val="0029585E"/>
    <w:rsid w:val="002A02BD"/>
    <w:rsid w:val="002A61E1"/>
    <w:rsid w:val="002B0540"/>
    <w:rsid w:val="002B6BCF"/>
    <w:rsid w:val="002B7FDE"/>
    <w:rsid w:val="002C1B8A"/>
    <w:rsid w:val="002C629B"/>
    <w:rsid w:val="002C784E"/>
    <w:rsid w:val="002D210E"/>
    <w:rsid w:val="002D3C00"/>
    <w:rsid w:val="002D5EE4"/>
    <w:rsid w:val="002D7130"/>
    <w:rsid w:val="002E381D"/>
    <w:rsid w:val="002F01A8"/>
    <w:rsid w:val="00304243"/>
    <w:rsid w:val="003112CE"/>
    <w:rsid w:val="00320750"/>
    <w:rsid w:val="00320AF5"/>
    <w:rsid w:val="00324FAD"/>
    <w:rsid w:val="00325AEC"/>
    <w:rsid w:val="003342FF"/>
    <w:rsid w:val="00335456"/>
    <w:rsid w:val="00344AA6"/>
    <w:rsid w:val="003457E9"/>
    <w:rsid w:val="0035201D"/>
    <w:rsid w:val="00354135"/>
    <w:rsid w:val="00356C83"/>
    <w:rsid w:val="00356D3F"/>
    <w:rsid w:val="0035750F"/>
    <w:rsid w:val="003642F4"/>
    <w:rsid w:val="00364DCD"/>
    <w:rsid w:val="003662BE"/>
    <w:rsid w:val="00366581"/>
    <w:rsid w:val="00384EF9"/>
    <w:rsid w:val="0038712A"/>
    <w:rsid w:val="00392D1F"/>
    <w:rsid w:val="00397B67"/>
    <w:rsid w:val="003A0F05"/>
    <w:rsid w:val="003A34E9"/>
    <w:rsid w:val="003A590C"/>
    <w:rsid w:val="003B0FF0"/>
    <w:rsid w:val="003B5C38"/>
    <w:rsid w:val="003B7D7F"/>
    <w:rsid w:val="003C0ED4"/>
    <w:rsid w:val="003D15A5"/>
    <w:rsid w:val="003D7FAD"/>
    <w:rsid w:val="003F45AD"/>
    <w:rsid w:val="00403082"/>
    <w:rsid w:val="004035FA"/>
    <w:rsid w:val="00403CF1"/>
    <w:rsid w:val="0040484E"/>
    <w:rsid w:val="004070B2"/>
    <w:rsid w:val="0040795C"/>
    <w:rsid w:val="00413A30"/>
    <w:rsid w:val="0042271A"/>
    <w:rsid w:val="00426F88"/>
    <w:rsid w:val="00434A7B"/>
    <w:rsid w:val="00434CCE"/>
    <w:rsid w:val="00437D0F"/>
    <w:rsid w:val="0045126D"/>
    <w:rsid w:val="00451A59"/>
    <w:rsid w:val="00456979"/>
    <w:rsid w:val="00457EA3"/>
    <w:rsid w:val="00457F98"/>
    <w:rsid w:val="00465F40"/>
    <w:rsid w:val="00476AEC"/>
    <w:rsid w:val="0048210A"/>
    <w:rsid w:val="0048297B"/>
    <w:rsid w:val="00487D7A"/>
    <w:rsid w:val="004A07C7"/>
    <w:rsid w:val="004A5851"/>
    <w:rsid w:val="004D2054"/>
    <w:rsid w:val="004D5407"/>
    <w:rsid w:val="004D591D"/>
    <w:rsid w:val="004D5E53"/>
    <w:rsid w:val="004D6DAA"/>
    <w:rsid w:val="004E16EE"/>
    <w:rsid w:val="004E1E96"/>
    <w:rsid w:val="004E764D"/>
    <w:rsid w:val="004F0249"/>
    <w:rsid w:val="004F07BF"/>
    <w:rsid w:val="004F73CE"/>
    <w:rsid w:val="0050505C"/>
    <w:rsid w:val="00507519"/>
    <w:rsid w:val="0051084B"/>
    <w:rsid w:val="00524BD9"/>
    <w:rsid w:val="005317F7"/>
    <w:rsid w:val="00542C0E"/>
    <w:rsid w:val="00547EAF"/>
    <w:rsid w:val="00551EC9"/>
    <w:rsid w:val="00552A33"/>
    <w:rsid w:val="0055795D"/>
    <w:rsid w:val="005653F6"/>
    <w:rsid w:val="00565B11"/>
    <w:rsid w:val="00570396"/>
    <w:rsid w:val="005742C8"/>
    <w:rsid w:val="00594FD6"/>
    <w:rsid w:val="00596D4B"/>
    <w:rsid w:val="005A1D0D"/>
    <w:rsid w:val="005A5B8A"/>
    <w:rsid w:val="005B490C"/>
    <w:rsid w:val="005B4A3E"/>
    <w:rsid w:val="005C7C3A"/>
    <w:rsid w:val="005D1930"/>
    <w:rsid w:val="005D4E04"/>
    <w:rsid w:val="005D6F3D"/>
    <w:rsid w:val="005E2756"/>
    <w:rsid w:val="005E2845"/>
    <w:rsid w:val="005E3068"/>
    <w:rsid w:val="005E427C"/>
    <w:rsid w:val="005E6E3A"/>
    <w:rsid w:val="005E6E82"/>
    <w:rsid w:val="005F1F82"/>
    <w:rsid w:val="005F47AC"/>
    <w:rsid w:val="00603F13"/>
    <w:rsid w:val="00612CD2"/>
    <w:rsid w:val="0061437A"/>
    <w:rsid w:val="00615EB7"/>
    <w:rsid w:val="00617B9B"/>
    <w:rsid w:val="0063400C"/>
    <w:rsid w:val="00644D26"/>
    <w:rsid w:val="00645687"/>
    <w:rsid w:val="00652C87"/>
    <w:rsid w:val="006618F0"/>
    <w:rsid w:val="006735EA"/>
    <w:rsid w:val="00676D3E"/>
    <w:rsid w:val="0068129F"/>
    <w:rsid w:val="006839BD"/>
    <w:rsid w:val="006878EC"/>
    <w:rsid w:val="00696847"/>
    <w:rsid w:val="006A2171"/>
    <w:rsid w:val="006A6775"/>
    <w:rsid w:val="006B198B"/>
    <w:rsid w:val="006B35EF"/>
    <w:rsid w:val="006B5B51"/>
    <w:rsid w:val="006B6344"/>
    <w:rsid w:val="006B66DE"/>
    <w:rsid w:val="006B7DCE"/>
    <w:rsid w:val="006C4E2C"/>
    <w:rsid w:val="006D3520"/>
    <w:rsid w:val="006D517C"/>
    <w:rsid w:val="006E3069"/>
    <w:rsid w:val="006E77CB"/>
    <w:rsid w:val="006F0ECA"/>
    <w:rsid w:val="0071303C"/>
    <w:rsid w:val="00720C04"/>
    <w:rsid w:val="007240AA"/>
    <w:rsid w:val="0072506A"/>
    <w:rsid w:val="007419C2"/>
    <w:rsid w:val="00755ECC"/>
    <w:rsid w:val="00761273"/>
    <w:rsid w:val="00765C6D"/>
    <w:rsid w:val="007837FE"/>
    <w:rsid w:val="00786CB2"/>
    <w:rsid w:val="00794109"/>
    <w:rsid w:val="007A0102"/>
    <w:rsid w:val="007A559B"/>
    <w:rsid w:val="007B0320"/>
    <w:rsid w:val="007B08D8"/>
    <w:rsid w:val="007B2648"/>
    <w:rsid w:val="007B627F"/>
    <w:rsid w:val="007B6F3A"/>
    <w:rsid w:val="007E1441"/>
    <w:rsid w:val="007F009C"/>
    <w:rsid w:val="007F4CDF"/>
    <w:rsid w:val="007F7E23"/>
    <w:rsid w:val="0080480D"/>
    <w:rsid w:val="0080562B"/>
    <w:rsid w:val="008059A1"/>
    <w:rsid w:val="00806DB9"/>
    <w:rsid w:val="00811464"/>
    <w:rsid w:val="00821D0A"/>
    <w:rsid w:val="0082246A"/>
    <w:rsid w:val="0083302F"/>
    <w:rsid w:val="00835581"/>
    <w:rsid w:val="00846418"/>
    <w:rsid w:val="00846D85"/>
    <w:rsid w:val="0084776A"/>
    <w:rsid w:val="00850BAD"/>
    <w:rsid w:val="00852DFF"/>
    <w:rsid w:val="00855AAD"/>
    <w:rsid w:val="00860CFB"/>
    <w:rsid w:val="00862FF4"/>
    <w:rsid w:val="008664CA"/>
    <w:rsid w:val="00870E9B"/>
    <w:rsid w:val="00875D11"/>
    <w:rsid w:val="00876832"/>
    <w:rsid w:val="008806F9"/>
    <w:rsid w:val="00884297"/>
    <w:rsid w:val="0088508A"/>
    <w:rsid w:val="008871B0"/>
    <w:rsid w:val="00891770"/>
    <w:rsid w:val="008A13A0"/>
    <w:rsid w:val="008A6E13"/>
    <w:rsid w:val="008A6F20"/>
    <w:rsid w:val="008B1EB3"/>
    <w:rsid w:val="008B215C"/>
    <w:rsid w:val="008B4A52"/>
    <w:rsid w:val="008C36E7"/>
    <w:rsid w:val="008C37E5"/>
    <w:rsid w:val="008C3AA4"/>
    <w:rsid w:val="008C3E7A"/>
    <w:rsid w:val="008C42F3"/>
    <w:rsid w:val="008C59E2"/>
    <w:rsid w:val="008C5A6D"/>
    <w:rsid w:val="008E558B"/>
    <w:rsid w:val="008F26B5"/>
    <w:rsid w:val="008F7B29"/>
    <w:rsid w:val="00902024"/>
    <w:rsid w:val="0090378E"/>
    <w:rsid w:val="00910F65"/>
    <w:rsid w:val="0091143B"/>
    <w:rsid w:val="00911DDF"/>
    <w:rsid w:val="00912270"/>
    <w:rsid w:val="00915A9E"/>
    <w:rsid w:val="009356B2"/>
    <w:rsid w:val="009419C3"/>
    <w:rsid w:val="00951632"/>
    <w:rsid w:val="00951F98"/>
    <w:rsid w:val="00952955"/>
    <w:rsid w:val="0096226A"/>
    <w:rsid w:val="0096452F"/>
    <w:rsid w:val="00964E83"/>
    <w:rsid w:val="0097039A"/>
    <w:rsid w:val="00970E41"/>
    <w:rsid w:val="009710D6"/>
    <w:rsid w:val="00972808"/>
    <w:rsid w:val="0097548A"/>
    <w:rsid w:val="00975CD2"/>
    <w:rsid w:val="00980C1E"/>
    <w:rsid w:val="00982575"/>
    <w:rsid w:val="00985101"/>
    <w:rsid w:val="0098512F"/>
    <w:rsid w:val="009865A6"/>
    <w:rsid w:val="00987C7B"/>
    <w:rsid w:val="009A5E66"/>
    <w:rsid w:val="009B2C99"/>
    <w:rsid w:val="009B70B0"/>
    <w:rsid w:val="009D4620"/>
    <w:rsid w:val="009D7B1B"/>
    <w:rsid w:val="009E70C5"/>
    <w:rsid w:val="009F1965"/>
    <w:rsid w:val="009F2891"/>
    <w:rsid w:val="009F3A30"/>
    <w:rsid w:val="009F470D"/>
    <w:rsid w:val="009F66E2"/>
    <w:rsid w:val="00A00E13"/>
    <w:rsid w:val="00A03DB6"/>
    <w:rsid w:val="00A12EA6"/>
    <w:rsid w:val="00A146BB"/>
    <w:rsid w:val="00A152BC"/>
    <w:rsid w:val="00A16429"/>
    <w:rsid w:val="00A170C5"/>
    <w:rsid w:val="00A43DA1"/>
    <w:rsid w:val="00A5238D"/>
    <w:rsid w:val="00A5717C"/>
    <w:rsid w:val="00A66A02"/>
    <w:rsid w:val="00A71FBA"/>
    <w:rsid w:val="00A748A3"/>
    <w:rsid w:val="00A85D34"/>
    <w:rsid w:val="00A86B8D"/>
    <w:rsid w:val="00A9354F"/>
    <w:rsid w:val="00AA5B81"/>
    <w:rsid w:val="00AB04CE"/>
    <w:rsid w:val="00AB5426"/>
    <w:rsid w:val="00AC430B"/>
    <w:rsid w:val="00AC7143"/>
    <w:rsid w:val="00AD7124"/>
    <w:rsid w:val="00AE2AFB"/>
    <w:rsid w:val="00AE33F7"/>
    <w:rsid w:val="00AF071D"/>
    <w:rsid w:val="00AF42B6"/>
    <w:rsid w:val="00B04772"/>
    <w:rsid w:val="00B06BDE"/>
    <w:rsid w:val="00B305FD"/>
    <w:rsid w:val="00B35171"/>
    <w:rsid w:val="00B35BF6"/>
    <w:rsid w:val="00B4112D"/>
    <w:rsid w:val="00B43BD6"/>
    <w:rsid w:val="00B4492F"/>
    <w:rsid w:val="00B45B48"/>
    <w:rsid w:val="00B47451"/>
    <w:rsid w:val="00B537BF"/>
    <w:rsid w:val="00B54420"/>
    <w:rsid w:val="00B55366"/>
    <w:rsid w:val="00B55A1A"/>
    <w:rsid w:val="00B73742"/>
    <w:rsid w:val="00B944A8"/>
    <w:rsid w:val="00BE403C"/>
    <w:rsid w:val="00BF21DE"/>
    <w:rsid w:val="00BF6367"/>
    <w:rsid w:val="00C1278F"/>
    <w:rsid w:val="00C1388A"/>
    <w:rsid w:val="00C14365"/>
    <w:rsid w:val="00C15DAF"/>
    <w:rsid w:val="00C32980"/>
    <w:rsid w:val="00C33C7E"/>
    <w:rsid w:val="00C34573"/>
    <w:rsid w:val="00C45907"/>
    <w:rsid w:val="00C511AF"/>
    <w:rsid w:val="00C54BD0"/>
    <w:rsid w:val="00C61A80"/>
    <w:rsid w:val="00C741FC"/>
    <w:rsid w:val="00C7465E"/>
    <w:rsid w:val="00C84ABE"/>
    <w:rsid w:val="00CC4E9B"/>
    <w:rsid w:val="00CD10AA"/>
    <w:rsid w:val="00CD2E1C"/>
    <w:rsid w:val="00CE2B4E"/>
    <w:rsid w:val="00CF0FFC"/>
    <w:rsid w:val="00D032D2"/>
    <w:rsid w:val="00D04831"/>
    <w:rsid w:val="00D220CE"/>
    <w:rsid w:val="00D228D2"/>
    <w:rsid w:val="00D257F8"/>
    <w:rsid w:val="00D52DDA"/>
    <w:rsid w:val="00D6136B"/>
    <w:rsid w:val="00D6219F"/>
    <w:rsid w:val="00D73782"/>
    <w:rsid w:val="00D816C4"/>
    <w:rsid w:val="00D81935"/>
    <w:rsid w:val="00D834A4"/>
    <w:rsid w:val="00D87F44"/>
    <w:rsid w:val="00D9220D"/>
    <w:rsid w:val="00D95522"/>
    <w:rsid w:val="00DB4A9F"/>
    <w:rsid w:val="00DC072C"/>
    <w:rsid w:val="00DD32CA"/>
    <w:rsid w:val="00DD588F"/>
    <w:rsid w:val="00DD75E5"/>
    <w:rsid w:val="00DE6BCE"/>
    <w:rsid w:val="00DF15FB"/>
    <w:rsid w:val="00DF7F62"/>
    <w:rsid w:val="00E102DD"/>
    <w:rsid w:val="00E11F9F"/>
    <w:rsid w:val="00E1735A"/>
    <w:rsid w:val="00E2542E"/>
    <w:rsid w:val="00E25F94"/>
    <w:rsid w:val="00E40DB0"/>
    <w:rsid w:val="00E51FFF"/>
    <w:rsid w:val="00E53972"/>
    <w:rsid w:val="00E569E6"/>
    <w:rsid w:val="00E63261"/>
    <w:rsid w:val="00E67762"/>
    <w:rsid w:val="00E70147"/>
    <w:rsid w:val="00E754AC"/>
    <w:rsid w:val="00E87F00"/>
    <w:rsid w:val="00E9084A"/>
    <w:rsid w:val="00E9666B"/>
    <w:rsid w:val="00EA3BC2"/>
    <w:rsid w:val="00EA4EDE"/>
    <w:rsid w:val="00EB0D29"/>
    <w:rsid w:val="00EB142D"/>
    <w:rsid w:val="00EB14BB"/>
    <w:rsid w:val="00EB37C5"/>
    <w:rsid w:val="00EB4419"/>
    <w:rsid w:val="00EB4D97"/>
    <w:rsid w:val="00ED3987"/>
    <w:rsid w:val="00ED4652"/>
    <w:rsid w:val="00ED49AE"/>
    <w:rsid w:val="00ED5E71"/>
    <w:rsid w:val="00EE7C86"/>
    <w:rsid w:val="00EF3A1D"/>
    <w:rsid w:val="00EF3AB8"/>
    <w:rsid w:val="00EF5B2C"/>
    <w:rsid w:val="00EF6698"/>
    <w:rsid w:val="00EF7FE5"/>
    <w:rsid w:val="00F03511"/>
    <w:rsid w:val="00F14D88"/>
    <w:rsid w:val="00F2558F"/>
    <w:rsid w:val="00F27009"/>
    <w:rsid w:val="00F30009"/>
    <w:rsid w:val="00F311D8"/>
    <w:rsid w:val="00F35750"/>
    <w:rsid w:val="00F36843"/>
    <w:rsid w:val="00F41417"/>
    <w:rsid w:val="00F41868"/>
    <w:rsid w:val="00F42F5D"/>
    <w:rsid w:val="00F44A05"/>
    <w:rsid w:val="00F44A1A"/>
    <w:rsid w:val="00F5126A"/>
    <w:rsid w:val="00F62E4F"/>
    <w:rsid w:val="00F70660"/>
    <w:rsid w:val="00F70A53"/>
    <w:rsid w:val="00F74717"/>
    <w:rsid w:val="00F7536C"/>
    <w:rsid w:val="00F8203C"/>
    <w:rsid w:val="00F835F2"/>
    <w:rsid w:val="00F85CA0"/>
    <w:rsid w:val="00F90620"/>
    <w:rsid w:val="00F93DA7"/>
    <w:rsid w:val="00FA03F8"/>
    <w:rsid w:val="00FA0D4C"/>
    <w:rsid w:val="00FA3562"/>
    <w:rsid w:val="00FB050B"/>
    <w:rsid w:val="00FB475A"/>
    <w:rsid w:val="00FB6727"/>
    <w:rsid w:val="00FB67DA"/>
    <w:rsid w:val="00FB6BDA"/>
    <w:rsid w:val="00FC36A8"/>
    <w:rsid w:val="00FC3C89"/>
    <w:rsid w:val="00FC78CD"/>
    <w:rsid w:val="00FD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DC47A"/>
  <w15:chartTrackingRefBased/>
  <w15:docId w15:val="{18978B27-770C-4EE0-A3F0-86BF4E08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CFB"/>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0CFB"/>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rsid w:val="00860CFB"/>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link w:val="BalloonTextChar"/>
    <w:uiPriority w:val="99"/>
    <w:semiHidden/>
    <w:rsid w:val="00860CFB"/>
    <w:rPr>
      <w:rFonts w:ascii="Tahoma" w:hAnsi="Tahoma"/>
      <w:sz w:val="16"/>
      <w:szCs w:val="16"/>
    </w:rPr>
  </w:style>
  <w:style w:type="character" w:styleId="FollowedHyperlink">
    <w:name w:val="FollowedHyperlink"/>
    <w:rPr>
      <w:color w:val="800080"/>
      <w:u w:val="single"/>
    </w:rPr>
  </w:style>
  <w:style w:type="paragraph" w:customStyle="1" w:styleId="Default">
    <w:name w:val="Default"/>
    <w:rsid w:val="007A559B"/>
    <w:pPr>
      <w:widowControl w:val="0"/>
      <w:autoSpaceDE w:val="0"/>
      <w:autoSpaceDN w:val="0"/>
      <w:adjustRightInd w:val="0"/>
    </w:pPr>
    <w:rPr>
      <w:color w:val="000000"/>
      <w:sz w:val="24"/>
      <w:szCs w:val="24"/>
      <w:lang w:val="en-GB" w:eastAsia="en-GB"/>
    </w:rPr>
  </w:style>
  <w:style w:type="paragraph" w:customStyle="1" w:styleId="CM4">
    <w:name w:val="CM4"/>
    <w:basedOn w:val="Default"/>
    <w:next w:val="Default"/>
    <w:uiPriority w:val="99"/>
    <w:rsid w:val="004035FA"/>
    <w:pPr>
      <w:spacing w:line="276" w:lineRule="atLeast"/>
    </w:pPr>
    <w:rPr>
      <w:color w:val="auto"/>
      <w:lang w:val="lv-LV" w:eastAsia="lv-LV"/>
    </w:rPr>
  </w:style>
  <w:style w:type="character" w:customStyle="1" w:styleId="BalloonTextChar">
    <w:name w:val="Balloon Text Char"/>
    <w:link w:val="BalloonText"/>
    <w:uiPriority w:val="99"/>
    <w:semiHidden/>
    <w:rsid w:val="00860CFB"/>
    <w:rPr>
      <w:rFonts w:ascii="Tahoma" w:hAnsi="Tahoma" w:cs="Tahoma"/>
      <w:sz w:val="16"/>
      <w:szCs w:val="16"/>
      <w:lang w:val="lv-LV" w:eastAsia="en-US"/>
    </w:rPr>
  </w:style>
  <w:style w:type="character" w:customStyle="1" w:styleId="HeaderChar">
    <w:name w:val="Header Char"/>
    <w:link w:val="Header"/>
    <w:uiPriority w:val="99"/>
    <w:rsid w:val="00860CFB"/>
    <w:rPr>
      <w:rFonts w:ascii="Helvetica" w:hAnsi="Helvetica"/>
      <w:lang w:val="lv-LV" w:eastAsia="en-US"/>
    </w:rPr>
  </w:style>
  <w:style w:type="character" w:customStyle="1" w:styleId="FooterChar">
    <w:name w:val="Footer Char"/>
    <w:link w:val="Footer"/>
    <w:uiPriority w:val="99"/>
    <w:rsid w:val="00860CFB"/>
    <w:rPr>
      <w:rFonts w:ascii="Helvetica" w:hAnsi="Helvetica"/>
      <w:sz w:val="16"/>
      <w:lang w:val="lv-LV" w:eastAsia="en-US"/>
    </w:rPr>
  </w:style>
  <w:style w:type="character" w:styleId="CommentReference">
    <w:name w:val="annotation reference"/>
    <w:rsid w:val="00852DFF"/>
    <w:rPr>
      <w:sz w:val="16"/>
      <w:szCs w:val="16"/>
    </w:rPr>
  </w:style>
  <w:style w:type="paragraph" w:styleId="CommentText">
    <w:name w:val="annotation text"/>
    <w:basedOn w:val="Normal"/>
    <w:link w:val="CommentTextChar"/>
    <w:rsid w:val="00852DFF"/>
    <w:rPr>
      <w:sz w:val="20"/>
      <w:lang w:val="x-none"/>
    </w:rPr>
  </w:style>
  <w:style w:type="character" w:customStyle="1" w:styleId="CommentTextChar">
    <w:name w:val="Comment Text Char"/>
    <w:link w:val="CommentText"/>
    <w:rsid w:val="00852DFF"/>
    <w:rPr>
      <w:lang w:eastAsia="en-US"/>
    </w:rPr>
  </w:style>
  <w:style w:type="paragraph" w:styleId="CommentSubject">
    <w:name w:val="annotation subject"/>
    <w:basedOn w:val="CommentText"/>
    <w:next w:val="CommentText"/>
    <w:link w:val="CommentSubjectChar"/>
    <w:rsid w:val="00852DFF"/>
    <w:rPr>
      <w:b/>
      <w:bCs/>
    </w:rPr>
  </w:style>
  <w:style w:type="character" w:customStyle="1" w:styleId="CommentSubjectChar">
    <w:name w:val="Comment Subject Char"/>
    <w:link w:val="CommentSubject"/>
    <w:rsid w:val="00852DFF"/>
    <w:rPr>
      <w:b/>
      <w:bCs/>
      <w:lang w:eastAsia="en-US"/>
    </w:rPr>
  </w:style>
  <w:style w:type="paragraph" w:styleId="Revision">
    <w:name w:val="Revision"/>
    <w:hidden/>
    <w:uiPriority w:val="99"/>
    <w:semiHidden/>
    <w:rsid w:val="004E1E96"/>
    <w:rPr>
      <w:sz w:val="22"/>
      <w:lang w:val="lv-LV"/>
    </w:rPr>
  </w:style>
  <w:style w:type="character" w:customStyle="1" w:styleId="apple-style-span">
    <w:name w:val="apple-style-span"/>
    <w:basedOn w:val="DefaultParagraphFont"/>
    <w:rsid w:val="00324FAD"/>
  </w:style>
  <w:style w:type="character" w:customStyle="1" w:styleId="hps">
    <w:name w:val="hps"/>
    <w:rsid w:val="005E3068"/>
  </w:style>
  <w:style w:type="character" w:styleId="Emphasis">
    <w:name w:val="Emphasis"/>
    <w:uiPriority w:val="20"/>
    <w:qFormat/>
    <w:rsid w:val="00E51FFF"/>
    <w:rPr>
      <w:i/>
      <w:iCs/>
    </w:rPr>
  </w:style>
  <w:style w:type="paragraph" w:customStyle="1" w:styleId="CM8">
    <w:name w:val="CM8"/>
    <w:basedOn w:val="Default"/>
    <w:next w:val="Default"/>
    <w:uiPriority w:val="99"/>
    <w:rsid w:val="002D7130"/>
    <w:rPr>
      <w:color w:val="auto"/>
      <w:lang w:val="en-US" w:eastAsia="en-US"/>
    </w:rPr>
  </w:style>
  <w:style w:type="paragraph" w:styleId="NormalIndent">
    <w:name w:val="Normal Indent"/>
    <w:basedOn w:val="Normal"/>
    <w:rsid w:val="002D5EE4"/>
    <w:pPr>
      <w:tabs>
        <w:tab w:val="clear" w:pos="567"/>
      </w:tabs>
      <w:spacing w:after="120" w:line="240" w:lineRule="auto"/>
      <w:ind w:left="72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webSettings" Target="webSettings.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hyperlink" Target="http://www.zva.gov.lv"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CE5F4-9F9C-4E31-8E24-880BF9231D67}">
  <ds:schemaRefs>
    <ds:schemaRef ds:uri="http://schemas.openxmlformats.org/officeDocument/2006/bibliography"/>
  </ds:schemaRefs>
</ds:datastoreItem>
</file>

<file path=customXml/itemProps10.xml><?xml version="1.0" encoding="utf-8"?>
<ds:datastoreItem xmlns:ds="http://schemas.openxmlformats.org/officeDocument/2006/customXml" ds:itemID="{3845B6F7-9C5E-45E0-9682-9E3F29B53006}">
  <ds:schemaRefs>
    <ds:schemaRef ds:uri="http://schemas.openxmlformats.org/officeDocument/2006/bibliography"/>
  </ds:schemaRefs>
</ds:datastoreItem>
</file>

<file path=customXml/itemProps11.xml><?xml version="1.0" encoding="utf-8"?>
<ds:datastoreItem xmlns:ds="http://schemas.openxmlformats.org/officeDocument/2006/customXml" ds:itemID="{AE9F2CB4-9B35-4F09-8040-937A1496B21B}">
  <ds:schemaRefs>
    <ds:schemaRef ds:uri="http://schemas.openxmlformats.org/officeDocument/2006/bibliography"/>
  </ds:schemaRefs>
</ds:datastoreItem>
</file>

<file path=customXml/itemProps12.xml><?xml version="1.0" encoding="utf-8"?>
<ds:datastoreItem xmlns:ds="http://schemas.openxmlformats.org/officeDocument/2006/customXml" ds:itemID="{6329B0F9-B16A-4D64-9B0B-84A3F40083C9}">
  <ds:schemaRefs>
    <ds:schemaRef ds:uri="http://schemas.openxmlformats.org/officeDocument/2006/bibliography"/>
  </ds:schemaRefs>
</ds:datastoreItem>
</file>

<file path=customXml/itemProps13.xml><?xml version="1.0" encoding="utf-8"?>
<ds:datastoreItem xmlns:ds="http://schemas.openxmlformats.org/officeDocument/2006/customXml" ds:itemID="{FC9110E4-093F-48FC-B350-D8D72C67BA47}">
  <ds:schemaRefs>
    <ds:schemaRef ds:uri="http://schemas.openxmlformats.org/officeDocument/2006/bibliography"/>
  </ds:schemaRefs>
</ds:datastoreItem>
</file>

<file path=customXml/itemProps14.xml><?xml version="1.0" encoding="utf-8"?>
<ds:datastoreItem xmlns:ds="http://schemas.openxmlformats.org/officeDocument/2006/customXml" ds:itemID="{3BCCC9E1-BB79-41AE-939D-F00604781D85}">
  <ds:schemaRefs>
    <ds:schemaRef ds:uri="http://schemas.openxmlformats.org/officeDocument/2006/bibliography"/>
  </ds:schemaRefs>
</ds:datastoreItem>
</file>

<file path=customXml/itemProps15.xml><?xml version="1.0" encoding="utf-8"?>
<ds:datastoreItem xmlns:ds="http://schemas.openxmlformats.org/officeDocument/2006/customXml" ds:itemID="{196458E9-E9B2-451D-955B-0D9DBF12F038}">
  <ds:schemaRefs>
    <ds:schemaRef ds:uri="http://schemas.openxmlformats.org/officeDocument/2006/bibliography"/>
  </ds:schemaRefs>
</ds:datastoreItem>
</file>

<file path=customXml/itemProps16.xml><?xml version="1.0" encoding="utf-8"?>
<ds:datastoreItem xmlns:ds="http://schemas.openxmlformats.org/officeDocument/2006/customXml" ds:itemID="{3E4BEFD9-613E-4D61-9262-DF8E47D38515}">
  <ds:schemaRefs>
    <ds:schemaRef ds:uri="http://schemas.openxmlformats.org/officeDocument/2006/bibliography"/>
  </ds:schemaRefs>
</ds:datastoreItem>
</file>

<file path=customXml/itemProps17.xml><?xml version="1.0" encoding="utf-8"?>
<ds:datastoreItem xmlns:ds="http://schemas.openxmlformats.org/officeDocument/2006/customXml" ds:itemID="{ED7DB5F5-55F2-4FBA-9891-E8FBA7C1B2F8}">
  <ds:schemaRefs>
    <ds:schemaRef ds:uri="http://schemas.openxmlformats.org/officeDocument/2006/bibliography"/>
  </ds:schemaRefs>
</ds:datastoreItem>
</file>

<file path=customXml/itemProps18.xml><?xml version="1.0" encoding="utf-8"?>
<ds:datastoreItem xmlns:ds="http://schemas.openxmlformats.org/officeDocument/2006/customXml" ds:itemID="{877414D0-C8BC-4EC7-B5EA-362F704EA3E4}">
  <ds:schemaRefs>
    <ds:schemaRef ds:uri="http://schemas.openxmlformats.org/officeDocument/2006/bibliography"/>
  </ds:schemaRefs>
</ds:datastoreItem>
</file>

<file path=customXml/itemProps19.xml><?xml version="1.0" encoding="utf-8"?>
<ds:datastoreItem xmlns:ds="http://schemas.openxmlformats.org/officeDocument/2006/customXml" ds:itemID="{915838ED-04AB-4DE4-8521-6C5045B9F41C}">
  <ds:schemaRefs>
    <ds:schemaRef ds:uri="http://schemas.openxmlformats.org/officeDocument/2006/bibliography"/>
  </ds:schemaRefs>
</ds:datastoreItem>
</file>

<file path=customXml/itemProps2.xml><?xml version="1.0" encoding="utf-8"?>
<ds:datastoreItem xmlns:ds="http://schemas.openxmlformats.org/officeDocument/2006/customXml" ds:itemID="{FAD4BEF3-ABD7-473B-A805-DDED28E3044B}">
  <ds:schemaRefs>
    <ds:schemaRef ds:uri="http://schemas.openxmlformats.org/officeDocument/2006/bibliography"/>
  </ds:schemaRefs>
</ds:datastoreItem>
</file>

<file path=customXml/itemProps20.xml><?xml version="1.0" encoding="utf-8"?>
<ds:datastoreItem xmlns:ds="http://schemas.openxmlformats.org/officeDocument/2006/customXml" ds:itemID="{EED2C2DA-355D-4312-AC4C-FBF0B54FCA98}">
  <ds:schemaRefs>
    <ds:schemaRef ds:uri="http://schemas.openxmlformats.org/officeDocument/2006/bibliography"/>
  </ds:schemaRefs>
</ds:datastoreItem>
</file>

<file path=customXml/itemProps21.xml><?xml version="1.0" encoding="utf-8"?>
<ds:datastoreItem xmlns:ds="http://schemas.openxmlformats.org/officeDocument/2006/customXml" ds:itemID="{25D0C8A5-D2D0-46CB-9742-2AADB2D6DE8A}">
  <ds:schemaRefs>
    <ds:schemaRef ds:uri="http://schemas.openxmlformats.org/officeDocument/2006/bibliography"/>
  </ds:schemaRefs>
</ds:datastoreItem>
</file>

<file path=customXml/itemProps22.xml><?xml version="1.0" encoding="utf-8"?>
<ds:datastoreItem xmlns:ds="http://schemas.openxmlformats.org/officeDocument/2006/customXml" ds:itemID="{061FE5FB-6DDD-4A34-842F-1C8F4F02771B}">
  <ds:schemaRefs>
    <ds:schemaRef ds:uri="http://schemas.openxmlformats.org/officeDocument/2006/bibliography"/>
  </ds:schemaRefs>
</ds:datastoreItem>
</file>

<file path=customXml/itemProps23.xml><?xml version="1.0" encoding="utf-8"?>
<ds:datastoreItem xmlns:ds="http://schemas.openxmlformats.org/officeDocument/2006/customXml" ds:itemID="{A6BC3AF8-CC9F-43A9-8E8A-355930E0D4AD}">
  <ds:schemaRefs>
    <ds:schemaRef ds:uri="http://schemas.openxmlformats.org/officeDocument/2006/bibliography"/>
  </ds:schemaRefs>
</ds:datastoreItem>
</file>

<file path=customXml/itemProps24.xml><?xml version="1.0" encoding="utf-8"?>
<ds:datastoreItem xmlns:ds="http://schemas.openxmlformats.org/officeDocument/2006/customXml" ds:itemID="{C54D55D2-F074-4FA5-8EA6-994D88C65B16}">
  <ds:schemaRefs>
    <ds:schemaRef ds:uri="http://schemas.openxmlformats.org/officeDocument/2006/bibliography"/>
  </ds:schemaRefs>
</ds:datastoreItem>
</file>

<file path=customXml/itemProps25.xml><?xml version="1.0" encoding="utf-8"?>
<ds:datastoreItem xmlns:ds="http://schemas.openxmlformats.org/officeDocument/2006/customXml" ds:itemID="{F99812CF-B327-4E2F-B6F9-0FFA6D37D3AB}">
  <ds:schemaRefs>
    <ds:schemaRef ds:uri="http://schemas.openxmlformats.org/officeDocument/2006/bibliography"/>
  </ds:schemaRefs>
</ds:datastoreItem>
</file>

<file path=customXml/itemProps26.xml><?xml version="1.0" encoding="utf-8"?>
<ds:datastoreItem xmlns:ds="http://schemas.openxmlformats.org/officeDocument/2006/customXml" ds:itemID="{57452BC9-25AE-4B05-B26D-5AB23E017AFA}">
  <ds:schemaRefs>
    <ds:schemaRef ds:uri="http://schemas.openxmlformats.org/officeDocument/2006/bibliography"/>
  </ds:schemaRefs>
</ds:datastoreItem>
</file>

<file path=customXml/itemProps27.xml><?xml version="1.0" encoding="utf-8"?>
<ds:datastoreItem xmlns:ds="http://schemas.openxmlformats.org/officeDocument/2006/customXml" ds:itemID="{DDECDDEA-3929-44AE-8F12-90F2FA3E79D5}">
  <ds:schemaRefs>
    <ds:schemaRef ds:uri="http://schemas.openxmlformats.org/officeDocument/2006/bibliography"/>
  </ds:schemaRefs>
</ds:datastoreItem>
</file>

<file path=customXml/itemProps28.xml><?xml version="1.0" encoding="utf-8"?>
<ds:datastoreItem xmlns:ds="http://schemas.openxmlformats.org/officeDocument/2006/customXml" ds:itemID="{9D8236DC-DD2D-424C-9D38-9C26E6CB8BE1}">
  <ds:schemaRefs>
    <ds:schemaRef ds:uri="http://schemas.openxmlformats.org/officeDocument/2006/bibliography"/>
  </ds:schemaRefs>
</ds:datastoreItem>
</file>

<file path=customXml/itemProps29.xml><?xml version="1.0" encoding="utf-8"?>
<ds:datastoreItem xmlns:ds="http://schemas.openxmlformats.org/officeDocument/2006/customXml" ds:itemID="{311E81AE-CFAB-43E4-BB66-362C2B1846F0}">
  <ds:schemaRefs>
    <ds:schemaRef ds:uri="http://schemas.openxmlformats.org/officeDocument/2006/bibliography"/>
  </ds:schemaRefs>
</ds:datastoreItem>
</file>

<file path=customXml/itemProps3.xml><?xml version="1.0" encoding="utf-8"?>
<ds:datastoreItem xmlns:ds="http://schemas.openxmlformats.org/officeDocument/2006/customXml" ds:itemID="{4BBD64B9-6DA6-45FB-B67B-B6D44DF6F69D}">
  <ds:schemaRefs>
    <ds:schemaRef ds:uri="http://schemas.openxmlformats.org/officeDocument/2006/bibliography"/>
  </ds:schemaRefs>
</ds:datastoreItem>
</file>

<file path=customXml/itemProps30.xml><?xml version="1.0" encoding="utf-8"?>
<ds:datastoreItem xmlns:ds="http://schemas.openxmlformats.org/officeDocument/2006/customXml" ds:itemID="{2CC9ABC7-5A72-43E8-ABDC-4F72AC4C0554}">
  <ds:schemaRefs>
    <ds:schemaRef ds:uri="http://schemas.openxmlformats.org/officeDocument/2006/bibliography"/>
  </ds:schemaRefs>
</ds:datastoreItem>
</file>

<file path=customXml/itemProps4.xml><?xml version="1.0" encoding="utf-8"?>
<ds:datastoreItem xmlns:ds="http://schemas.openxmlformats.org/officeDocument/2006/customXml" ds:itemID="{DF88E5FB-3AD5-427F-8730-4A217E9CDDD0}">
  <ds:schemaRefs>
    <ds:schemaRef ds:uri="http://schemas.openxmlformats.org/officeDocument/2006/bibliography"/>
  </ds:schemaRefs>
</ds:datastoreItem>
</file>

<file path=customXml/itemProps5.xml><?xml version="1.0" encoding="utf-8"?>
<ds:datastoreItem xmlns:ds="http://schemas.openxmlformats.org/officeDocument/2006/customXml" ds:itemID="{429206E0-A1C1-4FC3-AC3D-0B1331BBE045}">
  <ds:schemaRefs>
    <ds:schemaRef ds:uri="http://schemas.openxmlformats.org/officeDocument/2006/bibliography"/>
  </ds:schemaRefs>
</ds:datastoreItem>
</file>

<file path=customXml/itemProps6.xml><?xml version="1.0" encoding="utf-8"?>
<ds:datastoreItem xmlns:ds="http://schemas.openxmlformats.org/officeDocument/2006/customXml" ds:itemID="{35E5DBEA-84E7-4772-91B4-924C06578B16}">
  <ds:schemaRefs>
    <ds:schemaRef ds:uri="http://schemas.openxmlformats.org/officeDocument/2006/bibliography"/>
  </ds:schemaRefs>
</ds:datastoreItem>
</file>

<file path=customXml/itemProps7.xml><?xml version="1.0" encoding="utf-8"?>
<ds:datastoreItem xmlns:ds="http://schemas.openxmlformats.org/officeDocument/2006/customXml" ds:itemID="{D355089E-D275-49E3-918D-6F59504E3EB6}">
  <ds:schemaRefs>
    <ds:schemaRef ds:uri="http://schemas.openxmlformats.org/officeDocument/2006/bibliography"/>
  </ds:schemaRefs>
</ds:datastoreItem>
</file>

<file path=customXml/itemProps8.xml><?xml version="1.0" encoding="utf-8"?>
<ds:datastoreItem xmlns:ds="http://schemas.openxmlformats.org/officeDocument/2006/customXml" ds:itemID="{A59908DE-9629-400B-ACB4-3DC9E46B6B97}">
  <ds:schemaRefs>
    <ds:schemaRef ds:uri="http://schemas.openxmlformats.org/officeDocument/2006/bibliography"/>
  </ds:schemaRefs>
</ds:datastoreItem>
</file>

<file path=customXml/itemProps9.xml><?xml version="1.0" encoding="utf-8"?>
<ds:datastoreItem xmlns:ds="http://schemas.openxmlformats.org/officeDocument/2006/customXml" ds:itemID="{EDC8C7AE-A0CD-4DD6-9039-CE1A8AA1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2058</Words>
  <Characters>14108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16134</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8</cp:revision>
  <cp:lastPrinted>2021-11-13T09:07:00Z</cp:lastPrinted>
  <dcterms:created xsi:type="dcterms:W3CDTF">2021-11-13T09:07:00Z</dcterms:created>
  <dcterms:modified xsi:type="dcterms:W3CDTF">2021-12-13T11:40:00Z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