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FDB" w14:textId="77777777" w:rsidR="00027BD5" w:rsidRPr="00A9720E" w:rsidRDefault="00027BD5" w:rsidP="00E71928">
      <w:pPr>
        <w:pStyle w:val="Heading2"/>
        <w:jc w:val="center"/>
        <w:rPr>
          <w:rFonts w:ascii="Times New Roman" w:hAnsi="Times New Roman"/>
          <w:i w:val="0"/>
          <w:iCs/>
        </w:rPr>
      </w:pPr>
      <w:r w:rsidRPr="00A9720E">
        <w:rPr>
          <w:rFonts w:ascii="Times New Roman" w:hAnsi="Times New Roman"/>
          <w:i w:val="0"/>
          <w:iCs/>
        </w:rPr>
        <w:t>ZĀĻU APRAKSTS</w:t>
      </w:r>
    </w:p>
    <w:p w14:paraId="12FC76C2" w14:textId="77777777" w:rsidR="00027BD5" w:rsidRPr="00474EBF" w:rsidRDefault="00027BD5">
      <w:pPr>
        <w:tabs>
          <w:tab w:val="clear" w:pos="567"/>
          <w:tab w:val="left" w:pos="-1440"/>
          <w:tab w:val="left" w:pos="-720"/>
        </w:tabs>
        <w:spacing w:line="240" w:lineRule="auto"/>
        <w:ind w:left="567" w:hanging="567"/>
        <w:jc w:val="center"/>
      </w:pPr>
    </w:p>
    <w:p w14:paraId="7A64ADEA" w14:textId="77777777" w:rsidR="00027BD5" w:rsidRPr="00474EBF" w:rsidRDefault="00027BD5" w:rsidP="00492700">
      <w:pPr>
        <w:rPr>
          <w:b/>
        </w:rPr>
      </w:pPr>
      <w:r w:rsidRPr="00474EBF">
        <w:rPr>
          <w:b/>
        </w:rPr>
        <w:t>1.</w:t>
      </w:r>
      <w:r w:rsidRPr="00474EBF">
        <w:rPr>
          <w:b/>
        </w:rPr>
        <w:tab/>
        <w:t>ZĀĻU NOSAUKUMS</w:t>
      </w:r>
    </w:p>
    <w:p w14:paraId="0370E81E" w14:textId="77777777" w:rsidR="00027BD5" w:rsidRPr="00474EBF" w:rsidRDefault="00027BD5">
      <w:pPr>
        <w:ind w:left="567" w:hanging="567"/>
      </w:pPr>
    </w:p>
    <w:p w14:paraId="1D856EFD" w14:textId="77777777" w:rsidR="00027BD5" w:rsidRPr="00474EBF" w:rsidRDefault="00DA4D33">
      <w:pPr>
        <w:ind w:left="567" w:hanging="567"/>
      </w:pPr>
      <w:r w:rsidRPr="00474EBF">
        <w:t>Febr</w:t>
      </w:r>
      <w:r w:rsidR="002535C8">
        <w:t>isan</w:t>
      </w:r>
      <w:r w:rsidR="00BC6C7D">
        <w:t xml:space="preserve"> 750 mg/60 mg/10 mg putojošais</w:t>
      </w:r>
      <w:r w:rsidRPr="00474EBF">
        <w:t xml:space="preserve"> pulveris</w:t>
      </w:r>
    </w:p>
    <w:p w14:paraId="22FF9A35" w14:textId="77777777" w:rsidR="00027BD5" w:rsidRPr="00474EBF" w:rsidRDefault="00027BD5">
      <w:pPr>
        <w:ind w:left="567" w:hanging="567"/>
      </w:pPr>
    </w:p>
    <w:p w14:paraId="42CBA2DE" w14:textId="77777777" w:rsidR="00027BD5" w:rsidRPr="00474EBF" w:rsidRDefault="00027BD5">
      <w:pPr>
        <w:ind w:left="567" w:hanging="567"/>
      </w:pPr>
    </w:p>
    <w:p w14:paraId="193400A8" w14:textId="77777777" w:rsidR="00027BD5" w:rsidRPr="00474EBF" w:rsidRDefault="00027BD5">
      <w:pPr>
        <w:ind w:left="567" w:hanging="567"/>
        <w:rPr>
          <w:b/>
        </w:rPr>
      </w:pPr>
      <w:r w:rsidRPr="00474EBF">
        <w:rPr>
          <w:b/>
        </w:rPr>
        <w:t>2.</w:t>
      </w:r>
      <w:r w:rsidRPr="00474EBF">
        <w:rPr>
          <w:b/>
        </w:rPr>
        <w:tab/>
        <w:t>KVALITATĪVAIS UN KVANTITATĪVAIS SASTĀVS</w:t>
      </w:r>
    </w:p>
    <w:p w14:paraId="7B09F6FB" w14:textId="77777777" w:rsidR="00027BD5" w:rsidRPr="00474EBF" w:rsidRDefault="00027BD5">
      <w:pPr>
        <w:ind w:left="567" w:hanging="567"/>
      </w:pPr>
    </w:p>
    <w:p w14:paraId="4855061A" w14:textId="77777777" w:rsidR="00C13297" w:rsidRPr="00474EBF" w:rsidRDefault="00DA4D33">
      <w:pPr>
        <w:ind w:left="567" w:hanging="567"/>
      </w:pPr>
      <w:r w:rsidRPr="00474EBF">
        <w:t>1 paciņa</w:t>
      </w:r>
      <w:r w:rsidR="00C13297" w:rsidRPr="00474EBF">
        <w:t xml:space="preserve"> (5 g) satur:</w:t>
      </w:r>
    </w:p>
    <w:p w14:paraId="00D7E44C" w14:textId="77777777" w:rsidR="00C13297" w:rsidRPr="00474EBF" w:rsidRDefault="00C13297">
      <w:pPr>
        <w:ind w:left="567" w:hanging="567"/>
      </w:pPr>
      <w:r w:rsidRPr="00474EBF">
        <w:t>Paracetamolu (</w:t>
      </w:r>
      <w:r w:rsidRPr="00474EBF">
        <w:rPr>
          <w:i/>
        </w:rPr>
        <w:t>Paracetamolum)</w:t>
      </w:r>
      <w:r w:rsidRPr="00474EBF">
        <w:rPr>
          <w:i/>
        </w:rPr>
        <w:tab/>
      </w:r>
      <w:r w:rsidRPr="00474EBF">
        <w:rPr>
          <w:i/>
        </w:rPr>
        <w:tab/>
      </w:r>
      <w:r w:rsidRPr="00474EBF">
        <w:rPr>
          <w:i/>
        </w:rPr>
        <w:tab/>
      </w:r>
      <w:r w:rsidRPr="00474EBF">
        <w:rPr>
          <w:i/>
        </w:rPr>
        <w:tab/>
      </w:r>
      <w:r w:rsidRPr="00474EBF">
        <w:rPr>
          <w:i/>
        </w:rPr>
        <w:tab/>
      </w:r>
      <w:r w:rsidRPr="00474EBF">
        <w:t>750 mg</w:t>
      </w:r>
    </w:p>
    <w:p w14:paraId="755DEAB5" w14:textId="77777777" w:rsidR="00C13297" w:rsidRPr="00474EBF" w:rsidRDefault="00C13297">
      <w:pPr>
        <w:ind w:left="567" w:hanging="567"/>
      </w:pPr>
      <w:r w:rsidRPr="00474EBF">
        <w:t>Askorbīnskābi (</w:t>
      </w:r>
      <w:r w:rsidRPr="00474EBF">
        <w:rPr>
          <w:i/>
        </w:rPr>
        <w:t>Acidum ascorbicum)</w:t>
      </w:r>
      <w:r w:rsidRPr="00474EBF">
        <w:rPr>
          <w:i/>
        </w:rPr>
        <w:tab/>
      </w:r>
      <w:r w:rsidRPr="00474EBF">
        <w:rPr>
          <w:i/>
        </w:rPr>
        <w:tab/>
      </w:r>
      <w:r w:rsidR="00381279">
        <w:rPr>
          <w:i/>
        </w:rPr>
        <w:tab/>
      </w:r>
      <w:r w:rsidR="00381279">
        <w:rPr>
          <w:i/>
        </w:rPr>
        <w:tab/>
      </w:r>
      <w:r w:rsidRPr="00474EBF">
        <w:t>60 mg</w:t>
      </w:r>
    </w:p>
    <w:p w14:paraId="2F021D50" w14:textId="77777777" w:rsidR="00C13297" w:rsidRPr="00474EBF" w:rsidRDefault="00C13297">
      <w:pPr>
        <w:ind w:left="567" w:hanging="567"/>
        <w:rPr>
          <w:iCs/>
        </w:rPr>
      </w:pPr>
      <w:r w:rsidRPr="00474EBF">
        <w:t xml:space="preserve">Fenilefrīna hidrohlorīdu </w:t>
      </w:r>
      <w:r w:rsidRPr="00474EBF">
        <w:rPr>
          <w:i/>
          <w:iCs/>
        </w:rPr>
        <w:t>(Phenylephrini hydrochloridum)</w:t>
      </w:r>
      <w:r w:rsidRPr="00474EBF">
        <w:rPr>
          <w:i/>
          <w:iCs/>
        </w:rPr>
        <w:tab/>
      </w:r>
      <w:r w:rsidRPr="00474EBF">
        <w:rPr>
          <w:iCs/>
        </w:rPr>
        <w:t xml:space="preserve">10 mg </w:t>
      </w:r>
    </w:p>
    <w:p w14:paraId="7F2B594E" w14:textId="77777777" w:rsidR="00EB66E2" w:rsidRDefault="00EB66E2" w:rsidP="00EB66E2">
      <w:pPr>
        <w:tabs>
          <w:tab w:val="clear" w:pos="567"/>
        </w:tabs>
        <w:spacing w:line="240" w:lineRule="auto"/>
        <w:ind w:left="567" w:hanging="567"/>
      </w:pPr>
    </w:p>
    <w:p w14:paraId="3D0DFDF9" w14:textId="77777777" w:rsidR="00EB66E2" w:rsidRDefault="00EB66E2" w:rsidP="00EB66E2">
      <w:pPr>
        <w:tabs>
          <w:tab w:val="clear" w:pos="567"/>
        </w:tabs>
        <w:spacing w:line="240" w:lineRule="auto"/>
        <w:ind w:left="567" w:hanging="567"/>
      </w:pPr>
    </w:p>
    <w:p w14:paraId="5CD4FE04" w14:textId="77777777" w:rsidR="00B74D07" w:rsidRDefault="00061D33" w:rsidP="00B74D07">
      <w:pPr>
        <w:tabs>
          <w:tab w:val="clear" w:pos="567"/>
        </w:tabs>
        <w:spacing w:line="240" w:lineRule="auto"/>
      </w:pPr>
      <w:r>
        <w:t xml:space="preserve">Palīgvielas ar zināmu iedarbību: katra paciņa satur </w:t>
      </w:r>
      <w:r w:rsidR="001A3C67">
        <w:t>2456,</w:t>
      </w:r>
      <w:r w:rsidR="00907970" w:rsidRPr="00907970">
        <w:t>25</w:t>
      </w:r>
      <w:r w:rsidR="00907970">
        <w:t xml:space="preserve"> </w:t>
      </w:r>
      <w:r>
        <w:t>mg saharozes</w:t>
      </w:r>
      <w:r w:rsidR="00A139C2">
        <w:t xml:space="preserve">, </w:t>
      </w:r>
      <w:r w:rsidR="00907970">
        <w:t xml:space="preserve">110 </w:t>
      </w:r>
      <w:r w:rsidR="00A139C2">
        <w:t>mg aspartāma</w:t>
      </w:r>
      <w:r w:rsidR="00FB28C0">
        <w:t xml:space="preserve"> un </w:t>
      </w:r>
      <w:r w:rsidR="00907970" w:rsidRPr="00907970">
        <w:t>600</w:t>
      </w:r>
      <w:r w:rsidR="00B74D07">
        <w:t xml:space="preserve"> mg</w:t>
      </w:r>
      <w:r w:rsidR="00FB28C0">
        <w:t xml:space="preserve"> </w:t>
      </w:r>
      <w:r w:rsidR="00B74D07">
        <w:t>n</w:t>
      </w:r>
      <w:r w:rsidR="00B74D07" w:rsidRPr="00474EBF">
        <w:t xml:space="preserve">ātrija </w:t>
      </w:r>
      <w:r w:rsidR="00B74D07">
        <w:t>hidrogēnkarbonāta</w:t>
      </w:r>
      <w:r w:rsidR="00C07BB8">
        <w:t xml:space="preserve"> (atbilst </w:t>
      </w:r>
      <w:r w:rsidR="007F2B70">
        <w:t>164 mg (7,14</w:t>
      </w:r>
      <w:r w:rsidR="00096470">
        <w:t xml:space="preserve"> mmol</w:t>
      </w:r>
      <w:r w:rsidR="007F2B70">
        <w:t>)</w:t>
      </w:r>
      <w:r w:rsidR="00096470">
        <w:t xml:space="preserve"> nātrija)</w:t>
      </w:r>
      <w:r w:rsidR="00B74D07">
        <w:t>.</w:t>
      </w:r>
    </w:p>
    <w:p w14:paraId="7221C102" w14:textId="77777777" w:rsidR="001A3C67" w:rsidRDefault="001A3C67" w:rsidP="001A3C67">
      <w:pPr>
        <w:tabs>
          <w:tab w:val="clear" w:pos="567"/>
        </w:tabs>
        <w:spacing w:line="240" w:lineRule="auto"/>
        <w:ind w:left="567" w:hanging="567"/>
      </w:pPr>
    </w:p>
    <w:p w14:paraId="13F6569A" w14:textId="77777777" w:rsidR="00027BD5" w:rsidRPr="00474EBF" w:rsidRDefault="00027BD5" w:rsidP="00B74D07">
      <w:r w:rsidRPr="00474EBF">
        <w:t xml:space="preserve">Pilnu palīgvielu sarakstu skatīt </w:t>
      </w:r>
      <w:r w:rsidR="00F030E0" w:rsidRPr="00474EBF">
        <w:t>6.1</w:t>
      </w:r>
      <w:r w:rsidR="00F030E0">
        <w:t xml:space="preserve">. </w:t>
      </w:r>
      <w:r w:rsidRPr="00474EBF">
        <w:t>apakšpunktā.</w:t>
      </w:r>
    </w:p>
    <w:p w14:paraId="6C650292" w14:textId="77777777" w:rsidR="00027BD5" w:rsidRPr="00474EBF" w:rsidRDefault="00027BD5">
      <w:pPr>
        <w:ind w:left="567" w:hanging="567"/>
      </w:pPr>
    </w:p>
    <w:p w14:paraId="7A2096D1" w14:textId="77777777" w:rsidR="00027BD5" w:rsidRPr="00474EBF" w:rsidRDefault="00027BD5">
      <w:pPr>
        <w:ind w:left="567" w:hanging="567"/>
      </w:pPr>
    </w:p>
    <w:p w14:paraId="4F46D2D3" w14:textId="77777777" w:rsidR="00027BD5" w:rsidRPr="00474EBF" w:rsidRDefault="00027BD5">
      <w:pPr>
        <w:ind w:left="567" w:hanging="567"/>
        <w:rPr>
          <w:b/>
          <w:caps/>
        </w:rPr>
      </w:pPr>
      <w:r w:rsidRPr="00474EBF">
        <w:rPr>
          <w:b/>
        </w:rPr>
        <w:t>3.</w:t>
      </w:r>
      <w:r w:rsidRPr="00474EBF">
        <w:rPr>
          <w:b/>
        </w:rPr>
        <w:tab/>
        <w:t>ZĀĻU FORMA</w:t>
      </w:r>
    </w:p>
    <w:p w14:paraId="6B12CF14" w14:textId="77777777" w:rsidR="00027BD5" w:rsidRPr="00474EBF" w:rsidRDefault="00027BD5">
      <w:pPr>
        <w:ind w:left="567" w:hanging="567"/>
      </w:pPr>
    </w:p>
    <w:p w14:paraId="4B9F17B8" w14:textId="77777777" w:rsidR="00BC6C7D" w:rsidRDefault="00BC6C7D">
      <w:pPr>
        <w:tabs>
          <w:tab w:val="clear" w:pos="567"/>
          <w:tab w:val="left" w:pos="0"/>
        </w:tabs>
      </w:pPr>
      <w:r>
        <w:t>Putojošais</w:t>
      </w:r>
      <w:r w:rsidRPr="00474EBF">
        <w:t xml:space="preserve"> pulveris</w:t>
      </w:r>
      <w:r>
        <w:t>.</w:t>
      </w:r>
    </w:p>
    <w:p w14:paraId="315DC596" w14:textId="77777777" w:rsidR="00C13297" w:rsidRPr="00474EBF" w:rsidRDefault="00C13297">
      <w:pPr>
        <w:tabs>
          <w:tab w:val="clear" w:pos="567"/>
          <w:tab w:val="left" w:pos="0"/>
        </w:tabs>
      </w:pPr>
      <w:r w:rsidRPr="00474EBF">
        <w:t xml:space="preserve">Febrisan ir dzeltens </w:t>
      </w:r>
      <w:r w:rsidR="00BC6C7D">
        <w:t>putojošais</w:t>
      </w:r>
      <w:r w:rsidR="00BC6C7D" w:rsidRPr="00474EBF">
        <w:t xml:space="preserve"> pulveris</w:t>
      </w:r>
      <w:r w:rsidRPr="00474EBF">
        <w:t>.</w:t>
      </w:r>
    </w:p>
    <w:p w14:paraId="7571D9DD" w14:textId="77777777" w:rsidR="00027BD5" w:rsidRPr="00474EBF" w:rsidRDefault="00027BD5">
      <w:pPr>
        <w:ind w:left="567" w:hanging="567"/>
      </w:pPr>
    </w:p>
    <w:p w14:paraId="2BBFF357" w14:textId="77777777" w:rsidR="00027BD5" w:rsidRPr="00474EBF" w:rsidRDefault="00027BD5">
      <w:pPr>
        <w:ind w:left="567" w:hanging="567"/>
      </w:pPr>
    </w:p>
    <w:p w14:paraId="7DE7146A" w14:textId="77777777" w:rsidR="00027BD5" w:rsidRPr="00474EBF" w:rsidRDefault="00027BD5">
      <w:pPr>
        <w:tabs>
          <w:tab w:val="clear" w:pos="567"/>
        </w:tabs>
        <w:spacing w:line="240" w:lineRule="auto"/>
        <w:ind w:left="567" w:hanging="567"/>
        <w:rPr>
          <w:b/>
        </w:rPr>
      </w:pPr>
      <w:r w:rsidRPr="00474EBF">
        <w:rPr>
          <w:b/>
          <w:caps/>
        </w:rPr>
        <w:t>4.</w:t>
      </w:r>
      <w:r w:rsidRPr="00474EBF">
        <w:rPr>
          <w:b/>
          <w:caps/>
        </w:rPr>
        <w:tab/>
        <w:t xml:space="preserve">KLĪNISKĀ INFORMĀCIJA </w:t>
      </w:r>
    </w:p>
    <w:p w14:paraId="25070F1C" w14:textId="77777777" w:rsidR="00027BD5" w:rsidRPr="00474EBF" w:rsidRDefault="00027BD5">
      <w:pPr>
        <w:ind w:left="567" w:hanging="567"/>
      </w:pPr>
    </w:p>
    <w:p w14:paraId="1ADB6E87" w14:textId="77777777" w:rsidR="00027BD5" w:rsidRPr="00474EBF" w:rsidRDefault="00027BD5">
      <w:pPr>
        <w:tabs>
          <w:tab w:val="clear" w:pos="567"/>
        </w:tabs>
        <w:spacing w:line="240" w:lineRule="auto"/>
        <w:ind w:left="567" w:hanging="567"/>
      </w:pPr>
      <w:r w:rsidRPr="00474EBF">
        <w:rPr>
          <w:b/>
        </w:rPr>
        <w:t>4.1</w:t>
      </w:r>
      <w:r w:rsidR="00360274">
        <w:rPr>
          <w:b/>
        </w:rPr>
        <w:t>.</w:t>
      </w:r>
      <w:r w:rsidRPr="00474EBF">
        <w:rPr>
          <w:b/>
        </w:rPr>
        <w:tab/>
        <w:t>Terapeitiskās indikācijas</w:t>
      </w:r>
    </w:p>
    <w:p w14:paraId="6F2C0436" w14:textId="77777777" w:rsidR="00027BD5" w:rsidRPr="00474EBF" w:rsidRDefault="00027BD5">
      <w:pPr>
        <w:tabs>
          <w:tab w:val="clear" w:pos="567"/>
        </w:tabs>
        <w:spacing w:line="240" w:lineRule="auto"/>
        <w:ind w:left="567" w:hanging="567"/>
      </w:pPr>
    </w:p>
    <w:p w14:paraId="06AA7D4A" w14:textId="77777777" w:rsidR="00027BD5" w:rsidRPr="00474EBF" w:rsidRDefault="00CD3AF2" w:rsidP="00CD3AF2">
      <w:pPr>
        <w:tabs>
          <w:tab w:val="clear" w:pos="567"/>
        </w:tabs>
        <w:spacing w:line="240" w:lineRule="auto"/>
      </w:pPr>
      <w:r w:rsidRPr="00161825">
        <w:t xml:space="preserve">Īslaicīgai saaukstēšanās slimību un gripas simptomu </w:t>
      </w:r>
      <w:r w:rsidR="00E73158" w:rsidRPr="00161825">
        <w:t>(</w:t>
      </w:r>
      <w:r w:rsidRPr="00161825">
        <w:t xml:space="preserve">drudzis, drebuļi, galvassāpes, muskuļu sāpes, sāpes kaklā, iesnas un </w:t>
      </w:r>
      <w:r w:rsidR="00E73158" w:rsidRPr="00161825">
        <w:t>deguna blakusdobumu iekaisums)</w:t>
      </w:r>
      <w:r w:rsidR="00161825" w:rsidRPr="00161825">
        <w:t xml:space="preserve"> </w:t>
      </w:r>
      <w:r w:rsidR="00907970" w:rsidRPr="00442554">
        <w:t>mazināšanai</w:t>
      </w:r>
      <w:r w:rsidR="00E73158" w:rsidRPr="00442554">
        <w:t>.</w:t>
      </w:r>
    </w:p>
    <w:p w14:paraId="55952220" w14:textId="77777777" w:rsidR="00027BD5" w:rsidRPr="00474EBF" w:rsidRDefault="00027BD5">
      <w:pPr>
        <w:tabs>
          <w:tab w:val="clear" w:pos="567"/>
        </w:tabs>
        <w:spacing w:line="240" w:lineRule="auto"/>
        <w:ind w:left="567" w:hanging="567"/>
      </w:pPr>
    </w:p>
    <w:p w14:paraId="554AFFD6" w14:textId="77777777" w:rsidR="00027BD5" w:rsidRPr="00474EBF" w:rsidRDefault="00027BD5">
      <w:pPr>
        <w:tabs>
          <w:tab w:val="clear" w:pos="567"/>
        </w:tabs>
        <w:spacing w:line="240" w:lineRule="auto"/>
        <w:ind w:left="567" w:hanging="567"/>
      </w:pPr>
      <w:r w:rsidRPr="00474EBF">
        <w:rPr>
          <w:b/>
        </w:rPr>
        <w:t>4.2</w:t>
      </w:r>
      <w:r w:rsidR="00360274">
        <w:rPr>
          <w:b/>
        </w:rPr>
        <w:t>.</w:t>
      </w:r>
      <w:r w:rsidRPr="00474EBF">
        <w:rPr>
          <w:b/>
        </w:rPr>
        <w:tab/>
        <w:t>Devas un lietošanas veids</w:t>
      </w:r>
    </w:p>
    <w:p w14:paraId="3945A942" w14:textId="77777777" w:rsidR="00027BD5" w:rsidRPr="00474EBF" w:rsidRDefault="00027BD5">
      <w:pPr>
        <w:tabs>
          <w:tab w:val="clear" w:pos="567"/>
        </w:tabs>
        <w:spacing w:line="240" w:lineRule="auto"/>
        <w:ind w:left="567" w:hanging="567"/>
      </w:pPr>
    </w:p>
    <w:p w14:paraId="407B0DC3" w14:textId="77777777" w:rsidR="00CD3AF2" w:rsidRPr="00474EBF" w:rsidRDefault="00CD3AF2">
      <w:pPr>
        <w:tabs>
          <w:tab w:val="clear" w:pos="567"/>
        </w:tabs>
        <w:spacing w:line="240" w:lineRule="auto"/>
        <w:ind w:left="567" w:hanging="567"/>
        <w:rPr>
          <w:u w:val="single"/>
        </w:rPr>
      </w:pPr>
      <w:r w:rsidRPr="00474EBF">
        <w:rPr>
          <w:u w:val="single"/>
        </w:rPr>
        <w:t>Pieaugušajiem un pusaudžiem vecākiem par 12 gadiem</w:t>
      </w:r>
    </w:p>
    <w:p w14:paraId="4BCBC1F0" w14:textId="77777777" w:rsidR="00CD3AF2" w:rsidRPr="00474EBF" w:rsidRDefault="00083B2D">
      <w:pPr>
        <w:tabs>
          <w:tab w:val="clear" w:pos="567"/>
        </w:tabs>
        <w:spacing w:line="240" w:lineRule="auto"/>
        <w:ind w:left="567" w:hanging="567"/>
      </w:pPr>
      <w:r>
        <w:t>Pa</w:t>
      </w:r>
      <w:r w:rsidR="00CD3AF2" w:rsidRPr="00474EBF">
        <w:t xml:space="preserve"> 1 paciņa</w:t>
      </w:r>
      <w:r>
        <w:t>i</w:t>
      </w:r>
      <w:r w:rsidR="00CD3AF2" w:rsidRPr="00474EBF">
        <w:t xml:space="preserve"> ik </w:t>
      </w:r>
      <w:r>
        <w:t xml:space="preserve">pēc </w:t>
      </w:r>
      <w:r w:rsidR="00CD3AF2" w:rsidRPr="00474EBF">
        <w:t>4-6 stund</w:t>
      </w:r>
      <w:r>
        <w:t>ām</w:t>
      </w:r>
      <w:r w:rsidR="00CD3AF2" w:rsidRPr="00474EBF">
        <w:t>.</w:t>
      </w:r>
    </w:p>
    <w:p w14:paraId="62DBF4B1" w14:textId="77777777" w:rsidR="00CD3AF2" w:rsidRPr="00474EBF" w:rsidRDefault="00CD3AF2">
      <w:pPr>
        <w:tabs>
          <w:tab w:val="clear" w:pos="567"/>
        </w:tabs>
        <w:spacing w:line="240" w:lineRule="auto"/>
        <w:ind w:left="567" w:hanging="567"/>
      </w:pPr>
    </w:p>
    <w:p w14:paraId="2B4728B5" w14:textId="77777777" w:rsidR="00CD3AF2" w:rsidRPr="00474EBF" w:rsidRDefault="00CD3AF2">
      <w:pPr>
        <w:tabs>
          <w:tab w:val="clear" w:pos="567"/>
        </w:tabs>
        <w:spacing w:line="240" w:lineRule="auto"/>
        <w:ind w:left="567" w:hanging="567"/>
      </w:pPr>
      <w:r w:rsidRPr="00474EBF">
        <w:t>Nelietot vairāk kā 4 paciņas dienā.</w:t>
      </w:r>
    </w:p>
    <w:p w14:paraId="63F16BA3" w14:textId="77777777" w:rsidR="00482DBC" w:rsidRDefault="00482DBC" w:rsidP="00482DBC">
      <w:pPr>
        <w:tabs>
          <w:tab w:val="clear" w:pos="567"/>
        </w:tabs>
        <w:spacing w:line="240" w:lineRule="auto"/>
        <w:ind w:left="567" w:hanging="567"/>
      </w:pPr>
    </w:p>
    <w:p w14:paraId="3FBB3BC9" w14:textId="77777777" w:rsidR="00482DBC" w:rsidRPr="00F3222D" w:rsidRDefault="00482DBC" w:rsidP="00482DBC">
      <w:pPr>
        <w:tabs>
          <w:tab w:val="clear" w:pos="567"/>
        </w:tabs>
        <w:spacing w:line="240" w:lineRule="auto"/>
        <w:ind w:left="567" w:hanging="567"/>
      </w:pPr>
      <w:r w:rsidRPr="00F3222D">
        <w:t>Pacienti ar aknu</w:t>
      </w:r>
      <w:r w:rsidR="00A67F12" w:rsidRPr="00F3222D">
        <w:t xml:space="preserve"> un/vai </w:t>
      </w:r>
      <w:r w:rsidRPr="00F3222D">
        <w:t xml:space="preserve">nieru </w:t>
      </w:r>
      <w:r w:rsidR="00A67F12" w:rsidRPr="00F3222D">
        <w:t>darbības traucējumiem</w:t>
      </w:r>
    </w:p>
    <w:p w14:paraId="0CF15342" w14:textId="77777777" w:rsidR="00F3222D" w:rsidRPr="00F3222D" w:rsidRDefault="00F3222D" w:rsidP="00F3222D">
      <w:pPr>
        <w:rPr>
          <w:rFonts w:eastAsia="Arial Unicode MS" w:cs="Arial Unicode MS"/>
          <w:kern w:val="1"/>
          <w:szCs w:val="22"/>
          <w:lang w:eastAsia="hi-IN" w:bidi="hi-IN"/>
        </w:rPr>
      </w:pPr>
      <w:r w:rsidRPr="00F3222D">
        <w:rPr>
          <w:rFonts w:eastAsia="Arial Unicode MS" w:cs="Arial Unicode MS"/>
          <w:kern w:val="1"/>
          <w:szCs w:val="22"/>
          <w:lang w:eastAsia="hi-IN" w:bidi="hi-IN"/>
        </w:rPr>
        <w:t>Pacientiem ar aknu darbības traucējumiem vai Žilbēra sindromu deva jāsamazina vai jāpalielina devu lietošanas starplaiki.</w:t>
      </w:r>
    </w:p>
    <w:p w14:paraId="2113B829" w14:textId="77777777" w:rsidR="00F3222D" w:rsidRPr="00F3222D" w:rsidRDefault="00F3222D" w:rsidP="00482DBC">
      <w:pPr>
        <w:tabs>
          <w:tab w:val="clear" w:pos="567"/>
        </w:tabs>
        <w:spacing w:line="240" w:lineRule="auto"/>
        <w:ind w:left="567" w:hanging="567"/>
        <w:rPr>
          <w:rFonts w:eastAsia="Arial Unicode MS" w:cs="Arial Unicode MS"/>
          <w:kern w:val="1"/>
          <w:szCs w:val="22"/>
          <w:lang w:eastAsia="hi-IN" w:bidi="hi-IN"/>
        </w:rPr>
      </w:pPr>
      <w:r w:rsidRPr="00F3222D">
        <w:rPr>
          <w:rFonts w:eastAsia="Arial Unicode MS" w:cs="Arial Unicode MS"/>
          <w:kern w:val="1"/>
          <w:szCs w:val="22"/>
          <w:lang w:eastAsia="hi-IN" w:bidi="hi-IN"/>
        </w:rPr>
        <w:t xml:space="preserve">Smagu nieru darbības traucējumu gadījumā (kreatinīna klīrenss &lt; 10 ml/min) starplaikam starp devu </w:t>
      </w:r>
    </w:p>
    <w:p w14:paraId="0C8CC4AE" w14:textId="77777777" w:rsidR="00482DBC" w:rsidRDefault="00F3222D" w:rsidP="00482DBC">
      <w:pPr>
        <w:tabs>
          <w:tab w:val="clear" w:pos="567"/>
        </w:tabs>
        <w:spacing w:line="240" w:lineRule="auto"/>
        <w:ind w:left="567" w:hanging="567"/>
      </w:pPr>
      <w:r w:rsidRPr="00F3222D">
        <w:rPr>
          <w:rFonts w:eastAsia="Arial Unicode MS" w:cs="Arial Unicode MS"/>
          <w:kern w:val="1"/>
          <w:szCs w:val="22"/>
          <w:lang w:eastAsia="hi-IN" w:bidi="hi-IN"/>
        </w:rPr>
        <w:t>lietošanas reizēm jābūt vismaz 8 stundas.</w:t>
      </w:r>
    </w:p>
    <w:p w14:paraId="0F61FB24" w14:textId="77777777" w:rsidR="00F3222D" w:rsidRDefault="00F3222D" w:rsidP="00482DBC">
      <w:pPr>
        <w:tabs>
          <w:tab w:val="clear" w:pos="567"/>
        </w:tabs>
        <w:spacing w:line="240" w:lineRule="auto"/>
        <w:ind w:left="567" w:hanging="567"/>
      </w:pPr>
    </w:p>
    <w:p w14:paraId="3CEC42D5" w14:textId="77777777" w:rsidR="00482DBC" w:rsidRDefault="00482DBC" w:rsidP="00482DBC">
      <w:pPr>
        <w:tabs>
          <w:tab w:val="clear" w:pos="567"/>
        </w:tabs>
        <w:spacing w:line="240" w:lineRule="auto"/>
        <w:ind w:left="567" w:hanging="567"/>
      </w:pPr>
      <w:r>
        <w:t>Pacienti ar hronisku alkoholismu jeb t.s. sadzīves alkoholiķi</w:t>
      </w:r>
    </w:p>
    <w:p w14:paraId="4ECCCC68" w14:textId="77777777" w:rsidR="00482DBC" w:rsidRDefault="00482DBC" w:rsidP="00482DBC">
      <w:pPr>
        <w:tabs>
          <w:tab w:val="clear" w:pos="567"/>
        </w:tabs>
        <w:spacing w:line="240" w:lineRule="auto"/>
        <w:ind w:left="567" w:hanging="567"/>
      </w:pPr>
      <w:r>
        <w:t xml:space="preserve">Regulāra alkohola lietošana var samazināt paracetamola toksicitātes slieksni. Šiem pacientiem </w:t>
      </w:r>
    </w:p>
    <w:p w14:paraId="21CA8242" w14:textId="77777777" w:rsidR="00482DBC" w:rsidRDefault="00482DBC" w:rsidP="00482DBC">
      <w:pPr>
        <w:tabs>
          <w:tab w:val="clear" w:pos="567"/>
        </w:tabs>
        <w:spacing w:line="240" w:lineRule="auto"/>
        <w:ind w:left="567" w:hanging="567"/>
      </w:pPr>
      <w:r>
        <w:t xml:space="preserve">minimālais starplaiks starp devu lietošanas reizēm ir 8 stundas. Dienas laikā nedrīkst lietot vairāk kā </w:t>
      </w:r>
    </w:p>
    <w:p w14:paraId="70F3D499" w14:textId="77777777" w:rsidR="00CD3AF2" w:rsidRDefault="00482DBC" w:rsidP="00482DBC">
      <w:pPr>
        <w:tabs>
          <w:tab w:val="clear" w:pos="567"/>
        </w:tabs>
        <w:spacing w:line="240" w:lineRule="auto"/>
        <w:ind w:left="567" w:hanging="567"/>
      </w:pPr>
      <w:r>
        <w:t>2000 mg paracetamola.</w:t>
      </w:r>
    </w:p>
    <w:p w14:paraId="552FDB61" w14:textId="77777777" w:rsidR="00482DBC" w:rsidRPr="00474EBF" w:rsidRDefault="00482DBC" w:rsidP="00482DBC">
      <w:pPr>
        <w:tabs>
          <w:tab w:val="clear" w:pos="567"/>
        </w:tabs>
        <w:spacing w:line="240" w:lineRule="auto"/>
        <w:ind w:left="567" w:hanging="567"/>
      </w:pPr>
    </w:p>
    <w:p w14:paraId="2800045D" w14:textId="77777777" w:rsidR="00CD3AF2" w:rsidRPr="00474EBF" w:rsidRDefault="00CD3AF2" w:rsidP="00CD3AF2">
      <w:pPr>
        <w:tabs>
          <w:tab w:val="clear" w:pos="567"/>
        </w:tabs>
        <w:spacing w:line="240" w:lineRule="auto"/>
      </w:pPr>
      <w:r w:rsidRPr="00474EBF">
        <w:t>Ja simptomi pastiprinās vai nemazinās 3 dienu ārstēšanās laikā, pacientam rekomendē konsultēties ar ārstu.</w:t>
      </w:r>
    </w:p>
    <w:p w14:paraId="23B41B62" w14:textId="77777777" w:rsidR="00CD3AF2" w:rsidRPr="00474EBF" w:rsidRDefault="00CD3AF2">
      <w:pPr>
        <w:tabs>
          <w:tab w:val="clear" w:pos="567"/>
        </w:tabs>
        <w:spacing w:line="240" w:lineRule="auto"/>
      </w:pPr>
    </w:p>
    <w:p w14:paraId="4F8B4FE6" w14:textId="77777777" w:rsidR="00CD3AF2" w:rsidRPr="00474EBF" w:rsidRDefault="00A66775">
      <w:pPr>
        <w:tabs>
          <w:tab w:val="clear" w:pos="567"/>
        </w:tabs>
        <w:spacing w:line="240" w:lineRule="auto"/>
        <w:rPr>
          <w:u w:val="single"/>
        </w:rPr>
      </w:pPr>
      <w:r>
        <w:rPr>
          <w:u w:val="single"/>
        </w:rPr>
        <w:lastRenderedPageBreak/>
        <w:t>Pediatriskā populācija</w:t>
      </w:r>
    </w:p>
    <w:p w14:paraId="2E850778" w14:textId="77777777" w:rsidR="001179E6" w:rsidRPr="00474EBF" w:rsidRDefault="001179E6">
      <w:pPr>
        <w:tabs>
          <w:tab w:val="clear" w:pos="567"/>
        </w:tabs>
        <w:spacing w:line="240" w:lineRule="auto"/>
      </w:pPr>
      <w:r w:rsidRPr="00474EBF">
        <w:t xml:space="preserve">Febrisan ir kontrindicēts bērniem </w:t>
      </w:r>
      <w:r w:rsidR="00083B2D">
        <w:t xml:space="preserve">līdz 12 gadu vecumam </w:t>
      </w:r>
      <w:r w:rsidRPr="00474EBF">
        <w:t xml:space="preserve">(skatīt </w:t>
      </w:r>
      <w:r w:rsidR="00642397" w:rsidRPr="00474EBF">
        <w:t>4.3</w:t>
      </w:r>
      <w:r w:rsidR="00642397">
        <w:t xml:space="preserve">. </w:t>
      </w:r>
      <w:r w:rsidRPr="00474EBF">
        <w:t>apakšpunktu).</w:t>
      </w:r>
    </w:p>
    <w:p w14:paraId="407C4310" w14:textId="77777777" w:rsidR="00027BD5" w:rsidRPr="00474EBF" w:rsidRDefault="00027BD5">
      <w:pPr>
        <w:tabs>
          <w:tab w:val="clear" w:pos="567"/>
        </w:tabs>
        <w:spacing w:line="240" w:lineRule="auto"/>
        <w:ind w:left="567" w:hanging="567"/>
      </w:pPr>
    </w:p>
    <w:p w14:paraId="7A2586B0" w14:textId="77777777" w:rsidR="001179E6" w:rsidRPr="00474EBF" w:rsidRDefault="001179E6">
      <w:pPr>
        <w:tabs>
          <w:tab w:val="clear" w:pos="567"/>
        </w:tabs>
        <w:spacing w:line="240" w:lineRule="auto"/>
        <w:ind w:left="567" w:hanging="567"/>
        <w:rPr>
          <w:u w:val="single"/>
        </w:rPr>
      </w:pPr>
      <w:r w:rsidRPr="00474EBF">
        <w:rPr>
          <w:u w:val="single"/>
        </w:rPr>
        <w:t xml:space="preserve">Lietošanas </w:t>
      </w:r>
      <w:r w:rsidR="00642397">
        <w:rPr>
          <w:u w:val="single"/>
        </w:rPr>
        <w:t>veids</w:t>
      </w:r>
    </w:p>
    <w:p w14:paraId="0CAD11E4" w14:textId="77777777" w:rsidR="001179E6" w:rsidRPr="00161825" w:rsidRDefault="001179E6">
      <w:pPr>
        <w:tabs>
          <w:tab w:val="clear" w:pos="567"/>
        </w:tabs>
        <w:spacing w:line="240" w:lineRule="auto"/>
        <w:ind w:left="567" w:hanging="567"/>
      </w:pPr>
      <w:r w:rsidRPr="00161825">
        <w:t>Iekšķīgai lietošanai.</w:t>
      </w:r>
    </w:p>
    <w:p w14:paraId="6694065B" w14:textId="77777777" w:rsidR="001179E6" w:rsidRPr="00161825" w:rsidRDefault="001179E6">
      <w:pPr>
        <w:tabs>
          <w:tab w:val="clear" w:pos="567"/>
        </w:tabs>
        <w:spacing w:line="240" w:lineRule="auto"/>
        <w:ind w:left="567" w:hanging="567"/>
      </w:pPr>
      <w:r w:rsidRPr="00161825">
        <w:t>Pirms lietošanas pulveris jāizšķīdina glāzē karsta ūdens.</w:t>
      </w:r>
    </w:p>
    <w:p w14:paraId="57C4C98B" w14:textId="77777777" w:rsidR="001179E6" w:rsidRPr="00474EBF" w:rsidRDefault="001179E6">
      <w:pPr>
        <w:tabs>
          <w:tab w:val="clear" w:pos="567"/>
        </w:tabs>
        <w:spacing w:line="240" w:lineRule="auto"/>
        <w:ind w:left="567" w:hanging="567"/>
        <w:rPr>
          <w:u w:val="single"/>
        </w:rPr>
      </w:pPr>
    </w:p>
    <w:p w14:paraId="3374B655" w14:textId="77777777" w:rsidR="00027BD5" w:rsidRPr="00474EBF" w:rsidRDefault="00027BD5">
      <w:pPr>
        <w:tabs>
          <w:tab w:val="clear" w:pos="567"/>
        </w:tabs>
        <w:spacing w:line="240" w:lineRule="auto"/>
        <w:ind w:left="567" w:hanging="567"/>
      </w:pPr>
      <w:r w:rsidRPr="00474EBF">
        <w:rPr>
          <w:b/>
        </w:rPr>
        <w:t>4.3</w:t>
      </w:r>
      <w:r w:rsidR="00360274">
        <w:rPr>
          <w:b/>
        </w:rPr>
        <w:t>.</w:t>
      </w:r>
      <w:r w:rsidRPr="00474EBF">
        <w:rPr>
          <w:b/>
        </w:rPr>
        <w:tab/>
        <w:t xml:space="preserve">Kontrindikācijas </w:t>
      </w:r>
    </w:p>
    <w:p w14:paraId="1F83B6BE" w14:textId="77777777" w:rsidR="00027BD5" w:rsidRPr="00474EBF" w:rsidRDefault="00027BD5">
      <w:pPr>
        <w:tabs>
          <w:tab w:val="clear" w:pos="567"/>
        </w:tabs>
        <w:spacing w:line="240" w:lineRule="auto"/>
        <w:ind w:left="567" w:hanging="567"/>
      </w:pPr>
    </w:p>
    <w:p w14:paraId="1B066507" w14:textId="77777777" w:rsidR="00027BD5" w:rsidRPr="00474EBF" w:rsidRDefault="00027BD5" w:rsidP="001179E6">
      <w:pPr>
        <w:numPr>
          <w:ilvl w:val="0"/>
          <w:numId w:val="20"/>
        </w:numPr>
        <w:tabs>
          <w:tab w:val="clear" w:pos="567"/>
        </w:tabs>
        <w:spacing w:line="240" w:lineRule="auto"/>
      </w:pPr>
      <w:r w:rsidRPr="00474EBF">
        <w:t xml:space="preserve">Paaugstināta jutība pret </w:t>
      </w:r>
      <w:r w:rsidR="001179E6" w:rsidRPr="00474EBF">
        <w:t>aktīv</w:t>
      </w:r>
      <w:r w:rsidR="00083B2D">
        <w:t>ajām</w:t>
      </w:r>
      <w:r w:rsidR="001179E6" w:rsidRPr="00474EBF">
        <w:t xml:space="preserve"> </w:t>
      </w:r>
      <w:r w:rsidRPr="00474EBF">
        <w:t xml:space="preserve">vielām </w:t>
      </w:r>
      <w:r w:rsidR="00083B2D">
        <w:t>un/vai jebkuru no palīgvielām</w:t>
      </w:r>
      <w:r w:rsidR="00933B97">
        <w:t>.</w:t>
      </w:r>
    </w:p>
    <w:p w14:paraId="5F5E7464" w14:textId="77777777" w:rsidR="001179E6" w:rsidRPr="00474EBF" w:rsidRDefault="001179E6" w:rsidP="001179E6">
      <w:pPr>
        <w:numPr>
          <w:ilvl w:val="0"/>
          <w:numId w:val="20"/>
        </w:numPr>
        <w:tabs>
          <w:tab w:val="clear" w:pos="567"/>
        </w:tabs>
        <w:spacing w:line="240" w:lineRule="auto"/>
      </w:pPr>
      <w:r w:rsidRPr="00474EBF">
        <w:t>Arteriāla hipertensija,</w:t>
      </w:r>
      <w:r w:rsidR="00083B2D">
        <w:t xml:space="preserve"> asinsvadu</w:t>
      </w:r>
      <w:r w:rsidRPr="00474EBF">
        <w:t xml:space="preserve"> aneirismas, hipertireoze, </w:t>
      </w:r>
      <w:r w:rsidR="00A66775">
        <w:t xml:space="preserve">smaga </w:t>
      </w:r>
      <w:r w:rsidRPr="00474EBF">
        <w:t>sirds slimība</w:t>
      </w:r>
      <w:r w:rsidR="00933B97">
        <w:t>.</w:t>
      </w:r>
    </w:p>
    <w:p w14:paraId="45A3F8AB" w14:textId="77777777" w:rsidR="001179E6" w:rsidRPr="00474EBF" w:rsidRDefault="001179E6" w:rsidP="001179E6">
      <w:pPr>
        <w:numPr>
          <w:ilvl w:val="0"/>
          <w:numId w:val="20"/>
        </w:numPr>
        <w:tabs>
          <w:tab w:val="clear" w:pos="567"/>
        </w:tabs>
        <w:spacing w:line="240" w:lineRule="auto"/>
      </w:pPr>
      <w:r w:rsidRPr="00474EBF">
        <w:t xml:space="preserve">Smaga aknu vai nieru </w:t>
      </w:r>
      <w:r w:rsidR="00381279">
        <w:t>mazspēja</w:t>
      </w:r>
      <w:r w:rsidR="00933B97">
        <w:t>.</w:t>
      </w:r>
    </w:p>
    <w:p w14:paraId="3E8797E1" w14:textId="77777777" w:rsidR="001179E6" w:rsidRDefault="001179E6" w:rsidP="001179E6">
      <w:pPr>
        <w:numPr>
          <w:ilvl w:val="0"/>
          <w:numId w:val="20"/>
        </w:numPr>
        <w:tabs>
          <w:tab w:val="clear" w:pos="567"/>
        </w:tabs>
        <w:spacing w:line="240" w:lineRule="auto"/>
      </w:pPr>
      <w:r w:rsidRPr="00474EBF">
        <w:t>Cukura diabēts</w:t>
      </w:r>
      <w:r w:rsidR="00933B97">
        <w:t>.</w:t>
      </w:r>
    </w:p>
    <w:p w14:paraId="72DA71D2" w14:textId="77777777" w:rsidR="00F3222D" w:rsidRDefault="00F3222D" w:rsidP="00F3222D">
      <w:pPr>
        <w:numPr>
          <w:ilvl w:val="0"/>
          <w:numId w:val="20"/>
        </w:numPr>
        <w:tabs>
          <w:tab w:val="clear" w:pos="567"/>
        </w:tabs>
        <w:spacing w:line="240" w:lineRule="auto"/>
      </w:pPr>
      <w:r>
        <w:t>Grūtniecība.</w:t>
      </w:r>
    </w:p>
    <w:p w14:paraId="414D7263" w14:textId="77777777" w:rsidR="00F3222D" w:rsidRPr="00474EBF" w:rsidRDefault="00F3222D" w:rsidP="00F3222D">
      <w:pPr>
        <w:numPr>
          <w:ilvl w:val="0"/>
          <w:numId w:val="20"/>
        </w:numPr>
        <w:tabs>
          <w:tab w:val="clear" w:pos="567"/>
        </w:tabs>
        <w:spacing w:line="240" w:lineRule="auto"/>
      </w:pPr>
      <w:r>
        <w:t>Krūts barošanas periods.</w:t>
      </w:r>
    </w:p>
    <w:p w14:paraId="532A056C" w14:textId="77777777" w:rsidR="001179E6" w:rsidRPr="00474EBF" w:rsidRDefault="001179E6" w:rsidP="001179E6">
      <w:pPr>
        <w:numPr>
          <w:ilvl w:val="0"/>
          <w:numId w:val="20"/>
        </w:numPr>
        <w:tabs>
          <w:tab w:val="clear" w:pos="567"/>
        </w:tabs>
        <w:spacing w:line="240" w:lineRule="auto"/>
      </w:pPr>
      <w:r w:rsidRPr="00474EBF">
        <w:t>Terapija ar MAO inhibitoriem vai ja no terapijas beigām nav pagājušas vismaz 2 nedēļas</w:t>
      </w:r>
      <w:r w:rsidR="00933B97">
        <w:t>.</w:t>
      </w:r>
    </w:p>
    <w:p w14:paraId="0E1EE8B0" w14:textId="77777777" w:rsidR="001179E6" w:rsidRPr="00474EBF" w:rsidRDefault="001179E6" w:rsidP="001179E6">
      <w:pPr>
        <w:numPr>
          <w:ilvl w:val="0"/>
          <w:numId w:val="20"/>
        </w:numPr>
        <w:tabs>
          <w:tab w:val="clear" w:pos="567"/>
        </w:tabs>
        <w:spacing w:line="240" w:lineRule="auto"/>
      </w:pPr>
      <w:r w:rsidRPr="00474EBF">
        <w:t>Terapija ar ß-adreno</w:t>
      </w:r>
      <w:r w:rsidR="00083B2D">
        <w:t>blokatoriem</w:t>
      </w:r>
      <w:r w:rsidRPr="00474EBF">
        <w:t>, tricikliskajiem antidepresantiem, zidovudīnu</w:t>
      </w:r>
      <w:r w:rsidR="00933B97">
        <w:t>.</w:t>
      </w:r>
    </w:p>
    <w:p w14:paraId="52D1635B" w14:textId="77777777" w:rsidR="009E7577" w:rsidRDefault="001179E6" w:rsidP="001179E6">
      <w:pPr>
        <w:numPr>
          <w:ilvl w:val="0"/>
          <w:numId w:val="20"/>
        </w:numPr>
        <w:tabs>
          <w:tab w:val="clear" w:pos="567"/>
        </w:tabs>
        <w:spacing w:line="240" w:lineRule="auto"/>
      </w:pPr>
      <w:r w:rsidRPr="00474EBF">
        <w:t>Slēgta kakta glaukoma</w:t>
      </w:r>
      <w:r w:rsidR="00933B97">
        <w:t>.</w:t>
      </w:r>
    </w:p>
    <w:p w14:paraId="45DD7579" w14:textId="77777777" w:rsidR="001179E6" w:rsidRPr="00474EBF" w:rsidRDefault="009E7577" w:rsidP="009E7577">
      <w:pPr>
        <w:numPr>
          <w:ilvl w:val="0"/>
          <w:numId w:val="20"/>
        </w:numPr>
        <w:tabs>
          <w:tab w:val="clear" w:pos="567"/>
        </w:tabs>
        <w:spacing w:line="240" w:lineRule="auto"/>
      </w:pPr>
      <w:r>
        <w:t>F</w:t>
      </w:r>
      <w:r w:rsidR="000918D0">
        <w:t>eohromocitoma</w:t>
      </w:r>
      <w:r>
        <w:t>.</w:t>
      </w:r>
    </w:p>
    <w:p w14:paraId="5BF06D82" w14:textId="77777777" w:rsidR="001179E6" w:rsidRPr="00474EBF" w:rsidRDefault="001179E6" w:rsidP="001179E6">
      <w:pPr>
        <w:numPr>
          <w:ilvl w:val="0"/>
          <w:numId w:val="20"/>
        </w:numPr>
        <w:tabs>
          <w:tab w:val="clear" w:pos="567"/>
        </w:tabs>
        <w:spacing w:line="240" w:lineRule="auto"/>
      </w:pPr>
      <w:r w:rsidRPr="00474EBF">
        <w:t>Alkoholisms</w:t>
      </w:r>
      <w:r w:rsidR="00933B97">
        <w:t>.</w:t>
      </w:r>
    </w:p>
    <w:p w14:paraId="31A60A2A" w14:textId="77777777" w:rsidR="001179E6" w:rsidRPr="00474EBF" w:rsidRDefault="001179E6" w:rsidP="001179E6">
      <w:pPr>
        <w:numPr>
          <w:ilvl w:val="0"/>
          <w:numId w:val="20"/>
        </w:numPr>
        <w:tabs>
          <w:tab w:val="clear" w:pos="567"/>
        </w:tabs>
        <w:spacing w:line="240" w:lineRule="auto"/>
      </w:pPr>
      <w:r w:rsidRPr="00474EBF">
        <w:t>Bērni līdz 12 gadu vecumam.</w:t>
      </w:r>
    </w:p>
    <w:p w14:paraId="49E0C35A" w14:textId="77777777" w:rsidR="001179E6" w:rsidRPr="00474EBF" w:rsidRDefault="001179E6" w:rsidP="001179E6">
      <w:pPr>
        <w:tabs>
          <w:tab w:val="clear" w:pos="567"/>
        </w:tabs>
        <w:spacing w:line="240" w:lineRule="auto"/>
        <w:ind w:left="720"/>
      </w:pPr>
    </w:p>
    <w:p w14:paraId="4EB32238" w14:textId="77777777" w:rsidR="00027BD5" w:rsidRPr="00474EBF" w:rsidRDefault="00027BD5">
      <w:pPr>
        <w:tabs>
          <w:tab w:val="clear" w:pos="567"/>
        </w:tabs>
        <w:spacing w:line="240" w:lineRule="auto"/>
        <w:ind w:left="567" w:hanging="567"/>
      </w:pPr>
      <w:r w:rsidRPr="00474EBF">
        <w:rPr>
          <w:b/>
        </w:rPr>
        <w:t>4.4</w:t>
      </w:r>
      <w:r w:rsidR="00360274">
        <w:rPr>
          <w:b/>
        </w:rPr>
        <w:t>.</w:t>
      </w:r>
      <w:r w:rsidRPr="00474EBF">
        <w:rPr>
          <w:b/>
        </w:rPr>
        <w:tab/>
        <w:t>Īpaši brīdinājumi un piesardzība lietošanā</w:t>
      </w:r>
    </w:p>
    <w:p w14:paraId="4934A5F8" w14:textId="77777777" w:rsidR="00027BD5" w:rsidRPr="00474EBF" w:rsidRDefault="00027BD5">
      <w:pPr>
        <w:tabs>
          <w:tab w:val="clear" w:pos="567"/>
        </w:tabs>
        <w:spacing w:line="240" w:lineRule="auto"/>
        <w:ind w:left="567" w:hanging="567"/>
      </w:pPr>
    </w:p>
    <w:p w14:paraId="03CFFCF4" w14:textId="77777777" w:rsidR="001179E6" w:rsidRPr="00474EBF" w:rsidRDefault="001179E6" w:rsidP="00154621">
      <w:pPr>
        <w:tabs>
          <w:tab w:val="clear" w:pos="567"/>
        </w:tabs>
        <w:spacing w:line="240" w:lineRule="auto"/>
      </w:pPr>
      <w:r w:rsidRPr="00474EBF">
        <w:t>Tā kā pastāv pārdozēšanas risks, zāles nedrīkst lietot vienlaikus ar citām paracetamolu saturošām zālēm. Pacientiem, kuri saņem antitromboti</w:t>
      </w:r>
      <w:r w:rsidR="00161825">
        <w:t>s</w:t>
      </w:r>
      <w:r w:rsidRPr="00474EBF">
        <w:t>kas zāles, jāievēro piesardzība. Lietojot zāles pacientiem ar aknu mazspēju, regulāri lietojošiem alkoholu vai</w:t>
      </w:r>
      <w:r w:rsidR="00154621" w:rsidRPr="00474EBF">
        <w:t xml:space="preserve"> trūcīgu uzturu, pastāv aknu bojājuma risks.</w:t>
      </w:r>
    </w:p>
    <w:p w14:paraId="5D27D8A8" w14:textId="77777777" w:rsidR="00154621" w:rsidRPr="00474EBF" w:rsidRDefault="00154621" w:rsidP="00154621">
      <w:pPr>
        <w:tabs>
          <w:tab w:val="clear" w:pos="567"/>
        </w:tabs>
        <w:spacing w:line="240" w:lineRule="auto"/>
      </w:pPr>
    </w:p>
    <w:p w14:paraId="5CAF91D3" w14:textId="77777777" w:rsidR="00BD3CE9" w:rsidRDefault="00154621" w:rsidP="00BD3CE9">
      <w:pPr>
        <w:numPr>
          <w:ilvl w:val="12"/>
          <w:numId w:val="0"/>
        </w:numPr>
        <w:tabs>
          <w:tab w:val="clear" w:pos="567"/>
        </w:tabs>
        <w:spacing w:line="240" w:lineRule="auto"/>
        <w:ind w:left="567" w:hanging="567"/>
      </w:pPr>
      <w:r w:rsidRPr="00474EBF">
        <w:t xml:space="preserve">Īpaša piesardzība jāievēro, ja zāles lieto pacienti ar akūtu kuņģa čūlu, </w:t>
      </w:r>
      <w:r w:rsidR="0078650B">
        <w:t>kuņģa-</w:t>
      </w:r>
      <w:r w:rsidR="00BD3CE9">
        <w:t xml:space="preserve">zarnu </w:t>
      </w:r>
    </w:p>
    <w:p w14:paraId="567A41F7" w14:textId="77777777" w:rsidR="00B02187" w:rsidRDefault="0078650B" w:rsidP="00BD3CE9">
      <w:pPr>
        <w:numPr>
          <w:ilvl w:val="12"/>
          <w:numId w:val="0"/>
        </w:numPr>
        <w:tabs>
          <w:tab w:val="clear" w:pos="567"/>
        </w:tabs>
        <w:spacing w:line="240" w:lineRule="auto"/>
        <w:ind w:left="567" w:hanging="567"/>
      </w:pPr>
      <w:r>
        <w:t>darbības traucējumiem</w:t>
      </w:r>
      <w:r w:rsidR="00BD3CE9" w:rsidRPr="00474EBF">
        <w:t>, īpaši zarnu iekaisum</w:t>
      </w:r>
      <w:r w:rsidR="00BD3CE9">
        <w:t>u</w:t>
      </w:r>
      <w:r w:rsidR="00BD3CE9" w:rsidRPr="00474EBF">
        <w:t xml:space="preserve"> vai nosprostojum</w:t>
      </w:r>
      <w:r w:rsidR="00BD3CE9">
        <w:t>u,</w:t>
      </w:r>
      <w:r w:rsidR="00BD3CE9" w:rsidRPr="00474EBF">
        <w:t xml:space="preserve"> vai nesen</w:t>
      </w:r>
      <w:r w:rsidR="00BD3CE9">
        <w:t xml:space="preserve">u </w:t>
      </w:r>
      <w:r w:rsidR="00BD3CE9" w:rsidRPr="00474EBF">
        <w:t xml:space="preserve">zarnu </w:t>
      </w:r>
      <w:r w:rsidR="00517E04" w:rsidRPr="00474EBF">
        <w:t>operācij</w:t>
      </w:r>
      <w:r w:rsidR="00517E04">
        <w:t>u,</w:t>
      </w:r>
    </w:p>
    <w:p w14:paraId="2B41734E" w14:textId="77777777" w:rsidR="00B02187" w:rsidRDefault="00B02187" w:rsidP="00B02187">
      <w:pPr>
        <w:tabs>
          <w:tab w:val="clear" w:pos="567"/>
        </w:tabs>
        <w:spacing w:line="240" w:lineRule="auto"/>
      </w:pPr>
      <w:r w:rsidRPr="00474EBF">
        <w:t>prostatas hipertrofiju, kā arī pacienti, kuriem ir alerģija uz acetilsalicilskābi, kuri saņem sedatīvus vai citas simpatomimētiskas zāles (piem., gļotādu hiperēmijas mazināšanai), apetītes samazinošas zāles, psihostimulatorus (līdzīgus amfetamīnam).</w:t>
      </w:r>
    </w:p>
    <w:p w14:paraId="08F13142" w14:textId="77777777" w:rsidR="007B70C2" w:rsidRPr="00474EBF" w:rsidRDefault="007B70C2" w:rsidP="00B02187">
      <w:pPr>
        <w:tabs>
          <w:tab w:val="clear" w:pos="567"/>
        </w:tabs>
        <w:spacing w:line="240" w:lineRule="auto"/>
      </w:pPr>
      <w:r>
        <w:t xml:space="preserve">Piesardzība jāievēro, </w:t>
      </w:r>
      <w:r w:rsidR="00AC202B">
        <w:t xml:space="preserve">zāles </w:t>
      </w:r>
      <w:r>
        <w:t>lietojot  pacientiem ar akūtu hepatītu, pacientiem ar viegliem līdz vidēji smagiem aknu un nieru dar</w:t>
      </w:r>
      <w:r w:rsidR="00C62717">
        <w:t>bības traucē</w:t>
      </w:r>
      <w:r>
        <w:t>jumi</w:t>
      </w:r>
      <w:r w:rsidR="00C62717">
        <w:t>em</w:t>
      </w:r>
      <w:r>
        <w:t xml:space="preserve"> (ieskaitot Žilbēra sindromu), lietojot vi</w:t>
      </w:r>
      <w:r w:rsidR="00C62717">
        <w:t>enlaicīgi zā</w:t>
      </w:r>
      <w:r>
        <w:t xml:space="preserve">les, kas ietekmē aknu darbību, </w:t>
      </w:r>
      <w:r w:rsidRPr="007B70C2">
        <w:t>glikozes 6-fosfātdehidrogenāzes</w:t>
      </w:r>
      <w:r>
        <w:t xml:space="preserve"> deficītu. Devas, kas lielākas par ieteiktajām, saistītas ar smagu aknu bojājuma risku. Aknu bojājuma klīniskie simptomi un pazīmes (ieskaitot smagu he</w:t>
      </w:r>
      <w:r w:rsidR="00C62717">
        <w:t>p</w:t>
      </w:r>
      <w:r>
        <w:t xml:space="preserve">atocelulāro nekrozi) parasti parādās tikai pēc trim </w:t>
      </w:r>
      <w:r w:rsidR="00C62717">
        <w:t>zāļu lietošanas dienām ar to maksimumu parasti pēc 4-6 dienām. Ārstēšana ar antidotu jāuzsāk</w:t>
      </w:r>
      <w:r w:rsidR="00AC202B">
        <w:t>,</w:t>
      </w:r>
      <w:r w:rsidR="00C62717">
        <w:t xml:space="preserve"> cik ātri iespējams (skatīt </w:t>
      </w:r>
      <w:r w:rsidR="006B6D6C">
        <w:t xml:space="preserve">4.9. </w:t>
      </w:r>
      <w:r w:rsidR="00C62717">
        <w:t>apakšpunktu).</w:t>
      </w:r>
    </w:p>
    <w:p w14:paraId="27FB741D" w14:textId="77777777" w:rsidR="00F27731" w:rsidRDefault="00F27731" w:rsidP="00F27731">
      <w:pPr>
        <w:tabs>
          <w:tab w:val="clear" w:pos="567"/>
        </w:tabs>
        <w:spacing w:line="240" w:lineRule="auto"/>
      </w:pPr>
      <w:r>
        <w:t>Piesardzība jāievēro</w:t>
      </w:r>
      <w:r w:rsidR="007B70C2">
        <w:t xml:space="preserve">, </w:t>
      </w:r>
      <w:r w:rsidR="00AC202B">
        <w:t xml:space="preserve">zāles </w:t>
      </w:r>
      <w:r w:rsidR="007B70C2">
        <w:t>lietojot</w:t>
      </w:r>
      <w:r>
        <w:t xml:space="preserve"> pacientiem ar hroniskiem uztures traucējumiem, hemolītisku anēmiju un dehidratētiem pacientiem.</w:t>
      </w:r>
    </w:p>
    <w:p w14:paraId="74A24CC8" w14:textId="77777777" w:rsidR="00F27731" w:rsidRDefault="00F27731" w:rsidP="00F27731">
      <w:pPr>
        <w:tabs>
          <w:tab w:val="clear" w:pos="567"/>
        </w:tabs>
        <w:spacing w:line="240" w:lineRule="auto"/>
      </w:pPr>
      <w:r>
        <w:t>Piesardzība jāievēro</w:t>
      </w:r>
      <w:r w:rsidR="007B70C2">
        <w:t>,</w:t>
      </w:r>
      <w:r>
        <w:t xml:space="preserve"> lietojot pretsāpju līdzekļus ilgstoši, lielās devās un neatbilstoši noradījumiem, var rasties galvassāpes, ko nedrīkst ārstēt, izmantojot šo zāļu palielinātās devas.</w:t>
      </w:r>
    </w:p>
    <w:p w14:paraId="1168831B" w14:textId="77777777" w:rsidR="00154621" w:rsidRDefault="00F27731" w:rsidP="00F27731">
      <w:pPr>
        <w:tabs>
          <w:tab w:val="clear" w:pos="567"/>
        </w:tabs>
        <w:spacing w:line="240" w:lineRule="auto"/>
      </w:pPr>
      <w:r>
        <w:t>Piesardzība jāievēro</w:t>
      </w:r>
      <w:r w:rsidR="007B70C2">
        <w:t xml:space="preserve">, </w:t>
      </w:r>
      <w:r w:rsidR="00FF5F0C">
        <w:t xml:space="preserve">zāles </w:t>
      </w:r>
      <w:r w:rsidR="007B70C2">
        <w:t>lietojot</w:t>
      </w:r>
      <w:r>
        <w:t xml:space="preserve"> pacientiem ar astmu, kuri ir jutīgi pret acetilsalicilskābi, jo ir saņemti ziņojumi par vieglām bronhu spazmām saistībā ar paracetamola </w:t>
      </w:r>
      <w:r w:rsidRPr="00F3222D">
        <w:t>lietošanu (krust</w:t>
      </w:r>
      <w:r w:rsidR="00513E3C" w:rsidRPr="00F3222D">
        <w:t>eniskā</w:t>
      </w:r>
      <w:r>
        <w:t xml:space="preserve"> reakcija).</w:t>
      </w:r>
    </w:p>
    <w:p w14:paraId="717A4C64" w14:textId="77777777" w:rsidR="00A842C1" w:rsidRDefault="00A842C1" w:rsidP="00154621">
      <w:pPr>
        <w:tabs>
          <w:tab w:val="clear" w:pos="567"/>
        </w:tabs>
        <w:spacing w:line="240" w:lineRule="auto"/>
      </w:pPr>
      <w:r w:rsidRPr="00A842C1">
        <w:t>Piesardzība jāievēro</w:t>
      </w:r>
      <w:r w:rsidR="007B70C2">
        <w:t xml:space="preserve">, </w:t>
      </w:r>
      <w:r w:rsidR="00FF5F0C">
        <w:t xml:space="preserve">zāles </w:t>
      </w:r>
      <w:r w:rsidR="007B70C2">
        <w:t>lietojot</w:t>
      </w:r>
      <w:r w:rsidRPr="00A842C1">
        <w:t xml:space="preserve"> pacientiem ar obliterējošu asinsvadu slimību (piemēram, Reino sindromu</w:t>
      </w:r>
      <w:r>
        <w:t xml:space="preserve">. </w:t>
      </w:r>
    </w:p>
    <w:p w14:paraId="7BD19142" w14:textId="77777777" w:rsidR="00154621" w:rsidRPr="00474EBF" w:rsidRDefault="00154621" w:rsidP="00154621">
      <w:pPr>
        <w:tabs>
          <w:tab w:val="clear" w:pos="567"/>
        </w:tabs>
        <w:spacing w:line="240" w:lineRule="auto"/>
      </w:pPr>
      <w:r w:rsidRPr="00474EBF">
        <w:t>Zāles piesardzīgi ir jālieto gados vecākiem cilvēkiem.</w:t>
      </w:r>
    </w:p>
    <w:p w14:paraId="31BE97C6" w14:textId="77777777" w:rsidR="00154621" w:rsidRPr="00474EBF" w:rsidRDefault="00154621" w:rsidP="00154621">
      <w:pPr>
        <w:tabs>
          <w:tab w:val="clear" w:pos="567"/>
        </w:tabs>
        <w:spacing w:line="240" w:lineRule="auto"/>
      </w:pPr>
    </w:p>
    <w:p w14:paraId="77D15813" w14:textId="7723927A" w:rsidR="00154621" w:rsidRDefault="00154621" w:rsidP="00154621">
      <w:pPr>
        <w:tabs>
          <w:tab w:val="clear" w:pos="567"/>
        </w:tabs>
        <w:spacing w:line="240" w:lineRule="auto"/>
      </w:pPr>
      <w:r w:rsidRPr="00474EBF">
        <w:t>Ārstēšanās laikā nedrīkst lietot alkoholu.</w:t>
      </w:r>
    </w:p>
    <w:p w14:paraId="2AB75020" w14:textId="77777777" w:rsidR="00724D10" w:rsidRPr="00474EBF" w:rsidRDefault="00724D10" w:rsidP="00154621">
      <w:pPr>
        <w:tabs>
          <w:tab w:val="clear" w:pos="567"/>
        </w:tabs>
        <w:spacing w:line="240" w:lineRule="auto"/>
      </w:pPr>
    </w:p>
    <w:p w14:paraId="104127E9" w14:textId="26022B23" w:rsidR="00054F2B" w:rsidRDefault="00054F2B" w:rsidP="00054F2B">
      <w:pPr>
        <w:tabs>
          <w:tab w:val="clear" w:pos="567"/>
        </w:tabs>
        <w:spacing w:line="240" w:lineRule="auto"/>
      </w:pPr>
      <w:r>
        <w:t>Zāles satur aspartāmu. Aspartāms tiek hidrolizēts kuņģa-zarnu traktā, kad tiek lietots iekšķīgi. Viens no galvenajiem hidrolīzes produktiem ir fenilalanīns.</w:t>
      </w:r>
    </w:p>
    <w:p w14:paraId="2EA4D4A9" w14:textId="08338E64" w:rsidR="00054F2B" w:rsidRDefault="00054F2B" w:rsidP="00054F2B">
      <w:pPr>
        <w:tabs>
          <w:tab w:val="clear" w:pos="567"/>
        </w:tabs>
        <w:spacing w:line="240" w:lineRule="auto"/>
      </w:pPr>
    </w:p>
    <w:p w14:paraId="352CC63E" w14:textId="5479A2F9" w:rsidR="00154621" w:rsidRDefault="00054F2B" w:rsidP="00054F2B">
      <w:pPr>
        <w:tabs>
          <w:tab w:val="clear" w:pos="567"/>
        </w:tabs>
        <w:spacing w:line="240" w:lineRule="auto"/>
      </w:pPr>
      <w:r>
        <w:lastRenderedPageBreak/>
        <w:t>Nav pieejami ne neklīniskie, ne klīniskie dati, lai novērtētu aspartāma lietošanu zīdaiņiem līdz 12 nedēļu vecumam.</w:t>
      </w:r>
    </w:p>
    <w:p w14:paraId="62303577" w14:textId="171A9D23" w:rsidR="001F03BF" w:rsidRDefault="001F03BF" w:rsidP="001F03BF">
      <w:pPr>
        <w:tabs>
          <w:tab w:val="clear" w:pos="567"/>
        </w:tabs>
        <w:spacing w:line="240" w:lineRule="auto"/>
        <w:rPr>
          <w:rFonts w:ascii="TimesNewRomanPSMT" w:hAnsi="TimesNewRomanPSMT" w:cs="TimesNewRomanPSMT"/>
          <w:szCs w:val="22"/>
        </w:rPr>
      </w:pPr>
      <w:r>
        <w:rPr>
          <w:rFonts w:ascii="TimesNewRomanPSMT" w:hAnsi="TimesNewRomanPSMT" w:cs="TimesNewRomanPSMT"/>
          <w:szCs w:val="22"/>
        </w:rPr>
        <w:t xml:space="preserve">Zāles satur </w:t>
      </w:r>
      <w:r w:rsidR="00054F2B">
        <w:rPr>
          <w:rFonts w:ascii="TimesNewRomanPSMT" w:hAnsi="TimesNewRomanPSMT" w:cs="TimesNewRomanPSMT"/>
          <w:szCs w:val="22"/>
        </w:rPr>
        <w:t>saharozi.</w:t>
      </w:r>
      <w:r>
        <w:rPr>
          <w:rFonts w:ascii="TimesNewRomanPSMT" w:hAnsi="TimesNewRomanPSMT" w:cs="TimesNewRomanPSMT"/>
          <w:szCs w:val="22"/>
        </w:rPr>
        <w:t xml:space="preserve"> Š</w:t>
      </w:r>
      <w:r w:rsidRPr="001F03BF">
        <w:rPr>
          <w:rFonts w:ascii="TimesNewRomanPSMT" w:hAnsi="TimesNewRomanPSMT" w:cs="TimesNewRomanPSMT"/>
          <w:szCs w:val="22"/>
        </w:rPr>
        <w:t>īs zāles nevajadzētu lietot pacientiem ar</w:t>
      </w:r>
      <w:r>
        <w:rPr>
          <w:rFonts w:ascii="TimesNewRomanPSMT" w:hAnsi="TimesNewRomanPSMT" w:cs="TimesNewRomanPSMT"/>
          <w:szCs w:val="22"/>
        </w:rPr>
        <w:t xml:space="preserve"> </w:t>
      </w:r>
      <w:r w:rsidRPr="001F03BF">
        <w:rPr>
          <w:rFonts w:ascii="TimesNewRomanPSMT" w:hAnsi="TimesNewRomanPSMT" w:cs="TimesNewRomanPSMT"/>
          <w:szCs w:val="22"/>
        </w:rPr>
        <w:t>retu iedzimtu fruktozes nepanesību, glikozes-galaktozes</w:t>
      </w:r>
      <w:r>
        <w:rPr>
          <w:rFonts w:ascii="TimesNewRomanPSMT" w:hAnsi="TimesNewRomanPSMT" w:cs="TimesNewRomanPSMT"/>
          <w:szCs w:val="22"/>
        </w:rPr>
        <w:t xml:space="preserve"> </w:t>
      </w:r>
      <w:r w:rsidRPr="001F03BF">
        <w:rPr>
          <w:rFonts w:ascii="TimesNewRomanPSMT" w:hAnsi="TimesNewRomanPSMT" w:cs="TimesNewRomanPSMT"/>
          <w:szCs w:val="22"/>
        </w:rPr>
        <w:t>malabsorbciju vai saharāzes-izomaltāzes nepietiekamību.</w:t>
      </w:r>
    </w:p>
    <w:p w14:paraId="416B2332" w14:textId="77777777" w:rsidR="001F03BF" w:rsidRPr="001F03BF" w:rsidRDefault="001F03BF" w:rsidP="001F03BF">
      <w:pPr>
        <w:tabs>
          <w:tab w:val="clear" w:pos="567"/>
        </w:tabs>
        <w:spacing w:line="240" w:lineRule="auto"/>
        <w:rPr>
          <w:rFonts w:ascii="TimesNewRomanPSMT" w:hAnsi="TimesNewRomanPSMT" w:cs="TimesNewRomanPSMT"/>
          <w:szCs w:val="22"/>
        </w:rPr>
      </w:pPr>
    </w:p>
    <w:p w14:paraId="482C134C" w14:textId="77777777" w:rsidR="00027BD5" w:rsidRPr="00261795" w:rsidRDefault="00027BD5" w:rsidP="00083B2D">
      <w:pPr>
        <w:tabs>
          <w:tab w:val="clear" w:pos="567"/>
        </w:tabs>
        <w:autoSpaceDE w:val="0"/>
        <w:autoSpaceDN w:val="0"/>
        <w:adjustRightInd w:val="0"/>
        <w:spacing w:line="240" w:lineRule="auto"/>
        <w:rPr>
          <w:rFonts w:ascii="TimesNewRomanPSMT" w:hAnsi="TimesNewRomanPSMT" w:cs="TimesNewRomanPSMT"/>
          <w:sz w:val="24"/>
          <w:szCs w:val="24"/>
        </w:rPr>
      </w:pPr>
      <w:r w:rsidRPr="00474EBF">
        <w:rPr>
          <w:b/>
        </w:rPr>
        <w:t>4.5</w:t>
      </w:r>
      <w:r w:rsidR="00360274">
        <w:rPr>
          <w:b/>
        </w:rPr>
        <w:t>.</w:t>
      </w:r>
      <w:r w:rsidRPr="00474EBF">
        <w:rPr>
          <w:b/>
        </w:rPr>
        <w:tab/>
        <w:t>Mijiedarbība ar citām zālēm un citi mijiedarbības veidi</w:t>
      </w:r>
    </w:p>
    <w:p w14:paraId="5DED3814" w14:textId="77777777" w:rsidR="00027BD5" w:rsidRPr="00474EBF" w:rsidRDefault="00027BD5">
      <w:pPr>
        <w:tabs>
          <w:tab w:val="clear" w:pos="567"/>
        </w:tabs>
        <w:spacing w:line="240" w:lineRule="auto"/>
        <w:ind w:left="567" w:hanging="567"/>
      </w:pPr>
    </w:p>
    <w:p w14:paraId="708D3F90" w14:textId="77777777" w:rsidR="00154621" w:rsidRPr="00474EBF" w:rsidRDefault="00154621">
      <w:pPr>
        <w:tabs>
          <w:tab w:val="clear" w:pos="567"/>
        </w:tabs>
        <w:spacing w:line="240" w:lineRule="auto"/>
      </w:pPr>
      <w:r w:rsidRPr="00474EBF">
        <w:t>Paracetamols</w:t>
      </w:r>
    </w:p>
    <w:p w14:paraId="3F2BDF0C" w14:textId="77777777" w:rsidR="00154621" w:rsidRPr="00474EBF" w:rsidRDefault="009D3BBF" w:rsidP="00154621">
      <w:pPr>
        <w:numPr>
          <w:ilvl w:val="0"/>
          <w:numId w:val="21"/>
        </w:numPr>
        <w:tabs>
          <w:tab w:val="clear" w:pos="567"/>
        </w:tabs>
        <w:spacing w:line="240" w:lineRule="auto"/>
      </w:pPr>
      <w:r>
        <w:t>v</w:t>
      </w:r>
      <w:r w:rsidRPr="00474EBF">
        <w:t xml:space="preserve">ienlaikus </w:t>
      </w:r>
      <w:r w:rsidR="00154621" w:rsidRPr="00474EBF">
        <w:t xml:space="preserve">lietojot ar nesteroīdajiem pretiekaisuma </w:t>
      </w:r>
      <w:r>
        <w:t>līdzekļiem</w:t>
      </w:r>
      <w:r w:rsidR="00154621" w:rsidRPr="00474EBF">
        <w:t>, pastiprinās nieru bojājumu risks;</w:t>
      </w:r>
    </w:p>
    <w:p w14:paraId="1118A036" w14:textId="77777777" w:rsidR="00154621" w:rsidRPr="00474EBF" w:rsidRDefault="009D3BBF" w:rsidP="00154621">
      <w:pPr>
        <w:numPr>
          <w:ilvl w:val="0"/>
          <w:numId w:val="21"/>
        </w:numPr>
        <w:tabs>
          <w:tab w:val="clear" w:pos="567"/>
        </w:tabs>
        <w:spacing w:line="240" w:lineRule="auto"/>
      </w:pPr>
      <w:r>
        <w:t>salicilamīds</w:t>
      </w:r>
      <w:r w:rsidRPr="00474EBF">
        <w:t xml:space="preserve"> </w:t>
      </w:r>
      <w:r w:rsidR="00154621" w:rsidRPr="00474EBF">
        <w:t xml:space="preserve">pagarina paracetamola </w:t>
      </w:r>
      <w:r w:rsidR="003A1B47">
        <w:t>eliminācijas</w:t>
      </w:r>
      <w:r w:rsidR="003A1B47" w:rsidRPr="00474EBF">
        <w:t xml:space="preserve"> </w:t>
      </w:r>
      <w:r w:rsidR="00154621" w:rsidRPr="00474EBF">
        <w:t>laiku;</w:t>
      </w:r>
    </w:p>
    <w:p w14:paraId="78C6EAB7" w14:textId="77777777" w:rsidR="00154621" w:rsidRPr="00474EBF" w:rsidRDefault="009D3BBF" w:rsidP="00154621">
      <w:pPr>
        <w:numPr>
          <w:ilvl w:val="0"/>
          <w:numId w:val="21"/>
        </w:numPr>
        <w:tabs>
          <w:tab w:val="clear" w:pos="567"/>
        </w:tabs>
        <w:spacing w:line="240" w:lineRule="auto"/>
      </w:pPr>
      <w:r>
        <w:t>v</w:t>
      </w:r>
      <w:r w:rsidRPr="00474EBF">
        <w:t xml:space="preserve">ienlaikus </w:t>
      </w:r>
      <w:r w:rsidR="00154621" w:rsidRPr="00474EBF">
        <w:t>lietojot ar zālēm, kas paātrina paracetamola metabolismu aknās (rifampicīns, dažas miega un antiepilepsijas zāles), pieaug aknu bojājumu risks;</w:t>
      </w:r>
    </w:p>
    <w:p w14:paraId="02276A0B" w14:textId="77777777" w:rsidR="00475CB5" w:rsidRPr="00474EBF" w:rsidRDefault="009D3BBF" w:rsidP="00154621">
      <w:pPr>
        <w:numPr>
          <w:ilvl w:val="0"/>
          <w:numId w:val="21"/>
        </w:numPr>
        <w:tabs>
          <w:tab w:val="clear" w:pos="567"/>
        </w:tabs>
        <w:spacing w:line="240" w:lineRule="auto"/>
      </w:pPr>
      <w:r>
        <w:t>v</w:t>
      </w:r>
      <w:r w:rsidRPr="00474EBF">
        <w:t xml:space="preserve">ienlaikus </w:t>
      </w:r>
      <w:r w:rsidR="00475CB5" w:rsidRPr="00474EBF">
        <w:t>lietojot</w:t>
      </w:r>
      <w:r w:rsidR="00262152" w:rsidRPr="00474EBF">
        <w:t xml:space="preserve"> </w:t>
      </w:r>
      <w:r w:rsidR="00475CB5" w:rsidRPr="00474EBF">
        <w:t xml:space="preserve">ar MAO inhibitoriem vai ja kopš MAO inhibitoru lietošanas beigām nav pagājušas </w:t>
      </w:r>
      <w:r w:rsidR="00381279">
        <w:t xml:space="preserve">vismaz </w:t>
      </w:r>
      <w:r w:rsidR="00475CB5" w:rsidRPr="00474EBF">
        <w:t>2 nedēļas, var rasties uzbudinājums un augsta temperatūra;</w:t>
      </w:r>
    </w:p>
    <w:p w14:paraId="3D1BC957" w14:textId="77777777" w:rsidR="00475CB5" w:rsidRPr="00474EBF" w:rsidRDefault="009D3BBF" w:rsidP="00154621">
      <w:pPr>
        <w:numPr>
          <w:ilvl w:val="0"/>
          <w:numId w:val="21"/>
        </w:numPr>
        <w:tabs>
          <w:tab w:val="clear" w:pos="567"/>
        </w:tabs>
        <w:spacing w:line="240" w:lineRule="auto"/>
      </w:pPr>
      <w:r>
        <w:t>v</w:t>
      </w:r>
      <w:r w:rsidRPr="00474EBF">
        <w:t xml:space="preserve">enlaikus </w:t>
      </w:r>
      <w:r w:rsidR="00475CB5" w:rsidRPr="00474EBF">
        <w:t>lietojot paracetamolu un zidovudīnu (AZT), var pastiprināties zidovudīna toksiskā iedarbība uz kaulu smadzenēm;</w:t>
      </w:r>
    </w:p>
    <w:p w14:paraId="6E07E1ED" w14:textId="77777777" w:rsidR="00475CB5" w:rsidRPr="00474EBF" w:rsidRDefault="009D3BBF" w:rsidP="00154621">
      <w:pPr>
        <w:numPr>
          <w:ilvl w:val="0"/>
          <w:numId w:val="21"/>
        </w:numPr>
        <w:tabs>
          <w:tab w:val="clear" w:pos="567"/>
        </w:tabs>
        <w:spacing w:line="240" w:lineRule="auto"/>
      </w:pPr>
      <w:r>
        <w:t>v</w:t>
      </w:r>
      <w:r w:rsidRPr="00474EBF">
        <w:t xml:space="preserve">ienlaikus </w:t>
      </w:r>
      <w:r w:rsidR="00475CB5" w:rsidRPr="00474EBF">
        <w:t xml:space="preserve">lietojot ar lamotrigīnu un hloramfenikolu, </w:t>
      </w:r>
      <w:r w:rsidR="00161825" w:rsidRPr="00474EBF">
        <w:t>samazinās</w:t>
      </w:r>
      <w:r w:rsidR="00475CB5" w:rsidRPr="00474EBF">
        <w:t xml:space="preserve"> to koncentrācija serumā;</w:t>
      </w:r>
    </w:p>
    <w:p w14:paraId="3F733157" w14:textId="51AC413A" w:rsidR="00475CB5" w:rsidRPr="00474EBF" w:rsidRDefault="00475CB5" w:rsidP="00154621">
      <w:pPr>
        <w:numPr>
          <w:ilvl w:val="0"/>
          <w:numId w:val="21"/>
        </w:numPr>
        <w:tabs>
          <w:tab w:val="clear" w:pos="567"/>
        </w:tabs>
        <w:spacing w:line="240" w:lineRule="auto"/>
      </w:pPr>
      <w:r w:rsidRPr="00474EBF">
        <w:t xml:space="preserve">propantelīns samazina paracetamola uzsūkšanos no </w:t>
      </w:r>
      <w:r w:rsidR="00381279">
        <w:t xml:space="preserve">gremošanas </w:t>
      </w:r>
      <w:r w:rsidRPr="00474EBF">
        <w:t>trakta;</w:t>
      </w:r>
    </w:p>
    <w:p w14:paraId="4138B457" w14:textId="77777777" w:rsidR="00475CB5" w:rsidRPr="00474EBF" w:rsidRDefault="009D3BBF" w:rsidP="00154621">
      <w:pPr>
        <w:numPr>
          <w:ilvl w:val="0"/>
          <w:numId w:val="21"/>
        </w:numPr>
        <w:tabs>
          <w:tab w:val="clear" w:pos="567"/>
        </w:tabs>
        <w:spacing w:line="240" w:lineRule="auto"/>
      </w:pPr>
      <w:r>
        <w:t>c</w:t>
      </w:r>
      <w:r w:rsidRPr="00474EBF">
        <w:t>imetidīns</w:t>
      </w:r>
      <w:r w:rsidR="00475CB5" w:rsidRPr="00474EBF">
        <w:t>,</w:t>
      </w:r>
      <w:r w:rsidR="00381279">
        <w:t xml:space="preserve"> </w:t>
      </w:r>
      <w:r w:rsidR="00475CB5" w:rsidRPr="00474EBF">
        <w:t>izona</w:t>
      </w:r>
      <w:r w:rsidR="00083B2D">
        <w:t>izīds, probene</w:t>
      </w:r>
      <w:r w:rsidR="00475CB5" w:rsidRPr="00474EBF">
        <w:t>cīds, ranitidīns un prop</w:t>
      </w:r>
      <w:r w:rsidR="00381279">
        <w:t>r</w:t>
      </w:r>
      <w:r w:rsidR="00475CB5" w:rsidRPr="00474EBF">
        <w:t>anol</w:t>
      </w:r>
      <w:r w:rsidR="00083B2D">
        <w:t>ol</w:t>
      </w:r>
      <w:r w:rsidR="00475CB5" w:rsidRPr="00474EBF">
        <w:t xml:space="preserve">s palielina paracetamola </w:t>
      </w:r>
      <w:r w:rsidR="00BB0A63">
        <w:t xml:space="preserve">eliminācijas </w:t>
      </w:r>
      <w:r w:rsidR="00475CB5" w:rsidRPr="00474EBF">
        <w:t>pusperiodu serumā;</w:t>
      </w:r>
    </w:p>
    <w:p w14:paraId="376B505D" w14:textId="77777777" w:rsidR="00475CB5" w:rsidRDefault="00E764CF" w:rsidP="00154621">
      <w:pPr>
        <w:numPr>
          <w:ilvl w:val="0"/>
          <w:numId w:val="21"/>
        </w:numPr>
        <w:tabs>
          <w:tab w:val="clear" w:pos="567"/>
        </w:tabs>
        <w:spacing w:line="240" w:lineRule="auto"/>
      </w:pPr>
      <w:r>
        <w:t>a</w:t>
      </w:r>
      <w:r w:rsidRPr="00474EBF">
        <w:t xml:space="preserve">lkohola </w:t>
      </w:r>
      <w:r w:rsidR="00475CB5" w:rsidRPr="00474EBF">
        <w:t xml:space="preserve">lietošana paracetamola terapijas laikā izraisa toksisku metabolītu veidošanos, kas savukārt izraisa aknu šūnu nekrozi un var </w:t>
      </w:r>
      <w:r w:rsidR="00083B2D">
        <w:t xml:space="preserve">izraisīt </w:t>
      </w:r>
      <w:r w:rsidR="00475CB5" w:rsidRPr="00474EBF">
        <w:t>aknu mazspēj</w:t>
      </w:r>
      <w:r w:rsidR="00083B2D">
        <w:t>u</w:t>
      </w:r>
      <w:r w:rsidR="00CB0970">
        <w:t>;</w:t>
      </w:r>
    </w:p>
    <w:p w14:paraId="2AF6C2B3" w14:textId="77777777" w:rsidR="00CB0970" w:rsidRDefault="00CB0970" w:rsidP="00CB0970">
      <w:pPr>
        <w:numPr>
          <w:ilvl w:val="0"/>
          <w:numId w:val="21"/>
        </w:numPr>
        <w:tabs>
          <w:tab w:val="clear" w:pos="567"/>
        </w:tabs>
        <w:spacing w:line="240" w:lineRule="auto"/>
      </w:pPr>
      <w:r>
        <w:t>vienlaicīga paracetamola lietošana var pastiprināt antikoagulantu (piemēram, varfarīna,</w:t>
      </w:r>
    </w:p>
    <w:p w14:paraId="5798085F" w14:textId="77777777" w:rsidR="00CB0970" w:rsidRDefault="00CB0970" w:rsidP="00CB0970">
      <w:pPr>
        <w:tabs>
          <w:tab w:val="clear" w:pos="567"/>
        </w:tabs>
        <w:spacing w:line="240" w:lineRule="auto"/>
        <w:ind w:left="720"/>
      </w:pPr>
      <w:r>
        <w:t>fenprokumons) iedarbību un asiņošanas risku. Tāpēc ir ieteicama uzraudzība;</w:t>
      </w:r>
    </w:p>
    <w:p w14:paraId="7E85F8F4" w14:textId="77777777" w:rsidR="00CB0970" w:rsidRDefault="00CB0970" w:rsidP="00CB0970">
      <w:pPr>
        <w:numPr>
          <w:ilvl w:val="0"/>
          <w:numId w:val="21"/>
        </w:numPr>
        <w:tabs>
          <w:tab w:val="clear" w:pos="567"/>
        </w:tabs>
        <w:spacing w:line="240" w:lineRule="auto"/>
      </w:pPr>
      <w:r>
        <w:t>lietošana vienlaikus ar pretkrampju līdzekļiem (piemēram, karbamazepīnu, fenitoīnu, fenobarbitālu) var paaugstināt paracetamola metabolismu un var izraisīt toksisku metabolītu līmeņa paaugstināšanos, tādējādi paaugstinot paracetamola hepatotoksicitātes risku.</w:t>
      </w:r>
    </w:p>
    <w:p w14:paraId="74AC9DAD" w14:textId="77777777" w:rsidR="00CB0970" w:rsidRDefault="00CB0970" w:rsidP="00CB0970">
      <w:pPr>
        <w:numPr>
          <w:ilvl w:val="0"/>
          <w:numId w:val="21"/>
        </w:numPr>
        <w:tabs>
          <w:tab w:val="clear" w:pos="567"/>
        </w:tabs>
        <w:spacing w:line="240" w:lineRule="auto"/>
      </w:pPr>
      <w:r>
        <w:t>vienlaicīga pretvemšanas līdzekļu (piemēram, metoklopramīda) lietošana paātrina kuņģa iztukšošanos un pastiprina paracetamola absorbcijas ātrumu. Tas var izraisīt paracetamola absorbcijas palielināšanos.</w:t>
      </w:r>
    </w:p>
    <w:p w14:paraId="1D29EB90" w14:textId="77777777" w:rsidR="00CB0970" w:rsidRDefault="00CB0970" w:rsidP="00CB0970">
      <w:pPr>
        <w:numPr>
          <w:ilvl w:val="0"/>
          <w:numId w:val="21"/>
        </w:numPr>
        <w:tabs>
          <w:tab w:val="clear" w:pos="567"/>
        </w:tabs>
        <w:spacing w:line="240" w:lineRule="auto"/>
      </w:pPr>
      <w:r>
        <w:t>holestiramīns samazina paracetamola uzsūkšanos, tāpēc to nevajadzētu lietot</w:t>
      </w:r>
    </w:p>
    <w:p w14:paraId="6C3EB493" w14:textId="77777777" w:rsidR="00CB0970" w:rsidRDefault="00CB0970" w:rsidP="00CB0970">
      <w:pPr>
        <w:tabs>
          <w:tab w:val="clear" w:pos="567"/>
        </w:tabs>
        <w:spacing w:line="240" w:lineRule="auto"/>
        <w:ind w:left="720"/>
      </w:pPr>
      <w:r>
        <w:t>stundas laikā pēc paracetamola lietošanas.</w:t>
      </w:r>
    </w:p>
    <w:p w14:paraId="397ABF82" w14:textId="3C3D9E3B" w:rsidR="00027BD5" w:rsidRPr="00474EBF" w:rsidRDefault="00027BD5" w:rsidP="00054F2B">
      <w:pPr>
        <w:tabs>
          <w:tab w:val="clear" w:pos="567"/>
        </w:tabs>
        <w:spacing w:line="240" w:lineRule="auto"/>
      </w:pPr>
    </w:p>
    <w:p w14:paraId="3511B299" w14:textId="77777777" w:rsidR="00475CB5" w:rsidRPr="00474EBF" w:rsidRDefault="00475CB5">
      <w:pPr>
        <w:tabs>
          <w:tab w:val="clear" w:pos="567"/>
        </w:tabs>
        <w:spacing w:line="240" w:lineRule="auto"/>
        <w:ind w:left="567" w:hanging="567"/>
      </w:pPr>
      <w:r w:rsidRPr="00474EBF">
        <w:t>Fenilefrīns</w:t>
      </w:r>
    </w:p>
    <w:p w14:paraId="02FD5F4B" w14:textId="77777777" w:rsidR="00475CB5" w:rsidRPr="00474EBF" w:rsidRDefault="00475CB5" w:rsidP="00475CB5">
      <w:pPr>
        <w:numPr>
          <w:ilvl w:val="0"/>
          <w:numId w:val="22"/>
        </w:numPr>
        <w:tabs>
          <w:tab w:val="clear" w:pos="567"/>
        </w:tabs>
        <w:spacing w:line="240" w:lineRule="auto"/>
      </w:pPr>
      <w:r w:rsidRPr="00474EBF">
        <w:t>MAO inhibitori pastiprina fenilefrīna iedarbību;</w:t>
      </w:r>
    </w:p>
    <w:p w14:paraId="4D3D6D34" w14:textId="77777777" w:rsidR="00475CB5" w:rsidRPr="00474EBF" w:rsidRDefault="0011619B" w:rsidP="00475CB5">
      <w:pPr>
        <w:numPr>
          <w:ilvl w:val="0"/>
          <w:numId w:val="22"/>
        </w:numPr>
        <w:tabs>
          <w:tab w:val="clear" w:pos="567"/>
        </w:tabs>
        <w:spacing w:line="240" w:lineRule="auto"/>
      </w:pPr>
      <w:r>
        <w:t>v</w:t>
      </w:r>
      <w:r w:rsidRPr="00474EBF">
        <w:t xml:space="preserve">ienlaikus </w:t>
      </w:r>
      <w:r w:rsidR="00475CB5" w:rsidRPr="00474EBF">
        <w:t xml:space="preserve">ar fenilefrīnu lietojot indometacīnu, </w:t>
      </w:r>
      <w:r w:rsidR="00E764CF" w:rsidRPr="00474EBF">
        <w:rPr>
          <w:rFonts w:ascii="Symbol" w:hAnsi="Symbol"/>
          <w:sz w:val="24"/>
          <w:szCs w:val="24"/>
        </w:rPr>
        <w:t></w:t>
      </w:r>
      <w:r>
        <w:t>-</w:t>
      </w:r>
      <w:r w:rsidR="00475CB5" w:rsidRPr="00474EBF">
        <w:rPr>
          <w:szCs w:val="22"/>
        </w:rPr>
        <w:t>adreno</w:t>
      </w:r>
      <w:r w:rsidR="00083B2D">
        <w:rPr>
          <w:szCs w:val="22"/>
        </w:rPr>
        <w:t>blokatorus</w:t>
      </w:r>
      <w:r w:rsidR="00475CB5" w:rsidRPr="00474EBF">
        <w:rPr>
          <w:szCs w:val="22"/>
        </w:rPr>
        <w:t xml:space="preserve"> vai metildopu, var būt hipertensīvās krīzes;</w:t>
      </w:r>
    </w:p>
    <w:p w14:paraId="48933D22" w14:textId="77777777" w:rsidR="00475CB5" w:rsidRPr="00474EBF" w:rsidRDefault="0011619B" w:rsidP="00475CB5">
      <w:pPr>
        <w:numPr>
          <w:ilvl w:val="0"/>
          <w:numId w:val="22"/>
        </w:numPr>
        <w:tabs>
          <w:tab w:val="clear" w:pos="567"/>
        </w:tabs>
        <w:spacing w:line="240" w:lineRule="auto"/>
      </w:pPr>
      <w:r>
        <w:rPr>
          <w:szCs w:val="22"/>
        </w:rPr>
        <w:t>f</w:t>
      </w:r>
      <w:r w:rsidRPr="00474EBF">
        <w:rPr>
          <w:szCs w:val="22"/>
        </w:rPr>
        <w:t xml:space="preserve">enilefrīns </w:t>
      </w:r>
      <w:r w:rsidR="00A23ED6" w:rsidRPr="00474EBF">
        <w:rPr>
          <w:szCs w:val="22"/>
        </w:rPr>
        <w:t xml:space="preserve">var pavājināt </w:t>
      </w:r>
      <w:r w:rsidR="00A23ED6" w:rsidRPr="00474EBF">
        <w:rPr>
          <w:rFonts w:ascii="Symbol" w:hAnsi="Symbol"/>
          <w:sz w:val="24"/>
          <w:szCs w:val="24"/>
        </w:rPr>
        <w:t></w:t>
      </w:r>
      <w:r>
        <w:t>-</w:t>
      </w:r>
      <w:r w:rsidR="00A23ED6" w:rsidRPr="00474EBF">
        <w:rPr>
          <w:szCs w:val="22"/>
        </w:rPr>
        <w:t>adreno</w:t>
      </w:r>
      <w:r w:rsidR="00083B2D">
        <w:rPr>
          <w:szCs w:val="22"/>
        </w:rPr>
        <w:t>blokatoru</w:t>
      </w:r>
      <w:r w:rsidR="00A23ED6" w:rsidRPr="00474EBF">
        <w:rPr>
          <w:szCs w:val="22"/>
        </w:rPr>
        <w:t xml:space="preserve">, hipertensijas </w:t>
      </w:r>
      <w:r w:rsidR="00B3371C" w:rsidRPr="00474EBF">
        <w:rPr>
          <w:szCs w:val="22"/>
        </w:rPr>
        <w:t>ārstēšanai</w:t>
      </w:r>
      <w:r w:rsidR="00A23ED6" w:rsidRPr="00474EBF">
        <w:rPr>
          <w:szCs w:val="22"/>
        </w:rPr>
        <w:t xml:space="preserve"> lietoto zāļu, metildopas un rezerpīna hipotensīvo darbību;</w:t>
      </w:r>
    </w:p>
    <w:p w14:paraId="539D18A4" w14:textId="77777777" w:rsidR="00A23ED6" w:rsidRPr="00474EBF" w:rsidRDefault="00D31C24" w:rsidP="00475CB5">
      <w:pPr>
        <w:numPr>
          <w:ilvl w:val="0"/>
          <w:numId w:val="22"/>
        </w:numPr>
        <w:tabs>
          <w:tab w:val="clear" w:pos="567"/>
        </w:tabs>
        <w:spacing w:line="240" w:lineRule="auto"/>
      </w:pPr>
      <w:r>
        <w:t>l</w:t>
      </w:r>
      <w:r w:rsidRPr="00474EBF">
        <w:t xml:space="preserve">ietojot </w:t>
      </w:r>
      <w:r w:rsidR="00A23ED6" w:rsidRPr="00474EBF">
        <w:t xml:space="preserve">vienlaikus ar </w:t>
      </w:r>
      <w:r w:rsidR="00A23ED6" w:rsidRPr="00474EBF">
        <w:rPr>
          <w:i/>
        </w:rPr>
        <w:t>digitalis</w:t>
      </w:r>
      <w:r w:rsidR="00A23ED6" w:rsidRPr="00474EBF">
        <w:t xml:space="preserve"> glikozīdiem, palielinās sirds ritma traucējumu risks;</w:t>
      </w:r>
    </w:p>
    <w:p w14:paraId="4CC73CDF" w14:textId="77777777" w:rsidR="00A23ED6" w:rsidRPr="00474EBF" w:rsidRDefault="00D31C24" w:rsidP="00475CB5">
      <w:pPr>
        <w:numPr>
          <w:ilvl w:val="0"/>
          <w:numId w:val="22"/>
        </w:numPr>
        <w:tabs>
          <w:tab w:val="clear" w:pos="567"/>
        </w:tabs>
        <w:spacing w:line="240" w:lineRule="auto"/>
      </w:pPr>
      <w:r>
        <w:t>t</w:t>
      </w:r>
      <w:r w:rsidRPr="00474EBF">
        <w:t xml:space="preserve">ricikliskie </w:t>
      </w:r>
      <w:r w:rsidR="00A23ED6" w:rsidRPr="00474EBF">
        <w:t>antidepresanti var pastiprināt fenilefrīna darbību.</w:t>
      </w:r>
    </w:p>
    <w:p w14:paraId="12770311" w14:textId="77777777" w:rsidR="00A23ED6" w:rsidRPr="00474EBF" w:rsidRDefault="00A23ED6" w:rsidP="00A23ED6">
      <w:pPr>
        <w:tabs>
          <w:tab w:val="clear" w:pos="567"/>
        </w:tabs>
        <w:spacing w:line="240" w:lineRule="auto"/>
      </w:pPr>
    </w:p>
    <w:p w14:paraId="7ABD64A9" w14:textId="77777777" w:rsidR="00A23ED6" w:rsidRPr="00474EBF" w:rsidRDefault="00A23ED6" w:rsidP="00A23ED6">
      <w:pPr>
        <w:tabs>
          <w:tab w:val="clear" w:pos="567"/>
        </w:tabs>
        <w:spacing w:line="240" w:lineRule="auto"/>
      </w:pPr>
      <w:r w:rsidRPr="00474EBF">
        <w:t>Askorbīnskābe</w:t>
      </w:r>
    </w:p>
    <w:p w14:paraId="4ECB9E28" w14:textId="77777777" w:rsidR="00A23ED6" w:rsidRPr="00474EBF" w:rsidRDefault="00D31C24" w:rsidP="00A23ED6">
      <w:pPr>
        <w:numPr>
          <w:ilvl w:val="0"/>
          <w:numId w:val="23"/>
        </w:numPr>
        <w:tabs>
          <w:tab w:val="clear" w:pos="567"/>
        </w:tabs>
        <w:spacing w:line="240" w:lineRule="auto"/>
      </w:pPr>
      <w:r>
        <w:t>a</w:t>
      </w:r>
      <w:r w:rsidRPr="00474EBF">
        <w:t xml:space="preserve">skorbīnskābe </w:t>
      </w:r>
      <w:r w:rsidR="00A23ED6" w:rsidRPr="00474EBF">
        <w:t>paātrina amfetamīna derivātu un triciklisko antidepresantu darbību;</w:t>
      </w:r>
    </w:p>
    <w:p w14:paraId="747F3A9F" w14:textId="77777777" w:rsidR="00A23ED6" w:rsidRPr="00474EBF" w:rsidRDefault="00D31C24" w:rsidP="00A23ED6">
      <w:pPr>
        <w:numPr>
          <w:ilvl w:val="0"/>
          <w:numId w:val="23"/>
        </w:numPr>
        <w:tabs>
          <w:tab w:val="clear" w:pos="567"/>
        </w:tabs>
        <w:spacing w:line="240" w:lineRule="auto"/>
      </w:pPr>
      <w:r>
        <w:t>l</w:t>
      </w:r>
      <w:r w:rsidRPr="00474EBF">
        <w:t xml:space="preserve">ielas </w:t>
      </w:r>
      <w:r w:rsidR="00A23ED6" w:rsidRPr="00474EBF">
        <w:t>devas var izraisīt viltus pozitīvus rezultātus</w:t>
      </w:r>
      <w:r w:rsidR="00161825">
        <w:t xml:space="preserve"> analīzēm</w:t>
      </w:r>
      <w:r w:rsidR="00A23ED6" w:rsidRPr="00474EBF">
        <w:t xml:space="preserve">, kas veiktas ar </w:t>
      </w:r>
      <w:r w:rsidR="00083B2D">
        <w:t>oksidācijas-redukcijas metodi (</w:t>
      </w:r>
      <w:r w:rsidR="00A23ED6" w:rsidRPr="00474EBF">
        <w:t>piem., glikozes un kreatinīna koncentrācija asinīs un urīnā).</w:t>
      </w:r>
    </w:p>
    <w:p w14:paraId="4FF8DAA6" w14:textId="77777777" w:rsidR="00027BD5" w:rsidRPr="00474EBF" w:rsidRDefault="00027BD5">
      <w:pPr>
        <w:tabs>
          <w:tab w:val="clear" w:pos="567"/>
        </w:tabs>
        <w:spacing w:line="240" w:lineRule="auto"/>
        <w:ind w:left="567" w:hanging="567"/>
      </w:pPr>
    </w:p>
    <w:p w14:paraId="18E8F9EF" w14:textId="77777777" w:rsidR="00027BD5" w:rsidRDefault="00027BD5">
      <w:pPr>
        <w:tabs>
          <w:tab w:val="clear" w:pos="567"/>
        </w:tabs>
        <w:spacing w:line="240" w:lineRule="auto"/>
        <w:ind w:left="567" w:hanging="567"/>
        <w:rPr>
          <w:b/>
        </w:rPr>
      </w:pPr>
      <w:r w:rsidRPr="00474EBF">
        <w:rPr>
          <w:b/>
        </w:rPr>
        <w:t>4.6</w:t>
      </w:r>
      <w:r w:rsidR="00360274">
        <w:rPr>
          <w:b/>
        </w:rPr>
        <w:t>.</w:t>
      </w:r>
      <w:r w:rsidRPr="00474EBF">
        <w:rPr>
          <w:b/>
        </w:rPr>
        <w:tab/>
        <w:t xml:space="preserve">Grūtniecība un </w:t>
      </w:r>
      <w:r w:rsidR="00D31C24">
        <w:rPr>
          <w:b/>
        </w:rPr>
        <w:t>barošana ar krūti</w:t>
      </w:r>
    </w:p>
    <w:p w14:paraId="3CC90151" w14:textId="77777777" w:rsidR="00320E3A" w:rsidRPr="00474EBF" w:rsidRDefault="00320E3A" w:rsidP="00536F31">
      <w:pPr>
        <w:tabs>
          <w:tab w:val="clear" w:pos="567"/>
        </w:tabs>
        <w:spacing w:line="240" w:lineRule="auto"/>
      </w:pPr>
    </w:p>
    <w:p w14:paraId="064462CF" w14:textId="77777777" w:rsidR="00F33A96" w:rsidRPr="00491AD9" w:rsidRDefault="00F33A96" w:rsidP="00F33A96">
      <w:pPr>
        <w:tabs>
          <w:tab w:val="clear" w:pos="567"/>
        </w:tabs>
        <w:spacing w:line="240" w:lineRule="auto"/>
        <w:rPr>
          <w:szCs w:val="22"/>
        </w:rPr>
      </w:pPr>
      <w:r w:rsidRPr="00491AD9">
        <w:rPr>
          <w:szCs w:val="22"/>
        </w:rPr>
        <w:t>Febrisan lietošana grūtniecī</w:t>
      </w:r>
      <w:r w:rsidR="001B15F8">
        <w:rPr>
          <w:szCs w:val="22"/>
        </w:rPr>
        <w:t xml:space="preserve">bas un </w:t>
      </w:r>
      <w:r w:rsidR="00D31C24">
        <w:rPr>
          <w:szCs w:val="22"/>
        </w:rPr>
        <w:t xml:space="preserve">barošanas ar krūti </w:t>
      </w:r>
      <w:r w:rsidR="001B15F8">
        <w:rPr>
          <w:szCs w:val="22"/>
        </w:rPr>
        <w:t>periodā ir kon</w:t>
      </w:r>
      <w:r w:rsidRPr="00491AD9">
        <w:rPr>
          <w:szCs w:val="22"/>
        </w:rPr>
        <w:t>trindicēta.</w:t>
      </w:r>
    </w:p>
    <w:p w14:paraId="088F65A3" w14:textId="77777777" w:rsidR="00DF2F3E" w:rsidRDefault="00DF2F3E" w:rsidP="00DF2F3E">
      <w:pPr>
        <w:tabs>
          <w:tab w:val="clear" w:pos="567"/>
        </w:tabs>
        <w:spacing w:line="240" w:lineRule="auto"/>
        <w:ind w:left="567" w:hanging="567"/>
      </w:pPr>
      <w:r>
        <w:t>Fenilefrīna lietošana grūtniecības laikā var izraisīt malformācijas, augļa hipoksiju un bradikardiju.</w:t>
      </w:r>
    </w:p>
    <w:p w14:paraId="003AC7CE" w14:textId="77777777" w:rsidR="00DF2F3E" w:rsidRPr="00DF2F3E" w:rsidRDefault="00DF2F3E" w:rsidP="00536F31">
      <w:pPr>
        <w:tabs>
          <w:tab w:val="clear" w:pos="567"/>
        </w:tabs>
        <w:spacing w:line="240" w:lineRule="auto"/>
        <w:rPr>
          <w:rFonts w:ascii="Arial" w:hAnsi="Arial" w:cs="Arial"/>
          <w:sz w:val="23"/>
          <w:szCs w:val="23"/>
        </w:rPr>
      </w:pPr>
    </w:p>
    <w:p w14:paraId="6A0FD60B" w14:textId="77777777" w:rsidR="00027BD5" w:rsidRPr="00474EBF" w:rsidRDefault="00027BD5" w:rsidP="00A83925">
      <w:pPr>
        <w:tabs>
          <w:tab w:val="clear" w:pos="567"/>
        </w:tabs>
        <w:spacing w:line="240" w:lineRule="auto"/>
        <w:ind w:left="567" w:hanging="567"/>
      </w:pPr>
      <w:r w:rsidRPr="00474EBF">
        <w:rPr>
          <w:b/>
        </w:rPr>
        <w:t>4.7</w:t>
      </w:r>
      <w:r w:rsidR="00360274">
        <w:rPr>
          <w:b/>
        </w:rPr>
        <w:t>.</w:t>
      </w:r>
      <w:r w:rsidRPr="00474EBF">
        <w:rPr>
          <w:b/>
        </w:rPr>
        <w:tab/>
        <w:t>Ietekme uz spēju vadīt transportlīdzekļus un apkalpot mehānismus</w:t>
      </w:r>
    </w:p>
    <w:p w14:paraId="7C934447" w14:textId="77777777" w:rsidR="00027BD5" w:rsidRPr="00474EBF" w:rsidRDefault="00027BD5">
      <w:pPr>
        <w:tabs>
          <w:tab w:val="clear" w:pos="567"/>
        </w:tabs>
        <w:spacing w:line="240" w:lineRule="auto"/>
        <w:ind w:left="567" w:hanging="567"/>
      </w:pPr>
    </w:p>
    <w:p w14:paraId="38AF4FAE" w14:textId="77777777" w:rsidR="00027BD5" w:rsidRPr="00474EBF" w:rsidRDefault="00555C1E">
      <w:pPr>
        <w:tabs>
          <w:tab w:val="clear" w:pos="567"/>
        </w:tabs>
        <w:spacing w:line="240" w:lineRule="auto"/>
      </w:pPr>
      <w:r w:rsidRPr="00474EBF">
        <w:lastRenderedPageBreak/>
        <w:t>Nav datu, ka Febrisan ietekmētu</w:t>
      </w:r>
      <w:r w:rsidR="00027BD5" w:rsidRPr="00474EBF">
        <w:t xml:space="preserve"> spēju vadīt transportlīdzekļus un apkalpot mehānismus</w:t>
      </w:r>
      <w:r w:rsidR="00A83925">
        <w:t>, tomēr ieteicams ievērot piesardzību.</w:t>
      </w:r>
    </w:p>
    <w:p w14:paraId="389091AA" w14:textId="77777777" w:rsidR="00027BD5" w:rsidRPr="00474EBF" w:rsidRDefault="00027BD5">
      <w:pPr>
        <w:tabs>
          <w:tab w:val="clear" w:pos="567"/>
        </w:tabs>
        <w:spacing w:line="240" w:lineRule="auto"/>
        <w:ind w:left="567" w:hanging="567"/>
      </w:pPr>
    </w:p>
    <w:p w14:paraId="1D30FD3A" w14:textId="77777777" w:rsidR="00027BD5" w:rsidRDefault="00027BD5">
      <w:pPr>
        <w:tabs>
          <w:tab w:val="clear" w:pos="567"/>
        </w:tabs>
        <w:spacing w:line="240" w:lineRule="auto"/>
        <w:ind w:left="567" w:hanging="567"/>
        <w:rPr>
          <w:b/>
        </w:rPr>
      </w:pPr>
      <w:r w:rsidRPr="00474EBF">
        <w:rPr>
          <w:b/>
        </w:rPr>
        <w:t>4.8</w:t>
      </w:r>
      <w:r w:rsidR="00360274">
        <w:rPr>
          <w:b/>
        </w:rPr>
        <w:t>.</w:t>
      </w:r>
      <w:r w:rsidRPr="00474EBF">
        <w:rPr>
          <w:b/>
        </w:rPr>
        <w:tab/>
        <w:t>Nevēlamās blakusparādības</w:t>
      </w:r>
    </w:p>
    <w:p w14:paraId="7B6F6512" w14:textId="77777777" w:rsidR="00754150" w:rsidRDefault="00754150">
      <w:pPr>
        <w:tabs>
          <w:tab w:val="clear" w:pos="567"/>
        </w:tabs>
        <w:spacing w:line="240" w:lineRule="auto"/>
        <w:ind w:left="567" w:hanging="567"/>
        <w:rPr>
          <w:b/>
        </w:rPr>
      </w:pPr>
    </w:p>
    <w:p w14:paraId="7B855CEB" w14:textId="77777777" w:rsidR="00D03B5C" w:rsidRPr="0017218F" w:rsidRDefault="00D03B5C" w:rsidP="00D03B5C">
      <w:pPr>
        <w:widowControl w:val="0"/>
        <w:tabs>
          <w:tab w:val="clear" w:pos="567"/>
        </w:tabs>
        <w:suppressAutoHyphens/>
        <w:spacing w:line="240" w:lineRule="auto"/>
        <w:rPr>
          <w:rFonts w:eastAsia="Arial Unicode MS" w:cs="Arial Unicode MS"/>
          <w:kern w:val="1"/>
          <w:szCs w:val="22"/>
          <w:lang w:eastAsia="hi-IN" w:bidi="hi-IN"/>
        </w:rPr>
      </w:pPr>
      <w:r w:rsidRPr="0017218F">
        <w:rPr>
          <w:rFonts w:eastAsia="Arial Unicode MS" w:cs="Arial Unicode MS"/>
          <w:kern w:val="1"/>
          <w:szCs w:val="22"/>
          <w:lang w:eastAsia="hi-IN" w:bidi="hi-IN"/>
        </w:rPr>
        <w:t>Nevēlamo blakusparādību rašanās biežumu iedala šādi:</w:t>
      </w:r>
    </w:p>
    <w:p w14:paraId="464AAD77" w14:textId="77777777" w:rsidR="00311EB0" w:rsidRPr="00564D49" w:rsidRDefault="00311EB0" w:rsidP="00DF2F3E">
      <w:pPr>
        <w:tabs>
          <w:tab w:val="clear" w:pos="567"/>
        </w:tabs>
        <w:spacing w:line="240" w:lineRule="auto"/>
        <w:rPr>
          <w:b/>
          <w:szCs w:val="22"/>
        </w:rPr>
      </w:pPr>
    </w:p>
    <w:p w14:paraId="39ED7F14" w14:textId="77777777" w:rsidR="00564D49" w:rsidRPr="00DF2F3E" w:rsidRDefault="00D03B5C" w:rsidP="00564D49">
      <w:pPr>
        <w:tabs>
          <w:tab w:val="clear" w:pos="567"/>
        </w:tabs>
        <w:autoSpaceDE w:val="0"/>
        <w:autoSpaceDN w:val="0"/>
        <w:adjustRightInd w:val="0"/>
        <w:spacing w:line="240" w:lineRule="auto"/>
        <w:rPr>
          <w:szCs w:val="22"/>
        </w:rPr>
      </w:pPr>
      <w:r>
        <w:rPr>
          <w:szCs w:val="22"/>
        </w:rPr>
        <w:t>ļ</w:t>
      </w:r>
      <w:r w:rsidRPr="00DF2F3E">
        <w:rPr>
          <w:szCs w:val="22"/>
        </w:rPr>
        <w:t xml:space="preserve">oti </w:t>
      </w:r>
      <w:r w:rsidR="00564D49" w:rsidRPr="00DF2F3E">
        <w:rPr>
          <w:szCs w:val="22"/>
        </w:rPr>
        <w:t>bieži (&gt;1/10)</w:t>
      </w:r>
      <w:r>
        <w:rPr>
          <w:szCs w:val="22"/>
        </w:rPr>
        <w:t>;</w:t>
      </w:r>
    </w:p>
    <w:p w14:paraId="6730FBBA" w14:textId="77777777" w:rsidR="00564D49" w:rsidRPr="00DF2F3E" w:rsidRDefault="00D03B5C" w:rsidP="00564D49">
      <w:pPr>
        <w:tabs>
          <w:tab w:val="clear" w:pos="567"/>
        </w:tabs>
        <w:autoSpaceDE w:val="0"/>
        <w:autoSpaceDN w:val="0"/>
        <w:adjustRightInd w:val="0"/>
        <w:spacing w:line="240" w:lineRule="auto"/>
        <w:rPr>
          <w:szCs w:val="22"/>
        </w:rPr>
      </w:pPr>
      <w:r>
        <w:rPr>
          <w:szCs w:val="22"/>
        </w:rPr>
        <w:t>b</w:t>
      </w:r>
      <w:r w:rsidRPr="00DF2F3E">
        <w:rPr>
          <w:szCs w:val="22"/>
        </w:rPr>
        <w:t xml:space="preserve">ieži </w:t>
      </w:r>
      <w:r w:rsidR="00564D49" w:rsidRPr="00DF2F3E">
        <w:rPr>
          <w:szCs w:val="22"/>
        </w:rPr>
        <w:t>(&gt;1/100</w:t>
      </w:r>
      <w:r w:rsidR="00080140">
        <w:rPr>
          <w:szCs w:val="22"/>
        </w:rPr>
        <w:t xml:space="preserve"> līdz </w:t>
      </w:r>
      <w:r w:rsidR="00564D49" w:rsidRPr="00DF2F3E">
        <w:rPr>
          <w:szCs w:val="22"/>
        </w:rPr>
        <w:t>&lt;1/10)</w:t>
      </w:r>
      <w:r>
        <w:rPr>
          <w:szCs w:val="22"/>
        </w:rPr>
        <w:t>;</w:t>
      </w:r>
    </w:p>
    <w:p w14:paraId="5D360A20" w14:textId="77777777" w:rsidR="00564D49" w:rsidRPr="00DF2F3E" w:rsidRDefault="00D03B5C" w:rsidP="00564D49">
      <w:pPr>
        <w:tabs>
          <w:tab w:val="clear" w:pos="567"/>
        </w:tabs>
        <w:autoSpaceDE w:val="0"/>
        <w:autoSpaceDN w:val="0"/>
        <w:adjustRightInd w:val="0"/>
        <w:spacing w:line="240" w:lineRule="auto"/>
        <w:rPr>
          <w:szCs w:val="22"/>
        </w:rPr>
      </w:pPr>
      <w:r>
        <w:rPr>
          <w:szCs w:val="22"/>
        </w:rPr>
        <w:t>r</w:t>
      </w:r>
      <w:r w:rsidRPr="00DF2F3E">
        <w:rPr>
          <w:szCs w:val="22"/>
        </w:rPr>
        <w:t xml:space="preserve">etāk </w:t>
      </w:r>
      <w:r w:rsidR="00564D49" w:rsidRPr="00DF2F3E">
        <w:rPr>
          <w:szCs w:val="22"/>
        </w:rPr>
        <w:t>(&gt;1/1000</w:t>
      </w:r>
      <w:r w:rsidR="00080140" w:rsidRPr="00DF2F3E">
        <w:rPr>
          <w:szCs w:val="22"/>
        </w:rPr>
        <w:t xml:space="preserve"> līdz </w:t>
      </w:r>
      <w:r w:rsidR="00564D49" w:rsidRPr="00DF2F3E">
        <w:rPr>
          <w:szCs w:val="22"/>
        </w:rPr>
        <w:t>&lt;1/100)</w:t>
      </w:r>
      <w:r>
        <w:rPr>
          <w:szCs w:val="22"/>
        </w:rPr>
        <w:t>;</w:t>
      </w:r>
    </w:p>
    <w:p w14:paraId="7D2F5B9E" w14:textId="77777777" w:rsidR="00564D49" w:rsidRPr="00DF2F3E" w:rsidRDefault="00D03B5C" w:rsidP="00564D49">
      <w:pPr>
        <w:tabs>
          <w:tab w:val="clear" w:pos="567"/>
        </w:tabs>
        <w:autoSpaceDE w:val="0"/>
        <w:autoSpaceDN w:val="0"/>
        <w:adjustRightInd w:val="0"/>
        <w:spacing w:line="240" w:lineRule="auto"/>
        <w:rPr>
          <w:szCs w:val="22"/>
        </w:rPr>
      </w:pPr>
      <w:r>
        <w:rPr>
          <w:szCs w:val="22"/>
        </w:rPr>
        <w:t>r</w:t>
      </w:r>
      <w:r w:rsidRPr="00DF2F3E">
        <w:rPr>
          <w:szCs w:val="22"/>
        </w:rPr>
        <w:t xml:space="preserve">eti </w:t>
      </w:r>
      <w:r w:rsidR="00564D49" w:rsidRPr="00DF2F3E">
        <w:rPr>
          <w:szCs w:val="22"/>
        </w:rPr>
        <w:t>(&gt;1/10 000</w:t>
      </w:r>
      <w:r w:rsidR="00080140" w:rsidRPr="00DF2F3E">
        <w:rPr>
          <w:szCs w:val="22"/>
        </w:rPr>
        <w:t xml:space="preserve"> līdz</w:t>
      </w:r>
      <w:r w:rsidR="00564D49" w:rsidRPr="00DF2F3E">
        <w:rPr>
          <w:szCs w:val="22"/>
        </w:rPr>
        <w:t xml:space="preserve"> &lt;1/1000)</w:t>
      </w:r>
      <w:r>
        <w:rPr>
          <w:szCs w:val="22"/>
        </w:rPr>
        <w:t>;</w:t>
      </w:r>
    </w:p>
    <w:p w14:paraId="1CDAAF1E" w14:textId="77777777" w:rsidR="00311EB0" w:rsidRPr="00054F2B" w:rsidRDefault="00D03B5C" w:rsidP="00564D49">
      <w:pPr>
        <w:tabs>
          <w:tab w:val="clear" w:pos="567"/>
        </w:tabs>
        <w:spacing w:line="240" w:lineRule="auto"/>
        <w:ind w:left="567" w:hanging="567"/>
        <w:rPr>
          <w:szCs w:val="22"/>
        </w:rPr>
      </w:pPr>
      <w:r w:rsidRPr="00054F2B">
        <w:rPr>
          <w:szCs w:val="22"/>
        </w:rPr>
        <w:t xml:space="preserve">ļoti </w:t>
      </w:r>
      <w:r w:rsidR="00564D49" w:rsidRPr="00054F2B">
        <w:rPr>
          <w:szCs w:val="22"/>
        </w:rPr>
        <w:t>reti (&lt;1/10 000)</w:t>
      </w:r>
      <w:r w:rsidRPr="00054F2B">
        <w:rPr>
          <w:szCs w:val="22"/>
        </w:rPr>
        <w:t>;</w:t>
      </w:r>
    </w:p>
    <w:p w14:paraId="0C7CC8F9" w14:textId="365DA0E8" w:rsidR="00D03B5C" w:rsidRPr="00417E51" w:rsidRDefault="00D03B5C" w:rsidP="00D03B5C">
      <w:pPr>
        <w:tabs>
          <w:tab w:val="clear" w:pos="567"/>
        </w:tabs>
        <w:spacing w:line="240" w:lineRule="auto"/>
        <w:ind w:left="567" w:hanging="567"/>
        <w:rPr>
          <w:szCs w:val="22"/>
        </w:rPr>
      </w:pPr>
      <w:r w:rsidRPr="00F167A6">
        <w:rPr>
          <w:szCs w:val="22"/>
        </w:rPr>
        <w:t>nav zinām</w:t>
      </w:r>
      <w:r w:rsidR="00912868">
        <w:rPr>
          <w:szCs w:val="22"/>
        </w:rPr>
        <w:t>i</w:t>
      </w:r>
      <w:r w:rsidRPr="00F167A6">
        <w:rPr>
          <w:szCs w:val="22"/>
        </w:rPr>
        <w:t xml:space="preserve"> (nevar noteikt pēc pieejamajiem datiem).</w:t>
      </w:r>
    </w:p>
    <w:p w14:paraId="2A36BF57" w14:textId="77777777" w:rsidR="00D03B5C" w:rsidRPr="00DF2F3E" w:rsidRDefault="00D03B5C" w:rsidP="00564D49">
      <w:pPr>
        <w:tabs>
          <w:tab w:val="clear" w:pos="567"/>
        </w:tabs>
        <w:spacing w:line="240" w:lineRule="auto"/>
        <w:ind w:left="567" w:hanging="567"/>
        <w:rPr>
          <w:szCs w:val="22"/>
        </w:rPr>
      </w:pPr>
    </w:p>
    <w:p w14:paraId="11574001" w14:textId="77777777" w:rsidR="00564D49" w:rsidRPr="00564D49" w:rsidRDefault="00564D49" w:rsidP="00564D49">
      <w:pPr>
        <w:autoSpaceDE w:val="0"/>
        <w:autoSpaceDN w:val="0"/>
        <w:adjustRightInd w:val="0"/>
        <w:spacing w:line="240" w:lineRule="atLeast"/>
        <w:rPr>
          <w:b/>
          <w:bCs/>
          <w:color w:val="000000"/>
          <w:szCs w:val="22"/>
          <w:u w:val="single"/>
        </w:rPr>
      </w:pPr>
    </w:p>
    <w:p w14:paraId="5B3F2035" w14:textId="77777777" w:rsidR="00564D49" w:rsidRPr="001D7B08" w:rsidRDefault="00564D49" w:rsidP="00564D49">
      <w:pPr>
        <w:autoSpaceDE w:val="0"/>
        <w:autoSpaceDN w:val="0"/>
        <w:adjustRightInd w:val="0"/>
        <w:spacing w:line="240" w:lineRule="atLeast"/>
        <w:rPr>
          <w:b/>
          <w:bCs/>
          <w:color w:val="000000"/>
          <w:szCs w:val="22"/>
          <w:u w:val="single"/>
        </w:rPr>
      </w:pPr>
      <w:r w:rsidRPr="001D7B08">
        <w:rPr>
          <w:b/>
          <w:bCs/>
          <w:color w:val="000000"/>
          <w:szCs w:val="22"/>
          <w:u w:val="single"/>
        </w:rPr>
        <w:t>Paracetamols</w:t>
      </w:r>
    </w:p>
    <w:p w14:paraId="1FC373C9" w14:textId="77777777" w:rsidR="00564D49" w:rsidRPr="001D7B08" w:rsidRDefault="00564D49" w:rsidP="00564D49">
      <w:pPr>
        <w:autoSpaceDE w:val="0"/>
        <w:autoSpaceDN w:val="0"/>
        <w:adjustRightInd w:val="0"/>
        <w:spacing w:line="240" w:lineRule="atLeast"/>
        <w:rPr>
          <w:b/>
          <w:bCs/>
          <w:szCs w:val="22"/>
        </w:rPr>
      </w:pPr>
      <w:r w:rsidRPr="001D7B08">
        <w:rPr>
          <w:b/>
          <w:bCs/>
          <w:szCs w:val="22"/>
        </w:rPr>
        <w:t>Asins un limfātiskās sistēmas traucējumi</w:t>
      </w:r>
    </w:p>
    <w:p w14:paraId="283DBA64" w14:textId="77777777" w:rsidR="00564D49" w:rsidRPr="001D7B08" w:rsidRDefault="00564D49" w:rsidP="00564D49">
      <w:pPr>
        <w:autoSpaceDE w:val="0"/>
        <w:autoSpaceDN w:val="0"/>
        <w:adjustRightInd w:val="0"/>
        <w:spacing w:line="240" w:lineRule="atLeast"/>
        <w:rPr>
          <w:color w:val="000000"/>
          <w:szCs w:val="22"/>
        </w:rPr>
      </w:pPr>
      <w:r w:rsidRPr="001D7B08">
        <w:rPr>
          <w:bCs/>
          <w:szCs w:val="22"/>
        </w:rPr>
        <w:t>Ļ</w:t>
      </w:r>
      <w:r w:rsidRPr="001D7B08">
        <w:rPr>
          <w:color w:val="000000"/>
          <w:szCs w:val="22"/>
        </w:rPr>
        <w:t xml:space="preserve">oti reti: agranulocitoze, hemolītiskā anēmija, leikopēnija, neitropēnija, </w:t>
      </w:r>
      <w:r w:rsidR="001D7B08">
        <w:rPr>
          <w:color w:val="000000"/>
          <w:szCs w:val="22"/>
        </w:rPr>
        <w:t>pancitopēnija, trombocitopēnija</w:t>
      </w:r>
      <w:r w:rsidR="00F4096E">
        <w:rPr>
          <w:color w:val="000000"/>
          <w:szCs w:val="22"/>
        </w:rPr>
        <w:t>.</w:t>
      </w:r>
    </w:p>
    <w:p w14:paraId="63245608" w14:textId="77777777" w:rsidR="00564D49" w:rsidRPr="00DF2F3E" w:rsidRDefault="00564D49" w:rsidP="00564D49">
      <w:pPr>
        <w:tabs>
          <w:tab w:val="clear" w:pos="567"/>
        </w:tabs>
        <w:spacing w:line="240" w:lineRule="auto"/>
        <w:ind w:left="567" w:hanging="567"/>
        <w:rPr>
          <w:szCs w:val="22"/>
        </w:rPr>
      </w:pPr>
    </w:p>
    <w:p w14:paraId="04056A98" w14:textId="77777777" w:rsidR="00564D49" w:rsidRPr="00A9720E" w:rsidRDefault="00564D49" w:rsidP="00564D49">
      <w:pPr>
        <w:tabs>
          <w:tab w:val="clear" w:pos="567"/>
        </w:tabs>
        <w:spacing w:line="240" w:lineRule="auto"/>
        <w:ind w:left="567" w:hanging="567"/>
        <w:rPr>
          <w:b/>
          <w:noProof/>
          <w:szCs w:val="22"/>
        </w:rPr>
      </w:pPr>
      <w:r w:rsidRPr="00A9720E">
        <w:rPr>
          <w:b/>
          <w:noProof/>
          <w:szCs w:val="22"/>
        </w:rPr>
        <w:t>Aknu un/vai žults izvades sistēmas traucējumi</w:t>
      </w:r>
    </w:p>
    <w:p w14:paraId="5ED6FC18" w14:textId="77777777" w:rsidR="006A45D4" w:rsidRPr="00A9720E" w:rsidRDefault="006A45D4" w:rsidP="006A45D4">
      <w:pPr>
        <w:tabs>
          <w:tab w:val="clear" w:pos="567"/>
        </w:tabs>
        <w:spacing w:line="240" w:lineRule="auto"/>
        <w:ind w:left="567" w:hanging="567"/>
        <w:rPr>
          <w:noProof/>
          <w:szCs w:val="22"/>
        </w:rPr>
      </w:pPr>
      <w:r w:rsidRPr="00A9720E">
        <w:rPr>
          <w:noProof/>
          <w:szCs w:val="22"/>
        </w:rPr>
        <w:t>Reti: hepatotoksicitāte</w:t>
      </w:r>
    </w:p>
    <w:p w14:paraId="78920B5E" w14:textId="77777777" w:rsidR="00564D49" w:rsidRPr="001D7B08" w:rsidRDefault="00564D49" w:rsidP="00564D49">
      <w:pPr>
        <w:tabs>
          <w:tab w:val="clear" w:pos="567"/>
        </w:tabs>
        <w:spacing w:line="240" w:lineRule="auto"/>
        <w:ind w:left="567" w:hanging="567"/>
        <w:rPr>
          <w:b/>
          <w:szCs w:val="22"/>
        </w:rPr>
      </w:pPr>
      <w:r w:rsidRPr="001D7B08">
        <w:rPr>
          <w:color w:val="000000"/>
          <w:szCs w:val="22"/>
        </w:rPr>
        <w:t xml:space="preserve">Ļoti </w:t>
      </w:r>
      <w:r w:rsidRPr="00BC5BAC">
        <w:rPr>
          <w:color w:val="000000"/>
          <w:szCs w:val="22"/>
        </w:rPr>
        <w:t>reti: dzelte</w:t>
      </w:r>
      <w:r w:rsidR="00FE370E" w:rsidRPr="00BC5BAC">
        <w:rPr>
          <w:color w:val="000000"/>
          <w:szCs w:val="22"/>
        </w:rPr>
        <w:t>,</w:t>
      </w:r>
      <w:r w:rsidR="00313B71" w:rsidRPr="00BC5BAC">
        <w:rPr>
          <w:color w:val="000000"/>
          <w:szCs w:val="22"/>
        </w:rPr>
        <w:t xml:space="preserve"> aknu bojājumu simptomi, aknu mazspēja.</w:t>
      </w:r>
    </w:p>
    <w:p w14:paraId="15CB0F82" w14:textId="77777777" w:rsidR="001860DB" w:rsidRPr="001D7B08" w:rsidRDefault="001860DB" w:rsidP="001860DB">
      <w:pPr>
        <w:autoSpaceDE w:val="0"/>
        <w:autoSpaceDN w:val="0"/>
        <w:adjustRightInd w:val="0"/>
        <w:spacing w:line="240" w:lineRule="atLeast"/>
        <w:ind w:left="360"/>
        <w:rPr>
          <w:b/>
          <w:color w:val="000000"/>
          <w:szCs w:val="22"/>
        </w:rPr>
      </w:pPr>
    </w:p>
    <w:p w14:paraId="2A1EB988" w14:textId="77777777" w:rsidR="00311EB0" w:rsidRPr="001D7B08" w:rsidRDefault="00311EB0" w:rsidP="00564D49">
      <w:pPr>
        <w:autoSpaceDE w:val="0"/>
        <w:autoSpaceDN w:val="0"/>
        <w:adjustRightInd w:val="0"/>
        <w:spacing w:line="240" w:lineRule="atLeast"/>
        <w:rPr>
          <w:b/>
          <w:color w:val="000000"/>
          <w:szCs w:val="22"/>
        </w:rPr>
      </w:pPr>
      <w:r w:rsidRPr="001D7B08">
        <w:rPr>
          <w:b/>
          <w:szCs w:val="22"/>
        </w:rPr>
        <w:t>Elpošanas sistēmas traucējumi</w:t>
      </w:r>
      <w:r w:rsidRPr="001D7B08">
        <w:rPr>
          <w:b/>
          <w:color w:val="000000"/>
          <w:szCs w:val="22"/>
        </w:rPr>
        <w:t xml:space="preserve">, </w:t>
      </w:r>
      <w:r w:rsidRPr="001D7B08">
        <w:rPr>
          <w:b/>
          <w:szCs w:val="22"/>
        </w:rPr>
        <w:t>krūšu kurvja un videnes slimības</w:t>
      </w:r>
    </w:p>
    <w:p w14:paraId="77C05EEF" w14:textId="77777777" w:rsidR="001860DB" w:rsidRPr="001D7B08" w:rsidRDefault="00311EB0" w:rsidP="00564D49">
      <w:pPr>
        <w:autoSpaceDE w:val="0"/>
        <w:autoSpaceDN w:val="0"/>
        <w:adjustRightInd w:val="0"/>
        <w:spacing w:line="240" w:lineRule="atLeast"/>
        <w:rPr>
          <w:color w:val="000000"/>
          <w:szCs w:val="22"/>
        </w:rPr>
      </w:pPr>
      <w:r w:rsidRPr="001D7B08">
        <w:rPr>
          <w:color w:val="000000"/>
          <w:szCs w:val="22"/>
        </w:rPr>
        <w:t>Ļoti reti</w:t>
      </w:r>
      <w:r w:rsidR="001860DB" w:rsidRPr="001D7B08">
        <w:rPr>
          <w:color w:val="000000"/>
          <w:szCs w:val="22"/>
        </w:rPr>
        <w:t xml:space="preserve">: </w:t>
      </w:r>
      <w:r w:rsidRPr="001D7B08">
        <w:rPr>
          <w:szCs w:val="22"/>
        </w:rPr>
        <w:t>bronhiālās astmas lēkmes</w:t>
      </w:r>
      <w:r w:rsidR="00F4096E">
        <w:rPr>
          <w:szCs w:val="22"/>
        </w:rPr>
        <w:t>.</w:t>
      </w:r>
    </w:p>
    <w:p w14:paraId="6742A4AB" w14:textId="6BF4F0E8" w:rsidR="006A45D4" w:rsidRPr="001D7B08" w:rsidRDefault="006A45D4" w:rsidP="00D7318C">
      <w:pPr>
        <w:autoSpaceDE w:val="0"/>
        <w:autoSpaceDN w:val="0"/>
        <w:adjustRightInd w:val="0"/>
        <w:spacing w:line="240" w:lineRule="atLeast"/>
        <w:rPr>
          <w:color w:val="000000"/>
          <w:szCs w:val="22"/>
        </w:rPr>
      </w:pPr>
    </w:p>
    <w:p w14:paraId="02B425DE" w14:textId="77777777" w:rsidR="00311EB0" w:rsidRPr="001D7B08" w:rsidRDefault="00564D49" w:rsidP="00564D49">
      <w:pPr>
        <w:autoSpaceDE w:val="0"/>
        <w:autoSpaceDN w:val="0"/>
        <w:adjustRightInd w:val="0"/>
        <w:spacing w:line="240" w:lineRule="atLeast"/>
        <w:rPr>
          <w:b/>
          <w:color w:val="000000"/>
          <w:szCs w:val="22"/>
        </w:rPr>
      </w:pPr>
      <w:r w:rsidRPr="001D7B08">
        <w:rPr>
          <w:b/>
          <w:szCs w:val="22"/>
        </w:rPr>
        <w:t>Ādas un zemādas audu bojājumi</w:t>
      </w:r>
      <w:r w:rsidR="00311EB0" w:rsidRPr="001D7B08">
        <w:rPr>
          <w:b/>
          <w:szCs w:val="22"/>
        </w:rPr>
        <w:t xml:space="preserve"> </w:t>
      </w:r>
    </w:p>
    <w:p w14:paraId="541D5EC8" w14:textId="77777777" w:rsidR="001860DB" w:rsidRPr="001D7B08" w:rsidRDefault="00311EB0" w:rsidP="00564D49">
      <w:pPr>
        <w:autoSpaceDE w:val="0"/>
        <w:autoSpaceDN w:val="0"/>
        <w:adjustRightInd w:val="0"/>
        <w:spacing w:line="240" w:lineRule="atLeast"/>
        <w:rPr>
          <w:color w:val="000000"/>
          <w:szCs w:val="22"/>
        </w:rPr>
      </w:pPr>
      <w:r w:rsidRPr="001D7B08">
        <w:rPr>
          <w:color w:val="000000"/>
          <w:szCs w:val="22"/>
        </w:rPr>
        <w:t>Reti:</w:t>
      </w:r>
      <w:r w:rsidR="001860DB" w:rsidRPr="001D7B08">
        <w:rPr>
          <w:color w:val="000000"/>
          <w:szCs w:val="22"/>
        </w:rPr>
        <w:t xml:space="preserve"> </w:t>
      </w:r>
      <w:r w:rsidRPr="001D7B08">
        <w:rPr>
          <w:color w:val="000000"/>
          <w:szCs w:val="22"/>
        </w:rPr>
        <w:t>alerģiski ādas izsitumi, nieze</w:t>
      </w:r>
      <w:r w:rsidR="007160FF">
        <w:rPr>
          <w:color w:val="000000"/>
          <w:szCs w:val="22"/>
        </w:rPr>
        <w:t xml:space="preserve">, </w:t>
      </w:r>
      <w:r w:rsidR="007160FF" w:rsidRPr="007160FF">
        <w:rPr>
          <w:color w:val="000000"/>
          <w:szCs w:val="22"/>
        </w:rPr>
        <w:t>nātrene, angioedēma.</w:t>
      </w:r>
      <w:r w:rsidR="00D8756A" w:rsidRPr="00D8756A">
        <w:rPr>
          <w:color w:val="000000"/>
          <w:szCs w:val="22"/>
        </w:rPr>
        <w:t xml:space="preserve"> </w:t>
      </w:r>
      <w:r w:rsidR="00D8756A">
        <w:rPr>
          <w:color w:val="000000"/>
          <w:szCs w:val="22"/>
        </w:rPr>
        <w:t>Ļoti reti ziņots par nopietnām ādas reakcijām.</w:t>
      </w:r>
    </w:p>
    <w:p w14:paraId="05CA1426" w14:textId="77777777" w:rsidR="00564D49" w:rsidRPr="001D7B08" w:rsidRDefault="00564D49" w:rsidP="00564D49">
      <w:pPr>
        <w:autoSpaceDE w:val="0"/>
        <w:autoSpaceDN w:val="0"/>
        <w:adjustRightInd w:val="0"/>
        <w:spacing w:line="240" w:lineRule="atLeast"/>
        <w:rPr>
          <w:szCs w:val="22"/>
        </w:rPr>
      </w:pPr>
    </w:p>
    <w:p w14:paraId="3473B917" w14:textId="77777777" w:rsidR="00564D49" w:rsidRPr="001D7B08" w:rsidRDefault="00564D49" w:rsidP="00564D49">
      <w:pPr>
        <w:autoSpaceDE w:val="0"/>
        <w:autoSpaceDN w:val="0"/>
        <w:adjustRightInd w:val="0"/>
        <w:spacing w:line="240" w:lineRule="atLeast"/>
        <w:rPr>
          <w:b/>
          <w:color w:val="000000"/>
          <w:szCs w:val="22"/>
          <w:u w:val="single"/>
        </w:rPr>
      </w:pPr>
      <w:r w:rsidRPr="001D7B08">
        <w:rPr>
          <w:b/>
          <w:szCs w:val="22"/>
          <w:u w:val="single"/>
        </w:rPr>
        <w:t>Fenilefrīns</w:t>
      </w:r>
    </w:p>
    <w:p w14:paraId="5690858A" w14:textId="77777777" w:rsidR="00311EB0" w:rsidRPr="001D7B08" w:rsidRDefault="00564D49" w:rsidP="00564D49">
      <w:pPr>
        <w:autoSpaceDE w:val="0"/>
        <w:autoSpaceDN w:val="0"/>
        <w:adjustRightInd w:val="0"/>
        <w:spacing w:line="240" w:lineRule="atLeast"/>
        <w:rPr>
          <w:color w:val="000000"/>
          <w:szCs w:val="22"/>
        </w:rPr>
      </w:pPr>
      <w:r w:rsidRPr="001D7B08">
        <w:rPr>
          <w:b/>
          <w:bCs/>
          <w:szCs w:val="22"/>
        </w:rPr>
        <w:t>Nervu sistēmas traucējumi</w:t>
      </w:r>
      <w:r w:rsidR="00311EB0" w:rsidRPr="001D7B08">
        <w:rPr>
          <w:color w:val="000000"/>
          <w:szCs w:val="22"/>
        </w:rPr>
        <w:t xml:space="preserve"> </w:t>
      </w:r>
    </w:p>
    <w:p w14:paraId="015FE557" w14:textId="77777777" w:rsidR="001860DB" w:rsidRPr="001D7B08" w:rsidRDefault="00311EB0" w:rsidP="00564D49">
      <w:pPr>
        <w:autoSpaceDE w:val="0"/>
        <w:autoSpaceDN w:val="0"/>
        <w:adjustRightInd w:val="0"/>
        <w:spacing w:line="240" w:lineRule="atLeast"/>
        <w:rPr>
          <w:color w:val="000000"/>
          <w:szCs w:val="22"/>
        </w:rPr>
      </w:pPr>
      <w:r w:rsidRPr="001D7B08">
        <w:rPr>
          <w:color w:val="000000"/>
          <w:szCs w:val="22"/>
        </w:rPr>
        <w:t>Reti:</w:t>
      </w:r>
      <w:r w:rsidR="001860DB" w:rsidRPr="001D7B08">
        <w:rPr>
          <w:color w:val="000000"/>
          <w:szCs w:val="22"/>
        </w:rPr>
        <w:t xml:space="preserve"> </w:t>
      </w:r>
      <w:r w:rsidRPr="001D7B08">
        <w:rPr>
          <w:color w:val="000000"/>
          <w:szCs w:val="22"/>
        </w:rPr>
        <w:t>galvassāpes</w:t>
      </w:r>
      <w:r w:rsidR="001860DB" w:rsidRPr="001D7B08">
        <w:rPr>
          <w:color w:val="000000"/>
          <w:szCs w:val="22"/>
        </w:rPr>
        <w:t xml:space="preserve">, </w:t>
      </w:r>
      <w:r w:rsidRPr="001D7B08">
        <w:rPr>
          <w:color w:val="000000"/>
          <w:szCs w:val="22"/>
        </w:rPr>
        <w:t>reibonis (vertigo), bezmiegs, trīce, nervozitāte</w:t>
      </w:r>
      <w:r w:rsidR="00F4096E">
        <w:rPr>
          <w:color w:val="000000"/>
          <w:szCs w:val="22"/>
        </w:rPr>
        <w:t>.</w:t>
      </w:r>
    </w:p>
    <w:p w14:paraId="56EDE4CA" w14:textId="77777777" w:rsidR="001860DB" w:rsidRPr="001D7B08" w:rsidRDefault="001860DB" w:rsidP="001860DB">
      <w:pPr>
        <w:autoSpaceDE w:val="0"/>
        <w:autoSpaceDN w:val="0"/>
        <w:adjustRightInd w:val="0"/>
        <w:spacing w:line="240" w:lineRule="atLeast"/>
        <w:ind w:left="360"/>
        <w:rPr>
          <w:color w:val="000000"/>
          <w:szCs w:val="22"/>
        </w:rPr>
      </w:pPr>
      <w:r w:rsidRPr="001D7B08">
        <w:rPr>
          <w:color w:val="000000"/>
          <w:szCs w:val="22"/>
        </w:rPr>
        <w:t xml:space="preserve"> </w:t>
      </w:r>
    </w:p>
    <w:p w14:paraId="7F6EFD56" w14:textId="77777777" w:rsidR="00311EB0" w:rsidRPr="001D7B08" w:rsidRDefault="00311EB0" w:rsidP="00564D49">
      <w:pPr>
        <w:autoSpaceDE w:val="0"/>
        <w:autoSpaceDN w:val="0"/>
        <w:adjustRightInd w:val="0"/>
        <w:spacing w:line="240" w:lineRule="atLeast"/>
        <w:rPr>
          <w:b/>
          <w:color w:val="000000"/>
          <w:szCs w:val="22"/>
        </w:rPr>
      </w:pPr>
      <w:r w:rsidRPr="001D7B08">
        <w:rPr>
          <w:b/>
          <w:bCs/>
          <w:szCs w:val="22"/>
        </w:rPr>
        <w:t>Sirds funkcijas traucējumi</w:t>
      </w:r>
      <w:r w:rsidRPr="001D7B08">
        <w:rPr>
          <w:b/>
          <w:color w:val="000000"/>
          <w:szCs w:val="22"/>
        </w:rPr>
        <w:t xml:space="preserve"> </w:t>
      </w:r>
    </w:p>
    <w:p w14:paraId="5FF9BD62" w14:textId="40F2BE0C" w:rsidR="001860DB" w:rsidRPr="001D7B08" w:rsidRDefault="00564D49" w:rsidP="00564D49">
      <w:pPr>
        <w:autoSpaceDE w:val="0"/>
        <w:autoSpaceDN w:val="0"/>
        <w:adjustRightInd w:val="0"/>
        <w:spacing w:line="240" w:lineRule="atLeast"/>
        <w:rPr>
          <w:color w:val="000000"/>
          <w:szCs w:val="22"/>
        </w:rPr>
      </w:pPr>
      <w:bookmarkStart w:id="0" w:name="_Hlk37798292"/>
      <w:r w:rsidRPr="001D7B08">
        <w:rPr>
          <w:color w:val="000000"/>
          <w:szCs w:val="22"/>
        </w:rPr>
        <w:t>Ļoti reti:</w:t>
      </w:r>
      <w:r w:rsidR="001860DB" w:rsidRPr="001D7B08">
        <w:rPr>
          <w:color w:val="000000"/>
          <w:szCs w:val="22"/>
        </w:rPr>
        <w:t xml:space="preserve"> </w:t>
      </w:r>
      <w:r w:rsidR="00311EB0" w:rsidRPr="001D7B08">
        <w:rPr>
          <w:color w:val="000000"/>
          <w:szCs w:val="22"/>
        </w:rPr>
        <w:t>sirdsklauves, tahikardija</w:t>
      </w:r>
      <w:r w:rsidR="00F4096E">
        <w:rPr>
          <w:color w:val="000000"/>
          <w:szCs w:val="22"/>
        </w:rPr>
        <w:t>.</w:t>
      </w:r>
    </w:p>
    <w:p w14:paraId="0AE33D3C" w14:textId="3B719D10" w:rsidR="006A45D4" w:rsidRPr="002307B9" w:rsidRDefault="006A45D4" w:rsidP="006A45D4">
      <w:pPr>
        <w:autoSpaceDE w:val="0"/>
        <w:autoSpaceDN w:val="0"/>
        <w:adjustRightInd w:val="0"/>
        <w:spacing w:line="240" w:lineRule="atLeast"/>
        <w:rPr>
          <w:bCs/>
          <w:iCs/>
          <w:color w:val="000000"/>
          <w:szCs w:val="22"/>
        </w:rPr>
      </w:pPr>
      <w:bookmarkStart w:id="1" w:name="_Hlk37801228"/>
      <w:r w:rsidRPr="002307B9">
        <w:rPr>
          <w:bCs/>
          <w:iCs/>
          <w:color w:val="000000"/>
          <w:szCs w:val="22"/>
        </w:rPr>
        <w:t>Nav zinām</w:t>
      </w:r>
      <w:r w:rsidR="00912868">
        <w:rPr>
          <w:bCs/>
          <w:iCs/>
          <w:color w:val="000000"/>
          <w:szCs w:val="22"/>
        </w:rPr>
        <w:t>i</w:t>
      </w:r>
      <w:r w:rsidRPr="002307B9">
        <w:rPr>
          <w:bCs/>
          <w:iCs/>
          <w:color w:val="000000"/>
          <w:szCs w:val="22"/>
        </w:rPr>
        <w:t>: aritmija, bradikardija</w:t>
      </w:r>
      <w:r w:rsidR="00912868">
        <w:rPr>
          <w:bCs/>
          <w:iCs/>
          <w:color w:val="000000"/>
          <w:szCs w:val="22"/>
        </w:rPr>
        <w:t>.</w:t>
      </w:r>
    </w:p>
    <w:bookmarkEnd w:id="0"/>
    <w:p w14:paraId="4AB0D819" w14:textId="77777777" w:rsidR="001860DB" w:rsidRPr="001D7B08" w:rsidRDefault="001860DB" w:rsidP="001860DB">
      <w:pPr>
        <w:autoSpaceDE w:val="0"/>
        <w:autoSpaceDN w:val="0"/>
        <w:adjustRightInd w:val="0"/>
        <w:spacing w:line="240" w:lineRule="atLeast"/>
        <w:ind w:left="360"/>
        <w:rPr>
          <w:bCs/>
          <w:i/>
          <w:iCs/>
          <w:color w:val="000000"/>
          <w:szCs w:val="22"/>
        </w:rPr>
      </w:pPr>
      <w:r w:rsidRPr="001D7B08">
        <w:rPr>
          <w:bCs/>
          <w:i/>
          <w:iCs/>
          <w:color w:val="000000"/>
          <w:szCs w:val="22"/>
        </w:rPr>
        <w:t xml:space="preserve"> </w:t>
      </w:r>
    </w:p>
    <w:bookmarkEnd w:id="1"/>
    <w:p w14:paraId="7D5F24D9" w14:textId="77777777" w:rsidR="001860DB" w:rsidRPr="001D7B08" w:rsidRDefault="00311EB0" w:rsidP="00564D49">
      <w:pPr>
        <w:autoSpaceDE w:val="0"/>
        <w:autoSpaceDN w:val="0"/>
        <w:adjustRightInd w:val="0"/>
        <w:spacing w:line="240" w:lineRule="atLeast"/>
        <w:rPr>
          <w:b/>
          <w:bCs/>
          <w:iCs/>
          <w:color w:val="000000"/>
          <w:szCs w:val="22"/>
        </w:rPr>
      </w:pPr>
      <w:r w:rsidRPr="001D7B08">
        <w:rPr>
          <w:b/>
          <w:bCs/>
          <w:iCs/>
          <w:color w:val="000000"/>
          <w:szCs w:val="22"/>
        </w:rPr>
        <w:t>Asinsvadu sistēmas traucējumi</w:t>
      </w:r>
    </w:p>
    <w:p w14:paraId="46159D01" w14:textId="77777777" w:rsidR="001860DB" w:rsidRPr="001D7B08" w:rsidRDefault="00311EB0" w:rsidP="00564D49">
      <w:pPr>
        <w:autoSpaceDE w:val="0"/>
        <w:autoSpaceDN w:val="0"/>
        <w:adjustRightInd w:val="0"/>
        <w:spacing w:line="240" w:lineRule="atLeast"/>
        <w:rPr>
          <w:color w:val="000000"/>
          <w:szCs w:val="22"/>
        </w:rPr>
      </w:pPr>
      <w:r w:rsidRPr="001D7B08">
        <w:rPr>
          <w:color w:val="000000"/>
          <w:szCs w:val="22"/>
        </w:rPr>
        <w:t>Ļoti reti</w:t>
      </w:r>
      <w:r w:rsidR="001860DB" w:rsidRPr="001D7B08">
        <w:rPr>
          <w:color w:val="000000"/>
          <w:szCs w:val="22"/>
        </w:rPr>
        <w:t xml:space="preserve">: </w:t>
      </w:r>
      <w:r w:rsidRPr="001D7B08">
        <w:rPr>
          <w:bCs/>
          <w:szCs w:val="22"/>
        </w:rPr>
        <w:t>asinsspiediena paaugstināšanās</w:t>
      </w:r>
      <w:r w:rsidR="007160FF">
        <w:rPr>
          <w:bCs/>
          <w:szCs w:val="22"/>
        </w:rPr>
        <w:t xml:space="preserve">, </w:t>
      </w:r>
      <w:r w:rsidR="007160FF" w:rsidRPr="007160FF">
        <w:rPr>
          <w:bCs/>
          <w:szCs w:val="22"/>
        </w:rPr>
        <w:t>paātrināta sirdsdarbība, arteriālā spiediena samazināšanās ar šoka pazīmēm.</w:t>
      </w:r>
    </w:p>
    <w:p w14:paraId="46351916" w14:textId="77777777" w:rsidR="001860DB" w:rsidRPr="001D7B08" w:rsidRDefault="001860DB" w:rsidP="001860DB">
      <w:pPr>
        <w:autoSpaceDE w:val="0"/>
        <w:autoSpaceDN w:val="0"/>
        <w:adjustRightInd w:val="0"/>
        <w:spacing w:line="240" w:lineRule="atLeast"/>
        <w:ind w:left="360"/>
        <w:rPr>
          <w:color w:val="000000"/>
          <w:szCs w:val="22"/>
        </w:rPr>
      </w:pPr>
      <w:r w:rsidRPr="001D7B08">
        <w:rPr>
          <w:color w:val="000000"/>
          <w:szCs w:val="22"/>
        </w:rPr>
        <w:t xml:space="preserve"> </w:t>
      </w:r>
    </w:p>
    <w:p w14:paraId="7E104624" w14:textId="77777777" w:rsidR="001860DB" w:rsidRPr="001D7B08" w:rsidRDefault="001860DB" w:rsidP="001D7B08">
      <w:pPr>
        <w:autoSpaceDE w:val="0"/>
        <w:autoSpaceDN w:val="0"/>
        <w:adjustRightInd w:val="0"/>
        <w:spacing w:line="240" w:lineRule="atLeast"/>
        <w:rPr>
          <w:b/>
          <w:color w:val="000000"/>
          <w:szCs w:val="22"/>
          <w:u w:val="single"/>
        </w:rPr>
      </w:pPr>
      <w:r w:rsidRPr="001D7B08">
        <w:rPr>
          <w:b/>
          <w:szCs w:val="22"/>
        </w:rPr>
        <w:t>Kuņģa-zarnu trakta traucējum</w:t>
      </w:r>
      <w:r w:rsidR="001D7B08" w:rsidRPr="001D7B08">
        <w:rPr>
          <w:b/>
          <w:szCs w:val="22"/>
        </w:rPr>
        <w:t>i</w:t>
      </w:r>
    </w:p>
    <w:p w14:paraId="515FDB86" w14:textId="77777777" w:rsidR="00D64C71" w:rsidRDefault="001860DB" w:rsidP="00BC5BAC">
      <w:pPr>
        <w:autoSpaceDE w:val="0"/>
        <w:autoSpaceDN w:val="0"/>
        <w:adjustRightInd w:val="0"/>
        <w:spacing w:line="240" w:lineRule="atLeast"/>
        <w:rPr>
          <w:color w:val="000000"/>
          <w:szCs w:val="22"/>
        </w:rPr>
      </w:pPr>
      <w:r w:rsidRPr="001D7B08">
        <w:rPr>
          <w:szCs w:val="22"/>
        </w:rPr>
        <w:t>Ļoti reti: slikta dūša, vemšana</w:t>
      </w:r>
      <w:r w:rsidR="001D7B08">
        <w:rPr>
          <w:color w:val="000000"/>
          <w:szCs w:val="22"/>
        </w:rPr>
        <w:t xml:space="preserve">, </w:t>
      </w:r>
      <w:r w:rsidR="00827566">
        <w:rPr>
          <w:color w:val="000000"/>
          <w:szCs w:val="22"/>
        </w:rPr>
        <w:t>caureja</w:t>
      </w:r>
      <w:r w:rsidR="00766F5C">
        <w:rPr>
          <w:color w:val="000000"/>
          <w:szCs w:val="22"/>
        </w:rPr>
        <w:t>.</w:t>
      </w:r>
      <w:r w:rsidR="007160FF">
        <w:rPr>
          <w:color w:val="000000"/>
          <w:szCs w:val="22"/>
        </w:rPr>
        <w:t xml:space="preserve"> </w:t>
      </w:r>
    </w:p>
    <w:p w14:paraId="657574AD" w14:textId="77777777" w:rsidR="00BC5BAC" w:rsidRPr="001D7B08" w:rsidRDefault="00BC5BAC" w:rsidP="00BC5BAC">
      <w:pPr>
        <w:autoSpaceDE w:val="0"/>
        <w:autoSpaceDN w:val="0"/>
        <w:adjustRightInd w:val="0"/>
        <w:spacing w:line="240" w:lineRule="atLeast"/>
        <w:rPr>
          <w:color w:val="000000"/>
          <w:szCs w:val="22"/>
        </w:rPr>
      </w:pPr>
    </w:p>
    <w:p w14:paraId="6609F83F" w14:textId="77777777" w:rsidR="001860DB" w:rsidRPr="001D7B08" w:rsidRDefault="001860DB" w:rsidP="001D7B08">
      <w:pPr>
        <w:autoSpaceDE w:val="0"/>
        <w:autoSpaceDN w:val="0"/>
        <w:adjustRightInd w:val="0"/>
        <w:spacing w:line="240" w:lineRule="atLeast"/>
        <w:rPr>
          <w:b/>
          <w:color w:val="000000"/>
          <w:szCs w:val="22"/>
          <w:u w:val="single"/>
        </w:rPr>
      </w:pPr>
      <w:r w:rsidRPr="001D7B08">
        <w:rPr>
          <w:b/>
          <w:szCs w:val="22"/>
        </w:rPr>
        <w:t>Nieru un urīnizvades sistēmas traucējumi</w:t>
      </w:r>
      <w:r w:rsidRPr="001D7B08">
        <w:rPr>
          <w:b/>
          <w:color w:val="000000"/>
          <w:szCs w:val="22"/>
          <w:u w:val="single"/>
        </w:rPr>
        <w:t xml:space="preserve"> </w:t>
      </w:r>
    </w:p>
    <w:p w14:paraId="27857C34" w14:textId="77777777" w:rsidR="006A45D4" w:rsidRDefault="001860DB" w:rsidP="001D7B08">
      <w:pPr>
        <w:tabs>
          <w:tab w:val="clear" w:pos="567"/>
        </w:tabs>
        <w:spacing w:line="240" w:lineRule="auto"/>
        <w:rPr>
          <w:szCs w:val="22"/>
        </w:rPr>
      </w:pPr>
      <w:r w:rsidRPr="001D7B08">
        <w:rPr>
          <w:color w:val="000000"/>
          <w:szCs w:val="22"/>
        </w:rPr>
        <w:t xml:space="preserve">Ļoti reti: </w:t>
      </w:r>
      <w:r w:rsidR="007160FF" w:rsidRPr="007160FF">
        <w:rPr>
          <w:color w:val="000000"/>
          <w:szCs w:val="22"/>
        </w:rPr>
        <w:t xml:space="preserve">nieru kolikas, papillāra nekroze, akūta nieru mazspēja, urolitiāze, </w:t>
      </w:r>
      <w:r w:rsidRPr="001D7B08">
        <w:rPr>
          <w:szCs w:val="22"/>
        </w:rPr>
        <w:t>urinācijas traucējumi</w:t>
      </w:r>
      <w:r w:rsidR="006A45D4">
        <w:rPr>
          <w:szCs w:val="22"/>
        </w:rPr>
        <w:t>.</w:t>
      </w:r>
    </w:p>
    <w:p w14:paraId="46FA9F45" w14:textId="10A34C54" w:rsidR="001860DB" w:rsidRDefault="006A45D4" w:rsidP="001D7B08">
      <w:pPr>
        <w:tabs>
          <w:tab w:val="clear" w:pos="567"/>
        </w:tabs>
        <w:spacing w:line="240" w:lineRule="auto"/>
        <w:rPr>
          <w:szCs w:val="22"/>
        </w:rPr>
      </w:pPr>
      <w:bookmarkStart w:id="2" w:name="_Hlk37798580"/>
      <w:r>
        <w:rPr>
          <w:szCs w:val="22"/>
        </w:rPr>
        <w:t>Nav zinām</w:t>
      </w:r>
      <w:r w:rsidR="00912868">
        <w:rPr>
          <w:szCs w:val="22"/>
        </w:rPr>
        <w:t>i</w:t>
      </w:r>
      <w:r>
        <w:rPr>
          <w:szCs w:val="22"/>
        </w:rPr>
        <w:t xml:space="preserve">: </w:t>
      </w:r>
      <w:bookmarkEnd w:id="2"/>
      <w:r w:rsidR="001860DB" w:rsidRPr="001D7B08">
        <w:rPr>
          <w:szCs w:val="22"/>
        </w:rPr>
        <w:t>urīna retence, īpaši pacientiem ar prostatas hipertrofiju.</w:t>
      </w:r>
    </w:p>
    <w:p w14:paraId="17BD05BE" w14:textId="77777777" w:rsidR="00360274" w:rsidRDefault="00360274" w:rsidP="001D7B08">
      <w:pPr>
        <w:tabs>
          <w:tab w:val="clear" w:pos="567"/>
        </w:tabs>
        <w:spacing w:line="240" w:lineRule="auto"/>
        <w:rPr>
          <w:szCs w:val="22"/>
        </w:rPr>
      </w:pPr>
    </w:p>
    <w:p w14:paraId="4991FE2C" w14:textId="77777777" w:rsidR="006A45D4" w:rsidRDefault="006A45D4" w:rsidP="001D7B08">
      <w:pPr>
        <w:tabs>
          <w:tab w:val="clear" w:pos="567"/>
        </w:tabs>
        <w:spacing w:line="240" w:lineRule="auto"/>
        <w:rPr>
          <w:b/>
          <w:szCs w:val="22"/>
        </w:rPr>
      </w:pPr>
      <w:bookmarkStart w:id="3" w:name="_Hlk37798553"/>
      <w:r w:rsidRPr="00D7318C">
        <w:rPr>
          <w:b/>
          <w:szCs w:val="22"/>
        </w:rPr>
        <w:t>Imūnās sistēmas traucējumi</w:t>
      </w:r>
    </w:p>
    <w:p w14:paraId="00D0C803" w14:textId="05699E8D" w:rsidR="006A45D4" w:rsidRDefault="006A45D4" w:rsidP="001D7B08">
      <w:pPr>
        <w:tabs>
          <w:tab w:val="clear" w:pos="567"/>
        </w:tabs>
        <w:spacing w:line="240" w:lineRule="auto"/>
        <w:rPr>
          <w:szCs w:val="22"/>
        </w:rPr>
      </w:pPr>
      <w:r w:rsidRPr="00D7318C">
        <w:rPr>
          <w:szCs w:val="22"/>
        </w:rPr>
        <w:t>Reti: paaugstināta jutība</w:t>
      </w:r>
      <w:r w:rsidR="00707E10">
        <w:rPr>
          <w:szCs w:val="22"/>
        </w:rPr>
        <w:t>.</w:t>
      </w:r>
    </w:p>
    <w:p w14:paraId="6495CF63" w14:textId="3FF42844" w:rsidR="006A45D4" w:rsidRPr="00D7318C" w:rsidRDefault="006A45D4" w:rsidP="001D7B08">
      <w:pPr>
        <w:tabs>
          <w:tab w:val="clear" w:pos="567"/>
        </w:tabs>
        <w:spacing w:line="240" w:lineRule="auto"/>
        <w:rPr>
          <w:szCs w:val="22"/>
        </w:rPr>
      </w:pPr>
      <w:r>
        <w:rPr>
          <w:szCs w:val="22"/>
        </w:rPr>
        <w:t xml:space="preserve">Loti reti: </w:t>
      </w:r>
      <w:r w:rsidRPr="006A45D4">
        <w:rPr>
          <w:szCs w:val="22"/>
        </w:rPr>
        <w:t>anafilaktiska reakcija</w:t>
      </w:r>
      <w:r w:rsidR="00707E10">
        <w:rPr>
          <w:szCs w:val="22"/>
        </w:rPr>
        <w:t>.</w:t>
      </w:r>
    </w:p>
    <w:p w14:paraId="624200ED" w14:textId="77777777" w:rsidR="006A45D4" w:rsidRPr="006A45D4" w:rsidRDefault="006A45D4" w:rsidP="001D7B08">
      <w:pPr>
        <w:tabs>
          <w:tab w:val="clear" w:pos="567"/>
        </w:tabs>
        <w:spacing w:line="240" w:lineRule="auto"/>
        <w:rPr>
          <w:szCs w:val="22"/>
        </w:rPr>
      </w:pPr>
      <w:r w:rsidRPr="006A45D4">
        <w:rPr>
          <w:szCs w:val="22"/>
        </w:rPr>
        <w:t xml:space="preserve"> </w:t>
      </w:r>
    </w:p>
    <w:p w14:paraId="1342B186" w14:textId="77777777" w:rsidR="00D813A9" w:rsidRPr="00864271" w:rsidRDefault="00D813A9" w:rsidP="00D813A9">
      <w:pPr>
        <w:tabs>
          <w:tab w:val="clear" w:pos="567"/>
        </w:tabs>
        <w:spacing w:line="240" w:lineRule="auto"/>
        <w:rPr>
          <w:b/>
          <w:szCs w:val="22"/>
        </w:rPr>
      </w:pPr>
      <w:bookmarkStart w:id="4" w:name="_Hlk64381863"/>
      <w:bookmarkEnd w:id="3"/>
      <w:r w:rsidRPr="00864271">
        <w:rPr>
          <w:rStyle w:val="Emphasis"/>
          <w:b/>
          <w:bCs/>
          <w:i w:val="0"/>
          <w:iCs w:val="0"/>
          <w:szCs w:val="22"/>
          <w:shd w:val="clear" w:color="auto" w:fill="FFFFFF"/>
        </w:rPr>
        <w:t>Vispārēji traucējumi</w:t>
      </w:r>
      <w:r w:rsidRPr="00864271">
        <w:rPr>
          <w:b/>
          <w:szCs w:val="22"/>
          <w:shd w:val="clear" w:color="auto" w:fill="FFFFFF"/>
        </w:rPr>
        <w:t> un reakcijas ievadīšanas vietā</w:t>
      </w:r>
    </w:p>
    <w:p w14:paraId="00A123FF" w14:textId="248B5CD3" w:rsidR="00D813A9" w:rsidRDefault="008D289B" w:rsidP="00D813A9">
      <w:pPr>
        <w:tabs>
          <w:tab w:val="clear" w:pos="567"/>
          <w:tab w:val="left" w:pos="720"/>
        </w:tabs>
        <w:spacing w:line="240" w:lineRule="auto"/>
        <w:rPr>
          <w:szCs w:val="22"/>
        </w:rPr>
      </w:pPr>
      <w:r>
        <w:rPr>
          <w:szCs w:val="22"/>
        </w:rPr>
        <w:t>Nav zināmi</w:t>
      </w:r>
      <w:r w:rsidR="00D813A9">
        <w:rPr>
          <w:szCs w:val="22"/>
        </w:rPr>
        <w:t xml:space="preserve">: </w:t>
      </w:r>
      <w:proofErr w:type="spellStart"/>
      <w:r w:rsidR="00D813A9">
        <w:rPr>
          <w:szCs w:val="22"/>
        </w:rPr>
        <w:t>h</w:t>
      </w:r>
      <w:r w:rsidR="00D813A9" w:rsidRPr="00864271">
        <w:rPr>
          <w:szCs w:val="22"/>
        </w:rPr>
        <w:t>ipotermija</w:t>
      </w:r>
      <w:proofErr w:type="spellEnd"/>
      <w:r w:rsidR="00D813A9" w:rsidRPr="00864271">
        <w:rPr>
          <w:szCs w:val="22"/>
        </w:rPr>
        <w:t xml:space="preserve"> (īpaši pacientiem </w:t>
      </w:r>
      <w:proofErr w:type="spellStart"/>
      <w:r w:rsidR="00D813A9" w:rsidRPr="00864271">
        <w:rPr>
          <w:szCs w:val="22"/>
        </w:rPr>
        <w:t>afebrilā</w:t>
      </w:r>
      <w:proofErr w:type="spellEnd"/>
      <w:r w:rsidR="00D813A9" w:rsidRPr="00864271">
        <w:rPr>
          <w:szCs w:val="22"/>
        </w:rPr>
        <w:t xml:space="preserve"> stāvoklī)</w:t>
      </w:r>
      <w:r>
        <w:rPr>
          <w:szCs w:val="22"/>
        </w:rPr>
        <w:t>.</w:t>
      </w:r>
    </w:p>
    <w:p w14:paraId="613E53A5" w14:textId="77777777" w:rsidR="00D813A9" w:rsidRPr="00864271" w:rsidRDefault="00D813A9" w:rsidP="00D813A9">
      <w:pPr>
        <w:tabs>
          <w:tab w:val="clear" w:pos="567"/>
          <w:tab w:val="left" w:pos="720"/>
        </w:tabs>
        <w:spacing w:line="240" w:lineRule="auto"/>
        <w:rPr>
          <w:szCs w:val="22"/>
        </w:rPr>
      </w:pPr>
    </w:p>
    <w:bookmarkEnd w:id="4"/>
    <w:p w14:paraId="09FDCAE1" w14:textId="77777777" w:rsidR="00360274" w:rsidRPr="00691B11" w:rsidRDefault="00360274" w:rsidP="00360274">
      <w:pPr>
        <w:autoSpaceDE w:val="0"/>
        <w:autoSpaceDN w:val="0"/>
        <w:adjustRightInd w:val="0"/>
        <w:jc w:val="both"/>
        <w:rPr>
          <w:szCs w:val="22"/>
          <w:u w:val="single"/>
        </w:rPr>
      </w:pPr>
      <w:r w:rsidRPr="00691B11">
        <w:rPr>
          <w:szCs w:val="22"/>
          <w:u w:val="single"/>
        </w:rPr>
        <w:lastRenderedPageBreak/>
        <w:t>Ziņošana par iespējamām nevēlamām blakusparādībām</w:t>
      </w:r>
    </w:p>
    <w:p w14:paraId="685CD468" w14:textId="77777777" w:rsidR="00360274" w:rsidRPr="00691B11" w:rsidRDefault="00360274" w:rsidP="00360274">
      <w:pPr>
        <w:rPr>
          <w:szCs w:val="22"/>
          <w:lang w:eastAsia="zh-CN"/>
        </w:rPr>
      </w:pPr>
      <w:r w:rsidRPr="00691B11">
        <w:rPr>
          <w:szCs w:val="22"/>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691B11">
        <w:rPr>
          <w:szCs w:val="22"/>
          <w:lang w:eastAsia="zh-CN"/>
        </w:rPr>
        <w:t>Zāļu valsts aģentūrai, Jersikas iel</w:t>
      </w:r>
      <w:r w:rsidR="00080140">
        <w:rPr>
          <w:szCs w:val="22"/>
          <w:lang w:eastAsia="zh-CN"/>
        </w:rPr>
        <w:t>ā</w:t>
      </w:r>
      <w:r w:rsidRPr="00691B11">
        <w:rPr>
          <w:szCs w:val="22"/>
          <w:lang w:eastAsia="zh-CN"/>
        </w:rPr>
        <w:t xml:space="preserve"> 15,</w:t>
      </w:r>
      <w:r w:rsidR="00080140">
        <w:rPr>
          <w:szCs w:val="22"/>
          <w:lang w:eastAsia="zh-CN"/>
        </w:rPr>
        <w:t xml:space="preserve"> </w:t>
      </w:r>
      <w:r w:rsidRPr="00691B11">
        <w:rPr>
          <w:szCs w:val="22"/>
          <w:lang w:eastAsia="zh-CN"/>
        </w:rPr>
        <w:t>Rīg</w:t>
      </w:r>
      <w:r w:rsidR="00080140">
        <w:rPr>
          <w:szCs w:val="22"/>
          <w:lang w:eastAsia="zh-CN"/>
        </w:rPr>
        <w:t>ā</w:t>
      </w:r>
      <w:r w:rsidRPr="00691B11">
        <w:rPr>
          <w:szCs w:val="22"/>
          <w:lang w:eastAsia="zh-CN"/>
        </w:rPr>
        <w:t xml:space="preserve">, LV 1003.Tīmekļa vietne: </w:t>
      </w:r>
      <w:hyperlink r:id="rId11" w:history="1">
        <w:r w:rsidRPr="00691B11">
          <w:rPr>
            <w:rStyle w:val="Hyperlink"/>
            <w:szCs w:val="22"/>
            <w:lang w:eastAsia="zh-CN"/>
          </w:rPr>
          <w:t>www.zva.gov.lv</w:t>
        </w:r>
      </w:hyperlink>
      <w:r w:rsidRPr="00691B11">
        <w:rPr>
          <w:szCs w:val="22"/>
          <w:lang w:eastAsia="zh-CN"/>
        </w:rPr>
        <w:t>.</w:t>
      </w:r>
    </w:p>
    <w:p w14:paraId="4C4D7C3D" w14:textId="77777777" w:rsidR="00027BD5" w:rsidRPr="00474EBF" w:rsidRDefault="00027BD5" w:rsidP="001D7B08">
      <w:pPr>
        <w:tabs>
          <w:tab w:val="clear" w:pos="567"/>
        </w:tabs>
        <w:spacing w:line="240" w:lineRule="auto"/>
      </w:pPr>
    </w:p>
    <w:p w14:paraId="53A3FD8F" w14:textId="77777777" w:rsidR="00027BD5" w:rsidRPr="00474EBF" w:rsidRDefault="00027BD5">
      <w:pPr>
        <w:tabs>
          <w:tab w:val="clear" w:pos="567"/>
        </w:tabs>
        <w:spacing w:line="240" w:lineRule="auto"/>
        <w:ind w:left="567" w:hanging="567"/>
      </w:pPr>
      <w:r w:rsidRPr="00474EBF">
        <w:rPr>
          <w:b/>
        </w:rPr>
        <w:t>4.9</w:t>
      </w:r>
      <w:r w:rsidR="00360274">
        <w:rPr>
          <w:b/>
        </w:rPr>
        <w:t>.</w:t>
      </w:r>
      <w:r w:rsidRPr="00474EBF">
        <w:rPr>
          <w:b/>
        </w:rPr>
        <w:tab/>
        <w:t>Pārdozēšana</w:t>
      </w:r>
    </w:p>
    <w:p w14:paraId="55434924" w14:textId="77777777" w:rsidR="00027BD5" w:rsidRPr="00474EBF" w:rsidRDefault="00027BD5">
      <w:pPr>
        <w:tabs>
          <w:tab w:val="clear" w:pos="567"/>
        </w:tabs>
        <w:spacing w:line="240" w:lineRule="auto"/>
        <w:ind w:left="567" w:hanging="567"/>
      </w:pPr>
    </w:p>
    <w:p w14:paraId="1159BD07" w14:textId="77777777" w:rsidR="00F20B8B" w:rsidRDefault="00FB0904" w:rsidP="00F20B8B">
      <w:pPr>
        <w:numPr>
          <w:ilvl w:val="12"/>
          <w:numId w:val="0"/>
        </w:numPr>
        <w:tabs>
          <w:tab w:val="clear" w:pos="567"/>
        </w:tabs>
        <w:spacing w:line="240" w:lineRule="auto"/>
      </w:pPr>
      <w:r w:rsidRPr="00474EBF">
        <w:t xml:space="preserve">Zāles satur trīs aktīvās vielas; </w:t>
      </w:r>
      <w:r w:rsidR="00F20B8B" w:rsidRPr="00474EBF">
        <w:t>pārdozēšanas gadījumā var izpausties katras vielas pārdozēšanas simptomi.</w:t>
      </w:r>
    </w:p>
    <w:p w14:paraId="3AB56BF1" w14:textId="77777777" w:rsidR="00DC2898" w:rsidRPr="00474EBF" w:rsidRDefault="00DC2898" w:rsidP="00F20B8B">
      <w:pPr>
        <w:numPr>
          <w:ilvl w:val="12"/>
          <w:numId w:val="0"/>
        </w:numPr>
        <w:tabs>
          <w:tab w:val="clear" w:pos="567"/>
        </w:tabs>
        <w:spacing w:line="240" w:lineRule="auto"/>
      </w:pPr>
    </w:p>
    <w:p w14:paraId="5CFAD171" w14:textId="77777777" w:rsidR="00FB0904" w:rsidRDefault="00DC2898" w:rsidP="00DC2898">
      <w:pPr>
        <w:tabs>
          <w:tab w:val="clear" w:pos="567"/>
        </w:tabs>
        <w:spacing w:line="240" w:lineRule="auto"/>
      </w:pPr>
      <w:bookmarkStart w:id="5" w:name="_Hlk37799346"/>
      <w:r>
        <w:t>Paracetamol</w:t>
      </w:r>
      <w:r w:rsidR="000E2B54">
        <w:t>a pārdozēšana: a</w:t>
      </w:r>
      <w:r>
        <w:t>knu bojājumi ir iespējami pieaugušajiem, kuri ir lietojuši 150 mg /kg vai vairāk paracetamola, kaut arī paracetamola pārdozēšanas definīcija nav skaidra.</w:t>
      </w:r>
    </w:p>
    <w:bookmarkEnd w:id="5"/>
    <w:p w14:paraId="1D41D48A" w14:textId="77777777" w:rsidR="00DC2898" w:rsidRPr="00474EBF" w:rsidRDefault="00DC2898" w:rsidP="00DC2898">
      <w:pPr>
        <w:tabs>
          <w:tab w:val="clear" w:pos="567"/>
        </w:tabs>
        <w:spacing w:line="240" w:lineRule="auto"/>
      </w:pPr>
    </w:p>
    <w:p w14:paraId="0183689C" w14:textId="77777777" w:rsidR="00FB0904" w:rsidRPr="00474EBF" w:rsidRDefault="00FB0904" w:rsidP="00FB0904">
      <w:pPr>
        <w:tabs>
          <w:tab w:val="clear" w:pos="567"/>
        </w:tabs>
        <w:spacing w:line="240" w:lineRule="auto"/>
      </w:pPr>
      <w:r w:rsidRPr="00474EBF">
        <w:t>Pēc paracetamola pārdozēšanas dažu stundu laikā vai pat pēc vairāk nekā desmit stundām var būt sekojoši simptomi: slikta dūša, vemšana, pastiprināta svīšana, miegainība un vispārējs vājums. Šie simptomi var mazināties nākamajā dienā, neskatoties uz aknu bojājumu, kas izpaužas ar spiedošu sajūtu pakrūtē, atkārtotu sliktu dūšu un dzelti.</w:t>
      </w:r>
    </w:p>
    <w:p w14:paraId="2950DE2C" w14:textId="77777777" w:rsidR="00027BD5" w:rsidRPr="00474EBF" w:rsidRDefault="00027BD5">
      <w:pPr>
        <w:tabs>
          <w:tab w:val="clear" w:pos="567"/>
        </w:tabs>
        <w:spacing w:line="240" w:lineRule="auto"/>
        <w:ind w:left="567" w:hanging="567"/>
      </w:pPr>
    </w:p>
    <w:p w14:paraId="1E680BFD" w14:textId="77777777" w:rsidR="00FB0904" w:rsidRPr="00474EBF" w:rsidRDefault="008C19B6" w:rsidP="008C19B6">
      <w:pPr>
        <w:tabs>
          <w:tab w:val="clear" w:pos="567"/>
        </w:tabs>
        <w:spacing w:line="240" w:lineRule="auto"/>
      </w:pPr>
      <w:r w:rsidRPr="00474EBF">
        <w:t xml:space="preserve">Visos gadījumos, ja </w:t>
      </w:r>
      <w:r w:rsidR="00EA5B7F">
        <w:t>lietots</w:t>
      </w:r>
      <w:r w:rsidR="00EA5B7F" w:rsidRPr="00474EBF">
        <w:t xml:space="preserve"> </w:t>
      </w:r>
      <w:r w:rsidRPr="00474EBF">
        <w:t xml:space="preserve">vairāk par 5 g paracetamola un ja kopš </w:t>
      </w:r>
      <w:r w:rsidR="00EA5B7F">
        <w:t>lietošanas</w:t>
      </w:r>
      <w:r w:rsidR="00EA5B7F" w:rsidRPr="00474EBF">
        <w:t xml:space="preserve"> </w:t>
      </w:r>
      <w:r w:rsidRPr="00474EBF">
        <w:t xml:space="preserve">brīža nav </w:t>
      </w:r>
      <w:r w:rsidR="00161825" w:rsidRPr="00474EBF">
        <w:t>pagāj</w:t>
      </w:r>
      <w:r w:rsidR="000941AB">
        <w:t>us</w:t>
      </w:r>
      <w:r w:rsidR="00161825">
        <w:t>i</w:t>
      </w:r>
      <w:r w:rsidR="00161825" w:rsidRPr="00474EBF">
        <w:t xml:space="preserve"> </w:t>
      </w:r>
      <w:r w:rsidRPr="00474EBF">
        <w:t>vairāk kā 1 stunda, jāizraisa vemšana. Iekšķīgi dod 60-100 g aktivētās ogles, ko var sajaukt ar ūdeni.</w:t>
      </w:r>
    </w:p>
    <w:p w14:paraId="18A0AB43" w14:textId="77777777" w:rsidR="008C19B6" w:rsidRPr="00474EBF" w:rsidRDefault="008C19B6" w:rsidP="008C19B6">
      <w:pPr>
        <w:tabs>
          <w:tab w:val="clear" w:pos="567"/>
        </w:tabs>
        <w:spacing w:line="240" w:lineRule="auto"/>
      </w:pPr>
    </w:p>
    <w:p w14:paraId="66D6E9F7" w14:textId="77777777" w:rsidR="008C19B6" w:rsidRPr="00474EBF" w:rsidRDefault="008C19B6" w:rsidP="008C19B6">
      <w:pPr>
        <w:tabs>
          <w:tab w:val="clear" w:pos="567"/>
        </w:tabs>
        <w:spacing w:line="240" w:lineRule="auto"/>
      </w:pPr>
      <w:r w:rsidRPr="00474EBF">
        <w:t xml:space="preserve">Paracetamola koncentrācijas plazmā noteikšana ir metode, ar kuru var sekot intoksikācijas attīstībai. Noteiktā koncentrācija un laiks kopš paracetamola </w:t>
      </w:r>
      <w:r w:rsidR="00EA5B7F">
        <w:t>lietošanas</w:t>
      </w:r>
      <w:r w:rsidR="00EA5B7F" w:rsidRPr="00474EBF">
        <w:t xml:space="preserve"> </w:t>
      </w:r>
      <w:r w:rsidRPr="00474EBF">
        <w:t>ir vērtīga informācija, kas ļauj pieņemt lēmumu par antidotu lietošanas nepieciešamību.</w:t>
      </w:r>
    </w:p>
    <w:p w14:paraId="5DDA88E6" w14:textId="77777777" w:rsidR="000941AB" w:rsidRDefault="000941AB" w:rsidP="008C19B6">
      <w:pPr>
        <w:tabs>
          <w:tab w:val="clear" w:pos="567"/>
        </w:tabs>
        <w:spacing w:line="240" w:lineRule="auto"/>
      </w:pPr>
    </w:p>
    <w:p w14:paraId="23C2D1BF" w14:textId="77777777" w:rsidR="008C19B6" w:rsidRPr="00474EBF" w:rsidRDefault="008C19B6" w:rsidP="008C19B6">
      <w:pPr>
        <w:tabs>
          <w:tab w:val="clear" w:pos="567"/>
        </w:tabs>
        <w:spacing w:line="240" w:lineRule="auto"/>
      </w:pPr>
      <w:r w:rsidRPr="00474EBF">
        <w:t xml:space="preserve">Ja nav iespējams noteikt paracetamola </w:t>
      </w:r>
      <w:r w:rsidR="00161825" w:rsidRPr="00474EBF">
        <w:t>koncentrāciju</w:t>
      </w:r>
      <w:r w:rsidRPr="00474EBF">
        <w:t xml:space="preserve"> plazmā, bet domājams, ka </w:t>
      </w:r>
      <w:r w:rsidR="008631E2">
        <w:t>ir lietots</w:t>
      </w:r>
      <w:r w:rsidR="008631E2" w:rsidRPr="00474EBF">
        <w:t xml:space="preserve"> </w:t>
      </w:r>
      <w:r w:rsidRPr="00474EBF">
        <w:t xml:space="preserve">liels paracetamola daudzums, ir jālieto intensīvākas ārstēšanas metodes: pacientam jāievada 2,5 g metionīna. Ārstēšana jāturpina ar </w:t>
      </w:r>
      <w:r w:rsidR="00800759">
        <w:t>acetilcisteīnu un/vai metionīnu,</w:t>
      </w:r>
      <w:r w:rsidRPr="00474EBF">
        <w:t xml:space="preserve"> kas visefektīvāk darbojas pirmo 10-12 stundu laikā pēc saindēšanās.</w:t>
      </w:r>
    </w:p>
    <w:p w14:paraId="03F55F56" w14:textId="77777777" w:rsidR="008C19B6" w:rsidRPr="00474EBF" w:rsidRDefault="008C19B6" w:rsidP="008C19B6">
      <w:pPr>
        <w:tabs>
          <w:tab w:val="clear" w:pos="567"/>
        </w:tabs>
        <w:spacing w:line="240" w:lineRule="auto"/>
      </w:pPr>
    </w:p>
    <w:p w14:paraId="77571CA3" w14:textId="77777777" w:rsidR="008C19B6" w:rsidRDefault="008C19B6" w:rsidP="008C19B6">
      <w:pPr>
        <w:tabs>
          <w:tab w:val="clear" w:pos="567"/>
        </w:tabs>
        <w:spacing w:line="240" w:lineRule="auto"/>
      </w:pPr>
      <w:r w:rsidRPr="00474EBF">
        <w:t>Pacienti ar saindēšanos ar paracetamolu ir jāhospitalizē intensīvās terapijas nodaļā.</w:t>
      </w:r>
    </w:p>
    <w:p w14:paraId="63F29478" w14:textId="77777777" w:rsidR="00DC2898" w:rsidRPr="00474EBF" w:rsidRDefault="00DC2898" w:rsidP="008C19B6">
      <w:pPr>
        <w:tabs>
          <w:tab w:val="clear" w:pos="567"/>
        </w:tabs>
        <w:spacing w:line="240" w:lineRule="auto"/>
      </w:pPr>
    </w:p>
    <w:p w14:paraId="6C36B827" w14:textId="32A8B8C1" w:rsidR="00DC2898" w:rsidRDefault="00DC2898" w:rsidP="00DC2898">
      <w:pPr>
        <w:tabs>
          <w:tab w:val="clear" w:pos="567"/>
        </w:tabs>
        <w:spacing w:line="240" w:lineRule="auto"/>
      </w:pPr>
      <w:r>
        <w:t xml:space="preserve">Pārdozēšana var izraisīt akūtu nieru mazspēju un/vai aknu mazspēju. Aknu mazspēja var progresēt līdz encefalopātijai, asiņošanai, hipoglikēmijai, smadzeņu </w:t>
      </w:r>
      <w:r w:rsidR="00912868">
        <w:t>tūskai</w:t>
      </w:r>
      <w:r>
        <w:t>, komai un nāvei.</w:t>
      </w:r>
    </w:p>
    <w:p w14:paraId="0DD265E8" w14:textId="51F5AA06" w:rsidR="008C19B6" w:rsidRPr="00474EBF" w:rsidRDefault="000F27BC" w:rsidP="008C19B6">
      <w:pPr>
        <w:tabs>
          <w:tab w:val="clear" w:pos="567"/>
        </w:tabs>
        <w:spacing w:line="240" w:lineRule="auto"/>
      </w:pPr>
      <w:r>
        <w:t>P</w:t>
      </w:r>
      <w:r w:rsidR="00912868">
        <w:t xml:space="preserve">aracetamola pārdozēšanas </w:t>
      </w:r>
      <w:r>
        <w:t xml:space="preserve">gadījumā </w:t>
      </w:r>
      <w:r w:rsidR="00912868">
        <w:t>vēl ir ziņots par sirdsdarbības traucējumiem.</w:t>
      </w:r>
    </w:p>
    <w:p w14:paraId="5B9C289B" w14:textId="77777777" w:rsidR="008C19B6" w:rsidRPr="00474EBF" w:rsidRDefault="008C19B6" w:rsidP="008C19B6">
      <w:pPr>
        <w:tabs>
          <w:tab w:val="clear" w:pos="567"/>
        </w:tabs>
        <w:spacing w:line="240" w:lineRule="auto"/>
      </w:pPr>
      <w:r w:rsidRPr="00474EBF">
        <w:t xml:space="preserve">Fenilefrīna pārdozēšana: drebuļi, trauksme, bezmiegs, tahikardija, supraventikulāra aritmija, galvassāpes, notirpuma sajūta ekstremitātēs, paaugstināts asinsspiediens. </w:t>
      </w:r>
      <w:r w:rsidR="00800759">
        <w:t>V</w:t>
      </w:r>
      <w:r w:rsidRPr="00474EBF">
        <w:t>ēl var būt elpošanas traucējumi, halucinācijas un krampji. Dažiem pacientiem var rasties atšķirīgi simptomi: miegainība, elpošanas nomākums, sirds ritma traucējumi, arteriāla hipotensija, asinsvadu kolapss.</w:t>
      </w:r>
    </w:p>
    <w:p w14:paraId="10CEAC69" w14:textId="77777777" w:rsidR="008C19B6" w:rsidRPr="00474EBF" w:rsidRDefault="008C19B6" w:rsidP="008C19B6">
      <w:pPr>
        <w:tabs>
          <w:tab w:val="clear" w:pos="567"/>
        </w:tabs>
        <w:spacing w:line="240" w:lineRule="auto"/>
      </w:pPr>
    </w:p>
    <w:p w14:paraId="63B8F369" w14:textId="77777777" w:rsidR="004102BA" w:rsidRPr="00474EBF" w:rsidRDefault="004102BA" w:rsidP="008C19B6">
      <w:pPr>
        <w:tabs>
          <w:tab w:val="clear" w:pos="567"/>
        </w:tabs>
        <w:spacing w:line="240" w:lineRule="auto"/>
      </w:pPr>
      <w:r w:rsidRPr="00474EBF">
        <w:t>Pārdozēšanu ārstē ar kuņģa skalošanu. Smagos saindēšanās gadījumos var būt nepieciešams monitorēt dzīvībai svarīgās funkcijas, elpināt un uzturēt asinsriti.</w:t>
      </w:r>
    </w:p>
    <w:p w14:paraId="495EF6FC" w14:textId="77777777" w:rsidR="004102BA" w:rsidRPr="00474EBF" w:rsidRDefault="004102BA" w:rsidP="008C19B6">
      <w:pPr>
        <w:tabs>
          <w:tab w:val="clear" w:pos="567"/>
        </w:tabs>
        <w:spacing w:line="240" w:lineRule="auto"/>
      </w:pPr>
    </w:p>
    <w:p w14:paraId="5B35F457" w14:textId="77777777" w:rsidR="004102BA" w:rsidRPr="00474EBF" w:rsidRDefault="004102BA" w:rsidP="008C19B6">
      <w:pPr>
        <w:tabs>
          <w:tab w:val="clear" w:pos="567"/>
        </w:tabs>
        <w:spacing w:line="240" w:lineRule="auto"/>
      </w:pPr>
      <w:r w:rsidRPr="00474EBF">
        <w:t>Askorbīnskābi var pārdozēt</w:t>
      </w:r>
      <w:r w:rsidR="000941AB">
        <w:t>,</w:t>
      </w:r>
      <w:r w:rsidRPr="00474EBF">
        <w:t xml:space="preserve"> to lietojot ilgu laiku un ļoti lielās devās. Saindēšanās simptomi ir sekojoši: metabola acidoze, oksalūrija, nefrolitiāze, kuņģa- zarnu trakta darbības traucējumi, paaugstinātas jutības reakcijas, sekundāri cinga, koagulācijas un lipīdu metabolisma traucējumi, sterilitāte.</w:t>
      </w:r>
    </w:p>
    <w:p w14:paraId="3FEBA2CB" w14:textId="77777777" w:rsidR="004102BA" w:rsidRPr="00474EBF" w:rsidRDefault="004102BA" w:rsidP="008C19B6">
      <w:pPr>
        <w:tabs>
          <w:tab w:val="clear" w:pos="567"/>
        </w:tabs>
        <w:spacing w:line="240" w:lineRule="auto"/>
      </w:pPr>
    </w:p>
    <w:p w14:paraId="4DD122E2" w14:textId="77777777" w:rsidR="004102BA" w:rsidRPr="00474EBF" w:rsidRDefault="004102BA" w:rsidP="008C19B6">
      <w:pPr>
        <w:tabs>
          <w:tab w:val="clear" w:pos="567"/>
        </w:tabs>
        <w:spacing w:line="240" w:lineRule="auto"/>
      </w:pPr>
    </w:p>
    <w:p w14:paraId="6B340979" w14:textId="77777777" w:rsidR="00027BD5" w:rsidRPr="00474EBF" w:rsidRDefault="00027BD5">
      <w:pPr>
        <w:tabs>
          <w:tab w:val="clear" w:pos="567"/>
        </w:tabs>
        <w:spacing w:line="240" w:lineRule="auto"/>
        <w:ind w:left="567" w:hanging="567"/>
        <w:rPr>
          <w:b/>
        </w:rPr>
      </w:pPr>
      <w:r w:rsidRPr="00474EBF">
        <w:rPr>
          <w:b/>
        </w:rPr>
        <w:t>5.</w:t>
      </w:r>
      <w:r w:rsidRPr="00474EBF">
        <w:rPr>
          <w:b/>
        </w:rPr>
        <w:tab/>
        <w:t xml:space="preserve">FARMAKOLOĢISKĀS ĪPAŠĪBAS </w:t>
      </w:r>
    </w:p>
    <w:p w14:paraId="465C4AD6" w14:textId="77777777" w:rsidR="00027BD5" w:rsidRPr="00474EBF" w:rsidRDefault="00027BD5">
      <w:pPr>
        <w:tabs>
          <w:tab w:val="clear" w:pos="567"/>
        </w:tabs>
        <w:spacing w:line="240" w:lineRule="auto"/>
        <w:ind w:left="567" w:hanging="567"/>
      </w:pPr>
    </w:p>
    <w:p w14:paraId="5DAFD286" w14:textId="77777777" w:rsidR="00027BD5" w:rsidRPr="00474EBF" w:rsidRDefault="00027BD5">
      <w:pPr>
        <w:tabs>
          <w:tab w:val="clear" w:pos="567"/>
        </w:tabs>
        <w:spacing w:line="240" w:lineRule="auto"/>
        <w:ind w:left="567" w:hanging="567"/>
      </w:pPr>
      <w:r w:rsidRPr="00474EBF">
        <w:rPr>
          <w:b/>
        </w:rPr>
        <w:t>5.1</w:t>
      </w:r>
      <w:r w:rsidR="00360274">
        <w:rPr>
          <w:b/>
        </w:rPr>
        <w:t>.</w:t>
      </w:r>
      <w:r w:rsidRPr="00474EBF">
        <w:rPr>
          <w:b/>
        </w:rPr>
        <w:tab/>
        <w:t>Farmakodinamiskās īpašības</w:t>
      </w:r>
    </w:p>
    <w:p w14:paraId="3D2C5644" w14:textId="77777777" w:rsidR="00027BD5" w:rsidRPr="00474EBF" w:rsidRDefault="00027BD5">
      <w:pPr>
        <w:ind w:left="567" w:hanging="567"/>
      </w:pPr>
    </w:p>
    <w:p w14:paraId="68F644A5" w14:textId="4B6DC57E" w:rsidR="00D8264E" w:rsidRPr="00474EBF" w:rsidRDefault="00027BD5" w:rsidP="004268CD">
      <w:pPr>
        <w:tabs>
          <w:tab w:val="clear" w:pos="567"/>
        </w:tabs>
        <w:spacing w:line="240" w:lineRule="auto"/>
      </w:pPr>
      <w:r w:rsidRPr="00474EBF">
        <w:t xml:space="preserve">Farmakoterapeitiskā grupa: </w:t>
      </w:r>
      <w:r w:rsidR="00D8264E" w:rsidRPr="00474EBF">
        <w:t xml:space="preserve">citi </w:t>
      </w:r>
      <w:r w:rsidR="00800759">
        <w:t>pretsāpju un pretdrudža līdzekļi</w:t>
      </w:r>
      <w:r w:rsidR="00D8264E" w:rsidRPr="00474EBF">
        <w:t>, anilī</w:t>
      </w:r>
      <w:r w:rsidR="00800759">
        <w:t>na atvasinājumi</w:t>
      </w:r>
      <w:r w:rsidR="00D8264E" w:rsidRPr="00474EBF">
        <w:t xml:space="preserve">, </w:t>
      </w:r>
      <w:r w:rsidR="00800759">
        <w:t xml:space="preserve">paracetamols, kombinācijas, izņemot </w:t>
      </w:r>
      <w:r w:rsidR="001D0693">
        <w:t>psih</w:t>
      </w:r>
      <w:r w:rsidR="0072725B">
        <w:t>oleptisk</w:t>
      </w:r>
      <w:r w:rsidR="001D0693">
        <w:t>o</w:t>
      </w:r>
      <w:r w:rsidR="0072725B">
        <w:t>s līdzekļus</w:t>
      </w:r>
      <w:r w:rsidR="0030042A">
        <w:t>.</w:t>
      </w:r>
    </w:p>
    <w:p w14:paraId="4AB454E4" w14:textId="77777777" w:rsidR="00027BD5" w:rsidRPr="00474EBF" w:rsidRDefault="00027BD5">
      <w:pPr>
        <w:tabs>
          <w:tab w:val="clear" w:pos="567"/>
        </w:tabs>
        <w:spacing w:line="240" w:lineRule="auto"/>
        <w:ind w:left="567" w:hanging="567"/>
      </w:pPr>
      <w:r w:rsidRPr="00474EBF">
        <w:t xml:space="preserve">ATĶ kods: </w:t>
      </w:r>
      <w:r w:rsidR="00D8264E" w:rsidRPr="00474EBF">
        <w:t>N02BE51</w:t>
      </w:r>
    </w:p>
    <w:p w14:paraId="03299EB3" w14:textId="77777777" w:rsidR="00027BD5" w:rsidRPr="00474EBF" w:rsidRDefault="00027BD5">
      <w:pPr>
        <w:ind w:left="567" w:hanging="567"/>
      </w:pPr>
    </w:p>
    <w:p w14:paraId="6EB9F3C5" w14:textId="77777777" w:rsidR="00D8264E" w:rsidRPr="00474EBF" w:rsidRDefault="00D8264E" w:rsidP="00D8264E">
      <w:pPr>
        <w:tabs>
          <w:tab w:val="clear" w:pos="567"/>
        </w:tabs>
        <w:spacing w:line="240" w:lineRule="auto"/>
      </w:pPr>
      <w:r w:rsidRPr="00474EBF">
        <w:t>Paracetamolam ir analgētiska un pretdrudža iedarbība. Paracetamols ir fenacetīna metabolīts. Tas inhibē prostaglandīnu sintēzi, samazinot arahidonskābes ciklooksigenāzes aktivitāti. Tā rezultātā pazeminās jutība pret tādiem mediatoriem kā kinīns un serotonīns, tādejādi paaugstinās sāpju slieksnis.</w:t>
      </w:r>
      <w:r w:rsidR="004268CD">
        <w:t xml:space="preserve"> </w:t>
      </w:r>
      <w:r w:rsidRPr="00474EBF">
        <w:t>Zemāka prostaglandīnu koncentrācija hipotalamā nosaka pretdrudža iedarbību. Paracetamolam nepiemīt pretiekaisuma iedarbība</w:t>
      </w:r>
      <w:r w:rsidR="00D143CF">
        <w:t>,</w:t>
      </w:r>
      <w:r w:rsidRPr="00474EBF">
        <w:t xml:space="preserve"> un tas neietekmē trombocītu agregāciju.</w:t>
      </w:r>
    </w:p>
    <w:p w14:paraId="6EC9B5FE" w14:textId="77777777" w:rsidR="00D8264E" w:rsidRPr="00474EBF" w:rsidRDefault="00D8264E" w:rsidP="00D8264E">
      <w:pPr>
        <w:tabs>
          <w:tab w:val="clear" w:pos="567"/>
        </w:tabs>
        <w:spacing w:line="240" w:lineRule="auto"/>
      </w:pPr>
    </w:p>
    <w:p w14:paraId="4B57B18E" w14:textId="77777777" w:rsidR="00EE3377" w:rsidRDefault="00D8264E" w:rsidP="00D8264E">
      <w:pPr>
        <w:tabs>
          <w:tab w:val="clear" w:pos="567"/>
        </w:tabs>
        <w:spacing w:line="240" w:lineRule="auto"/>
      </w:pPr>
      <w:r w:rsidRPr="00474EBF">
        <w:t xml:space="preserve">Fenilefrīns ir alfa receptoru postsinaptisks stimulators. </w:t>
      </w:r>
      <w:r w:rsidR="00EE3377" w:rsidRPr="00474EBF">
        <w:t>Tas sašaurina perifēros asinsvadus, samazinot gļotādu tūsku infekciju un alerģiju gadījumos. Terapeitiskās devās tas maz ietekmē CNS. Paaugstina diastolisko un sistolisko asinsspiedienu. Kā atbildes reakcija uz paaugstinātu asinsspiedienu rodas bradikardija. Fenilefrīns nedaudz samazina</w:t>
      </w:r>
      <w:r w:rsidR="000941AB">
        <w:t xml:space="preserve"> sirds izsviedes tilpumu.</w:t>
      </w:r>
    </w:p>
    <w:p w14:paraId="7E437E28" w14:textId="77777777" w:rsidR="000941AB" w:rsidRPr="00474EBF" w:rsidRDefault="000941AB" w:rsidP="00D8264E">
      <w:pPr>
        <w:tabs>
          <w:tab w:val="clear" w:pos="567"/>
        </w:tabs>
        <w:spacing w:line="240" w:lineRule="auto"/>
      </w:pPr>
    </w:p>
    <w:p w14:paraId="7E4BC21C" w14:textId="77777777" w:rsidR="00EE3377" w:rsidRPr="00474EBF" w:rsidRDefault="00EE3377" w:rsidP="00D8264E">
      <w:pPr>
        <w:tabs>
          <w:tab w:val="clear" w:pos="567"/>
        </w:tabs>
        <w:spacing w:line="240" w:lineRule="auto"/>
      </w:pPr>
      <w:r w:rsidRPr="00474EBF">
        <w:t xml:space="preserve">Askorbīnskābe ir ūdenī šķīstošs </w:t>
      </w:r>
      <w:r w:rsidR="004268CD" w:rsidRPr="00474EBF">
        <w:t>vitamīns</w:t>
      </w:r>
      <w:r w:rsidRPr="00474EBF">
        <w:t xml:space="preserve">, kam ir liela nozīme kolagēna un intracelulāro substanču veidošanā, pareizā skrimšļa, kaulu un zobu veidošanas procesā, brūču dzīšanā un kapilāru </w:t>
      </w:r>
      <w:r w:rsidR="004268CD" w:rsidRPr="00474EBF">
        <w:t>mehāniskās</w:t>
      </w:r>
      <w:r w:rsidRPr="00474EBF">
        <w:t xml:space="preserve"> rezistences nodrošināšanā. Tas piedalās prolīna un lizīna hidroksilācijā, žultsskābju holesterola hidroksilācijā, dzelzs un folskābes metabolismā un fenilalanīna oksidācijā. Askorbīnskābe veido oksidācijas- redukcijas sistēmas ar glutationu, citohromu C un piridī</w:t>
      </w:r>
      <w:r w:rsidR="0030042A">
        <w:t xml:space="preserve">na un flavīna nukleotīdiem. Tai </w:t>
      </w:r>
      <w:r w:rsidRPr="00474EBF">
        <w:t xml:space="preserve">piemīt antioksidanta īpašības, </w:t>
      </w:r>
      <w:r w:rsidR="0030042A">
        <w:t xml:space="preserve">tā </w:t>
      </w:r>
      <w:r w:rsidRPr="00474EBF">
        <w:t>samazina lipīdu peroksidāciju un dez</w:t>
      </w:r>
      <w:r w:rsidR="0030042A">
        <w:t xml:space="preserve">aktivē peroksīdbrīvos radikāļus, kā arī </w:t>
      </w:r>
      <w:r w:rsidRPr="00474EBF">
        <w:t>stimul</w:t>
      </w:r>
      <w:r w:rsidR="004268CD">
        <w:t>ē</w:t>
      </w:r>
      <w:r w:rsidRPr="00474EBF">
        <w:t xml:space="preserve"> prostaciklīnu sintēzi un inhibē tromboksāna veidošanos.</w:t>
      </w:r>
    </w:p>
    <w:p w14:paraId="3B62967F" w14:textId="77777777" w:rsidR="00D8264E" w:rsidRPr="00474EBF" w:rsidRDefault="00D8264E">
      <w:pPr>
        <w:tabs>
          <w:tab w:val="clear" w:pos="567"/>
        </w:tabs>
        <w:spacing w:line="240" w:lineRule="auto"/>
        <w:ind w:left="567" w:hanging="567"/>
      </w:pPr>
    </w:p>
    <w:p w14:paraId="50345662" w14:textId="77777777" w:rsidR="00027BD5" w:rsidRPr="00474EBF" w:rsidRDefault="00027BD5">
      <w:pPr>
        <w:tabs>
          <w:tab w:val="clear" w:pos="567"/>
        </w:tabs>
        <w:spacing w:line="240" w:lineRule="auto"/>
        <w:ind w:left="567" w:hanging="567"/>
      </w:pPr>
      <w:r w:rsidRPr="00474EBF">
        <w:rPr>
          <w:b/>
        </w:rPr>
        <w:t>5.2</w:t>
      </w:r>
      <w:r w:rsidR="00360274">
        <w:rPr>
          <w:b/>
        </w:rPr>
        <w:t>.</w:t>
      </w:r>
      <w:r w:rsidRPr="00474EBF">
        <w:rPr>
          <w:b/>
        </w:rPr>
        <w:tab/>
        <w:t>Farmakokinētiskās īpašības</w:t>
      </w:r>
    </w:p>
    <w:p w14:paraId="02E2DC0D" w14:textId="77777777" w:rsidR="00027BD5" w:rsidRPr="00474EBF" w:rsidRDefault="00027BD5">
      <w:pPr>
        <w:ind w:left="567" w:hanging="567"/>
      </w:pPr>
    </w:p>
    <w:p w14:paraId="54208828" w14:textId="77777777" w:rsidR="00411D0B" w:rsidRPr="00474EBF" w:rsidRDefault="00411D0B" w:rsidP="00411D0B">
      <w:pPr>
        <w:tabs>
          <w:tab w:val="clear" w:pos="567"/>
        </w:tabs>
      </w:pPr>
      <w:r w:rsidRPr="00474EBF">
        <w:t xml:space="preserve">Paracetamols </w:t>
      </w:r>
      <w:r w:rsidR="004268CD">
        <w:t>tiek</w:t>
      </w:r>
      <w:r w:rsidR="004268CD" w:rsidRPr="00474EBF">
        <w:t xml:space="preserve"> ātri</w:t>
      </w:r>
      <w:r w:rsidRPr="00474EBF">
        <w:t xml:space="preserve"> un gandrīz pilnīgi viss absorbēts no gremošanas trakta; pēc iekšķīgas lietošanas tas sasniedz maksimālo koncentrāciju asinīs pēc 30 min.- 2 stundām, parasti pēc 1 stundas. Tas nav cieši saistīts ar plazmas proteīniem; terapeitiskās devās ar tiem saistās ~ 25%. Bioloģiskais</w:t>
      </w:r>
      <w:r w:rsidR="009E091D">
        <w:t xml:space="preserve"> eliminācijas</w:t>
      </w:r>
      <w:r w:rsidRPr="00474EBF">
        <w:t xml:space="preserve"> pusperiods bērniem ir no 1,8 līdz 4 stundām, bet pieaugušajiem no 1,6 līdz 3,8 stundām. Analgētiskā aktivitāte parasti ilgst 4-6 stundas, bet pretdrudža iedarbība 6-8 stundas.  </w:t>
      </w:r>
      <w:r w:rsidR="00C624ED">
        <w:t>Izkliedes</w:t>
      </w:r>
      <w:r w:rsidR="00C624ED" w:rsidRPr="00474EBF">
        <w:t xml:space="preserve"> </w:t>
      </w:r>
      <w:r w:rsidRPr="00474EBF">
        <w:t xml:space="preserve">tilpums bērniem ar drudzi ir 0,8-1 l/kg ķermeņa masas; </w:t>
      </w:r>
      <w:r w:rsidR="004268CD" w:rsidRPr="00474EBF">
        <w:t>pieaugušajiem</w:t>
      </w:r>
      <w:r w:rsidRPr="00474EBF">
        <w:t>: 0,9-1 l/kg ķermeņa masas.</w:t>
      </w:r>
    </w:p>
    <w:p w14:paraId="7F145187" w14:textId="77777777" w:rsidR="0041788F" w:rsidRDefault="0041788F" w:rsidP="00411D0B">
      <w:pPr>
        <w:tabs>
          <w:tab w:val="clear" w:pos="567"/>
        </w:tabs>
      </w:pPr>
    </w:p>
    <w:p w14:paraId="4988A792" w14:textId="77777777" w:rsidR="00411D0B" w:rsidRPr="00474EBF" w:rsidRDefault="00411D0B" w:rsidP="00411D0B">
      <w:pPr>
        <w:tabs>
          <w:tab w:val="clear" w:pos="567"/>
        </w:tabs>
      </w:pPr>
      <w:r w:rsidRPr="00474EBF">
        <w:t>Apmēram</w:t>
      </w:r>
      <w:r w:rsidR="0041788F">
        <w:t xml:space="preserve"> </w:t>
      </w:r>
      <w:r w:rsidRPr="00474EBF">
        <w:t xml:space="preserve">2-4 </w:t>
      </w:r>
      <w:r w:rsidR="0041788F">
        <w:t xml:space="preserve">% </w:t>
      </w:r>
      <w:r w:rsidR="0030042A">
        <w:t>paracetamola tiek izdalīti</w:t>
      </w:r>
      <w:r w:rsidRPr="00474EBF">
        <w:t xml:space="preserve"> caur nierēm neizmainītā formā. Galvenais eliminācijas veids ir biotransformācija </w:t>
      </w:r>
      <w:r w:rsidR="004268CD" w:rsidRPr="00474EBF">
        <w:t>aknās. Paracetamola</w:t>
      </w:r>
      <w:r w:rsidRPr="00474EBF">
        <w:t xml:space="preserve"> galvenie metabolīti ir glikuronāts (pieaugušajiem) un sulfāts (bērniem).</w:t>
      </w:r>
      <w:r w:rsidR="0030042A">
        <w:t xml:space="preserve"> </w:t>
      </w:r>
      <w:r w:rsidRPr="00474EBF">
        <w:t>Bez sulfāta un g</w:t>
      </w:r>
      <w:r w:rsidR="0030042A">
        <w:t>likuronāta</w:t>
      </w:r>
      <w:r w:rsidRPr="00474EBF">
        <w:t xml:space="preserve"> ir arī metabolīta starpstadija: N-acetil-p-benzohinon</w:t>
      </w:r>
      <w:r w:rsidR="009E091D">
        <w:t>a imīns</w:t>
      </w:r>
      <w:r w:rsidRPr="00474EBF">
        <w:t>, kas veidojas</w:t>
      </w:r>
      <w:r w:rsidR="0030042A">
        <w:t>,</w:t>
      </w:r>
      <w:r w:rsidRPr="00474EBF">
        <w:t xml:space="preserve"> oksidējoties cit</w:t>
      </w:r>
      <w:r w:rsidR="004268CD">
        <w:t>o</w:t>
      </w:r>
      <w:r w:rsidRPr="00474EBF">
        <w:t xml:space="preserve">hroma P-450 sistēmā. Šis hepatotoksiskais metabolīts nekavējoties saistās ar aknu glutationu un </w:t>
      </w:r>
      <w:r w:rsidR="0030042A">
        <w:t>tiek izvadīts</w:t>
      </w:r>
      <w:r w:rsidRPr="00474EBF">
        <w:t xml:space="preserve"> no organisma</w:t>
      </w:r>
      <w:r w:rsidR="0030042A">
        <w:t>,</w:t>
      </w:r>
      <w:r w:rsidRPr="00474EBF">
        <w:t xml:space="preserve"> saistīts ar cisteīnu un merkaptopurīnu.</w:t>
      </w:r>
    </w:p>
    <w:p w14:paraId="1A916BE0" w14:textId="77777777" w:rsidR="00411D0B" w:rsidRPr="00474EBF" w:rsidRDefault="00411D0B" w:rsidP="00411D0B">
      <w:pPr>
        <w:tabs>
          <w:tab w:val="clear" w:pos="567"/>
        </w:tabs>
      </w:pPr>
    </w:p>
    <w:p w14:paraId="57E43010" w14:textId="77777777" w:rsidR="00411D0B" w:rsidRPr="00474EBF" w:rsidRDefault="00411D0B" w:rsidP="00411D0B">
      <w:pPr>
        <w:tabs>
          <w:tab w:val="clear" w:pos="567"/>
        </w:tabs>
      </w:pPr>
      <w:r w:rsidRPr="00474EBF">
        <w:t>Pārdozēšanas gadījumā pieaugušajiem paaugstinās paracetamola ekskrēci</w:t>
      </w:r>
      <w:r w:rsidR="0030042A">
        <w:t>ja caur citohroma P-450 sistēmu</w:t>
      </w:r>
      <w:r w:rsidRPr="00474EBF">
        <w:t xml:space="preserve"> un attiecīgi samazinās saistīšanās ar glikuron- un </w:t>
      </w:r>
      <w:r w:rsidR="00564807" w:rsidRPr="00474EBF">
        <w:t>s</w:t>
      </w:r>
      <w:r w:rsidR="00564807">
        <w:t>ēr</w:t>
      </w:r>
      <w:r w:rsidR="00564807" w:rsidRPr="00474EBF">
        <w:t>skābi</w:t>
      </w:r>
      <w:r w:rsidRPr="00474EBF">
        <w:t>. Ievērojami pieaugot paracetamola eliminācijai caur citohroma P-450 sistēmu, glutationa krājumi aknās izsīkst un tad nesaistītais un aktīvais N-acetil-p-benzohinon</w:t>
      </w:r>
      <w:r w:rsidR="00564807">
        <w:t>a imī</w:t>
      </w:r>
      <w:r w:rsidR="008631E2">
        <w:t>n</w:t>
      </w:r>
      <w:r w:rsidR="00564807">
        <w:t>s</w:t>
      </w:r>
      <w:r w:rsidRPr="00474EBF">
        <w:t xml:space="preserve">  var izrai</w:t>
      </w:r>
      <w:r w:rsidR="0030042A">
        <w:t>sīt aknu bojājumu, kas savukārt var izraisīt</w:t>
      </w:r>
      <w:r w:rsidRPr="00474EBF">
        <w:t xml:space="preserve"> aknu nekrozi.</w:t>
      </w:r>
    </w:p>
    <w:p w14:paraId="6814BEC9" w14:textId="77777777" w:rsidR="00411D0B" w:rsidRPr="00474EBF" w:rsidRDefault="00411D0B" w:rsidP="00411D0B">
      <w:pPr>
        <w:tabs>
          <w:tab w:val="clear" w:pos="567"/>
        </w:tabs>
      </w:pPr>
    </w:p>
    <w:p w14:paraId="7EE81136" w14:textId="77777777" w:rsidR="00411D0B" w:rsidRPr="00474EBF" w:rsidRDefault="00411D0B" w:rsidP="00411D0B">
      <w:pPr>
        <w:tabs>
          <w:tab w:val="clear" w:pos="567"/>
        </w:tabs>
      </w:pPr>
      <w:r w:rsidRPr="00474EBF">
        <w:t>Fenilefrīns absorbējas no gremošanas trakta, tā biopiejamība ir līdz 38%. Liela daļa fenilefrīna tiek metabolizēt</w:t>
      </w:r>
      <w:r w:rsidR="004268CD">
        <w:t>a</w:t>
      </w:r>
      <w:r w:rsidRPr="00474EBF">
        <w:t xml:space="preserve"> tievās zarnas sieniņā, galvenokārt par m-hidroksima</w:t>
      </w:r>
      <w:r w:rsidR="004268CD">
        <w:t>n</w:t>
      </w:r>
      <w:r w:rsidRPr="00474EBF">
        <w:t xml:space="preserve">deļskābi. Izkliedes tilpums pēc vienreizējas ievadīšanas ir apmēram 40 l (ekstracelulāra frakcija). Izdalās galvenokārt ar urīnu. 2-6% no iekšķīgi uzņemtās devas izdalās neizmainītā formā. Fenilefrīna </w:t>
      </w:r>
      <w:r w:rsidR="0046765B">
        <w:t xml:space="preserve">eliminācijas </w:t>
      </w:r>
      <w:r w:rsidRPr="00474EBF">
        <w:t>pusperiods ir 2-3 stundas. Nav datu par izdalīšanos mātes pienā.</w:t>
      </w:r>
    </w:p>
    <w:p w14:paraId="27E94FE9" w14:textId="77777777" w:rsidR="00411D0B" w:rsidRPr="00474EBF" w:rsidRDefault="00411D0B" w:rsidP="00411D0B">
      <w:pPr>
        <w:tabs>
          <w:tab w:val="clear" w:pos="567"/>
        </w:tabs>
      </w:pPr>
    </w:p>
    <w:p w14:paraId="3CAB6AE5" w14:textId="77777777" w:rsidR="00411D0B" w:rsidRPr="00474EBF" w:rsidRDefault="00411D0B" w:rsidP="00411D0B">
      <w:pPr>
        <w:tabs>
          <w:tab w:val="clear" w:pos="567"/>
        </w:tabs>
      </w:pPr>
      <w:r w:rsidRPr="00474EBF">
        <w:t>Askorbīnskābe labi absorbējas no gremošanas trakta. Primārais metabolisms  ir askorbīnskābes transformēšanās par oksalātiem. Pēc tam tas oksidējas par de</w:t>
      </w:r>
      <w:r w:rsidR="004268CD">
        <w:t>h</w:t>
      </w:r>
      <w:r w:rsidRPr="00474EBF">
        <w:t xml:space="preserve">idroaskorbīnskābi, kas izdalās ar urīnu. Elimināciju nosaka tā saucamais nieru slieksnis, kas askorbīnskābei ir 1,4 mg/100 ml. Askorbīnskābes koncentrācijas paaugstināšanās serumā  izraisa palielinātu izdali ar urīnu. No askorbīnskābes izvades ar urīnu ir atkarīga tā koncentrācija plazmā. Ja </w:t>
      </w:r>
      <w:r w:rsidR="004268CD" w:rsidRPr="00474EBF">
        <w:t>vitamīns</w:t>
      </w:r>
      <w:r w:rsidRPr="00474EBF">
        <w:t xml:space="preserve"> tiek maz uzņemts, tad arī tā izvade caur nierēm tiek samazināta. Askorbīnskābe iet cauri placentai un izdalās mātes pienā.</w:t>
      </w:r>
    </w:p>
    <w:p w14:paraId="1730B773" w14:textId="77777777" w:rsidR="00411D0B" w:rsidRPr="00474EBF" w:rsidRDefault="00411D0B">
      <w:pPr>
        <w:ind w:left="567" w:hanging="567"/>
      </w:pPr>
    </w:p>
    <w:p w14:paraId="42FA6B9A" w14:textId="77777777" w:rsidR="00027BD5" w:rsidRPr="00474EBF" w:rsidRDefault="00027BD5">
      <w:pPr>
        <w:tabs>
          <w:tab w:val="clear" w:pos="567"/>
        </w:tabs>
        <w:spacing w:line="240" w:lineRule="auto"/>
      </w:pPr>
      <w:r w:rsidRPr="00474EBF">
        <w:rPr>
          <w:b/>
        </w:rPr>
        <w:t>5.3</w:t>
      </w:r>
      <w:r w:rsidR="00360274">
        <w:rPr>
          <w:b/>
        </w:rPr>
        <w:t>.</w:t>
      </w:r>
      <w:r w:rsidRPr="00474EBF">
        <w:rPr>
          <w:b/>
        </w:rPr>
        <w:tab/>
        <w:t xml:space="preserve">Preklīniskie dati par </w:t>
      </w:r>
      <w:r w:rsidR="00102016" w:rsidRPr="00474EBF">
        <w:rPr>
          <w:b/>
        </w:rPr>
        <w:t>droš</w:t>
      </w:r>
      <w:r w:rsidR="00102016">
        <w:rPr>
          <w:b/>
        </w:rPr>
        <w:t>umu</w:t>
      </w:r>
    </w:p>
    <w:p w14:paraId="1BFECEF6" w14:textId="77777777" w:rsidR="00027BD5" w:rsidRPr="00474EBF" w:rsidRDefault="00027BD5">
      <w:pPr>
        <w:tabs>
          <w:tab w:val="clear" w:pos="567"/>
        </w:tabs>
        <w:ind w:left="567" w:hanging="567"/>
      </w:pPr>
    </w:p>
    <w:p w14:paraId="195668F2" w14:textId="77777777" w:rsidR="00006AFE" w:rsidRDefault="00006AFE" w:rsidP="00006AFE">
      <w:pPr>
        <w:tabs>
          <w:tab w:val="clear" w:pos="567"/>
        </w:tabs>
        <w:spacing w:line="240" w:lineRule="auto"/>
        <w:rPr>
          <w:noProof/>
          <w:szCs w:val="22"/>
        </w:rPr>
      </w:pPr>
      <w:r>
        <w:rPr>
          <w:noProof/>
          <w:szCs w:val="22"/>
        </w:rPr>
        <w:t xml:space="preserve">Neklīniskajos standartpētījumos iegūtie dati par farmakoloģisko </w:t>
      </w:r>
      <w:r w:rsidR="00102016">
        <w:rPr>
          <w:noProof/>
          <w:szCs w:val="22"/>
        </w:rPr>
        <w:t>drošumu</w:t>
      </w:r>
      <w:r>
        <w:rPr>
          <w:noProof/>
          <w:szCs w:val="22"/>
        </w:rPr>
        <w:t>, atkārtotu devu toksicitāti, genotoksicitāti, iespējamu kancerogenitāti un toksisku ietekmi uz reproduktivitāti un attīstību neliecina par īpašu risku cilvēkam.</w:t>
      </w:r>
    </w:p>
    <w:p w14:paraId="2304BA86" w14:textId="77777777" w:rsidR="00411D0B" w:rsidRDefault="00411D0B">
      <w:pPr>
        <w:tabs>
          <w:tab w:val="clear" w:pos="567"/>
        </w:tabs>
        <w:ind w:left="567" w:hanging="567"/>
      </w:pPr>
    </w:p>
    <w:p w14:paraId="07745969" w14:textId="77777777" w:rsidR="00BF2BE4" w:rsidRPr="00474EBF" w:rsidRDefault="00BF2BE4">
      <w:pPr>
        <w:tabs>
          <w:tab w:val="clear" w:pos="567"/>
        </w:tabs>
        <w:ind w:left="567" w:hanging="567"/>
      </w:pPr>
    </w:p>
    <w:p w14:paraId="1596C380" w14:textId="77777777" w:rsidR="00027BD5" w:rsidRPr="00474EBF" w:rsidRDefault="00027BD5">
      <w:pPr>
        <w:tabs>
          <w:tab w:val="clear" w:pos="567"/>
        </w:tabs>
        <w:spacing w:line="240" w:lineRule="auto"/>
        <w:ind w:left="567" w:hanging="567"/>
        <w:rPr>
          <w:b/>
        </w:rPr>
      </w:pPr>
      <w:r w:rsidRPr="00474EBF">
        <w:rPr>
          <w:b/>
        </w:rPr>
        <w:t>6.</w:t>
      </w:r>
      <w:r w:rsidRPr="00474EBF">
        <w:rPr>
          <w:b/>
        </w:rPr>
        <w:tab/>
        <w:t>FARMACEITISKĀ INFORMĀCIJA</w:t>
      </w:r>
    </w:p>
    <w:p w14:paraId="53D6BB5F" w14:textId="77777777" w:rsidR="00027BD5" w:rsidRPr="00474EBF" w:rsidRDefault="00027BD5">
      <w:pPr>
        <w:tabs>
          <w:tab w:val="clear" w:pos="567"/>
        </w:tabs>
        <w:ind w:left="567" w:hanging="567"/>
      </w:pPr>
    </w:p>
    <w:p w14:paraId="6FDF1C5A" w14:textId="77777777" w:rsidR="00027BD5" w:rsidRPr="00474EBF" w:rsidRDefault="00027BD5">
      <w:pPr>
        <w:tabs>
          <w:tab w:val="clear" w:pos="567"/>
        </w:tabs>
        <w:spacing w:line="240" w:lineRule="auto"/>
        <w:ind w:left="567" w:hanging="567"/>
      </w:pPr>
      <w:r w:rsidRPr="00474EBF">
        <w:rPr>
          <w:b/>
        </w:rPr>
        <w:t>6.1</w:t>
      </w:r>
      <w:r w:rsidR="00360274">
        <w:rPr>
          <w:b/>
        </w:rPr>
        <w:t>.</w:t>
      </w:r>
      <w:r w:rsidRPr="00474EBF">
        <w:rPr>
          <w:b/>
        </w:rPr>
        <w:tab/>
        <w:t>Palīgvielu saraksts</w:t>
      </w:r>
    </w:p>
    <w:p w14:paraId="5D4F97AA" w14:textId="77777777" w:rsidR="00027BD5" w:rsidRPr="00474EBF" w:rsidRDefault="00027BD5">
      <w:pPr>
        <w:tabs>
          <w:tab w:val="clear" w:pos="567"/>
        </w:tabs>
        <w:spacing w:line="240" w:lineRule="auto"/>
        <w:ind w:left="567" w:hanging="567"/>
      </w:pPr>
    </w:p>
    <w:p w14:paraId="517A2F0C" w14:textId="77777777" w:rsidR="00411D0B" w:rsidRPr="00474EBF" w:rsidRDefault="00411D0B">
      <w:pPr>
        <w:tabs>
          <w:tab w:val="clear" w:pos="567"/>
        </w:tabs>
        <w:spacing w:line="240" w:lineRule="auto"/>
        <w:ind w:left="567" w:hanging="567"/>
      </w:pPr>
      <w:r w:rsidRPr="00474EBF">
        <w:t>Saharoze</w:t>
      </w:r>
    </w:p>
    <w:p w14:paraId="576BB47A" w14:textId="77777777" w:rsidR="00411D0B" w:rsidRPr="00474EBF" w:rsidRDefault="00411D0B">
      <w:pPr>
        <w:tabs>
          <w:tab w:val="clear" w:pos="567"/>
        </w:tabs>
        <w:spacing w:line="240" w:lineRule="auto"/>
        <w:ind w:left="567" w:hanging="567"/>
      </w:pPr>
      <w:r w:rsidRPr="00474EBF">
        <w:t>citronskābe</w:t>
      </w:r>
    </w:p>
    <w:p w14:paraId="59F79358" w14:textId="77777777" w:rsidR="00411D0B" w:rsidRPr="00474EBF" w:rsidRDefault="00962CB1">
      <w:pPr>
        <w:tabs>
          <w:tab w:val="clear" w:pos="567"/>
        </w:tabs>
        <w:spacing w:line="240" w:lineRule="auto"/>
        <w:ind w:left="567" w:hanging="567"/>
      </w:pPr>
      <w:r>
        <w:t>Aspartām</w:t>
      </w:r>
      <w:r w:rsidR="00411D0B" w:rsidRPr="00474EBF">
        <w:t>s</w:t>
      </w:r>
    </w:p>
    <w:p w14:paraId="09DC8DCF" w14:textId="77777777" w:rsidR="00411D0B" w:rsidRPr="00474EBF" w:rsidRDefault="0041788F">
      <w:pPr>
        <w:tabs>
          <w:tab w:val="clear" w:pos="567"/>
        </w:tabs>
        <w:spacing w:line="240" w:lineRule="auto"/>
        <w:ind w:left="567" w:hanging="567"/>
      </w:pPr>
      <w:r>
        <w:t>Hinolīn</w:t>
      </w:r>
      <w:r w:rsidR="00411D0B" w:rsidRPr="00474EBF">
        <w:t xml:space="preserve">dzeltenais </w:t>
      </w:r>
      <w:r w:rsidR="00A00D5D">
        <w:t>(</w:t>
      </w:r>
      <w:r w:rsidR="00411D0B" w:rsidRPr="00474EBF">
        <w:t>E 104</w:t>
      </w:r>
      <w:r w:rsidR="00A00D5D">
        <w:t>)</w:t>
      </w:r>
    </w:p>
    <w:p w14:paraId="6D38F4D2" w14:textId="77777777" w:rsidR="00411D0B" w:rsidRPr="00474EBF" w:rsidRDefault="00A00D5D">
      <w:pPr>
        <w:tabs>
          <w:tab w:val="clear" w:pos="567"/>
        </w:tabs>
        <w:spacing w:line="240" w:lineRule="auto"/>
        <w:ind w:left="567" w:hanging="567"/>
      </w:pPr>
      <w:r>
        <w:t> Citronu aromatizētājs</w:t>
      </w:r>
    </w:p>
    <w:p w14:paraId="3D150617" w14:textId="77777777" w:rsidR="00411D0B" w:rsidRPr="0041788F" w:rsidRDefault="00411D0B">
      <w:pPr>
        <w:tabs>
          <w:tab w:val="clear" w:pos="567"/>
        </w:tabs>
        <w:spacing w:line="240" w:lineRule="auto"/>
        <w:ind w:left="567" w:hanging="567"/>
      </w:pPr>
      <w:r w:rsidRPr="0041788F">
        <w:rPr>
          <w:i/>
        </w:rPr>
        <w:t>Contramarum</w:t>
      </w:r>
      <w:r w:rsidR="0041788F">
        <w:t xml:space="preserve"> </w:t>
      </w:r>
      <w:r w:rsidR="00A00D5D">
        <w:t>aromatizētājs</w:t>
      </w:r>
    </w:p>
    <w:p w14:paraId="6A97661D" w14:textId="77777777" w:rsidR="00411D0B" w:rsidRPr="00474EBF" w:rsidRDefault="00411D0B">
      <w:pPr>
        <w:tabs>
          <w:tab w:val="clear" w:pos="567"/>
        </w:tabs>
        <w:spacing w:line="240" w:lineRule="auto"/>
        <w:ind w:left="567" w:hanging="567"/>
      </w:pPr>
      <w:r w:rsidRPr="00474EBF">
        <w:t xml:space="preserve">Nātrija </w:t>
      </w:r>
      <w:r w:rsidR="00BA6A27">
        <w:t>hidrogēnkarbonāts</w:t>
      </w:r>
    </w:p>
    <w:p w14:paraId="4D35447F" w14:textId="77777777" w:rsidR="00411D0B" w:rsidRPr="00474EBF" w:rsidRDefault="00411D0B">
      <w:pPr>
        <w:tabs>
          <w:tab w:val="clear" w:pos="567"/>
        </w:tabs>
        <w:spacing w:line="240" w:lineRule="auto"/>
        <w:ind w:left="567" w:hanging="567"/>
      </w:pPr>
    </w:p>
    <w:p w14:paraId="0F918D70" w14:textId="77777777" w:rsidR="00027BD5" w:rsidRPr="00474EBF" w:rsidRDefault="00027BD5">
      <w:pPr>
        <w:tabs>
          <w:tab w:val="clear" w:pos="567"/>
        </w:tabs>
        <w:spacing w:line="240" w:lineRule="auto"/>
        <w:ind w:left="567" w:hanging="567"/>
      </w:pPr>
      <w:r w:rsidRPr="00474EBF">
        <w:rPr>
          <w:b/>
        </w:rPr>
        <w:t>6.2</w:t>
      </w:r>
      <w:r w:rsidR="00360274">
        <w:rPr>
          <w:b/>
        </w:rPr>
        <w:t>.</w:t>
      </w:r>
      <w:r w:rsidRPr="00474EBF">
        <w:rPr>
          <w:b/>
        </w:rPr>
        <w:tab/>
        <w:t>Nesaderība</w:t>
      </w:r>
    </w:p>
    <w:p w14:paraId="5DEBB83C" w14:textId="77777777" w:rsidR="00027BD5" w:rsidRPr="00474EBF" w:rsidRDefault="00027BD5">
      <w:pPr>
        <w:tabs>
          <w:tab w:val="clear" w:pos="567"/>
        </w:tabs>
        <w:spacing w:line="240" w:lineRule="auto"/>
        <w:ind w:left="567" w:hanging="567"/>
      </w:pPr>
    </w:p>
    <w:p w14:paraId="3707B8A1" w14:textId="77777777" w:rsidR="00027BD5" w:rsidRPr="00474EBF" w:rsidRDefault="00027BD5">
      <w:pPr>
        <w:tabs>
          <w:tab w:val="clear" w:pos="567"/>
        </w:tabs>
        <w:spacing w:line="240" w:lineRule="auto"/>
        <w:ind w:left="567" w:hanging="567"/>
      </w:pPr>
      <w:r w:rsidRPr="00474EBF">
        <w:t>Nav piemērojama.</w:t>
      </w:r>
    </w:p>
    <w:p w14:paraId="3E42C25E" w14:textId="77777777" w:rsidR="00027BD5" w:rsidRPr="00474EBF" w:rsidRDefault="00027BD5">
      <w:pPr>
        <w:tabs>
          <w:tab w:val="clear" w:pos="567"/>
        </w:tabs>
        <w:spacing w:line="240" w:lineRule="auto"/>
        <w:ind w:left="567" w:hanging="567"/>
      </w:pPr>
    </w:p>
    <w:p w14:paraId="22276DBC" w14:textId="77777777" w:rsidR="00027BD5" w:rsidRPr="00474EBF" w:rsidRDefault="00027BD5">
      <w:pPr>
        <w:tabs>
          <w:tab w:val="clear" w:pos="567"/>
        </w:tabs>
        <w:spacing w:line="240" w:lineRule="auto"/>
        <w:ind w:left="567" w:hanging="567"/>
      </w:pPr>
      <w:r w:rsidRPr="00474EBF">
        <w:rPr>
          <w:b/>
        </w:rPr>
        <w:t>6.3</w:t>
      </w:r>
      <w:r w:rsidR="00360274">
        <w:rPr>
          <w:b/>
        </w:rPr>
        <w:t>.</w:t>
      </w:r>
      <w:r w:rsidRPr="00474EBF">
        <w:rPr>
          <w:b/>
        </w:rPr>
        <w:tab/>
        <w:t>Uzglabāšanas laiks</w:t>
      </w:r>
    </w:p>
    <w:p w14:paraId="5DA99A1D" w14:textId="77777777" w:rsidR="00027BD5" w:rsidRPr="00474EBF" w:rsidRDefault="00027BD5">
      <w:pPr>
        <w:tabs>
          <w:tab w:val="clear" w:pos="567"/>
        </w:tabs>
        <w:spacing w:line="240" w:lineRule="auto"/>
        <w:ind w:left="567" w:hanging="567"/>
      </w:pPr>
    </w:p>
    <w:p w14:paraId="4E8A3C0D" w14:textId="77777777" w:rsidR="004873EE" w:rsidRPr="00474EBF" w:rsidRDefault="00027BD5">
      <w:pPr>
        <w:tabs>
          <w:tab w:val="clear" w:pos="567"/>
        </w:tabs>
        <w:spacing w:line="240" w:lineRule="auto"/>
        <w:ind w:left="567" w:hanging="567"/>
      </w:pPr>
      <w:r w:rsidRPr="00474EBF">
        <w:t>2 gadi</w:t>
      </w:r>
    </w:p>
    <w:p w14:paraId="282E9FAF" w14:textId="77777777" w:rsidR="00027BD5" w:rsidRPr="00474EBF" w:rsidRDefault="00027BD5">
      <w:pPr>
        <w:tabs>
          <w:tab w:val="clear" w:pos="567"/>
        </w:tabs>
        <w:spacing w:line="240" w:lineRule="auto"/>
        <w:ind w:left="567" w:hanging="567"/>
      </w:pPr>
    </w:p>
    <w:p w14:paraId="1FB0B1B3" w14:textId="77777777" w:rsidR="00027BD5" w:rsidRPr="00474EBF" w:rsidRDefault="00027BD5">
      <w:pPr>
        <w:tabs>
          <w:tab w:val="clear" w:pos="567"/>
        </w:tabs>
        <w:spacing w:line="240" w:lineRule="auto"/>
        <w:ind w:left="567" w:hanging="567"/>
      </w:pPr>
      <w:r w:rsidRPr="00474EBF">
        <w:rPr>
          <w:b/>
        </w:rPr>
        <w:t>6.4</w:t>
      </w:r>
      <w:r w:rsidR="00360274">
        <w:rPr>
          <w:b/>
        </w:rPr>
        <w:t>.</w:t>
      </w:r>
      <w:r w:rsidRPr="00474EBF">
        <w:rPr>
          <w:b/>
        </w:rPr>
        <w:tab/>
        <w:t>Īpaši uzglabāšanas nosacījumi</w:t>
      </w:r>
    </w:p>
    <w:p w14:paraId="589DF18C" w14:textId="77777777" w:rsidR="00027BD5" w:rsidRPr="00474EBF" w:rsidRDefault="00027BD5">
      <w:pPr>
        <w:tabs>
          <w:tab w:val="clear" w:pos="567"/>
        </w:tabs>
        <w:spacing w:line="240" w:lineRule="auto"/>
        <w:ind w:left="567" w:hanging="567"/>
      </w:pPr>
    </w:p>
    <w:p w14:paraId="3E4879AD" w14:textId="77777777" w:rsidR="00027BD5" w:rsidRPr="00474EBF" w:rsidRDefault="00BF2BE4">
      <w:pPr>
        <w:tabs>
          <w:tab w:val="clear" w:pos="567"/>
        </w:tabs>
        <w:spacing w:line="240" w:lineRule="auto"/>
        <w:ind w:left="567" w:hanging="567"/>
      </w:pPr>
      <w:r>
        <w:t xml:space="preserve">Uzglabāt temperatūrā līdz </w:t>
      </w:r>
      <w:r w:rsidR="004873EE" w:rsidRPr="00474EBF">
        <w:t>25</w:t>
      </w:r>
      <w:r w:rsidR="004873EE" w:rsidRPr="00474EBF">
        <w:sym w:font="Symbol" w:char="F0B0"/>
      </w:r>
      <w:r w:rsidR="004873EE" w:rsidRPr="00474EBF">
        <w:t>C</w:t>
      </w:r>
      <w:r w:rsidR="003C6638">
        <w:t xml:space="preserve">. </w:t>
      </w:r>
      <w:r w:rsidR="003C6638" w:rsidRPr="003C6638">
        <w:t>Uzglabāt oriģinālā iepakojumā, lai pasargātu no mitruma</w:t>
      </w:r>
      <w:r w:rsidR="003C6638" w:rsidRPr="00442554">
        <w:t>.</w:t>
      </w:r>
    </w:p>
    <w:p w14:paraId="7D70B850" w14:textId="77777777" w:rsidR="003A18BA" w:rsidRDefault="003A18BA">
      <w:pPr>
        <w:tabs>
          <w:tab w:val="clear" w:pos="567"/>
        </w:tabs>
        <w:spacing w:line="240" w:lineRule="auto"/>
        <w:ind w:left="567" w:hanging="567"/>
        <w:rPr>
          <w:b/>
        </w:rPr>
      </w:pPr>
    </w:p>
    <w:p w14:paraId="685BC66D" w14:textId="77777777" w:rsidR="00027BD5" w:rsidRPr="00474EBF" w:rsidRDefault="00027BD5">
      <w:pPr>
        <w:tabs>
          <w:tab w:val="clear" w:pos="567"/>
        </w:tabs>
        <w:spacing w:line="240" w:lineRule="auto"/>
        <w:ind w:left="567" w:hanging="567"/>
      </w:pPr>
      <w:r w:rsidRPr="00474EBF">
        <w:rPr>
          <w:b/>
        </w:rPr>
        <w:t>6.5</w:t>
      </w:r>
      <w:r w:rsidR="00360274">
        <w:rPr>
          <w:b/>
        </w:rPr>
        <w:t>.</w:t>
      </w:r>
      <w:r w:rsidRPr="00474EBF">
        <w:rPr>
          <w:b/>
        </w:rPr>
        <w:tab/>
        <w:t>Iepakojuma veids un saturs</w:t>
      </w:r>
    </w:p>
    <w:p w14:paraId="23D83D0F" w14:textId="77777777" w:rsidR="00027BD5" w:rsidRPr="00474EBF" w:rsidRDefault="00027BD5">
      <w:pPr>
        <w:tabs>
          <w:tab w:val="clear" w:pos="567"/>
        </w:tabs>
        <w:spacing w:line="240" w:lineRule="auto"/>
        <w:ind w:left="567" w:hanging="567"/>
      </w:pPr>
    </w:p>
    <w:p w14:paraId="39AB2CC9" w14:textId="732484FD" w:rsidR="0041788F" w:rsidRDefault="009E1A12">
      <w:pPr>
        <w:tabs>
          <w:tab w:val="clear" w:pos="567"/>
        </w:tabs>
        <w:spacing w:line="240" w:lineRule="auto"/>
        <w:ind w:left="567" w:hanging="567"/>
      </w:pPr>
      <w:r>
        <w:t>Pulveris iepakots papīra/</w:t>
      </w:r>
      <w:r w:rsidR="00811FDC" w:rsidDel="00811FDC">
        <w:t xml:space="preserve"> </w:t>
      </w:r>
      <w:r>
        <w:t>alumīnija</w:t>
      </w:r>
      <w:r w:rsidR="00811FDC">
        <w:t xml:space="preserve">/polietilēna </w:t>
      </w:r>
      <w:r>
        <w:t>paciņās</w:t>
      </w:r>
      <w:r w:rsidR="009D7055">
        <w:t xml:space="preserve">, </w:t>
      </w:r>
      <w:r w:rsidR="002B32EA">
        <w:t xml:space="preserve">8 </w:t>
      </w:r>
      <w:r w:rsidR="004873EE" w:rsidRPr="00474EBF">
        <w:t>paciņ</w:t>
      </w:r>
      <w:r w:rsidR="002B32EA">
        <w:t>a</w:t>
      </w:r>
      <w:r w:rsidR="004873EE" w:rsidRPr="00474EBF">
        <w:t>s kartona iepakojumā</w:t>
      </w:r>
      <w:r w:rsidR="009D7055">
        <w:t>.</w:t>
      </w:r>
    </w:p>
    <w:p w14:paraId="76E1E7AB" w14:textId="77777777" w:rsidR="004873EE" w:rsidRPr="00474EBF" w:rsidRDefault="004873EE" w:rsidP="009E1A12">
      <w:pPr>
        <w:tabs>
          <w:tab w:val="clear" w:pos="567"/>
        </w:tabs>
        <w:spacing w:line="240" w:lineRule="auto"/>
        <w:ind w:left="567" w:hanging="567"/>
      </w:pPr>
    </w:p>
    <w:p w14:paraId="2ABF6D01" w14:textId="77777777" w:rsidR="00027BD5" w:rsidRPr="00474EBF" w:rsidRDefault="00027BD5">
      <w:pPr>
        <w:tabs>
          <w:tab w:val="clear" w:pos="567"/>
        </w:tabs>
        <w:spacing w:line="240" w:lineRule="auto"/>
        <w:ind w:left="567" w:hanging="567"/>
      </w:pPr>
      <w:r w:rsidRPr="00474EBF">
        <w:rPr>
          <w:b/>
        </w:rPr>
        <w:t>6.6</w:t>
      </w:r>
      <w:r w:rsidR="00360274">
        <w:rPr>
          <w:b/>
        </w:rPr>
        <w:t>.</w:t>
      </w:r>
      <w:r w:rsidRPr="00474EBF">
        <w:rPr>
          <w:b/>
        </w:rPr>
        <w:tab/>
      </w:r>
      <w:r w:rsidRPr="00474EBF">
        <w:rPr>
          <w:b/>
          <w:color w:val="000000"/>
        </w:rPr>
        <w:t>Īpaši norādījumi atkritumu likvidēšanai un norādījumi par sagatavošanu lietošanai</w:t>
      </w:r>
    </w:p>
    <w:p w14:paraId="0CC57FF4" w14:textId="77777777" w:rsidR="00027BD5" w:rsidRPr="00474EBF" w:rsidRDefault="00027BD5">
      <w:pPr>
        <w:tabs>
          <w:tab w:val="clear" w:pos="567"/>
        </w:tabs>
        <w:spacing w:line="240" w:lineRule="auto"/>
        <w:ind w:left="567" w:hanging="567"/>
      </w:pPr>
    </w:p>
    <w:p w14:paraId="0FCA7D26" w14:textId="77777777" w:rsidR="00027BD5" w:rsidRPr="00474EBF" w:rsidRDefault="00027BD5">
      <w:pPr>
        <w:tabs>
          <w:tab w:val="clear" w:pos="567"/>
        </w:tabs>
        <w:spacing w:line="240" w:lineRule="auto"/>
        <w:ind w:left="567" w:hanging="567"/>
      </w:pPr>
      <w:r w:rsidRPr="00474EBF">
        <w:t>Nav īpašu prasību.</w:t>
      </w:r>
    </w:p>
    <w:p w14:paraId="662FD58C" w14:textId="77777777" w:rsidR="00027BD5" w:rsidRPr="00474EBF" w:rsidRDefault="00027BD5">
      <w:pPr>
        <w:tabs>
          <w:tab w:val="clear" w:pos="567"/>
        </w:tabs>
        <w:spacing w:line="240" w:lineRule="auto"/>
        <w:ind w:left="567" w:hanging="567"/>
      </w:pPr>
      <w:r w:rsidRPr="00474EBF">
        <w:t>Neizlietotās zāles vai izlietotos materiālus jāiznīcina atbilstoši vietējām prasībām.</w:t>
      </w:r>
    </w:p>
    <w:p w14:paraId="54204548" w14:textId="77777777" w:rsidR="00027BD5" w:rsidRPr="00474EBF" w:rsidRDefault="00027BD5">
      <w:pPr>
        <w:tabs>
          <w:tab w:val="clear" w:pos="567"/>
        </w:tabs>
        <w:spacing w:line="240" w:lineRule="auto"/>
        <w:ind w:left="567" w:hanging="567"/>
      </w:pPr>
    </w:p>
    <w:p w14:paraId="750ECACC" w14:textId="77777777" w:rsidR="00027BD5" w:rsidRPr="00474EBF" w:rsidRDefault="00027BD5">
      <w:pPr>
        <w:tabs>
          <w:tab w:val="clear" w:pos="567"/>
        </w:tabs>
        <w:spacing w:line="240" w:lineRule="auto"/>
        <w:ind w:left="567" w:hanging="567"/>
      </w:pPr>
    </w:p>
    <w:p w14:paraId="5386E6AD" w14:textId="77777777" w:rsidR="00027BD5" w:rsidRPr="00474EBF" w:rsidRDefault="00027BD5">
      <w:pPr>
        <w:tabs>
          <w:tab w:val="clear" w:pos="567"/>
        </w:tabs>
        <w:spacing w:line="240" w:lineRule="auto"/>
        <w:ind w:left="567" w:hanging="567"/>
      </w:pPr>
      <w:r w:rsidRPr="00474EBF">
        <w:rPr>
          <w:b/>
        </w:rPr>
        <w:t>7.</w:t>
      </w:r>
      <w:r w:rsidRPr="00474EBF">
        <w:rPr>
          <w:b/>
        </w:rPr>
        <w:tab/>
        <w:t>REĢISTRĀCIJAS APLIECĪBAS ĪPAŠNIEKS</w:t>
      </w:r>
    </w:p>
    <w:p w14:paraId="794C4A58" w14:textId="77777777" w:rsidR="000437B5" w:rsidRDefault="000437B5" w:rsidP="000437B5">
      <w:pPr>
        <w:tabs>
          <w:tab w:val="clear" w:pos="567"/>
        </w:tabs>
        <w:spacing w:line="240" w:lineRule="auto"/>
        <w:ind w:left="567" w:hanging="567"/>
        <w:rPr>
          <w:b/>
        </w:rPr>
      </w:pPr>
    </w:p>
    <w:p w14:paraId="35C69C21" w14:textId="77777777" w:rsidR="008E701A" w:rsidRDefault="008E701A" w:rsidP="008E701A">
      <w:pPr>
        <w:rPr>
          <w:color w:val="000000"/>
          <w:lang w:val="en-US"/>
        </w:rPr>
      </w:pPr>
      <w:r>
        <w:rPr>
          <w:color w:val="000000"/>
          <w:lang w:val="en-US"/>
        </w:rPr>
        <w:t>Orifarm Healthcare A/S</w:t>
      </w:r>
    </w:p>
    <w:p w14:paraId="1F607090" w14:textId="77777777" w:rsidR="008E701A" w:rsidRDefault="008E701A" w:rsidP="008E701A">
      <w:pPr>
        <w:rPr>
          <w:color w:val="000000"/>
          <w:lang w:val="en-US"/>
        </w:rPr>
      </w:pPr>
      <w:proofErr w:type="spellStart"/>
      <w:r>
        <w:rPr>
          <w:color w:val="000000"/>
          <w:lang w:val="en-US"/>
        </w:rPr>
        <w:t>Energivej</w:t>
      </w:r>
      <w:proofErr w:type="spellEnd"/>
      <w:r>
        <w:rPr>
          <w:color w:val="000000"/>
          <w:lang w:val="en-US"/>
        </w:rPr>
        <w:t xml:space="preserve"> 15</w:t>
      </w:r>
    </w:p>
    <w:p w14:paraId="51CAFE3B" w14:textId="77777777" w:rsidR="008E701A" w:rsidRDefault="008E701A" w:rsidP="008E701A">
      <w:pPr>
        <w:rPr>
          <w:color w:val="000000"/>
          <w:lang w:val="en-US"/>
        </w:rPr>
      </w:pPr>
      <w:r>
        <w:rPr>
          <w:color w:val="000000"/>
          <w:lang w:val="en-US"/>
        </w:rPr>
        <w:t>5260 Odense S</w:t>
      </w:r>
    </w:p>
    <w:p w14:paraId="738806EE" w14:textId="77777777" w:rsidR="008E701A" w:rsidRDefault="008E701A" w:rsidP="008E701A">
      <w:pPr>
        <w:rPr>
          <w:color w:val="000000"/>
          <w:lang w:val="en-US"/>
        </w:rPr>
      </w:pPr>
      <w:proofErr w:type="spellStart"/>
      <w:r>
        <w:rPr>
          <w:color w:val="000000"/>
          <w:lang w:val="en-US"/>
        </w:rPr>
        <w:t>Dānija</w:t>
      </w:r>
      <w:proofErr w:type="spellEnd"/>
    </w:p>
    <w:p w14:paraId="5DFDF4BE" w14:textId="77777777" w:rsidR="000437B5" w:rsidRPr="00F27731" w:rsidRDefault="000437B5" w:rsidP="000437B5">
      <w:pPr>
        <w:tabs>
          <w:tab w:val="clear" w:pos="567"/>
        </w:tabs>
        <w:spacing w:line="240" w:lineRule="auto"/>
        <w:ind w:left="567" w:hanging="567"/>
        <w:rPr>
          <w:szCs w:val="22"/>
        </w:rPr>
      </w:pPr>
    </w:p>
    <w:p w14:paraId="72A30851" w14:textId="77777777" w:rsidR="000437B5" w:rsidRPr="0053053F" w:rsidRDefault="000437B5" w:rsidP="000437B5">
      <w:pPr>
        <w:tabs>
          <w:tab w:val="clear" w:pos="567"/>
        </w:tabs>
        <w:spacing w:line="240" w:lineRule="auto"/>
        <w:ind w:left="567" w:hanging="567"/>
        <w:rPr>
          <w:szCs w:val="22"/>
        </w:rPr>
      </w:pPr>
    </w:p>
    <w:p w14:paraId="73830FD2" w14:textId="365C998C" w:rsidR="00027BD5" w:rsidRPr="007B70C2" w:rsidRDefault="00027BD5">
      <w:pPr>
        <w:tabs>
          <w:tab w:val="clear" w:pos="567"/>
        </w:tabs>
        <w:spacing w:line="240" w:lineRule="auto"/>
        <w:rPr>
          <w:b/>
          <w:szCs w:val="22"/>
        </w:rPr>
      </w:pPr>
      <w:r w:rsidRPr="007B70C2">
        <w:rPr>
          <w:b/>
          <w:szCs w:val="22"/>
        </w:rPr>
        <w:t>8.</w:t>
      </w:r>
      <w:r w:rsidRPr="007B70C2">
        <w:rPr>
          <w:b/>
          <w:szCs w:val="22"/>
        </w:rPr>
        <w:tab/>
        <w:t xml:space="preserve">REĢISTRĀCIJAS </w:t>
      </w:r>
      <w:r w:rsidR="00AF6FD2">
        <w:rPr>
          <w:b/>
          <w:szCs w:val="22"/>
        </w:rPr>
        <w:t xml:space="preserve">APLIECĪBAS </w:t>
      </w:r>
      <w:r w:rsidRPr="007B70C2">
        <w:rPr>
          <w:b/>
          <w:szCs w:val="22"/>
        </w:rPr>
        <w:t xml:space="preserve">NUMURS(I) </w:t>
      </w:r>
    </w:p>
    <w:p w14:paraId="0602E9FF" w14:textId="77777777" w:rsidR="00A724BC" w:rsidRPr="00442554" w:rsidRDefault="00A724BC">
      <w:pPr>
        <w:tabs>
          <w:tab w:val="clear" w:pos="567"/>
        </w:tabs>
        <w:spacing w:line="240" w:lineRule="auto"/>
        <w:ind w:left="567" w:hanging="567"/>
        <w:rPr>
          <w:color w:val="000000"/>
          <w:szCs w:val="22"/>
        </w:rPr>
      </w:pPr>
    </w:p>
    <w:p w14:paraId="38D7951C" w14:textId="77777777" w:rsidR="00027BD5" w:rsidRPr="00442554" w:rsidRDefault="00A724BC">
      <w:pPr>
        <w:tabs>
          <w:tab w:val="clear" w:pos="567"/>
        </w:tabs>
        <w:spacing w:line="240" w:lineRule="auto"/>
        <w:ind w:left="567" w:hanging="567"/>
        <w:rPr>
          <w:szCs w:val="22"/>
        </w:rPr>
      </w:pPr>
      <w:r w:rsidRPr="00442554">
        <w:rPr>
          <w:color w:val="000000"/>
          <w:szCs w:val="22"/>
        </w:rPr>
        <w:t>11-0020</w:t>
      </w:r>
    </w:p>
    <w:p w14:paraId="418012DC" w14:textId="77777777" w:rsidR="00027BD5" w:rsidRPr="001A3C67" w:rsidRDefault="00027BD5">
      <w:pPr>
        <w:tabs>
          <w:tab w:val="clear" w:pos="567"/>
        </w:tabs>
        <w:spacing w:line="240" w:lineRule="auto"/>
        <w:ind w:left="567" w:hanging="567"/>
        <w:rPr>
          <w:szCs w:val="22"/>
        </w:rPr>
      </w:pPr>
    </w:p>
    <w:p w14:paraId="69606AE5" w14:textId="77777777" w:rsidR="00A724BC" w:rsidRPr="001A3C67" w:rsidRDefault="00A724BC">
      <w:pPr>
        <w:tabs>
          <w:tab w:val="clear" w:pos="567"/>
        </w:tabs>
        <w:spacing w:line="240" w:lineRule="auto"/>
        <w:ind w:left="567" w:hanging="567"/>
        <w:rPr>
          <w:szCs w:val="22"/>
        </w:rPr>
      </w:pPr>
    </w:p>
    <w:p w14:paraId="32F1BF64" w14:textId="7626AF0B" w:rsidR="00027BD5" w:rsidRPr="00F27731" w:rsidRDefault="00027BD5">
      <w:pPr>
        <w:tabs>
          <w:tab w:val="clear" w:pos="567"/>
        </w:tabs>
        <w:spacing w:line="240" w:lineRule="auto"/>
        <w:ind w:left="567" w:hanging="567"/>
        <w:rPr>
          <w:szCs w:val="22"/>
        </w:rPr>
      </w:pPr>
      <w:r w:rsidRPr="00F27731">
        <w:rPr>
          <w:b/>
          <w:szCs w:val="22"/>
        </w:rPr>
        <w:t>9.</w:t>
      </w:r>
      <w:r w:rsidRPr="00F27731">
        <w:rPr>
          <w:b/>
          <w:szCs w:val="22"/>
        </w:rPr>
        <w:tab/>
      </w:r>
      <w:r w:rsidR="002B32EA">
        <w:rPr>
          <w:b/>
          <w:szCs w:val="22"/>
        </w:rPr>
        <w:t xml:space="preserve">PIRMĀS </w:t>
      </w:r>
      <w:r w:rsidRPr="00F27731">
        <w:rPr>
          <w:b/>
          <w:szCs w:val="22"/>
        </w:rPr>
        <w:t>REĢISTRĀCIJAS/PĀRREĢISTRĀCIJAS DATUMS</w:t>
      </w:r>
    </w:p>
    <w:p w14:paraId="7F481DE4" w14:textId="77777777" w:rsidR="00027BD5" w:rsidRPr="0053053F" w:rsidRDefault="00027BD5">
      <w:pPr>
        <w:tabs>
          <w:tab w:val="clear" w:pos="567"/>
        </w:tabs>
        <w:spacing w:line="240" w:lineRule="auto"/>
        <w:ind w:left="567" w:hanging="567"/>
        <w:rPr>
          <w:szCs w:val="22"/>
        </w:rPr>
      </w:pPr>
    </w:p>
    <w:p w14:paraId="0CAFA75F" w14:textId="5B0EDBCA" w:rsidR="00027BD5" w:rsidRDefault="002B32EA">
      <w:pPr>
        <w:tabs>
          <w:tab w:val="clear" w:pos="567"/>
        </w:tabs>
        <w:spacing w:line="240" w:lineRule="auto"/>
        <w:ind w:left="567" w:hanging="567"/>
        <w:rPr>
          <w:color w:val="000000"/>
          <w:szCs w:val="22"/>
        </w:rPr>
      </w:pPr>
      <w:r>
        <w:rPr>
          <w:color w:val="000000"/>
          <w:szCs w:val="22"/>
        </w:rPr>
        <w:t>Reģistrācijas datums: 2011. gada 1. februāris</w:t>
      </w:r>
    </w:p>
    <w:p w14:paraId="4578567E" w14:textId="4AEA22ED" w:rsidR="002B32EA" w:rsidRPr="00442554" w:rsidRDefault="002B32EA">
      <w:pPr>
        <w:tabs>
          <w:tab w:val="clear" w:pos="567"/>
        </w:tabs>
        <w:spacing w:line="240" w:lineRule="auto"/>
        <w:ind w:left="567" w:hanging="567"/>
        <w:rPr>
          <w:szCs w:val="22"/>
        </w:rPr>
      </w:pPr>
      <w:r>
        <w:rPr>
          <w:color w:val="000000"/>
          <w:szCs w:val="22"/>
        </w:rPr>
        <w:lastRenderedPageBreak/>
        <w:t>Pēdējās pārreģistrācijas datums: 2016. gada 8. marts</w:t>
      </w:r>
    </w:p>
    <w:p w14:paraId="49B49E95" w14:textId="77777777" w:rsidR="00027BD5" w:rsidRDefault="00027BD5">
      <w:pPr>
        <w:tabs>
          <w:tab w:val="clear" w:pos="567"/>
        </w:tabs>
        <w:spacing w:line="240" w:lineRule="auto"/>
        <w:ind w:left="567" w:hanging="567"/>
      </w:pPr>
    </w:p>
    <w:p w14:paraId="3134A760" w14:textId="77777777" w:rsidR="00A724BC" w:rsidRPr="00474EBF" w:rsidRDefault="00A724BC">
      <w:pPr>
        <w:tabs>
          <w:tab w:val="clear" w:pos="567"/>
        </w:tabs>
        <w:spacing w:line="240" w:lineRule="auto"/>
        <w:ind w:left="567" w:hanging="567"/>
      </w:pPr>
    </w:p>
    <w:p w14:paraId="4C05E145" w14:textId="451628F0" w:rsidR="00027BD5" w:rsidRPr="00474EBF" w:rsidRDefault="00027BD5">
      <w:pPr>
        <w:tabs>
          <w:tab w:val="clear" w:pos="567"/>
        </w:tabs>
        <w:spacing w:line="240" w:lineRule="auto"/>
        <w:ind w:left="567" w:hanging="567"/>
        <w:rPr>
          <w:b/>
        </w:rPr>
      </w:pPr>
      <w:r w:rsidRPr="00474EBF">
        <w:rPr>
          <w:b/>
        </w:rPr>
        <w:t>10.</w:t>
      </w:r>
      <w:r w:rsidRPr="00474EBF">
        <w:rPr>
          <w:b/>
        </w:rPr>
        <w:tab/>
        <w:t>TEKSTA PĀRSKATĪŠANAS DATUMS</w:t>
      </w:r>
    </w:p>
    <w:p w14:paraId="189FF447" w14:textId="77777777" w:rsidR="00442554" w:rsidRDefault="00442554" w:rsidP="00360274">
      <w:pPr>
        <w:tabs>
          <w:tab w:val="clear" w:pos="567"/>
        </w:tabs>
        <w:spacing w:line="240" w:lineRule="auto"/>
        <w:rPr>
          <w:b/>
        </w:rPr>
      </w:pPr>
    </w:p>
    <w:p w14:paraId="328D58B5" w14:textId="2EE51A63" w:rsidR="00027BD5" w:rsidRPr="00474EBF" w:rsidRDefault="008E701A" w:rsidP="00A9720E">
      <w:pPr>
        <w:tabs>
          <w:tab w:val="clear" w:pos="567"/>
        </w:tabs>
        <w:spacing w:line="240" w:lineRule="auto"/>
      </w:pPr>
      <w:r>
        <w:t>2022.</w:t>
      </w:r>
      <w:r w:rsidR="00F27928">
        <w:t xml:space="preserve"> gada </w:t>
      </w:r>
      <w:r>
        <w:t>1</w:t>
      </w:r>
      <w:r w:rsidR="00F27928">
        <w:t>. februāris</w:t>
      </w:r>
    </w:p>
    <w:sectPr w:rsidR="00027BD5" w:rsidRPr="00474EBF" w:rsidSect="00DF265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B238" w14:textId="77777777" w:rsidR="004B7557" w:rsidRDefault="004B7557">
      <w:r>
        <w:separator/>
      </w:r>
    </w:p>
  </w:endnote>
  <w:endnote w:type="continuationSeparator" w:id="0">
    <w:p w14:paraId="62CC2AE5" w14:textId="77777777" w:rsidR="004B7557" w:rsidRDefault="004B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EA8C" w14:textId="77777777" w:rsidR="00DF2658" w:rsidRDefault="00DF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0D2" w14:textId="77777777" w:rsidR="00DF2658" w:rsidRDefault="00DF2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666" w14:textId="77777777" w:rsidR="00DF2658" w:rsidRDefault="00DF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6B02" w14:textId="77777777" w:rsidR="004B7557" w:rsidRDefault="004B7557">
      <w:r>
        <w:separator/>
      </w:r>
    </w:p>
  </w:footnote>
  <w:footnote w:type="continuationSeparator" w:id="0">
    <w:p w14:paraId="674069EE" w14:textId="77777777" w:rsidR="004B7557" w:rsidRDefault="004B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4E6F" w14:textId="77777777" w:rsidR="00DF2658" w:rsidRDefault="00DF2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F75" w14:textId="77777777" w:rsidR="00B724E9" w:rsidRPr="005C3BBF" w:rsidRDefault="00B724E9" w:rsidP="00B724E9">
    <w:pPr>
      <w:pStyle w:val="Header"/>
      <w:jc w:val="right"/>
      <w:rPr>
        <w:rFonts w:ascii="Times New Roman" w:hAnsi="Times New Roman"/>
        <w:sz w:val="24"/>
        <w:szCs w:val="24"/>
        <w:lang w:val="en-US"/>
      </w:rPr>
    </w:pPr>
    <w:r>
      <w:rPr>
        <w:rFonts w:ascii="Times New Roman" w:hAnsi="Times New Roman"/>
        <w:sz w:val="24"/>
        <w:szCs w:val="24"/>
        <w:lang w:val="en-US"/>
      </w:rPr>
      <w:t>SASKAŅOTS ZVA 01-02-2022</w:t>
    </w:r>
  </w:p>
  <w:p w14:paraId="2FEA4166" w14:textId="77777777" w:rsidR="00B724E9" w:rsidRDefault="00B724E9" w:rsidP="00B724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54B4" w14:textId="7289832A" w:rsidR="005C3BBF" w:rsidRPr="005C3BBF" w:rsidRDefault="005C3BBF" w:rsidP="005C3BBF">
    <w:pPr>
      <w:pStyle w:val="Header"/>
      <w:jc w:val="right"/>
      <w:rPr>
        <w:rFonts w:ascii="Times New Roman" w:hAnsi="Times New Roman"/>
        <w:sz w:val="24"/>
        <w:szCs w:val="24"/>
        <w:lang w:val="en-US"/>
      </w:rPr>
    </w:pPr>
    <w:r>
      <w:rPr>
        <w:rFonts w:ascii="Times New Roman" w:hAnsi="Times New Roman"/>
        <w:sz w:val="24"/>
        <w:szCs w:val="24"/>
        <w:lang w:val="en-US"/>
      </w:rPr>
      <w:t>SASKAŅOTS ZVA 01-02-2022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7225B"/>
    <w:multiLevelType w:val="multilevel"/>
    <w:tmpl w:val="E1BA4DF8"/>
    <w:lvl w:ilvl="0">
      <w:start w:val="1"/>
      <w:numFmt w:val="decimal"/>
      <w:lvlText w:val="%1."/>
      <w:lvlJc w:val="left"/>
      <w:pPr>
        <w:ind w:left="1494" w:hanging="360"/>
      </w:pPr>
      <w:rPr>
        <w:i w:val="0"/>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6871478"/>
    <w:multiLevelType w:val="hybridMultilevel"/>
    <w:tmpl w:val="DB8C16A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351A5E"/>
    <w:multiLevelType w:val="hybridMultilevel"/>
    <w:tmpl w:val="754424AA"/>
    <w:lvl w:ilvl="0" w:tplc="88B4E5D8">
      <w:start w:val="4"/>
      <w:numFmt w:val="decimal"/>
      <w:lvlText w:val="%1."/>
      <w:lvlJc w:val="left"/>
      <w:pPr>
        <w:tabs>
          <w:tab w:val="num" w:pos="930"/>
        </w:tabs>
        <w:ind w:left="930" w:hanging="570"/>
      </w:pPr>
      <w:rPr>
        <w:rFonts w:hint="default"/>
      </w:rPr>
    </w:lvl>
    <w:lvl w:ilvl="1" w:tplc="3A7E6B20" w:tentative="1">
      <w:start w:val="1"/>
      <w:numFmt w:val="lowerLetter"/>
      <w:lvlText w:val="%2."/>
      <w:lvlJc w:val="left"/>
      <w:pPr>
        <w:tabs>
          <w:tab w:val="num" w:pos="1440"/>
        </w:tabs>
        <w:ind w:left="1440" w:hanging="360"/>
      </w:pPr>
    </w:lvl>
    <w:lvl w:ilvl="2" w:tplc="25B88A56" w:tentative="1">
      <w:start w:val="1"/>
      <w:numFmt w:val="lowerRoman"/>
      <w:lvlText w:val="%3."/>
      <w:lvlJc w:val="right"/>
      <w:pPr>
        <w:tabs>
          <w:tab w:val="num" w:pos="2160"/>
        </w:tabs>
        <w:ind w:left="2160" w:hanging="180"/>
      </w:pPr>
    </w:lvl>
    <w:lvl w:ilvl="3" w:tplc="6E566D3C" w:tentative="1">
      <w:start w:val="1"/>
      <w:numFmt w:val="decimal"/>
      <w:lvlText w:val="%4."/>
      <w:lvlJc w:val="left"/>
      <w:pPr>
        <w:tabs>
          <w:tab w:val="num" w:pos="2880"/>
        </w:tabs>
        <w:ind w:left="2880" w:hanging="360"/>
      </w:pPr>
    </w:lvl>
    <w:lvl w:ilvl="4" w:tplc="0A9AFC62" w:tentative="1">
      <w:start w:val="1"/>
      <w:numFmt w:val="lowerLetter"/>
      <w:lvlText w:val="%5."/>
      <w:lvlJc w:val="left"/>
      <w:pPr>
        <w:tabs>
          <w:tab w:val="num" w:pos="3600"/>
        </w:tabs>
        <w:ind w:left="3600" w:hanging="360"/>
      </w:pPr>
    </w:lvl>
    <w:lvl w:ilvl="5" w:tplc="0802B1D2" w:tentative="1">
      <w:start w:val="1"/>
      <w:numFmt w:val="lowerRoman"/>
      <w:lvlText w:val="%6."/>
      <w:lvlJc w:val="right"/>
      <w:pPr>
        <w:tabs>
          <w:tab w:val="num" w:pos="4320"/>
        </w:tabs>
        <w:ind w:left="4320" w:hanging="180"/>
      </w:pPr>
    </w:lvl>
    <w:lvl w:ilvl="6" w:tplc="4592410C" w:tentative="1">
      <w:start w:val="1"/>
      <w:numFmt w:val="decimal"/>
      <w:lvlText w:val="%7."/>
      <w:lvlJc w:val="left"/>
      <w:pPr>
        <w:tabs>
          <w:tab w:val="num" w:pos="5040"/>
        </w:tabs>
        <w:ind w:left="5040" w:hanging="360"/>
      </w:pPr>
    </w:lvl>
    <w:lvl w:ilvl="7" w:tplc="E0D254EC" w:tentative="1">
      <w:start w:val="1"/>
      <w:numFmt w:val="lowerLetter"/>
      <w:lvlText w:val="%8."/>
      <w:lvlJc w:val="left"/>
      <w:pPr>
        <w:tabs>
          <w:tab w:val="num" w:pos="5760"/>
        </w:tabs>
        <w:ind w:left="5760" w:hanging="360"/>
      </w:pPr>
    </w:lvl>
    <w:lvl w:ilvl="8" w:tplc="75C226C0" w:tentative="1">
      <w:start w:val="1"/>
      <w:numFmt w:val="lowerRoman"/>
      <w:lvlText w:val="%9."/>
      <w:lvlJc w:val="right"/>
      <w:pPr>
        <w:tabs>
          <w:tab w:val="num" w:pos="6480"/>
        </w:tabs>
        <w:ind w:left="6480" w:hanging="180"/>
      </w:pPr>
    </w:lvl>
  </w:abstractNum>
  <w:abstractNum w:abstractNumId="5"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6"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D6658"/>
    <w:multiLevelType w:val="hybridMultilevel"/>
    <w:tmpl w:val="17F8F9DC"/>
    <w:lvl w:ilvl="0" w:tplc="71CAEED6">
      <w:start w:val="1"/>
      <w:numFmt w:val="bullet"/>
      <w:lvlText w:val=""/>
      <w:lvlJc w:val="left"/>
      <w:pPr>
        <w:tabs>
          <w:tab w:val="num" w:pos="567"/>
        </w:tabs>
        <w:ind w:left="567" w:hanging="454"/>
      </w:pPr>
      <w:rPr>
        <w:rFonts w:ascii="Symbol" w:hAnsi="Symbol" w:hint="default"/>
      </w:rPr>
    </w:lvl>
    <w:lvl w:ilvl="1" w:tplc="133078FC">
      <w:start w:val="1"/>
      <w:numFmt w:val="bullet"/>
      <w:lvlText w:val="o"/>
      <w:lvlJc w:val="left"/>
      <w:pPr>
        <w:tabs>
          <w:tab w:val="num" w:pos="1440"/>
        </w:tabs>
        <w:ind w:left="1440" w:hanging="360"/>
      </w:pPr>
      <w:rPr>
        <w:rFonts w:ascii="Courier New" w:hAnsi="Courier New" w:hint="default"/>
      </w:rPr>
    </w:lvl>
    <w:lvl w:ilvl="2" w:tplc="E8C09600" w:tentative="1">
      <w:start w:val="1"/>
      <w:numFmt w:val="bullet"/>
      <w:lvlText w:val=""/>
      <w:lvlJc w:val="left"/>
      <w:pPr>
        <w:tabs>
          <w:tab w:val="num" w:pos="2160"/>
        </w:tabs>
        <w:ind w:left="2160" w:hanging="360"/>
      </w:pPr>
      <w:rPr>
        <w:rFonts w:ascii="Wingdings" w:hAnsi="Wingdings" w:hint="default"/>
      </w:rPr>
    </w:lvl>
    <w:lvl w:ilvl="3" w:tplc="0234E288" w:tentative="1">
      <w:start w:val="1"/>
      <w:numFmt w:val="bullet"/>
      <w:lvlText w:val=""/>
      <w:lvlJc w:val="left"/>
      <w:pPr>
        <w:tabs>
          <w:tab w:val="num" w:pos="2880"/>
        </w:tabs>
        <w:ind w:left="2880" w:hanging="360"/>
      </w:pPr>
      <w:rPr>
        <w:rFonts w:ascii="Symbol" w:hAnsi="Symbol" w:hint="default"/>
      </w:rPr>
    </w:lvl>
    <w:lvl w:ilvl="4" w:tplc="FA3EB95E" w:tentative="1">
      <w:start w:val="1"/>
      <w:numFmt w:val="bullet"/>
      <w:lvlText w:val="o"/>
      <w:lvlJc w:val="left"/>
      <w:pPr>
        <w:tabs>
          <w:tab w:val="num" w:pos="3600"/>
        </w:tabs>
        <w:ind w:left="3600" w:hanging="360"/>
      </w:pPr>
      <w:rPr>
        <w:rFonts w:ascii="Courier New" w:hAnsi="Courier New" w:hint="default"/>
      </w:rPr>
    </w:lvl>
    <w:lvl w:ilvl="5" w:tplc="D424FA02" w:tentative="1">
      <w:start w:val="1"/>
      <w:numFmt w:val="bullet"/>
      <w:lvlText w:val=""/>
      <w:lvlJc w:val="left"/>
      <w:pPr>
        <w:tabs>
          <w:tab w:val="num" w:pos="4320"/>
        </w:tabs>
        <w:ind w:left="4320" w:hanging="360"/>
      </w:pPr>
      <w:rPr>
        <w:rFonts w:ascii="Wingdings" w:hAnsi="Wingdings" w:hint="default"/>
      </w:rPr>
    </w:lvl>
    <w:lvl w:ilvl="6" w:tplc="B56ECAC2" w:tentative="1">
      <w:start w:val="1"/>
      <w:numFmt w:val="bullet"/>
      <w:lvlText w:val=""/>
      <w:lvlJc w:val="left"/>
      <w:pPr>
        <w:tabs>
          <w:tab w:val="num" w:pos="5040"/>
        </w:tabs>
        <w:ind w:left="5040" w:hanging="360"/>
      </w:pPr>
      <w:rPr>
        <w:rFonts w:ascii="Symbol" w:hAnsi="Symbol" w:hint="default"/>
      </w:rPr>
    </w:lvl>
    <w:lvl w:ilvl="7" w:tplc="F4169266" w:tentative="1">
      <w:start w:val="1"/>
      <w:numFmt w:val="bullet"/>
      <w:lvlText w:val="o"/>
      <w:lvlJc w:val="left"/>
      <w:pPr>
        <w:tabs>
          <w:tab w:val="num" w:pos="5760"/>
        </w:tabs>
        <w:ind w:left="5760" w:hanging="360"/>
      </w:pPr>
      <w:rPr>
        <w:rFonts w:ascii="Courier New" w:hAnsi="Courier New" w:hint="default"/>
      </w:rPr>
    </w:lvl>
    <w:lvl w:ilvl="8" w:tplc="BBE60F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D1998"/>
    <w:multiLevelType w:val="hybridMultilevel"/>
    <w:tmpl w:val="0C0EBF1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4BB073F2"/>
    <w:multiLevelType w:val="hybridMultilevel"/>
    <w:tmpl w:val="CB1456F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54AFE"/>
    <w:multiLevelType w:val="hybridMultilevel"/>
    <w:tmpl w:val="B1A46980"/>
    <w:lvl w:ilvl="0" w:tplc="7474FFC0">
      <w:start w:val="8"/>
      <w:numFmt w:val="decimal"/>
      <w:lvlText w:val="%1."/>
      <w:lvlJc w:val="left"/>
      <w:pPr>
        <w:tabs>
          <w:tab w:val="num" w:pos="570"/>
        </w:tabs>
        <w:ind w:left="570" w:hanging="570"/>
      </w:pPr>
      <w:rPr>
        <w:rFonts w:hint="default"/>
      </w:rPr>
    </w:lvl>
    <w:lvl w:ilvl="1" w:tplc="28D86426" w:tentative="1">
      <w:start w:val="1"/>
      <w:numFmt w:val="lowerLetter"/>
      <w:lvlText w:val="%2."/>
      <w:lvlJc w:val="left"/>
      <w:pPr>
        <w:tabs>
          <w:tab w:val="num" w:pos="1080"/>
        </w:tabs>
        <w:ind w:left="1080" w:hanging="360"/>
      </w:pPr>
    </w:lvl>
    <w:lvl w:ilvl="2" w:tplc="9202BB60" w:tentative="1">
      <w:start w:val="1"/>
      <w:numFmt w:val="lowerRoman"/>
      <w:lvlText w:val="%3."/>
      <w:lvlJc w:val="right"/>
      <w:pPr>
        <w:tabs>
          <w:tab w:val="num" w:pos="1800"/>
        </w:tabs>
        <w:ind w:left="1800" w:hanging="180"/>
      </w:pPr>
    </w:lvl>
    <w:lvl w:ilvl="3" w:tplc="FAC2A4B6" w:tentative="1">
      <w:start w:val="1"/>
      <w:numFmt w:val="decimal"/>
      <w:lvlText w:val="%4."/>
      <w:lvlJc w:val="left"/>
      <w:pPr>
        <w:tabs>
          <w:tab w:val="num" w:pos="2520"/>
        </w:tabs>
        <w:ind w:left="2520" w:hanging="360"/>
      </w:pPr>
    </w:lvl>
    <w:lvl w:ilvl="4" w:tplc="61542D50" w:tentative="1">
      <w:start w:val="1"/>
      <w:numFmt w:val="lowerLetter"/>
      <w:lvlText w:val="%5."/>
      <w:lvlJc w:val="left"/>
      <w:pPr>
        <w:tabs>
          <w:tab w:val="num" w:pos="3240"/>
        </w:tabs>
        <w:ind w:left="3240" w:hanging="360"/>
      </w:pPr>
    </w:lvl>
    <w:lvl w:ilvl="5" w:tplc="DAE870F4" w:tentative="1">
      <w:start w:val="1"/>
      <w:numFmt w:val="lowerRoman"/>
      <w:lvlText w:val="%6."/>
      <w:lvlJc w:val="right"/>
      <w:pPr>
        <w:tabs>
          <w:tab w:val="num" w:pos="3960"/>
        </w:tabs>
        <w:ind w:left="3960" w:hanging="180"/>
      </w:pPr>
    </w:lvl>
    <w:lvl w:ilvl="6" w:tplc="C47C7FE0" w:tentative="1">
      <w:start w:val="1"/>
      <w:numFmt w:val="decimal"/>
      <w:lvlText w:val="%7."/>
      <w:lvlJc w:val="left"/>
      <w:pPr>
        <w:tabs>
          <w:tab w:val="num" w:pos="4680"/>
        </w:tabs>
        <w:ind w:left="4680" w:hanging="360"/>
      </w:pPr>
    </w:lvl>
    <w:lvl w:ilvl="7" w:tplc="511871DE" w:tentative="1">
      <w:start w:val="1"/>
      <w:numFmt w:val="lowerLetter"/>
      <w:lvlText w:val="%8."/>
      <w:lvlJc w:val="left"/>
      <w:pPr>
        <w:tabs>
          <w:tab w:val="num" w:pos="5400"/>
        </w:tabs>
        <w:ind w:left="5400" w:hanging="360"/>
      </w:pPr>
    </w:lvl>
    <w:lvl w:ilvl="8" w:tplc="E3B07EE2" w:tentative="1">
      <w:start w:val="1"/>
      <w:numFmt w:val="lowerRoman"/>
      <w:lvlText w:val="%9."/>
      <w:lvlJc w:val="right"/>
      <w:pPr>
        <w:tabs>
          <w:tab w:val="num" w:pos="6120"/>
        </w:tabs>
        <w:ind w:left="6120" w:hanging="180"/>
      </w:pPr>
    </w:lvl>
  </w:abstractNum>
  <w:abstractNum w:abstractNumId="13" w15:restartNumberingAfterBreak="0">
    <w:nsid w:val="4F715EA8"/>
    <w:multiLevelType w:val="hybridMultilevel"/>
    <w:tmpl w:val="85242A24"/>
    <w:lvl w:ilvl="0" w:tplc="F0268F52">
      <w:start w:val="4"/>
      <w:numFmt w:val="decimal"/>
      <w:lvlText w:val="%1."/>
      <w:lvlJc w:val="left"/>
      <w:pPr>
        <w:tabs>
          <w:tab w:val="num" w:pos="720"/>
        </w:tabs>
        <w:ind w:left="720" w:hanging="360"/>
      </w:pPr>
      <w:rPr>
        <w:rFonts w:hint="default"/>
      </w:rPr>
    </w:lvl>
    <w:lvl w:ilvl="1" w:tplc="B8648418" w:tentative="1">
      <w:start w:val="1"/>
      <w:numFmt w:val="lowerLetter"/>
      <w:lvlText w:val="%2."/>
      <w:lvlJc w:val="left"/>
      <w:pPr>
        <w:tabs>
          <w:tab w:val="num" w:pos="1440"/>
        </w:tabs>
        <w:ind w:left="1440" w:hanging="360"/>
      </w:pPr>
    </w:lvl>
    <w:lvl w:ilvl="2" w:tplc="0986A0D4" w:tentative="1">
      <w:start w:val="1"/>
      <w:numFmt w:val="lowerRoman"/>
      <w:lvlText w:val="%3."/>
      <w:lvlJc w:val="right"/>
      <w:pPr>
        <w:tabs>
          <w:tab w:val="num" w:pos="2160"/>
        </w:tabs>
        <w:ind w:left="2160" w:hanging="180"/>
      </w:pPr>
    </w:lvl>
    <w:lvl w:ilvl="3" w:tplc="78D64056" w:tentative="1">
      <w:start w:val="1"/>
      <w:numFmt w:val="decimal"/>
      <w:lvlText w:val="%4."/>
      <w:lvlJc w:val="left"/>
      <w:pPr>
        <w:tabs>
          <w:tab w:val="num" w:pos="2880"/>
        </w:tabs>
        <w:ind w:left="2880" w:hanging="360"/>
      </w:pPr>
    </w:lvl>
    <w:lvl w:ilvl="4" w:tplc="78362132" w:tentative="1">
      <w:start w:val="1"/>
      <w:numFmt w:val="lowerLetter"/>
      <w:lvlText w:val="%5."/>
      <w:lvlJc w:val="left"/>
      <w:pPr>
        <w:tabs>
          <w:tab w:val="num" w:pos="3600"/>
        </w:tabs>
        <w:ind w:left="3600" w:hanging="360"/>
      </w:pPr>
    </w:lvl>
    <w:lvl w:ilvl="5" w:tplc="E0A0D6CE" w:tentative="1">
      <w:start w:val="1"/>
      <w:numFmt w:val="lowerRoman"/>
      <w:lvlText w:val="%6."/>
      <w:lvlJc w:val="right"/>
      <w:pPr>
        <w:tabs>
          <w:tab w:val="num" w:pos="4320"/>
        </w:tabs>
        <w:ind w:left="4320" w:hanging="180"/>
      </w:pPr>
    </w:lvl>
    <w:lvl w:ilvl="6" w:tplc="49325AC0" w:tentative="1">
      <w:start w:val="1"/>
      <w:numFmt w:val="decimal"/>
      <w:lvlText w:val="%7."/>
      <w:lvlJc w:val="left"/>
      <w:pPr>
        <w:tabs>
          <w:tab w:val="num" w:pos="5040"/>
        </w:tabs>
        <w:ind w:left="5040" w:hanging="360"/>
      </w:pPr>
    </w:lvl>
    <w:lvl w:ilvl="7" w:tplc="D1CE8370" w:tentative="1">
      <w:start w:val="1"/>
      <w:numFmt w:val="lowerLetter"/>
      <w:lvlText w:val="%8."/>
      <w:lvlJc w:val="left"/>
      <w:pPr>
        <w:tabs>
          <w:tab w:val="num" w:pos="5760"/>
        </w:tabs>
        <w:ind w:left="5760" w:hanging="360"/>
      </w:pPr>
    </w:lvl>
    <w:lvl w:ilvl="8" w:tplc="D2B63128" w:tentative="1">
      <w:start w:val="1"/>
      <w:numFmt w:val="lowerRoman"/>
      <w:lvlText w:val="%9."/>
      <w:lvlJc w:val="right"/>
      <w:pPr>
        <w:tabs>
          <w:tab w:val="num" w:pos="6480"/>
        </w:tabs>
        <w:ind w:left="6480" w:hanging="180"/>
      </w:pPr>
    </w:lvl>
  </w:abstractNum>
  <w:abstractNum w:abstractNumId="14" w15:restartNumberingAfterBreak="0">
    <w:nsid w:val="50EE7B19"/>
    <w:multiLevelType w:val="hybridMultilevel"/>
    <w:tmpl w:val="97F88DE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6D4F3A43"/>
    <w:multiLevelType w:val="hybridMultilevel"/>
    <w:tmpl w:val="44EA2960"/>
    <w:lvl w:ilvl="0" w:tplc="3E56D0FE">
      <w:start w:val="5"/>
      <w:numFmt w:val="decimal"/>
      <w:lvlText w:val="%1."/>
      <w:lvlJc w:val="left"/>
      <w:pPr>
        <w:tabs>
          <w:tab w:val="num" w:pos="930"/>
        </w:tabs>
        <w:ind w:left="930" w:hanging="570"/>
      </w:pPr>
      <w:rPr>
        <w:rFonts w:hint="default"/>
        <w:color w:val="auto"/>
      </w:rPr>
    </w:lvl>
    <w:lvl w:ilvl="1" w:tplc="4044CF80" w:tentative="1">
      <w:start w:val="1"/>
      <w:numFmt w:val="lowerLetter"/>
      <w:lvlText w:val="%2."/>
      <w:lvlJc w:val="left"/>
      <w:pPr>
        <w:tabs>
          <w:tab w:val="num" w:pos="1440"/>
        </w:tabs>
        <w:ind w:left="1440" w:hanging="360"/>
      </w:pPr>
    </w:lvl>
    <w:lvl w:ilvl="2" w:tplc="F2427FE2" w:tentative="1">
      <w:start w:val="1"/>
      <w:numFmt w:val="lowerRoman"/>
      <w:lvlText w:val="%3."/>
      <w:lvlJc w:val="right"/>
      <w:pPr>
        <w:tabs>
          <w:tab w:val="num" w:pos="2160"/>
        </w:tabs>
        <w:ind w:left="2160" w:hanging="180"/>
      </w:pPr>
    </w:lvl>
    <w:lvl w:ilvl="3" w:tplc="70FAA700" w:tentative="1">
      <w:start w:val="1"/>
      <w:numFmt w:val="decimal"/>
      <w:lvlText w:val="%4."/>
      <w:lvlJc w:val="left"/>
      <w:pPr>
        <w:tabs>
          <w:tab w:val="num" w:pos="2880"/>
        </w:tabs>
        <w:ind w:left="2880" w:hanging="360"/>
      </w:pPr>
    </w:lvl>
    <w:lvl w:ilvl="4" w:tplc="3E021CCC" w:tentative="1">
      <w:start w:val="1"/>
      <w:numFmt w:val="lowerLetter"/>
      <w:lvlText w:val="%5."/>
      <w:lvlJc w:val="left"/>
      <w:pPr>
        <w:tabs>
          <w:tab w:val="num" w:pos="3600"/>
        </w:tabs>
        <w:ind w:left="3600" w:hanging="360"/>
      </w:pPr>
    </w:lvl>
    <w:lvl w:ilvl="5" w:tplc="112896C4" w:tentative="1">
      <w:start w:val="1"/>
      <w:numFmt w:val="lowerRoman"/>
      <w:lvlText w:val="%6."/>
      <w:lvlJc w:val="right"/>
      <w:pPr>
        <w:tabs>
          <w:tab w:val="num" w:pos="4320"/>
        </w:tabs>
        <w:ind w:left="4320" w:hanging="180"/>
      </w:pPr>
    </w:lvl>
    <w:lvl w:ilvl="6" w:tplc="6810CA7A" w:tentative="1">
      <w:start w:val="1"/>
      <w:numFmt w:val="decimal"/>
      <w:lvlText w:val="%7."/>
      <w:lvlJc w:val="left"/>
      <w:pPr>
        <w:tabs>
          <w:tab w:val="num" w:pos="5040"/>
        </w:tabs>
        <w:ind w:left="5040" w:hanging="360"/>
      </w:pPr>
    </w:lvl>
    <w:lvl w:ilvl="7" w:tplc="3EF80C20" w:tentative="1">
      <w:start w:val="1"/>
      <w:numFmt w:val="lowerLetter"/>
      <w:lvlText w:val="%8."/>
      <w:lvlJc w:val="left"/>
      <w:pPr>
        <w:tabs>
          <w:tab w:val="num" w:pos="5760"/>
        </w:tabs>
        <w:ind w:left="5760" w:hanging="360"/>
      </w:pPr>
    </w:lvl>
    <w:lvl w:ilvl="8" w:tplc="985A47C2" w:tentative="1">
      <w:start w:val="1"/>
      <w:numFmt w:val="lowerRoman"/>
      <w:lvlText w:val="%9."/>
      <w:lvlJc w:val="right"/>
      <w:pPr>
        <w:tabs>
          <w:tab w:val="num" w:pos="6480"/>
        </w:tabs>
        <w:ind w:left="6480" w:hanging="180"/>
      </w:pPr>
    </w:lvl>
  </w:abstractNum>
  <w:abstractNum w:abstractNumId="1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0" w15:restartNumberingAfterBreak="0">
    <w:nsid w:val="73932B0B"/>
    <w:multiLevelType w:val="hybridMultilevel"/>
    <w:tmpl w:val="E87CA446"/>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2709E1"/>
    <w:multiLevelType w:val="hybridMultilevel"/>
    <w:tmpl w:val="440A813E"/>
    <w:lvl w:ilvl="0" w:tplc="9E5E07A0">
      <w:start w:val="4"/>
      <w:numFmt w:val="decimal"/>
      <w:lvlText w:val="%1."/>
      <w:lvlJc w:val="left"/>
      <w:pPr>
        <w:tabs>
          <w:tab w:val="num" w:pos="720"/>
        </w:tabs>
        <w:ind w:left="720" w:hanging="360"/>
      </w:pPr>
      <w:rPr>
        <w:rFonts w:hint="default"/>
      </w:rPr>
    </w:lvl>
    <w:lvl w:ilvl="1" w:tplc="CF127ABC" w:tentative="1">
      <w:start w:val="1"/>
      <w:numFmt w:val="lowerLetter"/>
      <w:lvlText w:val="%2."/>
      <w:lvlJc w:val="left"/>
      <w:pPr>
        <w:tabs>
          <w:tab w:val="num" w:pos="1440"/>
        </w:tabs>
        <w:ind w:left="1440" w:hanging="360"/>
      </w:pPr>
    </w:lvl>
    <w:lvl w:ilvl="2" w:tplc="F356F0B6" w:tentative="1">
      <w:start w:val="1"/>
      <w:numFmt w:val="lowerRoman"/>
      <w:lvlText w:val="%3."/>
      <w:lvlJc w:val="right"/>
      <w:pPr>
        <w:tabs>
          <w:tab w:val="num" w:pos="2160"/>
        </w:tabs>
        <w:ind w:left="2160" w:hanging="180"/>
      </w:pPr>
    </w:lvl>
    <w:lvl w:ilvl="3" w:tplc="3BD26770" w:tentative="1">
      <w:start w:val="1"/>
      <w:numFmt w:val="decimal"/>
      <w:lvlText w:val="%4."/>
      <w:lvlJc w:val="left"/>
      <w:pPr>
        <w:tabs>
          <w:tab w:val="num" w:pos="2880"/>
        </w:tabs>
        <w:ind w:left="2880" w:hanging="360"/>
      </w:pPr>
    </w:lvl>
    <w:lvl w:ilvl="4" w:tplc="C41E29FE" w:tentative="1">
      <w:start w:val="1"/>
      <w:numFmt w:val="lowerLetter"/>
      <w:lvlText w:val="%5."/>
      <w:lvlJc w:val="left"/>
      <w:pPr>
        <w:tabs>
          <w:tab w:val="num" w:pos="3600"/>
        </w:tabs>
        <w:ind w:left="3600" w:hanging="360"/>
      </w:pPr>
    </w:lvl>
    <w:lvl w:ilvl="5" w:tplc="7D4C5FE8" w:tentative="1">
      <w:start w:val="1"/>
      <w:numFmt w:val="lowerRoman"/>
      <w:lvlText w:val="%6."/>
      <w:lvlJc w:val="right"/>
      <w:pPr>
        <w:tabs>
          <w:tab w:val="num" w:pos="4320"/>
        </w:tabs>
        <w:ind w:left="4320" w:hanging="180"/>
      </w:pPr>
    </w:lvl>
    <w:lvl w:ilvl="6" w:tplc="E548AE1A" w:tentative="1">
      <w:start w:val="1"/>
      <w:numFmt w:val="decimal"/>
      <w:lvlText w:val="%7."/>
      <w:lvlJc w:val="left"/>
      <w:pPr>
        <w:tabs>
          <w:tab w:val="num" w:pos="5040"/>
        </w:tabs>
        <w:ind w:left="5040" w:hanging="360"/>
      </w:pPr>
    </w:lvl>
    <w:lvl w:ilvl="7" w:tplc="AB2055E0" w:tentative="1">
      <w:start w:val="1"/>
      <w:numFmt w:val="lowerLetter"/>
      <w:lvlText w:val="%8."/>
      <w:lvlJc w:val="left"/>
      <w:pPr>
        <w:tabs>
          <w:tab w:val="num" w:pos="5760"/>
        </w:tabs>
        <w:ind w:left="5760" w:hanging="360"/>
      </w:pPr>
    </w:lvl>
    <w:lvl w:ilvl="8" w:tplc="0114A944" w:tentative="1">
      <w:start w:val="1"/>
      <w:numFmt w:val="lowerRoman"/>
      <w:lvlText w:val="%9."/>
      <w:lvlJc w:val="right"/>
      <w:pPr>
        <w:tabs>
          <w:tab w:val="num" w:pos="6480"/>
        </w:tabs>
        <w:ind w:left="6480" w:hanging="180"/>
      </w:pPr>
    </w:lvl>
  </w:abstractNum>
  <w:abstractNum w:abstractNumId="22" w15:restartNumberingAfterBreak="0">
    <w:nsid w:val="781C1A82"/>
    <w:multiLevelType w:val="hybridMultilevel"/>
    <w:tmpl w:val="30605CF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43425"/>
    <w:multiLevelType w:val="multilevel"/>
    <w:tmpl w:val="7B48EE2A"/>
    <w:lvl w:ilvl="0">
      <w:start w:val="99"/>
      <w:numFmt w:val="decimal"/>
      <w:lvlText w:val="%1"/>
      <w:lvlJc w:val="left"/>
      <w:pPr>
        <w:tabs>
          <w:tab w:val="num" w:pos="720"/>
        </w:tabs>
        <w:ind w:left="720" w:hanging="720"/>
      </w:pPr>
      <w:rPr>
        <w:rFonts w:hint="default"/>
      </w:rPr>
    </w:lvl>
    <w:lvl w:ilvl="1">
      <w:start w:val="4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FB52F6"/>
    <w:multiLevelType w:val="hybridMultilevel"/>
    <w:tmpl w:val="B7EC6880"/>
    <w:lvl w:ilvl="0" w:tplc="1B54AB5C">
      <w:start w:val="1"/>
      <w:numFmt w:val="decimal"/>
      <w:lvlText w:val="%1."/>
      <w:lvlJc w:val="left"/>
      <w:pPr>
        <w:tabs>
          <w:tab w:val="num" w:pos="360"/>
        </w:tabs>
        <w:ind w:left="360" w:hanging="360"/>
      </w:pPr>
    </w:lvl>
    <w:lvl w:ilvl="1" w:tplc="7BB678C6" w:tentative="1">
      <w:start w:val="1"/>
      <w:numFmt w:val="lowerLetter"/>
      <w:lvlText w:val="%2."/>
      <w:lvlJc w:val="left"/>
      <w:pPr>
        <w:tabs>
          <w:tab w:val="num" w:pos="1080"/>
        </w:tabs>
        <w:ind w:left="1080" w:hanging="360"/>
      </w:pPr>
    </w:lvl>
    <w:lvl w:ilvl="2" w:tplc="AF6C71A4" w:tentative="1">
      <w:start w:val="1"/>
      <w:numFmt w:val="lowerRoman"/>
      <w:lvlText w:val="%3."/>
      <w:lvlJc w:val="right"/>
      <w:pPr>
        <w:tabs>
          <w:tab w:val="num" w:pos="1800"/>
        </w:tabs>
        <w:ind w:left="1800" w:hanging="180"/>
      </w:pPr>
    </w:lvl>
    <w:lvl w:ilvl="3" w:tplc="0B00710E" w:tentative="1">
      <w:start w:val="1"/>
      <w:numFmt w:val="decimal"/>
      <w:lvlText w:val="%4."/>
      <w:lvlJc w:val="left"/>
      <w:pPr>
        <w:tabs>
          <w:tab w:val="num" w:pos="2520"/>
        </w:tabs>
        <w:ind w:left="2520" w:hanging="360"/>
      </w:pPr>
    </w:lvl>
    <w:lvl w:ilvl="4" w:tplc="BDE2F6E4" w:tentative="1">
      <w:start w:val="1"/>
      <w:numFmt w:val="lowerLetter"/>
      <w:lvlText w:val="%5."/>
      <w:lvlJc w:val="left"/>
      <w:pPr>
        <w:tabs>
          <w:tab w:val="num" w:pos="3240"/>
        </w:tabs>
        <w:ind w:left="3240" w:hanging="360"/>
      </w:pPr>
    </w:lvl>
    <w:lvl w:ilvl="5" w:tplc="3184FDBC" w:tentative="1">
      <w:start w:val="1"/>
      <w:numFmt w:val="lowerRoman"/>
      <w:lvlText w:val="%6."/>
      <w:lvlJc w:val="right"/>
      <w:pPr>
        <w:tabs>
          <w:tab w:val="num" w:pos="3960"/>
        </w:tabs>
        <w:ind w:left="3960" w:hanging="180"/>
      </w:pPr>
    </w:lvl>
    <w:lvl w:ilvl="6" w:tplc="D57690CC" w:tentative="1">
      <w:start w:val="1"/>
      <w:numFmt w:val="decimal"/>
      <w:lvlText w:val="%7."/>
      <w:lvlJc w:val="left"/>
      <w:pPr>
        <w:tabs>
          <w:tab w:val="num" w:pos="4680"/>
        </w:tabs>
        <w:ind w:left="4680" w:hanging="360"/>
      </w:pPr>
    </w:lvl>
    <w:lvl w:ilvl="7" w:tplc="52F63A24" w:tentative="1">
      <w:start w:val="1"/>
      <w:numFmt w:val="lowerLetter"/>
      <w:lvlText w:val="%8."/>
      <w:lvlJc w:val="left"/>
      <w:pPr>
        <w:tabs>
          <w:tab w:val="num" w:pos="5400"/>
        </w:tabs>
        <w:ind w:left="5400" w:hanging="360"/>
      </w:pPr>
    </w:lvl>
    <w:lvl w:ilvl="8" w:tplc="06D09692"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17"/>
  </w:num>
  <w:num w:numId="5">
    <w:abstractNumId w:val="7"/>
  </w:num>
  <w:num w:numId="6">
    <w:abstractNumId w:val="15"/>
  </w:num>
  <w:num w:numId="7">
    <w:abstractNumId w:val="10"/>
  </w:num>
  <w:num w:numId="8">
    <w:abstractNumId w:val="5"/>
  </w:num>
  <w:num w:numId="9">
    <w:abstractNumId w:val="16"/>
  </w:num>
  <w:num w:numId="10">
    <w:abstractNumId w:val="12"/>
  </w:num>
  <w:num w:numId="11">
    <w:abstractNumId w:val="18"/>
  </w:num>
  <w:num w:numId="12">
    <w:abstractNumId w:val="4"/>
  </w:num>
  <w:num w:numId="13">
    <w:abstractNumId w:val="6"/>
  </w:num>
  <w:num w:numId="14">
    <w:abstractNumId w:val="24"/>
  </w:num>
  <w:num w:numId="15">
    <w:abstractNumId w:val="21"/>
  </w:num>
  <w:num w:numId="16">
    <w:abstractNumId w:val="13"/>
  </w:num>
  <w:num w:numId="17">
    <w:abstractNumId w:val="8"/>
  </w:num>
  <w:num w:numId="18">
    <w:abstractNumId w:val="3"/>
  </w:num>
  <w:num w:numId="19">
    <w:abstractNumId w:val="2"/>
  </w:num>
  <w:num w:numId="20">
    <w:abstractNumId w:val="20"/>
  </w:num>
  <w:num w:numId="21">
    <w:abstractNumId w:val="22"/>
  </w:num>
  <w:num w:numId="22">
    <w:abstractNumId w:val="11"/>
  </w:num>
  <w:num w:numId="23">
    <w:abstractNumId w:val="14"/>
  </w:num>
  <w:num w:numId="24">
    <w:abstractNumId w:val="9"/>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7C6495"/>
    <w:rsid w:val="00006AFE"/>
    <w:rsid w:val="000149F3"/>
    <w:rsid w:val="00015EBC"/>
    <w:rsid w:val="000256FD"/>
    <w:rsid w:val="00027BD5"/>
    <w:rsid w:val="00042390"/>
    <w:rsid w:val="000437B5"/>
    <w:rsid w:val="00054F2B"/>
    <w:rsid w:val="00061D33"/>
    <w:rsid w:val="000621CD"/>
    <w:rsid w:val="00080140"/>
    <w:rsid w:val="00083B2D"/>
    <w:rsid w:val="000918D0"/>
    <w:rsid w:val="000941AB"/>
    <w:rsid w:val="00096470"/>
    <w:rsid w:val="000968E8"/>
    <w:rsid w:val="000A03E0"/>
    <w:rsid w:val="000B147F"/>
    <w:rsid w:val="000C355F"/>
    <w:rsid w:val="000E2B54"/>
    <w:rsid w:val="000E33A0"/>
    <w:rsid w:val="000E3CBE"/>
    <w:rsid w:val="000F27BC"/>
    <w:rsid w:val="00102016"/>
    <w:rsid w:val="0010348F"/>
    <w:rsid w:val="001049C2"/>
    <w:rsid w:val="00115F62"/>
    <w:rsid w:val="0011619B"/>
    <w:rsid w:val="001179E6"/>
    <w:rsid w:val="00154621"/>
    <w:rsid w:val="00157516"/>
    <w:rsid w:val="00161825"/>
    <w:rsid w:val="00176CAB"/>
    <w:rsid w:val="00184770"/>
    <w:rsid w:val="001860DB"/>
    <w:rsid w:val="0019491E"/>
    <w:rsid w:val="001A3C67"/>
    <w:rsid w:val="001A45C0"/>
    <w:rsid w:val="001B15F8"/>
    <w:rsid w:val="001D0693"/>
    <w:rsid w:val="001D1833"/>
    <w:rsid w:val="001D7B08"/>
    <w:rsid w:val="001E7DDA"/>
    <w:rsid w:val="001F03BF"/>
    <w:rsid w:val="001F3C1E"/>
    <w:rsid w:val="00225E96"/>
    <w:rsid w:val="002348C9"/>
    <w:rsid w:val="002535C8"/>
    <w:rsid w:val="00261795"/>
    <w:rsid w:val="00262152"/>
    <w:rsid w:val="0027160A"/>
    <w:rsid w:val="00280370"/>
    <w:rsid w:val="002820F2"/>
    <w:rsid w:val="002847B8"/>
    <w:rsid w:val="0029445C"/>
    <w:rsid w:val="002B32EA"/>
    <w:rsid w:val="002C0240"/>
    <w:rsid w:val="002C124C"/>
    <w:rsid w:val="002C6D6F"/>
    <w:rsid w:val="002F7B7F"/>
    <w:rsid w:val="0030042A"/>
    <w:rsid w:val="00311EB0"/>
    <w:rsid w:val="00313B71"/>
    <w:rsid w:val="00320E3A"/>
    <w:rsid w:val="003270D2"/>
    <w:rsid w:val="00327B79"/>
    <w:rsid w:val="003421E3"/>
    <w:rsid w:val="003445AD"/>
    <w:rsid w:val="0035383B"/>
    <w:rsid w:val="00360274"/>
    <w:rsid w:val="00381279"/>
    <w:rsid w:val="00382F51"/>
    <w:rsid w:val="00396793"/>
    <w:rsid w:val="003A18BA"/>
    <w:rsid w:val="003A1B47"/>
    <w:rsid w:val="003A6436"/>
    <w:rsid w:val="003C3CD2"/>
    <w:rsid w:val="003C4BC2"/>
    <w:rsid w:val="003C6638"/>
    <w:rsid w:val="003D1400"/>
    <w:rsid w:val="003F19B4"/>
    <w:rsid w:val="00406470"/>
    <w:rsid w:val="004102BA"/>
    <w:rsid w:val="004113A5"/>
    <w:rsid w:val="00411D0B"/>
    <w:rsid w:val="0041788F"/>
    <w:rsid w:val="004268CD"/>
    <w:rsid w:val="00426C5D"/>
    <w:rsid w:val="00442554"/>
    <w:rsid w:val="00464D04"/>
    <w:rsid w:val="0046765B"/>
    <w:rsid w:val="004737B6"/>
    <w:rsid w:val="00474EBF"/>
    <w:rsid w:val="00475CB5"/>
    <w:rsid w:val="004761DE"/>
    <w:rsid w:val="00482DBC"/>
    <w:rsid w:val="004873EE"/>
    <w:rsid w:val="00492700"/>
    <w:rsid w:val="004A4AC1"/>
    <w:rsid w:val="004A5077"/>
    <w:rsid w:val="004B7557"/>
    <w:rsid w:val="004F5453"/>
    <w:rsid w:val="004F63AB"/>
    <w:rsid w:val="004F748B"/>
    <w:rsid w:val="00505E29"/>
    <w:rsid w:val="00511EAB"/>
    <w:rsid w:val="00513E3C"/>
    <w:rsid w:val="00516A00"/>
    <w:rsid w:val="00517E04"/>
    <w:rsid w:val="005224B4"/>
    <w:rsid w:val="0053053F"/>
    <w:rsid w:val="00536721"/>
    <w:rsid w:val="00536F31"/>
    <w:rsid w:val="00540886"/>
    <w:rsid w:val="00555C1E"/>
    <w:rsid w:val="00556DEB"/>
    <w:rsid w:val="00564807"/>
    <w:rsid w:val="005648AC"/>
    <w:rsid w:val="00564D49"/>
    <w:rsid w:val="0058612F"/>
    <w:rsid w:val="005C263E"/>
    <w:rsid w:val="005C3BBF"/>
    <w:rsid w:val="005E0C48"/>
    <w:rsid w:val="005E6824"/>
    <w:rsid w:val="005E7998"/>
    <w:rsid w:val="005F73F5"/>
    <w:rsid w:val="006007F5"/>
    <w:rsid w:val="00612D2B"/>
    <w:rsid w:val="00620ACF"/>
    <w:rsid w:val="00634AE5"/>
    <w:rsid w:val="00642397"/>
    <w:rsid w:val="00650630"/>
    <w:rsid w:val="006513F4"/>
    <w:rsid w:val="006550D5"/>
    <w:rsid w:val="00674F2D"/>
    <w:rsid w:val="00690C51"/>
    <w:rsid w:val="00692B39"/>
    <w:rsid w:val="006A0ACC"/>
    <w:rsid w:val="006A45D4"/>
    <w:rsid w:val="006B6D6C"/>
    <w:rsid w:val="006E1264"/>
    <w:rsid w:val="006E6150"/>
    <w:rsid w:val="00707E10"/>
    <w:rsid w:val="007121B6"/>
    <w:rsid w:val="007160FF"/>
    <w:rsid w:val="00724D10"/>
    <w:rsid w:val="0072725B"/>
    <w:rsid w:val="00754150"/>
    <w:rsid w:val="007557E9"/>
    <w:rsid w:val="00766F5C"/>
    <w:rsid w:val="0078650B"/>
    <w:rsid w:val="00790EE8"/>
    <w:rsid w:val="00791307"/>
    <w:rsid w:val="00792545"/>
    <w:rsid w:val="00793E42"/>
    <w:rsid w:val="007A1C84"/>
    <w:rsid w:val="007B01D6"/>
    <w:rsid w:val="007B3226"/>
    <w:rsid w:val="007B70C2"/>
    <w:rsid w:val="007C6495"/>
    <w:rsid w:val="007C6CA0"/>
    <w:rsid w:val="007E2F36"/>
    <w:rsid w:val="007E7DED"/>
    <w:rsid w:val="007F2709"/>
    <w:rsid w:val="007F2B70"/>
    <w:rsid w:val="00800759"/>
    <w:rsid w:val="00811FDC"/>
    <w:rsid w:val="008126A0"/>
    <w:rsid w:val="00824B01"/>
    <w:rsid w:val="00827566"/>
    <w:rsid w:val="00860227"/>
    <w:rsid w:val="008631E2"/>
    <w:rsid w:val="00866350"/>
    <w:rsid w:val="008666DC"/>
    <w:rsid w:val="0088188A"/>
    <w:rsid w:val="00882858"/>
    <w:rsid w:val="00892562"/>
    <w:rsid w:val="00896336"/>
    <w:rsid w:val="008C19B6"/>
    <w:rsid w:val="008C5B6F"/>
    <w:rsid w:val="008D289B"/>
    <w:rsid w:val="008D5FCE"/>
    <w:rsid w:val="008D7C52"/>
    <w:rsid w:val="008E701A"/>
    <w:rsid w:val="00907970"/>
    <w:rsid w:val="00912868"/>
    <w:rsid w:val="00933B97"/>
    <w:rsid w:val="00937ED6"/>
    <w:rsid w:val="009473EA"/>
    <w:rsid w:val="00962CB1"/>
    <w:rsid w:val="009762BD"/>
    <w:rsid w:val="00983B5B"/>
    <w:rsid w:val="00986EF5"/>
    <w:rsid w:val="009A0174"/>
    <w:rsid w:val="009D3BBF"/>
    <w:rsid w:val="009D7055"/>
    <w:rsid w:val="009E091D"/>
    <w:rsid w:val="009E1A12"/>
    <w:rsid w:val="009E7577"/>
    <w:rsid w:val="009F06B0"/>
    <w:rsid w:val="009F341F"/>
    <w:rsid w:val="009F3803"/>
    <w:rsid w:val="009F7ECD"/>
    <w:rsid w:val="00A00D5D"/>
    <w:rsid w:val="00A03ABB"/>
    <w:rsid w:val="00A06B2F"/>
    <w:rsid w:val="00A139C2"/>
    <w:rsid w:val="00A16388"/>
    <w:rsid w:val="00A23ED6"/>
    <w:rsid w:val="00A36E1B"/>
    <w:rsid w:val="00A632FB"/>
    <w:rsid w:val="00A66775"/>
    <w:rsid w:val="00A67F12"/>
    <w:rsid w:val="00A723BF"/>
    <w:rsid w:val="00A724BC"/>
    <w:rsid w:val="00A72781"/>
    <w:rsid w:val="00A83925"/>
    <w:rsid w:val="00A842C1"/>
    <w:rsid w:val="00A92341"/>
    <w:rsid w:val="00A9720E"/>
    <w:rsid w:val="00AA7BDF"/>
    <w:rsid w:val="00AC00D5"/>
    <w:rsid w:val="00AC202B"/>
    <w:rsid w:val="00AF6FD2"/>
    <w:rsid w:val="00B02187"/>
    <w:rsid w:val="00B3371C"/>
    <w:rsid w:val="00B3451C"/>
    <w:rsid w:val="00B412E5"/>
    <w:rsid w:val="00B44ED0"/>
    <w:rsid w:val="00B45CE6"/>
    <w:rsid w:val="00B45EF0"/>
    <w:rsid w:val="00B46361"/>
    <w:rsid w:val="00B514BC"/>
    <w:rsid w:val="00B52B73"/>
    <w:rsid w:val="00B64329"/>
    <w:rsid w:val="00B66574"/>
    <w:rsid w:val="00B724E9"/>
    <w:rsid w:val="00B74D07"/>
    <w:rsid w:val="00B80456"/>
    <w:rsid w:val="00B80A49"/>
    <w:rsid w:val="00BA565E"/>
    <w:rsid w:val="00BA6A27"/>
    <w:rsid w:val="00BB0A63"/>
    <w:rsid w:val="00BB0E2E"/>
    <w:rsid w:val="00BC0430"/>
    <w:rsid w:val="00BC239A"/>
    <w:rsid w:val="00BC4CD5"/>
    <w:rsid w:val="00BC5BAC"/>
    <w:rsid w:val="00BC6C7D"/>
    <w:rsid w:val="00BD3CE9"/>
    <w:rsid w:val="00BF2BE4"/>
    <w:rsid w:val="00C033D1"/>
    <w:rsid w:val="00C07BB8"/>
    <w:rsid w:val="00C13297"/>
    <w:rsid w:val="00C170E0"/>
    <w:rsid w:val="00C3447F"/>
    <w:rsid w:val="00C50DFC"/>
    <w:rsid w:val="00C56BC2"/>
    <w:rsid w:val="00C624ED"/>
    <w:rsid w:val="00C62717"/>
    <w:rsid w:val="00CB0970"/>
    <w:rsid w:val="00CC58CA"/>
    <w:rsid w:val="00CD3AF2"/>
    <w:rsid w:val="00CF0F08"/>
    <w:rsid w:val="00D03B5C"/>
    <w:rsid w:val="00D143CF"/>
    <w:rsid w:val="00D31C24"/>
    <w:rsid w:val="00D55503"/>
    <w:rsid w:val="00D64557"/>
    <w:rsid w:val="00D64C71"/>
    <w:rsid w:val="00D7318C"/>
    <w:rsid w:val="00D813A9"/>
    <w:rsid w:val="00D820A7"/>
    <w:rsid w:val="00D8264E"/>
    <w:rsid w:val="00D873F1"/>
    <w:rsid w:val="00D8756A"/>
    <w:rsid w:val="00D93B08"/>
    <w:rsid w:val="00DA4D33"/>
    <w:rsid w:val="00DB0B58"/>
    <w:rsid w:val="00DB2C79"/>
    <w:rsid w:val="00DC0524"/>
    <w:rsid w:val="00DC2898"/>
    <w:rsid w:val="00DD34D6"/>
    <w:rsid w:val="00DF2658"/>
    <w:rsid w:val="00DF2F3E"/>
    <w:rsid w:val="00E07CA3"/>
    <w:rsid w:val="00E15637"/>
    <w:rsid w:val="00E5350C"/>
    <w:rsid w:val="00E55181"/>
    <w:rsid w:val="00E71928"/>
    <w:rsid w:val="00E73158"/>
    <w:rsid w:val="00E764CF"/>
    <w:rsid w:val="00E92C83"/>
    <w:rsid w:val="00EA5B7F"/>
    <w:rsid w:val="00EB66E2"/>
    <w:rsid w:val="00EC62BB"/>
    <w:rsid w:val="00EC635E"/>
    <w:rsid w:val="00ED7BAA"/>
    <w:rsid w:val="00EE31E9"/>
    <w:rsid w:val="00EE3377"/>
    <w:rsid w:val="00EE7C39"/>
    <w:rsid w:val="00F030E0"/>
    <w:rsid w:val="00F16E05"/>
    <w:rsid w:val="00F20B8B"/>
    <w:rsid w:val="00F24496"/>
    <w:rsid w:val="00F27731"/>
    <w:rsid w:val="00F27928"/>
    <w:rsid w:val="00F3222D"/>
    <w:rsid w:val="00F33A96"/>
    <w:rsid w:val="00F34504"/>
    <w:rsid w:val="00F3479A"/>
    <w:rsid w:val="00F4096E"/>
    <w:rsid w:val="00F44901"/>
    <w:rsid w:val="00F44E61"/>
    <w:rsid w:val="00F73F49"/>
    <w:rsid w:val="00F74983"/>
    <w:rsid w:val="00F832E9"/>
    <w:rsid w:val="00F97848"/>
    <w:rsid w:val="00FA30AF"/>
    <w:rsid w:val="00FB0904"/>
    <w:rsid w:val="00FB0C38"/>
    <w:rsid w:val="00FB28C0"/>
    <w:rsid w:val="00FC6B29"/>
    <w:rsid w:val="00FD38B0"/>
    <w:rsid w:val="00FE370E"/>
    <w:rsid w:val="00FF5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554531F"/>
  <w15:chartTrackingRefBased/>
  <w15:docId w15:val="{BA920F87-5915-455E-A8E0-7F394CA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pacing w:line="260" w:lineRule="exact"/>
    </w:pPr>
    <w:rPr>
      <w:sz w:val="22"/>
      <w:lang w:val="lv-LV"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customStyle="1" w:styleId="Balonteksts">
    <w:name w:val="Balonteksts"/>
    <w:basedOn w:val="Normal"/>
    <w:semiHidden/>
    <w:rPr>
      <w:rFonts w:ascii="Tahoma" w:hAnsi="Tahoma" w:cs="Tahoma"/>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iPriority w:val="99"/>
    <w:semiHidden/>
    <w:unhideWhenUsed/>
    <w:rsid w:val="00A66775"/>
    <w:rPr>
      <w:sz w:val="16"/>
      <w:szCs w:val="16"/>
    </w:rPr>
  </w:style>
  <w:style w:type="paragraph" w:styleId="CommentText">
    <w:name w:val="annotation text"/>
    <w:basedOn w:val="Normal"/>
    <w:link w:val="CommentTextChar"/>
    <w:uiPriority w:val="99"/>
    <w:semiHidden/>
    <w:unhideWhenUsed/>
    <w:rsid w:val="00A66775"/>
    <w:rPr>
      <w:sz w:val="20"/>
      <w:lang w:val="x-none"/>
    </w:rPr>
  </w:style>
  <w:style w:type="character" w:customStyle="1" w:styleId="CommentTextChar">
    <w:name w:val="Comment Text Char"/>
    <w:link w:val="CommentText"/>
    <w:uiPriority w:val="99"/>
    <w:semiHidden/>
    <w:rsid w:val="00A66775"/>
    <w:rPr>
      <w:lang w:eastAsia="en-US"/>
    </w:rPr>
  </w:style>
  <w:style w:type="paragraph" w:styleId="CommentSubject">
    <w:name w:val="annotation subject"/>
    <w:basedOn w:val="CommentText"/>
    <w:next w:val="CommentText"/>
    <w:link w:val="CommentSubjectChar"/>
    <w:uiPriority w:val="99"/>
    <w:semiHidden/>
    <w:unhideWhenUsed/>
    <w:rsid w:val="00A66775"/>
    <w:rPr>
      <w:b/>
      <w:bCs/>
    </w:rPr>
  </w:style>
  <w:style w:type="character" w:customStyle="1" w:styleId="CommentSubjectChar">
    <w:name w:val="Comment Subject Char"/>
    <w:link w:val="CommentSubject"/>
    <w:uiPriority w:val="99"/>
    <w:semiHidden/>
    <w:rsid w:val="00A66775"/>
    <w:rPr>
      <w:b/>
      <w:bCs/>
      <w:lang w:eastAsia="en-US"/>
    </w:rPr>
  </w:style>
  <w:style w:type="paragraph" w:styleId="EndnoteText">
    <w:name w:val="endnote text"/>
    <w:basedOn w:val="Normal"/>
    <w:link w:val="EndnoteTextChar"/>
    <w:uiPriority w:val="99"/>
    <w:semiHidden/>
    <w:unhideWhenUsed/>
    <w:rsid w:val="007B70C2"/>
    <w:rPr>
      <w:sz w:val="20"/>
    </w:rPr>
  </w:style>
  <w:style w:type="character" w:customStyle="1" w:styleId="EndnoteTextChar">
    <w:name w:val="Endnote Text Char"/>
    <w:link w:val="EndnoteText"/>
    <w:uiPriority w:val="99"/>
    <w:semiHidden/>
    <w:rsid w:val="007B70C2"/>
    <w:rPr>
      <w:lang w:val="lv-LV" w:eastAsia="en-US"/>
    </w:rPr>
  </w:style>
  <w:style w:type="character" w:styleId="EndnoteReference">
    <w:name w:val="endnote reference"/>
    <w:uiPriority w:val="99"/>
    <w:semiHidden/>
    <w:unhideWhenUsed/>
    <w:rsid w:val="007B70C2"/>
    <w:rPr>
      <w:vertAlign w:val="superscript"/>
    </w:rPr>
  </w:style>
  <w:style w:type="paragraph" w:styleId="ListParagraph">
    <w:name w:val="List Paragraph"/>
    <w:basedOn w:val="Normal"/>
    <w:uiPriority w:val="99"/>
    <w:qFormat/>
    <w:rsid w:val="0019491E"/>
    <w:pPr>
      <w:tabs>
        <w:tab w:val="clear" w:pos="567"/>
      </w:tabs>
      <w:spacing w:line="240" w:lineRule="auto"/>
      <w:ind w:left="720"/>
      <w:contextualSpacing/>
    </w:pPr>
    <w:rPr>
      <w:sz w:val="24"/>
      <w:szCs w:val="24"/>
      <w:lang w:val="en-GB"/>
    </w:rPr>
  </w:style>
  <w:style w:type="character" w:styleId="Emphasis">
    <w:name w:val="Emphasis"/>
    <w:basedOn w:val="DefaultParagraphFont"/>
    <w:uiPriority w:val="20"/>
    <w:qFormat/>
    <w:rsid w:val="00D813A9"/>
    <w:rPr>
      <w:i/>
      <w:iCs/>
    </w:rPr>
  </w:style>
  <w:style w:type="paragraph" w:styleId="Revision">
    <w:name w:val="Revision"/>
    <w:hidden/>
    <w:uiPriority w:val="99"/>
    <w:semiHidden/>
    <w:rsid w:val="008D289B"/>
    <w:rPr>
      <w:sz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817">
      <w:bodyDiv w:val="1"/>
      <w:marLeft w:val="0"/>
      <w:marRight w:val="0"/>
      <w:marTop w:val="0"/>
      <w:marBottom w:val="0"/>
      <w:divBdr>
        <w:top w:val="none" w:sz="0" w:space="0" w:color="auto"/>
        <w:left w:val="none" w:sz="0" w:space="0" w:color="auto"/>
        <w:bottom w:val="none" w:sz="0" w:space="0" w:color="auto"/>
        <w:right w:val="none" w:sz="0" w:space="0" w:color="auto"/>
      </w:divBdr>
    </w:div>
    <w:div w:id="979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04EF02C1AAD4380145226A351C226" ma:contentTypeVersion="14" ma:contentTypeDescription="Create a new document." ma:contentTypeScope="" ma:versionID="177835767636903669ea38f7105944c1">
  <xsd:schema xmlns:xsd="http://www.w3.org/2001/XMLSchema" xmlns:xs="http://www.w3.org/2001/XMLSchema" xmlns:p="http://schemas.microsoft.com/office/2006/metadata/properties" xmlns:ns2="3007b514-9ba0-41e6-be55-763924ff610f" xmlns:ns3="770a7f1b-fb3e-4fc8-aee1-29ddbe0ca6a3" targetNamespace="http://schemas.microsoft.com/office/2006/metadata/properties" ma:root="true" ma:fieldsID="0c48ebf4d4d19f7d200a9df23a4f0478" ns2:_="" ns3:_="">
    <xsd:import namespace="3007b514-9ba0-41e6-be55-763924ff610f"/>
    <xsd:import namespace="770a7f1b-fb3e-4fc8-aee1-29ddbe0ca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CMC"/>
                <xsd:element ref="ns2:Labellin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b514-9ba0-41e6-be55-763924ff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MC" ma:index="19" ma:displayName="CMC" ma:default="0" ma:format="Dropdown" ma:internalName="CMC">
      <xsd:simpleType>
        <xsd:restriction base="dms:Boolean"/>
      </xsd:simpleType>
    </xsd:element>
    <xsd:element name="Labelling" ma:index="20" nillable="true" ma:displayName="Labelling" ma:default="0" ma:format="Dropdown" ma:internalName="Labelling">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a7f1b-fb3e-4fc8-aee1-29ddbe0ca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MC xmlns="3007b514-9ba0-41e6-be55-763924ff610f">false</CMC>
    <Labelling xmlns="3007b514-9ba0-41e6-be55-763924ff610f">false</Labell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E9845-D6DA-4E88-9643-C53F4C6923E0}">
  <ds:schemaRefs>
    <ds:schemaRef ds:uri="http://schemas.openxmlformats.org/officeDocument/2006/bibliography"/>
  </ds:schemaRefs>
</ds:datastoreItem>
</file>

<file path=customXml/itemProps2.xml><?xml version="1.0" encoding="utf-8"?>
<ds:datastoreItem xmlns:ds="http://schemas.openxmlformats.org/officeDocument/2006/customXml" ds:itemID="{531E8756-2061-40E8-8D99-3C0D1DB3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b514-9ba0-41e6-be55-763924ff610f"/>
    <ds:schemaRef ds:uri="770a7f1b-fb3e-4fc8-aee1-29ddbe0c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581B5-F8E1-405F-A4D2-4890371C3ACF}">
  <ds:schemaRefs>
    <ds:schemaRef ds:uri="http://schemas.microsoft.com/office/2006/metadata/properties"/>
    <ds:schemaRef ds:uri="http://schemas.microsoft.com/office/infopath/2007/PartnerControls"/>
    <ds:schemaRef ds:uri="3007b514-9ba0-41e6-be55-763924ff610f"/>
  </ds:schemaRefs>
</ds:datastoreItem>
</file>

<file path=customXml/itemProps4.xml><?xml version="1.0" encoding="utf-8"?>
<ds:datastoreItem xmlns:ds="http://schemas.openxmlformats.org/officeDocument/2006/customXml" ds:itemID="{C1FEFD4A-0835-4125-92AD-F05CCD12D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11641</Words>
  <Characters>6636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Version 7</vt:lpstr>
    </vt:vector>
  </TitlesOfParts>
  <Company>EMEA</Company>
  <LinksUpToDate>false</LinksUpToDate>
  <CharactersWithSpaces>18241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General-EMEA/220798/2008</dc:subject>
  <dc:creator>Rudzite, Anete</dc:creator>
  <cp:keywords/>
  <cp:lastModifiedBy>Skaidrīte Lapsenīte</cp:lastModifiedBy>
  <cp:revision>6</cp:revision>
  <cp:lastPrinted>2013-01-31T15:58:00Z</cp:lastPrinted>
  <dcterms:created xsi:type="dcterms:W3CDTF">2022-01-21T15:29:00Z</dcterms:created>
  <dcterms:modified xsi:type="dcterms:W3CDTF">2022-01-27T13:21:00Z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General-EMEA/220798/2008</vt:lpwstr>
  </property>
  <property fmtid="{D5CDD505-2E9C-101B-9397-08002B2CF9AE}" pid="6" name="DM_Title">
    <vt:lpwstr/>
  </property>
  <property fmtid="{D5CDD505-2E9C-101B-9397-08002B2CF9AE}" pid="7" name="DM_Language">
    <vt:lpwstr/>
  </property>
  <property fmtid="{D5CDD505-2E9C-101B-9397-08002B2CF9AE}" pid="8" name="DM_Name">
    <vt:lpwstr>Hqrdtemplatelv</vt:lpwstr>
  </property>
  <property fmtid="{D5CDD505-2E9C-101B-9397-08002B2CF9AE}" pid="9" name="DM_Owner">
    <vt:lpwstr>Prizzi Monica</vt:lpwstr>
  </property>
  <property fmtid="{D5CDD505-2E9C-101B-9397-08002B2CF9AE}" pid="10" name="DM_Creation_Date">
    <vt:lpwstr>01/07/2008 15:09:17</vt:lpwstr>
  </property>
  <property fmtid="{D5CDD505-2E9C-101B-9397-08002B2CF9AE}" pid="11" name="DM_Creator_Name">
    <vt:lpwstr>Molnar Tunde</vt:lpwstr>
  </property>
  <property fmtid="{D5CDD505-2E9C-101B-9397-08002B2CF9AE}" pid="12" name="DM_Modifer_Name">
    <vt:lpwstr>Molnar Tunde</vt:lpwstr>
  </property>
  <property fmtid="{D5CDD505-2E9C-101B-9397-08002B2CF9AE}" pid="13" name="DM_Modified_Date">
    <vt:lpwstr>01/07/2008 15:09:17</vt:lpwstr>
  </property>
  <property fmtid="{D5CDD505-2E9C-101B-9397-08002B2CF9AE}" pid="14" name="DM_Type">
    <vt:lpwstr>emea_document</vt:lpwstr>
  </property>
  <property fmtid="{D5CDD505-2E9C-101B-9397-08002B2CF9AE}" pid="15" name="DM_Version">
    <vt:lpwstr>0.4, CURRENT</vt:lpwstr>
  </property>
  <property fmtid="{D5CDD505-2E9C-101B-9397-08002B2CF9AE}" pid="16" name="DM_emea_doc_ref_id">
    <vt:lpwstr>EMEA/220798/2008</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220798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2008</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ContentTypeId">
    <vt:lpwstr>0x0101005CF04EF02C1AAD4380145226A351C226</vt:lpwstr>
  </property>
</Properties>
</file>