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A75B" w14:textId="77777777" w:rsidR="000347CC" w:rsidRPr="000C79FE" w:rsidRDefault="000347CC" w:rsidP="000347CC">
      <w:pPr>
        <w:overflowPunct w:val="0"/>
        <w:autoSpaceDE w:val="0"/>
        <w:autoSpaceDN w:val="0"/>
        <w:adjustRightInd w:val="0"/>
        <w:spacing w:after="0" w:line="240" w:lineRule="atLeast"/>
        <w:jc w:val="center"/>
        <w:rPr>
          <w:rFonts w:ascii="Times New Roman" w:eastAsia="Times New Roman" w:hAnsi="Times New Roman" w:cs="Arial"/>
          <w:b/>
          <w:sz w:val="24"/>
          <w:szCs w:val="24"/>
          <w:lang w:val="en-GB"/>
        </w:rPr>
      </w:pPr>
      <w:r w:rsidRPr="000C79FE">
        <w:rPr>
          <w:rFonts w:ascii="Times New Roman" w:eastAsia="Times New Roman" w:hAnsi="Times New Roman" w:cs="Arial"/>
          <w:b/>
          <w:sz w:val="24"/>
          <w:szCs w:val="24"/>
          <w:lang w:val="en-GB"/>
        </w:rPr>
        <w:t>ZĀĻU APRAKSTS</w:t>
      </w:r>
    </w:p>
    <w:p w14:paraId="358C1151" w14:textId="20BB9E57" w:rsidR="000347CC" w:rsidRDefault="000347CC" w:rsidP="00F00C03">
      <w:pPr>
        <w:overflowPunct w:val="0"/>
        <w:autoSpaceDE w:val="0"/>
        <w:autoSpaceDN w:val="0"/>
        <w:adjustRightInd w:val="0"/>
        <w:spacing w:after="0" w:line="240" w:lineRule="auto"/>
        <w:ind w:left="851"/>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p>
    <w:p w14:paraId="4C087B52" w14:textId="77777777" w:rsidR="000347CC" w:rsidRDefault="000347CC" w:rsidP="00F00C03">
      <w:pPr>
        <w:overflowPunct w:val="0"/>
        <w:autoSpaceDE w:val="0"/>
        <w:autoSpaceDN w:val="0"/>
        <w:adjustRightInd w:val="0"/>
        <w:spacing w:after="0" w:line="240" w:lineRule="auto"/>
        <w:ind w:left="851"/>
        <w:rPr>
          <w:rFonts w:ascii="Times New Roman" w:eastAsia="Times New Roman" w:hAnsi="Times New Roman" w:cs="Times New Roman"/>
          <w:b/>
          <w:sz w:val="24"/>
          <w:szCs w:val="24"/>
          <w:lang w:val="en-GB"/>
        </w:rPr>
      </w:pPr>
    </w:p>
    <w:p w14:paraId="2540D6AE" w14:textId="59812F82"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
          <w:color w:val="000000"/>
          <w:sz w:val="24"/>
          <w:szCs w:val="24"/>
          <w:lang w:val="en-US" w:eastAsia="de-DE"/>
        </w:rPr>
      </w:pPr>
      <w:r w:rsidRPr="000347CC">
        <w:rPr>
          <w:rFonts w:ascii="Times New Roman" w:eastAsia="Times New Roman" w:hAnsi="Times New Roman" w:cs="Times New Roman"/>
          <w:b/>
          <w:sz w:val="24"/>
          <w:szCs w:val="24"/>
          <w:lang w:val="en-GB"/>
        </w:rPr>
        <w:t>1.</w:t>
      </w:r>
      <w:r w:rsidRPr="000347CC">
        <w:rPr>
          <w:rFonts w:ascii="Times New Roman" w:eastAsia="Times New Roman" w:hAnsi="Times New Roman" w:cs="Times New Roman"/>
          <w:b/>
          <w:sz w:val="24"/>
          <w:szCs w:val="24"/>
          <w:lang w:val="en-GB"/>
        </w:rPr>
        <w:tab/>
        <w:t>ZĀĻU NOSAUKUMS</w:t>
      </w:r>
    </w:p>
    <w:p w14:paraId="4378A521"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Cs/>
          <w:iCs/>
          <w:sz w:val="24"/>
          <w:szCs w:val="24"/>
          <w:lang w:val="fr-FR"/>
        </w:rPr>
      </w:pPr>
    </w:p>
    <w:p w14:paraId="0663CD9D" w14:textId="38CACB6A" w:rsidR="00F00C03" w:rsidRPr="000347CC" w:rsidRDefault="00F00C03" w:rsidP="00F00C03">
      <w:pPr>
        <w:overflowPunct w:val="0"/>
        <w:autoSpaceDE w:val="0"/>
        <w:autoSpaceDN w:val="0"/>
        <w:adjustRightInd w:val="0"/>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bCs/>
          <w:iCs/>
          <w:sz w:val="24"/>
          <w:szCs w:val="24"/>
          <w:lang w:val="fr-FR"/>
        </w:rPr>
        <w:t>MAGNESIUM Diasporal 295,7 mg</w:t>
      </w:r>
      <w:r w:rsidRPr="000347CC">
        <w:rPr>
          <w:rFonts w:ascii="Times New Roman" w:eastAsia="Times New Roman" w:hAnsi="Times New Roman" w:cs="Times New Roman"/>
          <w:sz w:val="24"/>
          <w:szCs w:val="24"/>
          <w:lang w:val="fr-FR"/>
        </w:rPr>
        <w:t xml:space="preserve"> granulas iekšķīgi lietojama šķīduma pagatavošanai</w:t>
      </w:r>
    </w:p>
    <w:p w14:paraId="0054FAD7" w14:textId="242E5A5A" w:rsidR="00F00C03" w:rsidRPr="000347CC" w:rsidRDefault="00F00C03" w:rsidP="00F00C03">
      <w:pPr>
        <w:pStyle w:val="ListParagraph"/>
        <w:numPr>
          <w:ilvl w:val="0"/>
          <w:numId w:val="6"/>
        </w:numPr>
        <w:overflowPunct w:val="0"/>
        <w:autoSpaceDE w:val="0"/>
        <w:autoSpaceDN w:val="0"/>
        <w:adjustRightInd w:val="0"/>
        <w:spacing w:after="0" w:line="240" w:lineRule="auto"/>
        <w:ind w:left="851" w:firstLine="0"/>
        <w:rPr>
          <w:rFonts w:ascii="Times New Roman" w:eastAsia="Times New Roman" w:hAnsi="Times New Roman" w:cs="Times New Roman"/>
          <w:b/>
          <w:sz w:val="24"/>
          <w:szCs w:val="24"/>
          <w:lang w:val="fr-FR"/>
        </w:rPr>
      </w:pPr>
      <w:r w:rsidRPr="000347CC">
        <w:rPr>
          <w:rFonts w:ascii="Times New Roman" w:eastAsia="Times New Roman" w:hAnsi="Times New Roman" w:cs="Times New Roman"/>
          <w:b/>
          <w:sz w:val="24"/>
          <w:szCs w:val="24"/>
          <w:lang w:val="fr-FR"/>
        </w:rPr>
        <w:t xml:space="preserve">KVALITATĪVAIS UN KVANTITATĪVAIS </w:t>
      </w:r>
    </w:p>
    <w:p w14:paraId="5727B929" w14:textId="77777777" w:rsidR="00F00C03" w:rsidRPr="000347CC" w:rsidRDefault="00F00C03" w:rsidP="00F00C03">
      <w:pPr>
        <w:pStyle w:val="ListParagraph"/>
        <w:overflowPunct w:val="0"/>
        <w:autoSpaceDE w:val="0"/>
        <w:autoSpaceDN w:val="0"/>
        <w:adjustRightInd w:val="0"/>
        <w:spacing w:after="0" w:line="240" w:lineRule="auto"/>
        <w:ind w:left="851"/>
        <w:rPr>
          <w:rFonts w:ascii="Times New Roman" w:eastAsia="Times New Roman" w:hAnsi="Times New Roman" w:cs="Times New Roman"/>
          <w:b/>
          <w:color w:val="000000"/>
          <w:sz w:val="24"/>
          <w:szCs w:val="24"/>
          <w:lang w:val="fr-FR" w:eastAsia="de-DE"/>
        </w:rPr>
      </w:pPr>
      <w:r w:rsidRPr="000347CC">
        <w:rPr>
          <w:rFonts w:ascii="Times New Roman" w:eastAsia="Times New Roman" w:hAnsi="Times New Roman" w:cs="Times New Roman"/>
          <w:b/>
          <w:sz w:val="24"/>
          <w:szCs w:val="24"/>
          <w:lang w:val="fr-FR"/>
        </w:rPr>
        <w:t>SASTĀVS</w:t>
      </w:r>
    </w:p>
    <w:p w14:paraId="29F7366F" w14:textId="77777777" w:rsidR="00F00C03" w:rsidRPr="000347CC" w:rsidRDefault="00F00C03" w:rsidP="00F00C03">
      <w:pPr>
        <w:overflowPunct w:val="0"/>
        <w:autoSpaceDE w:val="0"/>
        <w:autoSpaceDN w:val="0"/>
        <w:adjustRightInd w:val="0"/>
        <w:spacing w:after="0" w:line="240" w:lineRule="auto"/>
        <w:ind w:left="851" w:firstLine="709"/>
        <w:rPr>
          <w:rFonts w:ascii="Times New Roman" w:eastAsia="Times New Roman" w:hAnsi="Times New Roman" w:cs="Times New Roman"/>
          <w:sz w:val="24"/>
          <w:szCs w:val="24"/>
          <w:lang w:val="fr-FR"/>
        </w:rPr>
      </w:pPr>
    </w:p>
    <w:p w14:paraId="0BF00EB4" w14:textId="2D71D481"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sz w:val="24"/>
          <w:szCs w:val="24"/>
          <w:lang w:val="fr-FR"/>
        </w:rPr>
        <w:t>Viena paciņa (5,0 g) satur 1830 mg magnija citrāta</w:t>
      </w:r>
      <w:r w:rsidRPr="000347CC">
        <w:rPr>
          <w:rFonts w:ascii="Times New Roman" w:eastAsia="Times New Roman" w:hAnsi="Times New Roman" w:cs="Times New Roman"/>
          <w:sz w:val="24"/>
          <w:szCs w:val="24"/>
          <w:lang w:val="sv-SE"/>
        </w:rPr>
        <w:t>, kas atbilst 295,7 mg magnija</w:t>
      </w:r>
      <w:r w:rsidR="00B852B8" w:rsidRPr="000347CC">
        <w:rPr>
          <w:rFonts w:ascii="Times New Roman" w:eastAsia="Times New Roman" w:hAnsi="Times New Roman" w:cs="Times New Roman"/>
          <w:sz w:val="24"/>
          <w:szCs w:val="24"/>
          <w:lang w:val="sv-SE"/>
        </w:rPr>
        <w:t xml:space="preserve"> (</w:t>
      </w:r>
      <w:r w:rsidR="00B852B8" w:rsidRPr="000347CC">
        <w:rPr>
          <w:rFonts w:ascii="Times New Roman" w:eastAsia="Times New Roman" w:hAnsi="Times New Roman" w:cs="Times New Roman"/>
          <w:i/>
          <w:iCs/>
          <w:sz w:val="24"/>
          <w:szCs w:val="24"/>
          <w:lang w:val="sv-SE"/>
        </w:rPr>
        <w:t>magnesium</w:t>
      </w:r>
      <w:r w:rsidR="00B852B8" w:rsidRPr="000347CC">
        <w:rPr>
          <w:rFonts w:ascii="Times New Roman" w:eastAsia="Times New Roman" w:hAnsi="Times New Roman" w:cs="Times New Roman"/>
          <w:sz w:val="24"/>
          <w:szCs w:val="24"/>
          <w:lang w:val="sv-SE"/>
        </w:rPr>
        <w:t>)</w:t>
      </w:r>
      <w:r w:rsidRPr="000347CC">
        <w:rPr>
          <w:rFonts w:ascii="Times New Roman" w:eastAsia="Times New Roman" w:hAnsi="Times New Roman" w:cs="Times New Roman"/>
          <w:sz w:val="24"/>
          <w:szCs w:val="24"/>
          <w:lang w:val="sv-SE"/>
        </w:rPr>
        <w:t>.</w:t>
      </w:r>
      <w:r w:rsidRPr="000347CC">
        <w:rPr>
          <w:rFonts w:ascii="Times New Roman" w:eastAsia="Times New Roman" w:hAnsi="Times New Roman" w:cs="Times New Roman"/>
          <w:sz w:val="24"/>
          <w:szCs w:val="24"/>
          <w:lang w:val="fr-FR"/>
        </w:rPr>
        <w:t xml:space="preserve"> </w:t>
      </w:r>
    </w:p>
    <w:p w14:paraId="1370C2B8"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fr-FR"/>
        </w:rPr>
      </w:pPr>
    </w:p>
    <w:p w14:paraId="4DFFD988" w14:textId="77777777" w:rsidR="00F00C03" w:rsidRPr="000347CC" w:rsidRDefault="00F00C03" w:rsidP="00F00C03">
      <w:pPr>
        <w:tabs>
          <w:tab w:val="left" w:pos="2977"/>
          <w:tab w:val="left" w:pos="4962"/>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r w:rsidRPr="000347CC">
        <w:rPr>
          <w:rFonts w:ascii="Times New Roman" w:eastAsia="Times New Roman" w:hAnsi="Times New Roman" w:cs="Times New Roman"/>
          <w:color w:val="000000"/>
          <w:sz w:val="24"/>
          <w:szCs w:val="24"/>
          <w:u w:val="single"/>
          <w:lang w:val="fr-FR" w:eastAsia="de-DE"/>
        </w:rPr>
        <w:t>Palīgviela ar zināmu iedarbību</w:t>
      </w:r>
      <w:r w:rsidRPr="000347CC">
        <w:rPr>
          <w:rFonts w:ascii="Times New Roman" w:eastAsia="Times New Roman" w:hAnsi="Times New Roman" w:cs="Times New Roman"/>
          <w:color w:val="000000"/>
          <w:sz w:val="24"/>
          <w:szCs w:val="24"/>
          <w:lang w:val="fr-FR" w:eastAsia="de-DE"/>
        </w:rPr>
        <w:t xml:space="preserve">: </w:t>
      </w:r>
    </w:p>
    <w:p w14:paraId="6B490933" w14:textId="2FAD1601" w:rsidR="00F00C03" w:rsidRPr="000347CC" w:rsidRDefault="00F00C03" w:rsidP="00F00C03">
      <w:pPr>
        <w:tabs>
          <w:tab w:val="left" w:pos="2977"/>
          <w:tab w:val="left" w:pos="4962"/>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r w:rsidRPr="000347CC">
        <w:rPr>
          <w:rFonts w:ascii="Times New Roman" w:eastAsia="Times New Roman" w:hAnsi="Times New Roman" w:cs="Times New Roman"/>
          <w:sz w:val="24"/>
          <w:szCs w:val="24"/>
          <w:lang w:val="fr-FR"/>
        </w:rPr>
        <w:t>Viena paciņa satur</w:t>
      </w:r>
      <w:r w:rsidR="009802A6" w:rsidRPr="000347CC">
        <w:rPr>
          <w:rFonts w:ascii="Times New Roman" w:eastAsia="Times New Roman" w:hAnsi="Times New Roman" w:cs="Times New Roman"/>
          <w:sz w:val="24"/>
          <w:szCs w:val="24"/>
          <w:lang w:val="fr-FR"/>
        </w:rPr>
        <w:t xml:space="preserve"> </w:t>
      </w:r>
    </w:p>
    <w:p w14:paraId="6BF2DEB6" w14:textId="23586B4B" w:rsidR="00F00C03" w:rsidRPr="000347CC" w:rsidRDefault="00F00C03" w:rsidP="00F00C03">
      <w:pPr>
        <w:tabs>
          <w:tab w:val="left" w:pos="2977"/>
          <w:tab w:val="left" w:pos="4962"/>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r w:rsidRPr="000347CC">
        <w:rPr>
          <w:rFonts w:ascii="Times New Roman" w:eastAsia="Times New Roman" w:hAnsi="Times New Roman" w:cs="Times New Roman"/>
          <w:color w:val="000000"/>
          <w:sz w:val="24"/>
          <w:szCs w:val="24"/>
          <w:lang w:val="fr-FR" w:eastAsia="de-DE"/>
        </w:rPr>
        <w:t xml:space="preserve">saharozi </w:t>
      </w:r>
      <w:r w:rsidR="00AD4DA3" w:rsidRPr="000347CC">
        <w:rPr>
          <w:rFonts w:ascii="Times New Roman" w:eastAsia="Times New Roman" w:hAnsi="Times New Roman" w:cs="Times New Roman"/>
          <w:color w:val="000000"/>
          <w:sz w:val="24"/>
          <w:szCs w:val="24"/>
          <w:lang w:val="fr-FR" w:eastAsia="de-DE"/>
        </w:rPr>
        <w:t xml:space="preserve">- </w:t>
      </w:r>
      <w:r w:rsidRPr="000347CC">
        <w:rPr>
          <w:rFonts w:ascii="Times New Roman" w:eastAsia="Times New Roman" w:hAnsi="Times New Roman" w:cs="Times New Roman"/>
          <w:color w:val="000000"/>
          <w:sz w:val="24"/>
          <w:szCs w:val="24"/>
          <w:lang w:val="fr-FR" w:eastAsia="de-DE"/>
        </w:rPr>
        <w:t>2341,2 mg</w:t>
      </w:r>
    </w:p>
    <w:p w14:paraId="5F56EF9D" w14:textId="6201A309"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r w:rsidRPr="000347CC">
        <w:rPr>
          <w:rFonts w:ascii="Times New Roman" w:eastAsia="Times New Roman" w:hAnsi="Times New Roman" w:cs="Times New Roman"/>
          <w:color w:val="000000"/>
          <w:sz w:val="24"/>
          <w:szCs w:val="24"/>
          <w:lang w:val="fr-FR" w:eastAsia="de-DE"/>
        </w:rPr>
        <w:t xml:space="preserve">nātriju </w:t>
      </w:r>
      <w:r w:rsidR="00AD4DA3" w:rsidRPr="000347CC">
        <w:rPr>
          <w:rFonts w:ascii="Times New Roman" w:eastAsia="Times New Roman" w:hAnsi="Times New Roman" w:cs="Times New Roman"/>
          <w:color w:val="000000"/>
          <w:sz w:val="24"/>
          <w:szCs w:val="24"/>
          <w:lang w:val="fr-FR" w:eastAsia="de-DE"/>
        </w:rPr>
        <w:t xml:space="preserve">- </w:t>
      </w:r>
      <w:r w:rsidRPr="000347CC">
        <w:rPr>
          <w:rFonts w:ascii="Times New Roman" w:eastAsia="Times New Roman" w:hAnsi="Times New Roman" w:cs="Times New Roman"/>
          <w:color w:val="000000"/>
          <w:sz w:val="24"/>
          <w:szCs w:val="24"/>
          <w:lang w:val="fr-FR" w:eastAsia="de-DE"/>
        </w:rPr>
        <w:t>40 mg</w:t>
      </w:r>
    </w:p>
    <w:p w14:paraId="253351D9" w14:textId="77777777" w:rsidR="00F00C03" w:rsidRPr="000347CC" w:rsidRDefault="00F00C03" w:rsidP="00F00C03">
      <w:pPr>
        <w:tabs>
          <w:tab w:val="left" w:pos="2977"/>
          <w:tab w:val="left" w:pos="4962"/>
        </w:tabs>
        <w:overflowPunct w:val="0"/>
        <w:autoSpaceDE w:val="0"/>
        <w:autoSpaceDN w:val="0"/>
        <w:adjustRightInd w:val="0"/>
        <w:spacing w:after="0" w:line="240" w:lineRule="auto"/>
        <w:ind w:left="851"/>
        <w:rPr>
          <w:rFonts w:ascii="Times New Roman" w:eastAsia="Times New Roman" w:hAnsi="Times New Roman" w:cs="Times New Roman"/>
          <w:sz w:val="24"/>
          <w:szCs w:val="24"/>
          <w:lang w:val="fr-FR"/>
        </w:rPr>
      </w:pPr>
    </w:p>
    <w:p w14:paraId="3CD7B651"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r w:rsidRPr="000347CC">
        <w:rPr>
          <w:rFonts w:ascii="Times New Roman" w:eastAsia="Times New Roman" w:hAnsi="Times New Roman" w:cs="Times New Roman"/>
          <w:sz w:val="24"/>
          <w:szCs w:val="24"/>
          <w:lang w:val="fr-FR"/>
        </w:rPr>
        <w:t xml:space="preserve">Pilnu palīgvielu sarakstu skatīt 6.1. apakšpunktā. </w:t>
      </w:r>
    </w:p>
    <w:p w14:paraId="65FB28F6" w14:textId="77777777" w:rsidR="00F00C03" w:rsidRPr="000347CC" w:rsidRDefault="00F00C03" w:rsidP="00F00C03">
      <w:pPr>
        <w:overflowPunct w:val="0"/>
        <w:autoSpaceDE w:val="0"/>
        <w:autoSpaceDN w:val="0"/>
        <w:adjustRightInd w:val="0"/>
        <w:ind w:left="851"/>
        <w:rPr>
          <w:rFonts w:ascii="Times New Roman" w:eastAsia="Times New Roman" w:hAnsi="Times New Roman" w:cs="Times New Roman"/>
          <w:b/>
          <w:sz w:val="24"/>
          <w:szCs w:val="24"/>
          <w:lang w:val="fr-FR"/>
        </w:rPr>
      </w:pPr>
    </w:p>
    <w:p w14:paraId="3A7A1C04" w14:textId="4F52DBE5"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
          <w:color w:val="000000"/>
          <w:sz w:val="24"/>
          <w:szCs w:val="24"/>
          <w:lang w:val="fr-FR" w:eastAsia="de-DE"/>
        </w:rPr>
      </w:pPr>
      <w:r w:rsidRPr="000347CC">
        <w:rPr>
          <w:rFonts w:ascii="Times New Roman" w:eastAsia="Times New Roman" w:hAnsi="Times New Roman" w:cs="Times New Roman"/>
          <w:b/>
          <w:sz w:val="24"/>
          <w:szCs w:val="24"/>
          <w:lang w:val="fr-FR"/>
        </w:rPr>
        <w:t>3.</w:t>
      </w:r>
      <w:r w:rsidRPr="000347CC">
        <w:rPr>
          <w:rFonts w:ascii="Times New Roman" w:eastAsia="Times New Roman" w:hAnsi="Times New Roman" w:cs="Times New Roman"/>
          <w:b/>
          <w:sz w:val="24"/>
          <w:szCs w:val="24"/>
          <w:lang w:val="fr-FR"/>
        </w:rPr>
        <w:tab/>
        <w:t xml:space="preserve">ZĀĻU FORMA </w:t>
      </w:r>
    </w:p>
    <w:p w14:paraId="79919014"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fr-FR"/>
        </w:rPr>
      </w:pPr>
    </w:p>
    <w:p w14:paraId="60514C2B" w14:textId="11E2BF9D"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sz w:val="24"/>
          <w:szCs w:val="24"/>
          <w:lang w:val="fr-FR"/>
        </w:rPr>
        <w:t xml:space="preserve">Granulas iekšķīgi lietojama šķīduma pagatavošanai. </w:t>
      </w:r>
    </w:p>
    <w:p w14:paraId="29E40608" w14:textId="47F7194B"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eastAsia="de-DE"/>
        </w:rPr>
      </w:pPr>
      <w:r w:rsidRPr="000347CC">
        <w:rPr>
          <w:rFonts w:ascii="Times New Roman" w:eastAsia="Times New Roman" w:hAnsi="Times New Roman" w:cs="Times New Roman"/>
          <w:sz w:val="24"/>
          <w:szCs w:val="24"/>
        </w:rPr>
        <w:t>Dzeltenas granulas ar apelsīnu garšu un smaržu.</w:t>
      </w:r>
    </w:p>
    <w:p w14:paraId="2BC836C7"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eastAsia="de-DE"/>
        </w:rPr>
      </w:pPr>
    </w:p>
    <w:p w14:paraId="3AEA29EA"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
          <w:color w:val="000000"/>
          <w:sz w:val="24"/>
          <w:szCs w:val="24"/>
          <w:lang w:val="fr-FR" w:eastAsia="de-DE"/>
        </w:rPr>
      </w:pPr>
      <w:r w:rsidRPr="000347CC">
        <w:rPr>
          <w:rFonts w:ascii="Times New Roman" w:eastAsia="Times New Roman" w:hAnsi="Times New Roman" w:cs="Times New Roman"/>
          <w:b/>
          <w:sz w:val="24"/>
          <w:szCs w:val="24"/>
          <w:lang w:val="fr-FR"/>
        </w:rPr>
        <w:t>4 . KLĪNISKĀ INFORMĀCIJA</w:t>
      </w:r>
    </w:p>
    <w:p w14:paraId="4456C3A2"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p>
    <w:p w14:paraId="4F9BFE95"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sz w:val="24"/>
          <w:szCs w:val="24"/>
          <w:lang w:val="fr-FR"/>
        </w:rPr>
      </w:pPr>
      <w:r w:rsidRPr="000347CC">
        <w:rPr>
          <w:rFonts w:ascii="Times New Roman" w:eastAsia="Times New Roman" w:hAnsi="Times New Roman" w:cs="Times New Roman"/>
          <w:b/>
          <w:sz w:val="24"/>
          <w:szCs w:val="24"/>
          <w:lang w:val="fr-FR"/>
        </w:rPr>
        <w:t xml:space="preserve">4.1. </w:t>
      </w:r>
      <w:r w:rsidRPr="000347CC">
        <w:rPr>
          <w:rFonts w:ascii="Times New Roman" w:eastAsia="Times New Roman" w:hAnsi="Times New Roman" w:cs="Times New Roman"/>
          <w:b/>
          <w:sz w:val="24"/>
          <w:szCs w:val="24"/>
          <w:lang w:val="fr-FR"/>
        </w:rPr>
        <w:tab/>
        <w:t>Terapeitiskās indikācijas</w:t>
      </w:r>
    </w:p>
    <w:p w14:paraId="6084C1C9" w14:textId="77777777" w:rsidR="00F00C03" w:rsidRPr="000347CC" w:rsidRDefault="00F00C03" w:rsidP="00F00C03">
      <w:pPr>
        <w:tabs>
          <w:tab w:val="left" w:pos="580"/>
        </w:tabs>
        <w:overflowPunct w:val="0"/>
        <w:autoSpaceDE w:val="0"/>
        <w:autoSpaceDN w:val="0"/>
        <w:adjustRightInd w:val="0"/>
        <w:spacing w:after="0" w:line="240" w:lineRule="auto"/>
        <w:ind w:left="851" w:right="-1"/>
        <w:rPr>
          <w:rFonts w:ascii="Times New Roman" w:eastAsia="Times New Roman" w:hAnsi="Times New Roman" w:cs="Times New Roman"/>
          <w:sz w:val="24"/>
          <w:szCs w:val="24"/>
          <w:lang w:val="fr-FR"/>
        </w:rPr>
      </w:pPr>
      <w:bookmarkStart w:id="0" w:name="_Hlk50557109"/>
      <w:r w:rsidRPr="000347CC">
        <w:rPr>
          <w:rFonts w:ascii="Times New Roman" w:eastAsia="Times New Roman" w:hAnsi="Times New Roman" w:cs="Times New Roman"/>
          <w:sz w:val="24"/>
          <w:szCs w:val="24"/>
          <w:lang w:val="fr-FR"/>
        </w:rPr>
        <w:t xml:space="preserve">Magnija deficīta ārstēšanai un profilaksei pieaugušajiem. </w:t>
      </w:r>
      <w:bookmarkEnd w:id="0"/>
    </w:p>
    <w:p w14:paraId="27BF2327"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
          <w:sz w:val="24"/>
          <w:szCs w:val="24"/>
          <w:lang w:val="fr-FR"/>
        </w:rPr>
      </w:pPr>
    </w:p>
    <w:p w14:paraId="6AB44B42"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
          <w:color w:val="000000"/>
          <w:sz w:val="24"/>
          <w:szCs w:val="24"/>
          <w:lang w:val="fr-FR" w:eastAsia="de-DE"/>
        </w:rPr>
      </w:pPr>
      <w:r w:rsidRPr="000347CC">
        <w:rPr>
          <w:rFonts w:ascii="Times New Roman" w:eastAsia="Times New Roman" w:hAnsi="Times New Roman" w:cs="Times New Roman"/>
          <w:b/>
          <w:sz w:val="24"/>
          <w:szCs w:val="24"/>
          <w:lang w:val="fr-FR"/>
        </w:rPr>
        <w:t xml:space="preserve">4.2. </w:t>
      </w:r>
      <w:r w:rsidRPr="000347CC">
        <w:rPr>
          <w:rFonts w:ascii="Times New Roman" w:eastAsia="Times New Roman" w:hAnsi="Times New Roman" w:cs="Times New Roman"/>
          <w:b/>
          <w:sz w:val="24"/>
          <w:szCs w:val="24"/>
          <w:lang w:val="fr-FR"/>
        </w:rPr>
        <w:tab/>
        <w:t>Devas un lietošanas veids</w:t>
      </w:r>
    </w:p>
    <w:p w14:paraId="2E4D42DA" w14:textId="77777777" w:rsidR="00F00C03" w:rsidRPr="000347CC" w:rsidRDefault="00F00C03" w:rsidP="00F00C03">
      <w:pPr>
        <w:spacing w:after="0" w:line="240" w:lineRule="auto"/>
        <w:ind w:left="851"/>
        <w:rPr>
          <w:rFonts w:ascii="Times New Roman" w:eastAsia="Times New Roman" w:hAnsi="Times New Roman" w:cs="Times New Roman"/>
          <w:sz w:val="24"/>
          <w:szCs w:val="24"/>
          <w:u w:val="single"/>
          <w:lang w:val="fr-FR"/>
        </w:rPr>
      </w:pPr>
      <w:r w:rsidRPr="000347CC">
        <w:rPr>
          <w:rFonts w:ascii="Times New Roman" w:eastAsia="Times New Roman" w:hAnsi="Times New Roman" w:cs="Times New Roman"/>
          <w:sz w:val="24"/>
          <w:szCs w:val="24"/>
          <w:u w:val="single"/>
          <w:lang w:val="fr-FR"/>
        </w:rPr>
        <w:t>Devas</w:t>
      </w:r>
    </w:p>
    <w:p w14:paraId="650A7824"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sz w:val="24"/>
          <w:szCs w:val="24"/>
          <w:lang w:val="fr-FR"/>
        </w:rPr>
        <w:t xml:space="preserve">Pieaugušajiem: 1 paciņa granulu dienā (295,7 mg magnija). </w:t>
      </w:r>
    </w:p>
    <w:p w14:paraId="5DAFD9D6"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p>
    <w:p w14:paraId="3E44E200"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i/>
          <w:sz w:val="24"/>
          <w:szCs w:val="24"/>
          <w:lang w:val="fr-FR"/>
        </w:rPr>
        <w:t>Pediatriskā populācija</w:t>
      </w:r>
    </w:p>
    <w:p w14:paraId="739EEC1E" w14:textId="77777777" w:rsidR="00F00C03" w:rsidRPr="000347CC" w:rsidRDefault="00F00C03" w:rsidP="00F00C03">
      <w:pPr>
        <w:pStyle w:val="knZulassung01"/>
        <w:tabs>
          <w:tab w:val="clear" w:pos="1843"/>
          <w:tab w:val="left" w:pos="2127"/>
        </w:tabs>
        <w:spacing w:line="240" w:lineRule="auto"/>
        <w:ind w:left="851" w:right="0" w:firstLine="0"/>
        <w:rPr>
          <w:color w:val="auto"/>
          <w:sz w:val="24"/>
          <w:szCs w:val="24"/>
          <w:lang w:val="fr-FR"/>
        </w:rPr>
      </w:pPr>
      <w:r w:rsidRPr="000347CC">
        <w:rPr>
          <w:sz w:val="24"/>
          <w:szCs w:val="24"/>
          <w:lang w:val="fr-FR"/>
        </w:rPr>
        <w:t xml:space="preserve">MAGNESIUM Diasporal 295,7 mg granulu drošums un efektivitāte, lietojot bērniem un pusaudžiem, nav pierādīta. </w:t>
      </w:r>
      <w:r w:rsidRPr="000347CC">
        <w:rPr>
          <w:sz w:val="24"/>
          <w:szCs w:val="24"/>
          <w:lang w:val="lv-LV"/>
        </w:rPr>
        <w:t>Tādēļ bērniem un pusaudžiem nav ieteicams lietot.</w:t>
      </w:r>
      <w:r w:rsidRPr="000347CC">
        <w:rPr>
          <w:sz w:val="24"/>
          <w:szCs w:val="24"/>
          <w:lang w:val="fr-FR"/>
        </w:rPr>
        <w:t xml:space="preserve"> </w:t>
      </w:r>
    </w:p>
    <w:p w14:paraId="014B91CA" w14:textId="77777777" w:rsidR="00F00C03" w:rsidRPr="000347CC" w:rsidRDefault="00F00C03" w:rsidP="00F00C03">
      <w:pPr>
        <w:spacing w:after="0" w:line="240" w:lineRule="auto"/>
        <w:ind w:left="851"/>
        <w:rPr>
          <w:rFonts w:ascii="Times New Roman" w:eastAsia="Times New Roman" w:hAnsi="Times New Roman" w:cs="Times New Roman"/>
          <w:i/>
          <w:sz w:val="24"/>
          <w:szCs w:val="24"/>
          <w:lang w:val="fr-FR"/>
        </w:rPr>
      </w:pPr>
      <w:r w:rsidRPr="000347CC">
        <w:rPr>
          <w:rFonts w:ascii="Times New Roman" w:eastAsia="Times New Roman" w:hAnsi="Times New Roman" w:cs="Times New Roman"/>
          <w:i/>
          <w:sz w:val="24"/>
          <w:szCs w:val="24"/>
          <w:lang w:val="fr-FR"/>
        </w:rPr>
        <w:t>Nieru darbības traucējumi</w:t>
      </w:r>
    </w:p>
    <w:p w14:paraId="4B24A51C"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sz w:val="24"/>
          <w:szCs w:val="24"/>
          <w:lang w:val="fr-FR"/>
        </w:rPr>
        <w:t>MAGNESIUM Diasporal 295,7 mg granulas ir kontrindicētas pacientiem ar smagiem nieru darbības traucējumiem (skatīt 4.3. apakšpunktu).</w:t>
      </w:r>
    </w:p>
    <w:p w14:paraId="57DEFBE3"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p>
    <w:p w14:paraId="27481AE4" w14:textId="77777777" w:rsidR="00F00C03" w:rsidRPr="000347CC" w:rsidRDefault="00F00C03" w:rsidP="00F00C03">
      <w:pPr>
        <w:spacing w:after="0" w:line="240" w:lineRule="auto"/>
        <w:ind w:left="851"/>
        <w:rPr>
          <w:rFonts w:ascii="Times New Roman" w:eastAsia="Times New Roman" w:hAnsi="Times New Roman" w:cs="Times New Roman"/>
          <w:sz w:val="24"/>
          <w:szCs w:val="24"/>
          <w:u w:val="single"/>
          <w:lang w:val="fr-FR"/>
        </w:rPr>
      </w:pPr>
      <w:r w:rsidRPr="000347CC">
        <w:rPr>
          <w:rFonts w:ascii="Times New Roman" w:eastAsia="Times New Roman" w:hAnsi="Times New Roman" w:cs="Times New Roman"/>
          <w:sz w:val="24"/>
          <w:szCs w:val="24"/>
          <w:u w:val="single"/>
          <w:lang w:val="fr-FR"/>
        </w:rPr>
        <w:t>Lietošanas veids</w:t>
      </w:r>
    </w:p>
    <w:p w14:paraId="143C63A3"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sz w:val="24"/>
          <w:szCs w:val="24"/>
          <w:lang w:val="fr-FR"/>
        </w:rPr>
        <w:t>Iekšķīgai lietošanai pēc izšķīdināšanas ūdenī.</w:t>
      </w:r>
    </w:p>
    <w:p w14:paraId="6BC730A4"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sz w:val="24"/>
          <w:szCs w:val="24"/>
          <w:lang w:val="fr-FR"/>
        </w:rPr>
        <w:t>Izšķīdiniet 1 paciņu Magnesium Diasporal 295,7 mg granulu pusglāzē sulas, tējas vai ūdens un uzreiz izdzeriet.</w:t>
      </w:r>
    </w:p>
    <w:p w14:paraId="054A9184"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p>
    <w:p w14:paraId="18BD2D74" w14:textId="77777777" w:rsidR="00F00C03" w:rsidRPr="000347CC" w:rsidRDefault="00F00C03" w:rsidP="00F00C03">
      <w:pPr>
        <w:tabs>
          <w:tab w:val="left" w:pos="567"/>
          <w:tab w:val="left" w:pos="1843"/>
        </w:tabs>
        <w:overflowPunct w:val="0"/>
        <w:autoSpaceDE w:val="0"/>
        <w:autoSpaceDN w:val="0"/>
        <w:adjustRightInd w:val="0"/>
        <w:spacing w:after="0" w:line="240" w:lineRule="auto"/>
        <w:ind w:left="851"/>
        <w:jc w:val="both"/>
        <w:rPr>
          <w:rFonts w:ascii="Times New Roman" w:eastAsia="Times New Roman" w:hAnsi="Times New Roman" w:cs="Times New Roman"/>
          <w:snapToGrid w:val="0"/>
          <w:sz w:val="24"/>
          <w:szCs w:val="24"/>
          <w:u w:val="single"/>
          <w:lang w:val="fr-FR" w:eastAsia="lv-LV"/>
        </w:rPr>
      </w:pPr>
      <w:r w:rsidRPr="000347CC">
        <w:rPr>
          <w:rFonts w:ascii="Times New Roman" w:eastAsia="Times New Roman" w:hAnsi="Times New Roman" w:cs="Times New Roman"/>
          <w:snapToGrid w:val="0"/>
          <w:sz w:val="24"/>
          <w:szCs w:val="24"/>
          <w:u w:val="single"/>
          <w:lang w:val="fr-FR" w:eastAsia="lv-LV"/>
        </w:rPr>
        <w:t>Zāļu lietošanas ilgums</w:t>
      </w:r>
    </w:p>
    <w:p w14:paraId="2C856CF8" w14:textId="77777777" w:rsidR="00F00C03" w:rsidRPr="000347CC" w:rsidRDefault="00F00C03" w:rsidP="00F00C03">
      <w:pPr>
        <w:tabs>
          <w:tab w:val="left" w:pos="567"/>
          <w:tab w:val="left" w:pos="1843"/>
        </w:tabs>
        <w:overflowPunct w:val="0"/>
        <w:autoSpaceDE w:val="0"/>
        <w:autoSpaceDN w:val="0"/>
        <w:adjustRightInd w:val="0"/>
        <w:spacing w:after="0" w:line="240" w:lineRule="auto"/>
        <w:ind w:left="851"/>
        <w:jc w:val="both"/>
        <w:rPr>
          <w:rFonts w:ascii="Times New Roman" w:eastAsia="Times New Roman" w:hAnsi="Times New Roman" w:cs="Times New Roman"/>
          <w:snapToGrid w:val="0"/>
          <w:sz w:val="24"/>
          <w:szCs w:val="24"/>
          <w:lang w:val="fr-FR" w:eastAsia="lv-LV"/>
        </w:rPr>
      </w:pPr>
      <w:r w:rsidRPr="000347CC">
        <w:rPr>
          <w:rFonts w:ascii="Times New Roman" w:eastAsia="Times New Roman" w:hAnsi="Times New Roman" w:cs="Times New Roman"/>
          <w:snapToGrid w:val="0"/>
          <w:sz w:val="24"/>
          <w:szCs w:val="24"/>
          <w:lang w:val="fr-FR" w:eastAsia="lv-LV"/>
        </w:rPr>
        <w:t>Zāļu lietošanas ilgums ir atkarīgs no magnija deficīta pakāpes un par to jākonsultējas ar ārstu.</w:t>
      </w:r>
    </w:p>
    <w:p w14:paraId="7117F355" w14:textId="77777777" w:rsidR="00F00C03" w:rsidRPr="000347CC" w:rsidRDefault="00F00C03" w:rsidP="00F00C03">
      <w:pPr>
        <w:tabs>
          <w:tab w:val="left" w:pos="567"/>
          <w:tab w:val="left" w:pos="1843"/>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p>
    <w:p w14:paraId="3EDEF03A"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sz w:val="24"/>
          <w:szCs w:val="24"/>
          <w:lang w:val="fr-FR"/>
        </w:rPr>
      </w:pPr>
    </w:p>
    <w:p w14:paraId="09B2ADBA"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fr-FR" w:eastAsia="de-DE"/>
        </w:rPr>
      </w:pPr>
      <w:r w:rsidRPr="000347CC">
        <w:rPr>
          <w:rFonts w:ascii="Times New Roman" w:eastAsia="Times New Roman" w:hAnsi="Times New Roman" w:cs="Times New Roman"/>
          <w:b/>
          <w:sz w:val="24"/>
          <w:szCs w:val="24"/>
          <w:lang w:val="fr-FR"/>
        </w:rPr>
        <w:t xml:space="preserve">4.3. </w:t>
      </w:r>
      <w:r w:rsidRPr="000347CC">
        <w:rPr>
          <w:rFonts w:ascii="Times New Roman" w:eastAsia="Times New Roman" w:hAnsi="Times New Roman" w:cs="Times New Roman"/>
          <w:b/>
          <w:sz w:val="24"/>
          <w:szCs w:val="24"/>
          <w:lang w:val="fr-FR"/>
        </w:rPr>
        <w:tab/>
        <w:t>Kontrindikācijas</w:t>
      </w:r>
    </w:p>
    <w:p w14:paraId="26BF6514" w14:textId="77777777" w:rsidR="00F00C03" w:rsidRPr="000347CC" w:rsidRDefault="00F00C03" w:rsidP="00F00C03">
      <w:pPr>
        <w:widowControl w:val="0"/>
        <w:tabs>
          <w:tab w:val="left" w:pos="567"/>
          <w:tab w:val="left" w:pos="1843"/>
        </w:tabs>
        <w:overflowPunct w:val="0"/>
        <w:autoSpaceDE w:val="0"/>
        <w:autoSpaceDN w:val="0"/>
        <w:adjustRightInd w:val="0"/>
        <w:spacing w:after="0" w:line="240" w:lineRule="auto"/>
        <w:ind w:left="851"/>
        <w:rPr>
          <w:rFonts w:ascii="Times New Roman" w:eastAsia="Times New Roman" w:hAnsi="Times New Roman" w:cs="Times New Roman"/>
          <w:sz w:val="24"/>
          <w:szCs w:val="24"/>
          <w:lang w:val="fr-FR" w:eastAsia="de-DE"/>
        </w:rPr>
      </w:pPr>
      <w:r w:rsidRPr="000347CC">
        <w:rPr>
          <w:rFonts w:ascii="Times New Roman" w:eastAsia="Times New Roman" w:hAnsi="Times New Roman" w:cs="Times New Roman"/>
          <w:sz w:val="24"/>
          <w:szCs w:val="24"/>
          <w:lang w:val="fr-FR" w:eastAsia="de-DE"/>
        </w:rPr>
        <w:lastRenderedPageBreak/>
        <w:t xml:space="preserve">• Paaugstināta jutība pret aktīvo vielu vai jebkuru no 6.1. </w:t>
      </w:r>
    </w:p>
    <w:p w14:paraId="17958610" w14:textId="77777777" w:rsidR="00F00C03" w:rsidRPr="000347CC" w:rsidRDefault="00F00C03" w:rsidP="00F00C03">
      <w:pPr>
        <w:widowControl w:val="0"/>
        <w:tabs>
          <w:tab w:val="left" w:pos="567"/>
          <w:tab w:val="left" w:pos="1843"/>
        </w:tabs>
        <w:overflowPunct w:val="0"/>
        <w:autoSpaceDE w:val="0"/>
        <w:autoSpaceDN w:val="0"/>
        <w:adjustRightInd w:val="0"/>
        <w:spacing w:after="0" w:line="240" w:lineRule="auto"/>
        <w:ind w:left="851"/>
        <w:rPr>
          <w:rFonts w:ascii="Times New Roman" w:eastAsia="Times New Roman" w:hAnsi="Times New Roman" w:cs="Times New Roman"/>
          <w:sz w:val="24"/>
          <w:szCs w:val="24"/>
          <w:lang w:val="fr-FR" w:eastAsia="de-DE"/>
        </w:rPr>
      </w:pPr>
      <w:r w:rsidRPr="000347CC">
        <w:rPr>
          <w:rFonts w:ascii="Times New Roman" w:eastAsia="Times New Roman" w:hAnsi="Times New Roman" w:cs="Times New Roman"/>
          <w:sz w:val="24"/>
          <w:szCs w:val="24"/>
          <w:lang w:val="fr-FR" w:eastAsia="de-DE"/>
        </w:rPr>
        <w:t>apakšpunktā uzskaitītajām palīgvielām.</w:t>
      </w:r>
    </w:p>
    <w:p w14:paraId="5E44C676" w14:textId="77777777" w:rsidR="00F00C03" w:rsidRPr="000347CC" w:rsidRDefault="00F00C03" w:rsidP="00F00C03">
      <w:pPr>
        <w:widowControl w:val="0"/>
        <w:tabs>
          <w:tab w:val="left" w:pos="567"/>
          <w:tab w:val="left" w:pos="1843"/>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r w:rsidRPr="000347CC">
        <w:rPr>
          <w:rFonts w:ascii="Times New Roman" w:eastAsia="Times New Roman" w:hAnsi="Times New Roman" w:cs="Times New Roman"/>
          <w:bCs/>
          <w:iCs/>
          <w:color w:val="000000"/>
          <w:sz w:val="24"/>
          <w:szCs w:val="24"/>
          <w:lang w:val="fr-FR" w:eastAsia="de-DE"/>
        </w:rPr>
        <w:t xml:space="preserve">• </w:t>
      </w:r>
      <w:r w:rsidRPr="000347CC">
        <w:rPr>
          <w:rFonts w:ascii="Times New Roman" w:eastAsia="Times New Roman" w:hAnsi="Times New Roman" w:cs="Times New Roman"/>
          <w:color w:val="000000"/>
          <w:sz w:val="24"/>
          <w:szCs w:val="24"/>
          <w:lang w:val="fr-FR" w:eastAsia="de-DE"/>
        </w:rPr>
        <w:t>Smagi nieru funkciju traucējumi (glomerulu filtrācijas ātrums &lt; 30 ml/min).</w:t>
      </w:r>
    </w:p>
    <w:p w14:paraId="0F7E94FB" w14:textId="77777777" w:rsidR="00F00C03" w:rsidRPr="000347CC" w:rsidRDefault="00F00C03" w:rsidP="00F00C03">
      <w:pPr>
        <w:widowControl w:val="0"/>
        <w:tabs>
          <w:tab w:val="left" w:pos="567"/>
          <w:tab w:val="left" w:pos="1843"/>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r w:rsidRPr="000347CC">
        <w:rPr>
          <w:rFonts w:ascii="Times New Roman" w:eastAsia="Times New Roman" w:hAnsi="Times New Roman" w:cs="Times New Roman"/>
          <w:color w:val="000000"/>
          <w:sz w:val="24"/>
          <w:szCs w:val="24"/>
          <w:lang w:val="fr-FR" w:eastAsia="de-DE"/>
        </w:rPr>
        <w:t xml:space="preserve">• Sirds vadīšanas sistēmas traucējumi, kas izraisa palēninātu sirdsdarbību (bradikardija). </w:t>
      </w:r>
    </w:p>
    <w:p w14:paraId="06261B2F" w14:textId="77777777" w:rsidR="00F00C03" w:rsidRPr="000347CC" w:rsidRDefault="00F00C03" w:rsidP="00F00C03">
      <w:pPr>
        <w:widowControl w:val="0"/>
        <w:tabs>
          <w:tab w:val="left" w:pos="567"/>
          <w:tab w:val="left" w:pos="1843"/>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p>
    <w:p w14:paraId="7EED7DD0"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sz w:val="24"/>
          <w:szCs w:val="24"/>
          <w:lang w:val="fr-FR"/>
        </w:rPr>
      </w:pPr>
    </w:p>
    <w:p w14:paraId="7800870D"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fr-FR" w:eastAsia="de-DE"/>
        </w:rPr>
      </w:pPr>
      <w:r w:rsidRPr="000347CC">
        <w:rPr>
          <w:rFonts w:ascii="Times New Roman" w:eastAsia="Times New Roman" w:hAnsi="Times New Roman" w:cs="Times New Roman"/>
          <w:b/>
          <w:sz w:val="24"/>
          <w:szCs w:val="24"/>
          <w:lang w:val="fr-FR"/>
        </w:rPr>
        <w:t xml:space="preserve">4.4. </w:t>
      </w:r>
      <w:r w:rsidRPr="000347CC">
        <w:rPr>
          <w:rFonts w:ascii="Times New Roman" w:eastAsia="Times New Roman" w:hAnsi="Times New Roman" w:cs="Times New Roman"/>
          <w:b/>
          <w:sz w:val="24"/>
          <w:szCs w:val="24"/>
          <w:lang w:val="fr-FR"/>
        </w:rPr>
        <w:tab/>
        <w:t>Īpaši brīdinājumi un piesardzība lietošanā</w:t>
      </w:r>
    </w:p>
    <w:p w14:paraId="7A045CD8"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sz w:val="24"/>
          <w:szCs w:val="24"/>
          <w:lang w:val="fr-FR"/>
        </w:rPr>
        <w:t xml:space="preserve">Šīs zāles satur saharozi. Pacientiem ar retu iedzimtu fruktozes nepanesību, glikozes-galaktozes malabsorbciju vai saharāzes-izomaltāzes nepietiekamību šīs zāles nevajadzētu lietot. </w:t>
      </w:r>
    </w:p>
    <w:p w14:paraId="6075143A" w14:textId="77777777" w:rsidR="00F00C03" w:rsidRPr="000347CC" w:rsidRDefault="00F00C03" w:rsidP="00F00C03">
      <w:pPr>
        <w:spacing w:after="0" w:line="240" w:lineRule="auto"/>
        <w:ind w:left="851" w:firstLine="11"/>
        <w:rPr>
          <w:rFonts w:ascii="Times New Roman" w:eastAsia="Times New Roman" w:hAnsi="Times New Roman" w:cs="Times New Roman"/>
          <w:bCs/>
          <w:iCs/>
          <w:sz w:val="24"/>
          <w:szCs w:val="24"/>
          <w:lang w:val="fr-FR"/>
        </w:rPr>
      </w:pPr>
    </w:p>
    <w:p w14:paraId="0695DA87" w14:textId="3FEC65CA" w:rsidR="00F00C03" w:rsidRPr="000347CC" w:rsidRDefault="00F00C03" w:rsidP="00F00C03">
      <w:pPr>
        <w:spacing w:after="0" w:line="240" w:lineRule="auto"/>
        <w:ind w:left="851"/>
        <w:rPr>
          <w:rFonts w:ascii="Times New Roman" w:eastAsia="Times New Roman" w:hAnsi="Times New Roman" w:cs="Times New Roman"/>
          <w:bCs/>
          <w:sz w:val="24"/>
          <w:szCs w:val="24"/>
          <w:lang w:val="fr-FR"/>
        </w:rPr>
      </w:pPr>
      <w:r w:rsidRPr="000347CC">
        <w:rPr>
          <w:rFonts w:ascii="Times New Roman" w:eastAsia="Times New Roman" w:hAnsi="Times New Roman" w:cs="Times New Roman"/>
          <w:bCs/>
          <w:iCs/>
          <w:sz w:val="24"/>
          <w:szCs w:val="24"/>
          <w:lang w:val="fr-FR"/>
        </w:rPr>
        <w:t>MAGNESIUM</w:t>
      </w:r>
      <w:r w:rsidRPr="000347CC">
        <w:rPr>
          <w:rFonts w:ascii="Times New Roman" w:eastAsia="Times New Roman" w:hAnsi="Times New Roman" w:cs="Times New Roman"/>
          <w:iCs/>
          <w:sz w:val="24"/>
          <w:szCs w:val="24"/>
          <w:lang w:val="fr-FR"/>
        </w:rPr>
        <w:t xml:space="preserve"> Diasporal 295,7 mg granulu</w:t>
      </w:r>
      <w:r w:rsidRPr="000347CC">
        <w:rPr>
          <w:rFonts w:ascii="Times New Roman" w:eastAsia="Times New Roman" w:hAnsi="Times New Roman" w:cs="Times New Roman"/>
          <w:bCs/>
          <w:sz w:val="24"/>
          <w:szCs w:val="24"/>
          <w:lang w:val="fr-FR"/>
        </w:rPr>
        <w:t xml:space="preserve"> ilgstoša lietošana var izraisīt zobu bojājumus (kariesu) tā sastāvā esošā cukura dēļ. </w:t>
      </w:r>
    </w:p>
    <w:p w14:paraId="3DED1E45" w14:textId="77777777" w:rsidR="00F00C03" w:rsidRPr="000347CC" w:rsidRDefault="00F00C03" w:rsidP="00F00C03">
      <w:pPr>
        <w:spacing w:after="0" w:line="240" w:lineRule="auto"/>
        <w:ind w:left="851" w:firstLine="11"/>
        <w:rPr>
          <w:rFonts w:ascii="Times New Roman" w:eastAsia="Times New Roman" w:hAnsi="Times New Roman" w:cs="Times New Roman"/>
          <w:sz w:val="24"/>
          <w:szCs w:val="24"/>
          <w:lang w:val="fr-FR"/>
        </w:rPr>
      </w:pPr>
    </w:p>
    <w:p w14:paraId="73E4601D" w14:textId="77777777" w:rsidR="00F00C03" w:rsidRPr="000347CC" w:rsidRDefault="00F00C03" w:rsidP="00F00C03">
      <w:pPr>
        <w:spacing w:after="0" w:line="240" w:lineRule="auto"/>
        <w:ind w:left="851"/>
        <w:rPr>
          <w:rFonts w:ascii="Times New Roman" w:eastAsia="Times New Roman" w:hAnsi="Times New Roman" w:cs="Times New Roman"/>
          <w:bCs/>
          <w:sz w:val="24"/>
          <w:szCs w:val="24"/>
          <w:lang w:val="fr-FR"/>
        </w:rPr>
      </w:pPr>
    </w:p>
    <w:p w14:paraId="3934A4C2" w14:textId="541119DD" w:rsidR="00F00C03" w:rsidRPr="000347CC" w:rsidRDefault="00F00C03" w:rsidP="00F00C03">
      <w:pPr>
        <w:spacing w:after="0" w:line="240" w:lineRule="auto"/>
        <w:ind w:left="851"/>
        <w:rPr>
          <w:rFonts w:ascii="Times New Roman" w:eastAsia="Times New Roman" w:hAnsi="Times New Roman" w:cs="Times New Roman"/>
          <w:bCs/>
          <w:sz w:val="24"/>
          <w:szCs w:val="24"/>
          <w:lang w:val="fr-FR"/>
        </w:rPr>
      </w:pPr>
      <w:r w:rsidRPr="000347CC">
        <w:rPr>
          <w:rFonts w:ascii="Times New Roman" w:eastAsia="Times New Roman" w:hAnsi="Times New Roman" w:cs="Times New Roman"/>
          <w:bCs/>
          <w:sz w:val="24"/>
          <w:szCs w:val="24"/>
          <w:lang w:val="fr-FR"/>
        </w:rPr>
        <w:t xml:space="preserve">Zāles satur vai 40 mg nātrija vienā paciņā, kas atbilst 2 % no PVO ieteiktās nātrija diētas dienas maksimālās devas 2 g nātrija pieaugušajiem.        </w:t>
      </w:r>
    </w:p>
    <w:p w14:paraId="33A17441"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sz w:val="24"/>
          <w:szCs w:val="24"/>
          <w:lang w:val="fr-FR" w:eastAsia="lv-LV"/>
        </w:rPr>
      </w:pPr>
    </w:p>
    <w:p w14:paraId="12848114" w14:textId="77777777" w:rsidR="00F00C03" w:rsidRPr="000347CC" w:rsidRDefault="00F00C03" w:rsidP="00F00C03">
      <w:pPr>
        <w:spacing w:after="0" w:line="240" w:lineRule="auto"/>
        <w:ind w:left="851" w:firstLine="11"/>
        <w:rPr>
          <w:rFonts w:ascii="Times New Roman" w:eastAsia="Times New Roman" w:hAnsi="Times New Roman" w:cs="Times New Roman"/>
          <w:bCs/>
          <w:sz w:val="24"/>
          <w:szCs w:val="24"/>
          <w:lang w:val="fr-FR"/>
        </w:rPr>
      </w:pPr>
      <w:r w:rsidRPr="000347CC">
        <w:rPr>
          <w:rFonts w:ascii="Times New Roman" w:eastAsia="Times New Roman" w:hAnsi="Times New Roman" w:cs="Times New Roman"/>
          <w:bCs/>
          <w:sz w:val="24"/>
          <w:szCs w:val="24"/>
          <w:lang w:val="fr-FR"/>
        </w:rPr>
        <w:t xml:space="preserve">     </w:t>
      </w:r>
    </w:p>
    <w:p w14:paraId="0058948A" w14:textId="77777777" w:rsidR="00F00C03" w:rsidRPr="000347CC" w:rsidRDefault="00F00C03" w:rsidP="00F00C03">
      <w:pPr>
        <w:overflowPunct w:val="0"/>
        <w:autoSpaceDE w:val="0"/>
        <w:autoSpaceDN w:val="0"/>
        <w:adjustRightInd w:val="0"/>
        <w:spacing w:after="0" w:line="240" w:lineRule="auto"/>
        <w:ind w:left="851" w:hanging="720"/>
        <w:outlineLvl w:val="0"/>
        <w:rPr>
          <w:rFonts w:ascii="Times New Roman" w:eastAsia="Times New Roman" w:hAnsi="Times New Roman" w:cs="Times New Roman"/>
          <w:b/>
          <w:sz w:val="24"/>
          <w:szCs w:val="24"/>
          <w:lang w:val="fr-FR"/>
        </w:rPr>
      </w:pPr>
    </w:p>
    <w:p w14:paraId="6147356B"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fr-FR" w:eastAsia="de-DE"/>
        </w:rPr>
      </w:pPr>
      <w:r w:rsidRPr="000347CC">
        <w:rPr>
          <w:rFonts w:ascii="Times New Roman" w:eastAsia="Times New Roman" w:hAnsi="Times New Roman" w:cs="Times New Roman"/>
          <w:b/>
          <w:sz w:val="24"/>
          <w:szCs w:val="24"/>
          <w:lang w:val="fr-FR"/>
        </w:rPr>
        <w:t xml:space="preserve">4.5. </w:t>
      </w:r>
      <w:r w:rsidRPr="000347CC">
        <w:rPr>
          <w:rFonts w:ascii="Times New Roman" w:eastAsia="Times New Roman" w:hAnsi="Times New Roman" w:cs="Times New Roman"/>
          <w:b/>
          <w:sz w:val="24"/>
          <w:szCs w:val="24"/>
          <w:lang w:val="fr-FR"/>
        </w:rPr>
        <w:tab/>
        <w:t>Mijiedarbība ar citām zālēm un citi mijiedarbības veidi</w:t>
      </w:r>
    </w:p>
    <w:p w14:paraId="03D92810"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sz w:val="24"/>
          <w:szCs w:val="24"/>
          <w:lang w:val="fr-FR"/>
        </w:rPr>
        <w:t>Tā kā magnijs un citas zāles var savstarpēji ietekmēt viena otras uzsūkšanos, parasti starp zāļu lietošanu jāievēro 2</w:t>
      </w:r>
      <w:r w:rsidRPr="000347CC">
        <w:rPr>
          <w:rFonts w:ascii="Times New Roman" w:eastAsia="Times New Roman" w:hAnsi="Times New Roman" w:cs="Times New Roman"/>
          <w:sz w:val="24"/>
          <w:szCs w:val="24"/>
          <w:lang w:val="fr-FR"/>
        </w:rPr>
        <w:noBreakHyphen/>
        <w:t>3 stundu intervāls, ja iespējams.</w:t>
      </w:r>
    </w:p>
    <w:p w14:paraId="3CE295AD"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p>
    <w:p w14:paraId="5B94D999"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sz w:val="24"/>
          <w:szCs w:val="24"/>
          <w:lang w:val="fr-FR"/>
        </w:rPr>
        <w:t>It īpaši tas attiecas uz fluorīdiem un tetraciklīnu, kuru lietošanas gadījumā starp zāļu lietošanu stingri jāievēro 2</w:t>
      </w:r>
      <w:r w:rsidRPr="000347CC">
        <w:rPr>
          <w:rFonts w:ascii="Times New Roman" w:eastAsia="Times New Roman" w:hAnsi="Times New Roman" w:cs="Times New Roman"/>
          <w:sz w:val="24"/>
          <w:szCs w:val="24"/>
          <w:lang w:val="fr-FR"/>
        </w:rPr>
        <w:noBreakHyphen/>
        <w:t>3 stundu intervāls.</w:t>
      </w:r>
    </w:p>
    <w:p w14:paraId="786CB4EB"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fr-FR"/>
        </w:rPr>
      </w:pPr>
    </w:p>
    <w:p w14:paraId="7D65A29D" w14:textId="77777777" w:rsidR="00F00C03" w:rsidRPr="000347CC" w:rsidRDefault="00F00C03" w:rsidP="00F00C03">
      <w:pPr>
        <w:spacing w:after="0" w:line="240" w:lineRule="auto"/>
        <w:ind w:left="851"/>
        <w:rPr>
          <w:rFonts w:ascii="Times New Roman" w:eastAsia="Times New Roman" w:hAnsi="Times New Roman" w:cs="Times New Roman"/>
          <w:sz w:val="24"/>
          <w:szCs w:val="24"/>
          <w:lang w:val="lv-LV"/>
        </w:rPr>
      </w:pPr>
      <w:r w:rsidRPr="000347CC">
        <w:rPr>
          <w:rFonts w:ascii="Times New Roman" w:eastAsia="Times New Roman" w:hAnsi="Times New Roman" w:cs="Times New Roman"/>
          <w:sz w:val="24"/>
          <w:szCs w:val="24"/>
          <w:lang w:val="lv-LV"/>
        </w:rPr>
        <w:t>Aminoglikozīdu antibiotikas, cisplatīns un ciklosporīns A paātrina magnija izdalīšanos. Diurētiskie līdzekļi (piem., tiazīdu grupas diurētiskie līdzekļi un furosemīds), epidermas augšanas faktora (EAF) receptoru antagonisti (piem., cetuksimabs un erlotinibs), protonu sūkņa inhibitori (piem., omeprazols un pantoprazols), vīrusu DNS polimerāzes inhibitors foskarnets, pentamidīns, rapamicīns un amfotericīns B var izraisīt magnija deficītu.</w:t>
      </w:r>
    </w:p>
    <w:p w14:paraId="3F1C5BFE" w14:textId="77777777" w:rsidR="00F00C03" w:rsidRPr="000347CC" w:rsidRDefault="00F00C03" w:rsidP="00F00C03">
      <w:pPr>
        <w:widowControl w:val="0"/>
        <w:tabs>
          <w:tab w:val="left" w:pos="567"/>
          <w:tab w:val="left" w:pos="1843"/>
        </w:tabs>
        <w:overflowPunct w:val="0"/>
        <w:autoSpaceDE w:val="0"/>
        <w:autoSpaceDN w:val="0"/>
        <w:adjustRightInd w:val="0"/>
        <w:spacing w:after="0" w:line="240" w:lineRule="auto"/>
        <w:ind w:left="851"/>
        <w:rPr>
          <w:rFonts w:ascii="Times New Roman" w:eastAsia="Times New Roman" w:hAnsi="Times New Roman" w:cs="Times New Roman"/>
          <w:sz w:val="24"/>
          <w:szCs w:val="24"/>
          <w:lang w:val="lv-LV"/>
        </w:rPr>
      </w:pPr>
      <w:r w:rsidRPr="000347CC">
        <w:rPr>
          <w:rFonts w:ascii="Times New Roman" w:eastAsia="Times New Roman" w:hAnsi="Times New Roman" w:cs="Times New Roman"/>
          <w:sz w:val="24"/>
          <w:szCs w:val="24"/>
          <w:lang w:val="lv-LV"/>
        </w:rPr>
        <w:t>Lietojot iepriekš minētās vielas, var būt nepieciešama magnija devas pielāgošana palielināta magnija zuduma dēļ.</w:t>
      </w:r>
    </w:p>
    <w:p w14:paraId="6D2BDA4A" w14:textId="77777777" w:rsidR="00F00C03" w:rsidRPr="000347CC" w:rsidRDefault="00F00C03" w:rsidP="00F00C03">
      <w:pPr>
        <w:widowControl w:val="0"/>
        <w:tabs>
          <w:tab w:val="left" w:pos="567"/>
          <w:tab w:val="left" w:pos="1843"/>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p>
    <w:p w14:paraId="24DDC23A" w14:textId="77777777" w:rsidR="00F00C03" w:rsidRPr="000347CC" w:rsidRDefault="00F00C03" w:rsidP="00F00C03">
      <w:pPr>
        <w:spacing w:after="0" w:line="240" w:lineRule="auto"/>
        <w:ind w:left="851"/>
        <w:rPr>
          <w:rFonts w:ascii="Times New Roman" w:eastAsia="Times New Roman" w:hAnsi="Times New Roman" w:cs="Times New Roman"/>
          <w:b/>
          <w:bCs/>
          <w:sz w:val="24"/>
          <w:szCs w:val="24"/>
          <w:lang w:val="lv-LV"/>
        </w:rPr>
      </w:pPr>
      <w:r w:rsidRPr="000347CC">
        <w:rPr>
          <w:rFonts w:ascii="Times New Roman" w:eastAsia="Times New Roman" w:hAnsi="Times New Roman" w:cs="Times New Roman"/>
          <w:b/>
          <w:bCs/>
          <w:sz w:val="24"/>
          <w:szCs w:val="24"/>
          <w:lang w:val="lv-LV"/>
        </w:rPr>
        <w:t xml:space="preserve">4.6. </w:t>
      </w:r>
      <w:r w:rsidRPr="000347CC">
        <w:rPr>
          <w:rFonts w:ascii="Times New Roman" w:eastAsia="Times New Roman" w:hAnsi="Times New Roman" w:cs="Times New Roman"/>
          <w:b/>
          <w:bCs/>
          <w:sz w:val="24"/>
          <w:szCs w:val="24"/>
          <w:lang w:val="lv-LV"/>
        </w:rPr>
        <w:tab/>
      </w:r>
      <w:r w:rsidRPr="000347CC">
        <w:rPr>
          <w:rFonts w:ascii="Times New Roman" w:eastAsia="Times New Roman" w:hAnsi="Times New Roman" w:cs="Times New Roman"/>
          <w:b/>
          <w:noProof/>
          <w:sz w:val="24"/>
          <w:szCs w:val="24"/>
          <w:lang w:val="lv-LV"/>
        </w:rPr>
        <w:t xml:space="preserve">Fertilitāte, grūtniecība </w:t>
      </w:r>
      <w:r w:rsidRPr="000347CC">
        <w:rPr>
          <w:rFonts w:ascii="Times New Roman" w:eastAsia="Times New Roman" w:hAnsi="Times New Roman" w:cs="Times New Roman"/>
          <w:b/>
          <w:sz w:val="24"/>
          <w:szCs w:val="24"/>
          <w:lang w:val="lv-LV"/>
        </w:rPr>
        <w:t xml:space="preserve">un </w:t>
      </w:r>
      <w:r w:rsidRPr="000347CC">
        <w:rPr>
          <w:rFonts w:ascii="Times New Roman" w:eastAsia="Times New Roman" w:hAnsi="Times New Roman" w:cs="Times New Roman"/>
          <w:b/>
          <w:noProof/>
          <w:sz w:val="24"/>
          <w:szCs w:val="24"/>
          <w:lang w:val="lv-LV"/>
        </w:rPr>
        <w:t>barošana ar krūti</w:t>
      </w:r>
    </w:p>
    <w:p w14:paraId="6A70F21A"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Cs/>
          <w:iCs/>
          <w:sz w:val="24"/>
          <w:szCs w:val="24"/>
          <w:u w:val="single"/>
          <w:lang w:val="lv-LV"/>
        </w:rPr>
      </w:pPr>
      <w:r w:rsidRPr="000347CC">
        <w:rPr>
          <w:rFonts w:ascii="Times New Roman" w:eastAsia="Times New Roman" w:hAnsi="Times New Roman" w:cs="Times New Roman"/>
          <w:bCs/>
          <w:iCs/>
          <w:sz w:val="24"/>
          <w:szCs w:val="24"/>
          <w:u w:val="single"/>
          <w:lang w:val="lv-LV"/>
        </w:rPr>
        <w:t>Grūtniecība</w:t>
      </w:r>
    </w:p>
    <w:p w14:paraId="0A04B0C8"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lv-LV"/>
        </w:rPr>
      </w:pPr>
      <w:r w:rsidRPr="000347CC">
        <w:rPr>
          <w:rFonts w:ascii="Times New Roman" w:eastAsia="Times New Roman" w:hAnsi="Times New Roman" w:cs="Times New Roman"/>
          <w:bCs/>
          <w:iCs/>
          <w:sz w:val="24"/>
          <w:szCs w:val="24"/>
          <w:lang w:val="lv-LV"/>
        </w:rPr>
        <w:t>MAGNESIUM  Diasporal 295,7 mg granulas</w:t>
      </w:r>
      <w:r w:rsidRPr="000347CC">
        <w:rPr>
          <w:rFonts w:ascii="Times New Roman" w:eastAsia="Times New Roman" w:hAnsi="Times New Roman" w:cs="Times New Roman"/>
          <w:sz w:val="24"/>
          <w:szCs w:val="24"/>
          <w:lang w:val="lv-LV"/>
        </w:rPr>
        <w:t xml:space="preserve"> var lietot grūtniecības laikā.</w:t>
      </w:r>
    </w:p>
    <w:p w14:paraId="7270B941"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sv-SE"/>
        </w:rPr>
      </w:pPr>
      <w:r w:rsidRPr="000347CC">
        <w:rPr>
          <w:rFonts w:ascii="Times New Roman" w:eastAsia="Times New Roman" w:hAnsi="Times New Roman" w:cs="Times New Roman"/>
          <w:sz w:val="24"/>
          <w:szCs w:val="24"/>
          <w:lang w:val="sv-SE"/>
        </w:rPr>
        <w:t>Nav datu par malformāciju risku. Tomēr dati par lietošanu cilvēkiem agrīnā grūtniecības periodā ir ierobežoti.</w:t>
      </w:r>
    </w:p>
    <w:p w14:paraId="6AB5E323"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u w:val="single"/>
          <w:lang w:val="sv-SE"/>
        </w:rPr>
      </w:pPr>
    </w:p>
    <w:p w14:paraId="5ED7B5FE"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u w:val="single"/>
          <w:lang w:val="sv-SE"/>
        </w:rPr>
      </w:pPr>
      <w:r w:rsidRPr="000347CC">
        <w:rPr>
          <w:rFonts w:ascii="Times New Roman" w:eastAsia="Times New Roman" w:hAnsi="Times New Roman" w:cs="Times New Roman"/>
          <w:sz w:val="24"/>
          <w:szCs w:val="24"/>
          <w:u w:val="single"/>
          <w:lang w:val="sv-SE"/>
        </w:rPr>
        <w:t>Barošana ar krūti</w:t>
      </w:r>
    </w:p>
    <w:p w14:paraId="146DA9EB"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sv-SE"/>
        </w:rPr>
      </w:pPr>
      <w:r w:rsidRPr="000347CC">
        <w:rPr>
          <w:rFonts w:ascii="Times New Roman" w:eastAsia="Times New Roman" w:hAnsi="Times New Roman" w:cs="Times New Roman"/>
          <w:sz w:val="24"/>
          <w:szCs w:val="24"/>
          <w:lang w:val="sv-SE"/>
        </w:rPr>
        <w:t>MAGNESIUM Diasporal 295,7 mg granulas var lietot laikā, kad baro bērnu ar krūti. Magnija citrāts/metabolīti izdalās cilvēka pienā, bet terapeitiskā devās MAGNESIUM Diasporal 295,7 mg granulu ietekme uz jaundzimušajiem/zīdaiņiem nav paredzama.</w:t>
      </w:r>
    </w:p>
    <w:p w14:paraId="4E1C4B47"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u w:val="single"/>
          <w:lang w:val="sv-SE"/>
        </w:rPr>
      </w:pPr>
    </w:p>
    <w:p w14:paraId="2E80B165"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u w:val="single"/>
          <w:lang w:val="sv-SE"/>
        </w:rPr>
      </w:pPr>
      <w:r w:rsidRPr="000347CC">
        <w:rPr>
          <w:rFonts w:ascii="Times New Roman" w:eastAsia="Times New Roman" w:hAnsi="Times New Roman" w:cs="Times New Roman"/>
          <w:sz w:val="24"/>
          <w:szCs w:val="24"/>
          <w:u w:val="single"/>
          <w:lang w:val="sv-SE"/>
        </w:rPr>
        <w:t>Fertilitāte</w:t>
      </w:r>
    </w:p>
    <w:p w14:paraId="1A2237ED"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sv-SE"/>
        </w:rPr>
      </w:pPr>
      <w:r w:rsidRPr="000347CC">
        <w:rPr>
          <w:rFonts w:ascii="Times New Roman" w:eastAsia="Times New Roman" w:hAnsi="Times New Roman" w:cs="Times New Roman"/>
          <w:sz w:val="24"/>
          <w:szCs w:val="24"/>
          <w:lang w:val="sv-SE"/>
        </w:rPr>
        <w:t>Pamatojoties uz ilgstošu lietošanas pieredzi, magnija citrāta ietekme uz vīriešu un sieviešu fertilitāte nav paredzama.</w:t>
      </w:r>
    </w:p>
    <w:p w14:paraId="16554B9C"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sz w:val="24"/>
          <w:szCs w:val="24"/>
          <w:lang w:val="sv-SE"/>
        </w:rPr>
      </w:pPr>
    </w:p>
    <w:p w14:paraId="2882D12B"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sv-SE" w:eastAsia="de-DE"/>
        </w:rPr>
      </w:pPr>
      <w:r w:rsidRPr="000347CC">
        <w:rPr>
          <w:rFonts w:ascii="Times New Roman" w:eastAsia="Times New Roman" w:hAnsi="Times New Roman" w:cs="Times New Roman"/>
          <w:b/>
          <w:sz w:val="24"/>
          <w:szCs w:val="24"/>
          <w:lang w:val="sv-SE"/>
        </w:rPr>
        <w:t xml:space="preserve">4.7. </w:t>
      </w:r>
      <w:r w:rsidRPr="000347CC">
        <w:rPr>
          <w:rFonts w:ascii="Times New Roman" w:eastAsia="Times New Roman" w:hAnsi="Times New Roman" w:cs="Times New Roman"/>
          <w:b/>
          <w:sz w:val="24"/>
          <w:szCs w:val="24"/>
          <w:lang w:val="sv-SE"/>
        </w:rPr>
        <w:tab/>
        <w:t>Ietekme uz spēju vadīt transportlīdzekļus un apkalpot mehānismus</w:t>
      </w:r>
    </w:p>
    <w:p w14:paraId="3D9F19D1" w14:textId="473693E5"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sv-SE"/>
        </w:rPr>
      </w:pPr>
      <w:r w:rsidRPr="000347CC">
        <w:rPr>
          <w:rFonts w:ascii="Times New Roman" w:eastAsia="Times New Roman" w:hAnsi="Times New Roman" w:cs="Times New Roman"/>
          <w:sz w:val="24"/>
          <w:szCs w:val="24"/>
          <w:lang w:val="sv-SE"/>
        </w:rPr>
        <w:lastRenderedPageBreak/>
        <w:t>MAGNESIUM Diasporal 295,7 mg granulas neietekmē vai nedaudz ietekmē spēju vadīt transportlīdzekļus un apkalpot mehānismus.</w:t>
      </w:r>
    </w:p>
    <w:p w14:paraId="1BAE2D70"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sv-SE" w:eastAsia="de-DE"/>
        </w:rPr>
      </w:pPr>
    </w:p>
    <w:p w14:paraId="0411D23F"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sv-SE" w:eastAsia="de-DE"/>
        </w:rPr>
      </w:pPr>
      <w:r w:rsidRPr="000347CC">
        <w:rPr>
          <w:rFonts w:ascii="Times New Roman" w:eastAsia="Times New Roman" w:hAnsi="Times New Roman" w:cs="Times New Roman"/>
          <w:b/>
          <w:sz w:val="24"/>
          <w:szCs w:val="24"/>
          <w:lang w:val="sv-SE"/>
        </w:rPr>
        <w:t xml:space="preserve">4.8. </w:t>
      </w:r>
      <w:r w:rsidRPr="000347CC">
        <w:rPr>
          <w:rFonts w:ascii="Times New Roman" w:eastAsia="Times New Roman" w:hAnsi="Times New Roman" w:cs="Times New Roman"/>
          <w:b/>
          <w:sz w:val="24"/>
          <w:szCs w:val="24"/>
          <w:lang w:val="sv-SE"/>
        </w:rPr>
        <w:tab/>
        <w:t>Nevēlamās blakusparādības</w:t>
      </w:r>
    </w:p>
    <w:p w14:paraId="3ABB62F9"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sv-SE"/>
        </w:rPr>
      </w:pPr>
      <w:r w:rsidRPr="000347CC">
        <w:rPr>
          <w:rFonts w:ascii="Times New Roman" w:eastAsia="Times New Roman" w:hAnsi="Times New Roman" w:cs="Times New Roman"/>
          <w:sz w:val="24"/>
          <w:szCs w:val="24"/>
          <w:lang w:val="sv-SE"/>
        </w:rPr>
        <w:t>Nevēlamo blakusparādību novērtēšanai par pamatu izmantoti šādi sastopamības biežumi:</w:t>
      </w:r>
    </w:p>
    <w:p w14:paraId="41D0CB1D"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sv-SE"/>
        </w:rPr>
      </w:pPr>
      <w:r w:rsidRPr="000347CC">
        <w:rPr>
          <w:rFonts w:ascii="Times New Roman" w:eastAsia="Times New Roman" w:hAnsi="Times New Roman" w:cs="Times New Roman"/>
          <w:sz w:val="24"/>
          <w:szCs w:val="24"/>
          <w:lang w:val="sv-SE"/>
        </w:rPr>
        <w:t>ļoti bieži (≥ 1/10), bieži (≥ 1/100 līdz &lt; 1/10), retāk (≥ 1/1 000 līdz &lt; 1/100), reti (≥ 1/10 000 līdz &lt; 1/1 000), ļoti reti (&lt; 1/10 000), nav zināmi (nevar noteikt pēc pieejamiem datiem).</w:t>
      </w:r>
    </w:p>
    <w:p w14:paraId="020CFD84"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
          <w:sz w:val="24"/>
          <w:szCs w:val="24"/>
          <w:lang w:val="sv-SE"/>
        </w:rPr>
      </w:pPr>
    </w:p>
    <w:p w14:paraId="47666C99"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sv-SE"/>
        </w:rPr>
      </w:pPr>
      <w:r w:rsidRPr="000347CC">
        <w:rPr>
          <w:rFonts w:ascii="Times New Roman" w:eastAsia="Times New Roman" w:hAnsi="Times New Roman" w:cs="Times New Roman"/>
          <w:b/>
          <w:sz w:val="24"/>
          <w:szCs w:val="24"/>
          <w:lang w:val="sv-SE"/>
        </w:rPr>
        <w:t>Kuņģa-zarnu trakta traucējumi</w:t>
      </w:r>
    </w:p>
    <w:p w14:paraId="3F60F38A"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sv-SE"/>
        </w:rPr>
      </w:pPr>
      <w:r w:rsidRPr="000347CC">
        <w:rPr>
          <w:rFonts w:ascii="Times New Roman" w:eastAsia="Times New Roman" w:hAnsi="Times New Roman" w:cs="Times New Roman"/>
          <w:i/>
          <w:sz w:val="24"/>
          <w:szCs w:val="24"/>
          <w:lang w:val="sv-SE"/>
        </w:rPr>
        <w:t>Retāk:</w:t>
      </w:r>
      <w:r w:rsidRPr="000347CC">
        <w:rPr>
          <w:rFonts w:ascii="Times New Roman" w:eastAsia="Times New Roman" w:hAnsi="Times New Roman" w:cs="Times New Roman"/>
          <w:sz w:val="24"/>
          <w:szCs w:val="24"/>
          <w:lang w:val="sv-SE"/>
        </w:rPr>
        <w:t xml:space="preserve"> mīkstākas fēces un caureja ārstēšanas sākumā (nekaitīga un pārejoša).</w:t>
      </w:r>
    </w:p>
    <w:p w14:paraId="056BCA55"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sv-SE"/>
        </w:rPr>
      </w:pPr>
    </w:p>
    <w:p w14:paraId="133DC026"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sz w:val="24"/>
          <w:szCs w:val="24"/>
          <w:lang w:val="sv-SE"/>
        </w:rPr>
      </w:pPr>
      <w:r w:rsidRPr="000347CC">
        <w:rPr>
          <w:rFonts w:ascii="Times New Roman" w:eastAsia="Times New Roman" w:hAnsi="Times New Roman" w:cs="Times New Roman"/>
          <w:sz w:val="24"/>
          <w:szCs w:val="24"/>
          <w:lang w:val="sv-SE"/>
        </w:rPr>
        <w:t>Pasākumus nevēlamo blakusparādību novēršanai, lūdzu, skatiet 4.4. apakšpunktā.</w:t>
      </w:r>
    </w:p>
    <w:p w14:paraId="21BA61E5"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lv-LV"/>
        </w:rPr>
      </w:pPr>
    </w:p>
    <w:p w14:paraId="064A4E1C" w14:textId="77777777" w:rsidR="00F00C03" w:rsidRPr="000347CC" w:rsidRDefault="00F00C03" w:rsidP="00F00C03">
      <w:pPr>
        <w:spacing w:after="0" w:line="240" w:lineRule="auto"/>
        <w:ind w:left="851"/>
        <w:rPr>
          <w:rFonts w:ascii="Times New Roman" w:eastAsia="Times New Roman" w:hAnsi="Times New Roman" w:cs="Times New Roman"/>
          <w:b/>
          <w:bCs/>
          <w:noProof/>
          <w:sz w:val="24"/>
          <w:szCs w:val="24"/>
          <w:lang w:val="lv-LV"/>
        </w:rPr>
      </w:pPr>
      <w:r w:rsidRPr="000347CC">
        <w:rPr>
          <w:rFonts w:ascii="Times New Roman" w:eastAsia="Times New Roman" w:hAnsi="Times New Roman" w:cs="Times New Roman"/>
          <w:b/>
          <w:bCs/>
          <w:noProof/>
          <w:sz w:val="24"/>
          <w:szCs w:val="24"/>
          <w:lang w:val="lv-LV"/>
        </w:rPr>
        <w:t>Ziņošana par iespējamām nevēlamām blakusparādībām</w:t>
      </w:r>
    </w:p>
    <w:p w14:paraId="6BA33953" w14:textId="77777777" w:rsidR="00F00C03" w:rsidRPr="000347CC" w:rsidRDefault="00F00C03" w:rsidP="00F00C03">
      <w:pPr>
        <w:spacing w:after="0" w:line="240" w:lineRule="auto"/>
        <w:ind w:left="851"/>
        <w:rPr>
          <w:rFonts w:ascii="Times New Roman" w:eastAsia="Times New Roman" w:hAnsi="Times New Roman" w:cs="Times New Roman"/>
          <w:noProof/>
          <w:sz w:val="24"/>
          <w:szCs w:val="24"/>
          <w:lang w:val="lv-LV"/>
        </w:rPr>
      </w:pPr>
      <w:r w:rsidRPr="000347CC">
        <w:rPr>
          <w:rFonts w:ascii="Times New Roman" w:eastAsia="Times New Roman" w:hAnsi="Times New Roman" w:cs="Times New Roman"/>
          <w:noProof/>
          <w:sz w:val="24"/>
          <w:szCs w:val="24"/>
          <w:lang w:val="lv-LV"/>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w:t>
      </w:r>
    </w:p>
    <w:p w14:paraId="028E3F82" w14:textId="45D0C701" w:rsidR="00F00C03" w:rsidRPr="00CC326E" w:rsidRDefault="00F00C03" w:rsidP="00F00C03">
      <w:pPr>
        <w:spacing w:after="0" w:line="240" w:lineRule="auto"/>
        <w:ind w:left="851"/>
        <w:rPr>
          <w:rFonts w:ascii="Times New Roman" w:eastAsia="Times New Roman" w:hAnsi="Times New Roman" w:cs="Times New Roman"/>
          <w:noProof/>
          <w:sz w:val="24"/>
          <w:szCs w:val="24"/>
          <w:lang w:val="lv-LV"/>
        </w:rPr>
      </w:pPr>
      <w:r w:rsidRPr="000347CC">
        <w:rPr>
          <w:rFonts w:ascii="Times New Roman" w:eastAsia="Times New Roman" w:hAnsi="Times New Roman" w:cs="Times New Roman"/>
          <w:noProof/>
          <w:sz w:val="24"/>
          <w:szCs w:val="24"/>
          <w:lang w:val="lv-LV"/>
        </w:rPr>
        <w:t xml:space="preserve">Zāļu valsts aģentūrai, Jersikas ielā 15, </w:t>
      </w:r>
      <w:r w:rsidRPr="00CC326E">
        <w:rPr>
          <w:rFonts w:ascii="Times New Roman" w:eastAsia="Times New Roman" w:hAnsi="Times New Roman" w:cs="Times New Roman"/>
          <w:noProof/>
          <w:sz w:val="24"/>
          <w:szCs w:val="24"/>
          <w:lang w:val="lv-LV"/>
        </w:rPr>
        <w:t xml:space="preserve">Rīgā, LV 1003. </w:t>
      </w:r>
    </w:p>
    <w:p w14:paraId="36E2B53E"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en-GB"/>
        </w:rPr>
      </w:pPr>
      <w:r w:rsidRPr="000347CC">
        <w:rPr>
          <w:rFonts w:ascii="Times New Roman" w:eastAsia="Times New Roman" w:hAnsi="Times New Roman" w:cs="Times New Roman"/>
          <w:noProof/>
          <w:sz w:val="24"/>
          <w:szCs w:val="24"/>
          <w:lang w:val="en-GB"/>
        </w:rPr>
        <w:t xml:space="preserve">Tīmekļa vietne: </w:t>
      </w:r>
      <w:hyperlink r:id="rId8" w:history="1">
        <w:r w:rsidRPr="000347CC">
          <w:rPr>
            <w:rFonts w:ascii="Times New Roman" w:eastAsia="Times New Roman" w:hAnsi="Times New Roman" w:cs="Times New Roman"/>
            <w:noProof/>
            <w:color w:val="0000FF"/>
            <w:sz w:val="24"/>
            <w:szCs w:val="24"/>
            <w:u w:val="single"/>
            <w:lang w:val="en-GB"/>
          </w:rPr>
          <w:t>www.zva.gov.lv</w:t>
        </w:r>
      </w:hyperlink>
    </w:p>
    <w:p w14:paraId="324FEDFB"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en-US" w:eastAsia="de-DE"/>
        </w:rPr>
      </w:pPr>
    </w:p>
    <w:p w14:paraId="2BCB85D9"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en-US" w:eastAsia="de-DE"/>
        </w:rPr>
      </w:pPr>
      <w:r w:rsidRPr="000347CC">
        <w:rPr>
          <w:rFonts w:ascii="Times New Roman" w:eastAsia="Times New Roman" w:hAnsi="Times New Roman" w:cs="Times New Roman"/>
          <w:b/>
          <w:sz w:val="24"/>
          <w:szCs w:val="24"/>
          <w:lang w:val="en-GB"/>
        </w:rPr>
        <w:t xml:space="preserve">4.9. </w:t>
      </w:r>
      <w:r w:rsidRPr="000347CC">
        <w:rPr>
          <w:rFonts w:ascii="Times New Roman" w:eastAsia="Times New Roman" w:hAnsi="Times New Roman" w:cs="Times New Roman"/>
          <w:b/>
          <w:sz w:val="24"/>
          <w:szCs w:val="24"/>
          <w:lang w:val="en-GB"/>
        </w:rPr>
        <w:tab/>
        <w:t>Pārdozēšana</w:t>
      </w:r>
    </w:p>
    <w:p w14:paraId="39DAAE40"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en-US"/>
        </w:rPr>
      </w:pPr>
      <w:bookmarkStart w:id="1" w:name="OLE_LINK7"/>
      <w:r w:rsidRPr="000347CC">
        <w:rPr>
          <w:rFonts w:ascii="Times New Roman" w:eastAsia="Times New Roman" w:hAnsi="Times New Roman" w:cs="Times New Roman"/>
          <w:sz w:val="24"/>
          <w:szCs w:val="24"/>
          <w:lang w:val="en-US"/>
        </w:rPr>
        <w:t>Neizmainītas nieru funkcijas gadījumā magnija toksicitāte pēc iekšķīgas magnija pārdozēšanas nav paredzama. Magnija uzkrāšanās kopā ar intoksikācijas ainu var rasties tikai smagas nieru mazspējas gadījumā.</w:t>
      </w:r>
    </w:p>
    <w:p w14:paraId="155B8D9E"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i/>
          <w:iCs/>
          <w:sz w:val="24"/>
          <w:szCs w:val="24"/>
          <w:lang w:val="en-US"/>
        </w:rPr>
      </w:pPr>
    </w:p>
    <w:p w14:paraId="74549AFF"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i/>
          <w:iCs/>
          <w:sz w:val="24"/>
          <w:szCs w:val="24"/>
          <w:u w:val="single"/>
          <w:lang w:val="en-US"/>
        </w:rPr>
      </w:pPr>
      <w:r w:rsidRPr="000347CC">
        <w:rPr>
          <w:rFonts w:ascii="Times New Roman" w:eastAsia="Times New Roman" w:hAnsi="Times New Roman" w:cs="Times New Roman"/>
          <w:i/>
          <w:iCs/>
          <w:sz w:val="24"/>
          <w:szCs w:val="24"/>
          <w:lang w:val="en-US"/>
        </w:rPr>
        <w:t>Intoksikācijas simptomi:</w:t>
      </w:r>
    </w:p>
    <w:p w14:paraId="6CCB161B" w14:textId="77777777" w:rsidR="00F00C03" w:rsidRPr="000347CC" w:rsidRDefault="00F00C03" w:rsidP="00F00C03">
      <w:pPr>
        <w:tabs>
          <w:tab w:val="left" w:pos="3340"/>
        </w:tabs>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Cs/>
          <w:sz w:val="24"/>
          <w:szCs w:val="24"/>
          <w:lang w:val="sv-SE"/>
        </w:rPr>
        <w:t>Mg koncentrācija plazmā (mmol/L)</w:t>
      </w:r>
      <w:r w:rsidRPr="000347CC">
        <w:rPr>
          <w:rFonts w:ascii="Times New Roman" w:eastAsia="Times New Roman" w:hAnsi="Times New Roman" w:cs="Times New Roman"/>
          <w:iCs/>
          <w:sz w:val="24"/>
          <w:szCs w:val="24"/>
          <w:lang w:val="sv-SE"/>
        </w:rPr>
        <w:tab/>
      </w:r>
      <w:r w:rsidRPr="000347CC">
        <w:rPr>
          <w:rFonts w:ascii="Times New Roman" w:eastAsia="Times New Roman" w:hAnsi="Times New Roman" w:cs="Times New Roman"/>
          <w:iCs/>
          <w:sz w:val="24"/>
          <w:szCs w:val="24"/>
          <w:lang w:val="en-US"/>
        </w:rPr>
        <w:t>Simptomi un nevēlamās blakusparādības</w:t>
      </w:r>
    </w:p>
    <w:p w14:paraId="461BF22F" w14:textId="77777777" w:rsidR="00F00C03" w:rsidRPr="000347CC" w:rsidRDefault="00F00C03" w:rsidP="00F00C03">
      <w:pPr>
        <w:tabs>
          <w:tab w:val="left" w:pos="3340"/>
        </w:tabs>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Cs/>
          <w:sz w:val="24"/>
          <w:szCs w:val="24"/>
          <w:lang w:val="en-US"/>
        </w:rPr>
        <w:t>&gt; 1.5</w:t>
      </w:r>
      <w:r w:rsidRPr="000347CC">
        <w:rPr>
          <w:rFonts w:ascii="Times New Roman" w:eastAsia="Times New Roman" w:hAnsi="Times New Roman" w:cs="Times New Roman"/>
          <w:iCs/>
          <w:sz w:val="24"/>
          <w:szCs w:val="24"/>
          <w:lang w:val="en-US"/>
        </w:rPr>
        <w:tab/>
        <w:t>asinsspiediena pazemināšanās, slikta dūša, vemšana</w:t>
      </w:r>
    </w:p>
    <w:p w14:paraId="3926CFF7" w14:textId="77777777" w:rsidR="00F00C03" w:rsidRPr="000347CC" w:rsidRDefault="00F00C03" w:rsidP="00F00C03">
      <w:pPr>
        <w:tabs>
          <w:tab w:val="left" w:pos="3340"/>
        </w:tabs>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Cs/>
          <w:sz w:val="24"/>
          <w:szCs w:val="24"/>
          <w:lang w:val="en-US"/>
        </w:rPr>
        <w:t>&gt;  2.5</w:t>
      </w:r>
      <w:r w:rsidRPr="000347CC">
        <w:rPr>
          <w:rFonts w:ascii="Times New Roman" w:eastAsia="Times New Roman" w:hAnsi="Times New Roman" w:cs="Times New Roman"/>
          <w:iCs/>
          <w:sz w:val="24"/>
          <w:szCs w:val="24"/>
          <w:lang w:val="en-US"/>
        </w:rPr>
        <w:tab/>
        <w:t>CNS depresija</w:t>
      </w:r>
    </w:p>
    <w:p w14:paraId="2104F6DF" w14:textId="77777777" w:rsidR="00F00C03" w:rsidRPr="000347CC" w:rsidRDefault="00F00C03" w:rsidP="00F00C03">
      <w:pPr>
        <w:tabs>
          <w:tab w:val="left" w:pos="3340"/>
        </w:tabs>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Cs/>
          <w:sz w:val="24"/>
          <w:szCs w:val="24"/>
          <w:lang w:val="en-US"/>
        </w:rPr>
        <w:t>&gt;  3.5</w:t>
      </w:r>
      <w:r w:rsidRPr="000347CC">
        <w:rPr>
          <w:rFonts w:ascii="Times New Roman" w:eastAsia="Times New Roman" w:hAnsi="Times New Roman" w:cs="Times New Roman"/>
          <w:iCs/>
          <w:sz w:val="24"/>
          <w:szCs w:val="24"/>
          <w:lang w:val="en-US"/>
        </w:rPr>
        <w:tab/>
        <w:t>hiporefleksija, izmaiņas elektrokardiogrammā</w:t>
      </w:r>
    </w:p>
    <w:p w14:paraId="567F8F12" w14:textId="71351C21"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Cs/>
          <w:sz w:val="24"/>
          <w:szCs w:val="24"/>
          <w:lang w:val="en-US"/>
        </w:rPr>
        <w:t>&gt;  5.0</w:t>
      </w:r>
      <w:r w:rsidRPr="000347CC">
        <w:rPr>
          <w:rFonts w:ascii="Times New Roman" w:eastAsia="Times New Roman" w:hAnsi="Times New Roman" w:cs="Times New Roman"/>
          <w:iCs/>
          <w:sz w:val="24"/>
          <w:szCs w:val="24"/>
          <w:lang w:val="en-US"/>
        </w:rPr>
        <w:tab/>
      </w:r>
      <w:r w:rsidR="00CC326E">
        <w:rPr>
          <w:rFonts w:ascii="Times New Roman" w:eastAsia="Times New Roman" w:hAnsi="Times New Roman" w:cs="Times New Roman"/>
          <w:iCs/>
          <w:sz w:val="24"/>
          <w:szCs w:val="24"/>
          <w:lang w:val="en-US"/>
        </w:rPr>
        <w:t xml:space="preserve">                                </w:t>
      </w:r>
      <w:r w:rsidRPr="000347CC">
        <w:rPr>
          <w:rFonts w:ascii="Times New Roman" w:eastAsia="Times New Roman" w:hAnsi="Times New Roman" w:cs="Times New Roman"/>
          <w:iCs/>
          <w:sz w:val="24"/>
          <w:szCs w:val="24"/>
          <w:lang w:val="en-US"/>
        </w:rPr>
        <w:t>sākotnēja elpošanas depresija</w:t>
      </w:r>
    </w:p>
    <w:p w14:paraId="054F28E8" w14:textId="77777777" w:rsidR="00F00C03" w:rsidRPr="000347CC" w:rsidRDefault="00F00C03" w:rsidP="00F00C03">
      <w:pPr>
        <w:tabs>
          <w:tab w:val="left" w:pos="3340"/>
        </w:tabs>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Cs/>
          <w:sz w:val="24"/>
          <w:szCs w:val="24"/>
          <w:lang w:val="en-US"/>
        </w:rPr>
        <w:t>&gt;  5.5</w:t>
      </w:r>
      <w:r w:rsidRPr="000347CC">
        <w:rPr>
          <w:rFonts w:ascii="Times New Roman" w:eastAsia="Times New Roman" w:hAnsi="Times New Roman" w:cs="Times New Roman"/>
          <w:iCs/>
          <w:sz w:val="24"/>
          <w:szCs w:val="24"/>
          <w:lang w:val="en-US"/>
        </w:rPr>
        <w:tab/>
        <w:t>koma</w:t>
      </w:r>
    </w:p>
    <w:p w14:paraId="48E10467" w14:textId="77777777" w:rsidR="00F00C03" w:rsidRPr="000347CC" w:rsidRDefault="00F00C03" w:rsidP="00F00C03">
      <w:pPr>
        <w:tabs>
          <w:tab w:val="left" w:pos="3340"/>
        </w:tabs>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Cs/>
          <w:sz w:val="24"/>
          <w:szCs w:val="24"/>
          <w:lang w:val="en-US"/>
        </w:rPr>
        <w:t>&gt;  7.0</w:t>
      </w:r>
      <w:r w:rsidRPr="000347CC">
        <w:rPr>
          <w:rFonts w:ascii="Times New Roman" w:eastAsia="Times New Roman" w:hAnsi="Times New Roman" w:cs="Times New Roman"/>
          <w:iCs/>
          <w:sz w:val="24"/>
          <w:szCs w:val="24"/>
          <w:lang w:val="en-US"/>
        </w:rPr>
        <w:tab/>
        <w:t>sirdsdarbības apstāšanās un elpošanas nomākums</w:t>
      </w:r>
    </w:p>
    <w:p w14:paraId="7B72BF20"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i/>
          <w:iCs/>
          <w:sz w:val="24"/>
          <w:szCs w:val="24"/>
          <w:lang w:val="en-US"/>
        </w:rPr>
      </w:pPr>
    </w:p>
    <w:p w14:paraId="7C1B3B69"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
          <w:iCs/>
          <w:sz w:val="24"/>
          <w:szCs w:val="24"/>
          <w:lang w:val="en-US"/>
        </w:rPr>
        <w:t>Intoksikācijas terapija:</w:t>
      </w:r>
    </w:p>
    <w:p w14:paraId="3BC33709"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Cs/>
          <w:sz w:val="24"/>
          <w:szCs w:val="24"/>
          <w:lang w:val="en-US"/>
        </w:rPr>
        <w:t>intravenoza kalcija ievadīšana un lēna, intravenoza 0,5</w:t>
      </w:r>
      <w:r w:rsidRPr="000347CC">
        <w:rPr>
          <w:rFonts w:ascii="Times New Roman" w:eastAsia="Times New Roman" w:hAnsi="Times New Roman" w:cs="Times New Roman"/>
          <w:iCs/>
          <w:sz w:val="24"/>
          <w:szCs w:val="24"/>
          <w:lang w:val="en-US"/>
        </w:rPr>
        <w:noBreakHyphen/>
        <w:t>2 mg neostigmīna metilsulfāta ievadīšana;</w:t>
      </w:r>
    </w:p>
    <w:p w14:paraId="4B2332E7"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Cs/>
          <w:sz w:val="24"/>
          <w:szCs w:val="24"/>
          <w:lang w:val="en-US"/>
        </w:rPr>
        <w:t>intravenoza un iekšķīga izotoniska nātrija hlorīda šķīduma lietošana, elpošanas un asinsrites atbalsta pasākumi;</w:t>
      </w:r>
    </w:p>
    <w:p w14:paraId="2064B192"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iCs/>
          <w:sz w:val="24"/>
          <w:szCs w:val="24"/>
          <w:lang w:val="en-US"/>
        </w:rPr>
      </w:pPr>
      <w:r w:rsidRPr="000347CC">
        <w:rPr>
          <w:rFonts w:ascii="Times New Roman" w:eastAsia="Times New Roman" w:hAnsi="Times New Roman" w:cs="Times New Roman"/>
          <w:iCs/>
          <w:sz w:val="24"/>
          <w:szCs w:val="24"/>
          <w:lang w:val="en-US"/>
        </w:rPr>
        <w:t>nieru mazspējas gadījumā – hemodialīze.</w:t>
      </w:r>
    </w:p>
    <w:bookmarkEnd w:id="1"/>
    <w:p w14:paraId="0CB24BA0"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en-US"/>
        </w:rPr>
      </w:pPr>
    </w:p>
    <w:p w14:paraId="2F0BE5DC"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p>
    <w:p w14:paraId="767DED41"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
          <w:color w:val="000000"/>
          <w:sz w:val="24"/>
          <w:szCs w:val="24"/>
          <w:lang w:val="fr-FR" w:eastAsia="de-DE"/>
        </w:rPr>
      </w:pPr>
      <w:r w:rsidRPr="000347CC">
        <w:rPr>
          <w:rFonts w:ascii="Times New Roman" w:eastAsia="Times New Roman" w:hAnsi="Times New Roman" w:cs="Times New Roman"/>
          <w:b/>
          <w:sz w:val="24"/>
          <w:szCs w:val="24"/>
          <w:lang w:val="fr-FR"/>
        </w:rPr>
        <w:t>5.</w:t>
      </w:r>
      <w:r w:rsidRPr="000347CC">
        <w:rPr>
          <w:rFonts w:ascii="Times New Roman" w:eastAsia="Times New Roman" w:hAnsi="Times New Roman" w:cs="Times New Roman"/>
          <w:b/>
          <w:sz w:val="24"/>
          <w:szCs w:val="24"/>
          <w:lang w:val="fr-FR"/>
        </w:rPr>
        <w:tab/>
        <w:t xml:space="preserve">FARMAKOLOĢISKĀS ĪPAŠĪBAS </w:t>
      </w:r>
    </w:p>
    <w:p w14:paraId="245AF870"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sz w:val="24"/>
          <w:szCs w:val="24"/>
          <w:lang w:val="fr-FR"/>
        </w:rPr>
      </w:pPr>
    </w:p>
    <w:p w14:paraId="50F99716"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fr-FR" w:eastAsia="de-DE"/>
        </w:rPr>
      </w:pPr>
      <w:r w:rsidRPr="000347CC">
        <w:rPr>
          <w:rFonts w:ascii="Times New Roman" w:eastAsia="Times New Roman" w:hAnsi="Times New Roman" w:cs="Times New Roman"/>
          <w:b/>
          <w:sz w:val="24"/>
          <w:szCs w:val="24"/>
          <w:lang w:val="fr-FR"/>
        </w:rPr>
        <w:t>5.1.</w:t>
      </w:r>
      <w:r w:rsidRPr="000347CC">
        <w:rPr>
          <w:rFonts w:ascii="Times New Roman" w:eastAsia="Times New Roman" w:hAnsi="Times New Roman" w:cs="Times New Roman"/>
          <w:b/>
          <w:sz w:val="24"/>
          <w:szCs w:val="24"/>
          <w:lang w:val="fr-FR"/>
        </w:rPr>
        <w:tab/>
        <w:t>Farmakodinamiskās īpašības</w:t>
      </w:r>
    </w:p>
    <w:p w14:paraId="563D0596" w14:textId="146E8BCC" w:rsidR="00F00C03" w:rsidRPr="002C2820" w:rsidRDefault="00F00C03" w:rsidP="00F00C03">
      <w:pPr>
        <w:pStyle w:val="knZulassung01"/>
        <w:tabs>
          <w:tab w:val="clear" w:pos="567"/>
          <w:tab w:val="left" w:pos="709"/>
        </w:tabs>
        <w:spacing w:line="240" w:lineRule="auto"/>
        <w:ind w:left="851" w:right="0" w:firstLine="0"/>
        <w:rPr>
          <w:sz w:val="24"/>
          <w:szCs w:val="24"/>
          <w:lang w:val="fr-FR"/>
        </w:rPr>
      </w:pPr>
      <w:r w:rsidRPr="000347CC">
        <w:rPr>
          <w:sz w:val="24"/>
          <w:szCs w:val="24"/>
          <w:lang w:val="fr-FR"/>
        </w:rPr>
        <w:t>Farmakoterapeitiskā grupa: gremošanas trakts un</w:t>
      </w:r>
      <w:r w:rsidR="00CC326E">
        <w:rPr>
          <w:sz w:val="24"/>
          <w:szCs w:val="24"/>
          <w:lang w:val="fr-FR"/>
        </w:rPr>
        <w:t xml:space="preserve"> </w:t>
      </w:r>
      <w:r w:rsidRPr="000347CC">
        <w:rPr>
          <w:sz w:val="24"/>
          <w:szCs w:val="24"/>
          <w:lang w:val="fr-FR"/>
        </w:rPr>
        <w:t xml:space="preserve">vielmaiņa, citas minerālvielu </w:t>
      </w:r>
      <w:r w:rsidRPr="002C2820">
        <w:rPr>
          <w:sz w:val="24"/>
          <w:szCs w:val="24"/>
          <w:lang w:val="fr-FR"/>
        </w:rPr>
        <w:t xml:space="preserve">piedevas </w:t>
      </w:r>
    </w:p>
    <w:p w14:paraId="7E0C2853" w14:textId="77777777" w:rsidR="00F00C03" w:rsidRPr="002C2820" w:rsidRDefault="00F00C03" w:rsidP="00F00C03">
      <w:pPr>
        <w:pStyle w:val="knZulassung01"/>
        <w:tabs>
          <w:tab w:val="clear" w:pos="567"/>
          <w:tab w:val="left" w:pos="709"/>
        </w:tabs>
        <w:spacing w:line="240" w:lineRule="auto"/>
        <w:ind w:left="851" w:right="0" w:firstLine="0"/>
        <w:rPr>
          <w:sz w:val="24"/>
          <w:szCs w:val="24"/>
          <w:lang w:val="fr-FR"/>
        </w:rPr>
      </w:pPr>
      <w:r w:rsidRPr="002C2820">
        <w:rPr>
          <w:sz w:val="24"/>
          <w:szCs w:val="24"/>
          <w:lang w:val="fr-FR"/>
        </w:rPr>
        <w:t>ATĶ kods: A12CC04</w:t>
      </w:r>
    </w:p>
    <w:p w14:paraId="3373FA61" w14:textId="77777777" w:rsidR="00F00C03" w:rsidRPr="002C2820"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sz w:val="24"/>
          <w:szCs w:val="24"/>
          <w:lang w:val="fr-FR" w:eastAsia="lv-LV"/>
        </w:rPr>
      </w:pPr>
    </w:p>
    <w:p w14:paraId="03592964" w14:textId="77777777" w:rsidR="00F00C03" w:rsidRPr="002C2820"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sz w:val="24"/>
          <w:szCs w:val="24"/>
          <w:lang w:val="fr-FR" w:eastAsia="lv-LV"/>
        </w:rPr>
      </w:pPr>
      <w:r w:rsidRPr="002C2820">
        <w:rPr>
          <w:rFonts w:ascii="Times New Roman" w:eastAsia="Times New Roman" w:hAnsi="Times New Roman" w:cs="Times New Roman"/>
          <w:snapToGrid w:val="0"/>
          <w:sz w:val="24"/>
          <w:szCs w:val="24"/>
          <w:lang w:val="fr-FR" w:eastAsia="lv-LV"/>
        </w:rPr>
        <w:t>Magnijs</w:t>
      </w:r>
    </w:p>
    <w:p w14:paraId="0E95A61E" w14:textId="77777777" w:rsidR="00F00C03" w:rsidRPr="002C2820"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sz w:val="24"/>
          <w:szCs w:val="24"/>
          <w:lang w:val="fr-FR" w:eastAsia="lv-LV"/>
        </w:rPr>
      </w:pPr>
      <w:r w:rsidRPr="002C2820">
        <w:rPr>
          <w:rFonts w:ascii="Times New Roman" w:eastAsia="Times New Roman" w:hAnsi="Times New Roman" w:cs="Times New Roman"/>
          <w:snapToGrid w:val="0"/>
          <w:sz w:val="24"/>
          <w:szCs w:val="24"/>
          <w:lang w:val="fr-FR" w:eastAsia="lv-LV"/>
        </w:rPr>
        <w:t>- darbojas kā fizioloģisks kalcija antagonists;</w:t>
      </w:r>
    </w:p>
    <w:p w14:paraId="1E1276A3" w14:textId="77777777" w:rsidR="00F00C03" w:rsidRPr="002C2820"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sz w:val="24"/>
          <w:szCs w:val="24"/>
          <w:lang w:val="fr-FR" w:eastAsia="lv-LV"/>
        </w:rPr>
      </w:pPr>
      <w:r w:rsidRPr="002C2820">
        <w:rPr>
          <w:rFonts w:ascii="Times New Roman" w:eastAsia="Times New Roman" w:hAnsi="Times New Roman" w:cs="Times New Roman"/>
          <w:snapToGrid w:val="0"/>
          <w:sz w:val="24"/>
          <w:szCs w:val="24"/>
          <w:lang w:val="fr-FR" w:eastAsia="lv-LV"/>
        </w:rPr>
        <w:lastRenderedPageBreak/>
        <w:t>- stabilizē šūnu membrānas fosfolipīdus;</w:t>
      </w:r>
    </w:p>
    <w:p w14:paraId="455E055C" w14:textId="77777777" w:rsidR="00F00C03" w:rsidRPr="002C2820"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sz w:val="24"/>
          <w:szCs w:val="24"/>
          <w:lang w:val="fr-FR" w:eastAsia="lv-LV"/>
        </w:rPr>
      </w:pPr>
      <w:r w:rsidRPr="002C2820">
        <w:rPr>
          <w:rFonts w:ascii="Times New Roman" w:eastAsia="Times New Roman" w:hAnsi="Times New Roman" w:cs="Times New Roman"/>
          <w:snapToGrid w:val="0"/>
          <w:sz w:val="24"/>
          <w:szCs w:val="24"/>
          <w:lang w:val="fr-FR" w:eastAsia="lv-LV"/>
        </w:rPr>
        <w:t>- inhibē neiromuskulāro vadīšanu.</w:t>
      </w:r>
    </w:p>
    <w:p w14:paraId="43007276" w14:textId="77777777" w:rsidR="00F00C03" w:rsidRPr="002C2820" w:rsidRDefault="00F00C03" w:rsidP="00F00C03">
      <w:pPr>
        <w:tabs>
          <w:tab w:val="left" w:pos="709"/>
          <w:tab w:val="left" w:pos="1843"/>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p>
    <w:p w14:paraId="47B2AC46" w14:textId="77777777" w:rsidR="00F00C03" w:rsidRPr="002C2820" w:rsidRDefault="00F00C03" w:rsidP="00F00C03">
      <w:pPr>
        <w:tabs>
          <w:tab w:val="left" w:pos="567"/>
          <w:tab w:val="left" w:pos="1843"/>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fr-FR" w:eastAsia="de-DE"/>
        </w:rPr>
      </w:pPr>
    </w:p>
    <w:p w14:paraId="3E28E2BA" w14:textId="77777777" w:rsidR="00F00C03" w:rsidRPr="002C2820"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
          <w:sz w:val="24"/>
          <w:szCs w:val="24"/>
          <w:lang w:val="fr-FR"/>
        </w:rPr>
      </w:pPr>
    </w:p>
    <w:p w14:paraId="418ED8F4" w14:textId="77777777" w:rsidR="00F00C03" w:rsidRPr="002C2820"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
          <w:color w:val="000000"/>
          <w:sz w:val="24"/>
          <w:szCs w:val="24"/>
          <w:lang w:val="fr-FR" w:eastAsia="de-DE"/>
        </w:rPr>
      </w:pPr>
      <w:r w:rsidRPr="002C2820">
        <w:rPr>
          <w:rFonts w:ascii="Times New Roman" w:eastAsia="Times New Roman" w:hAnsi="Times New Roman" w:cs="Times New Roman"/>
          <w:b/>
          <w:sz w:val="24"/>
          <w:szCs w:val="24"/>
          <w:lang w:val="fr-FR"/>
        </w:rPr>
        <w:t>5.2.</w:t>
      </w:r>
      <w:r w:rsidRPr="002C2820">
        <w:rPr>
          <w:rFonts w:ascii="Times New Roman" w:eastAsia="Times New Roman" w:hAnsi="Times New Roman" w:cs="Times New Roman"/>
          <w:b/>
          <w:sz w:val="24"/>
          <w:szCs w:val="24"/>
          <w:lang w:val="fr-FR"/>
        </w:rPr>
        <w:tab/>
        <w:t>Farmakokinētiskās īpašības</w:t>
      </w:r>
    </w:p>
    <w:p w14:paraId="2025EB40" w14:textId="77777777" w:rsidR="00F00C03" w:rsidRPr="002C2820"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i/>
          <w:sz w:val="24"/>
          <w:szCs w:val="24"/>
          <w:lang w:val="fr-FR"/>
        </w:rPr>
      </w:pPr>
      <w:r w:rsidRPr="002C2820">
        <w:rPr>
          <w:rFonts w:ascii="Times New Roman" w:eastAsia="Times New Roman" w:hAnsi="Times New Roman" w:cs="Times New Roman"/>
          <w:i/>
          <w:sz w:val="24"/>
          <w:szCs w:val="24"/>
          <w:lang w:val="fr-FR"/>
        </w:rPr>
        <w:t>Uzsūkšanās</w:t>
      </w:r>
    </w:p>
    <w:p w14:paraId="69BEAB39" w14:textId="77777777" w:rsidR="00F00C03" w:rsidRPr="002C2820"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fr-FR"/>
        </w:rPr>
      </w:pPr>
      <w:r w:rsidRPr="002C2820">
        <w:rPr>
          <w:rFonts w:ascii="Times New Roman" w:eastAsia="Times New Roman" w:hAnsi="Times New Roman" w:cs="Times New Roman"/>
          <w:sz w:val="24"/>
          <w:szCs w:val="24"/>
          <w:lang w:val="fr-FR"/>
        </w:rPr>
        <w:t>Magnijs lēnām un pilnībā uzsūcas, galvenokārt, tievajās zarnās. Daļa, kas nav uzsūkusies, var radīt caurejai līdzīgu efektu.</w:t>
      </w:r>
    </w:p>
    <w:p w14:paraId="52BB93A8" w14:textId="77777777" w:rsidR="00F00C03" w:rsidRPr="002C2820"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fr-FR"/>
        </w:rPr>
      </w:pPr>
    </w:p>
    <w:p w14:paraId="05ECF3CC" w14:textId="77777777" w:rsidR="00F00C03" w:rsidRPr="000347CC" w:rsidRDefault="00F00C03" w:rsidP="00F00C03">
      <w:pPr>
        <w:pStyle w:val="NoSpacing"/>
        <w:ind w:left="851"/>
        <w:rPr>
          <w:rFonts w:ascii="Times New Roman" w:hAnsi="Times New Roman"/>
          <w:i/>
          <w:iCs/>
          <w:snapToGrid w:val="0"/>
          <w:color w:val="000000"/>
          <w:sz w:val="24"/>
          <w:szCs w:val="24"/>
          <w:lang w:eastAsia="lv-LV"/>
        </w:rPr>
      </w:pPr>
      <w:r w:rsidRPr="000347CC">
        <w:rPr>
          <w:rFonts w:ascii="Times New Roman" w:hAnsi="Times New Roman"/>
          <w:i/>
          <w:iCs/>
          <w:snapToGrid w:val="0"/>
          <w:sz w:val="24"/>
          <w:szCs w:val="24"/>
          <w:lang w:eastAsia="lv-LV"/>
        </w:rPr>
        <w:t>Izkliede orgānos un audos</w:t>
      </w:r>
    </w:p>
    <w:p w14:paraId="6E518AB6"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sz w:val="24"/>
          <w:szCs w:val="24"/>
          <w:lang w:val="lv-LV" w:eastAsia="lv-LV"/>
        </w:rPr>
        <w:t>Magnija izkliede organismā ir atkarīga no magnija piesātinājuma līmeņa katrā konkrētā gadījumā. Uz magniju nevar attiecināt klasisko biopieejamības metodi, izmantojot līknes, kas atspoguļo koncentrāciju plazmā.</w:t>
      </w:r>
    </w:p>
    <w:p w14:paraId="49434B66"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sz w:val="24"/>
          <w:szCs w:val="24"/>
          <w:lang w:val="lv-LV" w:eastAsia="lv-LV"/>
        </w:rPr>
      </w:pPr>
      <w:r w:rsidRPr="000347CC">
        <w:rPr>
          <w:rFonts w:ascii="Times New Roman" w:eastAsia="Times New Roman" w:hAnsi="Times New Roman" w:cs="Times New Roman"/>
          <w:snapToGrid w:val="0"/>
          <w:sz w:val="24"/>
          <w:szCs w:val="24"/>
          <w:lang w:val="lv-LV" w:eastAsia="lv-LV"/>
        </w:rPr>
        <w:t>Pirms magnija lietošanas terapeitiskās lietderības noteikšanas magnija piesātinājuma līmenim vajadzētu būt pēc iespējas augstākam, jo renālā ekskrēcija korelē ar uzsūkšanos līdzsvara koncentrācijas apstākļos.</w:t>
      </w:r>
    </w:p>
    <w:p w14:paraId="35B05575"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sz w:val="24"/>
          <w:szCs w:val="24"/>
          <w:lang w:val="lv-LV" w:eastAsia="lv-LV"/>
        </w:rPr>
        <w:t>Asins serumā ir tikai aptuveni 1% no kopējām magnija rezervēm, t.i., 0,8</w:t>
      </w:r>
      <w:r w:rsidRPr="000347CC">
        <w:rPr>
          <w:rFonts w:ascii="Times New Roman" w:eastAsia="Times New Roman" w:hAnsi="Times New Roman" w:cs="Times New Roman"/>
          <w:snapToGrid w:val="0"/>
          <w:sz w:val="24"/>
          <w:szCs w:val="24"/>
          <w:lang w:val="lv-LV" w:eastAsia="lv-LV"/>
        </w:rPr>
        <w:noBreakHyphen/>
        <w:t>1,0 mmol/l (atbilst 1,6</w:t>
      </w:r>
      <w:r w:rsidRPr="000347CC">
        <w:rPr>
          <w:rFonts w:ascii="Times New Roman" w:eastAsia="Times New Roman" w:hAnsi="Times New Roman" w:cs="Times New Roman"/>
          <w:snapToGrid w:val="0"/>
          <w:sz w:val="24"/>
          <w:szCs w:val="24"/>
          <w:lang w:val="lv-LV" w:eastAsia="lv-LV"/>
        </w:rPr>
        <w:noBreakHyphen/>
        <w:t>2,0 meq/l). Aptuveni 45% no šīm rezervēm ir saistītas ar albumīnu vai citiem ligandiem. Atlikušais jonizētais magnijs veido fizioloģiski aktīvo daļu.</w:t>
      </w:r>
    </w:p>
    <w:p w14:paraId="48CB3555"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sz w:val="24"/>
          <w:szCs w:val="24"/>
          <w:lang w:val="lv-LV" w:eastAsia="lv-LV"/>
        </w:rPr>
        <w:t>Aptuveni puse no kopējām magnija rezervēm atrodas šūnās. Pārējās magnija rezerves atrodas kaulos. Magnija uzsūkšanās ir līdzsvarā ar magnija daudzumu asins serumā.</w:t>
      </w:r>
    </w:p>
    <w:p w14:paraId="36C9D0D3"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sz w:val="24"/>
          <w:szCs w:val="24"/>
          <w:lang w:val="lv-LV" w:eastAsia="lv-LV"/>
        </w:rPr>
      </w:pPr>
      <w:r w:rsidRPr="000347CC">
        <w:rPr>
          <w:rFonts w:ascii="Times New Roman" w:eastAsia="Times New Roman" w:hAnsi="Times New Roman" w:cs="Times New Roman"/>
          <w:snapToGrid w:val="0"/>
          <w:sz w:val="24"/>
          <w:szCs w:val="24"/>
          <w:lang w:val="lv-LV" w:eastAsia="lv-LV"/>
        </w:rPr>
        <w:t>Magnija koncentrācija asins serumā dienas laikā mainās. Tā kā pastāv līdzsvars starp magnija koncentrāciju asins serumā un rezervēm kaulos, nevar izdarīt secinājumus par organisma rezervēm, pamatojoties uz magnija koncentrāciju asins serumā. Par magnija deficītu var liecināt paaugstināta neiromuskulārā uzbudināmība.</w:t>
      </w:r>
    </w:p>
    <w:p w14:paraId="775D0B69"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i/>
          <w:snapToGrid w:val="0"/>
          <w:color w:val="000000"/>
          <w:sz w:val="24"/>
          <w:szCs w:val="24"/>
          <w:lang w:val="lv-LV" w:eastAsia="lv-LV"/>
        </w:rPr>
      </w:pPr>
    </w:p>
    <w:p w14:paraId="2D529EA2"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i/>
          <w:snapToGrid w:val="0"/>
          <w:color w:val="000000"/>
          <w:sz w:val="24"/>
          <w:szCs w:val="24"/>
          <w:lang w:val="lv-LV" w:eastAsia="lv-LV"/>
        </w:rPr>
      </w:pPr>
      <w:r w:rsidRPr="000347CC">
        <w:rPr>
          <w:rFonts w:ascii="Times New Roman" w:eastAsia="Times New Roman" w:hAnsi="Times New Roman" w:cs="Times New Roman"/>
          <w:i/>
          <w:snapToGrid w:val="0"/>
          <w:color w:val="000000"/>
          <w:sz w:val="24"/>
          <w:szCs w:val="24"/>
          <w:lang w:val="lv-LV" w:eastAsia="lv-LV"/>
        </w:rPr>
        <w:t>Eliminācija</w:t>
      </w:r>
    </w:p>
    <w:p w14:paraId="559C7DEC"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i/>
          <w:snapToGrid w:val="0"/>
          <w:color w:val="000000"/>
          <w:sz w:val="24"/>
          <w:szCs w:val="24"/>
          <w:lang w:val="lv-LV" w:eastAsia="lv-LV"/>
        </w:rPr>
      </w:pPr>
      <w:r w:rsidRPr="000347CC">
        <w:rPr>
          <w:rFonts w:ascii="Times New Roman" w:eastAsia="Times New Roman" w:hAnsi="Times New Roman" w:cs="Times New Roman"/>
          <w:snapToGrid w:val="0"/>
          <w:color w:val="000000"/>
          <w:sz w:val="24"/>
          <w:szCs w:val="24"/>
          <w:lang w:val="lv-LV" w:eastAsia="lv-LV"/>
        </w:rPr>
        <w:t>Pēc uzsūkšanās magnijs izdalās praktiski tikai caur nierēm sekrēcijas veidā.</w:t>
      </w:r>
    </w:p>
    <w:p w14:paraId="6F97B51A"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i/>
          <w:snapToGrid w:val="0"/>
          <w:color w:val="000000"/>
          <w:sz w:val="24"/>
          <w:szCs w:val="24"/>
          <w:lang w:val="lv-LV" w:eastAsia="lv-LV"/>
        </w:rPr>
      </w:pPr>
      <w:r w:rsidRPr="000347CC">
        <w:rPr>
          <w:rFonts w:ascii="Times New Roman" w:eastAsia="Times New Roman" w:hAnsi="Times New Roman" w:cs="Times New Roman"/>
          <w:i/>
          <w:snapToGrid w:val="0"/>
          <w:color w:val="000000"/>
          <w:sz w:val="24"/>
          <w:szCs w:val="24"/>
          <w:lang w:val="lv-LV" w:eastAsia="lv-LV"/>
        </w:rPr>
        <w:t>Zāļu ietekme uz magnija homeostāzi</w:t>
      </w:r>
    </w:p>
    <w:p w14:paraId="2A0B95A4"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color w:val="000000"/>
          <w:sz w:val="24"/>
          <w:szCs w:val="24"/>
          <w:lang w:val="lv-LV" w:eastAsia="lv-LV"/>
        </w:rPr>
        <w:t>Hipertensijas, sirds mazspējas un nieru slimību ārstēšanai plaši izmanto diurētiskos līdzekļus (piem., tiazīdu grupas diurētiskos līdzekļus, furosemīdu). Palielināta urīna izdale ar hipermagnezūriju, iespējams, rada hipomagniēmiju un magnija rezervju samazināšos.</w:t>
      </w:r>
    </w:p>
    <w:p w14:paraId="19787D56"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color w:val="000000"/>
          <w:sz w:val="24"/>
          <w:szCs w:val="24"/>
          <w:lang w:val="lv-LV" w:eastAsia="lv-LV"/>
        </w:rPr>
        <w:t>EAF receptoru antagonistus (piem., cetuksimabu, erlotinibu) izmanto metastātiska kolorektālā vēža ārstēšanai. Tā kā EAF ir magniju piesaistošs hormons, ārstēšana ar EAF receptoru antagonistiem ir saistīta ar smagu hipomagniēmiju.</w:t>
      </w:r>
    </w:p>
    <w:p w14:paraId="3E6D0E08"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color w:val="000000"/>
          <w:sz w:val="24"/>
          <w:szCs w:val="24"/>
          <w:lang w:val="lv-LV" w:eastAsia="lv-LV"/>
        </w:rPr>
        <w:t>Ilgstoša ārstēšana ar protonu sūkņa inhibitoriem (piem., omeprazolu, pantoprazolu) ir saistīta ar smagu hipomagniēmiju, iespējams, uzsūkšanās traucējumu dēļ.</w:t>
      </w:r>
    </w:p>
    <w:p w14:paraId="78C00ED0"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color w:val="000000"/>
          <w:sz w:val="24"/>
          <w:szCs w:val="24"/>
          <w:lang w:val="lv-LV" w:eastAsia="lv-LV"/>
        </w:rPr>
        <w:t>Smagu bakteriālu infekciju ārstēšanai plaši izmanto aminoglikozīdu grupas antibakteriālos līdzekļus (piem., gentamicīnu, tobramicīnu). Pētījumos konstatēts, ka 25% pacientu veidojas hipomagniēmija magnija renālās ekskrēcijas dēļ.</w:t>
      </w:r>
    </w:p>
    <w:p w14:paraId="7B052D75"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color w:val="000000"/>
          <w:sz w:val="24"/>
          <w:szCs w:val="24"/>
          <w:lang w:val="lv-LV" w:eastAsia="lv-LV"/>
        </w:rPr>
        <w:t>Foskarnets ir pirofosfāta analogs, kas inhibē daudzu vīrusu DNS polimerāzes. Hipomagniēmija ir viena no foskarneta lietošanas nevēlamām blakusparādībām, jo foskarnets ir spēcīgs divalento katjonu helators.</w:t>
      </w:r>
    </w:p>
    <w:p w14:paraId="10ADD0ED"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i/>
          <w:snapToGrid w:val="0"/>
          <w:color w:val="000000"/>
          <w:sz w:val="24"/>
          <w:szCs w:val="24"/>
          <w:lang w:val="lv-LV" w:eastAsia="lv-LV"/>
        </w:rPr>
      </w:pPr>
    </w:p>
    <w:p w14:paraId="7734CB77"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i/>
          <w:snapToGrid w:val="0"/>
          <w:color w:val="000000"/>
          <w:sz w:val="24"/>
          <w:szCs w:val="24"/>
          <w:lang w:val="lv-LV" w:eastAsia="lv-LV"/>
        </w:rPr>
      </w:pPr>
      <w:r w:rsidRPr="000347CC">
        <w:rPr>
          <w:rFonts w:ascii="Times New Roman" w:eastAsia="Times New Roman" w:hAnsi="Times New Roman" w:cs="Times New Roman"/>
          <w:i/>
          <w:snapToGrid w:val="0"/>
          <w:color w:val="000000"/>
          <w:sz w:val="24"/>
          <w:szCs w:val="24"/>
          <w:lang w:val="lv-LV" w:eastAsia="lv-LV"/>
        </w:rPr>
        <w:t>Slimību un stāvokļu ietekme uz magnija homeostāzi</w:t>
      </w:r>
    </w:p>
    <w:p w14:paraId="3F6E9D5A"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color w:val="000000"/>
          <w:sz w:val="24"/>
          <w:szCs w:val="24"/>
          <w:lang w:val="lv-LV" w:eastAsia="lv-LV"/>
        </w:rPr>
        <w:t>Magnija rezervju samazināšanos var radīt pārmērīga magnija izdalīšanās ar urīnu. Glikozūrijas radīta osmotiskā diurēze var izraisīt magnija rezervju samazināšanos, un cukura diabēts, iespējams, ir visbiežāk sastopamā slimība, kas saistīta ar magnija rezervju samazināšanos. Tāpēc diabēta pacientiem nepieciešams papildus uzņemt magniju.</w:t>
      </w:r>
    </w:p>
    <w:p w14:paraId="119748C2"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color w:val="000000"/>
          <w:sz w:val="24"/>
          <w:szCs w:val="24"/>
          <w:lang w:val="lv-LV" w:eastAsia="lv-LV"/>
        </w:rPr>
        <w:lastRenderedPageBreak/>
        <w:t>Pierādīts, ka magnija deficīts izraisa kardiovaskulārus traucējumus, piemēram, sirds ritma traucējumus, kas var izpausties kā ātra sirdsdarbība (tahikardija), pārsitieni (priekšlaicīgas kontrakcijas) vai pilnīgi neritmiska sirdsdarbība (fibrilācija).</w:t>
      </w:r>
    </w:p>
    <w:p w14:paraId="73CF03C1" w14:textId="77777777" w:rsidR="00F00C03" w:rsidRPr="000347CC" w:rsidRDefault="00F00C03" w:rsidP="00F00C03">
      <w:pPr>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color w:val="000000"/>
          <w:sz w:val="24"/>
          <w:szCs w:val="24"/>
          <w:lang w:val="lv-LV" w:eastAsia="lv-LV"/>
        </w:rPr>
        <w:t>Magnija trūkums izraisa arteriālu vazokonstrikciju un trombocītu agregāciju. Migrēnas pacientiem bieži konstatēta zema magnija koncentrācija, tādējādi, šķiet, ka magnija deficītam ir loma arī migrēnas patoģenēzē. Magnija papildu lietošana ir efektīvi izmantota migrēnas profilaksē.</w:t>
      </w:r>
    </w:p>
    <w:p w14:paraId="0A0FCDE0" w14:textId="77777777" w:rsidR="00F00C03" w:rsidRPr="000347CC" w:rsidRDefault="00F00C03" w:rsidP="00F00C03">
      <w:pPr>
        <w:tabs>
          <w:tab w:val="left" w:pos="567"/>
          <w:tab w:val="left" w:pos="1843"/>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p>
    <w:p w14:paraId="093C2112" w14:textId="77777777" w:rsidR="00F00C03" w:rsidRPr="000347CC" w:rsidRDefault="00F00C03" w:rsidP="00F00C03">
      <w:pPr>
        <w:tabs>
          <w:tab w:val="left" w:pos="709"/>
        </w:tabs>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lv-LV" w:eastAsia="de-DE"/>
        </w:rPr>
      </w:pPr>
      <w:r w:rsidRPr="000347CC">
        <w:rPr>
          <w:rFonts w:ascii="Times New Roman" w:eastAsia="Times New Roman" w:hAnsi="Times New Roman" w:cs="Times New Roman"/>
          <w:b/>
          <w:sz w:val="24"/>
          <w:szCs w:val="24"/>
          <w:lang w:val="lv-LV"/>
        </w:rPr>
        <w:t>5.3.</w:t>
      </w:r>
      <w:r w:rsidRPr="000347CC">
        <w:rPr>
          <w:rFonts w:ascii="Times New Roman" w:eastAsia="Times New Roman" w:hAnsi="Times New Roman" w:cs="Times New Roman"/>
          <w:b/>
          <w:sz w:val="24"/>
          <w:szCs w:val="24"/>
          <w:lang w:val="lv-LV"/>
        </w:rPr>
        <w:tab/>
        <w:t>Preklīniskie dati par drošumu</w:t>
      </w:r>
    </w:p>
    <w:p w14:paraId="62CD62F0" w14:textId="77777777" w:rsidR="00F00C03" w:rsidRPr="000347CC" w:rsidRDefault="00F00C03" w:rsidP="00F00C03">
      <w:pPr>
        <w:keepNext/>
        <w:keepLines/>
        <w:overflowPunct w:val="0"/>
        <w:autoSpaceDE w:val="0"/>
        <w:autoSpaceDN w:val="0"/>
        <w:adjustRightInd w:val="0"/>
        <w:spacing w:after="0" w:line="240" w:lineRule="auto"/>
        <w:ind w:left="851"/>
        <w:textAlignment w:val="baseline"/>
        <w:rPr>
          <w:rFonts w:ascii="Times New Roman" w:eastAsia="Times New Roman" w:hAnsi="Times New Roman" w:cs="Times New Roman"/>
          <w:snapToGrid w:val="0"/>
          <w:color w:val="000000"/>
          <w:sz w:val="24"/>
          <w:szCs w:val="24"/>
          <w:lang w:val="lv-LV" w:eastAsia="lv-LV"/>
        </w:rPr>
      </w:pPr>
      <w:r w:rsidRPr="000347CC">
        <w:rPr>
          <w:rFonts w:ascii="Times New Roman" w:eastAsia="Times New Roman" w:hAnsi="Times New Roman" w:cs="Times New Roman"/>
          <w:snapToGrid w:val="0"/>
          <w:sz w:val="24"/>
          <w:szCs w:val="24"/>
          <w:lang w:val="lv-LV" w:eastAsia="lv-LV"/>
        </w:rPr>
        <w:t>Neklīniskajos standartpētījumos ar dažādiem magnija sāļiem iegūtie dati par farmakoloģisko drošumu un atkārtotu devu toksicitāti neliecina par īpašu risku cilvēkam. Pētījumi par genotoksicitāti, iespējamu kancerogenitāti un toksisku ietekmi uz reproduktivitāti un attīstību nav veikti.</w:t>
      </w:r>
    </w:p>
    <w:p w14:paraId="65937940"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p>
    <w:p w14:paraId="659F76DF"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b/>
          <w:color w:val="000000"/>
          <w:sz w:val="24"/>
          <w:szCs w:val="24"/>
          <w:lang w:val="lv-LV" w:eastAsia="de-DE"/>
        </w:rPr>
      </w:pPr>
      <w:r w:rsidRPr="000347CC">
        <w:rPr>
          <w:rFonts w:ascii="Times New Roman" w:eastAsia="Times New Roman" w:hAnsi="Times New Roman" w:cs="Times New Roman"/>
          <w:b/>
          <w:sz w:val="24"/>
          <w:szCs w:val="24"/>
          <w:lang w:val="lv-LV"/>
        </w:rPr>
        <w:t>6.</w:t>
      </w:r>
      <w:r w:rsidRPr="000347CC">
        <w:rPr>
          <w:rFonts w:ascii="Times New Roman" w:eastAsia="Times New Roman" w:hAnsi="Times New Roman" w:cs="Times New Roman"/>
          <w:b/>
          <w:sz w:val="24"/>
          <w:szCs w:val="24"/>
          <w:lang w:val="lv-LV"/>
        </w:rPr>
        <w:tab/>
        <w:t>FARMACEITISKĀ INFORMĀCIJA</w:t>
      </w:r>
    </w:p>
    <w:p w14:paraId="31A0350F"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p>
    <w:p w14:paraId="6A205770"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lv-LV" w:eastAsia="de-DE"/>
        </w:rPr>
      </w:pPr>
      <w:r w:rsidRPr="000347CC">
        <w:rPr>
          <w:rFonts w:ascii="Times New Roman" w:eastAsia="Times New Roman" w:hAnsi="Times New Roman" w:cs="Times New Roman"/>
          <w:b/>
          <w:sz w:val="24"/>
          <w:szCs w:val="24"/>
          <w:lang w:val="lv-LV"/>
        </w:rPr>
        <w:t xml:space="preserve">6.1. </w:t>
      </w:r>
      <w:r w:rsidRPr="000347CC">
        <w:rPr>
          <w:rFonts w:ascii="Times New Roman" w:eastAsia="Times New Roman" w:hAnsi="Times New Roman" w:cs="Times New Roman"/>
          <w:b/>
          <w:sz w:val="24"/>
          <w:szCs w:val="24"/>
          <w:lang w:val="lv-LV"/>
        </w:rPr>
        <w:tab/>
        <w:t>Palīgvielu saraksts</w:t>
      </w:r>
    </w:p>
    <w:p w14:paraId="75C75F77" w14:textId="77777777" w:rsidR="00F00C03" w:rsidRPr="000347CC" w:rsidRDefault="00F00C03" w:rsidP="00F00C03">
      <w:pPr>
        <w:tabs>
          <w:tab w:val="left" w:pos="2977"/>
          <w:tab w:val="left" w:pos="4962"/>
        </w:tabs>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u w:val="single"/>
          <w:lang w:val="lv-LV" w:eastAsia="de-DE"/>
        </w:rPr>
      </w:pPr>
      <w:r w:rsidRPr="000347CC">
        <w:rPr>
          <w:rFonts w:ascii="Times New Roman" w:eastAsia="Times New Roman" w:hAnsi="Times New Roman" w:cs="Times New Roman"/>
          <w:sz w:val="24"/>
          <w:szCs w:val="24"/>
          <w:lang w:val="lv-LV"/>
        </w:rPr>
        <w:t xml:space="preserve">Saharoze, bezūdens citronskābe, nātrija hidrogēnkarbonāts, riboflavīns (E 101), apelsīnu aromatizētājs. </w:t>
      </w:r>
    </w:p>
    <w:p w14:paraId="7CA65B20"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p>
    <w:p w14:paraId="5F482DB2"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lv-LV" w:eastAsia="de-DE"/>
        </w:rPr>
      </w:pPr>
      <w:r w:rsidRPr="000347CC">
        <w:rPr>
          <w:rFonts w:ascii="Times New Roman" w:eastAsia="Times New Roman" w:hAnsi="Times New Roman" w:cs="Times New Roman"/>
          <w:b/>
          <w:sz w:val="24"/>
          <w:szCs w:val="24"/>
          <w:lang w:val="lv-LV"/>
        </w:rPr>
        <w:t xml:space="preserve">6.2. </w:t>
      </w:r>
      <w:r w:rsidRPr="000347CC">
        <w:rPr>
          <w:rFonts w:ascii="Times New Roman" w:eastAsia="Times New Roman" w:hAnsi="Times New Roman" w:cs="Times New Roman"/>
          <w:b/>
          <w:sz w:val="24"/>
          <w:szCs w:val="24"/>
          <w:lang w:val="lv-LV"/>
        </w:rPr>
        <w:tab/>
        <w:t>Nesaderība</w:t>
      </w:r>
    </w:p>
    <w:p w14:paraId="6F0DE7F8"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r w:rsidRPr="000347CC">
        <w:rPr>
          <w:rFonts w:ascii="Times New Roman" w:eastAsia="Times New Roman" w:hAnsi="Times New Roman" w:cs="Times New Roman"/>
          <w:sz w:val="24"/>
          <w:szCs w:val="24"/>
          <w:lang w:val="lv-LV"/>
        </w:rPr>
        <w:t>Nav piemērojama.</w:t>
      </w:r>
    </w:p>
    <w:p w14:paraId="0388FAED"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p>
    <w:p w14:paraId="390F03E1"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lv-LV" w:eastAsia="de-DE"/>
        </w:rPr>
      </w:pPr>
      <w:r w:rsidRPr="000347CC">
        <w:rPr>
          <w:rFonts w:ascii="Times New Roman" w:eastAsia="Times New Roman" w:hAnsi="Times New Roman" w:cs="Times New Roman"/>
          <w:b/>
          <w:sz w:val="24"/>
          <w:szCs w:val="24"/>
          <w:lang w:val="lv-LV"/>
        </w:rPr>
        <w:t xml:space="preserve">6.3. </w:t>
      </w:r>
      <w:r w:rsidRPr="000347CC">
        <w:rPr>
          <w:rFonts w:ascii="Times New Roman" w:eastAsia="Times New Roman" w:hAnsi="Times New Roman" w:cs="Times New Roman"/>
          <w:b/>
          <w:sz w:val="24"/>
          <w:szCs w:val="24"/>
          <w:lang w:val="lv-LV"/>
        </w:rPr>
        <w:tab/>
        <w:t>Uzglabāšanas laiks</w:t>
      </w:r>
    </w:p>
    <w:p w14:paraId="1014A7E8"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r w:rsidRPr="000347CC">
        <w:rPr>
          <w:rFonts w:ascii="Times New Roman" w:eastAsia="Times New Roman" w:hAnsi="Times New Roman" w:cs="Times New Roman"/>
          <w:sz w:val="24"/>
          <w:szCs w:val="24"/>
          <w:lang w:val="lv-LV"/>
        </w:rPr>
        <w:t>3 gadi.</w:t>
      </w:r>
    </w:p>
    <w:p w14:paraId="037A289B"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p>
    <w:p w14:paraId="00747411"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lv-LV" w:eastAsia="de-DE"/>
        </w:rPr>
      </w:pPr>
      <w:r w:rsidRPr="000347CC">
        <w:rPr>
          <w:rFonts w:ascii="Times New Roman" w:eastAsia="Times New Roman" w:hAnsi="Times New Roman" w:cs="Times New Roman"/>
          <w:b/>
          <w:sz w:val="24"/>
          <w:szCs w:val="24"/>
          <w:lang w:val="lv-LV"/>
        </w:rPr>
        <w:t xml:space="preserve">6.4. </w:t>
      </w:r>
      <w:r w:rsidRPr="000347CC">
        <w:rPr>
          <w:rFonts w:ascii="Times New Roman" w:eastAsia="Times New Roman" w:hAnsi="Times New Roman" w:cs="Times New Roman"/>
          <w:b/>
          <w:sz w:val="24"/>
          <w:szCs w:val="24"/>
          <w:lang w:val="lv-LV"/>
        </w:rPr>
        <w:tab/>
        <w:t>Īpaši uzglabāšanas nosacījumi</w:t>
      </w:r>
    </w:p>
    <w:p w14:paraId="0E9554AB"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r w:rsidRPr="000347CC">
        <w:rPr>
          <w:rFonts w:ascii="Times New Roman" w:eastAsia="Times New Roman" w:hAnsi="Times New Roman" w:cs="Times New Roman"/>
          <w:sz w:val="24"/>
          <w:szCs w:val="24"/>
          <w:lang w:val="lv-LV"/>
        </w:rPr>
        <w:t>Šīm zālēm nav nepieciešami īpaši uzglabāšanas apstākļi.</w:t>
      </w:r>
    </w:p>
    <w:p w14:paraId="11DDE936"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p>
    <w:p w14:paraId="39B23975"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lv-LV" w:eastAsia="de-DE"/>
        </w:rPr>
      </w:pPr>
      <w:r w:rsidRPr="000347CC">
        <w:rPr>
          <w:rFonts w:ascii="Times New Roman" w:eastAsia="Times New Roman" w:hAnsi="Times New Roman" w:cs="Times New Roman"/>
          <w:b/>
          <w:sz w:val="24"/>
          <w:szCs w:val="24"/>
          <w:lang w:val="lv-LV"/>
        </w:rPr>
        <w:t xml:space="preserve">6.5. </w:t>
      </w:r>
      <w:r w:rsidRPr="000347CC">
        <w:rPr>
          <w:rFonts w:ascii="Times New Roman" w:eastAsia="Times New Roman" w:hAnsi="Times New Roman" w:cs="Times New Roman"/>
          <w:b/>
          <w:sz w:val="24"/>
          <w:szCs w:val="24"/>
          <w:lang w:val="lv-LV"/>
        </w:rPr>
        <w:tab/>
        <w:t>Iepakojuma veids un saturs</w:t>
      </w:r>
    </w:p>
    <w:p w14:paraId="05531776"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lv-LV"/>
        </w:rPr>
      </w:pPr>
      <w:r w:rsidRPr="000347CC">
        <w:rPr>
          <w:rFonts w:ascii="Times New Roman" w:eastAsia="Times New Roman" w:hAnsi="Times New Roman" w:cs="Times New Roman"/>
          <w:sz w:val="24"/>
          <w:szCs w:val="24"/>
          <w:lang w:val="lv-LV"/>
        </w:rPr>
        <w:t>Paciņas</w:t>
      </w:r>
    </w:p>
    <w:p w14:paraId="5FB7AC7C" w14:textId="536DBB31"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lv-LV"/>
        </w:rPr>
      </w:pPr>
      <w:r w:rsidRPr="000347CC">
        <w:rPr>
          <w:rFonts w:ascii="Times New Roman" w:eastAsia="Times New Roman" w:hAnsi="Times New Roman" w:cs="Times New Roman"/>
          <w:sz w:val="24"/>
          <w:szCs w:val="24"/>
          <w:lang w:val="lv-LV"/>
        </w:rPr>
        <w:t>Laminēta folija (papīrs/alumīnijs/polietilēns).</w:t>
      </w:r>
    </w:p>
    <w:p w14:paraId="2460E7BE" w14:textId="33B3389E"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lv-LV"/>
        </w:rPr>
      </w:pPr>
      <w:r w:rsidRPr="000347CC">
        <w:rPr>
          <w:rFonts w:ascii="Times New Roman" w:eastAsia="Times New Roman" w:hAnsi="Times New Roman" w:cs="Times New Roman"/>
          <w:sz w:val="24"/>
          <w:szCs w:val="24"/>
          <w:lang w:val="lv-LV"/>
        </w:rPr>
        <w:t xml:space="preserve">20, 50 vai 100 paciņas ar 5 g </w:t>
      </w:r>
      <w:r w:rsidR="00811CC8" w:rsidRPr="000347CC">
        <w:rPr>
          <w:rFonts w:ascii="Times New Roman" w:eastAsia="Times New Roman" w:hAnsi="Times New Roman" w:cs="Times New Roman"/>
          <w:sz w:val="24"/>
          <w:szCs w:val="24"/>
          <w:lang w:val="lv-LV"/>
        </w:rPr>
        <w:t>granulu</w:t>
      </w:r>
      <w:r w:rsidRPr="000347CC">
        <w:rPr>
          <w:rFonts w:ascii="Times New Roman" w:eastAsia="Times New Roman" w:hAnsi="Times New Roman" w:cs="Times New Roman"/>
          <w:sz w:val="24"/>
          <w:szCs w:val="24"/>
          <w:lang w:val="lv-LV"/>
        </w:rPr>
        <w:t>.</w:t>
      </w:r>
    </w:p>
    <w:p w14:paraId="34A71D92"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lv-LV"/>
        </w:rPr>
      </w:pPr>
    </w:p>
    <w:p w14:paraId="2017232A"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lv-LV" w:eastAsia="de-DE"/>
        </w:rPr>
      </w:pPr>
      <w:r w:rsidRPr="000347CC">
        <w:rPr>
          <w:rFonts w:ascii="Times New Roman" w:eastAsia="Times New Roman" w:hAnsi="Times New Roman" w:cs="Times New Roman"/>
          <w:sz w:val="24"/>
          <w:szCs w:val="24"/>
          <w:lang w:val="lv-LV"/>
        </w:rPr>
        <w:t>Visi iepakojuma lielumi tirgū var nebūt pieejami.</w:t>
      </w:r>
      <w:r w:rsidRPr="000347CC">
        <w:rPr>
          <w:rFonts w:ascii="Times New Roman" w:eastAsia="Times New Roman" w:hAnsi="Times New Roman" w:cs="Times New Roman"/>
          <w:sz w:val="24"/>
          <w:szCs w:val="24"/>
          <w:lang w:val="lv-LV" w:eastAsia="de-DE"/>
        </w:rPr>
        <w:t xml:space="preserve"> </w:t>
      </w:r>
    </w:p>
    <w:p w14:paraId="32ACC1CC"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p>
    <w:p w14:paraId="5D1AC397"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lv-LV" w:eastAsia="de-DE"/>
        </w:rPr>
      </w:pPr>
      <w:r w:rsidRPr="000347CC">
        <w:rPr>
          <w:rFonts w:ascii="Times New Roman" w:eastAsia="Times New Roman" w:hAnsi="Times New Roman" w:cs="Times New Roman"/>
          <w:b/>
          <w:sz w:val="24"/>
          <w:szCs w:val="24"/>
          <w:lang w:val="lv-LV"/>
        </w:rPr>
        <w:t xml:space="preserve">6.6. </w:t>
      </w:r>
      <w:r w:rsidRPr="000347CC">
        <w:rPr>
          <w:rFonts w:ascii="Times New Roman" w:eastAsia="Times New Roman" w:hAnsi="Times New Roman" w:cs="Times New Roman"/>
          <w:b/>
          <w:sz w:val="24"/>
          <w:szCs w:val="24"/>
          <w:lang w:val="lv-LV"/>
        </w:rPr>
        <w:tab/>
        <w:t>Īpaši norādījumi atkritumu likvidēšanai</w:t>
      </w:r>
    </w:p>
    <w:p w14:paraId="66CE57FD" w14:textId="4CEC568F"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r w:rsidRPr="000347CC">
        <w:rPr>
          <w:rFonts w:ascii="Times New Roman" w:eastAsia="Times New Roman" w:hAnsi="Times New Roman" w:cs="Times New Roman"/>
          <w:sz w:val="24"/>
          <w:szCs w:val="24"/>
          <w:lang w:val="lv-LV"/>
        </w:rPr>
        <w:t>Nav īpašu prasību</w:t>
      </w:r>
      <w:r w:rsidR="004632B8" w:rsidRPr="000347CC">
        <w:rPr>
          <w:rFonts w:ascii="Times New Roman" w:eastAsia="Times New Roman" w:hAnsi="Times New Roman" w:cs="Times New Roman"/>
          <w:sz w:val="24"/>
          <w:szCs w:val="24"/>
          <w:lang w:val="lv-LV"/>
        </w:rPr>
        <w:t>.</w:t>
      </w:r>
    </w:p>
    <w:p w14:paraId="1512607A"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lv-LV" w:eastAsia="de-DE"/>
        </w:rPr>
      </w:pPr>
    </w:p>
    <w:p w14:paraId="7D0BDA72"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fr-FR" w:eastAsia="de-DE"/>
        </w:rPr>
      </w:pPr>
      <w:r w:rsidRPr="000347CC">
        <w:rPr>
          <w:rFonts w:ascii="Times New Roman" w:eastAsia="Times New Roman" w:hAnsi="Times New Roman" w:cs="Times New Roman"/>
          <w:b/>
          <w:sz w:val="24"/>
          <w:szCs w:val="24"/>
          <w:lang w:val="fr-FR"/>
        </w:rPr>
        <w:t>7.</w:t>
      </w:r>
      <w:r w:rsidRPr="000347CC">
        <w:rPr>
          <w:rFonts w:ascii="Times New Roman" w:eastAsia="Times New Roman" w:hAnsi="Times New Roman" w:cs="Times New Roman"/>
          <w:b/>
          <w:sz w:val="24"/>
          <w:szCs w:val="24"/>
          <w:lang w:val="fr-FR"/>
        </w:rPr>
        <w:tab/>
        <w:t>REĢISTRĀCIJAS APLIECĪBAS ĪPAŠNIEKS</w:t>
      </w:r>
    </w:p>
    <w:p w14:paraId="4AC8351C"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fr-FR"/>
        </w:rPr>
      </w:pPr>
      <w:r w:rsidRPr="000347CC">
        <w:rPr>
          <w:rFonts w:ascii="Times New Roman" w:eastAsia="Times New Roman" w:hAnsi="Times New Roman" w:cs="Times New Roman"/>
          <w:sz w:val="24"/>
          <w:szCs w:val="24"/>
          <w:lang w:val="fr-FR"/>
        </w:rPr>
        <w:t xml:space="preserve">Protina Pharmazeutische Gesellschaft mbH, </w:t>
      </w:r>
    </w:p>
    <w:p w14:paraId="7DAA4A03"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en-GB"/>
        </w:rPr>
      </w:pPr>
      <w:r w:rsidRPr="000347CC">
        <w:rPr>
          <w:rFonts w:ascii="Times New Roman" w:eastAsia="Times New Roman" w:hAnsi="Times New Roman" w:cs="Times New Roman"/>
          <w:sz w:val="24"/>
          <w:szCs w:val="24"/>
          <w:lang w:val="en-GB"/>
        </w:rPr>
        <w:t>Adalperostrasse 37</w:t>
      </w:r>
    </w:p>
    <w:p w14:paraId="08E642F0"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en-GB"/>
        </w:rPr>
      </w:pPr>
      <w:r w:rsidRPr="000347CC">
        <w:rPr>
          <w:rFonts w:ascii="Times New Roman" w:eastAsia="Times New Roman" w:hAnsi="Times New Roman" w:cs="Times New Roman"/>
          <w:sz w:val="24"/>
          <w:szCs w:val="24"/>
          <w:lang w:val="en-GB"/>
        </w:rPr>
        <w:t>85737 Ismaning</w:t>
      </w:r>
    </w:p>
    <w:p w14:paraId="04A2AFC2"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en-GB"/>
        </w:rPr>
      </w:pPr>
      <w:r w:rsidRPr="000347CC">
        <w:rPr>
          <w:rFonts w:ascii="Times New Roman" w:eastAsia="Times New Roman" w:hAnsi="Times New Roman" w:cs="Times New Roman"/>
          <w:sz w:val="24"/>
          <w:szCs w:val="24"/>
          <w:lang w:val="en-GB"/>
        </w:rPr>
        <w:t xml:space="preserve">Vācija  </w:t>
      </w:r>
    </w:p>
    <w:p w14:paraId="703D4C49"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sz w:val="24"/>
          <w:szCs w:val="24"/>
          <w:lang w:val="en-GB"/>
        </w:rPr>
      </w:pPr>
      <w:r w:rsidRPr="000347CC">
        <w:rPr>
          <w:rFonts w:ascii="Times New Roman" w:eastAsia="Times New Roman" w:hAnsi="Times New Roman" w:cs="Times New Roman"/>
          <w:sz w:val="24"/>
          <w:szCs w:val="24"/>
          <w:lang w:val="en-GB"/>
        </w:rPr>
        <w:t>Tel. 0049 899 965 530</w:t>
      </w:r>
    </w:p>
    <w:p w14:paraId="7AA4902A"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en-US" w:eastAsia="de-DE"/>
        </w:rPr>
      </w:pPr>
      <w:r w:rsidRPr="000347CC">
        <w:rPr>
          <w:rFonts w:ascii="Times New Roman" w:eastAsia="Times New Roman" w:hAnsi="Times New Roman" w:cs="Times New Roman"/>
          <w:sz w:val="24"/>
          <w:szCs w:val="24"/>
          <w:lang w:val="en-GB"/>
        </w:rPr>
        <w:t>Fax 0049 899 963 446</w:t>
      </w:r>
    </w:p>
    <w:p w14:paraId="163BA102"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en-GB" w:eastAsia="de-DE"/>
        </w:rPr>
      </w:pPr>
      <w:r w:rsidRPr="000347CC">
        <w:rPr>
          <w:rFonts w:ascii="Times New Roman" w:eastAsia="Times New Roman" w:hAnsi="Times New Roman" w:cs="Times New Roman"/>
          <w:color w:val="000000"/>
          <w:sz w:val="24"/>
          <w:szCs w:val="24"/>
          <w:lang w:val="en-GB" w:eastAsia="de-DE"/>
        </w:rPr>
        <w:t>E-pasts: info@protina.de</w:t>
      </w:r>
    </w:p>
    <w:p w14:paraId="089C860C" w14:textId="77777777" w:rsidR="00F00C03" w:rsidRPr="000347CC" w:rsidRDefault="00F00C03" w:rsidP="00F00C03">
      <w:pPr>
        <w:overflowPunct w:val="0"/>
        <w:autoSpaceDE w:val="0"/>
        <w:autoSpaceDN w:val="0"/>
        <w:adjustRightInd w:val="0"/>
        <w:spacing w:after="0" w:line="240" w:lineRule="auto"/>
        <w:ind w:left="851"/>
        <w:rPr>
          <w:rFonts w:ascii="Times New Roman" w:eastAsia="Times New Roman" w:hAnsi="Times New Roman" w:cs="Times New Roman"/>
          <w:color w:val="000000"/>
          <w:sz w:val="24"/>
          <w:szCs w:val="24"/>
          <w:lang w:val="en-US" w:eastAsia="de-DE"/>
        </w:rPr>
      </w:pPr>
    </w:p>
    <w:p w14:paraId="77CF364D"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color w:val="000000"/>
          <w:sz w:val="24"/>
          <w:szCs w:val="24"/>
          <w:lang w:val="en-US" w:eastAsia="de-DE"/>
        </w:rPr>
      </w:pPr>
      <w:r w:rsidRPr="000347CC">
        <w:rPr>
          <w:rFonts w:ascii="Times New Roman" w:eastAsia="Times New Roman" w:hAnsi="Times New Roman" w:cs="Times New Roman"/>
          <w:b/>
          <w:sz w:val="24"/>
          <w:szCs w:val="24"/>
          <w:lang w:val="en-GB"/>
        </w:rPr>
        <w:t>8.</w:t>
      </w:r>
      <w:r w:rsidRPr="000347CC">
        <w:rPr>
          <w:rFonts w:ascii="Times New Roman" w:eastAsia="Times New Roman" w:hAnsi="Times New Roman" w:cs="Times New Roman"/>
          <w:b/>
          <w:sz w:val="24"/>
          <w:szCs w:val="24"/>
          <w:lang w:val="en-GB"/>
        </w:rPr>
        <w:tab/>
        <w:t>REĢISTRĀCIJAS APLIECĪBAS NUMURS</w:t>
      </w:r>
    </w:p>
    <w:p w14:paraId="63630DCC" w14:textId="49426637" w:rsidR="00F00C03" w:rsidRPr="000347CC" w:rsidRDefault="00F00C03" w:rsidP="00F00C03">
      <w:pPr>
        <w:overflowPunct w:val="0"/>
        <w:autoSpaceDE w:val="0"/>
        <w:autoSpaceDN w:val="0"/>
        <w:adjustRightInd w:val="0"/>
        <w:ind w:left="851"/>
        <w:rPr>
          <w:rFonts w:ascii="Times New Roman" w:eastAsia="Times New Roman" w:hAnsi="Times New Roman" w:cs="Times New Roman"/>
          <w:sz w:val="24"/>
          <w:szCs w:val="24"/>
          <w:lang w:val="en-US" w:eastAsia="de-DE"/>
        </w:rPr>
      </w:pPr>
      <w:r w:rsidRPr="000347CC">
        <w:rPr>
          <w:rFonts w:ascii="Times New Roman" w:eastAsia="Times New Roman" w:hAnsi="Times New Roman" w:cs="Times New Roman"/>
          <w:sz w:val="24"/>
          <w:szCs w:val="24"/>
          <w:lang w:val="en-US" w:eastAsia="de-DE"/>
        </w:rPr>
        <w:t>10-0625</w:t>
      </w:r>
    </w:p>
    <w:p w14:paraId="6A15459D" w14:textId="77777777" w:rsidR="00F00C03" w:rsidRPr="000347CC" w:rsidRDefault="00F00C03" w:rsidP="00F00C03">
      <w:pPr>
        <w:spacing w:after="0" w:line="240" w:lineRule="auto"/>
        <w:ind w:left="851"/>
        <w:rPr>
          <w:rFonts w:ascii="Times New Roman" w:eastAsia="Times New Roman" w:hAnsi="Times New Roman" w:cs="Times New Roman"/>
          <w:b/>
          <w:sz w:val="24"/>
          <w:szCs w:val="24"/>
          <w:lang w:val="en-US"/>
        </w:rPr>
      </w:pPr>
      <w:r w:rsidRPr="000347CC">
        <w:rPr>
          <w:rFonts w:ascii="Times New Roman" w:eastAsia="Times New Roman" w:hAnsi="Times New Roman" w:cs="Times New Roman"/>
          <w:b/>
          <w:sz w:val="24"/>
          <w:szCs w:val="24"/>
          <w:lang w:val="en-GB"/>
        </w:rPr>
        <w:t>9.</w:t>
      </w:r>
      <w:r w:rsidRPr="000347CC">
        <w:rPr>
          <w:rFonts w:ascii="Times New Roman" w:eastAsia="Times New Roman" w:hAnsi="Times New Roman" w:cs="Times New Roman"/>
          <w:b/>
          <w:sz w:val="24"/>
          <w:szCs w:val="24"/>
          <w:lang w:val="en-GB"/>
        </w:rPr>
        <w:tab/>
        <w:t xml:space="preserve">  </w:t>
      </w:r>
      <w:r w:rsidRPr="000347CC">
        <w:rPr>
          <w:rFonts w:ascii="Times New Roman" w:eastAsia="Times New Roman" w:hAnsi="Times New Roman" w:cs="Times New Roman"/>
          <w:b/>
          <w:sz w:val="24"/>
          <w:szCs w:val="24"/>
          <w:lang w:val="en-US"/>
        </w:rPr>
        <w:t>PIRMĀS REĢISTRĀCIJAS/PĀRREĢISTRĀCIJAS DATUMS</w:t>
      </w:r>
    </w:p>
    <w:p w14:paraId="4D1C9790" w14:textId="65275D97" w:rsidR="00F00C03" w:rsidRPr="000347CC" w:rsidRDefault="00F00C03" w:rsidP="00F00C03">
      <w:pPr>
        <w:ind w:left="851"/>
        <w:rPr>
          <w:rFonts w:ascii="Times New Roman" w:eastAsia="Times New Roman" w:hAnsi="Times New Roman" w:cs="Times New Roman"/>
          <w:sz w:val="24"/>
          <w:szCs w:val="24"/>
          <w:lang w:val="en-US"/>
        </w:rPr>
      </w:pPr>
      <w:r w:rsidRPr="000347CC">
        <w:rPr>
          <w:rFonts w:ascii="Times New Roman" w:eastAsia="Times New Roman" w:hAnsi="Times New Roman" w:cs="Times New Roman"/>
          <w:sz w:val="24"/>
          <w:szCs w:val="24"/>
          <w:lang w:val="en-US"/>
        </w:rPr>
        <w:t xml:space="preserve">Reģistrācijas datums: 2010. gada 26. novembris. </w:t>
      </w:r>
    </w:p>
    <w:p w14:paraId="323E621E" w14:textId="43F7B880" w:rsidR="009E2FB1" w:rsidRPr="000347CC" w:rsidRDefault="009E2FB1" w:rsidP="00F00C03">
      <w:pPr>
        <w:ind w:left="851"/>
        <w:rPr>
          <w:rFonts w:ascii="Times New Roman" w:eastAsia="Times New Roman" w:hAnsi="Times New Roman" w:cs="Times New Roman"/>
          <w:sz w:val="24"/>
          <w:szCs w:val="24"/>
          <w:lang w:val="en-US"/>
        </w:rPr>
      </w:pPr>
      <w:r w:rsidRPr="000347CC">
        <w:rPr>
          <w:rFonts w:ascii="Times New Roman" w:eastAsia="Times New Roman" w:hAnsi="Times New Roman" w:cs="Times New Roman"/>
          <w:sz w:val="24"/>
          <w:szCs w:val="24"/>
          <w:lang w:val="en-US"/>
        </w:rPr>
        <w:lastRenderedPageBreak/>
        <w:t>Pēdējās pārreģistrācijas datums: 2015.gada 17.augusts</w:t>
      </w:r>
    </w:p>
    <w:p w14:paraId="5CEF4EFF" w14:textId="77777777" w:rsidR="00F00C03" w:rsidRPr="000347CC" w:rsidRDefault="00F00C03" w:rsidP="00F00C03">
      <w:pPr>
        <w:overflowPunct w:val="0"/>
        <w:autoSpaceDE w:val="0"/>
        <w:autoSpaceDN w:val="0"/>
        <w:adjustRightInd w:val="0"/>
        <w:spacing w:after="0" w:line="240" w:lineRule="auto"/>
        <w:ind w:left="851"/>
        <w:outlineLvl w:val="0"/>
        <w:rPr>
          <w:rFonts w:ascii="Times New Roman" w:eastAsia="Times New Roman" w:hAnsi="Times New Roman" w:cs="Times New Roman"/>
          <w:b/>
          <w:color w:val="000000"/>
          <w:sz w:val="24"/>
          <w:szCs w:val="24"/>
          <w:lang w:val="en-US" w:eastAsia="de-DE"/>
        </w:rPr>
      </w:pPr>
      <w:r w:rsidRPr="000347CC">
        <w:rPr>
          <w:rFonts w:ascii="Times New Roman" w:eastAsia="Times New Roman" w:hAnsi="Times New Roman" w:cs="Times New Roman"/>
          <w:b/>
          <w:sz w:val="24"/>
          <w:szCs w:val="24"/>
          <w:lang w:val="en-US"/>
        </w:rPr>
        <w:t>10.</w:t>
      </w:r>
      <w:r w:rsidRPr="000347CC">
        <w:rPr>
          <w:rFonts w:ascii="Times New Roman" w:eastAsia="Times New Roman" w:hAnsi="Times New Roman" w:cs="Times New Roman"/>
          <w:b/>
          <w:sz w:val="24"/>
          <w:szCs w:val="24"/>
          <w:lang w:val="en-US"/>
        </w:rPr>
        <w:tab/>
        <w:t>TEKSTA PĀRSKATĪŠANAS DATUMS</w:t>
      </w:r>
    </w:p>
    <w:p w14:paraId="5FBEC13B" w14:textId="494EE6F5" w:rsidR="00EC6D3A" w:rsidRPr="000347CC" w:rsidRDefault="00580332" w:rsidP="00CC326E">
      <w:pPr>
        <w:overflowPunct w:val="0"/>
        <w:autoSpaceDE w:val="0"/>
        <w:autoSpaceDN w:val="0"/>
        <w:adjustRightInd w:val="0"/>
        <w:spacing w:after="0" w:line="240" w:lineRule="auto"/>
        <w:ind w:left="851"/>
        <w:rPr>
          <w:rFonts w:ascii="Times New Roman" w:hAnsi="Times New Roman" w:cs="Times New Roman"/>
          <w:sz w:val="24"/>
          <w:szCs w:val="24"/>
          <w:lang w:val="en-GB"/>
        </w:rPr>
      </w:pPr>
      <w:r w:rsidRPr="000347C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F00C03" w:rsidRPr="000347CC">
        <w:rPr>
          <w:rFonts w:ascii="Times New Roman" w:eastAsia="Times New Roman" w:hAnsi="Times New Roman" w:cs="Times New Roman"/>
          <w:sz w:val="24"/>
          <w:szCs w:val="24"/>
        </w:rPr>
        <w:t>.2020</w:t>
      </w:r>
      <w:r w:rsidR="00F00C03" w:rsidRPr="000347CC" w:rsidDel="00706DAF">
        <w:rPr>
          <w:rFonts w:ascii="Times New Roman" w:eastAsia="Times New Roman" w:hAnsi="Times New Roman" w:cs="Times New Roman"/>
          <w:sz w:val="24"/>
          <w:szCs w:val="24"/>
        </w:rPr>
        <w:t>.</w:t>
      </w:r>
      <w:r w:rsidR="00F00C03" w:rsidRPr="000347CC">
        <w:rPr>
          <w:rFonts w:ascii="Times New Roman" w:eastAsia="Times New Roman" w:hAnsi="Times New Roman" w:cs="Times New Roman"/>
          <w:sz w:val="24"/>
          <w:szCs w:val="24"/>
        </w:rPr>
        <w:t xml:space="preserve"> </w:t>
      </w:r>
    </w:p>
    <w:sectPr w:rsidR="00EC6D3A" w:rsidRPr="000347CC" w:rsidSect="00F00C03">
      <w:headerReference w:type="even" r:id="rId9"/>
      <w:headerReference w:type="default" r:id="rId10"/>
      <w:footerReference w:type="even" r:id="rId11"/>
      <w:footerReference w:type="default" r:id="rId12"/>
      <w:headerReference w:type="first" r:id="rId13"/>
      <w:footerReference w:type="first" r:id="rId14"/>
      <w:pgSz w:w="11906" w:h="16838"/>
      <w:pgMar w:top="851" w:right="198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631A8" w14:textId="77777777" w:rsidR="00526234" w:rsidRDefault="00526234" w:rsidP="001A52F7">
      <w:pPr>
        <w:spacing w:after="0" w:line="240" w:lineRule="auto"/>
      </w:pPr>
      <w:r>
        <w:separator/>
      </w:r>
    </w:p>
  </w:endnote>
  <w:endnote w:type="continuationSeparator" w:id="0">
    <w:p w14:paraId="28A5103B" w14:textId="77777777" w:rsidR="00526234" w:rsidRDefault="00526234" w:rsidP="001A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A175" w14:textId="77777777" w:rsidR="00D56E1F" w:rsidRDefault="00D56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9BEB" w14:textId="77777777" w:rsidR="00D56E1F" w:rsidRDefault="00D56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B834" w14:textId="77777777" w:rsidR="00D56E1F" w:rsidRDefault="00D5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787D9" w14:textId="77777777" w:rsidR="00526234" w:rsidRDefault="00526234" w:rsidP="001A52F7">
      <w:pPr>
        <w:spacing w:after="0" w:line="240" w:lineRule="auto"/>
      </w:pPr>
      <w:r>
        <w:separator/>
      </w:r>
    </w:p>
  </w:footnote>
  <w:footnote w:type="continuationSeparator" w:id="0">
    <w:p w14:paraId="6E0D4F51" w14:textId="77777777" w:rsidR="00526234" w:rsidRDefault="00526234" w:rsidP="001A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C16C" w14:textId="77777777" w:rsidR="00D56E1F" w:rsidRDefault="00D56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45E2" w14:textId="16CB1C8D" w:rsidR="00D56E1F" w:rsidRDefault="00D56E1F" w:rsidP="00D56E1F">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SASKAŅOTS ZVA 2</w:t>
    </w:r>
    <w:r w:rsidR="00335858">
      <w:rPr>
        <w:rFonts w:ascii="Times New Roman" w:hAnsi="Times New Roman" w:cs="Times New Roman"/>
        <w:sz w:val="24"/>
        <w:szCs w:val="24"/>
        <w:lang w:val="en-US"/>
      </w:rPr>
      <w:t>5</w:t>
    </w:r>
    <w:r>
      <w:rPr>
        <w:rFonts w:ascii="Times New Roman" w:hAnsi="Times New Roman" w:cs="Times New Roman"/>
        <w:sz w:val="24"/>
        <w:szCs w:val="24"/>
        <w:lang w:val="en-US"/>
      </w:rPr>
      <w:t>-02-2021</w:t>
    </w:r>
  </w:p>
  <w:p w14:paraId="5C5D8115" w14:textId="77777777" w:rsidR="00D56E1F" w:rsidRPr="00D56E1F" w:rsidRDefault="00D56E1F" w:rsidP="00D56E1F">
    <w:pPr>
      <w:pStyle w:val="Header"/>
      <w:jc w:val="right"/>
      <w:rPr>
        <w:rFonts w:ascii="Times New Roman" w:hAnsi="Times New Roman" w:cs="Times New Roman"/>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F3E6" w14:textId="77777777" w:rsidR="00D56E1F" w:rsidRDefault="00D56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4C2278"/>
    <w:multiLevelType w:val="hybridMultilevel"/>
    <w:tmpl w:val="2392D8F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DC3A30"/>
    <w:multiLevelType w:val="hybridMultilevel"/>
    <w:tmpl w:val="E56C166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DE3B08"/>
    <w:multiLevelType w:val="hybridMultilevel"/>
    <w:tmpl w:val="96F247E2"/>
    <w:lvl w:ilvl="0" w:tplc="8320ECA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283EFC"/>
    <w:multiLevelType w:val="hybridMultilevel"/>
    <w:tmpl w:val="2C82E29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vlJc w:val="left"/>
        <w:pPr>
          <w:ind w:left="1134"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3C7"/>
    <w:rsid w:val="000337C0"/>
    <w:rsid w:val="000347CC"/>
    <w:rsid w:val="000A224D"/>
    <w:rsid w:val="00146B4D"/>
    <w:rsid w:val="0016580B"/>
    <w:rsid w:val="001A52F7"/>
    <w:rsid w:val="001C6601"/>
    <w:rsid w:val="00244FCD"/>
    <w:rsid w:val="002543C7"/>
    <w:rsid w:val="00263583"/>
    <w:rsid w:val="0026418A"/>
    <w:rsid w:val="00296940"/>
    <w:rsid w:val="002C2820"/>
    <w:rsid w:val="002E6544"/>
    <w:rsid w:val="002F43A1"/>
    <w:rsid w:val="00317421"/>
    <w:rsid w:val="00335858"/>
    <w:rsid w:val="003377A3"/>
    <w:rsid w:val="00350071"/>
    <w:rsid w:val="003A3609"/>
    <w:rsid w:val="00403554"/>
    <w:rsid w:val="00425E9E"/>
    <w:rsid w:val="00455C4B"/>
    <w:rsid w:val="004632B8"/>
    <w:rsid w:val="00526234"/>
    <w:rsid w:val="005632BA"/>
    <w:rsid w:val="00580332"/>
    <w:rsid w:val="005B02B0"/>
    <w:rsid w:val="005B17F2"/>
    <w:rsid w:val="00602227"/>
    <w:rsid w:val="00666562"/>
    <w:rsid w:val="006A419C"/>
    <w:rsid w:val="006F058A"/>
    <w:rsid w:val="006F38E2"/>
    <w:rsid w:val="00715181"/>
    <w:rsid w:val="00723FB5"/>
    <w:rsid w:val="00735C2C"/>
    <w:rsid w:val="0077088A"/>
    <w:rsid w:val="007A3705"/>
    <w:rsid w:val="00811CC8"/>
    <w:rsid w:val="008755F3"/>
    <w:rsid w:val="00877841"/>
    <w:rsid w:val="00884003"/>
    <w:rsid w:val="00884B70"/>
    <w:rsid w:val="008C44D2"/>
    <w:rsid w:val="008F1560"/>
    <w:rsid w:val="00903DEC"/>
    <w:rsid w:val="009261F3"/>
    <w:rsid w:val="009802A6"/>
    <w:rsid w:val="009A2178"/>
    <w:rsid w:val="009E2FB1"/>
    <w:rsid w:val="009F1265"/>
    <w:rsid w:val="009F2D82"/>
    <w:rsid w:val="00A24873"/>
    <w:rsid w:val="00A6600E"/>
    <w:rsid w:val="00A7045D"/>
    <w:rsid w:val="00AB3772"/>
    <w:rsid w:val="00AB5A3C"/>
    <w:rsid w:val="00AC3D07"/>
    <w:rsid w:val="00AD3D82"/>
    <w:rsid w:val="00AD4DA3"/>
    <w:rsid w:val="00AE038F"/>
    <w:rsid w:val="00B852B8"/>
    <w:rsid w:val="00BB4218"/>
    <w:rsid w:val="00CB346B"/>
    <w:rsid w:val="00CC326E"/>
    <w:rsid w:val="00CC7CD8"/>
    <w:rsid w:val="00D3107A"/>
    <w:rsid w:val="00D37406"/>
    <w:rsid w:val="00D56E1F"/>
    <w:rsid w:val="00D57274"/>
    <w:rsid w:val="00D85B25"/>
    <w:rsid w:val="00D94A00"/>
    <w:rsid w:val="00DC0818"/>
    <w:rsid w:val="00E509EC"/>
    <w:rsid w:val="00E80339"/>
    <w:rsid w:val="00EC6D3A"/>
    <w:rsid w:val="00F00B6B"/>
    <w:rsid w:val="00F00C03"/>
    <w:rsid w:val="00F07374"/>
    <w:rsid w:val="00F11C38"/>
    <w:rsid w:val="00F14364"/>
    <w:rsid w:val="00F35C9F"/>
    <w:rsid w:val="00F451E8"/>
    <w:rsid w:val="00F7718D"/>
    <w:rsid w:val="00FD7889"/>
    <w:rsid w:val="00FE719A"/>
    <w:rsid w:val="00FF62C3"/>
    <w:rsid w:val="00FF7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FE5E1"/>
  <w15:docId w15:val="{4BA767AF-28C6-4792-9E5C-10758836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C7"/>
    <w:rPr>
      <w:rFonts w:ascii="Segoe UI" w:hAnsi="Segoe UI" w:cs="Segoe UI"/>
      <w:sz w:val="18"/>
      <w:szCs w:val="18"/>
    </w:rPr>
  </w:style>
  <w:style w:type="paragraph" w:customStyle="1" w:styleId="knZulassung01">
    <w:name w:val="knZulassung01"/>
    <w:basedOn w:val="Normal"/>
    <w:rsid w:val="002543C7"/>
    <w:pPr>
      <w:tabs>
        <w:tab w:val="left" w:pos="567"/>
        <w:tab w:val="left" w:pos="1843"/>
      </w:tabs>
      <w:overflowPunct w:val="0"/>
      <w:autoSpaceDE w:val="0"/>
      <w:autoSpaceDN w:val="0"/>
      <w:adjustRightInd w:val="0"/>
      <w:spacing w:after="0" w:line="240" w:lineRule="atLeast"/>
      <w:ind w:left="1843" w:right="284" w:hanging="1843"/>
      <w:textAlignment w:val="baseline"/>
    </w:pPr>
    <w:rPr>
      <w:rFonts w:ascii="Times New Roman" w:eastAsia="Times New Roman" w:hAnsi="Times New Roman" w:cs="Times New Roman"/>
      <w:snapToGrid w:val="0"/>
      <w:color w:val="000000"/>
      <w:sz w:val="22"/>
      <w:szCs w:val="20"/>
      <w:lang w:val="en-US" w:eastAsia="lv-LV"/>
    </w:rPr>
  </w:style>
  <w:style w:type="paragraph" w:styleId="NoSpacing">
    <w:name w:val="No Spacing"/>
    <w:uiPriority w:val="1"/>
    <w:qFormat/>
    <w:rsid w:val="002543C7"/>
    <w:pPr>
      <w:spacing w:after="0" w:line="240" w:lineRule="auto"/>
    </w:pPr>
    <w:rPr>
      <w:rFonts w:ascii="Calibri" w:eastAsia="Calibri" w:hAnsi="Calibri" w:cs="Times New Roman"/>
      <w:sz w:val="22"/>
      <w:lang w:val="lv-LV"/>
    </w:rPr>
  </w:style>
  <w:style w:type="paragraph" w:customStyle="1" w:styleId="knZulassung02">
    <w:name w:val="knZulassung02"/>
    <w:basedOn w:val="Normal"/>
    <w:rsid w:val="002543C7"/>
    <w:pPr>
      <w:overflowPunct w:val="0"/>
      <w:autoSpaceDE w:val="0"/>
      <w:autoSpaceDN w:val="0"/>
      <w:adjustRightInd w:val="0"/>
      <w:spacing w:after="0" w:line="240" w:lineRule="atLeast"/>
      <w:ind w:left="1843" w:right="284"/>
      <w:textAlignment w:val="baseline"/>
    </w:pPr>
    <w:rPr>
      <w:rFonts w:ascii="Times New Roman" w:eastAsia="Times New Roman" w:hAnsi="Times New Roman" w:cs="Times New Roman"/>
      <w:color w:val="000000"/>
      <w:sz w:val="22"/>
      <w:szCs w:val="20"/>
      <w:lang w:val="en-US" w:eastAsia="de-DE"/>
    </w:rPr>
  </w:style>
  <w:style w:type="character" w:styleId="CommentReference">
    <w:name w:val="annotation reference"/>
    <w:semiHidden/>
    <w:rsid w:val="002543C7"/>
    <w:rPr>
      <w:sz w:val="16"/>
      <w:szCs w:val="16"/>
    </w:rPr>
  </w:style>
  <w:style w:type="paragraph" w:styleId="CommentText">
    <w:name w:val="annotation text"/>
    <w:basedOn w:val="Normal"/>
    <w:link w:val="CommentTextChar"/>
    <w:semiHidden/>
    <w:rsid w:val="002543C7"/>
    <w:pPr>
      <w:overflowPunct w:val="0"/>
      <w:autoSpaceDE w:val="0"/>
      <w:autoSpaceDN w:val="0"/>
      <w:adjustRightInd w:val="0"/>
      <w:spacing w:after="0" w:line="240" w:lineRule="atLeast"/>
      <w:textAlignment w:val="baseline"/>
    </w:pPr>
    <w:rPr>
      <w:rFonts w:ascii="Times New Roman" w:eastAsia="Times New Roman" w:hAnsi="Times New Roman" w:cs="Times New Roman"/>
      <w:color w:val="000000"/>
      <w:szCs w:val="20"/>
      <w:lang w:val="en-US" w:eastAsia="de-DE"/>
    </w:rPr>
  </w:style>
  <w:style w:type="character" w:customStyle="1" w:styleId="CommentTextChar">
    <w:name w:val="Comment Text Char"/>
    <w:basedOn w:val="DefaultParagraphFont"/>
    <w:link w:val="CommentText"/>
    <w:semiHidden/>
    <w:rsid w:val="002543C7"/>
    <w:rPr>
      <w:rFonts w:ascii="Times New Roman" w:eastAsia="Times New Roman" w:hAnsi="Times New Roman" w:cs="Times New Roman"/>
      <w:color w:val="000000"/>
      <w:szCs w:val="20"/>
      <w:lang w:val="en-US" w:eastAsia="de-DE"/>
    </w:rPr>
  </w:style>
  <w:style w:type="paragraph" w:styleId="ListParagraph">
    <w:name w:val="List Paragraph"/>
    <w:basedOn w:val="Normal"/>
    <w:uiPriority w:val="34"/>
    <w:qFormat/>
    <w:rsid w:val="00D85B25"/>
    <w:pPr>
      <w:ind w:left="720"/>
      <w:contextualSpacing/>
    </w:pPr>
  </w:style>
  <w:style w:type="paragraph" w:styleId="CommentSubject">
    <w:name w:val="annotation subject"/>
    <w:basedOn w:val="CommentText"/>
    <w:next w:val="CommentText"/>
    <w:link w:val="CommentSubjectChar"/>
    <w:uiPriority w:val="99"/>
    <w:semiHidden/>
    <w:unhideWhenUsed/>
    <w:rsid w:val="00602227"/>
    <w:pPr>
      <w:overflowPunct/>
      <w:autoSpaceDE/>
      <w:autoSpaceDN/>
      <w:adjustRightInd/>
      <w:spacing w:after="200" w:line="240" w:lineRule="auto"/>
      <w:textAlignment w:val="auto"/>
    </w:pPr>
    <w:rPr>
      <w:rFonts w:ascii="Tahoma" w:eastAsiaTheme="minorHAnsi" w:hAnsi="Tahoma" w:cstheme="minorBidi"/>
      <w:b/>
      <w:bCs/>
      <w:color w:val="auto"/>
      <w:lang w:val="de-DE" w:eastAsia="en-US"/>
    </w:rPr>
  </w:style>
  <w:style w:type="character" w:customStyle="1" w:styleId="CommentSubjectChar">
    <w:name w:val="Comment Subject Char"/>
    <w:basedOn w:val="CommentTextChar"/>
    <w:link w:val="CommentSubject"/>
    <w:uiPriority w:val="99"/>
    <w:semiHidden/>
    <w:rsid w:val="00602227"/>
    <w:rPr>
      <w:rFonts w:ascii="Times New Roman" w:eastAsia="Times New Roman" w:hAnsi="Times New Roman" w:cs="Times New Roman"/>
      <w:b/>
      <w:bCs/>
      <w:color w:val="000000"/>
      <w:szCs w:val="20"/>
      <w:lang w:val="en-US" w:eastAsia="de-DE"/>
    </w:rPr>
  </w:style>
  <w:style w:type="paragraph" w:styleId="Revision">
    <w:name w:val="Revision"/>
    <w:hidden/>
    <w:uiPriority w:val="99"/>
    <w:semiHidden/>
    <w:rsid w:val="00317421"/>
    <w:pPr>
      <w:spacing w:after="0" w:line="240" w:lineRule="auto"/>
    </w:pPr>
  </w:style>
  <w:style w:type="paragraph" w:styleId="Header">
    <w:name w:val="header"/>
    <w:basedOn w:val="Normal"/>
    <w:link w:val="HeaderChar"/>
    <w:uiPriority w:val="99"/>
    <w:unhideWhenUsed/>
    <w:rsid w:val="001A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2F7"/>
  </w:style>
  <w:style w:type="paragraph" w:styleId="Footer">
    <w:name w:val="footer"/>
    <w:basedOn w:val="Normal"/>
    <w:link w:val="FooterChar"/>
    <w:uiPriority w:val="99"/>
    <w:unhideWhenUsed/>
    <w:rsid w:val="001A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D442-4B9F-473D-B6AB-72BDBAFA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6892</Words>
  <Characters>3929</Characters>
  <Application>Microsoft Office Word</Application>
  <DocSecurity>0</DocSecurity>
  <Lines>32</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Skaidrīte Lapsenīte</cp:lastModifiedBy>
  <cp:revision>4</cp:revision>
  <dcterms:created xsi:type="dcterms:W3CDTF">2020-12-18T09:10:00Z</dcterms:created>
  <dcterms:modified xsi:type="dcterms:W3CDTF">2021-02-19T14:27:00Z</dcterms:modified>
</cp:coreProperties>
</file>