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75" w:rsidRPr="00DF0E24" w:rsidRDefault="009C7175" w:rsidP="00091380">
      <w:pPr>
        <w:widowControl w:val="0"/>
        <w:autoSpaceDE w:val="0"/>
        <w:autoSpaceDN w:val="0"/>
        <w:adjustRightInd w:val="0"/>
        <w:spacing w:after="0" w:line="240" w:lineRule="auto"/>
        <w:rPr>
          <w:rFonts w:ascii="Times New Roman" w:hAnsi="Times New Roman"/>
          <w:kern w:val="22"/>
        </w:rPr>
      </w:pPr>
      <w:bookmarkStart w:id="0" w:name="_GoBack"/>
      <w:bookmarkEnd w:id="0"/>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jc w:val="center"/>
        <w:rPr>
          <w:rFonts w:ascii="Times New Roman" w:hAnsi="Times New Roman"/>
          <w:kern w:val="22"/>
        </w:rPr>
      </w:pPr>
      <w:r w:rsidRPr="00DF0E24">
        <w:rPr>
          <w:rFonts w:ascii="Times New Roman" w:hAnsi="Times New Roman"/>
          <w:b/>
          <w:bCs/>
          <w:kern w:val="22"/>
        </w:rPr>
        <w:t>ZĀĻU APRAKSTS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numPr>
          <w:ilvl w:val="0"/>
          <w:numId w:val="4"/>
        </w:numPr>
        <w:tabs>
          <w:tab w:val="left" w:pos="567"/>
        </w:tabs>
        <w:autoSpaceDE w:val="0"/>
        <w:autoSpaceDN w:val="0"/>
        <w:adjustRightInd w:val="0"/>
        <w:spacing w:after="0" w:line="240" w:lineRule="auto"/>
        <w:rPr>
          <w:rFonts w:ascii="Times New Roman" w:hAnsi="Times New Roman"/>
          <w:b/>
          <w:bCs/>
          <w:kern w:val="22"/>
        </w:rPr>
      </w:pPr>
      <w:r w:rsidRPr="00DF0E24">
        <w:rPr>
          <w:rFonts w:ascii="Times New Roman" w:hAnsi="Times New Roman"/>
          <w:b/>
          <w:bCs/>
          <w:kern w:val="22"/>
        </w:rPr>
        <w:t>ZĀĻU NOSAUKUMS</w:t>
      </w:r>
    </w:p>
    <w:p w:rsidR="00271E94" w:rsidRPr="00DF0E24" w:rsidRDefault="00271E94" w:rsidP="00091380">
      <w:pPr>
        <w:widowControl w:val="0"/>
        <w:tabs>
          <w:tab w:val="left" w:pos="567"/>
        </w:tabs>
        <w:autoSpaceDE w:val="0"/>
        <w:autoSpaceDN w:val="0"/>
        <w:adjustRightInd w:val="0"/>
        <w:spacing w:after="0" w:line="240" w:lineRule="auto"/>
        <w:ind w:left="930"/>
        <w:rPr>
          <w:rFonts w:ascii="Times New Roman" w:hAnsi="Times New Roman"/>
          <w:kern w:val="22"/>
        </w:rPr>
      </w:pPr>
    </w:p>
    <w:p w:rsidR="00271E94"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Potassium Chloride Kabi 150 mg/ml koncentrāts infūziju šķīduma pagatavošanai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3212C3" w:rsidRPr="00DF0E24" w:rsidRDefault="003212C3"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numPr>
          <w:ilvl w:val="0"/>
          <w:numId w:val="4"/>
        </w:numPr>
        <w:tabs>
          <w:tab w:val="left" w:pos="567"/>
        </w:tabs>
        <w:autoSpaceDE w:val="0"/>
        <w:autoSpaceDN w:val="0"/>
        <w:adjustRightInd w:val="0"/>
        <w:spacing w:after="0" w:line="240" w:lineRule="auto"/>
        <w:rPr>
          <w:rFonts w:ascii="Times New Roman" w:hAnsi="Times New Roman"/>
          <w:b/>
          <w:bCs/>
          <w:kern w:val="22"/>
        </w:rPr>
      </w:pPr>
      <w:r w:rsidRPr="00DF0E24">
        <w:rPr>
          <w:rFonts w:ascii="Times New Roman" w:hAnsi="Times New Roman"/>
          <w:b/>
          <w:bCs/>
          <w:kern w:val="22"/>
        </w:rPr>
        <w:t>KVALITATĪVAIS UN KVANTITATĪVAIS SASTĀVS</w:t>
      </w:r>
    </w:p>
    <w:p w:rsidR="00271E94" w:rsidRPr="00DF0E24" w:rsidRDefault="00271E94" w:rsidP="00091380">
      <w:pPr>
        <w:widowControl w:val="0"/>
        <w:tabs>
          <w:tab w:val="left" w:pos="567"/>
        </w:tabs>
        <w:autoSpaceDE w:val="0"/>
        <w:autoSpaceDN w:val="0"/>
        <w:adjustRightInd w:val="0"/>
        <w:spacing w:after="0" w:line="240" w:lineRule="auto"/>
        <w:ind w:left="570"/>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1 ml šķīduma satur 150 mg kālija hlorīda (15%)</w:t>
      </w:r>
      <w:r w:rsidR="008B0A05" w:rsidRPr="00DF0E24">
        <w:rPr>
          <w:rFonts w:ascii="Times New Roman" w:hAnsi="Times New Roman"/>
          <w:kern w:val="22"/>
        </w:rPr>
        <w:t xml:space="preserve"> (</w:t>
      </w:r>
      <w:r w:rsidR="008B0A05" w:rsidRPr="00DF0E24">
        <w:rPr>
          <w:rFonts w:ascii="Times New Roman" w:hAnsi="Times New Roman"/>
          <w:i/>
          <w:kern w:val="22"/>
        </w:rPr>
        <w:t>Kalii chloridum</w:t>
      </w:r>
      <w:r w:rsidR="008B0A05" w:rsidRPr="00DF0E24">
        <w:rPr>
          <w:rFonts w:ascii="Times New Roman" w:hAnsi="Times New Roman"/>
          <w:kern w:val="22"/>
        </w:rPr>
        <w:t>)</w:t>
      </w:r>
      <w:r w:rsidRPr="00DF0E24">
        <w:rPr>
          <w:rFonts w:ascii="Times New Roman" w:hAnsi="Times New Roman"/>
          <w:kern w:val="22"/>
        </w:rPr>
        <w:t>, kas atbilst 2 m</w:t>
      </w:r>
      <w:r w:rsidR="004749B6" w:rsidRPr="00DF0E24">
        <w:rPr>
          <w:rFonts w:ascii="Times New Roman" w:hAnsi="Times New Roman"/>
          <w:kern w:val="22"/>
        </w:rPr>
        <w:t>Eq</w:t>
      </w:r>
      <w:r w:rsidRPr="00DF0E24">
        <w:rPr>
          <w:rFonts w:ascii="Times New Roman" w:hAnsi="Times New Roman"/>
          <w:kern w:val="22"/>
        </w:rPr>
        <w:t xml:space="preserve"> kālija jonu.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5 ml šķīduma satur 750 mg kālija hlorīda (15%)</w:t>
      </w:r>
      <w:r w:rsidR="008B0A05" w:rsidRPr="00DF0E24">
        <w:rPr>
          <w:rFonts w:ascii="Times New Roman" w:hAnsi="Times New Roman"/>
          <w:kern w:val="22"/>
        </w:rPr>
        <w:t xml:space="preserve"> (</w:t>
      </w:r>
      <w:r w:rsidR="008B0A05" w:rsidRPr="00DF0E24">
        <w:rPr>
          <w:rFonts w:ascii="Times New Roman" w:hAnsi="Times New Roman"/>
          <w:i/>
          <w:kern w:val="22"/>
        </w:rPr>
        <w:t>Kalii chloridum</w:t>
      </w:r>
      <w:r w:rsidR="008B0A05" w:rsidRPr="00DF0E24">
        <w:rPr>
          <w:rFonts w:ascii="Times New Roman" w:hAnsi="Times New Roman"/>
          <w:kern w:val="22"/>
        </w:rPr>
        <w:t>)</w:t>
      </w:r>
      <w:r w:rsidRPr="00DF0E24">
        <w:rPr>
          <w:rFonts w:ascii="Times New Roman" w:hAnsi="Times New Roman"/>
          <w:kern w:val="22"/>
        </w:rPr>
        <w:t>, kas atbilst 10 m</w:t>
      </w:r>
      <w:r w:rsidR="004749B6" w:rsidRPr="00DF0E24">
        <w:rPr>
          <w:rFonts w:ascii="Times New Roman" w:hAnsi="Times New Roman"/>
          <w:kern w:val="22"/>
        </w:rPr>
        <w:t>Eq</w:t>
      </w:r>
      <w:r w:rsidRPr="00DF0E24">
        <w:rPr>
          <w:rFonts w:ascii="Times New Roman" w:hAnsi="Times New Roman"/>
          <w:kern w:val="22"/>
        </w:rPr>
        <w:t xml:space="preserve"> kālija jonu.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10 ml šķīduma satur 1500 mg kālija hlorīda (15%)</w:t>
      </w:r>
      <w:r w:rsidR="008B0A05" w:rsidRPr="00DF0E24">
        <w:rPr>
          <w:rFonts w:ascii="Times New Roman" w:hAnsi="Times New Roman"/>
          <w:kern w:val="22"/>
        </w:rPr>
        <w:t xml:space="preserve"> (</w:t>
      </w:r>
      <w:r w:rsidR="008B0A05" w:rsidRPr="00DF0E24">
        <w:rPr>
          <w:rFonts w:ascii="Times New Roman" w:hAnsi="Times New Roman"/>
          <w:i/>
          <w:kern w:val="22"/>
        </w:rPr>
        <w:t>Kalii chloridum</w:t>
      </w:r>
      <w:r w:rsidR="008B0A05" w:rsidRPr="00DF0E24">
        <w:rPr>
          <w:rFonts w:ascii="Times New Roman" w:hAnsi="Times New Roman"/>
          <w:kern w:val="22"/>
        </w:rPr>
        <w:t>)</w:t>
      </w:r>
      <w:r w:rsidRPr="00DF0E24">
        <w:rPr>
          <w:rFonts w:ascii="Times New Roman" w:hAnsi="Times New Roman"/>
          <w:kern w:val="22"/>
        </w:rPr>
        <w:t>, kas atbilst 20 m</w:t>
      </w:r>
      <w:r w:rsidR="004749B6" w:rsidRPr="00DF0E24">
        <w:rPr>
          <w:rFonts w:ascii="Times New Roman" w:hAnsi="Times New Roman"/>
          <w:kern w:val="22"/>
        </w:rPr>
        <w:t>Eq</w:t>
      </w:r>
      <w:r w:rsidRPr="00DF0E24">
        <w:rPr>
          <w:rFonts w:ascii="Times New Roman" w:hAnsi="Times New Roman"/>
          <w:kern w:val="22"/>
        </w:rPr>
        <w:t xml:space="preserve"> kālija jonu.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20 ml šķīduma satur 3000 mg kālija hlorīda (15%)</w:t>
      </w:r>
      <w:r w:rsidR="008B0A05" w:rsidRPr="00DF0E24">
        <w:rPr>
          <w:rFonts w:ascii="Times New Roman" w:hAnsi="Times New Roman"/>
          <w:kern w:val="22"/>
        </w:rPr>
        <w:t xml:space="preserve"> (</w:t>
      </w:r>
      <w:r w:rsidR="008B0A05" w:rsidRPr="00DF0E24">
        <w:rPr>
          <w:rFonts w:ascii="Times New Roman" w:hAnsi="Times New Roman"/>
          <w:i/>
          <w:kern w:val="22"/>
        </w:rPr>
        <w:t>Kalii chloridum</w:t>
      </w:r>
      <w:r w:rsidR="008B0A05" w:rsidRPr="00DF0E24">
        <w:rPr>
          <w:rFonts w:ascii="Times New Roman" w:hAnsi="Times New Roman"/>
          <w:kern w:val="22"/>
        </w:rPr>
        <w:t>)</w:t>
      </w:r>
      <w:r w:rsidRPr="00DF0E24">
        <w:rPr>
          <w:rFonts w:ascii="Times New Roman" w:hAnsi="Times New Roman"/>
          <w:kern w:val="22"/>
        </w:rPr>
        <w:t>, kas atbilst 40 m</w:t>
      </w:r>
      <w:r w:rsidR="004749B6" w:rsidRPr="00DF0E24">
        <w:rPr>
          <w:rFonts w:ascii="Times New Roman" w:hAnsi="Times New Roman"/>
          <w:kern w:val="22"/>
        </w:rPr>
        <w:t>Eq</w:t>
      </w:r>
      <w:r w:rsidRPr="00DF0E24">
        <w:rPr>
          <w:rFonts w:ascii="Times New Roman" w:hAnsi="Times New Roman"/>
          <w:kern w:val="22"/>
        </w:rPr>
        <w:t xml:space="preserve"> kālija jonu.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tabs>
          <w:tab w:val="left" w:pos="2127"/>
        </w:tabs>
        <w:autoSpaceDE w:val="0"/>
        <w:autoSpaceDN w:val="0"/>
        <w:adjustRightInd w:val="0"/>
        <w:spacing w:after="0" w:line="240" w:lineRule="auto"/>
        <w:rPr>
          <w:rFonts w:ascii="Times New Roman" w:hAnsi="Times New Roman"/>
          <w:kern w:val="22"/>
        </w:rPr>
      </w:pPr>
      <w:r w:rsidRPr="00DF0E24">
        <w:rPr>
          <w:rFonts w:ascii="Times New Roman" w:hAnsi="Times New Roman"/>
          <w:kern w:val="22"/>
        </w:rPr>
        <w:t>Jonu saturs:</w:t>
      </w:r>
      <w:r w:rsidRPr="0041597B">
        <w:rPr>
          <w:rFonts w:ascii="Times New Roman" w:hAnsi="Times New Roman"/>
          <w:kern w:val="22"/>
        </w:rPr>
        <w:tab/>
      </w:r>
      <w:r w:rsidRPr="00DF0E24">
        <w:rPr>
          <w:rFonts w:ascii="Times New Roman" w:hAnsi="Times New Roman"/>
          <w:kern w:val="22"/>
        </w:rPr>
        <w:t>Cl</w:t>
      </w:r>
      <w:r w:rsidRPr="0041597B">
        <w:rPr>
          <w:rFonts w:ascii="Times New Roman" w:hAnsi="Times New Roman"/>
          <w:kern w:val="22"/>
        </w:rPr>
        <w:t>–</w:t>
      </w:r>
      <w:r w:rsidRPr="00DF0E24">
        <w:rPr>
          <w:rFonts w:ascii="Times New Roman" w:hAnsi="Times New Roman"/>
          <w:kern w:val="22"/>
        </w:rPr>
        <w:t xml:space="preserve"> 2000 m</w:t>
      </w:r>
      <w:r w:rsidR="004749B6" w:rsidRPr="00DF0E24">
        <w:rPr>
          <w:rFonts w:ascii="Times New Roman" w:hAnsi="Times New Roman"/>
          <w:kern w:val="22"/>
        </w:rPr>
        <w:t>Eq</w:t>
      </w:r>
      <w:r w:rsidRPr="00DF0E24">
        <w:rPr>
          <w:rFonts w:ascii="Times New Roman" w:hAnsi="Times New Roman"/>
          <w:kern w:val="22"/>
        </w:rPr>
        <w:t>/l</w:t>
      </w:r>
      <w:r w:rsidR="008B0A05" w:rsidRPr="00DF0E24">
        <w:rPr>
          <w:rFonts w:ascii="Times New Roman" w:hAnsi="Times New Roman"/>
          <w:kern w:val="22"/>
        </w:rPr>
        <w:t xml:space="preserve"> vai 2000 mmol/l</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                                    K+ 2000 m</w:t>
      </w:r>
      <w:r w:rsidR="004749B6" w:rsidRPr="00DF0E24">
        <w:rPr>
          <w:rFonts w:ascii="Times New Roman" w:hAnsi="Times New Roman"/>
          <w:kern w:val="22"/>
        </w:rPr>
        <w:t>Eq</w:t>
      </w:r>
      <w:r w:rsidRPr="00DF0E24">
        <w:rPr>
          <w:rFonts w:ascii="Times New Roman" w:hAnsi="Times New Roman"/>
          <w:kern w:val="22"/>
        </w:rPr>
        <w:t>/l</w:t>
      </w:r>
      <w:r w:rsidR="008B0A05" w:rsidRPr="00DF0E24">
        <w:rPr>
          <w:rFonts w:ascii="Times New Roman" w:hAnsi="Times New Roman"/>
          <w:kern w:val="22"/>
        </w:rPr>
        <w:t xml:space="preserve"> vai 2000 mmol/l</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797677" w:rsidRPr="00637F9A" w:rsidRDefault="00797677" w:rsidP="00797677">
      <w:pPr>
        <w:widowControl w:val="0"/>
        <w:autoSpaceDE w:val="0"/>
        <w:autoSpaceDN w:val="0"/>
        <w:adjustRightInd w:val="0"/>
        <w:spacing w:after="0" w:line="240" w:lineRule="auto"/>
        <w:rPr>
          <w:rFonts w:ascii="Times New Roman" w:hAnsi="Times New Roman"/>
          <w:kern w:val="22"/>
        </w:rPr>
      </w:pPr>
      <w:r w:rsidRPr="00637F9A">
        <w:rPr>
          <w:rFonts w:ascii="Times New Roman" w:hAnsi="Times New Roman"/>
          <w:kern w:val="22"/>
        </w:rPr>
        <w:t>Teorētiskā osmolaritāte: 4000 mosm/l</w:t>
      </w:r>
    </w:p>
    <w:p w:rsidR="00797677" w:rsidRPr="00637F9A" w:rsidRDefault="00797677" w:rsidP="00797677">
      <w:pPr>
        <w:widowControl w:val="0"/>
        <w:autoSpaceDE w:val="0"/>
        <w:autoSpaceDN w:val="0"/>
        <w:adjustRightInd w:val="0"/>
        <w:spacing w:after="0" w:line="240" w:lineRule="auto"/>
        <w:rPr>
          <w:rFonts w:ascii="Times New Roman" w:hAnsi="Times New Roman"/>
          <w:kern w:val="22"/>
        </w:rPr>
      </w:pPr>
      <w:r w:rsidRPr="00637F9A">
        <w:rPr>
          <w:rFonts w:ascii="Times New Roman" w:hAnsi="Times New Roman"/>
          <w:kern w:val="22"/>
        </w:rPr>
        <w:t xml:space="preserve">pH vērtība: 4,5 </w:t>
      </w:r>
      <w:r w:rsidRPr="0041597B">
        <w:rPr>
          <w:rFonts w:ascii="Times New Roman" w:hAnsi="Times New Roman"/>
          <w:kern w:val="22"/>
        </w:rPr>
        <w:t>–</w:t>
      </w:r>
      <w:r w:rsidRPr="00637F9A">
        <w:rPr>
          <w:rFonts w:ascii="Times New Roman" w:hAnsi="Times New Roman"/>
          <w:kern w:val="22"/>
        </w:rPr>
        <w:t xml:space="preserve"> 7,0</w:t>
      </w:r>
    </w:p>
    <w:p w:rsidR="00797677" w:rsidRDefault="00797677"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Pilnu palīgvielu sarakstu skatīt </w:t>
      </w:r>
      <w:r w:rsidR="00993630" w:rsidRPr="00DF0E24">
        <w:rPr>
          <w:rFonts w:ascii="Times New Roman" w:hAnsi="Times New Roman"/>
          <w:kern w:val="22"/>
        </w:rPr>
        <w:t xml:space="preserve">6.1 </w:t>
      </w:r>
      <w:r w:rsidRPr="00DF0E24">
        <w:rPr>
          <w:rFonts w:ascii="Times New Roman" w:hAnsi="Times New Roman"/>
          <w:kern w:val="22"/>
        </w:rPr>
        <w:t>apakšpunktā.</w:t>
      </w:r>
    </w:p>
    <w:p w:rsidR="00271E94" w:rsidRPr="00DF0E24" w:rsidRDefault="00271E94"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numPr>
          <w:ilvl w:val="0"/>
          <w:numId w:val="4"/>
        </w:numPr>
        <w:tabs>
          <w:tab w:val="left" w:pos="567"/>
        </w:tabs>
        <w:autoSpaceDE w:val="0"/>
        <w:autoSpaceDN w:val="0"/>
        <w:adjustRightInd w:val="0"/>
        <w:spacing w:after="0" w:line="240" w:lineRule="auto"/>
        <w:rPr>
          <w:rFonts w:ascii="Times New Roman" w:hAnsi="Times New Roman"/>
          <w:b/>
          <w:bCs/>
          <w:kern w:val="22"/>
        </w:rPr>
      </w:pPr>
      <w:r w:rsidRPr="00DF0E24">
        <w:rPr>
          <w:rFonts w:ascii="Times New Roman" w:hAnsi="Times New Roman"/>
          <w:b/>
          <w:bCs/>
          <w:kern w:val="22"/>
        </w:rPr>
        <w:t>ZĀĻU FORMA</w:t>
      </w:r>
    </w:p>
    <w:p w:rsidR="00271E94" w:rsidRPr="00DF0E24" w:rsidRDefault="00271E94" w:rsidP="00091380">
      <w:pPr>
        <w:widowControl w:val="0"/>
        <w:tabs>
          <w:tab w:val="left" w:pos="567"/>
        </w:tabs>
        <w:autoSpaceDE w:val="0"/>
        <w:autoSpaceDN w:val="0"/>
        <w:adjustRightInd w:val="0"/>
        <w:spacing w:after="0" w:line="240" w:lineRule="auto"/>
        <w:ind w:left="570"/>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Koncentrāts infūziju šķīduma pagatavošanai. Dzidrs, bezkrāsains šķīdums.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numPr>
          <w:ilvl w:val="0"/>
          <w:numId w:val="4"/>
        </w:numPr>
        <w:tabs>
          <w:tab w:val="left" w:pos="567"/>
        </w:tabs>
        <w:autoSpaceDE w:val="0"/>
        <w:autoSpaceDN w:val="0"/>
        <w:adjustRightInd w:val="0"/>
        <w:spacing w:after="0" w:line="240" w:lineRule="auto"/>
        <w:rPr>
          <w:rFonts w:ascii="Times New Roman" w:hAnsi="Times New Roman"/>
          <w:b/>
          <w:bCs/>
          <w:kern w:val="22"/>
        </w:rPr>
      </w:pPr>
      <w:r w:rsidRPr="00DF0E24">
        <w:rPr>
          <w:rFonts w:ascii="Times New Roman" w:hAnsi="Times New Roman"/>
          <w:b/>
          <w:bCs/>
          <w:kern w:val="22"/>
        </w:rPr>
        <w:t>KLĪNISKĀ INFORMĀCIJA</w:t>
      </w:r>
    </w:p>
    <w:p w:rsidR="00271E94" w:rsidRPr="00DF0E24" w:rsidRDefault="00271E94" w:rsidP="00091380">
      <w:pPr>
        <w:widowControl w:val="0"/>
        <w:tabs>
          <w:tab w:val="left" w:pos="567"/>
        </w:tabs>
        <w:autoSpaceDE w:val="0"/>
        <w:autoSpaceDN w:val="0"/>
        <w:adjustRightInd w:val="0"/>
        <w:spacing w:after="0" w:line="240" w:lineRule="auto"/>
        <w:ind w:left="570"/>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Terapeitiskās indikācijas</w:t>
      </w:r>
    </w:p>
    <w:p w:rsidR="00271E94" w:rsidRPr="00DF0E24" w:rsidRDefault="00271E94" w:rsidP="00091380">
      <w:pPr>
        <w:widowControl w:val="0"/>
        <w:tabs>
          <w:tab w:val="left" w:pos="709"/>
        </w:tabs>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Kālija hlorīds 150 mg/ml indicēts pacientiem, kuriem diētas pasākumi vai perorālo zāļu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lietošana kālija deficīta ārstēšanai nav pietiekama.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Devas un lietošanas veids</w:t>
      </w:r>
    </w:p>
    <w:p w:rsidR="00271E94" w:rsidRPr="00DF0E24" w:rsidRDefault="00271E94"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INTRAVENOZAI LIETOŠANAI TIKAI PĒC ATŠĶAIDĪŠANAS</w:t>
      </w:r>
      <w:r w:rsidR="003212C3" w:rsidRPr="00DF0E24">
        <w:rPr>
          <w:rFonts w:ascii="Times New Roman" w:hAnsi="Times New Roman"/>
          <w:kern w:val="22"/>
        </w:rPr>
        <w:t>.</w:t>
      </w:r>
    </w:p>
    <w:p w:rsidR="00271E94" w:rsidRPr="00DF0E24" w:rsidRDefault="00271E94" w:rsidP="00091380">
      <w:pPr>
        <w:widowControl w:val="0"/>
        <w:autoSpaceDE w:val="0"/>
        <w:autoSpaceDN w:val="0"/>
        <w:adjustRightInd w:val="0"/>
        <w:spacing w:after="0" w:line="240" w:lineRule="auto"/>
        <w:rPr>
          <w:rFonts w:ascii="Times New Roman" w:hAnsi="Times New Roman"/>
          <w:kern w:val="22"/>
          <w:u w:val="single"/>
        </w:rPr>
      </w:pPr>
    </w:p>
    <w:p w:rsidR="009C7175" w:rsidRPr="00DF0E24" w:rsidRDefault="00534CBF"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kern w:val="22"/>
          <w:u w:val="single"/>
        </w:rPr>
        <w:t>Devas</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u w:val="single"/>
        </w:rPr>
        <w:t>Pediatriskā populācija</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Bērnu vecuma pacientiem kālija hlorīda lietošanas droš</w:t>
      </w:r>
      <w:r w:rsidR="004B0B1D" w:rsidRPr="00DF0E24">
        <w:rPr>
          <w:rFonts w:ascii="Times New Roman" w:hAnsi="Times New Roman"/>
          <w:kern w:val="22"/>
        </w:rPr>
        <w:t>ums</w:t>
      </w:r>
      <w:r w:rsidRPr="00DF0E24">
        <w:rPr>
          <w:rFonts w:ascii="Times New Roman" w:hAnsi="Times New Roman"/>
          <w:kern w:val="22"/>
        </w:rPr>
        <w:t xml:space="preserve"> un efektivitāte nav </w:t>
      </w:r>
      <w:r w:rsidR="00AD5535" w:rsidRPr="00DF0E24">
        <w:rPr>
          <w:rFonts w:ascii="Times New Roman" w:hAnsi="Times New Roman"/>
          <w:kern w:val="22"/>
        </w:rPr>
        <w:t>n</w:t>
      </w:r>
      <w:r w:rsidRPr="00DF0E24">
        <w:rPr>
          <w:rFonts w:ascii="Times New Roman" w:hAnsi="Times New Roman"/>
          <w:kern w:val="22"/>
        </w:rPr>
        <w:t>oskaidrota.</w:t>
      </w:r>
      <w:r w:rsidR="00AD2B9A">
        <w:rPr>
          <w:rFonts w:ascii="Times New Roman" w:hAnsi="Times New Roman"/>
          <w:kern w:val="22"/>
        </w:rPr>
        <w:t xml:space="preserve"> Pašlaik pieejamie dati aprakstīti 5.1. apakšpunktā.</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p>
    <w:p w:rsidR="00545DC4" w:rsidRPr="00DF0E24" w:rsidRDefault="00545DC4" w:rsidP="00091380">
      <w:pPr>
        <w:widowControl w:val="0"/>
        <w:autoSpaceDE w:val="0"/>
        <w:autoSpaceDN w:val="0"/>
        <w:adjustRightInd w:val="0"/>
        <w:spacing w:after="0" w:line="240" w:lineRule="auto"/>
        <w:rPr>
          <w:rFonts w:ascii="Times New Roman" w:hAnsi="Times New Roman"/>
          <w:i/>
          <w:kern w:val="22"/>
        </w:rPr>
      </w:pPr>
      <w:r w:rsidRPr="00DF0E24">
        <w:rPr>
          <w:rFonts w:ascii="Times New Roman" w:hAnsi="Times New Roman"/>
          <w:i/>
          <w:kern w:val="22"/>
        </w:rPr>
        <w:t>Pieaugušie</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Parastā deva pieaugušajiem:</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Ievada intravenozi tikai pēc atšķaidīšanas ar piemērotu šķīdumu līdz maksimālajai kālija hlorīda koncentrācijai 3 g/l (vai kālija koncentrācijai 40 m</w:t>
      </w:r>
      <w:r w:rsidR="00271E94" w:rsidRPr="00DF0E24">
        <w:rPr>
          <w:rFonts w:ascii="Times New Roman" w:hAnsi="Times New Roman"/>
          <w:kern w:val="22"/>
        </w:rPr>
        <w:t>Eq</w:t>
      </w:r>
      <w:r w:rsidRPr="00DF0E24">
        <w:rPr>
          <w:rFonts w:ascii="Times New Roman" w:hAnsi="Times New Roman"/>
          <w:kern w:val="22"/>
        </w:rPr>
        <w:t>/l). Smagas hipokaliēmijas vai diabētiskās ketoacidozes ārstēšanai var būt nepieciešamas augstākas koncentrācijas. Šajā gadījumā infūzija jāveic vēnā ar ātru asins plūsmu, turklāt ir ieteicama nepārtraukta EKG kontrole.</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1 g kālija hlorīda atbilst 13,4 m</w:t>
      </w:r>
      <w:r w:rsidR="00271E94" w:rsidRPr="00DF0E24">
        <w:rPr>
          <w:rFonts w:ascii="Times New Roman" w:hAnsi="Times New Roman"/>
          <w:kern w:val="22"/>
        </w:rPr>
        <w:t>Eq</w:t>
      </w:r>
      <w:r w:rsidRPr="00DF0E24">
        <w:rPr>
          <w:rFonts w:ascii="Times New Roman" w:hAnsi="Times New Roman"/>
          <w:kern w:val="22"/>
        </w:rPr>
        <w:t xml:space="preserve"> jeb 524 mg kālija.</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p>
    <w:p w:rsidR="00494920"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Devas lielums ir atkarīgs no </w:t>
      </w:r>
      <w:r w:rsidR="00494920" w:rsidRPr="00DF0E24">
        <w:rPr>
          <w:rFonts w:ascii="Times New Roman" w:hAnsi="Times New Roman"/>
          <w:kern w:val="22"/>
        </w:rPr>
        <w:t xml:space="preserve">elektrolītu līmeņa </w:t>
      </w:r>
      <w:r w:rsidRPr="00DF0E24">
        <w:rPr>
          <w:rFonts w:ascii="Times New Roman" w:hAnsi="Times New Roman"/>
          <w:kern w:val="22"/>
        </w:rPr>
        <w:t>serum</w:t>
      </w:r>
      <w:r w:rsidR="00494920" w:rsidRPr="00DF0E24">
        <w:rPr>
          <w:rFonts w:ascii="Times New Roman" w:hAnsi="Times New Roman"/>
          <w:kern w:val="22"/>
        </w:rPr>
        <w:t xml:space="preserve">ā </w:t>
      </w:r>
      <w:r w:rsidRPr="00DF0E24">
        <w:rPr>
          <w:rFonts w:ascii="Times New Roman" w:hAnsi="Times New Roman"/>
          <w:kern w:val="22"/>
        </w:rPr>
        <w:t>un skābju</w:t>
      </w:r>
      <w:r w:rsidRPr="0041597B">
        <w:rPr>
          <w:rFonts w:ascii="Times New Roman" w:hAnsi="Times New Roman"/>
          <w:kern w:val="22"/>
        </w:rPr>
        <w:t>–</w:t>
      </w:r>
      <w:r w:rsidRPr="00DF0E24">
        <w:rPr>
          <w:rFonts w:ascii="Times New Roman" w:hAnsi="Times New Roman"/>
          <w:kern w:val="22"/>
        </w:rPr>
        <w:t>bāzu līdzsvara.</w:t>
      </w:r>
    </w:p>
    <w:p w:rsidR="007021D3" w:rsidRPr="00DF0E24" w:rsidRDefault="007021D3"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Kālija deficīts jāaprēķina pēc šādas formulas:</w:t>
      </w:r>
    </w:p>
    <w:p w:rsidR="00534CBF"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Kālija deficīts (m</w:t>
      </w:r>
      <w:r w:rsidR="00271E94" w:rsidRPr="00DF0E24">
        <w:rPr>
          <w:rFonts w:ascii="Times New Roman" w:hAnsi="Times New Roman"/>
          <w:kern w:val="22"/>
        </w:rPr>
        <w:t>Eq</w:t>
      </w:r>
      <w:r w:rsidRPr="00DF0E24">
        <w:rPr>
          <w:rFonts w:ascii="Times New Roman" w:hAnsi="Times New Roman"/>
          <w:kern w:val="22"/>
        </w:rPr>
        <w:t>) = ķermeņa masa kilogramos x 0,2 x 2 x (4,5 m</w:t>
      </w:r>
      <w:r w:rsidR="00271E94" w:rsidRPr="00DF0E24">
        <w:rPr>
          <w:rFonts w:ascii="Times New Roman" w:hAnsi="Times New Roman"/>
          <w:kern w:val="22"/>
        </w:rPr>
        <w:t>Eq</w:t>
      </w:r>
      <w:r w:rsidRPr="00DF0E24">
        <w:rPr>
          <w:rFonts w:ascii="Times New Roman" w:hAnsi="Times New Roman"/>
          <w:kern w:val="22"/>
        </w:rPr>
        <w:t xml:space="preserve">/l </w:t>
      </w:r>
      <w:r w:rsidRPr="0041597B">
        <w:rPr>
          <w:rFonts w:ascii="Times New Roman" w:hAnsi="Times New Roman"/>
          <w:kern w:val="22"/>
        </w:rPr>
        <w:t>–</w:t>
      </w:r>
      <w:r w:rsidRPr="00DF0E24">
        <w:rPr>
          <w:rFonts w:ascii="Times New Roman" w:hAnsi="Times New Roman"/>
          <w:kern w:val="22"/>
        </w:rPr>
        <w:t xml:space="preserve"> kālija jonu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koncentrācija serumā)</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(Ekstracelulāro tilpumu aprēķina kā ķermeņa masu kilogramos x 0,2)</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Normālais dienā saņemtais daudzums ir aptuveni 0,8 - 2 m</w:t>
      </w:r>
      <w:r w:rsidR="00271E94" w:rsidRPr="00DF0E24">
        <w:rPr>
          <w:rFonts w:ascii="Times New Roman" w:hAnsi="Times New Roman"/>
          <w:kern w:val="22"/>
        </w:rPr>
        <w:t xml:space="preserve">Eq </w:t>
      </w:r>
      <w:r w:rsidRPr="00DF0E24">
        <w:rPr>
          <w:rFonts w:ascii="Times New Roman" w:hAnsi="Times New Roman"/>
          <w:kern w:val="22"/>
        </w:rPr>
        <w:t>kālija uz kilogramu ķermeņa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masas.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7021D3"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Infūzija nedrīkst būt strauja. Parasti par drošu uzskata ātrumu 10 </w:t>
      </w:r>
      <w:r w:rsidR="00271E94" w:rsidRPr="00DF0E24">
        <w:rPr>
          <w:rFonts w:ascii="Times New Roman" w:hAnsi="Times New Roman"/>
          <w:kern w:val="22"/>
        </w:rPr>
        <w:t>mEq</w:t>
      </w:r>
      <w:r w:rsidRPr="00DF0E24">
        <w:rPr>
          <w:rFonts w:ascii="Times New Roman" w:hAnsi="Times New Roman"/>
          <w:kern w:val="22"/>
        </w:rPr>
        <w:t xml:space="preserve">/stundā. </w:t>
      </w:r>
    </w:p>
    <w:p w:rsidR="007021D3" w:rsidRPr="00DF0E24" w:rsidRDefault="007021D3" w:rsidP="00091380">
      <w:pPr>
        <w:widowControl w:val="0"/>
        <w:autoSpaceDE w:val="0"/>
        <w:autoSpaceDN w:val="0"/>
        <w:adjustRightInd w:val="0"/>
        <w:spacing w:after="0" w:line="240" w:lineRule="auto"/>
        <w:rPr>
          <w:rFonts w:ascii="Times New Roman" w:hAnsi="Times New Roman"/>
          <w:kern w:val="22"/>
        </w:rPr>
      </w:pPr>
    </w:p>
    <w:p w:rsidR="009C7175" w:rsidRPr="00DF0E24" w:rsidRDefault="00D82249" w:rsidP="00091380">
      <w:pPr>
        <w:widowControl w:val="0"/>
        <w:autoSpaceDE w:val="0"/>
        <w:autoSpaceDN w:val="0"/>
        <w:adjustRightInd w:val="0"/>
        <w:spacing w:after="0" w:line="240" w:lineRule="auto"/>
        <w:rPr>
          <w:rFonts w:ascii="Times New Roman" w:hAnsi="Times New Roman"/>
          <w:kern w:val="22"/>
        </w:rPr>
      </w:pPr>
      <w:r>
        <w:rPr>
          <w:rFonts w:ascii="Times New Roman" w:hAnsi="Times New Roman"/>
          <w:kern w:val="22"/>
        </w:rPr>
        <w:t>Galvenais nosacījums ir, ka š</w:t>
      </w:r>
      <w:r w:rsidR="009C7175" w:rsidRPr="00DF0E24">
        <w:rPr>
          <w:rFonts w:ascii="Times New Roman" w:hAnsi="Times New Roman"/>
          <w:kern w:val="22"/>
        </w:rPr>
        <w:t>is ātrums nekad nedrīkst pārsniegt 20 mmol/stundā.</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Parasti pieaugušajiem maksimālā dienas deva nedrīkst pārsniegt 150 </w:t>
      </w:r>
      <w:r w:rsidR="00271E94" w:rsidRPr="00DF0E24">
        <w:rPr>
          <w:rFonts w:ascii="Times New Roman" w:hAnsi="Times New Roman"/>
          <w:kern w:val="22"/>
        </w:rPr>
        <w:t>mEq</w:t>
      </w:r>
      <w:r w:rsidRPr="00DF0E24">
        <w:rPr>
          <w:rFonts w:ascii="Times New Roman" w:hAnsi="Times New Roman"/>
          <w:kern w:val="22"/>
        </w:rPr>
        <w:t>.</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Pacienti ar nieru darbības traucējumiem</w:t>
      </w:r>
    </w:p>
    <w:p w:rsidR="00534CBF" w:rsidRPr="00DF0E24" w:rsidRDefault="00534CBF"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Pacientiem ar nieru darbības traucējumiem deva jāsamazina.</w:t>
      </w:r>
    </w:p>
    <w:p w:rsidR="00271E94" w:rsidRPr="005745EB" w:rsidRDefault="00271E94" w:rsidP="00091380">
      <w:pPr>
        <w:widowControl w:val="0"/>
        <w:autoSpaceDE w:val="0"/>
        <w:autoSpaceDN w:val="0"/>
        <w:adjustRightInd w:val="0"/>
        <w:spacing w:after="0" w:line="240" w:lineRule="auto"/>
        <w:rPr>
          <w:rFonts w:ascii="Times New Roman" w:hAnsi="Times New Roman"/>
          <w:kern w:val="22"/>
          <w:u w:val="single"/>
        </w:rPr>
      </w:pPr>
    </w:p>
    <w:p w:rsidR="00534CBF" w:rsidRPr="00DF0E24" w:rsidRDefault="00534CBF"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kern w:val="22"/>
          <w:u w:val="single"/>
        </w:rPr>
        <w:t>Lietošanas veids</w:t>
      </w:r>
    </w:p>
    <w:p w:rsidR="007021D3" w:rsidRPr="00DF0E24" w:rsidRDefault="007021D3" w:rsidP="00091380">
      <w:pPr>
        <w:widowControl w:val="0"/>
        <w:autoSpaceDE w:val="0"/>
        <w:autoSpaceDN w:val="0"/>
        <w:adjustRightInd w:val="0"/>
        <w:spacing w:after="0" w:line="240" w:lineRule="auto"/>
        <w:rPr>
          <w:rFonts w:ascii="Times New Roman" w:hAnsi="Times New Roman"/>
          <w:kern w:val="22"/>
          <w:u w:val="single"/>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Ieteicams ievadīt ar infūzijas sūkni (tas  īpaši  attiecas  uz  augstākas  koncentrācijas šķīdumiem).</w:t>
      </w:r>
    </w:p>
    <w:p w:rsidR="00534CBF" w:rsidRPr="00DF0E24" w:rsidRDefault="00534CBF" w:rsidP="00091380">
      <w:pPr>
        <w:widowControl w:val="0"/>
        <w:autoSpaceDE w:val="0"/>
        <w:autoSpaceDN w:val="0"/>
        <w:adjustRightInd w:val="0"/>
        <w:spacing w:after="0" w:line="240" w:lineRule="auto"/>
        <w:rPr>
          <w:rFonts w:ascii="Times New Roman" w:hAnsi="Times New Roman"/>
          <w:b/>
          <w:bCs/>
          <w:kern w:val="22"/>
        </w:rPr>
      </w:pPr>
      <w:r w:rsidRPr="00DF0E24">
        <w:rPr>
          <w:rFonts w:ascii="Times New Roman" w:hAnsi="Times New Roman"/>
          <w:noProof/>
        </w:rPr>
        <w:t>Ieteikumus par zāļu atšķaidīšanu pirms lietošanas skatīt 6.6 apakšpunktā.</w:t>
      </w:r>
    </w:p>
    <w:p w:rsidR="009C7175" w:rsidRPr="00DF0E24" w:rsidRDefault="009C7175" w:rsidP="00091380">
      <w:pPr>
        <w:widowControl w:val="0"/>
        <w:autoSpaceDE w:val="0"/>
        <w:autoSpaceDN w:val="0"/>
        <w:adjustRightInd w:val="0"/>
        <w:spacing w:after="0" w:line="240" w:lineRule="auto"/>
        <w:rPr>
          <w:rFonts w:ascii="Times New Roman" w:hAnsi="Times New Roman"/>
          <w:b/>
          <w:bCs/>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Kontrindikācijas</w:t>
      </w:r>
    </w:p>
    <w:p w:rsidR="00271E94" w:rsidRPr="00DF0E24" w:rsidRDefault="00271E94"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6A3BBC"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Potassium chloride Kabi</w:t>
      </w:r>
      <w:r w:rsidR="003023D2" w:rsidRPr="00DF0E24">
        <w:rPr>
          <w:rFonts w:ascii="Times New Roman" w:hAnsi="Times New Roman"/>
          <w:kern w:val="22"/>
        </w:rPr>
        <w:t xml:space="preserve"> 150</w:t>
      </w:r>
      <w:r w:rsidR="003023D2" w:rsidRPr="0041597B">
        <w:rPr>
          <w:rFonts w:ascii="Times New Roman" w:hAnsi="Times New Roman"/>
          <w:kern w:val="22"/>
        </w:rPr>
        <w:t> </w:t>
      </w:r>
      <w:r w:rsidR="003023D2" w:rsidRPr="00DF0E24">
        <w:rPr>
          <w:rFonts w:ascii="Times New Roman" w:hAnsi="Times New Roman"/>
          <w:kern w:val="22"/>
        </w:rPr>
        <w:t>mg/ml</w:t>
      </w:r>
      <w:r w:rsidR="009C7175" w:rsidRPr="00DF0E24">
        <w:rPr>
          <w:rFonts w:ascii="Times New Roman" w:hAnsi="Times New Roman"/>
          <w:kern w:val="22"/>
        </w:rPr>
        <w:t xml:space="preserve"> lietošana</w:t>
      </w:r>
      <w:r w:rsidR="007021D3" w:rsidRPr="00DF0E24">
        <w:rPr>
          <w:rFonts w:ascii="Times New Roman" w:hAnsi="Times New Roman"/>
          <w:kern w:val="22"/>
        </w:rPr>
        <w:t xml:space="preserve"> ir</w:t>
      </w:r>
      <w:r w:rsidR="009C7175" w:rsidRPr="00DF0E24">
        <w:rPr>
          <w:rFonts w:ascii="Times New Roman" w:hAnsi="Times New Roman"/>
          <w:kern w:val="22"/>
        </w:rPr>
        <w:t xml:space="preserve"> </w:t>
      </w:r>
      <w:r w:rsidR="007021D3" w:rsidRPr="00DF0E24">
        <w:rPr>
          <w:rFonts w:ascii="Times New Roman" w:hAnsi="Times New Roman"/>
          <w:kern w:val="22"/>
        </w:rPr>
        <w:t>kontrindicēta šādos gadījumos</w:t>
      </w:r>
      <w:r w:rsidR="009C7175" w:rsidRPr="00DF0E24">
        <w:rPr>
          <w:rFonts w:ascii="Times New Roman" w:hAnsi="Times New Roman"/>
          <w:kern w:val="22"/>
        </w:rPr>
        <w:t>:</w:t>
      </w:r>
    </w:p>
    <w:p w:rsidR="009C7175" w:rsidRPr="00DF0E24" w:rsidRDefault="003023D2" w:rsidP="00091380">
      <w:pPr>
        <w:widowControl w:val="0"/>
        <w:numPr>
          <w:ilvl w:val="0"/>
          <w:numId w:val="5"/>
        </w:numPr>
        <w:tabs>
          <w:tab w:val="left" w:pos="567"/>
        </w:tabs>
        <w:autoSpaceDE w:val="0"/>
        <w:autoSpaceDN w:val="0"/>
        <w:adjustRightInd w:val="0"/>
        <w:spacing w:after="0" w:line="240" w:lineRule="auto"/>
        <w:rPr>
          <w:rFonts w:ascii="Times New Roman" w:hAnsi="Times New Roman"/>
          <w:kern w:val="22"/>
        </w:rPr>
      </w:pPr>
      <w:r w:rsidRPr="00DF0E24">
        <w:rPr>
          <w:rFonts w:ascii="Times New Roman" w:hAnsi="Times New Roman"/>
          <w:kern w:val="22"/>
        </w:rPr>
        <w:t>h</w:t>
      </w:r>
      <w:r w:rsidR="009C7175" w:rsidRPr="00DF0E24">
        <w:rPr>
          <w:rFonts w:ascii="Times New Roman" w:hAnsi="Times New Roman"/>
          <w:kern w:val="22"/>
        </w:rPr>
        <w:t>iperkaliēmija.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Īpaši brīdinājumi un piesardzība lietošanā</w:t>
      </w:r>
    </w:p>
    <w:p w:rsidR="00271E94" w:rsidRPr="00DF0E24" w:rsidRDefault="00271E94"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7021D3">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Tieša</w:t>
      </w:r>
      <w:r w:rsidR="00494920" w:rsidRPr="00DF0E24">
        <w:rPr>
          <w:rFonts w:ascii="Times New Roman" w:hAnsi="Times New Roman"/>
          <w:kern w:val="22"/>
        </w:rPr>
        <w:t>,</w:t>
      </w:r>
      <w:r w:rsidRPr="00DF0E24">
        <w:rPr>
          <w:rFonts w:ascii="Times New Roman" w:hAnsi="Times New Roman"/>
          <w:kern w:val="22"/>
        </w:rPr>
        <w:t xml:space="preserve"> </w:t>
      </w:r>
      <w:r w:rsidR="00494920" w:rsidRPr="00DF0E24">
        <w:rPr>
          <w:rStyle w:val="hps"/>
          <w:rFonts w:ascii="Times New Roman" w:hAnsi="Times New Roman"/>
        </w:rPr>
        <w:t>bez attiecīgas</w:t>
      </w:r>
      <w:r w:rsidR="00494920" w:rsidRPr="00DF0E24">
        <w:rPr>
          <w:rStyle w:val="shorttext"/>
          <w:rFonts w:ascii="Times New Roman" w:hAnsi="Times New Roman"/>
        </w:rPr>
        <w:t xml:space="preserve"> </w:t>
      </w:r>
      <w:r w:rsidRPr="00DF0E24">
        <w:rPr>
          <w:rFonts w:ascii="Times New Roman" w:hAnsi="Times New Roman"/>
          <w:kern w:val="22"/>
        </w:rPr>
        <w:t>atšķaidī</w:t>
      </w:r>
      <w:r w:rsidR="00494920" w:rsidRPr="00DF0E24">
        <w:rPr>
          <w:rFonts w:ascii="Times New Roman" w:hAnsi="Times New Roman"/>
          <w:kern w:val="22"/>
        </w:rPr>
        <w:t>šanas</w:t>
      </w:r>
      <w:r w:rsidR="00C64450">
        <w:rPr>
          <w:rFonts w:ascii="Times New Roman" w:hAnsi="Times New Roman"/>
          <w:kern w:val="22"/>
        </w:rPr>
        <w:t>,</w:t>
      </w:r>
      <w:r w:rsidRPr="00DF0E24">
        <w:rPr>
          <w:rFonts w:ascii="Times New Roman" w:hAnsi="Times New Roman"/>
          <w:kern w:val="22"/>
        </w:rPr>
        <w:t xml:space="preserve"> kālija hlorīda koncentrāta injekcija var</w:t>
      </w:r>
      <w:r w:rsidR="007021D3" w:rsidRPr="00DF0E24">
        <w:rPr>
          <w:rFonts w:ascii="Times New Roman" w:hAnsi="Times New Roman"/>
          <w:kern w:val="22"/>
        </w:rPr>
        <w:t xml:space="preserve"> </w:t>
      </w:r>
      <w:r w:rsidRPr="00DF0E24">
        <w:rPr>
          <w:rFonts w:ascii="Times New Roman" w:hAnsi="Times New Roman"/>
          <w:kern w:val="22"/>
        </w:rPr>
        <w:t xml:space="preserve"> izraisīt tūlītēju nāvi.</w:t>
      </w:r>
    </w:p>
    <w:p w:rsidR="008B7A98" w:rsidRPr="00DF0E24" w:rsidRDefault="008B7A98"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Ievadei jābūt lēnai (parasti ar ātrumu 10 </w:t>
      </w:r>
      <w:r w:rsidR="00271E94" w:rsidRPr="00DF0E24">
        <w:rPr>
          <w:rFonts w:ascii="Times New Roman" w:hAnsi="Times New Roman"/>
          <w:kern w:val="22"/>
        </w:rPr>
        <w:t>mEq</w:t>
      </w:r>
      <w:r w:rsidRPr="00DF0E24">
        <w:rPr>
          <w:rFonts w:ascii="Times New Roman" w:hAnsi="Times New Roman"/>
          <w:kern w:val="22"/>
        </w:rPr>
        <w:t xml:space="preserve">/stundā, nepārsniedzot 20 </w:t>
      </w:r>
      <w:r w:rsidR="00271E94" w:rsidRPr="00DF0E24">
        <w:rPr>
          <w:rFonts w:ascii="Times New Roman" w:hAnsi="Times New Roman"/>
          <w:kern w:val="22"/>
        </w:rPr>
        <w:t>mEq</w:t>
      </w:r>
      <w:r w:rsidRPr="00DF0E24">
        <w:rPr>
          <w:rFonts w:ascii="Times New Roman" w:hAnsi="Times New Roman"/>
          <w:kern w:val="22"/>
        </w:rPr>
        <w:t>/stundā)</w:t>
      </w:r>
      <w:r w:rsidR="007021D3" w:rsidRPr="00DF0E24">
        <w:rPr>
          <w:rFonts w:ascii="Times New Roman" w:hAnsi="Times New Roman"/>
          <w:kern w:val="22"/>
        </w:rPr>
        <w:t xml:space="preserve"> </w:t>
      </w:r>
      <w:r w:rsidR="0001140B" w:rsidRPr="00DF0E24">
        <w:rPr>
          <w:rFonts w:ascii="Times New Roman" w:hAnsi="Times New Roman"/>
          <w:kern w:val="22"/>
        </w:rPr>
        <w:t xml:space="preserve"> (</w:t>
      </w:r>
      <w:r w:rsidRPr="00DF0E24">
        <w:rPr>
          <w:rFonts w:ascii="Times New Roman" w:hAnsi="Times New Roman"/>
          <w:kern w:val="22"/>
        </w:rPr>
        <w:t xml:space="preserve">skatīt </w:t>
      </w:r>
      <w:r w:rsidR="007021D3" w:rsidRPr="00DF0E24">
        <w:rPr>
          <w:rFonts w:ascii="Times New Roman" w:hAnsi="Times New Roman"/>
          <w:kern w:val="22"/>
        </w:rPr>
        <w:t>4.2.</w:t>
      </w:r>
      <w:r w:rsidR="007021D3" w:rsidRPr="0041597B">
        <w:rPr>
          <w:rFonts w:ascii="Times New Roman" w:hAnsi="Times New Roman"/>
          <w:kern w:val="22"/>
        </w:rPr>
        <w:t> </w:t>
      </w:r>
      <w:r w:rsidRPr="00DF0E24">
        <w:rPr>
          <w:rFonts w:ascii="Times New Roman" w:hAnsi="Times New Roman"/>
          <w:kern w:val="22"/>
        </w:rPr>
        <w:t>apakšpunktu</w:t>
      </w:r>
      <w:r w:rsidR="0001140B" w:rsidRPr="00DF0E24">
        <w:rPr>
          <w:rFonts w:ascii="Times New Roman" w:hAnsi="Times New Roman"/>
          <w:kern w:val="22"/>
        </w:rPr>
        <w:t>)</w:t>
      </w:r>
      <w:r w:rsidRPr="00DF0E24">
        <w:rPr>
          <w:rFonts w:ascii="Times New Roman" w:hAnsi="Times New Roman"/>
          <w:kern w:val="22"/>
        </w:rPr>
        <w:t>.</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Tā kā jānodrošina pietiekama urīna plūsma, jākontrolē urīna izdale.</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Piesardzība jāievēro attiecībā uz pacientiem ar nekompensētu sirds mazspēju, pacientiem,</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kurus ārstē ar uzpirkstītes preparātiem un pacientiem ar smagu vai piln</w:t>
      </w:r>
      <w:r w:rsidR="007021D3" w:rsidRPr="00DF0E24">
        <w:rPr>
          <w:rFonts w:ascii="Times New Roman" w:hAnsi="Times New Roman"/>
          <w:kern w:val="22"/>
        </w:rPr>
        <w:t>īg</w:t>
      </w:r>
      <w:r w:rsidRPr="00DF0E24">
        <w:rPr>
          <w:rFonts w:ascii="Times New Roman" w:hAnsi="Times New Roman"/>
          <w:kern w:val="22"/>
        </w:rPr>
        <w:t>u sirds blokādi.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Jākontrolē seruma </w:t>
      </w:r>
      <w:r w:rsidR="007021D3" w:rsidRPr="00DF0E24">
        <w:rPr>
          <w:rFonts w:ascii="Times New Roman" w:hAnsi="Times New Roman"/>
          <w:kern w:val="22"/>
        </w:rPr>
        <w:t xml:space="preserve">elektrolītu līmenis </w:t>
      </w:r>
      <w:r w:rsidRPr="00DF0E24">
        <w:rPr>
          <w:rFonts w:ascii="Times New Roman" w:hAnsi="Times New Roman"/>
          <w:kern w:val="22"/>
        </w:rPr>
        <w:t xml:space="preserve">un skābju </w:t>
      </w:r>
      <w:r w:rsidRPr="0041597B">
        <w:rPr>
          <w:rFonts w:ascii="Times New Roman" w:hAnsi="Times New Roman"/>
          <w:kern w:val="22"/>
        </w:rPr>
        <w:t>–</w:t>
      </w:r>
      <w:r w:rsidRPr="00DF0E24">
        <w:rPr>
          <w:rFonts w:ascii="Times New Roman" w:hAnsi="Times New Roman"/>
          <w:kern w:val="22"/>
        </w:rPr>
        <w:t xml:space="preserve"> bāzu līdzsvars, un deva jāpielāgo pacienta </w:t>
      </w: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vajadzībām. Lai izvairītos no hiperkaliēmijas attīstības, ārstēšanas laikā ar regulāriem</w:t>
      </w: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 intervāliem jānosaka kālija jonu koncentrācija plazmā, īpaši pacientiem ar nieru darbības </w:t>
      </w: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traucējumiem un citiem stāvokļiem, kas bieži saistīti ar hiperkaliēmiju. Jābūt pieejamai iespējai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kontrolēt EKG un pacienti bieži jākontrolē.</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Piesardzība jāievēro situācijās, kas bieži saistītas ar hiperkaliēmiju, piemēram, virsnieru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nepietiekamības (Adisona slimības), pavājinātas nieru darbības (nieru mazspējas), pēcoperācijas oligūrijas, šoka ar hemolītiskām reakcijām un/vai organisma dehidratācijas un metaboliskās acidozes gadījumos un pacientiem, kuri lieto kāliju aizturošos diurētiskos līdzekļus, kā arī hiperhlorēmijas, Gamstorpa epizodiskās adinamijas un sirpjveida šūnu anēmijas gadījumā.</w:t>
      </w:r>
    </w:p>
    <w:p w:rsidR="0001140B" w:rsidRPr="00DF0E24" w:rsidRDefault="0001140B" w:rsidP="00091380">
      <w:pPr>
        <w:widowControl w:val="0"/>
        <w:autoSpaceDE w:val="0"/>
        <w:autoSpaceDN w:val="0"/>
        <w:adjustRightInd w:val="0"/>
        <w:spacing w:after="0" w:line="240" w:lineRule="auto"/>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lastRenderedPageBreak/>
        <w:t xml:space="preserve">Intravenozas ievades laikā jāievēro piesardzība, jo ekstravazācija var izraisīt nekrotiska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rakstura audu bojājumus.</w:t>
      </w:r>
    </w:p>
    <w:p w:rsidR="0001140B" w:rsidRPr="00DF0E24" w:rsidRDefault="0001140B" w:rsidP="00091380">
      <w:pPr>
        <w:widowControl w:val="0"/>
        <w:autoSpaceDE w:val="0"/>
        <w:autoSpaceDN w:val="0"/>
        <w:adjustRightInd w:val="0"/>
        <w:spacing w:after="0" w:line="240" w:lineRule="auto"/>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Sākotnējā kālija aizstājterapijā</w:t>
      </w:r>
      <w:r w:rsidR="00082AE9" w:rsidRPr="00DF0E24">
        <w:rPr>
          <w:rFonts w:ascii="Times New Roman" w:hAnsi="Times New Roman"/>
          <w:kern w:val="22"/>
        </w:rPr>
        <w:t xml:space="preserve"> </w:t>
      </w:r>
      <w:r w:rsidR="008F3C2F" w:rsidRPr="00DF0E24">
        <w:rPr>
          <w:rFonts w:ascii="Times New Roman" w:hAnsi="Times New Roman"/>
          <w:kern w:val="22"/>
        </w:rPr>
        <w:t xml:space="preserve">nedrīkst </w:t>
      </w:r>
      <w:r w:rsidRPr="00DF0E24">
        <w:rPr>
          <w:rFonts w:ascii="Times New Roman" w:hAnsi="Times New Roman"/>
          <w:kern w:val="22"/>
        </w:rPr>
        <w:t xml:space="preserve">ietvert glikozes infūzijas, jo glikoze var izraisīt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turpmāku kālija jonu koncentrācijas pazemināšanos plazmā.</w:t>
      </w:r>
    </w:p>
    <w:p w:rsidR="0001140B" w:rsidRPr="00DF0E24" w:rsidRDefault="0001140B" w:rsidP="00091380">
      <w:pPr>
        <w:widowControl w:val="0"/>
        <w:autoSpaceDE w:val="0"/>
        <w:autoSpaceDN w:val="0"/>
        <w:adjustRightInd w:val="0"/>
        <w:spacing w:after="0" w:line="240" w:lineRule="auto"/>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Stingri jākontrolē pacienti ar sirds slimībām, akūtu dehidratāciju, febrīliem krampjiem un </w:t>
      </w: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plašiem audu bojājumiem pēc smagiem apdegumiem, kā arī gados vecāki pacienti, jo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iespējami nieru darbības traucējumi vai citi hiperkaliēmiju veicinošie stāvokļi.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Mijiedarbība ar citām zālēm un citi mijiedarbības veidi</w:t>
      </w:r>
    </w:p>
    <w:p w:rsidR="001B602D" w:rsidRPr="00DF0E24" w:rsidRDefault="001B602D" w:rsidP="00091380">
      <w:pPr>
        <w:widowControl w:val="0"/>
        <w:autoSpaceDE w:val="0"/>
        <w:autoSpaceDN w:val="0"/>
        <w:adjustRightInd w:val="0"/>
        <w:spacing w:after="0" w:line="240" w:lineRule="auto"/>
        <w:rPr>
          <w:rFonts w:ascii="Times New Roman" w:hAnsi="Times New Roman"/>
          <w:b/>
          <w:bCs/>
          <w:i/>
          <w:iCs/>
          <w:kern w:val="22"/>
          <w:u w:val="single"/>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b/>
          <w:bCs/>
          <w:i/>
          <w:iCs/>
          <w:kern w:val="22"/>
          <w:u w:val="single"/>
        </w:rPr>
        <w:t>Kombinācijas, kas nav ieteicamas (izņemot smagas hipokaliēmijas gadījumus)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b/>
          <w:bCs/>
          <w:kern w:val="22"/>
        </w:rPr>
        <w:t xml:space="preserve">+ Kāliju aizturošie diurētiskie līdzekļi (monoterapijā vai kombinācijā), piemēram: </w:t>
      </w:r>
      <w:r w:rsidRPr="00DF0E24">
        <w:rPr>
          <w:rFonts w:ascii="Times New Roman" w:hAnsi="Times New Roman"/>
          <w:kern w:val="22"/>
        </w:rPr>
        <w:t>amilorīds, spironolaktons, triamterēns, kālija kanreonāts, eplerenons. Pastāv potenciāli letālas hiperkaliēmijas risks, īpaši pacientiem ar nieru darbības traucējumiem (papildinošas hiperkaliēmiskas iedarbības dēļ).</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b/>
          <w:bCs/>
          <w:kern w:val="22"/>
        </w:rPr>
        <w:t xml:space="preserve">+ Angiotenzīnu konvertējošā enzīma (AKE) inhibitori, angiotenzīna II receptoru antagonisti, nesteroīdie pretiekaisuma līdzekļi (NPL), ciklosporīni, takrolīms un suksametonijs: </w:t>
      </w:r>
      <w:r w:rsidRPr="00DF0E24">
        <w:rPr>
          <w:rFonts w:ascii="Times New Roman" w:hAnsi="Times New Roman"/>
          <w:kern w:val="22"/>
        </w:rPr>
        <w:t>iespējama potenciāli letāla hiperkaliēmija, īpaši pacientiem ar nieru mazspēju (papildinošas hiperkaliēmiskas iedarbības dēļ).</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b/>
          <w:bCs/>
          <w:kern w:val="22"/>
        </w:rPr>
        <w:t xml:space="preserve">+ Asins preparāti, penicilīna kālija sāļi: </w:t>
      </w:r>
      <w:r w:rsidRPr="00DF0E24">
        <w:rPr>
          <w:rFonts w:ascii="Times New Roman" w:hAnsi="Times New Roman"/>
          <w:kern w:val="22"/>
        </w:rPr>
        <w:t>tā kā šie līdzekļi satur kāliju, iespējams hiperkaliēmijas risks.</w:t>
      </w:r>
    </w:p>
    <w:p w:rsidR="001B602D" w:rsidRPr="00DF0E24" w:rsidRDefault="001B602D" w:rsidP="00091380">
      <w:pPr>
        <w:widowControl w:val="0"/>
        <w:autoSpaceDE w:val="0"/>
        <w:autoSpaceDN w:val="0"/>
        <w:adjustRightInd w:val="0"/>
        <w:spacing w:after="0" w:line="240" w:lineRule="auto"/>
        <w:rPr>
          <w:rFonts w:ascii="Times New Roman" w:hAnsi="Times New Roman"/>
          <w:b/>
          <w:bCs/>
          <w:i/>
          <w:iCs/>
          <w:kern w:val="22"/>
          <w:u w:val="single"/>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b/>
          <w:bCs/>
          <w:i/>
          <w:iCs/>
          <w:kern w:val="22"/>
          <w:u w:val="single"/>
        </w:rPr>
        <w:t>Kombinācijas, ko var lietot, ievērojot īpašu piesardzību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 </w:t>
      </w:r>
      <w:r w:rsidRPr="00DF0E24">
        <w:rPr>
          <w:rFonts w:ascii="Times New Roman" w:hAnsi="Times New Roman"/>
          <w:b/>
          <w:bCs/>
          <w:kern w:val="22"/>
        </w:rPr>
        <w:t>Hinidīns</w:t>
      </w:r>
      <w:r w:rsidRPr="00DF0E24">
        <w:rPr>
          <w:rFonts w:ascii="Times New Roman" w:hAnsi="Times New Roman"/>
          <w:kern w:val="22"/>
        </w:rPr>
        <w:t>: kālijs var pastiprināt hinidīna antiaritmisko iedarbību.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 </w:t>
      </w:r>
      <w:r w:rsidRPr="00DF0E24">
        <w:rPr>
          <w:rFonts w:ascii="Times New Roman" w:hAnsi="Times New Roman"/>
          <w:b/>
          <w:bCs/>
          <w:kern w:val="22"/>
        </w:rPr>
        <w:t xml:space="preserve">Tiazīdi, adrenokortikoīdi, glikokortikoīdi un minerālkortikoīdi: </w:t>
      </w:r>
      <w:r w:rsidRPr="00DF0E24">
        <w:rPr>
          <w:rFonts w:ascii="Times New Roman" w:hAnsi="Times New Roman"/>
          <w:kern w:val="22"/>
        </w:rPr>
        <w:t>var kļūt vājāka papildus ievadīto kālija jonu iedarbība.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b/>
          <w:bCs/>
          <w:kern w:val="22"/>
        </w:rPr>
        <w:t xml:space="preserve">+ Digoksīns: </w:t>
      </w:r>
      <w:r w:rsidRPr="00DF0E24">
        <w:rPr>
          <w:rFonts w:ascii="Times New Roman" w:hAnsi="Times New Roman"/>
          <w:kern w:val="22"/>
        </w:rPr>
        <w:t>ar uzpirkstītes preparātiem ārstētiem pacientiem hiperkaliēmija var būt bīstama.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b/>
          <w:bCs/>
          <w:kern w:val="22"/>
        </w:rPr>
        <w:t xml:space="preserve">+ Jonapmaiņas sveķi: </w:t>
      </w:r>
      <w:r w:rsidRPr="00DF0E24">
        <w:rPr>
          <w:rFonts w:ascii="Times New Roman" w:hAnsi="Times New Roman"/>
          <w:kern w:val="22"/>
        </w:rPr>
        <w:t>serumā pazeminās kālija jonu koncentrācija, jo tos aizstāj nātrija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joni.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8B7A98"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Fertilitāte, g</w:t>
      </w:r>
      <w:r w:rsidR="009C7175" w:rsidRPr="00DF0E24">
        <w:rPr>
          <w:rFonts w:ascii="Times New Roman" w:hAnsi="Times New Roman"/>
          <w:b/>
          <w:bCs/>
          <w:kern w:val="22"/>
        </w:rPr>
        <w:t xml:space="preserve">rūtniecība un </w:t>
      </w:r>
      <w:r w:rsidR="004B0B1D" w:rsidRPr="00DF0E24">
        <w:rPr>
          <w:rFonts w:ascii="Times New Roman" w:hAnsi="Times New Roman"/>
          <w:b/>
          <w:bCs/>
          <w:kern w:val="22"/>
        </w:rPr>
        <w:t>barošana ar krūti</w:t>
      </w:r>
    </w:p>
    <w:p w:rsidR="001B602D" w:rsidRPr="00DF0E24" w:rsidRDefault="001B602D"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b/>
          <w:bCs/>
          <w:iCs/>
          <w:kern w:val="22"/>
          <w:u w:val="single"/>
        </w:rPr>
        <w:t>Grūtniecība</w:t>
      </w:r>
    </w:p>
    <w:p w:rsidR="0041597B" w:rsidRDefault="0026764D" w:rsidP="000D045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Dati par kālija hlorīda lietošanu grūtniecības laikā ir ierobežoti vai nav pieejami.</w:t>
      </w:r>
      <w:r w:rsidR="000D0454" w:rsidRPr="00DF0E24">
        <w:rPr>
          <w:rFonts w:ascii="Times New Roman" w:hAnsi="Times New Roman"/>
          <w:kern w:val="22"/>
        </w:rPr>
        <w:t xml:space="preserve"> </w:t>
      </w:r>
    </w:p>
    <w:p w:rsidR="009C7175" w:rsidRPr="00DF0E24" w:rsidRDefault="0041597B" w:rsidP="00091380">
      <w:pPr>
        <w:widowControl w:val="0"/>
        <w:autoSpaceDE w:val="0"/>
        <w:autoSpaceDN w:val="0"/>
        <w:adjustRightInd w:val="0"/>
        <w:spacing w:after="0" w:line="240" w:lineRule="auto"/>
        <w:rPr>
          <w:rFonts w:ascii="Times New Roman" w:hAnsi="Times New Roman"/>
          <w:kern w:val="22"/>
        </w:rPr>
      </w:pPr>
      <w:r w:rsidRPr="0041597B">
        <w:rPr>
          <w:rFonts w:ascii="Times New Roman" w:hAnsi="Times New Roman"/>
          <w:kern w:val="22"/>
        </w:rPr>
        <w:t>Potassium chloride Kabi 150 mg/ml</w:t>
      </w:r>
      <w:r>
        <w:rPr>
          <w:rFonts w:ascii="Times New Roman" w:hAnsi="Times New Roman"/>
          <w:kern w:val="22"/>
        </w:rPr>
        <w:t xml:space="preserve"> lietošanu grūtniecības laikā var izvērtēt, ja tas ir klīniski nepieciešams.</w:t>
      </w:r>
    </w:p>
    <w:p w:rsidR="000D0454" w:rsidRPr="00DF0E24" w:rsidRDefault="000D0454" w:rsidP="00091380">
      <w:pPr>
        <w:widowControl w:val="0"/>
        <w:autoSpaceDE w:val="0"/>
        <w:autoSpaceDN w:val="0"/>
        <w:adjustRightInd w:val="0"/>
        <w:spacing w:after="0" w:line="240" w:lineRule="auto"/>
        <w:rPr>
          <w:rFonts w:ascii="Times New Roman" w:hAnsi="Times New Roman"/>
          <w:b/>
          <w:bCs/>
          <w:i/>
          <w:iCs/>
          <w:kern w:val="22"/>
        </w:rPr>
      </w:pPr>
    </w:p>
    <w:p w:rsidR="009C7175" w:rsidRPr="00DF0E24" w:rsidRDefault="00D47305"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b/>
          <w:bCs/>
          <w:iCs/>
          <w:kern w:val="22"/>
          <w:u w:val="single"/>
        </w:rPr>
        <w:t>Barošana ar krūti</w:t>
      </w:r>
    </w:p>
    <w:p w:rsidR="0041597B" w:rsidRDefault="000D0454" w:rsidP="000D045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Kālija hlorīds izdalās cilvēka pienā tādā daudzumā, ka ietekme uz jaundzimušajiem/zīdaiņiem, kas baroti ar krūti, ir iespējama.</w:t>
      </w:r>
      <w:r w:rsidR="009C7175" w:rsidRPr="00DF0E24">
        <w:rPr>
          <w:rFonts w:ascii="Times New Roman" w:hAnsi="Times New Roman"/>
          <w:kern w:val="22"/>
        </w:rPr>
        <w:t xml:space="preserve"> </w:t>
      </w:r>
    </w:p>
    <w:p w:rsidR="0041597B" w:rsidRDefault="0041597B" w:rsidP="000D0454">
      <w:pPr>
        <w:widowControl w:val="0"/>
        <w:autoSpaceDE w:val="0"/>
        <w:autoSpaceDN w:val="0"/>
        <w:adjustRightInd w:val="0"/>
        <w:spacing w:after="0" w:line="240" w:lineRule="auto"/>
        <w:rPr>
          <w:rFonts w:ascii="Times New Roman" w:hAnsi="Times New Roman"/>
          <w:kern w:val="22"/>
        </w:rPr>
      </w:pPr>
      <w:r>
        <w:rPr>
          <w:rFonts w:ascii="Times New Roman" w:hAnsi="Times New Roman"/>
          <w:kern w:val="22"/>
        </w:rPr>
        <w:t>R</w:t>
      </w:r>
      <w:r w:rsidR="009C7175" w:rsidRPr="00DF0E24">
        <w:rPr>
          <w:rFonts w:ascii="Times New Roman" w:hAnsi="Times New Roman"/>
          <w:kern w:val="22"/>
        </w:rPr>
        <w:t>isks jaundzimušajiem/</w:t>
      </w:r>
      <w:r w:rsidR="00D47305" w:rsidRPr="00DF0E24">
        <w:rPr>
          <w:rFonts w:ascii="Times New Roman" w:hAnsi="Times New Roman"/>
          <w:kern w:val="22"/>
        </w:rPr>
        <w:t xml:space="preserve">zīdaiņiem </w:t>
      </w:r>
      <w:r w:rsidR="009C7175" w:rsidRPr="00DF0E24">
        <w:rPr>
          <w:rFonts w:ascii="Times New Roman" w:hAnsi="Times New Roman"/>
          <w:kern w:val="22"/>
        </w:rPr>
        <w:t xml:space="preserve">nevar tikt izslēgts. </w:t>
      </w:r>
    </w:p>
    <w:p w:rsidR="009C7175" w:rsidRPr="00DF0E24" w:rsidRDefault="009C7175" w:rsidP="000D045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Lēmumu par zīdīšanas pārtraukšanu vai atturēšanos no Potassium chloride Kabi 150 mg/ml koncentrāta</w:t>
      </w:r>
      <w:r w:rsidR="006A3BBC" w:rsidRPr="00DF0E24">
        <w:rPr>
          <w:rFonts w:ascii="Times New Roman" w:hAnsi="Times New Roman"/>
          <w:kern w:val="22"/>
        </w:rPr>
        <w:t xml:space="preserve"> infūziju šķīduma pagatavošanai</w:t>
      </w:r>
      <w:r w:rsidRPr="00DF0E24">
        <w:rPr>
          <w:rFonts w:ascii="Times New Roman" w:hAnsi="Times New Roman"/>
          <w:kern w:val="22"/>
        </w:rPr>
        <w:t xml:space="preserve"> lietošanas jāpieņem pēc zīdīšanas ieguvuma bērnam un ārstēšanas ieguvuma sievietei izvērtēšanas.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Ietekme uz spēju vadīt transportlīdzekļus un apkalpot mehānismus</w:t>
      </w:r>
    </w:p>
    <w:p w:rsidR="001B602D" w:rsidRPr="00DF0E24" w:rsidRDefault="001B602D"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Nav piemērojama.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Nevēlamās blakusparādības</w:t>
      </w:r>
    </w:p>
    <w:p w:rsidR="001B602D" w:rsidRPr="00DF0E24" w:rsidRDefault="001B602D"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0D045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Pārmērīga kālija ievadīšana var izraisīt hiperkaliēmiju, kas savukārt var izraisīt neiromuskulārus un sirdsdarbības traucējumus - īpaši aritmijas, iespējama pat sirds apstāšanās.</w:t>
      </w:r>
    </w:p>
    <w:p w:rsidR="001B602D" w:rsidRPr="00DF0E24" w:rsidRDefault="001B602D" w:rsidP="00091380">
      <w:pPr>
        <w:widowControl w:val="0"/>
        <w:autoSpaceDE w:val="0"/>
        <w:autoSpaceDN w:val="0"/>
        <w:adjustRightInd w:val="0"/>
        <w:spacing w:after="0" w:line="240" w:lineRule="auto"/>
        <w:rPr>
          <w:rFonts w:ascii="Times New Roman" w:hAnsi="Times New Roman"/>
          <w:i/>
          <w:iCs/>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i/>
          <w:iCs/>
          <w:kern w:val="22"/>
        </w:rPr>
      </w:pPr>
      <w:r w:rsidRPr="00DF0E24">
        <w:rPr>
          <w:rFonts w:ascii="Times New Roman" w:hAnsi="Times New Roman"/>
          <w:i/>
          <w:iCs/>
          <w:kern w:val="22"/>
        </w:rPr>
        <w:t>Citas nevēlamās blakusparādības:</w:t>
      </w:r>
    </w:p>
    <w:p w:rsidR="000D0454" w:rsidRPr="00DF0E24" w:rsidRDefault="000D0454"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u w:val="single"/>
        </w:rPr>
        <w:t>Vielmaiņas un uztures traucējumi: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acidoze,</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lastRenderedPageBreak/>
        <w:t>- hiperhlorēmija.</w:t>
      </w:r>
    </w:p>
    <w:p w:rsidR="000D0454" w:rsidRPr="00DF0E24" w:rsidRDefault="000D0454" w:rsidP="00091380">
      <w:pPr>
        <w:widowControl w:val="0"/>
        <w:autoSpaceDE w:val="0"/>
        <w:autoSpaceDN w:val="0"/>
        <w:adjustRightInd w:val="0"/>
        <w:spacing w:after="0" w:line="240" w:lineRule="auto"/>
        <w:rPr>
          <w:rFonts w:ascii="Times New Roman" w:hAnsi="Times New Roman"/>
          <w:kern w:val="22"/>
          <w:u w:val="single"/>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u w:val="single"/>
        </w:rPr>
        <w:t>Asinsvadu sistēmas traucējumi: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vēnu tromboze.</w:t>
      </w:r>
    </w:p>
    <w:p w:rsidR="000D0454" w:rsidRPr="00DF0E24" w:rsidRDefault="000D0454" w:rsidP="00091380">
      <w:pPr>
        <w:widowControl w:val="0"/>
        <w:autoSpaceDE w:val="0"/>
        <w:autoSpaceDN w:val="0"/>
        <w:adjustRightInd w:val="0"/>
        <w:spacing w:after="0" w:line="240" w:lineRule="auto"/>
        <w:rPr>
          <w:rFonts w:ascii="Times New Roman" w:hAnsi="Times New Roman"/>
          <w:kern w:val="22"/>
          <w:u w:val="single"/>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u w:val="single"/>
        </w:rPr>
        <w:t>Vispārēji traucējumi un reakcijas ievadīšanas vietā:</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slikta dūša,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sāpes injekcijas vietā,</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nekroze ekstravazācijas gadījumā,</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flebīts pārāk augstas lokālas koncentrācijas gadījumā.</w:t>
      </w:r>
    </w:p>
    <w:p w:rsidR="006A3BBC" w:rsidRPr="00DF0E24" w:rsidRDefault="006A3BBC" w:rsidP="00091380">
      <w:pPr>
        <w:widowControl w:val="0"/>
        <w:autoSpaceDE w:val="0"/>
        <w:autoSpaceDN w:val="0"/>
        <w:adjustRightInd w:val="0"/>
        <w:spacing w:after="0" w:line="240" w:lineRule="auto"/>
        <w:rPr>
          <w:rFonts w:ascii="Times New Roman" w:hAnsi="Times New Roman"/>
          <w:kern w:val="22"/>
        </w:rPr>
      </w:pPr>
    </w:p>
    <w:p w:rsidR="004A396F" w:rsidRPr="00DF0E24" w:rsidRDefault="004A396F"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kern w:val="22"/>
          <w:u w:val="single"/>
        </w:rPr>
        <w:t xml:space="preserve">Ziņošana par iespējamām nevēlamām blakusparādībām </w:t>
      </w:r>
    </w:p>
    <w:p w:rsidR="004A396F" w:rsidRPr="00DF0E24" w:rsidRDefault="004A396F"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w:t>
      </w:r>
      <w:r w:rsidRPr="0041597B">
        <w:rPr>
          <w:rFonts w:ascii="Times New Roman" w:hAnsi="Times New Roman"/>
          <w:kern w:val="22"/>
        </w:rPr>
        <w:t> </w:t>
      </w:r>
      <w:r w:rsidRPr="00DF0E24">
        <w:rPr>
          <w:rFonts w:ascii="Times New Roman" w:hAnsi="Times New Roman"/>
          <w:kern w:val="22"/>
        </w:rPr>
        <w:t>15, Rīgā, LV1003. Tālr.:</w:t>
      </w:r>
      <w:r w:rsidRPr="0041597B">
        <w:rPr>
          <w:rFonts w:ascii="Times New Roman" w:hAnsi="Times New Roman"/>
          <w:kern w:val="22"/>
        </w:rPr>
        <w:t> </w:t>
      </w:r>
      <w:r w:rsidRPr="00DF0E24">
        <w:rPr>
          <w:rFonts w:ascii="Times New Roman" w:hAnsi="Times New Roman"/>
          <w:kern w:val="22"/>
        </w:rPr>
        <w:t>+371</w:t>
      </w:r>
      <w:r w:rsidRPr="0041597B">
        <w:rPr>
          <w:rFonts w:ascii="Times New Roman" w:hAnsi="Times New Roman"/>
          <w:kern w:val="22"/>
        </w:rPr>
        <w:t> </w:t>
      </w:r>
      <w:r w:rsidRPr="00DF0E24">
        <w:rPr>
          <w:rFonts w:ascii="Times New Roman" w:hAnsi="Times New Roman"/>
          <w:kern w:val="22"/>
        </w:rPr>
        <w:t>67078400; Fakss:</w:t>
      </w:r>
      <w:r w:rsidRPr="0041597B">
        <w:rPr>
          <w:rFonts w:ascii="Times New Roman" w:hAnsi="Times New Roman"/>
          <w:kern w:val="22"/>
        </w:rPr>
        <w:t> </w:t>
      </w:r>
      <w:r w:rsidRPr="00DF0E24">
        <w:rPr>
          <w:rFonts w:ascii="Times New Roman" w:hAnsi="Times New Roman"/>
          <w:kern w:val="22"/>
        </w:rPr>
        <w:t>+371</w:t>
      </w:r>
      <w:r w:rsidRPr="0041597B">
        <w:rPr>
          <w:rFonts w:ascii="Times New Roman" w:hAnsi="Times New Roman"/>
          <w:kern w:val="22"/>
        </w:rPr>
        <w:t> </w:t>
      </w:r>
      <w:r w:rsidRPr="00DF0E24">
        <w:rPr>
          <w:rFonts w:ascii="Times New Roman" w:hAnsi="Times New Roman"/>
          <w:kern w:val="22"/>
        </w:rPr>
        <w:t xml:space="preserve">67078428. </w:t>
      </w:r>
    </w:p>
    <w:p w:rsidR="006A3BBC" w:rsidRPr="00DF0E24" w:rsidRDefault="004A396F"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Tīmekļa vietne: www.zva.gov.lv</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Pārdozēšana</w:t>
      </w:r>
    </w:p>
    <w:p w:rsidR="001B602D" w:rsidRPr="00DF0E24" w:rsidRDefault="001B602D" w:rsidP="00091380">
      <w:pPr>
        <w:widowControl w:val="0"/>
        <w:autoSpaceDE w:val="0"/>
        <w:autoSpaceDN w:val="0"/>
        <w:adjustRightInd w:val="0"/>
        <w:spacing w:after="0" w:line="240" w:lineRule="auto"/>
        <w:ind w:left="405"/>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Pārdozēšana rada hiperkaliēmiju, kas var izraisīt EKG novirzes, bradikardiju, kambaru </w:t>
      </w: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fibrilāciju, citas aritmijas un pat sirds apstāšanos, apjukumu, noguruma sajūtu, caureju,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disfāgiju, ekstremitāšu parestēzijas, apgrūtinātu elpošanu, skeleta muskuļu paralīzi un nāvi.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Parādoties jebkuram no šiem simptomiem, ārstēšana nekavējoties jāpārtrauc un jāizvairās no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jebkādas kāliju saturošas pārtikas un kāliju aizturošo diurētisko līdzekļu lietošanas.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Smagas hiperkaliēmijas gadījumā (ja K+ jonu koncentrācija plazmā pārsniedz 8 </w:t>
      </w:r>
      <w:r w:rsidR="001B602D" w:rsidRPr="00DF0E24">
        <w:rPr>
          <w:rFonts w:ascii="Times New Roman" w:hAnsi="Times New Roman"/>
          <w:kern w:val="22"/>
        </w:rPr>
        <w:t>mEq</w:t>
      </w:r>
      <w:r w:rsidR="008B7A98" w:rsidRPr="00DF0E24">
        <w:rPr>
          <w:rFonts w:ascii="Times New Roman" w:hAnsi="Times New Roman"/>
          <w:kern w:val="22"/>
        </w:rPr>
        <w:t xml:space="preserve"> K</w:t>
      </w:r>
      <w:r w:rsidR="008B7A98" w:rsidRPr="00DF0E24">
        <w:rPr>
          <w:rFonts w:ascii="Times New Roman" w:hAnsi="Times New Roman"/>
          <w:kern w:val="22"/>
          <w:vertAlign w:val="superscript"/>
        </w:rPr>
        <w:t>+</w:t>
      </w:r>
      <w:r w:rsidRPr="00DF0E24">
        <w:rPr>
          <w:rFonts w:ascii="Times New Roman" w:hAnsi="Times New Roman"/>
          <w:kern w:val="22"/>
        </w:rPr>
        <w:t xml:space="preserve">/l), i. v. </w:t>
      </w:r>
    </w:p>
    <w:p w:rsidR="008B7A98"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jāievada 10 - 20% glikozes šķīdums un pa 10 vienībām insulīna uz katriem 50 g glikozes.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Acidozes korekcijai i. v. jāievada nātrija hidrogēnkarbonāts.</w:t>
      </w:r>
    </w:p>
    <w:p w:rsidR="0001140B" w:rsidRPr="00DF0E24" w:rsidRDefault="0001140B"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Jānodrošina nepārtraukta EKG kontrole. Ja pazūd P zobs, i. v. jāievada 10 </w:t>
      </w:r>
      <w:r w:rsidRPr="0041597B">
        <w:rPr>
          <w:rFonts w:ascii="Times New Roman" w:hAnsi="Times New Roman"/>
          <w:kern w:val="22"/>
        </w:rPr>
        <w:t>–</w:t>
      </w:r>
      <w:r w:rsidRPr="00DF0E24">
        <w:rPr>
          <w:rFonts w:ascii="Times New Roman" w:hAnsi="Times New Roman"/>
          <w:kern w:val="22"/>
        </w:rPr>
        <w:t xml:space="preserve"> 20 ml 10 %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kalcija glikonāta šķīduma.</w:t>
      </w:r>
    </w:p>
    <w:p w:rsidR="0001140B" w:rsidRPr="00DF0E24" w:rsidRDefault="0001140B"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Kālija jonu izvadei no organisma var izmantot nātrija sulfonpolistirēnu (perorāli) vai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“aizturētas” klizmas. Var izmantot arī hemodialīzi vai peritoneālu dialīzi.</w:t>
      </w:r>
    </w:p>
    <w:p w:rsidR="001B602D" w:rsidRPr="00DF0E24" w:rsidRDefault="001B602D"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0"/>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FARMAKOLOĢISKĀS ĪPAŠĪBAS</w:t>
      </w:r>
    </w:p>
    <w:p w:rsidR="001B602D" w:rsidRPr="00DF0E24" w:rsidRDefault="001B602D" w:rsidP="00091380">
      <w:pPr>
        <w:widowControl w:val="0"/>
        <w:tabs>
          <w:tab w:val="left" w:pos="567"/>
        </w:tabs>
        <w:autoSpaceDE w:val="0"/>
        <w:autoSpaceDN w:val="0"/>
        <w:adjustRightInd w:val="0"/>
        <w:spacing w:after="0" w:line="240" w:lineRule="auto"/>
        <w:ind w:left="570"/>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Farmakodinamiskās īpašības</w:t>
      </w:r>
    </w:p>
    <w:p w:rsidR="001B602D" w:rsidRPr="00DF0E24" w:rsidRDefault="001B602D" w:rsidP="00091380">
      <w:pPr>
        <w:widowControl w:val="0"/>
        <w:tabs>
          <w:tab w:val="left" w:pos="567"/>
        </w:tabs>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Farmakoterapeitiskā grupa: elektrolītu šķīdumi; ATĶ kods: B05XA01.</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8D10FB" w:rsidRPr="00DF0E24" w:rsidRDefault="008D10FB"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kern w:val="22"/>
          <w:u w:val="single"/>
        </w:rPr>
        <w:t>Darbības mehānisms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Kālija joni ir galvenie šūnu katjoni, kas iesaistīti daudzās šūnu funkcijās un metabolisma procesos. Tie ir neaizstājami ogļhidrātu metabolisma procesos un glikogēna uzglabāšanā, kā arī proteīnu sintēzē. Tie ir saistīti ar šūnu membrānu potenciālu un ietekmē muskulatūru (pat sirds  muskuli).  Šo  jonu  intracelulārā  koncentrācija  ir  aptuveni  150 </w:t>
      </w:r>
      <w:r w:rsidR="00481A23" w:rsidRPr="00DF0E24">
        <w:rPr>
          <w:rFonts w:ascii="Times New Roman" w:hAnsi="Times New Roman"/>
          <w:kern w:val="22"/>
        </w:rPr>
        <w:t>mEq</w:t>
      </w:r>
      <w:r w:rsidRPr="00DF0E24">
        <w:rPr>
          <w:rFonts w:ascii="Times New Roman" w:hAnsi="Times New Roman"/>
          <w:kern w:val="22"/>
        </w:rPr>
        <w:t xml:space="preserve">/l,  bet  to koncentrācija plazmā ir 3,5 </w:t>
      </w:r>
      <w:r w:rsidRPr="0041597B">
        <w:rPr>
          <w:rFonts w:ascii="Times New Roman" w:hAnsi="Times New Roman"/>
          <w:kern w:val="22"/>
        </w:rPr>
        <w:t>–</w:t>
      </w:r>
      <w:r w:rsidRPr="00DF0E24">
        <w:rPr>
          <w:rFonts w:ascii="Times New Roman" w:hAnsi="Times New Roman"/>
          <w:kern w:val="22"/>
        </w:rPr>
        <w:t xml:space="preserve"> 5,5 </w:t>
      </w:r>
      <w:r w:rsidR="00481A23" w:rsidRPr="00DF0E24">
        <w:rPr>
          <w:rFonts w:ascii="Times New Roman" w:hAnsi="Times New Roman"/>
          <w:kern w:val="22"/>
        </w:rPr>
        <w:t>mEq</w:t>
      </w:r>
      <w:r w:rsidRPr="00DF0E24">
        <w:rPr>
          <w:rFonts w:ascii="Times New Roman" w:hAnsi="Times New Roman"/>
          <w:kern w:val="22"/>
        </w:rPr>
        <w:t>/l.</w:t>
      </w:r>
    </w:p>
    <w:p w:rsidR="008D10FB" w:rsidRPr="00DF0E24" w:rsidRDefault="008D10FB" w:rsidP="00091380">
      <w:pPr>
        <w:widowControl w:val="0"/>
        <w:autoSpaceDE w:val="0"/>
        <w:autoSpaceDN w:val="0"/>
        <w:adjustRightInd w:val="0"/>
        <w:spacing w:after="0" w:line="240" w:lineRule="auto"/>
        <w:rPr>
          <w:rFonts w:ascii="Times New Roman" w:hAnsi="Times New Roman"/>
          <w:kern w:val="22"/>
          <w:u w:val="single"/>
        </w:rPr>
      </w:pPr>
    </w:p>
    <w:p w:rsidR="008D10FB" w:rsidRPr="00DF0E24" w:rsidRDefault="008D10FB"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kern w:val="22"/>
          <w:u w:val="single"/>
        </w:rPr>
        <w:t>Farmakodinamiskā iedarbība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Potassium Chloride Kabi 150 mg/ml ir kālija hlorīda šķīduma koncentrāts. Kālija hlorīds palīdz uzturēt osmotisko spiedienu un jonu līdzsvaru. Tas ir neaizstājams intracelulārā tonusa nodrošināšanai, nervu,  sirds un skeleta muskulatūras impulsu pārvadē, kā arī nodrošinot gludās muskulatūras kontrakcijas, nieru darbību, ogļhidrātu un olbaltumvielu metabolismu un daudzas enzimātiskas reakcijas.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8D10FB" w:rsidRPr="00DF0E24" w:rsidRDefault="008D10FB"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kern w:val="22"/>
          <w:u w:val="single"/>
        </w:rPr>
        <w:lastRenderedPageBreak/>
        <w:t>Klīniskā efektivitāte un droš</w:t>
      </w:r>
      <w:r w:rsidR="004B0B1D" w:rsidRPr="00DF0E24">
        <w:rPr>
          <w:rFonts w:ascii="Times New Roman" w:hAnsi="Times New Roman"/>
          <w:kern w:val="22"/>
          <w:u w:val="single"/>
        </w:rPr>
        <w:t>ums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Nepieciešamais daudzums ir 1 </w:t>
      </w:r>
      <w:r w:rsidRPr="0041597B">
        <w:rPr>
          <w:rFonts w:ascii="Times New Roman" w:hAnsi="Times New Roman"/>
          <w:kern w:val="22"/>
        </w:rPr>
        <w:t>–</w:t>
      </w:r>
      <w:r w:rsidRPr="00DF0E24">
        <w:rPr>
          <w:rFonts w:ascii="Times New Roman" w:hAnsi="Times New Roman"/>
          <w:kern w:val="22"/>
        </w:rPr>
        <w:t xml:space="preserve"> 1,5 </w:t>
      </w:r>
      <w:r w:rsidR="008D10FB" w:rsidRPr="00DF0E24">
        <w:rPr>
          <w:rFonts w:ascii="Times New Roman" w:hAnsi="Times New Roman"/>
          <w:kern w:val="22"/>
        </w:rPr>
        <w:t>mEq</w:t>
      </w:r>
      <w:r w:rsidRPr="00DF0E24">
        <w:rPr>
          <w:rFonts w:ascii="Times New Roman" w:hAnsi="Times New Roman"/>
          <w:kern w:val="22"/>
        </w:rPr>
        <w:t xml:space="preserve">/kg ķermeņa masas dienā. Kālija jonu deficītu var izraisīt pastiprināta ekskrēcija caur nierēm  ar kuņģa </w:t>
      </w:r>
      <w:r w:rsidRPr="0041597B">
        <w:rPr>
          <w:rFonts w:ascii="Times New Roman" w:hAnsi="Times New Roman"/>
          <w:kern w:val="22"/>
        </w:rPr>
        <w:t>–</w:t>
      </w:r>
      <w:r w:rsidRPr="00DF0E24">
        <w:rPr>
          <w:rFonts w:ascii="Times New Roman" w:hAnsi="Times New Roman"/>
          <w:kern w:val="22"/>
        </w:rPr>
        <w:t xml:space="preserve"> zarnu trakta satura zudumu (vemšanas, caurejas vai fistulu dēļ), pastiprināta intracelulārā uzsūkšanās (acidozes ārstēšana, glikozes-insulīna terapija) vai nepietiekama uzņemšana.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Hipokaliēmijas (kad koncentrācija zemāka par 3,5 </w:t>
      </w:r>
      <w:r w:rsidR="0001140B" w:rsidRPr="00DF0E24">
        <w:rPr>
          <w:rFonts w:ascii="Times New Roman" w:hAnsi="Times New Roman"/>
          <w:kern w:val="22"/>
        </w:rPr>
        <w:t>mEq</w:t>
      </w:r>
      <w:r w:rsidRPr="00DF0E24">
        <w:rPr>
          <w:rFonts w:ascii="Times New Roman" w:hAnsi="Times New Roman"/>
          <w:kern w:val="22"/>
        </w:rPr>
        <w:t>/l) pazīmes ir muskuļu vājums, metaboliskā alkaloze, pazemināta koncentrācija nierēs, zarnu atonija ar aizcietējumu līdz pat paralītiskam ileusam, EKG izmaiņas un sirds aritmijas.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8D10FB" w:rsidRPr="00DF0E24" w:rsidRDefault="008D10FB" w:rsidP="00091380">
      <w:pPr>
        <w:widowControl w:val="0"/>
        <w:autoSpaceDE w:val="0"/>
        <w:autoSpaceDN w:val="0"/>
        <w:adjustRightInd w:val="0"/>
        <w:spacing w:after="0" w:line="240" w:lineRule="auto"/>
        <w:rPr>
          <w:rFonts w:ascii="Times New Roman" w:hAnsi="Times New Roman"/>
          <w:kern w:val="22"/>
          <w:u w:val="single"/>
        </w:rPr>
      </w:pPr>
      <w:r w:rsidRPr="00DF0E24">
        <w:rPr>
          <w:rFonts w:ascii="Times New Roman" w:hAnsi="Times New Roman"/>
          <w:kern w:val="22"/>
          <w:u w:val="single"/>
        </w:rPr>
        <w:t>Pediatriskā populācija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Kālija hlorīda droš</w:t>
      </w:r>
      <w:r w:rsidR="00214E15" w:rsidRPr="00DF0E24">
        <w:rPr>
          <w:rFonts w:ascii="Times New Roman" w:hAnsi="Times New Roman"/>
          <w:kern w:val="22"/>
        </w:rPr>
        <w:t>ums</w:t>
      </w:r>
      <w:r w:rsidRPr="00DF0E24">
        <w:rPr>
          <w:rFonts w:ascii="Times New Roman" w:hAnsi="Times New Roman"/>
          <w:kern w:val="22"/>
        </w:rPr>
        <w:t xml:space="preserve"> un </w:t>
      </w:r>
      <w:r w:rsidR="00214E15" w:rsidRPr="00DF0E24">
        <w:rPr>
          <w:rFonts w:ascii="Times New Roman" w:hAnsi="Times New Roman"/>
          <w:kern w:val="22"/>
        </w:rPr>
        <w:t xml:space="preserve">efektivitāte </w:t>
      </w:r>
      <w:r w:rsidRPr="00DF0E24">
        <w:rPr>
          <w:rFonts w:ascii="Times New Roman" w:hAnsi="Times New Roman"/>
          <w:kern w:val="22"/>
        </w:rPr>
        <w:t xml:space="preserve">pediatriskiem pacientiem nav pilnībā noskaidrota. Taču, pieejamajā literatūrā ir ieteikta pēc atšķaidīšanas atbilstoša šķīduma intravenoza lietošana līdz pat maksimālai devai 3 </w:t>
      </w:r>
      <w:r w:rsidR="008D10FB" w:rsidRPr="00DF0E24">
        <w:rPr>
          <w:rFonts w:ascii="Times New Roman" w:hAnsi="Times New Roman"/>
          <w:kern w:val="22"/>
        </w:rPr>
        <w:t xml:space="preserve">mEq </w:t>
      </w:r>
      <w:r w:rsidRPr="00DF0E24">
        <w:rPr>
          <w:rFonts w:ascii="Times New Roman" w:hAnsi="Times New Roman"/>
          <w:kern w:val="22"/>
        </w:rPr>
        <w:t xml:space="preserve">kālija/kg ķermeņa masas vai 40 </w:t>
      </w:r>
      <w:r w:rsidR="008D10FB" w:rsidRPr="00DF0E24">
        <w:rPr>
          <w:rFonts w:ascii="Times New Roman" w:hAnsi="Times New Roman"/>
          <w:kern w:val="22"/>
        </w:rPr>
        <w:t>mEq</w:t>
      </w:r>
      <w:r w:rsidRPr="00DF0E24">
        <w:rPr>
          <w:rFonts w:ascii="Times New Roman" w:hAnsi="Times New Roman"/>
          <w:kern w:val="22"/>
        </w:rPr>
        <w:t>/m</w:t>
      </w:r>
      <w:r w:rsidRPr="00DF0E24">
        <w:rPr>
          <w:rFonts w:ascii="Times New Roman" w:hAnsi="Times New Roman"/>
          <w:kern w:val="22"/>
          <w:vertAlign w:val="superscript"/>
        </w:rPr>
        <w:t>2</w:t>
      </w:r>
      <w:r w:rsidRPr="00DF0E24">
        <w:rPr>
          <w:rFonts w:ascii="Times New Roman" w:hAnsi="Times New Roman"/>
          <w:kern w:val="22"/>
        </w:rPr>
        <w:t xml:space="preserve"> ķermeņa virsmas laukuma.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Bērniem, kuru masa ir 25 kg un vairāk, tiek attiecinātas pieaugušo devas.</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Farmakokinētiskās īpašības</w:t>
      </w:r>
    </w:p>
    <w:p w:rsidR="008D10FB" w:rsidRPr="00DF0E24" w:rsidRDefault="008D10FB" w:rsidP="00091380">
      <w:pPr>
        <w:widowControl w:val="0"/>
        <w:tabs>
          <w:tab w:val="left" w:pos="567"/>
        </w:tabs>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Ievadot intravenozi, hlorīda un kālija joni nonāk tieši asinsritē un šeit, darbības mehānisma dēļ, notiek eliminācijas kinētika atbilstoši organisma fizioloģiskajiem ceļiem </w:t>
      </w:r>
      <w:r w:rsidRPr="0041597B">
        <w:rPr>
          <w:rFonts w:ascii="Times New Roman" w:hAnsi="Times New Roman"/>
          <w:kern w:val="22"/>
        </w:rPr>
        <w:t>–</w:t>
      </w:r>
      <w:r w:rsidRPr="00DF0E24">
        <w:rPr>
          <w:rFonts w:ascii="Times New Roman" w:hAnsi="Times New Roman"/>
          <w:kern w:val="22"/>
        </w:rPr>
        <w:t xml:space="preserve"> to izdalīšana notiek kopā ar izkārnījumiem (10%), urīnu, sviedriem, asarām u.t.t. Ekskrēcija notiek galvenokārt kopā ar urīnu (90%).</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Caur nierēm tiek izvadīti aptuveni 10 </w:t>
      </w:r>
      <w:r w:rsidRPr="0041597B">
        <w:rPr>
          <w:rFonts w:ascii="Times New Roman" w:hAnsi="Times New Roman"/>
          <w:kern w:val="22"/>
        </w:rPr>
        <w:t>–</w:t>
      </w:r>
      <w:r w:rsidRPr="00DF0E24">
        <w:rPr>
          <w:rFonts w:ascii="Times New Roman" w:hAnsi="Times New Roman"/>
          <w:kern w:val="22"/>
        </w:rPr>
        <w:t xml:space="preserve"> 50 </w:t>
      </w:r>
      <w:r w:rsidR="008D10FB" w:rsidRPr="00DF0E24">
        <w:rPr>
          <w:rFonts w:ascii="Times New Roman" w:hAnsi="Times New Roman"/>
          <w:kern w:val="22"/>
        </w:rPr>
        <w:t xml:space="preserve">mEq </w:t>
      </w:r>
      <w:r w:rsidRPr="00DF0E24">
        <w:rPr>
          <w:rFonts w:ascii="Times New Roman" w:hAnsi="Times New Roman"/>
          <w:kern w:val="22"/>
        </w:rPr>
        <w:t>kālija jonu dienā (arī pacientiem ar kālija deficītu).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Preklīniskie dati par droš</w:t>
      </w:r>
      <w:r w:rsidR="008B7A98" w:rsidRPr="00DF0E24">
        <w:rPr>
          <w:rFonts w:ascii="Times New Roman" w:hAnsi="Times New Roman"/>
          <w:b/>
          <w:bCs/>
          <w:kern w:val="22"/>
        </w:rPr>
        <w:t>umu</w:t>
      </w:r>
    </w:p>
    <w:p w:rsidR="008D10FB" w:rsidRPr="00DF0E24" w:rsidRDefault="008D10FB"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D045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Kālija hlorīds ir cilvēka plazmas normāla sastāvdaļa. Fetotoksiska vai teratogēna iedarbība nav zināma. Kancerogēna iedarbība nav aprakstīta.</w:t>
      </w:r>
    </w:p>
    <w:p w:rsidR="008D10FB" w:rsidRPr="00DF0E24" w:rsidRDefault="008D10FB"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0"/>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FARMACEITISKĀ INFORMĀCIJA</w:t>
      </w:r>
    </w:p>
    <w:p w:rsidR="008D10FB" w:rsidRPr="00DF0E24" w:rsidRDefault="008D10FB" w:rsidP="00091380">
      <w:pPr>
        <w:widowControl w:val="0"/>
        <w:tabs>
          <w:tab w:val="left" w:pos="567"/>
        </w:tabs>
        <w:autoSpaceDE w:val="0"/>
        <w:autoSpaceDN w:val="0"/>
        <w:adjustRightInd w:val="0"/>
        <w:spacing w:after="0" w:line="240" w:lineRule="auto"/>
        <w:ind w:left="570"/>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Palīgvielu saraksts</w:t>
      </w:r>
    </w:p>
    <w:p w:rsidR="008D10FB" w:rsidRPr="00DF0E24" w:rsidRDefault="008D10FB"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Ūdens injekcijām.</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Nesaderība</w:t>
      </w:r>
    </w:p>
    <w:p w:rsidR="008D10FB" w:rsidRPr="00DF0E24" w:rsidRDefault="008D10FB"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545DC4" w:rsidP="00091380">
      <w:pPr>
        <w:widowControl w:val="0"/>
        <w:autoSpaceDE w:val="0"/>
        <w:autoSpaceDN w:val="0"/>
        <w:adjustRightInd w:val="0"/>
        <w:spacing w:after="0" w:line="240" w:lineRule="auto"/>
        <w:rPr>
          <w:rFonts w:ascii="Times New Roman" w:hAnsi="Times New Roman"/>
          <w:kern w:val="22"/>
        </w:rPr>
      </w:pPr>
      <w:r>
        <w:rPr>
          <w:rFonts w:ascii="Times New Roman" w:hAnsi="Times New Roman"/>
          <w:kern w:val="22"/>
        </w:rPr>
        <w:t>Š</w:t>
      </w:r>
      <w:r w:rsidR="009C7175" w:rsidRPr="00DF0E24">
        <w:rPr>
          <w:rFonts w:ascii="Times New Roman" w:hAnsi="Times New Roman"/>
          <w:kern w:val="22"/>
        </w:rPr>
        <w:t>īs zāles nedrīkst</w:t>
      </w:r>
      <w:r w:rsidR="00150653" w:rsidRPr="00DF0E24">
        <w:rPr>
          <w:rFonts w:ascii="Times New Roman" w:hAnsi="Times New Roman"/>
          <w:kern w:val="22"/>
        </w:rPr>
        <w:t xml:space="preserve"> sajaukt</w:t>
      </w:r>
      <w:r w:rsidR="009C7175" w:rsidRPr="00DF0E24">
        <w:rPr>
          <w:rFonts w:ascii="Times New Roman" w:hAnsi="Times New Roman"/>
          <w:kern w:val="22"/>
        </w:rPr>
        <w:t xml:space="preserve"> </w:t>
      </w:r>
      <w:r w:rsidR="00150653" w:rsidRPr="00DF0E24">
        <w:rPr>
          <w:rFonts w:ascii="Times New Roman" w:hAnsi="Times New Roman"/>
          <w:kern w:val="22"/>
        </w:rPr>
        <w:t>(</w:t>
      </w:r>
      <w:r w:rsidR="009C7175" w:rsidRPr="00DF0E24">
        <w:rPr>
          <w:rFonts w:ascii="Times New Roman" w:hAnsi="Times New Roman"/>
          <w:kern w:val="22"/>
        </w:rPr>
        <w:t>lietot maisījumā</w:t>
      </w:r>
      <w:r w:rsidR="00150653" w:rsidRPr="00DF0E24">
        <w:rPr>
          <w:rFonts w:ascii="Times New Roman" w:hAnsi="Times New Roman"/>
          <w:kern w:val="22"/>
        </w:rPr>
        <w:t>)</w:t>
      </w:r>
      <w:r w:rsidR="009C7175" w:rsidRPr="00DF0E24">
        <w:rPr>
          <w:rFonts w:ascii="Times New Roman" w:hAnsi="Times New Roman"/>
          <w:kern w:val="22"/>
        </w:rPr>
        <w:t xml:space="preserve"> ar cit</w:t>
      </w:r>
      <w:r w:rsidR="004F3E4B" w:rsidRPr="00DF0E24">
        <w:rPr>
          <w:rFonts w:ascii="Times New Roman" w:hAnsi="Times New Roman"/>
          <w:kern w:val="22"/>
        </w:rPr>
        <w:t>ā</w:t>
      </w:r>
      <w:r w:rsidR="009C7175" w:rsidRPr="00DF0E24">
        <w:rPr>
          <w:rFonts w:ascii="Times New Roman" w:hAnsi="Times New Roman"/>
          <w:kern w:val="22"/>
        </w:rPr>
        <w:t xml:space="preserve">m </w:t>
      </w:r>
      <w:r w:rsidR="004F3E4B" w:rsidRPr="00DF0E24">
        <w:rPr>
          <w:rFonts w:ascii="Times New Roman" w:hAnsi="Times New Roman"/>
          <w:kern w:val="22"/>
        </w:rPr>
        <w:t>zālēm</w:t>
      </w:r>
      <w:r>
        <w:rPr>
          <w:rFonts w:ascii="Times New Roman" w:hAnsi="Times New Roman"/>
          <w:kern w:val="22"/>
        </w:rPr>
        <w:t xml:space="preserve"> </w:t>
      </w:r>
      <w:r w:rsidR="009C7175" w:rsidRPr="00DF0E24">
        <w:rPr>
          <w:rFonts w:ascii="Times New Roman" w:hAnsi="Times New Roman"/>
          <w:kern w:val="22"/>
        </w:rPr>
        <w:t xml:space="preserve">(izņemot </w:t>
      </w:r>
      <w:r w:rsidR="00150653" w:rsidRPr="00DF0E24">
        <w:rPr>
          <w:rFonts w:ascii="Times New Roman" w:hAnsi="Times New Roman"/>
          <w:kern w:val="22"/>
        </w:rPr>
        <w:t xml:space="preserve">6.6 </w:t>
      </w:r>
      <w:r w:rsidR="009C7175" w:rsidRPr="00DF0E24">
        <w:rPr>
          <w:rFonts w:ascii="Times New Roman" w:hAnsi="Times New Roman"/>
          <w:kern w:val="22"/>
        </w:rPr>
        <w:t>apakšpunktā minēt</w:t>
      </w:r>
      <w:r w:rsidR="004B0B1D" w:rsidRPr="00DF0E24">
        <w:rPr>
          <w:rFonts w:ascii="Times New Roman" w:hAnsi="Times New Roman"/>
          <w:kern w:val="22"/>
        </w:rPr>
        <w:t>ā</w:t>
      </w:r>
      <w:r w:rsidR="009C7175" w:rsidRPr="00DF0E24">
        <w:rPr>
          <w:rFonts w:ascii="Times New Roman" w:hAnsi="Times New Roman"/>
          <w:kern w:val="22"/>
        </w:rPr>
        <w:t>s).</w:t>
      </w:r>
    </w:p>
    <w:p w:rsidR="00AC667A" w:rsidRPr="00DF0E24" w:rsidRDefault="00AC667A" w:rsidP="00091380">
      <w:pPr>
        <w:widowControl w:val="0"/>
        <w:tabs>
          <w:tab w:val="left" w:pos="567"/>
        </w:tabs>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tabs>
          <w:tab w:val="left" w:pos="567"/>
        </w:tabs>
        <w:autoSpaceDE w:val="0"/>
        <w:autoSpaceDN w:val="0"/>
        <w:adjustRightInd w:val="0"/>
        <w:spacing w:after="0" w:line="240" w:lineRule="auto"/>
        <w:rPr>
          <w:rFonts w:ascii="Times New Roman" w:hAnsi="Times New Roman"/>
          <w:kern w:val="22"/>
        </w:rPr>
      </w:pPr>
      <w:r w:rsidRPr="00DF0E24">
        <w:rPr>
          <w:rFonts w:ascii="Times New Roman" w:hAnsi="Times New Roman"/>
          <w:kern w:val="22"/>
        </w:rPr>
        <w:t>Aprakstīts, ka kālija hlorīds ir fizikāli nesaderīgs ar šādām aktīvajām vielām:</w:t>
      </w:r>
    </w:p>
    <w:p w:rsidR="009C7175" w:rsidRPr="00DF0E24" w:rsidRDefault="009C7175" w:rsidP="00DF0E24">
      <w:pPr>
        <w:widowControl w:val="0"/>
        <w:numPr>
          <w:ilvl w:val="0"/>
          <w:numId w:val="1"/>
        </w:numPr>
        <w:tabs>
          <w:tab w:val="left" w:pos="567"/>
          <w:tab w:val="left" w:pos="2140"/>
        </w:tabs>
        <w:autoSpaceDE w:val="0"/>
        <w:autoSpaceDN w:val="0"/>
        <w:adjustRightInd w:val="0"/>
        <w:spacing w:after="0" w:line="240" w:lineRule="auto"/>
        <w:ind w:left="0" w:firstLine="0"/>
        <w:rPr>
          <w:rFonts w:ascii="Times New Roman" w:hAnsi="Times New Roman"/>
          <w:kern w:val="22"/>
        </w:rPr>
      </w:pPr>
      <w:r w:rsidRPr="00DF0E24">
        <w:rPr>
          <w:rFonts w:ascii="Times New Roman" w:hAnsi="Times New Roman"/>
          <w:kern w:val="22"/>
        </w:rPr>
        <w:t>amikacīnu;</w:t>
      </w:r>
    </w:p>
    <w:p w:rsidR="009C7175" w:rsidRPr="00DF0E24" w:rsidRDefault="009C7175" w:rsidP="00DF0E24">
      <w:pPr>
        <w:widowControl w:val="0"/>
        <w:numPr>
          <w:ilvl w:val="0"/>
          <w:numId w:val="1"/>
        </w:numPr>
        <w:tabs>
          <w:tab w:val="left" w:pos="567"/>
          <w:tab w:val="left" w:pos="2140"/>
        </w:tabs>
        <w:autoSpaceDE w:val="0"/>
        <w:autoSpaceDN w:val="0"/>
        <w:adjustRightInd w:val="0"/>
        <w:spacing w:after="0" w:line="240" w:lineRule="auto"/>
        <w:ind w:left="0" w:firstLine="0"/>
        <w:rPr>
          <w:rFonts w:ascii="Times New Roman" w:hAnsi="Times New Roman"/>
          <w:kern w:val="22"/>
        </w:rPr>
      </w:pPr>
      <w:r w:rsidRPr="00DF0E24">
        <w:rPr>
          <w:rFonts w:ascii="Times New Roman" w:hAnsi="Times New Roman"/>
          <w:kern w:val="22"/>
        </w:rPr>
        <w:t>amfotericīnu B;</w:t>
      </w:r>
    </w:p>
    <w:p w:rsidR="009C7175" w:rsidRPr="00DF0E24" w:rsidRDefault="009C7175" w:rsidP="00DF0E24">
      <w:pPr>
        <w:widowControl w:val="0"/>
        <w:numPr>
          <w:ilvl w:val="0"/>
          <w:numId w:val="1"/>
        </w:numPr>
        <w:tabs>
          <w:tab w:val="left" w:pos="567"/>
          <w:tab w:val="left" w:pos="2140"/>
        </w:tabs>
        <w:autoSpaceDE w:val="0"/>
        <w:autoSpaceDN w:val="0"/>
        <w:adjustRightInd w:val="0"/>
        <w:spacing w:after="0" w:line="240" w:lineRule="auto"/>
        <w:ind w:left="0" w:firstLine="0"/>
        <w:rPr>
          <w:rFonts w:ascii="Times New Roman" w:hAnsi="Times New Roman"/>
          <w:kern w:val="22"/>
        </w:rPr>
      </w:pPr>
      <w:r w:rsidRPr="00DF0E24">
        <w:rPr>
          <w:rFonts w:ascii="Times New Roman" w:hAnsi="Times New Roman"/>
          <w:kern w:val="22"/>
        </w:rPr>
        <w:t>dobutamīnu;</w:t>
      </w:r>
    </w:p>
    <w:p w:rsidR="009C7175" w:rsidRPr="00DF0E24" w:rsidRDefault="009C7175" w:rsidP="00DF0E24">
      <w:pPr>
        <w:widowControl w:val="0"/>
        <w:numPr>
          <w:ilvl w:val="0"/>
          <w:numId w:val="1"/>
        </w:numPr>
        <w:tabs>
          <w:tab w:val="left" w:pos="567"/>
          <w:tab w:val="left" w:pos="2140"/>
        </w:tabs>
        <w:autoSpaceDE w:val="0"/>
        <w:autoSpaceDN w:val="0"/>
        <w:adjustRightInd w:val="0"/>
        <w:spacing w:after="0" w:line="240" w:lineRule="auto"/>
        <w:ind w:left="0" w:firstLine="0"/>
        <w:rPr>
          <w:rFonts w:ascii="Times New Roman" w:hAnsi="Times New Roman"/>
          <w:kern w:val="22"/>
        </w:rPr>
      </w:pPr>
      <w:r w:rsidRPr="00DF0E24">
        <w:rPr>
          <w:rFonts w:ascii="Times New Roman" w:hAnsi="Times New Roman"/>
          <w:kern w:val="22"/>
        </w:rPr>
        <w:t>tauku emulsiju;</w:t>
      </w:r>
    </w:p>
    <w:p w:rsidR="009C7175" w:rsidRPr="00DF0E24" w:rsidRDefault="009C7175" w:rsidP="00DF0E24">
      <w:pPr>
        <w:widowControl w:val="0"/>
        <w:numPr>
          <w:ilvl w:val="0"/>
          <w:numId w:val="1"/>
        </w:numPr>
        <w:tabs>
          <w:tab w:val="left" w:pos="567"/>
          <w:tab w:val="left" w:pos="2140"/>
        </w:tabs>
        <w:autoSpaceDE w:val="0"/>
        <w:autoSpaceDN w:val="0"/>
        <w:adjustRightInd w:val="0"/>
        <w:spacing w:after="0" w:line="240" w:lineRule="auto"/>
        <w:ind w:left="0" w:firstLine="0"/>
        <w:rPr>
          <w:rFonts w:ascii="Times New Roman" w:hAnsi="Times New Roman"/>
          <w:kern w:val="22"/>
        </w:rPr>
      </w:pPr>
      <w:r w:rsidRPr="00DF0E24">
        <w:rPr>
          <w:rFonts w:ascii="Times New Roman" w:hAnsi="Times New Roman"/>
          <w:kern w:val="22"/>
        </w:rPr>
        <w:t>20 - 25% mannīta šķīdumiem;</w:t>
      </w:r>
    </w:p>
    <w:p w:rsidR="009C7175" w:rsidRPr="00DF0E24" w:rsidRDefault="009C7175" w:rsidP="00DF0E24">
      <w:pPr>
        <w:widowControl w:val="0"/>
        <w:numPr>
          <w:ilvl w:val="0"/>
          <w:numId w:val="1"/>
        </w:numPr>
        <w:tabs>
          <w:tab w:val="left" w:pos="567"/>
          <w:tab w:val="left" w:pos="2140"/>
        </w:tabs>
        <w:autoSpaceDE w:val="0"/>
        <w:autoSpaceDN w:val="0"/>
        <w:adjustRightInd w:val="0"/>
        <w:spacing w:after="0" w:line="240" w:lineRule="auto"/>
        <w:ind w:left="0" w:firstLine="0"/>
        <w:rPr>
          <w:rFonts w:ascii="Times New Roman" w:hAnsi="Times New Roman"/>
          <w:kern w:val="22"/>
        </w:rPr>
      </w:pPr>
      <w:r w:rsidRPr="00DF0E24">
        <w:rPr>
          <w:rFonts w:ascii="Times New Roman" w:hAnsi="Times New Roman"/>
          <w:kern w:val="22"/>
        </w:rPr>
        <w:t>penicilīna G nātrija sāli.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Uzglabāšanas laiks</w:t>
      </w:r>
    </w:p>
    <w:p w:rsidR="008D10FB" w:rsidRPr="00DF0E24" w:rsidRDefault="008D10FB"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u w:val="single"/>
        </w:rPr>
        <w:t>Neatvērtas ampulas</w:t>
      </w:r>
      <w:r w:rsidRPr="00DF0E24">
        <w:rPr>
          <w:rFonts w:ascii="Times New Roman" w:hAnsi="Times New Roman"/>
          <w:kern w:val="22"/>
        </w:rPr>
        <w:t>:</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5 ml ampulas: 2 gadi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10 ml ampulas: 2 gadi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20 ml ampulas: 3 gadi</w:t>
      </w:r>
    </w:p>
    <w:p w:rsidR="00FE785A" w:rsidRPr="00DF0E24" w:rsidRDefault="00FE785A" w:rsidP="00091380">
      <w:pPr>
        <w:widowControl w:val="0"/>
        <w:autoSpaceDE w:val="0"/>
        <w:autoSpaceDN w:val="0"/>
        <w:adjustRightInd w:val="0"/>
        <w:spacing w:after="0" w:line="240" w:lineRule="auto"/>
        <w:rPr>
          <w:rFonts w:ascii="Times New Roman" w:hAnsi="Times New Roman"/>
          <w:kern w:val="22"/>
          <w:u w:val="single"/>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u w:val="single"/>
        </w:rPr>
        <w:t>Pēc atvēršanas</w:t>
      </w:r>
      <w:r w:rsidRPr="00DF0E24">
        <w:rPr>
          <w:rFonts w:ascii="Times New Roman" w:hAnsi="Times New Roman"/>
          <w:kern w:val="22"/>
        </w:rPr>
        <w:t>: nekavējoties jāatšķaida un jālieto.</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Īpaši uzglabāšanas nosacījumi</w:t>
      </w:r>
    </w:p>
    <w:p w:rsidR="008D10FB" w:rsidRPr="00DF0E24" w:rsidRDefault="008D10FB" w:rsidP="00091380">
      <w:pPr>
        <w:widowControl w:val="0"/>
        <w:autoSpaceDE w:val="0"/>
        <w:autoSpaceDN w:val="0"/>
        <w:adjustRightInd w:val="0"/>
        <w:spacing w:after="0" w:line="240" w:lineRule="auto"/>
        <w:ind w:left="405"/>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lastRenderedPageBreak/>
        <w:t>Šīm zālēm nav nepieciešami īpaši uzglabāšanas apstākļi.</w:t>
      </w:r>
    </w:p>
    <w:p w:rsidR="009C7175" w:rsidRPr="00DF0E24" w:rsidRDefault="008B7A98"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Uzglabāšanas nosacījumus pēc zāļu atšķaidīšanas skatīt 6.3 apakšpunktā.</w:t>
      </w:r>
    </w:p>
    <w:p w:rsidR="008B7A98" w:rsidRPr="00DF0E24" w:rsidRDefault="008B7A98"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Iepakojuma veids un saturs</w:t>
      </w:r>
    </w:p>
    <w:p w:rsidR="008D10FB" w:rsidRPr="00DF0E24" w:rsidRDefault="008D10FB" w:rsidP="00091380">
      <w:pPr>
        <w:widowControl w:val="0"/>
        <w:tabs>
          <w:tab w:val="left" w:pos="567"/>
        </w:tabs>
        <w:autoSpaceDE w:val="0"/>
        <w:autoSpaceDN w:val="0"/>
        <w:adjustRightInd w:val="0"/>
        <w:spacing w:after="0" w:line="240" w:lineRule="auto"/>
        <w:ind w:left="405"/>
        <w:rPr>
          <w:rFonts w:ascii="Times New Roman" w:hAnsi="Times New Roman"/>
          <w:kern w:val="22"/>
        </w:rPr>
      </w:pPr>
    </w:p>
    <w:p w:rsidR="008D10FB" w:rsidRPr="00DF0E24" w:rsidRDefault="0001140B"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Zema blīvuma p</w:t>
      </w:r>
      <w:r w:rsidR="009C7175" w:rsidRPr="00DF0E24">
        <w:rPr>
          <w:rFonts w:ascii="Times New Roman" w:hAnsi="Times New Roman"/>
          <w:kern w:val="22"/>
        </w:rPr>
        <w:t>olietilēna</w:t>
      </w:r>
      <w:r w:rsidRPr="00DF0E24">
        <w:rPr>
          <w:rFonts w:ascii="Times New Roman" w:hAnsi="Times New Roman"/>
          <w:kern w:val="22"/>
        </w:rPr>
        <w:t xml:space="preserve"> (</w:t>
      </w:r>
      <w:r w:rsidR="00082AE9" w:rsidRPr="00DF0E24">
        <w:rPr>
          <w:rFonts w:ascii="Times New Roman" w:hAnsi="Times New Roman"/>
          <w:kern w:val="22"/>
        </w:rPr>
        <w:t>ZBPE</w:t>
      </w:r>
      <w:r w:rsidRPr="00DF0E24">
        <w:rPr>
          <w:rFonts w:ascii="Times New Roman" w:hAnsi="Times New Roman"/>
          <w:kern w:val="22"/>
        </w:rPr>
        <w:t>)</w:t>
      </w:r>
      <w:r w:rsidR="009C7175" w:rsidRPr="00DF0E24">
        <w:rPr>
          <w:rFonts w:ascii="Times New Roman" w:hAnsi="Times New Roman"/>
          <w:kern w:val="22"/>
        </w:rPr>
        <w:t xml:space="preserve"> ampulas pa 5 ml, 10 ml un 20 ml. </w:t>
      </w:r>
    </w:p>
    <w:p w:rsidR="008D10FB"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Iepakojumi ar 20 ampulām pa 5 ml </w:t>
      </w:r>
    </w:p>
    <w:p w:rsidR="008D10FB"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Iepakojumi ar 50 ampulām pa 5 ml </w:t>
      </w:r>
    </w:p>
    <w:p w:rsidR="008D10FB"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Iepakojumi ar 20 ampulām pa 10 ml </w:t>
      </w:r>
    </w:p>
    <w:p w:rsidR="008D10FB"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Iepakojumi ar 50 ampulām pa 10 ml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Iepakojumi ar 20 ampulām pa 20 ml</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Visi iepakojuma lielumi tirgū var nebūt pieejami.</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BC679A" w:rsidRPr="00DF0E24" w:rsidRDefault="00C3264C" w:rsidP="00DF0E24">
      <w:pPr>
        <w:widowControl w:val="0"/>
        <w:numPr>
          <w:ilvl w:val="1"/>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t>Īpaši nor</w:t>
      </w:r>
      <w:r w:rsidR="004B0B1D" w:rsidRPr="00DF0E24">
        <w:rPr>
          <w:rFonts w:ascii="Times New Roman" w:hAnsi="Times New Roman"/>
          <w:b/>
          <w:bCs/>
          <w:kern w:val="22"/>
        </w:rPr>
        <w:t xml:space="preserve">ādījumi atkritumu likvidēšanai </w:t>
      </w:r>
      <w:r w:rsidRPr="00DF0E24">
        <w:rPr>
          <w:rFonts w:ascii="Times New Roman" w:hAnsi="Times New Roman"/>
          <w:b/>
          <w:bCs/>
          <w:kern w:val="22"/>
        </w:rPr>
        <w:t>un citi norādījumi par rīkošanos</w:t>
      </w:r>
    </w:p>
    <w:p w:rsidR="00A512E2" w:rsidRPr="00DF0E24" w:rsidRDefault="00A512E2" w:rsidP="00091380">
      <w:pPr>
        <w:widowControl w:val="0"/>
        <w:autoSpaceDE w:val="0"/>
        <w:autoSpaceDN w:val="0"/>
        <w:adjustRightInd w:val="0"/>
        <w:spacing w:after="0" w:line="240" w:lineRule="auto"/>
        <w:ind w:left="405"/>
        <w:rPr>
          <w:rFonts w:ascii="Times New Roman" w:hAnsi="Times New Roman"/>
          <w:b/>
          <w:bCs/>
          <w:kern w:val="22"/>
        </w:rPr>
      </w:pPr>
    </w:p>
    <w:p w:rsidR="0001140B" w:rsidRPr="00DF0E24" w:rsidRDefault="009C7175" w:rsidP="000D045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Potassium Chloride Kabi 150 mg/ml ir sterils kālija hlorīdu saturošs šķīdums i. v. infūzijai. </w:t>
      </w:r>
    </w:p>
    <w:p w:rsidR="0001140B"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Pirms lietošanas tas ne mazāk kā 50-kārtīgi (pēc tilpuma) jāatšķaida ar izotonisku 0,9% nātrija </w:t>
      </w:r>
    </w:p>
    <w:p w:rsidR="0001140B"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hlorīda šķīdumu intravenozām infūzijām vai citu piemērotu infūziju šķīdumu. </w:t>
      </w:r>
    </w:p>
    <w:p w:rsidR="0001140B" w:rsidRPr="00DF0E24" w:rsidRDefault="0001140B"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Pirms atšķaidīšanas ar kādu citu infūziju šķīdumu vispirms jānosaka tā saderība ar kālija hlorīdu.</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A512E2"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Lai izvairītos no sliktas atšķaidītā šķīduma homogenizācijas, koncentrēto kālija hlorīda </w:t>
      </w:r>
    </w:p>
    <w:p w:rsidR="00A512E2"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šķīdumu nav atļauts pievienot piekārtas infūzijas pudeles/maisa saturam. Pēc koncentrētā </w:t>
      </w:r>
    </w:p>
    <w:p w:rsidR="00A512E2"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šķīduma pievienošanas infūzijas pudeles/maisa saturam produkts pirms lietošanas rūpīgi </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jāsamaisa, tādēļ, lai panāktu labu produkta homogenizāciju, pudele/maiss rūpīgi, ar 3</w:t>
      </w:r>
      <w:r w:rsidR="00A512E2" w:rsidRPr="0041597B">
        <w:rPr>
          <w:rFonts w:ascii="Times New Roman" w:hAnsi="Times New Roman"/>
          <w:kern w:val="22"/>
        </w:rPr>
        <w:t> </w:t>
      </w:r>
      <w:r w:rsidRPr="0041597B">
        <w:rPr>
          <w:rFonts w:ascii="Times New Roman" w:hAnsi="Times New Roman"/>
          <w:kern w:val="22"/>
        </w:rPr>
        <w:t>–</w:t>
      </w:r>
      <w:r w:rsidR="00A512E2" w:rsidRPr="0041597B">
        <w:rPr>
          <w:rFonts w:ascii="Times New Roman" w:hAnsi="Times New Roman"/>
          <w:kern w:val="22"/>
        </w:rPr>
        <w:t> </w:t>
      </w:r>
      <w:r w:rsidRPr="00DF0E24">
        <w:rPr>
          <w:rFonts w:ascii="Times New Roman" w:hAnsi="Times New Roman"/>
          <w:kern w:val="22"/>
        </w:rPr>
        <w:t>5 lēnām kustībām jāsakrata. Pēc tam pudeli/maisu piekar un sāk infūziju.</w:t>
      </w:r>
    </w:p>
    <w:p w:rsidR="00214E15" w:rsidRPr="00DF0E24" w:rsidRDefault="00214E15" w:rsidP="00091380">
      <w:pPr>
        <w:widowControl w:val="0"/>
        <w:autoSpaceDE w:val="0"/>
        <w:autoSpaceDN w:val="0"/>
        <w:adjustRightInd w:val="0"/>
        <w:spacing w:after="0" w:line="240" w:lineRule="auto"/>
        <w:rPr>
          <w:rFonts w:ascii="Times New Roman" w:hAnsi="Times New Roman"/>
          <w:b/>
          <w:bCs/>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bCs/>
          <w:kern w:val="22"/>
        </w:rPr>
      </w:pPr>
      <w:r w:rsidRPr="00DF0E24">
        <w:rPr>
          <w:rFonts w:ascii="Times New Roman" w:hAnsi="Times New Roman"/>
          <w:bCs/>
          <w:kern w:val="22"/>
        </w:rPr>
        <w:t>Tikai vienreizējai lietošanai. Vienmēr jālieto atšķaidīts.</w:t>
      </w:r>
    </w:p>
    <w:p w:rsidR="00214E15" w:rsidRPr="00DF0E24" w:rsidRDefault="00214E15" w:rsidP="00091380">
      <w:pPr>
        <w:widowControl w:val="0"/>
        <w:autoSpaceDE w:val="0"/>
        <w:autoSpaceDN w:val="0"/>
        <w:adjustRightInd w:val="0"/>
        <w:spacing w:after="0" w:line="240" w:lineRule="auto"/>
        <w:rPr>
          <w:rFonts w:ascii="Times New Roman" w:hAnsi="Times New Roman"/>
          <w:kern w:val="22"/>
        </w:rPr>
      </w:pPr>
    </w:p>
    <w:p w:rsidR="00214E15" w:rsidRPr="00DF0E24" w:rsidRDefault="009C7175" w:rsidP="00DF0E2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Pēc ampulas atvēršanas tās gals ir teicami piemērots </w:t>
      </w:r>
      <w:r w:rsidRPr="00DF0E24">
        <w:rPr>
          <w:rFonts w:ascii="Times New Roman" w:hAnsi="Times New Roman"/>
          <w:i/>
          <w:iCs/>
          <w:kern w:val="22"/>
        </w:rPr>
        <w:t xml:space="preserve">Luer </w:t>
      </w:r>
      <w:r w:rsidRPr="00DF0E24">
        <w:rPr>
          <w:rFonts w:ascii="Times New Roman" w:hAnsi="Times New Roman"/>
          <w:kern w:val="22"/>
        </w:rPr>
        <w:t xml:space="preserve">šļircēm un </w:t>
      </w:r>
      <w:r w:rsidRPr="00DF0E24">
        <w:rPr>
          <w:rFonts w:ascii="Times New Roman" w:hAnsi="Times New Roman"/>
          <w:i/>
          <w:iCs/>
          <w:kern w:val="22"/>
        </w:rPr>
        <w:t>Luer-Lock</w:t>
      </w:r>
      <w:r w:rsidR="00214E15" w:rsidRPr="00DF0E24">
        <w:rPr>
          <w:rFonts w:ascii="Times New Roman" w:hAnsi="Times New Roman"/>
          <w:i/>
          <w:iCs/>
          <w:kern w:val="22"/>
        </w:rPr>
        <w:t xml:space="preserve"> </w:t>
      </w:r>
      <w:r w:rsidRPr="00DF0E24">
        <w:rPr>
          <w:rFonts w:ascii="Times New Roman" w:hAnsi="Times New Roman"/>
          <w:kern w:val="22"/>
        </w:rPr>
        <w:t xml:space="preserve">savienotājiem, </w:t>
      </w:r>
    </w:p>
    <w:p w:rsidR="00BC679A" w:rsidRPr="00DF0E24" w:rsidRDefault="009C7175" w:rsidP="00DF0E24">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 xml:space="preserve">tādēļ nav vajadzīga adata. </w:t>
      </w:r>
    </w:p>
    <w:p w:rsidR="00A512E2" w:rsidRPr="00DF0E24" w:rsidRDefault="00A512E2" w:rsidP="00091380">
      <w:pPr>
        <w:widowControl w:val="0"/>
        <w:autoSpaceDE w:val="0"/>
        <w:autoSpaceDN w:val="0"/>
        <w:adjustRightInd w:val="0"/>
        <w:spacing w:after="0" w:line="240" w:lineRule="auto"/>
        <w:ind w:hanging="53"/>
        <w:rPr>
          <w:rFonts w:ascii="Times New Roman" w:hAnsi="Times New Roman"/>
          <w:kern w:val="22"/>
        </w:rPr>
      </w:pPr>
    </w:p>
    <w:p w:rsidR="00E03C13" w:rsidRPr="00DF0E24" w:rsidRDefault="00E03C13" w:rsidP="00091380">
      <w:pPr>
        <w:widowControl w:val="0"/>
        <w:autoSpaceDE w:val="0"/>
        <w:autoSpaceDN w:val="0"/>
        <w:adjustRightInd w:val="0"/>
        <w:spacing w:after="0" w:line="240" w:lineRule="auto"/>
        <w:rPr>
          <w:rFonts w:ascii="Times New Roman" w:hAnsi="Times New Roman"/>
          <w:i/>
          <w:kern w:val="20"/>
        </w:rPr>
      </w:pPr>
      <w:r w:rsidRPr="00DF0E24">
        <w:rPr>
          <w:rFonts w:ascii="Times New Roman" w:hAnsi="Times New Roman"/>
          <w:i/>
          <w:kern w:val="20"/>
        </w:rPr>
        <w:t>Norādījumi par rīkošanos:</w:t>
      </w:r>
    </w:p>
    <w:p w:rsidR="0026764D" w:rsidRPr="00DF0E24" w:rsidRDefault="00E03C13" w:rsidP="00DF0E24">
      <w:pPr>
        <w:widowControl w:val="0"/>
        <w:autoSpaceDE w:val="0"/>
        <w:autoSpaceDN w:val="0"/>
        <w:adjustRightInd w:val="0"/>
        <w:spacing w:after="0" w:line="240" w:lineRule="auto"/>
        <w:rPr>
          <w:rFonts w:ascii="Times New Roman" w:hAnsi="Times New Roman"/>
          <w:kern w:val="20"/>
        </w:rPr>
      </w:pPr>
      <w:r w:rsidRPr="00DF0E24">
        <w:rPr>
          <w:rFonts w:ascii="Times New Roman" w:hAnsi="Times New Roman"/>
          <w:kern w:val="20"/>
        </w:rPr>
        <w:t xml:space="preserve">Lai nolauztu atsevišķu ampulu, neaizskarot ampulas galviņu un kakliņu, pagrieziet vienu ampulu </w:t>
      </w:r>
    </w:p>
    <w:p w:rsidR="0026764D" w:rsidRPr="00DF0E24" w:rsidRDefault="00E03C13" w:rsidP="00DF0E24">
      <w:pPr>
        <w:widowControl w:val="0"/>
        <w:autoSpaceDE w:val="0"/>
        <w:autoSpaceDN w:val="0"/>
        <w:adjustRightInd w:val="0"/>
        <w:spacing w:after="0" w:line="240" w:lineRule="auto"/>
        <w:rPr>
          <w:rFonts w:ascii="Times New Roman" w:hAnsi="Times New Roman"/>
          <w:kern w:val="20"/>
        </w:rPr>
      </w:pPr>
      <w:r w:rsidRPr="00DF0E24">
        <w:rPr>
          <w:rFonts w:ascii="Times New Roman" w:hAnsi="Times New Roman"/>
          <w:kern w:val="20"/>
        </w:rPr>
        <w:t xml:space="preserve">pret citām iepakojumā esošajām ampulām (1). Lai izvadītu vāciņā esošo šķīdumu ar vienu </w:t>
      </w:r>
    </w:p>
    <w:p w:rsidR="0026764D" w:rsidRPr="00DF0E24" w:rsidRDefault="00E03C13" w:rsidP="00DF0E24">
      <w:pPr>
        <w:widowControl w:val="0"/>
        <w:autoSpaceDE w:val="0"/>
        <w:autoSpaceDN w:val="0"/>
        <w:adjustRightInd w:val="0"/>
        <w:spacing w:after="0" w:line="240" w:lineRule="auto"/>
        <w:rPr>
          <w:rFonts w:ascii="Times New Roman" w:hAnsi="Times New Roman"/>
          <w:kern w:val="20"/>
        </w:rPr>
      </w:pPr>
      <w:r w:rsidRPr="00DF0E24">
        <w:rPr>
          <w:rFonts w:ascii="Times New Roman" w:hAnsi="Times New Roman"/>
          <w:kern w:val="20"/>
        </w:rPr>
        <w:t xml:space="preserve">kustību pakratiet ampulu kā parādīts zemāk (2). Lai ampulu atvērtu, pagrieziet ampulas korpusu </w:t>
      </w:r>
    </w:p>
    <w:p w:rsidR="0026764D" w:rsidRPr="00DF0E24" w:rsidRDefault="00E03C13" w:rsidP="00DF0E24">
      <w:pPr>
        <w:widowControl w:val="0"/>
        <w:autoSpaceDE w:val="0"/>
        <w:autoSpaceDN w:val="0"/>
        <w:adjustRightInd w:val="0"/>
        <w:spacing w:after="0" w:line="240" w:lineRule="auto"/>
        <w:rPr>
          <w:rFonts w:ascii="Times New Roman" w:hAnsi="Times New Roman"/>
          <w:i/>
          <w:kern w:val="20"/>
        </w:rPr>
      </w:pPr>
      <w:r w:rsidRPr="00DF0E24">
        <w:rPr>
          <w:rFonts w:ascii="Times New Roman" w:hAnsi="Times New Roman"/>
          <w:kern w:val="20"/>
        </w:rPr>
        <w:t>un ampulas galviņu pretējos virzienos, kamēr kakliņš pārlūst (3). Pievienojiet ampulu</w:t>
      </w:r>
      <w:r w:rsidRPr="00DF0E24">
        <w:rPr>
          <w:rFonts w:ascii="Times New Roman" w:hAnsi="Times New Roman"/>
          <w:i/>
          <w:kern w:val="20"/>
        </w:rPr>
        <w:t xml:space="preserve"> Luer </w:t>
      </w:r>
    </w:p>
    <w:p w:rsidR="00A512E2" w:rsidRPr="00DF0E24" w:rsidRDefault="00E03C13" w:rsidP="00DF0E24">
      <w:pPr>
        <w:widowControl w:val="0"/>
        <w:autoSpaceDE w:val="0"/>
        <w:autoSpaceDN w:val="0"/>
        <w:adjustRightInd w:val="0"/>
        <w:spacing w:after="0" w:line="240" w:lineRule="auto"/>
        <w:rPr>
          <w:rFonts w:ascii="Times New Roman" w:hAnsi="Times New Roman"/>
          <w:i/>
          <w:kern w:val="22"/>
        </w:rPr>
      </w:pPr>
      <w:r w:rsidRPr="00DF0E24">
        <w:rPr>
          <w:rFonts w:ascii="Times New Roman" w:hAnsi="Times New Roman"/>
          <w:kern w:val="20"/>
        </w:rPr>
        <w:t>šļircei vai</w:t>
      </w:r>
      <w:r w:rsidRPr="00DF0E24">
        <w:rPr>
          <w:rFonts w:ascii="Times New Roman" w:hAnsi="Times New Roman"/>
          <w:i/>
          <w:kern w:val="20"/>
        </w:rPr>
        <w:t xml:space="preserve"> Luer-lock </w:t>
      </w:r>
      <w:r w:rsidRPr="00DF0E24">
        <w:rPr>
          <w:rFonts w:ascii="Times New Roman" w:hAnsi="Times New Roman"/>
          <w:kern w:val="20"/>
        </w:rPr>
        <w:t>šļircei kā parādīts attēlā (4).</w:t>
      </w:r>
    </w:p>
    <w:p w:rsidR="00E03C13" w:rsidRPr="00DF0E24" w:rsidRDefault="00E03C13" w:rsidP="00091380">
      <w:pPr>
        <w:widowControl w:val="0"/>
        <w:autoSpaceDE w:val="0"/>
        <w:autoSpaceDN w:val="0"/>
        <w:adjustRightInd w:val="0"/>
        <w:spacing w:after="0" w:line="240" w:lineRule="auto"/>
        <w:ind w:hanging="53"/>
        <w:rPr>
          <w:rFonts w:ascii="Times New Roman" w:hAnsi="Times New Roman"/>
          <w:i/>
          <w:kern w:val="22"/>
        </w:rPr>
      </w:pPr>
    </w:p>
    <w:p w:rsidR="00782D49" w:rsidRPr="00DF0E24" w:rsidRDefault="002B0E77" w:rsidP="00091380">
      <w:pPr>
        <w:widowControl w:val="0"/>
        <w:autoSpaceDE w:val="0"/>
        <w:autoSpaceDN w:val="0"/>
        <w:adjustRightInd w:val="0"/>
        <w:spacing w:after="0" w:line="240" w:lineRule="auto"/>
        <w:rPr>
          <w:rFonts w:ascii="Times New Roman" w:hAnsi="Times New Roman"/>
          <w:kern w:val="20"/>
        </w:rPr>
      </w:pPr>
      <w:r>
        <w:rPr>
          <w:rFonts w:ascii="Times New Roman" w:hAnsi="Times New Roman"/>
          <w:i/>
          <w:noProof/>
          <w:kern w:val="20"/>
          <w:lang w:eastAsia="lv-LV"/>
        </w:rPr>
        <w:drawing>
          <wp:inline distT="0" distB="0" distL="0" distR="0">
            <wp:extent cx="5790565"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0565" cy="1209675"/>
                    </a:xfrm>
                    <a:prstGeom prst="rect">
                      <a:avLst/>
                    </a:prstGeom>
                    <a:noFill/>
                  </pic:spPr>
                </pic:pic>
              </a:graphicData>
            </a:graphic>
          </wp:inline>
        </w:drawing>
      </w:r>
      <w:r>
        <w:rPr>
          <w:noProof/>
          <w:lang w:eastAsia="lv-LV"/>
        </w:rPr>
        <mc:AlternateContent>
          <mc:Choice Requires="wps">
            <w:drawing>
              <wp:anchor distT="0" distB="0" distL="114300" distR="114300" simplePos="0" relativeHeight="251658240" behindDoc="1" locked="0" layoutInCell="0" allowOverlap="1">
                <wp:simplePos x="0" y="0"/>
                <wp:positionH relativeFrom="page">
                  <wp:posOffset>890905</wp:posOffset>
                </wp:positionH>
                <wp:positionV relativeFrom="paragraph">
                  <wp:posOffset>83185</wp:posOffset>
                </wp:positionV>
                <wp:extent cx="5537200" cy="1612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05" w:rsidRDefault="00D47305" w:rsidP="0030092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15pt;margin-top:6.55pt;width:436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RCqg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" o:allowincell="f" filled="f" stroked="f">
                <v:textbox inset="0,0,0,0">
                  <w:txbxContent>
                    <w:p w:rsidR="00D47305" w:rsidRDefault="00D47305" w:rsidP="0030092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rsidR="00782D49" w:rsidRPr="00DF0E24" w:rsidRDefault="00782D49" w:rsidP="00091380">
      <w:pPr>
        <w:widowControl w:val="0"/>
        <w:autoSpaceDE w:val="0"/>
        <w:autoSpaceDN w:val="0"/>
        <w:adjustRightInd w:val="0"/>
        <w:spacing w:after="0" w:line="240" w:lineRule="auto"/>
        <w:rPr>
          <w:rFonts w:ascii="Times New Roman" w:hAnsi="Times New Roman"/>
          <w:kern w:val="20"/>
        </w:rPr>
      </w:pPr>
    </w:p>
    <w:p w:rsidR="00782D49" w:rsidRPr="00DF0E24" w:rsidRDefault="00782D49" w:rsidP="00091380">
      <w:pPr>
        <w:widowControl w:val="0"/>
        <w:autoSpaceDE w:val="0"/>
        <w:autoSpaceDN w:val="0"/>
        <w:adjustRightInd w:val="0"/>
        <w:spacing w:after="0" w:line="240" w:lineRule="auto"/>
        <w:rPr>
          <w:rFonts w:ascii="Times New Roman" w:hAnsi="Times New Roman"/>
          <w:noProof/>
          <w:u w:val="single"/>
        </w:rPr>
      </w:pPr>
      <w:r w:rsidRPr="00DF0E24">
        <w:rPr>
          <w:rFonts w:ascii="Times New Roman" w:hAnsi="Times New Roman"/>
          <w:noProof/>
          <w:u w:val="single"/>
        </w:rPr>
        <w:t>Tādējādi šķīduma paņemšanai no ampulas adata nav nepieciešama. Ievelciet šķīdumu.</w:t>
      </w:r>
    </w:p>
    <w:p w:rsidR="00782D49" w:rsidRPr="00DF0E24" w:rsidRDefault="00782D49" w:rsidP="00091380">
      <w:pPr>
        <w:widowControl w:val="0"/>
        <w:autoSpaceDE w:val="0"/>
        <w:autoSpaceDN w:val="0"/>
        <w:adjustRightInd w:val="0"/>
        <w:spacing w:after="0" w:line="240" w:lineRule="auto"/>
        <w:rPr>
          <w:rFonts w:ascii="Times New Roman" w:hAnsi="Times New Roman"/>
          <w:noProof/>
          <w:u w:val="single"/>
        </w:rPr>
      </w:pPr>
    </w:p>
    <w:p w:rsidR="00D26C82" w:rsidRPr="00DF0E24" w:rsidRDefault="00D26C82" w:rsidP="00091380">
      <w:pPr>
        <w:widowControl w:val="0"/>
        <w:autoSpaceDE w:val="0"/>
        <w:autoSpaceDN w:val="0"/>
        <w:adjustRightInd w:val="0"/>
        <w:spacing w:after="0" w:line="240" w:lineRule="auto"/>
        <w:rPr>
          <w:rFonts w:ascii="Times New Roman" w:hAnsi="Times New Roman"/>
          <w:noProof/>
          <w:u w:val="single"/>
        </w:rPr>
      </w:pPr>
      <w:r w:rsidRPr="00DF0E24">
        <w:rPr>
          <w:rFonts w:ascii="Times New Roman" w:hAnsi="Times New Roman"/>
          <w:noProof/>
          <w:u w:val="single"/>
        </w:rPr>
        <w:t>Lietošana pediatriskā populācijā</w:t>
      </w:r>
    </w:p>
    <w:p w:rsidR="00D26C82" w:rsidRPr="00DF0E24" w:rsidRDefault="00D26C82" w:rsidP="00091380">
      <w:pPr>
        <w:widowControl w:val="0"/>
        <w:autoSpaceDE w:val="0"/>
        <w:autoSpaceDN w:val="0"/>
        <w:adjustRightInd w:val="0"/>
        <w:spacing w:after="0" w:line="240" w:lineRule="auto"/>
        <w:rPr>
          <w:rFonts w:ascii="Times New Roman" w:hAnsi="Times New Roman"/>
          <w:noProof/>
        </w:rPr>
      </w:pPr>
      <w:r w:rsidRPr="00DF0E24">
        <w:rPr>
          <w:rFonts w:ascii="Times New Roman" w:hAnsi="Times New Roman"/>
          <w:noProof/>
        </w:rPr>
        <w:t>Nav īpašu prasību.</w:t>
      </w:r>
    </w:p>
    <w:p w:rsidR="00D26C82" w:rsidRPr="00DF0E24" w:rsidRDefault="00D26C82" w:rsidP="00091380">
      <w:pPr>
        <w:widowControl w:val="0"/>
        <w:autoSpaceDE w:val="0"/>
        <w:autoSpaceDN w:val="0"/>
        <w:adjustRightInd w:val="0"/>
        <w:spacing w:after="0" w:line="240" w:lineRule="auto"/>
        <w:rPr>
          <w:rFonts w:ascii="Times New Roman" w:hAnsi="Times New Roman"/>
          <w:noProof/>
        </w:rPr>
      </w:pPr>
    </w:p>
    <w:p w:rsidR="00D26C82" w:rsidRPr="00DF0E24" w:rsidRDefault="00D26C82" w:rsidP="00091380">
      <w:pPr>
        <w:widowControl w:val="0"/>
        <w:autoSpaceDE w:val="0"/>
        <w:autoSpaceDN w:val="0"/>
        <w:adjustRightInd w:val="0"/>
        <w:spacing w:after="0" w:line="240" w:lineRule="auto"/>
        <w:rPr>
          <w:rFonts w:ascii="Times New Roman" w:hAnsi="Times New Roman"/>
          <w:noProof/>
        </w:rPr>
      </w:pPr>
      <w:r w:rsidRPr="00DF0E24">
        <w:rPr>
          <w:rFonts w:ascii="Times New Roman" w:hAnsi="Times New Roman"/>
          <w:noProof/>
        </w:rPr>
        <w:t>Neizlietotās zāles vai izlietotie materiāli jāiznīcina atbilstoši vietējām prasībām.</w:t>
      </w:r>
    </w:p>
    <w:p w:rsidR="00D26C82" w:rsidRPr="00DF0E24" w:rsidRDefault="00D26C82" w:rsidP="00091380">
      <w:pPr>
        <w:widowControl w:val="0"/>
        <w:autoSpaceDE w:val="0"/>
        <w:autoSpaceDN w:val="0"/>
        <w:adjustRightInd w:val="0"/>
        <w:spacing w:after="0" w:line="240" w:lineRule="auto"/>
        <w:rPr>
          <w:rFonts w:ascii="Times New Roman" w:hAnsi="Times New Roman"/>
          <w:kern w:val="20"/>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DF0E24">
      <w:pPr>
        <w:widowControl w:val="0"/>
        <w:numPr>
          <w:ilvl w:val="0"/>
          <w:numId w:val="7"/>
        </w:numPr>
        <w:autoSpaceDE w:val="0"/>
        <w:autoSpaceDN w:val="0"/>
        <w:adjustRightInd w:val="0"/>
        <w:spacing w:after="0" w:line="240" w:lineRule="auto"/>
        <w:ind w:left="567" w:hanging="567"/>
        <w:rPr>
          <w:rFonts w:ascii="Times New Roman" w:hAnsi="Times New Roman"/>
          <w:b/>
          <w:bCs/>
          <w:kern w:val="22"/>
        </w:rPr>
      </w:pPr>
      <w:r w:rsidRPr="00DF0E24">
        <w:rPr>
          <w:rFonts w:ascii="Times New Roman" w:hAnsi="Times New Roman"/>
          <w:b/>
          <w:bCs/>
          <w:kern w:val="22"/>
        </w:rPr>
        <w:lastRenderedPageBreak/>
        <w:t>REĢISTRĀCIJAS APLIECĪBAS ĪPAŠNIEKS</w:t>
      </w:r>
    </w:p>
    <w:p w:rsidR="00D26C82" w:rsidRPr="00DF0E24" w:rsidRDefault="00D26C82" w:rsidP="00091380">
      <w:pPr>
        <w:widowControl w:val="0"/>
        <w:tabs>
          <w:tab w:val="left" w:pos="567"/>
        </w:tabs>
        <w:autoSpaceDE w:val="0"/>
        <w:autoSpaceDN w:val="0"/>
        <w:adjustRightInd w:val="0"/>
        <w:spacing w:after="0" w:line="240" w:lineRule="auto"/>
        <w:ind w:left="570"/>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Fresenius Kabi Polska Sp.z.o.o</w:t>
      </w:r>
    </w:p>
    <w:p w:rsidR="00CD20D2" w:rsidRPr="00CD20D2" w:rsidRDefault="00CD20D2" w:rsidP="00CD20D2">
      <w:pPr>
        <w:widowControl w:val="0"/>
        <w:autoSpaceDE w:val="0"/>
        <w:autoSpaceDN w:val="0"/>
        <w:adjustRightInd w:val="0"/>
        <w:spacing w:after="0" w:line="240" w:lineRule="auto"/>
        <w:rPr>
          <w:rFonts w:ascii="Times New Roman" w:hAnsi="Times New Roman"/>
          <w:kern w:val="22"/>
        </w:rPr>
      </w:pPr>
      <w:r w:rsidRPr="00CD20D2">
        <w:rPr>
          <w:rFonts w:ascii="Times New Roman" w:hAnsi="Times New Roman"/>
          <w:kern w:val="22"/>
        </w:rPr>
        <w:t xml:space="preserve">Al. Jerozolimskie 134 </w:t>
      </w:r>
    </w:p>
    <w:p w:rsidR="009C7175" w:rsidRPr="00DF0E24" w:rsidRDefault="00CD20D2" w:rsidP="00091380">
      <w:pPr>
        <w:widowControl w:val="0"/>
        <w:autoSpaceDE w:val="0"/>
        <w:autoSpaceDN w:val="0"/>
        <w:adjustRightInd w:val="0"/>
        <w:spacing w:after="0" w:line="240" w:lineRule="auto"/>
        <w:rPr>
          <w:rFonts w:ascii="Times New Roman" w:hAnsi="Times New Roman"/>
          <w:kern w:val="22"/>
        </w:rPr>
      </w:pPr>
      <w:r w:rsidRPr="00CD20D2">
        <w:rPr>
          <w:rFonts w:ascii="Times New Roman" w:hAnsi="Times New Roman"/>
          <w:kern w:val="22"/>
        </w:rPr>
        <w:t>02-305 Warszawa,</w:t>
      </w: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Polija</w:t>
      </w:r>
    </w:p>
    <w:p w:rsidR="00D26C82" w:rsidRPr="00DF0E24" w:rsidRDefault="00D26C82"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tabs>
          <w:tab w:val="left" w:pos="567"/>
        </w:tabs>
        <w:autoSpaceDE w:val="0"/>
        <w:autoSpaceDN w:val="0"/>
        <w:adjustRightInd w:val="0"/>
        <w:spacing w:after="0" w:line="240" w:lineRule="auto"/>
        <w:rPr>
          <w:rFonts w:ascii="Times New Roman" w:hAnsi="Times New Roman"/>
          <w:b/>
          <w:bCs/>
          <w:kern w:val="22"/>
        </w:rPr>
      </w:pPr>
      <w:r w:rsidRPr="00DF0E24">
        <w:rPr>
          <w:rFonts w:ascii="Times New Roman" w:hAnsi="Times New Roman"/>
          <w:b/>
          <w:bCs/>
          <w:kern w:val="22"/>
        </w:rPr>
        <w:t>8.</w:t>
      </w:r>
      <w:r w:rsidRPr="0041597B">
        <w:rPr>
          <w:rFonts w:ascii="Times New Roman" w:hAnsi="Times New Roman"/>
          <w:b/>
          <w:bCs/>
          <w:kern w:val="22"/>
        </w:rPr>
        <w:tab/>
      </w:r>
      <w:r w:rsidRPr="00DF0E24">
        <w:rPr>
          <w:rFonts w:ascii="Times New Roman" w:hAnsi="Times New Roman"/>
          <w:b/>
          <w:bCs/>
          <w:kern w:val="22"/>
        </w:rPr>
        <w:t>REĢISTRĀCIJAS</w:t>
      </w:r>
      <w:r w:rsidR="00EE2680" w:rsidRPr="00DF0E24">
        <w:rPr>
          <w:rFonts w:ascii="Times New Roman" w:hAnsi="Times New Roman"/>
          <w:b/>
          <w:bCs/>
          <w:kern w:val="22"/>
        </w:rPr>
        <w:t xml:space="preserve"> APLIECĪBAS</w:t>
      </w:r>
      <w:r w:rsidRPr="00DF0E24">
        <w:rPr>
          <w:rFonts w:ascii="Times New Roman" w:hAnsi="Times New Roman"/>
          <w:b/>
          <w:bCs/>
          <w:kern w:val="22"/>
        </w:rPr>
        <w:t xml:space="preserve"> NUMURS(I)</w:t>
      </w:r>
    </w:p>
    <w:p w:rsidR="00BC679A" w:rsidRPr="00DF0E24" w:rsidRDefault="00BC679A" w:rsidP="00091380">
      <w:pPr>
        <w:widowControl w:val="0"/>
        <w:tabs>
          <w:tab w:val="left" w:pos="1440"/>
        </w:tabs>
        <w:autoSpaceDE w:val="0"/>
        <w:autoSpaceDN w:val="0"/>
        <w:adjustRightInd w:val="0"/>
        <w:spacing w:after="0" w:line="240" w:lineRule="auto"/>
        <w:rPr>
          <w:rFonts w:ascii="Times New Roman" w:hAnsi="Times New Roman"/>
          <w:kern w:val="22"/>
        </w:rPr>
      </w:pPr>
    </w:p>
    <w:p w:rsidR="009C7175" w:rsidRPr="00DF0E24" w:rsidRDefault="00D26C82" w:rsidP="00091380">
      <w:pPr>
        <w:widowControl w:val="0"/>
        <w:autoSpaceDE w:val="0"/>
        <w:autoSpaceDN w:val="0"/>
        <w:adjustRightInd w:val="0"/>
        <w:spacing w:after="0" w:line="240" w:lineRule="auto"/>
        <w:rPr>
          <w:rFonts w:ascii="Times New Roman" w:hAnsi="Times New Roman"/>
          <w:color w:val="000000"/>
        </w:rPr>
      </w:pPr>
      <w:r w:rsidRPr="00DF0E24">
        <w:rPr>
          <w:rFonts w:ascii="Times New Roman" w:hAnsi="Times New Roman"/>
          <w:color w:val="000000"/>
        </w:rPr>
        <w:t>10-0323</w:t>
      </w:r>
    </w:p>
    <w:p w:rsidR="00D26C82" w:rsidRPr="00DF0E24" w:rsidRDefault="00D26C82" w:rsidP="00091380">
      <w:pPr>
        <w:widowControl w:val="0"/>
        <w:autoSpaceDE w:val="0"/>
        <w:autoSpaceDN w:val="0"/>
        <w:adjustRightInd w:val="0"/>
        <w:spacing w:after="0" w:line="240" w:lineRule="auto"/>
        <w:rPr>
          <w:rFonts w:ascii="Times New Roman" w:hAnsi="Times New Roman"/>
          <w:color w:val="000000"/>
        </w:rPr>
      </w:pPr>
    </w:p>
    <w:p w:rsidR="00D26C82" w:rsidRPr="00DF0E24" w:rsidRDefault="00D26C82"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tabs>
          <w:tab w:val="left" w:pos="567"/>
        </w:tabs>
        <w:autoSpaceDE w:val="0"/>
        <w:autoSpaceDN w:val="0"/>
        <w:adjustRightInd w:val="0"/>
        <w:spacing w:after="0" w:line="240" w:lineRule="auto"/>
        <w:rPr>
          <w:rFonts w:ascii="Times New Roman" w:hAnsi="Times New Roman"/>
          <w:b/>
          <w:bCs/>
          <w:kern w:val="22"/>
        </w:rPr>
      </w:pPr>
      <w:r w:rsidRPr="00DF0E24">
        <w:rPr>
          <w:rFonts w:ascii="Times New Roman" w:hAnsi="Times New Roman"/>
          <w:b/>
          <w:bCs/>
          <w:kern w:val="22"/>
        </w:rPr>
        <w:t>9.</w:t>
      </w:r>
      <w:r w:rsidRPr="0041597B">
        <w:rPr>
          <w:rFonts w:ascii="Times New Roman" w:hAnsi="Times New Roman"/>
          <w:b/>
          <w:bCs/>
          <w:kern w:val="22"/>
        </w:rPr>
        <w:tab/>
      </w:r>
      <w:r w:rsidR="004B0B1D" w:rsidRPr="00DF0E24">
        <w:rPr>
          <w:rFonts w:ascii="Times New Roman" w:hAnsi="Times New Roman"/>
          <w:b/>
          <w:bCs/>
          <w:kern w:val="22"/>
        </w:rPr>
        <w:t xml:space="preserve">PIRMĀS </w:t>
      </w:r>
      <w:r w:rsidRPr="00DF0E24">
        <w:rPr>
          <w:rFonts w:ascii="Times New Roman" w:hAnsi="Times New Roman"/>
          <w:b/>
          <w:bCs/>
          <w:kern w:val="22"/>
        </w:rPr>
        <w:t>REĢISTRĀCIJAS / PĀRREĢISTRĀCIJAS DATUMS</w:t>
      </w:r>
    </w:p>
    <w:p w:rsidR="00BC679A" w:rsidRPr="00DF0E24" w:rsidRDefault="00BC679A" w:rsidP="00091380">
      <w:pPr>
        <w:widowControl w:val="0"/>
        <w:tabs>
          <w:tab w:val="left" w:pos="1440"/>
        </w:tabs>
        <w:autoSpaceDE w:val="0"/>
        <w:autoSpaceDN w:val="0"/>
        <w:adjustRightInd w:val="0"/>
        <w:spacing w:after="0" w:line="240" w:lineRule="auto"/>
        <w:rPr>
          <w:rFonts w:ascii="Times New Roman" w:hAnsi="Times New Roman"/>
          <w:kern w:val="22"/>
        </w:rPr>
      </w:pPr>
    </w:p>
    <w:p w:rsidR="009C7175" w:rsidRPr="00DF0E24" w:rsidRDefault="00214E15" w:rsidP="00091380">
      <w:pPr>
        <w:widowControl w:val="0"/>
        <w:autoSpaceDE w:val="0"/>
        <w:autoSpaceDN w:val="0"/>
        <w:adjustRightInd w:val="0"/>
        <w:spacing w:after="0" w:line="240" w:lineRule="auto"/>
        <w:rPr>
          <w:rFonts w:ascii="Times New Roman" w:hAnsi="Times New Roman"/>
          <w:kern w:val="22"/>
        </w:rPr>
      </w:pPr>
      <w:r w:rsidRPr="00DF0E24">
        <w:rPr>
          <w:rFonts w:ascii="Times New Roman" w:hAnsi="Times New Roman"/>
          <w:kern w:val="22"/>
        </w:rPr>
        <w:t>Reģistrācijas datums: 2010. gada 16. jūlijs</w:t>
      </w:r>
    </w:p>
    <w:p w:rsidR="00214E15" w:rsidRPr="00DF0E24" w:rsidRDefault="00214E15" w:rsidP="00091380">
      <w:pPr>
        <w:widowControl w:val="0"/>
        <w:autoSpaceDE w:val="0"/>
        <w:autoSpaceDN w:val="0"/>
        <w:adjustRightInd w:val="0"/>
        <w:spacing w:after="0" w:line="240" w:lineRule="auto"/>
        <w:rPr>
          <w:rFonts w:ascii="Times New Roman" w:hAnsi="Times New Roman"/>
          <w:kern w:val="22"/>
        </w:rPr>
      </w:pPr>
    </w:p>
    <w:p w:rsidR="00214E15" w:rsidRPr="00DF0E24" w:rsidRDefault="00214E15" w:rsidP="00091380">
      <w:pPr>
        <w:widowControl w:val="0"/>
        <w:autoSpaceDE w:val="0"/>
        <w:autoSpaceDN w:val="0"/>
        <w:adjustRightInd w:val="0"/>
        <w:spacing w:after="0" w:line="240" w:lineRule="auto"/>
        <w:rPr>
          <w:rFonts w:ascii="Times New Roman" w:hAnsi="Times New Roman"/>
          <w:kern w:val="22"/>
        </w:rPr>
      </w:pPr>
    </w:p>
    <w:p w:rsidR="009C7175" w:rsidRPr="00DF0E24" w:rsidRDefault="009C7175" w:rsidP="00091380">
      <w:pPr>
        <w:widowControl w:val="0"/>
        <w:tabs>
          <w:tab w:val="left" w:pos="567"/>
        </w:tabs>
        <w:autoSpaceDE w:val="0"/>
        <w:autoSpaceDN w:val="0"/>
        <w:adjustRightInd w:val="0"/>
        <w:spacing w:after="0" w:line="240" w:lineRule="auto"/>
        <w:ind w:left="567" w:hanging="567"/>
        <w:rPr>
          <w:rFonts w:ascii="Times New Roman" w:hAnsi="Times New Roman"/>
          <w:kern w:val="22"/>
        </w:rPr>
      </w:pPr>
      <w:r w:rsidRPr="00DF0E24">
        <w:rPr>
          <w:rFonts w:ascii="Times New Roman" w:hAnsi="Times New Roman"/>
          <w:b/>
          <w:bCs/>
          <w:kern w:val="22"/>
        </w:rPr>
        <w:t xml:space="preserve">10.  </w:t>
      </w:r>
      <w:r w:rsidR="00BC679A" w:rsidRPr="00DF0E24">
        <w:rPr>
          <w:rFonts w:ascii="Times New Roman" w:hAnsi="Times New Roman"/>
          <w:b/>
          <w:bCs/>
          <w:kern w:val="22"/>
        </w:rPr>
        <w:t xml:space="preserve">  </w:t>
      </w:r>
      <w:r w:rsidRPr="00DF0E24">
        <w:rPr>
          <w:rFonts w:ascii="Times New Roman" w:hAnsi="Times New Roman"/>
          <w:b/>
          <w:bCs/>
          <w:kern w:val="22"/>
        </w:rPr>
        <w:t>TEKSTA PĀRSKATĪŠANAS DATUMS</w:t>
      </w:r>
    </w:p>
    <w:p w:rsidR="00ED4446" w:rsidRPr="00DF0E24" w:rsidRDefault="00ED4446" w:rsidP="00091380">
      <w:pPr>
        <w:widowControl w:val="0"/>
        <w:autoSpaceDE w:val="0"/>
        <w:autoSpaceDN w:val="0"/>
        <w:adjustRightInd w:val="0"/>
        <w:spacing w:after="0" w:line="240" w:lineRule="auto"/>
        <w:rPr>
          <w:rFonts w:ascii="Times New Roman" w:hAnsi="Times New Roman"/>
          <w:kern w:val="22"/>
        </w:rPr>
      </w:pPr>
    </w:p>
    <w:p w:rsidR="009C7175" w:rsidRPr="00DF0E24" w:rsidRDefault="00CD20D2" w:rsidP="00214E15">
      <w:pPr>
        <w:widowControl w:val="0"/>
        <w:autoSpaceDE w:val="0"/>
        <w:autoSpaceDN w:val="0"/>
        <w:adjustRightInd w:val="0"/>
        <w:spacing w:after="0" w:line="240" w:lineRule="auto"/>
        <w:rPr>
          <w:rFonts w:ascii="Times New Roman" w:hAnsi="Times New Roman"/>
          <w:kern w:val="22"/>
        </w:rPr>
      </w:pPr>
      <w:r>
        <w:rPr>
          <w:rFonts w:ascii="Times New Roman" w:hAnsi="Times New Roman"/>
          <w:kern w:val="22"/>
        </w:rPr>
        <w:t>01/</w:t>
      </w:r>
      <w:r w:rsidR="00214E15" w:rsidRPr="00DF0E24">
        <w:rPr>
          <w:rFonts w:ascii="Times New Roman" w:hAnsi="Times New Roman"/>
          <w:kern w:val="22"/>
        </w:rPr>
        <w:t>201</w:t>
      </w:r>
      <w:r>
        <w:rPr>
          <w:rFonts w:ascii="Times New Roman" w:hAnsi="Times New Roman"/>
          <w:kern w:val="22"/>
        </w:rPr>
        <w:t>6</w:t>
      </w:r>
    </w:p>
    <w:sectPr w:rsidR="009C7175" w:rsidRPr="00DF0E24" w:rsidSect="009C7175">
      <w:headerReference w:type="even" r:id="rId8"/>
      <w:headerReference w:type="default" r:id="rId9"/>
      <w:footerReference w:type="even" r:id="rId10"/>
      <w:footerReference w:type="default" r:id="rId11"/>
      <w:headerReference w:type="first" r:id="rId12"/>
      <w:footerReference w:type="first" r:id="rId13"/>
      <w:pgSz w:w="11920" w:h="16840"/>
      <w:pgMar w:top="1134" w:right="1418" w:bottom="1134" w:left="1418" w:header="769" w:footer="0" w:gutter="0"/>
      <w:cols w:space="720" w:equalWidth="0">
        <w:col w:w="1010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C0" w:rsidRDefault="00A150C0">
      <w:pPr>
        <w:spacing w:after="0" w:line="240" w:lineRule="auto"/>
      </w:pPr>
      <w:r>
        <w:separator/>
      </w:r>
    </w:p>
  </w:endnote>
  <w:endnote w:type="continuationSeparator" w:id="0">
    <w:p w:rsidR="00A150C0" w:rsidRDefault="00A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CE" w:rsidRDefault="005D0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CE" w:rsidRDefault="005D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CE" w:rsidRDefault="005D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C0" w:rsidRDefault="00A150C0">
      <w:pPr>
        <w:spacing w:after="0" w:line="240" w:lineRule="auto"/>
      </w:pPr>
      <w:r>
        <w:separator/>
      </w:r>
    </w:p>
  </w:footnote>
  <w:footnote w:type="continuationSeparator" w:id="0">
    <w:p w:rsidR="00A150C0" w:rsidRDefault="00A1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CE" w:rsidRDefault="005D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05" w:rsidRDefault="00C232C3" w:rsidP="005D08CE">
    <w:pPr>
      <w:pStyle w:val="Header"/>
      <w:jc w:val="right"/>
    </w:pPr>
    <w:r>
      <w:rPr>
        <w:rFonts w:ascii="Times New Roman" w:hAnsi="Times New Roman"/>
        <w:sz w:val="24"/>
        <w:szCs w:val="24"/>
      </w:rPr>
      <w:t>SASKAŅOTS ZVA</w:t>
    </w:r>
    <w:r w:rsidR="005D08CE">
      <w:rPr>
        <w:rFonts w:ascii="Times New Roman" w:hAnsi="Times New Roman"/>
        <w:sz w:val="24"/>
        <w:szCs w:val="24"/>
      </w:rPr>
      <w:t xml:space="preserve"> 15-12-2016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CE" w:rsidRDefault="005D0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E85"/>
    <w:multiLevelType w:val="multilevel"/>
    <w:tmpl w:val="27D2F4C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A5450BC"/>
    <w:multiLevelType w:val="hybridMultilevel"/>
    <w:tmpl w:val="F954A502"/>
    <w:lvl w:ilvl="0" w:tplc="A3A0B25C">
      <w:numFmt w:val="bullet"/>
      <w:lvlText w:val=""/>
      <w:lvlJc w:val="left"/>
      <w:pPr>
        <w:ind w:left="930" w:hanging="570"/>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23D2"/>
    <w:multiLevelType w:val="hybridMultilevel"/>
    <w:tmpl w:val="155AA468"/>
    <w:lvl w:ilvl="0" w:tplc="49BAFA1E">
      <w:numFmt w:val="bullet"/>
      <w:lvlText w:val=""/>
      <w:lvlJc w:val="left"/>
      <w:pPr>
        <w:ind w:left="2505" w:hanging="2145"/>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B1C2F"/>
    <w:multiLevelType w:val="hybridMultilevel"/>
    <w:tmpl w:val="E2BA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95E14"/>
    <w:multiLevelType w:val="hybridMultilevel"/>
    <w:tmpl w:val="F65CB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6B08B6"/>
    <w:multiLevelType w:val="multilevel"/>
    <w:tmpl w:val="30AED1A0"/>
    <w:lvl w:ilvl="0">
      <w:start w:val="1"/>
      <w:numFmt w:val="decimal"/>
      <w:lvlText w:val="%1."/>
      <w:lvlJc w:val="left"/>
      <w:pPr>
        <w:ind w:left="570" w:hanging="570"/>
      </w:pPr>
      <w:rPr>
        <w:rFonts w:cs="Times New Roman"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5F7F5FF5"/>
    <w:multiLevelType w:val="hybridMultilevel"/>
    <w:tmpl w:val="1F0A11F8"/>
    <w:lvl w:ilvl="0" w:tplc="F30CDDCA">
      <w:start w:val="1"/>
      <w:numFmt w:val="decimal"/>
      <w:lvlText w:val="%1)"/>
      <w:lvlJc w:val="left"/>
      <w:pPr>
        <w:ind w:left="2771" w:hanging="360"/>
      </w:pPr>
      <w:rPr>
        <w:rFonts w:cs="Times New Roman" w:hint="default"/>
        <w:sz w:val="24"/>
      </w:rPr>
    </w:lvl>
    <w:lvl w:ilvl="1" w:tplc="04090019" w:tentative="1">
      <w:start w:val="1"/>
      <w:numFmt w:val="lowerLetter"/>
      <w:lvlText w:val="%2."/>
      <w:lvlJc w:val="left"/>
      <w:pPr>
        <w:ind w:left="3491" w:hanging="360"/>
      </w:pPr>
      <w:rPr>
        <w:rFonts w:cs="Times New Roman"/>
      </w:rPr>
    </w:lvl>
    <w:lvl w:ilvl="2" w:tplc="0409001B" w:tentative="1">
      <w:start w:val="1"/>
      <w:numFmt w:val="lowerRoman"/>
      <w:lvlText w:val="%3."/>
      <w:lvlJc w:val="right"/>
      <w:pPr>
        <w:ind w:left="4211" w:hanging="180"/>
      </w:pPr>
      <w:rPr>
        <w:rFonts w:cs="Times New Roman"/>
      </w:rPr>
    </w:lvl>
    <w:lvl w:ilvl="3" w:tplc="0409000F" w:tentative="1">
      <w:start w:val="1"/>
      <w:numFmt w:val="decimal"/>
      <w:lvlText w:val="%4."/>
      <w:lvlJc w:val="left"/>
      <w:pPr>
        <w:ind w:left="4931" w:hanging="360"/>
      </w:pPr>
      <w:rPr>
        <w:rFonts w:cs="Times New Roman"/>
      </w:rPr>
    </w:lvl>
    <w:lvl w:ilvl="4" w:tplc="04090019" w:tentative="1">
      <w:start w:val="1"/>
      <w:numFmt w:val="lowerLetter"/>
      <w:lvlText w:val="%5."/>
      <w:lvlJc w:val="left"/>
      <w:pPr>
        <w:ind w:left="5651" w:hanging="360"/>
      </w:pPr>
      <w:rPr>
        <w:rFonts w:cs="Times New Roman"/>
      </w:rPr>
    </w:lvl>
    <w:lvl w:ilvl="5" w:tplc="0409001B" w:tentative="1">
      <w:start w:val="1"/>
      <w:numFmt w:val="lowerRoman"/>
      <w:lvlText w:val="%6."/>
      <w:lvlJc w:val="right"/>
      <w:pPr>
        <w:ind w:left="6371" w:hanging="180"/>
      </w:pPr>
      <w:rPr>
        <w:rFonts w:cs="Times New Roman"/>
      </w:rPr>
    </w:lvl>
    <w:lvl w:ilvl="6" w:tplc="0409000F" w:tentative="1">
      <w:start w:val="1"/>
      <w:numFmt w:val="decimal"/>
      <w:lvlText w:val="%7."/>
      <w:lvlJc w:val="left"/>
      <w:pPr>
        <w:ind w:left="7091" w:hanging="360"/>
      </w:pPr>
      <w:rPr>
        <w:rFonts w:cs="Times New Roman"/>
      </w:rPr>
    </w:lvl>
    <w:lvl w:ilvl="7" w:tplc="04090019" w:tentative="1">
      <w:start w:val="1"/>
      <w:numFmt w:val="lowerLetter"/>
      <w:lvlText w:val="%8."/>
      <w:lvlJc w:val="left"/>
      <w:pPr>
        <w:ind w:left="7811" w:hanging="360"/>
      </w:pPr>
      <w:rPr>
        <w:rFonts w:cs="Times New Roman"/>
      </w:rPr>
    </w:lvl>
    <w:lvl w:ilvl="8" w:tplc="0409001B" w:tentative="1">
      <w:start w:val="1"/>
      <w:numFmt w:val="lowerRoman"/>
      <w:lvlText w:val="%9."/>
      <w:lvlJc w:val="right"/>
      <w:pPr>
        <w:ind w:left="8531" w:hanging="180"/>
      </w:pPr>
      <w:rPr>
        <w:rFonts w:cs="Times New Roman"/>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B"/>
    <w:rsid w:val="000079EC"/>
    <w:rsid w:val="0001140B"/>
    <w:rsid w:val="0001198A"/>
    <w:rsid w:val="00026BB0"/>
    <w:rsid w:val="00064EB4"/>
    <w:rsid w:val="000773F7"/>
    <w:rsid w:val="00082AE9"/>
    <w:rsid w:val="00091380"/>
    <w:rsid w:val="000C0A7A"/>
    <w:rsid w:val="000C630B"/>
    <w:rsid w:val="000D0454"/>
    <w:rsid w:val="00130038"/>
    <w:rsid w:val="001350EC"/>
    <w:rsid w:val="001375C3"/>
    <w:rsid w:val="00150653"/>
    <w:rsid w:val="00171F6B"/>
    <w:rsid w:val="0018778B"/>
    <w:rsid w:val="001A06A2"/>
    <w:rsid w:val="001B602D"/>
    <w:rsid w:val="001C36E1"/>
    <w:rsid w:val="001D4832"/>
    <w:rsid w:val="001E254D"/>
    <w:rsid w:val="00214E15"/>
    <w:rsid w:val="00236503"/>
    <w:rsid w:val="0026764D"/>
    <w:rsid w:val="00271E94"/>
    <w:rsid w:val="00297430"/>
    <w:rsid w:val="002B0E77"/>
    <w:rsid w:val="002C6974"/>
    <w:rsid w:val="00300925"/>
    <w:rsid w:val="003023D2"/>
    <w:rsid w:val="003212C3"/>
    <w:rsid w:val="003632A8"/>
    <w:rsid w:val="00374225"/>
    <w:rsid w:val="003E212A"/>
    <w:rsid w:val="0041597B"/>
    <w:rsid w:val="004749B6"/>
    <w:rsid w:val="00481A23"/>
    <w:rsid w:val="004862F4"/>
    <w:rsid w:val="00494920"/>
    <w:rsid w:val="004A396F"/>
    <w:rsid w:val="004B0B1D"/>
    <w:rsid w:val="004F3E4B"/>
    <w:rsid w:val="00506B96"/>
    <w:rsid w:val="00534CBF"/>
    <w:rsid w:val="00545DC4"/>
    <w:rsid w:val="00554B71"/>
    <w:rsid w:val="00570EE2"/>
    <w:rsid w:val="005745EB"/>
    <w:rsid w:val="00577406"/>
    <w:rsid w:val="00581E43"/>
    <w:rsid w:val="005A009B"/>
    <w:rsid w:val="005B11F5"/>
    <w:rsid w:val="005C4CC1"/>
    <w:rsid w:val="005D08CE"/>
    <w:rsid w:val="005E3CBA"/>
    <w:rsid w:val="00607EF8"/>
    <w:rsid w:val="00637F9A"/>
    <w:rsid w:val="0066130B"/>
    <w:rsid w:val="006868CE"/>
    <w:rsid w:val="006926D8"/>
    <w:rsid w:val="006A3BBC"/>
    <w:rsid w:val="006B1228"/>
    <w:rsid w:val="006C4270"/>
    <w:rsid w:val="007021D3"/>
    <w:rsid w:val="00733101"/>
    <w:rsid w:val="00753A83"/>
    <w:rsid w:val="0078218F"/>
    <w:rsid w:val="00782D49"/>
    <w:rsid w:val="00797677"/>
    <w:rsid w:val="007C5A67"/>
    <w:rsid w:val="008032BD"/>
    <w:rsid w:val="0082600D"/>
    <w:rsid w:val="00841894"/>
    <w:rsid w:val="00855118"/>
    <w:rsid w:val="00884F49"/>
    <w:rsid w:val="008A4B78"/>
    <w:rsid w:val="008B0A05"/>
    <w:rsid w:val="008B7A98"/>
    <w:rsid w:val="008D10FB"/>
    <w:rsid w:val="008F3C2F"/>
    <w:rsid w:val="00983919"/>
    <w:rsid w:val="00993630"/>
    <w:rsid w:val="009C5B5E"/>
    <w:rsid w:val="009C7175"/>
    <w:rsid w:val="00A01D5F"/>
    <w:rsid w:val="00A150C0"/>
    <w:rsid w:val="00A210E2"/>
    <w:rsid w:val="00A21607"/>
    <w:rsid w:val="00A33A5F"/>
    <w:rsid w:val="00A412D6"/>
    <w:rsid w:val="00A43626"/>
    <w:rsid w:val="00A512E2"/>
    <w:rsid w:val="00A839AE"/>
    <w:rsid w:val="00AB36D4"/>
    <w:rsid w:val="00AC667A"/>
    <w:rsid w:val="00AD2B9A"/>
    <w:rsid w:val="00AD5535"/>
    <w:rsid w:val="00B15B50"/>
    <w:rsid w:val="00B205D9"/>
    <w:rsid w:val="00B57129"/>
    <w:rsid w:val="00B63713"/>
    <w:rsid w:val="00B743F3"/>
    <w:rsid w:val="00B80D34"/>
    <w:rsid w:val="00BB3E3A"/>
    <w:rsid w:val="00BB40E0"/>
    <w:rsid w:val="00BB5CE7"/>
    <w:rsid w:val="00BC3613"/>
    <w:rsid w:val="00BC679A"/>
    <w:rsid w:val="00BD49A2"/>
    <w:rsid w:val="00BE2FBC"/>
    <w:rsid w:val="00BF0FC1"/>
    <w:rsid w:val="00C05F9E"/>
    <w:rsid w:val="00C108AC"/>
    <w:rsid w:val="00C11D6D"/>
    <w:rsid w:val="00C13E7F"/>
    <w:rsid w:val="00C1522B"/>
    <w:rsid w:val="00C232C3"/>
    <w:rsid w:val="00C3264C"/>
    <w:rsid w:val="00C42BB9"/>
    <w:rsid w:val="00C444C8"/>
    <w:rsid w:val="00C4722F"/>
    <w:rsid w:val="00C53679"/>
    <w:rsid w:val="00C64450"/>
    <w:rsid w:val="00C679A2"/>
    <w:rsid w:val="00C70F6B"/>
    <w:rsid w:val="00C85D54"/>
    <w:rsid w:val="00CC3E0D"/>
    <w:rsid w:val="00CD20D2"/>
    <w:rsid w:val="00CE4510"/>
    <w:rsid w:val="00CE56F9"/>
    <w:rsid w:val="00D26C82"/>
    <w:rsid w:val="00D26F93"/>
    <w:rsid w:val="00D46A31"/>
    <w:rsid w:val="00D47305"/>
    <w:rsid w:val="00D82249"/>
    <w:rsid w:val="00D901AD"/>
    <w:rsid w:val="00DA21EF"/>
    <w:rsid w:val="00DC0215"/>
    <w:rsid w:val="00DC1FA3"/>
    <w:rsid w:val="00DE190A"/>
    <w:rsid w:val="00DF0E24"/>
    <w:rsid w:val="00DF652E"/>
    <w:rsid w:val="00E03C13"/>
    <w:rsid w:val="00E043B4"/>
    <w:rsid w:val="00E3531C"/>
    <w:rsid w:val="00E539B7"/>
    <w:rsid w:val="00E560E9"/>
    <w:rsid w:val="00E76576"/>
    <w:rsid w:val="00E7700A"/>
    <w:rsid w:val="00E81DA9"/>
    <w:rsid w:val="00E85FCD"/>
    <w:rsid w:val="00EB1CFB"/>
    <w:rsid w:val="00ED4446"/>
    <w:rsid w:val="00EE2680"/>
    <w:rsid w:val="00EE7BF2"/>
    <w:rsid w:val="00F11270"/>
    <w:rsid w:val="00F11D03"/>
    <w:rsid w:val="00F23ED6"/>
    <w:rsid w:val="00F368BE"/>
    <w:rsid w:val="00F57D8C"/>
    <w:rsid w:val="00F766B3"/>
    <w:rsid w:val="00F802FF"/>
    <w:rsid w:val="00F955D6"/>
    <w:rsid w:val="00FA31C6"/>
    <w:rsid w:val="00FA3E35"/>
    <w:rsid w:val="00FA53E4"/>
    <w:rsid w:val="00FC1960"/>
    <w:rsid w:val="00FE7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1DE04B33-47E1-46DB-A327-89F400B7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75"/>
    <w:pPr>
      <w:tabs>
        <w:tab w:val="center" w:pos="4680"/>
        <w:tab w:val="right" w:pos="9360"/>
      </w:tabs>
    </w:pPr>
  </w:style>
  <w:style w:type="character" w:customStyle="1" w:styleId="HeaderChar">
    <w:name w:val="Header Char"/>
    <w:basedOn w:val="DefaultParagraphFont"/>
    <w:link w:val="Header"/>
    <w:uiPriority w:val="99"/>
    <w:locked/>
    <w:rsid w:val="009C7175"/>
    <w:rPr>
      <w:rFonts w:cs="Times New Roman"/>
    </w:rPr>
  </w:style>
  <w:style w:type="paragraph" w:styleId="Footer">
    <w:name w:val="footer"/>
    <w:basedOn w:val="Normal"/>
    <w:link w:val="FooterChar"/>
    <w:uiPriority w:val="99"/>
    <w:unhideWhenUsed/>
    <w:rsid w:val="009C7175"/>
    <w:pPr>
      <w:tabs>
        <w:tab w:val="center" w:pos="4680"/>
        <w:tab w:val="right" w:pos="9360"/>
      </w:tabs>
    </w:pPr>
  </w:style>
  <w:style w:type="character" w:customStyle="1" w:styleId="FooterChar">
    <w:name w:val="Footer Char"/>
    <w:basedOn w:val="DefaultParagraphFont"/>
    <w:link w:val="Footer"/>
    <w:uiPriority w:val="99"/>
    <w:locked/>
    <w:rsid w:val="009C7175"/>
    <w:rPr>
      <w:rFonts w:cs="Times New Roman"/>
    </w:rPr>
  </w:style>
  <w:style w:type="paragraph" w:styleId="BalloonText">
    <w:name w:val="Balloon Text"/>
    <w:basedOn w:val="Normal"/>
    <w:link w:val="BalloonTextChar"/>
    <w:uiPriority w:val="99"/>
    <w:semiHidden/>
    <w:unhideWhenUsed/>
    <w:rsid w:val="00C4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4C8"/>
    <w:rPr>
      <w:rFonts w:ascii="Tahoma" w:hAnsi="Tahoma" w:cs="Tahoma"/>
      <w:sz w:val="16"/>
      <w:szCs w:val="16"/>
      <w:lang w:val="lv-LV" w:eastAsia="x-none"/>
    </w:rPr>
  </w:style>
  <w:style w:type="character" w:styleId="CommentReference">
    <w:name w:val="annotation reference"/>
    <w:basedOn w:val="DefaultParagraphFont"/>
    <w:uiPriority w:val="99"/>
    <w:semiHidden/>
    <w:unhideWhenUsed/>
    <w:rsid w:val="008B0A05"/>
    <w:rPr>
      <w:rFonts w:cs="Times New Roman"/>
      <w:sz w:val="16"/>
      <w:szCs w:val="16"/>
    </w:rPr>
  </w:style>
  <w:style w:type="paragraph" w:styleId="CommentText">
    <w:name w:val="annotation text"/>
    <w:basedOn w:val="Normal"/>
    <w:link w:val="CommentTextChar"/>
    <w:uiPriority w:val="99"/>
    <w:semiHidden/>
    <w:unhideWhenUsed/>
    <w:rsid w:val="008B0A05"/>
    <w:rPr>
      <w:sz w:val="20"/>
      <w:szCs w:val="20"/>
    </w:rPr>
  </w:style>
  <w:style w:type="character" w:customStyle="1" w:styleId="CommentTextChar">
    <w:name w:val="Comment Text Char"/>
    <w:basedOn w:val="DefaultParagraphFont"/>
    <w:link w:val="CommentText"/>
    <w:uiPriority w:val="99"/>
    <w:semiHidden/>
    <w:locked/>
    <w:rsid w:val="008B0A05"/>
    <w:rPr>
      <w:rFonts w:cs="Times New Roman"/>
      <w:sz w:val="20"/>
      <w:szCs w:val="20"/>
      <w:lang w:val="lv-LV" w:eastAsia="x-none"/>
    </w:rPr>
  </w:style>
  <w:style w:type="paragraph" w:styleId="CommentSubject">
    <w:name w:val="annotation subject"/>
    <w:basedOn w:val="CommentText"/>
    <w:next w:val="CommentText"/>
    <w:link w:val="CommentSubjectChar"/>
    <w:uiPriority w:val="99"/>
    <w:semiHidden/>
    <w:unhideWhenUsed/>
    <w:rsid w:val="008B0A05"/>
    <w:rPr>
      <w:b/>
      <w:bCs/>
    </w:rPr>
  </w:style>
  <w:style w:type="character" w:customStyle="1" w:styleId="CommentSubjectChar">
    <w:name w:val="Comment Subject Char"/>
    <w:basedOn w:val="CommentTextChar"/>
    <w:link w:val="CommentSubject"/>
    <w:uiPriority w:val="99"/>
    <w:semiHidden/>
    <w:locked/>
    <w:rsid w:val="008B0A05"/>
    <w:rPr>
      <w:rFonts w:cs="Times New Roman"/>
      <w:b/>
      <w:bCs/>
      <w:sz w:val="20"/>
      <w:szCs w:val="20"/>
      <w:lang w:val="lv-LV" w:eastAsia="x-none"/>
    </w:rPr>
  </w:style>
  <w:style w:type="character" w:customStyle="1" w:styleId="shorttext">
    <w:name w:val="short_text"/>
    <w:basedOn w:val="DefaultParagraphFont"/>
    <w:rsid w:val="00494920"/>
    <w:rPr>
      <w:rFonts w:cs="Times New Roman"/>
    </w:rPr>
  </w:style>
  <w:style w:type="character" w:customStyle="1" w:styleId="hps">
    <w:name w:val="hps"/>
    <w:basedOn w:val="DefaultParagraphFont"/>
    <w:rsid w:val="00494920"/>
    <w:rPr>
      <w:rFonts w:cs="Times New Roman"/>
    </w:rPr>
  </w:style>
  <w:style w:type="paragraph" w:styleId="Revision">
    <w:name w:val="Revision"/>
    <w:hidden/>
    <w:uiPriority w:val="99"/>
    <w:semiHidden/>
    <w:rsid w:val="00082AE9"/>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9145</Words>
  <Characters>5214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Ficha Técnica Ketoconazol Korhispana 2% Gel</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Técnica Ketoconazol Korhispana 2% Gel</dc:title>
  <dc:subject/>
  <dc:creator>Pilar</dc:creator>
  <cp:keywords/>
  <dc:description/>
  <cp:lastModifiedBy>Agnese Gudrupe</cp:lastModifiedBy>
  <cp:revision>2</cp:revision>
  <dcterms:created xsi:type="dcterms:W3CDTF">2016-12-13T07:52:00Z</dcterms:created>
  <dcterms:modified xsi:type="dcterms:W3CDTF">2016-12-13T07:52:00Z</dcterms:modified>
</cp:coreProperties>
</file>