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CF9C" w14:textId="77777777" w:rsidR="00AB4BC1" w:rsidRDefault="00AB4BC1">
      <w:pPr>
        <w:pStyle w:val="Title"/>
        <w:ind w:right="-900"/>
        <w:rPr>
          <w:sz w:val="22"/>
        </w:rPr>
      </w:pPr>
      <w:r>
        <w:rPr>
          <w:sz w:val="22"/>
        </w:rPr>
        <w:t>ZĀĻU APRAKSTS</w:t>
      </w:r>
    </w:p>
    <w:p w14:paraId="6FA26198" w14:textId="77777777" w:rsidR="00AB4BC1" w:rsidRDefault="00AB4BC1">
      <w:pPr>
        <w:pStyle w:val="Title"/>
        <w:ind w:right="-900"/>
        <w:rPr>
          <w:sz w:val="22"/>
        </w:rPr>
      </w:pPr>
    </w:p>
    <w:p w14:paraId="438700D3" w14:textId="77777777" w:rsidR="00AB4BC1" w:rsidRDefault="00AB4BC1">
      <w:pPr>
        <w:pStyle w:val="Title"/>
        <w:ind w:right="-900"/>
        <w:rPr>
          <w:sz w:val="22"/>
        </w:rPr>
      </w:pPr>
    </w:p>
    <w:p w14:paraId="2D377B31" w14:textId="77777777" w:rsidR="00AB4BC1" w:rsidRDefault="00AB4BC1">
      <w:pPr>
        <w:numPr>
          <w:ilvl w:val="0"/>
          <w:numId w:val="1"/>
        </w:numPr>
        <w:ind w:right="-900"/>
        <w:jc w:val="both"/>
        <w:rPr>
          <w:b/>
          <w:sz w:val="22"/>
        </w:rPr>
      </w:pPr>
      <w:r>
        <w:rPr>
          <w:b/>
          <w:sz w:val="22"/>
        </w:rPr>
        <w:t>ZĀĻU NOSAUKUMS</w:t>
      </w:r>
    </w:p>
    <w:p w14:paraId="447DC6CA" w14:textId="77777777" w:rsidR="00AB4BC1" w:rsidRDefault="00AB4BC1">
      <w:pPr>
        <w:tabs>
          <w:tab w:val="left" w:pos="1260"/>
        </w:tabs>
        <w:ind w:right="-900"/>
        <w:jc w:val="both"/>
        <w:rPr>
          <w:sz w:val="22"/>
        </w:rPr>
      </w:pPr>
    </w:p>
    <w:p w14:paraId="284011DF" w14:textId="77777777" w:rsidR="00AB4BC1" w:rsidRDefault="00AB4BC1">
      <w:pPr>
        <w:ind w:left="720" w:right="-900" w:hanging="720"/>
        <w:jc w:val="both"/>
        <w:rPr>
          <w:b/>
          <w:sz w:val="22"/>
        </w:rPr>
      </w:pPr>
      <w:r>
        <w:rPr>
          <w:b/>
          <w:sz w:val="22"/>
        </w:rPr>
        <w:t>PARAMAX Junior 250 mg tabletes</w:t>
      </w:r>
    </w:p>
    <w:p w14:paraId="3CFA4D5C" w14:textId="77777777" w:rsidR="00AB4BC1" w:rsidRDefault="00AB4BC1">
      <w:pPr>
        <w:ind w:left="720" w:right="-900" w:hanging="720"/>
        <w:jc w:val="both"/>
        <w:rPr>
          <w:b/>
          <w:sz w:val="22"/>
        </w:rPr>
      </w:pPr>
      <w:r>
        <w:rPr>
          <w:b/>
          <w:sz w:val="22"/>
        </w:rPr>
        <w:t>PARAMAX Rapid 500 mg tabletes</w:t>
      </w:r>
    </w:p>
    <w:p w14:paraId="6976A8D9" w14:textId="77777777" w:rsidR="00AB4BC1" w:rsidRDefault="00AB4BC1">
      <w:pPr>
        <w:ind w:left="720" w:right="-900" w:hanging="720"/>
        <w:jc w:val="both"/>
        <w:rPr>
          <w:sz w:val="22"/>
        </w:rPr>
      </w:pPr>
      <w:r>
        <w:rPr>
          <w:b/>
          <w:sz w:val="22"/>
        </w:rPr>
        <w:t xml:space="preserve">PARAMAX </w:t>
      </w:r>
      <w:r w:rsidR="00AF7F49">
        <w:rPr>
          <w:b/>
          <w:sz w:val="22"/>
        </w:rPr>
        <w:t>Rapid 1000 mg tabletes</w:t>
      </w:r>
    </w:p>
    <w:p w14:paraId="0838724A" w14:textId="77777777" w:rsidR="00AB4BC1" w:rsidRDefault="00AB4BC1">
      <w:pPr>
        <w:ind w:right="-900"/>
        <w:jc w:val="both"/>
        <w:rPr>
          <w:sz w:val="22"/>
        </w:rPr>
      </w:pPr>
    </w:p>
    <w:p w14:paraId="7885321C" w14:textId="77777777" w:rsidR="00AB4BC1" w:rsidRDefault="00AB4BC1">
      <w:pPr>
        <w:ind w:right="-900"/>
        <w:jc w:val="both"/>
        <w:rPr>
          <w:sz w:val="22"/>
        </w:rPr>
      </w:pPr>
    </w:p>
    <w:p w14:paraId="28E042FA" w14:textId="77777777" w:rsidR="00AB4BC1" w:rsidRDefault="00AB4BC1">
      <w:pPr>
        <w:numPr>
          <w:ilvl w:val="0"/>
          <w:numId w:val="1"/>
        </w:numPr>
        <w:ind w:right="-900"/>
        <w:jc w:val="both"/>
        <w:rPr>
          <w:sz w:val="22"/>
        </w:rPr>
      </w:pPr>
      <w:r>
        <w:rPr>
          <w:b/>
          <w:sz w:val="22"/>
        </w:rPr>
        <w:t>KVALITATĪVAIS UN KVANTITATĪVAIS SASTĀVS</w:t>
      </w:r>
    </w:p>
    <w:p w14:paraId="3E762C64" w14:textId="77777777" w:rsidR="00AB4BC1" w:rsidRDefault="00AB4BC1">
      <w:pPr>
        <w:ind w:right="-900"/>
        <w:rPr>
          <w:sz w:val="22"/>
        </w:rPr>
      </w:pPr>
    </w:p>
    <w:p w14:paraId="5691BB50" w14:textId="77777777" w:rsidR="003347BF" w:rsidRPr="005D377A" w:rsidRDefault="007F3824">
      <w:pPr>
        <w:ind w:right="-900"/>
        <w:rPr>
          <w:i/>
          <w:sz w:val="22"/>
        </w:rPr>
      </w:pPr>
      <w:r>
        <w:rPr>
          <w:sz w:val="22"/>
        </w:rPr>
        <w:t>Katra</w:t>
      </w:r>
      <w:r w:rsidR="00AB4BC1">
        <w:rPr>
          <w:sz w:val="22"/>
        </w:rPr>
        <w:t xml:space="preserve"> PARAMAX Junior 250 mg tablete satur </w:t>
      </w:r>
      <w:r w:rsidR="003347BF" w:rsidRPr="005D377A">
        <w:rPr>
          <w:sz w:val="22"/>
        </w:rPr>
        <w:t xml:space="preserve">250 mg </w:t>
      </w:r>
      <w:r w:rsidR="00675198" w:rsidRPr="005D377A">
        <w:rPr>
          <w:sz w:val="22"/>
        </w:rPr>
        <w:t>p</w:t>
      </w:r>
      <w:r w:rsidR="003347BF" w:rsidRPr="005D377A">
        <w:rPr>
          <w:sz w:val="22"/>
        </w:rPr>
        <w:t>aracetamola</w:t>
      </w:r>
      <w:r w:rsidR="00AB4BC1" w:rsidRPr="005D377A">
        <w:rPr>
          <w:sz w:val="22"/>
        </w:rPr>
        <w:t xml:space="preserve"> </w:t>
      </w:r>
      <w:r w:rsidR="003347BF" w:rsidRPr="005D377A">
        <w:rPr>
          <w:sz w:val="22"/>
        </w:rPr>
        <w:t>(</w:t>
      </w:r>
      <w:r w:rsidR="00AB4BC1" w:rsidRPr="005D377A">
        <w:rPr>
          <w:i/>
          <w:sz w:val="22"/>
        </w:rPr>
        <w:t>Paracetamolum</w:t>
      </w:r>
      <w:r w:rsidR="003347BF" w:rsidRPr="005D377A">
        <w:rPr>
          <w:i/>
          <w:sz w:val="22"/>
        </w:rPr>
        <w:t>).</w:t>
      </w:r>
    </w:p>
    <w:p w14:paraId="2FCBD4BD" w14:textId="77777777" w:rsidR="003347BF" w:rsidRPr="005D377A" w:rsidRDefault="007F3824">
      <w:pPr>
        <w:ind w:right="-900"/>
        <w:rPr>
          <w:i/>
          <w:sz w:val="22"/>
        </w:rPr>
      </w:pPr>
      <w:r>
        <w:rPr>
          <w:sz w:val="22"/>
        </w:rPr>
        <w:t>Katra</w:t>
      </w:r>
      <w:r w:rsidR="00AB4BC1" w:rsidRPr="005D377A">
        <w:rPr>
          <w:sz w:val="22"/>
        </w:rPr>
        <w:t xml:space="preserve"> PARAMAX Rapid 500 mg tablete satur </w:t>
      </w:r>
      <w:r w:rsidR="003347BF" w:rsidRPr="005D377A">
        <w:rPr>
          <w:sz w:val="22"/>
        </w:rPr>
        <w:t xml:space="preserve">500 mg </w:t>
      </w:r>
      <w:r w:rsidR="00675198" w:rsidRPr="005D377A">
        <w:rPr>
          <w:sz w:val="22"/>
        </w:rPr>
        <w:t>p</w:t>
      </w:r>
      <w:r w:rsidR="003347BF" w:rsidRPr="005D377A">
        <w:rPr>
          <w:sz w:val="22"/>
        </w:rPr>
        <w:t>aracetamola</w:t>
      </w:r>
      <w:r w:rsidR="00AB4BC1" w:rsidRPr="005D377A">
        <w:rPr>
          <w:i/>
          <w:sz w:val="22"/>
        </w:rPr>
        <w:t xml:space="preserve"> </w:t>
      </w:r>
      <w:r w:rsidR="003347BF" w:rsidRPr="005D377A">
        <w:rPr>
          <w:i/>
          <w:sz w:val="22"/>
        </w:rPr>
        <w:t>(</w:t>
      </w:r>
      <w:r w:rsidR="00AB4BC1" w:rsidRPr="005D377A">
        <w:rPr>
          <w:i/>
          <w:sz w:val="22"/>
        </w:rPr>
        <w:t>Paracetamolum</w:t>
      </w:r>
      <w:r w:rsidR="003347BF" w:rsidRPr="005D377A">
        <w:rPr>
          <w:i/>
          <w:sz w:val="22"/>
        </w:rPr>
        <w:t>).</w:t>
      </w:r>
    </w:p>
    <w:p w14:paraId="39AD26FC" w14:textId="77777777" w:rsidR="00AB4BC1" w:rsidRPr="005D377A" w:rsidRDefault="007F3824">
      <w:pPr>
        <w:ind w:right="-900"/>
        <w:rPr>
          <w:sz w:val="22"/>
        </w:rPr>
      </w:pPr>
      <w:r>
        <w:rPr>
          <w:sz w:val="22"/>
        </w:rPr>
        <w:t>Katra</w:t>
      </w:r>
      <w:r w:rsidR="00AB4BC1" w:rsidRPr="005D377A">
        <w:rPr>
          <w:sz w:val="22"/>
        </w:rPr>
        <w:t xml:space="preserve"> PARAMAX </w:t>
      </w:r>
      <w:r w:rsidR="005D377A" w:rsidRPr="005D377A">
        <w:rPr>
          <w:sz w:val="22"/>
        </w:rPr>
        <w:t>Rapid 1000</w:t>
      </w:r>
      <w:r w:rsidR="00AB4BC1" w:rsidRPr="005D377A">
        <w:rPr>
          <w:sz w:val="22"/>
        </w:rPr>
        <w:t xml:space="preserve"> </w:t>
      </w:r>
      <w:r w:rsidR="005D377A" w:rsidRPr="005D377A">
        <w:rPr>
          <w:sz w:val="22"/>
        </w:rPr>
        <w:t>m</w:t>
      </w:r>
      <w:r w:rsidR="00AB4BC1" w:rsidRPr="005D377A">
        <w:rPr>
          <w:sz w:val="22"/>
        </w:rPr>
        <w:t xml:space="preserve">g tablete satur </w:t>
      </w:r>
      <w:r w:rsidR="003347BF" w:rsidRPr="005D377A">
        <w:rPr>
          <w:sz w:val="22"/>
        </w:rPr>
        <w:t>1</w:t>
      </w:r>
      <w:r w:rsidR="005D377A" w:rsidRPr="005D377A">
        <w:rPr>
          <w:sz w:val="22"/>
        </w:rPr>
        <w:t>000</w:t>
      </w:r>
      <w:r w:rsidR="003347BF" w:rsidRPr="005D377A">
        <w:rPr>
          <w:sz w:val="22"/>
        </w:rPr>
        <w:t xml:space="preserve"> </w:t>
      </w:r>
      <w:r w:rsidR="005D377A" w:rsidRPr="005D377A">
        <w:rPr>
          <w:sz w:val="22"/>
        </w:rPr>
        <w:t>m</w:t>
      </w:r>
      <w:r w:rsidR="003347BF" w:rsidRPr="005D377A">
        <w:rPr>
          <w:sz w:val="22"/>
        </w:rPr>
        <w:t xml:space="preserve">g </w:t>
      </w:r>
      <w:r w:rsidR="00675198" w:rsidRPr="005D377A">
        <w:rPr>
          <w:sz w:val="22"/>
        </w:rPr>
        <w:t>p</w:t>
      </w:r>
      <w:r w:rsidR="003347BF" w:rsidRPr="005D377A">
        <w:rPr>
          <w:sz w:val="22"/>
        </w:rPr>
        <w:t>aracetamola (</w:t>
      </w:r>
      <w:r w:rsidR="00AB4BC1" w:rsidRPr="005D377A">
        <w:rPr>
          <w:i/>
          <w:sz w:val="22"/>
        </w:rPr>
        <w:t>Paracetamolum</w:t>
      </w:r>
      <w:r w:rsidR="003347BF" w:rsidRPr="005D377A">
        <w:rPr>
          <w:i/>
          <w:sz w:val="22"/>
        </w:rPr>
        <w:t>).</w:t>
      </w:r>
    </w:p>
    <w:p w14:paraId="42BD6099" w14:textId="77777777" w:rsidR="00AB4BC1" w:rsidRPr="005D377A" w:rsidRDefault="00AB4BC1">
      <w:pPr>
        <w:ind w:right="-900"/>
        <w:jc w:val="both"/>
        <w:rPr>
          <w:sz w:val="22"/>
        </w:rPr>
      </w:pPr>
    </w:p>
    <w:p w14:paraId="762F9942" w14:textId="77777777" w:rsidR="00AB4BC1" w:rsidRDefault="003347BF">
      <w:pPr>
        <w:ind w:right="-900"/>
        <w:jc w:val="both"/>
        <w:rPr>
          <w:sz w:val="22"/>
        </w:rPr>
      </w:pPr>
      <w:r>
        <w:rPr>
          <w:sz w:val="22"/>
        </w:rPr>
        <w:t>Pilnu palīgvielu sarakstu</w:t>
      </w:r>
      <w:r w:rsidR="00AB4BC1">
        <w:rPr>
          <w:sz w:val="22"/>
        </w:rPr>
        <w:t xml:space="preserve"> skatīt 6.1.</w:t>
      </w:r>
      <w:r w:rsidR="007F3824" w:rsidRPr="007F3824">
        <w:rPr>
          <w:sz w:val="22"/>
        </w:rPr>
        <w:t xml:space="preserve"> </w:t>
      </w:r>
      <w:r w:rsidR="007F3824">
        <w:rPr>
          <w:sz w:val="22"/>
        </w:rPr>
        <w:t>apakšpunktā</w:t>
      </w:r>
      <w:r w:rsidR="00813750">
        <w:rPr>
          <w:sz w:val="22"/>
        </w:rPr>
        <w:t>.</w:t>
      </w:r>
    </w:p>
    <w:p w14:paraId="1B17645A" w14:textId="77777777" w:rsidR="00AB4BC1" w:rsidRDefault="00AB4BC1">
      <w:pPr>
        <w:ind w:right="-900"/>
        <w:jc w:val="both"/>
        <w:rPr>
          <w:sz w:val="22"/>
        </w:rPr>
      </w:pPr>
    </w:p>
    <w:p w14:paraId="6B718F68" w14:textId="77777777" w:rsidR="00AB4BC1" w:rsidRDefault="00AB4BC1">
      <w:pPr>
        <w:ind w:right="-900"/>
        <w:jc w:val="both"/>
        <w:rPr>
          <w:sz w:val="22"/>
        </w:rPr>
      </w:pPr>
    </w:p>
    <w:p w14:paraId="7E978A41" w14:textId="77777777" w:rsidR="00AB4BC1" w:rsidRDefault="00AB4BC1">
      <w:pPr>
        <w:numPr>
          <w:ilvl w:val="0"/>
          <w:numId w:val="1"/>
        </w:numPr>
        <w:ind w:right="-900"/>
        <w:jc w:val="both"/>
        <w:rPr>
          <w:sz w:val="22"/>
        </w:rPr>
      </w:pPr>
      <w:r>
        <w:rPr>
          <w:b/>
          <w:sz w:val="22"/>
        </w:rPr>
        <w:t>ZĀĻU FORMA</w:t>
      </w:r>
    </w:p>
    <w:p w14:paraId="169FDB06" w14:textId="77777777" w:rsidR="00AB4BC1" w:rsidRDefault="00AB4BC1">
      <w:pPr>
        <w:ind w:right="-900"/>
        <w:jc w:val="both"/>
        <w:rPr>
          <w:sz w:val="22"/>
        </w:rPr>
      </w:pPr>
    </w:p>
    <w:p w14:paraId="0DA22EF4" w14:textId="77777777" w:rsidR="00AB4BC1" w:rsidRDefault="00AB4BC1" w:rsidP="003347BF">
      <w:pPr>
        <w:ind w:right="-900"/>
        <w:rPr>
          <w:sz w:val="22"/>
        </w:rPr>
      </w:pPr>
      <w:r>
        <w:rPr>
          <w:sz w:val="22"/>
        </w:rPr>
        <w:t xml:space="preserve">Tablete. </w:t>
      </w:r>
    </w:p>
    <w:p w14:paraId="21EFFBD8" w14:textId="77777777" w:rsidR="00AB4BC1" w:rsidRDefault="00AB4BC1" w:rsidP="003347BF">
      <w:pPr>
        <w:tabs>
          <w:tab w:val="left" w:pos="2880"/>
          <w:tab w:val="center" w:pos="4320"/>
          <w:tab w:val="left" w:pos="6840"/>
        </w:tabs>
        <w:rPr>
          <w:sz w:val="22"/>
        </w:rPr>
      </w:pPr>
      <w:r>
        <w:rPr>
          <w:sz w:val="22"/>
        </w:rPr>
        <w:t>PARAMAX Junior 250 mg: balta, apaļa tablete ar dalījuma līniju. Tabletes diametrs 10 mm.</w:t>
      </w:r>
    </w:p>
    <w:p w14:paraId="0E9D3F99" w14:textId="77777777" w:rsidR="00AB4BC1" w:rsidRDefault="00AB4BC1" w:rsidP="003347BF">
      <w:pPr>
        <w:ind w:right="60"/>
        <w:rPr>
          <w:sz w:val="22"/>
        </w:rPr>
      </w:pPr>
      <w:r>
        <w:rPr>
          <w:sz w:val="22"/>
        </w:rPr>
        <w:t>PARAMAX Rapid 500 mg: balta, kapsulas formas tablete ar dalījuma līniju. Tabletes platums 7,5 mm, garums 18 mm.</w:t>
      </w:r>
    </w:p>
    <w:p w14:paraId="419D97EA" w14:textId="77777777" w:rsidR="00AB4BC1" w:rsidRDefault="00AB4BC1" w:rsidP="003347BF">
      <w:pPr>
        <w:ind w:right="60"/>
        <w:rPr>
          <w:sz w:val="22"/>
        </w:rPr>
      </w:pPr>
      <w:r>
        <w:rPr>
          <w:sz w:val="22"/>
        </w:rPr>
        <w:t xml:space="preserve">PARAMAX </w:t>
      </w:r>
      <w:r w:rsidR="005D377A" w:rsidRPr="005D377A">
        <w:rPr>
          <w:sz w:val="22"/>
        </w:rPr>
        <w:t>Rapid 1000 mg</w:t>
      </w:r>
      <w:r>
        <w:rPr>
          <w:sz w:val="22"/>
        </w:rPr>
        <w:t>: balta, kapsulas formas tablete ar dalījuma līniju. Tabletes platums 9 mm, garums 22,5 mm.</w:t>
      </w:r>
    </w:p>
    <w:p w14:paraId="55D9C2D9" w14:textId="77777777" w:rsidR="003347BF" w:rsidRDefault="003347BF" w:rsidP="003347BF">
      <w:pPr>
        <w:ind w:right="60"/>
        <w:rPr>
          <w:sz w:val="22"/>
        </w:rPr>
      </w:pPr>
      <w:r w:rsidRPr="005D377A">
        <w:rPr>
          <w:sz w:val="22"/>
        </w:rPr>
        <w:t>Tableti var sadalīt vienādās d</w:t>
      </w:r>
      <w:r w:rsidR="00D46266">
        <w:rPr>
          <w:sz w:val="22"/>
        </w:rPr>
        <w:t>ev</w:t>
      </w:r>
      <w:r w:rsidRPr="005D377A">
        <w:rPr>
          <w:sz w:val="22"/>
        </w:rPr>
        <w:t>ās.</w:t>
      </w:r>
    </w:p>
    <w:p w14:paraId="1E14ECAE" w14:textId="77777777" w:rsidR="00AB4BC1" w:rsidRDefault="00AB4BC1">
      <w:pPr>
        <w:ind w:right="-900"/>
        <w:jc w:val="both"/>
        <w:rPr>
          <w:sz w:val="22"/>
        </w:rPr>
      </w:pPr>
    </w:p>
    <w:p w14:paraId="23C88DA1" w14:textId="77777777" w:rsidR="00AB4BC1" w:rsidRDefault="00AB4BC1">
      <w:pPr>
        <w:ind w:right="-900"/>
        <w:jc w:val="both"/>
        <w:rPr>
          <w:sz w:val="22"/>
        </w:rPr>
      </w:pPr>
    </w:p>
    <w:p w14:paraId="5FEE18BA" w14:textId="77777777" w:rsidR="00AB4BC1" w:rsidRDefault="003347BF">
      <w:pPr>
        <w:numPr>
          <w:ilvl w:val="0"/>
          <w:numId w:val="1"/>
        </w:numPr>
        <w:ind w:right="-900"/>
        <w:jc w:val="both"/>
        <w:rPr>
          <w:b/>
          <w:sz w:val="22"/>
        </w:rPr>
      </w:pPr>
      <w:r>
        <w:rPr>
          <w:b/>
          <w:sz w:val="22"/>
        </w:rPr>
        <w:t>KLĪNISKĀ</w:t>
      </w:r>
      <w:r w:rsidR="00AB4BC1">
        <w:rPr>
          <w:b/>
          <w:sz w:val="22"/>
        </w:rPr>
        <w:t xml:space="preserve"> I</w:t>
      </w:r>
      <w:r>
        <w:rPr>
          <w:b/>
          <w:sz w:val="22"/>
        </w:rPr>
        <w:t>NFORMĀCIJA</w:t>
      </w:r>
    </w:p>
    <w:p w14:paraId="4C377D19" w14:textId="77777777" w:rsidR="00AB4BC1" w:rsidRDefault="00AB4BC1">
      <w:pPr>
        <w:ind w:right="-900"/>
        <w:jc w:val="both"/>
        <w:rPr>
          <w:b/>
          <w:sz w:val="22"/>
        </w:rPr>
      </w:pPr>
    </w:p>
    <w:p w14:paraId="07C706A5" w14:textId="77777777" w:rsidR="00AB4BC1" w:rsidRDefault="00AB4BC1">
      <w:pPr>
        <w:numPr>
          <w:ilvl w:val="1"/>
          <w:numId w:val="1"/>
        </w:numPr>
        <w:ind w:right="-900"/>
        <w:jc w:val="both"/>
        <w:rPr>
          <w:b/>
          <w:sz w:val="22"/>
        </w:rPr>
      </w:pPr>
      <w:r>
        <w:rPr>
          <w:b/>
          <w:sz w:val="22"/>
        </w:rPr>
        <w:t>Terapeitiskās indikācijas</w:t>
      </w:r>
    </w:p>
    <w:p w14:paraId="7956A441" w14:textId="77777777" w:rsidR="00AB4BC1" w:rsidRDefault="00AB4BC1">
      <w:pPr>
        <w:jc w:val="both"/>
        <w:rPr>
          <w:sz w:val="22"/>
        </w:rPr>
      </w:pPr>
    </w:p>
    <w:p w14:paraId="0BE85A49" w14:textId="77777777" w:rsidR="00AB4BC1" w:rsidRDefault="00AB4BC1">
      <w:pPr>
        <w:jc w:val="both"/>
        <w:rPr>
          <w:sz w:val="22"/>
        </w:rPr>
      </w:pPr>
      <w:r>
        <w:rPr>
          <w:sz w:val="22"/>
        </w:rPr>
        <w:t>Īslaicīgs drudzis.</w:t>
      </w:r>
    </w:p>
    <w:p w14:paraId="6BDC61FB" w14:textId="77777777" w:rsidR="00AB4BC1" w:rsidRDefault="006A2E33">
      <w:pPr>
        <w:jc w:val="both"/>
        <w:rPr>
          <w:sz w:val="22"/>
        </w:rPr>
      </w:pPr>
      <w:r>
        <w:rPr>
          <w:sz w:val="22"/>
        </w:rPr>
        <w:t>V</w:t>
      </w:r>
      <w:r w:rsidR="00AB4BC1">
        <w:rPr>
          <w:sz w:val="22"/>
        </w:rPr>
        <w:t xml:space="preserve">ieglu vai vidējas intensitātes sāpju – galvassāpju, zobu sāpju, menstruālu sāpju, muskuļu, locītavu, postoperatīvu sāpju </w:t>
      </w:r>
      <w:r>
        <w:rPr>
          <w:sz w:val="22"/>
        </w:rPr>
        <w:t xml:space="preserve">simptomātiskai </w:t>
      </w:r>
      <w:r w:rsidR="00AB4BC1">
        <w:rPr>
          <w:sz w:val="22"/>
        </w:rPr>
        <w:t>ārstēšanai.</w:t>
      </w:r>
    </w:p>
    <w:p w14:paraId="00A7D49F" w14:textId="77777777" w:rsidR="00AB4BC1" w:rsidRDefault="00AB4BC1">
      <w:pPr>
        <w:ind w:right="-900"/>
        <w:jc w:val="both"/>
        <w:rPr>
          <w:b/>
          <w:sz w:val="22"/>
        </w:rPr>
      </w:pPr>
    </w:p>
    <w:p w14:paraId="419483BF" w14:textId="77777777" w:rsidR="00AB4BC1" w:rsidRDefault="00AB4BC1">
      <w:pPr>
        <w:rPr>
          <w:sz w:val="22"/>
        </w:rPr>
      </w:pPr>
      <w:r>
        <w:rPr>
          <w:b/>
          <w:sz w:val="22"/>
        </w:rPr>
        <w:t>4.2. Devas un lietošanas veids</w:t>
      </w:r>
    </w:p>
    <w:p w14:paraId="798F01C3" w14:textId="77777777" w:rsidR="00AB4BC1" w:rsidRDefault="00AB4BC1" w:rsidP="00BC37CB">
      <w:pPr>
        <w:rPr>
          <w:sz w:val="22"/>
        </w:rPr>
      </w:pPr>
    </w:p>
    <w:p w14:paraId="7E43972A" w14:textId="77777777" w:rsidR="008D06C6" w:rsidRPr="008D06C6" w:rsidRDefault="008D06C6" w:rsidP="00BC37CB">
      <w:pPr>
        <w:rPr>
          <w:sz w:val="22"/>
          <w:szCs w:val="22"/>
          <w:u w:val="single"/>
        </w:rPr>
      </w:pPr>
      <w:r w:rsidRPr="008D06C6">
        <w:rPr>
          <w:sz w:val="22"/>
          <w:szCs w:val="22"/>
          <w:u w:val="single"/>
        </w:rPr>
        <w:t>Devas</w:t>
      </w:r>
    </w:p>
    <w:p w14:paraId="020B13E2" w14:textId="77777777" w:rsidR="008D06C6" w:rsidRDefault="008D06C6" w:rsidP="00BC37CB">
      <w:pPr>
        <w:rPr>
          <w:sz w:val="22"/>
        </w:rPr>
      </w:pPr>
    </w:p>
    <w:p w14:paraId="7E066EAF" w14:textId="77777777" w:rsidR="00AB4BC1" w:rsidRPr="00456D2A" w:rsidRDefault="00AB4BC1" w:rsidP="00AE67F6">
      <w:pPr>
        <w:jc w:val="both"/>
        <w:rPr>
          <w:sz w:val="22"/>
          <w:szCs w:val="22"/>
        </w:rPr>
      </w:pPr>
      <w:r w:rsidRPr="00456D2A">
        <w:rPr>
          <w:sz w:val="22"/>
          <w:szCs w:val="22"/>
        </w:rPr>
        <w:t>Pieauguš</w:t>
      </w:r>
      <w:r w:rsidR="0076522F" w:rsidRPr="00456D2A">
        <w:rPr>
          <w:sz w:val="22"/>
          <w:szCs w:val="22"/>
        </w:rPr>
        <w:t>aj</w:t>
      </w:r>
      <w:r w:rsidRPr="00456D2A">
        <w:rPr>
          <w:sz w:val="22"/>
          <w:szCs w:val="22"/>
        </w:rPr>
        <w:t xml:space="preserve">iem un </w:t>
      </w:r>
      <w:r w:rsidR="006A2E33" w:rsidRPr="00456D2A">
        <w:rPr>
          <w:sz w:val="22"/>
          <w:szCs w:val="22"/>
        </w:rPr>
        <w:t xml:space="preserve">pusaudžiem </w:t>
      </w:r>
      <w:r w:rsidRPr="00456D2A">
        <w:rPr>
          <w:sz w:val="22"/>
          <w:szCs w:val="22"/>
        </w:rPr>
        <w:t xml:space="preserve">vecumā virs </w:t>
      </w:r>
      <w:r w:rsidR="006A2E33" w:rsidRPr="00456D2A">
        <w:rPr>
          <w:sz w:val="22"/>
          <w:szCs w:val="22"/>
        </w:rPr>
        <w:t xml:space="preserve">16 </w:t>
      </w:r>
      <w:r w:rsidRPr="00456D2A">
        <w:rPr>
          <w:sz w:val="22"/>
          <w:szCs w:val="22"/>
        </w:rPr>
        <w:t>gadiem</w:t>
      </w:r>
      <w:r w:rsidR="003347BF" w:rsidRPr="00456D2A">
        <w:rPr>
          <w:sz w:val="22"/>
          <w:szCs w:val="22"/>
        </w:rPr>
        <w:t xml:space="preserve">, ar ķermeņa masu virs </w:t>
      </w:r>
      <w:r w:rsidR="006A2E33" w:rsidRPr="00456D2A">
        <w:rPr>
          <w:sz w:val="22"/>
          <w:szCs w:val="22"/>
        </w:rPr>
        <w:t xml:space="preserve">54 </w:t>
      </w:r>
      <w:r w:rsidRPr="00456D2A">
        <w:rPr>
          <w:sz w:val="22"/>
          <w:szCs w:val="22"/>
        </w:rPr>
        <w:t>kg: pa 500 mg – 1000 mg</w:t>
      </w:r>
      <w:r w:rsidR="00BA3BE8" w:rsidRPr="00456D2A">
        <w:rPr>
          <w:sz w:val="22"/>
          <w:szCs w:val="22"/>
        </w:rPr>
        <w:t>, ja nepieciešams</w:t>
      </w:r>
      <w:r w:rsidRPr="00456D2A">
        <w:rPr>
          <w:sz w:val="22"/>
          <w:szCs w:val="22"/>
        </w:rPr>
        <w:t xml:space="preserve"> </w:t>
      </w:r>
      <w:r w:rsidR="00BA3BE8" w:rsidRPr="00456D2A">
        <w:rPr>
          <w:sz w:val="22"/>
          <w:szCs w:val="22"/>
        </w:rPr>
        <w:t>3</w:t>
      </w:r>
      <w:r w:rsidRPr="00456D2A">
        <w:rPr>
          <w:sz w:val="22"/>
          <w:szCs w:val="22"/>
        </w:rPr>
        <w:t>-</w:t>
      </w:r>
      <w:r w:rsidR="00BA3BE8" w:rsidRPr="00456D2A">
        <w:rPr>
          <w:sz w:val="22"/>
          <w:szCs w:val="22"/>
        </w:rPr>
        <w:t>4</w:t>
      </w:r>
      <w:r w:rsidRPr="00456D2A">
        <w:rPr>
          <w:sz w:val="22"/>
          <w:szCs w:val="22"/>
        </w:rPr>
        <w:t xml:space="preserve"> reizes dienā</w:t>
      </w:r>
      <w:r w:rsidR="0076522F" w:rsidRPr="00456D2A">
        <w:rPr>
          <w:sz w:val="22"/>
          <w:szCs w:val="22"/>
        </w:rPr>
        <w:t>, ik pēc 4-6 stundām</w:t>
      </w:r>
      <w:r w:rsidRPr="00456D2A">
        <w:rPr>
          <w:sz w:val="22"/>
          <w:szCs w:val="22"/>
        </w:rPr>
        <w:t>.</w:t>
      </w:r>
    </w:p>
    <w:p w14:paraId="57D12882" w14:textId="77777777" w:rsidR="003347BF" w:rsidRDefault="003347BF" w:rsidP="00AE67F6">
      <w:pPr>
        <w:jc w:val="both"/>
        <w:rPr>
          <w:sz w:val="22"/>
          <w:szCs w:val="22"/>
        </w:rPr>
      </w:pPr>
      <w:r w:rsidRPr="00456D2A">
        <w:rPr>
          <w:sz w:val="22"/>
          <w:szCs w:val="22"/>
        </w:rPr>
        <w:t xml:space="preserve">Maksimālā paracetamola deva </w:t>
      </w:r>
      <w:r w:rsidR="00577845" w:rsidRPr="00456D2A">
        <w:rPr>
          <w:sz w:val="22"/>
          <w:szCs w:val="22"/>
        </w:rPr>
        <w:t xml:space="preserve">diennaktī </w:t>
      </w:r>
      <w:r w:rsidRPr="00456D2A">
        <w:rPr>
          <w:sz w:val="22"/>
          <w:szCs w:val="22"/>
        </w:rPr>
        <w:t>pieauguš</w:t>
      </w:r>
      <w:r w:rsidR="0076522F" w:rsidRPr="00456D2A">
        <w:rPr>
          <w:sz w:val="22"/>
          <w:szCs w:val="22"/>
        </w:rPr>
        <w:t>aj</w:t>
      </w:r>
      <w:r w:rsidRPr="00456D2A">
        <w:rPr>
          <w:sz w:val="22"/>
          <w:szCs w:val="22"/>
        </w:rPr>
        <w:t xml:space="preserve">iem un </w:t>
      </w:r>
      <w:r w:rsidR="006A2E33" w:rsidRPr="00456D2A">
        <w:rPr>
          <w:sz w:val="22"/>
          <w:szCs w:val="22"/>
        </w:rPr>
        <w:t xml:space="preserve">pusaudžiem </w:t>
      </w:r>
      <w:r w:rsidRPr="00456D2A">
        <w:rPr>
          <w:sz w:val="22"/>
          <w:szCs w:val="22"/>
        </w:rPr>
        <w:t xml:space="preserve">virs </w:t>
      </w:r>
      <w:r w:rsidR="006A2E33" w:rsidRPr="00456D2A">
        <w:rPr>
          <w:sz w:val="22"/>
          <w:szCs w:val="22"/>
        </w:rPr>
        <w:t xml:space="preserve">16 </w:t>
      </w:r>
      <w:r w:rsidRPr="00456D2A">
        <w:rPr>
          <w:sz w:val="22"/>
          <w:szCs w:val="22"/>
        </w:rPr>
        <w:t>gad</w:t>
      </w:r>
      <w:r w:rsidR="006A2E33" w:rsidRPr="00456D2A">
        <w:rPr>
          <w:sz w:val="22"/>
          <w:szCs w:val="22"/>
        </w:rPr>
        <w:t>iem</w:t>
      </w:r>
      <w:r w:rsidRPr="00456D2A">
        <w:rPr>
          <w:sz w:val="22"/>
          <w:szCs w:val="22"/>
        </w:rPr>
        <w:t xml:space="preserve"> </w:t>
      </w:r>
      <w:r w:rsidR="006A2E33" w:rsidRPr="00456D2A">
        <w:rPr>
          <w:sz w:val="22"/>
          <w:szCs w:val="22"/>
        </w:rPr>
        <w:t xml:space="preserve">ar ķermeņa masu virs 54 kg </w:t>
      </w:r>
      <w:r w:rsidRPr="00456D2A">
        <w:rPr>
          <w:sz w:val="22"/>
          <w:szCs w:val="22"/>
        </w:rPr>
        <w:t>ir 4 g.</w:t>
      </w:r>
    </w:p>
    <w:p w14:paraId="0E0BFA97" w14:textId="77777777" w:rsidR="008D06C6" w:rsidRDefault="008D06C6" w:rsidP="00AE67F6">
      <w:pPr>
        <w:jc w:val="both"/>
        <w:rPr>
          <w:sz w:val="22"/>
          <w:szCs w:val="22"/>
        </w:rPr>
      </w:pPr>
    </w:p>
    <w:p w14:paraId="7C9933E4" w14:textId="77777777" w:rsidR="008D06C6" w:rsidRPr="008D06C6" w:rsidRDefault="008D06C6" w:rsidP="008D06C6">
      <w:pPr>
        <w:rPr>
          <w:bCs/>
          <w:i/>
          <w:iCs/>
          <w:sz w:val="22"/>
          <w:szCs w:val="22"/>
        </w:rPr>
      </w:pPr>
      <w:r w:rsidRPr="008D06C6">
        <w:rPr>
          <w:bCs/>
          <w:i/>
          <w:iCs/>
          <w:sz w:val="22"/>
          <w:szCs w:val="22"/>
        </w:rPr>
        <w:t>Pediatriskā populācija</w:t>
      </w:r>
    </w:p>
    <w:p w14:paraId="1C68A525" w14:textId="77777777" w:rsidR="006A2E33" w:rsidRPr="00456D2A" w:rsidRDefault="006A2E33" w:rsidP="00AE67F6">
      <w:pPr>
        <w:jc w:val="both"/>
        <w:rPr>
          <w:sz w:val="22"/>
          <w:szCs w:val="22"/>
        </w:rPr>
      </w:pPr>
      <w:r w:rsidRPr="00456D2A">
        <w:rPr>
          <w:sz w:val="22"/>
          <w:szCs w:val="22"/>
        </w:rPr>
        <w:t>Pusaudžiem vecumā no 12 līdz 16 gadiem, ar ķermeņa masu 40-54 kg: pa 500 mg, ja nepieciešams ik pēc 4-6 stundām.</w:t>
      </w:r>
    </w:p>
    <w:p w14:paraId="759444E5" w14:textId="77777777" w:rsidR="006A2E33" w:rsidRPr="00456D2A" w:rsidRDefault="006A2E33" w:rsidP="00AE67F6">
      <w:pPr>
        <w:jc w:val="both"/>
        <w:rPr>
          <w:sz w:val="22"/>
          <w:szCs w:val="22"/>
        </w:rPr>
      </w:pPr>
      <w:r w:rsidRPr="00456D2A">
        <w:rPr>
          <w:sz w:val="22"/>
          <w:szCs w:val="22"/>
        </w:rPr>
        <w:t>Maksimālā paracetamola deva diennaktī pusaudžiem no 12 līdz 16 gadiem ar ķermeņa masu 40-54 kg ir 3 g.</w:t>
      </w:r>
    </w:p>
    <w:p w14:paraId="5423F7D5" w14:textId="77777777" w:rsidR="0095156F" w:rsidRPr="00456D2A" w:rsidRDefault="0076522F" w:rsidP="00AE67F6">
      <w:pPr>
        <w:jc w:val="both"/>
        <w:rPr>
          <w:sz w:val="22"/>
          <w:szCs w:val="22"/>
        </w:rPr>
      </w:pPr>
      <w:r w:rsidRPr="00456D2A">
        <w:rPr>
          <w:sz w:val="22"/>
          <w:szCs w:val="22"/>
        </w:rPr>
        <w:lastRenderedPageBreak/>
        <w:t xml:space="preserve">Bērniem </w:t>
      </w:r>
      <w:r w:rsidR="0095156F" w:rsidRPr="00456D2A">
        <w:rPr>
          <w:sz w:val="22"/>
          <w:szCs w:val="22"/>
        </w:rPr>
        <w:t xml:space="preserve">vecumā </w:t>
      </w:r>
      <w:r w:rsidRPr="00456D2A">
        <w:rPr>
          <w:sz w:val="22"/>
          <w:szCs w:val="22"/>
        </w:rPr>
        <w:t>no 6 līdz</w:t>
      </w:r>
      <w:r w:rsidR="0095156F" w:rsidRPr="00456D2A">
        <w:rPr>
          <w:sz w:val="22"/>
          <w:szCs w:val="22"/>
        </w:rPr>
        <w:t xml:space="preserve"> 12 gadiem</w:t>
      </w:r>
      <w:r w:rsidR="00AB4BC1" w:rsidRPr="00456D2A">
        <w:rPr>
          <w:sz w:val="22"/>
          <w:szCs w:val="22"/>
        </w:rPr>
        <w:t>: pa 250 mg – 500 mg</w:t>
      </w:r>
      <w:r w:rsidR="00BA3BE8" w:rsidRPr="00456D2A">
        <w:rPr>
          <w:sz w:val="22"/>
          <w:szCs w:val="22"/>
        </w:rPr>
        <w:t>, ja nepieciešams</w:t>
      </w:r>
      <w:r w:rsidR="00AB4BC1" w:rsidRPr="00456D2A">
        <w:rPr>
          <w:sz w:val="22"/>
          <w:szCs w:val="22"/>
        </w:rPr>
        <w:t xml:space="preserve"> </w:t>
      </w:r>
      <w:r w:rsidR="00BA3BE8" w:rsidRPr="00456D2A">
        <w:rPr>
          <w:sz w:val="22"/>
          <w:szCs w:val="22"/>
        </w:rPr>
        <w:t>3</w:t>
      </w:r>
      <w:r w:rsidR="00AB4BC1" w:rsidRPr="00456D2A">
        <w:rPr>
          <w:sz w:val="22"/>
          <w:szCs w:val="22"/>
        </w:rPr>
        <w:t>-</w:t>
      </w:r>
      <w:r w:rsidR="00BA3BE8" w:rsidRPr="00456D2A">
        <w:rPr>
          <w:sz w:val="22"/>
          <w:szCs w:val="22"/>
        </w:rPr>
        <w:t>4</w:t>
      </w:r>
      <w:r w:rsidR="00AB4BC1" w:rsidRPr="00456D2A">
        <w:rPr>
          <w:sz w:val="22"/>
          <w:szCs w:val="22"/>
        </w:rPr>
        <w:t xml:space="preserve"> reizes dienā</w:t>
      </w:r>
      <w:r w:rsidR="0095156F" w:rsidRPr="00456D2A">
        <w:rPr>
          <w:sz w:val="22"/>
          <w:szCs w:val="22"/>
        </w:rPr>
        <w:t>, ik pēc 4-6 stundām.</w:t>
      </w:r>
    </w:p>
    <w:p w14:paraId="02E77CED" w14:textId="77777777" w:rsidR="003347BF" w:rsidRDefault="003347BF" w:rsidP="00AE67F6">
      <w:pPr>
        <w:jc w:val="both"/>
        <w:rPr>
          <w:sz w:val="22"/>
          <w:szCs w:val="22"/>
        </w:rPr>
      </w:pPr>
      <w:r w:rsidRPr="00456D2A">
        <w:rPr>
          <w:sz w:val="22"/>
          <w:szCs w:val="22"/>
        </w:rPr>
        <w:t xml:space="preserve">Maksimālā paracetamola deva </w:t>
      </w:r>
      <w:r w:rsidR="00577845" w:rsidRPr="00456D2A">
        <w:rPr>
          <w:sz w:val="22"/>
          <w:szCs w:val="22"/>
        </w:rPr>
        <w:t xml:space="preserve">diennaktī </w:t>
      </w:r>
      <w:r w:rsidRPr="00456D2A">
        <w:rPr>
          <w:sz w:val="22"/>
          <w:szCs w:val="22"/>
        </w:rPr>
        <w:t>bērniem</w:t>
      </w:r>
      <w:r w:rsidR="0095156F" w:rsidRPr="00456D2A">
        <w:rPr>
          <w:sz w:val="22"/>
          <w:szCs w:val="22"/>
        </w:rPr>
        <w:t xml:space="preserve"> vecumā</w:t>
      </w:r>
      <w:r w:rsidRPr="00456D2A">
        <w:rPr>
          <w:sz w:val="22"/>
          <w:szCs w:val="22"/>
        </w:rPr>
        <w:t xml:space="preserve"> no 6 - 12 gadiem ir 2 g.</w:t>
      </w:r>
    </w:p>
    <w:p w14:paraId="05B03BB6" w14:textId="77777777" w:rsidR="00A6524B" w:rsidRPr="00456D2A" w:rsidRDefault="00A6524B" w:rsidP="00AE67F6">
      <w:pPr>
        <w:jc w:val="both"/>
        <w:rPr>
          <w:sz w:val="22"/>
          <w:szCs w:val="22"/>
        </w:rPr>
      </w:pPr>
    </w:p>
    <w:p w14:paraId="54EF5DA8" w14:textId="77777777" w:rsidR="00456D2A" w:rsidRPr="0027124E" w:rsidRDefault="00456D2A" w:rsidP="00AE67F6">
      <w:pPr>
        <w:jc w:val="both"/>
        <w:rPr>
          <w:i/>
          <w:iCs/>
          <w:sz w:val="22"/>
          <w:szCs w:val="22"/>
        </w:rPr>
      </w:pPr>
      <w:r w:rsidRPr="0027124E">
        <w:rPr>
          <w:i/>
          <w:iCs/>
          <w:sz w:val="22"/>
          <w:szCs w:val="22"/>
        </w:rPr>
        <w:t xml:space="preserve">Nieru mazspēja </w:t>
      </w:r>
    </w:p>
    <w:p w14:paraId="7DE8CAC3" w14:textId="77777777" w:rsidR="00AB4BC1" w:rsidRPr="0027124E" w:rsidRDefault="00456D2A" w:rsidP="00AE67F6">
      <w:pPr>
        <w:jc w:val="both"/>
        <w:rPr>
          <w:sz w:val="22"/>
          <w:szCs w:val="22"/>
        </w:rPr>
      </w:pPr>
      <w:r w:rsidRPr="0027124E">
        <w:rPr>
          <w:sz w:val="22"/>
          <w:szCs w:val="22"/>
        </w:rPr>
        <w:t xml:space="preserve">Paracetamols ar piesardzību jālieto pacientiem ar nieru mazspēju un smagas nieru mazspējas gadījumā ieteicams palielināt starplaiku starp devu lietošanas reizēm. Ja kreatinīna klīrenss ir mazāks par 10 ml/min, minimālais starplaiks starp devu lietošanas reizēm ir 8 stundas. </w:t>
      </w:r>
      <w:r w:rsidR="00AB4BC1" w:rsidRPr="0027124E">
        <w:rPr>
          <w:sz w:val="22"/>
          <w:szCs w:val="22"/>
        </w:rPr>
        <w:t>Nieru mazspējas gadījumā (kreatinīna klīrenss &lt; 30 ml/min) paracetamola reizes deva ir 500 mg ar intervālu starp devām ne mazāk kā 6 stundas.</w:t>
      </w:r>
      <w:r w:rsidRPr="0027124E">
        <w:rPr>
          <w:sz w:val="22"/>
          <w:szCs w:val="22"/>
        </w:rPr>
        <w:t xml:space="preserve"> </w:t>
      </w:r>
    </w:p>
    <w:p w14:paraId="66B79C77" w14:textId="77777777" w:rsidR="00945D51" w:rsidRDefault="00945D51" w:rsidP="00AE67F6">
      <w:pPr>
        <w:pStyle w:val="Default"/>
        <w:jc w:val="both"/>
        <w:rPr>
          <w:i/>
          <w:iCs/>
          <w:sz w:val="22"/>
          <w:szCs w:val="22"/>
          <w:lang w:val="lv-LV"/>
        </w:rPr>
      </w:pPr>
    </w:p>
    <w:p w14:paraId="2CFA645D" w14:textId="77777777" w:rsidR="00456D2A" w:rsidRPr="007F3824" w:rsidRDefault="00456D2A" w:rsidP="00AE67F6">
      <w:pPr>
        <w:pStyle w:val="Default"/>
        <w:jc w:val="both"/>
        <w:rPr>
          <w:sz w:val="22"/>
          <w:szCs w:val="22"/>
          <w:lang w:val="lv-LV"/>
        </w:rPr>
      </w:pPr>
      <w:r w:rsidRPr="007F3824">
        <w:rPr>
          <w:i/>
          <w:iCs/>
          <w:sz w:val="22"/>
          <w:szCs w:val="22"/>
          <w:lang w:val="lv-LV"/>
        </w:rPr>
        <w:t xml:space="preserve">Aknu mazspēja </w:t>
      </w:r>
    </w:p>
    <w:p w14:paraId="1CE9032D" w14:textId="77777777" w:rsidR="00AE67F6" w:rsidRDefault="00456D2A" w:rsidP="00AE67F6">
      <w:pPr>
        <w:ind w:right="-900"/>
        <w:jc w:val="both"/>
        <w:rPr>
          <w:sz w:val="22"/>
          <w:szCs w:val="22"/>
        </w:rPr>
      </w:pPr>
      <w:r w:rsidRPr="0027124E">
        <w:rPr>
          <w:sz w:val="22"/>
          <w:szCs w:val="22"/>
        </w:rPr>
        <w:t xml:space="preserve">Pacientiem ar aknu mazspēju vai </w:t>
      </w:r>
      <w:r w:rsidR="005A227E">
        <w:rPr>
          <w:sz w:val="22"/>
          <w:szCs w:val="22"/>
        </w:rPr>
        <w:t>Ž</w:t>
      </w:r>
      <w:r w:rsidR="005A227E" w:rsidRPr="0027124E">
        <w:rPr>
          <w:sz w:val="22"/>
          <w:szCs w:val="22"/>
        </w:rPr>
        <w:t xml:space="preserve">ilbēra </w:t>
      </w:r>
      <w:r w:rsidRPr="0027124E">
        <w:rPr>
          <w:sz w:val="22"/>
          <w:szCs w:val="22"/>
        </w:rPr>
        <w:t>(</w:t>
      </w:r>
      <w:r w:rsidRPr="0027124E">
        <w:rPr>
          <w:i/>
          <w:iCs/>
          <w:sz w:val="22"/>
          <w:szCs w:val="22"/>
        </w:rPr>
        <w:t>Gilbert’s</w:t>
      </w:r>
      <w:r w:rsidRPr="0027124E">
        <w:rPr>
          <w:sz w:val="22"/>
          <w:szCs w:val="22"/>
        </w:rPr>
        <w:t xml:space="preserve">) sindromu paracetamols jālieto ar piesardzību. </w:t>
      </w:r>
    </w:p>
    <w:p w14:paraId="322BA273" w14:textId="77777777" w:rsidR="00AB4BC1" w:rsidRPr="0027124E" w:rsidRDefault="00456D2A" w:rsidP="00AE67F6">
      <w:pPr>
        <w:ind w:right="-900"/>
        <w:jc w:val="both"/>
        <w:rPr>
          <w:sz w:val="22"/>
          <w:szCs w:val="22"/>
        </w:rPr>
      </w:pPr>
      <w:r w:rsidRPr="0027124E">
        <w:rPr>
          <w:sz w:val="22"/>
          <w:szCs w:val="22"/>
        </w:rPr>
        <w:t>Jāsamazina deva vai jāpagarina starplaiks starp devu lietošanas reizēm.</w:t>
      </w:r>
    </w:p>
    <w:p w14:paraId="4F03EC18" w14:textId="77777777" w:rsidR="00456D2A" w:rsidRPr="0027124E" w:rsidRDefault="00456D2A" w:rsidP="00AE67F6">
      <w:pPr>
        <w:ind w:right="-900"/>
        <w:jc w:val="both"/>
        <w:rPr>
          <w:sz w:val="22"/>
          <w:szCs w:val="22"/>
        </w:rPr>
      </w:pPr>
    </w:p>
    <w:p w14:paraId="64853826" w14:textId="77777777" w:rsidR="00456D2A" w:rsidRPr="0027124E" w:rsidRDefault="00456D2A" w:rsidP="00AE67F6">
      <w:pPr>
        <w:pStyle w:val="Default"/>
        <w:jc w:val="both"/>
        <w:rPr>
          <w:sz w:val="22"/>
          <w:szCs w:val="22"/>
        </w:rPr>
      </w:pPr>
      <w:r w:rsidRPr="0027124E">
        <w:rPr>
          <w:i/>
          <w:iCs/>
          <w:sz w:val="22"/>
          <w:szCs w:val="22"/>
        </w:rPr>
        <w:t xml:space="preserve">Gados vecāki pacienti </w:t>
      </w:r>
    </w:p>
    <w:p w14:paraId="65C7E511" w14:textId="77777777" w:rsidR="00456D2A" w:rsidRPr="0027124E" w:rsidRDefault="00456D2A" w:rsidP="00AE67F6">
      <w:pPr>
        <w:pStyle w:val="Default"/>
        <w:jc w:val="both"/>
        <w:rPr>
          <w:sz w:val="22"/>
          <w:szCs w:val="22"/>
        </w:rPr>
      </w:pPr>
      <w:r w:rsidRPr="0027124E">
        <w:rPr>
          <w:sz w:val="22"/>
          <w:szCs w:val="22"/>
        </w:rPr>
        <w:t>Gados vecākiem pacientiem deva nav jāpielāgo.</w:t>
      </w:r>
    </w:p>
    <w:p w14:paraId="40ABA028" w14:textId="77777777" w:rsidR="00456D2A" w:rsidRPr="0027124E" w:rsidRDefault="00456D2A" w:rsidP="00AE67F6">
      <w:pPr>
        <w:pStyle w:val="Default"/>
        <w:jc w:val="both"/>
        <w:rPr>
          <w:sz w:val="22"/>
          <w:szCs w:val="22"/>
        </w:rPr>
      </w:pPr>
      <w:r w:rsidRPr="0027124E">
        <w:rPr>
          <w:sz w:val="22"/>
          <w:szCs w:val="22"/>
        </w:rPr>
        <w:t xml:space="preserve"> </w:t>
      </w:r>
    </w:p>
    <w:p w14:paraId="132BF65A" w14:textId="77777777" w:rsidR="00456D2A" w:rsidRPr="0027124E" w:rsidRDefault="00456D2A" w:rsidP="00AE67F6">
      <w:pPr>
        <w:pStyle w:val="Default"/>
        <w:jc w:val="both"/>
        <w:rPr>
          <w:sz w:val="22"/>
          <w:szCs w:val="22"/>
        </w:rPr>
      </w:pPr>
      <w:r w:rsidRPr="0027124E">
        <w:rPr>
          <w:i/>
          <w:iCs/>
          <w:sz w:val="22"/>
          <w:szCs w:val="22"/>
        </w:rPr>
        <w:t xml:space="preserve">Hronisks alkoholisms </w:t>
      </w:r>
    </w:p>
    <w:p w14:paraId="189689AE" w14:textId="77777777" w:rsidR="00AE67F6" w:rsidRDefault="00456D2A" w:rsidP="00AE67F6">
      <w:pPr>
        <w:ind w:right="-900"/>
        <w:jc w:val="both"/>
        <w:rPr>
          <w:sz w:val="22"/>
          <w:szCs w:val="22"/>
        </w:rPr>
      </w:pPr>
      <w:r w:rsidRPr="0027124E">
        <w:rPr>
          <w:sz w:val="22"/>
          <w:szCs w:val="22"/>
        </w:rPr>
        <w:t xml:space="preserve">Hroniska alkohola lietošana var samazināt paracetamola toksicitātes slieksni. Šiem pacientiem </w:t>
      </w:r>
    </w:p>
    <w:p w14:paraId="622C876A" w14:textId="77777777" w:rsidR="00AE67F6" w:rsidRDefault="00456D2A" w:rsidP="00AE67F6">
      <w:pPr>
        <w:ind w:right="-900"/>
        <w:jc w:val="both"/>
        <w:rPr>
          <w:sz w:val="22"/>
          <w:szCs w:val="22"/>
        </w:rPr>
      </w:pPr>
      <w:r w:rsidRPr="0027124E">
        <w:rPr>
          <w:sz w:val="22"/>
          <w:szCs w:val="22"/>
        </w:rPr>
        <w:t xml:space="preserve">minimālais starplaiks starp devu lietošanas reizēm ir 8 stundas. Dienas laikā nedrīkst lietot </w:t>
      </w:r>
    </w:p>
    <w:p w14:paraId="6153D7FB" w14:textId="77777777" w:rsidR="00456D2A" w:rsidRPr="0027124E" w:rsidRDefault="00456D2A" w:rsidP="00AE67F6">
      <w:pPr>
        <w:ind w:right="-900"/>
        <w:jc w:val="both"/>
        <w:rPr>
          <w:sz w:val="22"/>
          <w:szCs w:val="22"/>
        </w:rPr>
      </w:pPr>
      <w:r w:rsidRPr="0027124E">
        <w:rPr>
          <w:sz w:val="22"/>
          <w:szCs w:val="22"/>
        </w:rPr>
        <w:t>vairāk kā 2 g paracetamola.</w:t>
      </w:r>
    </w:p>
    <w:p w14:paraId="6891964B" w14:textId="77777777" w:rsidR="0027124E" w:rsidRPr="0027124E" w:rsidRDefault="0027124E" w:rsidP="00AE67F6">
      <w:pPr>
        <w:ind w:right="-900"/>
        <w:jc w:val="both"/>
        <w:rPr>
          <w:sz w:val="22"/>
          <w:szCs w:val="22"/>
        </w:rPr>
      </w:pPr>
    </w:p>
    <w:p w14:paraId="343F9A7B" w14:textId="77777777" w:rsidR="00456D2A" w:rsidRDefault="00456D2A" w:rsidP="00AE67F6">
      <w:pPr>
        <w:pStyle w:val="Default"/>
        <w:jc w:val="both"/>
        <w:rPr>
          <w:bCs/>
          <w:iCs/>
          <w:sz w:val="22"/>
          <w:szCs w:val="22"/>
          <w:u w:val="single"/>
          <w:lang w:val="lv-LV"/>
        </w:rPr>
      </w:pPr>
      <w:r w:rsidRPr="00945D51">
        <w:rPr>
          <w:bCs/>
          <w:iCs/>
          <w:sz w:val="22"/>
          <w:szCs w:val="22"/>
          <w:u w:val="single"/>
          <w:lang w:val="lv-LV"/>
        </w:rPr>
        <w:t xml:space="preserve">Lietošanas veids </w:t>
      </w:r>
    </w:p>
    <w:p w14:paraId="0716355B" w14:textId="77777777" w:rsidR="00945D51" w:rsidRPr="00945D51" w:rsidRDefault="00945D51" w:rsidP="00AE67F6">
      <w:pPr>
        <w:pStyle w:val="Default"/>
        <w:jc w:val="both"/>
        <w:rPr>
          <w:sz w:val="22"/>
          <w:szCs w:val="22"/>
          <w:u w:val="single"/>
          <w:lang w:val="lv-LV"/>
        </w:rPr>
      </w:pPr>
    </w:p>
    <w:p w14:paraId="7A09A146" w14:textId="77777777" w:rsidR="00456D2A" w:rsidRPr="007F3824" w:rsidRDefault="00456D2A" w:rsidP="00AE67F6">
      <w:pPr>
        <w:pStyle w:val="Default"/>
        <w:jc w:val="both"/>
        <w:rPr>
          <w:sz w:val="22"/>
          <w:szCs w:val="22"/>
          <w:lang w:val="lv-LV"/>
        </w:rPr>
      </w:pPr>
      <w:r w:rsidRPr="007F3824">
        <w:rPr>
          <w:sz w:val="22"/>
          <w:szCs w:val="22"/>
          <w:lang w:val="lv-LV"/>
        </w:rPr>
        <w:t xml:space="preserve">Iekšķīgai lietošanai. </w:t>
      </w:r>
    </w:p>
    <w:p w14:paraId="5E7CE3A1" w14:textId="77777777" w:rsidR="0027124E" w:rsidRPr="007F3824" w:rsidRDefault="0027124E" w:rsidP="00AE67F6">
      <w:pPr>
        <w:pStyle w:val="Default"/>
        <w:jc w:val="both"/>
        <w:rPr>
          <w:sz w:val="22"/>
          <w:szCs w:val="22"/>
          <w:lang w:val="lv-LV"/>
        </w:rPr>
      </w:pPr>
    </w:p>
    <w:p w14:paraId="78357239" w14:textId="77777777" w:rsidR="00456D2A" w:rsidRPr="0027124E" w:rsidRDefault="00456D2A" w:rsidP="00AE67F6">
      <w:pPr>
        <w:ind w:right="-900"/>
        <w:jc w:val="both"/>
        <w:rPr>
          <w:sz w:val="22"/>
          <w:szCs w:val="22"/>
        </w:rPr>
      </w:pPr>
      <w:r w:rsidRPr="0027124E">
        <w:rPr>
          <w:sz w:val="22"/>
          <w:szCs w:val="22"/>
        </w:rPr>
        <w:t>Tabletes jānorij veselas, uzdzerot glāzi ūdens.</w:t>
      </w:r>
    </w:p>
    <w:p w14:paraId="356BF3A3" w14:textId="77777777" w:rsidR="0027124E" w:rsidRPr="0027124E" w:rsidRDefault="0027124E" w:rsidP="00AE67F6">
      <w:pPr>
        <w:ind w:right="-900"/>
        <w:jc w:val="both"/>
        <w:rPr>
          <w:sz w:val="22"/>
          <w:szCs w:val="22"/>
        </w:rPr>
      </w:pPr>
    </w:p>
    <w:p w14:paraId="096E82AB" w14:textId="77777777" w:rsidR="0027124E" w:rsidRPr="00A6524B" w:rsidRDefault="0027124E" w:rsidP="00AE67F6">
      <w:pPr>
        <w:jc w:val="both"/>
        <w:rPr>
          <w:b/>
          <w:sz w:val="22"/>
          <w:szCs w:val="22"/>
        </w:rPr>
      </w:pPr>
      <w:r w:rsidRPr="00A6524B">
        <w:rPr>
          <w:b/>
          <w:sz w:val="22"/>
          <w:szCs w:val="22"/>
        </w:rPr>
        <w:t>N</w:t>
      </w:r>
      <w:r w:rsidR="00A6524B">
        <w:rPr>
          <w:b/>
          <w:sz w:val="22"/>
          <w:szCs w:val="22"/>
        </w:rPr>
        <w:t>edrīkst pārsniegt norādīto devu!</w:t>
      </w:r>
    </w:p>
    <w:p w14:paraId="6F97946A" w14:textId="77777777" w:rsidR="0027124E" w:rsidRPr="00A6524B" w:rsidRDefault="0027124E" w:rsidP="00AE67F6">
      <w:pPr>
        <w:jc w:val="both"/>
        <w:rPr>
          <w:b/>
          <w:sz w:val="22"/>
          <w:szCs w:val="22"/>
        </w:rPr>
      </w:pPr>
    </w:p>
    <w:p w14:paraId="25258C7D" w14:textId="77777777" w:rsidR="0027124E" w:rsidRPr="00A6524B" w:rsidRDefault="0027124E" w:rsidP="00AE67F6">
      <w:pPr>
        <w:jc w:val="both"/>
        <w:rPr>
          <w:b/>
          <w:sz w:val="22"/>
          <w:szCs w:val="22"/>
        </w:rPr>
      </w:pPr>
      <w:r w:rsidRPr="00A6524B">
        <w:rPr>
          <w:b/>
          <w:sz w:val="22"/>
          <w:szCs w:val="22"/>
        </w:rPr>
        <w:t>Nelietot vienlaikus ar cit</w:t>
      </w:r>
      <w:r w:rsidR="00A6524B">
        <w:rPr>
          <w:b/>
          <w:sz w:val="22"/>
          <w:szCs w:val="22"/>
        </w:rPr>
        <w:t>ām paracetamolu saturošām zālēm!</w:t>
      </w:r>
      <w:r w:rsidRPr="00A6524B">
        <w:rPr>
          <w:b/>
          <w:sz w:val="22"/>
          <w:szCs w:val="22"/>
        </w:rPr>
        <w:t xml:space="preserve"> </w:t>
      </w:r>
    </w:p>
    <w:p w14:paraId="2C8B5321" w14:textId="77777777" w:rsidR="00456D2A" w:rsidRPr="0027124E" w:rsidRDefault="00456D2A" w:rsidP="00AE67F6">
      <w:pPr>
        <w:ind w:right="-900"/>
        <w:jc w:val="both"/>
        <w:rPr>
          <w:sz w:val="22"/>
          <w:szCs w:val="22"/>
        </w:rPr>
      </w:pPr>
    </w:p>
    <w:p w14:paraId="7800E9E8" w14:textId="77777777" w:rsidR="0027124E" w:rsidRPr="0027124E" w:rsidRDefault="0027124E" w:rsidP="00AE67F6">
      <w:pPr>
        <w:jc w:val="both"/>
        <w:rPr>
          <w:sz w:val="22"/>
          <w:szCs w:val="22"/>
        </w:rPr>
      </w:pPr>
      <w:r w:rsidRPr="0027124E">
        <w:rPr>
          <w:sz w:val="22"/>
          <w:szCs w:val="22"/>
        </w:rPr>
        <w:t>Maksimālais nepārtrauktas lietošanas ilgums bez konsultēšanās ar ārstu: 3 dienas. Ja simptomi nemazinās pēc 3 dienām, pacientiem jāieteic konsultēties ar ārstu.</w:t>
      </w:r>
    </w:p>
    <w:p w14:paraId="561A7014" w14:textId="77777777" w:rsidR="0027124E" w:rsidRPr="00175498" w:rsidRDefault="0027124E" w:rsidP="00AE67F6">
      <w:pPr>
        <w:jc w:val="both"/>
      </w:pPr>
    </w:p>
    <w:p w14:paraId="4F4A806A" w14:textId="77777777" w:rsidR="00AB4BC1" w:rsidRDefault="00AB4BC1" w:rsidP="00AE67F6">
      <w:pPr>
        <w:ind w:right="-900"/>
        <w:jc w:val="both"/>
        <w:rPr>
          <w:b/>
          <w:sz w:val="22"/>
        </w:rPr>
      </w:pPr>
      <w:r>
        <w:rPr>
          <w:b/>
          <w:sz w:val="22"/>
        </w:rPr>
        <w:t>4.3. Kontrindikācijas</w:t>
      </w:r>
    </w:p>
    <w:p w14:paraId="782D317B" w14:textId="77777777" w:rsidR="00AB4BC1" w:rsidRDefault="00AB4BC1" w:rsidP="00AE67F6">
      <w:pPr>
        <w:ind w:right="-900"/>
        <w:jc w:val="both"/>
        <w:rPr>
          <w:sz w:val="22"/>
        </w:rPr>
      </w:pPr>
    </w:p>
    <w:p w14:paraId="78D026C1" w14:textId="77777777" w:rsidR="00AE67F6" w:rsidRDefault="00AB4BC1" w:rsidP="00AE67F6">
      <w:pPr>
        <w:ind w:right="-900"/>
        <w:jc w:val="both"/>
        <w:rPr>
          <w:sz w:val="22"/>
        </w:rPr>
      </w:pPr>
      <w:r>
        <w:rPr>
          <w:sz w:val="22"/>
        </w:rPr>
        <w:t xml:space="preserve">Paaugstināta jutība pret aktīvo vielu paracetamolu </w:t>
      </w:r>
      <w:r w:rsidR="00BC37CB" w:rsidRPr="00D559F1">
        <w:rPr>
          <w:sz w:val="22"/>
        </w:rPr>
        <w:t>un/</w:t>
      </w:r>
      <w:r w:rsidRPr="00D559F1">
        <w:rPr>
          <w:sz w:val="22"/>
        </w:rPr>
        <w:t xml:space="preserve">vai jebkuru </w:t>
      </w:r>
      <w:r w:rsidR="00BC37CB" w:rsidRPr="00D559F1">
        <w:rPr>
          <w:sz w:val="22"/>
        </w:rPr>
        <w:t>no</w:t>
      </w:r>
      <w:r w:rsidR="0027124E">
        <w:rPr>
          <w:sz w:val="22"/>
        </w:rPr>
        <w:t xml:space="preserve"> 6.1 apakšpunktā uzskaitītām</w:t>
      </w:r>
      <w:r w:rsidR="00BC37CB" w:rsidRPr="00D559F1">
        <w:rPr>
          <w:sz w:val="22"/>
        </w:rPr>
        <w:t xml:space="preserve"> </w:t>
      </w:r>
    </w:p>
    <w:p w14:paraId="646BA9AE" w14:textId="77777777" w:rsidR="00AB4BC1" w:rsidRPr="00D559F1" w:rsidRDefault="00BC37CB" w:rsidP="00AE67F6">
      <w:pPr>
        <w:ind w:right="-900"/>
        <w:jc w:val="both"/>
        <w:rPr>
          <w:b/>
          <w:sz w:val="22"/>
        </w:rPr>
      </w:pPr>
      <w:r w:rsidRPr="00D559F1">
        <w:rPr>
          <w:sz w:val="22"/>
        </w:rPr>
        <w:t>palīgvielām</w:t>
      </w:r>
      <w:r w:rsidR="00AB4BC1" w:rsidRPr="00D559F1">
        <w:rPr>
          <w:sz w:val="22"/>
        </w:rPr>
        <w:t>.</w:t>
      </w:r>
    </w:p>
    <w:p w14:paraId="115963E3" w14:textId="77777777" w:rsidR="00AB4BC1" w:rsidRPr="00D559F1" w:rsidRDefault="00AB4BC1" w:rsidP="00AE67F6">
      <w:pPr>
        <w:ind w:right="-900"/>
        <w:jc w:val="both"/>
        <w:rPr>
          <w:b/>
          <w:sz w:val="22"/>
        </w:rPr>
      </w:pPr>
    </w:p>
    <w:p w14:paraId="2D59AF9E" w14:textId="77777777" w:rsidR="00AB4BC1" w:rsidRDefault="00AB4BC1" w:rsidP="00AE67F6">
      <w:pPr>
        <w:ind w:right="-900"/>
        <w:jc w:val="both"/>
        <w:rPr>
          <w:b/>
          <w:sz w:val="22"/>
        </w:rPr>
      </w:pPr>
      <w:r w:rsidRPr="00D559F1">
        <w:rPr>
          <w:b/>
          <w:sz w:val="22"/>
        </w:rPr>
        <w:t>4.4. Īpaši brīdinājumi un piesardzība lietošanā</w:t>
      </w:r>
    </w:p>
    <w:p w14:paraId="64B3040F" w14:textId="77777777" w:rsidR="00AB4BC1" w:rsidRDefault="00AB4BC1" w:rsidP="00AE67F6">
      <w:pPr>
        <w:pStyle w:val="BodyTextIndent"/>
        <w:tabs>
          <w:tab w:val="num" w:pos="0"/>
        </w:tabs>
        <w:ind w:left="0"/>
        <w:jc w:val="both"/>
        <w:rPr>
          <w:sz w:val="22"/>
        </w:rPr>
      </w:pPr>
    </w:p>
    <w:p w14:paraId="42AF8E1D" w14:textId="77777777" w:rsidR="00AB4BC1" w:rsidRDefault="00AB4BC1" w:rsidP="00AE67F6">
      <w:pPr>
        <w:pStyle w:val="BodyTextIndent"/>
        <w:tabs>
          <w:tab w:val="num" w:pos="0"/>
        </w:tabs>
        <w:ind w:left="0"/>
        <w:jc w:val="both"/>
        <w:rPr>
          <w:sz w:val="22"/>
        </w:rPr>
      </w:pPr>
      <w:r>
        <w:rPr>
          <w:sz w:val="22"/>
        </w:rPr>
        <w:t>PARAMAX vajadzētu lietot īpaši piesardzīgi (t.i., lietojot ar lielākiem intervāliem vai samazinātā devā) sekojošos gadījumos:</w:t>
      </w:r>
    </w:p>
    <w:p w14:paraId="63EBC021" w14:textId="77777777" w:rsidR="00AB4BC1" w:rsidRDefault="00AB4BC1" w:rsidP="005111D4">
      <w:pPr>
        <w:pStyle w:val="BodyTextIndent"/>
        <w:numPr>
          <w:ilvl w:val="0"/>
          <w:numId w:val="12"/>
        </w:numPr>
        <w:ind w:hanging="294"/>
        <w:jc w:val="both"/>
        <w:rPr>
          <w:sz w:val="22"/>
        </w:rPr>
      </w:pPr>
      <w:r>
        <w:rPr>
          <w:sz w:val="22"/>
        </w:rPr>
        <w:t xml:space="preserve">aknu funkciju traucējumi (piem., hroniska alkoholisma vai hepatīta </w:t>
      </w:r>
      <w:r w:rsidR="005A227E">
        <w:rPr>
          <w:sz w:val="22"/>
        </w:rPr>
        <w:t>gadījumā</w:t>
      </w:r>
      <w:r>
        <w:rPr>
          <w:sz w:val="22"/>
        </w:rPr>
        <w:t>),</w:t>
      </w:r>
    </w:p>
    <w:p w14:paraId="6636AAC5" w14:textId="77777777" w:rsidR="00AB4BC1" w:rsidRDefault="00AB4BC1" w:rsidP="005111D4">
      <w:pPr>
        <w:pStyle w:val="BodyTextIndent"/>
        <w:numPr>
          <w:ilvl w:val="0"/>
          <w:numId w:val="12"/>
        </w:numPr>
        <w:ind w:hanging="294"/>
        <w:jc w:val="both"/>
        <w:rPr>
          <w:sz w:val="22"/>
        </w:rPr>
      </w:pPr>
      <w:r>
        <w:rPr>
          <w:sz w:val="22"/>
        </w:rPr>
        <w:t>jau agrāk radušies nieru bojājumi,</w:t>
      </w:r>
    </w:p>
    <w:p w14:paraId="5A424046" w14:textId="77777777" w:rsidR="005111D4" w:rsidRDefault="00AB4BC1" w:rsidP="00081D8E">
      <w:pPr>
        <w:pStyle w:val="BodyTextIndent"/>
        <w:numPr>
          <w:ilvl w:val="0"/>
          <w:numId w:val="12"/>
        </w:numPr>
        <w:ind w:hanging="294"/>
        <w:jc w:val="both"/>
        <w:rPr>
          <w:sz w:val="22"/>
        </w:rPr>
      </w:pPr>
      <w:r>
        <w:rPr>
          <w:sz w:val="22"/>
        </w:rPr>
        <w:t>iedzimts palielināts bilirubīna satu</w:t>
      </w:r>
      <w:r w:rsidR="005D5B08">
        <w:rPr>
          <w:sz w:val="22"/>
        </w:rPr>
        <w:t xml:space="preserve">rs asinīs (Žilbēra sindroms jeb </w:t>
      </w:r>
      <w:r>
        <w:rPr>
          <w:sz w:val="22"/>
        </w:rPr>
        <w:t>Meilengrahta slimība).</w:t>
      </w:r>
    </w:p>
    <w:p w14:paraId="3AA8AF2C" w14:textId="77777777" w:rsidR="005111D4" w:rsidRPr="00081D8E" w:rsidRDefault="0027124E" w:rsidP="00081D8E">
      <w:pPr>
        <w:pStyle w:val="BodyTextIndent"/>
        <w:numPr>
          <w:ilvl w:val="0"/>
          <w:numId w:val="12"/>
        </w:numPr>
        <w:ind w:hanging="294"/>
        <w:jc w:val="both"/>
        <w:rPr>
          <w:sz w:val="22"/>
        </w:rPr>
      </w:pPr>
      <w:r w:rsidRPr="005111D4">
        <w:rPr>
          <w:szCs w:val="22"/>
        </w:rPr>
        <w:t>Piesardzīgi jālieto pacientiem ar astmu, kuriem ir paaugstināta jutība pret acetilsalicilskābi un NSPL, jo ir ziņots par vieglām bronhu spazmām saistībā ar paracetamola lietošanu (krusteniskā reakcija).</w:t>
      </w:r>
    </w:p>
    <w:p w14:paraId="7454FA7B" w14:textId="77777777" w:rsidR="0027124E" w:rsidRDefault="0027124E" w:rsidP="00081D8E">
      <w:pPr>
        <w:pStyle w:val="BodyTextIndent"/>
        <w:numPr>
          <w:ilvl w:val="0"/>
          <w:numId w:val="4"/>
        </w:numPr>
        <w:rPr>
          <w:szCs w:val="22"/>
        </w:rPr>
      </w:pPr>
      <w:r w:rsidRPr="0027124E">
        <w:rPr>
          <w:szCs w:val="22"/>
        </w:rPr>
        <w:lastRenderedPageBreak/>
        <w:t>Piesardzīgi jālieto pacientiem ar glikozes-6-fosfātdehidrogenāzes deficītu, hemolītisko anēmiju, dehidratētiem pacientiem vai pacientiem ar hroniskiem uztures traucējumiem.</w:t>
      </w:r>
    </w:p>
    <w:p w14:paraId="7B1A362B" w14:textId="77777777" w:rsidR="0027124E" w:rsidRDefault="0027124E" w:rsidP="00081D8E">
      <w:pPr>
        <w:numPr>
          <w:ilvl w:val="0"/>
          <w:numId w:val="4"/>
        </w:numPr>
        <w:ind w:left="0" w:firstLine="284"/>
        <w:jc w:val="both"/>
        <w:rPr>
          <w:sz w:val="22"/>
          <w:szCs w:val="22"/>
        </w:rPr>
      </w:pPr>
      <w:r w:rsidRPr="0027124E">
        <w:rPr>
          <w:sz w:val="22"/>
          <w:szCs w:val="22"/>
        </w:rPr>
        <w:t xml:space="preserve">Pārdozēšanas kaitējums ir lielāks tiem pacientiem, kuriem ir necirotiskas alkohola izraisītas </w:t>
      </w:r>
      <w:r w:rsidR="005111D4">
        <w:rPr>
          <w:sz w:val="22"/>
          <w:szCs w:val="22"/>
        </w:rPr>
        <w:tab/>
      </w:r>
      <w:r w:rsidRPr="0027124E">
        <w:rPr>
          <w:sz w:val="22"/>
          <w:szCs w:val="22"/>
        </w:rPr>
        <w:t>aknu slimības. Piesardzība jāievēro</w:t>
      </w:r>
      <w:r w:rsidR="001E1231">
        <w:rPr>
          <w:sz w:val="22"/>
          <w:szCs w:val="22"/>
        </w:rPr>
        <w:t>,</w:t>
      </w:r>
      <w:r w:rsidRPr="0027124E">
        <w:rPr>
          <w:sz w:val="22"/>
          <w:szCs w:val="22"/>
        </w:rPr>
        <w:t xml:space="preserve"> lietojot hroniskiem alkoholiķiem. Šajos gadījumos dienas </w:t>
      </w:r>
      <w:r w:rsidR="005111D4">
        <w:rPr>
          <w:sz w:val="22"/>
          <w:szCs w:val="22"/>
        </w:rPr>
        <w:tab/>
      </w:r>
      <w:r w:rsidRPr="0027124E">
        <w:rPr>
          <w:sz w:val="22"/>
          <w:szCs w:val="22"/>
        </w:rPr>
        <w:t>devas nedrīkst pārsniegt 2 g. Paracetamola terapijas laikā nedrīkst lietot alkoholu.</w:t>
      </w:r>
    </w:p>
    <w:p w14:paraId="379D08A2" w14:textId="77777777" w:rsidR="0027124E" w:rsidRDefault="0027124E" w:rsidP="00AE67F6">
      <w:pPr>
        <w:pStyle w:val="BodyTextIndent"/>
        <w:ind w:left="0"/>
        <w:jc w:val="both"/>
        <w:rPr>
          <w:sz w:val="22"/>
        </w:rPr>
      </w:pPr>
    </w:p>
    <w:p w14:paraId="1E60EFD1" w14:textId="77777777" w:rsidR="00AB4BC1" w:rsidRPr="0027124E" w:rsidRDefault="00AB4BC1" w:rsidP="00AE67F6">
      <w:pPr>
        <w:pStyle w:val="BodyText2"/>
        <w:jc w:val="both"/>
        <w:rPr>
          <w:rFonts w:ascii="Times New Roman" w:hAnsi="Times New Roman"/>
        </w:rPr>
      </w:pPr>
      <w:r w:rsidRPr="0027124E">
        <w:rPr>
          <w:rFonts w:ascii="Times New Roman" w:hAnsi="Times New Roman"/>
        </w:rPr>
        <w:t>Pretsāpju līdzekļus lietojot ilgstoši, lielās devās vai neatbilstoši norādījumiem, var rasties galvassāpes, ko nedrīkst ārstēt, izmantojot medikamenta palielinātas devas.</w:t>
      </w:r>
    </w:p>
    <w:p w14:paraId="07DCEAEA" w14:textId="77777777" w:rsidR="00AB4BC1" w:rsidRDefault="00AB4BC1" w:rsidP="00AE67F6">
      <w:pPr>
        <w:pStyle w:val="BodyText2"/>
        <w:jc w:val="both"/>
        <w:rPr>
          <w:rFonts w:ascii="Times New Roman" w:hAnsi="Times New Roman"/>
        </w:rPr>
      </w:pPr>
      <w:r w:rsidRPr="0027124E">
        <w:rPr>
          <w:rFonts w:ascii="Times New Roman" w:hAnsi="Times New Roman"/>
        </w:rPr>
        <w:t>Ilgstoši lietojot paracetamolu var palielināties nieru toksicitātes risks.</w:t>
      </w:r>
    </w:p>
    <w:p w14:paraId="412CB926" w14:textId="77777777" w:rsidR="0091015A" w:rsidRPr="0027124E" w:rsidRDefault="0091015A" w:rsidP="00AE67F6">
      <w:pPr>
        <w:pStyle w:val="BodyText2"/>
        <w:jc w:val="both"/>
        <w:rPr>
          <w:rFonts w:ascii="Times New Roman" w:hAnsi="Times New Roman"/>
        </w:rPr>
      </w:pPr>
      <w:r w:rsidRPr="00CA7C79">
        <w:rPr>
          <w:rFonts w:ascii="Times New Roman" w:hAnsi="Times New Roman"/>
        </w:rPr>
        <w:t xml:space="preserve">Lai </w:t>
      </w:r>
      <w:r w:rsidR="00515368" w:rsidRPr="00CA7C79">
        <w:rPr>
          <w:rFonts w:ascii="Times New Roman" w:hAnsi="Times New Roman"/>
        </w:rPr>
        <w:t xml:space="preserve">izvairītos no pārdozēšanas, </w:t>
      </w:r>
      <w:r w:rsidRPr="00CA7C79">
        <w:rPr>
          <w:rFonts w:ascii="Times New Roman" w:hAnsi="Times New Roman"/>
        </w:rPr>
        <w:t xml:space="preserve">ir jāpārbauda, vai pacients </w:t>
      </w:r>
      <w:r w:rsidR="00515368" w:rsidRPr="00CA7C79">
        <w:rPr>
          <w:rFonts w:ascii="Times New Roman" w:hAnsi="Times New Roman"/>
        </w:rPr>
        <w:t>ne</w:t>
      </w:r>
      <w:r w:rsidRPr="00CA7C79">
        <w:rPr>
          <w:rFonts w:ascii="Times New Roman" w:hAnsi="Times New Roman"/>
        </w:rPr>
        <w:t>lieto citas paracetamolu saturošas zāles.</w:t>
      </w:r>
    </w:p>
    <w:p w14:paraId="6BC7ABBD" w14:textId="3E852269" w:rsidR="0027124E" w:rsidRDefault="0027124E" w:rsidP="00AE67F6">
      <w:pPr>
        <w:pStyle w:val="BodyText2"/>
        <w:jc w:val="both"/>
        <w:rPr>
          <w:rFonts w:ascii="Times New Roman" w:hAnsi="Times New Roman"/>
        </w:rPr>
      </w:pPr>
      <w:r w:rsidRPr="0027124E">
        <w:rPr>
          <w:rFonts w:ascii="Times New Roman" w:hAnsi="Times New Roman"/>
        </w:rPr>
        <w:t xml:space="preserve">Pārdozēšanas gadījumā nekavējoties jāmeklē medicīniskā palīdzība arī tad, ja pacients jūtas labi, jo pastāv neatgriezenisks aknu bojājuma risks (skatīt </w:t>
      </w:r>
      <w:r w:rsidR="005A227E" w:rsidRPr="0027124E">
        <w:rPr>
          <w:rFonts w:ascii="Times New Roman" w:hAnsi="Times New Roman"/>
        </w:rPr>
        <w:t>4.9</w:t>
      </w:r>
      <w:r w:rsidR="005A227E">
        <w:rPr>
          <w:rFonts w:ascii="Times New Roman" w:hAnsi="Times New Roman"/>
        </w:rPr>
        <w:t xml:space="preserve">. </w:t>
      </w:r>
      <w:r w:rsidR="005A227E" w:rsidRPr="0027124E">
        <w:rPr>
          <w:rFonts w:ascii="Times New Roman" w:hAnsi="Times New Roman"/>
        </w:rPr>
        <w:t>apakšpunkt</w:t>
      </w:r>
      <w:r w:rsidR="00767D31">
        <w:rPr>
          <w:rFonts w:ascii="Times New Roman" w:hAnsi="Times New Roman"/>
        </w:rPr>
        <w:t>u</w:t>
      </w:r>
      <w:r w:rsidRPr="0027124E">
        <w:rPr>
          <w:rFonts w:ascii="Times New Roman" w:hAnsi="Times New Roman"/>
        </w:rPr>
        <w:t>).</w:t>
      </w:r>
    </w:p>
    <w:p w14:paraId="1485DE3B" w14:textId="6EAB26DE" w:rsidR="001A5EBF" w:rsidRDefault="001A5EBF" w:rsidP="00AE67F6">
      <w:pPr>
        <w:pStyle w:val="BodyText2"/>
        <w:jc w:val="both"/>
        <w:rPr>
          <w:rFonts w:ascii="Times New Roman" w:hAnsi="Times New Roman"/>
        </w:rPr>
      </w:pPr>
    </w:p>
    <w:p w14:paraId="36FEFDA6" w14:textId="00134A25" w:rsidR="001A5EBF" w:rsidRPr="0027124E" w:rsidRDefault="001A5EBF" w:rsidP="00AE67F6">
      <w:pPr>
        <w:pStyle w:val="BodyText2"/>
        <w:jc w:val="both"/>
        <w:rPr>
          <w:rFonts w:ascii="Times New Roman" w:hAnsi="Times New Roman"/>
        </w:rPr>
      </w:pPr>
      <w:r w:rsidRPr="001A5EBF">
        <w:rPr>
          <w:rFonts w:ascii="Times New Roman" w:hAnsi="Times New Roman"/>
        </w:rPr>
        <w:t>Jāievēro piesardzība, ja paracetamolu lieto vienlaikus ar flukloksacilīnu, jo ir paaugstināts metabolās acidozes ar lielu anjonu starpību (High Anion Gap Metabolic Acidosis - HAGMA) risks, īpaši pacientiem ar smagiem nieru darbības traucējumiem, sepsi, nepietiekamu uzturu un citiem glutationa deficīta iemesliem (piemēram, hronisks alkoholisms), kā arī tiem, kuri lieto maksimālās paracetamola dienas devas. Ieteicama rūpīga uzraudzība, tostarp 5-oksoprolīna noteikšana urīnā.</w:t>
      </w:r>
    </w:p>
    <w:p w14:paraId="66144FB1" w14:textId="77777777" w:rsidR="00AB4BC1" w:rsidRDefault="00AB4BC1">
      <w:pPr>
        <w:ind w:right="-900"/>
        <w:jc w:val="both"/>
        <w:rPr>
          <w:sz w:val="22"/>
        </w:rPr>
      </w:pPr>
    </w:p>
    <w:p w14:paraId="34423801" w14:textId="77777777" w:rsidR="00AB4BC1" w:rsidRDefault="00AB4BC1">
      <w:pPr>
        <w:numPr>
          <w:ilvl w:val="1"/>
          <w:numId w:val="8"/>
        </w:numPr>
        <w:ind w:right="-900"/>
        <w:jc w:val="both"/>
        <w:rPr>
          <w:b/>
          <w:sz w:val="22"/>
        </w:rPr>
      </w:pPr>
      <w:r>
        <w:rPr>
          <w:b/>
          <w:sz w:val="22"/>
        </w:rPr>
        <w:t xml:space="preserve"> Mijiedarbība ar citām zālēm un citi mijiedarbības veidi</w:t>
      </w:r>
    </w:p>
    <w:p w14:paraId="6B6B5E1F" w14:textId="77777777" w:rsidR="00AB4BC1" w:rsidRPr="00577845" w:rsidRDefault="00AB4BC1">
      <w:pPr>
        <w:jc w:val="both"/>
        <w:rPr>
          <w:sz w:val="22"/>
          <w:szCs w:val="22"/>
        </w:rPr>
      </w:pPr>
    </w:p>
    <w:p w14:paraId="1106AA59" w14:textId="77777777" w:rsidR="00577845" w:rsidRPr="00577845" w:rsidRDefault="00AB4BC1" w:rsidP="00577845">
      <w:pPr>
        <w:jc w:val="both"/>
        <w:rPr>
          <w:sz w:val="22"/>
          <w:szCs w:val="22"/>
        </w:rPr>
      </w:pPr>
      <w:r w:rsidRPr="00577845">
        <w:rPr>
          <w:sz w:val="22"/>
          <w:szCs w:val="22"/>
        </w:rPr>
        <w:t>Paracetamols mijiedarbojas (pastiprina vai pazemina efektu un blaknes) ar daudziem citiem medikamentiem, tāpēc uzmanība ne</w:t>
      </w:r>
      <w:r w:rsidR="00577845" w:rsidRPr="00577845">
        <w:rPr>
          <w:sz w:val="22"/>
          <w:szCs w:val="22"/>
        </w:rPr>
        <w:t>pieciešama sekojošos gadījumos:</w:t>
      </w:r>
    </w:p>
    <w:p w14:paraId="47C1DF24" w14:textId="77777777" w:rsidR="00AB4BC1" w:rsidRPr="00577845" w:rsidRDefault="00AB4BC1" w:rsidP="00577845">
      <w:pPr>
        <w:numPr>
          <w:ilvl w:val="0"/>
          <w:numId w:val="11"/>
        </w:numPr>
        <w:jc w:val="both"/>
        <w:rPr>
          <w:sz w:val="22"/>
          <w:szCs w:val="22"/>
        </w:rPr>
      </w:pPr>
      <w:r w:rsidRPr="00577845">
        <w:rPr>
          <w:sz w:val="22"/>
          <w:szCs w:val="22"/>
        </w:rPr>
        <w:t>Lietojot vienlaikus ar zālēm, kas paātrina medikamentu noārdīšanos aknās, piem., dažiem miega un pretepilepsijas līdzekļiem (medikamentiem pret centrālas izcelsmes krampju lēkmēm- fenobarbitālu, fenitoīnu, karbamazepīnu), kā arī rifampicīnu, deva, kas citādi ir nekaitīga, var izraisīt aknu bojājumu. Tas jāņem vērā</w:t>
      </w:r>
      <w:r w:rsidR="001E1231">
        <w:rPr>
          <w:sz w:val="22"/>
          <w:szCs w:val="22"/>
        </w:rPr>
        <w:t>,</w:t>
      </w:r>
      <w:r w:rsidRPr="00577845">
        <w:rPr>
          <w:sz w:val="22"/>
          <w:szCs w:val="22"/>
        </w:rPr>
        <w:t xml:space="preserve"> arī pārmērīgi lietojot alkoholu.</w:t>
      </w:r>
    </w:p>
    <w:p w14:paraId="739A3481" w14:textId="77777777" w:rsidR="00AB4BC1" w:rsidRDefault="00AB4BC1" w:rsidP="00577845">
      <w:pPr>
        <w:pStyle w:val="Heading2"/>
        <w:numPr>
          <w:ilvl w:val="0"/>
          <w:numId w:val="11"/>
        </w:numPr>
        <w:ind w:right="0"/>
        <w:rPr>
          <w:b w:val="0"/>
          <w:sz w:val="22"/>
        </w:rPr>
      </w:pPr>
      <w:r w:rsidRPr="00577845">
        <w:rPr>
          <w:b w:val="0"/>
          <w:sz w:val="22"/>
          <w:szCs w:val="22"/>
        </w:rPr>
        <w:t>Lietojot paracetamolu vienlaikus ar hloramfenikolu, hloramfenikola izdalīšanās var ievērojami palēnināties, un palielinās toksicitāt</w:t>
      </w:r>
      <w:r>
        <w:rPr>
          <w:b w:val="0"/>
          <w:sz w:val="22"/>
        </w:rPr>
        <w:t>es risks.</w:t>
      </w:r>
    </w:p>
    <w:p w14:paraId="7DDD1D30" w14:textId="77777777" w:rsidR="00AB4BC1" w:rsidRDefault="00AB4BC1" w:rsidP="00577845">
      <w:pPr>
        <w:numPr>
          <w:ilvl w:val="0"/>
          <w:numId w:val="11"/>
        </w:numPr>
        <w:jc w:val="both"/>
        <w:rPr>
          <w:sz w:val="22"/>
        </w:rPr>
      </w:pPr>
      <w:r>
        <w:rPr>
          <w:sz w:val="22"/>
        </w:rPr>
        <w:t>Tā kā vēl nav noteikta klīniskā nozīme mijiedarbībai starp paracetamolu un kumarīna atvasinājumiem</w:t>
      </w:r>
      <w:r w:rsidR="00577845">
        <w:rPr>
          <w:sz w:val="22"/>
        </w:rPr>
        <w:t>,</w:t>
      </w:r>
      <w:r>
        <w:rPr>
          <w:sz w:val="22"/>
        </w:rPr>
        <w:t xml:space="preserve"> ilgstoša PARAMAX t</w:t>
      </w:r>
      <w:r w:rsidR="00577845">
        <w:rPr>
          <w:sz w:val="22"/>
        </w:rPr>
        <w:t>ablešu lietošana pacientiem, kuri</w:t>
      </w:r>
      <w:r>
        <w:rPr>
          <w:sz w:val="22"/>
        </w:rPr>
        <w:t xml:space="preserve"> tiek ārstēti ar perorāliem antikoagulantiem, būtu jāveic tikai ārsta kontrolē.</w:t>
      </w:r>
    </w:p>
    <w:p w14:paraId="26B5C309" w14:textId="77777777" w:rsidR="00AB4BC1" w:rsidRDefault="00AB4BC1" w:rsidP="00577845">
      <w:pPr>
        <w:numPr>
          <w:ilvl w:val="0"/>
          <w:numId w:val="11"/>
        </w:numPr>
        <w:jc w:val="both"/>
        <w:rPr>
          <w:sz w:val="22"/>
        </w:rPr>
      </w:pPr>
      <w:r>
        <w:rPr>
          <w:sz w:val="22"/>
        </w:rPr>
        <w:t xml:space="preserve">Lietojot paracetamolu vienlaikus ar AZT (zidovudīnu), </w:t>
      </w:r>
      <w:r w:rsidR="00577845">
        <w:rPr>
          <w:sz w:val="22"/>
        </w:rPr>
        <w:t>pieaug neitropēnijas risks</w:t>
      </w:r>
      <w:r>
        <w:rPr>
          <w:sz w:val="22"/>
        </w:rPr>
        <w:t xml:space="preserve">. </w:t>
      </w:r>
    </w:p>
    <w:p w14:paraId="2607E8D8" w14:textId="77777777" w:rsidR="00AB4BC1" w:rsidRDefault="00AB4BC1" w:rsidP="00CE41EC">
      <w:pPr>
        <w:numPr>
          <w:ilvl w:val="0"/>
          <w:numId w:val="11"/>
        </w:numPr>
        <w:ind w:right="-900"/>
        <w:jc w:val="both"/>
        <w:rPr>
          <w:sz w:val="22"/>
        </w:rPr>
      </w:pPr>
      <w:r>
        <w:rPr>
          <w:sz w:val="22"/>
        </w:rPr>
        <w:t xml:space="preserve">Metoklopramīds var paātrināt paracetamola absorbciju. </w:t>
      </w:r>
    </w:p>
    <w:p w14:paraId="187C5F44" w14:textId="77777777" w:rsidR="00AB4BC1" w:rsidRDefault="00AB4BC1" w:rsidP="008929B7">
      <w:pPr>
        <w:numPr>
          <w:ilvl w:val="0"/>
          <w:numId w:val="11"/>
        </w:numPr>
        <w:jc w:val="both"/>
        <w:rPr>
          <w:sz w:val="22"/>
        </w:rPr>
      </w:pPr>
      <w:r>
        <w:rPr>
          <w:sz w:val="22"/>
        </w:rPr>
        <w:t>Proben</w:t>
      </w:r>
      <w:r w:rsidR="00CE41EC">
        <w:rPr>
          <w:sz w:val="22"/>
        </w:rPr>
        <w:t>e</w:t>
      </w:r>
      <w:r>
        <w:rPr>
          <w:sz w:val="22"/>
        </w:rPr>
        <w:t>cīds aizkavē paracetamola metabolītu izvadīšanos un var palielināt aknu toksicitātes risku.</w:t>
      </w:r>
    </w:p>
    <w:p w14:paraId="765F8167" w14:textId="77777777" w:rsidR="0027124E" w:rsidRDefault="0027124E" w:rsidP="008929B7">
      <w:pPr>
        <w:numPr>
          <w:ilvl w:val="0"/>
          <w:numId w:val="11"/>
        </w:numPr>
        <w:jc w:val="both"/>
        <w:rPr>
          <w:sz w:val="22"/>
          <w:szCs w:val="22"/>
        </w:rPr>
      </w:pPr>
      <w:r w:rsidRPr="00AE67F6">
        <w:rPr>
          <w:sz w:val="22"/>
          <w:szCs w:val="22"/>
        </w:rPr>
        <w:t>Paracetamola uzsūkšanos var samazināt holestiramīns. Lai iegūtu maksimālo efektu, starp holestiramīna un paracetamola lietošanu jāievēro vismaz vienas stundas starplaiks. Lietojot vienlaicīgi zāles, kas aizkavē kuņģa iztukšošanos, var samazināties paracetamola uzsūkšanās un tā iedarbības sākums.</w:t>
      </w:r>
    </w:p>
    <w:p w14:paraId="48F4341E" w14:textId="77777777" w:rsidR="00AE67F6" w:rsidRPr="00AE67F6" w:rsidRDefault="00AE67F6" w:rsidP="008929B7">
      <w:pPr>
        <w:numPr>
          <w:ilvl w:val="0"/>
          <w:numId w:val="11"/>
        </w:numPr>
        <w:jc w:val="both"/>
        <w:rPr>
          <w:sz w:val="22"/>
          <w:szCs w:val="22"/>
        </w:rPr>
      </w:pPr>
      <w:r>
        <w:rPr>
          <w:sz w:val="22"/>
          <w:szCs w:val="22"/>
        </w:rPr>
        <w:t>Paracetamols palielina acetilsalicilskābes līmeni plazmā. Ir iespējama tikai īslaicīga vienlaikus lietošana ar acetilsalicilskābi, jo palielinās nieru darbības traucējumu rašanās risks, līdzīgi, kā to rada citi nesteroīdie pretiekaisuma līdzekļi</w:t>
      </w:r>
      <w:r w:rsidR="00A6524B">
        <w:rPr>
          <w:sz w:val="22"/>
          <w:szCs w:val="22"/>
        </w:rPr>
        <w:t xml:space="preserve"> (N</w:t>
      </w:r>
      <w:r w:rsidR="005A227E">
        <w:rPr>
          <w:sz w:val="22"/>
          <w:szCs w:val="22"/>
        </w:rPr>
        <w:t>SPL</w:t>
      </w:r>
      <w:r w:rsidR="00A6524B">
        <w:rPr>
          <w:sz w:val="22"/>
          <w:szCs w:val="22"/>
        </w:rPr>
        <w:t>)</w:t>
      </w:r>
      <w:r>
        <w:rPr>
          <w:sz w:val="22"/>
          <w:szCs w:val="22"/>
        </w:rPr>
        <w:t>.</w:t>
      </w:r>
    </w:p>
    <w:p w14:paraId="5B804BB9" w14:textId="77777777" w:rsidR="0027124E" w:rsidRPr="0027124E" w:rsidRDefault="0027124E" w:rsidP="008929B7">
      <w:pPr>
        <w:numPr>
          <w:ilvl w:val="0"/>
          <w:numId w:val="11"/>
        </w:numPr>
        <w:jc w:val="both"/>
        <w:rPr>
          <w:sz w:val="22"/>
          <w:szCs w:val="22"/>
        </w:rPr>
      </w:pPr>
      <w:r w:rsidRPr="0027124E">
        <w:rPr>
          <w:sz w:val="22"/>
          <w:szCs w:val="22"/>
        </w:rPr>
        <w:t>Salicilamīdi var pagarināt paracetamola eliminācijas pusperiodu.</w:t>
      </w:r>
    </w:p>
    <w:p w14:paraId="63E5D677" w14:textId="46C747BC" w:rsidR="00AE67F6" w:rsidRDefault="0027124E" w:rsidP="00AE67F6">
      <w:pPr>
        <w:numPr>
          <w:ilvl w:val="0"/>
          <w:numId w:val="11"/>
        </w:numPr>
        <w:jc w:val="both"/>
        <w:rPr>
          <w:sz w:val="22"/>
          <w:szCs w:val="22"/>
        </w:rPr>
      </w:pPr>
      <w:r w:rsidRPr="0027124E">
        <w:rPr>
          <w:sz w:val="22"/>
          <w:szCs w:val="22"/>
        </w:rPr>
        <w:t>Paracetamols var samazināt lamotrigīna biopieejamību ar iespējamu tā iedarbības samazināšanos, kam pamatā ir nomākts lamotrigīna metabolisms aknās.</w:t>
      </w:r>
    </w:p>
    <w:p w14:paraId="6617DB53" w14:textId="0B992C7D" w:rsidR="001A5EBF" w:rsidRPr="00AE67F6" w:rsidRDefault="001A5EBF" w:rsidP="00AE67F6">
      <w:pPr>
        <w:numPr>
          <w:ilvl w:val="0"/>
          <w:numId w:val="11"/>
        </w:numPr>
        <w:jc w:val="both"/>
        <w:rPr>
          <w:sz w:val="22"/>
          <w:szCs w:val="22"/>
        </w:rPr>
      </w:pPr>
      <w:r w:rsidRPr="001A5EBF">
        <w:rPr>
          <w:sz w:val="22"/>
          <w:szCs w:val="22"/>
        </w:rPr>
        <w:t>Jāievēro piesardzība, lietojot paracetamolu vienlaicīgi ar flukloksacilīnu, jo vienlaicīga šo zāļu lietošana ir saistīta ar metabolo acidozi ar lielu anjonu starpību, īpaši pacientiem ar riska faktoriem (skatīt 4.4. apakšpunktu).</w:t>
      </w:r>
    </w:p>
    <w:p w14:paraId="03618068" w14:textId="77777777" w:rsidR="0027124E" w:rsidRPr="0027124E" w:rsidRDefault="0027124E" w:rsidP="0027124E">
      <w:pPr>
        <w:ind w:left="720"/>
        <w:jc w:val="both"/>
        <w:rPr>
          <w:sz w:val="22"/>
          <w:szCs w:val="22"/>
        </w:rPr>
      </w:pPr>
    </w:p>
    <w:p w14:paraId="4E87BBD8" w14:textId="77777777" w:rsidR="0027124E" w:rsidRPr="0027124E" w:rsidRDefault="0027124E" w:rsidP="00945D51">
      <w:pPr>
        <w:jc w:val="both"/>
        <w:rPr>
          <w:sz w:val="22"/>
          <w:szCs w:val="22"/>
        </w:rPr>
      </w:pPr>
      <w:r w:rsidRPr="0027124E">
        <w:rPr>
          <w:i/>
          <w:iCs/>
          <w:sz w:val="22"/>
          <w:szCs w:val="22"/>
        </w:rPr>
        <w:lastRenderedPageBreak/>
        <w:t>Ietekme uz laboratoriskajiem izmeklējumiem</w:t>
      </w:r>
    </w:p>
    <w:p w14:paraId="483E31CC" w14:textId="77777777" w:rsidR="00AE67F6" w:rsidRDefault="0027124E">
      <w:pPr>
        <w:ind w:right="-900"/>
        <w:jc w:val="both"/>
        <w:rPr>
          <w:sz w:val="22"/>
          <w:szCs w:val="22"/>
        </w:rPr>
      </w:pPr>
      <w:r w:rsidRPr="0027124E">
        <w:rPr>
          <w:sz w:val="22"/>
          <w:szCs w:val="22"/>
        </w:rPr>
        <w:t xml:space="preserve">Paracetamols var ietekmēt fosfotungastāta urīnskābes analīzes un asins cukura analīzes izmantojot </w:t>
      </w:r>
    </w:p>
    <w:p w14:paraId="15094145" w14:textId="77777777" w:rsidR="00AB4BC1" w:rsidRDefault="0027124E">
      <w:pPr>
        <w:ind w:right="-900"/>
        <w:jc w:val="both"/>
        <w:rPr>
          <w:sz w:val="22"/>
          <w:szCs w:val="22"/>
        </w:rPr>
      </w:pPr>
      <w:r w:rsidRPr="0027124E">
        <w:rPr>
          <w:sz w:val="22"/>
          <w:szCs w:val="22"/>
        </w:rPr>
        <w:t>glikozes – oksidāzes – peroksidāzes metodi.</w:t>
      </w:r>
    </w:p>
    <w:p w14:paraId="1F19A599" w14:textId="77777777" w:rsidR="00AE67F6" w:rsidRPr="0027124E" w:rsidRDefault="00AE67F6">
      <w:pPr>
        <w:ind w:right="-900"/>
        <w:jc w:val="both"/>
        <w:rPr>
          <w:sz w:val="22"/>
          <w:szCs w:val="22"/>
        </w:rPr>
      </w:pPr>
    </w:p>
    <w:p w14:paraId="35F29488" w14:textId="77777777" w:rsidR="00AB4BC1" w:rsidRDefault="00AB4BC1">
      <w:pPr>
        <w:numPr>
          <w:ilvl w:val="1"/>
          <w:numId w:val="8"/>
        </w:numPr>
        <w:ind w:right="-900"/>
        <w:jc w:val="both"/>
        <w:rPr>
          <w:b/>
          <w:sz w:val="22"/>
        </w:rPr>
      </w:pPr>
      <w:r>
        <w:rPr>
          <w:b/>
          <w:sz w:val="22"/>
        </w:rPr>
        <w:t xml:space="preserve"> </w:t>
      </w:r>
      <w:r w:rsidR="00AE67F6">
        <w:rPr>
          <w:b/>
          <w:sz w:val="22"/>
        </w:rPr>
        <w:t xml:space="preserve">Fertilitāte, grūtniecība </w:t>
      </w:r>
      <w:r>
        <w:rPr>
          <w:b/>
          <w:sz w:val="22"/>
        </w:rPr>
        <w:t xml:space="preserve">un </w:t>
      </w:r>
      <w:r w:rsidR="008D06C6" w:rsidRPr="008D06C6">
        <w:rPr>
          <w:b/>
          <w:noProof/>
          <w:sz w:val="22"/>
          <w:szCs w:val="22"/>
        </w:rPr>
        <w:t>barošana ar krūti</w:t>
      </w:r>
    </w:p>
    <w:p w14:paraId="3638F6DB" w14:textId="77777777" w:rsidR="00AB4BC1" w:rsidRDefault="00AB4BC1">
      <w:pPr>
        <w:pStyle w:val="BodyTextIndent"/>
        <w:tabs>
          <w:tab w:val="num" w:pos="0"/>
        </w:tabs>
        <w:ind w:left="0"/>
        <w:jc w:val="both"/>
        <w:rPr>
          <w:sz w:val="22"/>
        </w:rPr>
      </w:pPr>
    </w:p>
    <w:p w14:paraId="4262F40B" w14:textId="77777777" w:rsidR="008D06C6" w:rsidRPr="008D06C6" w:rsidRDefault="008D06C6">
      <w:pPr>
        <w:pStyle w:val="BodyTextIndent"/>
        <w:tabs>
          <w:tab w:val="num" w:pos="0"/>
        </w:tabs>
        <w:ind w:left="0"/>
        <w:jc w:val="both"/>
        <w:rPr>
          <w:sz w:val="22"/>
          <w:szCs w:val="22"/>
        </w:rPr>
      </w:pPr>
      <w:r w:rsidRPr="008D06C6">
        <w:rPr>
          <w:noProof/>
          <w:sz w:val="22"/>
          <w:szCs w:val="22"/>
          <w:u w:val="single"/>
        </w:rPr>
        <w:t>Grūtniecība</w:t>
      </w:r>
    </w:p>
    <w:p w14:paraId="69392495" w14:textId="77777777" w:rsidR="008D06C6" w:rsidRDefault="00780593">
      <w:pPr>
        <w:pStyle w:val="BodyTextIndent"/>
        <w:tabs>
          <w:tab w:val="num" w:pos="0"/>
        </w:tabs>
        <w:ind w:left="0"/>
        <w:jc w:val="both"/>
        <w:rPr>
          <w:sz w:val="22"/>
          <w:szCs w:val="22"/>
        </w:rPr>
      </w:pPr>
      <w:bookmarkStart w:id="0" w:name="_Hlk11251430"/>
      <w:r w:rsidRPr="002A1C3A">
        <w:rPr>
          <w:sz w:val="22"/>
          <w:szCs w:val="22"/>
        </w:rPr>
        <w:t xml:space="preserve">Liels daudzums datu par grūtniecēm neliecina ne par </w:t>
      </w:r>
      <w:r w:rsidR="0034551E">
        <w:rPr>
          <w:sz w:val="22"/>
          <w:szCs w:val="22"/>
        </w:rPr>
        <w:t>malformatīvu</w:t>
      </w:r>
      <w:r w:rsidRPr="002A1C3A">
        <w:rPr>
          <w:sz w:val="22"/>
          <w:szCs w:val="22"/>
        </w:rPr>
        <w:t xml:space="preserve"> iedarbību, ne toksisku ietekmi uz augli/jaundzimušo. Epidemioloģisko pētījumu rezultāti par neiroloģisko attīstību bērniem, kuri </w:t>
      </w:r>
      <w:r w:rsidRPr="00081D8E">
        <w:rPr>
          <w:i/>
          <w:sz w:val="22"/>
          <w:szCs w:val="22"/>
        </w:rPr>
        <w:t>in utero</w:t>
      </w:r>
      <w:r w:rsidR="0034551E">
        <w:rPr>
          <w:sz w:val="22"/>
          <w:szCs w:val="22"/>
        </w:rPr>
        <w:t xml:space="preserve"> tika </w:t>
      </w:r>
      <w:r w:rsidRPr="002A1C3A">
        <w:rPr>
          <w:sz w:val="22"/>
          <w:szCs w:val="22"/>
        </w:rPr>
        <w:t>pakļauti paracetamola iedarbībai, nav viennozīmīgi. Ja klīniski nepieciešams,</w:t>
      </w:r>
      <w:r w:rsidR="0034551E">
        <w:rPr>
          <w:sz w:val="22"/>
          <w:szCs w:val="22"/>
        </w:rPr>
        <w:t xml:space="preserve"> </w:t>
      </w:r>
      <w:r w:rsidRPr="002A1C3A">
        <w:rPr>
          <w:sz w:val="22"/>
          <w:szCs w:val="22"/>
        </w:rPr>
        <w:t>paracetamolu var lietot grūtniecības laikā, taču jālieto mazākā efektīvā dev</w:t>
      </w:r>
      <w:r w:rsidR="004C6EF1">
        <w:rPr>
          <w:sz w:val="22"/>
          <w:szCs w:val="22"/>
        </w:rPr>
        <w:t>a</w:t>
      </w:r>
      <w:r w:rsidR="000C091E">
        <w:rPr>
          <w:sz w:val="22"/>
          <w:szCs w:val="22"/>
        </w:rPr>
        <w:t>,</w:t>
      </w:r>
      <w:r w:rsidRPr="002A1C3A">
        <w:rPr>
          <w:sz w:val="22"/>
          <w:szCs w:val="22"/>
        </w:rPr>
        <w:t xml:space="preserve"> iespējami īsāk</w:t>
      </w:r>
      <w:r w:rsidR="000C091E">
        <w:rPr>
          <w:sz w:val="22"/>
          <w:szCs w:val="22"/>
        </w:rPr>
        <w:t>u</w:t>
      </w:r>
      <w:r w:rsidRPr="002A1C3A">
        <w:rPr>
          <w:sz w:val="22"/>
          <w:szCs w:val="22"/>
        </w:rPr>
        <w:t xml:space="preserve"> laiku un </w:t>
      </w:r>
      <w:r w:rsidR="004C6EF1">
        <w:rPr>
          <w:sz w:val="22"/>
          <w:szCs w:val="22"/>
        </w:rPr>
        <w:t>pēc iespējas</w:t>
      </w:r>
      <w:r w:rsidRPr="002A1C3A">
        <w:rPr>
          <w:sz w:val="22"/>
          <w:szCs w:val="22"/>
        </w:rPr>
        <w:t xml:space="preserve"> retāk.</w:t>
      </w:r>
    </w:p>
    <w:p w14:paraId="503D591F" w14:textId="77777777" w:rsidR="004C6EF1" w:rsidRDefault="004C6EF1">
      <w:pPr>
        <w:pStyle w:val="BodyTextIndent"/>
        <w:tabs>
          <w:tab w:val="num" w:pos="0"/>
        </w:tabs>
        <w:ind w:left="0"/>
        <w:jc w:val="both"/>
        <w:rPr>
          <w:sz w:val="22"/>
        </w:rPr>
      </w:pPr>
    </w:p>
    <w:bookmarkEnd w:id="0"/>
    <w:p w14:paraId="5C90D0CD" w14:textId="77777777" w:rsidR="008D06C6" w:rsidRPr="008D06C6" w:rsidRDefault="008D06C6">
      <w:pPr>
        <w:pStyle w:val="BodyTextIndent"/>
        <w:tabs>
          <w:tab w:val="num" w:pos="0"/>
        </w:tabs>
        <w:ind w:left="0"/>
        <w:jc w:val="both"/>
        <w:rPr>
          <w:sz w:val="22"/>
          <w:szCs w:val="22"/>
        </w:rPr>
      </w:pPr>
      <w:r w:rsidRPr="008D06C6">
        <w:rPr>
          <w:noProof/>
          <w:sz w:val="22"/>
          <w:szCs w:val="22"/>
          <w:u w:val="single"/>
        </w:rPr>
        <w:t>Barošana ar krūti</w:t>
      </w:r>
    </w:p>
    <w:p w14:paraId="3AA740CF" w14:textId="77777777" w:rsidR="00AB4BC1" w:rsidRDefault="00515368">
      <w:pPr>
        <w:pStyle w:val="BodyTextIndent"/>
        <w:tabs>
          <w:tab w:val="num" w:pos="0"/>
        </w:tabs>
        <w:ind w:left="0"/>
        <w:jc w:val="both"/>
        <w:rPr>
          <w:sz w:val="22"/>
        </w:rPr>
      </w:pPr>
      <w:r w:rsidRPr="00CA7C79">
        <w:rPr>
          <w:sz w:val="22"/>
        </w:rPr>
        <w:t>Ja paracetamols tiek lietots rekomendētās devās, to var lietot, barojot bērnu ar krūti.</w:t>
      </w:r>
      <w:r>
        <w:rPr>
          <w:sz w:val="22"/>
        </w:rPr>
        <w:t xml:space="preserve"> </w:t>
      </w:r>
      <w:r w:rsidR="00AB4BC1">
        <w:rPr>
          <w:sz w:val="22"/>
        </w:rPr>
        <w:t>Paracetamols nelielos daudzumos izdalās mātes pienā, bet tam nav raksturīga ietekme uz bērnu.</w:t>
      </w:r>
    </w:p>
    <w:p w14:paraId="3D6E1419" w14:textId="77777777" w:rsidR="00AB4BC1" w:rsidRDefault="00AB4BC1">
      <w:pPr>
        <w:ind w:right="-900"/>
        <w:jc w:val="both"/>
        <w:rPr>
          <w:sz w:val="22"/>
        </w:rPr>
      </w:pPr>
    </w:p>
    <w:p w14:paraId="4305E730" w14:textId="77777777" w:rsidR="00AB4BC1" w:rsidRDefault="00AB4BC1">
      <w:pPr>
        <w:numPr>
          <w:ilvl w:val="1"/>
          <w:numId w:val="8"/>
        </w:numPr>
        <w:ind w:right="-900"/>
        <w:jc w:val="both"/>
        <w:rPr>
          <w:b/>
          <w:sz w:val="22"/>
        </w:rPr>
      </w:pPr>
      <w:r>
        <w:rPr>
          <w:b/>
          <w:sz w:val="22"/>
        </w:rPr>
        <w:t xml:space="preserve"> Ietekme uz spēju vadīt transportlīdzekļus un apkalpot mehānismus</w:t>
      </w:r>
    </w:p>
    <w:p w14:paraId="5482E9B0" w14:textId="77777777" w:rsidR="00AB4BC1" w:rsidRDefault="00AB4BC1">
      <w:pPr>
        <w:pStyle w:val="BodyTextIndent"/>
        <w:ind w:left="0"/>
        <w:jc w:val="both"/>
        <w:rPr>
          <w:sz w:val="22"/>
        </w:rPr>
      </w:pPr>
    </w:p>
    <w:p w14:paraId="3D4BE931" w14:textId="77777777" w:rsidR="00AB4BC1" w:rsidRDefault="00AB4BC1">
      <w:pPr>
        <w:pStyle w:val="BodyTextIndent"/>
        <w:ind w:left="0"/>
        <w:jc w:val="both"/>
        <w:rPr>
          <w:sz w:val="22"/>
        </w:rPr>
      </w:pPr>
      <w:r>
        <w:rPr>
          <w:sz w:val="22"/>
        </w:rPr>
        <w:t xml:space="preserve">Paracetamols neietekmē </w:t>
      </w:r>
      <w:r w:rsidR="008D06C6" w:rsidRPr="008D06C6">
        <w:rPr>
          <w:sz w:val="22"/>
          <w:szCs w:val="22"/>
        </w:rPr>
        <w:t>vai nedaudz ietekmē</w:t>
      </w:r>
      <w:r w:rsidR="008D06C6">
        <w:rPr>
          <w:sz w:val="22"/>
        </w:rPr>
        <w:t xml:space="preserve"> </w:t>
      </w:r>
      <w:r>
        <w:rPr>
          <w:sz w:val="22"/>
        </w:rPr>
        <w:t xml:space="preserve">spēju vadīt transportlīdzekļus un </w:t>
      </w:r>
      <w:r w:rsidR="008D06C6">
        <w:rPr>
          <w:sz w:val="22"/>
        </w:rPr>
        <w:t>a</w:t>
      </w:r>
      <w:r w:rsidR="008D06C6" w:rsidRPr="008D06C6">
        <w:rPr>
          <w:sz w:val="22"/>
          <w:szCs w:val="22"/>
        </w:rPr>
        <w:t>pkalpot</w:t>
      </w:r>
      <w:r>
        <w:rPr>
          <w:sz w:val="22"/>
        </w:rPr>
        <w:t xml:space="preserve"> mehānism</w:t>
      </w:r>
      <w:r w:rsidR="005A227E">
        <w:rPr>
          <w:sz w:val="22"/>
        </w:rPr>
        <w:t>us</w:t>
      </w:r>
      <w:r>
        <w:rPr>
          <w:sz w:val="22"/>
        </w:rPr>
        <w:t xml:space="preserve">. </w:t>
      </w:r>
    </w:p>
    <w:p w14:paraId="243DD7FE" w14:textId="77777777" w:rsidR="00AB4BC1" w:rsidRDefault="00AB4BC1">
      <w:pPr>
        <w:ind w:right="-900"/>
        <w:jc w:val="both"/>
        <w:rPr>
          <w:sz w:val="22"/>
        </w:rPr>
      </w:pPr>
    </w:p>
    <w:p w14:paraId="7393E0EB" w14:textId="77777777" w:rsidR="00AB4BC1" w:rsidRDefault="00AB4BC1">
      <w:pPr>
        <w:numPr>
          <w:ilvl w:val="1"/>
          <w:numId w:val="8"/>
        </w:numPr>
        <w:ind w:right="-900"/>
        <w:jc w:val="both"/>
        <w:rPr>
          <w:b/>
          <w:sz w:val="22"/>
        </w:rPr>
      </w:pPr>
      <w:r>
        <w:rPr>
          <w:b/>
          <w:sz w:val="22"/>
        </w:rPr>
        <w:t xml:space="preserve"> Nevēlamās blakusparādības</w:t>
      </w:r>
    </w:p>
    <w:p w14:paraId="0B2899AD" w14:textId="77777777" w:rsidR="00AB4BC1" w:rsidRDefault="00AB4BC1">
      <w:pPr>
        <w:jc w:val="both"/>
        <w:rPr>
          <w:sz w:val="22"/>
        </w:rPr>
      </w:pPr>
    </w:p>
    <w:p w14:paraId="2F9C3088" w14:textId="77777777" w:rsidR="00AB4BC1" w:rsidRDefault="00AB4BC1">
      <w:pPr>
        <w:jc w:val="both"/>
        <w:rPr>
          <w:sz w:val="22"/>
        </w:rPr>
      </w:pPr>
      <w:r>
        <w:rPr>
          <w:sz w:val="22"/>
        </w:rPr>
        <w:t>Lietojot rekomendētās devās, blakusparādības novēro reti.</w:t>
      </w:r>
    </w:p>
    <w:p w14:paraId="15FE8B1B" w14:textId="77777777" w:rsidR="008C6EB3" w:rsidRDefault="008C6EB3">
      <w:pPr>
        <w:jc w:val="both"/>
        <w:rPr>
          <w:sz w:val="22"/>
        </w:rPr>
      </w:pPr>
      <w:r>
        <w:rPr>
          <w:sz w:val="22"/>
        </w:rPr>
        <w:t xml:space="preserve">Bieži novērojamas </w:t>
      </w:r>
      <w:r w:rsidR="005A227E">
        <w:rPr>
          <w:sz w:val="22"/>
        </w:rPr>
        <w:t xml:space="preserve">blakusparādības </w:t>
      </w:r>
      <w:r>
        <w:rPr>
          <w:sz w:val="22"/>
        </w:rPr>
        <w:t>vieglā formā.</w:t>
      </w:r>
    </w:p>
    <w:p w14:paraId="612B390A" w14:textId="77777777" w:rsidR="008C6EB3" w:rsidRDefault="008C6EB3">
      <w:pPr>
        <w:jc w:val="both"/>
        <w:rPr>
          <w:sz w:val="22"/>
        </w:rPr>
      </w:pPr>
    </w:p>
    <w:p w14:paraId="5238113E" w14:textId="77777777" w:rsidR="00B27AA1" w:rsidRDefault="00B27AA1" w:rsidP="008929B7">
      <w:pPr>
        <w:autoSpaceDE w:val="0"/>
        <w:autoSpaceDN w:val="0"/>
        <w:adjustRightInd w:val="0"/>
        <w:jc w:val="both"/>
        <w:rPr>
          <w:sz w:val="22"/>
          <w:szCs w:val="22"/>
        </w:rPr>
      </w:pPr>
      <w:r>
        <w:rPr>
          <w:sz w:val="22"/>
          <w:szCs w:val="22"/>
        </w:rPr>
        <w:t>Katrā sastopamības biežuma grupā nevēlamās blakusparādības sakārtotas tabulā pa orgānu sistēmu grupām to nopietnības samazinājuma secībā:</w:t>
      </w:r>
    </w:p>
    <w:p w14:paraId="4BFA64D8" w14:textId="77777777" w:rsidR="00B27AA1" w:rsidRDefault="00B27AA1" w:rsidP="00B27AA1">
      <w:pPr>
        <w:autoSpaceDE w:val="0"/>
        <w:autoSpaceDN w:val="0"/>
        <w:adjustRightInd w:val="0"/>
        <w:jc w:val="both"/>
        <w:rPr>
          <w:i/>
          <w:iCs/>
          <w:sz w:val="22"/>
          <w:szCs w:val="22"/>
        </w:rPr>
      </w:pPr>
      <w:r>
        <w:rPr>
          <w:i/>
          <w:iCs/>
          <w:sz w:val="22"/>
          <w:szCs w:val="22"/>
        </w:rPr>
        <w:t>Ļoti bieži: ≥1/10</w:t>
      </w:r>
    </w:p>
    <w:p w14:paraId="5FFB8CD5" w14:textId="77777777" w:rsidR="00B27AA1" w:rsidRDefault="00B27AA1" w:rsidP="00B27AA1">
      <w:pPr>
        <w:autoSpaceDE w:val="0"/>
        <w:autoSpaceDN w:val="0"/>
        <w:adjustRightInd w:val="0"/>
        <w:jc w:val="both"/>
        <w:rPr>
          <w:i/>
          <w:iCs/>
          <w:sz w:val="22"/>
          <w:szCs w:val="22"/>
        </w:rPr>
      </w:pPr>
      <w:r>
        <w:rPr>
          <w:i/>
          <w:iCs/>
          <w:sz w:val="22"/>
          <w:szCs w:val="22"/>
        </w:rPr>
        <w:t>Bieži: ≥1/100</w:t>
      </w:r>
      <w:r w:rsidR="008A74B7">
        <w:rPr>
          <w:i/>
          <w:iCs/>
          <w:sz w:val="22"/>
          <w:szCs w:val="22"/>
        </w:rPr>
        <w:t xml:space="preserve"> līdz</w:t>
      </w:r>
      <w:r>
        <w:rPr>
          <w:i/>
          <w:iCs/>
          <w:sz w:val="22"/>
          <w:szCs w:val="22"/>
        </w:rPr>
        <w:t xml:space="preserve"> &lt; 1/10</w:t>
      </w:r>
    </w:p>
    <w:p w14:paraId="5056A377" w14:textId="77777777" w:rsidR="00B27AA1" w:rsidRDefault="00B27AA1" w:rsidP="00B27AA1">
      <w:pPr>
        <w:autoSpaceDE w:val="0"/>
        <w:autoSpaceDN w:val="0"/>
        <w:adjustRightInd w:val="0"/>
        <w:jc w:val="both"/>
        <w:rPr>
          <w:i/>
          <w:iCs/>
          <w:sz w:val="22"/>
          <w:szCs w:val="22"/>
        </w:rPr>
      </w:pPr>
      <w:r>
        <w:rPr>
          <w:i/>
          <w:iCs/>
          <w:sz w:val="22"/>
          <w:szCs w:val="22"/>
        </w:rPr>
        <w:t>Retāk: ≥1/1 000</w:t>
      </w:r>
      <w:r w:rsidR="008A74B7">
        <w:rPr>
          <w:i/>
          <w:iCs/>
          <w:sz w:val="22"/>
          <w:szCs w:val="22"/>
        </w:rPr>
        <w:t xml:space="preserve"> līdz</w:t>
      </w:r>
      <w:r>
        <w:rPr>
          <w:i/>
          <w:iCs/>
          <w:sz w:val="22"/>
          <w:szCs w:val="22"/>
        </w:rPr>
        <w:t xml:space="preserve"> &lt; 1/100</w:t>
      </w:r>
    </w:p>
    <w:p w14:paraId="26C9EF23" w14:textId="77777777" w:rsidR="00B27AA1" w:rsidRDefault="00B27AA1" w:rsidP="00B27AA1">
      <w:pPr>
        <w:autoSpaceDE w:val="0"/>
        <w:autoSpaceDN w:val="0"/>
        <w:adjustRightInd w:val="0"/>
        <w:jc w:val="both"/>
        <w:rPr>
          <w:i/>
          <w:iCs/>
          <w:sz w:val="22"/>
          <w:szCs w:val="22"/>
        </w:rPr>
      </w:pPr>
      <w:r>
        <w:rPr>
          <w:i/>
          <w:iCs/>
          <w:sz w:val="22"/>
          <w:szCs w:val="22"/>
        </w:rPr>
        <w:t>Reti: ≥1/10 000</w:t>
      </w:r>
      <w:r w:rsidR="008A74B7">
        <w:rPr>
          <w:i/>
          <w:iCs/>
          <w:sz w:val="22"/>
          <w:szCs w:val="22"/>
        </w:rPr>
        <w:t xml:space="preserve"> līdz</w:t>
      </w:r>
      <w:r>
        <w:rPr>
          <w:i/>
          <w:iCs/>
          <w:sz w:val="22"/>
          <w:szCs w:val="22"/>
        </w:rPr>
        <w:t xml:space="preserve"> &lt; 1/1 000</w:t>
      </w:r>
    </w:p>
    <w:p w14:paraId="2BE7E290" w14:textId="77777777" w:rsidR="00B27AA1" w:rsidRDefault="00B27AA1" w:rsidP="00B27AA1">
      <w:pPr>
        <w:autoSpaceDE w:val="0"/>
        <w:autoSpaceDN w:val="0"/>
        <w:adjustRightInd w:val="0"/>
        <w:jc w:val="both"/>
        <w:rPr>
          <w:i/>
          <w:iCs/>
          <w:sz w:val="22"/>
          <w:szCs w:val="22"/>
        </w:rPr>
      </w:pPr>
      <w:r>
        <w:rPr>
          <w:i/>
          <w:iCs/>
          <w:sz w:val="22"/>
          <w:szCs w:val="22"/>
        </w:rPr>
        <w:t>Ļoti reti: &lt; 1/10 000, nezināmi (nevar noteikt pēc pieejamiem datiem)</w:t>
      </w:r>
    </w:p>
    <w:p w14:paraId="79EB87C6" w14:textId="77777777" w:rsidR="00B27AA1" w:rsidRDefault="00B27AA1" w:rsidP="00B27AA1">
      <w:pPr>
        <w:autoSpaceDE w:val="0"/>
        <w:autoSpaceDN w:val="0"/>
        <w:adjustRightInd w:val="0"/>
        <w:jc w:val="both"/>
        <w:rPr>
          <w:i/>
          <w:iCs/>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3600"/>
      </w:tblGrid>
      <w:tr w:rsidR="008C6EB3" w:rsidRPr="00CA7C79" w14:paraId="7AE85C94" w14:textId="77777777" w:rsidTr="00393BBE">
        <w:tc>
          <w:tcPr>
            <w:tcW w:w="2808" w:type="dxa"/>
          </w:tcPr>
          <w:p w14:paraId="5BC4B27C" w14:textId="77777777" w:rsidR="008C6EB3" w:rsidRPr="001D5504" w:rsidRDefault="008C6EB3" w:rsidP="00290239">
            <w:pPr>
              <w:autoSpaceDE w:val="0"/>
              <w:autoSpaceDN w:val="0"/>
              <w:adjustRightInd w:val="0"/>
              <w:rPr>
                <w:b/>
                <w:sz w:val="22"/>
                <w:szCs w:val="22"/>
              </w:rPr>
            </w:pPr>
          </w:p>
        </w:tc>
        <w:tc>
          <w:tcPr>
            <w:tcW w:w="2520" w:type="dxa"/>
          </w:tcPr>
          <w:p w14:paraId="24002D1E" w14:textId="77777777" w:rsidR="008C6EB3" w:rsidRPr="00CA7C79" w:rsidRDefault="008C6EB3" w:rsidP="00515368">
            <w:pPr>
              <w:autoSpaceDE w:val="0"/>
              <w:autoSpaceDN w:val="0"/>
              <w:adjustRightInd w:val="0"/>
              <w:rPr>
                <w:b/>
                <w:bCs/>
                <w:sz w:val="22"/>
                <w:szCs w:val="22"/>
              </w:rPr>
            </w:pPr>
            <w:r w:rsidRPr="00CA7C79">
              <w:rPr>
                <w:b/>
                <w:bCs/>
                <w:sz w:val="22"/>
                <w:szCs w:val="22"/>
              </w:rPr>
              <w:t>Bieži un retāk</w:t>
            </w:r>
          </w:p>
        </w:tc>
        <w:tc>
          <w:tcPr>
            <w:tcW w:w="3600" w:type="dxa"/>
          </w:tcPr>
          <w:p w14:paraId="35CFAB38" w14:textId="77777777" w:rsidR="008C6EB3" w:rsidRPr="00CA7C79" w:rsidRDefault="008C6EB3" w:rsidP="00515368">
            <w:pPr>
              <w:autoSpaceDE w:val="0"/>
              <w:autoSpaceDN w:val="0"/>
              <w:adjustRightInd w:val="0"/>
              <w:rPr>
                <w:b/>
                <w:bCs/>
                <w:sz w:val="22"/>
                <w:szCs w:val="22"/>
              </w:rPr>
            </w:pPr>
            <w:r w:rsidRPr="00CA7C79">
              <w:rPr>
                <w:b/>
                <w:bCs/>
                <w:sz w:val="22"/>
                <w:szCs w:val="22"/>
              </w:rPr>
              <w:t>Reti un ļoti reti</w:t>
            </w:r>
          </w:p>
        </w:tc>
      </w:tr>
      <w:tr w:rsidR="008C6EB3" w:rsidRPr="00CA7C79" w14:paraId="426C63E6" w14:textId="77777777" w:rsidTr="00393BBE">
        <w:tc>
          <w:tcPr>
            <w:tcW w:w="2808" w:type="dxa"/>
          </w:tcPr>
          <w:p w14:paraId="3F34A6C8" w14:textId="77777777" w:rsidR="008C6EB3" w:rsidRPr="00CA7C79" w:rsidRDefault="008C6EB3" w:rsidP="00290239">
            <w:pPr>
              <w:autoSpaceDE w:val="0"/>
              <w:autoSpaceDN w:val="0"/>
              <w:adjustRightInd w:val="0"/>
              <w:rPr>
                <w:sz w:val="22"/>
                <w:szCs w:val="22"/>
              </w:rPr>
            </w:pPr>
            <w:r w:rsidRPr="00CA7C79">
              <w:rPr>
                <w:sz w:val="22"/>
                <w:szCs w:val="22"/>
              </w:rPr>
              <w:t>Asins un limfatiskās sistēmas traucējumi</w:t>
            </w:r>
          </w:p>
        </w:tc>
        <w:tc>
          <w:tcPr>
            <w:tcW w:w="2520" w:type="dxa"/>
          </w:tcPr>
          <w:p w14:paraId="61EF1ACD" w14:textId="77777777" w:rsidR="008C6EB3" w:rsidRPr="00CA7C79" w:rsidRDefault="008C6EB3" w:rsidP="00290239">
            <w:pPr>
              <w:autoSpaceDE w:val="0"/>
              <w:autoSpaceDN w:val="0"/>
              <w:adjustRightInd w:val="0"/>
              <w:rPr>
                <w:sz w:val="22"/>
                <w:szCs w:val="22"/>
              </w:rPr>
            </w:pPr>
          </w:p>
        </w:tc>
        <w:tc>
          <w:tcPr>
            <w:tcW w:w="3600" w:type="dxa"/>
          </w:tcPr>
          <w:p w14:paraId="2CE403A4" w14:textId="77777777" w:rsidR="008C6EB3" w:rsidRPr="00CA7C79" w:rsidRDefault="00393BBE" w:rsidP="00290239">
            <w:pPr>
              <w:autoSpaceDE w:val="0"/>
              <w:autoSpaceDN w:val="0"/>
              <w:adjustRightInd w:val="0"/>
              <w:rPr>
                <w:sz w:val="22"/>
                <w:szCs w:val="22"/>
              </w:rPr>
            </w:pPr>
            <w:r w:rsidRPr="00CA7C79">
              <w:rPr>
                <w:sz w:val="22"/>
                <w:szCs w:val="22"/>
              </w:rPr>
              <w:t>cukura līmeņa pazemināšanās asinīs</w:t>
            </w:r>
            <w:r w:rsidR="008C6EB3" w:rsidRPr="00CA7C79">
              <w:rPr>
                <w:noProof/>
                <w:sz w:val="22"/>
                <w:szCs w:val="22"/>
              </w:rPr>
              <w:t xml:space="preserve">, </w:t>
            </w:r>
            <w:r w:rsidR="00F70D5C" w:rsidRPr="00CA7C79">
              <w:rPr>
                <w:sz w:val="22"/>
                <w:szCs w:val="22"/>
              </w:rPr>
              <w:t xml:space="preserve">trombocitopēnija, </w:t>
            </w:r>
            <w:r w:rsidRPr="00CA7C79">
              <w:rPr>
                <w:noProof/>
                <w:sz w:val="22"/>
                <w:szCs w:val="22"/>
              </w:rPr>
              <w:t>agranulocitoze, pan</w:t>
            </w:r>
            <w:r w:rsidR="008C6EB3" w:rsidRPr="00CA7C79">
              <w:rPr>
                <w:noProof/>
                <w:sz w:val="22"/>
                <w:szCs w:val="22"/>
              </w:rPr>
              <w:t>citopēnija</w:t>
            </w:r>
            <w:r w:rsidR="008A74B7" w:rsidRPr="00CA7C79">
              <w:rPr>
                <w:noProof/>
                <w:sz w:val="22"/>
                <w:szCs w:val="22"/>
              </w:rPr>
              <w:t>, neitropēnija, leikopēnija</w:t>
            </w:r>
          </w:p>
        </w:tc>
      </w:tr>
      <w:tr w:rsidR="00045F2C" w:rsidRPr="00CA7C79" w14:paraId="126658EA" w14:textId="77777777" w:rsidTr="00393BBE">
        <w:tc>
          <w:tcPr>
            <w:tcW w:w="2808" w:type="dxa"/>
          </w:tcPr>
          <w:p w14:paraId="534146AB" w14:textId="77777777" w:rsidR="00045F2C" w:rsidRPr="00CA7C79" w:rsidRDefault="00045F2C" w:rsidP="00290239">
            <w:pPr>
              <w:autoSpaceDE w:val="0"/>
              <w:autoSpaceDN w:val="0"/>
              <w:adjustRightInd w:val="0"/>
              <w:rPr>
                <w:sz w:val="22"/>
                <w:szCs w:val="22"/>
              </w:rPr>
            </w:pPr>
            <w:r w:rsidRPr="00CA7C79">
              <w:rPr>
                <w:sz w:val="22"/>
                <w:szCs w:val="22"/>
              </w:rPr>
              <w:t>Imūnās sistēmas traucējumi</w:t>
            </w:r>
          </w:p>
        </w:tc>
        <w:tc>
          <w:tcPr>
            <w:tcW w:w="2520" w:type="dxa"/>
          </w:tcPr>
          <w:p w14:paraId="0A40FF57" w14:textId="77777777" w:rsidR="00045F2C" w:rsidRPr="00CA7C79" w:rsidRDefault="00045F2C" w:rsidP="00290239">
            <w:pPr>
              <w:autoSpaceDE w:val="0"/>
              <w:autoSpaceDN w:val="0"/>
              <w:adjustRightInd w:val="0"/>
              <w:rPr>
                <w:sz w:val="22"/>
                <w:szCs w:val="22"/>
              </w:rPr>
            </w:pPr>
          </w:p>
        </w:tc>
        <w:tc>
          <w:tcPr>
            <w:tcW w:w="3600" w:type="dxa"/>
          </w:tcPr>
          <w:p w14:paraId="7A9071B0" w14:textId="77777777" w:rsidR="00045F2C" w:rsidRPr="00CA7C79" w:rsidRDefault="00045F2C" w:rsidP="00A6524B">
            <w:pPr>
              <w:autoSpaceDE w:val="0"/>
              <w:autoSpaceDN w:val="0"/>
              <w:adjustRightInd w:val="0"/>
              <w:rPr>
                <w:sz w:val="22"/>
                <w:szCs w:val="22"/>
              </w:rPr>
            </w:pPr>
            <w:r w:rsidRPr="00CA7C79">
              <w:rPr>
                <w:sz w:val="22"/>
                <w:szCs w:val="22"/>
              </w:rPr>
              <w:t>anafilakse, paaugstinātas jutības ādas reakcijas, tai skaitā izsitumi, angio</w:t>
            </w:r>
            <w:r w:rsidR="00B957F4">
              <w:rPr>
                <w:sz w:val="22"/>
                <w:szCs w:val="22"/>
              </w:rPr>
              <w:t>edēma</w:t>
            </w:r>
            <w:r w:rsidR="001E1231">
              <w:rPr>
                <w:sz w:val="22"/>
                <w:szCs w:val="22"/>
              </w:rPr>
              <w:t xml:space="preserve"> </w:t>
            </w:r>
            <w:r w:rsidRPr="00CA7C79">
              <w:rPr>
                <w:sz w:val="22"/>
                <w:szCs w:val="22"/>
              </w:rPr>
              <w:t>un Stīvensa-Džonsona sindroms</w:t>
            </w:r>
            <w:r w:rsidR="004D6AF3" w:rsidRPr="00CA7C79">
              <w:rPr>
                <w:sz w:val="22"/>
                <w:szCs w:val="22"/>
              </w:rPr>
              <w:t>, toksiskā epidermas nekrolīze</w:t>
            </w:r>
          </w:p>
        </w:tc>
      </w:tr>
      <w:tr w:rsidR="009B4AD6" w:rsidRPr="00CA7C79" w14:paraId="78060FA9" w14:textId="77777777" w:rsidTr="00393BBE">
        <w:tc>
          <w:tcPr>
            <w:tcW w:w="2808" w:type="dxa"/>
          </w:tcPr>
          <w:p w14:paraId="7B6DB2BD" w14:textId="77777777" w:rsidR="009B4AD6" w:rsidRPr="00CA7C79" w:rsidRDefault="009B4AD6" w:rsidP="00290239">
            <w:pPr>
              <w:autoSpaceDE w:val="0"/>
              <w:autoSpaceDN w:val="0"/>
              <w:adjustRightInd w:val="0"/>
              <w:rPr>
                <w:sz w:val="22"/>
                <w:szCs w:val="22"/>
              </w:rPr>
            </w:pPr>
            <w:r w:rsidRPr="00CA7C79">
              <w:rPr>
                <w:sz w:val="22"/>
                <w:szCs w:val="22"/>
              </w:rPr>
              <w:t>Nervu sistēmas traucējumi</w:t>
            </w:r>
          </w:p>
        </w:tc>
        <w:tc>
          <w:tcPr>
            <w:tcW w:w="2520" w:type="dxa"/>
          </w:tcPr>
          <w:p w14:paraId="3A6F0388" w14:textId="77777777" w:rsidR="009B4AD6" w:rsidRPr="00CA7C79" w:rsidRDefault="009B4AD6" w:rsidP="00290239">
            <w:pPr>
              <w:autoSpaceDE w:val="0"/>
              <w:autoSpaceDN w:val="0"/>
              <w:adjustRightInd w:val="0"/>
              <w:rPr>
                <w:sz w:val="22"/>
                <w:szCs w:val="22"/>
              </w:rPr>
            </w:pPr>
          </w:p>
        </w:tc>
        <w:tc>
          <w:tcPr>
            <w:tcW w:w="3600" w:type="dxa"/>
          </w:tcPr>
          <w:p w14:paraId="4FE75072" w14:textId="77777777" w:rsidR="009B4AD6" w:rsidRPr="00CA7C79" w:rsidRDefault="009B4AD6" w:rsidP="00A6524B">
            <w:pPr>
              <w:autoSpaceDE w:val="0"/>
              <w:autoSpaceDN w:val="0"/>
              <w:adjustRightInd w:val="0"/>
              <w:rPr>
                <w:sz w:val="22"/>
                <w:szCs w:val="22"/>
              </w:rPr>
            </w:pPr>
            <w:r w:rsidRPr="00CA7C79">
              <w:rPr>
                <w:sz w:val="22"/>
                <w:szCs w:val="22"/>
              </w:rPr>
              <w:t>galvassāpes, (ilgstoši lietojot – hroniskas)</w:t>
            </w:r>
          </w:p>
        </w:tc>
      </w:tr>
      <w:tr w:rsidR="00393BBE" w:rsidRPr="00CA7C79" w14:paraId="416B8177" w14:textId="77777777" w:rsidTr="00393BBE">
        <w:tc>
          <w:tcPr>
            <w:tcW w:w="2808" w:type="dxa"/>
          </w:tcPr>
          <w:p w14:paraId="1B93B5F7" w14:textId="77777777" w:rsidR="00393BBE" w:rsidRPr="00CA7C79" w:rsidRDefault="00393BBE" w:rsidP="00290239">
            <w:pPr>
              <w:autoSpaceDE w:val="0"/>
              <w:autoSpaceDN w:val="0"/>
              <w:adjustRightInd w:val="0"/>
              <w:rPr>
                <w:sz w:val="22"/>
                <w:szCs w:val="22"/>
              </w:rPr>
            </w:pPr>
            <w:r w:rsidRPr="00CA7C79">
              <w:rPr>
                <w:sz w:val="22"/>
                <w:szCs w:val="22"/>
              </w:rPr>
              <w:t>Sirds funkcij</w:t>
            </w:r>
            <w:r w:rsidR="009B4AD6" w:rsidRPr="00CA7C79">
              <w:rPr>
                <w:sz w:val="22"/>
                <w:szCs w:val="22"/>
              </w:rPr>
              <w:t>as</w:t>
            </w:r>
            <w:r w:rsidRPr="00CA7C79">
              <w:rPr>
                <w:sz w:val="22"/>
                <w:szCs w:val="22"/>
              </w:rPr>
              <w:t xml:space="preserve"> traucējumi</w:t>
            </w:r>
          </w:p>
        </w:tc>
        <w:tc>
          <w:tcPr>
            <w:tcW w:w="2520" w:type="dxa"/>
          </w:tcPr>
          <w:p w14:paraId="0CB88A0B" w14:textId="77777777" w:rsidR="00393BBE" w:rsidRPr="00CA7C79" w:rsidRDefault="00393BBE" w:rsidP="00290239">
            <w:pPr>
              <w:autoSpaceDE w:val="0"/>
              <w:autoSpaceDN w:val="0"/>
              <w:adjustRightInd w:val="0"/>
              <w:rPr>
                <w:sz w:val="22"/>
                <w:szCs w:val="22"/>
              </w:rPr>
            </w:pPr>
          </w:p>
        </w:tc>
        <w:tc>
          <w:tcPr>
            <w:tcW w:w="3600" w:type="dxa"/>
          </w:tcPr>
          <w:p w14:paraId="1E947C26" w14:textId="77777777" w:rsidR="00393BBE" w:rsidRPr="00CA7C79" w:rsidRDefault="00DC76BF" w:rsidP="00DC76BF">
            <w:pPr>
              <w:pStyle w:val="BodyText3"/>
              <w:jc w:val="left"/>
            </w:pPr>
            <w:r w:rsidRPr="00CA7C79">
              <w:t>ievērojama asinsspiediena pazemināšanās</w:t>
            </w:r>
          </w:p>
        </w:tc>
      </w:tr>
      <w:tr w:rsidR="00393BBE" w:rsidRPr="00CA7C79" w14:paraId="68557A2E" w14:textId="77777777" w:rsidTr="00393BBE">
        <w:tc>
          <w:tcPr>
            <w:tcW w:w="2808" w:type="dxa"/>
          </w:tcPr>
          <w:p w14:paraId="54528CE5" w14:textId="77777777" w:rsidR="00393BBE" w:rsidRPr="00CA7C79" w:rsidRDefault="008A74B7" w:rsidP="00290239">
            <w:pPr>
              <w:autoSpaceDE w:val="0"/>
              <w:autoSpaceDN w:val="0"/>
              <w:adjustRightInd w:val="0"/>
              <w:rPr>
                <w:sz w:val="22"/>
                <w:szCs w:val="22"/>
              </w:rPr>
            </w:pPr>
            <w:r w:rsidRPr="00CA7C79">
              <w:rPr>
                <w:sz w:val="22"/>
                <w:szCs w:val="22"/>
              </w:rPr>
              <w:t>Elpošanas sistēmas traucējumi</w:t>
            </w:r>
            <w:r w:rsidR="00393BBE" w:rsidRPr="00CA7C79">
              <w:rPr>
                <w:sz w:val="22"/>
                <w:szCs w:val="22"/>
              </w:rPr>
              <w:t>, krūšu kurvja un videnes slimības</w:t>
            </w:r>
          </w:p>
        </w:tc>
        <w:tc>
          <w:tcPr>
            <w:tcW w:w="2520" w:type="dxa"/>
          </w:tcPr>
          <w:p w14:paraId="7DF3FEC9" w14:textId="77777777" w:rsidR="00393BBE" w:rsidRPr="00CA7C79" w:rsidRDefault="00393BBE" w:rsidP="00290239">
            <w:pPr>
              <w:autoSpaceDE w:val="0"/>
              <w:autoSpaceDN w:val="0"/>
              <w:adjustRightInd w:val="0"/>
              <w:rPr>
                <w:sz w:val="22"/>
                <w:szCs w:val="22"/>
              </w:rPr>
            </w:pPr>
          </w:p>
        </w:tc>
        <w:tc>
          <w:tcPr>
            <w:tcW w:w="3600" w:type="dxa"/>
          </w:tcPr>
          <w:p w14:paraId="14825DCF" w14:textId="77777777" w:rsidR="00393BBE" w:rsidRPr="00CA7C79" w:rsidRDefault="00DC76BF" w:rsidP="00045F2C">
            <w:pPr>
              <w:autoSpaceDE w:val="0"/>
              <w:autoSpaceDN w:val="0"/>
              <w:adjustRightInd w:val="0"/>
              <w:rPr>
                <w:noProof/>
                <w:sz w:val="22"/>
                <w:szCs w:val="22"/>
              </w:rPr>
            </w:pPr>
            <w:r w:rsidRPr="00CA7C79">
              <w:rPr>
                <w:sz w:val="22"/>
                <w:szCs w:val="22"/>
              </w:rPr>
              <w:t xml:space="preserve">elpošanas traucējumi, </w:t>
            </w:r>
            <w:r w:rsidR="00F70D5C" w:rsidRPr="00CA7C79">
              <w:rPr>
                <w:sz w:val="22"/>
                <w:szCs w:val="22"/>
              </w:rPr>
              <w:t>cianoze, bronhiālās astmas paasinājums</w:t>
            </w:r>
            <w:r w:rsidR="00045F2C" w:rsidRPr="00CA7C79">
              <w:rPr>
                <w:sz w:val="22"/>
                <w:szCs w:val="22"/>
              </w:rPr>
              <w:t xml:space="preserve">, bronhu spazmas pacientiem ar paaugstinātu jutību pret aspirīnu un </w:t>
            </w:r>
            <w:r w:rsidR="00045F2C" w:rsidRPr="00CA7C79">
              <w:rPr>
                <w:sz w:val="22"/>
                <w:szCs w:val="22"/>
              </w:rPr>
              <w:lastRenderedPageBreak/>
              <w:t>citiem N</w:t>
            </w:r>
            <w:r w:rsidR="005A227E">
              <w:rPr>
                <w:sz w:val="22"/>
                <w:szCs w:val="22"/>
              </w:rPr>
              <w:t>S</w:t>
            </w:r>
            <w:r w:rsidR="00045F2C" w:rsidRPr="00CA7C79">
              <w:rPr>
                <w:sz w:val="22"/>
                <w:szCs w:val="22"/>
              </w:rPr>
              <w:t>PL</w:t>
            </w:r>
          </w:p>
        </w:tc>
      </w:tr>
      <w:tr w:rsidR="009B4AD6" w:rsidRPr="00CA7C79" w14:paraId="629BA709" w14:textId="77777777" w:rsidTr="00393BBE">
        <w:tc>
          <w:tcPr>
            <w:tcW w:w="2808" w:type="dxa"/>
          </w:tcPr>
          <w:p w14:paraId="323D2874" w14:textId="77777777" w:rsidR="009B4AD6" w:rsidRPr="00CA7C79" w:rsidDel="008A74B7" w:rsidRDefault="009B4AD6" w:rsidP="00290239">
            <w:pPr>
              <w:autoSpaceDE w:val="0"/>
              <w:autoSpaceDN w:val="0"/>
              <w:adjustRightInd w:val="0"/>
              <w:rPr>
                <w:sz w:val="22"/>
                <w:szCs w:val="22"/>
              </w:rPr>
            </w:pPr>
            <w:r w:rsidRPr="00CA7C79">
              <w:rPr>
                <w:sz w:val="22"/>
                <w:szCs w:val="22"/>
              </w:rPr>
              <w:lastRenderedPageBreak/>
              <w:t>Kuņģa-zarnu trakta traucējumi</w:t>
            </w:r>
          </w:p>
        </w:tc>
        <w:tc>
          <w:tcPr>
            <w:tcW w:w="2520" w:type="dxa"/>
          </w:tcPr>
          <w:p w14:paraId="6F45B9A3" w14:textId="77777777" w:rsidR="009B4AD6" w:rsidRPr="00CA7C79" w:rsidRDefault="009B4AD6" w:rsidP="00290239">
            <w:pPr>
              <w:autoSpaceDE w:val="0"/>
              <w:autoSpaceDN w:val="0"/>
              <w:adjustRightInd w:val="0"/>
              <w:rPr>
                <w:sz w:val="22"/>
                <w:szCs w:val="22"/>
              </w:rPr>
            </w:pPr>
            <w:r w:rsidRPr="00CA7C79">
              <w:rPr>
                <w:sz w:val="22"/>
                <w:szCs w:val="22"/>
              </w:rPr>
              <w:t>sausuma sajūta mutē</w:t>
            </w:r>
          </w:p>
        </w:tc>
        <w:tc>
          <w:tcPr>
            <w:tcW w:w="3600" w:type="dxa"/>
          </w:tcPr>
          <w:p w14:paraId="60EF97B3" w14:textId="77777777" w:rsidR="009B4AD6" w:rsidRPr="00CA7C79" w:rsidRDefault="009B4AD6" w:rsidP="00045F2C">
            <w:pPr>
              <w:autoSpaceDE w:val="0"/>
              <w:autoSpaceDN w:val="0"/>
              <w:adjustRightInd w:val="0"/>
              <w:rPr>
                <w:sz w:val="22"/>
                <w:szCs w:val="22"/>
              </w:rPr>
            </w:pPr>
            <w:r w:rsidRPr="00CA7C79">
              <w:rPr>
                <w:sz w:val="22"/>
                <w:szCs w:val="22"/>
              </w:rPr>
              <w:t>dedzinoša sajūta pakrūtes rajonā</w:t>
            </w:r>
          </w:p>
        </w:tc>
      </w:tr>
      <w:tr w:rsidR="00393BBE" w:rsidRPr="00CA7C79" w14:paraId="35168671" w14:textId="77777777" w:rsidTr="00393BBE">
        <w:tc>
          <w:tcPr>
            <w:tcW w:w="2808" w:type="dxa"/>
          </w:tcPr>
          <w:p w14:paraId="0863EB86" w14:textId="77777777" w:rsidR="00393BBE" w:rsidRPr="00CA7C79" w:rsidRDefault="00393BBE" w:rsidP="008A74B7">
            <w:pPr>
              <w:autoSpaceDE w:val="0"/>
              <w:autoSpaceDN w:val="0"/>
              <w:adjustRightInd w:val="0"/>
              <w:rPr>
                <w:sz w:val="22"/>
                <w:szCs w:val="22"/>
              </w:rPr>
            </w:pPr>
            <w:r w:rsidRPr="00CA7C79">
              <w:rPr>
                <w:sz w:val="22"/>
                <w:szCs w:val="22"/>
              </w:rPr>
              <w:t>Aknu un</w:t>
            </w:r>
            <w:r w:rsidR="008A74B7" w:rsidRPr="00CA7C79">
              <w:rPr>
                <w:sz w:val="22"/>
                <w:szCs w:val="22"/>
              </w:rPr>
              <w:t>/vai</w:t>
            </w:r>
            <w:r w:rsidRPr="00CA7C79">
              <w:rPr>
                <w:sz w:val="22"/>
                <w:szCs w:val="22"/>
              </w:rPr>
              <w:t xml:space="preserve"> žults</w:t>
            </w:r>
            <w:r w:rsidR="008A74B7" w:rsidRPr="00CA7C79">
              <w:rPr>
                <w:sz w:val="22"/>
                <w:szCs w:val="22"/>
              </w:rPr>
              <w:t xml:space="preserve"> izvades sistēmas</w:t>
            </w:r>
            <w:r w:rsidRPr="00CA7C79">
              <w:rPr>
                <w:sz w:val="22"/>
                <w:szCs w:val="22"/>
              </w:rPr>
              <w:t xml:space="preserve"> traucējumi</w:t>
            </w:r>
          </w:p>
        </w:tc>
        <w:tc>
          <w:tcPr>
            <w:tcW w:w="2520" w:type="dxa"/>
          </w:tcPr>
          <w:p w14:paraId="7C4F32B1" w14:textId="77777777" w:rsidR="00393BBE" w:rsidRPr="00CA7C79" w:rsidRDefault="00393BBE" w:rsidP="00BE4996">
            <w:pPr>
              <w:autoSpaceDE w:val="0"/>
              <w:autoSpaceDN w:val="0"/>
              <w:adjustRightInd w:val="0"/>
              <w:rPr>
                <w:noProof/>
                <w:sz w:val="22"/>
                <w:szCs w:val="22"/>
              </w:rPr>
            </w:pPr>
          </w:p>
        </w:tc>
        <w:tc>
          <w:tcPr>
            <w:tcW w:w="3600" w:type="dxa"/>
          </w:tcPr>
          <w:p w14:paraId="0558A74A" w14:textId="77777777" w:rsidR="00393BBE" w:rsidRPr="00CA7C79" w:rsidRDefault="00F70D5C" w:rsidP="00BE4996">
            <w:pPr>
              <w:autoSpaceDE w:val="0"/>
              <w:autoSpaceDN w:val="0"/>
              <w:adjustRightInd w:val="0"/>
              <w:rPr>
                <w:noProof/>
                <w:sz w:val="22"/>
                <w:szCs w:val="22"/>
              </w:rPr>
            </w:pPr>
            <w:r w:rsidRPr="00CA7C79">
              <w:rPr>
                <w:sz w:val="22"/>
                <w:szCs w:val="22"/>
              </w:rPr>
              <w:t>dzelte, hepatīts</w:t>
            </w:r>
          </w:p>
        </w:tc>
      </w:tr>
      <w:tr w:rsidR="009B4AD6" w:rsidRPr="00CA7C79" w14:paraId="61A1F2F0" w14:textId="77777777" w:rsidTr="00393BBE">
        <w:tc>
          <w:tcPr>
            <w:tcW w:w="2808" w:type="dxa"/>
          </w:tcPr>
          <w:p w14:paraId="3C307E9C" w14:textId="77777777" w:rsidR="009B4AD6" w:rsidRPr="00CA7C79" w:rsidRDefault="009B4AD6" w:rsidP="008A74B7">
            <w:pPr>
              <w:autoSpaceDE w:val="0"/>
              <w:autoSpaceDN w:val="0"/>
              <w:adjustRightInd w:val="0"/>
              <w:rPr>
                <w:sz w:val="22"/>
                <w:szCs w:val="22"/>
              </w:rPr>
            </w:pPr>
            <w:r w:rsidRPr="00CA7C79">
              <w:rPr>
                <w:sz w:val="22"/>
                <w:szCs w:val="22"/>
                <w:lang w:val="de-DE"/>
              </w:rPr>
              <w:t>Ādas un zemādas audu bojājumi</w:t>
            </w:r>
          </w:p>
        </w:tc>
        <w:tc>
          <w:tcPr>
            <w:tcW w:w="2520" w:type="dxa"/>
          </w:tcPr>
          <w:p w14:paraId="2B75ED2E" w14:textId="77777777" w:rsidR="009B4AD6" w:rsidRPr="00CA7C79" w:rsidRDefault="009B4AD6" w:rsidP="00BE4996">
            <w:pPr>
              <w:autoSpaceDE w:val="0"/>
              <w:autoSpaceDN w:val="0"/>
              <w:adjustRightInd w:val="0"/>
              <w:rPr>
                <w:noProof/>
                <w:sz w:val="22"/>
                <w:szCs w:val="22"/>
              </w:rPr>
            </w:pPr>
            <w:r w:rsidRPr="00CA7C79">
              <w:rPr>
                <w:sz w:val="22"/>
                <w:szCs w:val="22"/>
              </w:rPr>
              <w:t>ādas izsitumi</w:t>
            </w:r>
          </w:p>
        </w:tc>
        <w:tc>
          <w:tcPr>
            <w:tcW w:w="3600" w:type="dxa"/>
          </w:tcPr>
          <w:p w14:paraId="6618D4A0" w14:textId="77777777" w:rsidR="009B4AD6" w:rsidRPr="00CA7C79" w:rsidRDefault="009B4AD6" w:rsidP="005D535D">
            <w:pPr>
              <w:autoSpaceDE w:val="0"/>
              <w:autoSpaceDN w:val="0"/>
              <w:adjustRightInd w:val="0"/>
              <w:rPr>
                <w:sz w:val="22"/>
                <w:szCs w:val="22"/>
              </w:rPr>
            </w:pPr>
            <w:r w:rsidRPr="00CA7C79">
              <w:rPr>
                <w:sz w:val="22"/>
                <w:szCs w:val="22"/>
              </w:rPr>
              <w:t>nātrene, ādas apsārtums</w:t>
            </w:r>
            <w:r w:rsidR="005D535D">
              <w:rPr>
                <w:sz w:val="22"/>
                <w:szCs w:val="22"/>
              </w:rPr>
              <w:t>, s</w:t>
            </w:r>
            <w:r w:rsidR="005D535D" w:rsidRPr="005D535D">
              <w:rPr>
                <w:sz w:val="22"/>
                <w:szCs w:val="22"/>
              </w:rPr>
              <w:t>magas ādas reakcijas</w:t>
            </w:r>
            <w:r w:rsidR="005D535D">
              <w:rPr>
                <w:sz w:val="22"/>
                <w:szCs w:val="22"/>
              </w:rPr>
              <w:t>.</w:t>
            </w:r>
          </w:p>
        </w:tc>
      </w:tr>
      <w:tr w:rsidR="00393BBE" w:rsidRPr="00CA7C79" w14:paraId="67E8DD30" w14:textId="77777777" w:rsidTr="00393BBE">
        <w:tc>
          <w:tcPr>
            <w:tcW w:w="2808" w:type="dxa"/>
          </w:tcPr>
          <w:p w14:paraId="1CF1C1D9" w14:textId="77777777" w:rsidR="00393BBE" w:rsidRPr="00CA7C79" w:rsidRDefault="00393BBE" w:rsidP="008A74B7">
            <w:pPr>
              <w:autoSpaceDE w:val="0"/>
              <w:autoSpaceDN w:val="0"/>
              <w:adjustRightInd w:val="0"/>
              <w:rPr>
                <w:sz w:val="22"/>
                <w:szCs w:val="22"/>
              </w:rPr>
            </w:pPr>
            <w:r w:rsidRPr="00CA7C79">
              <w:rPr>
                <w:sz w:val="22"/>
                <w:szCs w:val="22"/>
              </w:rPr>
              <w:t xml:space="preserve">Nieru un </w:t>
            </w:r>
            <w:r w:rsidR="008A74B7" w:rsidRPr="00CA7C79">
              <w:rPr>
                <w:sz w:val="22"/>
                <w:szCs w:val="22"/>
              </w:rPr>
              <w:t xml:space="preserve">urīnizvades sistēmas </w:t>
            </w:r>
            <w:r w:rsidRPr="00CA7C79">
              <w:rPr>
                <w:sz w:val="22"/>
                <w:szCs w:val="22"/>
              </w:rPr>
              <w:t>traucējumi</w:t>
            </w:r>
          </w:p>
        </w:tc>
        <w:tc>
          <w:tcPr>
            <w:tcW w:w="2520" w:type="dxa"/>
          </w:tcPr>
          <w:p w14:paraId="01A66173" w14:textId="77777777" w:rsidR="00393BBE" w:rsidRPr="00CA7C79" w:rsidRDefault="00393BBE" w:rsidP="00BE4996">
            <w:pPr>
              <w:autoSpaceDE w:val="0"/>
              <w:autoSpaceDN w:val="0"/>
              <w:adjustRightInd w:val="0"/>
              <w:rPr>
                <w:noProof/>
                <w:sz w:val="22"/>
                <w:szCs w:val="22"/>
              </w:rPr>
            </w:pPr>
          </w:p>
        </w:tc>
        <w:tc>
          <w:tcPr>
            <w:tcW w:w="3600" w:type="dxa"/>
          </w:tcPr>
          <w:p w14:paraId="66F5346B" w14:textId="77777777" w:rsidR="00393BBE" w:rsidRPr="00CA7C79" w:rsidRDefault="009B4AD6" w:rsidP="005A227E">
            <w:pPr>
              <w:autoSpaceDE w:val="0"/>
              <w:autoSpaceDN w:val="0"/>
              <w:adjustRightInd w:val="0"/>
              <w:rPr>
                <w:noProof/>
                <w:sz w:val="22"/>
                <w:szCs w:val="22"/>
              </w:rPr>
            </w:pPr>
            <w:r w:rsidRPr="00CA7C79">
              <w:rPr>
                <w:noProof/>
                <w:sz w:val="22"/>
                <w:szCs w:val="22"/>
              </w:rPr>
              <w:t xml:space="preserve">nieru </w:t>
            </w:r>
            <w:r w:rsidR="005A227E">
              <w:rPr>
                <w:noProof/>
                <w:sz w:val="22"/>
                <w:szCs w:val="22"/>
              </w:rPr>
              <w:t>darbības traucējumi</w:t>
            </w:r>
          </w:p>
        </w:tc>
      </w:tr>
      <w:tr w:rsidR="009B4AD6" w:rsidRPr="00CA7C79" w14:paraId="1C2FD4C0" w14:textId="77777777" w:rsidTr="00393BBE">
        <w:tc>
          <w:tcPr>
            <w:tcW w:w="2808" w:type="dxa"/>
          </w:tcPr>
          <w:p w14:paraId="6B7A6A74" w14:textId="77777777" w:rsidR="009B4AD6" w:rsidRPr="00CA7C79" w:rsidRDefault="009B4AD6" w:rsidP="008A74B7">
            <w:pPr>
              <w:autoSpaceDE w:val="0"/>
              <w:autoSpaceDN w:val="0"/>
              <w:adjustRightInd w:val="0"/>
              <w:rPr>
                <w:sz w:val="22"/>
                <w:szCs w:val="22"/>
              </w:rPr>
            </w:pPr>
            <w:r w:rsidRPr="00CA7C79">
              <w:rPr>
                <w:sz w:val="22"/>
                <w:szCs w:val="22"/>
              </w:rPr>
              <w:t>Vispārēji traucējumi un reakcijas ievadīšanas vietā</w:t>
            </w:r>
          </w:p>
        </w:tc>
        <w:tc>
          <w:tcPr>
            <w:tcW w:w="2520" w:type="dxa"/>
          </w:tcPr>
          <w:p w14:paraId="5252D32F" w14:textId="77777777" w:rsidR="009B4AD6" w:rsidRPr="00CA7C79" w:rsidRDefault="009B4AD6" w:rsidP="00BE4996">
            <w:pPr>
              <w:autoSpaceDE w:val="0"/>
              <w:autoSpaceDN w:val="0"/>
              <w:adjustRightInd w:val="0"/>
              <w:rPr>
                <w:noProof/>
                <w:sz w:val="22"/>
                <w:szCs w:val="22"/>
              </w:rPr>
            </w:pPr>
          </w:p>
        </w:tc>
        <w:tc>
          <w:tcPr>
            <w:tcW w:w="3600" w:type="dxa"/>
          </w:tcPr>
          <w:p w14:paraId="4E7C9368" w14:textId="77777777" w:rsidR="009B4AD6" w:rsidRPr="00CA7C79" w:rsidRDefault="009B4AD6" w:rsidP="00BE4996">
            <w:pPr>
              <w:autoSpaceDE w:val="0"/>
              <w:autoSpaceDN w:val="0"/>
              <w:adjustRightInd w:val="0"/>
              <w:rPr>
                <w:noProof/>
                <w:sz w:val="22"/>
                <w:szCs w:val="22"/>
              </w:rPr>
            </w:pPr>
            <w:r w:rsidRPr="00CA7C79">
              <w:rPr>
                <w:sz w:val="22"/>
                <w:szCs w:val="22"/>
              </w:rPr>
              <w:t>drudzis</w:t>
            </w:r>
          </w:p>
        </w:tc>
      </w:tr>
    </w:tbl>
    <w:p w14:paraId="720186AA" w14:textId="77777777" w:rsidR="00B27AA1" w:rsidRPr="00CA7C79" w:rsidRDefault="00B27AA1" w:rsidP="00B27AA1">
      <w:pPr>
        <w:ind w:right="-540"/>
        <w:jc w:val="both"/>
        <w:rPr>
          <w:noProof/>
          <w:sz w:val="22"/>
          <w:szCs w:val="22"/>
        </w:rPr>
      </w:pPr>
    </w:p>
    <w:p w14:paraId="3F981B73" w14:textId="77777777" w:rsidR="008C446F" w:rsidRPr="00CA7C79" w:rsidRDefault="008C446F" w:rsidP="008C446F">
      <w:pPr>
        <w:autoSpaceDE w:val="0"/>
        <w:autoSpaceDN w:val="0"/>
        <w:adjustRightInd w:val="0"/>
        <w:jc w:val="both"/>
        <w:rPr>
          <w:sz w:val="22"/>
          <w:szCs w:val="22"/>
          <w:u w:val="single"/>
        </w:rPr>
      </w:pPr>
      <w:r w:rsidRPr="00CA7C79">
        <w:rPr>
          <w:sz w:val="22"/>
          <w:szCs w:val="22"/>
          <w:u w:val="single"/>
        </w:rPr>
        <w:t>Ziņošana par iespējamām nevēlamām blakusparādībām</w:t>
      </w:r>
    </w:p>
    <w:p w14:paraId="4961CFA3" w14:textId="77777777" w:rsidR="008C446F" w:rsidRDefault="008C446F" w:rsidP="008C446F">
      <w:pPr>
        <w:ind w:right="-540"/>
        <w:jc w:val="both"/>
        <w:rPr>
          <w:noProof/>
          <w:sz w:val="22"/>
          <w:szCs w:val="22"/>
        </w:rPr>
      </w:pPr>
      <w:r w:rsidRPr="00CA7C79">
        <w:rPr>
          <w:sz w:val="22"/>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w:t>
      </w:r>
      <w:r w:rsidR="005A227E">
        <w:rPr>
          <w:noProof/>
          <w:sz w:val="22"/>
          <w:szCs w:val="22"/>
        </w:rPr>
        <w:t xml:space="preserve"> </w:t>
      </w:r>
      <w:r w:rsidRPr="00CA7C79">
        <w:rPr>
          <w:noProof/>
          <w:sz w:val="22"/>
          <w:szCs w:val="22"/>
        </w:rPr>
        <w:t>Zāļu valsts aģentūra</w:t>
      </w:r>
      <w:r w:rsidR="005A227E">
        <w:rPr>
          <w:noProof/>
          <w:sz w:val="22"/>
          <w:szCs w:val="22"/>
        </w:rPr>
        <w:t xml:space="preserve">i, </w:t>
      </w:r>
      <w:r w:rsidRPr="00CA7C79">
        <w:rPr>
          <w:noProof/>
          <w:sz w:val="22"/>
          <w:szCs w:val="22"/>
        </w:rPr>
        <w:t>Jersikas iela 15</w:t>
      </w:r>
      <w:r w:rsidR="005A227E">
        <w:rPr>
          <w:noProof/>
          <w:sz w:val="22"/>
          <w:szCs w:val="22"/>
        </w:rPr>
        <w:t xml:space="preserve">, </w:t>
      </w:r>
      <w:r w:rsidRPr="00CA7C79">
        <w:rPr>
          <w:noProof/>
          <w:sz w:val="22"/>
          <w:szCs w:val="22"/>
        </w:rPr>
        <w:t>Rīga, LV 1003</w:t>
      </w:r>
      <w:r w:rsidR="005A227E">
        <w:rPr>
          <w:noProof/>
          <w:sz w:val="22"/>
          <w:szCs w:val="22"/>
        </w:rPr>
        <w:t>.</w:t>
      </w:r>
      <w:r w:rsidRPr="00CA7C79">
        <w:rPr>
          <w:noProof/>
          <w:sz w:val="22"/>
          <w:szCs w:val="22"/>
        </w:rPr>
        <w:t xml:space="preserve"> Tīmekļa vietne: www.zva.gov.lv</w:t>
      </w:r>
    </w:p>
    <w:p w14:paraId="48677748" w14:textId="77777777" w:rsidR="008C446F" w:rsidRPr="00F70D5C" w:rsidRDefault="008C446F" w:rsidP="00B27AA1">
      <w:pPr>
        <w:ind w:right="-540"/>
        <w:jc w:val="both"/>
        <w:rPr>
          <w:noProof/>
          <w:sz w:val="22"/>
          <w:szCs w:val="22"/>
        </w:rPr>
      </w:pPr>
    </w:p>
    <w:p w14:paraId="4457E18B" w14:textId="77777777" w:rsidR="00AB4BC1" w:rsidRDefault="00AB4BC1">
      <w:pPr>
        <w:numPr>
          <w:ilvl w:val="1"/>
          <w:numId w:val="8"/>
        </w:numPr>
        <w:ind w:right="-900"/>
        <w:jc w:val="both"/>
        <w:rPr>
          <w:b/>
          <w:sz w:val="22"/>
        </w:rPr>
      </w:pPr>
      <w:r>
        <w:rPr>
          <w:b/>
          <w:sz w:val="22"/>
        </w:rPr>
        <w:t xml:space="preserve"> Pārdozēšana</w:t>
      </w:r>
    </w:p>
    <w:p w14:paraId="7A7469E9" w14:textId="77777777" w:rsidR="00AB4BC1" w:rsidRDefault="00AB4BC1">
      <w:pPr>
        <w:jc w:val="both"/>
        <w:rPr>
          <w:sz w:val="22"/>
        </w:rPr>
      </w:pPr>
    </w:p>
    <w:p w14:paraId="5F0FF65F" w14:textId="77777777" w:rsidR="00AB4BC1" w:rsidRDefault="00AB4BC1">
      <w:pPr>
        <w:jc w:val="both"/>
        <w:rPr>
          <w:sz w:val="22"/>
        </w:rPr>
      </w:pPr>
      <w:r>
        <w:rPr>
          <w:sz w:val="22"/>
        </w:rPr>
        <w:t>Paracetamols metabolizējas aknās par glikuronīdiem un sulfātu konjugātiem. Paracetamola pārdozēšanas gadījumos šie metabolizācijas ceļi piesātinās un palielinās paracetamola toksisko metabolītu veidošanās. Glutations inaktivē šos metabolītus. Toksiskie metabolīti koncentrējas aknās un bojā to šūnas, ja nav glutationa. Paracetamola toksiskā deva, kas bojā vesela cilvēka aknas</w:t>
      </w:r>
      <w:r w:rsidR="001E1231">
        <w:rPr>
          <w:sz w:val="22"/>
        </w:rPr>
        <w:t>,</w:t>
      </w:r>
      <w:r>
        <w:rPr>
          <w:sz w:val="22"/>
        </w:rPr>
        <w:t xml:space="preserve"> ir 150 mg/kg. Acetilcisteīns palielina glutationa daudzumu aknās. </w:t>
      </w:r>
    </w:p>
    <w:p w14:paraId="026B758E" w14:textId="77777777" w:rsidR="00AB4BC1" w:rsidRDefault="00AB4BC1">
      <w:pPr>
        <w:pStyle w:val="BodyText3"/>
      </w:pPr>
      <w:r>
        <w:t xml:space="preserve">Pirmie pārdozēšanas simptomi ir slikta dūša, vemšana un sāpes kuņģī. </w:t>
      </w:r>
      <w:r w:rsidR="00CD4FB9">
        <w:t xml:space="preserve">Aknu bojājuma </w:t>
      </w:r>
      <w:r>
        <w:t>klīniskie simptomi parādās tikai pēc dažām dienām.</w:t>
      </w:r>
    </w:p>
    <w:p w14:paraId="6F89704C" w14:textId="77777777" w:rsidR="00AB4BC1" w:rsidRDefault="00AB4BC1">
      <w:pPr>
        <w:pStyle w:val="BodyText3"/>
      </w:pPr>
      <w:r>
        <w:t>Pārdozēšanas ārstēšana ir neatliekama kuņģa skalošana un aktivētās ogles ievadīšana. Ja lietotās paracetamola devas ir virs 125 mg/kg vai paracetamola daudzums asinīs sasniedz sekojošus daudzumus: 1350 mikromoli/l 4 stundu laikā, 990 mikromoli/l 6 stundu laikā un 660 mikromoli/l 9 stundu laikā pēc paracetamola ieņemšanas, jāuzsāk pēc iespējas ātrāka i/v acetilcisteīna terapija.</w:t>
      </w:r>
    </w:p>
    <w:p w14:paraId="06A5F7CB" w14:textId="77777777" w:rsidR="00AB4BC1" w:rsidRDefault="00AB4BC1">
      <w:pPr>
        <w:pStyle w:val="BodyText3"/>
      </w:pPr>
      <w:r>
        <w:t>Acetilcisteīnu izšķīdina 5% glikozes šķīdumā un pirmo reizi ievada 150 mg/kg 15 minūšu laikā. Ārstēšanu turpina</w:t>
      </w:r>
      <w:r w:rsidR="00CD4FB9">
        <w:t>,</w:t>
      </w:r>
      <w:r>
        <w:t xml:space="preserve"> ievadot 50 mg/kg 4 stundās un 100 mg/kg 16 stundās, kopā 300 mg/kg.</w:t>
      </w:r>
    </w:p>
    <w:p w14:paraId="281FEB9B" w14:textId="77777777" w:rsidR="00AB4BC1" w:rsidRDefault="00AB4BC1">
      <w:pPr>
        <w:pStyle w:val="BodyText3"/>
      </w:pPr>
      <w:r>
        <w:t>Ārstēšana ar acetilcisteīnu ir noderīga pat pēc 24-72 stundām pēc pārdozēšanas.</w:t>
      </w:r>
    </w:p>
    <w:p w14:paraId="6B9E705F" w14:textId="77777777" w:rsidR="00AB4BC1" w:rsidRDefault="00AB4BC1">
      <w:pPr>
        <w:ind w:right="-900"/>
        <w:jc w:val="both"/>
        <w:rPr>
          <w:sz w:val="22"/>
        </w:rPr>
      </w:pPr>
      <w:r>
        <w:rPr>
          <w:sz w:val="22"/>
        </w:rPr>
        <w:t>Var būt noderīga antihistamīnu terapija, jo acetilcisteīns var izraisīt anafilaktiskus simptomus.</w:t>
      </w:r>
    </w:p>
    <w:p w14:paraId="3849EF43" w14:textId="77777777" w:rsidR="00AB4BC1" w:rsidRDefault="00AB4BC1">
      <w:pPr>
        <w:ind w:right="-900"/>
        <w:jc w:val="both"/>
        <w:rPr>
          <w:sz w:val="22"/>
        </w:rPr>
      </w:pPr>
    </w:p>
    <w:p w14:paraId="076CB5D5" w14:textId="77777777" w:rsidR="00AB4BC1" w:rsidRDefault="00AB4BC1">
      <w:pPr>
        <w:ind w:right="-900"/>
        <w:jc w:val="both"/>
        <w:rPr>
          <w:sz w:val="22"/>
        </w:rPr>
      </w:pPr>
    </w:p>
    <w:p w14:paraId="708873B5" w14:textId="77777777" w:rsidR="00AB4BC1" w:rsidRDefault="00AB4BC1">
      <w:pPr>
        <w:numPr>
          <w:ilvl w:val="0"/>
          <w:numId w:val="8"/>
        </w:numPr>
        <w:ind w:right="-900"/>
        <w:jc w:val="both"/>
        <w:rPr>
          <w:b/>
          <w:sz w:val="22"/>
        </w:rPr>
      </w:pPr>
      <w:r>
        <w:rPr>
          <w:b/>
          <w:sz w:val="22"/>
        </w:rPr>
        <w:t>FARMAKOLOĢISKĀS ĪPAŠĪBAS</w:t>
      </w:r>
    </w:p>
    <w:p w14:paraId="3DCBE3F6" w14:textId="77777777" w:rsidR="00AB4BC1" w:rsidRDefault="00AB4BC1">
      <w:pPr>
        <w:ind w:right="-900"/>
        <w:jc w:val="both"/>
        <w:rPr>
          <w:b/>
          <w:sz w:val="22"/>
        </w:rPr>
      </w:pPr>
    </w:p>
    <w:p w14:paraId="51F51BEC" w14:textId="77777777" w:rsidR="00AB4BC1" w:rsidRDefault="00AB4BC1">
      <w:pPr>
        <w:ind w:right="-900"/>
        <w:jc w:val="both"/>
        <w:rPr>
          <w:b/>
          <w:sz w:val="22"/>
        </w:rPr>
      </w:pPr>
      <w:r>
        <w:rPr>
          <w:b/>
          <w:sz w:val="22"/>
        </w:rPr>
        <w:t>5.1. Farmakodinamiskās īpašības</w:t>
      </w:r>
    </w:p>
    <w:p w14:paraId="433D187B" w14:textId="77777777" w:rsidR="00AB4BC1" w:rsidRDefault="00AB4BC1">
      <w:pPr>
        <w:jc w:val="both"/>
        <w:rPr>
          <w:sz w:val="22"/>
        </w:rPr>
      </w:pPr>
    </w:p>
    <w:p w14:paraId="19E1082B" w14:textId="77777777" w:rsidR="00CD4FB9" w:rsidRDefault="00CD4FB9">
      <w:pPr>
        <w:jc w:val="both"/>
        <w:rPr>
          <w:sz w:val="22"/>
        </w:rPr>
      </w:pPr>
      <w:r w:rsidRPr="009C46E3">
        <w:rPr>
          <w:sz w:val="22"/>
        </w:rPr>
        <w:t xml:space="preserve">Farmakoterapeitiskā grupa: </w:t>
      </w:r>
      <w:r w:rsidR="004D6AF3" w:rsidRPr="004D6AF3">
        <w:rPr>
          <w:sz w:val="22"/>
          <w:szCs w:val="22"/>
        </w:rPr>
        <w:t xml:space="preserve">citi </w:t>
      </w:r>
      <w:r w:rsidR="004D6AF3" w:rsidRPr="004D6AF3">
        <w:rPr>
          <w:noProof/>
          <w:sz w:val="22"/>
          <w:szCs w:val="22"/>
        </w:rPr>
        <w:t>pretsāpju un pretdrudža līdzekļi,</w:t>
      </w:r>
      <w:r w:rsidR="004D6AF3" w:rsidRPr="004D6AF3">
        <w:rPr>
          <w:sz w:val="22"/>
          <w:szCs w:val="22"/>
        </w:rPr>
        <w:t xml:space="preserve"> anilīna atvasinājumi,</w:t>
      </w:r>
      <w:r w:rsidR="004D6AF3">
        <w:t xml:space="preserve"> </w:t>
      </w:r>
      <w:r w:rsidRPr="009C46E3">
        <w:rPr>
          <w:sz w:val="22"/>
        </w:rPr>
        <w:t xml:space="preserve">ATĶ kods: </w:t>
      </w:r>
      <w:r w:rsidR="00EA25A1" w:rsidRPr="009C46E3">
        <w:rPr>
          <w:sz w:val="22"/>
        </w:rPr>
        <w:t>N02BE01.</w:t>
      </w:r>
    </w:p>
    <w:p w14:paraId="69031928" w14:textId="77777777" w:rsidR="00CD4FB9" w:rsidRDefault="00CD4FB9">
      <w:pPr>
        <w:jc w:val="both"/>
        <w:rPr>
          <w:sz w:val="22"/>
        </w:rPr>
      </w:pPr>
    </w:p>
    <w:p w14:paraId="36E914EF" w14:textId="77777777" w:rsidR="00AB4BC1" w:rsidRDefault="00AB4BC1">
      <w:pPr>
        <w:jc w:val="both"/>
        <w:rPr>
          <w:sz w:val="22"/>
        </w:rPr>
      </w:pPr>
      <w:r>
        <w:rPr>
          <w:sz w:val="22"/>
        </w:rPr>
        <w:t>Paracetamolam piemīt līdzīgas analgētiskās un antipirētiskās īpašības kā sa</w:t>
      </w:r>
      <w:r w:rsidR="00C90A2F">
        <w:rPr>
          <w:sz w:val="22"/>
        </w:rPr>
        <w:t>licilātiem. Tomēr paracetamolam</w:t>
      </w:r>
      <w:r>
        <w:rPr>
          <w:sz w:val="22"/>
        </w:rPr>
        <w:t xml:space="preserve"> piemīt vāja pretiekaisuma darbība, jo tas vāji inhibē perifēro prostaglandīnu sintēzi. Paracetamols neietekmē trombocītu agregāciju un asinsteces laiku. Tas nekairina kuņģi un lietots pareizās devās ir labi panesams analgētisks līdzeklis. </w:t>
      </w:r>
    </w:p>
    <w:p w14:paraId="26D4E2E7" w14:textId="77777777" w:rsidR="00AB4BC1" w:rsidRDefault="00AB4BC1">
      <w:pPr>
        <w:ind w:right="-900"/>
        <w:jc w:val="both"/>
        <w:rPr>
          <w:sz w:val="22"/>
        </w:rPr>
      </w:pPr>
    </w:p>
    <w:p w14:paraId="501175BC" w14:textId="77777777" w:rsidR="00AB4BC1" w:rsidRDefault="00AB4BC1">
      <w:pPr>
        <w:ind w:right="-900"/>
        <w:jc w:val="both"/>
        <w:rPr>
          <w:b/>
          <w:sz w:val="22"/>
        </w:rPr>
      </w:pPr>
      <w:r>
        <w:rPr>
          <w:b/>
          <w:sz w:val="22"/>
        </w:rPr>
        <w:t>5.2. Farmakokinētiskās īpašības</w:t>
      </w:r>
    </w:p>
    <w:p w14:paraId="48DE8184" w14:textId="77777777" w:rsidR="00AB4BC1" w:rsidRDefault="00AB4BC1">
      <w:pPr>
        <w:pStyle w:val="BodyText3"/>
      </w:pPr>
    </w:p>
    <w:p w14:paraId="1B1B8517" w14:textId="77777777" w:rsidR="00AB4BC1" w:rsidRDefault="00AB4BC1">
      <w:pPr>
        <w:pStyle w:val="BodyText3"/>
      </w:pPr>
      <w:r>
        <w:t xml:space="preserve">Paracetamols ātri un pilnībā uzsūcas no kuņģa </w:t>
      </w:r>
      <w:r w:rsidR="00C90A2F">
        <w:t xml:space="preserve">un </w:t>
      </w:r>
      <w:r>
        <w:t xml:space="preserve">zarnu trakta. Maksimālā koncentrācija serumā tiek sasniegta 30-60 min. laikā. Uzsūkšanos aizkavē ēdiens. Paracetamols gandrīz vienādi izplatās </w:t>
      </w:r>
      <w:r>
        <w:lastRenderedPageBreak/>
        <w:t>ķermeņa audos, tas vāji saistās ar plazmas proteīniem (&lt;20%). Izplatīšanās tilpums ir 0,9 l/kg. Paracetamols gandrīz pilnībā metabolizējas aknās (95%)</w:t>
      </w:r>
      <w:r w:rsidR="00C90A2F">
        <w:t>,</w:t>
      </w:r>
      <w:r>
        <w:t xml:space="preserve"> pārvēršoties par glikuronīdiem un sulfātu savienojumiem (~90% no kopējā daudzuma). Neliels daudzums (&lt;5%) citohroma enzīma P450 (pārsvarā CYP2E1) iedarbības rezultātā pārvēršas toksiskā starpproduktā (N-acetil-p-benzohinoneimīnā). Parastos lietošanas apstākļos to ātri detoksificē glutations un pēc saistīšanās ar cisteīnu un merkapto</w:t>
      </w:r>
      <w:r w:rsidR="00A75F44">
        <w:t>p</w:t>
      </w:r>
      <w:r>
        <w:t>urī</w:t>
      </w:r>
      <w:r w:rsidR="00A75F44">
        <w:t>n</w:t>
      </w:r>
      <w:r>
        <w:t xml:space="preserve">skābi tas tiek izvadīts </w:t>
      </w:r>
      <w:r w:rsidR="00616873">
        <w:t xml:space="preserve">ar </w:t>
      </w:r>
      <w:r>
        <w:t>urīn</w:t>
      </w:r>
      <w:r w:rsidR="00616873">
        <w:t>u</w:t>
      </w:r>
      <w:r>
        <w:t xml:space="preserve">. </w:t>
      </w:r>
    </w:p>
    <w:p w14:paraId="09CD788F" w14:textId="77777777" w:rsidR="00AB4BC1" w:rsidRDefault="00AB4BC1">
      <w:pPr>
        <w:pStyle w:val="BodyText3"/>
      </w:pPr>
      <w:r>
        <w:t>Paracetamola eliminācijas pusperiods no plazmas ir 2,3 stundas. Metabolīti gandrīz pilnībā tiek izvadīti caur nierēm. Smagas nieru vai aknu mazspējas gadījumā tā metab</w:t>
      </w:r>
      <w:r w:rsidR="00A75F44">
        <w:t>olisms un metabolītu izvadīšana</w:t>
      </w:r>
      <w:r>
        <w:t xml:space="preserve"> ir aizkavēta.</w:t>
      </w:r>
    </w:p>
    <w:p w14:paraId="2A96B814" w14:textId="77777777" w:rsidR="00AB4BC1" w:rsidRDefault="00AB4BC1">
      <w:pPr>
        <w:ind w:right="-900"/>
        <w:jc w:val="both"/>
        <w:rPr>
          <w:b/>
          <w:noProof/>
          <w:sz w:val="22"/>
        </w:rPr>
      </w:pPr>
      <w:r>
        <w:rPr>
          <w:noProof/>
          <w:sz w:val="22"/>
        </w:rPr>
        <w:t xml:space="preserve"> </w:t>
      </w:r>
    </w:p>
    <w:p w14:paraId="73209E98" w14:textId="77777777" w:rsidR="00AB4BC1" w:rsidRDefault="00AB4BC1">
      <w:pPr>
        <w:ind w:right="-716"/>
        <w:jc w:val="both"/>
        <w:rPr>
          <w:b/>
          <w:sz w:val="22"/>
        </w:rPr>
      </w:pPr>
      <w:r>
        <w:rPr>
          <w:b/>
          <w:noProof/>
          <w:sz w:val="22"/>
        </w:rPr>
        <w:t>5.3.</w:t>
      </w:r>
      <w:r>
        <w:rPr>
          <w:b/>
          <w:sz w:val="22"/>
        </w:rPr>
        <w:t xml:space="preserve"> Preklīniskie dati par </w:t>
      </w:r>
      <w:r w:rsidR="004D6AF3">
        <w:rPr>
          <w:b/>
          <w:sz w:val="22"/>
        </w:rPr>
        <w:t>drošumu</w:t>
      </w:r>
    </w:p>
    <w:p w14:paraId="45712A6D" w14:textId="77777777" w:rsidR="00C90A2F" w:rsidRDefault="00C90A2F">
      <w:pPr>
        <w:ind w:right="-716"/>
        <w:jc w:val="both"/>
        <w:rPr>
          <w:b/>
          <w:sz w:val="22"/>
        </w:rPr>
      </w:pPr>
    </w:p>
    <w:p w14:paraId="21755F28" w14:textId="77777777" w:rsidR="00AB4BC1" w:rsidRDefault="00AB4BC1">
      <w:pPr>
        <w:pStyle w:val="BodyText"/>
        <w:ind w:right="0"/>
        <w:rPr>
          <w:sz w:val="22"/>
        </w:rPr>
      </w:pPr>
      <w:r>
        <w:rPr>
          <w:sz w:val="22"/>
        </w:rPr>
        <w:t>Pakļaujot ilgstošai paracetamola iedarbībai peles un žurkas</w:t>
      </w:r>
      <w:r w:rsidR="00095CDE">
        <w:rPr>
          <w:sz w:val="22"/>
        </w:rPr>
        <w:t>,</w:t>
      </w:r>
      <w:r>
        <w:rPr>
          <w:sz w:val="22"/>
        </w:rPr>
        <w:t xml:space="preserve"> novēroja gastrointestinālus bojājumus, asinsainas izmaiņas, aknu deģenerāciju un nieru parenhīmas bojājumus. Izmantotās devas, kas izraisīja šīs izmaiņas</w:t>
      </w:r>
      <w:r w:rsidR="00095CDE">
        <w:rPr>
          <w:sz w:val="22"/>
        </w:rPr>
        <w:t>,</w:t>
      </w:r>
      <w:r>
        <w:rPr>
          <w:sz w:val="22"/>
        </w:rPr>
        <w:t xml:space="preserve"> ir desmit reizes lielākas par klīniskajā praksē ieteicamajām. Tomēr paracetamolu neiesaka lietot ilgstoši</w:t>
      </w:r>
      <w:r w:rsidR="004D6AF3">
        <w:rPr>
          <w:sz w:val="22"/>
        </w:rPr>
        <w:t>.</w:t>
      </w:r>
      <w:r>
        <w:rPr>
          <w:sz w:val="22"/>
        </w:rPr>
        <w:t xml:space="preserve"> </w:t>
      </w:r>
    </w:p>
    <w:p w14:paraId="2ED046EB" w14:textId="77777777" w:rsidR="00AB4BC1" w:rsidRDefault="00AB4BC1" w:rsidP="00780593">
      <w:pPr>
        <w:pStyle w:val="BodyText"/>
        <w:ind w:right="0"/>
        <w:rPr>
          <w:sz w:val="22"/>
        </w:rPr>
      </w:pPr>
      <w:r>
        <w:rPr>
          <w:sz w:val="22"/>
        </w:rPr>
        <w:t xml:space="preserve">Ilgstoši paracetamola nehepatotoksisku devu pētījumi ar pelēm un žurkām neuzrādīja genotoksiskumu, teratogenitāti vai kancerogēnu efektu. Paracetamols šķērso placentu. </w:t>
      </w:r>
      <w:bookmarkStart w:id="1" w:name="_Hlk11251402"/>
      <w:r w:rsidR="00780593" w:rsidRPr="00780593">
        <w:rPr>
          <w:sz w:val="22"/>
        </w:rPr>
        <w:t xml:space="preserve">Standartpētījumi, izmantojot </w:t>
      </w:r>
      <w:r w:rsidR="00E913F9">
        <w:rPr>
          <w:sz w:val="22"/>
        </w:rPr>
        <w:t>patreiz</w:t>
      </w:r>
      <w:r w:rsidR="00780593" w:rsidRPr="00780593">
        <w:rPr>
          <w:sz w:val="22"/>
        </w:rPr>
        <w:t xml:space="preserve"> spēkā esošos standartus toksiskas ietekmes uz reproduktivitāti</w:t>
      </w:r>
      <w:r w:rsidR="00B957F4">
        <w:rPr>
          <w:sz w:val="22"/>
        </w:rPr>
        <w:t xml:space="preserve"> </w:t>
      </w:r>
      <w:r w:rsidR="00780593" w:rsidRPr="00780593">
        <w:rPr>
          <w:sz w:val="22"/>
        </w:rPr>
        <w:t>un attīstību vērtēšanai, nav pieejami.</w:t>
      </w:r>
    </w:p>
    <w:p w14:paraId="073D607E" w14:textId="77777777" w:rsidR="00AB4BC1" w:rsidRDefault="00AB4BC1">
      <w:pPr>
        <w:ind w:right="-900"/>
        <w:jc w:val="both"/>
        <w:rPr>
          <w:sz w:val="22"/>
        </w:rPr>
      </w:pPr>
    </w:p>
    <w:bookmarkEnd w:id="1"/>
    <w:p w14:paraId="58AB8150" w14:textId="77777777" w:rsidR="00AB4BC1" w:rsidRDefault="00AB4BC1">
      <w:pPr>
        <w:numPr>
          <w:ilvl w:val="0"/>
          <w:numId w:val="8"/>
        </w:numPr>
        <w:ind w:right="-900"/>
        <w:jc w:val="both"/>
        <w:rPr>
          <w:b/>
          <w:sz w:val="22"/>
        </w:rPr>
      </w:pPr>
      <w:r>
        <w:rPr>
          <w:b/>
          <w:sz w:val="22"/>
        </w:rPr>
        <w:t>FARMACEITISKĀS ĪPAŠĪBAS</w:t>
      </w:r>
    </w:p>
    <w:p w14:paraId="468CB51A" w14:textId="77777777" w:rsidR="00AB4BC1" w:rsidRDefault="00AB4BC1">
      <w:pPr>
        <w:ind w:right="-900"/>
        <w:jc w:val="both"/>
        <w:rPr>
          <w:b/>
          <w:sz w:val="22"/>
        </w:rPr>
      </w:pPr>
    </w:p>
    <w:p w14:paraId="1F0C7486" w14:textId="77777777" w:rsidR="00AB4BC1" w:rsidRDefault="00AB4BC1">
      <w:pPr>
        <w:ind w:right="-900"/>
        <w:jc w:val="both"/>
        <w:rPr>
          <w:b/>
          <w:sz w:val="22"/>
        </w:rPr>
      </w:pPr>
      <w:r>
        <w:rPr>
          <w:b/>
          <w:sz w:val="22"/>
        </w:rPr>
        <w:t>6.1. Palīgvielu saraksts</w:t>
      </w:r>
    </w:p>
    <w:p w14:paraId="3BDEF67F" w14:textId="77777777" w:rsidR="00AB4BC1" w:rsidRDefault="00AB4BC1">
      <w:pPr>
        <w:jc w:val="both"/>
        <w:rPr>
          <w:sz w:val="22"/>
        </w:rPr>
      </w:pPr>
    </w:p>
    <w:p w14:paraId="73A33A5A" w14:textId="77777777" w:rsidR="00AB4BC1" w:rsidRDefault="00AB4BC1">
      <w:pPr>
        <w:jc w:val="both"/>
        <w:rPr>
          <w:sz w:val="22"/>
        </w:rPr>
      </w:pPr>
      <w:r>
        <w:rPr>
          <w:sz w:val="22"/>
        </w:rPr>
        <w:t>Povidons</w:t>
      </w:r>
    </w:p>
    <w:p w14:paraId="58029531" w14:textId="77777777" w:rsidR="00AB4BC1" w:rsidRDefault="00AB4BC1">
      <w:pPr>
        <w:jc w:val="both"/>
        <w:rPr>
          <w:sz w:val="22"/>
        </w:rPr>
      </w:pPr>
      <w:r>
        <w:rPr>
          <w:sz w:val="22"/>
        </w:rPr>
        <w:t>Mikrokristāliskā celuloze</w:t>
      </w:r>
    </w:p>
    <w:p w14:paraId="7622546F" w14:textId="77777777" w:rsidR="00AB4BC1" w:rsidRDefault="00AB4BC1">
      <w:pPr>
        <w:jc w:val="both"/>
        <w:rPr>
          <w:sz w:val="22"/>
        </w:rPr>
      </w:pPr>
      <w:r>
        <w:rPr>
          <w:sz w:val="22"/>
        </w:rPr>
        <w:t>Nātrija cietes glikolāts</w:t>
      </w:r>
    </w:p>
    <w:p w14:paraId="1E0E2C26" w14:textId="77777777" w:rsidR="00AB4BC1" w:rsidRDefault="00AB4BC1">
      <w:pPr>
        <w:jc w:val="both"/>
        <w:rPr>
          <w:sz w:val="22"/>
        </w:rPr>
      </w:pPr>
      <w:r>
        <w:rPr>
          <w:sz w:val="22"/>
        </w:rPr>
        <w:t>Stearīnskābe</w:t>
      </w:r>
    </w:p>
    <w:p w14:paraId="20C0712B" w14:textId="77777777" w:rsidR="00AB4BC1" w:rsidRDefault="00AB4BC1">
      <w:pPr>
        <w:jc w:val="both"/>
        <w:rPr>
          <w:sz w:val="22"/>
        </w:rPr>
      </w:pPr>
      <w:r>
        <w:rPr>
          <w:sz w:val="22"/>
        </w:rPr>
        <w:t xml:space="preserve">Magnija stearāts  </w:t>
      </w:r>
    </w:p>
    <w:p w14:paraId="11C23D6A" w14:textId="77777777" w:rsidR="00AB4BC1" w:rsidRDefault="00AB4BC1">
      <w:pPr>
        <w:jc w:val="both"/>
        <w:rPr>
          <w:sz w:val="22"/>
        </w:rPr>
      </w:pPr>
    </w:p>
    <w:p w14:paraId="63BAC739" w14:textId="77777777" w:rsidR="00AB4BC1" w:rsidRDefault="00AB4BC1">
      <w:pPr>
        <w:ind w:right="-900"/>
        <w:jc w:val="both"/>
        <w:rPr>
          <w:b/>
          <w:sz w:val="22"/>
        </w:rPr>
      </w:pPr>
      <w:r>
        <w:rPr>
          <w:b/>
          <w:sz w:val="22"/>
        </w:rPr>
        <w:t>6.2. Nesaderība</w:t>
      </w:r>
    </w:p>
    <w:p w14:paraId="0F79CCFF" w14:textId="77777777" w:rsidR="00AB4BC1" w:rsidRDefault="00AB4BC1">
      <w:pPr>
        <w:ind w:right="-900"/>
        <w:jc w:val="both"/>
        <w:rPr>
          <w:sz w:val="22"/>
        </w:rPr>
      </w:pPr>
    </w:p>
    <w:p w14:paraId="4EBA0CB5" w14:textId="77777777" w:rsidR="00AB4BC1" w:rsidRDefault="00AB4BC1">
      <w:pPr>
        <w:ind w:right="-900"/>
        <w:jc w:val="both"/>
        <w:rPr>
          <w:sz w:val="22"/>
        </w:rPr>
      </w:pPr>
      <w:r>
        <w:rPr>
          <w:sz w:val="22"/>
        </w:rPr>
        <w:t xml:space="preserve">Nav </w:t>
      </w:r>
      <w:r w:rsidR="001C1B65">
        <w:rPr>
          <w:sz w:val="22"/>
        </w:rPr>
        <w:t>piemērojama.</w:t>
      </w:r>
    </w:p>
    <w:p w14:paraId="52864CD3" w14:textId="77777777" w:rsidR="00AB4BC1" w:rsidRDefault="00AB4BC1">
      <w:pPr>
        <w:ind w:right="-900"/>
        <w:jc w:val="both"/>
        <w:rPr>
          <w:sz w:val="22"/>
        </w:rPr>
      </w:pPr>
    </w:p>
    <w:p w14:paraId="053E2907" w14:textId="77777777" w:rsidR="00AB4BC1" w:rsidRDefault="00AB4BC1">
      <w:pPr>
        <w:numPr>
          <w:ilvl w:val="1"/>
          <w:numId w:val="9"/>
        </w:numPr>
        <w:ind w:right="-900"/>
        <w:jc w:val="both"/>
        <w:rPr>
          <w:b/>
          <w:sz w:val="22"/>
        </w:rPr>
      </w:pPr>
      <w:r>
        <w:rPr>
          <w:b/>
          <w:sz w:val="22"/>
        </w:rPr>
        <w:t xml:space="preserve"> Uzglabāšanas laiks</w:t>
      </w:r>
    </w:p>
    <w:p w14:paraId="3CB89403" w14:textId="77777777" w:rsidR="00AB4BC1" w:rsidRDefault="00AB4BC1">
      <w:pPr>
        <w:ind w:right="-900"/>
        <w:jc w:val="both"/>
        <w:rPr>
          <w:sz w:val="22"/>
        </w:rPr>
      </w:pPr>
    </w:p>
    <w:p w14:paraId="1012FFD9" w14:textId="77777777" w:rsidR="008A4DB1" w:rsidRDefault="008A4DB1" w:rsidP="008A4DB1">
      <w:pPr>
        <w:ind w:right="-900"/>
        <w:jc w:val="both"/>
        <w:rPr>
          <w:sz w:val="22"/>
        </w:rPr>
      </w:pPr>
      <w:r>
        <w:rPr>
          <w:sz w:val="22"/>
        </w:rPr>
        <w:t xml:space="preserve">PARAMAX Junior 250 mg: </w:t>
      </w:r>
      <w:r w:rsidR="007B6110">
        <w:rPr>
          <w:sz w:val="22"/>
        </w:rPr>
        <w:t>5</w:t>
      </w:r>
      <w:r w:rsidR="007B6110" w:rsidRPr="00065768">
        <w:rPr>
          <w:sz w:val="22"/>
        </w:rPr>
        <w:t xml:space="preserve"> </w:t>
      </w:r>
      <w:r w:rsidRPr="00065768">
        <w:rPr>
          <w:sz w:val="22"/>
        </w:rPr>
        <w:t>gadi</w:t>
      </w:r>
      <w:r>
        <w:rPr>
          <w:sz w:val="22"/>
        </w:rPr>
        <w:t>.</w:t>
      </w:r>
    </w:p>
    <w:p w14:paraId="43EDE99F" w14:textId="77777777" w:rsidR="008A4DB1" w:rsidRDefault="008A4DB1" w:rsidP="008A4DB1">
      <w:pPr>
        <w:ind w:right="-900"/>
        <w:jc w:val="both"/>
        <w:rPr>
          <w:sz w:val="22"/>
        </w:rPr>
      </w:pPr>
      <w:r>
        <w:rPr>
          <w:sz w:val="22"/>
        </w:rPr>
        <w:t>PARAMAX Rapid 500 mg: 5 gadi.</w:t>
      </w:r>
    </w:p>
    <w:p w14:paraId="19283EAC" w14:textId="77777777" w:rsidR="008A4DB1" w:rsidRDefault="008A4DB1" w:rsidP="008A4DB1">
      <w:pPr>
        <w:ind w:right="-900"/>
        <w:jc w:val="both"/>
        <w:rPr>
          <w:sz w:val="22"/>
        </w:rPr>
      </w:pPr>
      <w:r>
        <w:rPr>
          <w:sz w:val="22"/>
        </w:rPr>
        <w:t>PARAMAX Rapid 1000 mg: 5 gadi.</w:t>
      </w:r>
    </w:p>
    <w:p w14:paraId="37F91205" w14:textId="77777777" w:rsidR="00AB4BC1" w:rsidRDefault="00AB4BC1">
      <w:pPr>
        <w:ind w:right="-900"/>
        <w:jc w:val="both"/>
        <w:rPr>
          <w:sz w:val="22"/>
        </w:rPr>
      </w:pPr>
    </w:p>
    <w:p w14:paraId="693512DF" w14:textId="77777777" w:rsidR="00AB4BC1" w:rsidRDefault="00AB4BC1">
      <w:pPr>
        <w:ind w:right="-900"/>
        <w:jc w:val="both"/>
        <w:rPr>
          <w:b/>
          <w:sz w:val="22"/>
        </w:rPr>
      </w:pPr>
      <w:r>
        <w:rPr>
          <w:b/>
          <w:sz w:val="22"/>
        </w:rPr>
        <w:t>6.4. Īpaši uzglabāšanas nosacījumi</w:t>
      </w:r>
    </w:p>
    <w:p w14:paraId="3421D2AC" w14:textId="77777777" w:rsidR="00AB4BC1" w:rsidRDefault="00AB4BC1">
      <w:pPr>
        <w:ind w:right="-900"/>
        <w:jc w:val="both"/>
        <w:rPr>
          <w:sz w:val="22"/>
        </w:rPr>
      </w:pPr>
    </w:p>
    <w:p w14:paraId="109BEC46" w14:textId="77777777" w:rsidR="00AB4BC1" w:rsidRDefault="00AB4BC1">
      <w:pPr>
        <w:ind w:right="-900"/>
        <w:jc w:val="both"/>
        <w:rPr>
          <w:sz w:val="22"/>
        </w:rPr>
      </w:pPr>
      <w:r>
        <w:rPr>
          <w:sz w:val="22"/>
        </w:rPr>
        <w:t xml:space="preserve">Zālēm nav nepieciešami īpaši uzglabāšanas apstākļi. </w:t>
      </w:r>
    </w:p>
    <w:p w14:paraId="48C40076" w14:textId="77777777" w:rsidR="00AB4BC1" w:rsidRDefault="00AB4BC1">
      <w:pPr>
        <w:ind w:right="-900"/>
        <w:jc w:val="both"/>
        <w:rPr>
          <w:sz w:val="22"/>
        </w:rPr>
      </w:pPr>
    </w:p>
    <w:p w14:paraId="22529034" w14:textId="77777777" w:rsidR="00AB4BC1" w:rsidRDefault="00AB4BC1">
      <w:pPr>
        <w:numPr>
          <w:ilvl w:val="1"/>
          <w:numId w:val="8"/>
        </w:numPr>
        <w:ind w:right="-900"/>
        <w:jc w:val="both"/>
        <w:rPr>
          <w:b/>
          <w:sz w:val="22"/>
        </w:rPr>
      </w:pPr>
      <w:r>
        <w:rPr>
          <w:b/>
          <w:sz w:val="22"/>
        </w:rPr>
        <w:t xml:space="preserve"> Iepakojuma veids un saturs</w:t>
      </w:r>
    </w:p>
    <w:p w14:paraId="5472CC7E" w14:textId="77777777" w:rsidR="00AB4BC1" w:rsidRDefault="00AB4BC1">
      <w:pPr>
        <w:jc w:val="both"/>
        <w:rPr>
          <w:sz w:val="22"/>
        </w:rPr>
      </w:pPr>
    </w:p>
    <w:p w14:paraId="531BE10D" w14:textId="77777777" w:rsidR="00AB4BC1" w:rsidRDefault="00AB4BC1">
      <w:pPr>
        <w:jc w:val="both"/>
        <w:rPr>
          <w:sz w:val="22"/>
        </w:rPr>
      </w:pPr>
      <w:r>
        <w:rPr>
          <w:sz w:val="22"/>
        </w:rPr>
        <w:t>PARAMAX Junior 250 mg: 10 tabletes blisteriepakojumā (Al/PVH).</w:t>
      </w:r>
    </w:p>
    <w:p w14:paraId="6F95A369" w14:textId="77777777" w:rsidR="00AB4BC1" w:rsidRDefault="00AB4BC1">
      <w:pPr>
        <w:jc w:val="both"/>
        <w:rPr>
          <w:sz w:val="22"/>
        </w:rPr>
      </w:pPr>
      <w:r>
        <w:rPr>
          <w:sz w:val="22"/>
        </w:rPr>
        <w:t>PARAMAX Rapid 500 mg: 10 un 30 tabletes blisteriepakojumā (Al/PVH). 100 tabletes plastmasas trauciņos (ABPE trauciņš un ZBPE vāciņš).</w:t>
      </w:r>
    </w:p>
    <w:p w14:paraId="5AAADE5E" w14:textId="77777777" w:rsidR="00AB4BC1" w:rsidRDefault="00AB4BC1">
      <w:pPr>
        <w:jc w:val="both"/>
        <w:rPr>
          <w:sz w:val="22"/>
        </w:rPr>
      </w:pPr>
      <w:r>
        <w:rPr>
          <w:sz w:val="22"/>
        </w:rPr>
        <w:t xml:space="preserve">PARAMAX </w:t>
      </w:r>
      <w:r w:rsidR="00153FE1">
        <w:rPr>
          <w:sz w:val="22"/>
        </w:rPr>
        <w:t>Rapid 1000</w:t>
      </w:r>
      <w:r>
        <w:rPr>
          <w:sz w:val="22"/>
        </w:rPr>
        <w:t xml:space="preserve"> </w:t>
      </w:r>
      <w:r w:rsidR="00153FE1">
        <w:rPr>
          <w:sz w:val="22"/>
        </w:rPr>
        <w:t>m</w:t>
      </w:r>
      <w:r>
        <w:rPr>
          <w:sz w:val="22"/>
        </w:rPr>
        <w:t xml:space="preserve">g: 5 </w:t>
      </w:r>
      <w:r w:rsidR="00C34C56">
        <w:rPr>
          <w:sz w:val="22"/>
        </w:rPr>
        <w:t xml:space="preserve">un 10 </w:t>
      </w:r>
      <w:r>
        <w:rPr>
          <w:sz w:val="22"/>
        </w:rPr>
        <w:t>tabletes blisteriepakojumā (Al/PVH) vai plastmasas trauciņos (ABPE trauciņš un ZBPE vāciņš</w:t>
      </w:r>
      <w:r w:rsidR="00153FE1">
        <w:rPr>
          <w:sz w:val="22"/>
        </w:rPr>
        <w:t>).</w:t>
      </w:r>
    </w:p>
    <w:p w14:paraId="6821934A" w14:textId="77777777" w:rsidR="00AB4BC1" w:rsidRDefault="00AB4BC1">
      <w:pPr>
        <w:jc w:val="both"/>
        <w:rPr>
          <w:sz w:val="22"/>
        </w:rPr>
      </w:pPr>
    </w:p>
    <w:p w14:paraId="6B1C613C" w14:textId="77777777" w:rsidR="00AB4BC1" w:rsidRPr="00C37D6F" w:rsidRDefault="00C37D6F">
      <w:pPr>
        <w:ind w:right="-900"/>
        <w:jc w:val="both"/>
        <w:rPr>
          <w:b/>
          <w:sz w:val="22"/>
        </w:rPr>
      </w:pPr>
      <w:r w:rsidRPr="00C37D6F">
        <w:rPr>
          <w:b/>
          <w:sz w:val="22"/>
        </w:rPr>
        <w:lastRenderedPageBreak/>
        <w:t>6.6 Īpaši norādījumi atkritumu likvidēšanai un citi norādījumi par rīkošanos</w:t>
      </w:r>
    </w:p>
    <w:p w14:paraId="3ACB3575" w14:textId="77777777" w:rsidR="00C37D6F" w:rsidRPr="00C37D6F" w:rsidRDefault="00C37D6F">
      <w:pPr>
        <w:ind w:right="-900"/>
        <w:jc w:val="both"/>
        <w:rPr>
          <w:b/>
          <w:sz w:val="22"/>
        </w:rPr>
      </w:pPr>
    </w:p>
    <w:p w14:paraId="20CE8A52" w14:textId="77777777" w:rsidR="00C37D6F" w:rsidRDefault="008D06C6">
      <w:pPr>
        <w:ind w:right="-900"/>
        <w:jc w:val="both"/>
        <w:rPr>
          <w:sz w:val="22"/>
        </w:rPr>
      </w:pPr>
      <w:r w:rsidRPr="008D06C6">
        <w:rPr>
          <w:sz w:val="22"/>
        </w:rPr>
        <w:t>Nav īpašu prasību</w:t>
      </w:r>
      <w:r>
        <w:rPr>
          <w:sz w:val="22"/>
        </w:rPr>
        <w:t>.</w:t>
      </w:r>
      <w:r w:rsidR="00E62330">
        <w:rPr>
          <w:sz w:val="22"/>
        </w:rPr>
        <w:t xml:space="preserve">  </w:t>
      </w:r>
    </w:p>
    <w:p w14:paraId="2E9D23D6" w14:textId="77777777" w:rsidR="00C37D6F" w:rsidRDefault="00C37D6F">
      <w:pPr>
        <w:ind w:right="-900"/>
        <w:jc w:val="both"/>
        <w:rPr>
          <w:sz w:val="22"/>
        </w:rPr>
      </w:pPr>
    </w:p>
    <w:p w14:paraId="5D749D7C" w14:textId="77777777" w:rsidR="00945D51" w:rsidRDefault="00945D51">
      <w:pPr>
        <w:ind w:right="-900"/>
        <w:jc w:val="both"/>
        <w:rPr>
          <w:sz w:val="22"/>
        </w:rPr>
      </w:pPr>
    </w:p>
    <w:p w14:paraId="5DCA8898" w14:textId="77777777" w:rsidR="00AB4BC1" w:rsidRDefault="00AB4BC1">
      <w:pPr>
        <w:ind w:right="-900"/>
        <w:jc w:val="both"/>
        <w:rPr>
          <w:b/>
          <w:sz w:val="22"/>
        </w:rPr>
      </w:pPr>
      <w:r>
        <w:rPr>
          <w:b/>
          <w:sz w:val="22"/>
        </w:rPr>
        <w:t>7. REĢISTRĀCIJAS APLIECĪBAS ĪPAŠNIEKS</w:t>
      </w:r>
    </w:p>
    <w:p w14:paraId="3DE7144C" w14:textId="77777777" w:rsidR="00AB4BC1" w:rsidRDefault="00AB4BC1">
      <w:pPr>
        <w:ind w:right="-900"/>
        <w:jc w:val="both"/>
        <w:rPr>
          <w:sz w:val="22"/>
        </w:rPr>
      </w:pPr>
    </w:p>
    <w:p w14:paraId="650282B8" w14:textId="77777777" w:rsidR="00153FE1" w:rsidRDefault="00153FE1">
      <w:pPr>
        <w:ind w:right="-900"/>
        <w:jc w:val="both"/>
        <w:rPr>
          <w:sz w:val="22"/>
        </w:rPr>
      </w:pPr>
      <w:r>
        <w:rPr>
          <w:sz w:val="22"/>
        </w:rPr>
        <w:t>Vitabalans Oy</w:t>
      </w:r>
    </w:p>
    <w:p w14:paraId="2C5DC841" w14:textId="77777777" w:rsidR="00153FE1" w:rsidRDefault="00AB4BC1">
      <w:pPr>
        <w:ind w:right="-900"/>
        <w:jc w:val="both"/>
        <w:rPr>
          <w:sz w:val="22"/>
        </w:rPr>
      </w:pPr>
      <w:r>
        <w:rPr>
          <w:sz w:val="22"/>
        </w:rPr>
        <w:t>Varastokatu 8</w:t>
      </w:r>
    </w:p>
    <w:p w14:paraId="24D81F4F" w14:textId="77777777" w:rsidR="00153FE1" w:rsidRDefault="00153FE1">
      <w:pPr>
        <w:ind w:right="-900"/>
        <w:jc w:val="both"/>
        <w:rPr>
          <w:sz w:val="22"/>
        </w:rPr>
      </w:pPr>
      <w:r>
        <w:rPr>
          <w:sz w:val="22"/>
        </w:rPr>
        <w:t>13500 Hämeenlinna</w:t>
      </w:r>
    </w:p>
    <w:p w14:paraId="1235EE4C" w14:textId="77777777" w:rsidR="00AB4BC1" w:rsidRDefault="00153FE1">
      <w:pPr>
        <w:ind w:right="-900"/>
        <w:jc w:val="both"/>
        <w:rPr>
          <w:sz w:val="22"/>
        </w:rPr>
      </w:pPr>
      <w:r>
        <w:rPr>
          <w:sz w:val="22"/>
        </w:rPr>
        <w:t>Somija</w:t>
      </w:r>
    </w:p>
    <w:p w14:paraId="3A038FDC" w14:textId="77777777" w:rsidR="00D17442" w:rsidRDefault="00D17442" w:rsidP="00D17442">
      <w:pPr>
        <w:rPr>
          <w:snapToGrid w:val="0"/>
          <w:sz w:val="22"/>
          <w:szCs w:val="22"/>
          <w:lang w:val="sv-SE"/>
        </w:rPr>
      </w:pPr>
      <w:r>
        <w:rPr>
          <w:snapToGrid w:val="0"/>
          <w:sz w:val="22"/>
          <w:szCs w:val="22"/>
          <w:lang w:val="sv-SE"/>
        </w:rPr>
        <w:t>Tālr: +358 (3) 615600</w:t>
      </w:r>
    </w:p>
    <w:p w14:paraId="35B2B1E1" w14:textId="77777777" w:rsidR="00D17442" w:rsidRDefault="00D17442" w:rsidP="00D17442">
      <w:pPr>
        <w:rPr>
          <w:snapToGrid w:val="0"/>
          <w:sz w:val="22"/>
          <w:szCs w:val="22"/>
          <w:lang w:val="en-GB"/>
        </w:rPr>
      </w:pPr>
      <w:r>
        <w:rPr>
          <w:snapToGrid w:val="0"/>
          <w:sz w:val="22"/>
          <w:szCs w:val="22"/>
          <w:lang w:val="en-GB"/>
        </w:rPr>
        <w:t>Fakss: +358 (3) 6183130</w:t>
      </w:r>
    </w:p>
    <w:p w14:paraId="235EDF1B" w14:textId="77777777" w:rsidR="00AB4BC1" w:rsidRDefault="00AB4BC1">
      <w:pPr>
        <w:ind w:right="-900"/>
        <w:jc w:val="both"/>
        <w:rPr>
          <w:b/>
          <w:sz w:val="22"/>
        </w:rPr>
      </w:pPr>
    </w:p>
    <w:p w14:paraId="09A1C489" w14:textId="77777777" w:rsidR="00AB4BC1" w:rsidRDefault="00AB4BC1">
      <w:pPr>
        <w:ind w:right="-900"/>
        <w:jc w:val="both"/>
        <w:rPr>
          <w:b/>
          <w:sz w:val="22"/>
        </w:rPr>
      </w:pPr>
    </w:p>
    <w:p w14:paraId="1DFD7850" w14:textId="77777777" w:rsidR="00AB4BC1" w:rsidRPr="00153FE1" w:rsidRDefault="00AB4BC1">
      <w:pPr>
        <w:numPr>
          <w:ilvl w:val="0"/>
          <w:numId w:val="5"/>
        </w:numPr>
        <w:ind w:right="-900"/>
        <w:jc w:val="both"/>
        <w:rPr>
          <w:b/>
          <w:sz w:val="22"/>
        </w:rPr>
      </w:pPr>
      <w:r w:rsidRPr="00153FE1">
        <w:rPr>
          <w:b/>
          <w:sz w:val="22"/>
        </w:rPr>
        <w:t xml:space="preserve">REĢISTRĀCIJAS </w:t>
      </w:r>
      <w:r w:rsidR="001E255C">
        <w:rPr>
          <w:b/>
          <w:sz w:val="22"/>
        </w:rPr>
        <w:t xml:space="preserve">APLIECĪBAS </w:t>
      </w:r>
      <w:r w:rsidRPr="00153FE1">
        <w:rPr>
          <w:b/>
          <w:sz w:val="22"/>
        </w:rPr>
        <w:t>NUMURS</w:t>
      </w:r>
    </w:p>
    <w:p w14:paraId="1FFD65EA" w14:textId="77777777" w:rsidR="00AB4BC1" w:rsidRPr="00153FE1" w:rsidRDefault="00AB4BC1">
      <w:pPr>
        <w:ind w:right="-900"/>
        <w:jc w:val="both"/>
        <w:rPr>
          <w:bCs/>
          <w:sz w:val="22"/>
        </w:rPr>
      </w:pPr>
    </w:p>
    <w:p w14:paraId="573B751C" w14:textId="77777777" w:rsidR="000C2A69" w:rsidRPr="00153FE1" w:rsidRDefault="000C2A69">
      <w:pPr>
        <w:ind w:right="-900"/>
        <w:jc w:val="both"/>
        <w:rPr>
          <w:bCs/>
          <w:sz w:val="22"/>
        </w:rPr>
      </w:pPr>
      <w:r w:rsidRPr="00153FE1">
        <w:rPr>
          <w:bCs/>
          <w:sz w:val="22"/>
        </w:rPr>
        <w:t>PARAMAX Junior 250 mg:</w:t>
      </w:r>
      <w:r w:rsidR="00637443">
        <w:rPr>
          <w:bCs/>
          <w:sz w:val="22"/>
        </w:rPr>
        <w:t xml:space="preserve"> 08-0303</w:t>
      </w:r>
    </w:p>
    <w:p w14:paraId="1F08885E" w14:textId="77777777" w:rsidR="00AB4BC1" w:rsidRPr="00153FE1" w:rsidRDefault="00AB4BC1">
      <w:pPr>
        <w:ind w:right="-900"/>
        <w:jc w:val="both"/>
        <w:rPr>
          <w:bCs/>
          <w:sz w:val="22"/>
        </w:rPr>
      </w:pPr>
      <w:r w:rsidRPr="00153FE1">
        <w:rPr>
          <w:bCs/>
          <w:sz w:val="22"/>
        </w:rPr>
        <w:t>PARAMAX Rapid 500 mg: 04-0344</w:t>
      </w:r>
    </w:p>
    <w:p w14:paraId="256445C8" w14:textId="77777777" w:rsidR="00AB4BC1" w:rsidRPr="00153FE1" w:rsidRDefault="00153FE1">
      <w:pPr>
        <w:ind w:right="-900"/>
        <w:jc w:val="both"/>
        <w:rPr>
          <w:bCs/>
          <w:sz w:val="22"/>
        </w:rPr>
      </w:pPr>
      <w:r w:rsidRPr="00153FE1">
        <w:rPr>
          <w:bCs/>
          <w:sz w:val="22"/>
        </w:rPr>
        <w:t>PARAMAX Rapid</w:t>
      </w:r>
      <w:r w:rsidR="000C2A69" w:rsidRPr="00153FE1">
        <w:rPr>
          <w:bCs/>
          <w:sz w:val="22"/>
        </w:rPr>
        <w:t xml:space="preserve"> 1</w:t>
      </w:r>
      <w:r w:rsidRPr="00153FE1">
        <w:rPr>
          <w:bCs/>
          <w:sz w:val="22"/>
        </w:rPr>
        <w:t>000</w:t>
      </w:r>
      <w:r w:rsidR="000C2A69" w:rsidRPr="00153FE1">
        <w:rPr>
          <w:bCs/>
          <w:sz w:val="22"/>
        </w:rPr>
        <w:t xml:space="preserve"> </w:t>
      </w:r>
      <w:r w:rsidRPr="00153FE1">
        <w:rPr>
          <w:bCs/>
          <w:sz w:val="22"/>
        </w:rPr>
        <w:t>m</w:t>
      </w:r>
      <w:r w:rsidR="000C2A69" w:rsidRPr="00153FE1">
        <w:rPr>
          <w:bCs/>
          <w:sz w:val="22"/>
        </w:rPr>
        <w:t>g:</w:t>
      </w:r>
      <w:r w:rsidR="00637443">
        <w:rPr>
          <w:bCs/>
          <w:sz w:val="22"/>
        </w:rPr>
        <w:t xml:space="preserve"> 08-0304</w:t>
      </w:r>
    </w:p>
    <w:p w14:paraId="12D5D603" w14:textId="77777777" w:rsidR="000C2A69" w:rsidRPr="00153FE1" w:rsidRDefault="000C2A69">
      <w:pPr>
        <w:ind w:right="-900"/>
        <w:jc w:val="both"/>
        <w:rPr>
          <w:b/>
          <w:sz w:val="22"/>
        </w:rPr>
      </w:pPr>
    </w:p>
    <w:p w14:paraId="307FE817" w14:textId="77777777" w:rsidR="00AB4BC1" w:rsidRPr="00153FE1" w:rsidRDefault="00AB4BC1">
      <w:pPr>
        <w:ind w:right="-900"/>
        <w:jc w:val="both"/>
        <w:rPr>
          <w:b/>
          <w:sz w:val="22"/>
        </w:rPr>
      </w:pPr>
    </w:p>
    <w:p w14:paraId="35F77A45" w14:textId="77777777" w:rsidR="00AB4BC1" w:rsidRPr="00153FE1" w:rsidRDefault="00AB4BC1">
      <w:pPr>
        <w:numPr>
          <w:ilvl w:val="0"/>
          <w:numId w:val="5"/>
        </w:numPr>
        <w:ind w:right="-900"/>
        <w:jc w:val="both"/>
        <w:rPr>
          <w:b/>
          <w:sz w:val="22"/>
        </w:rPr>
      </w:pPr>
      <w:r w:rsidRPr="00153FE1">
        <w:rPr>
          <w:b/>
          <w:sz w:val="22"/>
        </w:rPr>
        <w:t>REĢISTRĀCIJAS/PĀRREĢISTRĀCIJAS DATUMS</w:t>
      </w:r>
    </w:p>
    <w:p w14:paraId="721A8094" w14:textId="77777777" w:rsidR="00AB4BC1" w:rsidRPr="00153FE1" w:rsidRDefault="00AB4BC1">
      <w:pPr>
        <w:ind w:right="-900"/>
        <w:jc w:val="both"/>
        <w:rPr>
          <w:bCs/>
          <w:sz w:val="22"/>
        </w:rPr>
      </w:pPr>
    </w:p>
    <w:p w14:paraId="7DC3B3F5" w14:textId="77777777" w:rsidR="00CA7C79" w:rsidRPr="00CA7C79" w:rsidRDefault="00CA7C79" w:rsidP="000C2A69">
      <w:pPr>
        <w:ind w:right="-900"/>
        <w:jc w:val="both"/>
        <w:rPr>
          <w:bCs/>
          <w:sz w:val="22"/>
          <w:szCs w:val="22"/>
        </w:rPr>
      </w:pPr>
      <w:r w:rsidRPr="00CA7C79">
        <w:rPr>
          <w:sz w:val="22"/>
          <w:szCs w:val="22"/>
        </w:rPr>
        <w:t>Reģistrācijas datums:</w:t>
      </w:r>
    </w:p>
    <w:p w14:paraId="57DBCA7E" w14:textId="77777777" w:rsidR="000C2A69" w:rsidRPr="00153FE1" w:rsidRDefault="000C2A69" w:rsidP="000C2A69">
      <w:pPr>
        <w:ind w:right="-900"/>
        <w:jc w:val="both"/>
        <w:rPr>
          <w:bCs/>
          <w:sz w:val="22"/>
        </w:rPr>
      </w:pPr>
      <w:r w:rsidRPr="00153FE1">
        <w:rPr>
          <w:bCs/>
          <w:sz w:val="22"/>
        </w:rPr>
        <w:t>PARAMAX Junior 250 mg:</w:t>
      </w:r>
      <w:r w:rsidR="00CA7C79" w:rsidRPr="00CA7C79">
        <w:rPr>
          <w:sz w:val="22"/>
          <w:szCs w:val="22"/>
          <w:lang w:val="en-GB"/>
        </w:rPr>
        <w:t xml:space="preserve"> </w:t>
      </w:r>
      <w:r w:rsidR="00CA7C79">
        <w:rPr>
          <w:sz w:val="22"/>
          <w:szCs w:val="22"/>
          <w:lang w:val="en-GB"/>
        </w:rPr>
        <w:t>24.10.2008</w:t>
      </w:r>
    </w:p>
    <w:p w14:paraId="25F433CB" w14:textId="77777777" w:rsidR="00AB4BC1" w:rsidRPr="00153FE1" w:rsidRDefault="00AB4BC1">
      <w:pPr>
        <w:ind w:right="-900"/>
        <w:jc w:val="both"/>
        <w:rPr>
          <w:bCs/>
          <w:sz w:val="22"/>
        </w:rPr>
      </w:pPr>
      <w:r w:rsidRPr="00153FE1">
        <w:rPr>
          <w:bCs/>
          <w:sz w:val="22"/>
        </w:rPr>
        <w:t>P</w:t>
      </w:r>
      <w:r w:rsidR="00153FE1" w:rsidRPr="00153FE1">
        <w:rPr>
          <w:bCs/>
          <w:sz w:val="22"/>
        </w:rPr>
        <w:t>ARAMAX Rapid 500 mg: 05.07.2004</w:t>
      </w:r>
    </w:p>
    <w:p w14:paraId="2473BB6E" w14:textId="77777777" w:rsidR="000C2A69" w:rsidRDefault="000C2A69" w:rsidP="000C2A69">
      <w:pPr>
        <w:ind w:right="-900"/>
        <w:jc w:val="both"/>
        <w:rPr>
          <w:sz w:val="22"/>
          <w:szCs w:val="22"/>
          <w:lang w:val="en-GB"/>
        </w:rPr>
      </w:pPr>
      <w:r w:rsidRPr="00153FE1">
        <w:rPr>
          <w:bCs/>
          <w:sz w:val="22"/>
        </w:rPr>
        <w:t xml:space="preserve">PARAMAX </w:t>
      </w:r>
      <w:r w:rsidR="00153FE1" w:rsidRPr="00153FE1">
        <w:rPr>
          <w:bCs/>
          <w:sz w:val="22"/>
        </w:rPr>
        <w:t>Rapid 1000 mg</w:t>
      </w:r>
      <w:r w:rsidRPr="00153FE1">
        <w:rPr>
          <w:bCs/>
          <w:sz w:val="22"/>
        </w:rPr>
        <w:t>:</w:t>
      </w:r>
      <w:r w:rsidR="00CA7C79" w:rsidRPr="00CA7C79">
        <w:rPr>
          <w:sz w:val="22"/>
          <w:szCs w:val="22"/>
          <w:lang w:val="en-GB"/>
        </w:rPr>
        <w:t xml:space="preserve"> </w:t>
      </w:r>
      <w:r w:rsidR="00CA7C79">
        <w:rPr>
          <w:sz w:val="22"/>
          <w:szCs w:val="22"/>
          <w:lang w:val="en-GB"/>
        </w:rPr>
        <w:t>24.10.2008</w:t>
      </w:r>
    </w:p>
    <w:p w14:paraId="06EA25C9" w14:textId="77777777" w:rsidR="00CA7C79" w:rsidRDefault="00CA7C79" w:rsidP="000C2A69">
      <w:pPr>
        <w:ind w:right="-900"/>
        <w:jc w:val="both"/>
        <w:rPr>
          <w:sz w:val="22"/>
          <w:szCs w:val="22"/>
          <w:lang w:val="en-GB"/>
        </w:rPr>
      </w:pPr>
    </w:p>
    <w:p w14:paraId="5FB833AF" w14:textId="77777777" w:rsidR="00CA7C79" w:rsidRPr="00CA7C79" w:rsidRDefault="00CA7C79" w:rsidP="000C2A69">
      <w:pPr>
        <w:ind w:right="-900"/>
        <w:jc w:val="both"/>
        <w:rPr>
          <w:bCs/>
          <w:sz w:val="22"/>
          <w:szCs w:val="22"/>
        </w:rPr>
      </w:pPr>
      <w:r w:rsidRPr="00CA7C79">
        <w:rPr>
          <w:sz w:val="22"/>
          <w:szCs w:val="22"/>
        </w:rPr>
        <w:t>Pēdējās pārreģistrācijas datums</w:t>
      </w:r>
      <w:r>
        <w:rPr>
          <w:sz w:val="22"/>
          <w:szCs w:val="22"/>
        </w:rPr>
        <w:t>:</w:t>
      </w:r>
    </w:p>
    <w:p w14:paraId="38A3AC19" w14:textId="77777777" w:rsidR="00CA7C79" w:rsidRDefault="00CA7C79" w:rsidP="00CA7C79">
      <w:pPr>
        <w:jc w:val="both"/>
        <w:rPr>
          <w:sz w:val="22"/>
          <w:szCs w:val="22"/>
          <w:lang w:val="en-GB"/>
        </w:rPr>
      </w:pPr>
      <w:r>
        <w:rPr>
          <w:sz w:val="22"/>
          <w:szCs w:val="22"/>
          <w:lang w:val="en-GB"/>
        </w:rPr>
        <w:t xml:space="preserve">PARAMAX Junior 250 mg: </w:t>
      </w:r>
      <w:r w:rsidR="00A23130">
        <w:rPr>
          <w:sz w:val="22"/>
          <w:szCs w:val="22"/>
          <w:lang w:val="en-GB"/>
        </w:rPr>
        <w:t>25.07.2013</w:t>
      </w:r>
    </w:p>
    <w:p w14:paraId="7A0E07A8" w14:textId="77777777" w:rsidR="00CA7C79" w:rsidRDefault="00CA7C79" w:rsidP="00CA7C79">
      <w:pPr>
        <w:jc w:val="both"/>
        <w:rPr>
          <w:sz w:val="22"/>
          <w:szCs w:val="22"/>
          <w:lang w:val="en-GB"/>
        </w:rPr>
      </w:pPr>
      <w:r>
        <w:rPr>
          <w:sz w:val="22"/>
          <w:szCs w:val="22"/>
          <w:lang w:val="en-GB"/>
        </w:rPr>
        <w:t>PARAMAX Rapid 500 mg: 30.04.2009</w:t>
      </w:r>
    </w:p>
    <w:p w14:paraId="0748AA4D" w14:textId="77777777" w:rsidR="00CA7C79" w:rsidRPr="004759D8" w:rsidRDefault="00CA7C79" w:rsidP="00CA7C79">
      <w:pPr>
        <w:jc w:val="both"/>
        <w:rPr>
          <w:sz w:val="22"/>
          <w:szCs w:val="22"/>
          <w:lang w:val="en-GB"/>
        </w:rPr>
      </w:pPr>
      <w:r>
        <w:rPr>
          <w:sz w:val="22"/>
          <w:szCs w:val="22"/>
          <w:lang w:val="en-GB"/>
        </w:rPr>
        <w:t xml:space="preserve">PARAMAX Rapid 1000 mg: </w:t>
      </w:r>
      <w:r w:rsidR="00A23130">
        <w:rPr>
          <w:sz w:val="22"/>
          <w:szCs w:val="22"/>
          <w:lang w:val="en-GB"/>
        </w:rPr>
        <w:t>25.07.2013</w:t>
      </w:r>
    </w:p>
    <w:p w14:paraId="09B9FF9A" w14:textId="77777777" w:rsidR="00AB4BC1" w:rsidRPr="00CA7C79" w:rsidRDefault="00AB4BC1">
      <w:pPr>
        <w:ind w:right="-900"/>
        <w:jc w:val="both"/>
        <w:rPr>
          <w:b/>
          <w:sz w:val="22"/>
          <w:lang w:val="en-GB"/>
        </w:rPr>
      </w:pPr>
    </w:p>
    <w:p w14:paraId="3F8F7031" w14:textId="77777777" w:rsidR="00AB4BC1" w:rsidRPr="00153FE1" w:rsidRDefault="00AB4BC1">
      <w:pPr>
        <w:ind w:right="-900"/>
        <w:jc w:val="both"/>
        <w:rPr>
          <w:b/>
          <w:sz w:val="22"/>
        </w:rPr>
      </w:pPr>
    </w:p>
    <w:p w14:paraId="7CCFD8F2" w14:textId="77777777" w:rsidR="00AB4BC1" w:rsidRPr="00153FE1" w:rsidRDefault="00AB4BC1">
      <w:pPr>
        <w:numPr>
          <w:ilvl w:val="0"/>
          <w:numId w:val="5"/>
        </w:numPr>
        <w:ind w:right="-900"/>
        <w:jc w:val="both"/>
        <w:rPr>
          <w:b/>
          <w:sz w:val="22"/>
        </w:rPr>
      </w:pPr>
      <w:r w:rsidRPr="00153FE1">
        <w:rPr>
          <w:b/>
          <w:sz w:val="22"/>
        </w:rPr>
        <w:t>TEKSTA PĀRSKATĪŠANAS DATUMS</w:t>
      </w:r>
    </w:p>
    <w:p w14:paraId="4CC2B140" w14:textId="77777777" w:rsidR="00AB4BC1" w:rsidRPr="00153FE1" w:rsidRDefault="00AB4BC1">
      <w:pPr>
        <w:ind w:right="-900"/>
        <w:jc w:val="both"/>
        <w:rPr>
          <w:sz w:val="22"/>
        </w:rPr>
      </w:pPr>
    </w:p>
    <w:p w14:paraId="5A222C06" w14:textId="095D5643" w:rsidR="00522204" w:rsidRDefault="00F02FB5">
      <w:pPr>
        <w:ind w:right="-900"/>
        <w:jc w:val="both"/>
        <w:rPr>
          <w:sz w:val="22"/>
        </w:rPr>
      </w:pPr>
      <w:r>
        <w:rPr>
          <w:sz w:val="22"/>
        </w:rPr>
        <w:t>2022-05-11</w:t>
      </w:r>
    </w:p>
    <w:sectPr w:rsidR="00522204" w:rsidSect="008C6EB3">
      <w:headerReference w:type="even" r:id="rId7"/>
      <w:headerReference w:type="default" r:id="rId8"/>
      <w:footerReference w:type="even" r:id="rId9"/>
      <w:footerReference w:type="default" r:id="rId10"/>
      <w:headerReference w:type="first" r:id="rId11"/>
      <w:footerReference w:type="first" r:id="rId12"/>
      <w:pgSz w:w="12240" w:h="15840"/>
      <w:pgMar w:top="1276" w:right="1620" w:bottom="71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6C7B" w14:textId="77777777" w:rsidR="000C0C0F" w:rsidRDefault="000C0C0F">
      <w:r>
        <w:separator/>
      </w:r>
    </w:p>
  </w:endnote>
  <w:endnote w:type="continuationSeparator" w:id="0">
    <w:p w14:paraId="6077CDC4" w14:textId="77777777" w:rsidR="000C0C0F" w:rsidRDefault="000C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0733" w14:textId="77777777" w:rsidR="008D06C6" w:rsidRDefault="008D0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80878" w14:textId="77777777" w:rsidR="008D06C6" w:rsidRDefault="008D0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56FD" w14:textId="77777777" w:rsidR="008D06C6" w:rsidRDefault="008D0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265">
      <w:rPr>
        <w:rStyle w:val="PageNumber"/>
        <w:noProof/>
      </w:rPr>
      <w:t>4</w:t>
    </w:r>
    <w:r>
      <w:rPr>
        <w:rStyle w:val="PageNumber"/>
      </w:rPr>
      <w:fldChar w:fldCharType="end"/>
    </w:r>
  </w:p>
  <w:p w14:paraId="3E2D1801" w14:textId="77777777" w:rsidR="008D06C6" w:rsidRDefault="008D06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D90A" w14:textId="77777777" w:rsidR="00AD56B5" w:rsidRDefault="00AD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BE90" w14:textId="77777777" w:rsidR="000C0C0F" w:rsidRDefault="000C0C0F">
      <w:r>
        <w:separator/>
      </w:r>
    </w:p>
  </w:footnote>
  <w:footnote w:type="continuationSeparator" w:id="0">
    <w:p w14:paraId="7583EE14" w14:textId="77777777" w:rsidR="000C0C0F" w:rsidRDefault="000C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6F6E" w14:textId="77777777" w:rsidR="00AD56B5" w:rsidRDefault="00AD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5A47" w14:textId="63319F76" w:rsidR="005E6BDF" w:rsidRDefault="00302FB6" w:rsidP="00302FB6">
    <w:pPr>
      <w:pStyle w:val="Header"/>
      <w:jc w:val="right"/>
    </w:pPr>
    <w:r>
      <w:t xml:space="preserve">SASKAŅOTS ZVA </w:t>
    </w:r>
    <w:r w:rsidR="00D77460">
      <w:t>2</w:t>
    </w:r>
    <w:r w:rsidR="00D77460">
      <w:t>6</w:t>
    </w:r>
    <w:r w:rsidR="00AD56B5">
      <w:t>-0</w:t>
    </w:r>
    <w:r w:rsidR="00D77460">
      <w:t>5</w:t>
    </w:r>
    <w:r w:rsidR="00AD56B5">
      <w:t>-20</w:t>
    </w:r>
    <w:r w:rsidR="00D77460">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8626" w14:textId="77777777" w:rsidR="00AD56B5" w:rsidRDefault="00AD5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572"/>
    <w:multiLevelType w:val="multilevel"/>
    <w:tmpl w:val="CC84A1F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E13F5E"/>
    <w:multiLevelType w:val="multilevel"/>
    <w:tmpl w:val="80688E86"/>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4F1108B"/>
    <w:multiLevelType w:val="hybridMultilevel"/>
    <w:tmpl w:val="C6040FBE"/>
    <w:lvl w:ilvl="0" w:tplc="FFFFFFFF">
      <w:start w:val="1"/>
      <w:numFmt w:val="bullet"/>
      <w:lvlText w:val="-"/>
      <w:lvlJc w:val="left"/>
      <w:pPr>
        <w:tabs>
          <w:tab w:val="num" w:pos="502"/>
        </w:tabs>
        <w:ind w:left="482" w:hanging="340"/>
      </w:pPr>
      <w:rPr>
        <w:rFonts w:ascii="Times New Roman" w:eastAsia="Times New Roman" w:hAnsi="Times New Roman" w:cs="Times New Roman" w:hint="default"/>
      </w:rPr>
    </w:lvl>
    <w:lvl w:ilvl="1" w:tplc="FFFFFFFF">
      <w:start w:val="1"/>
      <w:numFmt w:val="bullet"/>
      <w:lvlText w:val="-"/>
      <w:lvlJc w:val="left"/>
      <w:pPr>
        <w:tabs>
          <w:tab w:val="num" w:pos="1582"/>
        </w:tabs>
        <w:ind w:left="1582" w:hanging="360"/>
      </w:pPr>
      <w:rPr>
        <w:rFonts w:ascii="Times New Roman" w:eastAsia="Times New Roman" w:hAnsi="Times New Roman" w:cs="Times New Roman"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1BFB2B40"/>
    <w:multiLevelType w:val="multilevel"/>
    <w:tmpl w:val="BD0E68A4"/>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C576D9C"/>
    <w:multiLevelType w:val="multilevel"/>
    <w:tmpl w:val="75E0B70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5E527D"/>
    <w:multiLevelType w:val="hybridMultilevel"/>
    <w:tmpl w:val="035AF24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87FC5"/>
    <w:multiLevelType w:val="multilevel"/>
    <w:tmpl w:val="EAD811D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59271A"/>
    <w:multiLevelType w:val="hybridMultilevel"/>
    <w:tmpl w:val="721C3C38"/>
    <w:lvl w:ilvl="0" w:tplc="FFFFFFFF">
      <w:start w:val="1"/>
      <w:numFmt w:val="bullet"/>
      <w:lvlText w:val="-"/>
      <w:lvlJc w:val="left"/>
      <w:pPr>
        <w:tabs>
          <w:tab w:val="num" w:pos="786"/>
        </w:tabs>
        <w:ind w:left="766" w:hanging="340"/>
      </w:pPr>
      <w:rPr>
        <w:rFonts w:ascii="Times New Roman" w:eastAsia="Times New Roman" w:hAnsi="Times New Roman" w:cs="Times New Roman" w:hint="default"/>
      </w:rPr>
    </w:lvl>
    <w:lvl w:ilvl="1" w:tplc="E736881E">
      <w:start w:val="1"/>
      <w:numFmt w:val="bullet"/>
      <w:lvlText w:val="-"/>
      <w:lvlJc w:val="left"/>
      <w:pPr>
        <w:tabs>
          <w:tab w:val="num" w:pos="1866"/>
        </w:tabs>
        <w:ind w:left="1866" w:hanging="360"/>
      </w:pPr>
      <w:rPr>
        <w:rFonts w:ascii="Times New Roman" w:eastAsia="Times New Roman" w:hAnsi="Times New Roman" w:cs="Times New Roman" w:hint="default"/>
      </w:rPr>
    </w:lvl>
    <w:lvl w:ilvl="2" w:tplc="7D7A2316" w:tentative="1">
      <w:start w:val="1"/>
      <w:numFmt w:val="bullet"/>
      <w:lvlText w:val=""/>
      <w:lvlJc w:val="left"/>
      <w:pPr>
        <w:tabs>
          <w:tab w:val="num" w:pos="2586"/>
        </w:tabs>
        <w:ind w:left="2586" w:hanging="360"/>
      </w:pPr>
      <w:rPr>
        <w:rFonts w:ascii="Wingdings" w:hAnsi="Wingdings" w:hint="default"/>
      </w:rPr>
    </w:lvl>
    <w:lvl w:ilvl="3" w:tplc="5BF64AEA" w:tentative="1">
      <w:start w:val="1"/>
      <w:numFmt w:val="bullet"/>
      <w:lvlText w:val=""/>
      <w:lvlJc w:val="left"/>
      <w:pPr>
        <w:tabs>
          <w:tab w:val="num" w:pos="3306"/>
        </w:tabs>
        <w:ind w:left="3306" w:hanging="360"/>
      </w:pPr>
      <w:rPr>
        <w:rFonts w:ascii="Symbol" w:hAnsi="Symbol" w:hint="default"/>
      </w:rPr>
    </w:lvl>
    <w:lvl w:ilvl="4" w:tplc="693C8470" w:tentative="1">
      <w:start w:val="1"/>
      <w:numFmt w:val="bullet"/>
      <w:lvlText w:val="o"/>
      <w:lvlJc w:val="left"/>
      <w:pPr>
        <w:tabs>
          <w:tab w:val="num" w:pos="4026"/>
        </w:tabs>
        <w:ind w:left="4026" w:hanging="360"/>
      </w:pPr>
      <w:rPr>
        <w:rFonts w:ascii="Courier New" w:hAnsi="Courier New" w:hint="default"/>
      </w:rPr>
    </w:lvl>
    <w:lvl w:ilvl="5" w:tplc="25B6432C" w:tentative="1">
      <w:start w:val="1"/>
      <w:numFmt w:val="bullet"/>
      <w:lvlText w:val=""/>
      <w:lvlJc w:val="left"/>
      <w:pPr>
        <w:tabs>
          <w:tab w:val="num" w:pos="4746"/>
        </w:tabs>
        <w:ind w:left="4746" w:hanging="360"/>
      </w:pPr>
      <w:rPr>
        <w:rFonts w:ascii="Wingdings" w:hAnsi="Wingdings" w:hint="default"/>
      </w:rPr>
    </w:lvl>
    <w:lvl w:ilvl="6" w:tplc="43243816" w:tentative="1">
      <w:start w:val="1"/>
      <w:numFmt w:val="bullet"/>
      <w:lvlText w:val=""/>
      <w:lvlJc w:val="left"/>
      <w:pPr>
        <w:tabs>
          <w:tab w:val="num" w:pos="5466"/>
        </w:tabs>
        <w:ind w:left="5466" w:hanging="360"/>
      </w:pPr>
      <w:rPr>
        <w:rFonts w:ascii="Symbol" w:hAnsi="Symbol" w:hint="default"/>
      </w:rPr>
    </w:lvl>
    <w:lvl w:ilvl="7" w:tplc="0AE8BDA6" w:tentative="1">
      <w:start w:val="1"/>
      <w:numFmt w:val="bullet"/>
      <w:lvlText w:val="o"/>
      <w:lvlJc w:val="left"/>
      <w:pPr>
        <w:tabs>
          <w:tab w:val="num" w:pos="6186"/>
        </w:tabs>
        <w:ind w:left="6186" w:hanging="360"/>
      </w:pPr>
      <w:rPr>
        <w:rFonts w:ascii="Courier New" w:hAnsi="Courier New" w:hint="default"/>
      </w:rPr>
    </w:lvl>
    <w:lvl w:ilvl="8" w:tplc="13783062"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55183BE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536FC1"/>
    <w:multiLevelType w:val="multilevel"/>
    <w:tmpl w:val="2D6C0AE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6E3174"/>
    <w:multiLevelType w:val="multilevel"/>
    <w:tmpl w:val="AFD63A5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3BF6472"/>
    <w:multiLevelType w:val="hybridMultilevel"/>
    <w:tmpl w:val="7DE8BE4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D2D6E"/>
    <w:multiLevelType w:val="hybridMultilevel"/>
    <w:tmpl w:val="FEB8621E"/>
    <w:lvl w:ilvl="0" w:tplc="474C9118">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2"/>
  </w:num>
  <w:num w:numId="5">
    <w:abstractNumId w:val="3"/>
  </w:num>
  <w:num w:numId="6">
    <w:abstractNumId w:val="8"/>
  </w:num>
  <w:num w:numId="7">
    <w:abstractNumId w:val="1"/>
  </w:num>
  <w:num w:numId="8">
    <w:abstractNumId w:val="0"/>
  </w:num>
  <w:num w:numId="9">
    <w:abstractNumId w:val="6"/>
  </w:num>
  <w:num w:numId="10">
    <w:abstractNumId w:val="11"/>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02E"/>
    <w:rsid w:val="00006EBE"/>
    <w:rsid w:val="000147AA"/>
    <w:rsid w:val="00016961"/>
    <w:rsid w:val="00045F2C"/>
    <w:rsid w:val="000626E1"/>
    <w:rsid w:val="00065768"/>
    <w:rsid w:val="00066265"/>
    <w:rsid w:val="00077E11"/>
    <w:rsid w:val="00081D8E"/>
    <w:rsid w:val="00095CDE"/>
    <w:rsid w:val="000B14B3"/>
    <w:rsid w:val="000C091E"/>
    <w:rsid w:val="000C0C0F"/>
    <w:rsid w:val="000C1E6F"/>
    <w:rsid w:val="000C2A69"/>
    <w:rsid w:val="001029EB"/>
    <w:rsid w:val="00120690"/>
    <w:rsid w:val="00140041"/>
    <w:rsid w:val="00153138"/>
    <w:rsid w:val="00153FE1"/>
    <w:rsid w:val="001832AD"/>
    <w:rsid w:val="00196619"/>
    <w:rsid w:val="001A5EBF"/>
    <w:rsid w:val="001C1B65"/>
    <w:rsid w:val="001D4DBA"/>
    <w:rsid w:val="001D5504"/>
    <w:rsid w:val="001E1231"/>
    <w:rsid w:val="001E255C"/>
    <w:rsid w:val="00212A8B"/>
    <w:rsid w:val="00213C37"/>
    <w:rsid w:val="002233A9"/>
    <w:rsid w:val="00230F06"/>
    <w:rsid w:val="00231F9C"/>
    <w:rsid w:val="00243ABF"/>
    <w:rsid w:val="0025525D"/>
    <w:rsid w:val="00265428"/>
    <w:rsid w:val="0027124E"/>
    <w:rsid w:val="00287BE4"/>
    <w:rsid w:val="00290239"/>
    <w:rsid w:val="002A1C3A"/>
    <w:rsid w:val="002A731B"/>
    <w:rsid w:val="002C5BEB"/>
    <w:rsid w:val="002D3E6E"/>
    <w:rsid w:val="002F6A64"/>
    <w:rsid w:val="00302FB6"/>
    <w:rsid w:val="00321B90"/>
    <w:rsid w:val="003347BF"/>
    <w:rsid w:val="00342205"/>
    <w:rsid w:val="003448FB"/>
    <w:rsid w:val="0034551E"/>
    <w:rsid w:val="0037642E"/>
    <w:rsid w:val="00380A80"/>
    <w:rsid w:val="00393BBE"/>
    <w:rsid w:val="003C7818"/>
    <w:rsid w:val="003D6116"/>
    <w:rsid w:val="00411822"/>
    <w:rsid w:val="00415B9B"/>
    <w:rsid w:val="00456D2A"/>
    <w:rsid w:val="004A238F"/>
    <w:rsid w:val="004A3C7C"/>
    <w:rsid w:val="004B6AFB"/>
    <w:rsid w:val="004C6EF1"/>
    <w:rsid w:val="004D6AF3"/>
    <w:rsid w:val="004E4189"/>
    <w:rsid w:val="004F3447"/>
    <w:rsid w:val="005111D4"/>
    <w:rsid w:val="00513630"/>
    <w:rsid w:val="00515368"/>
    <w:rsid w:val="005206EF"/>
    <w:rsid w:val="005218D4"/>
    <w:rsid w:val="00521DBD"/>
    <w:rsid w:val="00522204"/>
    <w:rsid w:val="00531460"/>
    <w:rsid w:val="00577845"/>
    <w:rsid w:val="005A227E"/>
    <w:rsid w:val="005D377A"/>
    <w:rsid w:val="005D535D"/>
    <w:rsid w:val="005D5B08"/>
    <w:rsid w:val="005E6BDF"/>
    <w:rsid w:val="005F48CE"/>
    <w:rsid w:val="005F50C1"/>
    <w:rsid w:val="00616873"/>
    <w:rsid w:val="0062042C"/>
    <w:rsid w:val="00637443"/>
    <w:rsid w:val="006570FF"/>
    <w:rsid w:val="00673FC0"/>
    <w:rsid w:val="00675198"/>
    <w:rsid w:val="006A2E33"/>
    <w:rsid w:val="006D4A9A"/>
    <w:rsid w:val="006D734B"/>
    <w:rsid w:val="00716E18"/>
    <w:rsid w:val="00722D19"/>
    <w:rsid w:val="0076522F"/>
    <w:rsid w:val="00767D31"/>
    <w:rsid w:val="00777DA2"/>
    <w:rsid w:val="00780593"/>
    <w:rsid w:val="007B41C6"/>
    <w:rsid w:val="007B6110"/>
    <w:rsid w:val="007D2AA1"/>
    <w:rsid w:val="007F3824"/>
    <w:rsid w:val="00813750"/>
    <w:rsid w:val="00824DA9"/>
    <w:rsid w:val="008550BE"/>
    <w:rsid w:val="008740F1"/>
    <w:rsid w:val="00875655"/>
    <w:rsid w:val="008929B7"/>
    <w:rsid w:val="008A4DB1"/>
    <w:rsid w:val="008A74B7"/>
    <w:rsid w:val="008C446F"/>
    <w:rsid w:val="008C6EB3"/>
    <w:rsid w:val="008D06C6"/>
    <w:rsid w:val="0091015A"/>
    <w:rsid w:val="00943FE6"/>
    <w:rsid w:val="00945D51"/>
    <w:rsid w:val="0095156F"/>
    <w:rsid w:val="009620A3"/>
    <w:rsid w:val="0097002E"/>
    <w:rsid w:val="00975590"/>
    <w:rsid w:val="009A7310"/>
    <w:rsid w:val="009B4AD6"/>
    <w:rsid w:val="009B5CEB"/>
    <w:rsid w:val="009C46E3"/>
    <w:rsid w:val="009C5942"/>
    <w:rsid w:val="00A23130"/>
    <w:rsid w:val="00A3672D"/>
    <w:rsid w:val="00A6524B"/>
    <w:rsid w:val="00A75F44"/>
    <w:rsid w:val="00AA7708"/>
    <w:rsid w:val="00AB4BC1"/>
    <w:rsid w:val="00AB71AC"/>
    <w:rsid w:val="00AD56B5"/>
    <w:rsid w:val="00AE67F6"/>
    <w:rsid w:val="00AF515D"/>
    <w:rsid w:val="00AF7F49"/>
    <w:rsid w:val="00B123FF"/>
    <w:rsid w:val="00B17606"/>
    <w:rsid w:val="00B27AA1"/>
    <w:rsid w:val="00B80CDC"/>
    <w:rsid w:val="00B870B2"/>
    <w:rsid w:val="00B957F4"/>
    <w:rsid w:val="00BA3BE8"/>
    <w:rsid w:val="00BB1218"/>
    <w:rsid w:val="00BC37CB"/>
    <w:rsid w:val="00BE4996"/>
    <w:rsid w:val="00BF7891"/>
    <w:rsid w:val="00C152BA"/>
    <w:rsid w:val="00C34C56"/>
    <w:rsid w:val="00C37D6F"/>
    <w:rsid w:val="00C90A2F"/>
    <w:rsid w:val="00CA7C79"/>
    <w:rsid w:val="00CD4FB9"/>
    <w:rsid w:val="00CE41EC"/>
    <w:rsid w:val="00D17442"/>
    <w:rsid w:val="00D46266"/>
    <w:rsid w:val="00D559F1"/>
    <w:rsid w:val="00D65F5D"/>
    <w:rsid w:val="00D71808"/>
    <w:rsid w:val="00D71F1E"/>
    <w:rsid w:val="00D77460"/>
    <w:rsid w:val="00D9512F"/>
    <w:rsid w:val="00DC76BF"/>
    <w:rsid w:val="00DD2C0C"/>
    <w:rsid w:val="00E07013"/>
    <w:rsid w:val="00E45457"/>
    <w:rsid w:val="00E45B51"/>
    <w:rsid w:val="00E62330"/>
    <w:rsid w:val="00E74835"/>
    <w:rsid w:val="00E83BF9"/>
    <w:rsid w:val="00E913F9"/>
    <w:rsid w:val="00E956DD"/>
    <w:rsid w:val="00EA25A1"/>
    <w:rsid w:val="00EB5295"/>
    <w:rsid w:val="00EB6040"/>
    <w:rsid w:val="00EB7BB6"/>
    <w:rsid w:val="00F02FB5"/>
    <w:rsid w:val="00F10FE4"/>
    <w:rsid w:val="00F16C77"/>
    <w:rsid w:val="00F25AC4"/>
    <w:rsid w:val="00F304A8"/>
    <w:rsid w:val="00F31699"/>
    <w:rsid w:val="00F50D77"/>
    <w:rsid w:val="00F57526"/>
    <w:rsid w:val="00F70D5C"/>
    <w:rsid w:val="00FE0F35"/>
    <w:rsid w:val="00FF0A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97822"/>
  <w15:chartTrackingRefBased/>
  <w15:docId w15:val="{7FB5C496-D4F2-47C6-A492-A13AA2C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en-US"/>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ind w:right="-99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Indent">
    <w:name w:val="Body Text Indent"/>
    <w:basedOn w:val="Normal"/>
    <w:pPr>
      <w:ind w:left="720"/>
    </w:pPr>
  </w:style>
  <w:style w:type="paragraph" w:styleId="BodyText">
    <w:name w:val="Body Text"/>
    <w:basedOn w:val="Normal"/>
    <w:pPr>
      <w:ind w:right="-999"/>
      <w:jc w:val="both"/>
    </w:pPr>
  </w:style>
  <w:style w:type="paragraph" w:styleId="BodyText2">
    <w:name w:val="Body Text 2"/>
    <w:basedOn w:val="Normal"/>
    <w:rPr>
      <w:rFonts w:ascii="RimTimes" w:hAnsi="RimTimes"/>
      <w:sz w:val="22"/>
      <w:szCs w:val="22"/>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jc w:val="both"/>
    </w:pPr>
    <w:rPr>
      <w:sz w:val="22"/>
      <w:szCs w:val="22"/>
    </w:rPr>
  </w:style>
  <w:style w:type="paragraph" w:styleId="BodyTextIndent2">
    <w:name w:val="Body Text Indent 2"/>
    <w:basedOn w:val="Normal"/>
    <w:pPr>
      <w:ind w:left="-540" w:firstLine="540"/>
      <w:jc w:val="both"/>
    </w:pPr>
    <w:rPr>
      <w:sz w:val="22"/>
      <w:szCs w:val="22"/>
    </w:rPr>
  </w:style>
  <w:style w:type="paragraph" w:styleId="BalloonText">
    <w:name w:val="Balloon Text"/>
    <w:basedOn w:val="Normal"/>
    <w:semiHidden/>
    <w:rPr>
      <w:rFonts w:ascii="Tahoma" w:hAnsi="Tahoma" w:cs="Tahoma"/>
      <w:sz w:val="16"/>
      <w:szCs w:val="16"/>
    </w:rPr>
  </w:style>
  <w:style w:type="paragraph" w:customStyle="1" w:styleId="Default">
    <w:name w:val="Default"/>
    <w:rsid w:val="00456D2A"/>
    <w:pPr>
      <w:autoSpaceDE w:val="0"/>
      <w:autoSpaceDN w:val="0"/>
      <w:adjustRightInd w:val="0"/>
    </w:pPr>
    <w:rPr>
      <w:color w:val="000000"/>
      <w:sz w:val="24"/>
      <w:szCs w:val="24"/>
      <w:lang w:val="en-US" w:eastAsia="en-US"/>
    </w:rPr>
  </w:style>
  <w:style w:type="character" w:styleId="CommentReference">
    <w:name w:val="annotation reference"/>
    <w:rsid w:val="007B41C6"/>
    <w:rPr>
      <w:sz w:val="16"/>
      <w:szCs w:val="16"/>
    </w:rPr>
  </w:style>
  <w:style w:type="paragraph" w:styleId="CommentText">
    <w:name w:val="annotation text"/>
    <w:basedOn w:val="Normal"/>
    <w:link w:val="CommentTextChar"/>
    <w:rsid w:val="007B41C6"/>
    <w:rPr>
      <w:sz w:val="20"/>
      <w:szCs w:val="20"/>
      <w:lang w:eastAsia="x-none"/>
    </w:rPr>
  </w:style>
  <w:style w:type="character" w:customStyle="1" w:styleId="CommentTextChar">
    <w:name w:val="Comment Text Char"/>
    <w:link w:val="CommentText"/>
    <w:rsid w:val="007B41C6"/>
    <w:rPr>
      <w:lang w:val="lv-LV"/>
    </w:rPr>
  </w:style>
  <w:style w:type="paragraph" w:styleId="CommentSubject">
    <w:name w:val="annotation subject"/>
    <w:basedOn w:val="CommentText"/>
    <w:next w:val="CommentText"/>
    <w:link w:val="CommentSubjectChar"/>
    <w:rsid w:val="007B41C6"/>
    <w:rPr>
      <w:b/>
      <w:bCs/>
    </w:rPr>
  </w:style>
  <w:style w:type="character" w:customStyle="1" w:styleId="CommentSubjectChar">
    <w:name w:val="Comment Subject Char"/>
    <w:link w:val="CommentSubject"/>
    <w:rsid w:val="007B41C6"/>
    <w:rPr>
      <w:b/>
      <w:bCs/>
      <w:lang w:val="lv-LV"/>
    </w:rPr>
  </w:style>
  <w:style w:type="paragraph" w:styleId="Revision">
    <w:name w:val="Revision"/>
    <w:hidden/>
    <w:uiPriority w:val="99"/>
    <w:semiHidden/>
    <w:rsid w:val="005E6BDF"/>
    <w:rPr>
      <w:sz w:val="24"/>
      <w:szCs w:val="24"/>
      <w:lang w:val="lv-LV" w:eastAsia="en-US"/>
    </w:rPr>
  </w:style>
  <w:style w:type="paragraph" w:styleId="Header">
    <w:name w:val="header"/>
    <w:basedOn w:val="Normal"/>
    <w:link w:val="HeaderChar"/>
    <w:uiPriority w:val="99"/>
    <w:rsid w:val="005E6BDF"/>
    <w:pPr>
      <w:tabs>
        <w:tab w:val="center" w:pos="4153"/>
        <w:tab w:val="right" w:pos="8306"/>
      </w:tabs>
    </w:pPr>
  </w:style>
  <w:style w:type="character" w:customStyle="1" w:styleId="HeaderChar">
    <w:name w:val="Header Char"/>
    <w:link w:val="Header"/>
    <w:uiPriority w:val="99"/>
    <w:rsid w:val="005E6B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9728</Words>
  <Characters>5546</Characters>
  <Application>Microsoft Office Word</Application>
  <DocSecurity>0</DocSecurity>
  <Lines>46</Lines>
  <Paragraphs>30</Paragraphs>
  <ScaleCrop>false</ScaleCrop>
  <HeadingPairs>
    <vt:vector size="8" baseType="variant">
      <vt:variant>
        <vt:lpstr>Otsikko</vt:lpstr>
      </vt:variant>
      <vt:variant>
        <vt:i4>1</vt:i4>
      </vt:variant>
      <vt:variant>
        <vt:lpstr>Title</vt:lpstr>
      </vt:variant>
      <vt:variant>
        <vt:i4>1</vt:i4>
      </vt:variant>
      <vt:variant>
        <vt:lpstr>Название</vt:lpstr>
      </vt:variant>
      <vt:variant>
        <vt:i4>1</vt:i4>
      </vt:variant>
      <vt:variant>
        <vt:lpstr>Заголовки</vt:lpstr>
      </vt:variant>
      <vt:variant>
        <vt:i4>1</vt:i4>
      </vt:variant>
    </vt:vector>
  </HeadingPairs>
  <TitlesOfParts>
    <vt:vector size="4" baseType="lpstr">
      <vt:lpstr>ZĀĻU  APRAKSTS</vt:lpstr>
      <vt:lpstr>ZĀĻU  APRAKSTS</vt:lpstr>
      <vt:lpstr>ZĀĻU  APRAKSTS</vt:lpstr>
      <vt:lpstr>    Lietojot paracetamolu vienlaikus ar hloramfenikolu, hloramfenikola izdalīšanās v</vt:lpstr>
    </vt:vector>
  </TitlesOfParts>
  <Company>OFICE</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subject/>
  <dc:creator>Inese Kanneniece</dc:creator>
  <cp:keywords/>
  <cp:lastModifiedBy>Skaidrīte Lapsenīte</cp:lastModifiedBy>
  <cp:revision>6</cp:revision>
  <cp:lastPrinted>2005-08-15T13:53:00Z</cp:lastPrinted>
  <dcterms:created xsi:type="dcterms:W3CDTF">2022-05-11T07:18:00Z</dcterms:created>
  <dcterms:modified xsi:type="dcterms:W3CDTF">2022-05-24T11:28:00Z</dcterms:modified>
</cp:coreProperties>
</file>