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287F3" w14:textId="77777777" w:rsidR="00022DB7" w:rsidRPr="00747D66" w:rsidRDefault="00022DB7" w:rsidP="00747D66">
      <w:pPr>
        <w:pStyle w:val="Default"/>
        <w:jc w:val="center"/>
        <w:rPr>
          <w:b/>
          <w:bCs/>
          <w:sz w:val="22"/>
          <w:szCs w:val="22"/>
          <w:lang w:val="lv-LV"/>
        </w:rPr>
      </w:pPr>
      <w:r w:rsidRPr="00747D66">
        <w:rPr>
          <w:b/>
          <w:bCs/>
          <w:sz w:val="22"/>
          <w:szCs w:val="22"/>
          <w:lang w:val="lv-LV"/>
        </w:rPr>
        <w:t>ZĀĻU APRAKSTS</w:t>
      </w:r>
    </w:p>
    <w:p w14:paraId="2C765483" w14:textId="77777777" w:rsidR="00022DB7" w:rsidRPr="00747D66" w:rsidRDefault="00022DB7" w:rsidP="00747D66">
      <w:pPr>
        <w:pStyle w:val="Default"/>
        <w:jc w:val="both"/>
        <w:rPr>
          <w:b/>
          <w:bCs/>
          <w:sz w:val="22"/>
          <w:szCs w:val="22"/>
          <w:lang w:val="lv-LV"/>
        </w:rPr>
      </w:pPr>
    </w:p>
    <w:p w14:paraId="5294FA42" w14:textId="77777777" w:rsidR="004353AE" w:rsidRPr="00747D66" w:rsidRDefault="004353AE" w:rsidP="00747D66">
      <w:pPr>
        <w:pStyle w:val="Default"/>
        <w:jc w:val="both"/>
        <w:rPr>
          <w:b/>
          <w:bCs/>
          <w:sz w:val="22"/>
          <w:szCs w:val="22"/>
          <w:lang w:val="lv-LV"/>
        </w:rPr>
      </w:pPr>
    </w:p>
    <w:p w14:paraId="3851998F" w14:textId="77777777" w:rsidR="00022DB7" w:rsidRPr="00031E1B" w:rsidRDefault="00022DB7" w:rsidP="00031E1B">
      <w:pPr>
        <w:pStyle w:val="Default"/>
        <w:jc w:val="both"/>
        <w:rPr>
          <w:b/>
          <w:bCs/>
          <w:sz w:val="22"/>
          <w:szCs w:val="22"/>
          <w:lang w:val="lv-LV"/>
        </w:rPr>
      </w:pPr>
      <w:r w:rsidRPr="00031E1B">
        <w:rPr>
          <w:b/>
          <w:bCs/>
          <w:sz w:val="22"/>
          <w:szCs w:val="22"/>
          <w:lang w:val="lv-LV"/>
        </w:rPr>
        <w:t>1. ZĀĻU NOSAUKUMS</w:t>
      </w:r>
    </w:p>
    <w:p w14:paraId="2D7CC5C9" w14:textId="77777777" w:rsidR="004353AE" w:rsidRPr="00031E1B" w:rsidRDefault="004353AE" w:rsidP="00031E1B">
      <w:pPr>
        <w:pStyle w:val="Default"/>
        <w:jc w:val="both"/>
        <w:rPr>
          <w:b/>
          <w:bCs/>
          <w:sz w:val="22"/>
          <w:szCs w:val="22"/>
          <w:lang w:val="lv-LV"/>
        </w:rPr>
      </w:pPr>
    </w:p>
    <w:p w14:paraId="26BC8AC2" w14:textId="77777777" w:rsidR="00022DB7" w:rsidRPr="00A81A48" w:rsidRDefault="004C309D" w:rsidP="00031E1B">
      <w:pPr>
        <w:pStyle w:val="Default"/>
        <w:jc w:val="both"/>
        <w:rPr>
          <w:b/>
          <w:sz w:val="22"/>
          <w:szCs w:val="22"/>
          <w:lang w:val="lv-LV"/>
        </w:rPr>
      </w:pPr>
      <w:r w:rsidRPr="00031E1B">
        <w:rPr>
          <w:b/>
          <w:bCs/>
          <w:sz w:val="22"/>
          <w:szCs w:val="22"/>
          <w:lang w:val="lv-LV"/>
        </w:rPr>
        <w:t>Tamsulosin STADA</w:t>
      </w:r>
      <w:r w:rsidR="000F6E6D" w:rsidRPr="00031E1B">
        <w:rPr>
          <w:b/>
          <w:bCs/>
          <w:sz w:val="22"/>
          <w:szCs w:val="22"/>
          <w:lang w:val="lv-LV"/>
        </w:rPr>
        <w:t xml:space="preserve"> </w:t>
      </w:r>
      <w:r w:rsidR="000F6E6D" w:rsidRPr="00A81A48">
        <w:rPr>
          <w:b/>
          <w:sz w:val="22"/>
          <w:szCs w:val="22"/>
          <w:lang w:val="lv-LV"/>
        </w:rPr>
        <w:t>0,4 mg ilg</w:t>
      </w:r>
      <w:r w:rsidR="00022DB7" w:rsidRPr="00A81A48">
        <w:rPr>
          <w:b/>
          <w:sz w:val="22"/>
          <w:szCs w:val="22"/>
          <w:lang w:val="lv-LV"/>
        </w:rPr>
        <w:t>stošās darbības cietās kapsulas</w:t>
      </w:r>
    </w:p>
    <w:p w14:paraId="2A240D0B" w14:textId="77777777" w:rsidR="00022DB7" w:rsidRPr="00747D66" w:rsidRDefault="00022DB7" w:rsidP="00A81A48">
      <w:pPr>
        <w:pStyle w:val="Default"/>
        <w:jc w:val="both"/>
        <w:rPr>
          <w:sz w:val="22"/>
          <w:szCs w:val="22"/>
          <w:lang w:val="lv-LV"/>
        </w:rPr>
      </w:pPr>
    </w:p>
    <w:p w14:paraId="44152D4C" w14:textId="77777777" w:rsidR="004353AE" w:rsidRPr="00747D66" w:rsidRDefault="004353AE" w:rsidP="00A81A48">
      <w:pPr>
        <w:pStyle w:val="Default"/>
        <w:jc w:val="both"/>
        <w:rPr>
          <w:sz w:val="22"/>
          <w:szCs w:val="22"/>
          <w:lang w:val="lv-LV"/>
        </w:rPr>
      </w:pPr>
    </w:p>
    <w:p w14:paraId="7B778F54" w14:textId="77777777" w:rsidR="00022DB7" w:rsidRPr="00031E1B" w:rsidRDefault="000F6E6D" w:rsidP="00A81A48">
      <w:pPr>
        <w:pStyle w:val="Default"/>
        <w:jc w:val="both"/>
        <w:rPr>
          <w:b/>
          <w:bCs/>
          <w:sz w:val="22"/>
          <w:szCs w:val="22"/>
          <w:lang w:val="lv-LV"/>
        </w:rPr>
      </w:pPr>
      <w:r w:rsidRPr="00031E1B">
        <w:rPr>
          <w:b/>
          <w:bCs/>
          <w:sz w:val="22"/>
          <w:szCs w:val="22"/>
          <w:lang w:val="lv-LV"/>
        </w:rPr>
        <w:t>2. KVALITATĪVAIS UN KVANTITATĪVAIS SASTĀVS</w:t>
      </w:r>
    </w:p>
    <w:p w14:paraId="34C277BC" w14:textId="77777777" w:rsidR="004353AE" w:rsidRPr="00A81A48" w:rsidRDefault="004353AE" w:rsidP="00A81A48">
      <w:pPr>
        <w:pStyle w:val="Default"/>
        <w:jc w:val="both"/>
        <w:rPr>
          <w:sz w:val="22"/>
          <w:szCs w:val="22"/>
          <w:lang w:val="lv-LV"/>
        </w:rPr>
      </w:pPr>
    </w:p>
    <w:p w14:paraId="237848A1" w14:textId="681D77C4" w:rsidR="00022DB7" w:rsidRPr="00A81A48" w:rsidRDefault="00135AE2" w:rsidP="00A81A48">
      <w:pPr>
        <w:pStyle w:val="Default"/>
        <w:jc w:val="both"/>
        <w:rPr>
          <w:sz w:val="22"/>
          <w:szCs w:val="22"/>
          <w:lang w:val="lv-LV"/>
        </w:rPr>
      </w:pPr>
      <w:r w:rsidRPr="00A81A48">
        <w:rPr>
          <w:sz w:val="22"/>
          <w:szCs w:val="22"/>
          <w:lang w:val="lv-LV"/>
        </w:rPr>
        <w:t xml:space="preserve">Katra </w:t>
      </w:r>
      <w:r w:rsidR="000F6E6D" w:rsidRPr="00A81A48">
        <w:rPr>
          <w:sz w:val="22"/>
          <w:szCs w:val="22"/>
          <w:lang w:val="lv-LV"/>
        </w:rPr>
        <w:t>kapsula satur 0,4 mg tamsulosīna hidrohlorīda (</w:t>
      </w:r>
      <w:r w:rsidR="000E3627">
        <w:rPr>
          <w:i/>
          <w:iCs/>
          <w:sz w:val="22"/>
          <w:szCs w:val="22"/>
          <w:lang w:val="lv-LV"/>
        </w:rPr>
        <w:t>t</w:t>
      </w:r>
      <w:r w:rsidR="000F6E6D" w:rsidRPr="00A81A48">
        <w:rPr>
          <w:i/>
          <w:iCs/>
          <w:sz w:val="22"/>
          <w:szCs w:val="22"/>
          <w:lang w:val="lv-LV"/>
        </w:rPr>
        <w:t>amsulosini hydrochloridum)</w:t>
      </w:r>
      <w:r w:rsidR="00022DB7" w:rsidRPr="00A81A48">
        <w:rPr>
          <w:sz w:val="22"/>
          <w:szCs w:val="22"/>
          <w:lang w:val="lv-LV"/>
        </w:rPr>
        <w:t>.</w:t>
      </w:r>
    </w:p>
    <w:p w14:paraId="58872074" w14:textId="77777777" w:rsidR="00022DB7" w:rsidRPr="00A81A48" w:rsidRDefault="00022DB7" w:rsidP="00A81A48">
      <w:pPr>
        <w:pStyle w:val="Default"/>
        <w:jc w:val="both"/>
        <w:rPr>
          <w:sz w:val="22"/>
          <w:szCs w:val="22"/>
          <w:lang w:val="lv-LV"/>
        </w:rPr>
      </w:pPr>
    </w:p>
    <w:p w14:paraId="52F4E56B" w14:textId="77777777" w:rsidR="00022DB7" w:rsidRPr="00A81A48" w:rsidRDefault="000F6E6D" w:rsidP="00A81A48">
      <w:pPr>
        <w:pStyle w:val="Default"/>
        <w:jc w:val="both"/>
        <w:rPr>
          <w:sz w:val="22"/>
          <w:szCs w:val="22"/>
          <w:lang w:val="lv-LV"/>
        </w:rPr>
      </w:pPr>
      <w:r w:rsidRPr="00A81A48">
        <w:rPr>
          <w:sz w:val="22"/>
          <w:szCs w:val="22"/>
          <w:lang w:val="lv-LV"/>
        </w:rPr>
        <w:t>Pilnu palīgvielu sarakstu skatīt 6.1</w:t>
      </w:r>
      <w:r w:rsidR="00C61820" w:rsidRPr="00A81A48">
        <w:rPr>
          <w:sz w:val="22"/>
          <w:szCs w:val="22"/>
          <w:lang w:val="lv-LV"/>
        </w:rPr>
        <w:t>.</w:t>
      </w:r>
      <w:r w:rsidRPr="00A81A48">
        <w:rPr>
          <w:sz w:val="22"/>
          <w:szCs w:val="22"/>
          <w:lang w:val="lv-LV"/>
        </w:rPr>
        <w:t xml:space="preserve"> apakšpunkt</w:t>
      </w:r>
      <w:r w:rsidR="00022DB7" w:rsidRPr="00A81A48">
        <w:rPr>
          <w:sz w:val="22"/>
          <w:szCs w:val="22"/>
          <w:lang w:val="lv-LV"/>
        </w:rPr>
        <w:t>ā.</w:t>
      </w:r>
    </w:p>
    <w:p w14:paraId="18122D90" w14:textId="77777777" w:rsidR="00022DB7" w:rsidRPr="00A81A48" w:rsidRDefault="00022DB7" w:rsidP="00A81A48">
      <w:pPr>
        <w:pStyle w:val="Default"/>
        <w:jc w:val="both"/>
        <w:rPr>
          <w:sz w:val="22"/>
          <w:szCs w:val="22"/>
          <w:lang w:val="lv-LV"/>
        </w:rPr>
      </w:pPr>
    </w:p>
    <w:p w14:paraId="0C6AB22D" w14:textId="77777777" w:rsidR="004353AE" w:rsidRPr="00A81A48" w:rsidRDefault="004353AE" w:rsidP="00A81A48">
      <w:pPr>
        <w:pStyle w:val="Default"/>
        <w:jc w:val="both"/>
        <w:rPr>
          <w:sz w:val="22"/>
          <w:szCs w:val="22"/>
          <w:lang w:val="lv-LV"/>
        </w:rPr>
      </w:pPr>
    </w:p>
    <w:p w14:paraId="7442190C" w14:textId="77777777" w:rsidR="00022DB7" w:rsidRPr="00A81A48" w:rsidRDefault="000F6E6D" w:rsidP="00A81A48">
      <w:pPr>
        <w:pStyle w:val="Default"/>
        <w:jc w:val="both"/>
        <w:rPr>
          <w:b/>
          <w:bCs/>
          <w:sz w:val="22"/>
          <w:szCs w:val="22"/>
          <w:lang w:val="lv-LV"/>
        </w:rPr>
      </w:pPr>
      <w:r w:rsidRPr="00A81A48">
        <w:rPr>
          <w:b/>
          <w:bCs/>
          <w:sz w:val="22"/>
          <w:szCs w:val="22"/>
          <w:lang w:val="lv-LV"/>
        </w:rPr>
        <w:t>3. ZĀĻU FORMA</w:t>
      </w:r>
    </w:p>
    <w:p w14:paraId="26C7E41C" w14:textId="77777777" w:rsidR="004353AE" w:rsidRPr="00A81A48" w:rsidRDefault="004353AE" w:rsidP="00A81A48">
      <w:pPr>
        <w:pStyle w:val="Default"/>
        <w:jc w:val="both"/>
        <w:rPr>
          <w:sz w:val="22"/>
          <w:szCs w:val="22"/>
          <w:lang w:val="lv-LV"/>
        </w:rPr>
      </w:pPr>
    </w:p>
    <w:p w14:paraId="5D86DEA9" w14:textId="77777777" w:rsidR="00022DB7" w:rsidRPr="00A81A48" w:rsidRDefault="000F6E6D" w:rsidP="00A81A48">
      <w:pPr>
        <w:pStyle w:val="Default"/>
        <w:jc w:val="both"/>
        <w:rPr>
          <w:sz w:val="22"/>
          <w:szCs w:val="22"/>
          <w:lang w:val="lv-LV"/>
        </w:rPr>
      </w:pPr>
      <w:r w:rsidRPr="00A81A48">
        <w:rPr>
          <w:sz w:val="22"/>
          <w:szCs w:val="22"/>
          <w:lang w:val="lv-LV"/>
        </w:rPr>
        <w:t>Il</w:t>
      </w:r>
      <w:r w:rsidR="00022DB7" w:rsidRPr="00A81A48">
        <w:rPr>
          <w:sz w:val="22"/>
          <w:szCs w:val="22"/>
          <w:lang w:val="lv-LV"/>
        </w:rPr>
        <w:t>gstošās darbības cietā kapsula.</w:t>
      </w:r>
    </w:p>
    <w:p w14:paraId="1A18E718" w14:textId="77777777" w:rsidR="00022DB7" w:rsidRPr="00A81A48" w:rsidRDefault="00022DB7" w:rsidP="00A81A48">
      <w:pPr>
        <w:pStyle w:val="Default"/>
        <w:jc w:val="both"/>
        <w:rPr>
          <w:sz w:val="22"/>
          <w:szCs w:val="22"/>
          <w:lang w:val="lv-LV"/>
        </w:rPr>
      </w:pPr>
    </w:p>
    <w:p w14:paraId="48663432" w14:textId="77777777" w:rsidR="00022DB7" w:rsidRPr="00A81A48" w:rsidRDefault="000F6E6D" w:rsidP="00A81A48">
      <w:pPr>
        <w:pStyle w:val="Default"/>
        <w:jc w:val="both"/>
        <w:rPr>
          <w:sz w:val="22"/>
          <w:szCs w:val="22"/>
          <w:lang w:val="lv-LV"/>
        </w:rPr>
      </w:pPr>
      <w:r w:rsidRPr="00A81A48">
        <w:rPr>
          <w:sz w:val="22"/>
          <w:szCs w:val="22"/>
          <w:lang w:val="lv-LV"/>
        </w:rPr>
        <w:t xml:space="preserve">Kapsula ir oranžā/olīvu zaļā krāsā. Kapsulas satur baltas līdz </w:t>
      </w:r>
      <w:r w:rsidR="00022DB7" w:rsidRPr="00A81A48">
        <w:rPr>
          <w:sz w:val="22"/>
          <w:szCs w:val="22"/>
          <w:lang w:val="lv-LV"/>
        </w:rPr>
        <w:t>gandrīz baltas krāsas granulas.</w:t>
      </w:r>
    </w:p>
    <w:p w14:paraId="13ED5003" w14:textId="77777777" w:rsidR="00022DB7" w:rsidRPr="00A81A48" w:rsidRDefault="00022DB7" w:rsidP="00A81A48">
      <w:pPr>
        <w:pStyle w:val="Default"/>
        <w:jc w:val="both"/>
        <w:rPr>
          <w:sz w:val="22"/>
          <w:szCs w:val="22"/>
          <w:lang w:val="lv-LV"/>
        </w:rPr>
      </w:pPr>
    </w:p>
    <w:p w14:paraId="12234182" w14:textId="77777777" w:rsidR="004353AE" w:rsidRPr="00A81A48" w:rsidRDefault="004353AE" w:rsidP="00A81A48">
      <w:pPr>
        <w:pStyle w:val="Default"/>
        <w:jc w:val="both"/>
        <w:rPr>
          <w:sz w:val="22"/>
          <w:szCs w:val="22"/>
          <w:lang w:val="lv-LV"/>
        </w:rPr>
      </w:pPr>
    </w:p>
    <w:p w14:paraId="6D94D777" w14:textId="77777777" w:rsidR="00022DB7" w:rsidRPr="00A81A48" w:rsidRDefault="00022DB7" w:rsidP="00A81A48">
      <w:pPr>
        <w:pStyle w:val="Default"/>
        <w:jc w:val="both"/>
        <w:rPr>
          <w:b/>
          <w:bCs/>
          <w:sz w:val="22"/>
          <w:szCs w:val="22"/>
          <w:lang w:val="lv-LV"/>
        </w:rPr>
      </w:pPr>
      <w:r w:rsidRPr="00A81A48">
        <w:rPr>
          <w:b/>
          <w:bCs/>
          <w:sz w:val="22"/>
          <w:szCs w:val="22"/>
          <w:lang w:val="lv-LV"/>
        </w:rPr>
        <w:t>4. KLĪNISKĀ INFORMĀCIJA</w:t>
      </w:r>
    </w:p>
    <w:p w14:paraId="021AD5C3" w14:textId="77777777" w:rsidR="004353AE" w:rsidRPr="00A81A48" w:rsidRDefault="004353AE" w:rsidP="00A81A48">
      <w:pPr>
        <w:pStyle w:val="Default"/>
        <w:jc w:val="both"/>
        <w:rPr>
          <w:b/>
          <w:bCs/>
          <w:sz w:val="22"/>
          <w:szCs w:val="22"/>
          <w:lang w:val="lv-LV"/>
        </w:rPr>
      </w:pPr>
    </w:p>
    <w:p w14:paraId="5A87521C" w14:textId="77777777" w:rsidR="00022DB7" w:rsidRPr="00A81A48" w:rsidRDefault="000F6E6D" w:rsidP="00A81A48">
      <w:pPr>
        <w:pStyle w:val="Default"/>
        <w:jc w:val="both"/>
        <w:rPr>
          <w:sz w:val="22"/>
          <w:szCs w:val="22"/>
          <w:lang w:val="lv-LV"/>
        </w:rPr>
      </w:pPr>
      <w:r w:rsidRPr="00A81A48">
        <w:rPr>
          <w:b/>
          <w:bCs/>
          <w:sz w:val="22"/>
          <w:szCs w:val="22"/>
          <w:lang w:val="lv-LV"/>
        </w:rPr>
        <w:t>4.1 Terapeitiskās indikācijas</w:t>
      </w:r>
    </w:p>
    <w:p w14:paraId="1465E5D3" w14:textId="77777777" w:rsidR="004353AE" w:rsidRPr="00A81A48" w:rsidRDefault="004353AE" w:rsidP="00A81A48">
      <w:pPr>
        <w:pStyle w:val="Default"/>
        <w:jc w:val="both"/>
        <w:rPr>
          <w:sz w:val="22"/>
          <w:szCs w:val="22"/>
          <w:lang w:val="lv-LV"/>
        </w:rPr>
      </w:pPr>
    </w:p>
    <w:p w14:paraId="242E9E7B" w14:textId="77777777" w:rsidR="00022DB7" w:rsidRPr="00A81A48" w:rsidRDefault="000F6E6D" w:rsidP="00A81A48">
      <w:pPr>
        <w:pStyle w:val="Default"/>
        <w:jc w:val="both"/>
        <w:rPr>
          <w:sz w:val="22"/>
          <w:szCs w:val="22"/>
          <w:lang w:val="lv-LV"/>
        </w:rPr>
      </w:pPr>
      <w:r w:rsidRPr="00A81A48">
        <w:rPr>
          <w:sz w:val="22"/>
          <w:szCs w:val="22"/>
          <w:lang w:val="lv-LV"/>
        </w:rPr>
        <w:t>Apakšējo urīnceļu simptomi (AUS), kas saistīti ar labdabīgu prie</w:t>
      </w:r>
      <w:r w:rsidR="00022DB7" w:rsidRPr="00A81A48">
        <w:rPr>
          <w:sz w:val="22"/>
          <w:szCs w:val="22"/>
          <w:lang w:val="lv-LV"/>
        </w:rPr>
        <w:t>kšdziedzera hiperplāziju (LPH).</w:t>
      </w:r>
    </w:p>
    <w:p w14:paraId="2B828B75" w14:textId="77777777" w:rsidR="00022DB7" w:rsidRPr="00A81A48" w:rsidRDefault="00022DB7" w:rsidP="00A81A48">
      <w:pPr>
        <w:pStyle w:val="Default"/>
        <w:jc w:val="both"/>
        <w:rPr>
          <w:sz w:val="22"/>
          <w:szCs w:val="22"/>
          <w:lang w:val="lv-LV"/>
        </w:rPr>
      </w:pPr>
    </w:p>
    <w:p w14:paraId="4A2CD8E0" w14:textId="77777777" w:rsidR="00022DB7" w:rsidRPr="00A81A48" w:rsidRDefault="000F6E6D" w:rsidP="00A81A48">
      <w:pPr>
        <w:pStyle w:val="Default"/>
        <w:jc w:val="both"/>
        <w:rPr>
          <w:sz w:val="22"/>
          <w:szCs w:val="22"/>
          <w:lang w:val="lv-LV"/>
        </w:rPr>
      </w:pPr>
      <w:r w:rsidRPr="00A81A48">
        <w:rPr>
          <w:b/>
          <w:bCs/>
          <w:sz w:val="22"/>
          <w:szCs w:val="22"/>
          <w:lang w:val="lv-LV"/>
        </w:rPr>
        <w:t>4.2 Devas un lietošanas veids</w:t>
      </w:r>
    </w:p>
    <w:p w14:paraId="3588ED41" w14:textId="77777777" w:rsidR="004353AE" w:rsidRPr="00A81A48" w:rsidRDefault="004353AE" w:rsidP="00A81A48">
      <w:pPr>
        <w:pStyle w:val="Default"/>
        <w:jc w:val="both"/>
        <w:rPr>
          <w:sz w:val="22"/>
          <w:szCs w:val="22"/>
          <w:lang w:val="lv-LV"/>
        </w:rPr>
      </w:pPr>
    </w:p>
    <w:p w14:paraId="6102B552" w14:textId="77777777" w:rsidR="00022DB7" w:rsidRPr="00A81A48" w:rsidRDefault="000F6E6D" w:rsidP="00A81A48">
      <w:pPr>
        <w:pStyle w:val="Default"/>
        <w:jc w:val="both"/>
        <w:rPr>
          <w:sz w:val="22"/>
          <w:szCs w:val="22"/>
          <w:lang w:val="lv-LV"/>
        </w:rPr>
      </w:pPr>
      <w:r w:rsidRPr="00A81A48">
        <w:rPr>
          <w:sz w:val="22"/>
          <w:szCs w:val="22"/>
          <w:lang w:val="lv-LV"/>
        </w:rPr>
        <w:t>Viena kapsula dienā pēc brokastīm vai pirmās dienas ēdienreizes. Kapsula jānorij vesela, uzdzerot glāzi ūdens un atrodoties stāvus vai sēdus pozīcijā (ne guļus). Kapsulu nedrīkst salauzt vai sadalīt, jo tas var atstāt ietekmi uz ilgstošās darbīb</w:t>
      </w:r>
      <w:r w:rsidR="00022DB7" w:rsidRPr="00A81A48">
        <w:rPr>
          <w:sz w:val="22"/>
          <w:szCs w:val="22"/>
          <w:lang w:val="lv-LV"/>
        </w:rPr>
        <w:t>as aktīvās vielas atbrīvošanos.</w:t>
      </w:r>
    </w:p>
    <w:p w14:paraId="3FF2FB68" w14:textId="77777777" w:rsidR="00022DB7" w:rsidRPr="00A81A48" w:rsidRDefault="00022DB7" w:rsidP="00A81A48">
      <w:pPr>
        <w:pStyle w:val="Default"/>
        <w:jc w:val="both"/>
        <w:rPr>
          <w:sz w:val="22"/>
          <w:szCs w:val="22"/>
          <w:lang w:val="lv-LV"/>
        </w:rPr>
      </w:pPr>
    </w:p>
    <w:p w14:paraId="67A39ED8" w14:textId="77777777" w:rsidR="00022DB7" w:rsidRPr="00A81A48" w:rsidRDefault="00022DB7" w:rsidP="00A81A48">
      <w:pPr>
        <w:pStyle w:val="Default"/>
        <w:jc w:val="both"/>
        <w:rPr>
          <w:sz w:val="22"/>
          <w:szCs w:val="22"/>
          <w:u w:val="single"/>
          <w:lang w:val="lv-LV"/>
        </w:rPr>
      </w:pPr>
      <w:r w:rsidRPr="00A81A48">
        <w:rPr>
          <w:sz w:val="22"/>
          <w:szCs w:val="22"/>
          <w:u w:val="single"/>
          <w:lang w:val="lv-LV"/>
        </w:rPr>
        <w:t>Pediatriskā populācija</w:t>
      </w:r>
    </w:p>
    <w:p w14:paraId="0B11AB0D" w14:textId="77777777" w:rsidR="00022DB7" w:rsidRPr="00A81A48" w:rsidRDefault="000F6E6D" w:rsidP="00A81A48">
      <w:pPr>
        <w:pStyle w:val="Default"/>
        <w:jc w:val="both"/>
        <w:rPr>
          <w:sz w:val="22"/>
          <w:szCs w:val="22"/>
          <w:lang w:val="lv-LV"/>
        </w:rPr>
      </w:pPr>
      <w:r w:rsidRPr="00A81A48">
        <w:rPr>
          <w:sz w:val="22"/>
          <w:szCs w:val="22"/>
          <w:lang w:val="lv-LV"/>
        </w:rPr>
        <w:t>Tamsulosīna drošība un efektivitāte nav pierādīta bērniem, kuri jaunāki par 18 gadiem. Pašlaik pieejami</w:t>
      </w:r>
      <w:r w:rsidR="00022DB7" w:rsidRPr="00A81A48">
        <w:rPr>
          <w:sz w:val="22"/>
          <w:szCs w:val="22"/>
          <w:lang w:val="lv-LV"/>
        </w:rPr>
        <w:t>e dati sniegti 5.1.</w:t>
      </w:r>
      <w:r w:rsidR="00C61820" w:rsidRPr="00A81A48">
        <w:rPr>
          <w:sz w:val="22"/>
          <w:szCs w:val="22"/>
          <w:lang w:val="lv-LV"/>
        </w:rPr>
        <w:t xml:space="preserve"> apakšpunktā.</w:t>
      </w:r>
    </w:p>
    <w:p w14:paraId="3FDBB863" w14:textId="77777777" w:rsidR="00022DB7" w:rsidRPr="00A81A48" w:rsidRDefault="00022DB7" w:rsidP="00A81A48">
      <w:pPr>
        <w:pStyle w:val="Default"/>
        <w:jc w:val="both"/>
        <w:rPr>
          <w:sz w:val="22"/>
          <w:szCs w:val="22"/>
          <w:lang w:val="lv-LV"/>
        </w:rPr>
      </w:pPr>
    </w:p>
    <w:p w14:paraId="6B3D7D50" w14:textId="77777777" w:rsidR="000F6E6D" w:rsidRPr="00A81A48" w:rsidRDefault="000F6E6D" w:rsidP="00A81A48">
      <w:pPr>
        <w:pStyle w:val="Default"/>
        <w:jc w:val="both"/>
        <w:rPr>
          <w:b/>
          <w:bCs/>
          <w:sz w:val="22"/>
          <w:szCs w:val="22"/>
          <w:lang w:val="lv-LV"/>
        </w:rPr>
      </w:pPr>
      <w:r w:rsidRPr="00A81A48">
        <w:rPr>
          <w:b/>
          <w:bCs/>
          <w:sz w:val="22"/>
          <w:szCs w:val="22"/>
          <w:lang w:val="lv-LV"/>
        </w:rPr>
        <w:t>4.3 Kontrindikācijas</w:t>
      </w:r>
    </w:p>
    <w:p w14:paraId="30FD4D9D" w14:textId="77777777" w:rsidR="004353AE" w:rsidRPr="00A81A48" w:rsidRDefault="004353AE" w:rsidP="00A81A48">
      <w:pPr>
        <w:pStyle w:val="Default"/>
        <w:jc w:val="both"/>
        <w:rPr>
          <w:sz w:val="22"/>
          <w:szCs w:val="22"/>
          <w:lang w:val="lv-LV"/>
        </w:rPr>
      </w:pPr>
    </w:p>
    <w:p w14:paraId="00975B14" w14:textId="734DACDC" w:rsidR="000F6E6D" w:rsidRPr="00A81A48" w:rsidRDefault="000F6E6D" w:rsidP="00A81A48">
      <w:pPr>
        <w:pStyle w:val="Default"/>
        <w:numPr>
          <w:ilvl w:val="0"/>
          <w:numId w:val="2"/>
        </w:numPr>
        <w:jc w:val="both"/>
        <w:rPr>
          <w:sz w:val="22"/>
          <w:szCs w:val="22"/>
          <w:lang w:val="lv-LV"/>
        </w:rPr>
      </w:pPr>
      <w:r w:rsidRPr="00A81A48">
        <w:rPr>
          <w:sz w:val="22"/>
          <w:szCs w:val="22"/>
          <w:lang w:val="lv-LV"/>
        </w:rPr>
        <w:t>Paaugstināta jutība pret aktīvo vielu, tajā skaitā zāļu izraisīta angio</w:t>
      </w:r>
      <w:r w:rsidR="00343CBD" w:rsidRPr="00A81A48">
        <w:rPr>
          <w:sz w:val="22"/>
          <w:szCs w:val="22"/>
          <w:lang w:val="lv-LV"/>
        </w:rPr>
        <w:t>edēma</w:t>
      </w:r>
      <w:r w:rsidRPr="00A81A48">
        <w:rPr>
          <w:sz w:val="22"/>
          <w:szCs w:val="22"/>
          <w:lang w:val="lv-LV"/>
        </w:rPr>
        <w:t>, vai jebkuru no 6.1</w:t>
      </w:r>
      <w:r w:rsidR="00C61820" w:rsidRPr="00A81A48">
        <w:rPr>
          <w:sz w:val="22"/>
          <w:szCs w:val="22"/>
          <w:lang w:val="lv-LV"/>
        </w:rPr>
        <w:t>.</w:t>
      </w:r>
      <w:r w:rsidRPr="00A81A48">
        <w:rPr>
          <w:sz w:val="22"/>
          <w:szCs w:val="22"/>
          <w:lang w:val="lv-LV"/>
        </w:rPr>
        <w:t xml:space="preserve"> apakšpu</w:t>
      </w:r>
      <w:r w:rsidR="00022DB7" w:rsidRPr="00A81A48">
        <w:rPr>
          <w:sz w:val="22"/>
          <w:szCs w:val="22"/>
          <w:lang w:val="lv-LV"/>
        </w:rPr>
        <w:t>nktā uzskaitītajām palīgvielām.</w:t>
      </w:r>
    </w:p>
    <w:p w14:paraId="498DB5FA" w14:textId="77777777" w:rsidR="000F6E6D" w:rsidRPr="00A81A48" w:rsidRDefault="000F6E6D" w:rsidP="00A81A48">
      <w:pPr>
        <w:pStyle w:val="Default"/>
        <w:numPr>
          <w:ilvl w:val="0"/>
          <w:numId w:val="2"/>
        </w:numPr>
        <w:jc w:val="both"/>
        <w:rPr>
          <w:sz w:val="22"/>
          <w:szCs w:val="22"/>
          <w:lang w:val="lv-LV"/>
        </w:rPr>
      </w:pPr>
      <w:r w:rsidRPr="00A81A48">
        <w:rPr>
          <w:sz w:val="22"/>
          <w:szCs w:val="22"/>
          <w:lang w:val="lv-LV"/>
        </w:rPr>
        <w:t>Ortostatiska hipotensija anamn</w:t>
      </w:r>
      <w:r w:rsidR="00022DB7" w:rsidRPr="00A81A48">
        <w:rPr>
          <w:sz w:val="22"/>
          <w:szCs w:val="22"/>
          <w:lang w:val="lv-LV"/>
        </w:rPr>
        <w:t>ēzē.</w:t>
      </w:r>
    </w:p>
    <w:p w14:paraId="5C8B1C00" w14:textId="77777777" w:rsidR="000F6E6D" w:rsidRPr="00A81A48" w:rsidRDefault="00022DB7" w:rsidP="00A81A48">
      <w:pPr>
        <w:pStyle w:val="Default"/>
        <w:numPr>
          <w:ilvl w:val="0"/>
          <w:numId w:val="2"/>
        </w:numPr>
        <w:jc w:val="both"/>
        <w:rPr>
          <w:sz w:val="22"/>
          <w:szCs w:val="22"/>
          <w:lang w:val="lv-LV"/>
        </w:rPr>
      </w:pPr>
      <w:r w:rsidRPr="00A81A48">
        <w:rPr>
          <w:sz w:val="22"/>
          <w:szCs w:val="22"/>
          <w:lang w:val="lv-LV"/>
        </w:rPr>
        <w:t>Smaga aknu mazspēja.</w:t>
      </w:r>
    </w:p>
    <w:p w14:paraId="5FBE0BAF" w14:textId="77777777" w:rsidR="000F6E6D" w:rsidRPr="00A81A48" w:rsidRDefault="000F6E6D" w:rsidP="00A81A48">
      <w:pPr>
        <w:pStyle w:val="Default"/>
        <w:jc w:val="both"/>
        <w:rPr>
          <w:sz w:val="22"/>
          <w:szCs w:val="22"/>
          <w:lang w:val="lv-LV"/>
        </w:rPr>
      </w:pPr>
    </w:p>
    <w:p w14:paraId="18D310B1" w14:textId="77777777" w:rsidR="00022DB7" w:rsidRPr="00A81A48" w:rsidRDefault="000F6E6D" w:rsidP="00A81A48">
      <w:pPr>
        <w:pStyle w:val="Default"/>
        <w:jc w:val="both"/>
        <w:rPr>
          <w:sz w:val="22"/>
          <w:szCs w:val="22"/>
          <w:lang w:val="lv-LV"/>
        </w:rPr>
      </w:pPr>
      <w:r w:rsidRPr="00A81A48">
        <w:rPr>
          <w:b/>
          <w:bCs/>
          <w:sz w:val="22"/>
          <w:szCs w:val="22"/>
          <w:lang w:val="lv-LV"/>
        </w:rPr>
        <w:t>4.4 Īpaši brīdinājumi un piesardzība lietošanā</w:t>
      </w:r>
    </w:p>
    <w:p w14:paraId="74342127" w14:textId="77777777" w:rsidR="004353AE" w:rsidRPr="00A81A48" w:rsidRDefault="004353AE" w:rsidP="00A81A48">
      <w:pPr>
        <w:pStyle w:val="Default"/>
        <w:jc w:val="both"/>
        <w:rPr>
          <w:sz w:val="22"/>
          <w:szCs w:val="22"/>
          <w:lang w:val="lv-LV"/>
        </w:rPr>
      </w:pPr>
    </w:p>
    <w:p w14:paraId="0EE8C09E" w14:textId="77777777" w:rsidR="00022DB7" w:rsidRPr="00A81A48" w:rsidRDefault="000F6E6D" w:rsidP="00A81A48">
      <w:pPr>
        <w:pStyle w:val="Default"/>
        <w:jc w:val="both"/>
        <w:rPr>
          <w:sz w:val="22"/>
          <w:szCs w:val="22"/>
          <w:lang w:val="lv-LV"/>
        </w:rPr>
      </w:pPr>
      <w:r w:rsidRPr="00A81A48">
        <w:rPr>
          <w:sz w:val="22"/>
          <w:szCs w:val="22"/>
          <w:lang w:val="lv-LV"/>
        </w:rPr>
        <w:t xml:space="preserve">Līdzīgi citiem α1-adrenoreceptoru antagonistiem, atsevišķos gadījumos tamsulosīna lietošanas laikā var pazemināties asinsspiediens, kas retos gadījumos var izraisīt ģīboni. Parādoties pirmajām ortostatiskas hipotensijas pazīmēm (reibonis, vājums), pacientam jāapsēžas vai </w:t>
      </w:r>
      <w:r w:rsidR="00022DB7" w:rsidRPr="00A81A48">
        <w:rPr>
          <w:sz w:val="22"/>
          <w:szCs w:val="22"/>
          <w:lang w:val="lv-LV"/>
        </w:rPr>
        <w:t>jāatguļas, līdz simptomi izzūd.</w:t>
      </w:r>
    </w:p>
    <w:p w14:paraId="12323329" w14:textId="77777777" w:rsidR="00022DB7" w:rsidRPr="00A81A48" w:rsidRDefault="00022DB7" w:rsidP="00A81A48">
      <w:pPr>
        <w:pStyle w:val="Default"/>
        <w:jc w:val="both"/>
        <w:rPr>
          <w:sz w:val="22"/>
          <w:szCs w:val="22"/>
          <w:lang w:val="lv-LV"/>
        </w:rPr>
      </w:pPr>
    </w:p>
    <w:p w14:paraId="2AE1637E" w14:textId="77777777" w:rsidR="00022DB7" w:rsidRPr="00A81A48" w:rsidRDefault="000F6E6D" w:rsidP="00A81A48">
      <w:pPr>
        <w:pStyle w:val="Default"/>
        <w:jc w:val="both"/>
        <w:rPr>
          <w:sz w:val="22"/>
          <w:szCs w:val="22"/>
          <w:lang w:val="lv-LV"/>
        </w:rPr>
      </w:pPr>
      <w:r w:rsidRPr="00A81A48">
        <w:rPr>
          <w:sz w:val="22"/>
          <w:szCs w:val="22"/>
          <w:lang w:val="lv-LV"/>
        </w:rPr>
        <w:t>Pirms terapijas uzsākšanas ar tamsulosīnu, pacients jāizmeklē, lai izslēgtu citus stāvokļus, kas var izraisīt citus LPH līdzīgus simptomus. Priekšdziedzeris jāizmeklē caur taisno zarnu un nepieciešamības gadījumā pirms terapijas uzsākšanas un vēlāk ar regul</w:t>
      </w:r>
      <w:r w:rsidR="00022DB7" w:rsidRPr="00A81A48">
        <w:rPr>
          <w:sz w:val="22"/>
          <w:szCs w:val="22"/>
          <w:lang w:val="lv-LV"/>
        </w:rPr>
        <w:t>āriem intervāliem jānosaka PSA.</w:t>
      </w:r>
    </w:p>
    <w:p w14:paraId="23B2AA13" w14:textId="77777777" w:rsidR="00022DB7" w:rsidRPr="00A81A48" w:rsidRDefault="00022DB7" w:rsidP="00A81A48">
      <w:pPr>
        <w:pStyle w:val="Default"/>
        <w:jc w:val="both"/>
        <w:rPr>
          <w:sz w:val="22"/>
          <w:szCs w:val="22"/>
          <w:lang w:val="lv-LV"/>
        </w:rPr>
      </w:pPr>
    </w:p>
    <w:p w14:paraId="18335174" w14:textId="77777777" w:rsidR="00022DB7" w:rsidRPr="00A81A48" w:rsidRDefault="000F6E6D" w:rsidP="00A81A48">
      <w:pPr>
        <w:pStyle w:val="Default"/>
        <w:jc w:val="both"/>
        <w:rPr>
          <w:sz w:val="22"/>
          <w:szCs w:val="22"/>
          <w:lang w:val="lv-LV"/>
        </w:rPr>
      </w:pPr>
      <w:r w:rsidRPr="00A81A48">
        <w:rPr>
          <w:sz w:val="22"/>
          <w:szCs w:val="22"/>
          <w:lang w:val="lv-LV"/>
        </w:rPr>
        <w:t>Pacientiem ar smagiem nieru darbības traucējumiem (kreatinīna klīrenss &lt; 10 ml/min) ārstēšana jāveic piesardzīgi, jo nav veikt</w:t>
      </w:r>
      <w:r w:rsidR="00022DB7" w:rsidRPr="00A81A48">
        <w:rPr>
          <w:sz w:val="22"/>
          <w:szCs w:val="22"/>
          <w:lang w:val="lv-LV"/>
        </w:rPr>
        <w:t>i pētījumi šajā pacientu grupā.</w:t>
      </w:r>
    </w:p>
    <w:p w14:paraId="03C88B9D" w14:textId="77777777" w:rsidR="00022DB7" w:rsidRPr="00A81A48" w:rsidRDefault="00022DB7" w:rsidP="00A81A48">
      <w:pPr>
        <w:pStyle w:val="Default"/>
        <w:jc w:val="both"/>
        <w:rPr>
          <w:sz w:val="22"/>
          <w:szCs w:val="22"/>
          <w:lang w:val="lv-LV"/>
        </w:rPr>
      </w:pPr>
    </w:p>
    <w:p w14:paraId="3FA0A98D" w14:textId="05ED56D5" w:rsidR="00022DB7" w:rsidRPr="00A81A48" w:rsidRDefault="000F6E6D" w:rsidP="00A81A48">
      <w:pPr>
        <w:pStyle w:val="Default"/>
        <w:jc w:val="both"/>
        <w:rPr>
          <w:sz w:val="22"/>
          <w:szCs w:val="22"/>
          <w:lang w:val="lv-LV"/>
        </w:rPr>
      </w:pPr>
      <w:r w:rsidRPr="00A81A48">
        <w:rPr>
          <w:sz w:val="22"/>
          <w:szCs w:val="22"/>
          <w:lang w:val="lv-LV"/>
        </w:rPr>
        <w:t>Pēc tamsulosīna lietošanas retos gadījumos ir ziņots par angio</w:t>
      </w:r>
      <w:r w:rsidR="00343CBD" w:rsidRPr="00A81A48">
        <w:rPr>
          <w:sz w:val="22"/>
          <w:szCs w:val="22"/>
          <w:lang w:val="lv-LV"/>
        </w:rPr>
        <w:t>edēmu</w:t>
      </w:r>
      <w:r w:rsidRPr="00A81A48">
        <w:rPr>
          <w:sz w:val="22"/>
          <w:szCs w:val="22"/>
          <w:lang w:val="lv-LV"/>
        </w:rPr>
        <w:t>. Šajā gadījumā nekavējoties jāpārtrauc ārstēšana, pacients jānovēro līdz tūska izzūd, un tamsulosīnu nedrīkst liet</w:t>
      </w:r>
      <w:r w:rsidR="00022DB7" w:rsidRPr="00A81A48">
        <w:rPr>
          <w:sz w:val="22"/>
          <w:szCs w:val="22"/>
          <w:lang w:val="lv-LV"/>
        </w:rPr>
        <w:t>ot atkārtoti.</w:t>
      </w:r>
    </w:p>
    <w:p w14:paraId="119563D0" w14:textId="77777777" w:rsidR="00022DB7" w:rsidRPr="00A81A48" w:rsidRDefault="00022DB7" w:rsidP="00A81A48">
      <w:pPr>
        <w:pStyle w:val="Default"/>
        <w:jc w:val="both"/>
        <w:rPr>
          <w:sz w:val="22"/>
          <w:szCs w:val="22"/>
          <w:lang w:val="lv-LV"/>
        </w:rPr>
      </w:pPr>
    </w:p>
    <w:p w14:paraId="2B22D105" w14:textId="77777777" w:rsidR="00022DB7" w:rsidRPr="00A81A48" w:rsidRDefault="000F6E6D" w:rsidP="00A81A48">
      <w:pPr>
        <w:pStyle w:val="Default"/>
        <w:jc w:val="both"/>
        <w:rPr>
          <w:sz w:val="22"/>
          <w:szCs w:val="22"/>
          <w:lang w:val="lv-LV"/>
        </w:rPr>
      </w:pPr>
      <w:r w:rsidRPr="00A81A48">
        <w:rPr>
          <w:sz w:val="22"/>
          <w:szCs w:val="22"/>
          <w:lang w:val="lv-LV"/>
        </w:rPr>
        <w:t>Dažiem pacientiem, kuri lieto tamsulosīn</w:t>
      </w:r>
      <w:r w:rsidR="00B05AAB" w:rsidRPr="00A81A48">
        <w:rPr>
          <w:sz w:val="22"/>
          <w:szCs w:val="22"/>
          <w:lang w:val="lv-LV"/>
        </w:rPr>
        <w:t>a hidrohlorīd</w:t>
      </w:r>
      <w:r w:rsidRPr="00A81A48">
        <w:rPr>
          <w:sz w:val="22"/>
          <w:szCs w:val="22"/>
          <w:lang w:val="lv-LV"/>
        </w:rPr>
        <w:t xml:space="preserve">u vai tas lietots iepriekš, acs kataraktas ķirurģiskās operācijas laikā novērots Intraoperatīvs Kustīgas Varavīksnenes Sindroms (IKVS pieder pie „šaurās” zīlītes sindromiem). IKVS var </w:t>
      </w:r>
      <w:r w:rsidR="00B05AAB" w:rsidRPr="00A81A48">
        <w:rPr>
          <w:sz w:val="22"/>
          <w:szCs w:val="22"/>
          <w:lang w:val="lv-LV"/>
        </w:rPr>
        <w:t xml:space="preserve">palielināt </w:t>
      </w:r>
      <w:r w:rsidRPr="00A81A48">
        <w:rPr>
          <w:sz w:val="22"/>
          <w:szCs w:val="22"/>
          <w:lang w:val="lv-LV"/>
        </w:rPr>
        <w:t xml:space="preserve">komplikāciju </w:t>
      </w:r>
      <w:r w:rsidR="00B05AAB" w:rsidRPr="00A81A48">
        <w:rPr>
          <w:sz w:val="22"/>
          <w:szCs w:val="22"/>
          <w:lang w:val="lv-LV"/>
        </w:rPr>
        <w:t xml:space="preserve">risku </w:t>
      </w:r>
      <w:r w:rsidRPr="00A81A48">
        <w:rPr>
          <w:sz w:val="22"/>
          <w:szCs w:val="22"/>
          <w:lang w:val="lv-LV"/>
        </w:rPr>
        <w:t>operācijas laikā</w:t>
      </w:r>
      <w:r w:rsidR="00B05AAB" w:rsidRPr="00A81A48">
        <w:rPr>
          <w:sz w:val="22"/>
          <w:szCs w:val="22"/>
          <w:lang w:val="lv-LV"/>
        </w:rPr>
        <w:t xml:space="preserve"> vai pēc tās beigām</w:t>
      </w:r>
      <w:r w:rsidR="00022DB7" w:rsidRPr="00A81A48">
        <w:rPr>
          <w:sz w:val="22"/>
          <w:szCs w:val="22"/>
          <w:lang w:val="lv-LV"/>
        </w:rPr>
        <w:t>.</w:t>
      </w:r>
    </w:p>
    <w:p w14:paraId="71B977F7" w14:textId="77777777" w:rsidR="00022DB7" w:rsidRPr="00A81A48" w:rsidRDefault="00022DB7" w:rsidP="00A81A48">
      <w:pPr>
        <w:pStyle w:val="Default"/>
        <w:jc w:val="both"/>
        <w:rPr>
          <w:sz w:val="22"/>
          <w:szCs w:val="22"/>
          <w:lang w:val="lv-LV"/>
        </w:rPr>
      </w:pPr>
    </w:p>
    <w:p w14:paraId="733C460C" w14:textId="77777777" w:rsidR="00022DB7" w:rsidRPr="00A81A48" w:rsidRDefault="000F6E6D" w:rsidP="00A81A48">
      <w:pPr>
        <w:pStyle w:val="Default"/>
        <w:jc w:val="both"/>
        <w:rPr>
          <w:sz w:val="22"/>
          <w:szCs w:val="22"/>
          <w:lang w:val="lv-LV"/>
        </w:rPr>
      </w:pPr>
      <w:r w:rsidRPr="00A81A48">
        <w:rPr>
          <w:sz w:val="22"/>
          <w:szCs w:val="22"/>
          <w:lang w:val="lv-LV"/>
        </w:rPr>
        <w:t>Pierādīts, ka lietderīgi pārtraukt tamsulosīna</w:t>
      </w:r>
      <w:r w:rsidR="00B05AAB" w:rsidRPr="00A81A48">
        <w:rPr>
          <w:sz w:val="22"/>
          <w:szCs w:val="22"/>
          <w:lang w:val="lv-LV"/>
        </w:rPr>
        <w:t xml:space="preserve"> hidrohlorīda</w:t>
      </w:r>
      <w:r w:rsidRPr="00A81A48">
        <w:rPr>
          <w:sz w:val="22"/>
          <w:szCs w:val="22"/>
          <w:lang w:val="lv-LV"/>
        </w:rPr>
        <w:t xml:space="preserve"> lietošanu 1 – 2 nedēļas pirms acs katarakta ķirurģiskās operācijas, bet ieguvums n</w:t>
      </w:r>
      <w:r w:rsidR="00B05AAB" w:rsidRPr="00A81A48">
        <w:rPr>
          <w:sz w:val="22"/>
          <w:szCs w:val="22"/>
          <w:lang w:val="lv-LV"/>
        </w:rPr>
        <w:t>o</w:t>
      </w:r>
      <w:r w:rsidRPr="00A81A48">
        <w:rPr>
          <w:sz w:val="22"/>
          <w:szCs w:val="22"/>
          <w:lang w:val="lv-LV"/>
        </w:rPr>
        <w:t xml:space="preserve"> terapijas pārtraukuma </w:t>
      </w:r>
      <w:r w:rsidR="00022DB7" w:rsidRPr="00A81A48">
        <w:rPr>
          <w:sz w:val="22"/>
          <w:szCs w:val="22"/>
          <w:lang w:val="lv-LV"/>
        </w:rPr>
        <w:t>līdz šim nav pierādīts.</w:t>
      </w:r>
      <w:r w:rsidR="00B05AAB" w:rsidRPr="00A81A48">
        <w:rPr>
          <w:sz w:val="22"/>
          <w:szCs w:val="22"/>
          <w:lang w:val="lv-LV"/>
        </w:rPr>
        <w:t xml:space="preserve"> Par IKVS ziņots arī pacientiem, kuri tamsulosīna lietošanu ir pārtraukuši ilgāku laika periodu pirms katarakta operācijas.</w:t>
      </w:r>
    </w:p>
    <w:p w14:paraId="6A583C5C" w14:textId="77777777" w:rsidR="00022DB7" w:rsidRPr="00A81A48" w:rsidRDefault="00022DB7" w:rsidP="00A81A48">
      <w:pPr>
        <w:pStyle w:val="Default"/>
        <w:jc w:val="both"/>
        <w:rPr>
          <w:sz w:val="22"/>
          <w:szCs w:val="22"/>
          <w:lang w:val="lv-LV"/>
        </w:rPr>
      </w:pPr>
    </w:p>
    <w:p w14:paraId="561074F4" w14:textId="77777777" w:rsidR="00022DB7" w:rsidRPr="00A81A48" w:rsidRDefault="00B05AAB" w:rsidP="00A81A48">
      <w:pPr>
        <w:pStyle w:val="Default"/>
        <w:jc w:val="both"/>
        <w:rPr>
          <w:sz w:val="22"/>
          <w:szCs w:val="22"/>
          <w:lang w:val="lv-LV"/>
        </w:rPr>
      </w:pPr>
      <w:r w:rsidRPr="00A81A48">
        <w:rPr>
          <w:sz w:val="22"/>
          <w:szCs w:val="22"/>
          <w:lang w:val="lv-LV"/>
        </w:rPr>
        <w:t xml:space="preserve">Nav ieteicams uzsākt tamsulosīna hidrohlorīda lietošanu pacientiem, kuriem ir plānota katarakta operācija. </w:t>
      </w:r>
      <w:r w:rsidR="000F6E6D" w:rsidRPr="00A81A48">
        <w:rPr>
          <w:sz w:val="22"/>
          <w:szCs w:val="22"/>
          <w:lang w:val="lv-LV"/>
        </w:rPr>
        <w:t>Pirms operācijas izvērtēšanas laikā acs katarakta ķirurgiem un oftalmologiem jāņem vērā vai pacients, kuram plānota acs katarakta ķirurģiskā operācija, lieto vai iepriekš ir lietojis tamsulosīnu, lai nodrošinātu atbilstošus pasākumus operācijas laikā un tiktu galā ar iespējamo o</w:t>
      </w:r>
      <w:r w:rsidR="00022DB7" w:rsidRPr="00A81A48">
        <w:rPr>
          <w:sz w:val="22"/>
          <w:szCs w:val="22"/>
          <w:lang w:val="lv-LV"/>
        </w:rPr>
        <w:t>perācijas laikā notiekošo IKVS.</w:t>
      </w:r>
    </w:p>
    <w:p w14:paraId="5063A52F" w14:textId="77777777" w:rsidR="00B05AAB" w:rsidRPr="00A81A48" w:rsidRDefault="00B05AAB" w:rsidP="00A81A48">
      <w:pPr>
        <w:pStyle w:val="Default"/>
        <w:jc w:val="both"/>
        <w:rPr>
          <w:sz w:val="22"/>
          <w:szCs w:val="22"/>
          <w:lang w:val="lv-LV"/>
        </w:rPr>
      </w:pPr>
    </w:p>
    <w:p w14:paraId="19C4CF2C" w14:textId="77777777" w:rsidR="00B05AAB" w:rsidRPr="00A81A48" w:rsidRDefault="00B05AAB" w:rsidP="00A81A48">
      <w:pPr>
        <w:pStyle w:val="Default"/>
        <w:jc w:val="both"/>
        <w:rPr>
          <w:sz w:val="22"/>
          <w:szCs w:val="22"/>
          <w:lang w:val="lv-LV"/>
        </w:rPr>
      </w:pPr>
      <w:r w:rsidRPr="00A81A48">
        <w:rPr>
          <w:sz w:val="22"/>
          <w:szCs w:val="22"/>
          <w:lang w:val="lv-LV"/>
        </w:rPr>
        <w:t>Tamsulosīna hidrohlorīdu nedrīkst lietot vienlaicīgi ar spēcīgiem CYP3A4 inhibitoriem pacientiem, kuri ir vāji CYP2D6 fenotipa metabolizētāji.</w:t>
      </w:r>
    </w:p>
    <w:p w14:paraId="2E4C8F52" w14:textId="77777777" w:rsidR="00B05AAB" w:rsidRPr="00A81A48" w:rsidRDefault="00B05AAB" w:rsidP="00A81A48">
      <w:pPr>
        <w:pStyle w:val="Default"/>
        <w:jc w:val="both"/>
        <w:rPr>
          <w:sz w:val="22"/>
          <w:szCs w:val="22"/>
          <w:lang w:val="lv-LV"/>
        </w:rPr>
      </w:pPr>
    </w:p>
    <w:p w14:paraId="4A230971" w14:textId="7D28D3DC" w:rsidR="00B05AAB" w:rsidRPr="00A81A48" w:rsidRDefault="00B05AAB" w:rsidP="00A81A48">
      <w:pPr>
        <w:pStyle w:val="Default"/>
        <w:jc w:val="both"/>
        <w:rPr>
          <w:sz w:val="22"/>
          <w:szCs w:val="22"/>
          <w:lang w:val="lv-LV"/>
        </w:rPr>
      </w:pPr>
      <w:r w:rsidRPr="00A81A48">
        <w:rPr>
          <w:sz w:val="22"/>
          <w:szCs w:val="22"/>
          <w:lang w:val="lv-LV"/>
        </w:rPr>
        <w:t>Lietojot tamsulosīna hidrohlorīdu vienlaicīgi ar spēcīgiem vai vidēji spēcīgiem CYP3A4 inhibitoriem, jāievēro piesardzība (skatīt 4.5. apakšpunktu).</w:t>
      </w:r>
    </w:p>
    <w:p w14:paraId="3D2E06EC" w14:textId="77777777" w:rsidR="00022DB7" w:rsidRPr="00A81A48" w:rsidRDefault="00022DB7" w:rsidP="00A81A48">
      <w:pPr>
        <w:pStyle w:val="Default"/>
        <w:jc w:val="both"/>
        <w:rPr>
          <w:sz w:val="22"/>
          <w:szCs w:val="22"/>
          <w:lang w:val="lv-LV"/>
        </w:rPr>
      </w:pPr>
    </w:p>
    <w:p w14:paraId="29CC6187" w14:textId="77777777" w:rsidR="00C40C4F" w:rsidRPr="00A81A48" w:rsidRDefault="00C40C4F" w:rsidP="00A81A48">
      <w:pPr>
        <w:autoSpaceDE w:val="0"/>
        <w:autoSpaceDN w:val="0"/>
        <w:adjustRightInd w:val="0"/>
        <w:spacing w:after="0" w:line="240" w:lineRule="auto"/>
        <w:jc w:val="both"/>
        <w:rPr>
          <w:rFonts w:ascii="Times New Roman" w:hAnsi="Times New Roman"/>
          <w:color w:val="000000"/>
          <w:u w:val="single"/>
          <w:lang w:val="lv-LV" w:bidi="lo-LA"/>
        </w:rPr>
      </w:pPr>
      <w:r w:rsidRPr="00A81A48">
        <w:rPr>
          <w:rFonts w:ascii="Times New Roman" w:hAnsi="Times New Roman"/>
          <w:color w:val="000000"/>
          <w:u w:val="single"/>
          <w:lang w:val="lv-LV" w:bidi="lo-LA"/>
        </w:rPr>
        <w:t>Palīgvielas</w:t>
      </w:r>
    </w:p>
    <w:p w14:paraId="20C6510F" w14:textId="77777777" w:rsidR="00C40C4F" w:rsidRPr="00A81A48" w:rsidRDefault="00C40C4F" w:rsidP="00A81A48">
      <w:pPr>
        <w:autoSpaceDE w:val="0"/>
        <w:autoSpaceDN w:val="0"/>
        <w:adjustRightInd w:val="0"/>
        <w:spacing w:after="0" w:line="240" w:lineRule="auto"/>
        <w:jc w:val="both"/>
        <w:rPr>
          <w:rStyle w:val="Strong"/>
          <w:rFonts w:ascii="Times New Roman" w:hAnsi="Times New Roman"/>
          <w:b w:val="0"/>
          <w:color w:val="000000"/>
          <w:lang w:val="lv-LV"/>
        </w:rPr>
      </w:pPr>
      <w:r w:rsidRPr="00A81A48">
        <w:rPr>
          <w:rFonts w:ascii="Times New Roman" w:hAnsi="Times New Roman"/>
          <w:color w:val="000000"/>
          <w:lang w:val="lv-LV" w:bidi="lo-LA"/>
        </w:rPr>
        <w:t xml:space="preserve">Zāles satur mazāk par 1 mmol nātrija (23 mg) katrā </w:t>
      </w:r>
      <w:r w:rsidR="005D6EF1" w:rsidRPr="00A81A48">
        <w:rPr>
          <w:rFonts w:ascii="Times New Roman" w:hAnsi="Times New Roman"/>
          <w:color w:val="000000"/>
          <w:lang w:val="lv-LV" w:bidi="lo-LA"/>
        </w:rPr>
        <w:t>kapsulā</w:t>
      </w:r>
      <w:r w:rsidRPr="00A81A48">
        <w:rPr>
          <w:rFonts w:ascii="Times New Roman" w:hAnsi="Times New Roman"/>
          <w:color w:val="000000"/>
          <w:lang w:val="lv-LV" w:bidi="lo-LA"/>
        </w:rPr>
        <w:t>, - būtībā tās ir “nātriju nesaturošas”.</w:t>
      </w:r>
    </w:p>
    <w:p w14:paraId="73207E31" w14:textId="77777777" w:rsidR="00C40C4F" w:rsidRPr="00747D66" w:rsidRDefault="00C40C4F" w:rsidP="00A81A48">
      <w:pPr>
        <w:pStyle w:val="Default"/>
        <w:jc w:val="both"/>
        <w:rPr>
          <w:sz w:val="22"/>
          <w:szCs w:val="22"/>
          <w:lang w:val="lv-LV"/>
        </w:rPr>
      </w:pPr>
    </w:p>
    <w:p w14:paraId="40962486" w14:textId="77777777" w:rsidR="00022DB7" w:rsidRPr="00747D66" w:rsidRDefault="000F6E6D" w:rsidP="00A81A48">
      <w:pPr>
        <w:pStyle w:val="Default"/>
        <w:jc w:val="both"/>
        <w:rPr>
          <w:sz w:val="22"/>
          <w:szCs w:val="22"/>
          <w:lang w:val="lv-LV"/>
        </w:rPr>
      </w:pPr>
      <w:r w:rsidRPr="00747D66">
        <w:rPr>
          <w:b/>
          <w:bCs/>
          <w:sz w:val="22"/>
          <w:szCs w:val="22"/>
          <w:lang w:val="lv-LV"/>
        </w:rPr>
        <w:t>4.5 Mijiedarbība ar citām zālēm un citi mijiedarbības veidi</w:t>
      </w:r>
    </w:p>
    <w:p w14:paraId="5B03F2EF" w14:textId="77777777" w:rsidR="004353AE" w:rsidRPr="00031E1B" w:rsidRDefault="004353AE" w:rsidP="00A81A48">
      <w:pPr>
        <w:pStyle w:val="Default"/>
        <w:jc w:val="both"/>
        <w:rPr>
          <w:sz w:val="22"/>
          <w:szCs w:val="22"/>
          <w:lang w:val="lv-LV"/>
        </w:rPr>
      </w:pPr>
    </w:p>
    <w:p w14:paraId="418B94E3" w14:textId="77777777" w:rsidR="00022DB7" w:rsidRPr="00A81A48" w:rsidRDefault="000F6E6D" w:rsidP="00A81A48">
      <w:pPr>
        <w:pStyle w:val="Default"/>
        <w:jc w:val="both"/>
        <w:rPr>
          <w:sz w:val="22"/>
          <w:szCs w:val="22"/>
          <w:lang w:val="lv-LV"/>
        </w:rPr>
      </w:pPr>
      <w:r w:rsidRPr="00A81A48">
        <w:rPr>
          <w:sz w:val="22"/>
          <w:szCs w:val="22"/>
          <w:lang w:val="lv-LV"/>
        </w:rPr>
        <w:t>Mijiedarbības pētīj</w:t>
      </w:r>
      <w:r w:rsidR="00022DB7" w:rsidRPr="00A81A48">
        <w:rPr>
          <w:sz w:val="22"/>
          <w:szCs w:val="22"/>
          <w:lang w:val="lv-LV"/>
        </w:rPr>
        <w:t>umi veikti tikai pieaugušajiem.</w:t>
      </w:r>
    </w:p>
    <w:p w14:paraId="22DBAF0B" w14:textId="77777777" w:rsidR="00022DB7" w:rsidRPr="00A81A48" w:rsidRDefault="00022DB7" w:rsidP="00A81A48">
      <w:pPr>
        <w:pStyle w:val="Default"/>
        <w:jc w:val="both"/>
        <w:rPr>
          <w:sz w:val="22"/>
          <w:szCs w:val="22"/>
          <w:lang w:val="lv-LV"/>
        </w:rPr>
      </w:pPr>
    </w:p>
    <w:p w14:paraId="60D70605" w14:textId="77777777" w:rsidR="0081777B" w:rsidRPr="00A81A48" w:rsidRDefault="000F6E6D" w:rsidP="00A81A48">
      <w:pPr>
        <w:pStyle w:val="Default"/>
        <w:jc w:val="both"/>
        <w:rPr>
          <w:sz w:val="22"/>
          <w:szCs w:val="22"/>
          <w:lang w:val="lv-LV"/>
        </w:rPr>
      </w:pPr>
      <w:r w:rsidRPr="00A81A48">
        <w:rPr>
          <w:sz w:val="22"/>
          <w:szCs w:val="22"/>
          <w:lang w:val="lv-LV"/>
        </w:rPr>
        <w:t>Nav novērota mijiedarbība, lietojot tamsulosīn</w:t>
      </w:r>
      <w:r w:rsidR="006A6557" w:rsidRPr="00A81A48">
        <w:rPr>
          <w:sz w:val="22"/>
          <w:szCs w:val="22"/>
          <w:lang w:val="lv-LV"/>
        </w:rPr>
        <w:t>a hidrohlorīd</w:t>
      </w:r>
      <w:r w:rsidRPr="00A81A48">
        <w:rPr>
          <w:sz w:val="22"/>
          <w:szCs w:val="22"/>
          <w:lang w:val="lv-LV"/>
        </w:rPr>
        <w:t>u vienlaicīgi ar atenololu, enalaprilu vai teofilīnu. Vienlaicīga cimetidīna lietošana palielina</w:t>
      </w:r>
      <w:r w:rsidR="006A6557" w:rsidRPr="00A81A48">
        <w:rPr>
          <w:sz w:val="22"/>
          <w:szCs w:val="22"/>
          <w:lang w:val="lv-LV"/>
        </w:rPr>
        <w:t xml:space="preserve"> tamsulosīna koncentrāciju plazmā</w:t>
      </w:r>
      <w:r w:rsidRPr="00A81A48">
        <w:rPr>
          <w:sz w:val="22"/>
          <w:szCs w:val="22"/>
          <w:lang w:val="lv-LV"/>
        </w:rPr>
        <w:t xml:space="preserve">, bet vienlaicīga furosemīda lietošana samazina </w:t>
      </w:r>
      <w:r w:rsidR="006A6557" w:rsidRPr="00A81A48">
        <w:rPr>
          <w:sz w:val="22"/>
          <w:szCs w:val="22"/>
          <w:lang w:val="lv-LV"/>
        </w:rPr>
        <w:t>to</w:t>
      </w:r>
      <w:r w:rsidRPr="00A81A48">
        <w:rPr>
          <w:sz w:val="22"/>
          <w:szCs w:val="22"/>
          <w:lang w:val="lv-LV"/>
        </w:rPr>
        <w:t>, tomēr, tā kā koncentrācija paliek normas robež</w:t>
      </w:r>
      <w:r w:rsidR="0081777B" w:rsidRPr="00A81A48">
        <w:rPr>
          <w:sz w:val="22"/>
          <w:szCs w:val="22"/>
          <w:lang w:val="lv-LV"/>
        </w:rPr>
        <w:t xml:space="preserve">ās, deva nav </w:t>
      </w:r>
      <w:r w:rsidR="006A6557" w:rsidRPr="00A81A48">
        <w:rPr>
          <w:sz w:val="22"/>
          <w:szCs w:val="22"/>
          <w:lang w:val="lv-LV"/>
        </w:rPr>
        <w:t>jāpielāgo</w:t>
      </w:r>
      <w:r w:rsidR="0081777B" w:rsidRPr="00A81A48">
        <w:rPr>
          <w:sz w:val="22"/>
          <w:szCs w:val="22"/>
          <w:lang w:val="lv-LV"/>
        </w:rPr>
        <w:t>.</w:t>
      </w:r>
    </w:p>
    <w:p w14:paraId="340EE388" w14:textId="77777777" w:rsidR="0081777B" w:rsidRPr="00A81A48" w:rsidRDefault="0081777B" w:rsidP="00A81A48">
      <w:pPr>
        <w:pStyle w:val="Default"/>
        <w:jc w:val="both"/>
        <w:rPr>
          <w:sz w:val="22"/>
          <w:szCs w:val="22"/>
          <w:lang w:val="lv-LV"/>
        </w:rPr>
      </w:pPr>
    </w:p>
    <w:p w14:paraId="3A3B9998" w14:textId="77777777" w:rsidR="0081777B" w:rsidRPr="00A81A48" w:rsidRDefault="000F6E6D" w:rsidP="00A81A48">
      <w:pPr>
        <w:pStyle w:val="Default"/>
        <w:jc w:val="both"/>
        <w:rPr>
          <w:sz w:val="22"/>
          <w:szCs w:val="22"/>
          <w:lang w:val="lv-LV"/>
        </w:rPr>
      </w:pPr>
      <w:r w:rsidRPr="00A81A48">
        <w:rPr>
          <w:sz w:val="22"/>
          <w:szCs w:val="22"/>
          <w:lang w:val="lv-LV"/>
        </w:rPr>
        <w:t xml:space="preserve">Veicot pētījumus </w:t>
      </w:r>
      <w:r w:rsidRPr="00A81A48">
        <w:rPr>
          <w:i/>
          <w:iCs/>
          <w:sz w:val="22"/>
          <w:szCs w:val="22"/>
          <w:lang w:val="lv-LV"/>
        </w:rPr>
        <w:t>in vitro</w:t>
      </w:r>
      <w:r w:rsidRPr="00A81A48">
        <w:rPr>
          <w:sz w:val="22"/>
          <w:szCs w:val="22"/>
          <w:lang w:val="lv-LV"/>
        </w:rPr>
        <w:t xml:space="preserve">, ne diazepāms, ne arī propranolols, trihlormetiazīds, hlormadinons, amitriptilīns, diklofenaks, glibenklamīds, simvastatīns un varfarīns neietekmēja tamsulosīna brīvo frakciju plazmā. Tamsulosīns neietekmēja arī diazepāma, propranolola, trihlormetiazīda </w:t>
      </w:r>
      <w:r w:rsidR="0081777B" w:rsidRPr="00A81A48">
        <w:rPr>
          <w:sz w:val="22"/>
          <w:szCs w:val="22"/>
          <w:lang w:val="lv-LV"/>
        </w:rPr>
        <w:t>un hlormadinona brīvo frakciju.</w:t>
      </w:r>
    </w:p>
    <w:p w14:paraId="1B80371C" w14:textId="77777777" w:rsidR="0081777B" w:rsidRPr="00A81A48" w:rsidRDefault="0081777B" w:rsidP="00A81A48">
      <w:pPr>
        <w:pStyle w:val="Default"/>
        <w:jc w:val="both"/>
        <w:rPr>
          <w:sz w:val="22"/>
          <w:szCs w:val="22"/>
          <w:lang w:val="lv-LV"/>
        </w:rPr>
      </w:pPr>
    </w:p>
    <w:p w14:paraId="20CEED50" w14:textId="77777777" w:rsidR="0081777B" w:rsidRPr="00A81A48" w:rsidRDefault="006A6557" w:rsidP="00A81A48">
      <w:pPr>
        <w:pStyle w:val="Default"/>
        <w:jc w:val="both"/>
        <w:rPr>
          <w:sz w:val="22"/>
          <w:szCs w:val="22"/>
          <w:lang w:val="lv-LV"/>
        </w:rPr>
      </w:pPr>
      <w:r w:rsidRPr="00A81A48">
        <w:rPr>
          <w:sz w:val="22"/>
          <w:szCs w:val="22"/>
          <w:lang w:val="lv-LV"/>
        </w:rPr>
        <w:t>D</w:t>
      </w:r>
      <w:r w:rsidR="000F6E6D" w:rsidRPr="00A81A48">
        <w:rPr>
          <w:sz w:val="22"/>
          <w:szCs w:val="22"/>
          <w:lang w:val="lv-LV"/>
        </w:rPr>
        <w:t>iklofenaks un varfarīns</w:t>
      </w:r>
      <w:r w:rsidRPr="00A81A48">
        <w:rPr>
          <w:sz w:val="22"/>
          <w:szCs w:val="22"/>
          <w:lang w:val="lv-LV"/>
        </w:rPr>
        <w:t xml:space="preserve"> tomēr</w:t>
      </w:r>
      <w:r w:rsidR="000F6E6D" w:rsidRPr="00A81A48">
        <w:rPr>
          <w:sz w:val="22"/>
          <w:szCs w:val="22"/>
          <w:lang w:val="lv-LV"/>
        </w:rPr>
        <w:t xml:space="preserve"> var paā</w:t>
      </w:r>
      <w:r w:rsidR="0081777B" w:rsidRPr="00A81A48">
        <w:rPr>
          <w:sz w:val="22"/>
          <w:szCs w:val="22"/>
          <w:lang w:val="lv-LV"/>
        </w:rPr>
        <w:t>trināt tamsulosīna elimināciju.</w:t>
      </w:r>
    </w:p>
    <w:p w14:paraId="3D72DC1F" w14:textId="77777777" w:rsidR="0081777B" w:rsidRPr="00A81A48" w:rsidRDefault="0081777B" w:rsidP="00A81A48">
      <w:pPr>
        <w:pStyle w:val="Default"/>
        <w:jc w:val="both"/>
        <w:rPr>
          <w:sz w:val="22"/>
          <w:szCs w:val="22"/>
          <w:lang w:val="lv-LV"/>
        </w:rPr>
      </w:pPr>
    </w:p>
    <w:p w14:paraId="7A7364BB" w14:textId="77777777" w:rsidR="00343CBD" w:rsidRPr="00A81A48" w:rsidRDefault="00343CBD" w:rsidP="00A81A48">
      <w:pPr>
        <w:spacing w:after="0" w:line="240" w:lineRule="auto"/>
        <w:jc w:val="both"/>
        <w:rPr>
          <w:rFonts w:ascii="Times New Roman" w:hAnsi="Times New Roman"/>
          <w:color w:val="000000"/>
          <w:lang w:val="lv-LV"/>
        </w:rPr>
      </w:pPr>
      <w:r w:rsidRPr="00A81A48">
        <w:rPr>
          <w:rFonts w:ascii="Times New Roman" w:hAnsi="Times New Roman"/>
          <w:color w:val="000000"/>
          <w:lang w:val="lv-LV"/>
        </w:rPr>
        <w:t xml:space="preserve">Tamsulosīna hidrohlorīda lietošana </w:t>
      </w:r>
      <w:r w:rsidR="00C40C4F" w:rsidRPr="00747D66">
        <w:rPr>
          <w:rFonts w:ascii="Times New Roman" w:hAnsi="Times New Roman"/>
          <w:color w:val="000000"/>
          <w:lang w:val="lv-LV"/>
        </w:rPr>
        <w:t>vienlaicīgi</w:t>
      </w:r>
      <w:r w:rsidRPr="00A81A48">
        <w:rPr>
          <w:rFonts w:ascii="Times New Roman" w:hAnsi="Times New Roman"/>
          <w:color w:val="000000"/>
          <w:lang w:val="lv-LV"/>
        </w:rPr>
        <w:t xml:space="preserve"> ar spēcīgiem CYP3A4 inhibitoriem var pastiprināt tamsulosīna hidrohlorīda iedarbību. Lietošana </w:t>
      </w:r>
      <w:r w:rsidR="00C40C4F" w:rsidRPr="00747D66">
        <w:rPr>
          <w:rFonts w:ascii="Times New Roman" w:hAnsi="Times New Roman"/>
          <w:color w:val="000000"/>
          <w:lang w:val="lv-LV"/>
        </w:rPr>
        <w:t>vienlaicīgi</w:t>
      </w:r>
      <w:r w:rsidRPr="00A81A48">
        <w:rPr>
          <w:rFonts w:ascii="Times New Roman" w:hAnsi="Times New Roman"/>
          <w:color w:val="000000"/>
          <w:lang w:val="lv-LV"/>
        </w:rPr>
        <w:t xml:space="preserve"> ar ketokonazolu (zināmu spēcīgu CYP3A4 inhibitoru) </w:t>
      </w:r>
      <w:r w:rsidR="00C40C4F" w:rsidRPr="00747D66">
        <w:rPr>
          <w:rFonts w:ascii="Times New Roman" w:hAnsi="Times New Roman"/>
          <w:color w:val="000000"/>
          <w:lang w:val="lv-LV"/>
        </w:rPr>
        <w:t>palielināja</w:t>
      </w:r>
      <w:r w:rsidRPr="00A81A48">
        <w:rPr>
          <w:rFonts w:ascii="Times New Roman" w:hAnsi="Times New Roman"/>
          <w:color w:val="000000"/>
          <w:lang w:val="lv-LV"/>
        </w:rPr>
        <w:t xml:space="preserve"> tamsulosīna hidrohlorīda AUC un C</w:t>
      </w:r>
      <w:r w:rsidRPr="00A81A48">
        <w:rPr>
          <w:rFonts w:ascii="Times New Roman" w:hAnsi="Times New Roman"/>
          <w:color w:val="000000"/>
          <w:vertAlign w:val="subscript"/>
          <w:lang w:val="lv-LV"/>
        </w:rPr>
        <w:t>max</w:t>
      </w:r>
      <w:r w:rsidRPr="00A81A48">
        <w:rPr>
          <w:rFonts w:ascii="Times New Roman" w:hAnsi="Times New Roman"/>
          <w:color w:val="000000"/>
          <w:lang w:val="lv-LV"/>
        </w:rPr>
        <w:t xml:space="preserve"> attiecīgi 2,8 un 2,2 reizes.</w:t>
      </w:r>
    </w:p>
    <w:p w14:paraId="37EC411C" w14:textId="77777777" w:rsidR="00343CBD" w:rsidRPr="00A81A48" w:rsidRDefault="00343CBD" w:rsidP="00A81A48">
      <w:pPr>
        <w:spacing w:after="0" w:line="240" w:lineRule="auto"/>
        <w:jc w:val="both"/>
        <w:rPr>
          <w:rFonts w:ascii="Times New Roman" w:hAnsi="Times New Roman"/>
          <w:color w:val="000000"/>
          <w:lang w:val="lv-LV"/>
        </w:rPr>
      </w:pPr>
      <w:r w:rsidRPr="00A81A48">
        <w:rPr>
          <w:rFonts w:ascii="Times New Roman" w:hAnsi="Times New Roman"/>
          <w:color w:val="000000"/>
          <w:lang w:val="lv-LV"/>
        </w:rPr>
        <w:t>Pacientiem ar vāja metabolizētāja CYP2D6 fenotipu tamsulosīna hidrohlorīdu nevajadzētu lietot kombinācijā ar spēcīgiem CYP3A4 inhibitoriem.</w:t>
      </w:r>
    </w:p>
    <w:p w14:paraId="7D8AADA7" w14:textId="77777777" w:rsidR="00343CBD" w:rsidRPr="00A81A48" w:rsidRDefault="00343CBD" w:rsidP="00A81A48">
      <w:pPr>
        <w:spacing w:after="0" w:line="240" w:lineRule="auto"/>
        <w:jc w:val="both"/>
        <w:rPr>
          <w:rFonts w:ascii="Times New Roman" w:hAnsi="Times New Roman"/>
          <w:color w:val="000000"/>
          <w:lang w:val="lv-LV"/>
        </w:rPr>
      </w:pPr>
      <w:r w:rsidRPr="00A81A48">
        <w:rPr>
          <w:rFonts w:ascii="Times New Roman" w:hAnsi="Times New Roman"/>
          <w:color w:val="000000"/>
          <w:lang w:val="lv-LV"/>
        </w:rPr>
        <w:t xml:space="preserve">Tamsulosīna hidrohlorīds </w:t>
      </w:r>
      <w:r w:rsidR="00C40C4F" w:rsidRPr="00747D66">
        <w:rPr>
          <w:rFonts w:ascii="Times New Roman" w:hAnsi="Times New Roman"/>
          <w:color w:val="000000"/>
          <w:lang w:val="lv-LV"/>
        </w:rPr>
        <w:t>piesardzīgi jālieto</w:t>
      </w:r>
      <w:r w:rsidRPr="00A81A48">
        <w:rPr>
          <w:rFonts w:ascii="Times New Roman" w:hAnsi="Times New Roman"/>
          <w:color w:val="000000"/>
          <w:lang w:val="lv-LV"/>
        </w:rPr>
        <w:t xml:space="preserve"> kombinācijā ar spēcīgiem un vidēji spēcīgiem CYP3A4 inhibitoriem</w:t>
      </w:r>
    </w:p>
    <w:p w14:paraId="4C34E1BE" w14:textId="77777777" w:rsidR="00343CBD" w:rsidRPr="00A81A48" w:rsidRDefault="00343CBD" w:rsidP="00A81A48">
      <w:pPr>
        <w:spacing w:after="0" w:line="240" w:lineRule="auto"/>
        <w:jc w:val="both"/>
        <w:rPr>
          <w:rFonts w:ascii="Times New Roman" w:hAnsi="Times New Roman"/>
          <w:color w:val="000000"/>
          <w:lang w:val="lv-LV"/>
        </w:rPr>
      </w:pPr>
      <w:r w:rsidRPr="00A81A48">
        <w:rPr>
          <w:rFonts w:ascii="Times New Roman" w:hAnsi="Times New Roman"/>
          <w:color w:val="000000"/>
          <w:lang w:val="lv-LV"/>
        </w:rPr>
        <w:t xml:space="preserve">Tamsulosīna hidrohlorīda lietošana </w:t>
      </w:r>
      <w:r w:rsidR="00C40C4F" w:rsidRPr="00A81A48">
        <w:rPr>
          <w:rFonts w:ascii="Times New Roman" w:hAnsi="Times New Roman"/>
          <w:color w:val="000000"/>
          <w:lang w:val="lv-LV"/>
        </w:rPr>
        <w:t>vienlaicīgi</w:t>
      </w:r>
      <w:r w:rsidRPr="00A81A48">
        <w:rPr>
          <w:rFonts w:ascii="Times New Roman" w:hAnsi="Times New Roman"/>
          <w:color w:val="000000"/>
          <w:lang w:val="lv-LV"/>
        </w:rPr>
        <w:t xml:space="preserve"> ar paroksetīnu – spēcīgu CYP2D6 inhibitoru – </w:t>
      </w:r>
      <w:r w:rsidR="00C40C4F" w:rsidRPr="00A81A48">
        <w:rPr>
          <w:rFonts w:ascii="Times New Roman" w:hAnsi="Times New Roman"/>
          <w:color w:val="000000"/>
          <w:lang w:val="lv-LV"/>
        </w:rPr>
        <w:t>palielināja tamsulosīna C</w:t>
      </w:r>
      <w:r w:rsidR="00C40C4F" w:rsidRPr="00A81A48">
        <w:rPr>
          <w:rFonts w:ascii="Times New Roman" w:hAnsi="Times New Roman"/>
          <w:color w:val="000000"/>
          <w:vertAlign w:val="subscript"/>
          <w:lang w:val="lv-LV"/>
        </w:rPr>
        <w:t>max</w:t>
      </w:r>
      <w:r w:rsidR="00C40C4F" w:rsidRPr="00A81A48">
        <w:rPr>
          <w:rFonts w:ascii="Times New Roman" w:hAnsi="Times New Roman"/>
          <w:color w:val="000000"/>
          <w:lang w:val="lv-LV"/>
        </w:rPr>
        <w:t xml:space="preserve"> un AUC</w:t>
      </w:r>
      <w:r w:rsidRPr="00A81A48">
        <w:rPr>
          <w:rFonts w:ascii="Times New Roman" w:hAnsi="Times New Roman"/>
          <w:color w:val="000000"/>
          <w:lang w:val="lv-LV"/>
        </w:rPr>
        <w:t xml:space="preserve"> attiecīgi 1,3 un 1,6 reizes, taču šīs pārmaiņas neuzskata par klīniski nozīmīgām.</w:t>
      </w:r>
    </w:p>
    <w:p w14:paraId="23C51C74" w14:textId="77777777" w:rsidR="00343CBD" w:rsidRPr="00747D66" w:rsidRDefault="00343CBD" w:rsidP="00A81A48">
      <w:pPr>
        <w:pStyle w:val="Default"/>
        <w:jc w:val="both"/>
        <w:rPr>
          <w:sz w:val="22"/>
          <w:szCs w:val="22"/>
          <w:lang w:val="lv-LV"/>
        </w:rPr>
      </w:pPr>
    </w:p>
    <w:p w14:paraId="5BE14D3B" w14:textId="77777777" w:rsidR="006A6557" w:rsidRPr="00A81A48" w:rsidRDefault="000F6E6D" w:rsidP="00A81A48">
      <w:pPr>
        <w:pStyle w:val="Default"/>
        <w:jc w:val="both"/>
        <w:rPr>
          <w:sz w:val="22"/>
          <w:szCs w:val="22"/>
          <w:lang w:val="lv-LV"/>
        </w:rPr>
      </w:pPr>
      <w:r w:rsidRPr="00031E1B">
        <w:rPr>
          <w:sz w:val="22"/>
          <w:szCs w:val="22"/>
          <w:lang w:val="lv-LV"/>
        </w:rPr>
        <w:t>Vienlaicīga lietošana kopā ar citu α1-adrenoreceptoru antagonist</w:t>
      </w:r>
      <w:r w:rsidR="00022DB7" w:rsidRPr="00031E1B">
        <w:rPr>
          <w:sz w:val="22"/>
          <w:szCs w:val="22"/>
          <w:lang w:val="lv-LV"/>
        </w:rPr>
        <w:t xml:space="preserve">u var </w:t>
      </w:r>
      <w:r w:rsidR="006A6557" w:rsidRPr="00A81A48">
        <w:rPr>
          <w:sz w:val="22"/>
          <w:szCs w:val="22"/>
          <w:lang w:val="lv-LV"/>
        </w:rPr>
        <w:t>izraisīt hipotensīvu iedarbību</w:t>
      </w:r>
      <w:r w:rsidR="00022DB7" w:rsidRPr="00A81A48">
        <w:rPr>
          <w:sz w:val="22"/>
          <w:szCs w:val="22"/>
          <w:lang w:val="lv-LV"/>
        </w:rPr>
        <w:t>.</w:t>
      </w:r>
    </w:p>
    <w:p w14:paraId="6D5CA806" w14:textId="77777777" w:rsidR="00022DB7" w:rsidRPr="00A81A48" w:rsidRDefault="00022DB7" w:rsidP="00A81A48">
      <w:pPr>
        <w:pStyle w:val="Default"/>
        <w:jc w:val="both"/>
        <w:rPr>
          <w:sz w:val="22"/>
          <w:szCs w:val="22"/>
          <w:lang w:val="lv-LV"/>
        </w:rPr>
      </w:pPr>
    </w:p>
    <w:p w14:paraId="16A6D4FC" w14:textId="77777777" w:rsidR="0081777B" w:rsidRPr="00A81A48" w:rsidRDefault="000F6E6D" w:rsidP="00A81A48">
      <w:pPr>
        <w:pStyle w:val="Default"/>
        <w:jc w:val="both"/>
        <w:rPr>
          <w:sz w:val="22"/>
          <w:szCs w:val="22"/>
          <w:lang w:val="lv-LV"/>
        </w:rPr>
      </w:pPr>
      <w:r w:rsidRPr="00A81A48">
        <w:rPr>
          <w:b/>
          <w:bCs/>
          <w:sz w:val="22"/>
          <w:szCs w:val="22"/>
          <w:lang w:val="lv-LV"/>
        </w:rPr>
        <w:t>4.6 Fertilitāte, grūtniecība un zīdīšanas periods</w:t>
      </w:r>
    </w:p>
    <w:p w14:paraId="1945831E" w14:textId="77777777" w:rsidR="004353AE" w:rsidRPr="00A81A48" w:rsidRDefault="004353AE" w:rsidP="00A81A48">
      <w:pPr>
        <w:pStyle w:val="Default"/>
        <w:jc w:val="both"/>
        <w:rPr>
          <w:sz w:val="22"/>
          <w:szCs w:val="22"/>
          <w:lang w:val="lv-LV"/>
        </w:rPr>
      </w:pPr>
    </w:p>
    <w:p w14:paraId="1AC3D8E3" w14:textId="77777777" w:rsidR="0081777B" w:rsidRPr="00A81A48" w:rsidRDefault="004C309D" w:rsidP="00A81A48">
      <w:pPr>
        <w:pStyle w:val="Default"/>
        <w:jc w:val="both"/>
        <w:rPr>
          <w:sz w:val="22"/>
          <w:szCs w:val="22"/>
          <w:lang w:val="lv-LV"/>
        </w:rPr>
      </w:pPr>
      <w:r w:rsidRPr="00A81A48">
        <w:rPr>
          <w:sz w:val="22"/>
          <w:szCs w:val="22"/>
          <w:lang w:val="lv-LV"/>
        </w:rPr>
        <w:lastRenderedPageBreak/>
        <w:t>Tamsulosin STADA</w:t>
      </w:r>
      <w:r w:rsidR="006A6557" w:rsidRPr="00A81A48">
        <w:rPr>
          <w:sz w:val="22"/>
          <w:szCs w:val="22"/>
          <w:lang w:val="lv-LV"/>
        </w:rPr>
        <w:t xml:space="preserve"> nav </w:t>
      </w:r>
      <w:r w:rsidR="0081777B" w:rsidRPr="00A81A48">
        <w:rPr>
          <w:sz w:val="22"/>
          <w:szCs w:val="22"/>
          <w:lang w:val="lv-LV"/>
        </w:rPr>
        <w:t xml:space="preserve">indicēts </w:t>
      </w:r>
      <w:r w:rsidR="006A6557" w:rsidRPr="00A81A48">
        <w:rPr>
          <w:sz w:val="22"/>
          <w:szCs w:val="22"/>
          <w:lang w:val="lv-LV"/>
        </w:rPr>
        <w:t>lietošanai sievietēm</w:t>
      </w:r>
      <w:r w:rsidR="0081777B" w:rsidRPr="00A81A48">
        <w:rPr>
          <w:sz w:val="22"/>
          <w:szCs w:val="22"/>
          <w:lang w:val="lv-LV"/>
        </w:rPr>
        <w:t>.</w:t>
      </w:r>
    </w:p>
    <w:p w14:paraId="66643EC6" w14:textId="77777777" w:rsidR="0081777B" w:rsidRPr="00A81A48" w:rsidRDefault="0081777B" w:rsidP="00A81A48">
      <w:pPr>
        <w:pStyle w:val="Default"/>
        <w:jc w:val="both"/>
        <w:rPr>
          <w:sz w:val="22"/>
          <w:szCs w:val="22"/>
          <w:lang w:val="lv-LV"/>
        </w:rPr>
      </w:pPr>
    </w:p>
    <w:p w14:paraId="2EC9289E" w14:textId="77777777" w:rsidR="006A6557" w:rsidRPr="00A81A48" w:rsidRDefault="006A6557" w:rsidP="00A81A48">
      <w:pPr>
        <w:spacing w:after="0" w:line="240" w:lineRule="auto"/>
        <w:jc w:val="both"/>
        <w:rPr>
          <w:rFonts w:ascii="Times New Roman" w:hAnsi="Times New Roman"/>
          <w:color w:val="000000"/>
          <w:lang w:val="lv-LV"/>
        </w:rPr>
      </w:pPr>
      <w:r w:rsidRPr="00A81A48">
        <w:rPr>
          <w:rFonts w:ascii="Times New Roman" w:hAnsi="Times New Roman"/>
          <w:color w:val="000000"/>
          <w:lang w:val="lv-LV"/>
        </w:rPr>
        <w:t>Īstermiņa un ilgtermiņa klīniskajos pētījumos ar tamsulosīnu tika novēroti ejakulācijas traucējumi. Pēcreģistrācijas pieredzē saņemti ziņojumi par ejakulācijas traucējumiem, retrogrādu ejakulāciju un nepietiekamu ejakulāciju.</w:t>
      </w:r>
    </w:p>
    <w:p w14:paraId="76280472" w14:textId="77777777" w:rsidR="006A6557" w:rsidRPr="00747D66" w:rsidRDefault="006A6557" w:rsidP="00A81A48">
      <w:pPr>
        <w:pStyle w:val="Default"/>
        <w:jc w:val="both"/>
        <w:rPr>
          <w:sz w:val="22"/>
          <w:szCs w:val="22"/>
          <w:lang w:val="lv-LV"/>
        </w:rPr>
      </w:pPr>
    </w:p>
    <w:p w14:paraId="783F7B74" w14:textId="77777777" w:rsidR="0081777B" w:rsidRPr="00031E1B" w:rsidRDefault="000F6E6D" w:rsidP="00A81A48">
      <w:pPr>
        <w:pStyle w:val="Default"/>
        <w:jc w:val="both"/>
        <w:rPr>
          <w:sz w:val="22"/>
          <w:szCs w:val="22"/>
          <w:lang w:val="lv-LV"/>
        </w:rPr>
      </w:pPr>
      <w:r w:rsidRPr="00031E1B">
        <w:rPr>
          <w:b/>
          <w:bCs/>
          <w:sz w:val="22"/>
          <w:szCs w:val="22"/>
          <w:lang w:val="lv-LV"/>
        </w:rPr>
        <w:t>4.7 Ietekme uz spēju vadīt transportlīdzekļus un apkalpot mehānismus</w:t>
      </w:r>
    </w:p>
    <w:p w14:paraId="366FFCAA" w14:textId="77777777" w:rsidR="00D87BA2" w:rsidRPr="00A81A48" w:rsidRDefault="00D87BA2" w:rsidP="00A81A48">
      <w:pPr>
        <w:pStyle w:val="Default"/>
        <w:jc w:val="both"/>
        <w:rPr>
          <w:sz w:val="22"/>
          <w:szCs w:val="22"/>
          <w:lang w:val="lv-LV"/>
        </w:rPr>
      </w:pPr>
    </w:p>
    <w:p w14:paraId="013CD26A" w14:textId="77777777" w:rsidR="0081777B" w:rsidRPr="00A81A48" w:rsidRDefault="000F6E6D" w:rsidP="00A81A48">
      <w:pPr>
        <w:pStyle w:val="Default"/>
        <w:jc w:val="both"/>
        <w:rPr>
          <w:sz w:val="22"/>
          <w:szCs w:val="22"/>
          <w:lang w:val="lv-LV"/>
        </w:rPr>
      </w:pPr>
      <w:r w:rsidRPr="00A81A48">
        <w:rPr>
          <w:sz w:val="22"/>
          <w:szCs w:val="22"/>
          <w:lang w:val="lv-LV"/>
        </w:rPr>
        <w:t>Nav veikti pētījumi par ietekmi uz spēju vadīt transportlīdzekļus vai apkalpot mehānismus. Tomēr pacientiem jāņ</w:t>
      </w:r>
      <w:r w:rsidR="0081777B" w:rsidRPr="00A81A48">
        <w:rPr>
          <w:sz w:val="22"/>
          <w:szCs w:val="22"/>
          <w:lang w:val="lv-LV"/>
        </w:rPr>
        <w:t>em vērā, ka iespējams reibonis.</w:t>
      </w:r>
    </w:p>
    <w:p w14:paraId="1560D905" w14:textId="77777777" w:rsidR="0081777B" w:rsidRPr="00A81A48" w:rsidRDefault="0081777B" w:rsidP="00A81A48">
      <w:pPr>
        <w:pStyle w:val="Default"/>
        <w:jc w:val="both"/>
        <w:rPr>
          <w:sz w:val="22"/>
          <w:szCs w:val="22"/>
          <w:lang w:val="lv-LV"/>
        </w:rPr>
      </w:pPr>
    </w:p>
    <w:p w14:paraId="3F72443F" w14:textId="77777777" w:rsidR="000F6E6D" w:rsidRPr="00A81A48" w:rsidRDefault="000F6E6D" w:rsidP="00A81A48">
      <w:pPr>
        <w:pStyle w:val="Default"/>
        <w:jc w:val="both"/>
        <w:rPr>
          <w:sz w:val="22"/>
          <w:szCs w:val="22"/>
          <w:lang w:val="lv-LV"/>
        </w:rPr>
      </w:pPr>
      <w:r w:rsidRPr="00A81A48">
        <w:rPr>
          <w:b/>
          <w:bCs/>
          <w:sz w:val="22"/>
          <w:szCs w:val="22"/>
          <w:lang w:val="lv-LV"/>
        </w:rPr>
        <w:t>4.8 Nevēlamās blakusparādības</w:t>
      </w:r>
    </w:p>
    <w:p w14:paraId="1DB10968" w14:textId="77777777" w:rsidR="000F6E6D" w:rsidRPr="00A81A48" w:rsidRDefault="000F6E6D" w:rsidP="00A81A48">
      <w:pPr>
        <w:pStyle w:val="Default"/>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9"/>
        <w:gridCol w:w="1652"/>
        <w:gridCol w:w="1559"/>
        <w:gridCol w:w="1417"/>
        <w:gridCol w:w="1185"/>
        <w:gridCol w:w="1410"/>
      </w:tblGrid>
      <w:tr w:rsidR="006A6557" w:rsidRPr="00A81A48" w14:paraId="59BFDA34" w14:textId="77777777" w:rsidTr="00E923FD">
        <w:trPr>
          <w:trHeight w:val="285"/>
        </w:trPr>
        <w:tc>
          <w:tcPr>
            <w:tcW w:w="0" w:type="auto"/>
          </w:tcPr>
          <w:p w14:paraId="2BC294C7" w14:textId="77777777" w:rsidR="006A6557" w:rsidRPr="00747D66" w:rsidRDefault="006A6557" w:rsidP="00A81A48">
            <w:pPr>
              <w:pStyle w:val="Default"/>
              <w:jc w:val="both"/>
              <w:rPr>
                <w:sz w:val="22"/>
                <w:szCs w:val="22"/>
                <w:lang w:val="lv-LV"/>
              </w:rPr>
            </w:pPr>
          </w:p>
        </w:tc>
        <w:tc>
          <w:tcPr>
            <w:tcW w:w="0" w:type="auto"/>
          </w:tcPr>
          <w:p w14:paraId="62D26065" w14:textId="77777777" w:rsidR="006A6557" w:rsidRPr="00031E1B" w:rsidRDefault="006A6557" w:rsidP="00A81A48">
            <w:pPr>
              <w:pStyle w:val="Default"/>
              <w:jc w:val="both"/>
              <w:rPr>
                <w:sz w:val="22"/>
                <w:szCs w:val="22"/>
                <w:lang w:val="lv-LV"/>
              </w:rPr>
            </w:pPr>
            <w:r w:rsidRPr="00031E1B">
              <w:rPr>
                <w:sz w:val="22"/>
                <w:szCs w:val="22"/>
                <w:lang w:val="lv-LV"/>
              </w:rPr>
              <w:t>Bieži (≥1/100 līdz &lt;1/10)</w:t>
            </w:r>
          </w:p>
        </w:tc>
        <w:tc>
          <w:tcPr>
            <w:tcW w:w="0" w:type="auto"/>
          </w:tcPr>
          <w:p w14:paraId="3BC8F52F" w14:textId="77777777" w:rsidR="006A6557" w:rsidRPr="00A81A48" w:rsidRDefault="006A6557" w:rsidP="00A81A48">
            <w:pPr>
              <w:pStyle w:val="Default"/>
              <w:jc w:val="both"/>
              <w:rPr>
                <w:sz w:val="22"/>
                <w:szCs w:val="22"/>
                <w:lang w:val="lv-LV"/>
              </w:rPr>
            </w:pPr>
            <w:r w:rsidRPr="00A81A48">
              <w:rPr>
                <w:sz w:val="22"/>
                <w:szCs w:val="22"/>
                <w:lang w:val="lv-LV"/>
              </w:rPr>
              <w:t>Retāk (≥1/1 000 līdz &lt;1/100)</w:t>
            </w:r>
          </w:p>
        </w:tc>
        <w:tc>
          <w:tcPr>
            <w:tcW w:w="0" w:type="auto"/>
          </w:tcPr>
          <w:p w14:paraId="2772D488" w14:textId="77777777" w:rsidR="006A6557" w:rsidRPr="00A81A48" w:rsidRDefault="006A6557" w:rsidP="00A81A48">
            <w:pPr>
              <w:pStyle w:val="Default"/>
              <w:jc w:val="both"/>
              <w:rPr>
                <w:sz w:val="22"/>
                <w:szCs w:val="22"/>
                <w:lang w:val="lv-LV"/>
              </w:rPr>
            </w:pPr>
            <w:r w:rsidRPr="00A81A48">
              <w:rPr>
                <w:sz w:val="22"/>
                <w:szCs w:val="22"/>
                <w:lang w:val="lv-LV"/>
              </w:rPr>
              <w:t>Reti (≥1/10 000 līdz &lt;1/1 000)</w:t>
            </w:r>
          </w:p>
        </w:tc>
        <w:tc>
          <w:tcPr>
            <w:tcW w:w="0" w:type="auto"/>
          </w:tcPr>
          <w:p w14:paraId="7B5031AE" w14:textId="77777777" w:rsidR="006A6557" w:rsidRPr="00A81A48" w:rsidRDefault="006A6557" w:rsidP="00A81A48">
            <w:pPr>
              <w:pStyle w:val="Default"/>
              <w:jc w:val="both"/>
              <w:rPr>
                <w:sz w:val="22"/>
                <w:szCs w:val="22"/>
                <w:lang w:val="lv-LV"/>
              </w:rPr>
            </w:pPr>
            <w:r w:rsidRPr="00A81A48">
              <w:rPr>
                <w:sz w:val="22"/>
                <w:szCs w:val="22"/>
                <w:lang w:val="lv-LV"/>
              </w:rPr>
              <w:t>Ļoti reti (&lt;1/10 000)</w:t>
            </w:r>
          </w:p>
        </w:tc>
        <w:tc>
          <w:tcPr>
            <w:tcW w:w="0" w:type="auto"/>
          </w:tcPr>
          <w:p w14:paraId="4E8EDCF7" w14:textId="77777777" w:rsidR="006A6557" w:rsidRPr="00A81A48" w:rsidRDefault="006A6557" w:rsidP="00A81A48">
            <w:pPr>
              <w:pStyle w:val="Default"/>
              <w:jc w:val="both"/>
              <w:rPr>
                <w:sz w:val="22"/>
                <w:szCs w:val="22"/>
                <w:lang w:val="lv-LV"/>
              </w:rPr>
            </w:pPr>
            <w:r w:rsidRPr="00A81A48">
              <w:rPr>
                <w:sz w:val="22"/>
                <w:szCs w:val="22"/>
                <w:lang w:val="lv-LV"/>
              </w:rPr>
              <w:t>Nav zināmi (nevar noteikt pēc pieejamiem datiem)</w:t>
            </w:r>
          </w:p>
        </w:tc>
      </w:tr>
      <w:tr w:rsidR="006A6557" w:rsidRPr="00A81A48" w14:paraId="2877B950" w14:textId="77777777" w:rsidTr="00E923FD">
        <w:trPr>
          <w:trHeight w:val="562"/>
        </w:trPr>
        <w:tc>
          <w:tcPr>
            <w:tcW w:w="0" w:type="auto"/>
          </w:tcPr>
          <w:p w14:paraId="3022DB00" w14:textId="77777777" w:rsidR="006A6557" w:rsidRPr="00A81A48" w:rsidRDefault="006A6557" w:rsidP="00747D66">
            <w:pPr>
              <w:pStyle w:val="Default"/>
              <w:jc w:val="both"/>
              <w:rPr>
                <w:sz w:val="22"/>
                <w:szCs w:val="22"/>
                <w:lang w:val="lv-LV"/>
              </w:rPr>
            </w:pPr>
            <w:r w:rsidRPr="00A81A48">
              <w:rPr>
                <w:b/>
                <w:bCs/>
                <w:sz w:val="22"/>
                <w:szCs w:val="22"/>
                <w:lang w:val="lv-LV"/>
              </w:rPr>
              <w:t>Nervu sistēmas traucējumi</w:t>
            </w:r>
          </w:p>
        </w:tc>
        <w:tc>
          <w:tcPr>
            <w:tcW w:w="0" w:type="auto"/>
          </w:tcPr>
          <w:p w14:paraId="44386E3C" w14:textId="77777777" w:rsidR="006A6557" w:rsidRPr="00A81A48" w:rsidRDefault="006A6557" w:rsidP="00031E1B">
            <w:pPr>
              <w:pStyle w:val="Default"/>
              <w:jc w:val="both"/>
              <w:rPr>
                <w:sz w:val="22"/>
                <w:szCs w:val="22"/>
                <w:lang w:val="lv-LV"/>
              </w:rPr>
            </w:pPr>
            <w:r w:rsidRPr="00A81A48">
              <w:rPr>
                <w:sz w:val="22"/>
                <w:szCs w:val="22"/>
                <w:lang w:val="lv-LV"/>
              </w:rPr>
              <w:t>Reibonis (1,3 %)</w:t>
            </w:r>
          </w:p>
        </w:tc>
        <w:tc>
          <w:tcPr>
            <w:tcW w:w="0" w:type="auto"/>
          </w:tcPr>
          <w:p w14:paraId="43E9C877" w14:textId="77777777" w:rsidR="006A6557" w:rsidRPr="00A81A48" w:rsidRDefault="006A6557" w:rsidP="00A81A48">
            <w:pPr>
              <w:pStyle w:val="Default"/>
              <w:jc w:val="both"/>
              <w:rPr>
                <w:sz w:val="22"/>
                <w:szCs w:val="22"/>
                <w:lang w:val="lv-LV"/>
              </w:rPr>
            </w:pPr>
            <w:r w:rsidRPr="00A81A48">
              <w:rPr>
                <w:sz w:val="22"/>
                <w:szCs w:val="22"/>
                <w:lang w:val="lv-LV"/>
              </w:rPr>
              <w:t>Galvassāpes</w:t>
            </w:r>
          </w:p>
        </w:tc>
        <w:tc>
          <w:tcPr>
            <w:tcW w:w="0" w:type="auto"/>
          </w:tcPr>
          <w:p w14:paraId="7ABC60CF" w14:textId="77777777" w:rsidR="006A6557" w:rsidRPr="00A81A48" w:rsidRDefault="006A6557" w:rsidP="00A81A48">
            <w:pPr>
              <w:pStyle w:val="Default"/>
              <w:jc w:val="both"/>
              <w:rPr>
                <w:sz w:val="22"/>
                <w:szCs w:val="22"/>
                <w:lang w:val="lv-LV"/>
              </w:rPr>
            </w:pPr>
            <w:r w:rsidRPr="00A81A48">
              <w:rPr>
                <w:sz w:val="22"/>
                <w:szCs w:val="22"/>
                <w:lang w:val="lv-LV"/>
              </w:rPr>
              <w:t>Ģībonis</w:t>
            </w:r>
          </w:p>
        </w:tc>
        <w:tc>
          <w:tcPr>
            <w:tcW w:w="0" w:type="auto"/>
          </w:tcPr>
          <w:p w14:paraId="27DACE66" w14:textId="77777777" w:rsidR="006A6557" w:rsidRPr="00A81A48" w:rsidRDefault="006A6557" w:rsidP="00A81A48">
            <w:pPr>
              <w:pStyle w:val="Default"/>
              <w:jc w:val="both"/>
              <w:rPr>
                <w:sz w:val="22"/>
                <w:szCs w:val="22"/>
                <w:lang w:val="lv-LV"/>
              </w:rPr>
            </w:pPr>
          </w:p>
        </w:tc>
        <w:tc>
          <w:tcPr>
            <w:tcW w:w="0" w:type="auto"/>
          </w:tcPr>
          <w:p w14:paraId="102CF9CC" w14:textId="77777777" w:rsidR="006A6557" w:rsidRPr="00A81A48" w:rsidRDefault="006A6557" w:rsidP="00A81A48">
            <w:pPr>
              <w:pStyle w:val="Default"/>
              <w:jc w:val="both"/>
              <w:rPr>
                <w:sz w:val="22"/>
                <w:szCs w:val="22"/>
                <w:lang w:val="lv-LV"/>
              </w:rPr>
            </w:pPr>
          </w:p>
        </w:tc>
      </w:tr>
      <w:tr w:rsidR="004F0602" w:rsidRPr="00A81A48" w14:paraId="734C4A04" w14:textId="77777777" w:rsidTr="00E923FD">
        <w:trPr>
          <w:trHeight w:val="153"/>
        </w:trPr>
        <w:tc>
          <w:tcPr>
            <w:tcW w:w="0" w:type="auto"/>
          </w:tcPr>
          <w:p w14:paraId="140D005E" w14:textId="77777777" w:rsidR="004F0602" w:rsidRPr="00A81A48" w:rsidRDefault="004F0602" w:rsidP="00747D66">
            <w:pPr>
              <w:pStyle w:val="Default"/>
              <w:jc w:val="both"/>
              <w:rPr>
                <w:b/>
                <w:bCs/>
                <w:sz w:val="22"/>
                <w:szCs w:val="22"/>
                <w:lang w:val="lv-LV"/>
              </w:rPr>
            </w:pPr>
            <w:r w:rsidRPr="00A81A48">
              <w:rPr>
                <w:b/>
                <w:bCs/>
                <w:sz w:val="22"/>
                <w:szCs w:val="22"/>
                <w:lang w:val="lv-LV"/>
              </w:rPr>
              <w:t>Acu bojājumi</w:t>
            </w:r>
          </w:p>
        </w:tc>
        <w:tc>
          <w:tcPr>
            <w:tcW w:w="0" w:type="auto"/>
          </w:tcPr>
          <w:p w14:paraId="51D3C281" w14:textId="77777777" w:rsidR="004F0602" w:rsidRPr="00A81A48" w:rsidRDefault="004F0602" w:rsidP="00031E1B">
            <w:pPr>
              <w:pStyle w:val="Default"/>
              <w:jc w:val="both"/>
              <w:rPr>
                <w:sz w:val="22"/>
                <w:szCs w:val="22"/>
                <w:lang w:val="lv-LV"/>
              </w:rPr>
            </w:pPr>
          </w:p>
        </w:tc>
        <w:tc>
          <w:tcPr>
            <w:tcW w:w="0" w:type="auto"/>
          </w:tcPr>
          <w:p w14:paraId="43D9BD15" w14:textId="77777777" w:rsidR="004F0602" w:rsidRPr="00A81A48" w:rsidRDefault="004F0602" w:rsidP="00A81A48">
            <w:pPr>
              <w:pStyle w:val="Default"/>
              <w:jc w:val="both"/>
              <w:rPr>
                <w:sz w:val="22"/>
                <w:szCs w:val="22"/>
                <w:lang w:val="lv-LV"/>
              </w:rPr>
            </w:pPr>
          </w:p>
        </w:tc>
        <w:tc>
          <w:tcPr>
            <w:tcW w:w="0" w:type="auto"/>
          </w:tcPr>
          <w:p w14:paraId="1337AFE4" w14:textId="77777777" w:rsidR="004F0602" w:rsidRPr="00A81A48" w:rsidRDefault="004F0602" w:rsidP="00A81A48">
            <w:pPr>
              <w:pStyle w:val="Default"/>
              <w:jc w:val="both"/>
              <w:rPr>
                <w:sz w:val="22"/>
                <w:szCs w:val="22"/>
                <w:lang w:val="lv-LV"/>
              </w:rPr>
            </w:pPr>
          </w:p>
        </w:tc>
        <w:tc>
          <w:tcPr>
            <w:tcW w:w="0" w:type="auto"/>
          </w:tcPr>
          <w:p w14:paraId="5A636876" w14:textId="77777777" w:rsidR="004F0602" w:rsidRPr="00A81A48" w:rsidRDefault="004F0602" w:rsidP="00A81A48">
            <w:pPr>
              <w:pStyle w:val="Default"/>
              <w:jc w:val="both"/>
              <w:rPr>
                <w:sz w:val="22"/>
                <w:szCs w:val="22"/>
                <w:lang w:val="lv-LV"/>
              </w:rPr>
            </w:pPr>
          </w:p>
        </w:tc>
        <w:tc>
          <w:tcPr>
            <w:tcW w:w="0" w:type="auto"/>
          </w:tcPr>
          <w:p w14:paraId="32AB5E45" w14:textId="77777777" w:rsidR="004F0602" w:rsidRPr="00A81A48" w:rsidRDefault="004F0602" w:rsidP="00A81A48">
            <w:pPr>
              <w:pStyle w:val="Default"/>
              <w:jc w:val="both"/>
              <w:rPr>
                <w:sz w:val="22"/>
                <w:szCs w:val="22"/>
                <w:lang w:val="lv-LV"/>
              </w:rPr>
            </w:pPr>
            <w:r w:rsidRPr="00A81A48">
              <w:rPr>
                <w:sz w:val="22"/>
                <w:szCs w:val="22"/>
                <w:lang w:val="lv-LV"/>
              </w:rPr>
              <w:t>Neskaidra redze, redzes traucējumi</w:t>
            </w:r>
          </w:p>
        </w:tc>
      </w:tr>
      <w:tr w:rsidR="006A6557" w:rsidRPr="00A81A48" w14:paraId="349E3B09" w14:textId="77777777" w:rsidTr="00E923FD">
        <w:trPr>
          <w:trHeight w:val="153"/>
        </w:trPr>
        <w:tc>
          <w:tcPr>
            <w:tcW w:w="0" w:type="auto"/>
          </w:tcPr>
          <w:p w14:paraId="50C06A32" w14:textId="77777777" w:rsidR="006A6557" w:rsidRPr="00A81A48" w:rsidRDefault="006A6557" w:rsidP="00747D66">
            <w:pPr>
              <w:pStyle w:val="Default"/>
              <w:jc w:val="both"/>
              <w:rPr>
                <w:b/>
                <w:bCs/>
                <w:sz w:val="22"/>
                <w:szCs w:val="22"/>
                <w:lang w:val="lv-LV"/>
              </w:rPr>
            </w:pPr>
            <w:r w:rsidRPr="00A81A48">
              <w:rPr>
                <w:b/>
                <w:bCs/>
                <w:sz w:val="22"/>
                <w:szCs w:val="22"/>
                <w:lang w:val="lv-LV"/>
              </w:rPr>
              <w:t>Sirds funkcijas traucējumi</w:t>
            </w:r>
          </w:p>
        </w:tc>
        <w:tc>
          <w:tcPr>
            <w:tcW w:w="0" w:type="auto"/>
          </w:tcPr>
          <w:p w14:paraId="00B6EBFD" w14:textId="77777777" w:rsidR="006A6557" w:rsidRPr="00A81A48" w:rsidRDefault="006A6557" w:rsidP="00031E1B">
            <w:pPr>
              <w:pStyle w:val="Default"/>
              <w:jc w:val="both"/>
              <w:rPr>
                <w:sz w:val="22"/>
                <w:szCs w:val="22"/>
                <w:lang w:val="lv-LV"/>
              </w:rPr>
            </w:pPr>
          </w:p>
        </w:tc>
        <w:tc>
          <w:tcPr>
            <w:tcW w:w="0" w:type="auto"/>
          </w:tcPr>
          <w:p w14:paraId="04880B00" w14:textId="77777777" w:rsidR="006A6557" w:rsidRPr="00A81A48" w:rsidRDefault="00C14172" w:rsidP="00A81A48">
            <w:pPr>
              <w:pStyle w:val="Default"/>
              <w:jc w:val="both"/>
              <w:rPr>
                <w:sz w:val="22"/>
                <w:szCs w:val="22"/>
                <w:lang w:val="lv-LV"/>
              </w:rPr>
            </w:pPr>
            <w:r w:rsidRPr="00A81A48">
              <w:rPr>
                <w:sz w:val="22"/>
                <w:szCs w:val="22"/>
                <w:lang w:val="lv-LV"/>
              </w:rPr>
              <w:t>S</w:t>
            </w:r>
            <w:r w:rsidR="006A6557" w:rsidRPr="00A81A48">
              <w:rPr>
                <w:sz w:val="22"/>
                <w:szCs w:val="22"/>
                <w:lang w:val="lv-LV"/>
              </w:rPr>
              <w:t>irdsklauves</w:t>
            </w:r>
          </w:p>
        </w:tc>
        <w:tc>
          <w:tcPr>
            <w:tcW w:w="0" w:type="auto"/>
          </w:tcPr>
          <w:p w14:paraId="721ABA6B" w14:textId="77777777" w:rsidR="006A6557" w:rsidRPr="00A81A48" w:rsidRDefault="006A6557" w:rsidP="00A81A48">
            <w:pPr>
              <w:pStyle w:val="Default"/>
              <w:jc w:val="both"/>
              <w:rPr>
                <w:sz w:val="22"/>
                <w:szCs w:val="22"/>
                <w:lang w:val="lv-LV"/>
              </w:rPr>
            </w:pPr>
          </w:p>
        </w:tc>
        <w:tc>
          <w:tcPr>
            <w:tcW w:w="0" w:type="auto"/>
          </w:tcPr>
          <w:p w14:paraId="066E81C9" w14:textId="77777777" w:rsidR="006A6557" w:rsidRPr="00A81A48" w:rsidRDefault="006A6557" w:rsidP="00A81A48">
            <w:pPr>
              <w:pStyle w:val="Default"/>
              <w:jc w:val="both"/>
              <w:rPr>
                <w:sz w:val="22"/>
                <w:szCs w:val="22"/>
                <w:lang w:val="lv-LV"/>
              </w:rPr>
            </w:pPr>
          </w:p>
        </w:tc>
        <w:tc>
          <w:tcPr>
            <w:tcW w:w="0" w:type="auto"/>
          </w:tcPr>
          <w:p w14:paraId="5875A741" w14:textId="77777777" w:rsidR="006A6557" w:rsidRPr="00A81A48" w:rsidRDefault="006A6557" w:rsidP="00A81A48">
            <w:pPr>
              <w:pStyle w:val="Default"/>
              <w:jc w:val="both"/>
              <w:rPr>
                <w:sz w:val="22"/>
                <w:szCs w:val="22"/>
                <w:lang w:val="lv-LV"/>
              </w:rPr>
            </w:pPr>
          </w:p>
        </w:tc>
      </w:tr>
      <w:tr w:rsidR="006A6557" w:rsidRPr="00A81A48" w14:paraId="485D8DAF" w14:textId="77777777" w:rsidTr="00E923FD">
        <w:trPr>
          <w:trHeight w:val="153"/>
        </w:trPr>
        <w:tc>
          <w:tcPr>
            <w:tcW w:w="0" w:type="auto"/>
          </w:tcPr>
          <w:p w14:paraId="354B9A9E" w14:textId="77777777" w:rsidR="006A6557" w:rsidRPr="00A81A48" w:rsidRDefault="006A6557" w:rsidP="00747D66">
            <w:pPr>
              <w:pStyle w:val="Default"/>
              <w:jc w:val="both"/>
              <w:rPr>
                <w:b/>
                <w:bCs/>
                <w:sz w:val="22"/>
                <w:szCs w:val="22"/>
                <w:lang w:val="lv-LV"/>
              </w:rPr>
            </w:pPr>
            <w:r w:rsidRPr="00A81A48">
              <w:rPr>
                <w:b/>
                <w:bCs/>
                <w:sz w:val="22"/>
                <w:szCs w:val="22"/>
                <w:lang w:val="lv-LV"/>
              </w:rPr>
              <w:t>Asinsvadu sistēmas traucējumi</w:t>
            </w:r>
          </w:p>
        </w:tc>
        <w:tc>
          <w:tcPr>
            <w:tcW w:w="0" w:type="auto"/>
          </w:tcPr>
          <w:p w14:paraId="30776AC7" w14:textId="77777777" w:rsidR="006A6557" w:rsidRPr="00A81A48" w:rsidRDefault="006A6557" w:rsidP="00031E1B">
            <w:pPr>
              <w:pStyle w:val="Default"/>
              <w:jc w:val="both"/>
              <w:rPr>
                <w:sz w:val="22"/>
                <w:szCs w:val="22"/>
                <w:lang w:val="lv-LV"/>
              </w:rPr>
            </w:pPr>
          </w:p>
        </w:tc>
        <w:tc>
          <w:tcPr>
            <w:tcW w:w="0" w:type="auto"/>
          </w:tcPr>
          <w:p w14:paraId="704823CA" w14:textId="77777777" w:rsidR="006A6557" w:rsidRPr="00A81A48" w:rsidRDefault="006A6557" w:rsidP="00A81A48">
            <w:pPr>
              <w:pStyle w:val="Default"/>
              <w:jc w:val="both"/>
              <w:rPr>
                <w:sz w:val="22"/>
                <w:szCs w:val="22"/>
                <w:lang w:val="lv-LV"/>
              </w:rPr>
            </w:pPr>
            <w:r w:rsidRPr="00A81A48">
              <w:rPr>
                <w:sz w:val="22"/>
                <w:szCs w:val="22"/>
                <w:lang w:val="lv-LV"/>
              </w:rPr>
              <w:t>Ortostatiska hipotensija</w:t>
            </w:r>
          </w:p>
        </w:tc>
        <w:tc>
          <w:tcPr>
            <w:tcW w:w="0" w:type="auto"/>
          </w:tcPr>
          <w:p w14:paraId="1A91F1DF" w14:textId="77777777" w:rsidR="006A6557" w:rsidRPr="00A81A48" w:rsidRDefault="006A6557" w:rsidP="00A81A48">
            <w:pPr>
              <w:pStyle w:val="Default"/>
              <w:jc w:val="both"/>
              <w:rPr>
                <w:sz w:val="22"/>
                <w:szCs w:val="22"/>
                <w:lang w:val="lv-LV"/>
              </w:rPr>
            </w:pPr>
          </w:p>
        </w:tc>
        <w:tc>
          <w:tcPr>
            <w:tcW w:w="0" w:type="auto"/>
          </w:tcPr>
          <w:p w14:paraId="6BF8CAA8" w14:textId="77777777" w:rsidR="006A6557" w:rsidRPr="00A81A48" w:rsidRDefault="006A6557" w:rsidP="00A81A48">
            <w:pPr>
              <w:pStyle w:val="Default"/>
              <w:jc w:val="both"/>
              <w:rPr>
                <w:sz w:val="22"/>
                <w:szCs w:val="22"/>
                <w:lang w:val="lv-LV"/>
              </w:rPr>
            </w:pPr>
          </w:p>
        </w:tc>
        <w:tc>
          <w:tcPr>
            <w:tcW w:w="0" w:type="auto"/>
          </w:tcPr>
          <w:p w14:paraId="42837648" w14:textId="77777777" w:rsidR="006A6557" w:rsidRPr="00A81A48" w:rsidRDefault="006A6557" w:rsidP="00A81A48">
            <w:pPr>
              <w:pStyle w:val="Default"/>
              <w:jc w:val="both"/>
              <w:rPr>
                <w:sz w:val="22"/>
                <w:szCs w:val="22"/>
                <w:lang w:val="lv-LV"/>
              </w:rPr>
            </w:pPr>
          </w:p>
        </w:tc>
      </w:tr>
      <w:tr w:rsidR="006A6557" w:rsidRPr="00A81A48" w14:paraId="38C6E854" w14:textId="77777777" w:rsidTr="00E923FD">
        <w:trPr>
          <w:trHeight w:val="153"/>
        </w:trPr>
        <w:tc>
          <w:tcPr>
            <w:tcW w:w="0" w:type="auto"/>
          </w:tcPr>
          <w:p w14:paraId="48115122" w14:textId="77777777" w:rsidR="006A6557" w:rsidRPr="00A81A48" w:rsidRDefault="006A6557" w:rsidP="00747D66">
            <w:pPr>
              <w:pStyle w:val="Default"/>
              <w:jc w:val="both"/>
              <w:rPr>
                <w:b/>
                <w:bCs/>
                <w:sz w:val="22"/>
                <w:szCs w:val="22"/>
                <w:lang w:val="lv-LV"/>
              </w:rPr>
            </w:pPr>
            <w:r w:rsidRPr="00A81A48">
              <w:rPr>
                <w:b/>
                <w:bCs/>
                <w:sz w:val="22"/>
                <w:szCs w:val="22"/>
                <w:lang w:val="lv-LV"/>
              </w:rPr>
              <w:t>Elpošanas sistēmas traucējumi, krūšu kurvja un videnes slimības</w:t>
            </w:r>
          </w:p>
        </w:tc>
        <w:tc>
          <w:tcPr>
            <w:tcW w:w="0" w:type="auto"/>
          </w:tcPr>
          <w:p w14:paraId="5B626808" w14:textId="77777777" w:rsidR="006A6557" w:rsidRPr="00A81A48" w:rsidRDefault="006A6557" w:rsidP="00031E1B">
            <w:pPr>
              <w:pStyle w:val="Default"/>
              <w:jc w:val="both"/>
              <w:rPr>
                <w:sz w:val="22"/>
                <w:szCs w:val="22"/>
                <w:lang w:val="lv-LV"/>
              </w:rPr>
            </w:pPr>
          </w:p>
        </w:tc>
        <w:tc>
          <w:tcPr>
            <w:tcW w:w="0" w:type="auto"/>
          </w:tcPr>
          <w:p w14:paraId="693DDD36" w14:textId="77777777" w:rsidR="006A6557" w:rsidRPr="00A81A48" w:rsidRDefault="006A6557" w:rsidP="00A81A48">
            <w:pPr>
              <w:pStyle w:val="Default"/>
              <w:jc w:val="both"/>
              <w:rPr>
                <w:sz w:val="22"/>
                <w:szCs w:val="22"/>
                <w:lang w:val="lv-LV"/>
              </w:rPr>
            </w:pPr>
            <w:r w:rsidRPr="00A81A48">
              <w:rPr>
                <w:sz w:val="22"/>
                <w:szCs w:val="22"/>
                <w:lang w:val="lv-LV"/>
              </w:rPr>
              <w:t>Rinīts</w:t>
            </w:r>
          </w:p>
        </w:tc>
        <w:tc>
          <w:tcPr>
            <w:tcW w:w="0" w:type="auto"/>
          </w:tcPr>
          <w:p w14:paraId="055C4673" w14:textId="77777777" w:rsidR="006A6557" w:rsidRPr="00A81A48" w:rsidRDefault="006A6557" w:rsidP="00A81A48">
            <w:pPr>
              <w:pStyle w:val="Default"/>
              <w:jc w:val="both"/>
              <w:rPr>
                <w:sz w:val="22"/>
                <w:szCs w:val="22"/>
                <w:lang w:val="lv-LV"/>
              </w:rPr>
            </w:pPr>
          </w:p>
        </w:tc>
        <w:tc>
          <w:tcPr>
            <w:tcW w:w="0" w:type="auto"/>
          </w:tcPr>
          <w:p w14:paraId="4007577C" w14:textId="77777777" w:rsidR="006A6557" w:rsidRPr="00A81A48" w:rsidRDefault="006A6557" w:rsidP="00A81A48">
            <w:pPr>
              <w:pStyle w:val="Default"/>
              <w:jc w:val="both"/>
              <w:rPr>
                <w:sz w:val="22"/>
                <w:szCs w:val="22"/>
                <w:lang w:val="lv-LV"/>
              </w:rPr>
            </w:pPr>
          </w:p>
        </w:tc>
        <w:tc>
          <w:tcPr>
            <w:tcW w:w="0" w:type="auto"/>
          </w:tcPr>
          <w:p w14:paraId="74B4023E" w14:textId="77777777" w:rsidR="006A6557" w:rsidRPr="00A81A48" w:rsidRDefault="004F0602" w:rsidP="00A81A48">
            <w:pPr>
              <w:pStyle w:val="Default"/>
              <w:jc w:val="both"/>
              <w:rPr>
                <w:sz w:val="22"/>
                <w:szCs w:val="22"/>
                <w:lang w:val="lv-LV"/>
              </w:rPr>
            </w:pPr>
            <w:r w:rsidRPr="00A81A48">
              <w:rPr>
                <w:sz w:val="22"/>
                <w:szCs w:val="22"/>
                <w:lang w:val="lv-LV"/>
              </w:rPr>
              <w:t>Asiņošana no deguna</w:t>
            </w:r>
          </w:p>
        </w:tc>
      </w:tr>
      <w:tr w:rsidR="006A6557" w:rsidRPr="00A81A48" w14:paraId="7383F4CE" w14:textId="77777777" w:rsidTr="00E923FD">
        <w:trPr>
          <w:trHeight w:val="153"/>
        </w:trPr>
        <w:tc>
          <w:tcPr>
            <w:tcW w:w="0" w:type="auto"/>
          </w:tcPr>
          <w:p w14:paraId="41CBB642" w14:textId="77777777" w:rsidR="006A6557" w:rsidRPr="00A81A48" w:rsidRDefault="006A6557" w:rsidP="00747D66">
            <w:pPr>
              <w:pStyle w:val="Default"/>
              <w:jc w:val="both"/>
              <w:rPr>
                <w:b/>
                <w:bCs/>
                <w:sz w:val="22"/>
                <w:szCs w:val="22"/>
                <w:lang w:val="lv-LV"/>
              </w:rPr>
            </w:pPr>
            <w:r w:rsidRPr="00A81A48">
              <w:rPr>
                <w:b/>
                <w:bCs/>
                <w:sz w:val="22"/>
                <w:szCs w:val="22"/>
                <w:lang w:val="lv-LV"/>
              </w:rPr>
              <w:t>Kuņģa-zarnu trakta traucējumi</w:t>
            </w:r>
          </w:p>
        </w:tc>
        <w:tc>
          <w:tcPr>
            <w:tcW w:w="0" w:type="auto"/>
          </w:tcPr>
          <w:p w14:paraId="3F1BD05A" w14:textId="77777777" w:rsidR="006A6557" w:rsidRPr="00A81A48" w:rsidRDefault="006A6557" w:rsidP="00031E1B">
            <w:pPr>
              <w:pStyle w:val="Default"/>
              <w:jc w:val="both"/>
              <w:rPr>
                <w:sz w:val="22"/>
                <w:szCs w:val="22"/>
                <w:lang w:val="lv-LV"/>
              </w:rPr>
            </w:pPr>
          </w:p>
        </w:tc>
        <w:tc>
          <w:tcPr>
            <w:tcW w:w="0" w:type="auto"/>
          </w:tcPr>
          <w:p w14:paraId="2914E663" w14:textId="77777777" w:rsidR="006A6557" w:rsidRPr="00A81A48" w:rsidRDefault="006A6557" w:rsidP="00A81A48">
            <w:pPr>
              <w:pStyle w:val="Default"/>
              <w:jc w:val="both"/>
              <w:rPr>
                <w:sz w:val="22"/>
                <w:szCs w:val="22"/>
                <w:lang w:val="lv-LV"/>
              </w:rPr>
            </w:pPr>
            <w:r w:rsidRPr="00A81A48">
              <w:rPr>
                <w:sz w:val="22"/>
                <w:szCs w:val="22"/>
                <w:lang w:val="lv-LV"/>
              </w:rPr>
              <w:t>Aizcietējums, caureja, slikta dūša, vemšana</w:t>
            </w:r>
          </w:p>
        </w:tc>
        <w:tc>
          <w:tcPr>
            <w:tcW w:w="0" w:type="auto"/>
          </w:tcPr>
          <w:p w14:paraId="21D727B4" w14:textId="77777777" w:rsidR="006A6557" w:rsidRPr="00A81A48" w:rsidRDefault="006A6557" w:rsidP="00A81A48">
            <w:pPr>
              <w:pStyle w:val="Default"/>
              <w:jc w:val="both"/>
              <w:rPr>
                <w:sz w:val="22"/>
                <w:szCs w:val="22"/>
                <w:lang w:val="lv-LV"/>
              </w:rPr>
            </w:pPr>
          </w:p>
        </w:tc>
        <w:tc>
          <w:tcPr>
            <w:tcW w:w="0" w:type="auto"/>
          </w:tcPr>
          <w:p w14:paraId="561ADFA8" w14:textId="77777777" w:rsidR="006A6557" w:rsidRPr="00A81A48" w:rsidRDefault="006A6557" w:rsidP="00A81A48">
            <w:pPr>
              <w:pStyle w:val="Default"/>
              <w:jc w:val="both"/>
              <w:rPr>
                <w:sz w:val="22"/>
                <w:szCs w:val="22"/>
                <w:lang w:val="lv-LV"/>
              </w:rPr>
            </w:pPr>
          </w:p>
        </w:tc>
        <w:tc>
          <w:tcPr>
            <w:tcW w:w="0" w:type="auto"/>
          </w:tcPr>
          <w:p w14:paraId="600323DE" w14:textId="77777777" w:rsidR="006A6557" w:rsidRPr="00A81A48" w:rsidRDefault="00E923FD" w:rsidP="00A81A48">
            <w:pPr>
              <w:pStyle w:val="Default"/>
              <w:jc w:val="both"/>
              <w:rPr>
                <w:sz w:val="22"/>
                <w:szCs w:val="22"/>
                <w:lang w:val="lv-LV"/>
              </w:rPr>
            </w:pPr>
            <w:r w:rsidRPr="00A81A48">
              <w:rPr>
                <w:sz w:val="22"/>
                <w:szCs w:val="22"/>
                <w:lang w:val="lv-LV"/>
              </w:rPr>
              <w:t>Sausa mute</w:t>
            </w:r>
          </w:p>
        </w:tc>
      </w:tr>
      <w:tr w:rsidR="006A6557" w:rsidRPr="00A81A48" w14:paraId="55BA9D84" w14:textId="77777777" w:rsidTr="00E923FD">
        <w:trPr>
          <w:trHeight w:val="153"/>
        </w:trPr>
        <w:tc>
          <w:tcPr>
            <w:tcW w:w="0" w:type="auto"/>
          </w:tcPr>
          <w:p w14:paraId="28537807" w14:textId="77777777" w:rsidR="006A6557" w:rsidRPr="00A81A48" w:rsidRDefault="006A6557" w:rsidP="00747D66">
            <w:pPr>
              <w:pStyle w:val="Default"/>
              <w:jc w:val="both"/>
              <w:rPr>
                <w:b/>
                <w:bCs/>
                <w:sz w:val="22"/>
                <w:szCs w:val="22"/>
                <w:lang w:val="lv-LV"/>
              </w:rPr>
            </w:pPr>
            <w:r w:rsidRPr="00A81A48">
              <w:rPr>
                <w:b/>
                <w:bCs/>
                <w:sz w:val="22"/>
                <w:szCs w:val="22"/>
                <w:lang w:val="lv-LV"/>
              </w:rPr>
              <w:t>Ādas un zemādas audu bojājumi</w:t>
            </w:r>
          </w:p>
        </w:tc>
        <w:tc>
          <w:tcPr>
            <w:tcW w:w="0" w:type="auto"/>
          </w:tcPr>
          <w:p w14:paraId="25305B51" w14:textId="77777777" w:rsidR="006A6557" w:rsidRPr="00A81A48" w:rsidRDefault="006A6557" w:rsidP="00031E1B">
            <w:pPr>
              <w:pStyle w:val="Default"/>
              <w:jc w:val="both"/>
              <w:rPr>
                <w:sz w:val="22"/>
                <w:szCs w:val="22"/>
                <w:lang w:val="lv-LV"/>
              </w:rPr>
            </w:pPr>
          </w:p>
        </w:tc>
        <w:tc>
          <w:tcPr>
            <w:tcW w:w="0" w:type="auto"/>
          </w:tcPr>
          <w:p w14:paraId="4B2C03CC" w14:textId="77777777" w:rsidR="006A6557" w:rsidRPr="00A81A48" w:rsidRDefault="006A6557" w:rsidP="00A81A48">
            <w:pPr>
              <w:pStyle w:val="Default"/>
              <w:jc w:val="both"/>
              <w:rPr>
                <w:sz w:val="22"/>
                <w:szCs w:val="22"/>
                <w:lang w:val="lv-LV"/>
              </w:rPr>
            </w:pPr>
            <w:r w:rsidRPr="00A81A48">
              <w:rPr>
                <w:sz w:val="22"/>
                <w:szCs w:val="22"/>
                <w:lang w:val="lv-LV"/>
              </w:rPr>
              <w:t>Izsitumi, nieze, nātrene</w:t>
            </w:r>
          </w:p>
        </w:tc>
        <w:tc>
          <w:tcPr>
            <w:tcW w:w="0" w:type="auto"/>
          </w:tcPr>
          <w:p w14:paraId="729A8CFC" w14:textId="22549EC0" w:rsidR="006A6557" w:rsidRPr="00A81A48" w:rsidRDefault="006A6557" w:rsidP="00A81A48">
            <w:pPr>
              <w:pStyle w:val="Default"/>
              <w:jc w:val="both"/>
              <w:rPr>
                <w:sz w:val="22"/>
                <w:szCs w:val="22"/>
                <w:lang w:val="lv-LV"/>
              </w:rPr>
            </w:pPr>
            <w:r w:rsidRPr="00A81A48">
              <w:rPr>
                <w:sz w:val="22"/>
                <w:szCs w:val="22"/>
                <w:lang w:val="lv-LV"/>
              </w:rPr>
              <w:t>Angio</w:t>
            </w:r>
            <w:r w:rsidR="00343CBD" w:rsidRPr="00A81A48">
              <w:rPr>
                <w:sz w:val="22"/>
                <w:szCs w:val="22"/>
                <w:lang w:val="lv-LV"/>
              </w:rPr>
              <w:t>edēma</w:t>
            </w:r>
          </w:p>
        </w:tc>
        <w:tc>
          <w:tcPr>
            <w:tcW w:w="0" w:type="auto"/>
          </w:tcPr>
          <w:p w14:paraId="2E1FA49F" w14:textId="77777777" w:rsidR="006A6557" w:rsidRPr="00A81A48" w:rsidRDefault="006A6557" w:rsidP="00A81A48">
            <w:pPr>
              <w:pStyle w:val="Default"/>
              <w:jc w:val="both"/>
              <w:rPr>
                <w:sz w:val="22"/>
                <w:szCs w:val="22"/>
                <w:lang w:val="lv-LV"/>
              </w:rPr>
            </w:pPr>
            <w:r w:rsidRPr="00A81A48">
              <w:rPr>
                <w:sz w:val="22"/>
                <w:szCs w:val="22"/>
                <w:lang w:val="lv-LV"/>
              </w:rPr>
              <w:t>Stīvensa – Džonsona sindroms</w:t>
            </w:r>
          </w:p>
        </w:tc>
        <w:tc>
          <w:tcPr>
            <w:tcW w:w="0" w:type="auto"/>
          </w:tcPr>
          <w:p w14:paraId="0EFB3205" w14:textId="77777777" w:rsidR="006A6557" w:rsidRPr="00A81A48" w:rsidRDefault="004F0602" w:rsidP="00A81A48">
            <w:pPr>
              <w:pStyle w:val="Default"/>
              <w:jc w:val="both"/>
              <w:rPr>
                <w:sz w:val="22"/>
                <w:szCs w:val="22"/>
                <w:lang w:val="lv-LV"/>
              </w:rPr>
            </w:pPr>
            <w:r w:rsidRPr="00A81A48">
              <w:rPr>
                <w:i/>
                <w:sz w:val="22"/>
                <w:szCs w:val="22"/>
                <w:lang w:val="lv-LV"/>
              </w:rPr>
              <w:t>Erythema multiforme</w:t>
            </w:r>
            <w:r w:rsidRPr="00A81A48">
              <w:rPr>
                <w:sz w:val="22"/>
                <w:szCs w:val="22"/>
                <w:lang w:val="lv-LV"/>
              </w:rPr>
              <w:t>, eksfoliatīvs dermatīts</w:t>
            </w:r>
          </w:p>
        </w:tc>
      </w:tr>
      <w:tr w:rsidR="006A6557" w:rsidRPr="00A81A48" w14:paraId="04317C7B" w14:textId="77777777" w:rsidTr="00E923FD">
        <w:trPr>
          <w:trHeight w:val="153"/>
        </w:trPr>
        <w:tc>
          <w:tcPr>
            <w:tcW w:w="0" w:type="auto"/>
          </w:tcPr>
          <w:p w14:paraId="7339B787" w14:textId="77777777" w:rsidR="006A6557" w:rsidRPr="00A81A48" w:rsidRDefault="006A6557" w:rsidP="00747D66">
            <w:pPr>
              <w:pStyle w:val="Default"/>
              <w:jc w:val="both"/>
              <w:rPr>
                <w:b/>
                <w:bCs/>
                <w:sz w:val="22"/>
                <w:szCs w:val="22"/>
                <w:lang w:val="lv-LV"/>
              </w:rPr>
            </w:pPr>
            <w:r w:rsidRPr="00A81A48">
              <w:rPr>
                <w:b/>
                <w:bCs/>
                <w:sz w:val="22"/>
                <w:szCs w:val="22"/>
                <w:lang w:val="lv-LV"/>
              </w:rPr>
              <w:t>Reproduktīvās sistēmas traucējumi un krūts slimības</w:t>
            </w:r>
          </w:p>
        </w:tc>
        <w:tc>
          <w:tcPr>
            <w:tcW w:w="0" w:type="auto"/>
          </w:tcPr>
          <w:p w14:paraId="0842A970" w14:textId="77777777" w:rsidR="006A6557" w:rsidRPr="00A81A48" w:rsidRDefault="006A6557" w:rsidP="00031E1B">
            <w:pPr>
              <w:pStyle w:val="Default"/>
              <w:jc w:val="both"/>
              <w:rPr>
                <w:sz w:val="22"/>
                <w:szCs w:val="22"/>
                <w:lang w:val="lv-LV"/>
              </w:rPr>
            </w:pPr>
            <w:r w:rsidRPr="00A81A48">
              <w:rPr>
                <w:sz w:val="22"/>
                <w:szCs w:val="22"/>
                <w:lang w:val="lv-LV"/>
              </w:rPr>
              <w:t>Ejakulācijas traucējumi</w:t>
            </w:r>
            <w:r w:rsidR="004F0602" w:rsidRPr="00A81A48">
              <w:rPr>
                <w:sz w:val="22"/>
                <w:szCs w:val="22"/>
                <w:lang w:val="lv-LV"/>
              </w:rPr>
              <w:t>, retrogrāda ejakulācija un nepietiekama ejakulācija</w:t>
            </w:r>
          </w:p>
        </w:tc>
        <w:tc>
          <w:tcPr>
            <w:tcW w:w="0" w:type="auto"/>
          </w:tcPr>
          <w:p w14:paraId="006AD6AD" w14:textId="77777777" w:rsidR="006A6557" w:rsidRPr="00A81A48" w:rsidRDefault="006A6557" w:rsidP="00A81A48">
            <w:pPr>
              <w:pStyle w:val="Default"/>
              <w:jc w:val="both"/>
              <w:rPr>
                <w:sz w:val="22"/>
                <w:szCs w:val="22"/>
                <w:lang w:val="lv-LV"/>
              </w:rPr>
            </w:pPr>
          </w:p>
        </w:tc>
        <w:tc>
          <w:tcPr>
            <w:tcW w:w="0" w:type="auto"/>
          </w:tcPr>
          <w:p w14:paraId="1DBA6C0A" w14:textId="77777777" w:rsidR="006A6557" w:rsidRPr="00A81A48" w:rsidRDefault="006A6557" w:rsidP="00A81A48">
            <w:pPr>
              <w:pStyle w:val="Default"/>
              <w:jc w:val="both"/>
              <w:rPr>
                <w:sz w:val="22"/>
                <w:szCs w:val="22"/>
                <w:lang w:val="lv-LV"/>
              </w:rPr>
            </w:pPr>
          </w:p>
        </w:tc>
        <w:tc>
          <w:tcPr>
            <w:tcW w:w="0" w:type="auto"/>
          </w:tcPr>
          <w:p w14:paraId="13CF7029" w14:textId="77777777" w:rsidR="006A6557" w:rsidRPr="00A81A48" w:rsidRDefault="006A6557" w:rsidP="00A81A48">
            <w:pPr>
              <w:pStyle w:val="Default"/>
              <w:jc w:val="both"/>
              <w:rPr>
                <w:sz w:val="22"/>
                <w:szCs w:val="22"/>
                <w:lang w:val="lv-LV"/>
              </w:rPr>
            </w:pPr>
            <w:r w:rsidRPr="00A81A48">
              <w:rPr>
                <w:sz w:val="22"/>
                <w:szCs w:val="22"/>
                <w:lang w:val="lv-LV"/>
              </w:rPr>
              <w:t>Priapisms</w:t>
            </w:r>
          </w:p>
        </w:tc>
        <w:tc>
          <w:tcPr>
            <w:tcW w:w="0" w:type="auto"/>
          </w:tcPr>
          <w:p w14:paraId="180EA08A" w14:textId="77777777" w:rsidR="006A6557" w:rsidRPr="00A81A48" w:rsidRDefault="006A6557" w:rsidP="00A81A48">
            <w:pPr>
              <w:pStyle w:val="Default"/>
              <w:jc w:val="both"/>
              <w:rPr>
                <w:sz w:val="22"/>
                <w:szCs w:val="22"/>
                <w:lang w:val="lv-LV"/>
              </w:rPr>
            </w:pPr>
          </w:p>
        </w:tc>
      </w:tr>
      <w:tr w:rsidR="006A6557" w:rsidRPr="00A81A48" w14:paraId="7A8AC139" w14:textId="77777777" w:rsidTr="00E923FD">
        <w:trPr>
          <w:trHeight w:val="153"/>
        </w:trPr>
        <w:tc>
          <w:tcPr>
            <w:tcW w:w="0" w:type="auto"/>
          </w:tcPr>
          <w:p w14:paraId="79812833" w14:textId="77777777" w:rsidR="006A6557" w:rsidRPr="00A81A48" w:rsidRDefault="006A6557" w:rsidP="00747D66">
            <w:pPr>
              <w:pStyle w:val="Default"/>
              <w:jc w:val="both"/>
              <w:rPr>
                <w:b/>
                <w:bCs/>
                <w:sz w:val="22"/>
                <w:szCs w:val="22"/>
                <w:lang w:val="lv-LV"/>
              </w:rPr>
            </w:pPr>
            <w:r w:rsidRPr="00A81A48">
              <w:rPr>
                <w:b/>
                <w:bCs/>
                <w:sz w:val="22"/>
                <w:szCs w:val="22"/>
                <w:lang w:val="lv-LV"/>
              </w:rPr>
              <w:t>Vispārēji traucējumi un reakcijas ievadīšanas vietā</w:t>
            </w:r>
          </w:p>
        </w:tc>
        <w:tc>
          <w:tcPr>
            <w:tcW w:w="0" w:type="auto"/>
          </w:tcPr>
          <w:p w14:paraId="6AF026D8" w14:textId="77777777" w:rsidR="006A6557" w:rsidRPr="00A81A48" w:rsidRDefault="006A6557" w:rsidP="00031E1B">
            <w:pPr>
              <w:pStyle w:val="Default"/>
              <w:jc w:val="both"/>
              <w:rPr>
                <w:sz w:val="22"/>
                <w:szCs w:val="22"/>
                <w:lang w:val="lv-LV"/>
              </w:rPr>
            </w:pPr>
          </w:p>
        </w:tc>
        <w:tc>
          <w:tcPr>
            <w:tcW w:w="0" w:type="auto"/>
          </w:tcPr>
          <w:p w14:paraId="1A0F2DDF" w14:textId="77777777" w:rsidR="006A6557" w:rsidRPr="00A81A48" w:rsidRDefault="006A6557" w:rsidP="00A81A48">
            <w:pPr>
              <w:pStyle w:val="Default"/>
              <w:jc w:val="both"/>
              <w:rPr>
                <w:sz w:val="22"/>
                <w:szCs w:val="22"/>
                <w:lang w:val="lv-LV"/>
              </w:rPr>
            </w:pPr>
            <w:r w:rsidRPr="00A81A48">
              <w:rPr>
                <w:sz w:val="22"/>
                <w:szCs w:val="22"/>
                <w:lang w:val="lv-LV"/>
              </w:rPr>
              <w:t>Astēnija</w:t>
            </w:r>
          </w:p>
        </w:tc>
        <w:tc>
          <w:tcPr>
            <w:tcW w:w="0" w:type="auto"/>
          </w:tcPr>
          <w:p w14:paraId="535F9229" w14:textId="77777777" w:rsidR="006A6557" w:rsidRPr="00A81A48" w:rsidRDefault="006A6557" w:rsidP="00A81A48">
            <w:pPr>
              <w:pStyle w:val="Default"/>
              <w:jc w:val="both"/>
              <w:rPr>
                <w:sz w:val="22"/>
                <w:szCs w:val="22"/>
                <w:lang w:val="lv-LV"/>
              </w:rPr>
            </w:pPr>
          </w:p>
        </w:tc>
        <w:tc>
          <w:tcPr>
            <w:tcW w:w="0" w:type="auto"/>
          </w:tcPr>
          <w:p w14:paraId="14771A0C" w14:textId="77777777" w:rsidR="006A6557" w:rsidRPr="00A81A48" w:rsidRDefault="006A6557" w:rsidP="00A81A48">
            <w:pPr>
              <w:pStyle w:val="Default"/>
              <w:jc w:val="both"/>
              <w:rPr>
                <w:sz w:val="22"/>
                <w:szCs w:val="22"/>
                <w:lang w:val="lv-LV"/>
              </w:rPr>
            </w:pPr>
          </w:p>
        </w:tc>
        <w:tc>
          <w:tcPr>
            <w:tcW w:w="0" w:type="auto"/>
          </w:tcPr>
          <w:p w14:paraId="382EE818" w14:textId="77777777" w:rsidR="006A6557" w:rsidRPr="00A81A48" w:rsidRDefault="006A6557" w:rsidP="00A81A48">
            <w:pPr>
              <w:pStyle w:val="Default"/>
              <w:jc w:val="both"/>
              <w:rPr>
                <w:sz w:val="22"/>
                <w:szCs w:val="22"/>
                <w:lang w:val="lv-LV"/>
              </w:rPr>
            </w:pPr>
          </w:p>
        </w:tc>
      </w:tr>
    </w:tbl>
    <w:p w14:paraId="3823A61D" w14:textId="77777777" w:rsidR="000F6E6D" w:rsidRPr="00A81A48" w:rsidRDefault="000F6E6D" w:rsidP="00747D66">
      <w:pPr>
        <w:pStyle w:val="Default"/>
        <w:jc w:val="both"/>
        <w:rPr>
          <w:sz w:val="22"/>
          <w:szCs w:val="22"/>
          <w:lang w:val="lv-LV"/>
        </w:rPr>
      </w:pPr>
    </w:p>
    <w:p w14:paraId="4AA86A7F" w14:textId="77777777" w:rsidR="00F56B62" w:rsidRPr="00A81A48" w:rsidRDefault="000F6E6D" w:rsidP="00031E1B">
      <w:pPr>
        <w:pStyle w:val="Default"/>
        <w:jc w:val="both"/>
        <w:rPr>
          <w:sz w:val="22"/>
          <w:szCs w:val="22"/>
          <w:lang w:val="lv-LV"/>
        </w:rPr>
      </w:pPr>
      <w:r w:rsidRPr="00A81A48">
        <w:rPr>
          <w:sz w:val="22"/>
          <w:szCs w:val="22"/>
          <w:lang w:val="lv-LV"/>
        </w:rPr>
        <w:t>Pēcreģistrācijas pieredzē acs kataraktas ķirurģiskās operācijas laikā tika novērots „šaurās” zīlītes sindroms, kas ir pazīstams, kā Intraoperatīvs Kustīgās Varavīksnenes Sindroms (IKVS), un tas tika saistīts ar tamsulosīna ter</w:t>
      </w:r>
      <w:r w:rsidR="00F56B62" w:rsidRPr="00A81A48">
        <w:rPr>
          <w:sz w:val="22"/>
          <w:szCs w:val="22"/>
          <w:lang w:val="lv-LV"/>
        </w:rPr>
        <w:t>apiju (skatīt 4.4</w:t>
      </w:r>
      <w:r w:rsidR="00C61820" w:rsidRPr="00A81A48">
        <w:rPr>
          <w:sz w:val="22"/>
          <w:szCs w:val="22"/>
          <w:lang w:val="lv-LV"/>
        </w:rPr>
        <w:t>. apakšpunktu</w:t>
      </w:r>
      <w:r w:rsidR="00F56B62" w:rsidRPr="00A81A48">
        <w:rPr>
          <w:sz w:val="22"/>
          <w:szCs w:val="22"/>
          <w:lang w:val="lv-LV"/>
        </w:rPr>
        <w:t>).</w:t>
      </w:r>
    </w:p>
    <w:p w14:paraId="3A0A5A50" w14:textId="77777777" w:rsidR="00F56B62" w:rsidRPr="00A81A48" w:rsidRDefault="00F56B62" w:rsidP="00A81A48">
      <w:pPr>
        <w:pStyle w:val="Default"/>
        <w:jc w:val="both"/>
        <w:rPr>
          <w:sz w:val="22"/>
          <w:szCs w:val="22"/>
          <w:lang w:val="lv-LV"/>
        </w:rPr>
      </w:pPr>
    </w:p>
    <w:p w14:paraId="3A37702D" w14:textId="77777777" w:rsidR="00F56B62" w:rsidRPr="00A81A48" w:rsidRDefault="000F6E6D" w:rsidP="00A81A48">
      <w:pPr>
        <w:pStyle w:val="Default"/>
        <w:jc w:val="both"/>
        <w:rPr>
          <w:sz w:val="22"/>
          <w:szCs w:val="22"/>
          <w:lang w:val="lv-LV"/>
        </w:rPr>
      </w:pPr>
      <w:r w:rsidRPr="00A81A48">
        <w:rPr>
          <w:sz w:val="22"/>
          <w:szCs w:val="22"/>
          <w:lang w:val="lv-LV"/>
        </w:rPr>
        <w:t xml:space="preserve">Pēcreģistrācijas pieredze: papildus iepriekš aprakstītajām nevēlamajām blakusparādībām, saistībā ar </w:t>
      </w:r>
      <w:r w:rsidRPr="00A81A48">
        <w:rPr>
          <w:sz w:val="22"/>
          <w:szCs w:val="22"/>
          <w:lang w:val="lv-LV"/>
        </w:rPr>
        <w:lastRenderedPageBreak/>
        <w:t>tamsulosīna lietošanu ir ziņots par priekškambaru mirdzēšanu, aritmiju</w:t>
      </w:r>
      <w:r w:rsidR="00C14172" w:rsidRPr="00A81A48">
        <w:rPr>
          <w:sz w:val="22"/>
          <w:szCs w:val="22"/>
          <w:lang w:val="lv-LV"/>
        </w:rPr>
        <w:t>, tahikardiju</w:t>
      </w:r>
      <w:r w:rsidRPr="00A81A48">
        <w:rPr>
          <w:sz w:val="22"/>
          <w:szCs w:val="22"/>
          <w:lang w:val="lv-LV"/>
        </w:rPr>
        <w:t xml:space="preserve"> un elpas trūkumu. Tā kā pēcreģistrācijas pieredze par šīm spontāni ziņotajām parādībām ir iegūta visā pasaulē, šo parādību sastopamības biežums un tamsulosīna loma to izraisīšanā nav droši noteikta.</w:t>
      </w:r>
    </w:p>
    <w:p w14:paraId="7BD74244" w14:textId="77777777" w:rsidR="00F56B62" w:rsidRPr="00A81A48" w:rsidRDefault="00F56B62" w:rsidP="00A81A48">
      <w:pPr>
        <w:pStyle w:val="Default"/>
        <w:jc w:val="both"/>
        <w:rPr>
          <w:sz w:val="22"/>
          <w:szCs w:val="22"/>
          <w:lang w:val="lv-LV"/>
        </w:rPr>
      </w:pPr>
    </w:p>
    <w:p w14:paraId="0C161554" w14:textId="77777777" w:rsidR="004F0602" w:rsidRPr="00A81A48" w:rsidRDefault="004F0602" w:rsidP="00A81A48">
      <w:pPr>
        <w:autoSpaceDE w:val="0"/>
        <w:autoSpaceDN w:val="0"/>
        <w:adjustRightInd w:val="0"/>
        <w:spacing w:after="0" w:line="240" w:lineRule="auto"/>
        <w:jc w:val="both"/>
        <w:rPr>
          <w:rFonts w:ascii="Times New Roman" w:hAnsi="Times New Roman"/>
          <w:color w:val="000000"/>
          <w:u w:val="single"/>
          <w:lang w:val="lv-LV"/>
        </w:rPr>
      </w:pPr>
      <w:r w:rsidRPr="00A81A48">
        <w:rPr>
          <w:rFonts w:ascii="Times New Roman" w:hAnsi="Times New Roman"/>
          <w:color w:val="000000"/>
          <w:u w:val="single"/>
          <w:lang w:val="lv-LV"/>
        </w:rPr>
        <w:t>Ziņošana par iespējamām nevēlamām blakusparādībām</w:t>
      </w:r>
    </w:p>
    <w:p w14:paraId="463CFD46" w14:textId="77777777" w:rsidR="004353AE" w:rsidRPr="00A81A48" w:rsidRDefault="004353AE" w:rsidP="00A81A48">
      <w:pPr>
        <w:autoSpaceDE w:val="0"/>
        <w:autoSpaceDN w:val="0"/>
        <w:adjustRightInd w:val="0"/>
        <w:spacing w:after="0" w:line="240" w:lineRule="auto"/>
        <w:jc w:val="both"/>
        <w:rPr>
          <w:rStyle w:val="apple-style-span"/>
          <w:rFonts w:ascii="Times New Roman" w:hAnsi="Times New Roman"/>
          <w:color w:val="000000"/>
          <w:lang w:val="lv-LV"/>
        </w:rPr>
      </w:pPr>
      <w:r w:rsidRPr="00747D66">
        <w:rPr>
          <w:rStyle w:val="apple-style-span"/>
          <w:rFonts w:ascii="Times New Roman" w:hAnsi="Times New Roman"/>
          <w:color w:val="000000"/>
          <w:lang w:val="lv-LV"/>
        </w:rPr>
        <w:t>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Zāļu val</w:t>
      </w:r>
      <w:r w:rsidRPr="00031E1B">
        <w:rPr>
          <w:rStyle w:val="apple-style-span"/>
          <w:rFonts w:ascii="Times New Roman" w:hAnsi="Times New Roman"/>
          <w:color w:val="000000"/>
          <w:lang w:val="lv-LV"/>
        </w:rPr>
        <w:t xml:space="preserve">sts aģentūrai, Jersikas ielā 15, Rīgā, LV 1003. </w:t>
      </w:r>
      <w:r w:rsidRPr="00A81A48">
        <w:rPr>
          <w:rStyle w:val="apple-style-span"/>
          <w:rFonts w:ascii="Times New Roman" w:hAnsi="Times New Roman"/>
          <w:color w:val="000000"/>
          <w:lang w:val="lv-LV"/>
        </w:rPr>
        <w:t xml:space="preserve">Tīmekļa vietne: </w:t>
      </w:r>
      <w:hyperlink r:id="rId7" w:history="1">
        <w:r w:rsidRPr="00A81A48">
          <w:rPr>
            <w:rStyle w:val="Hyperlink"/>
            <w:rFonts w:ascii="Times New Roman" w:hAnsi="Times New Roman"/>
            <w:color w:val="000000"/>
            <w:lang w:val="lv-LV"/>
          </w:rPr>
          <w:t>www.zva.gov.lv</w:t>
        </w:r>
      </w:hyperlink>
    </w:p>
    <w:p w14:paraId="2CCD4464" w14:textId="77777777" w:rsidR="004F0602" w:rsidRPr="00A81A48" w:rsidRDefault="004F0602" w:rsidP="00A81A48">
      <w:pPr>
        <w:pStyle w:val="Default"/>
        <w:jc w:val="both"/>
        <w:rPr>
          <w:sz w:val="22"/>
          <w:szCs w:val="22"/>
          <w:lang w:val="lv-LV"/>
        </w:rPr>
      </w:pPr>
    </w:p>
    <w:p w14:paraId="59C581A0" w14:textId="77777777" w:rsidR="00F56B62" w:rsidRPr="00A81A48" w:rsidRDefault="000F6E6D" w:rsidP="00A81A48">
      <w:pPr>
        <w:pStyle w:val="Default"/>
        <w:jc w:val="both"/>
        <w:rPr>
          <w:sz w:val="22"/>
          <w:szCs w:val="22"/>
          <w:lang w:val="lv-LV"/>
        </w:rPr>
      </w:pPr>
      <w:r w:rsidRPr="00A81A48">
        <w:rPr>
          <w:b/>
          <w:bCs/>
          <w:sz w:val="22"/>
          <w:szCs w:val="22"/>
          <w:lang w:val="lv-LV"/>
        </w:rPr>
        <w:t>4.9 Pārdozēšana</w:t>
      </w:r>
    </w:p>
    <w:p w14:paraId="090AB40A" w14:textId="77777777" w:rsidR="004353AE" w:rsidRPr="00A81A48" w:rsidRDefault="004353AE" w:rsidP="00A81A48">
      <w:pPr>
        <w:pStyle w:val="Default"/>
        <w:jc w:val="both"/>
        <w:rPr>
          <w:sz w:val="22"/>
          <w:szCs w:val="22"/>
          <w:u w:val="single"/>
          <w:lang w:val="lv-LV"/>
        </w:rPr>
      </w:pPr>
    </w:p>
    <w:p w14:paraId="7AA9A019" w14:textId="77777777" w:rsidR="004F0602" w:rsidRPr="00A81A48" w:rsidRDefault="004F0602" w:rsidP="00A81A48">
      <w:pPr>
        <w:pStyle w:val="Default"/>
        <w:jc w:val="both"/>
        <w:rPr>
          <w:sz w:val="22"/>
          <w:szCs w:val="22"/>
          <w:u w:val="single"/>
          <w:lang w:val="lv-LV"/>
        </w:rPr>
      </w:pPr>
      <w:r w:rsidRPr="00A81A48">
        <w:rPr>
          <w:sz w:val="22"/>
          <w:szCs w:val="22"/>
          <w:u w:val="single"/>
          <w:lang w:val="lv-LV"/>
        </w:rPr>
        <w:t>Simptomi</w:t>
      </w:r>
    </w:p>
    <w:p w14:paraId="586FCF53" w14:textId="77777777" w:rsidR="008B2733" w:rsidRPr="00A81A48" w:rsidRDefault="000F6E6D" w:rsidP="00A81A48">
      <w:pPr>
        <w:pStyle w:val="Default"/>
        <w:jc w:val="both"/>
        <w:rPr>
          <w:sz w:val="22"/>
          <w:szCs w:val="22"/>
          <w:lang w:val="lv-LV"/>
        </w:rPr>
      </w:pPr>
      <w:r w:rsidRPr="00A81A48">
        <w:rPr>
          <w:sz w:val="22"/>
          <w:szCs w:val="22"/>
          <w:lang w:val="lv-LV"/>
        </w:rPr>
        <w:t>Ziņots par akūtu pārdozēšanu ar 5 mg tamsulosīna hidrohlorīda. Tika novērota akūta hipotensija (sistoliskais asinsspiediens 70 mm/Hg), vemšana un caureja, kas tika ārstēta ar šķidruma aizstājterapiju, un pacientu varēja izrakstīt no slimnīcas tajā pašā die</w:t>
      </w:r>
      <w:r w:rsidR="008B2733" w:rsidRPr="00A81A48">
        <w:rPr>
          <w:sz w:val="22"/>
          <w:szCs w:val="22"/>
          <w:lang w:val="lv-LV"/>
        </w:rPr>
        <w:t>nā.</w:t>
      </w:r>
    </w:p>
    <w:p w14:paraId="547180E3" w14:textId="77777777" w:rsidR="008B2733" w:rsidRPr="00A81A48" w:rsidRDefault="008B2733" w:rsidP="00A81A48">
      <w:pPr>
        <w:pStyle w:val="Default"/>
        <w:jc w:val="both"/>
        <w:rPr>
          <w:sz w:val="22"/>
          <w:szCs w:val="22"/>
          <w:lang w:val="lv-LV"/>
        </w:rPr>
      </w:pPr>
    </w:p>
    <w:p w14:paraId="216A6739" w14:textId="77777777" w:rsidR="00343CBD" w:rsidRPr="00A81A48" w:rsidRDefault="00343CBD" w:rsidP="00A81A48">
      <w:pPr>
        <w:pStyle w:val="Default"/>
        <w:jc w:val="both"/>
        <w:rPr>
          <w:sz w:val="22"/>
          <w:szCs w:val="22"/>
          <w:u w:val="single"/>
          <w:lang w:val="lv-LV"/>
        </w:rPr>
      </w:pPr>
      <w:r w:rsidRPr="00A81A48">
        <w:rPr>
          <w:sz w:val="22"/>
          <w:szCs w:val="22"/>
          <w:u w:val="single"/>
          <w:lang w:val="lv-LV"/>
        </w:rPr>
        <w:t>Terapija</w:t>
      </w:r>
    </w:p>
    <w:p w14:paraId="0A06B89F" w14:textId="77777777" w:rsidR="008B2733" w:rsidRPr="00A81A48" w:rsidRDefault="000F6E6D" w:rsidP="00A81A48">
      <w:pPr>
        <w:pStyle w:val="Default"/>
        <w:jc w:val="both"/>
        <w:rPr>
          <w:sz w:val="22"/>
          <w:szCs w:val="22"/>
          <w:lang w:val="lv-LV"/>
        </w:rPr>
      </w:pPr>
      <w:r w:rsidRPr="00A81A48">
        <w:rPr>
          <w:sz w:val="22"/>
          <w:szCs w:val="22"/>
          <w:lang w:val="lv-LV"/>
        </w:rPr>
        <w:t>Akūtas hipotensijas gadījumā, kas rodas pārdozēšanas gadījumā, jānodrošina kardiovaskulārās funkcijas atbalsts. Asinsspiedienu var atjaunot un sirdsdarbību normalizēt, noguldot pacientu. Ja tas nelīdz, var ievadīt tilpumu palielinošus līdzekļus, un, ja nepieciešams, vazopresoros līdzekļus. Jākontrolē nieru darbība un jānodrošina vispārēja uzturoša terapija. Maz ticams, ka dialīze būs lietderīga, jo tamsulosīns ļoti lielā apjomā sai</w:t>
      </w:r>
      <w:r w:rsidR="008B2733" w:rsidRPr="00A81A48">
        <w:rPr>
          <w:sz w:val="22"/>
          <w:szCs w:val="22"/>
          <w:lang w:val="lv-LV"/>
        </w:rPr>
        <w:t>stās ar plazmas olbaltumvielām.</w:t>
      </w:r>
    </w:p>
    <w:p w14:paraId="3EE5671B" w14:textId="77777777" w:rsidR="008B2733" w:rsidRPr="00A81A48" w:rsidRDefault="008B2733" w:rsidP="00A81A48">
      <w:pPr>
        <w:pStyle w:val="Default"/>
        <w:jc w:val="both"/>
        <w:rPr>
          <w:sz w:val="22"/>
          <w:szCs w:val="22"/>
          <w:lang w:val="lv-LV"/>
        </w:rPr>
      </w:pPr>
    </w:p>
    <w:p w14:paraId="09A0CB4B" w14:textId="77777777" w:rsidR="00F56B62" w:rsidRPr="00A81A48" w:rsidRDefault="000F6E6D" w:rsidP="00A81A48">
      <w:pPr>
        <w:pStyle w:val="Default"/>
        <w:jc w:val="both"/>
        <w:rPr>
          <w:sz w:val="22"/>
          <w:szCs w:val="22"/>
          <w:lang w:val="lv-LV"/>
        </w:rPr>
      </w:pPr>
      <w:r w:rsidRPr="00A81A48">
        <w:rPr>
          <w:sz w:val="22"/>
          <w:szCs w:val="22"/>
          <w:lang w:val="lv-LV"/>
        </w:rPr>
        <w:t>Tādi pasākumi, kā vemšanas izraisīšana, var tikt piemēroti, lai aizkavētu uzsūkšanos. Ja ir lietots liels zāļu daudzums, var veikt kuņģa skalošanu un lietot aktivēto ogli un osmotisku caurejas līdzekli, piemēram, nātrija sulfātu.</w:t>
      </w:r>
    </w:p>
    <w:p w14:paraId="78A3A515" w14:textId="77777777" w:rsidR="00F56B62" w:rsidRPr="00A81A48" w:rsidRDefault="00F56B62" w:rsidP="00A81A48">
      <w:pPr>
        <w:pStyle w:val="Default"/>
        <w:jc w:val="both"/>
        <w:rPr>
          <w:sz w:val="22"/>
          <w:szCs w:val="22"/>
          <w:lang w:val="lv-LV"/>
        </w:rPr>
      </w:pPr>
    </w:p>
    <w:p w14:paraId="3901073D" w14:textId="77777777" w:rsidR="004353AE" w:rsidRPr="00A81A48" w:rsidRDefault="004353AE" w:rsidP="00A81A48">
      <w:pPr>
        <w:pStyle w:val="Default"/>
        <w:jc w:val="both"/>
        <w:rPr>
          <w:sz w:val="22"/>
          <w:szCs w:val="22"/>
          <w:lang w:val="lv-LV"/>
        </w:rPr>
      </w:pPr>
    </w:p>
    <w:p w14:paraId="777F7A03" w14:textId="77777777" w:rsidR="00F56B62" w:rsidRPr="00A81A48" w:rsidRDefault="00F56B62" w:rsidP="00A81A48">
      <w:pPr>
        <w:pStyle w:val="Default"/>
        <w:jc w:val="both"/>
        <w:rPr>
          <w:b/>
          <w:bCs/>
          <w:sz w:val="22"/>
          <w:szCs w:val="22"/>
          <w:lang w:val="lv-LV"/>
        </w:rPr>
      </w:pPr>
      <w:r w:rsidRPr="00A81A48">
        <w:rPr>
          <w:b/>
          <w:bCs/>
          <w:sz w:val="22"/>
          <w:szCs w:val="22"/>
          <w:lang w:val="lv-LV"/>
        </w:rPr>
        <w:t>5. FARMAKOLOĢISKĀS ĪPAŠĪBAS</w:t>
      </w:r>
    </w:p>
    <w:p w14:paraId="7078B089" w14:textId="77777777" w:rsidR="004353AE" w:rsidRPr="00A81A48" w:rsidRDefault="004353AE" w:rsidP="00A81A48">
      <w:pPr>
        <w:pStyle w:val="Default"/>
        <w:jc w:val="both"/>
        <w:rPr>
          <w:b/>
          <w:bCs/>
          <w:sz w:val="22"/>
          <w:szCs w:val="22"/>
          <w:lang w:val="lv-LV"/>
        </w:rPr>
      </w:pPr>
    </w:p>
    <w:p w14:paraId="611963E4" w14:textId="77777777" w:rsidR="00F56B62" w:rsidRPr="00A81A48" w:rsidRDefault="000F6E6D" w:rsidP="00A81A48">
      <w:pPr>
        <w:pStyle w:val="Default"/>
        <w:jc w:val="both"/>
        <w:rPr>
          <w:sz w:val="22"/>
          <w:szCs w:val="22"/>
          <w:lang w:val="lv-LV"/>
        </w:rPr>
      </w:pPr>
      <w:r w:rsidRPr="00A81A48">
        <w:rPr>
          <w:b/>
          <w:bCs/>
          <w:sz w:val="22"/>
          <w:szCs w:val="22"/>
          <w:lang w:val="lv-LV"/>
        </w:rPr>
        <w:t>5.1 Farmakodinamiskās īpašības</w:t>
      </w:r>
    </w:p>
    <w:p w14:paraId="2619FFDD" w14:textId="77777777" w:rsidR="004353AE" w:rsidRPr="00A81A48" w:rsidRDefault="004353AE" w:rsidP="00A81A48">
      <w:pPr>
        <w:pStyle w:val="Default"/>
        <w:jc w:val="both"/>
        <w:rPr>
          <w:b/>
          <w:bCs/>
          <w:sz w:val="22"/>
          <w:szCs w:val="22"/>
          <w:lang w:val="lv-LV"/>
        </w:rPr>
      </w:pPr>
    </w:p>
    <w:p w14:paraId="4E79998D" w14:textId="77777777" w:rsidR="00F56B62" w:rsidRPr="00A81A48" w:rsidRDefault="000F6E6D" w:rsidP="00A81A48">
      <w:pPr>
        <w:pStyle w:val="Default"/>
        <w:jc w:val="both"/>
        <w:rPr>
          <w:sz w:val="22"/>
          <w:szCs w:val="22"/>
          <w:lang w:val="lv-LV"/>
        </w:rPr>
      </w:pPr>
      <w:r w:rsidRPr="00A81A48">
        <w:rPr>
          <w:b/>
          <w:bCs/>
          <w:sz w:val="22"/>
          <w:szCs w:val="22"/>
          <w:lang w:val="lv-LV"/>
        </w:rPr>
        <w:t>Farmakoterapeitiskā grupa</w:t>
      </w:r>
      <w:r w:rsidRPr="00A81A48">
        <w:rPr>
          <w:sz w:val="22"/>
          <w:szCs w:val="22"/>
          <w:lang w:val="lv-LV"/>
        </w:rPr>
        <w:t>: Tamsulosīns ir α</w:t>
      </w:r>
      <w:r w:rsidRPr="00A81A48">
        <w:rPr>
          <w:sz w:val="22"/>
          <w:szCs w:val="22"/>
          <w:vertAlign w:val="subscript"/>
          <w:lang w:val="lv-LV"/>
        </w:rPr>
        <w:t>1A</w:t>
      </w:r>
      <w:r w:rsidRPr="00A81A48">
        <w:rPr>
          <w:sz w:val="22"/>
          <w:szCs w:val="22"/>
          <w:lang w:val="lv-LV"/>
        </w:rPr>
        <w:t xml:space="preserve"> adrenoreceptoru antagonists. Šīs zāles lieto tikai prie</w:t>
      </w:r>
      <w:r w:rsidR="00F56B62" w:rsidRPr="00A81A48">
        <w:rPr>
          <w:sz w:val="22"/>
          <w:szCs w:val="22"/>
          <w:lang w:val="lv-LV"/>
        </w:rPr>
        <w:t>kšdziedzera slimību ārstēšanai.</w:t>
      </w:r>
    </w:p>
    <w:p w14:paraId="2A048F04" w14:textId="77777777" w:rsidR="00F56B62" w:rsidRPr="00A81A48" w:rsidRDefault="000F6E6D" w:rsidP="00A81A48">
      <w:pPr>
        <w:pStyle w:val="Default"/>
        <w:jc w:val="both"/>
        <w:rPr>
          <w:sz w:val="22"/>
          <w:szCs w:val="22"/>
          <w:lang w:val="lv-LV"/>
        </w:rPr>
      </w:pPr>
      <w:r w:rsidRPr="00A81A48">
        <w:rPr>
          <w:b/>
          <w:bCs/>
          <w:sz w:val="22"/>
          <w:szCs w:val="22"/>
          <w:lang w:val="lv-LV"/>
        </w:rPr>
        <w:t>ATĶ kods</w:t>
      </w:r>
      <w:r w:rsidRPr="00A81A48">
        <w:rPr>
          <w:sz w:val="22"/>
          <w:szCs w:val="22"/>
          <w:lang w:val="lv-LV"/>
        </w:rPr>
        <w:t>: G04CA02</w:t>
      </w:r>
    </w:p>
    <w:p w14:paraId="0BEF494C" w14:textId="77777777" w:rsidR="00F56B62" w:rsidRPr="00A81A48" w:rsidRDefault="00F56B62" w:rsidP="00A81A48">
      <w:pPr>
        <w:pStyle w:val="Default"/>
        <w:jc w:val="both"/>
        <w:rPr>
          <w:sz w:val="22"/>
          <w:szCs w:val="22"/>
          <w:lang w:val="lv-LV"/>
        </w:rPr>
      </w:pPr>
    </w:p>
    <w:p w14:paraId="75DBAEF7" w14:textId="77777777" w:rsidR="00F56B62" w:rsidRPr="00A81A48" w:rsidRDefault="000F6E6D" w:rsidP="00A81A48">
      <w:pPr>
        <w:pStyle w:val="Default"/>
        <w:jc w:val="both"/>
        <w:rPr>
          <w:i/>
          <w:iCs/>
          <w:sz w:val="22"/>
          <w:szCs w:val="22"/>
          <w:lang w:val="lv-LV"/>
        </w:rPr>
      </w:pPr>
      <w:r w:rsidRPr="00A81A48">
        <w:rPr>
          <w:i/>
          <w:iCs/>
          <w:sz w:val="22"/>
          <w:szCs w:val="22"/>
          <w:lang w:val="lv-LV"/>
        </w:rPr>
        <w:t>Darbības mehānisms</w:t>
      </w:r>
    </w:p>
    <w:p w14:paraId="07D42914" w14:textId="77777777" w:rsidR="008B2733" w:rsidRPr="00A81A48" w:rsidRDefault="000F6E6D" w:rsidP="00A81A48">
      <w:pPr>
        <w:pStyle w:val="Default"/>
        <w:jc w:val="both"/>
        <w:rPr>
          <w:sz w:val="22"/>
          <w:szCs w:val="22"/>
          <w:lang w:val="lv-LV"/>
        </w:rPr>
      </w:pPr>
      <w:r w:rsidRPr="00A81A48">
        <w:rPr>
          <w:sz w:val="22"/>
          <w:szCs w:val="22"/>
          <w:lang w:val="lv-LV"/>
        </w:rPr>
        <w:t>Tamsulosīns selektīvi un konkurējoši saistās ar postsinaptiskiem α</w:t>
      </w:r>
      <w:r w:rsidRPr="00A81A48">
        <w:rPr>
          <w:sz w:val="22"/>
          <w:szCs w:val="22"/>
          <w:vertAlign w:val="subscript"/>
          <w:lang w:val="lv-LV"/>
        </w:rPr>
        <w:t>1A</w:t>
      </w:r>
      <w:r w:rsidRPr="00A81A48">
        <w:rPr>
          <w:sz w:val="22"/>
          <w:szCs w:val="22"/>
          <w:lang w:val="lv-LV"/>
        </w:rPr>
        <w:t xml:space="preserve"> adrenoreceptoriem, kas pārvada gludās muskulatūras kontrakcijas, tādejādi atslābinot priekšdziedzera un urīnizvadkanāla gludo muskulatūru.</w:t>
      </w:r>
    </w:p>
    <w:p w14:paraId="713894BE" w14:textId="77777777" w:rsidR="008B2733" w:rsidRPr="00A81A48" w:rsidRDefault="008B2733" w:rsidP="00A81A48">
      <w:pPr>
        <w:pStyle w:val="Default"/>
        <w:jc w:val="both"/>
        <w:rPr>
          <w:sz w:val="22"/>
          <w:szCs w:val="22"/>
          <w:lang w:val="lv-LV"/>
        </w:rPr>
      </w:pPr>
    </w:p>
    <w:p w14:paraId="22AF2ADF" w14:textId="77777777" w:rsidR="008B2733" w:rsidRPr="00A81A48" w:rsidRDefault="000F6E6D" w:rsidP="00A81A48">
      <w:pPr>
        <w:pStyle w:val="Default"/>
        <w:jc w:val="both"/>
        <w:rPr>
          <w:i/>
          <w:iCs/>
          <w:sz w:val="22"/>
          <w:szCs w:val="22"/>
          <w:lang w:val="lv-LV"/>
        </w:rPr>
      </w:pPr>
      <w:r w:rsidRPr="00A81A48">
        <w:rPr>
          <w:i/>
          <w:iCs/>
          <w:sz w:val="22"/>
          <w:szCs w:val="22"/>
          <w:lang w:val="lv-LV"/>
        </w:rPr>
        <w:t>Farmakodinamiskā iedarbība</w:t>
      </w:r>
    </w:p>
    <w:p w14:paraId="350C6B94" w14:textId="77777777" w:rsidR="008B2733" w:rsidRPr="00A81A48" w:rsidRDefault="000F6E6D" w:rsidP="00A81A48">
      <w:pPr>
        <w:pStyle w:val="Default"/>
        <w:jc w:val="both"/>
        <w:rPr>
          <w:sz w:val="22"/>
          <w:szCs w:val="22"/>
          <w:lang w:val="lv-LV"/>
        </w:rPr>
      </w:pPr>
      <w:r w:rsidRPr="00A81A48">
        <w:rPr>
          <w:sz w:val="22"/>
          <w:szCs w:val="22"/>
          <w:lang w:val="lv-LV"/>
        </w:rPr>
        <w:t>Tamsulosīns palielina maksimālo urīna plūsmas ātrumu, atslābinot priekšdziedzera un urīnizvadkanāla gludo muskulatūru, tā</w:t>
      </w:r>
      <w:r w:rsidR="008B2733" w:rsidRPr="00A81A48">
        <w:rPr>
          <w:sz w:val="22"/>
          <w:szCs w:val="22"/>
          <w:lang w:val="lv-LV"/>
        </w:rPr>
        <w:t>dā veidā samazinot obstrukciju.</w:t>
      </w:r>
    </w:p>
    <w:p w14:paraId="3887D9F1" w14:textId="77777777" w:rsidR="008B2733" w:rsidRPr="00A81A48" w:rsidRDefault="008B2733" w:rsidP="00A81A48">
      <w:pPr>
        <w:pStyle w:val="Default"/>
        <w:jc w:val="both"/>
        <w:rPr>
          <w:sz w:val="22"/>
          <w:szCs w:val="22"/>
          <w:lang w:val="lv-LV"/>
        </w:rPr>
      </w:pPr>
    </w:p>
    <w:p w14:paraId="4EC0CFD6" w14:textId="77777777" w:rsidR="008B2733" w:rsidRPr="00A81A48" w:rsidRDefault="000F6E6D" w:rsidP="00A81A48">
      <w:pPr>
        <w:pStyle w:val="Default"/>
        <w:jc w:val="both"/>
        <w:rPr>
          <w:sz w:val="22"/>
          <w:szCs w:val="22"/>
          <w:lang w:val="lv-LV"/>
        </w:rPr>
      </w:pPr>
      <w:r w:rsidRPr="00A81A48">
        <w:rPr>
          <w:sz w:val="22"/>
          <w:szCs w:val="22"/>
          <w:lang w:val="lv-LV"/>
        </w:rPr>
        <w:t>Šīs zāles uzlabo arī kairinājuma un obstrukcijas simptomus, kur svarīga loma ir gludās muskulatūras ko</w:t>
      </w:r>
      <w:r w:rsidR="008B2733" w:rsidRPr="00A81A48">
        <w:rPr>
          <w:sz w:val="22"/>
          <w:szCs w:val="22"/>
          <w:lang w:val="lv-LV"/>
        </w:rPr>
        <w:t>ntrakcijām apakšējos urīnceļos.</w:t>
      </w:r>
    </w:p>
    <w:p w14:paraId="55F2240D" w14:textId="77777777" w:rsidR="008B2733" w:rsidRPr="00A81A48" w:rsidRDefault="008B2733" w:rsidP="00A81A48">
      <w:pPr>
        <w:pStyle w:val="Default"/>
        <w:jc w:val="both"/>
        <w:rPr>
          <w:sz w:val="22"/>
          <w:szCs w:val="22"/>
          <w:lang w:val="lv-LV"/>
        </w:rPr>
      </w:pPr>
    </w:p>
    <w:p w14:paraId="455DE25C" w14:textId="77777777" w:rsidR="008B2733" w:rsidRPr="00A81A48" w:rsidRDefault="000F6E6D" w:rsidP="00A81A48">
      <w:pPr>
        <w:pStyle w:val="Default"/>
        <w:jc w:val="both"/>
        <w:rPr>
          <w:sz w:val="22"/>
          <w:szCs w:val="22"/>
          <w:lang w:val="lv-LV"/>
        </w:rPr>
      </w:pPr>
      <w:r w:rsidRPr="00A81A48">
        <w:rPr>
          <w:sz w:val="22"/>
          <w:szCs w:val="22"/>
          <w:lang w:val="lv-LV"/>
        </w:rPr>
        <w:t>Alfa-blokatori var pazemināt asinsspiedienu, samazinot perifēro pretestību. Pacientiem ar normālu asinsspiedienu pētījumu laikā ar tamsulosīnu netika novērota klīniski nozīmīg</w:t>
      </w:r>
      <w:r w:rsidR="008B2733" w:rsidRPr="00A81A48">
        <w:rPr>
          <w:sz w:val="22"/>
          <w:szCs w:val="22"/>
          <w:lang w:val="lv-LV"/>
        </w:rPr>
        <w:t>a asinsspiediena pazemināšanās.</w:t>
      </w:r>
    </w:p>
    <w:p w14:paraId="3DC1C2E2" w14:textId="77777777" w:rsidR="008B2733" w:rsidRPr="00A81A48" w:rsidRDefault="008B2733" w:rsidP="00A81A48">
      <w:pPr>
        <w:pStyle w:val="Default"/>
        <w:jc w:val="both"/>
        <w:rPr>
          <w:sz w:val="22"/>
          <w:szCs w:val="22"/>
          <w:lang w:val="lv-LV"/>
        </w:rPr>
      </w:pPr>
    </w:p>
    <w:p w14:paraId="4D5E1B50" w14:textId="77777777" w:rsidR="008B2733" w:rsidRPr="00A81A48" w:rsidRDefault="000F6E6D" w:rsidP="00A81A48">
      <w:pPr>
        <w:pStyle w:val="Default"/>
        <w:jc w:val="both"/>
        <w:rPr>
          <w:sz w:val="22"/>
          <w:szCs w:val="22"/>
          <w:lang w:val="lv-LV"/>
        </w:rPr>
      </w:pPr>
      <w:r w:rsidRPr="00A81A48">
        <w:rPr>
          <w:sz w:val="22"/>
          <w:szCs w:val="22"/>
          <w:lang w:val="lv-LV"/>
        </w:rPr>
        <w:t>Zāļu ietekme uz aiztures un urinēšanas simptomiem tiek saglabāta arī ilgstošas terapijas laikā, kā rezultātā ievērojami tiek atlikta nepieciešam</w:t>
      </w:r>
      <w:r w:rsidR="008B2733" w:rsidRPr="00A81A48">
        <w:rPr>
          <w:sz w:val="22"/>
          <w:szCs w:val="22"/>
          <w:lang w:val="lv-LV"/>
        </w:rPr>
        <w:t>ība pēc ķirurģiskas ārstēšanas.</w:t>
      </w:r>
    </w:p>
    <w:p w14:paraId="2E4AA348" w14:textId="77777777" w:rsidR="008B2733" w:rsidRPr="00A81A48" w:rsidRDefault="008B2733" w:rsidP="00A81A48">
      <w:pPr>
        <w:pStyle w:val="Default"/>
        <w:jc w:val="both"/>
        <w:rPr>
          <w:sz w:val="22"/>
          <w:szCs w:val="22"/>
          <w:lang w:val="lv-LV"/>
        </w:rPr>
      </w:pPr>
    </w:p>
    <w:p w14:paraId="0066C51F" w14:textId="77777777" w:rsidR="008B2733" w:rsidRPr="00A81A48" w:rsidRDefault="008B2733" w:rsidP="00A81A48">
      <w:pPr>
        <w:pStyle w:val="Default"/>
        <w:jc w:val="both"/>
        <w:rPr>
          <w:sz w:val="22"/>
          <w:szCs w:val="22"/>
          <w:u w:val="single"/>
          <w:lang w:val="lv-LV"/>
        </w:rPr>
      </w:pPr>
      <w:r w:rsidRPr="00A81A48">
        <w:rPr>
          <w:sz w:val="22"/>
          <w:szCs w:val="22"/>
          <w:u w:val="single"/>
          <w:lang w:val="lv-LV"/>
        </w:rPr>
        <w:t>Pediatriskā populācija</w:t>
      </w:r>
    </w:p>
    <w:p w14:paraId="01A4E013" w14:textId="77777777" w:rsidR="008B2733" w:rsidRPr="00A81A48" w:rsidRDefault="000F6E6D" w:rsidP="00A81A48">
      <w:pPr>
        <w:pStyle w:val="Default"/>
        <w:jc w:val="both"/>
        <w:rPr>
          <w:sz w:val="22"/>
          <w:szCs w:val="22"/>
          <w:lang w:val="lv-LV"/>
        </w:rPr>
      </w:pPr>
      <w:r w:rsidRPr="00A81A48">
        <w:rPr>
          <w:sz w:val="22"/>
          <w:szCs w:val="22"/>
          <w:lang w:val="lv-LV"/>
        </w:rPr>
        <w:lastRenderedPageBreak/>
        <w:t xml:space="preserve">Dubultmaskēts, randomizēts placebo kontrolēts, devu robežu noteikšanas pētījums tika veikts bērniem ar neiropātisku urīnpūsli. Pavisam tika randomizēts 161 bērns (vecumā no 2 līdz 16 gadiem), kuri tika ārstēti ar 1 no 3 tamsulosīna devām (mazām [0,001 līdz 0,002 mg/kg], vidējām [0,002 līdz 0,004 mg/kg] un lielām [0,004 līdz 0,008 mg/kg]) vai placebo. Primārais mērķa kritērijs bija pacientu skaits, kuriem, pamatojoties uz diviem vienā dienā veiktiem vērtējumiem, </w:t>
      </w:r>
      <w:r w:rsidRPr="00A81A48">
        <w:rPr>
          <w:i/>
          <w:iCs/>
          <w:sz w:val="22"/>
          <w:szCs w:val="22"/>
          <w:lang w:val="lv-LV"/>
        </w:rPr>
        <w:t xml:space="preserve">detrusor </w:t>
      </w:r>
      <w:r w:rsidRPr="00A81A48">
        <w:rPr>
          <w:sz w:val="22"/>
          <w:szCs w:val="22"/>
          <w:lang w:val="lv-LV"/>
        </w:rPr>
        <w:t>noplūdes punkta spiediens (</w:t>
      </w:r>
      <w:r w:rsidRPr="00A81A48">
        <w:rPr>
          <w:i/>
          <w:iCs/>
          <w:sz w:val="22"/>
          <w:szCs w:val="22"/>
          <w:lang w:val="lv-LV"/>
        </w:rPr>
        <w:t>leak point pressure</w:t>
      </w:r>
      <w:r w:rsidRPr="00A81A48">
        <w:rPr>
          <w:sz w:val="22"/>
          <w:szCs w:val="22"/>
          <w:lang w:val="lv-LV"/>
        </w:rPr>
        <w:t xml:space="preserve">; </w:t>
      </w:r>
      <w:r w:rsidRPr="00A81A48">
        <w:rPr>
          <w:i/>
          <w:iCs/>
          <w:sz w:val="22"/>
          <w:szCs w:val="22"/>
          <w:lang w:val="lv-LV"/>
        </w:rPr>
        <w:t>LPP</w:t>
      </w:r>
      <w:r w:rsidRPr="00A81A48">
        <w:rPr>
          <w:sz w:val="22"/>
          <w:szCs w:val="22"/>
          <w:lang w:val="lv-LV"/>
        </w:rPr>
        <w:t>) pazeminājās līdz &lt; 40 cm H</w:t>
      </w:r>
      <w:r w:rsidRPr="00A81A48">
        <w:rPr>
          <w:sz w:val="22"/>
          <w:szCs w:val="22"/>
          <w:vertAlign w:val="subscript"/>
          <w:lang w:val="lv-LV"/>
        </w:rPr>
        <w:t>2</w:t>
      </w:r>
      <w:r w:rsidRPr="00A81A48">
        <w:rPr>
          <w:sz w:val="22"/>
          <w:szCs w:val="22"/>
          <w:lang w:val="lv-LV"/>
        </w:rPr>
        <w:t xml:space="preserve">O. Sekundārie mērķa kritēriji bija šādi: absolūtās un procentuālās </w:t>
      </w:r>
      <w:r w:rsidRPr="00A81A48">
        <w:rPr>
          <w:i/>
          <w:iCs/>
          <w:sz w:val="22"/>
          <w:szCs w:val="22"/>
          <w:lang w:val="lv-LV"/>
        </w:rPr>
        <w:t xml:space="preserve">detrusor </w:t>
      </w:r>
      <w:r w:rsidRPr="00A81A48">
        <w:rPr>
          <w:sz w:val="22"/>
          <w:szCs w:val="22"/>
          <w:lang w:val="lv-LV"/>
        </w:rPr>
        <w:t>noplūdes punkta spiediena izmaiņas kopš terapijas sākuma, hidronefrozes un urīna uzkrāšanās aizsprostotā urīnvadā uzlabošanās vai stabilizācija un ar kateterizācijas palīdzību iegūtā urīna tilpuma izmaiņas, un urīna nesaturēšanas gadījumu skaits katet</w:t>
      </w:r>
      <w:r w:rsidR="00E923FD" w:rsidRPr="00A81A48">
        <w:rPr>
          <w:sz w:val="22"/>
          <w:szCs w:val="22"/>
          <w:lang w:val="lv-LV"/>
        </w:rPr>
        <w:t>e</w:t>
      </w:r>
      <w:r w:rsidRPr="00A81A48">
        <w:rPr>
          <w:sz w:val="22"/>
          <w:szCs w:val="22"/>
          <w:lang w:val="lv-LV"/>
        </w:rPr>
        <w:t>rizācijas laikā, kas fiksēts kateterizācijas dienasgrāmatās. Netika novērotas statistiski nozīmīgas atšķirības starp kādu no 3 tamsulosīna devu grupām attiecībā uz primāro vai sekundāro mērķa kritēriju. Nevienā devu grupā netika novērota no devas lieluma atkarīga atbildes reakcija.</w:t>
      </w:r>
    </w:p>
    <w:p w14:paraId="2D34FA05" w14:textId="77777777" w:rsidR="008B2733" w:rsidRPr="00A81A48" w:rsidRDefault="008B2733" w:rsidP="00A81A48">
      <w:pPr>
        <w:pStyle w:val="Default"/>
        <w:jc w:val="both"/>
        <w:rPr>
          <w:sz w:val="22"/>
          <w:szCs w:val="22"/>
          <w:lang w:val="lv-LV"/>
        </w:rPr>
      </w:pPr>
    </w:p>
    <w:p w14:paraId="64684DBF" w14:textId="77777777" w:rsidR="008B2733" w:rsidRPr="00A81A48" w:rsidRDefault="000F6E6D" w:rsidP="00A81A48">
      <w:pPr>
        <w:pStyle w:val="Default"/>
        <w:jc w:val="both"/>
        <w:rPr>
          <w:b/>
          <w:bCs/>
          <w:sz w:val="22"/>
          <w:szCs w:val="22"/>
          <w:lang w:val="lv-LV"/>
        </w:rPr>
      </w:pPr>
      <w:r w:rsidRPr="00A81A48">
        <w:rPr>
          <w:b/>
          <w:bCs/>
          <w:sz w:val="22"/>
          <w:szCs w:val="22"/>
          <w:lang w:val="lv-LV"/>
        </w:rPr>
        <w:t>5.2 Farmakokinētiskās īpašības</w:t>
      </w:r>
    </w:p>
    <w:p w14:paraId="107B72D4" w14:textId="77777777" w:rsidR="004353AE" w:rsidRPr="00A81A48" w:rsidRDefault="004353AE" w:rsidP="00A81A48">
      <w:pPr>
        <w:pStyle w:val="Default"/>
        <w:jc w:val="both"/>
        <w:rPr>
          <w:i/>
          <w:iCs/>
          <w:sz w:val="22"/>
          <w:szCs w:val="22"/>
          <w:lang w:val="lv-LV"/>
        </w:rPr>
      </w:pPr>
    </w:p>
    <w:p w14:paraId="6AF0EBB5" w14:textId="77777777" w:rsidR="008B2733" w:rsidRPr="00A81A48" w:rsidRDefault="000F6E6D" w:rsidP="00A81A48">
      <w:pPr>
        <w:pStyle w:val="Default"/>
        <w:jc w:val="both"/>
        <w:rPr>
          <w:sz w:val="22"/>
          <w:szCs w:val="22"/>
          <w:lang w:val="lv-LV"/>
        </w:rPr>
      </w:pPr>
      <w:r w:rsidRPr="00A81A48">
        <w:rPr>
          <w:i/>
          <w:iCs/>
          <w:sz w:val="22"/>
          <w:szCs w:val="22"/>
          <w:lang w:val="lv-LV"/>
        </w:rPr>
        <w:t>Uzsūkšanās</w:t>
      </w:r>
    </w:p>
    <w:p w14:paraId="378F5D8A" w14:textId="77777777" w:rsidR="008B2733" w:rsidRPr="00A81A48" w:rsidRDefault="000F6E6D" w:rsidP="00A81A48">
      <w:pPr>
        <w:pStyle w:val="Default"/>
        <w:jc w:val="both"/>
        <w:rPr>
          <w:sz w:val="22"/>
          <w:szCs w:val="22"/>
          <w:lang w:val="lv-LV"/>
        </w:rPr>
      </w:pPr>
      <w:r w:rsidRPr="00A81A48">
        <w:rPr>
          <w:sz w:val="22"/>
          <w:szCs w:val="22"/>
          <w:lang w:val="lv-LV"/>
        </w:rPr>
        <w:t>Tamsulosīns ātri uzsūcas no zarnām un tā biopieejamība ir gandrīz pilnīga. Uzsūkšanās ir lēnāka, ja pirms zāļu lietošanas ir lietots ēdiens. Uzsūkšanās vienmērību var nodrošināt, vienmēr liet</w:t>
      </w:r>
      <w:r w:rsidR="008B2733" w:rsidRPr="00A81A48">
        <w:rPr>
          <w:sz w:val="22"/>
          <w:szCs w:val="22"/>
          <w:lang w:val="lv-LV"/>
        </w:rPr>
        <w:t>ojot tamsulosīnu pēc brokastīm.</w:t>
      </w:r>
    </w:p>
    <w:p w14:paraId="1204486F" w14:textId="77777777" w:rsidR="008B2733" w:rsidRPr="00A81A48" w:rsidRDefault="000F6E6D" w:rsidP="00A81A48">
      <w:pPr>
        <w:pStyle w:val="Default"/>
        <w:jc w:val="both"/>
        <w:rPr>
          <w:sz w:val="22"/>
          <w:szCs w:val="22"/>
          <w:lang w:val="lv-LV"/>
        </w:rPr>
      </w:pPr>
      <w:r w:rsidRPr="00A81A48">
        <w:rPr>
          <w:sz w:val="22"/>
          <w:szCs w:val="22"/>
          <w:lang w:val="lv-LV"/>
        </w:rPr>
        <w:t>Tamsul</w:t>
      </w:r>
      <w:r w:rsidR="008B2733" w:rsidRPr="00A81A48">
        <w:rPr>
          <w:sz w:val="22"/>
          <w:szCs w:val="22"/>
          <w:lang w:val="lv-LV"/>
        </w:rPr>
        <w:t>osīnam piemīt lineāra kinētika.</w:t>
      </w:r>
    </w:p>
    <w:p w14:paraId="495B80DF" w14:textId="77777777" w:rsidR="008B2733" w:rsidRPr="00A81A48" w:rsidRDefault="008B2733" w:rsidP="00A81A48">
      <w:pPr>
        <w:pStyle w:val="Default"/>
        <w:jc w:val="both"/>
        <w:rPr>
          <w:sz w:val="22"/>
          <w:szCs w:val="22"/>
          <w:lang w:val="lv-LV"/>
        </w:rPr>
      </w:pPr>
    </w:p>
    <w:p w14:paraId="566BCDD7" w14:textId="77777777" w:rsidR="008B2733" w:rsidRPr="00A81A48" w:rsidRDefault="000F6E6D" w:rsidP="00A81A48">
      <w:pPr>
        <w:pStyle w:val="Default"/>
        <w:jc w:val="both"/>
        <w:rPr>
          <w:sz w:val="22"/>
          <w:szCs w:val="22"/>
          <w:lang w:val="lv-LV"/>
        </w:rPr>
      </w:pPr>
      <w:r w:rsidRPr="00A81A48">
        <w:rPr>
          <w:sz w:val="22"/>
          <w:szCs w:val="22"/>
          <w:lang w:val="lv-LV"/>
        </w:rPr>
        <w:t>Maksimālā koncentrācija plazmā tiek sasniegta apmēram sešu stundu laikā pēc vienreizējas tamsulosīna devas, kas lietota pēc pilnvērtīgas maltītes. Līdzsvara koncentrācija tiek sasniegta piecu dienu laikā pēc vairāku devu lietošanas, kad C</w:t>
      </w:r>
      <w:r w:rsidRPr="00A81A48">
        <w:rPr>
          <w:sz w:val="22"/>
          <w:szCs w:val="22"/>
          <w:vertAlign w:val="subscript"/>
          <w:lang w:val="lv-LV"/>
        </w:rPr>
        <w:t>max</w:t>
      </w:r>
      <w:r w:rsidRPr="00A81A48">
        <w:rPr>
          <w:sz w:val="22"/>
          <w:szCs w:val="22"/>
          <w:lang w:val="lv-LV"/>
        </w:rPr>
        <w:t xml:space="preserve"> pacientiem ir apmēram par divām trešdaļām lielāks nekā pēc vienreizējas devas lietošanas. Lai gan tas ir novērots tikai gados vecākiem pacientiem, tāds pat rezultāts ir sagaidāms </w:t>
      </w:r>
      <w:r w:rsidR="008B2733" w:rsidRPr="00A81A48">
        <w:rPr>
          <w:sz w:val="22"/>
          <w:szCs w:val="22"/>
          <w:lang w:val="lv-LV"/>
        </w:rPr>
        <w:t>arī gados jaunākiem pacientiem.</w:t>
      </w:r>
    </w:p>
    <w:p w14:paraId="00C4A15A" w14:textId="77777777" w:rsidR="008B2733" w:rsidRPr="00A81A48" w:rsidRDefault="000F6E6D" w:rsidP="00A81A48">
      <w:pPr>
        <w:pStyle w:val="Default"/>
        <w:jc w:val="both"/>
        <w:rPr>
          <w:sz w:val="22"/>
          <w:szCs w:val="22"/>
          <w:lang w:val="lv-LV"/>
        </w:rPr>
      </w:pPr>
      <w:r w:rsidRPr="00A81A48">
        <w:rPr>
          <w:sz w:val="22"/>
          <w:szCs w:val="22"/>
          <w:lang w:val="lv-LV"/>
        </w:rPr>
        <w:t>Tamsulosīna koncentrācija plazmā katram individuālam pacientam ir stipri atšķirīga, gan pēc vienreizējas, gan</w:t>
      </w:r>
      <w:r w:rsidR="008B2733" w:rsidRPr="00A81A48">
        <w:rPr>
          <w:sz w:val="22"/>
          <w:szCs w:val="22"/>
          <w:lang w:val="lv-LV"/>
        </w:rPr>
        <w:t xml:space="preserve"> pēc atkārtotu devu lietošanas.</w:t>
      </w:r>
    </w:p>
    <w:p w14:paraId="126EB0EC" w14:textId="77777777" w:rsidR="008B2733" w:rsidRPr="00A81A48" w:rsidRDefault="008B2733" w:rsidP="00A81A48">
      <w:pPr>
        <w:pStyle w:val="Default"/>
        <w:jc w:val="both"/>
        <w:rPr>
          <w:sz w:val="22"/>
          <w:szCs w:val="22"/>
          <w:lang w:val="lv-LV"/>
        </w:rPr>
      </w:pPr>
    </w:p>
    <w:p w14:paraId="3B85FC31" w14:textId="235B0118" w:rsidR="008B2733" w:rsidRPr="00A81A48" w:rsidRDefault="00343CBD" w:rsidP="00A81A48">
      <w:pPr>
        <w:pStyle w:val="Default"/>
        <w:jc w:val="both"/>
        <w:rPr>
          <w:sz w:val="22"/>
          <w:szCs w:val="22"/>
          <w:lang w:val="lv-LV"/>
        </w:rPr>
      </w:pPr>
      <w:r w:rsidRPr="00A81A48">
        <w:rPr>
          <w:i/>
          <w:iCs/>
          <w:sz w:val="22"/>
          <w:szCs w:val="22"/>
          <w:lang w:val="lv-LV"/>
        </w:rPr>
        <w:t>Izkliede</w:t>
      </w:r>
    </w:p>
    <w:p w14:paraId="1E28BA75" w14:textId="77777777" w:rsidR="008B2733" w:rsidRPr="00A81A48" w:rsidRDefault="000F6E6D" w:rsidP="00A81A48">
      <w:pPr>
        <w:pStyle w:val="Default"/>
        <w:jc w:val="both"/>
        <w:rPr>
          <w:sz w:val="22"/>
          <w:szCs w:val="22"/>
          <w:lang w:val="lv-LV"/>
        </w:rPr>
      </w:pPr>
      <w:r w:rsidRPr="00A81A48">
        <w:rPr>
          <w:sz w:val="22"/>
          <w:szCs w:val="22"/>
          <w:lang w:val="lv-LV"/>
        </w:rPr>
        <w:t>Cilvēkiem vairāk nekā 99 % tamsulosīna saistās ar plazmas olbaltumvielām un izkliedes tilpums ir mazs (apmēram 0,2 l/kg).</w:t>
      </w:r>
    </w:p>
    <w:p w14:paraId="1B85E3C9" w14:textId="77777777" w:rsidR="008B2733" w:rsidRPr="00A81A48" w:rsidRDefault="008B2733" w:rsidP="00A81A48">
      <w:pPr>
        <w:pStyle w:val="Default"/>
        <w:jc w:val="both"/>
        <w:rPr>
          <w:sz w:val="22"/>
          <w:szCs w:val="22"/>
          <w:lang w:val="lv-LV"/>
        </w:rPr>
      </w:pPr>
    </w:p>
    <w:p w14:paraId="7A806238" w14:textId="77777777" w:rsidR="008B2733" w:rsidRPr="00A81A48" w:rsidRDefault="000F6E6D" w:rsidP="00A81A48">
      <w:pPr>
        <w:pStyle w:val="Default"/>
        <w:jc w:val="both"/>
        <w:rPr>
          <w:sz w:val="22"/>
          <w:szCs w:val="22"/>
          <w:lang w:val="lv-LV"/>
        </w:rPr>
      </w:pPr>
      <w:r w:rsidRPr="00A81A48">
        <w:rPr>
          <w:i/>
          <w:iCs/>
          <w:sz w:val="22"/>
          <w:szCs w:val="22"/>
          <w:lang w:val="lv-LV"/>
        </w:rPr>
        <w:t>Biotransformācija</w:t>
      </w:r>
    </w:p>
    <w:p w14:paraId="2A44F422" w14:textId="77777777" w:rsidR="008B2733" w:rsidRPr="00A81A48" w:rsidRDefault="000F6E6D" w:rsidP="00A81A48">
      <w:pPr>
        <w:pStyle w:val="Default"/>
        <w:jc w:val="both"/>
        <w:rPr>
          <w:sz w:val="22"/>
          <w:szCs w:val="22"/>
          <w:lang w:val="lv-LV"/>
        </w:rPr>
      </w:pPr>
      <w:r w:rsidRPr="00A81A48">
        <w:rPr>
          <w:sz w:val="22"/>
          <w:szCs w:val="22"/>
          <w:lang w:val="lv-LV"/>
        </w:rPr>
        <w:t>Tamsulosīnam piemīt vājš pirmā loka metabolisma efekts. Lielākā daļa tamsulosīna ir atrodama neizmainītā veidā plazmā.</w:t>
      </w:r>
      <w:r w:rsidR="008B2733" w:rsidRPr="00A81A48">
        <w:rPr>
          <w:sz w:val="22"/>
          <w:szCs w:val="22"/>
          <w:lang w:val="lv-LV"/>
        </w:rPr>
        <w:t xml:space="preserve"> Viela tiek metabolizēta aknās.</w:t>
      </w:r>
    </w:p>
    <w:p w14:paraId="32568482" w14:textId="77777777" w:rsidR="008B2733" w:rsidRPr="00A81A48" w:rsidRDefault="008B2733" w:rsidP="00A81A48">
      <w:pPr>
        <w:pStyle w:val="Default"/>
        <w:jc w:val="both"/>
        <w:rPr>
          <w:sz w:val="22"/>
          <w:szCs w:val="22"/>
          <w:lang w:val="lv-LV"/>
        </w:rPr>
      </w:pPr>
    </w:p>
    <w:p w14:paraId="3C2645FE" w14:textId="77777777" w:rsidR="008B2733" w:rsidRPr="00A81A48" w:rsidRDefault="000F6E6D" w:rsidP="00A81A48">
      <w:pPr>
        <w:pStyle w:val="Default"/>
        <w:jc w:val="both"/>
        <w:rPr>
          <w:sz w:val="22"/>
          <w:szCs w:val="22"/>
          <w:lang w:val="lv-LV"/>
        </w:rPr>
      </w:pPr>
      <w:r w:rsidRPr="00A81A48">
        <w:rPr>
          <w:sz w:val="22"/>
          <w:szCs w:val="22"/>
          <w:lang w:val="lv-LV"/>
        </w:rPr>
        <w:t>Pētījumos ar žurkām tika novērots, ka tamsulosīns izraisa tikai nelielu a</w:t>
      </w:r>
      <w:r w:rsidR="008B2733" w:rsidRPr="00A81A48">
        <w:rPr>
          <w:sz w:val="22"/>
          <w:szCs w:val="22"/>
          <w:lang w:val="lv-LV"/>
        </w:rPr>
        <w:t>knu mikrosomu enzīmu indukciju.</w:t>
      </w:r>
    </w:p>
    <w:p w14:paraId="23580827" w14:textId="77777777" w:rsidR="008B2733" w:rsidRPr="00A81A48" w:rsidRDefault="008B2733" w:rsidP="00A81A48">
      <w:pPr>
        <w:pStyle w:val="Default"/>
        <w:jc w:val="both"/>
        <w:rPr>
          <w:sz w:val="22"/>
          <w:szCs w:val="22"/>
          <w:lang w:val="lv-LV"/>
        </w:rPr>
      </w:pPr>
    </w:p>
    <w:p w14:paraId="033D82B5" w14:textId="77777777" w:rsidR="008B2733" w:rsidRPr="00A81A48" w:rsidRDefault="000F6E6D" w:rsidP="00A81A48">
      <w:pPr>
        <w:pStyle w:val="Default"/>
        <w:jc w:val="both"/>
        <w:rPr>
          <w:sz w:val="22"/>
          <w:szCs w:val="22"/>
          <w:lang w:val="lv-LV"/>
        </w:rPr>
      </w:pPr>
      <w:r w:rsidRPr="00A81A48">
        <w:rPr>
          <w:sz w:val="22"/>
          <w:szCs w:val="22"/>
          <w:lang w:val="lv-LV"/>
        </w:rPr>
        <w:t>Metabolīti nav tik efektīvi un toksiski kā pati zāļu aktīvā viela.</w:t>
      </w:r>
    </w:p>
    <w:p w14:paraId="69CC189E" w14:textId="77777777" w:rsidR="008B2733" w:rsidRPr="00A81A48" w:rsidRDefault="008B2733" w:rsidP="00A81A48">
      <w:pPr>
        <w:pStyle w:val="Default"/>
        <w:jc w:val="both"/>
        <w:rPr>
          <w:sz w:val="22"/>
          <w:szCs w:val="22"/>
          <w:lang w:val="lv-LV"/>
        </w:rPr>
      </w:pPr>
    </w:p>
    <w:p w14:paraId="55D94E73" w14:textId="77777777" w:rsidR="008B2733" w:rsidRPr="00A81A48" w:rsidRDefault="000F6E6D" w:rsidP="00A81A48">
      <w:pPr>
        <w:pStyle w:val="Default"/>
        <w:jc w:val="both"/>
        <w:rPr>
          <w:sz w:val="22"/>
          <w:szCs w:val="22"/>
          <w:lang w:val="lv-LV"/>
        </w:rPr>
      </w:pPr>
      <w:r w:rsidRPr="00A81A48">
        <w:rPr>
          <w:i/>
          <w:iCs/>
          <w:sz w:val="22"/>
          <w:szCs w:val="22"/>
          <w:lang w:val="lv-LV"/>
        </w:rPr>
        <w:t>Eliminācija</w:t>
      </w:r>
    </w:p>
    <w:p w14:paraId="0CA37596" w14:textId="77777777" w:rsidR="008B2733" w:rsidRPr="00A81A48" w:rsidRDefault="000F6E6D" w:rsidP="00A81A48">
      <w:pPr>
        <w:pStyle w:val="Default"/>
        <w:jc w:val="both"/>
        <w:rPr>
          <w:sz w:val="22"/>
          <w:szCs w:val="22"/>
          <w:lang w:val="lv-LV"/>
        </w:rPr>
      </w:pPr>
      <w:r w:rsidRPr="00A81A48">
        <w:rPr>
          <w:sz w:val="22"/>
          <w:szCs w:val="22"/>
          <w:lang w:val="lv-LV"/>
        </w:rPr>
        <w:t xml:space="preserve">Tamsulosīns un tā metabolīti galvenokārt tiek izvadīti ar urīnu, apmēram 9 </w:t>
      </w:r>
      <w:r w:rsidR="008B2733" w:rsidRPr="00A81A48">
        <w:rPr>
          <w:sz w:val="22"/>
          <w:szCs w:val="22"/>
          <w:lang w:val="lv-LV"/>
        </w:rPr>
        <w:t>% no devas - neizmainītā veidā.</w:t>
      </w:r>
    </w:p>
    <w:p w14:paraId="75E2ACDE" w14:textId="77777777" w:rsidR="008B2733" w:rsidRPr="00A81A48" w:rsidRDefault="008B2733" w:rsidP="00A81A48">
      <w:pPr>
        <w:pStyle w:val="Default"/>
        <w:jc w:val="both"/>
        <w:rPr>
          <w:sz w:val="22"/>
          <w:szCs w:val="22"/>
          <w:lang w:val="lv-LV"/>
        </w:rPr>
      </w:pPr>
    </w:p>
    <w:p w14:paraId="140EB564" w14:textId="77777777" w:rsidR="008B2733" w:rsidRPr="00A81A48" w:rsidRDefault="000F6E6D" w:rsidP="00A81A48">
      <w:pPr>
        <w:pStyle w:val="Default"/>
        <w:jc w:val="both"/>
        <w:rPr>
          <w:sz w:val="22"/>
          <w:szCs w:val="22"/>
          <w:lang w:val="lv-LV"/>
        </w:rPr>
      </w:pPr>
      <w:r w:rsidRPr="00A81A48">
        <w:rPr>
          <w:sz w:val="22"/>
          <w:szCs w:val="22"/>
          <w:lang w:val="lv-LV"/>
        </w:rPr>
        <w:t>Tamsulosīna eliminācijas pusperiods pacientiem ir apmēram 10 stundas (lietojot pēc ēšanas) un 13 stundas līdzsvara koncentrācijā.</w:t>
      </w:r>
    </w:p>
    <w:p w14:paraId="135170CF" w14:textId="77777777" w:rsidR="008B2733" w:rsidRPr="00A81A48" w:rsidRDefault="008B2733" w:rsidP="00A81A48">
      <w:pPr>
        <w:pStyle w:val="Default"/>
        <w:jc w:val="both"/>
        <w:rPr>
          <w:sz w:val="22"/>
          <w:szCs w:val="22"/>
          <w:lang w:val="lv-LV"/>
        </w:rPr>
      </w:pPr>
    </w:p>
    <w:p w14:paraId="36616082" w14:textId="77777777" w:rsidR="008B2733" w:rsidRPr="00A81A48" w:rsidRDefault="000F6E6D" w:rsidP="00A81A48">
      <w:pPr>
        <w:pStyle w:val="Default"/>
        <w:jc w:val="both"/>
        <w:rPr>
          <w:sz w:val="22"/>
          <w:szCs w:val="22"/>
          <w:lang w:val="lv-LV"/>
        </w:rPr>
      </w:pPr>
      <w:r w:rsidRPr="00A81A48">
        <w:rPr>
          <w:b/>
          <w:bCs/>
          <w:sz w:val="22"/>
          <w:szCs w:val="22"/>
          <w:lang w:val="lv-LV"/>
        </w:rPr>
        <w:t>5.3 Preklīniskie dati par drošumu</w:t>
      </w:r>
    </w:p>
    <w:p w14:paraId="50C0349E" w14:textId="77777777" w:rsidR="004353AE" w:rsidRPr="00A81A48" w:rsidRDefault="004353AE" w:rsidP="00A81A48">
      <w:pPr>
        <w:pStyle w:val="Default"/>
        <w:jc w:val="both"/>
        <w:rPr>
          <w:sz w:val="22"/>
          <w:szCs w:val="22"/>
          <w:lang w:val="lv-LV"/>
        </w:rPr>
      </w:pPr>
    </w:p>
    <w:p w14:paraId="78AF5F9F" w14:textId="77777777" w:rsidR="008B2733" w:rsidRPr="00A81A48" w:rsidRDefault="000F6E6D" w:rsidP="00A81A48">
      <w:pPr>
        <w:pStyle w:val="Default"/>
        <w:jc w:val="both"/>
        <w:rPr>
          <w:sz w:val="22"/>
          <w:szCs w:val="22"/>
          <w:lang w:val="lv-LV"/>
        </w:rPr>
      </w:pPr>
      <w:r w:rsidRPr="00A81A48">
        <w:rPr>
          <w:sz w:val="22"/>
          <w:szCs w:val="22"/>
          <w:lang w:val="lv-LV"/>
        </w:rPr>
        <w:t xml:space="preserve">Toksicitāte pēc vienreizējas devas un atkārtotu devu lietošanas tika pētīta pelēm, žurkām un suņiem. Žurkām tika pētīta arī reproduktīvā toksicitāte, pelēm un žurkām – kancerogenitāte, </w:t>
      </w:r>
      <w:r w:rsidRPr="00A81A48">
        <w:rPr>
          <w:i/>
          <w:iCs/>
          <w:sz w:val="22"/>
          <w:szCs w:val="22"/>
          <w:lang w:val="lv-LV"/>
        </w:rPr>
        <w:t>in vivo</w:t>
      </w:r>
      <w:r w:rsidRPr="00A81A48">
        <w:rPr>
          <w:sz w:val="22"/>
          <w:szCs w:val="22"/>
          <w:lang w:val="lv-LV"/>
        </w:rPr>
        <w:t xml:space="preserve"> un </w:t>
      </w:r>
      <w:r w:rsidRPr="00A81A48">
        <w:rPr>
          <w:i/>
          <w:iCs/>
          <w:sz w:val="22"/>
          <w:szCs w:val="22"/>
          <w:lang w:val="lv-LV"/>
        </w:rPr>
        <w:t>in vitro</w:t>
      </w:r>
      <w:r w:rsidR="008B2733" w:rsidRPr="00A81A48">
        <w:rPr>
          <w:sz w:val="22"/>
          <w:szCs w:val="22"/>
          <w:lang w:val="lv-LV"/>
        </w:rPr>
        <w:t xml:space="preserve"> – genotoksicitāte.</w:t>
      </w:r>
    </w:p>
    <w:p w14:paraId="7AF448E0" w14:textId="77777777" w:rsidR="008B2733" w:rsidRPr="00A81A48" w:rsidRDefault="008B2733" w:rsidP="00A81A48">
      <w:pPr>
        <w:pStyle w:val="Default"/>
        <w:jc w:val="both"/>
        <w:rPr>
          <w:sz w:val="22"/>
          <w:szCs w:val="22"/>
          <w:lang w:val="lv-LV"/>
        </w:rPr>
      </w:pPr>
    </w:p>
    <w:p w14:paraId="089CABCB" w14:textId="77777777" w:rsidR="008B2733" w:rsidRPr="00A81A48" w:rsidRDefault="000F6E6D" w:rsidP="00A81A48">
      <w:pPr>
        <w:pStyle w:val="Default"/>
        <w:jc w:val="both"/>
        <w:rPr>
          <w:sz w:val="22"/>
          <w:szCs w:val="22"/>
          <w:lang w:val="lv-LV"/>
        </w:rPr>
      </w:pPr>
      <w:r w:rsidRPr="00A81A48">
        <w:rPr>
          <w:sz w:val="22"/>
          <w:szCs w:val="22"/>
          <w:lang w:val="lv-LV"/>
        </w:rPr>
        <w:t>Kopējais toksicitātes profils, kas atklāts, lietojot lielas tamsulosīna devas, atbilst farmakoloģiskajam efektam, kas saistīts ar alfa adre</w:t>
      </w:r>
      <w:r w:rsidR="008B2733" w:rsidRPr="00A81A48">
        <w:rPr>
          <w:sz w:val="22"/>
          <w:szCs w:val="22"/>
          <w:lang w:val="lv-LV"/>
        </w:rPr>
        <w:t>nerģisko antagonistu lietošanu.</w:t>
      </w:r>
    </w:p>
    <w:p w14:paraId="7D774C4E" w14:textId="77777777" w:rsidR="008B2733" w:rsidRPr="00A81A48" w:rsidRDefault="000F6E6D" w:rsidP="00A81A48">
      <w:pPr>
        <w:pStyle w:val="Default"/>
        <w:jc w:val="both"/>
        <w:rPr>
          <w:sz w:val="22"/>
          <w:szCs w:val="22"/>
          <w:lang w:val="lv-LV"/>
        </w:rPr>
      </w:pPr>
      <w:r w:rsidRPr="00A81A48">
        <w:rPr>
          <w:sz w:val="22"/>
          <w:szCs w:val="22"/>
          <w:lang w:val="lv-LV"/>
        </w:rPr>
        <w:lastRenderedPageBreak/>
        <w:t>EKG nolasījumu izmaiņas tika novērotas, lietojot ļoti lielas devas suņiem. Tomēr, tiek uzskatīts, ka tam nav nekādas klīniskas nozīmes. Nav atklāts, ka tamsulosīnam būtu jebkādas no</w:t>
      </w:r>
      <w:r w:rsidR="008B2733" w:rsidRPr="00A81A48">
        <w:rPr>
          <w:sz w:val="22"/>
          <w:szCs w:val="22"/>
          <w:lang w:val="lv-LV"/>
        </w:rPr>
        <w:t>zīmīgas genotoksiskas īpašības.</w:t>
      </w:r>
    </w:p>
    <w:p w14:paraId="64B74A10" w14:textId="77777777" w:rsidR="008B2733" w:rsidRPr="00A81A48" w:rsidRDefault="008B2733" w:rsidP="00A81A48">
      <w:pPr>
        <w:pStyle w:val="Default"/>
        <w:jc w:val="both"/>
        <w:rPr>
          <w:sz w:val="22"/>
          <w:szCs w:val="22"/>
          <w:lang w:val="lv-LV"/>
        </w:rPr>
      </w:pPr>
    </w:p>
    <w:p w14:paraId="66A14038" w14:textId="77777777" w:rsidR="008B2733" w:rsidRPr="00A81A48" w:rsidRDefault="000F6E6D" w:rsidP="00A81A48">
      <w:pPr>
        <w:pStyle w:val="Default"/>
        <w:jc w:val="both"/>
        <w:rPr>
          <w:sz w:val="22"/>
          <w:szCs w:val="22"/>
          <w:lang w:val="lv-LV"/>
        </w:rPr>
      </w:pPr>
      <w:r w:rsidRPr="00A81A48">
        <w:rPr>
          <w:sz w:val="22"/>
          <w:szCs w:val="22"/>
          <w:lang w:val="lv-LV"/>
        </w:rPr>
        <w:t>Lietojot tamsulosīnu, žurku un peļu mātītēm tika novērotas biežākas proliferatīvas izmaiņas krūts dziedzeros. Šie atklājumi, kas, iespējams, ir netieši saistīti ar hiperprolaktinēmiju un rodas tikai pēc lielu devu lietošanas, tiek uzskatīti par klīniski nenozīmīgiem.</w:t>
      </w:r>
    </w:p>
    <w:p w14:paraId="5329A093" w14:textId="77777777" w:rsidR="008B2733" w:rsidRPr="00A81A48" w:rsidRDefault="008B2733" w:rsidP="00A81A48">
      <w:pPr>
        <w:pStyle w:val="Default"/>
        <w:jc w:val="both"/>
        <w:rPr>
          <w:sz w:val="22"/>
          <w:szCs w:val="22"/>
          <w:lang w:val="lv-LV"/>
        </w:rPr>
      </w:pPr>
    </w:p>
    <w:p w14:paraId="7F020762" w14:textId="77777777" w:rsidR="004353AE" w:rsidRPr="00A81A48" w:rsidRDefault="004353AE" w:rsidP="00A81A48">
      <w:pPr>
        <w:pStyle w:val="Default"/>
        <w:jc w:val="both"/>
        <w:rPr>
          <w:sz w:val="22"/>
          <w:szCs w:val="22"/>
          <w:lang w:val="lv-LV"/>
        </w:rPr>
      </w:pPr>
    </w:p>
    <w:p w14:paraId="0BE22E98" w14:textId="77777777" w:rsidR="008B2733" w:rsidRPr="00A81A48" w:rsidRDefault="008B2733" w:rsidP="00A81A48">
      <w:pPr>
        <w:pStyle w:val="Default"/>
        <w:jc w:val="both"/>
        <w:rPr>
          <w:b/>
          <w:bCs/>
          <w:sz w:val="22"/>
          <w:szCs w:val="22"/>
          <w:lang w:val="lv-LV"/>
        </w:rPr>
      </w:pPr>
      <w:r w:rsidRPr="00A81A48">
        <w:rPr>
          <w:b/>
          <w:bCs/>
          <w:sz w:val="22"/>
          <w:szCs w:val="22"/>
          <w:lang w:val="lv-LV"/>
        </w:rPr>
        <w:t>6. FARMACEITISKĀ INFORMĀCIJA</w:t>
      </w:r>
    </w:p>
    <w:p w14:paraId="7F223796" w14:textId="77777777" w:rsidR="004353AE" w:rsidRPr="00A81A48" w:rsidRDefault="004353AE" w:rsidP="00A81A48">
      <w:pPr>
        <w:pStyle w:val="Default"/>
        <w:jc w:val="both"/>
        <w:rPr>
          <w:b/>
          <w:bCs/>
          <w:sz w:val="22"/>
          <w:szCs w:val="22"/>
          <w:lang w:val="lv-LV"/>
        </w:rPr>
      </w:pPr>
    </w:p>
    <w:p w14:paraId="5EBB6270" w14:textId="77777777" w:rsidR="008B2733" w:rsidRPr="00A81A48" w:rsidRDefault="000F6E6D" w:rsidP="00A81A48">
      <w:pPr>
        <w:pStyle w:val="Default"/>
        <w:jc w:val="both"/>
        <w:rPr>
          <w:b/>
          <w:bCs/>
          <w:sz w:val="22"/>
          <w:szCs w:val="22"/>
          <w:lang w:val="lv-LV"/>
        </w:rPr>
      </w:pPr>
      <w:r w:rsidRPr="00A81A48">
        <w:rPr>
          <w:b/>
          <w:bCs/>
          <w:sz w:val="22"/>
          <w:szCs w:val="22"/>
          <w:lang w:val="lv-LV"/>
        </w:rPr>
        <w:t>6.1 Palīgvielu saraksts</w:t>
      </w:r>
    </w:p>
    <w:p w14:paraId="55BC40B9" w14:textId="77777777" w:rsidR="004353AE" w:rsidRPr="00A81A48" w:rsidRDefault="004353AE" w:rsidP="00A81A48">
      <w:pPr>
        <w:pStyle w:val="Default"/>
        <w:jc w:val="both"/>
        <w:rPr>
          <w:b/>
          <w:bCs/>
          <w:i/>
          <w:iCs/>
          <w:sz w:val="22"/>
          <w:szCs w:val="22"/>
          <w:lang w:val="lv-LV"/>
        </w:rPr>
      </w:pPr>
    </w:p>
    <w:p w14:paraId="320BD179" w14:textId="77777777" w:rsidR="008B2733" w:rsidRPr="00A81A48" w:rsidRDefault="000F6E6D" w:rsidP="00A81A48">
      <w:pPr>
        <w:pStyle w:val="Default"/>
        <w:jc w:val="both"/>
        <w:rPr>
          <w:sz w:val="22"/>
          <w:szCs w:val="22"/>
          <w:lang w:val="lv-LV"/>
        </w:rPr>
      </w:pPr>
      <w:r w:rsidRPr="00A81A48">
        <w:rPr>
          <w:b/>
          <w:bCs/>
          <w:i/>
          <w:iCs/>
          <w:sz w:val="22"/>
          <w:szCs w:val="22"/>
          <w:lang w:val="lv-LV"/>
        </w:rPr>
        <w:t>Kapsulas saturs</w:t>
      </w:r>
    </w:p>
    <w:p w14:paraId="0A6FE7C0" w14:textId="77777777" w:rsidR="008B2733" w:rsidRPr="00A81A48" w:rsidRDefault="000F6E6D" w:rsidP="00A81A48">
      <w:pPr>
        <w:pStyle w:val="Default"/>
        <w:jc w:val="both"/>
        <w:rPr>
          <w:sz w:val="22"/>
          <w:szCs w:val="22"/>
          <w:lang w:val="lv-LV"/>
        </w:rPr>
      </w:pPr>
      <w:r w:rsidRPr="00A81A48">
        <w:rPr>
          <w:sz w:val="22"/>
          <w:szCs w:val="22"/>
          <w:lang w:val="lv-LV"/>
        </w:rPr>
        <w:t>Mikrokris</w:t>
      </w:r>
      <w:r w:rsidR="008B2733" w:rsidRPr="00A81A48">
        <w:rPr>
          <w:sz w:val="22"/>
          <w:szCs w:val="22"/>
          <w:lang w:val="lv-LV"/>
        </w:rPr>
        <w:t>tāliskā celuloze</w:t>
      </w:r>
    </w:p>
    <w:p w14:paraId="021A6D99" w14:textId="77777777" w:rsidR="008B2733" w:rsidRPr="00A81A48" w:rsidRDefault="000F6E6D" w:rsidP="00A81A48">
      <w:pPr>
        <w:pStyle w:val="Default"/>
        <w:jc w:val="both"/>
        <w:rPr>
          <w:sz w:val="22"/>
          <w:szCs w:val="22"/>
          <w:lang w:val="lv-LV"/>
        </w:rPr>
      </w:pPr>
      <w:r w:rsidRPr="00A81A48">
        <w:rPr>
          <w:sz w:val="22"/>
          <w:szCs w:val="22"/>
          <w:lang w:val="lv-LV"/>
        </w:rPr>
        <w:t>Metakri</w:t>
      </w:r>
      <w:r w:rsidR="008B2733" w:rsidRPr="00A81A48">
        <w:rPr>
          <w:sz w:val="22"/>
          <w:szCs w:val="22"/>
          <w:lang w:val="lv-LV"/>
        </w:rPr>
        <w:t>lskābes etilakrilāta kopolimērs</w:t>
      </w:r>
    </w:p>
    <w:p w14:paraId="4AEB2693" w14:textId="77777777" w:rsidR="008B2733" w:rsidRPr="00A81A48" w:rsidRDefault="008B2733" w:rsidP="00A81A48">
      <w:pPr>
        <w:pStyle w:val="Default"/>
        <w:jc w:val="both"/>
        <w:rPr>
          <w:sz w:val="22"/>
          <w:szCs w:val="22"/>
          <w:lang w:val="lv-LV"/>
        </w:rPr>
      </w:pPr>
      <w:r w:rsidRPr="00A81A48">
        <w:rPr>
          <w:sz w:val="22"/>
          <w:szCs w:val="22"/>
          <w:lang w:val="lv-LV"/>
        </w:rPr>
        <w:t>Polisorbāts 80</w:t>
      </w:r>
    </w:p>
    <w:p w14:paraId="3A33C4C0" w14:textId="77777777" w:rsidR="008B2733" w:rsidRPr="00A81A48" w:rsidRDefault="008B2733" w:rsidP="00A81A48">
      <w:pPr>
        <w:pStyle w:val="Default"/>
        <w:jc w:val="both"/>
        <w:rPr>
          <w:sz w:val="22"/>
          <w:szCs w:val="22"/>
          <w:lang w:val="lv-LV"/>
        </w:rPr>
      </w:pPr>
      <w:r w:rsidRPr="00A81A48">
        <w:rPr>
          <w:sz w:val="22"/>
          <w:szCs w:val="22"/>
          <w:lang w:val="lv-LV"/>
        </w:rPr>
        <w:t>Nātrija laurilsulfāts</w:t>
      </w:r>
    </w:p>
    <w:p w14:paraId="6F0FC114" w14:textId="77777777" w:rsidR="008B2733" w:rsidRPr="00A81A48" w:rsidRDefault="008B2733" w:rsidP="00A81A48">
      <w:pPr>
        <w:pStyle w:val="Default"/>
        <w:jc w:val="both"/>
        <w:rPr>
          <w:sz w:val="22"/>
          <w:szCs w:val="22"/>
          <w:lang w:val="lv-LV"/>
        </w:rPr>
      </w:pPr>
      <w:r w:rsidRPr="00A81A48">
        <w:rPr>
          <w:sz w:val="22"/>
          <w:szCs w:val="22"/>
          <w:lang w:val="lv-LV"/>
        </w:rPr>
        <w:t>Trietilcitrāts</w:t>
      </w:r>
    </w:p>
    <w:p w14:paraId="4A6F1978" w14:textId="77777777" w:rsidR="008B2733" w:rsidRPr="00A81A48" w:rsidRDefault="000F6E6D" w:rsidP="00A81A48">
      <w:pPr>
        <w:pStyle w:val="Default"/>
        <w:jc w:val="both"/>
        <w:rPr>
          <w:sz w:val="22"/>
          <w:szCs w:val="22"/>
          <w:lang w:val="lv-LV"/>
        </w:rPr>
      </w:pPr>
      <w:r w:rsidRPr="00A81A48">
        <w:rPr>
          <w:sz w:val="22"/>
          <w:szCs w:val="22"/>
          <w:lang w:val="lv-LV"/>
        </w:rPr>
        <w:t>Talks</w:t>
      </w:r>
    </w:p>
    <w:p w14:paraId="2330FE84" w14:textId="77777777" w:rsidR="008B2733" w:rsidRPr="00A81A48" w:rsidRDefault="008B2733" w:rsidP="00A81A48">
      <w:pPr>
        <w:pStyle w:val="Default"/>
        <w:jc w:val="both"/>
        <w:rPr>
          <w:sz w:val="22"/>
          <w:szCs w:val="22"/>
          <w:lang w:val="lv-LV"/>
        </w:rPr>
      </w:pPr>
    </w:p>
    <w:p w14:paraId="29A0D357" w14:textId="77777777" w:rsidR="008B2733" w:rsidRPr="00A81A48" w:rsidRDefault="000F6E6D" w:rsidP="00A81A48">
      <w:pPr>
        <w:pStyle w:val="Default"/>
        <w:jc w:val="both"/>
        <w:rPr>
          <w:sz w:val="22"/>
          <w:szCs w:val="22"/>
          <w:lang w:val="lv-LV"/>
        </w:rPr>
      </w:pPr>
      <w:r w:rsidRPr="00A81A48">
        <w:rPr>
          <w:b/>
          <w:bCs/>
          <w:i/>
          <w:iCs/>
          <w:sz w:val="22"/>
          <w:szCs w:val="22"/>
          <w:lang w:val="lv-LV"/>
        </w:rPr>
        <w:t>Kapsulas korpuss</w:t>
      </w:r>
    </w:p>
    <w:p w14:paraId="19D86BBA" w14:textId="77777777" w:rsidR="008B2733" w:rsidRPr="00A81A48" w:rsidRDefault="000F6E6D" w:rsidP="00A81A48">
      <w:pPr>
        <w:pStyle w:val="Default"/>
        <w:jc w:val="both"/>
        <w:rPr>
          <w:sz w:val="22"/>
          <w:szCs w:val="22"/>
          <w:lang w:val="lv-LV"/>
        </w:rPr>
      </w:pPr>
      <w:r w:rsidRPr="00A81A48">
        <w:rPr>
          <w:sz w:val="22"/>
          <w:szCs w:val="22"/>
          <w:lang w:val="lv-LV"/>
        </w:rPr>
        <w:t>Želatīns</w:t>
      </w:r>
    </w:p>
    <w:p w14:paraId="1EA97E1D" w14:textId="77777777" w:rsidR="008B2733" w:rsidRPr="00A81A48" w:rsidRDefault="008B2733" w:rsidP="00A81A48">
      <w:pPr>
        <w:pStyle w:val="Default"/>
        <w:jc w:val="both"/>
        <w:rPr>
          <w:sz w:val="22"/>
          <w:szCs w:val="22"/>
          <w:lang w:val="lv-LV"/>
        </w:rPr>
      </w:pPr>
      <w:r w:rsidRPr="00A81A48">
        <w:rPr>
          <w:sz w:val="22"/>
          <w:szCs w:val="22"/>
          <w:lang w:val="lv-LV"/>
        </w:rPr>
        <w:t>Indigotīns (E132)</w:t>
      </w:r>
    </w:p>
    <w:p w14:paraId="6757D335" w14:textId="77777777" w:rsidR="008B2733" w:rsidRPr="00A81A48" w:rsidRDefault="008B2733" w:rsidP="00A81A48">
      <w:pPr>
        <w:pStyle w:val="Default"/>
        <w:jc w:val="both"/>
        <w:rPr>
          <w:sz w:val="22"/>
          <w:szCs w:val="22"/>
          <w:lang w:val="lv-LV"/>
        </w:rPr>
      </w:pPr>
      <w:r w:rsidRPr="00A81A48">
        <w:rPr>
          <w:sz w:val="22"/>
          <w:szCs w:val="22"/>
          <w:lang w:val="lv-LV"/>
        </w:rPr>
        <w:t>Titāna dioksīds (E171)</w:t>
      </w:r>
    </w:p>
    <w:p w14:paraId="2F4E8CB2" w14:textId="77777777" w:rsidR="008B2733" w:rsidRPr="00A81A48" w:rsidRDefault="008B2733" w:rsidP="00A81A48">
      <w:pPr>
        <w:pStyle w:val="Default"/>
        <w:jc w:val="both"/>
        <w:rPr>
          <w:sz w:val="22"/>
          <w:szCs w:val="22"/>
          <w:lang w:val="lv-LV"/>
        </w:rPr>
      </w:pPr>
      <w:r w:rsidRPr="00A81A48">
        <w:rPr>
          <w:sz w:val="22"/>
          <w:szCs w:val="22"/>
          <w:lang w:val="lv-LV"/>
        </w:rPr>
        <w:t>Dzeltenais dzelzs oksīds (E172)</w:t>
      </w:r>
    </w:p>
    <w:p w14:paraId="7378467A" w14:textId="77777777" w:rsidR="008B2733" w:rsidRPr="00A81A48" w:rsidRDefault="008B2733" w:rsidP="00A81A48">
      <w:pPr>
        <w:pStyle w:val="Default"/>
        <w:jc w:val="both"/>
        <w:rPr>
          <w:sz w:val="22"/>
          <w:szCs w:val="22"/>
          <w:lang w:val="lv-LV"/>
        </w:rPr>
      </w:pPr>
      <w:r w:rsidRPr="00A81A48">
        <w:rPr>
          <w:sz w:val="22"/>
          <w:szCs w:val="22"/>
          <w:lang w:val="lv-LV"/>
        </w:rPr>
        <w:t>Sarkanais dzelzs oksīds (E172)</w:t>
      </w:r>
    </w:p>
    <w:p w14:paraId="6834B0E7" w14:textId="77777777" w:rsidR="008B2733" w:rsidRPr="00A81A48" w:rsidRDefault="000F6E6D" w:rsidP="00A81A48">
      <w:pPr>
        <w:pStyle w:val="Default"/>
        <w:jc w:val="both"/>
        <w:rPr>
          <w:sz w:val="22"/>
          <w:szCs w:val="22"/>
          <w:lang w:val="lv-LV"/>
        </w:rPr>
      </w:pPr>
      <w:r w:rsidRPr="00A81A48">
        <w:rPr>
          <w:sz w:val="22"/>
          <w:szCs w:val="22"/>
          <w:lang w:val="lv-LV"/>
        </w:rPr>
        <w:t>Melnais dzel</w:t>
      </w:r>
      <w:r w:rsidR="008B2733" w:rsidRPr="00A81A48">
        <w:rPr>
          <w:sz w:val="22"/>
          <w:szCs w:val="22"/>
          <w:lang w:val="lv-LV"/>
        </w:rPr>
        <w:t>zs oksīds (E172)</w:t>
      </w:r>
    </w:p>
    <w:p w14:paraId="48736E0D" w14:textId="77777777" w:rsidR="008B2733" w:rsidRPr="00A81A48" w:rsidRDefault="008B2733" w:rsidP="00A81A48">
      <w:pPr>
        <w:pStyle w:val="Default"/>
        <w:jc w:val="both"/>
        <w:rPr>
          <w:sz w:val="22"/>
          <w:szCs w:val="22"/>
          <w:lang w:val="lv-LV"/>
        </w:rPr>
      </w:pPr>
    </w:p>
    <w:p w14:paraId="0F51C44A" w14:textId="77777777" w:rsidR="008B2733" w:rsidRPr="00A81A48" w:rsidRDefault="000F6E6D" w:rsidP="00A81A48">
      <w:pPr>
        <w:pStyle w:val="Default"/>
        <w:jc w:val="both"/>
        <w:rPr>
          <w:sz w:val="22"/>
          <w:szCs w:val="22"/>
          <w:lang w:val="lv-LV"/>
        </w:rPr>
      </w:pPr>
      <w:r w:rsidRPr="00A81A48">
        <w:rPr>
          <w:b/>
          <w:bCs/>
          <w:sz w:val="22"/>
          <w:szCs w:val="22"/>
          <w:lang w:val="lv-LV"/>
        </w:rPr>
        <w:t>6.2 Nesaderība</w:t>
      </w:r>
    </w:p>
    <w:p w14:paraId="4EE3FD02" w14:textId="77777777" w:rsidR="004353AE" w:rsidRPr="00A81A48" w:rsidRDefault="004353AE" w:rsidP="00A81A48">
      <w:pPr>
        <w:pStyle w:val="Default"/>
        <w:jc w:val="both"/>
        <w:rPr>
          <w:sz w:val="22"/>
          <w:szCs w:val="22"/>
          <w:lang w:val="lv-LV"/>
        </w:rPr>
      </w:pPr>
    </w:p>
    <w:p w14:paraId="1B6E236D" w14:textId="77777777" w:rsidR="008B2733" w:rsidRPr="00A81A48" w:rsidRDefault="000F6E6D" w:rsidP="00A81A48">
      <w:pPr>
        <w:pStyle w:val="Default"/>
        <w:jc w:val="both"/>
        <w:rPr>
          <w:sz w:val="22"/>
          <w:szCs w:val="22"/>
          <w:lang w:val="lv-LV"/>
        </w:rPr>
      </w:pPr>
      <w:r w:rsidRPr="00A81A48">
        <w:rPr>
          <w:sz w:val="22"/>
          <w:szCs w:val="22"/>
          <w:lang w:val="lv-LV"/>
        </w:rPr>
        <w:t>Nav piemērojama.</w:t>
      </w:r>
    </w:p>
    <w:p w14:paraId="6B51BD13" w14:textId="77777777" w:rsidR="008B2733" w:rsidRPr="00A81A48" w:rsidRDefault="008B2733" w:rsidP="00A81A48">
      <w:pPr>
        <w:pStyle w:val="Default"/>
        <w:jc w:val="both"/>
        <w:rPr>
          <w:sz w:val="22"/>
          <w:szCs w:val="22"/>
          <w:lang w:val="lv-LV"/>
        </w:rPr>
      </w:pPr>
    </w:p>
    <w:p w14:paraId="39CF6FBF" w14:textId="77777777" w:rsidR="008B2733" w:rsidRPr="00A81A48" w:rsidRDefault="000F6E6D" w:rsidP="00A81A48">
      <w:pPr>
        <w:pStyle w:val="Default"/>
        <w:jc w:val="both"/>
        <w:rPr>
          <w:sz w:val="22"/>
          <w:szCs w:val="22"/>
          <w:lang w:val="lv-LV"/>
        </w:rPr>
      </w:pPr>
      <w:r w:rsidRPr="00A81A48">
        <w:rPr>
          <w:b/>
          <w:bCs/>
          <w:sz w:val="22"/>
          <w:szCs w:val="22"/>
          <w:lang w:val="lv-LV"/>
        </w:rPr>
        <w:t>6.3 Uzglabāšanas laiks</w:t>
      </w:r>
    </w:p>
    <w:p w14:paraId="65FED750" w14:textId="77777777" w:rsidR="004353AE" w:rsidRPr="00A81A48" w:rsidRDefault="004353AE" w:rsidP="00A81A48">
      <w:pPr>
        <w:pStyle w:val="Default"/>
        <w:jc w:val="both"/>
        <w:rPr>
          <w:sz w:val="22"/>
          <w:szCs w:val="22"/>
          <w:lang w:val="lv-LV"/>
        </w:rPr>
      </w:pPr>
    </w:p>
    <w:p w14:paraId="7C970B99" w14:textId="77777777" w:rsidR="008B2733" w:rsidRPr="00A81A48" w:rsidRDefault="000F6E6D" w:rsidP="00A81A48">
      <w:pPr>
        <w:pStyle w:val="Default"/>
        <w:jc w:val="both"/>
        <w:rPr>
          <w:sz w:val="22"/>
          <w:szCs w:val="22"/>
          <w:lang w:val="lv-LV"/>
        </w:rPr>
      </w:pPr>
      <w:r w:rsidRPr="00A81A48">
        <w:rPr>
          <w:sz w:val="22"/>
          <w:szCs w:val="22"/>
          <w:lang w:val="lv-LV"/>
        </w:rPr>
        <w:t>3 gadi.</w:t>
      </w:r>
    </w:p>
    <w:p w14:paraId="49A4F03B" w14:textId="77777777" w:rsidR="008B2733" w:rsidRPr="00A81A48" w:rsidRDefault="008B2733" w:rsidP="00A81A48">
      <w:pPr>
        <w:pStyle w:val="Default"/>
        <w:jc w:val="both"/>
        <w:rPr>
          <w:sz w:val="22"/>
          <w:szCs w:val="22"/>
          <w:lang w:val="lv-LV"/>
        </w:rPr>
      </w:pPr>
    </w:p>
    <w:p w14:paraId="57A0E6D1" w14:textId="77777777" w:rsidR="008B2733" w:rsidRPr="00A81A48" w:rsidRDefault="000F6E6D" w:rsidP="00A81A48">
      <w:pPr>
        <w:pStyle w:val="Default"/>
        <w:jc w:val="both"/>
        <w:rPr>
          <w:sz w:val="22"/>
          <w:szCs w:val="22"/>
          <w:lang w:val="lv-LV"/>
        </w:rPr>
      </w:pPr>
      <w:r w:rsidRPr="00A81A48">
        <w:rPr>
          <w:b/>
          <w:bCs/>
          <w:sz w:val="22"/>
          <w:szCs w:val="22"/>
          <w:lang w:val="lv-LV"/>
        </w:rPr>
        <w:t>6.4 Īpaši uzglabāšanas nosacījumi</w:t>
      </w:r>
    </w:p>
    <w:p w14:paraId="52C3C288" w14:textId="77777777" w:rsidR="004353AE" w:rsidRPr="00A81A48" w:rsidRDefault="004353AE" w:rsidP="00A81A48">
      <w:pPr>
        <w:pStyle w:val="Default"/>
        <w:jc w:val="both"/>
        <w:rPr>
          <w:sz w:val="22"/>
          <w:szCs w:val="22"/>
          <w:lang w:val="lv-LV"/>
        </w:rPr>
      </w:pPr>
    </w:p>
    <w:p w14:paraId="3B0AB6BF" w14:textId="77777777" w:rsidR="008B2733" w:rsidRPr="00A81A48" w:rsidRDefault="000F6E6D" w:rsidP="00A81A48">
      <w:pPr>
        <w:pStyle w:val="Default"/>
        <w:jc w:val="both"/>
        <w:rPr>
          <w:sz w:val="22"/>
          <w:szCs w:val="22"/>
          <w:lang w:val="lv-LV"/>
        </w:rPr>
      </w:pPr>
      <w:r w:rsidRPr="00A81A48">
        <w:rPr>
          <w:sz w:val="22"/>
          <w:szCs w:val="22"/>
          <w:lang w:val="lv-LV"/>
        </w:rPr>
        <w:t>Blisteri: Uzglabāt oriģinālā iepako</w:t>
      </w:r>
      <w:r w:rsidR="008B2733" w:rsidRPr="00A81A48">
        <w:rPr>
          <w:sz w:val="22"/>
          <w:szCs w:val="22"/>
          <w:lang w:val="lv-LV"/>
        </w:rPr>
        <w:t>jumā, lai pasargātu no mitruma.</w:t>
      </w:r>
    </w:p>
    <w:p w14:paraId="251180F9" w14:textId="77777777" w:rsidR="008B2733" w:rsidRPr="00A81A48" w:rsidRDefault="000F6E6D" w:rsidP="00A81A48">
      <w:pPr>
        <w:pStyle w:val="Default"/>
        <w:jc w:val="both"/>
        <w:rPr>
          <w:sz w:val="22"/>
          <w:szCs w:val="22"/>
          <w:lang w:val="lv-LV"/>
        </w:rPr>
      </w:pPr>
      <w:r w:rsidRPr="00A81A48">
        <w:rPr>
          <w:sz w:val="22"/>
          <w:szCs w:val="22"/>
          <w:lang w:val="lv-LV"/>
        </w:rPr>
        <w:t>Pudelītes: Uzglabāt cieši noslēgtā iepakojumā, lai pasargātu no mitruma.</w:t>
      </w:r>
    </w:p>
    <w:p w14:paraId="2B8DA427" w14:textId="77777777" w:rsidR="008B2733" w:rsidRPr="00A81A48" w:rsidRDefault="008B2733" w:rsidP="00A81A48">
      <w:pPr>
        <w:pStyle w:val="Default"/>
        <w:jc w:val="both"/>
        <w:rPr>
          <w:sz w:val="22"/>
          <w:szCs w:val="22"/>
          <w:lang w:val="lv-LV"/>
        </w:rPr>
      </w:pPr>
    </w:p>
    <w:p w14:paraId="73DF41E2" w14:textId="77777777" w:rsidR="008B2733" w:rsidRPr="00A81A48" w:rsidRDefault="000F6E6D" w:rsidP="00A81A48">
      <w:pPr>
        <w:pStyle w:val="Default"/>
        <w:jc w:val="both"/>
        <w:rPr>
          <w:b/>
          <w:bCs/>
          <w:sz w:val="22"/>
          <w:szCs w:val="22"/>
          <w:lang w:val="lv-LV"/>
        </w:rPr>
      </w:pPr>
      <w:r w:rsidRPr="00A81A48">
        <w:rPr>
          <w:b/>
          <w:bCs/>
          <w:sz w:val="22"/>
          <w:szCs w:val="22"/>
          <w:lang w:val="lv-LV"/>
        </w:rPr>
        <w:t>6.5 Iepakojuma veids un saturs</w:t>
      </w:r>
    </w:p>
    <w:p w14:paraId="56EF7383" w14:textId="77777777" w:rsidR="004353AE" w:rsidRPr="00A81A48" w:rsidRDefault="004353AE" w:rsidP="00A81A48">
      <w:pPr>
        <w:pStyle w:val="Default"/>
        <w:jc w:val="both"/>
        <w:rPr>
          <w:sz w:val="22"/>
          <w:szCs w:val="22"/>
          <w:lang w:val="lv-LV"/>
        </w:rPr>
      </w:pPr>
    </w:p>
    <w:p w14:paraId="3B2F3E89" w14:textId="77777777" w:rsidR="008B2733" w:rsidRPr="00A81A48" w:rsidRDefault="000F6E6D" w:rsidP="00A81A48">
      <w:pPr>
        <w:pStyle w:val="Default"/>
        <w:jc w:val="both"/>
        <w:rPr>
          <w:sz w:val="22"/>
          <w:szCs w:val="22"/>
          <w:lang w:val="lv-LV"/>
        </w:rPr>
      </w:pPr>
      <w:r w:rsidRPr="00A81A48">
        <w:rPr>
          <w:sz w:val="22"/>
          <w:szCs w:val="22"/>
          <w:lang w:val="lv-LV"/>
        </w:rPr>
        <w:t>PVH/PE/PVDH/Alumīnija blisteri kartona kastītē, kas satur 10, 14, 15, 20, 28, 30, 48, 50, 56, 60, 90, 98, 100 vai 2</w:t>
      </w:r>
      <w:r w:rsidR="008B2733" w:rsidRPr="00A81A48">
        <w:rPr>
          <w:sz w:val="22"/>
          <w:szCs w:val="22"/>
          <w:lang w:val="lv-LV"/>
        </w:rPr>
        <w:t>00 ilgstošās darbības kapsulas.</w:t>
      </w:r>
    </w:p>
    <w:p w14:paraId="1E7ECE5C" w14:textId="77777777" w:rsidR="008B2733" w:rsidRPr="00A81A48" w:rsidRDefault="000F6E6D" w:rsidP="00A81A48">
      <w:pPr>
        <w:pStyle w:val="Default"/>
        <w:jc w:val="both"/>
        <w:rPr>
          <w:sz w:val="22"/>
          <w:szCs w:val="22"/>
          <w:lang w:val="lv-LV"/>
        </w:rPr>
      </w:pPr>
      <w:r w:rsidRPr="00A81A48">
        <w:rPr>
          <w:sz w:val="22"/>
          <w:szCs w:val="22"/>
          <w:lang w:val="lv-LV"/>
        </w:rPr>
        <w:t>ABPE pudelītes ar bērniem neatveramu PP vāciņu, kas satur 60 vai 2</w:t>
      </w:r>
      <w:r w:rsidR="008B2733" w:rsidRPr="00A81A48">
        <w:rPr>
          <w:sz w:val="22"/>
          <w:szCs w:val="22"/>
          <w:lang w:val="lv-LV"/>
        </w:rPr>
        <w:t>50 ilgstošās darbības kapsulas.</w:t>
      </w:r>
    </w:p>
    <w:p w14:paraId="01BF68EE" w14:textId="77777777" w:rsidR="008B2733" w:rsidRPr="00A81A48" w:rsidRDefault="008B2733" w:rsidP="00A81A48">
      <w:pPr>
        <w:pStyle w:val="Default"/>
        <w:jc w:val="both"/>
        <w:rPr>
          <w:sz w:val="22"/>
          <w:szCs w:val="22"/>
          <w:lang w:val="lv-LV"/>
        </w:rPr>
      </w:pPr>
    </w:p>
    <w:p w14:paraId="27292D35" w14:textId="77777777" w:rsidR="008B2733" w:rsidRPr="00A81A48" w:rsidRDefault="000F6E6D" w:rsidP="00A81A48">
      <w:pPr>
        <w:pStyle w:val="Default"/>
        <w:jc w:val="both"/>
        <w:rPr>
          <w:sz w:val="22"/>
          <w:szCs w:val="22"/>
          <w:lang w:val="lv-LV"/>
        </w:rPr>
      </w:pPr>
      <w:r w:rsidRPr="00A81A48">
        <w:rPr>
          <w:sz w:val="22"/>
          <w:szCs w:val="22"/>
          <w:lang w:val="lv-LV"/>
        </w:rPr>
        <w:t>Visi iepakojuma lielumi tirgū var nebūt pieejami.</w:t>
      </w:r>
    </w:p>
    <w:p w14:paraId="71B80D50" w14:textId="77777777" w:rsidR="008B2733" w:rsidRPr="00A81A48" w:rsidRDefault="008B2733" w:rsidP="00A81A48">
      <w:pPr>
        <w:pStyle w:val="Default"/>
        <w:jc w:val="both"/>
        <w:rPr>
          <w:sz w:val="22"/>
          <w:szCs w:val="22"/>
          <w:lang w:val="lv-LV"/>
        </w:rPr>
      </w:pPr>
    </w:p>
    <w:p w14:paraId="3CE3BCB6" w14:textId="77777777" w:rsidR="008B2733" w:rsidRPr="00A81A48" w:rsidRDefault="000F6E6D" w:rsidP="00A81A48">
      <w:pPr>
        <w:pStyle w:val="Default"/>
        <w:jc w:val="both"/>
        <w:rPr>
          <w:b/>
          <w:bCs/>
          <w:sz w:val="22"/>
          <w:szCs w:val="22"/>
          <w:lang w:val="lv-LV"/>
        </w:rPr>
      </w:pPr>
      <w:r w:rsidRPr="00A81A48">
        <w:rPr>
          <w:b/>
          <w:bCs/>
          <w:sz w:val="22"/>
          <w:szCs w:val="22"/>
          <w:lang w:val="lv-LV"/>
        </w:rPr>
        <w:t>6.6 Īpaši norādījumi atkritumu likvidēšanai un citi norādījumi par rīkošanos</w:t>
      </w:r>
    </w:p>
    <w:p w14:paraId="07CB5555" w14:textId="77777777" w:rsidR="004353AE" w:rsidRPr="00A81A48" w:rsidRDefault="004353AE" w:rsidP="00A81A48">
      <w:pPr>
        <w:pStyle w:val="Default"/>
        <w:jc w:val="both"/>
        <w:rPr>
          <w:sz w:val="22"/>
          <w:szCs w:val="22"/>
          <w:lang w:val="lv-LV"/>
        </w:rPr>
      </w:pPr>
    </w:p>
    <w:p w14:paraId="1E954EBC" w14:textId="77777777" w:rsidR="008B2733" w:rsidRPr="00A81A48" w:rsidRDefault="000F6E6D" w:rsidP="00A81A48">
      <w:pPr>
        <w:pStyle w:val="Default"/>
        <w:jc w:val="both"/>
        <w:rPr>
          <w:sz w:val="22"/>
          <w:szCs w:val="22"/>
          <w:lang w:val="lv-LV"/>
        </w:rPr>
      </w:pPr>
      <w:r w:rsidRPr="00A81A48">
        <w:rPr>
          <w:sz w:val="22"/>
          <w:szCs w:val="22"/>
          <w:lang w:val="lv-LV"/>
        </w:rPr>
        <w:t>Nav īpašu prasību.</w:t>
      </w:r>
    </w:p>
    <w:p w14:paraId="60FA4641" w14:textId="77777777" w:rsidR="008B2733" w:rsidRPr="00A81A48" w:rsidRDefault="008B2733" w:rsidP="00A81A48">
      <w:pPr>
        <w:pStyle w:val="Default"/>
        <w:jc w:val="both"/>
        <w:rPr>
          <w:sz w:val="22"/>
          <w:szCs w:val="22"/>
          <w:lang w:val="lv-LV"/>
        </w:rPr>
      </w:pPr>
    </w:p>
    <w:p w14:paraId="7C662225" w14:textId="77777777" w:rsidR="004353AE" w:rsidRPr="00A81A48" w:rsidRDefault="004353AE" w:rsidP="00A81A48">
      <w:pPr>
        <w:pStyle w:val="Default"/>
        <w:jc w:val="both"/>
        <w:rPr>
          <w:sz w:val="22"/>
          <w:szCs w:val="22"/>
          <w:lang w:val="lv-LV"/>
        </w:rPr>
      </w:pPr>
    </w:p>
    <w:p w14:paraId="7538F347" w14:textId="77777777" w:rsidR="008B2733" w:rsidRPr="00A81A48" w:rsidRDefault="000F6E6D" w:rsidP="00A81A48">
      <w:pPr>
        <w:pStyle w:val="Default"/>
        <w:jc w:val="both"/>
        <w:rPr>
          <w:sz w:val="22"/>
          <w:szCs w:val="22"/>
          <w:lang w:val="lv-LV"/>
        </w:rPr>
      </w:pPr>
      <w:r w:rsidRPr="00A81A48">
        <w:rPr>
          <w:b/>
          <w:bCs/>
          <w:sz w:val="22"/>
          <w:szCs w:val="22"/>
          <w:lang w:val="lv-LV"/>
        </w:rPr>
        <w:t>7. REĢISTRĀCIJAS APLIECĪBAS ĪPAŠNIEKS</w:t>
      </w:r>
    </w:p>
    <w:p w14:paraId="24D9E527" w14:textId="77777777" w:rsidR="004353AE" w:rsidRPr="00A81A48" w:rsidRDefault="004353AE" w:rsidP="00A81A48">
      <w:pPr>
        <w:pStyle w:val="Default"/>
        <w:jc w:val="both"/>
        <w:rPr>
          <w:sz w:val="22"/>
          <w:szCs w:val="22"/>
          <w:lang w:val="lv-LV"/>
        </w:rPr>
      </w:pPr>
    </w:p>
    <w:p w14:paraId="5638D478" w14:textId="77777777" w:rsidR="008B2733" w:rsidRPr="00A81A48" w:rsidRDefault="000F6E6D" w:rsidP="00A81A48">
      <w:pPr>
        <w:pStyle w:val="Default"/>
        <w:jc w:val="both"/>
        <w:rPr>
          <w:sz w:val="22"/>
          <w:szCs w:val="22"/>
          <w:lang w:val="lv-LV"/>
        </w:rPr>
      </w:pPr>
      <w:r w:rsidRPr="00A81A48">
        <w:rPr>
          <w:sz w:val="22"/>
          <w:szCs w:val="22"/>
          <w:lang w:val="lv-LV"/>
        </w:rPr>
        <w:lastRenderedPageBreak/>
        <w:t>STADA Arzneimittel AG, Stadastraβe 2-18, D-61118 Bad Vilbel, Vācija</w:t>
      </w:r>
    </w:p>
    <w:p w14:paraId="5D3BEE7C" w14:textId="77777777" w:rsidR="008B2733" w:rsidRPr="00A81A48" w:rsidRDefault="008B2733" w:rsidP="00A81A48">
      <w:pPr>
        <w:pStyle w:val="Default"/>
        <w:jc w:val="both"/>
        <w:rPr>
          <w:sz w:val="22"/>
          <w:szCs w:val="22"/>
          <w:lang w:val="lv-LV"/>
        </w:rPr>
      </w:pPr>
    </w:p>
    <w:p w14:paraId="5F3904A7" w14:textId="77777777" w:rsidR="004353AE" w:rsidRPr="00A81A48" w:rsidRDefault="004353AE" w:rsidP="00A81A48">
      <w:pPr>
        <w:pStyle w:val="Default"/>
        <w:jc w:val="both"/>
        <w:rPr>
          <w:sz w:val="22"/>
          <w:szCs w:val="22"/>
          <w:lang w:val="lv-LV"/>
        </w:rPr>
      </w:pPr>
    </w:p>
    <w:p w14:paraId="2974734E" w14:textId="77777777" w:rsidR="008B2733" w:rsidRPr="00A81A48" w:rsidRDefault="000F6E6D" w:rsidP="00A81A48">
      <w:pPr>
        <w:pStyle w:val="Default"/>
        <w:jc w:val="both"/>
        <w:rPr>
          <w:b/>
          <w:bCs/>
          <w:sz w:val="22"/>
          <w:szCs w:val="22"/>
          <w:lang w:val="lv-LV"/>
        </w:rPr>
      </w:pPr>
      <w:r w:rsidRPr="00A81A48">
        <w:rPr>
          <w:b/>
          <w:bCs/>
          <w:sz w:val="22"/>
          <w:szCs w:val="22"/>
          <w:lang w:val="lv-LV"/>
        </w:rPr>
        <w:t>8. REĢISTRĀCIJAS APLIECĪBAS NUMURS</w:t>
      </w:r>
    </w:p>
    <w:p w14:paraId="73783BBE" w14:textId="77777777" w:rsidR="004353AE" w:rsidRPr="00A81A48" w:rsidRDefault="004353AE" w:rsidP="00A81A48">
      <w:pPr>
        <w:pStyle w:val="Default"/>
        <w:jc w:val="both"/>
        <w:rPr>
          <w:sz w:val="22"/>
          <w:szCs w:val="22"/>
          <w:lang w:val="lv-LV"/>
        </w:rPr>
      </w:pPr>
    </w:p>
    <w:p w14:paraId="6698E201" w14:textId="77777777" w:rsidR="008B2733" w:rsidRPr="00A81A48" w:rsidRDefault="000F6E6D" w:rsidP="00A81A48">
      <w:pPr>
        <w:pStyle w:val="Default"/>
        <w:jc w:val="both"/>
        <w:rPr>
          <w:sz w:val="22"/>
          <w:szCs w:val="22"/>
          <w:lang w:val="lv-LV"/>
        </w:rPr>
      </w:pPr>
      <w:r w:rsidRPr="00A81A48">
        <w:rPr>
          <w:sz w:val="22"/>
          <w:szCs w:val="22"/>
          <w:lang w:val="lv-LV"/>
        </w:rPr>
        <w:t>05-0618</w:t>
      </w:r>
    </w:p>
    <w:p w14:paraId="1223357B" w14:textId="77777777" w:rsidR="008B2733" w:rsidRPr="00A81A48" w:rsidRDefault="008B2733" w:rsidP="00A81A48">
      <w:pPr>
        <w:pStyle w:val="Default"/>
        <w:jc w:val="both"/>
        <w:rPr>
          <w:sz w:val="22"/>
          <w:szCs w:val="22"/>
          <w:lang w:val="lv-LV"/>
        </w:rPr>
      </w:pPr>
    </w:p>
    <w:p w14:paraId="6BC75F7C" w14:textId="77777777" w:rsidR="004353AE" w:rsidRPr="00A81A48" w:rsidRDefault="004353AE" w:rsidP="00A81A48">
      <w:pPr>
        <w:pStyle w:val="Default"/>
        <w:jc w:val="both"/>
        <w:rPr>
          <w:sz w:val="22"/>
          <w:szCs w:val="22"/>
          <w:lang w:val="lv-LV"/>
        </w:rPr>
      </w:pPr>
    </w:p>
    <w:p w14:paraId="5AA713E7" w14:textId="77777777" w:rsidR="008B2733" w:rsidRPr="00A81A48" w:rsidRDefault="000F6E6D" w:rsidP="00A81A48">
      <w:pPr>
        <w:pStyle w:val="Default"/>
        <w:jc w:val="both"/>
        <w:rPr>
          <w:sz w:val="22"/>
          <w:szCs w:val="22"/>
          <w:lang w:val="lv-LV"/>
        </w:rPr>
      </w:pPr>
      <w:r w:rsidRPr="00A81A48">
        <w:rPr>
          <w:b/>
          <w:bCs/>
          <w:sz w:val="22"/>
          <w:szCs w:val="22"/>
          <w:lang w:val="lv-LV"/>
        </w:rPr>
        <w:t xml:space="preserve">9. </w:t>
      </w:r>
      <w:r w:rsidR="004F0602" w:rsidRPr="00A81A48">
        <w:rPr>
          <w:b/>
          <w:sz w:val="22"/>
          <w:szCs w:val="22"/>
          <w:lang w:val="lv-LV"/>
        </w:rPr>
        <w:t xml:space="preserve">PIRMĀS </w:t>
      </w:r>
      <w:r w:rsidRPr="00A81A48">
        <w:rPr>
          <w:b/>
          <w:bCs/>
          <w:sz w:val="22"/>
          <w:szCs w:val="22"/>
          <w:lang w:val="lv-LV"/>
        </w:rPr>
        <w:t>REĢISTRĀCIJAS/PĀRREĢISTRĀCIJAS DATUMS</w:t>
      </w:r>
    </w:p>
    <w:p w14:paraId="56B3687F" w14:textId="77777777" w:rsidR="004353AE" w:rsidRPr="00A81A48" w:rsidRDefault="004353AE" w:rsidP="00A81A48">
      <w:pPr>
        <w:pStyle w:val="Default"/>
        <w:jc w:val="both"/>
        <w:rPr>
          <w:sz w:val="22"/>
          <w:szCs w:val="22"/>
          <w:lang w:val="lv-LV"/>
        </w:rPr>
      </w:pPr>
    </w:p>
    <w:p w14:paraId="3BBCB956" w14:textId="77777777" w:rsidR="008B2733" w:rsidRPr="00A81A48" w:rsidRDefault="000F6E6D" w:rsidP="00A81A48">
      <w:pPr>
        <w:pStyle w:val="Default"/>
        <w:jc w:val="both"/>
        <w:rPr>
          <w:sz w:val="22"/>
          <w:szCs w:val="22"/>
          <w:lang w:val="lv-LV"/>
        </w:rPr>
      </w:pPr>
      <w:r w:rsidRPr="00A81A48">
        <w:rPr>
          <w:sz w:val="22"/>
          <w:szCs w:val="22"/>
          <w:lang w:val="lv-LV"/>
        </w:rPr>
        <w:t>Reģistrācijas</w:t>
      </w:r>
      <w:r w:rsidR="008B2733" w:rsidRPr="00A81A48">
        <w:rPr>
          <w:sz w:val="22"/>
          <w:szCs w:val="22"/>
          <w:lang w:val="lv-LV"/>
        </w:rPr>
        <w:t xml:space="preserve"> datums: 2006.gada 18.janvāris.</w:t>
      </w:r>
    </w:p>
    <w:p w14:paraId="521EF2FB" w14:textId="77777777" w:rsidR="008B2733" w:rsidRPr="00A81A48" w:rsidRDefault="000F6E6D" w:rsidP="00A81A48">
      <w:pPr>
        <w:pStyle w:val="Default"/>
        <w:jc w:val="both"/>
        <w:rPr>
          <w:sz w:val="22"/>
          <w:szCs w:val="22"/>
          <w:lang w:val="lv-LV"/>
        </w:rPr>
      </w:pPr>
      <w:r w:rsidRPr="00A81A48">
        <w:rPr>
          <w:sz w:val="22"/>
          <w:szCs w:val="22"/>
          <w:lang w:val="lv-LV"/>
        </w:rPr>
        <w:t>Pēdējās pārreģistrācijas datums: 2011.gada 30.jūnijs.</w:t>
      </w:r>
    </w:p>
    <w:p w14:paraId="085C5FC1" w14:textId="77777777" w:rsidR="008B2733" w:rsidRPr="00A81A48" w:rsidRDefault="008B2733" w:rsidP="00A81A48">
      <w:pPr>
        <w:pStyle w:val="Default"/>
        <w:jc w:val="both"/>
        <w:rPr>
          <w:sz w:val="22"/>
          <w:szCs w:val="22"/>
          <w:lang w:val="lv-LV"/>
        </w:rPr>
      </w:pPr>
    </w:p>
    <w:p w14:paraId="5AD2170C" w14:textId="77777777" w:rsidR="004353AE" w:rsidRPr="00A81A48" w:rsidRDefault="004353AE" w:rsidP="00A81A48">
      <w:pPr>
        <w:pStyle w:val="Default"/>
        <w:jc w:val="both"/>
        <w:rPr>
          <w:sz w:val="22"/>
          <w:szCs w:val="22"/>
          <w:lang w:val="lv-LV"/>
        </w:rPr>
      </w:pPr>
    </w:p>
    <w:p w14:paraId="48CB2071" w14:textId="77777777" w:rsidR="008B2733" w:rsidRPr="00A81A48" w:rsidRDefault="000F6E6D" w:rsidP="00A81A48">
      <w:pPr>
        <w:pStyle w:val="Default"/>
        <w:jc w:val="both"/>
        <w:rPr>
          <w:b/>
          <w:bCs/>
          <w:sz w:val="22"/>
          <w:szCs w:val="22"/>
          <w:lang w:val="lv-LV"/>
        </w:rPr>
      </w:pPr>
      <w:r w:rsidRPr="00A81A48">
        <w:rPr>
          <w:b/>
          <w:bCs/>
          <w:sz w:val="22"/>
          <w:szCs w:val="22"/>
          <w:lang w:val="lv-LV"/>
        </w:rPr>
        <w:t>10. TEKSTA PĀRSKATĪŠANAS DATUMS</w:t>
      </w:r>
    </w:p>
    <w:p w14:paraId="33A87D45" w14:textId="77777777" w:rsidR="004353AE" w:rsidRPr="00A81A48" w:rsidRDefault="004353AE" w:rsidP="00A81A48">
      <w:pPr>
        <w:pStyle w:val="Default"/>
        <w:jc w:val="both"/>
        <w:rPr>
          <w:sz w:val="22"/>
          <w:szCs w:val="22"/>
          <w:lang w:val="lv-LV"/>
        </w:rPr>
      </w:pPr>
    </w:p>
    <w:p w14:paraId="61DAA152" w14:textId="7A238AEC" w:rsidR="000F6E6D" w:rsidRPr="00A81A48" w:rsidRDefault="00031E1B" w:rsidP="00A81A48">
      <w:pPr>
        <w:pStyle w:val="Default"/>
        <w:jc w:val="both"/>
        <w:rPr>
          <w:sz w:val="22"/>
          <w:szCs w:val="22"/>
          <w:lang w:val="lv-LV"/>
        </w:rPr>
      </w:pPr>
      <w:r>
        <w:rPr>
          <w:sz w:val="22"/>
          <w:szCs w:val="22"/>
          <w:lang w:val="lv-LV"/>
        </w:rPr>
        <w:t>10</w:t>
      </w:r>
      <w:r w:rsidR="00D87BA2" w:rsidRPr="00A81A48">
        <w:rPr>
          <w:sz w:val="22"/>
          <w:szCs w:val="22"/>
          <w:lang w:val="lv-LV"/>
        </w:rPr>
        <w:t>/2020</w:t>
      </w:r>
    </w:p>
    <w:p w14:paraId="1B6BBE27" w14:textId="77777777" w:rsidR="004353AE" w:rsidRPr="00A81A48" w:rsidRDefault="004353AE" w:rsidP="00A81A48">
      <w:pPr>
        <w:pStyle w:val="Default"/>
        <w:jc w:val="both"/>
        <w:rPr>
          <w:sz w:val="22"/>
          <w:szCs w:val="22"/>
          <w:lang w:val="lv-LV"/>
        </w:rPr>
      </w:pPr>
    </w:p>
    <w:p w14:paraId="0F6A9F36" w14:textId="77777777" w:rsidR="004353AE" w:rsidRPr="00747D66" w:rsidRDefault="004353AE" w:rsidP="00A81A48">
      <w:pPr>
        <w:pStyle w:val="Default"/>
        <w:jc w:val="both"/>
        <w:rPr>
          <w:sz w:val="22"/>
          <w:szCs w:val="22"/>
          <w:lang w:val="lv-LV"/>
        </w:rPr>
      </w:pPr>
    </w:p>
    <w:sectPr w:rsidR="004353AE" w:rsidRPr="00747D66" w:rsidSect="000F6E6D">
      <w:headerReference w:type="even" r:id="rId8"/>
      <w:headerReference w:type="default" r:id="rId9"/>
      <w:footerReference w:type="even" r:id="rId10"/>
      <w:footerReference w:type="default" r:id="rId11"/>
      <w:headerReference w:type="first" r:id="rId12"/>
      <w:footerReference w:type="first" r:id="rId13"/>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024B1" w14:textId="77777777" w:rsidR="00855665" w:rsidRDefault="00855665" w:rsidP="000F6E6D">
      <w:pPr>
        <w:spacing w:after="0" w:line="240" w:lineRule="auto"/>
      </w:pPr>
      <w:r>
        <w:separator/>
      </w:r>
    </w:p>
  </w:endnote>
  <w:endnote w:type="continuationSeparator" w:id="0">
    <w:p w14:paraId="57396A70" w14:textId="77777777" w:rsidR="00855665" w:rsidRDefault="00855665" w:rsidP="000F6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DC18E" w14:textId="77777777" w:rsidR="004E0AF5" w:rsidRDefault="004E0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6373C" w14:textId="77777777" w:rsidR="00D87BA2" w:rsidRPr="00A81A48" w:rsidRDefault="00D87BA2" w:rsidP="00A81A48">
    <w:pPr>
      <w:pStyle w:val="Footer"/>
      <w:spacing w:after="0" w:line="240" w:lineRule="auto"/>
      <w:jc w:val="center"/>
      <w:rPr>
        <w:rFonts w:ascii="Times New Roman" w:hAnsi="Times New Roman"/>
      </w:rPr>
    </w:pPr>
    <w:r w:rsidRPr="00A81A48">
      <w:rPr>
        <w:rFonts w:ascii="Times New Roman" w:hAnsi="Times New Roman"/>
      </w:rPr>
      <w:t>DE/H/1884/001/IB/036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9CEEF" w14:textId="77777777" w:rsidR="004E0AF5" w:rsidRDefault="004E0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A8135" w14:textId="77777777" w:rsidR="00855665" w:rsidRDefault="00855665" w:rsidP="000F6E6D">
      <w:pPr>
        <w:spacing w:after="0" w:line="240" w:lineRule="auto"/>
      </w:pPr>
      <w:r>
        <w:separator/>
      </w:r>
    </w:p>
  </w:footnote>
  <w:footnote w:type="continuationSeparator" w:id="0">
    <w:p w14:paraId="00FEB087" w14:textId="77777777" w:rsidR="00855665" w:rsidRDefault="00855665" w:rsidP="000F6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44D00" w14:textId="77777777" w:rsidR="004E0AF5" w:rsidRDefault="004E0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2E38" w14:textId="50B26D71" w:rsidR="00D87BA2" w:rsidRPr="004E0AF5" w:rsidRDefault="004E0AF5" w:rsidP="00C81F43">
    <w:pPr>
      <w:pStyle w:val="Header"/>
      <w:spacing w:after="0" w:line="240" w:lineRule="auto"/>
      <w:jc w:val="right"/>
      <w:rPr>
        <w:rFonts w:ascii="Times New Roman" w:hAnsi="Times New Roman"/>
        <w:sz w:val="24"/>
        <w:lang w:val="en-US"/>
      </w:rPr>
    </w:pPr>
    <w:r>
      <w:rPr>
        <w:rFonts w:ascii="Times New Roman" w:hAnsi="Times New Roman"/>
        <w:sz w:val="24"/>
        <w:lang w:val="en-US"/>
      </w:rPr>
      <w:t>SASKAŅOTS ZVA 27-10-2020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96A18" w14:textId="77777777" w:rsidR="004E0AF5" w:rsidRDefault="004E0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5E45DA"/>
    <w:multiLevelType w:val="hybridMultilevel"/>
    <w:tmpl w:val="F10C52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84F7306"/>
    <w:multiLevelType w:val="hybridMultilevel"/>
    <w:tmpl w:val="E92A8F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6D"/>
    <w:rsid w:val="00022DB7"/>
    <w:rsid w:val="00031E1B"/>
    <w:rsid w:val="000E3627"/>
    <w:rsid w:val="000F6E6D"/>
    <w:rsid w:val="00135AE2"/>
    <w:rsid w:val="001B3366"/>
    <w:rsid w:val="0024507E"/>
    <w:rsid w:val="0028362A"/>
    <w:rsid w:val="00294F8C"/>
    <w:rsid w:val="00336C33"/>
    <w:rsid w:val="00343CBD"/>
    <w:rsid w:val="003667EB"/>
    <w:rsid w:val="00371628"/>
    <w:rsid w:val="003B0CBC"/>
    <w:rsid w:val="003F6380"/>
    <w:rsid w:val="004011AD"/>
    <w:rsid w:val="004353AE"/>
    <w:rsid w:val="004939FC"/>
    <w:rsid w:val="004C309D"/>
    <w:rsid w:val="004E0AF5"/>
    <w:rsid w:val="004F0602"/>
    <w:rsid w:val="004F4856"/>
    <w:rsid w:val="005C3AC2"/>
    <w:rsid w:val="005D6EF1"/>
    <w:rsid w:val="0064593B"/>
    <w:rsid w:val="006A6557"/>
    <w:rsid w:val="00747D66"/>
    <w:rsid w:val="007D438D"/>
    <w:rsid w:val="0081777B"/>
    <w:rsid w:val="00855665"/>
    <w:rsid w:val="00896DB0"/>
    <w:rsid w:val="008B2733"/>
    <w:rsid w:val="00904E57"/>
    <w:rsid w:val="009C2A7E"/>
    <w:rsid w:val="00A124A6"/>
    <w:rsid w:val="00A81A48"/>
    <w:rsid w:val="00AF4BA1"/>
    <w:rsid w:val="00B05AAB"/>
    <w:rsid w:val="00B15CFC"/>
    <w:rsid w:val="00B578EA"/>
    <w:rsid w:val="00BA1E10"/>
    <w:rsid w:val="00C1151E"/>
    <w:rsid w:val="00C14172"/>
    <w:rsid w:val="00C254FF"/>
    <w:rsid w:val="00C40C4F"/>
    <w:rsid w:val="00C50F4D"/>
    <w:rsid w:val="00C61820"/>
    <w:rsid w:val="00C81F43"/>
    <w:rsid w:val="00CB1C2A"/>
    <w:rsid w:val="00D27D95"/>
    <w:rsid w:val="00D87BA2"/>
    <w:rsid w:val="00E40744"/>
    <w:rsid w:val="00E65A6E"/>
    <w:rsid w:val="00E923FD"/>
    <w:rsid w:val="00EB41AA"/>
    <w:rsid w:val="00EC0F3C"/>
    <w:rsid w:val="00F23A3D"/>
    <w:rsid w:val="00F5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329FBDB0"/>
  <w15:chartTrackingRefBased/>
  <w15:docId w15:val="{E41E6E5A-33BC-4093-B49D-D1855194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lang w:val="en-GB" w:eastAsia="en-GB"/>
    </w:rPr>
  </w:style>
  <w:style w:type="paragraph" w:styleId="Header">
    <w:name w:val="header"/>
    <w:basedOn w:val="Normal"/>
    <w:link w:val="HeaderChar"/>
    <w:uiPriority w:val="99"/>
    <w:unhideWhenUsed/>
    <w:rsid w:val="000F6E6D"/>
    <w:pPr>
      <w:tabs>
        <w:tab w:val="center" w:pos="4153"/>
        <w:tab w:val="right" w:pos="8306"/>
      </w:tabs>
    </w:pPr>
  </w:style>
  <w:style w:type="character" w:customStyle="1" w:styleId="HeaderChar">
    <w:name w:val="Header Char"/>
    <w:basedOn w:val="DefaultParagraphFont"/>
    <w:link w:val="Header"/>
    <w:uiPriority w:val="99"/>
    <w:rsid w:val="000F6E6D"/>
  </w:style>
  <w:style w:type="paragraph" w:styleId="Footer">
    <w:name w:val="footer"/>
    <w:basedOn w:val="Normal"/>
    <w:link w:val="FooterChar"/>
    <w:uiPriority w:val="99"/>
    <w:unhideWhenUsed/>
    <w:rsid w:val="000F6E6D"/>
    <w:pPr>
      <w:tabs>
        <w:tab w:val="center" w:pos="4153"/>
        <w:tab w:val="right" w:pos="8306"/>
      </w:tabs>
    </w:pPr>
  </w:style>
  <w:style w:type="character" w:customStyle="1" w:styleId="FooterChar">
    <w:name w:val="Footer Char"/>
    <w:basedOn w:val="DefaultParagraphFont"/>
    <w:link w:val="Footer"/>
    <w:uiPriority w:val="99"/>
    <w:rsid w:val="000F6E6D"/>
  </w:style>
  <w:style w:type="paragraph" w:styleId="BalloonText">
    <w:name w:val="Balloon Text"/>
    <w:basedOn w:val="Normal"/>
    <w:link w:val="BalloonTextChar"/>
    <w:uiPriority w:val="99"/>
    <w:semiHidden/>
    <w:unhideWhenUsed/>
    <w:rsid w:val="008B2733"/>
    <w:pPr>
      <w:spacing w:after="0" w:line="240" w:lineRule="auto"/>
    </w:pPr>
    <w:rPr>
      <w:rFonts w:ascii="Tahoma" w:hAnsi="Tahoma" w:cs="Arial Unicode MS"/>
      <w:sz w:val="16"/>
      <w:szCs w:val="16"/>
      <w:lang w:val="x-none" w:eastAsia="x-none" w:bidi="lo-LA"/>
    </w:rPr>
  </w:style>
  <w:style w:type="character" w:customStyle="1" w:styleId="BalloonTextChar">
    <w:name w:val="Balloon Text Char"/>
    <w:link w:val="BalloonText"/>
    <w:uiPriority w:val="99"/>
    <w:semiHidden/>
    <w:rsid w:val="008B2733"/>
    <w:rPr>
      <w:rFonts w:ascii="Tahoma" w:hAnsi="Tahoma" w:cs="Tahoma"/>
      <w:sz w:val="16"/>
      <w:szCs w:val="16"/>
    </w:rPr>
  </w:style>
  <w:style w:type="paragraph" w:styleId="Revision">
    <w:name w:val="Revision"/>
    <w:hidden/>
    <w:uiPriority w:val="99"/>
    <w:semiHidden/>
    <w:rsid w:val="004011AD"/>
    <w:rPr>
      <w:sz w:val="22"/>
      <w:szCs w:val="22"/>
      <w:lang w:val="en-GB" w:eastAsia="en-GB"/>
    </w:rPr>
  </w:style>
  <w:style w:type="character" w:styleId="Hyperlink">
    <w:name w:val="Hyperlink"/>
    <w:rsid w:val="004353AE"/>
    <w:rPr>
      <w:color w:val="0000FF"/>
      <w:u w:val="single"/>
    </w:rPr>
  </w:style>
  <w:style w:type="character" w:customStyle="1" w:styleId="apple-style-span">
    <w:name w:val="apple-style-span"/>
    <w:basedOn w:val="DefaultParagraphFont"/>
    <w:rsid w:val="004353AE"/>
  </w:style>
  <w:style w:type="character" w:styleId="Strong">
    <w:name w:val="Strong"/>
    <w:aliases w:val="Fließtext (2) + 9 pt"/>
    <w:basedOn w:val="DefaultParagraphFont"/>
    <w:uiPriority w:val="22"/>
    <w:qFormat/>
    <w:rsid w:val="00C40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zva.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1846</Words>
  <Characters>13322</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Hqrdtemplatetrackchangeslv</vt:lpstr>
    </vt:vector>
  </TitlesOfParts>
  <Company/>
  <LinksUpToDate>false</LinksUpToDate>
  <CharactersWithSpaces>15138</CharactersWithSpaces>
  <SharedDoc>false</SharedDoc>
  <HLinks>
    <vt:vector size="6" baseType="variant">
      <vt:variant>
        <vt:i4>2555942</vt:i4>
      </vt:variant>
      <vt:variant>
        <vt:i4>0</vt:i4>
      </vt:variant>
      <vt:variant>
        <vt:i4>0</vt:i4>
      </vt:variant>
      <vt:variant>
        <vt:i4>5</vt:i4>
      </vt:variant>
      <vt:variant>
        <vt:lpwstr>https://www.zva.gov.lv/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Hqrdtemplatetrackchangeslv</dc:title>
  <dc:subject>General-EMA/307463/2010</dc:subject>
  <dc:creator>Translation Centre</dc:creator>
  <cp:keywords/>
  <cp:lastModifiedBy>Skaidrīte Lapsenīte</cp:lastModifiedBy>
  <cp:revision>5</cp:revision>
  <dcterms:created xsi:type="dcterms:W3CDTF">2020-10-21T08:23:00Z</dcterms:created>
  <dcterms:modified xsi:type="dcterms:W3CDTF">2020-10-26T07:00:00Z</dcterms:modified>
</cp:coreProperties>
</file>