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5568" w14:textId="77777777" w:rsidR="00C915C3" w:rsidRPr="00305171" w:rsidRDefault="00C915C3" w:rsidP="00C915C3">
      <w:pPr>
        <w:pStyle w:val="Title"/>
        <w:rPr>
          <w:rFonts w:ascii="Times New Roman" w:hAnsi="Times New Roman"/>
          <w:sz w:val="22"/>
          <w:szCs w:val="22"/>
          <w:lang w:val="lv-LV"/>
        </w:rPr>
      </w:pPr>
      <w:r w:rsidRPr="00305171">
        <w:rPr>
          <w:rFonts w:ascii="Times New Roman" w:hAnsi="Times New Roman"/>
          <w:sz w:val="22"/>
          <w:szCs w:val="22"/>
          <w:lang w:val="lv-LV"/>
        </w:rPr>
        <w:t>Lietošanas instrukcija: informācija lietotājam</w:t>
      </w:r>
    </w:p>
    <w:p w14:paraId="3D7646BB" w14:textId="77777777" w:rsidR="00EB0329" w:rsidRPr="00305171" w:rsidRDefault="00EB0329" w:rsidP="00C915C3">
      <w:pPr>
        <w:jc w:val="center"/>
        <w:rPr>
          <w:sz w:val="22"/>
          <w:szCs w:val="22"/>
        </w:rPr>
      </w:pPr>
    </w:p>
    <w:p w14:paraId="7D844680" w14:textId="77777777" w:rsidR="00EB0329" w:rsidRPr="00305171" w:rsidRDefault="00025407" w:rsidP="00C915C3">
      <w:pPr>
        <w:jc w:val="center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ASA</w:t>
      </w:r>
      <w:r w:rsidR="00C915C3" w:rsidRPr="00305171">
        <w:rPr>
          <w:b/>
          <w:sz w:val="22"/>
          <w:szCs w:val="22"/>
        </w:rPr>
        <w:noBreakHyphen/>
      </w:r>
      <w:r w:rsidRPr="00305171">
        <w:rPr>
          <w:b/>
          <w:sz w:val="22"/>
          <w:szCs w:val="22"/>
        </w:rPr>
        <w:t xml:space="preserve">GRINDEKS </w:t>
      </w:r>
      <w:r w:rsidR="00EB0329" w:rsidRPr="00305171">
        <w:rPr>
          <w:b/>
          <w:sz w:val="22"/>
          <w:szCs w:val="22"/>
        </w:rPr>
        <w:t>500</w:t>
      </w:r>
      <w:r w:rsidR="00C915C3" w:rsidRPr="00305171">
        <w:rPr>
          <w:b/>
          <w:sz w:val="22"/>
          <w:szCs w:val="22"/>
        </w:rPr>
        <w:t> </w:t>
      </w:r>
      <w:r w:rsidR="00EB0329" w:rsidRPr="00305171">
        <w:rPr>
          <w:b/>
          <w:sz w:val="22"/>
          <w:szCs w:val="22"/>
        </w:rPr>
        <w:t>mg tabletes</w:t>
      </w:r>
    </w:p>
    <w:p w14:paraId="5691A325" w14:textId="77777777" w:rsidR="0098597F" w:rsidRPr="00305171" w:rsidRDefault="0098597F" w:rsidP="00C915C3">
      <w:pPr>
        <w:jc w:val="center"/>
        <w:outlineLvl w:val="0"/>
        <w:rPr>
          <w:i/>
          <w:sz w:val="22"/>
          <w:szCs w:val="22"/>
        </w:rPr>
      </w:pPr>
    </w:p>
    <w:p w14:paraId="2C2CAC04" w14:textId="77777777" w:rsidR="00EB0329" w:rsidRPr="00305171" w:rsidRDefault="00813638" w:rsidP="00C915C3">
      <w:pPr>
        <w:jc w:val="center"/>
        <w:outlineLvl w:val="0"/>
        <w:rPr>
          <w:i/>
          <w:sz w:val="22"/>
          <w:szCs w:val="22"/>
        </w:rPr>
      </w:pPr>
      <w:proofErr w:type="spellStart"/>
      <w:r w:rsidRPr="00305171">
        <w:rPr>
          <w:i/>
          <w:sz w:val="22"/>
          <w:szCs w:val="22"/>
        </w:rPr>
        <w:t>Acidum</w:t>
      </w:r>
      <w:proofErr w:type="spellEnd"/>
      <w:r w:rsidRPr="00305171">
        <w:rPr>
          <w:i/>
          <w:sz w:val="22"/>
          <w:szCs w:val="22"/>
        </w:rPr>
        <w:t xml:space="preserve"> </w:t>
      </w:r>
      <w:proofErr w:type="spellStart"/>
      <w:r w:rsidRPr="00305171">
        <w:rPr>
          <w:i/>
          <w:sz w:val="22"/>
          <w:szCs w:val="22"/>
        </w:rPr>
        <w:t>acetylsalicylicum</w:t>
      </w:r>
      <w:proofErr w:type="spellEnd"/>
    </w:p>
    <w:p w14:paraId="48CFECAB" w14:textId="77777777" w:rsidR="00813638" w:rsidRPr="00305171" w:rsidRDefault="00813638" w:rsidP="00C915C3">
      <w:pPr>
        <w:jc w:val="center"/>
        <w:rPr>
          <w:sz w:val="22"/>
          <w:szCs w:val="22"/>
        </w:rPr>
      </w:pPr>
    </w:p>
    <w:p w14:paraId="6BB74671" w14:textId="77777777" w:rsidR="00813638" w:rsidRPr="00305171" w:rsidRDefault="00C915C3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Pirms šo zāļu lietošanas u</w:t>
      </w:r>
      <w:r w:rsidR="00813638" w:rsidRPr="00305171">
        <w:rPr>
          <w:b/>
          <w:sz w:val="22"/>
          <w:szCs w:val="22"/>
        </w:rPr>
        <w:t>zmanīgi izlasiet vis</w:t>
      </w:r>
      <w:r w:rsidR="00690AE0" w:rsidRPr="00305171">
        <w:rPr>
          <w:b/>
          <w:sz w:val="22"/>
          <w:szCs w:val="22"/>
        </w:rPr>
        <w:t xml:space="preserve">u instrukciju, jo tā satur </w:t>
      </w:r>
      <w:r w:rsidRPr="00305171">
        <w:rPr>
          <w:b/>
          <w:sz w:val="22"/>
          <w:szCs w:val="22"/>
        </w:rPr>
        <w:t xml:space="preserve">Jums </w:t>
      </w:r>
      <w:r w:rsidR="00813638" w:rsidRPr="00305171">
        <w:rPr>
          <w:b/>
          <w:sz w:val="22"/>
          <w:szCs w:val="22"/>
        </w:rPr>
        <w:t>svarīgu informāciju.</w:t>
      </w:r>
    </w:p>
    <w:p w14:paraId="71165396" w14:textId="77777777" w:rsidR="00C915C3" w:rsidRPr="00305171" w:rsidRDefault="00C915C3" w:rsidP="00C915C3">
      <w:pPr>
        <w:numPr>
          <w:ilvl w:val="12"/>
          <w:numId w:val="0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Vienmēr lietojiet šīs zāles tieši tā, kā aprakstīts šajā instrukcijā, vai arī tā, kā ārsts vai farmaceits</w:t>
      </w:r>
      <w:r w:rsidR="00183A24" w:rsidRPr="00305171">
        <w:rPr>
          <w:sz w:val="22"/>
          <w:szCs w:val="22"/>
        </w:rPr>
        <w:t xml:space="preserve"> Jums teicis</w:t>
      </w:r>
      <w:r w:rsidRPr="00305171">
        <w:rPr>
          <w:sz w:val="22"/>
          <w:szCs w:val="22"/>
        </w:rPr>
        <w:t>.</w:t>
      </w:r>
    </w:p>
    <w:p w14:paraId="0091891F" w14:textId="77777777" w:rsidR="00813638" w:rsidRPr="00305171" w:rsidRDefault="00813638" w:rsidP="00C07EB9"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Saglabājiet šo instrukciju! Iespējams, ka vēlāk to vajadzēs pārlasīt.</w:t>
      </w:r>
    </w:p>
    <w:p w14:paraId="6A4625D4" w14:textId="10939F3C" w:rsidR="00813638" w:rsidRPr="00305171" w:rsidRDefault="00813638" w:rsidP="00C07EB9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Jums nepieciešama papildu</w:t>
      </w:r>
      <w:r w:rsidR="008B1338">
        <w:rPr>
          <w:sz w:val="22"/>
          <w:szCs w:val="22"/>
        </w:rPr>
        <w:t>s</w:t>
      </w:r>
      <w:r w:rsidRPr="00305171">
        <w:rPr>
          <w:sz w:val="22"/>
          <w:szCs w:val="22"/>
        </w:rPr>
        <w:t xml:space="preserve"> informācija vai padoms, vaicājiet farmaceitam.</w:t>
      </w:r>
    </w:p>
    <w:p w14:paraId="20261F5E" w14:textId="77777777" w:rsidR="00C915C3" w:rsidRPr="00305171" w:rsidRDefault="00C915C3" w:rsidP="00C07EB9"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Jums rodas jebkādas blakusparādības, konsultējieties ar ārstu vai farmaceitu. Tas attiecas arī uz iespējamajām blakusparādībām, kas nav minētas šajā instrukcijā. Skatīt 4. punktu.</w:t>
      </w:r>
    </w:p>
    <w:p w14:paraId="718E26EC" w14:textId="77777777" w:rsidR="00B87CC9" w:rsidRPr="00305171" w:rsidRDefault="00B87CC9" w:rsidP="00C07EB9"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pēc 3</w:t>
      </w:r>
      <w:r w:rsidRPr="00305171">
        <w:rPr>
          <w:sz w:val="22"/>
          <w:szCs w:val="22"/>
        </w:rPr>
        <w:noBreakHyphen/>
        <w:t>5 dienām nejūtaties labāk vai jūtaties sliktāk, Jums jākonsultējas ar ārstu.</w:t>
      </w:r>
    </w:p>
    <w:p w14:paraId="75781A67" w14:textId="77777777" w:rsidR="00EB0329" w:rsidRPr="00305171" w:rsidRDefault="00EB0329" w:rsidP="00C915C3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14:paraId="1B99C633" w14:textId="77777777" w:rsidR="00EB0329" w:rsidRPr="00305171" w:rsidRDefault="00EB0329" w:rsidP="00C915C3">
      <w:pPr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Šajā instrukcijā varat uzzināt</w:t>
      </w:r>
      <w:r w:rsidR="00813638" w:rsidRPr="00305171">
        <w:rPr>
          <w:b/>
          <w:sz w:val="22"/>
          <w:szCs w:val="22"/>
        </w:rPr>
        <w:t>:</w:t>
      </w:r>
    </w:p>
    <w:p w14:paraId="755551D7" w14:textId="77777777" w:rsidR="00EB0329" w:rsidRPr="00305171" w:rsidRDefault="00813638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1.</w:t>
      </w:r>
      <w:r w:rsidRPr="00305171">
        <w:rPr>
          <w:sz w:val="22"/>
          <w:szCs w:val="22"/>
        </w:rPr>
        <w:tab/>
      </w:r>
      <w:r w:rsidR="00EB0329" w:rsidRPr="00305171">
        <w:rPr>
          <w:sz w:val="22"/>
          <w:szCs w:val="22"/>
        </w:rPr>
        <w:t xml:space="preserve">Kas ir </w:t>
      </w:r>
      <w:r w:rsidR="00B87CC9" w:rsidRPr="00305171">
        <w:rPr>
          <w:sz w:val="22"/>
          <w:szCs w:val="22"/>
        </w:rPr>
        <w:t>ASA</w:t>
      </w:r>
      <w:r w:rsidR="00B87CC9" w:rsidRPr="00305171">
        <w:rPr>
          <w:sz w:val="22"/>
          <w:szCs w:val="22"/>
        </w:rPr>
        <w:noBreakHyphen/>
      </w:r>
      <w:r w:rsidR="00562015" w:rsidRPr="00305171">
        <w:rPr>
          <w:sz w:val="22"/>
          <w:szCs w:val="22"/>
        </w:rPr>
        <w:t xml:space="preserve">Grindeks </w:t>
      </w:r>
      <w:r w:rsidR="00EB0329" w:rsidRPr="00305171">
        <w:rPr>
          <w:sz w:val="22"/>
          <w:szCs w:val="22"/>
        </w:rPr>
        <w:t>un kādam nolūkam to lieto</w:t>
      </w:r>
    </w:p>
    <w:p w14:paraId="6531919A" w14:textId="77777777" w:rsidR="00EB0329" w:rsidRPr="00305171" w:rsidRDefault="00813638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2.</w:t>
      </w:r>
      <w:r w:rsidRPr="00305171">
        <w:rPr>
          <w:sz w:val="22"/>
          <w:szCs w:val="22"/>
        </w:rPr>
        <w:tab/>
      </w:r>
      <w:r w:rsidR="00B87CC9" w:rsidRPr="00305171">
        <w:rPr>
          <w:sz w:val="22"/>
          <w:szCs w:val="22"/>
        </w:rPr>
        <w:t>Kas Jums jāzina p</w:t>
      </w:r>
      <w:r w:rsidR="00EB0329" w:rsidRPr="00305171">
        <w:rPr>
          <w:sz w:val="22"/>
          <w:szCs w:val="22"/>
        </w:rPr>
        <w:t xml:space="preserve">irms </w:t>
      </w:r>
      <w:r w:rsidR="00562015" w:rsidRPr="00305171">
        <w:rPr>
          <w:sz w:val="22"/>
          <w:szCs w:val="22"/>
        </w:rPr>
        <w:t>ASA</w:t>
      </w:r>
      <w:r w:rsidR="00B87CC9" w:rsidRPr="00305171">
        <w:rPr>
          <w:sz w:val="22"/>
          <w:szCs w:val="22"/>
        </w:rPr>
        <w:noBreakHyphen/>
      </w:r>
      <w:r w:rsidR="00562015" w:rsidRPr="00305171">
        <w:rPr>
          <w:sz w:val="22"/>
          <w:szCs w:val="22"/>
        </w:rPr>
        <w:t xml:space="preserve">Grindeks </w:t>
      </w:r>
      <w:r w:rsidR="00EB0329" w:rsidRPr="00305171">
        <w:rPr>
          <w:sz w:val="22"/>
          <w:szCs w:val="22"/>
        </w:rPr>
        <w:t>lietošanas</w:t>
      </w:r>
    </w:p>
    <w:p w14:paraId="39AB9B62" w14:textId="77777777" w:rsidR="00EB0329" w:rsidRPr="00305171" w:rsidRDefault="00EB0329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3.</w:t>
      </w:r>
      <w:r w:rsidR="00813638" w:rsidRPr="00305171">
        <w:rPr>
          <w:sz w:val="22"/>
          <w:szCs w:val="22"/>
        </w:rPr>
        <w:tab/>
      </w:r>
      <w:r w:rsidRPr="00305171">
        <w:rPr>
          <w:sz w:val="22"/>
          <w:szCs w:val="22"/>
        </w:rPr>
        <w:t xml:space="preserve">Kā lietot </w:t>
      </w:r>
      <w:r w:rsidR="00B87CC9" w:rsidRPr="00305171">
        <w:rPr>
          <w:sz w:val="22"/>
          <w:szCs w:val="22"/>
        </w:rPr>
        <w:t>ASA</w:t>
      </w:r>
      <w:r w:rsidR="00B87CC9" w:rsidRPr="00305171">
        <w:rPr>
          <w:sz w:val="22"/>
          <w:szCs w:val="22"/>
        </w:rPr>
        <w:noBreakHyphen/>
      </w:r>
      <w:r w:rsidR="00562015" w:rsidRPr="00305171">
        <w:rPr>
          <w:sz w:val="22"/>
          <w:szCs w:val="22"/>
        </w:rPr>
        <w:t>Grindeks</w:t>
      </w:r>
    </w:p>
    <w:p w14:paraId="0774E1A9" w14:textId="77777777" w:rsidR="00EB0329" w:rsidRPr="00305171" w:rsidRDefault="00EB0329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4.</w:t>
      </w:r>
      <w:r w:rsidR="00813638" w:rsidRPr="00305171">
        <w:rPr>
          <w:sz w:val="22"/>
          <w:szCs w:val="22"/>
        </w:rPr>
        <w:tab/>
      </w:r>
      <w:r w:rsidRPr="00305171">
        <w:rPr>
          <w:sz w:val="22"/>
          <w:szCs w:val="22"/>
        </w:rPr>
        <w:t>Iespējamās blakusparādības</w:t>
      </w:r>
    </w:p>
    <w:p w14:paraId="2A01C8D1" w14:textId="77777777" w:rsidR="00EB0329" w:rsidRPr="00305171" w:rsidRDefault="00EB0329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5.</w:t>
      </w:r>
      <w:r w:rsidR="00813638" w:rsidRPr="00305171">
        <w:rPr>
          <w:sz w:val="22"/>
          <w:szCs w:val="22"/>
        </w:rPr>
        <w:tab/>
      </w:r>
      <w:r w:rsidR="00370C28" w:rsidRPr="00305171">
        <w:rPr>
          <w:sz w:val="22"/>
          <w:szCs w:val="22"/>
        </w:rPr>
        <w:t xml:space="preserve">Kā uzglabāt </w:t>
      </w:r>
      <w:r w:rsidR="00B87CC9" w:rsidRPr="00305171">
        <w:rPr>
          <w:sz w:val="22"/>
          <w:szCs w:val="22"/>
        </w:rPr>
        <w:t>ASA</w:t>
      </w:r>
      <w:r w:rsidR="00B87CC9" w:rsidRPr="00305171">
        <w:rPr>
          <w:sz w:val="22"/>
          <w:szCs w:val="22"/>
        </w:rPr>
        <w:noBreakHyphen/>
      </w:r>
      <w:r w:rsidR="00562015" w:rsidRPr="00305171">
        <w:rPr>
          <w:sz w:val="22"/>
          <w:szCs w:val="22"/>
        </w:rPr>
        <w:t>Grindeks</w:t>
      </w:r>
    </w:p>
    <w:p w14:paraId="2181CB26" w14:textId="77777777" w:rsidR="00EB0329" w:rsidRPr="00305171" w:rsidRDefault="00EB0329" w:rsidP="00C07EB9">
      <w:p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6.</w:t>
      </w:r>
      <w:r w:rsidR="00813638" w:rsidRPr="00305171">
        <w:rPr>
          <w:sz w:val="22"/>
          <w:szCs w:val="22"/>
        </w:rPr>
        <w:tab/>
      </w:r>
      <w:r w:rsidR="00B87CC9" w:rsidRPr="00305171">
        <w:rPr>
          <w:sz w:val="22"/>
          <w:szCs w:val="22"/>
        </w:rPr>
        <w:t xml:space="preserve">Iepakojuma saturs un cita </w:t>
      </w:r>
      <w:r w:rsidRPr="00305171">
        <w:rPr>
          <w:sz w:val="22"/>
          <w:szCs w:val="22"/>
        </w:rPr>
        <w:t>informācija</w:t>
      </w:r>
    </w:p>
    <w:p w14:paraId="0B5B46C0" w14:textId="77777777" w:rsidR="00EB0329" w:rsidRPr="00305171" w:rsidRDefault="00EB0329" w:rsidP="00C915C3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14:paraId="47B5F457" w14:textId="77777777" w:rsidR="00B87CC9" w:rsidRPr="00305171" w:rsidRDefault="00B87CC9" w:rsidP="00C915C3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</w:p>
    <w:p w14:paraId="2A6B771D" w14:textId="77777777" w:rsidR="00B87CC9" w:rsidRPr="00305171" w:rsidRDefault="00370C28" w:rsidP="00B87CC9">
      <w:pPr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1.</w:t>
      </w:r>
      <w:r w:rsidRPr="00305171">
        <w:rPr>
          <w:b/>
          <w:sz w:val="22"/>
          <w:szCs w:val="22"/>
        </w:rPr>
        <w:tab/>
      </w:r>
      <w:r w:rsidR="00B87CC9" w:rsidRPr="00305171">
        <w:rPr>
          <w:b/>
          <w:sz w:val="22"/>
          <w:szCs w:val="22"/>
        </w:rPr>
        <w:t>Kas ir ASA</w:t>
      </w:r>
      <w:r w:rsidR="00B87CC9" w:rsidRPr="00305171">
        <w:rPr>
          <w:b/>
          <w:sz w:val="22"/>
          <w:szCs w:val="22"/>
        </w:rPr>
        <w:noBreakHyphen/>
        <w:t>Grindeks un kādam nolūkam to lieto</w:t>
      </w:r>
    </w:p>
    <w:p w14:paraId="77C54E47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6758E337" w14:textId="77777777" w:rsidR="00EB0329" w:rsidRPr="00305171" w:rsidRDefault="0098597F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ASA</w:t>
      </w:r>
      <w:r w:rsidRPr="00305171">
        <w:rPr>
          <w:sz w:val="22"/>
          <w:szCs w:val="22"/>
        </w:rPr>
        <w:noBreakHyphen/>
      </w:r>
      <w:r w:rsidR="00597F79" w:rsidRPr="00305171">
        <w:rPr>
          <w:sz w:val="22"/>
          <w:szCs w:val="22"/>
        </w:rPr>
        <w:t>Grindeks</w:t>
      </w:r>
      <w:r w:rsidR="00295269" w:rsidRPr="00305171">
        <w:rPr>
          <w:sz w:val="22"/>
          <w:szCs w:val="22"/>
        </w:rPr>
        <w:t xml:space="preserve"> aktīvā viela ir acetilsalicilskābe.</w:t>
      </w:r>
      <w:r w:rsidR="00597F79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ASA</w:t>
      </w:r>
      <w:r w:rsidRPr="00305171">
        <w:rPr>
          <w:sz w:val="22"/>
          <w:szCs w:val="22"/>
        </w:rPr>
        <w:noBreakHyphen/>
      </w:r>
      <w:r w:rsidR="00295269" w:rsidRPr="00305171">
        <w:rPr>
          <w:sz w:val="22"/>
          <w:szCs w:val="22"/>
        </w:rPr>
        <w:t xml:space="preserve">Grindeks </w:t>
      </w:r>
      <w:r w:rsidR="00EB0329" w:rsidRPr="00305171">
        <w:rPr>
          <w:sz w:val="22"/>
          <w:szCs w:val="22"/>
        </w:rPr>
        <w:t>ir zāles ar sāpes remdinošu, pretiekaisuma un temperatūru mazinošu darbību.</w:t>
      </w:r>
    </w:p>
    <w:p w14:paraId="5811A4B3" w14:textId="77777777" w:rsidR="0098597F" w:rsidRPr="00305171" w:rsidRDefault="0098597F" w:rsidP="00C915C3">
      <w:pPr>
        <w:jc w:val="both"/>
        <w:rPr>
          <w:sz w:val="22"/>
          <w:szCs w:val="22"/>
        </w:rPr>
      </w:pPr>
    </w:p>
    <w:p w14:paraId="37E83A33" w14:textId="7EDC06D0" w:rsidR="00EB0329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Tās lieto nelielu sāpju</w:t>
      </w:r>
      <w:r w:rsidR="00F657B0">
        <w:rPr>
          <w:sz w:val="22"/>
          <w:szCs w:val="22"/>
        </w:rPr>
        <w:t xml:space="preserve"> un</w:t>
      </w:r>
      <w:r w:rsidRPr="00305171">
        <w:rPr>
          <w:sz w:val="22"/>
          <w:szCs w:val="22"/>
        </w:rPr>
        <w:t xml:space="preserve"> drudža</w:t>
      </w:r>
      <w:r w:rsidR="00F657B0" w:rsidRPr="00F657B0">
        <w:rPr>
          <w:sz w:val="22"/>
          <w:szCs w:val="22"/>
        </w:rPr>
        <w:t xml:space="preserve"> </w:t>
      </w:r>
      <w:r w:rsidR="00F657B0" w:rsidRPr="00305171">
        <w:rPr>
          <w:sz w:val="22"/>
          <w:szCs w:val="22"/>
        </w:rPr>
        <w:t>gadījumā</w:t>
      </w:r>
      <w:r w:rsidR="00F657B0">
        <w:rPr>
          <w:sz w:val="22"/>
          <w:szCs w:val="22"/>
        </w:rPr>
        <w:t xml:space="preserve"> pieaugušajiem un </w:t>
      </w:r>
      <w:r w:rsidR="00C31D42">
        <w:rPr>
          <w:sz w:val="22"/>
          <w:szCs w:val="22"/>
        </w:rPr>
        <w:t>pusaudžiem</w:t>
      </w:r>
      <w:r w:rsidR="00F657B0">
        <w:rPr>
          <w:sz w:val="22"/>
          <w:szCs w:val="22"/>
        </w:rPr>
        <w:t xml:space="preserve"> no 1</w:t>
      </w:r>
      <w:r w:rsidR="009C0631">
        <w:rPr>
          <w:sz w:val="22"/>
          <w:szCs w:val="22"/>
        </w:rPr>
        <w:t>6</w:t>
      </w:r>
      <w:r w:rsidR="00F657B0">
        <w:rPr>
          <w:sz w:val="22"/>
          <w:szCs w:val="22"/>
        </w:rPr>
        <w:t xml:space="preserve"> gadiem</w:t>
      </w:r>
      <w:r w:rsidRPr="00305171">
        <w:rPr>
          <w:sz w:val="22"/>
          <w:szCs w:val="22"/>
        </w:rPr>
        <w:t xml:space="preserve"> un reimatisku slimību gadījumā.</w:t>
      </w:r>
    </w:p>
    <w:p w14:paraId="630D81D4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183A90EA" w14:textId="77777777" w:rsidR="00B87CC9" w:rsidRPr="00305171" w:rsidRDefault="00B87CC9" w:rsidP="00C915C3">
      <w:pPr>
        <w:jc w:val="both"/>
        <w:rPr>
          <w:sz w:val="22"/>
          <w:szCs w:val="22"/>
        </w:rPr>
      </w:pPr>
    </w:p>
    <w:p w14:paraId="19D60DE4" w14:textId="77777777" w:rsidR="00B87CC9" w:rsidRPr="00305171" w:rsidRDefault="002E4426" w:rsidP="00B87CC9">
      <w:pPr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2.</w:t>
      </w:r>
      <w:r w:rsidRPr="00305171">
        <w:rPr>
          <w:b/>
          <w:sz w:val="22"/>
          <w:szCs w:val="22"/>
        </w:rPr>
        <w:tab/>
      </w:r>
      <w:r w:rsidR="00B87CC9" w:rsidRPr="00305171">
        <w:rPr>
          <w:b/>
          <w:sz w:val="22"/>
          <w:szCs w:val="22"/>
        </w:rPr>
        <w:t>Kas Jums jāzina pirms ASA</w:t>
      </w:r>
      <w:r w:rsidR="00B87CC9" w:rsidRPr="00305171">
        <w:rPr>
          <w:b/>
          <w:sz w:val="22"/>
          <w:szCs w:val="22"/>
        </w:rPr>
        <w:noBreakHyphen/>
        <w:t>Grindeks lietošanas</w:t>
      </w:r>
    </w:p>
    <w:p w14:paraId="43DFB619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7859C7DA" w14:textId="77777777" w:rsidR="00EB0329" w:rsidRPr="00305171" w:rsidRDefault="00025407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 xml:space="preserve">Nelietojiet </w:t>
      </w:r>
      <w:r w:rsidR="00597F79" w:rsidRPr="00305171">
        <w:rPr>
          <w:b/>
          <w:sz w:val="22"/>
          <w:szCs w:val="22"/>
        </w:rPr>
        <w:t>ASA</w:t>
      </w:r>
      <w:r w:rsidR="00B87CC9" w:rsidRPr="00305171">
        <w:rPr>
          <w:b/>
          <w:sz w:val="22"/>
          <w:szCs w:val="22"/>
        </w:rPr>
        <w:noBreakHyphen/>
      </w:r>
      <w:r w:rsidR="00597F79" w:rsidRPr="00305171">
        <w:rPr>
          <w:b/>
          <w:sz w:val="22"/>
          <w:szCs w:val="22"/>
        </w:rPr>
        <w:t xml:space="preserve">Grindeks </w:t>
      </w:r>
      <w:r w:rsidRPr="00305171">
        <w:rPr>
          <w:b/>
          <w:sz w:val="22"/>
          <w:szCs w:val="22"/>
        </w:rPr>
        <w:t>šādos gadījumos</w:t>
      </w:r>
      <w:r w:rsidR="0098597F" w:rsidRPr="00305171">
        <w:rPr>
          <w:b/>
          <w:sz w:val="22"/>
          <w:szCs w:val="22"/>
        </w:rPr>
        <w:t>:</w:t>
      </w:r>
    </w:p>
    <w:p w14:paraId="2754F02E" w14:textId="77777777" w:rsidR="00C07EB9" w:rsidRPr="00305171" w:rsidRDefault="00067E0D" w:rsidP="00C07EB9">
      <w:pPr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</w:t>
      </w:r>
      <w:r w:rsidR="00B12A4D" w:rsidRPr="00305171">
        <w:rPr>
          <w:sz w:val="22"/>
          <w:szCs w:val="22"/>
        </w:rPr>
        <w:t>a</w:t>
      </w:r>
      <w:r w:rsidRPr="00305171">
        <w:rPr>
          <w:sz w:val="22"/>
          <w:szCs w:val="22"/>
        </w:rPr>
        <w:t xml:space="preserve"> Jums</w:t>
      </w:r>
      <w:r w:rsidR="00B12A4D" w:rsidRPr="00305171">
        <w:rPr>
          <w:sz w:val="22"/>
          <w:szCs w:val="22"/>
        </w:rPr>
        <w:t xml:space="preserve"> ir </w:t>
      </w:r>
      <w:r w:rsidR="0098597F" w:rsidRPr="00305171">
        <w:rPr>
          <w:sz w:val="22"/>
          <w:szCs w:val="22"/>
        </w:rPr>
        <w:t>alerģija</w:t>
      </w:r>
      <w:r w:rsidR="00B12A4D" w:rsidRPr="00305171">
        <w:rPr>
          <w:sz w:val="22"/>
          <w:szCs w:val="22"/>
        </w:rPr>
        <w:t xml:space="preserve"> pret acetilsalicilskābi</w:t>
      </w:r>
      <w:r w:rsidR="00C07EB9" w:rsidRPr="00305171">
        <w:rPr>
          <w:sz w:val="22"/>
          <w:szCs w:val="22"/>
        </w:rPr>
        <w:t xml:space="preserve"> vai kādu citu (6. punktā minēto) šo zāļu sastāvdaļu;</w:t>
      </w:r>
    </w:p>
    <w:p w14:paraId="008EE377" w14:textId="0EFB87F0" w:rsidR="00B12A4D" w:rsidRPr="00305171" w:rsidRDefault="00C07EB9" w:rsidP="00C07EB9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alerģija pret</w:t>
      </w:r>
      <w:r w:rsidR="00F93100" w:rsidRPr="00F93100">
        <w:rPr>
          <w:sz w:val="22"/>
          <w:szCs w:val="22"/>
        </w:rPr>
        <w:t xml:space="preserve"> </w:t>
      </w:r>
      <w:r w:rsidR="00F93100" w:rsidRPr="00305171">
        <w:rPr>
          <w:sz w:val="22"/>
          <w:szCs w:val="22"/>
        </w:rPr>
        <w:t>NPL</w:t>
      </w:r>
      <w:r w:rsidR="00F93100" w:rsidRPr="00F93100">
        <w:rPr>
          <w:sz w:val="22"/>
          <w:szCs w:val="22"/>
        </w:rPr>
        <w:t xml:space="preserve"> </w:t>
      </w:r>
      <w:r w:rsidR="00F93100" w:rsidRPr="00305171">
        <w:rPr>
          <w:sz w:val="22"/>
          <w:szCs w:val="22"/>
        </w:rPr>
        <w:t>jeb</w:t>
      </w:r>
      <w:r w:rsidRPr="00305171">
        <w:rPr>
          <w:sz w:val="22"/>
          <w:szCs w:val="22"/>
        </w:rPr>
        <w:t xml:space="preserve"> </w:t>
      </w:r>
      <w:proofErr w:type="spellStart"/>
      <w:r w:rsidR="00B12A4D" w:rsidRPr="00305171">
        <w:rPr>
          <w:sz w:val="22"/>
          <w:szCs w:val="22"/>
        </w:rPr>
        <w:t>nesteroīdiem</w:t>
      </w:r>
      <w:proofErr w:type="spellEnd"/>
      <w:r w:rsidR="00B12A4D" w:rsidRPr="00305171">
        <w:rPr>
          <w:sz w:val="22"/>
          <w:szCs w:val="22"/>
        </w:rPr>
        <w:t xml:space="preserve"> </w:t>
      </w:r>
      <w:proofErr w:type="spellStart"/>
      <w:r w:rsidR="00B12A4D" w:rsidRPr="00305171">
        <w:rPr>
          <w:sz w:val="22"/>
          <w:szCs w:val="22"/>
        </w:rPr>
        <w:t>pr</w:t>
      </w:r>
      <w:r w:rsidR="006E4A9D" w:rsidRPr="00305171">
        <w:rPr>
          <w:sz w:val="22"/>
          <w:szCs w:val="22"/>
        </w:rPr>
        <w:t>etiekaisuma</w:t>
      </w:r>
      <w:proofErr w:type="spellEnd"/>
      <w:r w:rsidR="006E4A9D" w:rsidRPr="00305171">
        <w:rPr>
          <w:sz w:val="22"/>
          <w:szCs w:val="22"/>
        </w:rPr>
        <w:t xml:space="preserve"> līdzekļiem</w:t>
      </w:r>
      <w:r w:rsidR="001E0A26" w:rsidRPr="00305171">
        <w:rPr>
          <w:sz w:val="22"/>
          <w:szCs w:val="22"/>
        </w:rPr>
        <w:t xml:space="preserve"> </w:t>
      </w:r>
      <w:r w:rsidR="006E4A9D" w:rsidRPr="00305171">
        <w:rPr>
          <w:sz w:val="22"/>
          <w:szCs w:val="22"/>
        </w:rPr>
        <w:t>(</w:t>
      </w:r>
      <w:proofErr w:type="spellStart"/>
      <w:r w:rsidR="00BB28AD" w:rsidRPr="00305171">
        <w:rPr>
          <w:sz w:val="22"/>
          <w:szCs w:val="22"/>
        </w:rPr>
        <w:t>ibuprofēn</w:t>
      </w:r>
      <w:r w:rsidR="00BC62B7" w:rsidRPr="00305171">
        <w:rPr>
          <w:sz w:val="22"/>
          <w:szCs w:val="22"/>
        </w:rPr>
        <w:t>u</w:t>
      </w:r>
      <w:proofErr w:type="spellEnd"/>
      <w:r w:rsidR="00BB28AD" w:rsidRPr="00305171">
        <w:rPr>
          <w:sz w:val="22"/>
          <w:szCs w:val="22"/>
        </w:rPr>
        <w:t xml:space="preserve">, </w:t>
      </w:r>
      <w:proofErr w:type="spellStart"/>
      <w:r w:rsidR="00BB28AD" w:rsidRPr="00305171">
        <w:rPr>
          <w:sz w:val="22"/>
          <w:szCs w:val="22"/>
        </w:rPr>
        <w:t>indometacīn</w:t>
      </w:r>
      <w:r w:rsidR="00BC62B7" w:rsidRPr="00305171">
        <w:rPr>
          <w:sz w:val="22"/>
          <w:szCs w:val="22"/>
        </w:rPr>
        <w:t>u</w:t>
      </w:r>
      <w:proofErr w:type="spellEnd"/>
      <w:r w:rsidR="00BB28AD" w:rsidRPr="00305171">
        <w:rPr>
          <w:sz w:val="22"/>
          <w:szCs w:val="22"/>
        </w:rPr>
        <w:t xml:space="preserve">, </w:t>
      </w:r>
      <w:proofErr w:type="spellStart"/>
      <w:r w:rsidR="00BB28AD" w:rsidRPr="00305171">
        <w:rPr>
          <w:sz w:val="22"/>
          <w:szCs w:val="22"/>
        </w:rPr>
        <w:t>diklofenaka</w:t>
      </w:r>
      <w:proofErr w:type="spellEnd"/>
      <w:r w:rsidR="00BB28AD" w:rsidRPr="00305171">
        <w:rPr>
          <w:sz w:val="22"/>
          <w:szCs w:val="22"/>
        </w:rPr>
        <w:t xml:space="preserve"> nātrija sāl</w:t>
      </w:r>
      <w:r w:rsidR="00BC62B7" w:rsidRPr="00305171">
        <w:rPr>
          <w:sz w:val="22"/>
          <w:szCs w:val="22"/>
        </w:rPr>
        <w:t>i</w:t>
      </w:r>
      <w:r w:rsidR="00E10A3C" w:rsidRPr="00305171">
        <w:rPr>
          <w:sz w:val="22"/>
          <w:szCs w:val="22"/>
        </w:rPr>
        <w:t xml:space="preserve"> u.</w:t>
      </w:r>
      <w:r w:rsidR="00BC62B7" w:rsidRPr="00305171">
        <w:rPr>
          <w:sz w:val="22"/>
          <w:szCs w:val="22"/>
        </w:rPr>
        <w:t> </w:t>
      </w:r>
      <w:r w:rsidR="00E10A3C" w:rsidRPr="00305171">
        <w:rPr>
          <w:sz w:val="22"/>
          <w:szCs w:val="22"/>
        </w:rPr>
        <w:t>c.)</w:t>
      </w:r>
      <w:r w:rsidR="0098597F" w:rsidRPr="00305171">
        <w:rPr>
          <w:sz w:val="22"/>
          <w:szCs w:val="22"/>
        </w:rPr>
        <w:t xml:space="preserve">. Tā var izpausties kā astmas lēkme, nātrene, iesnas vai </w:t>
      </w:r>
      <w:proofErr w:type="spellStart"/>
      <w:r w:rsidR="009A00C0" w:rsidRPr="00305171">
        <w:rPr>
          <w:sz w:val="22"/>
          <w:szCs w:val="22"/>
        </w:rPr>
        <w:t>angioedēma</w:t>
      </w:r>
      <w:proofErr w:type="spellEnd"/>
      <w:r w:rsidR="009A00C0" w:rsidRPr="00305171">
        <w:rPr>
          <w:sz w:val="22"/>
          <w:szCs w:val="22"/>
        </w:rPr>
        <w:t xml:space="preserve"> jeb </w:t>
      </w:r>
      <w:r w:rsidR="0098597F" w:rsidRPr="00305171">
        <w:rPr>
          <w:sz w:val="22"/>
          <w:szCs w:val="22"/>
        </w:rPr>
        <w:t>sejas, mēles un rīkles tūska, kas izraisa apgrūtinātu rīšanu un elpošanu</w:t>
      </w:r>
      <w:r w:rsidR="009A00C0" w:rsidRPr="00305171">
        <w:rPr>
          <w:sz w:val="22"/>
          <w:szCs w:val="22"/>
        </w:rPr>
        <w:t>;</w:t>
      </w:r>
    </w:p>
    <w:p w14:paraId="04B8FC0A" w14:textId="77777777" w:rsidR="000F32BC" w:rsidRPr="00305171" w:rsidRDefault="009E2D5C" w:rsidP="00C07EB9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</w:t>
      </w:r>
      <w:r w:rsidR="00067E0D" w:rsidRPr="00305171">
        <w:rPr>
          <w:sz w:val="22"/>
          <w:szCs w:val="22"/>
        </w:rPr>
        <w:t xml:space="preserve"> Jums</w:t>
      </w:r>
      <w:r w:rsidRPr="00305171">
        <w:rPr>
          <w:sz w:val="22"/>
          <w:szCs w:val="22"/>
        </w:rPr>
        <w:t xml:space="preserve"> iepriekš </w:t>
      </w:r>
      <w:r w:rsidR="00067E0D" w:rsidRPr="00305171">
        <w:rPr>
          <w:sz w:val="22"/>
          <w:szCs w:val="22"/>
        </w:rPr>
        <w:t xml:space="preserve">ir </w:t>
      </w:r>
      <w:r w:rsidRPr="00305171">
        <w:rPr>
          <w:sz w:val="22"/>
          <w:szCs w:val="22"/>
        </w:rPr>
        <w:t xml:space="preserve">bijusi astma, </w:t>
      </w:r>
      <w:r w:rsidR="00806331" w:rsidRPr="00305171">
        <w:rPr>
          <w:sz w:val="22"/>
          <w:szCs w:val="22"/>
        </w:rPr>
        <w:t>nātrene</w:t>
      </w:r>
      <w:r w:rsidR="006D46BF" w:rsidRPr="00305171">
        <w:rPr>
          <w:sz w:val="22"/>
          <w:szCs w:val="22"/>
        </w:rPr>
        <w:t xml:space="preserve">, </w:t>
      </w:r>
      <w:r w:rsidR="00806331" w:rsidRPr="00305171">
        <w:rPr>
          <w:sz w:val="22"/>
          <w:szCs w:val="22"/>
        </w:rPr>
        <w:t xml:space="preserve">iesnas </w:t>
      </w:r>
      <w:r w:rsidR="006D46BF" w:rsidRPr="00305171">
        <w:rPr>
          <w:sz w:val="22"/>
          <w:szCs w:val="22"/>
        </w:rPr>
        <w:t xml:space="preserve">vai </w:t>
      </w:r>
      <w:proofErr w:type="spellStart"/>
      <w:r w:rsidR="006D46BF" w:rsidRPr="00305171">
        <w:rPr>
          <w:sz w:val="22"/>
          <w:szCs w:val="22"/>
        </w:rPr>
        <w:t>angioedēma</w:t>
      </w:r>
      <w:proofErr w:type="spellEnd"/>
      <w:r w:rsidR="006D46BF" w:rsidRPr="00305171">
        <w:rPr>
          <w:sz w:val="22"/>
          <w:szCs w:val="22"/>
        </w:rPr>
        <w:t xml:space="preserve">, </w:t>
      </w:r>
      <w:r w:rsidR="00806331" w:rsidRPr="00305171">
        <w:rPr>
          <w:sz w:val="22"/>
          <w:szCs w:val="22"/>
        </w:rPr>
        <w:t xml:space="preserve">pēc </w:t>
      </w:r>
      <w:proofErr w:type="spellStart"/>
      <w:r w:rsidR="00806331" w:rsidRPr="00305171">
        <w:rPr>
          <w:sz w:val="22"/>
          <w:szCs w:val="22"/>
        </w:rPr>
        <w:t>salicilātu</w:t>
      </w:r>
      <w:proofErr w:type="spellEnd"/>
      <w:r w:rsidR="00806331" w:rsidRPr="00305171">
        <w:rPr>
          <w:sz w:val="22"/>
          <w:szCs w:val="22"/>
        </w:rPr>
        <w:t xml:space="preserve"> vai citu </w:t>
      </w:r>
      <w:r w:rsidR="00C76F50" w:rsidRPr="00305171">
        <w:rPr>
          <w:sz w:val="22"/>
          <w:szCs w:val="22"/>
        </w:rPr>
        <w:t>NPL</w:t>
      </w:r>
      <w:r w:rsidR="00914464" w:rsidRPr="00305171">
        <w:rPr>
          <w:sz w:val="22"/>
          <w:szCs w:val="22"/>
        </w:rPr>
        <w:t xml:space="preserve"> lietošanas</w:t>
      </w:r>
      <w:r w:rsidR="006D46BF" w:rsidRPr="00305171">
        <w:rPr>
          <w:sz w:val="22"/>
          <w:szCs w:val="22"/>
        </w:rPr>
        <w:t>;</w:t>
      </w:r>
    </w:p>
    <w:p w14:paraId="47A9BAC4" w14:textId="77777777" w:rsidR="00C07EB9" w:rsidRPr="00305171" w:rsidRDefault="00C07EB9" w:rsidP="00C07EB9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aktīva kuņģa vai divpadsmitpirkstu zarnas čūla</w:t>
      </w:r>
      <w:r w:rsidR="006A0CD4" w:rsidRPr="00305171">
        <w:rPr>
          <w:sz w:val="22"/>
          <w:szCs w:val="22"/>
        </w:rPr>
        <w:t>/asiņošana vai minētie traucējumi bijuši iepriekš</w:t>
      </w:r>
      <w:r w:rsidRPr="00305171">
        <w:rPr>
          <w:sz w:val="22"/>
          <w:szCs w:val="22"/>
        </w:rPr>
        <w:t>, kuņģa</w:t>
      </w:r>
      <w:r w:rsidRPr="00305171">
        <w:rPr>
          <w:sz w:val="22"/>
          <w:szCs w:val="22"/>
        </w:rPr>
        <w:noBreakHyphen/>
        <w:t>zarnu trakta asiņošana;</w:t>
      </w:r>
    </w:p>
    <w:p w14:paraId="556EB9D7" w14:textId="629AC313" w:rsidR="00C65442" w:rsidRPr="00305171" w:rsidRDefault="00381F0B" w:rsidP="00AC7102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b/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 xml:space="preserve">iepriekš </w:t>
      </w:r>
      <w:r w:rsidR="00067E0D" w:rsidRPr="00305171">
        <w:rPr>
          <w:sz w:val="22"/>
          <w:szCs w:val="22"/>
        </w:rPr>
        <w:t xml:space="preserve">ir </w:t>
      </w:r>
      <w:r w:rsidRPr="00305171">
        <w:rPr>
          <w:sz w:val="22"/>
          <w:szCs w:val="22"/>
        </w:rPr>
        <w:t xml:space="preserve">bijusi </w:t>
      </w:r>
      <w:r w:rsidR="00E10AF4" w:rsidRPr="00305171">
        <w:rPr>
          <w:sz w:val="22"/>
          <w:szCs w:val="22"/>
        </w:rPr>
        <w:t>kuņģa</w:t>
      </w:r>
      <w:r w:rsidR="00E10AF4" w:rsidRPr="00305171">
        <w:rPr>
          <w:sz w:val="22"/>
          <w:szCs w:val="22"/>
        </w:rPr>
        <w:noBreakHyphen/>
        <w:t xml:space="preserve">zarnu trakta perforācija </w:t>
      </w:r>
      <w:r w:rsidR="00260DC8" w:rsidRPr="00305171">
        <w:rPr>
          <w:sz w:val="22"/>
          <w:szCs w:val="22"/>
        </w:rPr>
        <w:t>(</w:t>
      </w:r>
      <w:r w:rsidR="005B5D8A">
        <w:rPr>
          <w:sz w:val="22"/>
          <w:szCs w:val="22"/>
        </w:rPr>
        <w:t>kuņģa vai zarnas sieniņas plīsums</w:t>
      </w:r>
      <w:r w:rsidR="00260DC8" w:rsidRPr="00305171">
        <w:rPr>
          <w:sz w:val="22"/>
          <w:szCs w:val="22"/>
        </w:rPr>
        <w:t xml:space="preserve">) </w:t>
      </w:r>
      <w:r w:rsidR="00E10AF4" w:rsidRPr="00305171">
        <w:rPr>
          <w:sz w:val="22"/>
          <w:szCs w:val="22"/>
        </w:rPr>
        <w:t>vai asiņošana</w:t>
      </w:r>
      <w:r w:rsidR="00C65442" w:rsidRPr="00305171">
        <w:rPr>
          <w:sz w:val="22"/>
          <w:szCs w:val="22"/>
        </w:rPr>
        <w:t>,</w:t>
      </w:r>
      <w:r w:rsidR="00E10AF4" w:rsidRPr="00305171">
        <w:rPr>
          <w:sz w:val="22"/>
          <w:szCs w:val="22"/>
        </w:rPr>
        <w:t xml:space="preserve"> </w:t>
      </w:r>
      <w:r w:rsidR="00C65442" w:rsidRPr="00305171">
        <w:rPr>
          <w:sz w:val="22"/>
          <w:szCs w:val="22"/>
        </w:rPr>
        <w:t xml:space="preserve">kas saistīta ar </w:t>
      </w:r>
      <w:r w:rsidR="00C76F50" w:rsidRPr="00305171">
        <w:rPr>
          <w:sz w:val="22"/>
          <w:szCs w:val="22"/>
        </w:rPr>
        <w:t>NPL</w:t>
      </w:r>
      <w:r w:rsidR="00C65442" w:rsidRPr="00305171">
        <w:rPr>
          <w:sz w:val="22"/>
          <w:szCs w:val="22"/>
        </w:rPr>
        <w:t xml:space="preserve"> lietošanu;</w:t>
      </w:r>
    </w:p>
    <w:p w14:paraId="13DC5662" w14:textId="77777777" w:rsidR="00B75121" w:rsidRPr="00305171" w:rsidRDefault="00B75121" w:rsidP="00B75121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nosliece uz asiņošanu;</w:t>
      </w:r>
    </w:p>
    <w:p w14:paraId="06EAA8F3" w14:textId="77777777" w:rsidR="00B75121" w:rsidRPr="00305171" w:rsidRDefault="00B75121" w:rsidP="00B75121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</w:t>
      </w:r>
      <w:r w:rsidR="00067E0D" w:rsidRPr="00305171">
        <w:rPr>
          <w:sz w:val="22"/>
          <w:szCs w:val="22"/>
        </w:rPr>
        <w:t xml:space="preserve"> Jums</w:t>
      </w:r>
      <w:r w:rsidRPr="00305171">
        <w:rPr>
          <w:sz w:val="22"/>
          <w:szCs w:val="22"/>
        </w:rPr>
        <w:t xml:space="preserve"> ir samazināts asins plātnīšu skaits un ar to saistīti nelieli asins izplūdumi ādā vai gļotādā, asinsreces traucējumi;</w:t>
      </w:r>
    </w:p>
    <w:p w14:paraId="7360205B" w14:textId="77777777" w:rsidR="009156C6" w:rsidRPr="00305171" w:rsidRDefault="009156C6" w:rsidP="009156C6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smaga sirds mazspēja;</w:t>
      </w:r>
    </w:p>
    <w:p w14:paraId="49C63819" w14:textId="77777777" w:rsidR="009156C6" w:rsidRPr="00305171" w:rsidRDefault="009156C6" w:rsidP="009156C6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</w:t>
      </w:r>
      <w:r w:rsidR="00067E0D" w:rsidRPr="00305171">
        <w:rPr>
          <w:sz w:val="22"/>
          <w:szCs w:val="22"/>
        </w:rPr>
        <w:t xml:space="preserve"> Jums</w:t>
      </w:r>
      <w:r w:rsidRPr="00305171">
        <w:rPr>
          <w:sz w:val="22"/>
          <w:szCs w:val="22"/>
        </w:rPr>
        <w:t xml:space="preserve"> ir smaga aknu mazspēja;</w:t>
      </w:r>
    </w:p>
    <w:p w14:paraId="5462E66E" w14:textId="77777777" w:rsidR="009156C6" w:rsidRPr="00305171" w:rsidRDefault="009156C6" w:rsidP="009156C6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smaga nieru mazspēja;</w:t>
      </w:r>
    </w:p>
    <w:p w14:paraId="712EF182" w14:textId="77777777" w:rsidR="009156C6" w:rsidRPr="00305171" w:rsidRDefault="009156C6" w:rsidP="009156C6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67E0D" w:rsidRPr="00305171">
        <w:rPr>
          <w:sz w:val="22"/>
          <w:szCs w:val="22"/>
        </w:rPr>
        <w:t xml:space="preserve">Jūs </w:t>
      </w:r>
      <w:r w:rsidRPr="00305171">
        <w:rPr>
          <w:sz w:val="22"/>
          <w:szCs w:val="22"/>
        </w:rPr>
        <w:t>slimojat ar podagru (urīnskābes sāļu uzkrāšanās organismā un izgulsnēšanās locītavās);</w:t>
      </w:r>
    </w:p>
    <w:p w14:paraId="30F4097B" w14:textId="77777777" w:rsidR="00F70FC7" w:rsidRPr="00305171" w:rsidRDefault="001371B5" w:rsidP="00F70FC7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67E0D" w:rsidRPr="00305171">
        <w:rPr>
          <w:sz w:val="22"/>
          <w:szCs w:val="22"/>
        </w:rPr>
        <w:t xml:space="preserve">a Jūs esat </w:t>
      </w:r>
      <w:r w:rsidR="00F70FC7" w:rsidRPr="00305171">
        <w:rPr>
          <w:sz w:val="22"/>
          <w:szCs w:val="22"/>
        </w:rPr>
        <w:t xml:space="preserve">grūtniecības pēdējos trīs mēnešos un </w:t>
      </w:r>
      <w:r w:rsidR="00067E0D" w:rsidRPr="00305171">
        <w:rPr>
          <w:sz w:val="22"/>
          <w:szCs w:val="22"/>
        </w:rPr>
        <w:t>Jūs barojat bērnu ar krūti</w:t>
      </w:r>
      <w:r w:rsidR="00F70FC7" w:rsidRPr="00305171">
        <w:rPr>
          <w:sz w:val="22"/>
          <w:szCs w:val="22"/>
        </w:rPr>
        <w:t>;</w:t>
      </w:r>
    </w:p>
    <w:p w14:paraId="1D1C73E6" w14:textId="77777777" w:rsidR="00EB0329" w:rsidRPr="00305171" w:rsidRDefault="00A920F0" w:rsidP="00AC7102">
      <w:pPr>
        <w:numPr>
          <w:ilvl w:val="0"/>
          <w:numId w:val="6"/>
        </w:numPr>
        <w:tabs>
          <w:tab w:val="clear" w:pos="1080"/>
        </w:tabs>
        <w:ind w:left="567" w:hanging="567"/>
        <w:jc w:val="both"/>
        <w:rPr>
          <w:b/>
          <w:sz w:val="22"/>
          <w:szCs w:val="22"/>
        </w:rPr>
      </w:pPr>
      <w:r w:rsidRPr="00305171">
        <w:rPr>
          <w:sz w:val="22"/>
          <w:szCs w:val="22"/>
        </w:rPr>
        <w:t>bērniem</w:t>
      </w:r>
      <w:r w:rsidR="00EB0329" w:rsidRPr="00305171">
        <w:rPr>
          <w:sz w:val="22"/>
          <w:szCs w:val="22"/>
        </w:rPr>
        <w:t xml:space="preserve"> un pusaudž</w:t>
      </w:r>
      <w:r w:rsidRPr="00305171">
        <w:rPr>
          <w:sz w:val="22"/>
          <w:szCs w:val="22"/>
        </w:rPr>
        <w:t>iem līdz 16 </w:t>
      </w:r>
      <w:r w:rsidR="00EB0329" w:rsidRPr="00305171">
        <w:rPr>
          <w:sz w:val="22"/>
          <w:szCs w:val="22"/>
        </w:rPr>
        <w:t>gadu vecumam drudža vai vīrusu izraisītu infekciju gadījumā, kas norit ar paaugstinātu ķermeņa temperatūru</w:t>
      </w:r>
      <w:r w:rsidR="006D46BF" w:rsidRPr="00305171">
        <w:rPr>
          <w:sz w:val="22"/>
          <w:szCs w:val="22"/>
        </w:rPr>
        <w:t xml:space="preserve"> (tostarp, vējbakas, gripa), jo </w:t>
      </w:r>
      <w:r w:rsidR="00960FDE" w:rsidRPr="00305171">
        <w:rPr>
          <w:sz w:val="22"/>
          <w:szCs w:val="22"/>
        </w:rPr>
        <w:t xml:space="preserve">pastāv </w:t>
      </w:r>
      <w:r w:rsidR="00EB0329" w:rsidRPr="00305171">
        <w:rPr>
          <w:sz w:val="22"/>
          <w:szCs w:val="22"/>
        </w:rPr>
        <w:t xml:space="preserve">Reja sindroma risks. Reja sindroms rodas ļoti retos gadījumos pēc dažām vīrusu izraisītām </w:t>
      </w:r>
      <w:r w:rsidR="00EB0329" w:rsidRPr="00305171">
        <w:rPr>
          <w:sz w:val="22"/>
          <w:szCs w:val="22"/>
        </w:rPr>
        <w:lastRenderedPageBreak/>
        <w:t xml:space="preserve">infekcijām un izpaužas ar smagu nervu sistēmas un aknu bojājumu. Tā simptomi ir </w:t>
      </w:r>
      <w:r w:rsidR="006F54AC" w:rsidRPr="00305171">
        <w:rPr>
          <w:sz w:val="22"/>
          <w:szCs w:val="22"/>
        </w:rPr>
        <w:t xml:space="preserve">slimīgs, </w:t>
      </w:r>
      <w:r w:rsidR="002A411E" w:rsidRPr="00305171">
        <w:rPr>
          <w:sz w:val="22"/>
          <w:szCs w:val="22"/>
        </w:rPr>
        <w:t>dziļam miegam līdzīgs stāvoklis</w:t>
      </w:r>
      <w:r w:rsidR="00EB0329" w:rsidRPr="00305171">
        <w:rPr>
          <w:sz w:val="22"/>
          <w:szCs w:val="22"/>
        </w:rPr>
        <w:t>, miegainība, sāpes vēderā, ilgstoša vemšana, agresivitāte, aknu funk</w:t>
      </w:r>
      <w:r w:rsidR="003B414B" w:rsidRPr="00305171">
        <w:rPr>
          <w:sz w:val="22"/>
          <w:szCs w:val="22"/>
        </w:rPr>
        <w:t xml:space="preserve">ciju traucējumi, krampji un </w:t>
      </w:r>
      <w:r w:rsidR="001867F7" w:rsidRPr="00305171">
        <w:rPr>
          <w:sz w:val="22"/>
          <w:szCs w:val="22"/>
        </w:rPr>
        <w:t>koma</w:t>
      </w:r>
      <w:r w:rsidR="00F70FC7" w:rsidRPr="00305171">
        <w:rPr>
          <w:sz w:val="22"/>
          <w:szCs w:val="22"/>
        </w:rPr>
        <w:t>.</w:t>
      </w:r>
    </w:p>
    <w:p w14:paraId="67970B94" w14:textId="77777777" w:rsidR="004D143F" w:rsidRPr="00305171" w:rsidRDefault="004D143F" w:rsidP="00C915C3">
      <w:pPr>
        <w:pStyle w:val="BodyTextIndent2"/>
        <w:tabs>
          <w:tab w:val="num" w:pos="-2520"/>
        </w:tabs>
        <w:ind w:firstLine="0"/>
        <w:rPr>
          <w:b w:val="0"/>
          <w:sz w:val="22"/>
          <w:szCs w:val="22"/>
        </w:rPr>
      </w:pPr>
      <w:r w:rsidRPr="00305171">
        <w:rPr>
          <w:b w:val="0"/>
          <w:sz w:val="22"/>
          <w:szCs w:val="22"/>
        </w:rPr>
        <w:t>Neskaidrību gadījumā vaicājiet ārstam</w:t>
      </w:r>
      <w:r w:rsidR="002F4632" w:rsidRPr="00305171">
        <w:rPr>
          <w:b w:val="0"/>
          <w:sz w:val="22"/>
          <w:szCs w:val="22"/>
        </w:rPr>
        <w:t xml:space="preserve"> vai farmaceitam.</w:t>
      </w:r>
    </w:p>
    <w:p w14:paraId="28A4227B" w14:textId="77777777" w:rsidR="007A2275" w:rsidRPr="00305171" w:rsidRDefault="007A2275" w:rsidP="00C915C3">
      <w:pPr>
        <w:pStyle w:val="BodyText1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BCB89DF" w14:textId="77777777" w:rsidR="00B84944" w:rsidRPr="00305171" w:rsidRDefault="00B84944" w:rsidP="00B84944">
      <w:pPr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Brīdinājumi un piesardzība lietošanā</w:t>
      </w:r>
    </w:p>
    <w:p w14:paraId="0A750AE7" w14:textId="77777777" w:rsidR="00682EAF" w:rsidRPr="00305171" w:rsidRDefault="00393AC7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Pirms ASA</w:t>
      </w:r>
      <w:r w:rsidRPr="00305171">
        <w:rPr>
          <w:sz w:val="22"/>
          <w:szCs w:val="22"/>
        </w:rPr>
        <w:noBreakHyphen/>
        <w:t>Grindeks lietošanas konsultējieties ar ārstu</w:t>
      </w:r>
      <w:r w:rsidR="00682EAF" w:rsidRPr="00305171">
        <w:rPr>
          <w:sz w:val="22"/>
          <w:szCs w:val="22"/>
        </w:rPr>
        <w:t>:</w:t>
      </w:r>
    </w:p>
    <w:p w14:paraId="4730000E" w14:textId="77777777" w:rsidR="00682EAF" w:rsidRPr="00305171" w:rsidRDefault="00530F9F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Jums ir </w:t>
      </w:r>
      <w:r w:rsidR="00682EAF" w:rsidRPr="00305171">
        <w:rPr>
          <w:sz w:val="22"/>
          <w:szCs w:val="22"/>
        </w:rPr>
        <w:t>aknu vai nieru bojājumi</w:t>
      </w:r>
      <w:r w:rsidRPr="00305171">
        <w:rPr>
          <w:sz w:val="22"/>
          <w:szCs w:val="22"/>
        </w:rPr>
        <w:t>;</w:t>
      </w:r>
    </w:p>
    <w:p w14:paraId="177F0583" w14:textId="77777777" w:rsidR="00E84095" w:rsidRPr="00305171" w:rsidRDefault="00906518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slimojat</w:t>
      </w:r>
      <w:r w:rsidR="00E84095" w:rsidRPr="00305171">
        <w:rPr>
          <w:sz w:val="22"/>
          <w:szCs w:val="22"/>
        </w:rPr>
        <w:t xml:space="preserve"> ar astmu vai alerģiskām slimībām</w:t>
      </w:r>
      <w:r w:rsidRPr="00305171">
        <w:rPr>
          <w:sz w:val="22"/>
          <w:szCs w:val="22"/>
        </w:rPr>
        <w:t>;</w:t>
      </w:r>
    </w:p>
    <w:p w14:paraId="7F031FB1" w14:textId="77777777" w:rsidR="00E56013" w:rsidRPr="00305171" w:rsidRDefault="00906518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</w:t>
      </w:r>
      <w:r w:rsidR="00E56013" w:rsidRPr="00305171">
        <w:rPr>
          <w:sz w:val="22"/>
          <w:szCs w:val="22"/>
        </w:rPr>
        <w:t xml:space="preserve"> </w:t>
      </w:r>
      <w:r w:rsidR="00067E0D" w:rsidRPr="00305171">
        <w:rPr>
          <w:sz w:val="22"/>
          <w:szCs w:val="22"/>
        </w:rPr>
        <w:t>vienlaikus lietojat</w:t>
      </w:r>
      <w:r w:rsidR="00E56013" w:rsidRPr="00305171">
        <w:rPr>
          <w:sz w:val="22"/>
          <w:szCs w:val="22"/>
        </w:rPr>
        <w:t xml:space="preserve"> zāles, kas kavē asins recēšanu</w:t>
      </w:r>
      <w:r w:rsidRPr="00305171">
        <w:rPr>
          <w:sz w:val="22"/>
          <w:szCs w:val="22"/>
        </w:rPr>
        <w:t>;</w:t>
      </w:r>
    </w:p>
    <w:p w14:paraId="35E3D6D7" w14:textId="77777777" w:rsidR="00F70FC7" w:rsidRPr="00305171" w:rsidRDefault="00682EAF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87939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>ir hronisks kuņģa vai divpadsmitpirkstu zarnas iekaisums</w:t>
      </w:r>
      <w:r w:rsidR="00490C32" w:rsidRPr="00305171">
        <w:rPr>
          <w:sz w:val="22"/>
          <w:szCs w:val="22"/>
        </w:rPr>
        <w:t xml:space="preserve"> vai šo slimību paasinājums</w:t>
      </w:r>
      <w:r w:rsidR="00087939" w:rsidRPr="00305171">
        <w:rPr>
          <w:sz w:val="22"/>
          <w:szCs w:val="22"/>
        </w:rPr>
        <w:t>;</w:t>
      </w:r>
    </w:p>
    <w:p w14:paraId="00B5D498" w14:textId="77777777" w:rsidR="00B5531C" w:rsidRPr="00305171" w:rsidRDefault="00B5531C" w:rsidP="00B5531C">
      <w:pPr>
        <w:pStyle w:val="BodyText1"/>
        <w:numPr>
          <w:ilvl w:val="0"/>
          <w:numId w:val="10"/>
        </w:numPr>
        <w:spacing w:after="11" w:line="180" w:lineRule="atLeast"/>
        <w:ind w:left="567" w:hanging="567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ja Jums </w:t>
      </w:r>
      <w:r w:rsidRPr="00305171">
        <w:rPr>
          <w:rFonts w:ascii="Times New Roman" w:hAnsi="Times New Roman"/>
          <w:color w:val="auto"/>
          <w:spacing w:val="-2"/>
          <w:sz w:val="22"/>
          <w:szCs w:val="22"/>
          <w:lang w:val="lv-LV"/>
        </w:rPr>
        <w:t xml:space="preserve">agrāk ir bijušas zarnu trakta slimības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(čūlainais kolīts, Krona slimība);</w:t>
      </w:r>
    </w:p>
    <w:p w14:paraId="5AA98091" w14:textId="77777777" w:rsidR="00E51355" w:rsidRPr="00305171" w:rsidRDefault="00F70FC7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Jums ir nekontrolēts paaugstināts asinsspiediens;</w:t>
      </w:r>
    </w:p>
    <w:p w14:paraId="33B6211B" w14:textId="77777777" w:rsidR="00E51355" w:rsidRPr="00305171" w:rsidRDefault="00E51355" w:rsidP="00A06CD1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Jums ir </w:t>
      </w:r>
      <w:r w:rsidR="00710960" w:rsidRPr="00305171">
        <w:rPr>
          <w:sz w:val="22"/>
          <w:szCs w:val="22"/>
        </w:rPr>
        <w:t>sirds mazspēja</w:t>
      </w:r>
      <w:r w:rsidRPr="00305171">
        <w:rPr>
          <w:sz w:val="22"/>
          <w:szCs w:val="22"/>
        </w:rPr>
        <w:t>;</w:t>
      </w:r>
    </w:p>
    <w:p w14:paraId="6D20D35C" w14:textId="77777777" w:rsidR="005D694E" w:rsidRPr="00305171" w:rsidRDefault="005D694E" w:rsidP="005D694E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organisma atūdeņošanās gadījumā;</w:t>
      </w:r>
    </w:p>
    <w:p w14:paraId="1F59665D" w14:textId="77777777" w:rsidR="00504343" w:rsidRPr="00305171" w:rsidRDefault="002709B8" w:rsidP="00504343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087939" w:rsidRPr="00305171">
        <w:rPr>
          <w:sz w:val="22"/>
          <w:szCs w:val="22"/>
        </w:rPr>
        <w:t xml:space="preserve">Jums </w:t>
      </w:r>
      <w:r w:rsidRPr="00305171">
        <w:rPr>
          <w:sz w:val="22"/>
          <w:szCs w:val="22"/>
        </w:rPr>
        <w:t xml:space="preserve">ir </w:t>
      </w:r>
      <w:r w:rsidR="00F32CA3" w:rsidRPr="00305171">
        <w:rPr>
          <w:sz w:val="22"/>
          <w:szCs w:val="22"/>
        </w:rPr>
        <w:t xml:space="preserve">enzīma </w:t>
      </w:r>
      <w:r w:rsidR="00682EAF" w:rsidRPr="00305171">
        <w:rPr>
          <w:sz w:val="22"/>
          <w:szCs w:val="22"/>
        </w:rPr>
        <w:t>glikozes</w:t>
      </w:r>
      <w:r w:rsidR="00087939" w:rsidRPr="00305171">
        <w:rPr>
          <w:sz w:val="22"/>
          <w:szCs w:val="22"/>
        </w:rPr>
        <w:noBreakHyphen/>
      </w:r>
      <w:r w:rsidR="00682EAF" w:rsidRPr="00305171">
        <w:rPr>
          <w:sz w:val="22"/>
          <w:szCs w:val="22"/>
        </w:rPr>
        <w:t>6</w:t>
      </w:r>
      <w:r w:rsidR="00087939" w:rsidRPr="00305171">
        <w:rPr>
          <w:sz w:val="22"/>
          <w:szCs w:val="22"/>
        </w:rPr>
        <w:noBreakHyphen/>
      </w:r>
      <w:r w:rsidR="00682EAF" w:rsidRPr="00305171">
        <w:rPr>
          <w:sz w:val="22"/>
          <w:szCs w:val="22"/>
        </w:rPr>
        <w:t xml:space="preserve">fosfāta </w:t>
      </w:r>
      <w:proofErr w:type="spellStart"/>
      <w:r w:rsidR="00682EAF" w:rsidRPr="00305171">
        <w:rPr>
          <w:sz w:val="22"/>
          <w:szCs w:val="22"/>
        </w:rPr>
        <w:t>dehidrogenāzes</w:t>
      </w:r>
      <w:proofErr w:type="spellEnd"/>
      <w:r w:rsidR="00682EAF" w:rsidRPr="00305171">
        <w:rPr>
          <w:sz w:val="22"/>
          <w:szCs w:val="22"/>
        </w:rPr>
        <w:t xml:space="preserve"> deficīt</w:t>
      </w:r>
      <w:r w:rsidRPr="00305171">
        <w:rPr>
          <w:sz w:val="22"/>
          <w:szCs w:val="22"/>
        </w:rPr>
        <w:t>s</w:t>
      </w:r>
      <w:r w:rsidR="00F32CA3" w:rsidRPr="00305171">
        <w:rPr>
          <w:sz w:val="22"/>
          <w:szCs w:val="22"/>
        </w:rPr>
        <w:t xml:space="preserve">, kas </w:t>
      </w:r>
      <w:r w:rsidR="00FC77A5" w:rsidRPr="00305171">
        <w:rPr>
          <w:sz w:val="22"/>
          <w:szCs w:val="22"/>
        </w:rPr>
        <w:t>var izraisī</w:t>
      </w:r>
      <w:r w:rsidR="00793A1C" w:rsidRPr="00305171">
        <w:rPr>
          <w:sz w:val="22"/>
          <w:szCs w:val="22"/>
        </w:rPr>
        <w:t>t</w:t>
      </w:r>
      <w:r w:rsidR="00FC77A5" w:rsidRPr="00305171">
        <w:rPr>
          <w:sz w:val="22"/>
          <w:szCs w:val="22"/>
        </w:rPr>
        <w:t xml:space="preserve"> sarkano asins šūnu slimības</w:t>
      </w:r>
      <w:r w:rsidR="00043933" w:rsidRPr="00305171">
        <w:rPr>
          <w:sz w:val="22"/>
          <w:szCs w:val="22"/>
        </w:rPr>
        <w:t>.</w:t>
      </w:r>
    </w:p>
    <w:p w14:paraId="43B8ADAA" w14:textId="77777777" w:rsidR="005D694E" w:rsidRPr="00305171" w:rsidRDefault="005D694E" w:rsidP="00E43C5A">
      <w:pPr>
        <w:jc w:val="both"/>
        <w:rPr>
          <w:sz w:val="22"/>
          <w:szCs w:val="22"/>
        </w:rPr>
      </w:pPr>
    </w:p>
    <w:p w14:paraId="1EEB2F39" w14:textId="77777777" w:rsidR="00A45140" w:rsidRPr="00305171" w:rsidRDefault="00412B72" w:rsidP="00704AC9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Šo zāļu lietošana var būt saistīta ar nedaudz palielinātu sirdslēkmes </w:t>
      </w:r>
      <w:r w:rsidR="00A45140" w:rsidRPr="00305171">
        <w:rPr>
          <w:sz w:val="22"/>
          <w:szCs w:val="22"/>
        </w:rPr>
        <w:t xml:space="preserve">(miokarda infarkta) </w:t>
      </w:r>
      <w:r w:rsidRPr="00305171">
        <w:rPr>
          <w:sz w:val="22"/>
          <w:szCs w:val="22"/>
        </w:rPr>
        <w:t xml:space="preserve">vai </w:t>
      </w:r>
      <w:r w:rsidR="00A45140" w:rsidRPr="00305171">
        <w:rPr>
          <w:sz w:val="22"/>
          <w:szCs w:val="22"/>
        </w:rPr>
        <w:t>galvas smadzeņu asinsrites traucējumu (</w:t>
      </w:r>
      <w:r w:rsidRPr="00305171">
        <w:rPr>
          <w:sz w:val="22"/>
          <w:szCs w:val="22"/>
        </w:rPr>
        <w:t>insulta</w:t>
      </w:r>
      <w:r w:rsidR="00A45140" w:rsidRPr="00305171">
        <w:rPr>
          <w:sz w:val="22"/>
          <w:szCs w:val="22"/>
        </w:rPr>
        <w:t>)</w:t>
      </w:r>
      <w:r w:rsidR="00704AC9" w:rsidRPr="00305171">
        <w:rPr>
          <w:sz w:val="22"/>
          <w:szCs w:val="22"/>
        </w:rPr>
        <w:t xml:space="preserve"> risku. </w:t>
      </w:r>
      <w:r w:rsidR="00A45140" w:rsidRPr="00305171">
        <w:rPr>
          <w:sz w:val="22"/>
          <w:szCs w:val="22"/>
        </w:rPr>
        <w:t>Ja zāles tiek lietotas lielā devā un ilgstoši, iespējams lielāks minēto traucējumu risks. Nel</w:t>
      </w:r>
      <w:r w:rsidR="00704AC9" w:rsidRPr="00305171">
        <w:rPr>
          <w:sz w:val="22"/>
          <w:szCs w:val="22"/>
        </w:rPr>
        <w:t>ietojiet zāles lielākā devā un ilgāk, nekā ieteikts.</w:t>
      </w:r>
    </w:p>
    <w:p w14:paraId="3F7F56BA" w14:textId="77777777" w:rsidR="00704AC9" w:rsidRPr="00305171" w:rsidRDefault="00704AC9" w:rsidP="00704AC9">
      <w:pPr>
        <w:jc w:val="both"/>
        <w:rPr>
          <w:sz w:val="22"/>
          <w:szCs w:val="22"/>
        </w:rPr>
      </w:pPr>
    </w:p>
    <w:p w14:paraId="132F002E" w14:textId="77777777" w:rsidR="00A45140" w:rsidRPr="00305171" w:rsidRDefault="00A45140" w:rsidP="00A45140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Jums ir sirdsdarbības traucējumi, esat pārcietis insultu vai uzskatāt, ka Jums ir minēto traucējumu risks (piemēram, paaugstināts asinsspiediens, cukura diabēts, augsts holesterīna līmenis vai esat smēķētājs), noteikti konsultējieties </w:t>
      </w:r>
      <w:r w:rsidR="00704AC9" w:rsidRPr="00305171">
        <w:rPr>
          <w:sz w:val="22"/>
          <w:szCs w:val="22"/>
        </w:rPr>
        <w:t>ar ārstu vai farmaceitu.</w:t>
      </w:r>
    </w:p>
    <w:p w14:paraId="0D2699B0" w14:textId="77777777" w:rsidR="00A45140" w:rsidRPr="00305171" w:rsidRDefault="00A45140" w:rsidP="00412B72">
      <w:pPr>
        <w:rPr>
          <w:sz w:val="22"/>
          <w:szCs w:val="22"/>
        </w:rPr>
      </w:pPr>
    </w:p>
    <w:p w14:paraId="1CE2B886" w14:textId="663A9547" w:rsidR="001E0A26" w:rsidRPr="00305171" w:rsidRDefault="001E0A26" w:rsidP="00A06CD1">
      <w:pPr>
        <w:pStyle w:val="BodyText1"/>
        <w:spacing w:after="11" w:line="180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Kuņģa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zarnu trakta asiņošana, čūla vai perforācija var rasties neatkarīgi no NPL lietošanas ilguma.</w:t>
      </w:r>
      <w:r w:rsidR="003769B8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Par blakusparādību rašanos var </w:t>
      </w:r>
      <w:r w:rsidR="00F93100">
        <w:rPr>
          <w:rFonts w:ascii="Times New Roman" w:hAnsi="Times New Roman"/>
          <w:color w:val="auto"/>
          <w:sz w:val="22"/>
          <w:szCs w:val="22"/>
          <w:lang w:val="lv-LV"/>
        </w:rPr>
        <w:t>liecināt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brīdinājuma simptomi, bet tādi var arī nebūt. Tās var rasties </w:t>
      </w:r>
      <w:r w:rsidR="003769B8" w:rsidRPr="00305171">
        <w:rPr>
          <w:rFonts w:ascii="Times New Roman" w:hAnsi="Times New Roman"/>
          <w:color w:val="auto"/>
          <w:sz w:val="22"/>
          <w:szCs w:val="22"/>
          <w:lang w:val="lv-LV"/>
        </w:rPr>
        <w:t>arī tad, ja iepriekš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3769B8" w:rsidRPr="00305171">
        <w:rPr>
          <w:rFonts w:ascii="Times New Roman" w:hAnsi="Times New Roman"/>
          <w:color w:val="auto"/>
          <w:sz w:val="22"/>
          <w:szCs w:val="22"/>
          <w:lang w:val="lv-LV"/>
        </w:rPr>
        <w:t>kuņģa</w:t>
      </w:r>
      <w:r w:rsidR="003769B8"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 xml:space="preserve">zarnu trakta darbības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traucējumi nav bijuši.</w:t>
      </w:r>
      <w:r w:rsidR="00CB5FD4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E43C5A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Šo blakusparādību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risks ir lielāks, </w:t>
      </w:r>
      <w:r w:rsidR="00E43C5A" w:rsidRPr="00305171">
        <w:rPr>
          <w:rFonts w:ascii="Times New Roman" w:hAnsi="Times New Roman"/>
          <w:color w:val="auto"/>
          <w:sz w:val="22"/>
          <w:szCs w:val="22"/>
          <w:lang w:val="lv-LV"/>
        </w:rPr>
        <w:t>ja lieto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lielāku NPL devu, </w:t>
      </w:r>
      <w:r w:rsidR="00E43C5A" w:rsidRPr="00305171">
        <w:rPr>
          <w:rFonts w:ascii="Times New Roman" w:hAnsi="Times New Roman"/>
          <w:color w:val="auto"/>
          <w:sz w:val="22"/>
          <w:szCs w:val="22"/>
          <w:lang w:val="lv-LV"/>
        </w:rPr>
        <w:t>cilvēkiem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, kuriem </w:t>
      </w:r>
      <w:r w:rsidR="00E43C5A" w:rsidRPr="00305171">
        <w:rPr>
          <w:rFonts w:ascii="Times New Roman" w:hAnsi="Times New Roman"/>
          <w:color w:val="auto"/>
          <w:sz w:val="22"/>
          <w:szCs w:val="22"/>
          <w:lang w:val="lv-LV"/>
        </w:rPr>
        <w:t>iepriekš bijusi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čūla, kā arī gados vecākiem </w:t>
      </w:r>
      <w:r w:rsidR="00EE5B78" w:rsidRPr="00305171">
        <w:rPr>
          <w:rFonts w:ascii="Times New Roman" w:hAnsi="Times New Roman"/>
          <w:color w:val="auto"/>
          <w:sz w:val="22"/>
          <w:szCs w:val="22"/>
          <w:lang w:val="lv-LV"/>
        </w:rPr>
        <w:t>cilvēkiem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. Š</w:t>
      </w:r>
      <w:r w:rsidR="00024E97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ajos gadījumos </w:t>
      </w:r>
      <w:r w:rsidR="00EE5B78" w:rsidRPr="00305171">
        <w:rPr>
          <w:rFonts w:ascii="Times New Roman" w:hAnsi="Times New Roman"/>
          <w:color w:val="auto"/>
          <w:sz w:val="22"/>
          <w:szCs w:val="22"/>
          <w:lang w:val="lv-LV"/>
        </w:rPr>
        <w:t>ārstēš</w:t>
      </w:r>
      <w:r w:rsidR="00CB5FD4" w:rsidRPr="00305171">
        <w:rPr>
          <w:rFonts w:ascii="Times New Roman" w:hAnsi="Times New Roman"/>
          <w:color w:val="auto"/>
          <w:sz w:val="22"/>
          <w:szCs w:val="22"/>
          <w:lang w:val="lv-LV"/>
        </w:rPr>
        <w:t>a</w:t>
      </w:r>
      <w:r w:rsidR="00EE5B78" w:rsidRPr="00305171">
        <w:rPr>
          <w:rFonts w:ascii="Times New Roman" w:hAnsi="Times New Roman"/>
          <w:color w:val="auto"/>
          <w:sz w:val="22"/>
          <w:szCs w:val="22"/>
          <w:lang w:val="lv-LV"/>
        </w:rPr>
        <w:t>n</w:t>
      </w:r>
      <w:r w:rsidR="00024E97" w:rsidRPr="00305171">
        <w:rPr>
          <w:rFonts w:ascii="Times New Roman" w:hAnsi="Times New Roman"/>
          <w:color w:val="auto"/>
          <w:sz w:val="22"/>
          <w:szCs w:val="22"/>
          <w:lang w:val="lv-LV"/>
        </w:rPr>
        <w:t>ās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jā</w:t>
      </w:r>
      <w:r w:rsidR="00024E97" w:rsidRPr="00305171">
        <w:rPr>
          <w:rFonts w:ascii="Times New Roman" w:hAnsi="Times New Roman"/>
          <w:color w:val="auto"/>
          <w:sz w:val="22"/>
          <w:szCs w:val="22"/>
          <w:lang w:val="lv-LV"/>
        </w:rPr>
        <w:t>uzsāk ar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iespējami mazāku NPL devu.</w:t>
      </w:r>
    </w:p>
    <w:p w14:paraId="40CDC060" w14:textId="77777777" w:rsidR="001E0A26" w:rsidRPr="00305171" w:rsidRDefault="001E0A26" w:rsidP="001E0A26">
      <w:pPr>
        <w:pStyle w:val="BodyText1"/>
        <w:spacing w:after="11" w:line="180" w:lineRule="atLeast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059F898" w14:textId="707DBBC7" w:rsidR="003026C4" w:rsidRPr="00305171" w:rsidRDefault="00C9637A" w:rsidP="003026C4">
      <w:pPr>
        <w:pStyle w:val="BodyText1"/>
        <w:spacing w:after="11" w:line="180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Cilvēkiem 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(īpaši gados vecākiem), kuriem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iepriekš bijuši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B772F9" w:rsidRPr="00305171">
        <w:rPr>
          <w:rFonts w:ascii="Times New Roman" w:hAnsi="Times New Roman"/>
          <w:color w:val="auto"/>
          <w:sz w:val="22"/>
          <w:szCs w:val="22"/>
          <w:lang w:val="lv-LV"/>
        </w:rPr>
        <w:t>kuņģa</w:t>
      </w:r>
      <w:r w:rsidR="00B772F9"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zarnu trakta darbības traucējumi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, jāziņo </w:t>
      </w:r>
      <w:r w:rsidR="00043933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ārstam 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>par jebkādiem neparastiem</w:t>
      </w:r>
      <w:r w:rsidR="00930D03">
        <w:rPr>
          <w:rFonts w:ascii="Times New Roman" w:hAnsi="Times New Roman"/>
          <w:color w:val="auto"/>
          <w:sz w:val="22"/>
          <w:szCs w:val="22"/>
          <w:lang w:val="lv-LV"/>
        </w:rPr>
        <w:t xml:space="preserve"> vēdera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simptomiem (īpaši asiņošanu</w:t>
      </w:r>
      <w:r w:rsidR="00B772F9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no kuņģa</w:t>
      </w:r>
      <w:r w:rsidR="00B772F9"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zarnu trakta</w:t>
      </w:r>
      <w:r w:rsidR="001E0A26" w:rsidRPr="00305171">
        <w:rPr>
          <w:rFonts w:ascii="Times New Roman" w:hAnsi="Times New Roman"/>
          <w:color w:val="auto"/>
          <w:sz w:val="22"/>
          <w:szCs w:val="22"/>
          <w:lang w:val="lv-LV"/>
        </w:rPr>
        <w:t>).</w:t>
      </w:r>
      <w:r w:rsidR="003026C4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Būtiski minētiem simptomiem pievērst pastiprinātu uzmanību ārstēšanas sākumā.</w:t>
      </w:r>
    </w:p>
    <w:p w14:paraId="06A2B145" w14:textId="77777777" w:rsidR="001E0A26" w:rsidRPr="00305171" w:rsidRDefault="001E0A26" w:rsidP="001E0A26">
      <w:pPr>
        <w:pStyle w:val="BodyText1"/>
        <w:spacing w:after="11" w:line="180" w:lineRule="atLeast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2A775393" w14:textId="77777777" w:rsidR="001E0A26" w:rsidRPr="00305171" w:rsidRDefault="001E0A26" w:rsidP="00A06CD1">
      <w:pPr>
        <w:pStyle w:val="BodyText1"/>
        <w:spacing w:after="11" w:line="180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Ja ASA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Grindeks</w:t>
      </w:r>
      <w:r w:rsidR="00126343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lietošanas laikā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FE311F" w:rsidRPr="00305171">
        <w:rPr>
          <w:rFonts w:ascii="Times New Roman" w:hAnsi="Times New Roman"/>
          <w:color w:val="auto"/>
          <w:sz w:val="22"/>
          <w:szCs w:val="22"/>
          <w:lang w:val="lv-LV"/>
        </w:rPr>
        <w:t>rodas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asiņošana </w:t>
      </w:r>
      <w:r w:rsidR="00FE311F" w:rsidRPr="00305171">
        <w:rPr>
          <w:rFonts w:ascii="Times New Roman" w:hAnsi="Times New Roman"/>
          <w:color w:val="auto"/>
          <w:sz w:val="22"/>
          <w:szCs w:val="22"/>
          <w:lang w:val="lv-LV"/>
        </w:rPr>
        <w:t>no kuņģa</w:t>
      </w:r>
      <w:r w:rsidR="00FE311F"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 xml:space="preserve">zarnu trakta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vai čūla, zāļu lietošana nekavējoties jāpārtrauc.</w:t>
      </w:r>
    </w:p>
    <w:p w14:paraId="3ECDE806" w14:textId="77777777" w:rsidR="008266F6" w:rsidRPr="00305171" w:rsidRDefault="008266F6" w:rsidP="00A06CD1">
      <w:pPr>
        <w:pStyle w:val="BodyText1"/>
        <w:spacing w:after="11" w:line="180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7C4AFBCD" w14:textId="77777777" w:rsidR="00CB5FD4" w:rsidRPr="00305171" w:rsidRDefault="00CB5FD4" w:rsidP="00CB5FD4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Ļoti retos gadījumos </w:t>
      </w:r>
      <w:r w:rsidR="005420D0" w:rsidRPr="00305171">
        <w:rPr>
          <w:sz w:val="22"/>
          <w:szCs w:val="22"/>
        </w:rPr>
        <w:t>iespējamas</w:t>
      </w:r>
      <w:r w:rsidRPr="00305171">
        <w:rPr>
          <w:sz w:val="22"/>
          <w:szCs w:val="22"/>
        </w:rPr>
        <w:t xml:space="preserve"> smag</w:t>
      </w:r>
      <w:r w:rsidR="005420D0" w:rsidRPr="00305171">
        <w:rPr>
          <w:sz w:val="22"/>
          <w:szCs w:val="22"/>
        </w:rPr>
        <w:t>as</w:t>
      </w:r>
      <w:r w:rsidRPr="00305171">
        <w:rPr>
          <w:sz w:val="22"/>
          <w:szCs w:val="22"/>
        </w:rPr>
        <w:t xml:space="preserve"> ādas reakcij</w:t>
      </w:r>
      <w:r w:rsidR="005420D0" w:rsidRPr="00305171">
        <w:rPr>
          <w:sz w:val="22"/>
          <w:szCs w:val="22"/>
        </w:rPr>
        <w:t>as</w:t>
      </w:r>
      <w:r w:rsidRPr="00305171">
        <w:rPr>
          <w:sz w:val="22"/>
          <w:szCs w:val="22"/>
        </w:rPr>
        <w:t xml:space="preserve"> (</w:t>
      </w:r>
      <w:proofErr w:type="spellStart"/>
      <w:r w:rsidRPr="00305171">
        <w:rPr>
          <w:sz w:val="22"/>
          <w:szCs w:val="22"/>
        </w:rPr>
        <w:t>eks</w:t>
      </w:r>
      <w:r w:rsidR="005420D0" w:rsidRPr="00305171">
        <w:rPr>
          <w:sz w:val="22"/>
          <w:szCs w:val="22"/>
        </w:rPr>
        <w:t>foliatīvais</w:t>
      </w:r>
      <w:proofErr w:type="spellEnd"/>
      <w:r w:rsidRPr="00305171">
        <w:rPr>
          <w:sz w:val="22"/>
          <w:szCs w:val="22"/>
        </w:rPr>
        <w:t xml:space="preserve"> dermatīt</w:t>
      </w:r>
      <w:r w:rsidR="005420D0" w:rsidRPr="00305171">
        <w:rPr>
          <w:sz w:val="22"/>
          <w:szCs w:val="22"/>
        </w:rPr>
        <w:t>s</w:t>
      </w:r>
      <w:r w:rsidRPr="00305171">
        <w:rPr>
          <w:sz w:val="22"/>
          <w:szCs w:val="22"/>
        </w:rPr>
        <w:t>, Stīvensa</w:t>
      </w:r>
      <w:r w:rsidRPr="00305171">
        <w:rPr>
          <w:sz w:val="22"/>
          <w:szCs w:val="22"/>
        </w:rPr>
        <w:noBreakHyphen/>
        <w:t>Džonsona sindrom</w:t>
      </w:r>
      <w:r w:rsidR="005420D0" w:rsidRPr="00305171">
        <w:rPr>
          <w:sz w:val="22"/>
          <w:szCs w:val="22"/>
        </w:rPr>
        <w:t>s</w:t>
      </w:r>
      <w:r w:rsidRPr="00305171">
        <w:rPr>
          <w:sz w:val="22"/>
          <w:szCs w:val="22"/>
        </w:rPr>
        <w:t xml:space="preserve"> un toksisk</w:t>
      </w:r>
      <w:r w:rsidR="005420D0" w:rsidRPr="00305171">
        <w:rPr>
          <w:sz w:val="22"/>
          <w:szCs w:val="22"/>
        </w:rPr>
        <w:t>ā</w:t>
      </w:r>
      <w:r w:rsidRPr="00305171">
        <w:rPr>
          <w:sz w:val="22"/>
          <w:szCs w:val="22"/>
        </w:rPr>
        <w:t xml:space="preserve"> epidermāl</w:t>
      </w:r>
      <w:r w:rsidR="005420D0" w:rsidRPr="00305171">
        <w:rPr>
          <w:sz w:val="22"/>
          <w:szCs w:val="22"/>
        </w:rPr>
        <w:t>ā</w:t>
      </w:r>
      <w:r w:rsidRPr="00305171">
        <w:rPr>
          <w:sz w:val="22"/>
          <w:szCs w:val="22"/>
        </w:rPr>
        <w:t xml:space="preserve"> nekrolīz</w:t>
      </w:r>
      <w:r w:rsidR="00E347B3" w:rsidRPr="00305171">
        <w:rPr>
          <w:sz w:val="22"/>
          <w:szCs w:val="22"/>
        </w:rPr>
        <w:t>e</w:t>
      </w:r>
      <w:r w:rsidRPr="00305171">
        <w:rPr>
          <w:sz w:val="22"/>
          <w:szCs w:val="22"/>
        </w:rPr>
        <w:t>). Ja rodas izsitumi uz ādas, gļotādu bojājumi vai jebkāda cita alerģiskas reakcijas pazīme, ASA</w:t>
      </w:r>
      <w:r w:rsidRPr="00305171">
        <w:rPr>
          <w:sz w:val="22"/>
          <w:szCs w:val="22"/>
        </w:rPr>
        <w:noBreakHyphen/>
        <w:t>Grindeks lietošana jāpārtrauc un jākonsultējas ar ārstu.</w:t>
      </w:r>
    </w:p>
    <w:p w14:paraId="63AAEE91" w14:textId="77777777" w:rsidR="001E0A26" w:rsidRPr="00305171" w:rsidRDefault="001E0A26" w:rsidP="0033546E">
      <w:pPr>
        <w:jc w:val="both"/>
        <w:rPr>
          <w:sz w:val="22"/>
          <w:szCs w:val="22"/>
        </w:rPr>
      </w:pPr>
    </w:p>
    <w:p w14:paraId="2F8F1DB3" w14:textId="77777777" w:rsidR="0060283B" w:rsidRPr="00305171" w:rsidRDefault="005D694E" w:rsidP="0060283B">
      <w:pPr>
        <w:jc w:val="both"/>
        <w:rPr>
          <w:sz w:val="22"/>
          <w:szCs w:val="22"/>
          <w:lang w:eastAsia="lv-LV"/>
        </w:rPr>
      </w:pPr>
      <w:r w:rsidRPr="00305171">
        <w:rPr>
          <w:sz w:val="22"/>
          <w:szCs w:val="22"/>
        </w:rPr>
        <w:t xml:space="preserve">Nevēlamās blakusparādības </w:t>
      </w:r>
      <w:r w:rsidRPr="00305171">
        <w:rPr>
          <w:sz w:val="22"/>
          <w:szCs w:val="22"/>
          <w:lang w:eastAsia="lv-LV"/>
        </w:rPr>
        <w:t>var samazināt, lietojot mazāko efektīvo devu iespējami īsāku laiku.</w:t>
      </w:r>
      <w:r w:rsidR="0060283B" w:rsidRPr="00305171">
        <w:rPr>
          <w:sz w:val="22"/>
          <w:szCs w:val="22"/>
          <w:lang w:eastAsia="lv-LV"/>
        </w:rPr>
        <w:t xml:space="preserve"> </w:t>
      </w:r>
      <w:r w:rsidR="00342383" w:rsidRPr="00305171">
        <w:rPr>
          <w:iCs/>
          <w:sz w:val="22"/>
          <w:szCs w:val="22"/>
          <w:lang w:eastAsia="lv-LV" w:bidi="kn-IN"/>
        </w:rPr>
        <w:t xml:space="preserve">Gados vecākiem </w:t>
      </w:r>
      <w:r w:rsidR="002A2371" w:rsidRPr="00305171">
        <w:rPr>
          <w:iCs/>
          <w:sz w:val="22"/>
          <w:szCs w:val="22"/>
          <w:lang w:eastAsia="lv-LV" w:bidi="kn-IN"/>
        </w:rPr>
        <w:t xml:space="preserve">cilvēkiem </w:t>
      </w:r>
      <w:r w:rsidR="00342383" w:rsidRPr="00305171">
        <w:rPr>
          <w:iCs/>
          <w:sz w:val="22"/>
          <w:szCs w:val="22"/>
          <w:lang w:eastAsia="lv-LV" w:bidi="kn-IN"/>
        </w:rPr>
        <w:t>ir lielāks blakusparādību rašanās risks</w:t>
      </w:r>
      <w:r w:rsidR="002A2371" w:rsidRPr="00305171">
        <w:rPr>
          <w:iCs/>
          <w:sz w:val="22"/>
          <w:szCs w:val="22"/>
          <w:lang w:eastAsia="lv-LV" w:bidi="kn-IN"/>
        </w:rPr>
        <w:t xml:space="preserve">, īpaši </w:t>
      </w:r>
      <w:r w:rsidR="002A2371" w:rsidRPr="00305171">
        <w:rPr>
          <w:sz w:val="22"/>
          <w:szCs w:val="22"/>
        </w:rPr>
        <w:t>kuņģa</w:t>
      </w:r>
      <w:r w:rsidR="002A2371" w:rsidRPr="00305171">
        <w:rPr>
          <w:sz w:val="22"/>
          <w:szCs w:val="22"/>
        </w:rPr>
        <w:noBreakHyphen/>
        <w:t>zarnu trakta asiņošana un perforācija</w:t>
      </w:r>
      <w:r w:rsidR="00342383" w:rsidRPr="00305171">
        <w:rPr>
          <w:iCs/>
          <w:sz w:val="22"/>
          <w:szCs w:val="22"/>
          <w:lang w:eastAsia="lv-LV" w:bidi="kn-IN"/>
        </w:rPr>
        <w:t>.</w:t>
      </w:r>
      <w:r w:rsidR="00FC1A06" w:rsidRPr="00305171">
        <w:rPr>
          <w:iCs/>
          <w:sz w:val="22"/>
          <w:szCs w:val="22"/>
          <w:lang w:eastAsia="lv-LV" w:bidi="kn-IN"/>
        </w:rPr>
        <w:t xml:space="preserve"> Tādēļ </w:t>
      </w:r>
      <w:r w:rsidR="00FC1A06" w:rsidRPr="00305171">
        <w:rPr>
          <w:sz w:val="22"/>
          <w:szCs w:val="22"/>
        </w:rPr>
        <w:t>jāizvairās no zāļu ilgstošas lietošanas.</w:t>
      </w:r>
    </w:p>
    <w:p w14:paraId="20731A85" w14:textId="77777777" w:rsidR="00087939" w:rsidRPr="00305171" w:rsidRDefault="00087939" w:rsidP="0033546E">
      <w:pPr>
        <w:jc w:val="both"/>
        <w:rPr>
          <w:sz w:val="22"/>
          <w:szCs w:val="22"/>
        </w:rPr>
      </w:pPr>
    </w:p>
    <w:p w14:paraId="7ACD2685" w14:textId="77777777" w:rsidR="00485CF3" w:rsidRPr="00305171" w:rsidRDefault="00485CF3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Acetilsalicilskābe kavē asins plātnīšu salipšanu un noslāņošanos, tā</w:t>
      </w:r>
      <w:r w:rsidR="00E51355" w:rsidRPr="00305171">
        <w:rPr>
          <w:sz w:val="22"/>
          <w:szCs w:val="22"/>
        </w:rPr>
        <w:t>dēļ</w:t>
      </w:r>
      <w:r w:rsidRPr="00305171">
        <w:rPr>
          <w:sz w:val="22"/>
          <w:szCs w:val="22"/>
        </w:rPr>
        <w:t xml:space="preserve"> tā var palielināt asiņošanas tendenci ķirurģisko operāciju laikā vai pēc tām (ieskaitot nelielas operāc</w:t>
      </w:r>
      <w:r w:rsidR="00CD48A8" w:rsidRPr="00305171">
        <w:rPr>
          <w:sz w:val="22"/>
          <w:szCs w:val="22"/>
        </w:rPr>
        <w:t>ijas, piemēram, zobu izraušanu</w:t>
      </w:r>
      <w:r w:rsidRPr="00305171">
        <w:rPr>
          <w:sz w:val="22"/>
          <w:szCs w:val="22"/>
        </w:rPr>
        <w:t>).</w:t>
      </w:r>
    </w:p>
    <w:p w14:paraId="2B4BC417" w14:textId="77777777" w:rsidR="009D5CC3" w:rsidRPr="00305171" w:rsidRDefault="009D5CC3" w:rsidP="00C915C3">
      <w:pPr>
        <w:jc w:val="both"/>
        <w:rPr>
          <w:sz w:val="22"/>
          <w:szCs w:val="22"/>
        </w:rPr>
      </w:pPr>
    </w:p>
    <w:p w14:paraId="14AE5EEE" w14:textId="77777777" w:rsidR="00BF608D" w:rsidRPr="00305171" w:rsidRDefault="00BF608D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Acetilsalicilskābe var izraisīt </w:t>
      </w:r>
      <w:r w:rsidR="002036D7" w:rsidRPr="00305171">
        <w:rPr>
          <w:sz w:val="22"/>
          <w:szCs w:val="22"/>
        </w:rPr>
        <w:t>aknu bojājumus</w:t>
      </w:r>
      <w:r w:rsidRPr="00305171">
        <w:rPr>
          <w:sz w:val="22"/>
          <w:szCs w:val="22"/>
        </w:rPr>
        <w:t xml:space="preserve">, īpaši pacientiem ar </w:t>
      </w:r>
      <w:proofErr w:type="spellStart"/>
      <w:r w:rsidRPr="00305171">
        <w:rPr>
          <w:sz w:val="22"/>
          <w:szCs w:val="22"/>
        </w:rPr>
        <w:t>juvenīlo</w:t>
      </w:r>
      <w:proofErr w:type="spellEnd"/>
      <w:r w:rsidRPr="00305171">
        <w:rPr>
          <w:sz w:val="22"/>
          <w:szCs w:val="22"/>
        </w:rPr>
        <w:t xml:space="preserve"> artrītu</w:t>
      </w:r>
      <w:r w:rsidR="00D4315A" w:rsidRPr="00305171">
        <w:rPr>
          <w:sz w:val="22"/>
          <w:szCs w:val="22"/>
        </w:rPr>
        <w:t xml:space="preserve"> (reimatiska bērnu slimība).</w:t>
      </w:r>
    </w:p>
    <w:p w14:paraId="007C8943" w14:textId="77777777" w:rsidR="00087939" w:rsidRPr="00305171" w:rsidRDefault="00EA0682" w:rsidP="00087939">
      <w:pPr>
        <w:numPr>
          <w:ilvl w:val="12"/>
          <w:numId w:val="0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87939" w:rsidRPr="00305171">
        <w:rPr>
          <w:b/>
          <w:sz w:val="22"/>
          <w:szCs w:val="22"/>
        </w:rPr>
        <w:t>Bērni</w:t>
      </w:r>
      <w:r w:rsidR="00067E0D" w:rsidRPr="00305171">
        <w:rPr>
          <w:b/>
          <w:sz w:val="22"/>
          <w:szCs w:val="22"/>
        </w:rPr>
        <w:t xml:space="preserve"> un pusaudži</w:t>
      </w:r>
    </w:p>
    <w:p w14:paraId="44AA76AD" w14:textId="484DF985" w:rsidR="00087939" w:rsidRPr="00305171" w:rsidRDefault="00661045" w:rsidP="00C915C3">
      <w:pPr>
        <w:jc w:val="both"/>
        <w:rPr>
          <w:sz w:val="22"/>
          <w:szCs w:val="22"/>
        </w:rPr>
      </w:pPr>
      <w:r w:rsidRPr="00305171">
        <w:rPr>
          <w:snapToGrid w:val="0"/>
          <w:sz w:val="22"/>
          <w:szCs w:val="22"/>
        </w:rPr>
        <w:t xml:space="preserve">Šīs zāles nedrīkst lietot </w:t>
      </w:r>
      <w:r w:rsidRPr="00305171">
        <w:rPr>
          <w:sz w:val="22"/>
          <w:szCs w:val="22"/>
        </w:rPr>
        <w:t>bērniem un pusaudžiem līdz 16 gadu vecumam drudža vai vīrusu izraisītu infekciju ārstēšanai</w:t>
      </w:r>
      <w:r w:rsidR="001B0B89" w:rsidRPr="00DE312D">
        <w:rPr>
          <w:sz w:val="22"/>
          <w:szCs w:val="22"/>
        </w:rPr>
        <w:t xml:space="preserve">. </w:t>
      </w:r>
      <w:r w:rsidR="003D4A4E" w:rsidRPr="00DE312D">
        <w:rPr>
          <w:sz w:val="22"/>
          <w:szCs w:val="22"/>
        </w:rPr>
        <w:t xml:space="preserve">Reimatisku slimību gadījumā </w:t>
      </w:r>
      <w:r w:rsidR="00D32F09" w:rsidRPr="00DB31CB">
        <w:rPr>
          <w:sz w:val="22"/>
          <w:szCs w:val="22"/>
        </w:rPr>
        <w:t xml:space="preserve">zāļu formas dēļ ASA-Grindeks 500 mg tabletes neiesaka lietot </w:t>
      </w:r>
      <w:r w:rsidR="00B83C6A" w:rsidRPr="00315A53">
        <w:rPr>
          <w:sz w:val="22"/>
          <w:szCs w:val="22"/>
        </w:rPr>
        <w:t xml:space="preserve">bērniem līdz </w:t>
      </w:r>
      <w:r w:rsidR="00D32F09" w:rsidRPr="00DB31CB">
        <w:rPr>
          <w:sz w:val="22"/>
          <w:szCs w:val="22"/>
        </w:rPr>
        <w:t>6</w:t>
      </w:r>
      <w:r w:rsidR="00D32F09" w:rsidRPr="00DE312D">
        <w:rPr>
          <w:sz w:val="22"/>
          <w:szCs w:val="22"/>
        </w:rPr>
        <w:t> </w:t>
      </w:r>
      <w:r w:rsidR="00B83C6A" w:rsidRPr="00DE312D">
        <w:rPr>
          <w:sz w:val="22"/>
          <w:szCs w:val="22"/>
        </w:rPr>
        <w:t xml:space="preserve">gadu </w:t>
      </w:r>
      <w:r w:rsidR="003D4A4E" w:rsidRPr="00DE312D">
        <w:rPr>
          <w:sz w:val="22"/>
          <w:szCs w:val="22"/>
        </w:rPr>
        <w:t>vecumam</w:t>
      </w:r>
      <w:r w:rsidR="00EB783D" w:rsidRPr="00EB783D">
        <w:rPr>
          <w:sz w:val="22"/>
          <w:szCs w:val="22"/>
        </w:rPr>
        <w:t xml:space="preserve"> (aizrīšan</w:t>
      </w:r>
      <w:r w:rsidR="00EB783D">
        <w:rPr>
          <w:sz w:val="22"/>
          <w:szCs w:val="22"/>
        </w:rPr>
        <w:t>ā</w:t>
      </w:r>
      <w:r w:rsidR="00D32F09" w:rsidRPr="00DB31CB">
        <w:rPr>
          <w:sz w:val="22"/>
          <w:szCs w:val="22"/>
        </w:rPr>
        <w:t>s risks)</w:t>
      </w:r>
      <w:r w:rsidR="003D4A4E" w:rsidRPr="00DE312D">
        <w:rPr>
          <w:sz w:val="22"/>
          <w:szCs w:val="22"/>
        </w:rPr>
        <w:t>.</w:t>
      </w:r>
    </w:p>
    <w:p w14:paraId="5A97B28C" w14:textId="77777777" w:rsidR="00661045" w:rsidRPr="00305171" w:rsidRDefault="00661045" w:rsidP="00C915C3">
      <w:pPr>
        <w:jc w:val="both"/>
        <w:rPr>
          <w:sz w:val="22"/>
          <w:szCs w:val="22"/>
        </w:rPr>
      </w:pPr>
    </w:p>
    <w:p w14:paraId="08A99927" w14:textId="77777777" w:rsidR="007C4913" w:rsidRPr="00305171" w:rsidRDefault="007C4913" w:rsidP="007C4913">
      <w:pPr>
        <w:numPr>
          <w:ilvl w:val="12"/>
          <w:numId w:val="0"/>
        </w:numPr>
        <w:ind w:left="567" w:hanging="567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Citas zāles un ASA</w:t>
      </w:r>
      <w:r w:rsidRPr="00305171">
        <w:rPr>
          <w:b/>
          <w:sz w:val="22"/>
          <w:szCs w:val="22"/>
        </w:rPr>
        <w:noBreakHyphen/>
        <w:t>Grindeks</w:t>
      </w:r>
    </w:p>
    <w:p w14:paraId="6D651D0B" w14:textId="77777777" w:rsidR="009F36C3" w:rsidRPr="00305171" w:rsidRDefault="009F36C3" w:rsidP="00C915C3">
      <w:pPr>
        <w:pStyle w:val="BodyText1"/>
        <w:spacing w:line="164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Pastāstiet ārstam vai farmaceitam par visām zālēm, kuras</w:t>
      </w:r>
      <w:r w:rsidR="004A6FDC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lietojat pēdējā laikā</w:t>
      </w:r>
      <w:r w:rsidR="000D1799" w:rsidRPr="00305171">
        <w:rPr>
          <w:rFonts w:ascii="Times New Roman" w:hAnsi="Times New Roman"/>
          <w:color w:val="auto"/>
          <w:sz w:val="22"/>
          <w:szCs w:val="22"/>
          <w:lang w:val="lv-LV"/>
        </w:rPr>
        <w:t>,</w:t>
      </w:r>
      <w:r w:rsidR="004A6FDC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esat 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lietojis</w:t>
      </w:r>
      <w:r w:rsidR="000D1799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vai varētu lietot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.</w:t>
      </w:r>
    </w:p>
    <w:p w14:paraId="5B1831D2" w14:textId="77777777" w:rsidR="000C412C" w:rsidRPr="00305171" w:rsidRDefault="000C412C" w:rsidP="000C412C">
      <w:pPr>
        <w:pStyle w:val="BodyText1"/>
        <w:spacing w:after="11" w:line="180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Jāizvairās lietot ASA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Grindeks kopā ar citu NPL, arī ciklooksigenāzes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2 selektīvo inhibitoru.</w:t>
      </w:r>
    </w:p>
    <w:p w14:paraId="4A3C24D3" w14:textId="77777777" w:rsidR="009F6381" w:rsidRPr="00305171" w:rsidRDefault="009F6381" w:rsidP="002269A7">
      <w:pPr>
        <w:pStyle w:val="BodyText1"/>
        <w:spacing w:line="164" w:lineRule="atLeast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Pirms uzsākat ASA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noBreakHyphen/>
        <w:t>Grindeks lietošanu, konsultējieties ar ārstu vai farmaceitu, ja lietojat kādas no šīm zālēm:</w:t>
      </w:r>
    </w:p>
    <w:p w14:paraId="005D7CD6" w14:textId="77777777" w:rsidR="001E7CBC" w:rsidRPr="00305171" w:rsidRDefault="00702DBB" w:rsidP="00207CA5">
      <w:pPr>
        <w:pStyle w:val="BodyText1"/>
        <w:numPr>
          <w:ilvl w:val="0"/>
          <w:numId w:val="13"/>
        </w:numPr>
        <w:spacing w:line="164" w:lineRule="atLeast"/>
        <w:ind w:left="567" w:hanging="567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b/>
          <w:color w:val="auto"/>
          <w:sz w:val="22"/>
          <w:szCs w:val="22"/>
          <w:lang w:val="lv-LV"/>
        </w:rPr>
        <w:t>NPL</w:t>
      </w:r>
      <w:r w:rsidR="001E7CBC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0E7971" w:rsidRPr="00305171">
        <w:rPr>
          <w:rFonts w:ascii="Times New Roman" w:hAnsi="Times New Roman"/>
          <w:color w:val="auto"/>
          <w:sz w:val="22"/>
          <w:szCs w:val="22"/>
          <w:lang w:val="lv-LV"/>
        </w:rPr>
        <w:t>(</w:t>
      </w:r>
      <w:r w:rsidR="00CE3E46" w:rsidRPr="00305171">
        <w:rPr>
          <w:rFonts w:ascii="Times New Roman" w:hAnsi="Times New Roman"/>
          <w:color w:val="auto"/>
          <w:sz w:val="22"/>
          <w:szCs w:val="22"/>
          <w:lang w:val="lv-LV"/>
        </w:rPr>
        <w:t>zāles</w:t>
      </w:r>
      <w:r w:rsidR="001E7CBC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sāp</w:t>
      </w:r>
      <w:r w:rsidR="00CE3E46" w:rsidRPr="00305171">
        <w:rPr>
          <w:rFonts w:ascii="Times New Roman" w:hAnsi="Times New Roman"/>
          <w:color w:val="auto"/>
          <w:sz w:val="22"/>
          <w:szCs w:val="22"/>
          <w:lang w:val="lv-LV"/>
        </w:rPr>
        <w:t>ju</w:t>
      </w:r>
      <w:r w:rsidR="001E7CBC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, </w:t>
      </w:r>
      <w:r w:rsidR="00CE3E4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drudža </w:t>
      </w:r>
      <w:r w:rsidR="001E7CBC" w:rsidRPr="00305171">
        <w:rPr>
          <w:rFonts w:ascii="Times New Roman" w:hAnsi="Times New Roman"/>
          <w:color w:val="auto"/>
          <w:sz w:val="22"/>
          <w:szCs w:val="22"/>
          <w:lang w:val="lv-LV"/>
        </w:rPr>
        <w:t>un iekaisum</w:t>
      </w:r>
      <w:r w:rsidR="001A54C2" w:rsidRPr="00305171">
        <w:rPr>
          <w:rFonts w:ascii="Times New Roman" w:hAnsi="Times New Roman"/>
          <w:color w:val="auto"/>
          <w:sz w:val="22"/>
          <w:szCs w:val="22"/>
          <w:lang w:val="lv-LV"/>
        </w:rPr>
        <w:t>a</w:t>
      </w:r>
      <w:r w:rsidR="00CE3E46"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mazināšanai</w:t>
      </w:r>
      <w:r w:rsidR="001E7CBC" w:rsidRPr="00305171">
        <w:rPr>
          <w:rFonts w:ascii="Times New Roman" w:hAnsi="Times New Roman"/>
          <w:color w:val="auto"/>
          <w:sz w:val="22"/>
          <w:szCs w:val="22"/>
          <w:lang w:val="lv-LV"/>
        </w:rPr>
        <w:t>), jo palielinās nevēlamo blakusparādību rašanās risks;</w:t>
      </w:r>
    </w:p>
    <w:p w14:paraId="1D8ACA7A" w14:textId="77777777" w:rsidR="001E7CBC" w:rsidRPr="00315A53" w:rsidRDefault="001E7CBC" w:rsidP="00207CA5">
      <w:pPr>
        <w:numPr>
          <w:ilvl w:val="0"/>
          <w:numId w:val="13"/>
        </w:numPr>
        <w:spacing w:line="164" w:lineRule="atLeast"/>
        <w:ind w:left="567" w:hanging="567"/>
        <w:jc w:val="both"/>
        <w:rPr>
          <w:sz w:val="22"/>
          <w:szCs w:val="22"/>
        </w:rPr>
      </w:pPr>
      <w:r w:rsidRPr="00305171">
        <w:rPr>
          <w:b/>
          <w:sz w:val="22"/>
          <w:szCs w:val="22"/>
        </w:rPr>
        <w:t>zāles, ka</w:t>
      </w:r>
      <w:r w:rsidR="001371B5">
        <w:rPr>
          <w:b/>
          <w:sz w:val="22"/>
          <w:szCs w:val="22"/>
        </w:rPr>
        <w:t>s</w:t>
      </w:r>
      <w:r w:rsidRPr="00305171">
        <w:rPr>
          <w:b/>
          <w:sz w:val="22"/>
          <w:szCs w:val="22"/>
        </w:rPr>
        <w:t xml:space="preserve"> </w:t>
      </w:r>
      <w:r w:rsidRPr="00D32F09">
        <w:rPr>
          <w:b/>
          <w:sz w:val="22"/>
          <w:szCs w:val="22"/>
        </w:rPr>
        <w:t>novērš asins recekļu veidošanos</w:t>
      </w:r>
      <w:r w:rsidRPr="00D32F09">
        <w:rPr>
          <w:sz w:val="22"/>
          <w:szCs w:val="22"/>
        </w:rPr>
        <w:t xml:space="preserve"> (piemēram, </w:t>
      </w:r>
      <w:proofErr w:type="spellStart"/>
      <w:r w:rsidRPr="00D32F09">
        <w:rPr>
          <w:sz w:val="22"/>
          <w:szCs w:val="22"/>
        </w:rPr>
        <w:t>varfarīns</w:t>
      </w:r>
      <w:proofErr w:type="spellEnd"/>
      <w:r w:rsidRPr="00D32F09">
        <w:rPr>
          <w:sz w:val="22"/>
          <w:szCs w:val="22"/>
        </w:rPr>
        <w:t xml:space="preserve">, </w:t>
      </w:r>
      <w:proofErr w:type="spellStart"/>
      <w:r w:rsidRPr="00D32F09">
        <w:rPr>
          <w:sz w:val="22"/>
          <w:szCs w:val="22"/>
        </w:rPr>
        <w:t>fenindions</w:t>
      </w:r>
      <w:proofErr w:type="spellEnd"/>
      <w:r w:rsidRPr="00D32F09">
        <w:rPr>
          <w:sz w:val="22"/>
          <w:szCs w:val="22"/>
        </w:rPr>
        <w:t xml:space="preserve">, </w:t>
      </w:r>
      <w:r w:rsidR="003026C4" w:rsidRPr="00DE312D">
        <w:rPr>
          <w:sz w:val="22"/>
          <w:szCs w:val="22"/>
        </w:rPr>
        <w:t xml:space="preserve">acetilsalicilskābe, </w:t>
      </w:r>
      <w:proofErr w:type="spellStart"/>
      <w:r w:rsidRPr="00DE312D">
        <w:rPr>
          <w:sz w:val="22"/>
          <w:szCs w:val="22"/>
        </w:rPr>
        <w:t>klopidogrels</w:t>
      </w:r>
      <w:proofErr w:type="spellEnd"/>
      <w:r w:rsidRPr="00DE312D">
        <w:rPr>
          <w:sz w:val="22"/>
          <w:szCs w:val="22"/>
        </w:rPr>
        <w:t xml:space="preserve">, </w:t>
      </w:r>
      <w:proofErr w:type="spellStart"/>
      <w:r w:rsidRPr="00DE312D">
        <w:rPr>
          <w:sz w:val="22"/>
          <w:szCs w:val="22"/>
        </w:rPr>
        <w:t>iloprosts</w:t>
      </w:r>
      <w:proofErr w:type="spellEnd"/>
      <w:r w:rsidRPr="00DE312D">
        <w:rPr>
          <w:sz w:val="22"/>
          <w:szCs w:val="22"/>
        </w:rPr>
        <w:t xml:space="preserve">, </w:t>
      </w:r>
      <w:proofErr w:type="spellStart"/>
      <w:r w:rsidRPr="00DE312D">
        <w:rPr>
          <w:sz w:val="22"/>
          <w:szCs w:val="22"/>
        </w:rPr>
        <w:t>cilostazols</w:t>
      </w:r>
      <w:proofErr w:type="spellEnd"/>
      <w:r w:rsidRPr="00DE312D">
        <w:rPr>
          <w:sz w:val="22"/>
          <w:szCs w:val="22"/>
        </w:rPr>
        <w:t xml:space="preserve"> vai </w:t>
      </w:r>
      <w:proofErr w:type="spellStart"/>
      <w:r w:rsidRPr="00DE312D">
        <w:rPr>
          <w:sz w:val="22"/>
          <w:szCs w:val="22"/>
        </w:rPr>
        <w:t>heparīns</w:t>
      </w:r>
      <w:proofErr w:type="spellEnd"/>
      <w:r w:rsidRPr="00DE312D">
        <w:rPr>
          <w:sz w:val="22"/>
          <w:szCs w:val="22"/>
        </w:rPr>
        <w:t>);</w:t>
      </w:r>
    </w:p>
    <w:p w14:paraId="70866EA7" w14:textId="56285BB6" w:rsidR="001E7CBC" w:rsidRPr="00DE312D" w:rsidRDefault="001E7CBC" w:rsidP="00207CA5">
      <w:pPr>
        <w:pStyle w:val="BodyText1"/>
        <w:numPr>
          <w:ilvl w:val="0"/>
          <w:numId w:val="13"/>
        </w:numPr>
        <w:spacing w:line="164" w:lineRule="atLeast"/>
        <w:ind w:left="567" w:hanging="567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15A53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zāles </w:t>
      </w:r>
      <w:r w:rsidRPr="00D32F09">
        <w:rPr>
          <w:rFonts w:ascii="Times New Roman" w:hAnsi="Times New Roman"/>
          <w:b/>
          <w:color w:val="auto"/>
          <w:sz w:val="22"/>
          <w:szCs w:val="22"/>
          <w:lang w:val="lv-LV"/>
        </w:rPr>
        <w:t>depresij</w:t>
      </w:r>
      <w:r w:rsidR="00FD734C" w:rsidRPr="00D32F09">
        <w:rPr>
          <w:rFonts w:ascii="Times New Roman" w:hAnsi="Times New Roman"/>
          <w:b/>
          <w:color w:val="auto"/>
          <w:sz w:val="22"/>
          <w:szCs w:val="22"/>
          <w:lang w:val="lv-LV"/>
        </w:rPr>
        <w:t>as</w:t>
      </w:r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FD734C" w:rsidRPr="00DB31CB">
        <w:rPr>
          <w:rFonts w:ascii="Times New Roman" w:hAnsi="Times New Roman" w:hint="eastAsia"/>
          <w:b/>
          <w:sz w:val="22"/>
          <w:szCs w:val="22"/>
          <w:lang w:val="lv-LV"/>
        </w:rPr>
        <w:t>ā</w:t>
      </w:r>
      <w:r w:rsidR="00FD734C" w:rsidRPr="00DB31CB">
        <w:rPr>
          <w:rFonts w:ascii="Times New Roman" w:hAnsi="Times New Roman"/>
          <w:b/>
          <w:sz w:val="22"/>
          <w:szCs w:val="22"/>
          <w:lang w:val="lv-LV"/>
        </w:rPr>
        <w:t>rst</w:t>
      </w:r>
      <w:r w:rsidR="00FD734C" w:rsidRPr="00DB31CB">
        <w:rPr>
          <w:rFonts w:ascii="Times New Roman" w:hAnsi="Times New Roman" w:hint="eastAsia"/>
          <w:b/>
          <w:sz w:val="22"/>
          <w:szCs w:val="22"/>
          <w:lang w:val="lv-LV"/>
        </w:rPr>
        <w:t>ēš</w:t>
      </w:r>
      <w:r w:rsidR="00FD734C" w:rsidRPr="00DB31CB">
        <w:rPr>
          <w:rFonts w:ascii="Times New Roman" w:hAnsi="Times New Roman"/>
          <w:b/>
          <w:sz w:val="22"/>
          <w:szCs w:val="22"/>
          <w:lang w:val="lv-LV"/>
        </w:rPr>
        <w:t>anai</w:t>
      </w:r>
      <w:r w:rsidR="00FD734C" w:rsidRPr="00D32F09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 xml:space="preserve">(piemēram, </w:t>
      </w:r>
      <w:proofErr w:type="spellStart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>fluoksetīns</w:t>
      </w:r>
      <w:proofErr w:type="spellEnd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 xml:space="preserve">, </w:t>
      </w:r>
      <w:proofErr w:type="spellStart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>citaloprams</w:t>
      </w:r>
      <w:proofErr w:type="spellEnd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 xml:space="preserve">, </w:t>
      </w:r>
      <w:proofErr w:type="spellStart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>venlafaksīns</w:t>
      </w:r>
      <w:proofErr w:type="spellEnd"/>
      <w:r w:rsidRPr="00D32F09">
        <w:rPr>
          <w:rFonts w:ascii="Times New Roman" w:hAnsi="Times New Roman"/>
          <w:color w:val="auto"/>
          <w:sz w:val="22"/>
          <w:szCs w:val="22"/>
          <w:lang w:val="lv-LV"/>
        </w:rPr>
        <w:t>), jo palielinās asiņošanas risks;</w:t>
      </w:r>
    </w:p>
    <w:p w14:paraId="704FFE11" w14:textId="41F58D6B" w:rsidR="001E7CBC" w:rsidRPr="00D32F09" w:rsidRDefault="00F00CA1" w:rsidP="00207CA5">
      <w:pPr>
        <w:numPr>
          <w:ilvl w:val="0"/>
          <w:numId w:val="13"/>
        </w:numPr>
        <w:ind w:left="567" w:hanging="567"/>
        <w:rPr>
          <w:sz w:val="22"/>
          <w:szCs w:val="22"/>
        </w:rPr>
      </w:pPr>
      <w:r w:rsidRPr="00315A53">
        <w:rPr>
          <w:b/>
          <w:sz w:val="22"/>
          <w:szCs w:val="22"/>
        </w:rPr>
        <w:t>zāles aptaukošan</w:t>
      </w:r>
      <w:r w:rsidR="00FD734C" w:rsidRPr="00D32F09">
        <w:rPr>
          <w:b/>
          <w:sz w:val="22"/>
          <w:szCs w:val="22"/>
        </w:rPr>
        <w:t>ā</w:t>
      </w:r>
      <w:r w:rsidRPr="00D32F09">
        <w:rPr>
          <w:b/>
          <w:sz w:val="22"/>
          <w:szCs w:val="22"/>
        </w:rPr>
        <w:t xml:space="preserve">s </w:t>
      </w:r>
      <w:r w:rsidR="00FD734C" w:rsidRPr="00D32F09">
        <w:rPr>
          <w:b/>
          <w:sz w:val="22"/>
          <w:szCs w:val="22"/>
        </w:rPr>
        <w:t>ārstēšanai</w:t>
      </w:r>
      <w:r w:rsidR="00FD734C" w:rsidRPr="00D32F09">
        <w:rPr>
          <w:sz w:val="22"/>
          <w:szCs w:val="22"/>
        </w:rPr>
        <w:t xml:space="preserve"> </w:t>
      </w:r>
      <w:r w:rsidRPr="00D32F09">
        <w:rPr>
          <w:sz w:val="22"/>
          <w:szCs w:val="22"/>
        </w:rPr>
        <w:t xml:space="preserve">(piemēram, </w:t>
      </w:r>
      <w:proofErr w:type="spellStart"/>
      <w:r w:rsidR="001E7CBC" w:rsidRPr="00D32F09">
        <w:rPr>
          <w:sz w:val="22"/>
          <w:szCs w:val="22"/>
        </w:rPr>
        <w:t>sibutramīns</w:t>
      </w:r>
      <w:proofErr w:type="spellEnd"/>
      <w:r w:rsidRPr="00D32F09">
        <w:rPr>
          <w:sz w:val="22"/>
          <w:szCs w:val="22"/>
        </w:rPr>
        <w:t>), jo</w:t>
      </w:r>
      <w:r w:rsidR="001E7CBC" w:rsidRPr="00D32F09">
        <w:rPr>
          <w:sz w:val="22"/>
          <w:szCs w:val="22"/>
        </w:rPr>
        <w:t xml:space="preserve"> palielinās asiņošanas risks;</w:t>
      </w:r>
    </w:p>
    <w:p w14:paraId="47D2C6B0" w14:textId="77777777" w:rsidR="001E7CBC" w:rsidRPr="00D32F09" w:rsidRDefault="001E7CBC" w:rsidP="00207CA5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r w:rsidRPr="00D32F09">
        <w:rPr>
          <w:b/>
          <w:sz w:val="22"/>
          <w:szCs w:val="22"/>
        </w:rPr>
        <w:t xml:space="preserve">zāles augsta asinsspiediena </w:t>
      </w:r>
      <w:bookmarkStart w:id="0" w:name="_Hlk32421438"/>
      <w:r w:rsidRPr="00D32F09">
        <w:rPr>
          <w:b/>
          <w:sz w:val="22"/>
          <w:szCs w:val="22"/>
        </w:rPr>
        <w:t>ārstēšanai</w:t>
      </w:r>
      <w:bookmarkEnd w:id="0"/>
      <w:r w:rsidRPr="00D32F09">
        <w:rPr>
          <w:sz w:val="22"/>
          <w:szCs w:val="22"/>
        </w:rPr>
        <w:t xml:space="preserve"> (piemēram, </w:t>
      </w:r>
      <w:proofErr w:type="spellStart"/>
      <w:r w:rsidRPr="00D32F09">
        <w:rPr>
          <w:sz w:val="22"/>
          <w:szCs w:val="22"/>
        </w:rPr>
        <w:t>lizinoprils</w:t>
      </w:r>
      <w:proofErr w:type="spellEnd"/>
      <w:r w:rsidRPr="00D32F09">
        <w:rPr>
          <w:sz w:val="22"/>
          <w:szCs w:val="22"/>
        </w:rPr>
        <w:t xml:space="preserve">, </w:t>
      </w:r>
      <w:proofErr w:type="spellStart"/>
      <w:r w:rsidRPr="00D32F09">
        <w:rPr>
          <w:sz w:val="22"/>
          <w:szCs w:val="22"/>
        </w:rPr>
        <w:t>telmisartāns</w:t>
      </w:r>
      <w:proofErr w:type="spellEnd"/>
      <w:r w:rsidRPr="00D32F09">
        <w:rPr>
          <w:sz w:val="22"/>
          <w:szCs w:val="22"/>
        </w:rPr>
        <w:t>), jo palielinās nieru mazspējas risks un samazinās asinsspiedienu pazeminošais efekts;</w:t>
      </w:r>
    </w:p>
    <w:p w14:paraId="7C1D3928" w14:textId="77777777" w:rsidR="001E7CBC" w:rsidRPr="00D32F09" w:rsidRDefault="001E7CBC" w:rsidP="00207CA5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proofErr w:type="spellStart"/>
      <w:r w:rsidRPr="00D32F09">
        <w:rPr>
          <w:b/>
          <w:sz w:val="22"/>
          <w:szCs w:val="22"/>
        </w:rPr>
        <w:t>spironolaktons</w:t>
      </w:r>
      <w:proofErr w:type="spellEnd"/>
      <w:r w:rsidRPr="00D32F09">
        <w:rPr>
          <w:sz w:val="22"/>
          <w:szCs w:val="22"/>
        </w:rPr>
        <w:t xml:space="preserve"> (diurētisks līdzeklis);</w:t>
      </w:r>
    </w:p>
    <w:p w14:paraId="0826B0F7" w14:textId="77777777" w:rsidR="001E7CBC" w:rsidRPr="00305171" w:rsidRDefault="00A12946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antacīdi</w:t>
      </w:r>
      <w:proofErr w:type="spellEnd"/>
      <w:r w:rsidRPr="00305171">
        <w:rPr>
          <w:sz w:val="22"/>
          <w:szCs w:val="22"/>
        </w:rPr>
        <w:t xml:space="preserve"> (</w:t>
      </w:r>
      <w:r w:rsidR="001E7CBC" w:rsidRPr="00305171">
        <w:rPr>
          <w:sz w:val="22"/>
          <w:szCs w:val="22"/>
        </w:rPr>
        <w:t xml:space="preserve">zāles </w:t>
      </w:r>
      <w:r w:rsidR="001A54C2" w:rsidRPr="00305171">
        <w:rPr>
          <w:sz w:val="22"/>
          <w:szCs w:val="22"/>
        </w:rPr>
        <w:t xml:space="preserve">paaugstinātas </w:t>
      </w:r>
      <w:r w:rsidR="00686824" w:rsidRPr="00305171">
        <w:rPr>
          <w:sz w:val="22"/>
          <w:szCs w:val="22"/>
        </w:rPr>
        <w:t xml:space="preserve">kuņģa </w:t>
      </w:r>
      <w:r w:rsidR="001E7CBC" w:rsidRPr="00305171">
        <w:rPr>
          <w:sz w:val="22"/>
          <w:szCs w:val="22"/>
        </w:rPr>
        <w:t>skābes izdales radītu traucējumu ārstēšanai</w:t>
      </w:r>
      <w:r w:rsidRPr="00305171">
        <w:rPr>
          <w:sz w:val="22"/>
          <w:szCs w:val="22"/>
        </w:rPr>
        <w:t>)</w:t>
      </w:r>
      <w:r w:rsidR="001E7CBC" w:rsidRPr="00305171">
        <w:rPr>
          <w:sz w:val="22"/>
          <w:szCs w:val="22"/>
        </w:rPr>
        <w:t>;</w:t>
      </w:r>
    </w:p>
    <w:p w14:paraId="4F5FA9E7" w14:textId="77777777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kaolīns</w:t>
      </w:r>
      <w:r w:rsidR="00F00CA1" w:rsidRPr="00305171">
        <w:rPr>
          <w:b/>
          <w:sz w:val="22"/>
          <w:szCs w:val="22"/>
        </w:rPr>
        <w:t xml:space="preserve"> </w:t>
      </w:r>
      <w:r w:rsidR="00F00CA1" w:rsidRPr="00305171">
        <w:rPr>
          <w:sz w:val="22"/>
          <w:szCs w:val="22"/>
        </w:rPr>
        <w:t>(baltais māls</w:t>
      </w:r>
      <w:r w:rsidR="00CE3E46" w:rsidRPr="00305171">
        <w:rPr>
          <w:sz w:val="22"/>
          <w:szCs w:val="22"/>
        </w:rPr>
        <w:t>, zarnu adsorbents)</w:t>
      </w:r>
      <w:r w:rsidRPr="00305171">
        <w:rPr>
          <w:sz w:val="22"/>
          <w:szCs w:val="22"/>
        </w:rPr>
        <w:t>, jo samazinās acetilsalicilskābes uzsūkšanās;</w:t>
      </w:r>
    </w:p>
    <w:p w14:paraId="2405E946" w14:textId="77777777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metotreksāts</w:t>
      </w:r>
      <w:proofErr w:type="spellEnd"/>
      <w:r w:rsidRPr="00305171">
        <w:rPr>
          <w:b/>
          <w:sz w:val="22"/>
          <w:szCs w:val="22"/>
        </w:rPr>
        <w:t xml:space="preserve"> </w:t>
      </w:r>
      <w:r w:rsidRPr="00305171">
        <w:rPr>
          <w:sz w:val="22"/>
          <w:szCs w:val="22"/>
        </w:rPr>
        <w:t>(zāles</w:t>
      </w:r>
      <w:r w:rsidR="00F00CA1" w:rsidRPr="00EA0682">
        <w:rPr>
          <w:sz w:val="22"/>
          <w:szCs w:val="22"/>
          <w:lang w:eastAsia="lv-LV"/>
        </w:rPr>
        <w:t xml:space="preserve"> </w:t>
      </w:r>
      <w:r w:rsidR="00F00CA1" w:rsidRPr="001371B5">
        <w:rPr>
          <w:sz w:val="22"/>
          <w:szCs w:val="22"/>
          <w:lang w:eastAsia="lv-LV"/>
        </w:rPr>
        <w:t xml:space="preserve">smagas </w:t>
      </w:r>
      <w:proofErr w:type="spellStart"/>
      <w:r w:rsidR="00F00CA1" w:rsidRPr="001371B5">
        <w:rPr>
          <w:sz w:val="22"/>
          <w:szCs w:val="22"/>
          <w:lang w:eastAsia="lv-LV"/>
        </w:rPr>
        <w:t>psoriāzes</w:t>
      </w:r>
      <w:proofErr w:type="spellEnd"/>
      <w:r w:rsidR="00F00CA1" w:rsidRPr="001371B5">
        <w:rPr>
          <w:sz w:val="22"/>
          <w:szCs w:val="22"/>
          <w:lang w:eastAsia="lv-LV"/>
        </w:rPr>
        <w:t>, artrīta vai vēža ārstēšanai</w:t>
      </w:r>
      <w:r w:rsidRPr="00305171">
        <w:rPr>
          <w:sz w:val="22"/>
          <w:szCs w:val="22"/>
        </w:rPr>
        <w:t xml:space="preserve">), jo palielinās </w:t>
      </w:r>
      <w:proofErr w:type="spellStart"/>
      <w:r w:rsidRPr="00305171">
        <w:rPr>
          <w:sz w:val="22"/>
          <w:szCs w:val="22"/>
        </w:rPr>
        <w:t>metotreksāta</w:t>
      </w:r>
      <w:proofErr w:type="spellEnd"/>
      <w:r w:rsidRPr="00305171">
        <w:rPr>
          <w:sz w:val="22"/>
          <w:szCs w:val="22"/>
        </w:rPr>
        <w:t xml:space="preserve"> toksiskās iedarbības risks;</w:t>
      </w:r>
    </w:p>
    <w:p w14:paraId="11D2DA8E" w14:textId="77777777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zafirlukasts</w:t>
      </w:r>
      <w:proofErr w:type="spellEnd"/>
      <w:r w:rsidRPr="00305171">
        <w:rPr>
          <w:b/>
          <w:sz w:val="22"/>
          <w:szCs w:val="22"/>
        </w:rPr>
        <w:t xml:space="preserve"> </w:t>
      </w:r>
      <w:r w:rsidRPr="00305171">
        <w:rPr>
          <w:sz w:val="22"/>
          <w:szCs w:val="22"/>
        </w:rPr>
        <w:t>(</w:t>
      </w:r>
      <w:r w:rsidR="00CE3E46" w:rsidRPr="00305171">
        <w:rPr>
          <w:sz w:val="22"/>
          <w:szCs w:val="22"/>
        </w:rPr>
        <w:t xml:space="preserve">zāles </w:t>
      </w:r>
      <w:r w:rsidRPr="00305171">
        <w:rPr>
          <w:sz w:val="22"/>
          <w:szCs w:val="22"/>
        </w:rPr>
        <w:t>elpceļu slimību ārstēšanai);</w:t>
      </w:r>
    </w:p>
    <w:p w14:paraId="61172EEF" w14:textId="77777777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glikokortikosteroīdi</w:t>
      </w:r>
      <w:proofErr w:type="spellEnd"/>
      <w:r w:rsidR="000A2C12" w:rsidRPr="00305171">
        <w:rPr>
          <w:sz w:val="22"/>
          <w:szCs w:val="22"/>
        </w:rPr>
        <w:t xml:space="preserve"> (</w:t>
      </w:r>
      <w:r w:rsidR="000A2C12" w:rsidRPr="00EA0682">
        <w:rPr>
          <w:noProof/>
          <w:sz w:val="22"/>
          <w:szCs w:val="22"/>
        </w:rPr>
        <w:t>hormon</w:t>
      </w:r>
      <w:r w:rsidR="000A2C12" w:rsidRPr="001371B5">
        <w:rPr>
          <w:noProof/>
          <w:sz w:val="22"/>
          <w:szCs w:val="22"/>
        </w:rPr>
        <w:t>i, ko lieto iekaisuma un alerģijas ārstēšanai);</w:t>
      </w:r>
      <w:r w:rsidRPr="00305171">
        <w:rPr>
          <w:sz w:val="22"/>
          <w:szCs w:val="22"/>
        </w:rPr>
        <w:t xml:space="preserve"> pārtraucot to lietošanu, asinīs var rasties toksiska </w:t>
      </w:r>
      <w:proofErr w:type="spellStart"/>
      <w:r w:rsidRPr="00305171">
        <w:rPr>
          <w:sz w:val="22"/>
          <w:szCs w:val="22"/>
        </w:rPr>
        <w:t>salicilātu</w:t>
      </w:r>
      <w:proofErr w:type="spellEnd"/>
      <w:r w:rsidRPr="00305171">
        <w:rPr>
          <w:sz w:val="22"/>
          <w:szCs w:val="22"/>
        </w:rPr>
        <w:t xml:space="preserve"> koncentrācija, ja lietotas lielas acetilsalicilskābes devas. Vienlaicīga šo zāļu lietošana var palielināt kuņģa</w:t>
      </w:r>
      <w:r w:rsidRPr="00305171">
        <w:rPr>
          <w:sz w:val="22"/>
          <w:szCs w:val="22"/>
        </w:rPr>
        <w:noBreakHyphen/>
        <w:t>zarnu trakta čūlu veidošanās risku;</w:t>
      </w:r>
    </w:p>
    <w:p w14:paraId="51706D40" w14:textId="056FD746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zāles diabēt</w:t>
      </w:r>
      <w:r w:rsidR="00FD734C">
        <w:rPr>
          <w:b/>
          <w:sz w:val="22"/>
          <w:szCs w:val="22"/>
        </w:rPr>
        <w:t>a</w:t>
      </w:r>
      <w:r w:rsidRPr="00305171">
        <w:rPr>
          <w:sz w:val="22"/>
          <w:szCs w:val="22"/>
        </w:rPr>
        <w:t xml:space="preserve"> </w:t>
      </w:r>
      <w:r w:rsidR="00FD734C" w:rsidRPr="00305171">
        <w:rPr>
          <w:b/>
          <w:sz w:val="22"/>
          <w:szCs w:val="22"/>
        </w:rPr>
        <w:t>ārstēšanai</w:t>
      </w:r>
      <w:r w:rsidR="00FD734C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(</w:t>
      </w:r>
      <w:proofErr w:type="spellStart"/>
      <w:r w:rsidRPr="00305171">
        <w:rPr>
          <w:sz w:val="22"/>
          <w:szCs w:val="22"/>
        </w:rPr>
        <w:t>sulfonilurīnvielas</w:t>
      </w:r>
      <w:proofErr w:type="spellEnd"/>
      <w:r w:rsidRPr="00305171">
        <w:rPr>
          <w:sz w:val="22"/>
          <w:szCs w:val="22"/>
        </w:rPr>
        <w:t xml:space="preserve"> atvasinājumi);</w:t>
      </w:r>
    </w:p>
    <w:p w14:paraId="611C15B4" w14:textId="23D68E7D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valproiskābe</w:t>
      </w:r>
      <w:proofErr w:type="spellEnd"/>
      <w:r w:rsidRPr="00305171">
        <w:rPr>
          <w:sz w:val="22"/>
          <w:szCs w:val="22"/>
        </w:rPr>
        <w:t xml:space="preserve"> (zāles epilepsij</w:t>
      </w:r>
      <w:r w:rsidR="00FD734C">
        <w:rPr>
          <w:sz w:val="22"/>
          <w:szCs w:val="22"/>
        </w:rPr>
        <w:t xml:space="preserve">as </w:t>
      </w:r>
      <w:r w:rsidR="00FD734C" w:rsidRPr="00DB31CB">
        <w:rPr>
          <w:bCs/>
          <w:sz w:val="22"/>
          <w:szCs w:val="22"/>
        </w:rPr>
        <w:t>ārstēšanai</w:t>
      </w:r>
      <w:r w:rsidRPr="00305171">
        <w:rPr>
          <w:sz w:val="22"/>
          <w:szCs w:val="22"/>
        </w:rPr>
        <w:t>);</w:t>
      </w:r>
    </w:p>
    <w:p w14:paraId="0D7971FC" w14:textId="7BC8AF8D" w:rsidR="001E7CBC" w:rsidRPr="00305171" w:rsidRDefault="001E7CBC" w:rsidP="00207CA5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zāles podagr</w:t>
      </w:r>
      <w:r w:rsidR="00FD734C">
        <w:rPr>
          <w:b/>
          <w:sz w:val="22"/>
          <w:szCs w:val="22"/>
        </w:rPr>
        <w:t>as</w:t>
      </w:r>
      <w:r w:rsidRPr="00305171">
        <w:rPr>
          <w:sz w:val="22"/>
          <w:szCs w:val="22"/>
        </w:rPr>
        <w:t xml:space="preserve"> </w:t>
      </w:r>
      <w:r w:rsidR="00FD734C" w:rsidRPr="00305171">
        <w:rPr>
          <w:b/>
          <w:sz w:val="22"/>
          <w:szCs w:val="22"/>
        </w:rPr>
        <w:t>ārstēšanai</w:t>
      </w:r>
      <w:r w:rsidR="00FD734C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(</w:t>
      </w:r>
      <w:r w:rsidR="00CE3E46" w:rsidRPr="00305171">
        <w:rPr>
          <w:sz w:val="22"/>
          <w:szCs w:val="22"/>
        </w:rPr>
        <w:t xml:space="preserve">piemēram, </w:t>
      </w:r>
      <w:proofErr w:type="spellStart"/>
      <w:r w:rsidRPr="00305171">
        <w:rPr>
          <w:sz w:val="22"/>
          <w:szCs w:val="22"/>
        </w:rPr>
        <w:t>probenecīds</w:t>
      </w:r>
      <w:proofErr w:type="spellEnd"/>
      <w:r w:rsidRPr="00305171">
        <w:rPr>
          <w:sz w:val="22"/>
          <w:szCs w:val="22"/>
        </w:rPr>
        <w:t xml:space="preserve"> un </w:t>
      </w:r>
      <w:proofErr w:type="spellStart"/>
      <w:r w:rsidRPr="00305171">
        <w:rPr>
          <w:sz w:val="22"/>
          <w:szCs w:val="22"/>
        </w:rPr>
        <w:t>sulfīnpirazons</w:t>
      </w:r>
      <w:proofErr w:type="spellEnd"/>
      <w:r w:rsidRPr="00305171">
        <w:rPr>
          <w:sz w:val="22"/>
          <w:szCs w:val="22"/>
        </w:rPr>
        <w:t>);</w:t>
      </w:r>
    </w:p>
    <w:p w14:paraId="071690FD" w14:textId="77777777" w:rsidR="001E7CBC" w:rsidRPr="00305171" w:rsidRDefault="001E7CBC" w:rsidP="00067E0D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mifepristons</w:t>
      </w:r>
      <w:proofErr w:type="spellEnd"/>
      <w:r w:rsidRPr="00305171">
        <w:rPr>
          <w:sz w:val="22"/>
          <w:szCs w:val="22"/>
        </w:rPr>
        <w:t xml:space="preserve"> (</w:t>
      </w:r>
      <w:r w:rsidR="00CE3E46" w:rsidRPr="00305171">
        <w:rPr>
          <w:sz w:val="22"/>
          <w:szCs w:val="22"/>
        </w:rPr>
        <w:t xml:space="preserve">zāles agrīnas </w:t>
      </w:r>
      <w:r w:rsidRPr="00305171">
        <w:rPr>
          <w:sz w:val="22"/>
          <w:szCs w:val="22"/>
        </w:rPr>
        <w:t>grūtniecības pārtraukšanai</w:t>
      </w:r>
      <w:r w:rsidR="001A54C2" w:rsidRPr="00305171">
        <w:rPr>
          <w:sz w:val="22"/>
          <w:szCs w:val="22"/>
        </w:rPr>
        <w:t xml:space="preserve"> </w:t>
      </w:r>
      <w:r w:rsidR="001A54C2" w:rsidRPr="00EA0682">
        <w:rPr>
          <w:sz w:val="22"/>
          <w:szCs w:val="22"/>
          <w:lang w:eastAsia="lv-LV"/>
        </w:rPr>
        <w:t>vai dzemdību ierosināšanai nedzīva augļa gadījumā</w:t>
      </w:r>
      <w:r w:rsidRPr="00305171">
        <w:rPr>
          <w:sz w:val="22"/>
          <w:szCs w:val="22"/>
        </w:rPr>
        <w:t xml:space="preserve">), jo acetilsalicilskābe var pavājināt </w:t>
      </w:r>
      <w:proofErr w:type="spellStart"/>
      <w:r w:rsidRPr="00305171">
        <w:rPr>
          <w:sz w:val="22"/>
          <w:szCs w:val="22"/>
        </w:rPr>
        <w:t>mifepristona</w:t>
      </w:r>
      <w:proofErr w:type="spellEnd"/>
      <w:r w:rsidRPr="00305171">
        <w:rPr>
          <w:sz w:val="22"/>
          <w:szCs w:val="22"/>
        </w:rPr>
        <w:t xml:space="preserve"> darbību;</w:t>
      </w:r>
    </w:p>
    <w:p w14:paraId="07C4F57B" w14:textId="70EE799F" w:rsidR="001E7CBC" w:rsidRPr="00305171" w:rsidRDefault="001E7CBC" w:rsidP="00AE22FD">
      <w:pPr>
        <w:numPr>
          <w:ilvl w:val="0"/>
          <w:numId w:val="13"/>
        </w:numPr>
        <w:ind w:left="567" w:hanging="567"/>
        <w:jc w:val="both"/>
        <w:rPr>
          <w:b/>
          <w:sz w:val="22"/>
          <w:szCs w:val="22"/>
        </w:rPr>
      </w:pPr>
      <w:proofErr w:type="spellStart"/>
      <w:r w:rsidRPr="00305171">
        <w:rPr>
          <w:b/>
          <w:sz w:val="22"/>
          <w:szCs w:val="22"/>
        </w:rPr>
        <w:t>acetazolamīds</w:t>
      </w:r>
      <w:proofErr w:type="spellEnd"/>
      <w:r w:rsidRPr="00305171">
        <w:rPr>
          <w:sz w:val="22"/>
          <w:szCs w:val="22"/>
        </w:rPr>
        <w:t xml:space="preserve"> (zāles glaukom</w:t>
      </w:r>
      <w:r w:rsidR="00FD734C">
        <w:rPr>
          <w:sz w:val="22"/>
          <w:szCs w:val="22"/>
        </w:rPr>
        <w:t>as</w:t>
      </w:r>
      <w:r w:rsidR="00FD734C" w:rsidRPr="00FD734C">
        <w:rPr>
          <w:b/>
          <w:sz w:val="22"/>
          <w:szCs w:val="22"/>
        </w:rPr>
        <w:t xml:space="preserve"> </w:t>
      </w:r>
      <w:r w:rsidR="00FD734C" w:rsidRPr="00DB31CB">
        <w:rPr>
          <w:bCs/>
          <w:sz w:val="22"/>
          <w:szCs w:val="22"/>
        </w:rPr>
        <w:t>ārstēšanai</w:t>
      </w:r>
      <w:r w:rsidRPr="00305171">
        <w:rPr>
          <w:sz w:val="22"/>
          <w:szCs w:val="22"/>
        </w:rPr>
        <w:t>);</w:t>
      </w:r>
    </w:p>
    <w:p w14:paraId="2A0A32AC" w14:textId="7E69E5BE" w:rsidR="007F21BC" w:rsidRPr="00305171" w:rsidRDefault="003A4ED0" w:rsidP="000A2C12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r w:rsidRPr="00305171">
        <w:rPr>
          <w:b/>
          <w:sz w:val="22"/>
          <w:szCs w:val="22"/>
        </w:rPr>
        <w:t>m</w:t>
      </w:r>
      <w:r w:rsidR="00EB0329" w:rsidRPr="00305171">
        <w:rPr>
          <w:b/>
          <w:sz w:val="22"/>
          <w:szCs w:val="22"/>
        </w:rPr>
        <w:t>etoklopramīd</w:t>
      </w:r>
      <w:r w:rsidRPr="00305171">
        <w:rPr>
          <w:b/>
          <w:sz w:val="22"/>
          <w:szCs w:val="22"/>
        </w:rPr>
        <w:t>s</w:t>
      </w:r>
      <w:r w:rsidRPr="00305171">
        <w:rPr>
          <w:sz w:val="22"/>
          <w:szCs w:val="22"/>
        </w:rPr>
        <w:t xml:space="preserve"> (</w:t>
      </w:r>
      <w:r w:rsidR="00CE3E46" w:rsidRPr="00305171">
        <w:rPr>
          <w:sz w:val="22"/>
          <w:szCs w:val="22"/>
        </w:rPr>
        <w:t>zāles</w:t>
      </w:r>
      <w:r w:rsidRPr="00305171">
        <w:rPr>
          <w:sz w:val="22"/>
          <w:szCs w:val="22"/>
        </w:rPr>
        <w:t xml:space="preserve"> slikt</w:t>
      </w:r>
      <w:r w:rsidR="00FD734C">
        <w:rPr>
          <w:sz w:val="22"/>
          <w:szCs w:val="22"/>
        </w:rPr>
        <w:t>as</w:t>
      </w:r>
      <w:r w:rsidRPr="00305171">
        <w:rPr>
          <w:sz w:val="22"/>
          <w:szCs w:val="22"/>
        </w:rPr>
        <w:t xml:space="preserve"> dūš</w:t>
      </w:r>
      <w:r w:rsidR="00FD734C">
        <w:rPr>
          <w:sz w:val="22"/>
          <w:szCs w:val="22"/>
        </w:rPr>
        <w:t>as</w:t>
      </w:r>
      <w:r w:rsidRPr="00305171">
        <w:rPr>
          <w:sz w:val="22"/>
          <w:szCs w:val="22"/>
        </w:rPr>
        <w:t xml:space="preserve"> un vemšan</w:t>
      </w:r>
      <w:r w:rsidR="00FD734C">
        <w:rPr>
          <w:sz w:val="22"/>
          <w:szCs w:val="22"/>
        </w:rPr>
        <w:t xml:space="preserve">as </w:t>
      </w:r>
      <w:r w:rsidR="00FD734C" w:rsidRPr="00DB31CB">
        <w:rPr>
          <w:bCs/>
          <w:sz w:val="22"/>
          <w:szCs w:val="22"/>
        </w:rPr>
        <w:t>ārstēšanai</w:t>
      </w:r>
      <w:r w:rsidRPr="00305171">
        <w:rPr>
          <w:sz w:val="22"/>
          <w:szCs w:val="22"/>
        </w:rPr>
        <w:t>)</w:t>
      </w:r>
      <w:r w:rsidR="008D6738" w:rsidRPr="00305171">
        <w:rPr>
          <w:sz w:val="22"/>
          <w:szCs w:val="22"/>
        </w:rPr>
        <w:t>.</w:t>
      </w:r>
      <w:r w:rsidRPr="00305171">
        <w:rPr>
          <w:sz w:val="22"/>
          <w:szCs w:val="22"/>
        </w:rPr>
        <w:t xml:space="preserve"> P</w:t>
      </w:r>
      <w:r w:rsidR="00C66725" w:rsidRPr="00305171">
        <w:rPr>
          <w:sz w:val="22"/>
          <w:szCs w:val="22"/>
        </w:rPr>
        <w:t xml:space="preserve">acientiem ar </w:t>
      </w:r>
      <w:r w:rsidR="00EB0329" w:rsidRPr="00305171">
        <w:rPr>
          <w:sz w:val="22"/>
          <w:szCs w:val="22"/>
        </w:rPr>
        <w:t>migrēnas izraisīt</w:t>
      </w:r>
      <w:r w:rsidR="00C66725" w:rsidRPr="00305171">
        <w:rPr>
          <w:sz w:val="22"/>
          <w:szCs w:val="22"/>
        </w:rPr>
        <w:t>ām</w:t>
      </w:r>
      <w:r w:rsidR="00EB0329" w:rsidRPr="00305171">
        <w:rPr>
          <w:sz w:val="22"/>
          <w:szCs w:val="22"/>
        </w:rPr>
        <w:t xml:space="preserve"> galvassāp</w:t>
      </w:r>
      <w:r w:rsidR="00C66725" w:rsidRPr="00305171">
        <w:rPr>
          <w:sz w:val="22"/>
          <w:szCs w:val="22"/>
        </w:rPr>
        <w:t>ēm</w:t>
      </w:r>
      <w:r w:rsidR="00EB0329" w:rsidRPr="00305171">
        <w:rPr>
          <w:sz w:val="22"/>
          <w:szCs w:val="22"/>
        </w:rPr>
        <w:t xml:space="preserve"> </w:t>
      </w:r>
      <w:r w:rsidR="008D6738" w:rsidRPr="00305171">
        <w:rPr>
          <w:sz w:val="22"/>
          <w:szCs w:val="22"/>
        </w:rPr>
        <w:t xml:space="preserve">tas </w:t>
      </w:r>
      <w:r w:rsidR="00EB0329" w:rsidRPr="00305171">
        <w:rPr>
          <w:sz w:val="22"/>
          <w:szCs w:val="22"/>
        </w:rPr>
        <w:t xml:space="preserve">veicina acetilsalicilskābes </w:t>
      </w:r>
      <w:r w:rsidR="00FD6428" w:rsidRPr="00305171">
        <w:rPr>
          <w:sz w:val="22"/>
          <w:szCs w:val="22"/>
        </w:rPr>
        <w:t>uzsūkšanos</w:t>
      </w:r>
      <w:r w:rsidR="00EB0329" w:rsidRPr="00305171">
        <w:rPr>
          <w:sz w:val="22"/>
          <w:szCs w:val="22"/>
        </w:rPr>
        <w:t xml:space="preserve">, </w:t>
      </w:r>
      <w:r w:rsidR="008D6738" w:rsidRPr="00305171">
        <w:rPr>
          <w:sz w:val="22"/>
          <w:szCs w:val="22"/>
        </w:rPr>
        <w:t xml:space="preserve">tādējādi </w:t>
      </w:r>
      <w:r w:rsidR="00EB0329" w:rsidRPr="00305171">
        <w:rPr>
          <w:sz w:val="22"/>
          <w:szCs w:val="22"/>
        </w:rPr>
        <w:t xml:space="preserve">palielinot </w:t>
      </w:r>
      <w:proofErr w:type="spellStart"/>
      <w:r w:rsidR="00EB0329" w:rsidRPr="00305171">
        <w:rPr>
          <w:sz w:val="22"/>
          <w:szCs w:val="22"/>
        </w:rPr>
        <w:t>salicilātu</w:t>
      </w:r>
      <w:proofErr w:type="spellEnd"/>
      <w:r w:rsidR="00EB0329" w:rsidRPr="00305171">
        <w:rPr>
          <w:sz w:val="22"/>
          <w:szCs w:val="22"/>
        </w:rPr>
        <w:t xml:space="preserve"> koncentrāciju </w:t>
      </w:r>
      <w:r w:rsidR="00AA6608" w:rsidRPr="00305171">
        <w:rPr>
          <w:sz w:val="22"/>
          <w:szCs w:val="22"/>
        </w:rPr>
        <w:t>asin</w:t>
      </w:r>
      <w:r w:rsidR="008D6738" w:rsidRPr="00305171">
        <w:rPr>
          <w:sz w:val="22"/>
          <w:szCs w:val="22"/>
        </w:rPr>
        <w:t>ī</w:t>
      </w:r>
      <w:r w:rsidR="00AA6608" w:rsidRPr="00305171">
        <w:rPr>
          <w:sz w:val="22"/>
          <w:szCs w:val="22"/>
        </w:rPr>
        <w:t>s</w:t>
      </w:r>
      <w:r w:rsidR="00FD734C">
        <w:rPr>
          <w:sz w:val="22"/>
          <w:szCs w:val="22"/>
        </w:rPr>
        <w:t>;</w:t>
      </w:r>
    </w:p>
    <w:p w14:paraId="6446B2CB" w14:textId="6A38917D" w:rsidR="00EB0329" w:rsidRPr="00305171" w:rsidRDefault="009C17E5" w:rsidP="00305171">
      <w:pPr>
        <w:numPr>
          <w:ilvl w:val="0"/>
          <w:numId w:val="13"/>
        </w:numPr>
        <w:ind w:left="567" w:hanging="567"/>
        <w:jc w:val="both"/>
        <w:rPr>
          <w:sz w:val="22"/>
          <w:szCs w:val="22"/>
        </w:rPr>
      </w:pPr>
      <w:proofErr w:type="spellStart"/>
      <w:r w:rsidRPr="00305171">
        <w:rPr>
          <w:b/>
          <w:sz w:val="22"/>
          <w:szCs w:val="22"/>
          <w:lang w:eastAsia="en-GB"/>
        </w:rPr>
        <w:t>metamizols</w:t>
      </w:r>
      <w:proofErr w:type="spellEnd"/>
      <w:r w:rsidRPr="00EA0682">
        <w:rPr>
          <w:sz w:val="22"/>
          <w:szCs w:val="22"/>
          <w:lang w:eastAsia="en-GB"/>
        </w:rPr>
        <w:t xml:space="preserve"> (zāles </w:t>
      </w:r>
      <w:r w:rsidR="007F21BC" w:rsidRPr="001371B5">
        <w:rPr>
          <w:sz w:val="22"/>
          <w:szCs w:val="22"/>
          <w:lang w:eastAsia="en-GB"/>
        </w:rPr>
        <w:t>sāpju un</w:t>
      </w:r>
      <w:r w:rsidRPr="001371B5">
        <w:rPr>
          <w:sz w:val="22"/>
          <w:szCs w:val="22"/>
          <w:lang w:eastAsia="en-GB"/>
        </w:rPr>
        <w:t xml:space="preserve"> drudža mazināšanai).</w:t>
      </w:r>
      <w:r w:rsidR="007F21BC" w:rsidRPr="00305171">
        <w:rPr>
          <w:sz w:val="22"/>
          <w:szCs w:val="22"/>
          <w:lang w:eastAsia="en-GB"/>
        </w:rPr>
        <w:t xml:space="preserve"> </w:t>
      </w:r>
      <w:r w:rsidRPr="00305171">
        <w:rPr>
          <w:sz w:val="22"/>
          <w:szCs w:val="22"/>
        </w:rPr>
        <w:t>V</w:t>
      </w:r>
      <w:r w:rsidR="00794BB0" w:rsidRPr="00305171">
        <w:rPr>
          <w:sz w:val="22"/>
          <w:szCs w:val="22"/>
        </w:rPr>
        <w:t xml:space="preserve">ienlaicīgi </w:t>
      </w:r>
      <w:proofErr w:type="spellStart"/>
      <w:r w:rsidR="00794BB0" w:rsidRPr="00305171">
        <w:rPr>
          <w:sz w:val="22"/>
          <w:szCs w:val="22"/>
        </w:rPr>
        <w:t>metamizola</w:t>
      </w:r>
      <w:proofErr w:type="spellEnd"/>
      <w:r w:rsidR="00794BB0" w:rsidRPr="00305171">
        <w:rPr>
          <w:sz w:val="22"/>
          <w:szCs w:val="22"/>
        </w:rPr>
        <w:t xml:space="preserve"> lietošana</w:t>
      </w:r>
      <w:r w:rsidR="007F21BC" w:rsidRPr="00305171">
        <w:rPr>
          <w:sz w:val="22"/>
          <w:szCs w:val="22"/>
        </w:rPr>
        <w:t xml:space="preserve"> var samazināt acetilsalicilskābes ietekmi uz trombocītu agregāciju</w:t>
      </w:r>
      <w:r w:rsidRPr="00305171">
        <w:rPr>
          <w:sz w:val="22"/>
          <w:szCs w:val="22"/>
        </w:rPr>
        <w:t xml:space="preserve"> (asins šūnu salipšanu un asins recekļa veidošanos)</w:t>
      </w:r>
      <w:r w:rsidR="00EB0329" w:rsidRPr="00305171">
        <w:rPr>
          <w:sz w:val="22"/>
          <w:szCs w:val="22"/>
        </w:rPr>
        <w:t>.</w:t>
      </w:r>
      <w:r w:rsidRPr="00305171">
        <w:rPr>
          <w:sz w:val="22"/>
          <w:szCs w:val="22"/>
        </w:rPr>
        <w:t xml:space="preserve"> Tādēļ pacientiem, kas lieto mazas </w:t>
      </w:r>
      <w:r w:rsidR="00765573" w:rsidRPr="00305171">
        <w:rPr>
          <w:sz w:val="22"/>
          <w:szCs w:val="22"/>
        </w:rPr>
        <w:t>acetilsalicilskābes</w:t>
      </w:r>
      <w:r w:rsidR="00765573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devas</w:t>
      </w:r>
      <w:r w:rsidR="00EB2A35">
        <w:rPr>
          <w:sz w:val="22"/>
          <w:szCs w:val="22"/>
        </w:rPr>
        <w:t>,</w:t>
      </w:r>
      <w:r w:rsidRPr="00305171">
        <w:rPr>
          <w:sz w:val="22"/>
          <w:szCs w:val="22"/>
        </w:rPr>
        <w:t xml:space="preserve"> </w:t>
      </w:r>
      <w:r w:rsidR="00EB2A35" w:rsidRPr="00D21C50">
        <w:rPr>
          <w:sz w:val="22"/>
          <w:szCs w:val="22"/>
        </w:rPr>
        <w:t>lai samazinātu trombu veidošanās risku</w:t>
      </w:r>
      <w:r w:rsidRPr="00305171">
        <w:rPr>
          <w:sz w:val="22"/>
          <w:szCs w:val="22"/>
        </w:rPr>
        <w:t>, šī kombinācija jālieto piesardzīgi.</w:t>
      </w:r>
    </w:p>
    <w:p w14:paraId="07460C70" w14:textId="77777777" w:rsidR="00EB0329" w:rsidRPr="00305171" w:rsidRDefault="00EB0329" w:rsidP="00C915C3">
      <w:pPr>
        <w:pStyle w:val="BodyTextIndent2"/>
        <w:ind w:firstLine="0"/>
        <w:rPr>
          <w:b w:val="0"/>
          <w:sz w:val="22"/>
          <w:szCs w:val="22"/>
        </w:rPr>
      </w:pPr>
    </w:p>
    <w:p w14:paraId="2557CD60" w14:textId="77777777" w:rsidR="00EB0329" w:rsidRPr="00305171" w:rsidRDefault="007F4CFE" w:rsidP="00C915C3">
      <w:pPr>
        <w:jc w:val="both"/>
        <w:outlineLvl w:val="0"/>
        <w:rPr>
          <w:sz w:val="22"/>
          <w:szCs w:val="22"/>
        </w:rPr>
      </w:pPr>
      <w:r w:rsidRPr="00305171">
        <w:rPr>
          <w:b/>
          <w:sz w:val="22"/>
          <w:szCs w:val="22"/>
        </w:rPr>
        <w:t>ASA</w:t>
      </w:r>
      <w:r w:rsidRPr="00305171">
        <w:rPr>
          <w:b/>
          <w:sz w:val="22"/>
          <w:szCs w:val="22"/>
        </w:rPr>
        <w:noBreakHyphen/>
      </w:r>
      <w:r w:rsidR="00EB0329" w:rsidRPr="00305171">
        <w:rPr>
          <w:b/>
          <w:sz w:val="22"/>
          <w:szCs w:val="22"/>
        </w:rPr>
        <w:t>G</w:t>
      </w:r>
      <w:r w:rsidR="003471C7" w:rsidRPr="00305171">
        <w:rPr>
          <w:b/>
          <w:sz w:val="22"/>
          <w:szCs w:val="22"/>
        </w:rPr>
        <w:t xml:space="preserve">rindeks </w:t>
      </w:r>
      <w:r w:rsidR="00EB0329" w:rsidRPr="00305171">
        <w:rPr>
          <w:b/>
          <w:sz w:val="22"/>
          <w:szCs w:val="22"/>
        </w:rPr>
        <w:t xml:space="preserve">kopā ar </w:t>
      </w:r>
      <w:r w:rsidR="000F794C" w:rsidRPr="00305171">
        <w:rPr>
          <w:b/>
          <w:sz w:val="22"/>
          <w:szCs w:val="22"/>
        </w:rPr>
        <w:t>alkoholu</w:t>
      </w:r>
    </w:p>
    <w:p w14:paraId="346EA78E" w14:textId="77777777" w:rsidR="00EB0329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Ārstēšanās laikā jāizvairās no alkohola lietošanas. </w:t>
      </w:r>
      <w:r w:rsidR="000F794C" w:rsidRPr="00305171">
        <w:rPr>
          <w:sz w:val="22"/>
          <w:szCs w:val="22"/>
        </w:rPr>
        <w:t>Vienlaicīga a</w:t>
      </w:r>
      <w:r w:rsidRPr="00305171">
        <w:rPr>
          <w:sz w:val="22"/>
          <w:szCs w:val="22"/>
        </w:rPr>
        <w:t>lkohola lietošana</w:t>
      </w:r>
      <w:r w:rsidR="003471C7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palielina kuņģa</w:t>
      </w:r>
      <w:r w:rsidR="000F794C" w:rsidRPr="00305171">
        <w:rPr>
          <w:sz w:val="22"/>
          <w:szCs w:val="22"/>
        </w:rPr>
        <w:noBreakHyphen/>
        <w:t>zarnu trakta asiņošanas risku.</w:t>
      </w:r>
    </w:p>
    <w:p w14:paraId="141EB799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79762738" w14:textId="77777777" w:rsidR="00EB0329" w:rsidRPr="00305171" w:rsidRDefault="00EB0329" w:rsidP="00C915C3">
      <w:pPr>
        <w:jc w:val="both"/>
        <w:outlineLvl w:val="0"/>
        <w:rPr>
          <w:sz w:val="22"/>
          <w:szCs w:val="22"/>
        </w:rPr>
      </w:pPr>
      <w:r w:rsidRPr="00305171">
        <w:rPr>
          <w:b/>
          <w:sz w:val="22"/>
          <w:szCs w:val="22"/>
        </w:rPr>
        <w:t xml:space="preserve">Grūtniecība un </w:t>
      </w:r>
      <w:r w:rsidR="000F794C" w:rsidRPr="00305171">
        <w:rPr>
          <w:b/>
          <w:sz w:val="22"/>
          <w:szCs w:val="22"/>
        </w:rPr>
        <w:t>barošana ar krūti</w:t>
      </w:r>
    </w:p>
    <w:p w14:paraId="44CB89DA" w14:textId="31766622" w:rsidR="00EB0329" w:rsidRPr="00305171" w:rsidRDefault="00183A24" w:rsidP="00C915C3">
      <w:pPr>
        <w:jc w:val="both"/>
        <w:rPr>
          <w:sz w:val="22"/>
          <w:szCs w:val="22"/>
        </w:rPr>
      </w:pPr>
      <w:r w:rsidRPr="00305171">
        <w:rPr>
          <w:noProof/>
          <w:sz w:val="22"/>
          <w:szCs w:val="22"/>
        </w:rPr>
        <w:t xml:space="preserve">Ja Jūs esat grūtniece vai barojat bērnu ar krūti, ja domājat, ka Jums varētu būt grūtniecība, vai plānojat grūtniecību, pirms šo zāļu lietošanas konsultējieties ar ārstu vai farmaceitu. </w:t>
      </w:r>
      <w:r w:rsidR="00EB0329" w:rsidRPr="00305171">
        <w:rPr>
          <w:sz w:val="22"/>
          <w:szCs w:val="22"/>
        </w:rPr>
        <w:t xml:space="preserve">Zāles nedrīkst lietot pēdējos trīs grūtniecības mēnešos, jo tās var </w:t>
      </w:r>
      <w:r w:rsidR="000B4E46" w:rsidRPr="00305171">
        <w:rPr>
          <w:sz w:val="22"/>
          <w:szCs w:val="22"/>
        </w:rPr>
        <w:t xml:space="preserve">auglim </w:t>
      </w:r>
      <w:r w:rsidR="00EB0329" w:rsidRPr="00305171">
        <w:rPr>
          <w:sz w:val="22"/>
          <w:szCs w:val="22"/>
        </w:rPr>
        <w:t>izra</w:t>
      </w:r>
      <w:r w:rsidR="00D76264" w:rsidRPr="00305171">
        <w:rPr>
          <w:sz w:val="22"/>
          <w:szCs w:val="22"/>
        </w:rPr>
        <w:t>isīt</w:t>
      </w:r>
      <w:r w:rsidR="003026C4" w:rsidRPr="00305171">
        <w:rPr>
          <w:sz w:val="22"/>
          <w:szCs w:val="22"/>
        </w:rPr>
        <w:t xml:space="preserve"> </w:t>
      </w:r>
      <w:proofErr w:type="spellStart"/>
      <w:r w:rsidR="003026C4" w:rsidRPr="00305171">
        <w:rPr>
          <w:sz w:val="22"/>
          <w:szCs w:val="22"/>
        </w:rPr>
        <w:t>kardiopulmonālu</w:t>
      </w:r>
      <w:proofErr w:type="spellEnd"/>
      <w:r w:rsidR="003026C4" w:rsidRPr="00305171">
        <w:rPr>
          <w:sz w:val="22"/>
          <w:szCs w:val="22"/>
        </w:rPr>
        <w:t xml:space="preserve"> </w:t>
      </w:r>
      <w:proofErr w:type="spellStart"/>
      <w:r w:rsidR="003026C4" w:rsidRPr="00305171">
        <w:rPr>
          <w:sz w:val="22"/>
          <w:szCs w:val="22"/>
        </w:rPr>
        <w:t>toksicitāti</w:t>
      </w:r>
      <w:proofErr w:type="spellEnd"/>
      <w:r w:rsidR="003026C4" w:rsidRPr="00305171">
        <w:rPr>
          <w:sz w:val="22"/>
          <w:szCs w:val="22"/>
        </w:rPr>
        <w:t xml:space="preserve"> un nieru darbības traucējumus</w:t>
      </w:r>
      <w:r w:rsidR="000B4E46" w:rsidRPr="00305171">
        <w:rPr>
          <w:sz w:val="22"/>
          <w:szCs w:val="22"/>
        </w:rPr>
        <w:t>. Savukārt</w:t>
      </w:r>
      <w:r w:rsidR="006434A9">
        <w:rPr>
          <w:sz w:val="22"/>
          <w:szCs w:val="22"/>
        </w:rPr>
        <w:t>,</w:t>
      </w:r>
      <w:r w:rsidR="000B4E46" w:rsidRPr="00305171">
        <w:rPr>
          <w:sz w:val="22"/>
          <w:szCs w:val="22"/>
        </w:rPr>
        <w:t xml:space="preserve"> grūtniecības beigās </w:t>
      </w:r>
      <w:r w:rsidR="00107330" w:rsidRPr="00305171">
        <w:rPr>
          <w:sz w:val="22"/>
          <w:szCs w:val="22"/>
        </w:rPr>
        <w:t xml:space="preserve">šīs zāles var kavēt dzemdības, kā arī </w:t>
      </w:r>
      <w:r w:rsidR="00D76264" w:rsidRPr="00305171">
        <w:rPr>
          <w:sz w:val="22"/>
          <w:szCs w:val="22"/>
        </w:rPr>
        <w:t xml:space="preserve">mātei un </w:t>
      </w:r>
      <w:r w:rsidR="000B4E46" w:rsidRPr="00305171">
        <w:rPr>
          <w:sz w:val="22"/>
          <w:szCs w:val="22"/>
        </w:rPr>
        <w:t>jaundzimušajam palielināt asiņošanas risku</w:t>
      </w:r>
      <w:r w:rsidR="00107330" w:rsidRPr="00305171">
        <w:rPr>
          <w:sz w:val="22"/>
          <w:szCs w:val="22"/>
        </w:rPr>
        <w:t>.</w:t>
      </w:r>
    </w:p>
    <w:p w14:paraId="4F74496F" w14:textId="77777777" w:rsidR="00EB0329" w:rsidRPr="00305171" w:rsidRDefault="00D76264" w:rsidP="00C915C3">
      <w:pPr>
        <w:pStyle w:val="BodyTextIndent"/>
        <w:ind w:left="0"/>
        <w:rPr>
          <w:b w:val="0"/>
          <w:sz w:val="22"/>
          <w:szCs w:val="22"/>
        </w:rPr>
      </w:pPr>
      <w:r w:rsidRPr="00305171">
        <w:rPr>
          <w:b w:val="0"/>
          <w:sz w:val="22"/>
          <w:szCs w:val="22"/>
        </w:rPr>
        <w:t xml:space="preserve">Šīs zāles </w:t>
      </w:r>
      <w:r w:rsidR="00EB0329" w:rsidRPr="00305171">
        <w:rPr>
          <w:b w:val="0"/>
          <w:sz w:val="22"/>
          <w:szCs w:val="22"/>
        </w:rPr>
        <w:t>nedrīkst lietot</w:t>
      </w:r>
      <w:r w:rsidRPr="00305171">
        <w:rPr>
          <w:b w:val="0"/>
          <w:sz w:val="22"/>
          <w:szCs w:val="22"/>
        </w:rPr>
        <w:t xml:space="preserve">, ja barojat bērnu ar krūti, </w:t>
      </w:r>
      <w:r w:rsidR="00EB0329" w:rsidRPr="00305171">
        <w:rPr>
          <w:b w:val="0"/>
          <w:sz w:val="22"/>
          <w:szCs w:val="22"/>
        </w:rPr>
        <w:t>jo tā</w:t>
      </w:r>
      <w:r w:rsidR="004D12A1" w:rsidRPr="00305171">
        <w:rPr>
          <w:b w:val="0"/>
          <w:sz w:val="22"/>
          <w:szCs w:val="22"/>
        </w:rPr>
        <w:t>s</w:t>
      </w:r>
      <w:r w:rsidR="00EB0329" w:rsidRPr="00305171">
        <w:rPr>
          <w:b w:val="0"/>
          <w:sz w:val="22"/>
          <w:szCs w:val="22"/>
        </w:rPr>
        <w:t xml:space="preserve"> nonāk mātes pienā un </w:t>
      </w:r>
      <w:r w:rsidR="004C5EE6" w:rsidRPr="00305171">
        <w:rPr>
          <w:b w:val="0"/>
          <w:sz w:val="22"/>
          <w:szCs w:val="22"/>
        </w:rPr>
        <w:t xml:space="preserve">bērnam </w:t>
      </w:r>
      <w:r w:rsidR="004C0AEB" w:rsidRPr="00305171">
        <w:rPr>
          <w:b w:val="0"/>
          <w:sz w:val="22"/>
          <w:szCs w:val="22"/>
        </w:rPr>
        <w:t>var izraisīt Reja sindroma rašanos</w:t>
      </w:r>
      <w:r w:rsidRPr="00305171">
        <w:rPr>
          <w:b w:val="0"/>
          <w:sz w:val="22"/>
          <w:szCs w:val="22"/>
        </w:rPr>
        <w:t>.</w:t>
      </w:r>
    </w:p>
    <w:p w14:paraId="3B320DFA" w14:textId="77777777" w:rsidR="00D76264" w:rsidRPr="00305171" w:rsidRDefault="00D76264" w:rsidP="00C915C3">
      <w:pPr>
        <w:pStyle w:val="BodyTextIndent"/>
        <w:ind w:left="0"/>
        <w:rPr>
          <w:b w:val="0"/>
          <w:sz w:val="22"/>
          <w:szCs w:val="22"/>
        </w:rPr>
      </w:pPr>
    </w:p>
    <w:p w14:paraId="0A4F03D2" w14:textId="77777777" w:rsidR="00524008" w:rsidRDefault="00524008" w:rsidP="00C915C3">
      <w:pPr>
        <w:jc w:val="both"/>
        <w:outlineLvl w:val="0"/>
        <w:rPr>
          <w:b/>
          <w:sz w:val="22"/>
          <w:szCs w:val="22"/>
        </w:rPr>
      </w:pPr>
    </w:p>
    <w:p w14:paraId="14523428" w14:textId="77777777" w:rsidR="00EB0329" w:rsidRPr="00305171" w:rsidRDefault="00EB0329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Transportlīdzekļu vadīšana un mehānismu apkalpošana</w:t>
      </w:r>
    </w:p>
    <w:p w14:paraId="30A7A418" w14:textId="77777777" w:rsidR="00EB0329" w:rsidRPr="00305171" w:rsidRDefault="00EB0329" w:rsidP="00C915C3">
      <w:pPr>
        <w:pStyle w:val="BodyText"/>
        <w:outlineLvl w:val="0"/>
        <w:rPr>
          <w:b w:val="0"/>
          <w:sz w:val="22"/>
          <w:szCs w:val="22"/>
        </w:rPr>
      </w:pPr>
      <w:r w:rsidRPr="00305171">
        <w:rPr>
          <w:b w:val="0"/>
          <w:sz w:val="22"/>
          <w:szCs w:val="22"/>
        </w:rPr>
        <w:t>Zāles neietekmē spēju vadīt transportlīdzekļus un</w:t>
      </w:r>
      <w:r w:rsidR="000C3E28" w:rsidRPr="00305171">
        <w:rPr>
          <w:b w:val="0"/>
          <w:sz w:val="22"/>
          <w:szCs w:val="22"/>
        </w:rPr>
        <w:t xml:space="preserve"> </w:t>
      </w:r>
      <w:r w:rsidR="00566150" w:rsidRPr="00305171">
        <w:rPr>
          <w:b w:val="0"/>
          <w:sz w:val="22"/>
          <w:szCs w:val="22"/>
        </w:rPr>
        <w:t>apkalpot</w:t>
      </w:r>
      <w:r w:rsidR="000C3E28" w:rsidRPr="00305171">
        <w:rPr>
          <w:b w:val="0"/>
          <w:sz w:val="22"/>
          <w:szCs w:val="22"/>
        </w:rPr>
        <w:t xml:space="preserve"> tehnisk</w:t>
      </w:r>
      <w:r w:rsidR="00566150" w:rsidRPr="00305171">
        <w:rPr>
          <w:b w:val="0"/>
          <w:sz w:val="22"/>
          <w:szCs w:val="22"/>
        </w:rPr>
        <w:t>as</w:t>
      </w:r>
      <w:r w:rsidR="000C3E28" w:rsidRPr="00305171">
        <w:rPr>
          <w:b w:val="0"/>
          <w:sz w:val="22"/>
          <w:szCs w:val="22"/>
        </w:rPr>
        <w:t xml:space="preserve"> iekārt</w:t>
      </w:r>
      <w:r w:rsidR="00566150" w:rsidRPr="00305171">
        <w:rPr>
          <w:b w:val="0"/>
          <w:sz w:val="22"/>
          <w:szCs w:val="22"/>
        </w:rPr>
        <w:t>as</w:t>
      </w:r>
      <w:r w:rsidR="000C3E28" w:rsidRPr="00305171">
        <w:rPr>
          <w:b w:val="0"/>
          <w:sz w:val="22"/>
          <w:szCs w:val="22"/>
        </w:rPr>
        <w:t>.</w:t>
      </w:r>
    </w:p>
    <w:p w14:paraId="2A4F0416" w14:textId="77777777" w:rsidR="00B87CC9" w:rsidRPr="00305171" w:rsidRDefault="00B87CC9" w:rsidP="00C915C3">
      <w:pPr>
        <w:pStyle w:val="BodyText"/>
        <w:rPr>
          <w:b w:val="0"/>
          <w:sz w:val="22"/>
          <w:szCs w:val="22"/>
        </w:rPr>
      </w:pPr>
    </w:p>
    <w:p w14:paraId="345C91E4" w14:textId="77777777" w:rsidR="00F712F2" w:rsidRPr="00305171" w:rsidRDefault="00F712F2" w:rsidP="00C915C3">
      <w:pPr>
        <w:pStyle w:val="BodyText"/>
        <w:rPr>
          <w:b w:val="0"/>
          <w:sz w:val="22"/>
          <w:szCs w:val="22"/>
        </w:rPr>
      </w:pPr>
    </w:p>
    <w:p w14:paraId="5E559FC2" w14:textId="77777777" w:rsidR="00EB0329" w:rsidRPr="00305171" w:rsidRDefault="000C3E28" w:rsidP="00C915C3">
      <w:pPr>
        <w:ind w:left="540" w:hanging="540"/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3.</w:t>
      </w:r>
      <w:r w:rsidRPr="00305171">
        <w:rPr>
          <w:b/>
          <w:sz w:val="22"/>
          <w:szCs w:val="22"/>
        </w:rPr>
        <w:tab/>
      </w:r>
      <w:r w:rsidR="00B87CC9" w:rsidRPr="00305171">
        <w:rPr>
          <w:b/>
          <w:sz w:val="22"/>
          <w:szCs w:val="22"/>
        </w:rPr>
        <w:t>Kā lietot ASA</w:t>
      </w:r>
      <w:r w:rsidR="00B87CC9" w:rsidRPr="00305171">
        <w:rPr>
          <w:b/>
          <w:sz w:val="22"/>
          <w:szCs w:val="22"/>
        </w:rPr>
        <w:noBreakHyphen/>
        <w:t>Grindeks</w:t>
      </w:r>
    </w:p>
    <w:p w14:paraId="15DEBDB4" w14:textId="77777777" w:rsidR="000C3E28" w:rsidRPr="00305171" w:rsidRDefault="000C3E28" w:rsidP="00C915C3">
      <w:pPr>
        <w:jc w:val="both"/>
        <w:rPr>
          <w:sz w:val="22"/>
          <w:szCs w:val="22"/>
        </w:rPr>
      </w:pPr>
    </w:p>
    <w:p w14:paraId="1D206F45" w14:textId="77777777" w:rsidR="00DC7DAC" w:rsidRPr="00305171" w:rsidRDefault="00DC7DAC" w:rsidP="00DC7DAC">
      <w:pPr>
        <w:spacing w:line="240" w:lineRule="atLeast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Vienmēr lietojiet šīs zāles tieši tā, kā aprakstīts šajā instrukcijā vai kā ārsts vai farmaceits Jums teicis. Neskaidrību gadījumā vaicājiet ārstam vai farmaceitam.</w:t>
      </w:r>
    </w:p>
    <w:p w14:paraId="00596B7C" w14:textId="77777777" w:rsidR="00DC7DAC" w:rsidRPr="00305171" w:rsidRDefault="00DC7DAC" w:rsidP="00DC7DAC">
      <w:pPr>
        <w:spacing w:line="240" w:lineRule="atLeast"/>
        <w:rPr>
          <w:i/>
          <w:snapToGrid w:val="0"/>
          <w:sz w:val="22"/>
          <w:szCs w:val="22"/>
        </w:rPr>
      </w:pPr>
    </w:p>
    <w:p w14:paraId="017D171E" w14:textId="26457D5C" w:rsidR="00BE736D" w:rsidRPr="00305171" w:rsidRDefault="00BE736D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Zāles lieto iekšķīgi. </w:t>
      </w:r>
      <w:r w:rsidR="00B3421E" w:rsidRPr="00DB31CB">
        <w:rPr>
          <w:sz w:val="22"/>
          <w:szCs w:val="22"/>
        </w:rPr>
        <w:t>Tableti var sadalīt vienādās devās</w:t>
      </w:r>
      <w:r w:rsidR="00B3421E" w:rsidRPr="009957B0">
        <w:t>.</w:t>
      </w:r>
      <w:r w:rsidR="00B3421E">
        <w:t xml:space="preserve"> </w:t>
      </w:r>
      <w:r w:rsidRPr="00305171">
        <w:rPr>
          <w:sz w:val="22"/>
          <w:szCs w:val="22"/>
        </w:rPr>
        <w:t xml:space="preserve">Lai izvairītos no gremošanas trakta darbības traucējumiem, zāles vēlams lietot ēšanas laikā vai uzdzerot lielu </w:t>
      </w:r>
      <w:r w:rsidR="00666E03" w:rsidRPr="00305171">
        <w:rPr>
          <w:sz w:val="22"/>
          <w:szCs w:val="22"/>
        </w:rPr>
        <w:t xml:space="preserve">daudzumu </w:t>
      </w:r>
      <w:r w:rsidRPr="00305171">
        <w:rPr>
          <w:sz w:val="22"/>
          <w:szCs w:val="22"/>
        </w:rPr>
        <w:t>šķidruma.</w:t>
      </w:r>
    </w:p>
    <w:p w14:paraId="36EC8DAD" w14:textId="77777777" w:rsidR="006A73B4" w:rsidRPr="00305171" w:rsidRDefault="006A73B4" w:rsidP="00C915C3">
      <w:pPr>
        <w:jc w:val="both"/>
        <w:rPr>
          <w:sz w:val="22"/>
          <w:szCs w:val="22"/>
        </w:rPr>
      </w:pPr>
    </w:p>
    <w:p w14:paraId="6CF25E02" w14:textId="022694C2" w:rsidR="00A614CA" w:rsidRDefault="00A614CA" w:rsidP="00A614CA">
      <w:pPr>
        <w:jc w:val="both"/>
        <w:outlineLvl w:val="0"/>
        <w:rPr>
          <w:sz w:val="22"/>
          <w:szCs w:val="22"/>
        </w:rPr>
      </w:pPr>
      <w:r w:rsidRPr="00DB31CB">
        <w:rPr>
          <w:bCs/>
          <w:sz w:val="22"/>
          <w:szCs w:val="22"/>
        </w:rPr>
        <w:t>Pieaugušajiem un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pusaudžiem no 16 gadiem sāpju un drudža </w:t>
      </w:r>
      <w:r w:rsidR="005C289B">
        <w:rPr>
          <w:sz w:val="22"/>
          <w:szCs w:val="22"/>
        </w:rPr>
        <w:t xml:space="preserve">gadījumā </w:t>
      </w:r>
      <w:r>
        <w:rPr>
          <w:sz w:val="22"/>
          <w:szCs w:val="22"/>
        </w:rPr>
        <w:t>r</w:t>
      </w:r>
      <w:r w:rsidR="007C03D3" w:rsidRPr="00305171">
        <w:rPr>
          <w:sz w:val="22"/>
          <w:szCs w:val="22"/>
        </w:rPr>
        <w:t xml:space="preserve">eizes deva ir </w:t>
      </w:r>
      <w:r w:rsidR="008E45B3" w:rsidRPr="00305171">
        <w:rPr>
          <w:sz w:val="22"/>
          <w:szCs w:val="22"/>
        </w:rPr>
        <w:t>500</w:t>
      </w:r>
      <w:r w:rsidR="008E45B3" w:rsidRPr="00305171">
        <w:rPr>
          <w:sz w:val="22"/>
          <w:szCs w:val="22"/>
        </w:rPr>
        <w:noBreakHyphen/>
        <w:t>1000 mg (</w:t>
      </w:r>
      <w:r w:rsidR="00EB0329" w:rsidRPr="00305171">
        <w:rPr>
          <w:sz w:val="22"/>
          <w:szCs w:val="22"/>
        </w:rPr>
        <w:t>1</w:t>
      </w:r>
      <w:r w:rsidR="007F4CFE" w:rsidRPr="00305171">
        <w:rPr>
          <w:sz w:val="22"/>
          <w:szCs w:val="22"/>
        </w:rPr>
        <w:noBreakHyphen/>
      </w:r>
      <w:r w:rsidR="000C3E28" w:rsidRPr="00305171">
        <w:rPr>
          <w:sz w:val="22"/>
          <w:szCs w:val="22"/>
        </w:rPr>
        <w:t>2 tablet</w:t>
      </w:r>
      <w:r w:rsidR="008E45B3" w:rsidRPr="00305171">
        <w:rPr>
          <w:sz w:val="22"/>
          <w:szCs w:val="22"/>
        </w:rPr>
        <w:t>es)</w:t>
      </w:r>
      <w:r w:rsidR="000C3E28" w:rsidRPr="00305171">
        <w:rPr>
          <w:sz w:val="22"/>
          <w:szCs w:val="22"/>
        </w:rPr>
        <w:t xml:space="preserve"> </w:t>
      </w:r>
      <w:r w:rsidR="007F4CFE" w:rsidRPr="00305171">
        <w:rPr>
          <w:sz w:val="22"/>
          <w:szCs w:val="22"/>
        </w:rPr>
        <w:t>ik pēc 4</w:t>
      </w:r>
      <w:r w:rsidR="007F4CFE" w:rsidRPr="00305171">
        <w:rPr>
          <w:sz w:val="22"/>
          <w:szCs w:val="22"/>
        </w:rPr>
        <w:noBreakHyphen/>
        <w:t>6 </w:t>
      </w:r>
      <w:r w:rsidR="00677460" w:rsidRPr="00305171">
        <w:rPr>
          <w:sz w:val="22"/>
          <w:szCs w:val="22"/>
        </w:rPr>
        <w:t>stundām</w:t>
      </w:r>
      <w:r w:rsidR="007C6AEF" w:rsidRPr="00305171">
        <w:rPr>
          <w:sz w:val="22"/>
          <w:szCs w:val="22"/>
        </w:rPr>
        <w:t xml:space="preserve">. Maksimālā diennakts deva – </w:t>
      </w:r>
      <w:r w:rsidR="000C3E28" w:rsidRPr="00305171">
        <w:rPr>
          <w:sz w:val="22"/>
          <w:szCs w:val="22"/>
        </w:rPr>
        <w:t>4 g</w:t>
      </w:r>
      <w:r w:rsidR="000B159A" w:rsidRPr="00305171">
        <w:rPr>
          <w:sz w:val="22"/>
          <w:szCs w:val="22"/>
        </w:rPr>
        <w:t xml:space="preserve"> (8 tabletes)</w:t>
      </w:r>
      <w:r w:rsidR="00EB0329" w:rsidRPr="00305171">
        <w:rPr>
          <w:sz w:val="22"/>
          <w:szCs w:val="22"/>
        </w:rPr>
        <w:t xml:space="preserve">. </w:t>
      </w:r>
    </w:p>
    <w:p w14:paraId="2FD07D81" w14:textId="1A08DDB2" w:rsidR="00EB0329" w:rsidRPr="00DB31CB" w:rsidRDefault="00EB0329" w:rsidP="00DB31CB">
      <w:pPr>
        <w:jc w:val="both"/>
        <w:outlineLvl w:val="0"/>
        <w:rPr>
          <w:b/>
          <w:sz w:val="22"/>
          <w:szCs w:val="22"/>
        </w:rPr>
      </w:pPr>
      <w:r w:rsidRPr="00305171">
        <w:rPr>
          <w:sz w:val="22"/>
          <w:szCs w:val="22"/>
        </w:rPr>
        <w:t>Reimati</w:t>
      </w:r>
      <w:r w:rsidR="000C3E28" w:rsidRPr="00305171">
        <w:rPr>
          <w:sz w:val="22"/>
          <w:szCs w:val="22"/>
        </w:rPr>
        <w:t>sku slimību</w:t>
      </w:r>
      <w:r w:rsidR="007F4CFE" w:rsidRPr="00305171">
        <w:rPr>
          <w:sz w:val="22"/>
          <w:szCs w:val="22"/>
        </w:rPr>
        <w:t xml:space="preserve"> gadījumā </w:t>
      </w:r>
      <w:r w:rsidR="00A614CA">
        <w:rPr>
          <w:sz w:val="22"/>
          <w:szCs w:val="22"/>
        </w:rPr>
        <w:t xml:space="preserve">pieaugušajiem </w:t>
      </w:r>
      <w:r w:rsidR="007F4CFE" w:rsidRPr="00305171">
        <w:rPr>
          <w:sz w:val="22"/>
          <w:szCs w:val="22"/>
        </w:rPr>
        <w:t xml:space="preserve">lieto </w:t>
      </w:r>
      <w:r w:rsidR="0071565D" w:rsidRPr="00305171">
        <w:rPr>
          <w:sz w:val="22"/>
          <w:szCs w:val="22"/>
        </w:rPr>
        <w:t>1000 mg (</w:t>
      </w:r>
      <w:r w:rsidR="007F4CFE" w:rsidRPr="00305171">
        <w:rPr>
          <w:sz w:val="22"/>
          <w:szCs w:val="22"/>
        </w:rPr>
        <w:t>2 tablet</w:t>
      </w:r>
      <w:r w:rsidR="002B7CE8" w:rsidRPr="00305171">
        <w:rPr>
          <w:sz w:val="22"/>
          <w:szCs w:val="22"/>
        </w:rPr>
        <w:t>es</w:t>
      </w:r>
      <w:r w:rsidR="0071565D" w:rsidRPr="00305171">
        <w:rPr>
          <w:sz w:val="22"/>
          <w:szCs w:val="22"/>
        </w:rPr>
        <w:t>)</w:t>
      </w:r>
      <w:r w:rsidR="007F4CFE" w:rsidRPr="00305171">
        <w:rPr>
          <w:sz w:val="22"/>
          <w:szCs w:val="22"/>
        </w:rPr>
        <w:t xml:space="preserve"> 3</w:t>
      </w:r>
      <w:r w:rsidR="007F4CFE" w:rsidRPr="00305171">
        <w:rPr>
          <w:sz w:val="22"/>
          <w:szCs w:val="22"/>
        </w:rPr>
        <w:noBreakHyphen/>
        <w:t>5 </w:t>
      </w:r>
      <w:r w:rsidR="000C3E28" w:rsidRPr="00305171">
        <w:rPr>
          <w:sz w:val="22"/>
          <w:szCs w:val="22"/>
        </w:rPr>
        <w:t>reizes dienā.</w:t>
      </w:r>
    </w:p>
    <w:p w14:paraId="6C6B8498" w14:textId="77777777" w:rsidR="00BE736D" w:rsidRPr="00305171" w:rsidRDefault="00BE736D" w:rsidP="00C915C3">
      <w:pPr>
        <w:jc w:val="both"/>
        <w:rPr>
          <w:sz w:val="22"/>
          <w:szCs w:val="22"/>
        </w:rPr>
      </w:pPr>
    </w:p>
    <w:p w14:paraId="73CAA70A" w14:textId="77777777" w:rsidR="007037D4" w:rsidRPr="00305171" w:rsidRDefault="007037D4" w:rsidP="007037D4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Gados vecāki cilvēki</w:t>
      </w:r>
    </w:p>
    <w:p w14:paraId="40771328" w14:textId="77777777" w:rsidR="007037D4" w:rsidRPr="00305171" w:rsidRDefault="007037D4" w:rsidP="003E454D">
      <w:pPr>
        <w:jc w:val="both"/>
        <w:outlineLvl w:val="0"/>
        <w:rPr>
          <w:sz w:val="22"/>
          <w:szCs w:val="22"/>
        </w:rPr>
      </w:pPr>
      <w:r w:rsidRPr="00305171">
        <w:rPr>
          <w:sz w:val="22"/>
          <w:szCs w:val="22"/>
        </w:rPr>
        <w:t>Devu pielāgošana nav nepieciešama</w:t>
      </w:r>
      <w:r w:rsidR="004A02EA" w:rsidRPr="00305171">
        <w:rPr>
          <w:sz w:val="22"/>
          <w:szCs w:val="22"/>
        </w:rPr>
        <w:t>, tomēr zāles jālieto piesardzīgi</w:t>
      </w:r>
      <w:r w:rsidRPr="00305171">
        <w:rPr>
          <w:sz w:val="22"/>
          <w:szCs w:val="22"/>
        </w:rPr>
        <w:t>.</w:t>
      </w:r>
      <w:r w:rsidR="00FA5401" w:rsidRPr="00305171">
        <w:rPr>
          <w:sz w:val="22"/>
          <w:szCs w:val="22"/>
        </w:rPr>
        <w:t xml:space="preserve"> Gados vecāki</w:t>
      </w:r>
      <w:r w:rsidR="00BB686F" w:rsidRPr="00305171">
        <w:rPr>
          <w:sz w:val="22"/>
          <w:szCs w:val="22"/>
        </w:rPr>
        <w:t>em</w:t>
      </w:r>
      <w:r w:rsidR="00FA5401" w:rsidRPr="00305171">
        <w:rPr>
          <w:sz w:val="22"/>
          <w:szCs w:val="22"/>
        </w:rPr>
        <w:t xml:space="preserve"> cilvēkiem jāizvairās ilgstoši lietot acetilsalicilskābi kuņģa</w:t>
      </w:r>
      <w:r w:rsidR="00FA5401" w:rsidRPr="00305171">
        <w:rPr>
          <w:sz w:val="22"/>
          <w:szCs w:val="22"/>
        </w:rPr>
        <w:noBreakHyphen/>
        <w:t>zarnu trakta asiņošanas riska dēļ.</w:t>
      </w:r>
    </w:p>
    <w:p w14:paraId="3326CE5B" w14:textId="77777777" w:rsidR="007037D4" w:rsidRPr="00305171" w:rsidRDefault="007037D4" w:rsidP="00C915C3">
      <w:pPr>
        <w:jc w:val="both"/>
        <w:rPr>
          <w:sz w:val="22"/>
          <w:szCs w:val="22"/>
        </w:rPr>
      </w:pPr>
    </w:p>
    <w:p w14:paraId="72C75751" w14:textId="77777777" w:rsidR="00BE736D" w:rsidRPr="00305171" w:rsidRDefault="008D597D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Lietošana bērniem un pusaudžiem</w:t>
      </w:r>
    </w:p>
    <w:p w14:paraId="53984029" w14:textId="77777777" w:rsidR="00930D03" w:rsidRDefault="00BE736D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B</w:t>
      </w:r>
      <w:r w:rsidR="000C3E28" w:rsidRPr="00305171">
        <w:rPr>
          <w:sz w:val="22"/>
          <w:szCs w:val="22"/>
        </w:rPr>
        <w:t>ērniem un pusaudžiem līdz 16 </w:t>
      </w:r>
      <w:r w:rsidR="00EB0329" w:rsidRPr="00305171">
        <w:rPr>
          <w:sz w:val="22"/>
          <w:szCs w:val="22"/>
        </w:rPr>
        <w:t>gadu vecumam</w:t>
      </w:r>
      <w:r w:rsidR="00EB0329" w:rsidRPr="00305171">
        <w:rPr>
          <w:i/>
          <w:sz w:val="22"/>
          <w:szCs w:val="22"/>
        </w:rPr>
        <w:t xml:space="preserve"> </w:t>
      </w:r>
      <w:r w:rsidR="00EB0329" w:rsidRPr="00305171">
        <w:rPr>
          <w:sz w:val="22"/>
          <w:szCs w:val="22"/>
        </w:rPr>
        <w:t>acetilsalicilskāb</w:t>
      </w:r>
      <w:r w:rsidR="000753ED" w:rsidRPr="00305171">
        <w:rPr>
          <w:sz w:val="22"/>
          <w:szCs w:val="22"/>
        </w:rPr>
        <w:t>i nedrīkst lietot</w:t>
      </w:r>
      <w:r w:rsidR="00EB0329" w:rsidRPr="00305171">
        <w:rPr>
          <w:sz w:val="22"/>
          <w:szCs w:val="22"/>
        </w:rPr>
        <w:t xml:space="preserve"> kā pretsāpju un pretdrudža līdzekli (sk</w:t>
      </w:r>
      <w:r w:rsidR="008E123D" w:rsidRPr="00305171">
        <w:rPr>
          <w:sz w:val="22"/>
          <w:szCs w:val="22"/>
        </w:rPr>
        <w:t xml:space="preserve">atīt </w:t>
      </w:r>
      <w:r w:rsidR="00F770DD" w:rsidRPr="00305171">
        <w:rPr>
          <w:i/>
          <w:sz w:val="22"/>
          <w:szCs w:val="22"/>
        </w:rPr>
        <w:t>Nelietojiet ASA</w:t>
      </w:r>
      <w:r w:rsidR="00F770DD" w:rsidRPr="00305171">
        <w:rPr>
          <w:i/>
          <w:sz w:val="22"/>
          <w:szCs w:val="22"/>
        </w:rPr>
        <w:noBreakHyphen/>
      </w:r>
      <w:r w:rsidR="000C3E28" w:rsidRPr="00305171">
        <w:rPr>
          <w:i/>
          <w:sz w:val="22"/>
          <w:szCs w:val="22"/>
        </w:rPr>
        <w:t>Grindeks šādos gadījumos</w:t>
      </w:r>
      <w:r w:rsidR="007F4CFE" w:rsidRPr="00305171">
        <w:rPr>
          <w:sz w:val="22"/>
          <w:szCs w:val="22"/>
        </w:rPr>
        <w:t xml:space="preserve">). </w:t>
      </w:r>
    </w:p>
    <w:p w14:paraId="646DAB98" w14:textId="213B3649" w:rsidR="00EB0329" w:rsidRPr="00DE312D" w:rsidRDefault="008C55F0" w:rsidP="00C915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Zāles</w:t>
      </w:r>
      <w:r w:rsidR="007F4CFE" w:rsidRPr="00305171">
        <w:rPr>
          <w:sz w:val="22"/>
          <w:szCs w:val="22"/>
        </w:rPr>
        <w:t xml:space="preserve"> </w:t>
      </w:r>
      <w:r w:rsidR="00EB0329" w:rsidRPr="00305171">
        <w:rPr>
          <w:sz w:val="22"/>
          <w:szCs w:val="22"/>
        </w:rPr>
        <w:t>drīkst lietot tikai noteikt</w:t>
      </w:r>
      <w:r w:rsidR="00FD7F10">
        <w:rPr>
          <w:sz w:val="22"/>
          <w:szCs w:val="22"/>
        </w:rPr>
        <w:t>os</w:t>
      </w:r>
      <w:r w:rsidR="00EB0329" w:rsidRPr="00305171">
        <w:rPr>
          <w:sz w:val="22"/>
          <w:szCs w:val="22"/>
        </w:rPr>
        <w:t xml:space="preserve"> </w:t>
      </w:r>
      <w:r w:rsidR="00FD7F10" w:rsidRPr="00305171">
        <w:rPr>
          <w:sz w:val="22"/>
          <w:szCs w:val="22"/>
        </w:rPr>
        <w:t>gadījum</w:t>
      </w:r>
      <w:r w:rsidR="00FD7F10">
        <w:rPr>
          <w:sz w:val="22"/>
          <w:szCs w:val="22"/>
        </w:rPr>
        <w:t>os</w:t>
      </w:r>
      <w:r w:rsidR="00EB0329" w:rsidRPr="00305171">
        <w:rPr>
          <w:sz w:val="22"/>
          <w:szCs w:val="22"/>
        </w:rPr>
        <w:t xml:space="preserve"> (piemēram, juven</w:t>
      </w:r>
      <w:r w:rsidR="00926456" w:rsidRPr="00305171">
        <w:rPr>
          <w:sz w:val="22"/>
          <w:szCs w:val="22"/>
        </w:rPr>
        <w:t>il</w:t>
      </w:r>
      <w:r w:rsidR="00FD7F10">
        <w:rPr>
          <w:sz w:val="22"/>
          <w:szCs w:val="22"/>
        </w:rPr>
        <w:t>ais</w:t>
      </w:r>
      <w:r w:rsidR="00926456" w:rsidRPr="00305171">
        <w:rPr>
          <w:sz w:val="22"/>
          <w:szCs w:val="22"/>
        </w:rPr>
        <w:t xml:space="preserve"> artrīt</w:t>
      </w:r>
      <w:r w:rsidR="00FD7F10">
        <w:rPr>
          <w:sz w:val="22"/>
          <w:szCs w:val="22"/>
        </w:rPr>
        <w:t>s</w:t>
      </w:r>
      <w:r w:rsidR="00926456" w:rsidRPr="00305171">
        <w:rPr>
          <w:sz w:val="22"/>
          <w:szCs w:val="22"/>
        </w:rPr>
        <w:t xml:space="preserve">) </w:t>
      </w:r>
      <w:r w:rsidR="00926456" w:rsidRPr="00DE312D">
        <w:rPr>
          <w:sz w:val="22"/>
          <w:szCs w:val="22"/>
        </w:rPr>
        <w:t>devā 50</w:t>
      </w:r>
      <w:r w:rsidR="00926456" w:rsidRPr="00DE312D">
        <w:rPr>
          <w:sz w:val="22"/>
          <w:szCs w:val="22"/>
        </w:rPr>
        <w:noBreakHyphen/>
      </w:r>
      <w:r w:rsidR="007F4CFE" w:rsidRPr="00DE312D">
        <w:rPr>
          <w:sz w:val="22"/>
          <w:szCs w:val="22"/>
        </w:rPr>
        <w:t>80 mg/kg/dienā, dalot šo devu 5</w:t>
      </w:r>
      <w:r w:rsidR="007F4CFE" w:rsidRPr="00DE312D">
        <w:rPr>
          <w:sz w:val="22"/>
          <w:szCs w:val="22"/>
        </w:rPr>
        <w:noBreakHyphen/>
        <w:t>6 </w:t>
      </w:r>
      <w:r w:rsidR="00EB0329" w:rsidRPr="00DE312D">
        <w:rPr>
          <w:sz w:val="22"/>
          <w:szCs w:val="22"/>
        </w:rPr>
        <w:t>reizes devās un lietojot pēc ēšanas. Paasinājuma gadījumā d</w:t>
      </w:r>
      <w:r w:rsidR="00BE736D" w:rsidRPr="00315A53">
        <w:rPr>
          <w:sz w:val="22"/>
          <w:szCs w:val="22"/>
        </w:rPr>
        <w:t>evu atļauts palielināt līdz 130 </w:t>
      </w:r>
      <w:r w:rsidR="00EB0329" w:rsidRPr="00315A53">
        <w:rPr>
          <w:sz w:val="22"/>
          <w:szCs w:val="22"/>
        </w:rPr>
        <w:t>mg/kg/dienā. Lielāku devu lietošanas gadījumā nepieciešama ārsta uzraudzība un acetilsalicilskābes</w:t>
      </w:r>
      <w:r w:rsidR="00BE736D" w:rsidRPr="00DE312D">
        <w:rPr>
          <w:sz w:val="22"/>
          <w:szCs w:val="22"/>
        </w:rPr>
        <w:t xml:space="preserve"> līmeņa </w:t>
      </w:r>
      <w:r w:rsidR="006A73B4" w:rsidRPr="00DE312D">
        <w:rPr>
          <w:sz w:val="22"/>
          <w:szCs w:val="22"/>
        </w:rPr>
        <w:t>kontrole</w:t>
      </w:r>
      <w:r w:rsidR="00FD7F10" w:rsidRPr="00DE312D">
        <w:rPr>
          <w:sz w:val="22"/>
          <w:szCs w:val="22"/>
        </w:rPr>
        <w:t xml:space="preserve"> plazmā</w:t>
      </w:r>
      <w:r w:rsidR="00BE736D" w:rsidRPr="00DE312D">
        <w:rPr>
          <w:sz w:val="22"/>
          <w:szCs w:val="22"/>
        </w:rPr>
        <w:t>.</w:t>
      </w:r>
    </w:p>
    <w:p w14:paraId="5E5CD915" w14:textId="77777777" w:rsidR="003E454D" w:rsidRPr="00DE312D" w:rsidRDefault="003E454D" w:rsidP="00C915C3">
      <w:pPr>
        <w:jc w:val="both"/>
        <w:rPr>
          <w:sz w:val="22"/>
          <w:szCs w:val="22"/>
        </w:rPr>
      </w:pPr>
    </w:p>
    <w:p w14:paraId="2B00E5EE" w14:textId="1EE1EAA7" w:rsidR="00EB0329" w:rsidRPr="00DE312D" w:rsidRDefault="00DE312D" w:rsidP="00C915C3">
      <w:pPr>
        <w:jc w:val="both"/>
        <w:rPr>
          <w:sz w:val="22"/>
          <w:szCs w:val="22"/>
        </w:rPr>
      </w:pPr>
      <w:r w:rsidRPr="00DB31CB">
        <w:rPr>
          <w:sz w:val="22"/>
          <w:szCs w:val="22"/>
        </w:rPr>
        <w:t xml:space="preserve">Zāļu formas dēļ ASA-Grindeks 500 mg tabletes neiesaka lietot </w:t>
      </w:r>
      <w:r w:rsidR="00BE736D" w:rsidRPr="00DE312D">
        <w:rPr>
          <w:sz w:val="22"/>
          <w:szCs w:val="22"/>
        </w:rPr>
        <w:t xml:space="preserve">bērniem līdz </w:t>
      </w:r>
      <w:r w:rsidRPr="00DB31CB">
        <w:rPr>
          <w:sz w:val="22"/>
          <w:szCs w:val="22"/>
        </w:rPr>
        <w:t>6</w:t>
      </w:r>
      <w:r w:rsidRPr="00315A53">
        <w:rPr>
          <w:sz w:val="22"/>
          <w:szCs w:val="22"/>
        </w:rPr>
        <w:t> </w:t>
      </w:r>
      <w:r w:rsidR="007F4CFE" w:rsidRPr="00315A53">
        <w:rPr>
          <w:sz w:val="22"/>
          <w:szCs w:val="22"/>
        </w:rPr>
        <w:t>gadu vecumam</w:t>
      </w:r>
      <w:r w:rsidR="00667321" w:rsidRPr="00667321">
        <w:rPr>
          <w:sz w:val="22"/>
          <w:szCs w:val="22"/>
        </w:rPr>
        <w:t xml:space="preserve"> (aizrīšan</w:t>
      </w:r>
      <w:r w:rsidR="00667321">
        <w:rPr>
          <w:sz w:val="22"/>
          <w:szCs w:val="22"/>
        </w:rPr>
        <w:t>ā</w:t>
      </w:r>
      <w:r w:rsidRPr="00DB31CB">
        <w:rPr>
          <w:sz w:val="22"/>
          <w:szCs w:val="22"/>
        </w:rPr>
        <w:t>s risks)</w:t>
      </w:r>
      <w:r w:rsidR="007F4CFE" w:rsidRPr="00315A53">
        <w:rPr>
          <w:sz w:val="22"/>
          <w:szCs w:val="22"/>
        </w:rPr>
        <w:t>.</w:t>
      </w:r>
    </w:p>
    <w:p w14:paraId="5C819322" w14:textId="77777777" w:rsidR="009C04FD" w:rsidRPr="00305171" w:rsidRDefault="009C04FD" w:rsidP="00C915C3">
      <w:pPr>
        <w:jc w:val="both"/>
        <w:rPr>
          <w:i/>
          <w:sz w:val="22"/>
          <w:szCs w:val="22"/>
        </w:rPr>
      </w:pPr>
    </w:p>
    <w:p w14:paraId="71F6579D" w14:textId="77777777" w:rsidR="00412B72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Ja ārsts ir ieteicis lietošanai citas devas, jāievēro ārsta norādījumi.</w:t>
      </w:r>
    </w:p>
    <w:p w14:paraId="128C2131" w14:textId="77777777" w:rsidR="00412B72" w:rsidRPr="00305171" w:rsidRDefault="00412B72" w:rsidP="00C915C3">
      <w:pPr>
        <w:jc w:val="both"/>
        <w:rPr>
          <w:sz w:val="22"/>
          <w:szCs w:val="22"/>
        </w:rPr>
      </w:pPr>
    </w:p>
    <w:p w14:paraId="24E211B8" w14:textId="56FA5CA8" w:rsidR="00EB0329" w:rsidRPr="00305171" w:rsidRDefault="00412B72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Nepārsniedziet ietei</w:t>
      </w:r>
      <w:r w:rsidR="00F23CE5">
        <w:rPr>
          <w:sz w:val="22"/>
          <w:szCs w:val="22"/>
        </w:rPr>
        <w:t>camās</w:t>
      </w:r>
      <w:r w:rsidRPr="00305171">
        <w:rPr>
          <w:sz w:val="22"/>
          <w:szCs w:val="22"/>
        </w:rPr>
        <w:t xml:space="preserve"> devas. </w:t>
      </w:r>
      <w:r w:rsidR="00EB0329" w:rsidRPr="00305171">
        <w:rPr>
          <w:sz w:val="22"/>
          <w:szCs w:val="22"/>
        </w:rPr>
        <w:t xml:space="preserve">Pārsniedzot </w:t>
      </w:r>
      <w:r w:rsidR="00F23CE5">
        <w:rPr>
          <w:sz w:val="22"/>
          <w:szCs w:val="22"/>
        </w:rPr>
        <w:t>šīs</w:t>
      </w:r>
      <w:r w:rsidR="00EB0329" w:rsidRPr="00305171">
        <w:rPr>
          <w:sz w:val="22"/>
          <w:szCs w:val="22"/>
        </w:rPr>
        <w:t xml:space="preserve"> dev</w:t>
      </w:r>
      <w:r w:rsidR="005529DC">
        <w:rPr>
          <w:sz w:val="22"/>
          <w:szCs w:val="22"/>
        </w:rPr>
        <w:t>as</w:t>
      </w:r>
      <w:r w:rsidR="00EB0329" w:rsidRPr="00305171">
        <w:rPr>
          <w:sz w:val="22"/>
          <w:szCs w:val="22"/>
        </w:rPr>
        <w:t>, iespējama dzīvībai bīstama saindēšanās</w:t>
      </w:r>
      <w:r w:rsidR="00BE3FE7" w:rsidRPr="00305171">
        <w:rPr>
          <w:sz w:val="22"/>
          <w:szCs w:val="22"/>
        </w:rPr>
        <w:t xml:space="preserve"> (sk</w:t>
      </w:r>
      <w:r w:rsidR="00152DBD" w:rsidRPr="00305171">
        <w:rPr>
          <w:sz w:val="22"/>
          <w:szCs w:val="22"/>
        </w:rPr>
        <w:t xml:space="preserve">atīt </w:t>
      </w:r>
      <w:r w:rsidR="005E6401" w:rsidRPr="00305171">
        <w:rPr>
          <w:i/>
          <w:sz w:val="22"/>
          <w:szCs w:val="22"/>
        </w:rPr>
        <w:t xml:space="preserve">Ja esat lietojis </w:t>
      </w:r>
      <w:r w:rsidR="00BE3FE7" w:rsidRPr="00305171">
        <w:rPr>
          <w:i/>
          <w:sz w:val="22"/>
          <w:szCs w:val="22"/>
        </w:rPr>
        <w:t>ASA</w:t>
      </w:r>
      <w:r w:rsidR="007F4CFE" w:rsidRPr="00305171">
        <w:rPr>
          <w:i/>
          <w:sz w:val="22"/>
          <w:szCs w:val="22"/>
        </w:rPr>
        <w:noBreakHyphen/>
      </w:r>
      <w:r w:rsidR="00BE3FE7" w:rsidRPr="00305171">
        <w:rPr>
          <w:i/>
          <w:sz w:val="22"/>
          <w:szCs w:val="22"/>
        </w:rPr>
        <w:t>Grindeks vairāk nekā noteikts</w:t>
      </w:r>
      <w:r w:rsidR="00BE3FE7" w:rsidRPr="00305171">
        <w:rPr>
          <w:sz w:val="22"/>
          <w:szCs w:val="22"/>
        </w:rPr>
        <w:t>)</w:t>
      </w:r>
      <w:r w:rsidR="00EB0329" w:rsidRPr="00305171">
        <w:rPr>
          <w:sz w:val="22"/>
          <w:szCs w:val="22"/>
        </w:rPr>
        <w:t>.</w:t>
      </w:r>
    </w:p>
    <w:p w14:paraId="0FCE8D2C" w14:textId="77777777" w:rsidR="00412B72" w:rsidRPr="00305171" w:rsidRDefault="00412B72" w:rsidP="00C915C3">
      <w:pPr>
        <w:jc w:val="both"/>
        <w:rPr>
          <w:sz w:val="22"/>
          <w:szCs w:val="22"/>
        </w:rPr>
      </w:pPr>
    </w:p>
    <w:p w14:paraId="020A95D9" w14:textId="77777777" w:rsidR="00EB0329" w:rsidRPr="00305171" w:rsidRDefault="001970F7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</w:t>
      </w:r>
      <w:r w:rsidR="00EB0329" w:rsidRPr="00305171">
        <w:rPr>
          <w:sz w:val="22"/>
          <w:szCs w:val="22"/>
        </w:rPr>
        <w:t>veselības stāvoklis ir uzlabojies, ārstēšanos var pārtraukt.</w:t>
      </w:r>
    </w:p>
    <w:p w14:paraId="6B235688" w14:textId="77777777" w:rsidR="00EB0329" w:rsidRPr="00305171" w:rsidRDefault="00EB0329" w:rsidP="00C915C3">
      <w:pPr>
        <w:pStyle w:val="BodyText1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>Ja Jums</w:t>
      </w:r>
      <w:r w:rsidR="00067E0D" w:rsidRPr="00305171">
        <w:rPr>
          <w:rFonts w:ascii="Times New Roman" w:hAnsi="Times New Roman"/>
          <w:color w:val="auto"/>
          <w:sz w:val="22"/>
          <w:szCs w:val="22"/>
          <w:lang w:val="lv-LV"/>
        </w:rPr>
        <w:t>,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šķiet, ka acetilsalicilskābes iedarbība ir </w:t>
      </w:r>
      <w:r w:rsidR="00E53091" w:rsidRPr="00305171">
        <w:rPr>
          <w:rFonts w:ascii="Times New Roman" w:hAnsi="Times New Roman"/>
          <w:color w:val="auto"/>
          <w:sz w:val="22"/>
          <w:szCs w:val="22"/>
          <w:lang w:val="lv-LV"/>
        </w:rPr>
        <w:t>pārāk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stipr</w:t>
      </w:r>
      <w:r w:rsidR="00E53091" w:rsidRPr="00305171">
        <w:rPr>
          <w:rFonts w:ascii="Times New Roman" w:hAnsi="Times New Roman"/>
          <w:color w:val="auto"/>
          <w:sz w:val="22"/>
          <w:szCs w:val="22"/>
          <w:lang w:val="lv-LV"/>
        </w:rPr>
        <w:t>a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vai </w:t>
      </w:r>
      <w:r w:rsidR="00E53091" w:rsidRPr="00305171">
        <w:rPr>
          <w:rFonts w:ascii="Times New Roman" w:hAnsi="Times New Roman"/>
          <w:color w:val="auto"/>
          <w:sz w:val="22"/>
          <w:szCs w:val="22"/>
          <w:lang w:val="lv-LV"/>
        </w:rPr>
        <w:t>pārāk</w:t>
      </w:r>
      <w:r w:rsidRPr="00305171">
        <w:rPr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BE3FE7" w:rsidRPr="00305171">
        <w:rPr>
          <w:rFonts w:ascii="Times New Roman" w:hAnsi="Times New Roman"/>
          <w:color w:val="auto"/>
          <w:sz w:val="22"/>
          <w:szCs w:val="22"/>
          <w:lang w:val="lv-LV"/>
        </w:rPr>
        <w:t>vāj</w:t>
      </w:r>
      <w:r w:rsidR="00E53091" w:rsidRPr="00305171">
        <w:rPr>
          <w:rFonts w:ascii="Times New Roman" w:hAnsi="Times New Roman"/>
          <w:color w:val="auto"/>
          <w:sz w:val="22"/>
          <w:szCs w:val="22"/>
          <w:lang w:val="lv-LV"/>
        </w:rPr>
        <w:t>a</w:t>
      </w:r>
      <w:r w:rsidR="00BE3FE7" w:rsidRPr="00305171">
        <w:rPr>
          <w:rFonts w:ascii="Times New Roman" w:hAnsi="Times New Roman"/>
          <w:color w:val="auto"/>
          <w:sz w:val="22"/>
          <w:szCs w:val="22"/>
          <w:lang w:val="lv-LV"/>
        </w:rPr>
        <w:t>, konsultējieties ar ārstu.</w:t>
      </w:r>
    </w:p>
    <w:p w14:paraId="45BBA229" w14:textId="77777777" w:rsidR="00EB0329" w:rsidRPr="00305171" w:rsidRDefault="00EB0329" w:rsidP="00C915C3">
      <w:pPr>
        <w:pStyle w:val="BodyText1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4A48C7F3" w14:textId="77777777" w:rsidR="00EB0329" w:rsidRPr="00305171" w:rsidRDefault="000F41A6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 xml:space="preserve">Ja esat lietojis </w:t>
      </w:r>
      <w:r w:rsidR="007F4CFE" w:rsidRPr="00305171">
        <w:rPr>
          <w:b/>
          <w:sz w:val="22"/>
          <w:szCs w:val="22"/>
        </w:rPr>
        <w:t>ASA</w:t>
      </w:r>
      <w:r w:rsidR="007F4CFE" w:rsidRPr="00305171">
        <w:rPr>
          <w:b/>
          <w:sz w:val="22"/>
          <w:szCs w:val="22"/>
        </w:rPr>
        <w:noBreakHyphen/>
      </w:r>
      <w:r w:rsidR="00EB0329" w:rsidRPr="00305171">
        <w:rPr>
          <w:b/>
          <w:sz w:val="22"/>
          <w:szCs w:val="22"/>
        </w:rPr>
        <w:t>G</w:t>
      </w:r>
      <w:r w:rsidR="00BE3FE7" w:rsidRPr="00305171">
        <w:rPr>
          <w:b/>
          <w:sz w:val="22"/>
          <w:szCs w:val="22"/>
        </w:rPr>
        <w:t>rindeks vairāk nekā noteikts</w:t>
      </w:r>
    </w:p>
    <w:p w14:paraId="652B92F0" w14:textId="5DC1774A" w:rsidR="00EB0329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Pārdozējot šīs zāles, paātrinās un/vai padziļinās elpošana, rodas troksnis ausīs vai pasliktinās dzirde, </w:t>
      </w:r>
      <w:r w:rsidR="00B3421E">
        <w:rPr>
          <w:sz w:val="22"/>
          <w:szCs w:val="22"/>
        </w:rPr>
        <w:t>rodas</w:t>
      </w:r>
      <w:r w:rsidRPr="00305171">
        <w:rPr>
          <w:sz w:val="22"/>
          <w:szCs w:val="22"/>
        </w:rPr>
        <w:t xml:space="preserve"> slikta dūša, vemšana, redzes traucējumi, galvassāpes, reibonis, apjukums, svīšana, slāpes. Var gadīties, ka vienīgā saindēšanās pazīme mazie</w:t>
      </w:r>
      <w:r w:rsidR="008D5843" w:rsidRPr="00305171">
        <w:rPr>
          <w:sz w:val="22"/>
          <w:szCs w:val="22"/>
        </w:rPr>
        <w:t>m bērniem ir uzvedības izmaiņas</w:t>
      </w:r>
      <w:r w:rsidR="00861F87" w:rsidRPr="00305171">
        <w:rPr>
          <w:sz w:val="22"/>
          <w:szCs w:val="22"/>
        </w:rPr>
        <w:t>,</w:t>
      </w:r>
      <w:r w:rsidR="008D5843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bērni kļūst stipri miegaini un gurdeni. Ja saindēšanās ir smaga, var būt aizdusa, drudzis, trīce, ģībonis vai koma, ko izraisa pēkšņi smadzeņu asinsrites traucējumi, elpošanas nomā</w:t>
      </w:r>
      <w:r w:rsidR="002A75A9" w:rsidRPr="00305171">
        <w:rPr>
          <w:sz w:val="22"/>
          <w:szCs w:val="22"/>
        </w:rPr>
        <w:t xml:space="preserve">kums. Šādos gadījumos </w:t>
      </w:r>
      <w:r w:rsidR="00E343B3" w:rsidRPr="00305171">
        <w:rPr>
          <w:sz w:val="22"/>
          <w:szCs w:val="22"/>
        </w:rPr>
        <w:t>nekavējoties jāizsauc neatliekamā medicīniskā palīdzība.</w:t>
      </w:r>
    </w:p>
    <w:p w14:paraId="53B0DCF9" w14:textId="77777777" w:rsidR="00EB0329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Rodoties </w:t>
      </w:r>
      <w:r w:rsidR="00A01E2C" w:rsidRPr="00305171">
        <w:rPr>
          <w:sz w:val="22"/>
          <w:szCs w:val="22"/>
        </w:rPr>
        <w:t xml:space="preserve">pārdozēšanas simptomiem vai </w:t>
      </w:r>
      <w:r w:rsidRPr="00305171">
        <w:rPr>
          <w:sz w:val="22"/>
          <w:szCs w:val="22"/>
        </w:rPr>
        <w:t>aizdomām, ka notikusi pārdozēšana, nekavējoties griezieties pie ārsta</w:t>
      </w:r>
      <w:r w:rsidR="0014386E" w:rsidRPr="00305171">
        <w:rPr>
          <w:sz w:val="22"/>
          <w:szCs w:val="22"/>
        </w:rPr>
        <w:t>. Ņemiet līdzi zāļu iepakojumu.</w:t>
      </w:r>
    </w:p>
    <w:p w14:paraId="431A29DA" w14:textId="77777777" w:rsidR="007A2275" w:rsidRPr="00305171" w:rsidRDefault="007A2275" w:rsidP="00C915C3">
      <w:pPr>
        <w:jc w:val="both"/>
        <w:rPr>
          <w:sz w:val="22"/>
          <w:szCs w:val="22"/>
        </w:rPr>
      </w:pPr>
    </w:p>
    <w:p w14:paraId="5DC47187" w14:textId="77777777" w:rsidR="00EB0329" w:rsidRPr="00305171" w:rsidRDefault="00EB0329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Ja esat ai</w:t>
      </w:r>
      <w:r w:rsidR="007F4CFE" w:rsidRPr="00305171">
        <w:rPr>
          <w:b/>
          <w:sz w:val="22"/>
          <w:szCs w:val="22"/>
        </w:rPr>
        <w:t>zmirsis lietot ASA</w:t>
      </w:r>
      <w:r w:rsidR="007F4CFE" w:rsidRPr="00305171">
        <w:rPr>
          <w:b/>
          <w:sz w:val="22"/>
          <w:szCs w:val="22"/>
        </w:rPr>
        <w:noBreakHyphen/>
      </w:r>
      <w:r w:rsidR="00A01E2C" w:rsidRPr="00305171">
        <w:rPr>
          <w:b/>
          <w:sz w:val="22"/>
          <w:szCs w:val="22"/>
        </w:rPr>
        <w:t>Grindeks</w:t>
      </w:r>
    </w:p>
    <w:p w14:paraId="54442002" w14:textId="77777777" w:rsidR="00A01E2C" w:rsidRPr="00305171" w:rsidRDefault="00A01E2C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esat </w:t>
      </w:r>
      <w:r w:rsidR="00861F87" w:rsidRPr="00305171">
        <w:rPr>
          <w:sz w:val="22"/>
          <w:szCs w:val="22"/>
        </w:rPr>
        <w:t>aizmirsis lietot</w:t>
      </w:r>
      <w:r w:rsidRPr="00305171">
        <w:rPr>
          <w:sz w:val="22"/>
          <w:szCs w:val="22"/>
        </w:rPr>
        <w:t xml:space="preserve"> kārtējo zāļu devu, </w:t>
      </w:r>
      <w:r w:rsidR="007A285D" w:rsidRPr="00305171">
        <w:rPr>
          <w:sz w:val="22"/>
          <w:szCs w:val="22"/>
        </w:rPr>
        <w:t>lietojiet</w:t>
      </w:r>
      <w:r w:rsidRPr="00305171">
        <w:rPr>
          <w:sz w:val="22"/>
          <w:szCs w:val="22"/>
        </w:rPr>
        <w:t xml:space="preserve"> to nekavējoties. Nelietojiet dubultu devu, lai aizvietotu aizmirsto devu. Turpiniet lietot zāles, kā </w:t>
      </w:r>
      <w:r w:rsidR="00861F87" w:rsidRPr="00305171">
        <w:rPr>
          <w:sz w:val="22"/>
          <w:szCs w:val="22"/>
        </w:rPr>
        <w:t>norādīts</w:t>
      </w:r>
      <w:r w:rsidRPr="00305171">
        <w:rPr>
          <w:sz w:val="22"/>
          <w:szCs w:val="22"/>
        </w:rPr>
        <w:t>.</w:t>
      </w:r>
    </w:p>
    <w:p w14:paraId="548CD001" w14:textId="77777777" w:rsidR="00067E0D" w:rsidRPr="00305171" w:rsidRDefault="00067E0D" w:rsidP="00C915C3">
      <w:pPr>
        <w:jc w:val="both"/>
        <w:rPr>
          <w:noProof/>
          <w:sz w:val="22"/>
          <w:szCs w:val="22"/>
        </w:rPr>
      </w:pPr>
    </w:p>
    <w:p w14:paraId="3914AA0E" w14:textId="77777777" w:rsidR="007A2275" w:rsidRPr="00305171" w:rsidRDefault="00067E0D" w:rsidP="00C915C3">
      <w:pPr>
        <w:jc w:val="both"/>
        <w:rPr>
          <w:sz w:val="22"/>
          <w:szCs w:val="22"/>
        </w:rPr>
      </w:pPr>
      <w:r w:rsidRPr="00305171">
        <w:rPr>
          <w:noProof/>
          <w:sz w:val="22"/>
          <w:szCs w:val="22"/>
        </w:rPr>
        <w:t>Ja Jums ir kādi jautājumi par šo zāļu lietošanu, jautājiet ārstam vai farmaceitam.</w:t>
      </w:r>
    </w:p>
    <w:p w14:paraId="68CC9FF1" w14:textId="5CC2FB8A" w:rsidR="00EB0329" w:rsidRPr="00305171" w:rsidRDefault="00EA0682" w:rsidP="00C915C3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B1D4E" w:rsidRPr="00305171">
        <w:rPr>
          <w:b/>
          <w:sz w:val="22"/>
          <w:szCs w:val="22"/>
        </w:rPr>
        <w:t>4.</w:t>
      </w:r>
      <w:r w:rsidR="00BB1D4E" w:rsidRPr="00305171">
        <w:rPr>
          <w:b/>
          <w:sz w:val="22"/>
          <w:szCs w:val="22"/>
        </w:rPr>
        <w:tab/>
      </w:r>
      <w:r w:rsidR="00B87CC9" w:rsidRPr="00305171">
        <w:rPr>
          <w:b/>
          <w:sz w:val="22"/>
          <w:szCs w:val="22"/>
        </w:rPr>
        <w:t>Iespējamās blakusparādības</w:t>
      </w:r>
    </w:p>
    <w:p w14:paraId="0D20DDFC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40F0C292" w14:textId="77777777" w:rsidR="00D343F0" w:rsidRPr="00305171" w:rsidRDefault="007F4CFE" w:rsidP="00C915C3">
      <w:pPr>
        <w:pStyle w:val="Pamatteksts"/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Tāpat kā </w:t>
      </w:r>
      <w:r w:rsidR="002E2255" w:rsidRPr="00305171">
        <w:rPr>
          <w:sz w:val="22"/>
          <w:szCs w:val="22"/>
        </w:rPr>
        <w:t>visas</w:t>
      </w:r>
      <w:r w:rsidRPr="00305171">
        <w:rPr>
          <w:sz w:val="22"/>
          <w:szCs w:val="22"/>
        </w:rPr>
        <w:t xml:space="preserve"> zāles, </w:t>
      </w:r>
      <w:r w:rsidR="002E2255" w:rsidRPr="00305171">
        <w:rPr>
          <w:sz w:val="22"/>
          <w:szCs w:val="22"/>
        </w:rPr>
        <w:t>šīs zāles</w:t>
      </w:r>
      <w:r w:rsidR="00D343F0" w:rsidRPr="00305171">
        <w:rPr>
          <w:sz w:val="22"/>
          <w:szCs w:val="22"/>
        </w:rPr>
        <w:t xml:space="preserve"> var izraisīt blakusparādības, kaut arī ne visiem tās izpaužas.</w:t>
      </w:r>
    </w:p>
    <w:p w14:paraId="6F653374" w14:textId="77777777" w:rsidR="00EF16B1" w:rsidRPr="00305171" w:rsidRDefault="00EF16B1" w:rsidP="00C915C3">
      <w:pPr>
        <w:jc w:val="both"/>
        <w:rPr>
          <w:sz w:val="22"/>
          <w:szCs w:val="22"/>
          <w:lang w:eastAsia="lv-LV"/>
        </w:rPr>
      </w:pPr>
    </w:p>
    <w:p w14:paraId="1873CFDF" w14:textId="77777777" w:rsidR="0070319F" w:rsidRPr="00305171" w:rsidRDefault="00196E6D" w:rsidP="00C915C3">
      <w:pPr>
        <w:pStyle w:val="BodyText"/>
        <w:rPr>
          <w:b w:val="0"/>
          <w:sz w:val="22"/>
          <w:szCs w:val="22"/>
        </w:rPr>
      </w:pPr>
      <w:r w:rsidRPr="00305171">
        <w:rPr>
          <w:b w:val="0"/>
          <w:i/>
          <w:sz w:val="22"/>
          <w:szCs w:val="22"/>
        </w:rPr>
        <w:t>Bieži</w:t>
      </w:r>
      <w:r w:rsidR="0070319F" w:rsidRPr="00305171">
        <w:rPr>
          <w:b w:val="0"/>
          <w:i/>
          <w:sz w:val="22"/>
          <w:szCs w:val="22"/>
        </w:rPr>
        <w:t xml:space="preserve"> </w:t>
      </w:r>
      <w:r w:rsidR="0070319F" w:rsidRPr="00305171">
        <w:rPr>
          <w:b w:val="0"/>
          <w:sz w:val="22"/>
          <w:szCs w:val="22"/>
        </w:rPr>
        <w:t>(var rasties mazāk nekā 1 no 10 cilvēkiem)</w:t>
      </w:r>
      <w:r w:rsidRPr="00305171">
        <w:rPr>
          <w:b w:val="0"/>
          <w:sz w:val="22"/>
          <w:szCs w:val="22"/>
        </w:rPr>
        <w:t>:</w:t>
      </w:r>
    </w:p>
    <w:p w14:paraId="2DFA52B0" w14:textId="77777777" w:rsidR="000E1D00" w:rsidRPr="00305171" w:rsidRDefault="00921160" w:rsidP="00C30F5C">
      <w:pPr>
        <w:pStyle w:val="BodyText"/>
        <w:numPr>
          <w:ilvl w:val="0"/>
          <w:numId w:val="14"/>
        </w:numPr>
        <w:rPr>
          <w:b w:val="0"/>
          <w:sz w:val="22"/>
          <w:szCs w:val="22"/>
        </w:rPr>
      </w:pPr>
      <w:r w:rsidRPr="00305171">
        <w:rPr>
          <w:b w:val="0"/>
          <w:sz w:val="22"/>
          <w:szCs w:val="22"/>
        </w:rPr>
        <w:t xml:space="preserve">gremošanas traucējumi, </w:t>
      </w:r>
      <w:r w:rsidR="00EB0329" w:rsidRPr="00305171">
        <w:rPr>
          <w:b w:val="0"/>
          <w:sz w:val="22"/>
          <w:szCs w:val="22"/>
        </w:rPr>
        <w:t>slikta dūša, vemšana, caureja.</w:t>
      </w:r>
    </w:p>
    <w:p w14:paraId="7742F802" w14:textId="77777777" w:rsidR="00664C40" w:rsidRPr="00305171" w:rsidRDefault="00664C40" w:rsidP="00C915C3">
      <w:pPr>
        <w:pStyle w:val="BodyText"/>
        <w:rPr>
          <w:b w:val="0"/>
          <w:sz w:val="22"/>
          <w:szCs w:val="22"/>
        </w:rPr>
      </w:pPr>
    </w:p>
    <w:p w14:paraId="5F316F44" w14:textId="77777777" w:rsidR="0070319F" w:rsidRPr="00305171" w:rsidRDefault="0070319F" w:rsidP="0070319F">
      <w:pPr>
        <w:rPr>
          <w:sz w:val="22"/>
          <w:szCs w:val="22"/>
        </w:rPr>
      </w:pPr>
      <w:r w:rsidRPr="00305171">
        <w:rPr>
          <w:i/>
          <w:sz w:val="22"/>
          <w:szCs w:val="22"/>
        </w:rPr>
        <w:t>Retāk</w:t>
      </w:r>
      <w:r w:rsidRPr="00305171">
        <w:rPr>
          <w:sz w:val="22"/>
          <w:szCs w:val="22"/>
        </w:rPr>
        <w:t xml:space="preserve"> (var rasties mazāk nekā 1 no 100 cilvēkiem):</w:t>
      </w:r>
    </w:p>
    <w:p w14:paraId="06867E5D" w14:textId="77777777" w:rsidR="00AC2B57" w:rsidRPr="00305171" w:rsidRDefault="00AC2B57" w:rsidP="00851AA8">
      <w:pPr>
        <w:numPr>
          <w:ilvl w:val="0"/>
          <w:numId w:val="14"/>
        </w:numPr>
        <w:rPr>
          <w:sz w:val="22"/>
          <w:szCs w:val="22"/>
        </w:rPr>
      </w:pPr>
      <w:r w:rsidRPr="00305171">
        <w:rPr>
          <w:sz w:val="22"/>
          <w:szCs w:val="22"/>
        </w:rPr>
        <w:t>kuņģa gļotādas iekaisums (gastrīts).</w:t>
      </w:r>
    </w:p>
    <w:p w14:paraId="70AA7685" w14:textId="77777777" w:rsidR="0070319F" w:rsidRPr="00305171" w:rsidRDefault="0070319F" w:rsidP="00C915C3">
      <w:pPr>
        <w:pStyle w:val="BodyText"/>
        <w:rPr>
          <w:b w:val="0"/>
          <w:sz w:val="22"/>
          <w:szCs w:val="22"/>
        </w:rPr>
      </w:pPr>
    </w:p>
    <w:p w14:paraId="5691CA1F" w14:textId="77777777" w:rsidR="00F20ABE" w:rsidRPr="00305171" w:rsidRDefault="000E1D00" w:rsidP="00B03229">
      <w:pPr>
        <w:jc w:val="both"/>
        <w:rPr>
          <w:sz w:val="22"/>
          <w:szCs w:val="22"/>
        </w:rPr>
      </w:pPr>
      <w:r w:rsidRPr="00305171">
        <w:rPr>
          <w:i/>
          <w:sz w:val="22"/>
          <w:szCs w:val="22"/>
        </w:rPr>
        <w:t>Reti</w:t>
      </w:r>
      <w:r w:rsidR="00F20ABE" w:rsidRPr="00305171">
        <w:rPr>
          <w:i/>
          <w:sz w:val="22"/>
          <w:szCs w:val="22"/>
        </w:rPr>
        <w:t xml:space="preserve"> </w:t>
      </w:r>
      <w:r w:rsidR="00F20ABE" w:rsidRPr="00305171">
        <w:rPr>
          <w:sz w:val="22"/>
          <w:szCs w:val="22"/>
        </w:rPr>
        <w:t>(var rasties mazāk nekā 1 no 1000 cilvēkiem)</w:t>
      </w:r>
      <w:r w:rsidR="00A30100" w:rsidRPr="00305171">
        <w:rPr>
          <w:sz w:val="22"/>
          <w:szCs w:val="22"/>
        </w:rPr>
        <w:t>:</w:t>
      </w:r>
    </w:p>
    <w:p w14:paraId="3203E034" w14:textId="77777777" w:rsidR="00637824" w:rsidRPr="00305171" w:rsidRDefault="00637824" w:rsidP="00637824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  <w:lang w:eastAsia="lv-LV"/>
        </w:rPr>
        <w:t xml:space="preserve">pagarināts asins tecēšanas laiks. </w:t>
      </w:r>
      <w:r w:rsidRPr="00305171">
        <w:rPr>
          <w:sz w:val="22"/>
          <w:szCs w:val="22"/>
        </w:rPr>
        <w:t>Pat mazas acetilsalicilskābes devas palielina asiņošanas risku. Zāļu lietošana</w:t>
      </w:r>
      <w:r w:rsidR="005A7274" w:rsidRPr="00305171">
        <w:rPr>
          <w:sz w:val="22"/>
          <w:szCs w:val="22"/>
        </w:rPr>
        <w:t xml:space="preserve"> var izraisīt ne tikai kuņģa</w:t>
      </w:r>
      <w:r w:rsidR="005A7274" w:rsidRPr="00305171">
        <w:rPr>
          <w:sz w:val="22"/>
          <w:szCs w:val="22"/>
        </w:rPr>
        <w:noBreakHyphen/>
      </w:r>
      <w:r w:rsidRPr="00305171">
        <w:rPr>
          <w:sz w:val="22"/>
          <w:szCs w:val="22"/>
        </w:rPr>
        <w:t>zarnu trakta asiņošanu, bet arī cita veida asiņošanu (piemēram, asiņošanu acs gļotādā)</w:t>
      </w:r>
      <w:r w:rsidR="001242D7" w:rsidRPr="00305171">
        <w:rPr>
          <w:sz w:val="22"/>
          <w:szCs w:val="22"/>
        </w:rPr>
        <w:t>;</w:t>
      </w:r>
    </w:p>
    <w:p w14:paraId="59BCF5AB" w14:textId="77777777" w:rsidR="001242D7" w:rsidRPr="00305171" w:rsidRDefault="001242D7" w:rsidP="001242D7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alerģiskas reakcijas (bronhospazma</w:t>
      </w:r>
      <w:r w:rsidR="005328F0" w:rsidRPr="00305171">
        <w:rPr>
          <w:sz w:val="22"/>
          <w:szCs w:val="22"/>
        </w:rPr>
        <w:t>s</w:t>
      </w:r>
      <w:r w:rsidRPr="00305171">
        <w:rPr>
          <w:sz w:val="22"/>
          <w:szCs w:val="22"/>
        </w:rPr>
        <w:t>, alerģiskas ādas reakcijas), tūska. Rodoties paaugstinātas jutības reakcijām, zāļu lietošana jāpārtrauc;</w:t>
      </w:r>
    </w:p>
    <w:p w14:paraId="4129859A" w14:textId="77777777" w:rsidR="001242D7" w:rsidRPr="00305171" w:rsidRDefault="00D13B13" w:rsidP="00637824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reibonis, apjukums;</w:t>
      </w:r>
    </w:p>
    <w:p w14:paraId="70F72EAC" w14:textId="77777777" w:rsidR="00B03229" w:rsidRPr="00305171" w:rsidRDefault="000E1D00" w:rsidP="00851AA8">
      <w:pPr>
        <w:numPr>
          <w:ilvl w:val="0"/>
          <w:numId w:val="14"/>
        </w:numPr>
        <w:jc w:val="both"/>
        <w:rPr>
          <w:sz w:val="22"/>
          <w:szCs w:val="22"/>
          <w:lang w:eastAsia="lv-LV"/>
        </w:rPr>
      </w:pPr>
      <w:r w:rsidRPr="00305171">
        <w:rPr>
          <w:sz w:val="22"/>
          <w:szCs w:val="22"/>
        </w:rPr>
        <w:t>kuņģa</w:t>
      </w:r>
      <w:r w:rsidR="00AC2B57" w:rsidRPr="00305171">
        <w:rPr>
          <w:sz w:val="22"/>
          <w:szCs w:val="22"/>
        </w:rPr>
        <w:noBreakHyphen/>
      </w:r>
      <w:r w:rsidR="00EB0329" w:rsidRPr="00305171">
        <w:rPr>
          <w:sz w:val="22"/>
          <w:szCs w:val="22"/>
        </w:rPr>
        <w:t xml:space="preserve">zarnu trakta iekaisums, </w:t>
      </w:r>
      <w:r w:rsidR="00D46F64" w:rsidRPr="00305171">
        <w:rPr>
          <w:sz w:val="22"/>
          <w:szCs w:val="22"/>
        </w:rPr>
        <w:t>audu bojājumi</w:t>
      </w:r>
      <w:r w:rsidR="00BB1D4E" w:rsidRPr="00305171">
        <w:rPr>
          <w:sz w:val="22"/>
          <w:szCs w:val="22"/>
        </w:rPr>
        <w:t xml:space="preserve">, </w:t>
      </w:r>
      <w:r w:rsidR="0079328A" w:rsidRPr="00305171">
        <w:rPr>
          <w:sz w:val="22"/>
          <w:szCs w:val="22"/>
        </w:rPr>
        <w:t>kuņģa čūla, kuņģa</w:t>
      </w:r>
      <w:r w:rsidR="00AC2B57" w:rsidRPr="00305171">
        <w:rPr>
          <w:sz w:val="22"/>
          <w:szCs w:val="22"/>
        </w:rPr>
        <w:noBreakHyphen/>
      </w:r>
      <w:r w:rsidR="0079328A" w:rsidRPr="00305171">
        <w:rPr>
          <w:sz w:val="22"/>
          <w:szCs w:val="22"/>
        </w:rPr>
        <w:t xml:space="preserve">zarnu trakta čūlu paasinājums, </w:t>
      </w:r>
      <w:r w:rsidR="00290F34" w:rsidRPr="00305171">
        <w:rPr>
          <w:sz w:val="22"/>
          <w:szCs w:val="22"/>
        </w:rPr>
        <w:t xml:space="preserve">perforācija, asiņošana no </w:t>
      </w:r>
      <w:r w:rsidR="00BB1D4E" w:rsidRPr="00305171">
        <w:rPr>
          <w:sz w:val="22"/>
          <w:szCs w:val="22"/>
        </w:rPr>
        <w:t>kuņģa</w:t>
      </w:r>
      <w:r w:rsidR="00AC2B57" w:rsidRPr="00305171">
        <w:rPr>
          <w:sz w:val="22"/>
          <w:szCs w:val="22"/>
        </w:rPr>
        <w:noBreakHyphen/>
      </w:r>
      <w:r w:rsidR="00BB1D4E" w:rsidRPr="00305171">
        <w:rPr>
          <w:sz w:val="22"/>
          <w:szCs w:val="22"/>
        </w:rPr>
        <w:t xml:space="preserve">zarnu </w:t>
      </w:r>
      <w:r w:rsidR="00B474E1" w:rsidRPr="00305171">
        <w:rPr>
          <w:sz w:val="22"/>
          <w:szCs w:val="22"/>
        </w:rPr>
        <w:t>trakta</w:t>
      </w:r>
      <w:r w:rsidR="00BB1D4E" w:rsidRPr="00305171">
        <w:rPr>
          <w:sz w:val="22"/>
          <w:szCs w:val="22"/>
        </w:rPr>
        <w:t>.</w:t>
      </w:r>
      <w:r w:rsidR="00CC3760" w:rsidRPr="00305171">
        <w:rPr>
          <w:sz w:val="22"/>
          <w:szCs w:val="22"/>
          <w:lang w:eastAsia="lv-LV"/>
        </w:rPr>
        <w:t xml:space="preserve"> Jo lielāka ir zāļu </w:t>
      </w:r>
      <w:r w:rsidR="003E470C" w:rsidRPr="00305171">
        <w:rPr>
          <w:sz w:val="22"/>
          <w:szCs w:val="22"/>
          <w:lang w:eastAsia="lv-LV"/>
        </w:rPr>
        <w:t xml:space="preserve">deva, jo </w:t>
      </w:r>
      <w:r w:rsidR="00CC3760" w:rsidRPr="00305171">
        <w:rPr>
          <w:sz w:val="22"/>
          <w:szCs w:val="22"/>
          <w:lang w:eastAsia="lv-LV"/>
        </w:rPr>
        <w:t>lielāks asiņošanas risks</w:t>
      </w:r>
      <w:r w:rsidR="00290F34" w:rsidRPr="00305171">
        <w:rPr>
          <w:sz w:val="22"/>
          <w:szCs w:val="22"/>
          <w:lang w:eastAsia="lv-LV"/>
        </w:rPr>
        <w:t>.</w:t>
      </w:r>
    </w:p>
    <w:p w14:paraId="55C6727F" w14:textId="77777777" w:rsidR="00D13B13" w:rsidRPr="00305171" w:rsidRDefault="00BD2C1C" w:rsidP="00851AA8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dzirdes traucējumi (troksnis ausīs, kas reti pāriet kurlumā)</w:t>
      </w:r>
      <w:r w:rsidR="00D13B13" w:rsidRPr="00305171">
        <w:rPr>
          <w:sz w:val="22"/>
          <w:szCs w:val="22"/>
        </w:rPr>
        <w:t>.</w:t>
      </w:r>
    </w:p>
    <w:p w14:paraId="39234F46" w14:textId="77777777" w:rsidR="00DE3C96" w:rsidRPr="00305171" w:rsidRDefault="00DE3C96" w:rsidP="00A30100">
      <w:pPr>
        <w:rPr>
          <w:sz w:val="22"/>
          <w:szCs w:val="22"/>
        </w:rPr>
      </w:pPr>
    </w:p>
    <w:p w14:paraId="1AA501CE" w14:textId="77777777" w:rsidR="00A30100" w:rsidRPr="00305171" w:rsidRDefault="00EB0329" w:rsidP="00A30100">
      <w:pPr>
        <w:rPr>
          <w:sz w:val="22"/>
          <w:szCs w:val="22"/>
        </w:rPr>
      </w:pPr>
      <w:r w:rsidRPr="00305171">
        <w:rPr>
          <w:i/>
          <w:sz w:val="22"/>
          <w:szCs w:val="22"/>
        </w:rPr>
        <w:t>Ļoti reti</w:t>
      </w:r>
      <w:r w:rsidRPr="00305171">
        <w:rPr>
          <w:sz w:val="22"/>
          <w:szCs w:val="22"/>
        </w:rPr>
        <w:t xml:space="preserve"> </w:t>
      </w:r>
      <w:r w:rsidR="00A30100" w:rsidRPr="00305171">
        <w:rPr>
          <w:sz w:val="22"/>
          <w:szCs w:val="22"/>
        </w:rPr>
        <w:t>(var rasties mazāk nekā 1 no 1000 cilvēkiem):</w:t>
      </w:r>
    </w:p>
    <w:p w14:paraId="4742F95A" w14:textId="77777777" w:rsidR="00D02C56" w:rsidRPr="00305171" w:rsidRDefault="00EB0329" w:rsidP="00851AA8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asinsrades traucējumi (</w:t>
      </w:r>
      <w:r w:rsidR="00B474E1" w:rsidRPr="00305171">
        <w:rPr>
          <w:sz w:val="22"/>
          <w:szCs w:val="22"/>
        </w:rPr>
        <w:t>asins plātnīšu skaita samazināšanās</w:t>
      </w:r>
      <w:r w:rsidRPr="00305171">
        <w:rPr>
          <w:sz w:val="22"/>
          <w:szCs w:val="22"/>
        </w:rPr>
        <w:t>), jo</w:t>
      </w:r>
      <w:r w:rsidR="00A30100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 xml:space="preserve">acetilsalicilskābe kavē </w:t>
      </w:r>
      <w:r w:rsidR="00B474E1" w:rsidRPr="00305171">
        <w:rPr>
          <w:sz w:val="22"/>
          <w:szCs w:val="22"/>
        </w:rPr>
        <w:t>asins plātnīšu</w:t>
      </w:r>
      <w:r w:rsidRPr="00305171">
        <w:rPr>
          <w:sz w:val="22"/>
          <w:szCs w:val="22"/>
        </w:rPr>
        <w:t xml:space="preserve"> </w:t>
      </w:r>
      <w:r w:rsidR="00E658D8" w:rsidRPr="00305171">
        <w:rPr>
          <w:sz w:val="22"/>
          <w:szCs w:val="22"/>
        </w:rPr>
        <w:t>salipšanu un noslāņošanos</w:t>
      </w:r>
      <w:r w:rsidRPr="00305171">
        <w:rPr>
          <w:sz w:val="22"/>
          <w:szCs w:val="22"/>
        </w:rPr>
        <w:t xml:space="preserve">. </w:t>
      </w:r>
      <w:r w:rsidR="00B61BAB" w:rsidRPr="00305171">
        <w:rPr>
          <w:sz w:val="22"/>
          <w:szCs w:val="22"/>
        </w:rPr>
        <w:t>Tie var izpausties kā</w:t>
      </w:r>
      <w:r w:rsidRPr="00305171">
        <w:rPr>
          <w:sz w:val="22"/>
          <w:szCs w:val="22"/>
        </w:rPr>
        <w:t xml:space="preserve"> nelieli asins izplūdumi ādā un gļotādā</w:t>
      </w:r>
      <w:r w:rsidR="00D02C56" w:rsidRPr="00305171">
        <w:rPr>
          <w:sz w:val="22"/>
          <w:szCs w:val="22"/>
        </w:rPr>
        <w:t>;</w:t>
      </w:r>
    </w:p>
    <w:p w14:paraId="6F64D067" w14:textId="77777777" w:rsidR="00834F5A" w:rsidRPr="00305171" w:rsidRDefault="00834F5A" w:rsidP="00851AA8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smagas ādas reakcijas ar čulgām un pūšļiem, arī Stīvensa–Džonsona sindroms un toksiskā </w:t>
      </w:r>
      <w:r w:rsidR="005328F0" w:rsidRPr="00305171">
        <w:rPr>
          <w:sz w:val="22"/>
          <w:szCs w:val="22"/>
        </w:rPr>
        <w:t xml:space="preserve">epidermas </w:t>
      </w:r>
      <w:r w:rsidRPr="00305171">
        <w:rPr>
          <w:sz w:val="22"/>
          <w:szCs w:val="22"/>
        </w:rPr>
        <w:t>nekrolīze</w:t>
      </w:r>
      <w:r w:rsidR="00DE3C96" w:rsidRPr="00305171">
        <w:rPr>
          <w:sz w:val="22"/>
          <w:szCs w:val="22"/>
        </w:rPr>
        <w:t xml:space="preserve"> (skatīt </w:t>
      </w:r>
      <w:r w:rsidR="00DE3C96" w:rsidRPr="00305171">
        <w:rPr>
          <w:i/>
          <w:sz w:val="22"/>
          <w:szCs w:val="22"/>
        </w:rPr>
        <w:t>Brīdinājumi un piesardzība lietošanā</w:t>
      </w:r>
      <w:r w:rsidR="00DE3C96" w:rsidRPr="00305171">
        <w:rPr>
          <w:sz w:val="22"/>
          <w:szCs w:val="22"/>
        </w:rPr>
        <w:t>).</w:t>
      </w:r>
    </w:p>
    <w:p w14:paraId="099BF00A" w14:textId="77777777" w:rsidR="00FF3ED4" w:rsidRPr="00305171" w:rsidRDefault="00FF3ED4" w:rsidP="00C915C3">
      <w:pPr>
        <w:jc w:val="both"/>
        <w:rPr>
          <w:sz w:val="22"/>
          <w:szCs w:val="22"/>
          <w:lang w:eastAsia="lv-LV"/>
        </w:rPr>
      </w:pPr>
    </w:p>
    <w:p w14:paraId="3E546369" w14:textId="77777777" w:rsidR="00A85ACA" w:rsidRPr="00305171" w:rsidRDefault="00A30100" w:rsidP="00C915C3">
      <w:pPr>
        <w:jc w:val="both"/>
        <w:rPr>
          <w:i/>
          <w:sz w:val="22"/>
          <w:szCs w:val="22"/>
        </w:rPr>
      </w:pPr>
      <w:r w:rsidRPr="00305171">
        <w:rPr>
          <w:i/>
          <w:sz w:val="22"/>
          <w:szCs w:val="22"/>
        </w:rPr>
        <w:t>N</w:t>
      </w:r>
      <w:r w:rsidR="00A85ACA" w:rsidRPr="00305171">
        <w:rPr>
          <w:i/>
          <w:sz w:val="22"/>
          <w:szCs w:val="22"/>
        </w:rPr>
        <w:t>av zinām</w:t>
      </w:r>
      <w:r w:rsidR="00107330" w:rsidRPr="00305171">
        <w:rPr>
          <w:i/>
          <w:sz w:val="22"/>
          <w:szCs w:val="22"/>
        </w:rPr>
        <w:t>i</w:t>
      </w:r>
      <w:r w:rsidRPr="00305171">
        <w:rPr>
          <w:i/>
          <w:sz w:val="22"/>
          <w:szCs w:val="22"/>
        </w:rPr>
        <w:t xml:space="preserve"> </w:t>
      </w:r>
      <w:r w:rsidR="008A0AD3" w:rsidRPr="00305171">
        <w:rPr>
          <w:sz w:val="22"/>
          <w:szCs w:val="22"/>
        </w:rPr>
        <w:t>(raš</w:t>
      </w:r>
      <w:r w:rsidRPr="00305171">
        <w:rPr>
          <w:sz w:val="22"/>
          <w:szCs w:val="22"/>
        </w:rPr>
        <w:t>anās biežumu nevar noteikt pēc pieejamajiem datiem):</w:t>
      </w:r>
    </w:p>
    <w:p w14:paraId="46767A54" w14:textId="77777777" w:rsidR="00EB0329" w:rsidRPr="00305171" w:rsidRDefault="001E6B9F" w:rsidP="00845A73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asinsreces traucējumi, </w:t>
      </w:r>
      <w:r w:rsidR="0056697A" w:rsidRPr="00305171">
        <w:rPr>
          <w:sz w:val="22"/>
          <w:szCs w:val="22"/>
        </w:rPr>
        <w:t>kam</w:t>
      </w:r>
      <w:r w:rsidRPr="00305171">
        <w:rPr>
          <w:sz w:val="22"/>
          <w:szCs w:val="22"/>
        </w:rPr>
        <w:t xml:space="preserve"> raksturīgi hroniski asins</w:t>
      </w:r>
      <w:r w:rsidR="00A60B7B" w:rsidRPr="00305171">
        <w:rPr>
          <w:sz w:val="22"/>
          <w:szCs w:val="22"/>
        </w:rPr>
        <w:t xml:space="preserve"> </w:t>
      </w:r>
      <w:r w:rsidRPr="00305171">
        <w:rPr>
          <w:sz w:val="22"/>
          <w:szCs w:val="22"/>
        </w:rPr>
        <w:t>izplūdumi ādā un gļotādā, kā arī pagarināts asins tecēšanas un asins recēšanas laiks</w:t>
      </w:r>
      <w:r w:rsidR="007B140A" w:rsidRPr="00305171">
        <w:rPr>
          <w:sz w:val="22"/>
          <w:szCs w:val="22"/>
        </w:rPr>
        <w:t xml:space="preserve"> (lietojot lielas devas)</w:t>
      </w:r>
      <w:r w:rsidR="001E0F9D" w:rsidRPr="00305171">
        <w:rPr>
          <w:sz w:val="22"/>
          <w:szCs w:val="22"/>
        </w:rPr>
        <w:t>;</w:t>
      </w:r>
    </w:p>
    <w:p w14:paraId="4A3FB16C" w14:textId="77777777" w:rsidR="0048263D" w:rsidRPr="00305171" w:rsidRDefault="0048263D" w:rsidP="00851AA8">
      <w:pPr>
        <w:numPr>
          <w:ilvl w:val="0"/>
          <w:numId w:val="14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aknu bojājumi (sk</w:t>
      </w:r>
      <w:r w:rsidR="001134A5" w:rsidRPr="00305171">
        <w:rPr>
          <w:sz w:val="22"/>
          <w:szCs w:val="22"/>
        </w:rPr>
        <w:t xml:space="preserve">atīt </w:t>
      </w:r>
      <w:r w:rsidR="001134A5" w:rsidRPr="00305171">
        <w:rPr>
          <w:i/>
          <w:sz w:val="22"/>
          <w:szCs w:val="22"/>
        </w:rPr>
        <w:t>Brīdinājumi un piesardzība lietošanā</w:t>
      </w:r>
      <w:r w:rsidRPr="00305171">
        <w:rPr>
          <w:sz w:val="22"/>
          <w:szCs w:val="22"/>
        </w:rPr>
        <w:t>).</w:t>
      </w:r>
    </w:p>
    <w:p w14:paraId="08864BF6" w14:textId="77777777" w:rsidR="00FF3ED4" w:rsidRPr="00305171" w:rsidRDefault="00FF3ED4" w:rsidP="00FF3ED4">
      <w:pPr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</w:p>
    <w:p w14:paraId="231CDA09" w14:textId="77777777" w:rsidR="001134A5" w:rsidRPr="00305171" w:rsidRDefault="00260DC8" w:rsidP="00845A73">
      <w:pPr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  <w:r w:rsidRPr="00305171">
        <w:rPr>
          <w:sz w:val="22"/>
          <w:szCs w:val="22"/>
          <w:lang w:eastAsia="lv-LV"/>
        </w:rPr>
        <w:t>Var rasties</w:t>
      </w:r>
      <w:r w:rsidR="00196700" w:rsidRPr="00305171">
        <w:rPr>
          <w:sz w:val="22"/>
          <w:szCs w:val="22"/>
          <w:lang w:eastAsia="lv-LV"/>
        </w:rPr>
        <w:t xml:space="preserve"> </w:t>
      </w:r>
      <w:r w:rsidR="001134A5" w:rsidRPr="00305171">
        <w:rPr>
          <w:sz w:val="22"/>
          <w:szCs w:val="22"/>
          <w:lang w:eastAsia="lv-LV"/>
        </w:rPr>
        <w:t>tūsk</w:t>
      </w:r>
      <w:r w:rsidR="00196700" w:rsidRPr="00305171">
        <w:rPr>
          <w:sz w:val="22"/>
          <w:szCs w:val="22"/>
          <w:lang w:eastAsia="lv-LV"/>
        </w:rPr>
        <w:t>a</w:t>
      </w:r>
      <w:r w:rsidR="001134A5" w:rsidRPr="00305171">
        <w:rPr>
          <w:sz w:val="22"/>
          <w:szCs w:val="22"/>
          <w:lang w:eastAsia="lv-LV"/>
        </w:rPr>
        <w:t xml:space="preserve">, </w:t>
      </w:r>
      <w:r w:rsidR="00196700" w:rsidRPr="00305171">
        <w:rPr>
          <w:sz w:val="22"/>
          <w:szCs w:val="22"/>
          <w:lang w:eastAsia="lv-LV"/>
        </w:rPr>
        <w:t xml:space="preserve">paaugstināts asinsspiediens </w:t>
      </w:r>
      <w:r w:rsidR="001134A5" w:rsidRPr="00305171">
        <w:rPr>
          <w:sz w:val="22"/>
          <w:szCs w:val="22"/>
          <w:lang w:eastAsia="lv-LV"/>
        </w:rPr>
        <w:t>un sirds mazspēj</w:t>
      </w:r>
      <w:r w:rsidR="00196700" w:rsidRPr="00305171">
        <w:rPr>
          <w:sz w:val="22"/>
          <w:szCs w:val="22"/>
          <w:lang w:eastAsia="lv-LV"/>
        </w:rPr>
        <w:t>a</w:t>
      </w:r>
      <w:r w:rsidR="001134A5" w:rsidRPr="00305171">
        <w:rPr>
          <w:sz w:val="22"/>
          <w:szCs w:val="22"/>
          <w:lang w:eastAsia="lv-LV"/>
        </w:rPr>
        <w:t>.</w:t>
      </w:r>
    </w:p>
    <w:p w14:paraId="24E5518E" w14:textId="77777777" w:rsidR="00AC2B57" w:rsidRPr="00305171" w:rsidRDefault="00AC2B57" w:rsidP="00E92A36">
      <w:pPr>
        <w:jc w:val="both"/>
        <w:rPr>
          <w:sz w:val="22"/>
          <w:szCs w:val="22"/>
        </w:rPr>
      </w:pPr>
    </w:p>
    <w:p w14:paraId="0C76769A" w14:textId="3E21C883" w:rsidR="005D5F01" w:rsidRPr="00305171" w:rsidRDefault="005D5F01" w:rsidP="005D5F01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ASA</w:t>
      </w:r>
      <w:r w:rsidRPr="00305171">
        <w:rPr>
          <w:sz w:val="22"/>
          <w:szCs w:val="22"/>
        </w:rPr>
        <w:noBreakHyphen/>
        <w:t xml:space="preserve">Grindeks </w:t>
      </w:r>
      <w:r w:rsidR="00F23CE5">
        <w:rPr>
          <w:sz w:val="22"/>
          <w:szCs w:val="22"/>
        </w:rPr>
        <w:t xml:space="preserve">lietošana </w:t>
      </w:r>
      <w:r w:rsidRPr="00305171">
        <w:rPr>
          <w:sz w:val="22"/>
          <w:szCs w:val="22"/>
        </w:rPr>
        <w:t>var būt saistīta ar nedaudz palielinātu sirdslēkmes (miokarda infarkta) vai galvas smadzeņu asinsrites traucējumu (insulta) risku.</w:t>
      </w:r>
    </w:p>
    <w:p w14:paraId="37B0A665" w14:textId="77777777" w:rsidR="00DD3DB7" w:rsidRPr="00305171" w:rsidRDefault="00DD3DB7" w:rsidP="00DB62D8">
      <w:pPr>
        <w:jc w:val="both"/>
        <w:rPr>
          <w:sz w:val="22"/>
          <w:szCs w:val="22"/>
        </w:rPr>
      </w:pPr>
    </w:p>
    <w:p w14:paraId="0EEC503A" w14:textId="77777777" w:rsidR="00DD3DB7" w:rsidRPr="00305171" w:rsidRDefault="00DD3DB7" w:rsidP="00DD3DB7">
      <w:pPr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  <w:r w:rsidRPr="00305171">
        <w:rPr>
          <w:sz w:val="22"/>
          <w:szCs w:val="22"/>
          <w:lang w:eastAsia="lv-LV"/>
        </w:rPr>
        <w:t>Ir ziņots par vēdera uzpūšanos, aizcietējumu, sāpēm vēderā, asinīm izkārnījumos, vemšanu ar asinīm, čūlainu mutes gļotādas iekaisumu, resnās zarnas iekaisumu vai Krona slimības paasinājumu.</w:t>
      </w:r>
    </w:p>
    <w:p w14:paraId="1ACE8B40" w14:textId="77777777" w:rsidR="005D5F01" w:rsidRPr="00305171" w:rsidRDefault="005D5F01" w:rsidP="00C915C3">
      <w:pPr>
        <w:jc w:val="both"/>
        <w:rPr>
          <w:sz w:val="22"/>
          <w:szCs w:val="22"/>
        </w:rPr>
      </w:pPr>
    </w:p>
    <w:p w14:paraId="00C0E95A" w14:textId="77777777" w:rsidR="00A30100" w:rsidRPr="00305171" w:rsidRDefault="00A30100" w:rsidP="00A30100">
      <w:pPr>
        <w:numPr>
          <w:ilvl w:val="12"/>
          <w:numId w:val="0"/>
        </w:numPr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Ziņošana par blakusparādībām</w:t>
      </w:r>
    </w:p>
    <w:p w14:paraId="03C4BFAC" w14:textId="77777777" w:rsidR="00A30100" w:rsidRPr="00305171" w:rsidRDefault="00A30100" w:rsidP="00305171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 </w:t>
      </w:r>
      <w:r w:rsidRPr="00305171">
        <w:rPr>
          <w:sz w:val="22"/>
          <w:szCs w:val="22"/>
          <w:lang w:eastAsia="zh-CN"/>
        </w:rPr>
        <w:t xml:space="preserve">Zāļu valsts aģentūrai, Jersikas ielā 15, Rīgā, LV 1003. Tīmekļa vietne: </w:t>
      </w:r>
      <w:r w:rsidR="005328F0" w:rsidRPr="00305171">
        <w:rPr>
          <w:sz w:val="22"/>
          <w:szCs w:val="22"/>
          <w:lang w:eastAsia="zh-CN"/>
        </w:rPr>
        <w:t>www.zva.gov.lv</w:t>
      </w:r>
      <w:r w:rsidR="007C03D3" w:rsidRPr="00305171">
        <w:rPr>
          <w:sz w:val="22"/>
          <w:szCs w:val="22"/>
          <w:lang w:eastAsia="zh-CN"/>
        </w:rPr>
        <w:t xml:space="preserve">. </w:t>
      </w:r>
      <w:r w:rsidRPr="00305171">
        <w:rPr>
          <w:sz w:val="22"/>
          <w:szCs w:val="22"/>
        </w:rPr>
        <w:t>Ziņojot par blakusparādībām, Jūs varat palīdzēt nodrošināt daudz plašāku informāciju par šo zāļu drošumu.</w:t>
      </w:r>
    </w:p>
    <w:p w14:paraId="2DF9CFC6" w14:textId="77777777" w:rsidR="00EB0329" w:rsidRPr="00305171" w:rsidRDefault="00EB0329" w:rsidP="00A30100">
      <w:pPr>
        <w:jc w:val="both"/>
        <w:rPr>
          <w:sz w:val="22"/>
          <w:szCs w:val="22"/>
        </w:rPr>
      </w:pPr>
    </w:p>
    <w:p w14:paraId="63A4BD4C" w14:textId="77777777" w:rsidR="00B87CC9" w:rsidRPr="00305171" w:rsidRDefault="00B87CC9" w:rsidP="00C915C3">
      <w:pPr>
        <w:jc w:val="both"/>
        <w:rPr>
          <w:sz w:val="22"/>
          <w:szCs w:val="22"/>
        </w:rPr>
      </w:pPr>
    </w:p>
    <w:p w14:paraId="41FEE969" w14:textId="77777777" w:rsidR="00EB0329" w:rsidRPr="00305171" w:rsidRDefault="007B4433" w:rsidP="00C915C3">
      <w:pPr>
        <w:pStyle w:val="BodyText1"/>
        <w:ind w:left="540" w:hanging="540"/>
        <w:jc w:val="both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305171">
        <w:rPr>
          <w:rFonts w:ascii="Times New Roman" w:hAnsi="Times New Roman"/>
          <w:b/>
          <w:color w:val="auto"/>
          <w:sz w:val="22"/>
          <w:szCs w:val="22"/>
          <w:lang w:val="lv-LV"/>
        </w:rPr>
        <w:t>5.</w:t>
      </w:r>
      <w:r w:rsidRPr="00305171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B87CC9" w:rsidRPr="00305171">
        <w:rPr>
          <w:rFonts w:ascii="Times New Roman" w:hAnsi="Times New Roman"/>
          <w:b/>
          <w:color w:val="auto"/>
          <w:sz w:val="22"/>
          <w:szCs w:val="22"/>
          <w:lang w:val="lv-LV"/>
        </w:rPr>
        <w:t>Kā uzglabāt ASA</w:t>
      </w:r>
      <w:r w:rsidR="00B87CC9" w:rsidRPr="00305171">
        <w:rPr>
          <w:rFonts w:ascii="Times New Roman" w:hAnsi="Times New Roman"/>
          <w:b/>
          <w:color w:val="auto"/>
          <w:sz w:val="22"/>
          <w:szCs w:val="22"/>
          <w:lang w:val="lv-LV"/>
        </w:rPr>
        <w:noBreakHyphen/>
        <w:t>Grindeks</w:t>
      </w:r>
    </w:p>
    <w:p w14:paraId="6B4D2660" w14:textId="77777777" w:rsidR="00EB0329" w:rsidRPr="00305171" w:rsidRDefault="00EB0329" w:rsidP="00C915C3">
      <w:pPr>
        <w:pStyle w:val="BodyText1"/>
        <w:ind w:firstLine="0"/>
        <w:jc w:val="both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09C62AC9" w14:textId="31162DEC" w:rsidR="00EB0329" w:rsidRPr="00305171" w:rsidRDefault="005955D5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U</w:t>
      </w:r>
      <w:r w:rsidR="008E13F8" w:rsidRPr="00305171">
        <w:rPr>
          <w:sz w:val="22"/>
          <w:szCs w:val="22"/>
        </w:rPr>
        <w:t xml:space="preserve">zglabāt temperatūrā līdz 25 °C. </w:t>
      </w:r>
      <w:r w:rsidR="008B1338" w:rsidRPr="008B1338">
        <w:rPr>
          <w:sz w:val="22"/>
          <w:szCs w:val="22"/>
        </w:rPr>
        <w:t>Uzglabāt oriģinālā iepakojumā</w:t>
      </w:r>
      <w:r w:rsidR="008B1338">
        <w:rPr>
          <w:sz w:val="22"/>
          <w:szCs w:val="22"/>
        </w:rPr>
        <w:t>, lai pas</w:t>
      </w:r>
      <w:r w:rsidR="00EB0329" w:rsidRPr="00305171">
        <w:rPr>
          <w:sz w:val="22"/>
          <w:szCs w:val="22"/>
        </w:rPr>
        <w:t>argāt</w:t>
      </w:r>
      <w:r w:rsidR="008B1338">
        <w:rPr>
          <w:sz w:val="22"/>
          <w:szCs w:val="22"/>
        </w:rPr>
        <w:t>u</w:t>
      </w:r>
      <w:r w:rsidRPr="00305171">
        <w:rPr>
          <w:sz w:val="22"/>
          <w:szCs w:val="22"/>
        </w:rPr>
        <w:t xml:space="preserve"> no mitruma.</w:t>
      </w:r>
    </w:p>
    <w:p w14:paraId="126428E1" w14:textId="77777777" w:rsidR="00896ACC" w:rsidRPr="00305171" w:rsidRDefault="00896ACC" w:rsidP="00C915C3">
      <w:pPr>
        <w:jc w:val="both"/>
        <w:rPr>
          <w:sz w:val="22"/>
          <w:szCs w:val="22"/>
        </w:rPr>
      </w:pPr>
    </w:p>
    <w:p w14:paraId="2780FAA2" w14:textId="77777777" w:rsidR="00EB0329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Uzglabāt bērniem </w:t>
      </w:r>
      <w:r w:rsidR="00896ACC" w:rsidRPr="00305171">
        <w:rPr>
          <w:sz w:val="22"/>
          <w:szCs w:val="22"/>
        </w:rPr>
        <w:t xml:space="preserve">neredzamā un </w:t>
      </w:r>
      <w:r w:rsidR="005955D5" w:rsidRPr="00305171">
        <w:rPr>
          <w:sz w:val="22"/>
          <w:szCs w:val="22"/>
        </w:rPr>
        <w:t>nepieejamā vietā.</w:t>
      </w:r>
    </w:p>
    <w:p w14:paraId="1A1BE9DA" w14:textId="77777777" w:rsidR="005955D5" w:rsidRPr="00305171" w:rsidRDefault="005955D5" w:rsidP="00C915C3">
      <w:pPr>
        <w:jc w:val="both"/>
        <w:rPr>
          <w:sz w:val="22"/>
          <w:szCs w:val="22"/>
        </w:rPr>
      </w:pPr>
    </w:p>
    <w:p w14:paraId="3BE7113C" w14:textId="77777777" w:rsidR="005955D5" w:rsidRPr="00305171" w:rsidRDefault="005955D5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Nelietot </w:t>
      </w:r>
      <w:r w:rsidR="00896ACC" w:rsidRPr="00305171">
        <w:rPr>
          <w:sz w:val="22"/>
          <w:szCs w:val="22"/>
        </w:rPr>
        <w:t>šīs zāles</w:t>
      </w:r>
      <w:r w:rsidRPr="00305171">
        <w:rPr>
          <w:sz w:val="22"/>
          <w:szCs w:val="22"/>
        </w:rPr>
        <w:t xml:space="preserve"> pēc derīguma termiņa beigām, kas norādīts uz </w:t>
      </w:r>
      <w:r w:rsidR="00171F1C" w:rsidRPr="00305171">
        <w:rPr>
          <w:sz w:val="22"/>
          <w:szCs w:val="22"/>
        </w:rPr>
        <w:t>kastītes pēc „Derīgs līdz”.</w:t>
      </w:r>
      <w:r w:rsidRPr="00305171">
        <w:rPr>
          <w:sz w:val="22"/>
          <w:szCs w:val="22"/>
        </w:rPr>
        <w:t xml:space="preserve"> Derīguma termiņš attiecas uz norādītā mēneša pēdējo dienu.</w:t>
      </w:r>
    </w:p>
    <w:p w14:paraId="2A8CF7C0" w14:textId="77777777" w:rsidR="005955D5" w:rsidRPr="00305171" w:rsidRDefault="005955D5" w:rsidP="00171F1C">
      <w:pPr>
        <w:jc w:val="both"/>
        <w:rPr>
          <w:sz w:val="22"/>
          <w:szCs w:val="22"/>
        </w:rPr>
      </w:pPr>
    </w:p>
    <w:p w14:paraId="7D094921" w14:textId="77777777" w:rsidR="00171F1C" w:rsidRPr="00305171" w:rsidRDefault="00171F1C" w:rsidP="004A2294">
      <w:pPr>
        <w:numPr>
          <w:ilvl w:val="12"/>
          <w:numId w:val="0"/>
        </w:num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Neizmetiet zāles kanalizācijā vai sadzīves atkritumos. Vaicājiet farmaceitam, kā izmest zāles, kuras vairs nelietojat. Šie pasākumi palīdzēs aizsargāt apkārtējo vidi.</w:t>
      </w:r>
    </w:p>
    <w:p w14:paraId="684762A8" w14:textId="77777777" w:rsidR="003D7B3D" w:rsidRPr="00305171" w:rsidRDefault="003D7B3D" w:rsidP="00C915C3">
      <w:pPr>
        <w:jc w:val="both"/>
        <w:rPr>
          <w:sz w:val="22"/>
          <w:szCs w:val="22"/>
        </w:rPr>
      </w:pPr>
    </w:p>
    <w:p w14:paraId="15A0C7FC" w14:textId="77777777" w:rsidR="00067E0D" w:rsidRPr="00305171" w:rsidRDefault="00067E0D" w:rsidP="00107330">
      <w:pPr>
        <w:jc w:val="both"/>
        <w:rPr>
          <w:sz w:val="22"/>
          <w:szCs w:val="22"/>
        </w:rPr>
      </w:pPr>
    </w:p>
    <w:p w14:paraId="5424D92D" w14:textId="77777777" w:rsidR="00EB0329" w:rsidRPr="00305171" w:rsidRDefault="005955D5" w:rsidP="00107330">
      <w:pPr>
        <w:jc w:val="both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6.</w:t>
      </w:r>
      <w:r w:rsidRPr="00305171">
        <w:rPr>
          <w:b/>
          <w:sz w:val="22"/>
          <w:szCs w:val="22"/>
        </w:rPr>
        <w:tab/>
      </w:r>
      <w:r w:rsidR="00B87CC9" w:rsidRPr="00305171">
        <w:rPr>
          <w:b/>
          <w:sz w:val="22"/>
          <w:szCs w:val="22"/>
        </w:rPr>
        <w:t>Iepakojuma saturs un cita informācija</w:t>
      </w:r>
    </w:p>
    <w:p w14:paraId="24AC69E4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056721CE" w14:textId="77777777" w:rsidR="00181208" w:rsidRPr="00305171" w:rsidRDefault="00B87CC9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Ko ASA</w:t>
      </w:r>
      <w:r w:rsidRPr="00305171">
        <w:rPr>
          <w:b/>
          <w:sz w:val="22"/>
          <w:szCs w:val="22"/>
        </w:rPr>
        <w:noBreakHyphen/>
      </w:r>
      <w:r w:rsidR="00181208" w:rsidRPr="00305171">
        <w:rPr>
          <w:b/>
          <w:sz w:val="22"/>
          <w:szCs w:val="22"/>
        </w:rPr>
        <w:t>Grindeks satur</w:t>
      </w:r>
    </w:p>
    <w:p w14:paraId="704B149D" w14:textId="5344F39C" w:rsidR="00EB0329" w:rsidRPr="00305171" w:rsidRDefault="00181208" w:rsidP="00DB31CB">
      <w:pPr>
        <w:ind w:left="540" w:hanging="540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-</w:t>
      </w:r>
      <w:r w:rsidRPr="00305171">
        <w:rPr>
          <w:sz w:val="22"/>
          <w:szCs w:val="22"/>
        </w:rPr>
        <w:tab/>
      </w:r>
      <w:r w:rsidR="00EB0329" w:rsidRPr="00305171">
        <w:rPr>
          <w:sz w:val="22"/>
          <w:szCs w:val="22"/>
        </w:rPr>
        <w:t>Aktīvā viela ir acetilsalicilskābe</w:t>
      </w:r>
      <w:r w:rsidR="003D51E4">
        <w:rPr>
          <w:sz w:val="22"/>
          <w:szCs w:val="22"/>
        </w:rPr>
        <w:t>. Katra</w:t>
      </w:r>
      <w:r w:rsidR="00B87CC9" w:rsidRPr="00305171">
        <w:rPr>
          <w:sz w:val="22"/>
          <w:szCs w:val="22"/>
        </w:rPr>
        <w:t xml:space="preserve"> tablete satur 500 </w:t>
      </w:r>
      <w:r w:rsidR="00EB0329" w:rsidRPr="00305171">
        <w:rPr>
          <w:sz w:val="22"/>
          <w:szCs w:val="22"/>
        </w:rPr>
        <w:t>mg acetilsalicilskābes.</w:t>
      </w:r>
    </w:p>
    <w:p w14:paraId="6638CAA2" w14:textId="174298AB" w:rsidR="00EB0329" w:rsidRPr="00305171" w:rsidRDefault="00181208" w:rsidP="00C915C3">
      <w:pPr>
        <w:ind w:left="540" w:hanging="540"/>
        <w:jc w:val="both"/>
        <w:rPr>
          <w:sz w:val="22"/>
          <w:szCs w:val="22"/>
        </w:rPr>
      </w:pPr>
      <w:r w:rsidRPr="00305171">
        <w:rPr>
          <w:sz w:val="22"/>
          <w:szCs w:val="22"/>
        </w:rPr>
        <w:t>-</w:t>
      </w:r>
      <w:r w:rsidRPr="00305171">
        <w:rPr>
          <w:sz w:val="22"/>
          <w:szCs w:val="22"/>
        </w:rPr>
        <w:tab/>
        <w:t xml:space="preserve">Citas sastāvdaļas ir </w:t>
      </w:r>
      <w:r w:rsidR="00EB0329" w:rsidRPr="00305171">
        <w:rPr>
          <w:sz w:val="22"/>
          <w:szCs w:val="22"/>
        </w:rPr>
        <w:t xml:space="preserve">kartupeļu ciete, </w:t>
      </w:r>
      <w:proofErr w:type="spellStart"/>
      <w:r w:rsidR="00EB0329" w:rsidRPr="00305171">
        <w:rPr>
          <w:sz w:val="22"/>
          <w:szCs w:val="22"/>
        </w:rPr>
        <w:t>mikrokristāliskā</w:t>
      </w:r>
      <w:proofErr w:type="spellEnd"/>
      <w:r w:rsidR="00EB0329" w:rsidRPr="00305171">
        <w:rPr>
          <w:sz w:val="22"/>
          <w:szCs w:val="22"/>
        </w:rPr>
        <w:t xml:space="preserve"> celuloze, talks, citronskābe</w:t>
      </w:r>
      <w:r w:rsidR="004C3D2F" w:rsidRPr="00305171">
        <w:rPr>
          <w:sz w:val="22"/>
          <w:szCs w:val="22"/>
        </w:rPr>
        <w:t>s monohidrāts</w:t>
      </w:r>
      <w:r w:rsidR="007A2275" w:rsidRPr="00305171">
        <w:rPr>
          <w:sz w:val="22"/>
          <w:szCs w:val="22"/>
        </w:rPr>
        <w:t>.</w:t>
      </w:r>
    </w:p>
    <w:p w14:paraId="2BC28B02" w14:textId="77777777" w:rsidR="00EB0329" w:rsidRPr="00305171" w:rsidRDefault="00EB0329" w:rsidP="00C915C3">
      <w:pPr>
        <w:jc w:val="both"/>
        <w:rPr>
          <w:sz w:val="22"/>
          <w:szCs w:val="22"/>
        </w:rPr>
      </w:pPr>
    </w:p>
    <w:p w14:paraId="615BA39E" w14:textId="77777777" w:rsidR="00EB0329" w:rsidRPr="00305171" w:rsidRDefault="00B87CC9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ASA</w:t>
      </w:r>
      <w:r w:rsidRPr="00305171">
        <w:rPr>
          <w:b/>
          <w:sz w:val="22"/>
          <w:szCs w:val="22"/>
        </w:rPr>
        <w:noBreakHyphen/>
      </w:r>
      <w:r w:rsidR="00181208" w:rsidRPr="00305171">
        <w:rPr>
          <w:b/>
          <w:sz w:val="22"/>
          <w:szCs w:val="22"/>
        </w:rPr>
        <w:t>Grindeks ā</w:t>
      </w:r>
      <w:r w:rsidR="00EB0329" w:rsidRPr="00305171">
        <w:rPr>
          <w:b/>
          <w:sz w:val="22"/>
          <w:szCs w:val="22"/>
        </w:rPr>
        <w:t>rējais izskats</w:t>
      </w:r>
      <w:r w:rsidR="00EB0329" w:rsidRPr="00305171">
        <w:rPr>
          <w:b/>
          <w:caps/>
          <w:sz w:val="22"/>
          <w:szCs w:val="22"/>
        </w:rPr>
        <w:t xml:space="preserve"> </w:t>
      </w:r>
      <w:r w:rsidR="005955D5" w:rsidRPr="00305171">
        <w:rPr>
          <w:b/>
          <w:sz w:val="22"/>
          <w:szCs w:val="22"/>
        </w:rPr>
        <w:t>un iepakojums</w:t>
      </w:r>
    </w:p>
    <w:p w14:paraId="13A0C0B7" w14:textId="1DBDE9D1" w:rsidR="00677460" w:rsidRPr="00305171" w:rsidRDefault="00EB032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Baltas, pieļaujams </w:t>
      </w:r>
      <w:proofErr w:type="spellStart"/>
      <w:r w:rsidRPr="00305171">
        <w:rPr>
          <w:sz w:val="22"/>
          <w:szCs w:val="22"/>
        </w:rPr>
        <w:t>marmorveida</w:t>
      </w:r>
      <w:proofErr w:type="spellEnd"/>
      <w:r w:rsidRPr="00305171">
        <w:rPr>
          <w:sz w:val="22"/>
          <w:szCs w:val="22"/>
        </w:rPr>
        <w:t xml:space="preserve"> ēnojums, apaļas tabletes</w:t>
      </w:r>
      <w:r w:rsidR="00B87CC9" w:rsidRPr="00305171">
        <w:rPr>
          <w:sz w:val="22"/>
          <w:szCs w:val="22"/>
        </w:rPr>
        <w:t xml:space="preserve"> ar plakanām</w:t>
      </w:r>
      <w:r w:rsidR="00207CA5" w:rsidRPr="00305171">
        <w:rPr>
          <w:sz w:val="22"/>
          <w:szCs w:val="22"/>
        </w:rPr>
        <w:t>,</w:t>
      </w:r>
      <w:r w:rsidR="00B87CC9" w:rsidRPr="00305171">
        <w:rPr>
          <w:sz w:val="22"/>
          <w:szCs w:val="22"/>
        </w:rPr>
        <w:t xml:space="preserve"> gludām virsmām, ar </w:t>
      </w:r>
      <w:r w:rsidRPr="00305171">
        <w:rPr>
          <w:sz w:val="22"/>
          <w:szCs w:val="22"/>
        </w:rPr>
        <w:t xml:space="preserve">noslīpinātām šķautnēm un </w:t>
      </w:r>
      <w:r w:rsidR="00EB38DD" w:rsidRPr="00305171">
        <w:rPr>
          <w:sz w:val="22"/>
          <w:szCs w:val="22"/>
        </w:rPr>
        <w:t xml:space="preserve">dalījuma līniju </w:t>
      </w:r>
      <w:r w:rsidRPr="00305171">
        <w:rPr>
          <w:sz w:val="22"/>
          <w:szCs w:val="22"/>
        </w:rPr>
        <w:t xml:space="preserve">vienā pusē. </w:t>
      </w:r>
    </w:p>
    <w:p w14:paraId="190DD791" w14:textId="77777777" w:rsidR="00372AE6" w:rsidRPr="00305171" w:rsidRDefault="00372AE6" w:rsidP="00C915C3">
      <w:pPr>
        <w:jc w:val="both"/>
        <w:rPr>
          <w:sz w:val="22"/>
          <w:szCs w:val="22"/>
        </w:rPr>
      </w:pPr>
    </w:p>
    <w:p w14:paraId="43139A29" w14:textId="19BFB4BF" w:rsidR="003C78C8" w:rsidRPr="00305171" w:rsidRDefault="003C78C8" w:rsidP="003C78C8">
      <w:pPr>
        <w:rPr>
          <w:sz w:val="22"/>
          <w:szCs w:val="22"/>
        </w:rPr>
      </w:pPr>
      <w:r w:rsidRPr="00305171">
        <w:rPr>
          <w:sz w:val="22"/>
          <w:szCs w:val="22"/>
        </w:rPr>
        <w:t xml:space="preserve">Iepakojumā pa 10, 20 vai 50 tabletēm (10 tabletes vienā PVH/Al </w:t>
      </w:r>
      <w:proofErr w:type="spellStart"/>
      <w:r w:rsidRPr="00305171">
        <w:rPr>
          <w:sz w:val="22"/>
          <w:szCs w:val="22"/>
        </w:rPr>
        <w:t>blisterī</w:t>
      </w:r>
      <w:proofErr w:type="spellEnd"/>
      <w:r w:rsidRPr="00305171">
        <w:rPr>
          <w:sz w:val="22"/>
          <w:szCs w:val="22"/>
        </w:rPr>
        <w:t>).</w:t>
      </w:r>
    </w:p>
    <w:p w14:paraId="620DF17B" w14:textId="77777777" w:rsidR="003C78C8" w:rsidRPr="00305171" w:rsidRDefault="003C78C8" w:rsidP="003C78C8">
      <w:pPr>
        <w:rPr>
          <w:sz w:val="22"/>
          <w:szCs w:val="22"/>
        </w:rPr>
      </w:pPr>
      <w:r w:rsidRPr="00305171">
        <w:rPr>
          <w:sz w:val="22"/>
          <w:szCs w:val="22"/>
        </w:rPr>
        <w:t>1, 2 vai 5 </w:t>
      </w:r>
      <w:proofErr w:type="spellStart"/>
      <w:r w:rsidRPr="00305171">
        <w:rPr>
          <w:sz w:val="22"/>
          <w:szCs w:val="22"/>
        </w:rPr>
        <w:t>blisteri</w:t>
      </w:r>
      <w:proofErr w:type="spellEnd"/>
      <w:r w:rsidRPr="00305171">
        <w:rPr>
          <w:sz w:val="22"/>
          <w:szCs w:val="22"/>
        </w:rPr>
        <w:t xml:space="preserve"> kartona kastītē.</w:t>
      </w:r>
    </w:p>
    <w:p w14:paraId="4BF5ECAD" w14:textId="77777777" w:rsidR="003C78C8" w:rsidRPr="00305171" w:rsidRDefault="003C78C8" w:rsidP="003C78C8">
      <w:pPr>
        <w:rPr>
          <w:sz w:val="22"/>
          <w:szCs w:val="22"/>
        </w:rPr>
      </w:pPr>
    </w:p>
    <w:p w14:paraId="34857F64" w14:textId="77777777" w:rsidR="00EB0329" w:rsidRPr="00305171" w:rsidRDefault="00181208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Visi iepakojuma lielumi tirgū var nebūt pieejami.</w:t>
      </w:r>
    </w:p>
    <w:p w14:paraId="0074F14E" w14:textId="77777777" w:rsidR="00907083" w:rsidRPr="00305171" w:rsidRDefault="00907083" w:rsidP="00C915C3">
      <w:pPr>
        <w:jc w:val="both"/>
        <w:rPr>
          <w:sz w:val="22"/>
          <w:szCs w:val="22"/>
        </w:rPr>
      </w:pPr>
    </w:p>
    <w:p w14:paraId="2159E5E0" w14:textId="77777777" w:rsidR="00EB0329" w:rsidRPr="00305171" w:rsidRDefault="00EB0329" w:rsidP="00C915C3">
      <w:pPr>
        <w:jc w:val="both"/>
        <w:outlineLvl w:val="0"/>
        <w:rPr>
          <w:b/>
          <w:sz w:val="22"/>
          <w:szCs w:val="22"/>
        </w:rPr>
      </w:pPr>
      <w:r w:rsidRPr="00305171">
        <w:rPr>
          <w:b/>
          <w:sz w:val="22"/>
          <w:szCs w:val="22"/>
        </w:rPr>
        <w:t>Reģistrācijas apliecības īpašnieks un ražotājs</w:t>
      </w:r>
    </w:p>
    <w:p w14:paraId="10D4801F" w14:textId="77777777" w:rsidR="005955D5" w:rsidRPr="00305171" w:rsidRDefault="005955D5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AS GRINDEKS.</w:t>
      </w:r>
    </w:p>
    <w:p w14:paraId="4343D7A7" w14:textId="77777777" w:rsidR="005955D5" w:rsidRPr="00305171" w:rsidRDefault="00B87CC9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Krustpils iela 53, Rīga, LV</w:t>
      </w:r>
      <w:r w:rsidRPr="00305171">
        <w:rPr>
          <w:sz w:val="22"/>
          <w:szCs w:val="22"/>
        </w:rPr>
        <w:noBreakHyphen/>
      </w:r>
      <w:r w:rsidR="005955D5" w:rsidRPr="00305171">
        <w:rPr>
          <w:sz w:val="22"/>
          <w:szCs w:val="22"/>
        </w:rPr>
        <w:t>1057, Latvija</w:t>
      </w:r>
    </w:p>
    <w:p w14:paraId="1CB4EE36" w14:textId="77777777" w:rsidR="005955D5" w:rsidRPr="00305171" w:rsidRDefault="005955D5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>Tālr</w:t>
      </w:r>
      <w:r w:rsidR="00B87CC9" w:rsidRPr="00305171">
        <w:rPr>
          <w:sz w:val="22"/>
          <w:szCs w:val="22"/>
        </w:rPr>
        <w:t>.</w:t>
      </w:r>
      <w:r w:rsidRPr="00305171">
        <w:rPr>
          <w:sz w:val="22"/>
          <w:szCs w:val="22"/>
        </w:rPr>
        <w:t xml:space="preserve">: </w:t>
      </w:r>
      <w:r w:rsidR="001E5E8D" w:rsidRPr="00305171">
        <w:rPr>
          <w:sz w:val="22"/>
          <w:szCs w:val="22"/>
        </w:rPr>
        <w:t>+371 </w:t>
      </w:r>
      <w:r w:rsidRPr="00305171">
        <w:rPr>
          <w:sz w:val="22"/>
          <w:szCs w:val="22"/>
        </w:rPr>
        <w:t>67083205</w:t>
      </w:r>
    </w:p>
    <w:p w14:paraId="642342D0" w14:textId="77777777" w:rsidR="005955D5" w:rsidRPr="00305171" w:rsidRDefault="005955D5" w:rsidP="00C915C3">
      <w:pPr>
        <w:jc w:val="both"/>
        <w:rPr>
          <w:sz w:val="22"/>
          <w:szCs w:val="22"/>
        </w:rPr>
      </w:pPr>
      <w:r w:rsidRPr="00305171">
        <w:rPr>
          <w:sz w:val="22"/>
          <w:szCs w:val="22"/>
        </w:rPr>
        <w:t xml:space="preserve">Fakss: </w:t>
      </w:r>
      <w:r w:rsidR="001E5E8D" w:rsidRPr="00305171">
        <w:rPr>
          <w:sz w:val="22"/>
          <w:szCs w:val="22"/>
        </w:rPr>
        <w:t>+371 </w:t>
      </w:r>
      <w:r w:rsidRPr="00305171">
        <w:rPr>
          <w:sz w:val="22"/>
          <w:szCs w:val="22"/>
        </w:rPr>
        <w:t>67083505</w:t>
      </w:r>
    </w:p>
    <w:p w14:paraId="37C7246B" w14:textId="77777777" w:rsidR="005955D5" w:rsidRPr="00305171" w:rsidRDefault="00B87CC9" w:rsidP="00C915C3">
      <w:pPr>
        <w:jc w:val="both"/>
        <w:rPr>
          <w:kern w:val="16"/>
          <w:sz w:val="22"/>
          <w:szCs w:val="22"/>
        </w:rPr>
      </w:pPr>
      <w:r w:rsidRPr="00305171">
        <w:rPr>
          <w:kern w:val="16"/>
          <w:sz w:val="22"/>
          <w:szCs w:val="22"/>
        </w:rPr>
        <w:t>E</w:t>
      </w:r>
      <w:r w:rsidRPr="00305171">
        <w:rPr>
          <w:kern w:val="16"/>
          <w:sz w:val="22"/>
          <w:szCs w:val="22"/>
        </w:rPr>
        <w:noBreakHyphen/>
      </w:r>
      <w:r w:rsidR="00DC2DC7" w:rsidRPr="00305171">
        <w:rPr>
          <w:kern w:val="16"/>
          <w:sz w:val="22"/>
          <w:szCs w:val="22"/>
        </w:rPr>
        <w:t>pasts</w:t>
      </w:r>
      <w:r w:rsidR="005955D5" w:rsidRPr="00305171">
        <w:rPr>
          <w:kern w:val="16"/>
          <w:sz w:val="22"/>
          <w:szCs w:val="22"/>
        </w:rPr>
        <w:t xml:space="preserve">: </w:t>
      </w:r>
      <w:hyperlink r:id="rId7" w:history="1">
        <w:r w:rsidR="005955D5" w:rsidRPr="00305171">
          <w:rPr>
            <w:rStyle w:val="Hyperlink"/>
            <w:color w:val="auto"/>
            <w:sz w:val="22"/>
            <w:szCs w:val="22"/>
            <w:u w:val="none"/>
          </w:rPr>
          <w:t>grindeks@grindeks.lv</w:t>
        </w:r>
      </w:hyperlink>
    </w:p>
    <w:p w14:paraId="6DCCE433" w14:textId="77777777" w:rsidR="00B23811" w:rsidRPr="00305171" w:rsidRDefault="00B23811" w:rsidP="00C915C3">
      <w:pPr>
        <w:jc w:val="both"/>
        <w:rPr>
          <w:sz w:val="22"/>
          <w:szCs w:val="22"/>
        </w:rPr>
      </w:pPr>
    </w:p>
    <w:p w14:paraId="17C074DB" w14:textId="77777777" w:rsidR="005955D5" w:rsidRPr="00305171" w:rsidRDefault="005955D5" w:rsidP="00C915C3">
      <w:pPr>
        <w:jc w:val="both"/>
        <w:rPr>
          <w:sz w:val="22"/>
          <w:szCs w:val="22"/>
        </w:rPr>
      </w:pPr>
    </w:p>
    <w:p w14:paraId="4D4FBAF1" w14:textId="45322851" w:rsidR="005955D5" w:rsidRPr="00305171" w:rsidRDefault="00EB0329" w:rsidP="006969D4">
      <w:pPr>
        <w:jc w:val="both"/>
        <w:outlineLvl w:val="0"/>
        <w:rPr>
          <w:sz w:val="22"/>
          <w:szCs w:val="22"/>
        </w:rPr>
      </w:pPr>
      <w:r w:rsidRPr="00305171">
        <w:rPr>
          <w:b/>
          <w:sz w:val="22"/>
          <w:szCs w:val="22"/>
        </w:rPr>
        <w:t>Šī li</w:t>
      </w:r>
      <w:r w:rsidR="005955D5" w:rsidRPr="00305171">
        <w:rPr>
          <w:b/>
          <w:sz w:val="22"/>
          <w:szCs w:val="22"/>
        </w:rPr>
        <w:t xml:space="preserve">etošanas </w:t>
      </w:r>
      <w:smartTag w:uri="schemas-tilde-lv/tildestengine" w:element="veidnes">
        <w:smartTagPr>
          <w:attr w:name="text" w:val="INSTRUKCIJA"/>
          <w:attr w:name="baseform" w:val="INSTRUKCIJA"/>
          <w:attr w:name="id" w:val="-1"/>
        </w:smartTagPr>
        <w:r w:rsidR="005955D5" w:rsidRPr="00305171">
          <w:rPr>
            <w:b/>
            <w:sz w:val="22"/>
            <w:szCs w:val="22"/>
          </w:rPr>
          <w:t>instrukcija</w:t>
        </w:r>
      </w:smartTag>
      <w:r w:rsidR="005955D5" w:rsidRPr="00305171">
        <w:rPr>
          <w:b/>
          <w:sz w:val="22"/>
          <w:szCs w:val="22"/>
        </w:rPr>
        <w:t xml:space="preserve"> </w:t>
      </w:r>
      <w:r w:rsidR="00B87CC9" w:rsidRPr="00305171">
        <w:rPr>
          <w:b/>
          <w:sz w:val="22"/>
          <w:szCs w:val="22"/>
        </w:rPr>
        <w:t>pēdējo reizi pārskatīta</w:t>
      </w:r>
      <w:r w:rsidR="005955D5" w:rsidRPr="00305171">
        <w:rPr>
          <w:b/>
          <w:sz w:val="22"/>
          <w:szCs w:val="22"/>
        </w:rPr>
        <w:t xml:space="preserve"> </w:t>
      </w:r>
      <w:r w:rsidR="001E5E8D" w:rsidRPr="00305171">
        <w:rPr>
          <w:b/>
          <w:sz w:val="22"/>
          <w:szCs w:val="22"/>
        </w:rPr>
        <w:t>0</w:t>
      </w:r>
      <w:r w:rsidR="00415684">
        <w:rPr>
          <w:b/>
          <w:sz w:val="22"/>
          <w:szCs w:val="22"/>
        </w:rPr>
        <w:t>2</w:t>
      </w:r>
      <w:r w:rsidR="00B87CC9" w:rsidRPr="00305171">
        <w:rPr>
          <w:b/>
          <w:sz w:val="22"/>
          <w:szCs w:val="22"/>
        </w:rPr>
        <w:t>/20</w:t>
      </w:r>
      <w:r w:rsidR="001E5E8D" w:rsidRPr="00305171">
        <w:rPr>
          <w:b/>
          <w:sz w:val="22"/>
          <w:szCs w:val="22"/>
        </w:rPr>
        <w:t>20</w:t>
      </w:r>
    </w:p>
    <w:sectPr w:rsidR="005955D5" w:rsidRPr="00305171" w:rsidSect="00E20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FC5D0" w16cid:durableId="21EEB2C1"/>
  <w16cid:commentId w16cid:paraId="771DDA5B" w16cid:durableId="21EF9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9EA8" w14:textId="77777777" w:rsidR="000E5D55" w:rsidRDefault="000E5D55">
      <w:r>
        <w:separator/>
      </w:r>
    </w:p>
  </w:endnote>
  <w:endnote w:type="continuationSeparator" w:id="0">
    <w:p w14:paraId="1BAC1A5E" w14:textId="77777777" w:rsidR="000E5D55" w:rsidRDefault="000E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ussian">
    <w:altName w:val="Latvju Raksti B T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5021" w14:textId="77777777" w:rsidR="00E207AD" w:rsidRDefault="00E20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BE0E" w14:textId="77777777" w:rsidR="00E207AD" w:rsidRDefault="00E20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A2B5" w14:textId="77777777" w:rsidR="00E207AD" w:rsidRDefault="00E20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FF3B" w14:textId="77777777" w:rsidR="000E5D55" w:rsidRDefault="000E5D55">
      <w:r>
        <w:separator/>
      </w:r>
    </w:p>
  </w:footnote>
  <w:footnote w:type="continuationSeparator" w:id="0">
    <w:p w14:paraId="57FE3F1D" w14:textId="77777777" w:rsidR="000E5D55" w:rsidRDefault="000E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8152" w14:textId="77777777" w:rsidR="00107330" w:rsidRDefault="00107330" w:rsidP="00746D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3BF3F9F6" w14:textId="77777777" w:rsidR="00107330" w:rsidRDefault="001073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7689" w14:textId="77777777" w:rsidR="00E207AD" w:rsidRDefault="00E207AD" w:rsidP="00E207AD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SASKAŅOTS ZVA 20-02-2020 </w:t>
    </w:r>
  </w:p>
  <w:p w14:paraId="53841804" w14:textId="77777777" w:rsidR="00107330" w:rsidRPr="004D143F" w:rsidRDefault="00107330" w:rsidP="00A149F5">
    <w:pPr>
      <w:pStyle w:val="Header"/>
      <w:ind w:right="360"/>
      <w:jc w:val="right"/>
      <w:rPr>
        <w:rFonts w:ascii="Times New Roman" w:hAnsi="Times New Roman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B94C" w14:textId="77777777" w:rsidR="00A149F5" w:rsidRDefault="00A14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456C5"/>
    <w:multiLevelType w:val="hybridMultilevel"/>
    <w:tmpl w:val="01A4360E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DAF"/>
    <w:multiLevelType w:val="hybridMultilevel"/>
    <w:tmpl w:val="0A56EDEC"/>
    <w:lvl w:ilvl="0" w:tplc="EBD8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5CD"/>
    <w:multiLevelType w:val="hybridMultilevel"/>
    <w:tmpl w:val="66288CE0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6EA"/>
    <w:multiLevelType w:val="hybridMultilevel"/>
    <w:tmpl w:val="21A64478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1FE6"/>
    <w:multiLevelType w:val="hybridMultilevel"/>
    <w:tmpl w:val="04BAA8A6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BF0"/>
    <w:multiLevelType w:val="hybridMultilevel"/>
    <w:tmpl w:val="6C7C2892"/>
    <w:lvl w:ilvl="0" w:tplc="5284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3102"/>
    <w:multiLevelType w:val="hybridMultilevel"/>
    <w:tmpl w:val="A7667D22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9B5E87"/>
    <w:multiLevelType w:val="hybridMultilevel"/>
    <w:tmpl w:val="DE2839FA"/>
    <w:lvl w:ilvl="0" w:tplc="EC44A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44A5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72DF"/>
    <w:multiLevelType w:val="hybridMultilevel"/>
    <w:tmpl w:val="01EE71F0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ABB"/>
    <w:multiLevelType w:val="hybridMultilevel"/>
    <w:tmpl w:val="F44A78FC"/>
    <w:lvl w:ilvl="0" w:tplc="494A06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57CE"/>
    <w:multiLevelType w:val="hybridMultilevel"/>
    <w:tmpl w:val="6A08232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1F95"/>
    <w:multiLevelType w:val="hybridMultilevel"/>
    <w:tmpl w:val="6AFCB6FC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5A1"/>
    <w:multiLevelType w:val="hybridMultilevel"/>
    <w:tmpl w:val="BC742600"/>
    <w:lvl w:ilvl="0" w:tplc="B940670C"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07BE"/>
    <w:multiLevelType w:val="hybridMultilevel"/>
    <w:tmpl w:val="78D4C002"/>
    <w:lvl w:ilvl="0" w:tplc="528403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083402"/>
    <w:multiLevelType w:val="hybridMultilevel"/>
    <w:tmpl w:val="ECDE9D7A"/>
    <w:lvl w:ilvl="0" w:tplc="9A563E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B7B2B"/>
    <w:multiLevelType w:val="hybridMultilevel"/>
    <w:tmpl w:val="F6C473C6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C44A5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60D"/>
    <w:rsid w:val="0000377A"/>
    <w:rsid w:val="00011D0A"/>
    <w:rsid w:val="00017C85"/>
    <w:rsid w:val="00020C77"/>
    <w:rsid w:val="00024E97"/>
    <w:rsid w:val="00025407"/>
    <w:rsid w:val="0003136F"/>
    <w:rsid w:val="00043933"/>
    <w:rsid w:val="00067E0D"/>
    <w:rsid w:val="00074D78"/>
    <w:rsid w:val="0007512A"/>
    <w:rsid w:val="000753ED"/>
    <w:rsid w:val="00087939"/>
    <w:rsid w:val="000931F7"/>
    <w:rsid w:val="000942C7"/>
    <w:rsid w:val="000A2C12"/>
    <w:rsid w:val="000B159A"/>
    <w:rsid w:val="000B1803"/>
    <w:rsid w:val="000B4E46"/>
    <w:rsid w:val="000B6598"/>
    <w:rsid w:val="000C21E9"/>
    <w:rsid w:val="000C3E28"/>
    <w:rsid w:val="000C412C"/>
    <w:rsid w:val="000D1799"/>
    <w:rsid w:val="000D1968"/>
    <w:rsid w:val="000D3B8C"/>
    <w:rsid w:val="000D4CD3"/>
    <w:rsid w:val="000D51EA"/>
    <w:rsid w:val="000E1D00"/>
    <w:rsid w:val="000E5D55"/>
    <w:rsid w:val="000E7971"/>
    <w:rsid w:val="000F32BC"/>
    <w:rsid w:val="000F41A6"/>
    <w:rsid w:val="000F794C"/>
    <w:rsid w:val="00103A99"/>
    <w:rsid w:val="00103C59"/>
    <w:rsid w:val="00107330"/>
    <w:rsid w:val="00110B19"/>
    <w:rsid w:val="001134A5"/>
    <w:rsid w:val="00116847"/>
    <w:rsid w:val="001242D7"/>
    <w:rsid w:val="00126343"/>
    <w:rsid w:val="00133CC2"/>
    <w:rsid w:val="00135B56"/>
    <w:rsid w:val="00135CDE"/>
    <w:rsid w:val="001371B5"/>
    <w:rsid w:val="00143141"/>
    <w:rsid w:val="0014386E"/>
    <w:rsid w:val="00152DBD"/>
    <w:rsid w:val="00155108"/>
    <w:rsid w:val="00156568"/>
    <w:rsid w:val="00162013"/>
    <w:rsid w:val="00165606"/>
    <w:rsid w:val="0016781E"/>
    <w:rsid w:val="00171F1C"/>
    <w:rsid w:val="00177F53"/>
    <w:rsid w:val="00181208"/>
    <w:rsid w:val="00183A24"/>
    <w:rsid w:val="001852D2"/>
    <w:rsid w:val="001867F7"/>
    <w:rsid w:val="0019076C"/>
    <w:rsid w:val="001962D3"/>
    <w:rsid w:val="00196700"/>
    <w:rsid w:val="00196E6D"/>
    <w:rsid w:val="001970F7"/>
    <w:rsid w:val="001A243D"/>
    <w:rsid w:val="001A54C2"/>
    <w:rsid w:val="001B0B89"/>
    <w:rsid w:val="001B72BC"/>
    <w:rsid w:val="001B793B"/>
    <w:rsid w:val="001C6FA8"/>
    <w:rsid w:val="001C7A1C"/>
    <w:rsid w:val="001D135D"/>
    <w:rsid w:val="001D7259"/>
    <w:rsid w:val="001E0A26"/>
    <w:rsid w:val="001E0F9D"/>
    <w:rsid w:val="001E5E8D"/>
    <w:rsid w:val="001E6B9F"/>
    <w:rsid w:val="001E7CBC"/>
    <w:rsid w:val="002036D7"/>
    <w:rsid w:val="00206F03"/>
    <w:rsid w:val="00207648"/>
    <w:rsid w:val="00207CA5"/>
    <w:rsid w:val="00213C47"/>
    <w:rsid w:val="00216CCD"/>
    <w:rsid w:val="0021716D"/>
    <w:rsid w:val="002179DA"/>
    <w:rsid w:val="002269A7"/>
    <w:rsid w:val="002301CE"/>
    <w:rsid w:val="00260DC8"/>
    <w:rsid w:val="00262D23"/>
    <w:rsid w:val="002709B8"/>
    <w:rsid w:val="00274A44"/>
    <w:rsid w:val="002771DC"/>
    <w:rsid w:val="00277ADB"/>
    <w:rsid w:val="00290F34"/>
    <w:rsid w:val="00295100"/>
    <w:rsid w:val="00295269"/>
    <w:rsid w:val="002A2371"/>
    <w:rsid w:val="002A411E"/>
    <w:rsid w:val="002A75A9"/>
    <w:rsid w:val="002B4740"/>
    <w:rsid w:val="002B7CE8"/>
    <w:rsid w:val="002D1756"/>
    <w:rsid w:val="002E2255"/>
    <w:rsid w:val="002E4426"/>
    <w:rsid w:val="002F1D79"/>
    <w:rsid w:val="002F4632"/>
    <w:rsid w:val="00300761"/>
    <w:rsid w:val="003026C4"/>
    <w:rsid w:val="00305171"/>
    <w:rsid w:val="00313644"/>
    <w:rsid w:val="00315A53"/>
    <w:rsid w:val="00322FD7"/>
    <w:rsid w:val="003262DF"/>
    <w:rsid w:val="00326C6D"/>
    <w:rsid w:val="0033546E"/>
    <w:rsid w:val="00342383"/>
    <w:rsid w:val="003439F3"/>
    <w:rsid w:val="003471C7"/>
    <w:rsid w:val="00360F3F"/>
    <w:rsid w:val="00370C28"/>
    <w:rsid w:val="00372AE6"/>
    <w:rsid w:val="003743DB"/>
    <w:rsid w:val="003769B8"/>
    <w:rsid w:val="0037750A"/>
    <w:rsid w:val="00381F0B"/>
    <w:rsid w:val="00391644"/>
    <w:rsid w:val="00393AC7"/>
    <w:rsid w:val="00394CE8"/>
    <w:rsid w:val="003A4ED0"/>
    <w:rsid w:val="003B414B"/>
    <w:rsid w:val="003C276A"/>
    <w:rsid w:val="003C78C8"/>
    <w:rsid w:val="003D4A4E"/>
    <w:rsid w:val="003D51E4"/>
    <w:rsid w:val="003D7B3D"/>
    <w:rsid w:val="003E454D"/>
    <w:rsid w:val="003E470C"/>
    <w:rsid w:val="003F2A94"/>
    <w:rsid w:val="00411705"/>
    <w:rsid w:val="00412B72"/>
    <w:rsid w:val="00415684"/>
    <w:rsid w:val="0042243B"/>
    <w:rsid w:val="00427298"/>
    <w:rsid w:val="004275AC"/>
    <w:rsid w:val="00430333"/>
    <w:rsid w:val="004312A0"/>
    <w:rsid w:val="00432725"/>
    <w:rsid w:val="00445A50"/>
    <w:rsid w:val="00452B3B"/>
    <w:rsid w:val="00456CBB"/>
    <w:rsid w:val="00461EC1"/>
    <w:rsid w:val="00463415"/>
    <w:rsid w:val="0048263D"/>
    <w:rsid w:val="00485CF3"/>
    <w:rsid w:val="00490335"/>
    <w:rsid w:val="00490C32"/>
    <w:rsid w:val="004A02EA"/>
    <w:rsid w:val="004A2294"/>
    <w:rsid w:val="004A6FDC"/>
    <w:rsid w:val="004A7117"/>
    <w:rsid w:val="004C0AEB"/>
    <w:rsid w:val="004C1F2A"/>
    <w:rsid w:val="004C23B6"/>
    <w:rsid w:val="004C3D2F"/>
    <w:rsid w:val="004C4C66"/>
    <w:rsid w:val="004C5EE6"/>
    <w:rsid w:val="004D0696"/>
    <w:rsid w:val="004D12A1"/>
    <w:rsid w:val="004D143F"/>
    <w:rsid w:val="004D7DB1"/>
    <w:rsid w:val="004F2DAB"/>
    <w:rsid w:val="004F474C"/>
    <w:rsid w:val="005024E6"/>
    <w:rsid w:val="00504343"/>
    <w:rsid w:val="00504FF7"/>
    <w:rsid w:val="00524008"/>
    <w:rsid w:val="00530F9F"/>
    <w:rsid w:val="005328F0"/>
    <w:rsid w:val="005360AF"/>
    <w:rsid w:val="00541D62"/>
    <w:rsid w:val="005420D0"/>
    <w:rsid w:val="005427F7"/>
    <w:rsid w:val="00542A70"/>
    <w:rsid w:val="005529DC"/>
    <w:rsid w:val="00562015"/>
    <w:rsid w:val="0056282D"/>
    <w:rsid w:val="00565FB1"/>
    <w:rsid w:val="00566150"/>
    <w:rsid w:val="0056697A"/>
    <w:rsid w:val="005747D5"/>
    <w:rsid w:val="00582998"/>
    <w:rsid w:val="00582CF7"/>
    <w:rsid w:val="00592480"/>
    <w:rsid w:val="005935E8"/>
    <w:rsid w:val="005955D5"/>
    <w:rsid w:val="00597F79"/>
    <w:rsid w:val="005A7274"/>
    <w:rsid w:val="005B1A17"/>
    <w:rsid w:val="005B5D8A"/>
    <w:rsid w:val="005B6C96"/>
    <w:rsid w:val="005B712C"/>
    <w:rsid w:val="005C18D6"/>
    <w:rsid w:val="005C289B"/>
    <w:rsid w:val="005D4932"/>
    <w:rsid w:val="005D5F01"/>
    <w:rsid w:val="005D694E"/>
    <w:rsid w:val="005E0AC7"/>
    <w:rsid w:val="005E2B07"/>
    <w:rsid w:val="005E5B4B"/>
    <w:rsid w:val="005E6401"/>
    <w:rsid w:val="005F09E9"/>
    <w:rsid w:val="0060283B"/>
    <w:rsid w:val="00606E2E"/>
    <w:rsid w:val="0062359F"/>
    <w:rsid w:val="00624097"/>
    <w:rsid w:val="006324B3"/>
    <w:rsid w:val="00637824"/>
    <w:rsid w:val="006434A9"/>
    <w:rsid w:val="006458B2"/>
    <w:rsid w:val="006530C0"/>
    <w:rsid w:val="006565BE"/>
    <w:rsid w:val="00661045"/>
    <w:rsid w:val="00664C40"/>
    <w:rsid w:val="00665186"/>
    <w:rsid w:val="00666E03"/>
    <w:rsid w:val="00667321"/>
    <w:rsid w:val="006716C1"/>
    <w:rsid w:val="006719DB"/>
    <w:rsid w:val="00676CFF"/>
    <w:rsid w:val="00677460"/>
    <w:rsid w:val="00680993"/>
    <w:rsid w:val="00682EAF"/>
    <w:rsid w:val="00686824"/>
    <w:rsid w:val="00690AE0"/>
    <w:rsid w:val="006969D4"/>
    <w:rsid w:val="006A0CD4"/>
    <w:rsid w:val="006A6BBD"/>
    <w:rsid w:val="006A73B4"/>
    <w:rsid w:val="006B3110"/>
    <w:rsid w:val="006B5A20"/>
    <w:rsid w:val="006C7423"/>
    <w:rsid w:val="006D35DD"/>
    <w:rsid w:val="006D46BF"/>
    <w:rsid w:val="006D7055"/>
    <w:rsid w:val="006E4A9D"/>
    <w:rsid w:val="006E618B"/>
    <w:rsid w:val="006F0D70"/>
    <w:rsid w:val="006F54AC"/>
    <w:rsid w:val="00700199"/>
    <w:rsid w:val="00702DBB"/>
    <w:rsid w:val="0070319F"/>
    <w:rsid w:val="007037D4"/>
    <w:rsid w:val="00704AC9"/>
    <w:rsid w:val="007078E9"/>
    <w:rsid w:val="00710960"/>
    <w:rsid w:val="0071565D"/>
    <w:rsid w:val="0071695C"/>
    <w:rsid w:val="00723723"/>
    <w:rsid w:val="0073665D"/>
    <w:rsid w:val="00746DB7"/>
    <w:rsid w:val="00765573"/>
    <w:rsid w:val="007705BA"/>
    <w:rsid w:val="00777BE6"/>
    <w:rsid w:val="007846B9"/>
    <w:rsid w:val="0079328A"/>
    <w:rsid w:val="00793A1C"/>
    <w:rsid w:val="00794BB0"/>
    <w:rsid w:val="00795DDA"/>
    <w:rsid w:val="007A2275"/>
    <w:rsid w:val="007A285D"/>
    <w:rsid w:val="007B0214"/>
    <w:rsid w:val="007B140A"/>
    <w:rsid w:val="007B4433"/>
    <w:rsid w:val="007B4669"/>
    <w:rsid w:val="007B7268"/>
    <w:rsid w:val="007B79CE"/>
    <w:rsid w:val="007B7EB7"/>
    <w:rsid w:val="007C03D3"/>
    <w:rsid w:val="007C1AD6"/>
    <w:rsid w:val="007C4913"/>
    <w:rsid w:val="007C6AEF"/>
    <w:rsid w:val="007E423F"/>
    <w:rsid w:val="007F21BC"/>
    <w:rsid w:val="007F27B0"/>
    <w:rsid w:val="007F498B"/>
    <w:rsid w:val="007F4CFE"/>
    <w:rsid w:val="00806331"/>
    <w:rsid w:val="00813638"/>
    <w:rsid w:val="00821BF1"/>
    <w:rsid w:val="008266F6"/>
    <w:rsid w:val="00833436"/>
    <w:rsid w:val="00834F5A"/>
    <w:rsid w:val="00844414"/>
    <w:rsid w:val="00844B45"/>
    <w:rsid w:val="00845A73"/>
    <w:rsid w:val="00851AA8"/>
    <w:rsid w:val="008532AA"/>
    <w:rsid w:val="00861F87"/>
    <w:rsid w:val="00896ACC"/>
    <w:rsid w:val="008A0AD3"/>
    <w:rsid w:val="008B1338"/>
    <w:rsid w:val="008B4E41"/>
    <w:rsid w:val="008B7A74"/>
    <w:rsid w:val="008C55F0"/>
    <w:rsid w:val="008D214F"/>
    <w:rsid w:val="008D3392"/>
    <w:rsid w:val="008D5843"/>
    <w:rsid w:val="008D597D"/>
    <w:rsid w:val="008D6738"/>
    <w:rsid w:val="008D6879"/>
    <w:rsid w:val="008D786C"/>
    <w:rsid w:val="008E123D"/>
    <w:rsid w:val="008E13F8"/>
    <w:rsid w:val="008E15BB"/>
    <w:rsid w:val="008E32F3"/>
    <w:rsid w:val="008E452A"/>
    <w:rsid w:val="008E45B3"/>
    <w:rsid w:val="008E5F8D"/>
    <w:rsid w:val="008E609D"/>
    <w:rsid w:val="008F5FD1"/>
    <w:rsid w:val="00900B72"/>
    <w:rsid w:val="00906518"/>
    <w:rsid w:val="00906627"/>
    <w:rsid w:val="00907083"/>
    <w:rsid w:val="0091318B"/>
    <w:rsid w:val="00914464"/>
    <w:rsid w:val="009156C6"/>
    <w:rsid w:val="00921160"/>
    <w:rsid w:val="00926456"/>
    <w:rsid w:val="009267CD"/>
    <w:rsid w:val="00930D03"/>
    <w:rsid w:val="00934AFC"/>
    <w:rsid w:val="009460DA"/>
    <w:rsid w:val="00960FDE"/>
    <w:rsid w:val="00974352"/>
    <w:rsid w:val="00983A28"/>
    <w:rsid w:val="0098445F"/>
    <w:rsid w:val="0098597F"/>
    <w:rsid w:val="00985A08"/>
    <w:rsid w:val="009A00C0"/>
    <w:rsid w:val="009A5CEA"/>
    <w:rsid w:val="009A7A46"/>
    <w:rsid w:val="009C04FD"/>
    <w:rsid w:val="009C0631"/>
    <w:rsid w:val="009C17E5"/>
    <w:rsid w:val="009C18CD"/>
    <w:rsid w:val="009C43F2"/>
    <w:rsid w:val="009C6222"/>
    <w:rsid w:val="009C774D"/>
    <w:rsid w:val="009D5CC3"/>
    <w:rsid w:val="009D5E6F"/>
    <w:rsid w:val="009E2D5C"/>
    <w:rsid w:val="009E36EE"/>
    <w:rsid w:val="009F36C3"/>
    <w:rsid w:val="009F52C3"/>
    <w:rsid w:val="009F6381"/>
    <w:rsid w:val="00A00FE7"/>
    <w:rsid w:val="00A01E2C"/>
    <w:rsid w:val="00A06880"/>
    <w:rsid w:val="00A0689B"/>
    <w:rsid w:val="00A06CD1"/>
    <w:rsid w:val="00A12946"/>
    <w:rsid w:val="00A149F5"/>
    <w:rsid w:val="00A17EB8"/>
    <w:rsid w:val="00A30100"/>
    <w:rsid w:val="00A32C70"/>
    <w:rsid w:val="00A36BFB"/>
    <w:rsid w:val="00A37E46"/>
    <w:rsid w:val="00A45140"/>
    <w:rsid w:val="00A5476C"/>
    <w:rsid w:val="00A547E5"/>
    <w:rsid w:val="00A5743B"/>
    <w:rsid w:val="00A60B7B"/>
    <w:rsid w:val="00A613FE"/>
    <w:rsid w:val="00A614CA"/>
    <w:rsid w:val="00A631C8"/>
    <w:rsid w:val="00A64237"/>
    <w:rsid w:val="00A653B3"/>
    <w:rsid w:val="00A75F0C"/>
    <w:rsid w:val="00A85ACA"/>
    <w:rsid w:val="00A920F0"/>
    <w:rsid w:val="00AA4327"/>
    <w:rsid w:val="00AA6608"/>
    <w:rsid w:val="00AB3E6F"/>
    <w:rsid w:val="00AB7E33"/>
    <w:rsid w:val="00AC2B57"/>
    <w:rsid w:val="00AC433F"/>
    <w:rsid w:val="00AC48E4"/>
    <w:rsid w:val="00AC5A14"/>
    <w:rsid w:val="00AC63B2"/>
    <w:rsid w:val="00AC6776"/>
    <w:rsid w:val="00AC7102"/>
    <w:rsid w:val="00AD05EC"/>
    <w:rsid w:val="00AD6C8B"/>
    <w:rsid w:val="00AD7AD1"/>
    <w:rsid w:val="00AE22FD"/>
    <w:rsid w:val="00AE3E2A"/>
    <w:rsid w:val="00AF68C0"/>
    <w:rsid w:val="00AF751C"/>
    <w:rsid w:val="00B03229"/>
    <w:rsid w:val="00B06C54"/>
    <w:rsid w:val="00B12A4D"/>
    <w:rsid w:val="00B208D6"/>
    <w:rsid w:val="00B2348B"/>
    <w:rsid w:val="00B23811"/>
    <w:rsid w:val="00B3421E"/>
    <w:rsid w:val="00B34ACE"/>
    <w:rsid w:val="00B37FE5"/>
    <w:rsid w:val="00B42D03"/>
    <w:rsid w:val="00B432AA"/>
    <w:rsid w:val="00B463B4"/>
    <w:rsid w:val="00B474E1"/>
    <w:rsid w:val="00B50DC2"/>
    <w:rsid w:val="00B5531C"/>
    <w:rsid w:val="00B61BAB"/>
    <w:rsid w:val="00B75121"/>
    <w:rsid w:val="00B772F9"/>
    <w:rsid w:val="00B77E44"/>
    <w:rsid w:val="00B82D8D"/>
    <w:rsid w:val="00B83C6A"/>
    <w:rsid w:val="00B84944"/>
    <w:rsid w:val="00B87CC9"/>
    <w:rsid w:val="00B952F0"/>
    <w:rsid w:val="00B974CC"/>
    <w:rsid w:val="00BB1D4E"/>
    <w:rsid w:val="00BB28AD"/>
    <w:rsid w:val="00BB686F"/>
    <w:rsid w:val="00BC1AD9"/>
    <w:rsid w:val="00BC62B7"/>
    <w:rsid w:val="00BD2C1C"/>
    <w:rsid w:val="00BE367D"/>
    <w:rsid w:val="00BE3FE7"/>
    <w:rsid w:val="00BE736D"/>
    <w:rsid w:val="00BF00B3"/>
    <w:rsid w:val="00BF608D"/>
    <w:rsid w:val="00C07ADB"/>
    <w:rsid w:val="00C07EB9"/>
    <w:rsid w:val="00C17CBE"/>
    <w:rsid w:val="00C25479"/>
    <w:rsid w:val="00C27B59"/>
    <w:rsid w:val="00C30F5C"/>
    <w:rsid w:val="00C31D42"/>
    <w:rsid w:val="00C40F87"/>
    <w:rsid w:val="00C44AE7"/>
    <w:rsid w:val="00C45377"/>
    <w:rsid w:val="00C50676"/>
    <w:rsid w:val="00C652DC"/>
    <w:rsid w:val="00C65442"/>
    <w:rsid w:val="00C66725"/>
    <w:rsid w:val="00C679CA"/>
    <w:rsid w:val="00C76F50"/>
    <w:rsid w:val="00C8059A"/>
    <w:rsid w:val="00C83F38"/>
    <w:rsid w:val="00C915C3"/>
    <w:rsid w:val="00C93D99"/>
    <w:rsid w:val="00C9637A"/>
    <w:rsid w:val="00CB5FD4"/>
    <w:rsid w:val="00CC3760"/>
    <w:rsid w:val="00CC4F02"/>
    <w:rsid w:val="00CD1EA4"/>
    <w:rsid w:val="00CD21CB"/>
    <w:rsid w:val="00CD48A8"/>
    <w:rsid w:val="00CE3E46"/>
    <w:rsid w:val="00CE7E56"/>
    <w:rsid w:val="00CF6F7C"/>
    <w:rsid w:val="00D02C56"/>
    <w:rsid w:val="00D05458"/>
    <w:rsid w:val="00D07C41"/>
    <w:rsid w:val="00D13B13"/>
    <w:rsid w:val="00D16A9A"/>
    <w:rsid w:val="00D17EF4"/>
    <w:rsid w:val="00D32F09"/>
    <w:rsid w:val="00D33549"/>
    <w:rsid w:val="00D343F0"/>
    <w:rsid w:val="00D4315A"/>
    <w:rsid w:val="00D46F64"/>
    <w:rsid w:val="00D52A0C"/>
    <w:rsid w:val="00D52D69"/>
    <w:rsid w:val="00D56986"/>
    <w:rsid w:val="00D56F9C"/>
    <w:rsid w:val="00D61F46"/>
    <w:rsid w:val="00D67B9F"/>
    <w:rsid w:val="00D735E8"/>
    <w:rsid w:val="00D76264"/>
    <w:rsid w:val="00D82F03"/>
    <w:rsid w:val="00D873AE"/>
    <w:rsid w:val="00D95D04"/>
    <w:rsid w:val="00DB0AF4"/>
    <w:rsid w:val="00DB10CA"/>
    <w:rsid w:val="00DB2A80"/>
    <w:rsid w:val="00DB31CB"/>
    <w:rsid w:val="00DB62D8"/>
    <w:rsid w:val="00DC2DC7"/>
    <w:rsid w:val="00DC7DAC"/>
    <w:rsid w:val="00DD2E18"/>
    <w:rsid w:val="00DD3DB7"/>
    <w:rsid w:val="00DD4DE6"/>
    <w:rsid w:val="00DD4F4C"/>
    <w:rsid w:val="00DE312D"/>
    <w:rsid w:val="00DE3C96"/>
    <w:rsid w:val="00DE603C"/>
    <w:rsid w:val="00DE76F0"/>
    <w:rsid w:val="00DF18AA"/>
    <w:rsid w:val="00DF296C"/>
    <w:rsid w:val="00DF7338"/>
    <w:rsid w:val="00E0684C"/>
    <w:rsid w:val="00E105ED"/>
    <w:rsid w:val="00E10A3C"/>
    <w:rsid w:val="00E10AF4"/>
    <w:rsid w:val="00E207AD"/>
    <w:rsid w:val="00E22ACC"/>
    <w:rsid w:val="00E31878"/>
    <w:rsid w:val="00E33DBC"/>
    <w:rsid w:val="00E343B3"/>
    <w:rsid w:val="00E347B3"/>
    <w:rsid w:val="00E43C5A"/>
    <w:rsid w:val="00E4578B"/>
    <w:rsid w:val="00E51355"/>
    <w:rsid w:val="00E53091"/>
    <w:rsid w:val="00E56013"/>
    <w:rsid w:val="00E60845"/>
    <w:rsid w:val="00E658D8"/>
    <w:rsid w:val="00E75009"/>
    <w:rsid w:val="00E84095"/>
    <w:rsid w:val="00E92A36"/>
    <w:rsid w:val="00E95840"/>
    <w:rsid w:val="00EA0682"/>
    <w:rsid w:val="00EA07C0"/>
    <w:rsid w:val="00EB0329"/>
    <w:rsid w:val="00EB2A35"/>
    <w:rsid w:val="00EB38DD"/>
    <w:rsid w:val="00EB4B8B"/>
    <w:rsid w:val="00EB783D"/>
    <w:rsid w:val="00EC0049"/>
    <w:rsid w:val="00EC3094"/>
    <w:rsid w:val="00EC5CC3"/>
    <w:rsid w:val="00EC78D5"/>
    <w:rsid w:val="00ED0D89"/>
    <w:rsid w:val="00ED53A7"/>
    <w:rsid w:val="00EE5B78"/>
    <w:rsid w:val="00EF1151"/>
    <w:rsid w:val="00EF16B1"/>
    <w:rsid w:val="00EF1BE8"/>
    <w:rsid w:val="00EF2431"/>
    <w:rsid w:val="00EF275C"/>
    <w:rsid w:val="00F00CA1"/>
    <w:rsid w:val="00F11C49"/>
    <w:rsid w:val="00F13D38"/>
    <w:rsid w:val="00F1412F"/>
    <w:rsid w:val="00F20ABE"/>
    <w:rsid w:val="00F2360D"/>
    <w:rsid w:val="00F23CE5"/>
    <w:rsid w:val="00F274FF"/>
    <w:rsid w:val="00F3052F"/>
    <w:rsid w:val="00F32CA3"/>
    <w:rsid w:val="00F35BA7"/>
    <w:rsid w:val="00F46B8E"/>
    <w:rsid w:val="00F657B0"/>
    <w:rsid w:val="00F67072"/>
    <w:rsid w:val="00F70FC7"/>
    <w:rsid w:val="00F712F2"/>
    <w:rsid w:val="00F770DD"/>
    <w:rsid w:val="00F908E0"/>
    <w:rsid w:val="00F93100"/>
    <w:rsid w:val="00F956B1"/>
    <w:rsid w:val="00FA5401"/>
    <w:rsid w:val="00FB281F"/>
    <w:rsid w:val="00FB530B"/>
    <w:rsid w:val="00FC00FE"/>
    <w:rsid w:val="00FC1A06"/>
    <w:rsid w:val="00FC65AC"/>
    <w:rsid w:val="00FC77A5"/>
    <w:rsid w:val="00FD27C6"/>
    <w:rsid w:val="00FD6428"/>
    <w:rsid w:val="00FD734C"/>
    <w:rsid w:val="00FD7F10"/>
    <w:rsid w:val="00FE311F"/>
    <w:rsid w:val="00FF3ED4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FA8790"/>
  <w15:docId w15:val="{A295EA58-6220-4AC7-9410-3A707B3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38"/>
    <w:rPr>
      <w:sz w:val="24"/>
      <w:szCs w:val="24"/>
      <w:lang w:val="lv-LV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  <w:lang w:eastAsia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lang w:eastAsia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US" w:eastAsia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Cs w:val="20"/>
      <w:lang w:val="en-US" w:eastAsia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RimTimes" w:hAnsi="RimTimes"/>
      <w:b/>
      <w:sz w:val="36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Cs w:val="20"/>
      <w:lang w:eastAsia="lv-LV"/>
    </w:rPr>
  </w:style>
  <w:style w:type="paragraph" w:styleId="BodyTextIndent">
    <w:name w:val="Body Text Indent"/>
    <w:basedOn w:val="Normal"/>
    <w:pPr>
      <w:ind w:left="360"/>
      <w:jc w:val="both"/>
    </w:pPr>
    <w:rPr>
      <w:b/>
      <w:szCs w:val="20"/>
      <w:lang w:eastAsia="lv-LV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szCs w:val="20"/>
      <w:lang w:eastAsia="lv-LV"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pPr>
      <w:ind w:firstLine="480"/>
    </w:pPr>
    <w:rPr>
      <w:rFonts w:ascii="Times-Russian" w:hAnsi="Times-Russian"/>
      <w:color w:val="000000"/>
      <w:sz w:val="24"/>
      <w:lang w:val="en-GB" w:eastAsia="lv-LV"/>
    </w:rPr>
  </w:style>
  <w:style w:type="paragraph" w:styleId="BodyText">
    <w:name w:val="Body Text"/>
    <w:basedOn w:val="Normal"/>
    <w:pPr>
      <w:jc w:val="both"/>
    </w:pPr>
    <w:rPr>
      <w:b/>
      <w:szCs w:val="20"/>
      <w:lang w:eastAsia="lv-LV"/>
    </w:rPr>
  </w:style>
  <w:style w:type="paragraph" w:styleId="BodyText2">
    <w:name w:val="Body Text 2"/>
    <w:basedOn w:val="Normal"/>
    <w:pPr>
      <w:jc w:val="both"/>
    </w:pPr>
    <w:rPr>
      <w:i/>
      <w:szCs w:val="20"/>
      <w:lang w:val="en-US" w:eastAsia="lv-LV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1C7A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D143F"/>
    <w:pPr>
      <w:tabs>
        <w:tab w:val="center" w:pos="4153"/>
        <w:tab w:val="right" w:pos="8306"/>
      </w:tabs>
    </w:pPr>
  </w:style>
  <w:style w:type="character" w:styleId="Hyperlink">
    <w:name w:val="Hyperlink"/>
    <w:rsid w:val="005955D5"/>
    <w:rPr>
      <w:color w:val="0000FF"/>
      <w:u w:val="single"/>
    </w:rPr>
  </w:style>
  <w:style w:type="paragraph" w:customStyle="1" w:styleId="Pamatteksts">
    <w:name w:val="Pamatteksts"/>
    <w:basedOn w:val="Normal"/>
    <w:next w:val="Normal"/>
    <w:rsid w:val="00D343F0"/>
    <w:pPr>
      <w:autoSpaceDE w:val="0"/>
      <w:autoSpaceDN w:val="0"/>
      <w:adjustRightInd w:val="0"/>
    </w:pPr>
    <w:rPr>
      <w:lang w:eastAsia="lv-LV"/>
    </w:rPr>
  </w:style>
  <w:style w:type="paragraph" w:styleId="DocumentMap">
    <w:name w:val="Document Map"/>
    <w:basedOn w:val="Normal"/>
    <w:semiHidden/>
    <w:rsid w:val="00B42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915C3"/>
    <w:pPr>
      <w:autoSpaceDE w:val="0"/>
      <w:autoSpaceDN w:val="0"/>
      <w:adjustRightInd w:val="0"/>
      <w:jc w:val="center"/>
    </w:pPr>
    <w:rPr>
      <w:rFonts w:ascii="Garamond-Bold" w:hAnsi="Garamond-Bold"/>
      <w:b/>
      <w:bCs/>
      <w:szCs w:val="21"/>
      <w:lang w:val="en-US"/>
    </w:rPr>
  </w:style>
  <w:style w:type="character" w:customStyle="1" w:styleId="TitleChar">
    <w:name w:val="Title Char"/>
    <w:link w:val="Title"/>
    <w:rsid w:val="00C915C3"/>
    <w:rPr>
      <w:rFonts w:ascii="Garamond-Bold" w:hAnsi="Garamond-Bold"/>
      <w:b/>
      <w:bCs/>
      <w:sz w:val="24"/>
      <w:szCs w:val="21"/>
      <w:lang w:val="en-US" w:eastAsia="en-US"/>
    </w:rPr>
  </w:style>
  <w:style w:type="paragraph" w:styleId="Revision">
    <w:name w:val="Revision"/>
    <w:hidden/>
    <w:uiPriority w:val="99"/>
    <w:semiHidden/>
    <w:rsid w:val="00393AC7"/>
    <w:rPr>
      <w:sz w:val="24"/>
      <w:szCs w:val="24"/>
      <w:lang w:val="lv-LV" w:eastAsia="en-US"/>
    </w:rPr>
  </w:style>
  <w:style w:type="character" w:styleId="CommentReference">
    <w:name w:val="annotation reference"/>
    <w:rsid w:val="009C0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4F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C0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4FD"/>
    <w:rPr>
      <w:b/>
      <w:bCs/>
    </w:rPr>
  </w:style>
  <w:style w:type="character" w:customStyle="1" w:styleId="CommentSubjectChar">
    <w:name w:val="Comment Subject Char"/>
    <w:link w:val="CommentSubject"/>
    <w:rsid w:val="009C04FD"/>
    <w:rPr>
      <w:b/>
      <w:bCs/>
      <w:lang w:eastAsia="en-US"/>
    </w:rPr>
  </w:style>
  <w:style w:type="character" w:styleId="FollowedHyperlink">
    <w:name w:val="FollowedHyperlink"/>
    <w:rsid w:val="00DB62D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149F5"/>
    <w:rPr>
      <w:rFonts w:ascii="RimTimes" w:hAnsi="Rim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indeks@grindeks.lv;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LIETOŠANAS INSTRUKCIJA</vt:lpstr>
    </vt:vector>
  </TitlesOfParts>
  <Company>Grindeks</Company>
  <LinksUpToDate>false</LinksUpToDate>
  <CharactersWithSpaces>16606</CharactersWithSpaces>
  <SharedDoc>false</SharedDoc>
  <HLinks>
    <vt:vector size="6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mailto:grindeks@grindeks.lv;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</dc:title>
  <dc:creator>Anna Ramata - Stunda</dc:creator>
  <cp:lastModifiedBy>Skaidrīte Lapsenīte</cp:lastModifiedBy>
  <cp:revision>4</cp:revision>
  <cp:lastPrinted>2011-01-17T08:18:00Z</cp:lastPrinted>
  <dcterms:created xsi:type="dcterms:W3CDTF">2020-02-18T13:42:00Z</dcterms:created>
  <dcterms:modified xsi:type="dcterms:W3CDTF">2020-02-19T07:51:00Z</dcterms:modified>
</cp:coreProperties>
</file>