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D554C" w14:textId="77777777" w:rsidR="00A75C3F" w:rsidRDefault="00650B16" w:rsidP="00A75C3F">
      <w:pPr>
        <w:pStyle w:val="Default"/>
        <w:rPr>
          <w:b/>
          <w:bCs/>
          <w:szCs w:val="23"/>
          <w:lang w:val="lv-LV"/>
        </w:rPr>
      </w:pPr>
      <w:r>
        <w:rPr>
          <w:b/>
          <w:bCs/>
          <w:szCs w:val="23"/>
          <w:lang w:val="lv-LV"/>
        </w:rPr>
        <w:t xml:space="preserve"> </w:t>
      </w:r>
    </w:p>
    <w:p w14:paraId="4EBE24E4" w14:textId="77777777" w:rsidR="002E5DDC" w:rsidRPr="00C331A0" w:rsidRDefault="002E5DDC" w:rsidP="00A75C3F">
      <w:pPr>
        <w:pStyle w:val="Default"/>
        <w:jc w:val="center"/>
        <w:rPr>
          <w:szCs w:val="23"/>
          <w:lang w:val="lv-LV"/>
        </w:rPr>
      </w:pPr>
      <w:r w:rsidRPr="00C331A0">
        <w:rPr>
          <w:b/>
          <w:bCs/>
          <w:szCs w:val="23"/>
          <w:lang w:val="lv-LV"/>
        </w:rPr>
        <w:t>ZĀĻU APRAKSTS</w:t>
      </w:r>
    </w:p>
    <w:p w14:paraId="6F9A2853" w14:textId="77777777" w:rsidR="002E5DDC" w:rsidRDefault="002E5DDC" w:rsidP="00A75C3F">
      <w:pPr>
        <w:pStyle w:val="Default"/>
        <w:rPr>
          <w:szCs w:val="23"/>
          <w:lang w:val="lv-LV"/>
        </w:rPr>
      </w:pPr>
    </w:p>
    <w:p w14:paraId="0809EEC4" w14:textId="77777777" w:rsidR="00E42F72" w:rsidRPr="00C331A0" w:rsidRDefault="00E42F72" w:rsidP="00A75C3F">
      <w:pPr>
        <w:pStyle w:val="Default"/>
        <w:rPr>
          <w:szCs w:val="23"/>
          <w:lang w:val="lv-LV"/>
        </w:rPr>
      </w:pPr>
    </w:p>
    <w:p w14:paraId="00199D5D" w14:textId="77777777" w:rsidR="002E5DDC" w:rsidRPr="00C331A0" w:rsidRDefault="002E5DDC" w:rsidP="00A75C3F">
      <w:pPr>
        <w:pStyle w:val="Default"/>
        <w:rPr>
          <w:szCs w:val="23"/>
          <w:lang w:val="lv-LV"/>
        </w:rPr>
      </w:pPr>
      <w:r w:rsidRPr="00C331A0">
        <w:rPr>
          <w:b/>
          <w:bCs/>
          <w:szCs w:val="23"/>
          <w:lang w:val="lv-LV"/>
        </w:rPr>
        <w:t>1. ZĀĻU NOSAUKUMS</w:t>
      </w:r>
    </w:p>
    <w:p w14:paraId="71B6A930" w14:textId="77777777" w:rsidR="00E42F72" w:rsidRDefault="00E42F72" w:rsidP="00A75C3F">
      <w:pPr>
        <w:pStyle w:val="Default"/>
        <w:rPr>
          <w:bCs/>
          <w:szCs w:val="23"/>
          <w:lang w:val="lv-LV"/>
        </w:rPr>
      </w:pPr>
    </w:p>
    <w:p w14:paraId="07857D52" w14:textId="77777777" w:rsidR="002E5DDC" w:rsidRPr="00C331A0" w:rsidRDefault="00A75C3F" w:rsidP="00A75C3F">
      <w:pPr>
        <w:pStyle w:val="Default"/>
        <w:rPr>
          <w:szCs w:val="23"/>
          <w:lang w:val="lv-LV"/>
        </w:rPr>
      </w:pPr>
      <w:r w:rsidRPr="008B0EC2">
        <w:rPr>
          <w:bCs/>
          <w:szCs w:val="23"/>
          <w:lang w:val="lv-LV"/>
        </w:rPr>
        <w:t>Alorit</w:t>
      </w:r>
      <w:r w:rsidR="002E5DDC" w:rsidRPr="00C331A0">
        <w:rPr>
          <w:b/>
          <w:bCs/>
          <w:szCs w:val="23"/>
          <w:lang w:val="lv-LV"/>
        </w:rPr>
        <w:t xml:space="preserve"> </w:t>
      </w:r>
      <w:r w:rsidR="002E5DDC" w:rsidRPr="00C331A0">
        <w:rPr>
          <w:szCs w:val="23"/>
          <w:lang w:val="lv-LV"/>
        </w:rPr>
        <w:t>20 mg apvalkotā</w:t>
      </w:r>
      <w:r w:rsidR="00C331A0">
        <w:rPr>
          <w:szCs w:val="23"/>
          <w:lang w:val="lv-LV"/>
        </w:rPr>
        <w:t>s tabletes</w:t>
      </w:r>
    </w:p>
    <w:p w14:paraId="27255CAD" w14:textId="77777777" w:rsidR="002E5DDC" w:rsidRDefault="002E5DDC" w:rsidP="00A75C3F">
      <w:pPr>
        <w:pStyle w:val="Default"/>
        <w:rPr>
          <w:szCs w:val="23"/>
          <w:lang w:val="lv-LV"/>
        </w:rPr>
      </w:pPr>
    </w:p>
    <w:p w14:paraId="5F6120ED" w14:textId="77777777" w:rsidR="00E42F72" w:rsidRPr="00C331A0" w:rsidRDefault="00E42F72" w:rsidP="00A75C3F">
      <w:pPr>
        <w:pStyle w:val="Default"/>
        <w:rPr>
          <w:szCs w:val="23"/>
          <w:lang w:val="lv-LV"/>
        </w:rPr>
      </w:pPr>
    </w:p>
    <w:p w14:paraId="2C391A43" w14:textId="77777777" w:rsidR="002E5DDC" w:rsidRPr="00C331A0" w:rsidRDefault="002E5DDC" w:rsidP="00A75C3F">
      <w:pPr>
        <w:pStyle w:val="Default"/>
        <w:rPr>
          <w:szCs w:val="23"/>
          <w:lang w:val="lv-LV"/>
        </w:rPr>
      </w:pPr>
      <w:r w:rsidRPr="00C331A0">
        <w:rPr>
          <w:b/>
          <w:bCs/>
          <w:szCs w:val="23"/>
          <w:lang w:val="lv-LV"/>
        </w:rPr>
        <w:t>2. KVALITATĪVAIS UN KVANTITATĪVAIS SASTĀVS</w:t>
      </w:r>
    </w:p>
    <w:p w14:paraId="25B140FA" w14:textId="77777777" w:rsidR="00E42F72" w:rsidRDefault="00E42F72" w:rsidP="00A75C3F">
      <w:pPr>
        <w:pStyle w:val="Default"/>
        <w:rPr>
          <w:szCs w:val="23"/>
          <w:lang w:val="lv-LV"/>
        </w:rPr>
      </w:pPr>
    </w:p>
    <w:p w14:paraId="1C1678FC" w14:textId="77777777" w:rsidR="002E5DDC" w:rsidRPr="00C331A0" w:rsidRDefault="002E5DDC" w:rsidP="00A75C3F">
      <w:pPr>
        <w:pStyle w:val="Default"/>
        <w:rPr>
          <w:szCs w:val="23"/>
          <w:lang w:val="lv-LV"/>
        </w:rPr>
      </w:pPr>
      <w:r w:rsidRPr="00C331A0">
        <w:rPr>
          <w:szCs w:val="23"/>
          <w:lang w:val="lv-LV"/>
        </w:rPr>
        <w:t>Viena apvalkotā tablete satur 24,9</w:t>
      </w:r>
      <w:r w:rsidR="00A75C3F">
        <w:rPr>
          <w:szCs w:val="23"/>
          <w:lang w:val="lv-LV"/>
        </w:rPr>
        <w:t>9</w:t>
      </w:r>
      <w:r w:rsidRPr="00C331A0">
        <w:rPr>
          <w:szCs w:val="23"/>
          <w:lang w:val="lv-LV"/>
        </w:rPr>
        <w:t xml:space="preserve"> mg citaloprāma hidrobromīda, kas atbilst 20 mg citaloprāma (</w:t>
      </w:r>
      <w:r w:rsidRPr="00C331A0">
        <w:rPr>
          <w:i/>
          <w:iCs/>
          <w:szCs w:val="23"/>
          <w:lang w:val="lv-LV"/>
        </w:rPr>
        <w:t>Citalopramum</w:t>
      </w:r>
      <w:r w:rsidR="00C331A0">
        <w:rPr>
          <w:szCs w:val="23"/>
          <w:lang w:val="lv-LV"/>
        </w:rPr>
        <w:t>).</w:t>
      </w:r>
    </w:p>
    <w:p w14:paraId="252C1DEF" w14:textId="77777777" w:rsidR="002E5DDC" w:rsidRPr="00C331A0" w:rsidRDefault="002E5DDC" w:rsidP="00A75C3F">
      <w:pPr>
        <w:pStyle w:val="Default"/>
        <w:rPr>
          <w:szCs w:val="23"/>
          <w:lang w:val="lv-LV"/>
        </w:rPr>
      </w:pPr>
    </w:p>
    <w:p w14:paraId="2885311E" w14:textId="77777777" w:rsidR="002E5DDC" w:rsidRPr="00C331A0" w:rsidRDefault="002E5DDC" w:rsidP="00A75C3F">
      <w:pPr>
        <w:pStyle w:val="Default"/>
        <w:rPr>
          <w:szCs w:val="23"/>
          <w:lang w:val="lv-LV"/>
        </w:rPr>
      </w:pPr>
      <w:r w:rsidRPr="00C331A0">
        <w:rPr>
          <w:szCs w:val="23"/>
          <w:lang w:val="lv-LV"/>
        </w:rPr>
        <w:t>Pilnu palīgvielu sarakstu skatīt 6.1</w:t>
      </w:r>
      <w:r w:rsidR="00464835">
        <w:rPr>
          <w:szCs w:val="23"/>
          <w:lang w:val="lv-LV"/>
        </w:rPr>
        <w:t>.</w:t>
      </w:r>
      <w:r w:rsidRPr="00C331A0">
        <w:rPr>
          <w:szCs w:val="23"/>
          <w:lang w:val="lv-LV"/>
        </w:rPr>
        <w:t xml:space="preserve"> apakšpunktā</w:t>
      </w:r>
      <w:r w:rsidR="00C331A0">
        <w:rPr>
          <w:szCs w:val="23"/>
          <w:lang w:val="lv-LV"/>
        </w:rPr>
        <w:t>.</w:t>
      </w:r>
    </w:p>
    <w:p w14:paraId="18BA16D4" w14:textId="77777777" w:rsidR="002E5DDC" w:rsidRDefault="002E5DDC" w:rsidP="00A75C3F">
      <w:pPr>
        <w:pStyle w:val="Default"/>
        <w:rPr>
          <w:szCs w:val="23"/>
          <w:lang w:val="lv-LV"/>
        </w:rPr>
      </w:pPr>
    </w:p>
    <w:p w14:paraId="360A8F12" w14:textId="77777777" w:rsidR="00E42F72" w:rsidRPr="00C331A0" w:rsidRDefault="00E42F72" w:rsidP="00A75C3F">
      <w:pPr>
        <w:pStyle w:val="Default"/>
        <w:rPr>
          <w:szCs w:val="23"/>
          <w:lang w:val="lv-LV"/>
        </w:rPr>
      </w:pPr>
    </w:p>
    <w:p w14:paraId="4E1F6707" w14:textId="77777777" w:rsidR="002E5DDC" w:rsidRPr="00C331A0" w:rsidRDefault="002E5DDC" w:rsidP="00A75C3F">
      <w:pPr>
        <w:pStyle w:val="Default"/>
        <w:rPr>
          <w:szCs w:val="23"/>
          <w:lang w:val="lv-LV"/>
        </w:rPr>
      </w:pPr>
      <w:r w:rsidRPr="00C331A0">
        <w:rPr>
          <w:b/>
          <w:bCs/>
          <w:szCs w:val="23"/>
          <w:lang w:val="lv-LV"/>
        </w:rPr>
        <w:t>3. ZĀĻU FORMA</w:t>
      </w:r>
    </w:p>
    <w:p w14:paraId="25C047F1" w14:textId="77777777" w:rsidR="00E42F72" w:rsidRDefault="00E42F72" w:rsidP="00A75C3F">
      <w:pPr>
        <w:pStyle w:val="Default"/>
        <w:rPr>
          <w:szCs w:val="23"/>
          <w:lang w:val="lv-LV"/>
        </w:rPr>
      </w:pPr>
    </w:p>
    <w:p w14:paraId="5C94BE91" w14:textId="77777777" w:rsidR="002E5DDC" w:rsidRPr="00C331A0" w:rsidRDefault="002E5DDC" w:rsidP="00A75C3F">
      <w:pPr>
        <w:pStyle w:val="Default"/>
        <w:rPr>
          <w:szCs w:val="23"/>
          <w:lang w:val="lv-LV"/>
        </w:rPr>
      </w:pPr>
      <w:r w:rsidRPr="00C331A0">
        <w:rPr>
          <w:szCs w:val="23"/>
          <w:lang w:val="lv-LV"/>
        </w:rPr>
        <w:t>Apvalkotā</w:t>
      </w:r>
      <w:r w:rsidR="00C331A0">
        <w:rPr>
          <w:szCs w:val="23"/>
          <w:lang w:val="lv-LV"/>
        </w:rPr>
        <w:t xml:space="preserve"> tablete.</w:t>
      </w:r>
    </w:p>
    <w:p w14:paraId="515FAE98" w14:textId="77777777" w:rsidR="002E5DDC" w:rsidRPr="00C331A0" w:rsidRDefault="002E5DDC" w:rsidP="00A75C3F">
      <w:pPr>
        <w:pStyle w:val="Default"/>
        <w:rPr>
          <w:szCs w:val="23"/>
          <w:lang w:val="lv-LV"/>
        </w:rPr>
      </w:pPr>
      <w:r w:rsidRPr="00C331A0">
        <w:rPr>
          <w:szCs w:val="23"/>
          <w:lang w:val="lv-LV"/>
        </w:rPr>
        <w:t>Apaļas, baltas tabletes ar dalījuma līniju abās pusēs un sā</w:t>
      </w:r>
      <w:r w:rsidR="00C331A0">
        <w:rPr>
          <w:szCs w:val="23"/>
          <w:lang w:val="lv-LV"/>
        </w:rPr>
        <w:t>nos, diametrs 8 mm.</w:t>
      </w:r>
    </w:p>
    <w:p w14:paraId="5EB9E8F7" w14:textId="77777777" w:rsidR="002E5DDC" w:rsidRDefault="002E5DDC" w:rsidP="00A75C3F">
      <w:pPr>
        <w:pStyle w:val="Default"/>
        <w:rPr>
          <w:szCs w:val="23"/>
          <w:lang w:val="lv-LV"/>
        </w:rPr>
      </w:pPr>
    </w:p>
    <w:p w14:paraId="1D2B2D37" w14:textId="77777777" w:rsidR="00E42F72" w:rsidRPr="00C331A0" w:rsidRDefault="00E42F72" w:rsidP="00A75C3F">
      <w:pPr>
        <w:pStyle w:val="Default"/>
        <w:rPr>
          <w:szCs w:val="23"/>
          <w:lang w:val="lv-LV"/>
        </w:rPr>
      </w:pPr>
    </w:p>
    <w:p w14:paraId="1C725686" w14:textId="77777777" w:rsidR="002E5DDC" w:rsidRPr="00C331A0" w:rsidRDefault="002E5DDC" w:rsidP="00A75C3F">
      <w:pPr>
        <w:pStyle w:val="Default"/>
        <w:rPr>
          <w:szCs w:val="23"/>
          <w:lang w:val="lv-LV"/>
        </w:rPr>
      </w:pPr>
      <w:r w:rsidRPr="00C331A0">
        <w:rPr>
          <w:b/>
          <w:bCs/>
          <w:szCs w:val="23"/>
          <w:lang w:val="lv-LV"/>
        </w:rPr>
        <w:t>4. KLĪNISKĀ INFORMĀCIJA</w:t>
      </w:r>
    </w:p>
    <w:p w14:paraId="696E075A" w14:textId="77777777" w:rsidR="00E42F72" w:rsidRDefault="00E42F72" w:rsidP="00A75C3F">
      <w:pPr>
        <w:pStyle w:val="Default"/>
        <w:rPr>
          <w:b/>
          <w:bCs/>
          <w:szCs w:val="23"/>
          <w:lang w:val="lv-LV"/>
        </w:rPr>
      </w:pPr>
    </w:p>
    <w:p w14:paraId="3D1CFC22" w14:textId="77777777" w:rsidR="002E5DDC" w:rsidRPr="00C331A0" w:rsidRDefault="002E5DDC" w:rsidP="00A75C3F">
      <w:pPr>
        <w:pStyle w:val="Default"/>
        <w:rPr>
          <w:szCs w:val="23"/>
          <w:lang w:val="lv-LV"/>
        </w:rPr>
      </w:pPr>
      <w:r w:rsidRPr="00C331A0">
        <w:rPr>
          <w:b/>
          <w:bCs/>
          <w:szCs w:val="23"/>
          <w:lang w:val="lv-LV"/>
        </w:rPr>
        <w:t>4.1</w:t>
      </w:r>
      <w:r w:rsidR="00A576E0">
        <w:rPr>
          <w:b/>
          <w:bCs/>
          <w:szCs w:val="23"/>
          <w:lang w:val="lv-LV"/>
        </w:rPr>
        <w:t>.</w:t>
      </w:r>
      <w:r w:rsidRPr="00C331A0">
        <w:rPr>
          <w:b/>
          <w:bCs/>
          <w:szCs w:val="23"/>
          <w:lang w:val="lv-LV"/>
        </w:rPr>
        <w:t xml:space="preserve"> Terapeitiskās indikācijas</w:t>
      </w:r>
    </w:p>
    <w:p w14:paraId="1C018889" w14:textId="77777777" w:rsidR="00E42F72" w:rsidRDefault="00E42F72" w:rsidP="00A75C3F">
      <w:pPr>
        <w:pStyle w:val="Default"/>
        <w:rPr>
          <w:szCs w:val="23"/>
          <w:lang w:val="lv-LV"/>
        </w:rPr>
      </w:pPr>
    </w:p>
    <w:p w14:paraId="01DF9DA1" w14:textId="77777777" w:rsidR="002E5DDC" w:rsidRPr="00C331A0" w:rsidRDefault="002E5DDC" w:rsidP="00A75C3F">
      <w:pPr>
        <w:pStyle w:val="Default"/>
        <w:rPr>
          <w:szCs w:val="23"/>
          <w:lang w:val="lv-LV"/>
        </w:rPr>
      </w:pPr>
      <w:r w:rsidRPr="00C331A0">
        <w:rPr>
          <w:szCs w:val="23"/>
          <w:lang w:val="lv-LV"/>
        </w:rPr>
        <w:t>Depresijas stāvokļu ārstēš</w:t>
      </w:r>
      <w:r w:rsidR="00C331A0">
        <w:rPr>
          <w:szCs w:val="23"/>
          <w:lang w:val="lv-LV"/>
        </w:rPr>
        <w:t>ana.</w:t>
      </w:r>
    </w:p>
    <w:p w14:paraId="7AAEE341" w14:textId="77777777" w:rsidR="00006CF4" w:rsidRPr="00006CF4" w:rsidRDefault="002E5DDC" w:rsidP="00006CF4">
      <w:pPr>
        <w:pStyle w:val="Default"/>
        <w:rPr>
          <w:lang w:val="lv-LV"/>
        </w:rPr>
      </w:pPr>
      <w:r w:rsidRPr="00E0604F">
        <w:rPr>
          <w:lang w:val="lv-LV"/>
        </w:rPr>
        <w:t>Panikas lēkmju ar vai bez agorafobijas ārstēš</w:t>
      </w:r>
      <w:r w:rsidR="00C331A0" w:rsidRPr="00E0604F">
        <w:rPr>
          <w:lang w:val="lv-LV"/>
        </w:rPr>
        <w:t>ana.</w:t>
      </w:r>
    </w:p>
    <w:p w14:paraId="2251368B" w14:textId="77777777" w:rsidR="002E5DDC" w:rsidRPr="00C331A0" w:rsidRDefault="002E5DDC" w:rsidP="00A75C3F">
      <w:pPr>
        <w:pStyle w:val="Default"/>
        <w:rPr>
          <w:szCs w:val="23"/>
          <w:lang w:val="lv-LV"/>
        </w:rPr>
      </w:pPr>
    </w:p>
    <w:p w14:paraId="20A63BB4" w14:textId="77777777" w:rsidR="002E5DDC" w:rsidRPr="00C331A0" w:rsidRDefault="002E5DDC" w:rsidP="00A75C3F">
      <w:pPr>
        <w:pStyle w:val="Default"/>
        <w:rPr>
          <w:szCs w:val="23"/>
          <w:lang w:val="lv-LV"/>
        </w:rPr>
      </w:pPr>
      <w:r w:rsidRPr="00C331A0">
        <w:rPr>
          <w:b/>
          <w:bCs/>
          <w:szCs w:val="23"/>
          <w:lang w:val="lv-LV"/>
        </w:rPr>
        <w:t>4.2</w:t>
      </w:r>
      <w:r w:rsidR="00A576E0">
        <w:rPr>
          <w:b/>
          <w:bCs/>
          <w:szCs w:val="23"/>
          <w:lang w:val="lv-LV"/>
        </w:rPr>
        <w:t>.</w:t>
      </w:r>
      <w:r w:rsidRPr="00C331A0">
        <w:rPr>
          <w:b/>
          <w:bCs/>
          <w:szCs w:val="23"/>
          <w:lang w:val="lv-LV"/>
        </w:rPr>
        <w:t xml:space="preserve"> Devas un lietošanas veids</w:t>
      </w:r>
    </w:p>
    <w:p w14:paraId="244D2DA0" w14:textId="77777777" w:rsidR="00E42F72" w:rsidRDefault="00E42F72" w:rsidP="00A75C3F">
      <w:pPr>
        <w:pStyle w:val="Default"/>
        <w:rPr>
          <w:szCs w:val="23"/>
          <w:lang w:val="lv-LV"/>
        </w:rPr>
      </w:pPr>
    </w:p>
    <w:p w14:paraId="3FDC26AC" w14:textId="77777777" w:rsidR="002E5DDC" w:rsidRPr="00C331A0" w:rsidRDefault="002E5DDC" w:rsidP="00A75C3F">
      <w:pPr>
        <w:pStyle w:val="Default"/>
        <w:rPr>
          <w:szCs w:val="23"/>
          <w:lang w:val="lv-LV"/>
        </w:rPr>
      </w:pPr>
    </w:p>
    <w:p w14:paraId="7BC45C43" w14:textId="77777777" w:rsidR="002E5DDC" w:rsidRPr="005C7D0E" w:rsidRDefault="002E5DDC" w:rsidP="00A75C3F">
      <w:pPr>
        <w:pStyle w:val="Default"/>
        <w:rPr>
          <w:szCs w:val="23"/>
          <w:u w:val="single"/>
          <w:lang w:val="lv-LV"/>
        </w:rPr>
      </w:pPr>
      <w:r w:rsidRPr="005C7D0E">
        <w:rPr>
          <w:szCs w:val="23"/>
          <w:u w:val="single"/>
          <w:lang w:val="lv-LV"/>
        </w:rPr>
        <w:t>Smagu depresijas stāvokļu ārstēš</w:t>
      </w:r>
      <w:r w:rsidR="00C331A0" w:rsidRPr="005C7D0E">
        <w:rPr>
          <w:szCs w:val="23"/>
          <w:u w:val="single"/>
          <w:lang w:val="lv-LV"/>
        </w:rPr>
        <w:t>ana:</w:t>
      </w:r>
    </w:p>
    <w:p w14:paraId="371476FE" w14:textId="77777777" w:rsidR="002E5DDC" w:rsidRPr="00C331A0" w:rsidRDefault="002E5DDC" w:rsidP="00A75C3F">
      <w:pPr>
        <w:pStyle w:val="Default"/>
        <w:rPr>
          <w:szCs w:val="23"/>
          <w:lang w:val="lv-LV"/>
        </w:rPr>
      </w:pPr>
      <w:r w:rsidRPr="00C331A0">
        <w:rPr>
          <w:i/>
          <w:iCs/>
          <w:szCs w:val="23"/>
          <w:lang w:val="lv-LV"/>
        </w:rPr>
        <w:t>Pieaugušie:</w:t>
      </w:r>
    </w:p>
    <w:p w14:paraId="2725C378" w14:textId="77777777" w:rsidR="002E5DDC" w:rsidRPr="00C331A0" w:rsidRDefault="002E5DDC" w:rsidP="00A75C3F">
      <w:pPr>
        <w:pStyle w:val="Default"/>
        <w:rPr>
          <w:szCs w:val="23"/>
          <w:lang w:val="lv-LV"/>
        </w:rPr>
      </w:pPr>
      <w:r w:rsidRPr="00C331A0">
        <w:rPr>
          <w:szCs w:val="23"/>
          <w:lang w:val="lv-LV"/>
        </w:rPr>
        <w:t>Citaloprāms iekšķīgi jālieto kā 20 mg reizes deva dienā</w:t>
      </w:r>
      <w:r w:rsidR="00C331A0">
        <w:rPr>
          <w:szCs w:val="23"/>
          <w:lang w:val="lv-LV"/>
        </w:rPr>
        <w:t>.</w:t>
      </w:r>
    </w:p>
    <w:p w14:paraId="6EC89A39" w14:textId="77777777" w:rsidR="002E5DDC" w:rsidRPr="00C331A0" w:rsidRDefault="002E5DDC" w:rsidP="00A75C3F">
      <w:pPr>
        <w:pStyle w:val="Default"/>
        <w:rPr>
          <w:szCs w:val="23"/>
          <w:lang w:val="lv-LV"/>
        </w:rPr>
      </w:pPr>
      <w:r w:rsidRPr="00C331A0">
        <w:rPr>
          <w:szCs w:val="23"/>
          <w:lang w:val="lv-LV"/>
        </w:rPr>
        <w:t>Atkarībā no pacienta individuālas atbildes reakcijas, devu var palielināt maksimāli līdz 40 mg dienā</w:t>
      </w:r>
      <w:r w:rsidR="00C331A0">
        <w:rPr>
          <w:szCs w:val="23"/>
          <w:lang w:val="lv-LV"/>
        </w:rPr>
        <w:t>.</w:t>
      </w:r>
    </w:p>
    <w:p w14:paraId="20D16F6D" w14:textId="77777777" w:rsidR="002E5DDC" w:rsidRPr="00C331A0" w:rsidRDefault="002E5DDC" w:rsidP="00A75C3F">
      <w:pPr>
        <w:pStyle w:val="Default"/>
        <w:rPr>
          <w:szCs w:val="23"/>
          <w:lang w:val="lv-LV"/>
        </w:rPr>
      </w:pPr>
    </w:p>
    <w:p w14:paraId="1DAC5FAC" w14:textId="77777777" w:rsidR="002E5DDC" w:rsidRPr="00C331A0" w:rsidRDefault="002E5DDC" w:rsidP="00A75C3F">
      <w:pPr>
        <w:pStyle w:val="Default"/>
        <w:rPr>
          <w:szCs w:val="23"/>
          <w:lang w:val="lv-LV"/>
        </w:rPr>
      </w:pPr>
      <w:r w:rsidRPr="00B34CBD">
        <w:rPr>
          <w:lang w:val="lv-LV"/>
        </w:rPr>
        <w:t xml:space="preserve"> </w:t>
      </w:r>
      <w:r w:rsidR="00FE440A" w:rsidRPr="00B34CBD">
        <w:rPr>
          <w:spacing w:val="-3"/>
          <w:lang w:val="lv-LV"/>
        </w:rPr>
        <w:t xml:space="preserve"> Ārstēšana ar antidepresantiem ir simptomātiska, tādēļ tā jāturpina pietiekami ilgi, parasti 6 mēnešus vai ilgāk, lai novērstu recidīvu. Pacientiem ar recidivējošu (unipolāru) depresiju uzturošā terapija var būt jāturpina vairākus gadus, lai novērstu jaunas epizodes.</w:t>
      </w:r>
    </w:p>
    <w:p w14:paraId="78DF105D" w14:textId="77777777" w:rsidR="002E5DDC" w:rsidRPr="00C331A0" w:rsidRDefault="002E5DDC" w:rsidP="00A75C3F">
      <w:pPr>
        <w:pStyle w:val="Default"/>
        <w:rPr>
          <w:szCs w:val="23"/>
          <w:lang w:val="lv-LV"/>
        </w:rPr>
      </w:pPr>
    </w:p>
    <w:p w14:paraId="2083B98C" w14:textId="77777777" w:rsidR="002E5DDC" w:rsidRPr="005C7D0E" w:rsidRDefault="002E5DDC" w:rsidP="00A75C3F">
      <w:pPr>
        <w:pStyle w:val="Default"/>
        <w:rPr>
          <w:szCs w:val="23"/>
          <w:u w:val="single"/>
          <w:lang w:val="lv-LV"/>
        </w:rPr>
      </w:pPr>
      <w:r w:rsidRPr="005C7D0E">
        <w:rPr>
          <w:szCs w:val="23"/>
          <w:u w:val="single"/>
          <w:lang w:val="lv-LV"/>
        </w:rPr>
        <w:t>Panikas lēkmju ārstēš</w:t>
      </w:r>
      <w:r w:rsidR="00C331A0" w:rsidRPr="005C7D0E">
        <w:rPr>
          <w:szCs w:val="23"/>
          <w:u w:val="single"/>
          <w:lang w:val="lv-LV"/>
        </w:rPr>
        <w:t>ana:</w:t>
      </w:r>
    </w:p>
    <w:p w14:paraId="7871E9C7" w14:textId="77777777" w:rsidR="002E5DDC" w:rsidRPr="00C331A0" w:rsidRDefault="002E5DDC" w:rsidP="00A75C3F">
      <w:pPr>
        <w:pStyle w:val="Default"/>
        <w:rPr>
          <w:szCs w:val="23"/>
          <w:lang w:val="lv-LV"/>
        </w:rPr>
      </w:pPr>
      <w:r w:rsidRPr="00C331A0">
        <w:rPr>
          <w:i/>
          <w:iCs/>
          <w:szCs w:val="23"/>
          <w:lang w:val="lv-LV"/>
        </w:rPr>
        <w:t>Pieaugušie:</w:t>
      </w:r>
    </w:p>
    <w:p w14:paraId="452260CB" w14:textId="77777777" w:rsidR="002E5DDC" w:rsidRPr="00C331A0" w:rsidRDefault="002E5DDC" w:rsidP="00A75C3F">
      <w:pPr>
        <w:pStyle w:val="Default"/>
        <w:rPr>
          <w:szCs w:val="23"/>
          <w:lang w:val="lv-LV"/>
        </w:rPr>
      </w:pPr>
      <w:r w:rsidRPr="00C331A0">
        <w:rPr>
          <w:szCs w:val="23"/>
          <w:lang w:val="lv-LV"/>
        </w:rPr>
        <w:t>Pirmajā ārstēšanas nedēļā zāles ieteicams lietot pa 10 mg dienā vienreizējas devas veidā, pēc tam devu var palielināt līdz 20 mg dienā. Atkarībā no pacienta individuālas atbildes reakcijas, devu var palielināt maksimāli līdz 40 mg dienā</w:t>
      </w:r>
      <w:r w:rsidR="00C331A0">
        <w:rPr>
          <w:szCs w:val="23"/>
          <w:lang w:val="lv-LV"/>
        </w:rPr>
        <w:t>.</w:t>
      </w:r>
    </w:p>
    <w:p w14:paraId="52E81BFE" w14:textId="77777777" w:rsidR="000228F8" w:rsidRDefault="000228F8" w:rsidP="00A75C3F">
      <w:pPr>
        <w:pStyle w:val="Default"/>
        <w:rPr>
          <w:szCs w:val="23"/>
          <w:u w:val="single"/>
          <w:lang w:val="lv-LV"/>
        </w:rPr>
      </w:pPr>
    </w:p>
    <w:p w14:paraId="2D86CDB8" w14:textId="77777777" w:rsidR="002E5DDC" w:rsidRPr="005C7D0E" w:rsidRDefault="002E5DDC" w:rsidP="00A75C3F">
      <w:pPr>
        <w:pStyle w:val="Default"/>
        <w:rPr>
          <w:szCs w:val="23"/>
          <w:u w:val="single"/>
          <w:lang w:val="lv-LV"/>
        </w:rPr>
      </w:pPr>
      <w:r w:rsidRPr="005C7D0E">
        <w:rPr>
          <w:szCs w:val="23"/>
          <w:u w:val="single"/>
          <w:lang w:val="lv-LV"/>
        </w:rPr>
        <w:t>Gados vecā</w:t>
      </w:r>
      <w:r w:rsidR="00C331A0" w:rsidRPr="005C7D0E">
        <w:rPr>
          <w:szCs w:val="23"/>
          <w:u w:val="single"/>
          <w:lang w:val="lv-LV"/>
        </w:rPr>
        <w:t>ki pacienti (&gt;65 gadi):</w:t>
      </w:r>
    </w:p>
    <w:p w14:paraId="278EDBA5" w14:textId="77777777" w:rsidR="002E5DDC" w:rsidRDefault="002E5DDC" w:rsidP="00A75C3F">
      <w:pPr>
        <w:pStyle w:val="Default"/>
        <w:rPr>
          <w:szCs w:val="23"/>
          <w:lang w:val="lv-LV"/>
        </w:rPr>
      </w:pPr>
      <w:r w:rsidRPr="00C331A0">
        <w:rPr>
          <w:szCs w:val="23"/>
          <w:lang w:val="lv-LV"/>
        </w:rPr>
        <w:t>Gados vecākiem pacientiem deva ir jāsamazina uz pusi no ieteicamās devas, t.i., līdz 10 – 20 mg dienā. Maksimālā ieteicamā deva gados vecākiem pacientiem ir 20 mg dienā</w:t>
      </w:r>
      <w:r w:rsidR="00C331A0">
        <w:rPr>
          <w:szCs w:val="23"/>
          <w:lang w:val="lv-LV"/>
        </w:rPr>
        <w:t>.</w:t>
      </w:r>
    </w:p>
    <w:p w14:paraId="2E8D0D94" w14:textId="77777777" w:rsidR="000533E0" w:rsidRDefault="000533E0" w:rsidP="00900994">
      <w:pPr>
        <w:pStyle w:val="NoSpacing"/>
        <w:rPr>
          <w:lang w:val="lv-LV"/>
        </w:rPr>
      </w:pPr>
    </w:p>
    <w:p w14:paraId="744EA8ED" w14:textId="77777777" w:rsidR="000533E0" w:rsidRPr="00E0604F" w:rsidRDefault="000533E0" w:rsidP="00900994">
      <w:pPr>
        <w:pStyle w:val="NoSpacing"/>
        <w:rPr>
          <w:rFonts w:ascii="Times New Roman" w:hAnsi="Times New Roman"/>
          <w:spacing w:val="-3"/>
          <w:sz w:val="24"/>
          <w:szCs w:val="24"/>
          <w:u w:val="single"/>
          <w:lang w:val="lv-LV"/>
        </w:rPr>
      </w:pPr>
      <w:r w:rsidRPr="00E0604F">
        <w:rPr>
          <w:rFonts w:ascii="Times New Roman" w:hAnsi="Times New Roman"/>
          <w:spacing w:val="-3"/>
          <w:sz w:val="24"/>
          <w:szCs w:val="24"/>
          <w:u w:val="single"/>
          <w:lang w:val="lv-LV"/>
        </w:rPr>
        <w:t>Bērni un pusaudži (&lt; 18 g.v.)</w:t>
      </w:r>
    </w:p>
    <w:p w14:paraId="08B374DA" w14:textId="77777777" w:rsidR="000533E0" w:rsidRPr="00E0604F" w:rsidRDefault="000533E0" w:rsidP="00900994">
      <w:pPr>
        <w:pStyle w:val="NoSpacing"/>
        <w:rPr>
          <w:sz w:val="24"/>
          <w:szCs w:val="24"/>
          <w:lang w:val="lv-LV"/>
        </w:rPr>
      </w:pPr>
      <w:r w:rsidRPr="00E0604F">
        <w:rPr>
          <w:rFonts w:ascii="Times New Roman" w:hAnsi="Times New Roman"/>
          <w:spacing w:val="-3"/>
          <w:sz w:val="24"/>
          <w:szCs w:val="24"/>
          <w:lang w:val="lv-LV"/>
        </w:rPr>
        <w:t xml:space="preserve">Citaloprāmu nedrīkst lietot bērnu un pusaudžu, </w:t>
      </w:r>
      <w:r w:rsidR="005E1E99">
        <w:rPr>
          <w:rFonts w:ascii="Times New Roman" w:hAnsi="Times New Roman"/>
          <w:spacing w:val="-3"/>
          <w:sz w:val="24"/>
          <w:szCs w:val="24"/>
          <w:lang w:val="lv-LV"/>
        </w:rPr>
        <w:t xml:space="preserve">kas </w:t>
      </w:r>
      <w:r w:rsidRPr="00E0604F">
        <w:rPr>
          <w:rFonts w:ascii="Times New Roman" w:hAnsi="Times New Roman"/>
          <w:spacing w:val="-3"/>
          <w:sz w:val="24"/>
          <w:szCs w:val="24"/>
          <w:lang w:val="lv-LV"/>
        </w:rPr>
        <w:t>jaunāk</w:t>
      </w:r>
      <w:r w:rsidR="005E1E99">
        <w:rPr>
          <w:rFonts w:ascii="Times New Roman" w:hAnsi="Times New Roman"/>
          <w:spacing w:val="-3"/>
          <w:sz w:val="24"/>
          <w:szCs w:val="24"/>
          <w:lang w:val="lv-LV"/>
        </w:rPr>
        <w:t>i</w:t>
      </w:r>
      <w:r w:rsidRPr="00E0604F">
        <w:rPr>
          <w:rFonts w:ascii="Times New Roman" w:hAnsi="Times New Roman"/>
          <w:spacing w:val="-3"/>
          <w:sz w:val="24"/>
          <w:szCs w:val="24"/>
          <w:lang w:val="lv-LV"/>
        </w:rPr>
        <w:t xml:space="preserve"> par 18 gadiem, ārstēšanai, </w:t>
      </w:r>
      <w:r w:rsidR="00F7407F">
        <w:rPr>
          <w:rFonts w:ascii="Times New Roman" w:hAnsi="Times New Roman"/>
          <w:spacing w:val="-3"/>
          <w:sz w:val="24"/>
          <w:szCs w:val="24"/>
          <w:lang w:val="lv-LV"/>
        </w:rPr>
        <w:t xml:space="preserve">jo drošums un efektivitāte šajā populācijā nav pierādīta </w:t>
      </w:r>
      <w:r w:rsidR="00122DC9">
        <w:rPr>
          <w:rFonts w:ascii="Times New Roman" w:hAnsi="Times New Roman"/>
          <w:spacing w:val="-3"/>
          <w:sz w:val="24"/>
          <w:szCs w:val="24"/>
          <w:lang w:val="lv-LV"/>
        </w:rPr>
        <w:t>(</w:t>
      </w:r>
      <w:r w:rsidRPr="00E0604F">
        <w:rPr>
          <w:rFonts w:ascii="Times New Roman" w:hAnsi="Times New Roman"/>
          <w:spacing w:val="-3"/>
          <w:sz w:val="24"/>
          <w:szCs w:val="24"/>
          <w:lang w:val="lv-LV"/>
        </w:rPr>
        <w:t>skatīt 4.4. apakšpunkt</w:t>
      </w:r>
      <w:r w:rsidR="00122DC9">
        <w:rPr>
          <w:rFonts w:ascii="Times New Roman" w:hAnsi="Times New Roman"/>
          <w:spacing w:val="-3"/>
          <w:sz w:val="24"/>
          <w:szCs w:val="24"/>
          <w:lang w:val="lv-LV"/>
        </w:rPr>
        <w:t>u).</w:t>
      </w:r>
    </w:p>
    <w:p w14:paraId="67968045" w14:textId="77777777" w:rsidR="002E5DDC" w:rsidRPr="00C331A0" w:rsidRDefault="002E5DDC" w:rsidP="00A75C3F">
      <w:pPr>
        <w:pStyle w:val="Default"/>
        <w:rPr>
          <w:szCs w:val="23"/>
          <w:lang w:val="lv-LV"/>
        </w:rPr>
      </w:pPr>
    </w:p>
    <w:p w14:paraId="13C3D64C" w14:textId="77777777" w:rsidR="002E5DDC" w:rsidRPr="00C331A0" w:rsidRDefault="002E5DDC" w:rsidP="00A75C3F">
      <w:pPr>
        <w:pStyle w:val="Default"/>
        <w:rPr>
          <w:szCs w:val="23"/>
          <w:lang w:val="lv-LV"/>
        </w:rPr>
      </w:pPr>
    </w:p>
    <w:p w14:paraId="5B00E56B" w14:textId="77777777" w:rsidR="00C331A0" w:rsidRPr="00FE7FCE" w:rsidRDefault="002E5DDC" w:rsidP="00A75C3F">
      <w:pPr>
        <w:pStyle w:val="Default"/>
        <w:rPr>
          <w:iCs/>
          <w:szCs w:val="23"/>
          <w:u w:val="single"/>
          <w:lang w:val="lv-LV"/>
        </w:rPr>
      </w:pPr>
      <w:r w:rsidRPr="00FE7FCE">
        <w:rPr>
          <w:iCs/>
          <w:szCs w:val="23"/>
          <w:u w:val="single"/>
          <w:lang w:val="lv-LV"/>
        </w:rPr>
        <w:t>Nieru darbības traucējumi</w:t>
      </w:r>
    </w:p>
    <w:p w14:paraId="4C6E2278" w14:textId="77777777" w:rsidR="00C331A0" w:rsidRDefault="002E5DDC" w:rsidP="00A75C3F">
      <w:pPr>
        <w:pStyle w:val="Default"/>
        <w:rPr>
          <w:szCs w:val="23"/>
          <w:lang w:val="lv-LV"/>
        </w:rPr>
      </w:pPr>
      <w:r w:rsidRPr="00C331A0">
        <w:rPr>
          <w:szCs w:val="23"/>
          <w:lang w:val="lv-LV"/>
        </w:rPr>
        <w:t xml:space="preserve">Devas pielāgošana pacientiem ar viegliem vai mēreniem nieru darbības traucējumiem nav nepieciešama. Nav pieejama informācija par pacientu ar smagiem nieru darbības traucējumiem ārstēšanu (kreatinīna klīrenss mazāks par 20 ml/min, skatīt </w:t>
      </w:r>
      <w:r w:rsidR="00FE440A">
        <w:rPr>
          <w:szCs w:val="23"/>
          <w:lang w:val="lv-LV"/>
        </w:rPr>
        <w:t>5.2</w:t>
      </w:r>
      <w:r w:rsidR="00A10241">
        <w:rPr>
          <w:szCs w:val="23"/>
          <w:lang w:val="lv-LV"/>
        </w:rPr>
        <w:t xml:space="preserve">. </w:t>
      </w:r>
      <w:r w:rsidRPr="00C331A0">
        <w:rPr>
          <w:szCs w:val="23"/>
          <w:lang w:val="lv-LV"/>
        </w:rPr>
        <w:t>apakš</w:t>
      </w:r>
      <w:r w:rsidR="00C331A0">
        <w:rPr>
          <w:szCs w:val="23"/>
          <w:lang w:val="lv-LV"/>
        </w:rPr>
        <w:t>punktu).</w:t>
      </w:r>
    </w:p>
    <w:p w14:paraId="382D4550" w14:textId="77777777" w:rsidR="00C331A0" w:rsidRDefault="00C331A0" w:rsidP="00A75C3F">
      <w:pPr>
        <w:pStyle w:val="Default"/>
        <w:rPr>
          <w:szCs w:val="23"/>
          <w:lang w:val="lv-LV"/>
        </w:rPr>
      </w:pPr>
    </w:p>
    <w:p w14:paraId="3BC8E13C" w14:textId="77777777" w:rsidR="002E5DDC" w:rsidRPr="00FE7FCE" w:rsidRDefault="002E5DDC" w:rsidP="00A75C3F">
      <w:pPr>
        <w:pStyle w:val="Default"/>
        <w:rPr>
          <w:szCs w:val="23"/>
          <w:u w:val="single"/>
          <w:lang w:val="lv-LV"/>
        </w:rPr>
      </w:pPr>
      <w:r w:rsidRPr="00FE7FCE">
        <w:rPr>
          <w:iCs/>
          <w:szCs w:val="23"/>
          <w:u w:val="single"/>
          <w:lang w:val="lv-LV"/>
        </w:rPr>
        <w:t>Aknu darbības traucējumi</w:t>
      </w:r>
    </w:p>
    <w:p w14:paraId="2475861A" w14:textId="77777777" w:rsidR="002E5DDC" w:rsidRPr="00C331A0" w:rsidRDefault="002E5DDC" w:rsidP="00A75C3F">
      <w:pPr>
        <w:pStyle w:val="Default"/>
        <w:rPr>
          <w:szCs w:val="23"/>
          <w:lang w:val="lv-LV"/>
        </w:rPr>
      </w:pPr>
      <w:r w:rsidRPr="00C331A0">
        <w:rPr>
          <w:szCs w:val="23"/>
          <w:lang w:val="lv-LV"/>
        </w:rPr>
        <w:t>Pacientiem ar viegliem līdz vidēji smagiem aknu darbības traucējumiem pirmo divu terapijas nedēļu laikā ieteicamā sākuma deva ir 10 mg dienā. Atkarībā no pacienta individuālas atbildes reakcijas, devu var palielināt maksimāli līdz 20 mg dienā. Pacientiem ar smagiem aknu darbības traucējumiem jāievēro piesardzība un deva jāpalielina, ievērojot īpašu piesardzību (skatīt 5.2</w:t>
      </w:r>
      <w:r w:rsidR="00464835">
        <w:rPr>
          <w:szCs w:val="23"/>
          <w:lang w:val="lv-LV"/>
        </w:rPr>
        <w:t>.</w:t>
      </w:r>
      <w:r w:rsidRPr="00C331A0">
        <w:rPr>
          <w:szCs w:val="23"/>
          <w:lang w:val="lv-LV"/>
        </w:rPr>
        <w:t xml:space="preserve"> apakš</w:t>
      </w:r>
      <w:r w:rsidR="00C331A0">
        <w:rPr>
          <w:szCs w:val="23"/>
          <w:lang w:val="lv-LV"/>
        </w:rPr>
        <w:t>punktu).</w:t>
      </w:r>
    </w:p>
    <w:p w14:paraId="4BA65BFA" w14:textId="77777777" w:rsidR="002E5DDC" w:rsidRPr="00C331A0" w:rsidRDefault="002E5DDC" w:rsidP="00A75C3F">
      <w:pPr>
        <w:pStyle w:val="Default"/>
        <w:rPr>
          <w:szCs w:val="23"/>
          <w:lang w:val="lv-LV"/>
        </w:rPr>
      </w:pPr>
    </w:p>
    <w:p w14:paraId="48235911" w14:textId="77777777" w:rsidR="002E5DDC" w:rsidRPr="00FE7FCE" w:rsidRDefault="002E5DDC" w:rsidP="00A75C3F">
      <w:pPr>
        <w:pStyle w:val="Default"/>
        <w:rPr>
          <w:szCs w:val="23"/>
          <w:u w:val="single"/>
          <w:lang w:val="lv-LV"/>
        </w:rPr>
      </w:pPr>
      <w:r w:rsidRPr="00FE7FCE">
        <w:rPr>
          <w:iCs/>
          <w:szCs w:val="23"/>
          <w:u w:val="single"/>
          <w:lang w:val="lv-LV"/>
        </w:rPr>
        <w:t>Vāji CYP2C19 metabolizētāji</w:t>
      </w:r>
    </w:p>
    <w:p w14:paraId="0F1CB373" w14:textId="77777777" w:rsidR="002E5DDC" w:rsidRPr="00C331A0" w:rsidRDefault="002E5DDC" w:rsidP="00A75C3F">
      <w:pPr>
        <w:pStyle w:val="Default"/>
        <w:rPr>
          <w:szCs w:val="23"/>
          <w:lang w:val="lv-LV"/>
        </w:rPr>
      </w:pPr>
      <w:r w:rsidRPr="00C331A0">
        <w:rPr>
          <w:szCs w:val="23"/>
          <w:lang w:val="lv-LV"/>
        </w:rPr>
        <w:t>Zināmiem vājiem CYP2C19 metabolizētājiem ieteicamā sākuma deva pirmo divu ārstēšanas nedēļu laikā ir 10 mg. Atkarībā no pacienta individuālas atbildes reakcijas, devu var palielināt maksimāli līdz 20 mg dienā (skatīt 5.2</w:t>
      </w:r>
      <w:r w:rsidR="00464835">
        <w:rPr>
          <w:szCs w:val="23"/>
          <w:lang w:val="lv-LV"/>
        </w:rPr>
        <w:t>.</w:t>
      </w:r>
      <w:r w:rsidRPr="00C331A0">
        <w:rPr>
          <w:szCs w:val="23"/>
          <w:lang w:val="lv-LV"/>
        </w:rPr>
        <w:t xml:space="preserve"> apakš</w:t>
      </w:r>
      <w:r w:rsidR="00C331A0">
        <w:rPr>
          <w:szCs w:val="23"/>
          <w:lang w:val="lv-LV"/>
        </w:rPr>
        <w:t>punktu).</w:t>
      </w:r>
    </w:p>
    <w:p w14:paraId="5B1D0730" w14:textId="77777777" w:rsidR="002E5DDC" w:rsidRPr="00C331A0" w:rsidRDefault="002E5DDC" w:rsidP="00A75C3F">
      <w:pPr>
        <w:pStyle w:val="Default"/>
        <w:rPr>
          <w:szCs w:val="23"/>
          <w:lang w:val="lv-LV"/>
        </w:rPr>
      </w:pPr>
    </w:p>
    <w:p w14:paraId="03A99010" w14:textId="77777777" w:rsidR="002E5DDC" w:rsidRPr="005C7D0E" w:rsidRDefault="002E5DDC" w:rsidP="00A75C3F">
      <w:pPr>
        <w:pStyle w:val="Default"/>
        <w:rPr>
          <w:szCs w:val="23"/>
          <w:u w:val="single"/>
          <w:lang w:val="lv-LV"/>
        </w:rPr>
      </w:pPr>
      <w:r w:rsidRPr="005C7D0E">
        <w:rPr>
          <w:szCs w:val="23"/>
          <w:u w:val="single"/>
          <w:lang w:val="lv-LV"/>
        </w:rPr>
        <w:t>Simptomi, kas novēroti, pā</w:t>
      </w:r>
      <w:r w:rsidR="00C331A0" w:rsidRPr="005C7D0E">
        <w:rPr>
          <w:szCs w:val="23"/>
          <w:u w:val="single"/>
          <w:lang w:val="lv-LV"/>
        </w:rPr>
        <w:t>rtraucot SSAI terapiju</w:t>
      </w:r>
    </w:p>
    <w:p w14:paraId="1B085E34" w14:textId="77777777" w:rsidR="002E5DDC" w:rsidRDefault="002E5DDC" w:rsidP="00A75C3F">
      <w:pPr>
        <w:pStyle w:val="Default"/>
        <w:rPr>
          <w:szCs w:val="23"/>
          <w:lang w:val="lv-LV"/>
        </w:rPr>
      </w:pPr>
      <w:r w:rsidRPr="00C331A0">
        <w:rPr>
          <w:szCs w:val="23"/>
          <w:lang w:val="lv-LV"/>
        </w:rPr>
        <w:t>Jāizvairās no straujas zāļu lietošanas pārtraukšanas. Pārtraucot ārstēšanu ar citaloprāmu, deva jāsamazina pakāpeniski laika periodā no vienas līdz divām nedēļām, lai izvairītos no iespējamajām zāļu atcelšanas reakcijām (skatīt 4.4</w:t>
      </w:r>
      <w:r w:rsidR="00464835">
        <w:rPr>
          <w:szCs w:val="23"/>
          <w:lang w:val="lv-LV"/>
        </w:rPr>
        <w:t>.</w:t>
      </w:r>
      <w:r w:rsidRPr="00C331A0">
        <w:rPr>
          <w:szCs w:val="23"/>
          <w:lang w:val="lv-LV"/>
        </w:rPr>
        <w:t xml:space="preserve"> apakšpunktu un 4.8</w:t>
      </w:r>
      <w:r w:rsidR="00464835">
        <w:rPr>
          <w:szCs w:val="23"/>
          <w:lang w:val="lv-LV"/>
        </w:rPr>
        <w:t>.</w:t>
      </w:r>
      <w:r w:rsidRPr="00C331A0">
        <w:rPr>
          <w:szCs w:val="23"/>
          <w:lang w:val="lv-LV"/>
        </w:rPr>
        <w:t xml:space="preserve"> apakšpunktu). Ja pēc devas mazināšanas vai terapijas pārtraukšanas rodas neizturami simptomi, jāapsver iepriekš parakstītās devas lietošanas atsākšana. Vēlāk ārsts var tupināt samazināt devu, bet to darot daudz </w:t>
      </w:r>
      <w:r w:rsidR="00205CE6">
        <w:rPr>
          <w:szCs w:val="23"/>
          <w:lang w:val="lv-LV"/>
        </w:rPr>
        <w:t>pakāpeniskāk</w:t>
      </w:r>
      <w:r w:rsidR="00C331A0">
        <w:rPr>
          <w:szCs w:val="23"/>
          <w:lang w:val="lv-LV"/>
        </w:rPr>
        <w:t>.</w:t>
      </w:r>
    </w:p>
    <w:p w14:paraId="2B12A0B2" w14:textId="77777777" w:rsidR="000533E0" w:rsidRDefault="000533E0" w:rsidP="00A75C3F">
      <w:pPr>
        <w:pStyle w:val="Default"/>
        <w:rPr>
          <w:szCs w:val="23"/>
          <w:lang w:val="lv-LV"/>
        </w:rPr>
      </w:pPr>
    </w:p>
    <w:p w14:paraId="04ABA229" w14:textId="77777777" w:rsidR="000533E0" w:rsidRPr="0054759F" w:rsidRDefault="000533E0" w:rsidP="0054759F">
      <w:pPr>
        <w:pStyle w:val="NoSpacing"/>
        <w:rPr>
          <w:rFonts w:ascii="Times New Roman" w:hAnsi="Times New Roman"/>
          <w:sz w:val="24"/>
          <w:szCs w:val="24"/>
          <w:u w:val="single"/>
          <w:lang w:val="lv-LV"/>
        </w:rPr>
      </w:pPr>
      <w:r w:rsidRPr="0054759F">
        <w:rPr>
          <w:rFonts w:ascii="Times New Roman" w:hAnsi="Times New Roman"/>
          <w:sz w:val="24"/>
          <w:szCs w:val="24"/>
          <w:u w:val="single"/>
          <w:lang w:val="lv-LV"/>
        </w:rPr>
        <w:t>Lietošanas veids</w:t>
      </w:r>
    </w:p>
    <w:p w14:paraId="4778BC09" w14:textId="77777777" w:rsidR="000533E0" w:rsidRPr="0054759F" w:rsidRDefault="000533E0" w:rsidP="0054759F">
      <w:pPr>
        <w:pStyle w:val="NoSpacing"/>
        <w:rPr>
          <w:rFonts w:ascii="Times New Roman" w:hAnsi="Times New Roman"/>
          <w:color w:val="000000"/>
          <w:sz w:val="24"/>
          <w:szCs w:val="24"/>
          <w:lang w:val="lv-LV"/>
        </w:rPr>
      </w:pPr>
      <w:r w:rsidRPr="0054759F">
        <w:rPr>
          <w:rFonts w:ascii="Times New Roman" w:hAnsi="Times New Roman"/>
          <w:color w:val="000000"/>
          <w:sz w:val="24"/>
          <w:szCs w:val="24"/>
          <w:lang w:val="lv-LV"/>
        </w:rPr>
        <w:t>Citaloprāma tabletes lieto vienu reizi dienā.</w:t>
      </w:r>
    </w:p>
    <w:p w14:paraId="7DD2877F" w14:textId="77777777" w:rsidR="000533E0" w:rsidRPr="00900994" w:rsidRDefault="000533E0" w:rsidP="00900994">
      <w:pPr>
        <w:pStyle w:val="NoSpacing"/>
        <w:rPr>
          <w:rFonts w:ascii="Times New Roman" w:hAnsi="Times New Roman"/>
          <w:color w:val="000000"/>
          <w:sz w:val="24"/>
          <w:szCs w:val="23"/>
          <w:lang w:val="lv-LV"/>
        </w:rPr>
      </w:pPr>
      <w:r w:rsidRPr="00900994">
        <w:rPr>
          <w:rFonts w:ascii="Times New Roman" w:hAnsi="Times New Roman"/>
          <w:color w:val="000000"/>
          <w:sz w:val="24"/>
          <w:szCs w:val="23"/>
          <w:lang w:val="lv-LV"/>
        </w:rPr>
        <w:t>Citaloprāma tabletes var lietot jebkurā diennakts laikā neatkarīgi no ēdienreizēm.</w:t>
      </w:r>
    </w:p>
    <w:p w14:paraId="10A5185D" w14:textId="77777777" w:rsidR="000533E0" w:rsidRPr="00C331A0" w:rsidRDefault="000533E0" w:rsidP="00A75C3F">
      <w:pPr>
        <w:pStyle w:val="Default"/>
        <w:rPr>
          <w:szCs w:val="23"/>
          <w:lang w:val="lv-LV"/>
        </w:rPr>
      </w:pPr>
    </w:p>
    <w:p w14:paraId="28A459C4" w14:textId="77777777" w:rsidR="002E5DDC" w:rsidRPr="00C331A0" w:rsidRDefault="002E5DDC" w:rsidP="00A75C3F">
      <w:pPr>
        <w:pStyle w:val="Default"/>
        <w:rPr>
          <w:szCs w:val="23"/>
          <w:lang w:val="lv-LV"/>
        </w:rPr>
      </w:pPr>
    </w:p>
    <w:p w14:paraId="44146D99" w14:textId="77777777" w:rsidR="002E5DDC" w:rsidRDefault="002E5DDC" w:rsidP="00A75C3F">
      <w:pPr>
        <w:pStyle w:val="Default"/>
        <w:rPr>
          <w:b/>
          <w:bCs/>
          <w:szCs w:val="23"/>
          <w:lang w:val="lv-LV"/>
        </w:rPr>
      </w:pPr>
      <w:r w:rsidRPr="00C331A0">
        <w:rPr>
          <w:b/>
          <w:bCs/>
          <w:szCs w:val="23"/>
          <w:lang w:val="lv-LV"/>
        </w:rPr>
        <w:t>4.3</w:t>
      </w:r>
      <w:r w:rsidR="00A576E0">
        <w:rPr>
          <w:b/>
          <w:bCs/>
          <w:szCs w:val="23"/>
          <w:lang w:val="lv-LV"/>
        </w:rPr>
        <w:t>.</w:t>
      </w:r>
      <w:r w:rsidRPr="00C331A0">
        <w:rPr>
          <w:b/>
          <w:bCs/>
          <w:szCs w:val="23"/>
          <w:lang w:val="lv-LV"/>
        </w:rPr>
        <w:t xml:space="preserve"> Kontrindikācijas</w:t>
      </w:r>
    </w:p>
    <w:p w14:paraId="5EBD65AA" w14:textId="77777777" w:rsidR="00E42F72" w:rsidRPr="00C331A0" w:rsidRDefault="00E42F72" w:rsidP="00A75C3F">
      <w:pPr>
        <w:pStyle w:val="Default"/>
        <w:rPr>
          <w:szCs w:val="23"/>
          <w:lang w:val="lv-LV"/>
        </w:rPr>
      </w:pPr>
    </w:p>
    <w:p w14:paraId="22F217DB" w14:textId="77777777" w:rsidR="002E5DDC" w:rsidRPr="00C331A0" w:rsidRDefault="002E5DDC" w:rsidP="00A75C3F">
      <w:pPr>
        <w:pStyle w:val="Default"/>
        <w:numPr>
          <w:ilvl w:val="0"/>
          <w:numId w:val="3"/>
        </w:numPr>
        <w:rPr>
          <w:szCs w:val="23"/>
          <w:lang w:val="lv-LV"/>
        </w:rPr>
      </w:pPr>
      <w:r w:rsidRPr="00C331A0">
        <w:rPr>
          <w:szCs w:val="23"/>
          <w:lang w:val="lv-LV"/>
        </w:rPr>
        <w:t>Paaugstināta jutība pret aktīvo vielu vai jebkuru no 6.1</w:t>
      </w:r>
      <w:r w:rsidR="00464835">
        <w:rPr>
          <w:szCs w:val="23"/>
          <w:lang w:val="lv-LV"/>
        </w:rPr>
        <w:t>.</w:t>
      </w:r>
      <w:r w:rsidRPr="00C331A0">
        <w:rPr>
          <w:szCs w:val="23"/>
          <w:lang w:val="lv-LV"/>
        </w:rPr>
        <w:t xml:space="preserve"> apakšpunktā uzskaitītajām palīgvielām</w:t>
      </w:r>
      <w:r w:rsidR="00C331A0">
        <w:rPr>
          <w:szCs w:val="23"/>
          <w:lang w:val="lv-LV"/>
        </w:rPr>
        <w:t>.</w:t>
      </w:r>
    </w:p>
    <w:p w14:paraId="3C89F205" w14:textId="77777777" w:rsidR="002E5DDC" w:rsidRPr="00C331A0" w:rsidRDefault="002E5DDC" w:rsidP="00A75C3F">
      <w:pPr>
        <w:pStyle w:val="Default"/>
        <w:numPr>
          <w:ilvl w:val="0"/>
          <w:numId w:val="3"/>
        </w:numPr>
        <w:rPr>
          <w:szCs w:val="23"/>
          <w:lang w:val="lv-LV"/>
        </w:rPr>
      </w:pPr>
      <w:r w:rsidRPr="00C331A0">
        <w:rPr>
          <w:szCs w:val="23"/>
          <w:lang w:val="lv-LV"/>
        </w:rPr>
        <w:t>MAOI (monoamīnoksidā</w:t>
      </w:r>
      <w:r w:rsidR="00C331A0">
        <w:rPr>
          <w:szCs w:val="23"/>
          <w:lang w:val="lv-LV"/>
        </w:rPr>
        <w:t>zes inhibitori):</w:t>
      </w:r>
    </w:p>
    <w:p w14:paraId="13166BE8" w14:textId="77777777" w:rsidR="002E5DDC" w:rsidRPr="00C331A0" w:rsidRDefault="002E5DDC" w:rsidP="00A75C3F">
      <w:pPr>
        <w:pStyle w:val="Default"/>
        <w:numPr>
          <w:ilvl w:val="0"/>
          <w:numId w:val="4"/>
        </w:numPr>
        <w:ind w:left="1276"/>
        <w:rPr>
          <w:szCs w:val="23"/>
          <w:lang w:val="lv-LV"/>
        </w:rPr>
      </w:pPr>
      <w:r w:rsidRPr="00C331A0">
        <w:rPr>
          <w:szCs w:val="23"/>
          <w:lang w:val="lv-LV"/>
        </w:rPr>
        <w:t>Dažos gadījumos pazīmes atgādināja serotonī</w:t>
      </w:r>
      <w:r w:rsidR="00C331A0">
        <w:rPr>
          <w:szCs w:val="23"/>
          <w:lang w:val="lv-LV"/>
        </w:rPr>
        <w:t>na sindromu.</w:t>
      </w:r>
    </w:p>
    <w:p w14:paraId="5E365EB3" w14:textId="77777777" w:rsidR="002E5DDC" w:rsidRPr="00C331A0" w:rsidRDefault="002E5DDC" w:rsidP="00A75C3F">
      <w:pPr>
        <w:pStyle w:val="Default"/>
        <w:numPr>
          <w:ilvl w:val="0"/>
          <w:numId w:val="4"/>
        </w:numPr>
        <w:ind w:left="1276"/>
        <w:rPr>
          <w:szCs w:val="23"/>
          <w:lang w:val="lv-LV"/>
        </w:rPr>
      </w:pPr>
      <w:r w:rsidRPr="00C331A0">
        <w:rPr>
          <w:szCs w:val="23"/>
          <w:lang w:val="lv-LV"/>
        </w:rPr>
        <w:t>Citaloprāmu nedrīkst lietot pacienti, kuri saņem monoamīnoksidāzes inhibitorus (MAOI), ieskaitot selegilīnu devās, kas pārsniedz 10 mg dienā</w:t>
      </w:r>
      <w:r w:rsidR="00C331A0">
        <w:rPr>
          <w:szCs w:val="23"/>
          <w:lang w:val="lv-LV"/>
        </w:rPr>
        <w:t>.</w:t>
      </w:r>
    </w:p>
    <w:p w14:paraId="66DBD470" w14:textId="77777777" w:rsidR="002E5DDC" w:rsidRPr="00C331A0" w:rsidRDefault="002E5DDC" w:rsidP="00A75C3F">
      <w:pPr>
        <w:pStyle w:val="Default"/>
        <w:numPr>
          <w:ilvl w:val="0"/>
          <w:numId w:val="4"/>
        </w:numPr>
        <w:ind w:left="1276"/>
        <w:rPr>
          <w:szCs w:val="23"/>
          <w:lang w:val="lv-LV"/>
        </w:rPr>
      </w:pPr>
      <w:r w:rsidRPr="00C331A0">
        <w:rPr>
          <w:szCs w:val="23"/>
          <w:lang w:val="lv-LV"/>
        </w:rPr>
        <w:t>Citaloprāmu nedrīkst lietot četrpadsmit dienas pēc ārstēšanas pārtraukšanas ar neatgriezeniskajiem MAOI vai pēc laika, (norādīta atgriezeniskā MAOI (RIMA) lietošanas instrukcijas tekstā), kas jānogaida pēc RIMA (A tipa atgriezeniskā monoamīnoksidāzes inhibitora, RIMA) lietošanas pārtraukšanas. Ārstēšanu ar MAOI nedrīkst sākt septiņas dienas pēc citaloprāma lietošanas pārtraukšanas (skatīt 4.5</w:t>
      </w:r>
      <w:r w:rsidR="00464835">
        <w:rPr>
          <w:szCs w:val="23"/>
          <w:lang w:val="lv-LV"/>
        </w:rPr>
        <w:t>.</w:t>
      </w:r>
      <w:r w:rsidRPr="00C331A0">
        <w:rPr>
          <w:szCs w:val="23"/>
          <w:lang w:val="lv-LV"/>
        </w:rPr>
        <w:t xml:space="preserve"> apakš</w:t>
      </w:r>
      <w:r w:rsidR="00C331A0">
        <w:rPr>
          <w:szCs w:val="23"/>
          <w:lang w:val="lv-LV"/>
        </w:rPr>
        <w:t>punktu).</w:t>
      </w:r>
    </w:p>
    <w:p w14:paraId="1A71BD9B" w14:textId="77777777" w:rsidR="002E5DDC" w:rsidRPr="00C331A0" w:rsidRDefault="002E5DDC" w:rsidP="00A75C3F">
      <w:pPr>
        <w:pStyle w:val="Default"/>
        <w:numPr>
          <w:ilvl w:val="0"/>
          <w:numId w:val="3"/>
        </w:numPr>
        <w:rPr>
          <w:szCs w:val="23"/>
          <w:lang w:val="lv-LV"/>
        </w:rPr>
      </w:pPr>
      <w:r w:rsidRPr="00C331A0">
        <w:rPr>
          <w:szCs w:val="23"/>
          <w:lang w:val="lv-LV"/>
        </w:rPr>
        <w:t>Citaloprāma lietošana ir kontrindicēta vienlaicīgi ar linezolīdu, izņemot gadījumus, kad ir nodrošināti apstākļi rūpīgai pacienta un asinsspiediena novērošanai (skatīt 4.5</w:t>
      </w:r>
      <w:r w:rsidR="00464835">
        <w:rPr>
          <w:szCs w:val="23"/>
          <w:lang w:val="lv-LV"/>
        </w:rPr>
        <w:t>.</w:t>
      </w:r>
      <w:r w:rsidRPr="00C331A0">
        <w:rPr>
          <w:szCs w:val="23"/>
          <w:lang w:val="lv-LV"/>
        </w:rPr>
        <w:t xml:space="preserve"> </w:t>
      </w:r>
      <w:r w:rsidRPr="00C331A0">
        <w:rPr>
          <w:szCs w:val="23"/>
          <w:lang w:val="lv-LV"/>
        </w:rPr>
        <w:lastRenderedPageBreak/>
        <w:t>apakš</w:t>
      </w:r>
      <w:r w:rsidR="00C331A0">
        <w:rPr>
          <w:szCs w:val="23"/>
          <w:lang w:val="lv-LV"/>
        </w:rPr>
        <w:t>punktu).</w:t>
      </w:r>
    </w:p>
    <w:p w14:paraId="1883B2E3" w14:textId="77777777" w:rsidR="002E5DDC" w:rsidRPr="00C331A0" w:rsidRDefault="002E5DDC" w:rsidP="00A75C3F">
      <w:pPr>
        <w:pStyle w:val="Default"/>
        <w:numPr>
          <w:ilvl w:val="0"/>
          <w:numId w:val="3"/>
        </w:numPr>
        <w:rPr>
          <w:szCs w:val="23"/>
          <w:lang w:val="lv-LV"/>
        </w:rPr>
      </w:pPr>
      <w:r w:rsidRPr="00C331A0">
        <w:rPr>
          <w:szCs w:val="23"/>
          <w:lang w:val="lv-LV"/>
        </w:rPr>
        <w:t>Citaloprāma lietošana ir kontrindicēta pacientiem ar zināmu pagarinātu QT intervālu vai iedzimtu pagarinā</w:t>
      </w:r>
      <w:r w:rsidR="00C331A0">
        <w:rPr>
          <w:szCs w:val="23"/>
          <w:lang w:val="lv-LV"/>
        </w:rPr>
        <w:t>tu QT sindromu.</w:t>
      </w:r>
    </w:p>
    <w:p w14:paraId="0F725E33" w14:textId="77777777" w:rsidR="002E5DDC" w:rsidRPr="00C331A0" w:rsidRDefault="002E5DDC" w:rsidP="00A75C3F">
      <w:pPr>
        <w:pStyle w:val="Default"/>
        <w:numPr>
          <w:ilvl w:val="0"/>
          <w:numId w:val="3"/>
        </w:numPr>
        <w:rPr>
          <w:szCs w:val="23"/>
          <w:lang w:val="lv-LV"/>
        </w:rPr>
      </w:pPr>
      <w:r w:rsidRPr="00C331A0">
        <w:rPr>
          <w:szCs w:val="23"/>
          <w:lang w:val="lv-LV"/>
        </w:rPr>
        <w:t>Citaloprāma lietošana vienlaicīgi ar citām zālēm, kas var pagarināt QT intervālu, ir kontrindicēta (skatīt 4.5</w:t>
      </w:r>
      <w:r w:rsidR="00464835">
        <w:rPr>
          <w:szCs w:val="23"/>
          <w:lang w:val="lv-LV"/>
        </w:rPr>
        <w:t>.</w:t>
      </w:r>
      <w:r w:rsidRPr="00C331A0">
        <w:rPr>
          <w:szCs w:val="23"/>
          <w:lang w:val="lv-LV"/>
        </w:rPr>
        <w:t xml:space="preserve"> apakš</w:t>
      </w:r>
      <w:r w:rsidR="00C331A0">
        <w:rPr>
          <w:szCs w:val="23"/>
          <w:lang w:val="lv-LV"/>
        </w:rPr>
        <w:t>punktu).</w:t>
      </w:r>
    </w:p>
    <w:p w14:paraId="319472B1" w14:textId="77777777" w:rsidR="002E5DDC" w:rsidRPr="00C331A0" w:rsidRDefault="002E5DDC" w:rsidP="00A75C3F">
      <w:pPr>
        <w:pStyle w:val="Default"/>
        <w:rPr>
          <w:szCs w:val="23"/>
          <w:lang w:val="lv-LV"/>
        </w:rPr>
      </w:pPr>
    </w:p>
    <w:p w14:paraId="2700B191" w14:textId="77777777" w:rsidR="002E5DDC" w:rsidRPr="00C331A0" w:rsidRDefault="002E5DDC" w:rsidP="00A75C3F">
      <w:pPr>
        <w:pStyle w:val="Default"/>
        <w:rPr>
          <w:szCs w:val="23"/>
          <w:lang w:val="lv-LV"/>
        </w:rPr>
      </w:pPr>
      <w:r w:rsidRPr="00C331A0">
        <w:rPr>
          <w:b/>
          <w:bCs/>
          <w:szCs w:val="23"/>
          <w:lang w:val="lv-LV"/>
        </w:rPr>
        <w:t>4.4</w:t>
      </w:r>
      <w:r w:rsidR="00A576E0">
        <w:rPr>
          <w:b/>
          <w:bCs/>
          <w:szCs w:val="23"/>
          <w:lang w:val="lv-LV"/>
        </w:rPr>
        <w:t>.</w:t>
      </w:r>
      <w:r w:rsidRPr="00C331A0">
        <w:rPr>
          <w:b/>
          <w:bCs/>
          <w:szCs w:val="23"/>
          <w:lang w:val="lv-LV"/>
        </w:rPr>
        <w:t xml:space="preserve"> Īpaši brīdinājumi un piesardzība lietošanā</w:t>
      </w:r>
    </w:p>
    <w:p w14:paraId="60A8C32B" w14:textId="77777777" w:rsidR="00E42F72" w:rsidRDefault="00E42F72" w:rsidP="00A75C3F">
      <w:pPr>
        <w:pStyle w:val="Default"/>
        <w:rPr>
          <w:szCs w:val="23"/>
          <w:lang w:val="lv-LV"/>
        </w:rPr>
      </w:pPr>
    </w:p>
    <w:p w14:paraId="45542B00" w14:textId="77777777" w:rsidR="002E5DDC" w:rsidRPr="00C331A0" w:rsidRDefault="002E5DDC" w:rsidP="00A75C3F">
      <w:pPr>
        <w:pStyle w:val="Default"/>
        <w:rPr>
          <w:szCs w:val="23"/>
          <w:lang w:val="lv-LV"/>
        </w:rPr>
      </w:pPr>
      <w:r w:rsidRPr="00C331A0">
        <w:rPr>
          <w:szCs w:val="23"/>
          <w:lang w:val="lv-LV"/>
        </w:rPr>
        <w:t>Gados vecāku pacientu un pacientu ar nieru un aknu darbības traucējumiem ārstēšana, skatīt 4.2</w:t>
      </w:r>
      <w:r w:rsidR="00464835">
        <w:rPr>
          <w:szCs w:val="23"/>
          <w:lang w:val="lv-LV"/>
        </w:rPr>
        <w:t>.</w:t>
      </w:r>
      <w:r w:rsidRPr="00C331A0">
        <w:rPr>
          <w:szCs w:val="23"/>
          <w:lang w:val="lv-LV"/>
        </w:rPr>
        <w:t xml:space="preserve"> apakš</w:t>
      </w:r>
      <w:r w:rsidR="00C331A0">
        <w:rPr>
          <w:szCs w:val="23"/>
          <w:lang w:val="lv-LV"/>
        </w:rPr>
        <w:t>punktu.</w:t>
      </w:r>
    </w:p>
    <w:p w14:paraId="49028BCC" w14:textId="77777777" w:rsidR="002E5DDC" w:rsidRPr="00C331A0" w:rsidRDefault="002E5DDC" w:rsidP="00A75C3F">
      <w:pPr>
        <w:pStyle w:val="Default"/>
        <w:rPr>
          <w:szCs w:val="23"/>
          <w:lang w:val="lv-LV"/>
        </w:rPr>
      </w:pPr>
    </w:p>
    <w:p w14:paraId="01B9E110" w14:textId="77777777" w:rsidR="002E5DDC" w:rsidRPr="00C331A0" w:rsidRDefault="002E5DDC" w:rsidP="00A75C3F">
      <w:pPr>
        <w:pStyle w:val="Default"/>
        <w:rPr>
          <w:szCs w:val="23"/>
          <w:lang w:val="lv-LV"/>
        </w:rPr>
      </w:pPr>
      <w:r w:rsidRPr="00C331A0">
        <w:rPr>
          <w:i/>
          <w:iCs/>
          <w:szCs w:val="23"/>
          <w:lang w:val="lv-LV"/>
        </w:rPr>
        <w:t>Lietošana bērniem un pusaudžiem, kuri jaunāki par 18 gadu vecumu</w:t>
      </w:r>
    </w:p>
    <w:p w14:paraId="52FBCF05" w14:textId="77777777" w:rsidR="002E5DDC" w:rsidRPr="00C331A0" w:rsidRDefault="00A75C3F" w:rsidP="00A75C3F">
      <w:pPr>
        <w:pStyle w:val="Default"/>
        <w:rPr>
          <w:szCs w:val="23"/>
          <w:lang w:val="lv-LV"/>
        </w:rPr>
      </w:pPr>
      <w:r>
        <w:rPr>
          <w:szCs w:val="23"/>
          <w:lang w:val="lv-LV"/>
        </w:rPr>
        <w:t>Alorit</w:t>
      </w:r>
      <w:r w:rsidR="002E5DDC" w:rsidRPr="00C331A0">
        <w:rPr>
          <w:szCs w:val="23"/>
          <w:lang w:val="lv-LV"/>
        </w:rPr>
        <w:t xml:space="preserve"> nevajadzētu lietot ārstējot bērnus un pusaudžus, kuri jaunāki par 18 gadiem. Uzvedības pazīmes, kas liecina par tieksmi uz pašnāvību (pašnāvības mēģinājumiem un domām par pašnāvību), kā arī naidīgumu (galvenokārt agresivitāti, opozicionāru uzvedību, dusmas) biežāk novēroja klīniskajās izpētes ar bērniem un pusaudžiem, kas tika ārstēti ar antidepresantiem, salīdzinot ar tiem, kurus ārstēja, izmantojot placebo metodi. Ja, ņemot vērā klīnisko nepieciešamību, tiek pieņemts lēmums uzsākt šo ārstēšanu, pacients ir rūpīgi jāuzrauga, lai savlaicīgi konstatētu uzvedības pazīmes, kas liecina par tieksmi uz pašnāvību. Bez tam trūkst datu par nekaitīgumu bērniem un pusaudžiem ilgstošā laikā, tostarp ietekmi uz augšanu, nobriešanu, kognitīvo un uzvedības attīstī</w:t>
      </w:r>
      <w:r w:rsidR="00C331A0">
        <w:rPr>
          <w:szCs w:val="23"/>
          <w:lang w:val="lv-LV"/>
        </w:rPr>
        <w:t>bu.</w:t>
      </w:r>
    </w:p>
    <w:p w14:paraId="2141D31B" w14:textId="77777777" w:rsidR="002E5DDC" w:rsidRPr="00C331A0" w:rsidRDefault="002E5DDC" w:rsidP="00A75C3F">
      <w:pPr>
        <w:pStyle w:val="Default"/>
        <w:rPr>
          <w:szCs w:val="23"/>
          <w:lang w:val="lv-LV"/>
        </w:rPr>
      </w:pPr>
    </w:p>
    <w:p w14:paraId="754C6695" w14:textId="77777777" w:rsidR="002E5DDC" w:rsidRPr="00C331A0" w:rsidRDefault="002E5DDC" w:rsidP="00A75C3F">
      <w:pPr>
        <w:pStyle w:val="Default"/>
        <w:rPr>
          <w:szCs w:val="23"/>
          <w:lang w:val="lv-LV"/>
        </w:rPr>
      </w:pPr>
      <w:r w:rsidRPr="00C331A0">
        <w:rPr>
          <w:i/>
          <w:iCs/>
          <w:szCs w:val="23"/>
          <w:lang w:val="lv-LV"/>
        </w:rPr>
        <w:t>Pašnāvība/domas par pašnāvību</w:t>
      </w:r>
    </w:p>
    <w:p w14:paraId="0F084FAD" w14:textId="77777777" w:rsidR="002E5DDC" w:rsidRPr="00C331A0" w:rsidRDefault="002E5DDC" w:rsidP="00A75C3F">
      <w:pPr>
        <w:pStyle w:val="Default"/>
        <w:rPr>
          <w:szCs w:val="23"/>
          <w:lang w:val="lv-LV"/>
        </w:rPr>
      </w:pPr>
      <w:r w:rsidRPr="00C331A0">
        <w:rPr>
          <w:szCs w:val="23"/>
          <w:lang w:val="lv-LV"/>
        </w:rPr>
        <w:t>Depresija ir saistīta ar paaugstinātu risku attiecībā uz domām par pašnāvību, paškaitējumu un pašnāvībām (ar pašnāvību saistīti gadījumi). Šis risks pastāv, līdz iestājas būtiska remisija. Tā kā uzlabošanās var neiestāties dažu pirmo terapijas nedēļu laikā vai ilgāk, pacienti rūpīgi jānovēro, līdz šāda uzlabošanās iestājas. Vispārējā klīniskā pieredze liecina, ka pašnāvības risks var palielināties atveseļošanās agrīnajā stadijā</w:t>
      </w:r>
      <w:r w:rsidR="00C331A0">
        <w:rPr>
          <w:szCs w:val="23"/>
          <w:lang w:val="lv-LV"/>
        </w:rPr>
        <w:t>.</w:t>
      </w:r>
    </w:p>
    <w:p w14:paraId="4CE568E7" w14:textId="77777777" w:rsidR="002E5DDC" w:rsidRPr="00C331A0" w:rsidRDefault="002E5DDC" w:rsidP="00A75C3F">
      <w:pPr>
        <w:pStyle w:val="Default"/>
        <w:rPr>
          <w:szCs w:val="23"/>
          <w:lang w:val="lv-LV"/>
        </w:rPr>
      </w:pPr>
    </w:p>
    <w:p w14:paraId="17F64395" w14:textId="77777777" w:rsidR="002E5DDC" w:rsidRPr="00C331A0" w:rsidRDefault="002E5DDC" w:rsidP="00A75C3F">
      <w:pPr>
        <w:pStyle w:val="Default"/>
        <w:rPr>
          <w:szCs w:val="23"/>
          <w:lang w:val="lv-LV"/>
        </w:rPr>
      </w:pPr>
      <w:r w:rsidRPr="00C331A0">
        <w:rPr>
          <w:szCs w:val="23"/>
          <w:lang w:val="lv-LV"/>
        </w:rPr>
        <w:t>Arī citi psihiski traucējumi, kuru gadījumā nozīmē citaloprāmu, var būt saistīti ar paaugstinātu ar pašnāvību saistītu gadījumu risku. Bez tam šie traucējumi var būt blakusslimības depresijai. Tādējādi tie paši piesardzības pasākumi, ko ievēro, ārstējot pacientus ar depresiju, ir jāievēro, ārstējot pacientus ar citiem psihiskiem traucē</w:t>
      </w:r>
      <w:r w:rsidR="00C331A0">
        <w:rPr>
          <w:szCs w:val="23"/>
          <w:lang w:val="lv-LV"/>
        </w:rPr>
        <w:t>jumiem.</w:t>
      </w:r>
    </w:p>
    <w:p w14:paraId="5D8B608D" w14:textId="77777777" w:rsidR="002E5DDC" w:rsidRPr="00C331A0" w:rsidRDefault="002E5DDC" w:rsidP="00A75C3F">
      <w:pPr>
        <w:pStyle w:val="Default"/>
        <w:rPr>
          <w:szCs w:val="23"/>
          <w:lang w:val="lv-LV"/>
        </w:rPr>
      </w:pPr>
    </w:p>
    <w:p w14:paraId="4703EE9E" w14:textId="77777777" w:rsidR="002E5DDC" w:rsidRPr="00C331A0" w:rsidRDefault="002E5DDC" w:rsidP="00A75C3F">
      <w:pPr>
        <w:pStyle w:val="Default"/>
        <w:rPr>
          <w:szCs w:val="23"/>
          <w:lang w:val="lv-LV"/>
        </w:rPr>
      </w:pPr>
      <w:r w:rsidRPr="00C331A0">
        <w:rPr>
          <w:szCs w:val="23"/>
          <w:lang w:val="lv-LV"/>
        </w:rPr>
        <w:t>Pacientiem, kuriem agrāk ir bijuši ar pašnāvību saistīti gadījumi vai kuriem pirms terapijas uzsākšanas ir izteiktas domas par pašnāvību, ir lielāks pašnāvības domu vai pašnāvības mēģinājuma risks, un viņiem ārstēšanas laikā ir nepieciešama rūpīga novērošana. Placebo kontrolētos klīniskos pētījumos tika pētīta antidepresantu lietošana psihisku traucējumu ārstēšanai pieaugušiem pacientiem. Šo pētījumu metaanalīze uzrādīja paaugstinātu pašnāvnieciskas uzvedības risku pacientiem, kas bija jaunāki par 25 gadiem un lietoja antidepresantus, salīdzinot ar placebo lietotājiem. Zāļu lietošanas laikā, īpaši terapijas sākumā un pēc devas maiņas, pacienti (īpaši augstas riska grupas pacienti) rūpīgi jāuzrauga. Pacienti un viņu aprūpētāji jābrīdina par nepieciešamību uzraudzīt, vai nenotiek klīniska pasliktināšanās, nerodas pašnāvnieciska uzvedība vai pašnāvības domas un neparastas uzvedības pārmaiņas. Viņi arī jābrīdina, ka minēto simptomu rašanās gadījumā nekavējoties jāvēršas pie ā</w:t>
      </w:r>
      <w:r w:rsidR="00C331A0">
        <w:rPr>
          <w:szCs w:val="23"/>
          <w:lang w:val="lv-LV"/>
        </w:rPr>
        <w:t>rsta.</w:t>
      </w:r>
    </w:p>
    <w:p w14:paraId="7CE604BA" w14:textId="77777777" w:rsidR="002E5DDC" w:rsidRPr="00C331A0" w:rsidRDefault="002E5DDC" w:rsidP="00A75C3F">
      <w:pPr>
        <w:pStyle w:val="Default"/>
        <w:rPr>
          <w:szCs w:val="23"/>
          <w:lang w:val="lv-LV"/>
        </w:rPr>
      </w:pPr>
    </w:p>
    <w:p w14:paraId="1F5051E7" w14:textId="77777777" w:rsidR="002E5DDC" w:rsidRPr="00C331A0" w:rsidRDefault="002E5DDC" w:rsidP="00A75C3F">
      <w:pPr>
        <w:pStyle w:val="Default"/>
        <w:rPr>
          <w:szCs w:val="23"/>
          <w:lang w:val="lv-LV"/>
        </w:rPr>
      </w:pPr>
      <w:r w:rsidRPr="00C331A0">
        <w:rPr>
          <w:i/>
          <w:iCs/>
          <w:szCs w:val="23"/>
          <w:lang w:val="lv-LV"/>
        </w:rPr>
        <w:t>Akatīzija/psihomotors nemiers</w:t>
      </w:r>
    </w:p>
    <w:p w14:paraId="6762C7FC" w14:textId="77777777" w:rsidR="002E5DDC" w:rsidRPr="00C331A0" w:rsidRDefault="002E5DDC" w:rsidP="00A75C3F">
      <w:pPr>
        <w:pStyle w:val="Default"/>
        <w:rPr>
          <w:szCs w:val="23"/>
          <w:lang w:val="lv-LV"/>
        </w:rPr>
      </w:pPr>
      <w:r w:rsidRPr="00C331A0">
        <w:rPr>
          <w:szCs w:val="23"/>
          <w:lang w:val="lv-LV"/>
        </w:rPr>
        <w:t>SSAI/SNAI lietošana ir bijusi saistīta ar akatīzijas attīstību, kam raksturīgs subjektīvs nepatīkams vai uztraucošs nemiers un nepieciešamība biezāk kustēties, ko bieži pavada nespēja mierīgi nosēdēt vai nostāvēt. Tā visdrīzāk var rasties dažās pirmajās terapijas nedēļās. Pacientiem, kuriem attīstās šie simptomi, devas palielināšana var kaitē</w:t>
      </w:r>
      <w:r w:rsidR="00C331A0">
        <w:rPr>
          <w:szCs w:val="23"/>
          <w:lang w:val="lv-LV"/>
        </w:rPr>
        <w:t>t.</w:t>
      </w:r>
    </w:p>
    <w:p w14:paraId="539EE9CF" w14:textId="77777777" w:rsidR="002E5DDC" w:rsidRPr="00C331A0" w:rsidRDefault="002E5DDC" w:rsidP="00A75C3F">
      <w:pPr>
        <w:pStyle w:val="Default"/>
        <w:rPr>
          <w:szCs w:val="23"/>
          <w:lang w:val="lv-LV"/>
        </w:rPr>
      </w:pPr>
    </w:p>
    <w:p w14:paraId="127C8D2F" w14:textId="77777777" w:rsidR="002E5DDC" w:rsidRPr="00C331A0" w:rsidRDefault="002E5DDC" w:rsidP="00A75C3F">
      <w:pPr>
        <w:pStyle w:val="Default"/>
        <w:rPr>
          <w:szCs w:val="23"/>
          <w:lang w:val="lv-LV"/>
        </w:rPr>
      </w:pPr>
      <w:r w:rsidRPr="00C331A0">
        <w:rPr>
          <w:i/>
          <w:iCs/>
          <w:szCs w:val="23"/>
          <w:lang w:val="lv-LV"/>
        </w:rPr>
        <w:t>Diabēts</w:t>
      </w:r>
    </w:p>
    <w:p w14:paraId="4F40F587" w14:textId="77777777" w:rsidR="002E5DDC" w:rsidRPr="00C331A0" w:rsidRDefault="002E5DDC" w:rsidP="00A75C3F">
      <w:pPr>
        <w:pStyle w:val="Default"/>
        <w:rPr>
          <w:szCs w:val="23"/>
          <w:lang w:val="lv-LV"/>
        </w:rPr>
      </w:pPr>
      <w:r w:rsidRPr="00C331A0">
        <w:rPr>
          <w:szCs w:val="23"/>
          <w:lang w:val="lv-LV"/>
        </w:rPr>
        <w:t>Diabēta pacientiem ārstēšanās ar SSAI var traucēt glikēmisko kontroli. Var būt nepieciešams pielāgot insulīna un/vai perorālo hipoglikemizējošo līdzekļ</w:t>
      </w:r>
      <w:r w:rsidR="00C331A0">
        <w:rPr>
          <w:szCs w:val="23"/>
          <w:lang w:val="lv-LV"/>
        </w:rPr>
        <w:t>u devas.</w:t>
      </w:r>
    </w:p>
    <w:p w14:paraId="0A181164" w14:textId="77777777" w:rsidR="002E5DDC" w:rsidRPr="00C331A0" w:rsidRDefault="002E5DDC" w:rsidP="00A75C3F">
      <w:pPr>
        <w:pStyle w:val="Default"/>
        <w:rPr>
          <w:szCs w:val="23"/>
          <w:lang w:val="lv-LV"/>
        </w:rPr>
      </w:pPr>
    </w:p>
    <w:p w14:paraId="585FD888" w14:textId="77777777" w:rsidR="002E5DDC" w:rsidRPr="00C331A0" w:rsidRDefault="002E5DDC" w:rsidP="00A75C3F">
      <w:pPr>
        <w:pStyle w:val="Default"/>
        <w:rPr>
          <w:szCs w:val="23"/>
          <w:lang w:val="lv-LV"/>
        </w:rPr>
      </w:pPr>
      <w:r w:rsidRPr="00C331A0">
        <w:rPr>
          <w:i/>
          <w:iCs/>
          <w:szCs w:val="23"/>
          <w:lang w:val="lv-LV"/>
        </w:rPr>
        <w:t>Krampji</w:t>
      </w:r>
    </w:p>
    <w:p w14:paraId="7002C3E0" w14:textId="77777777" w:rsidR="002E5DDC" w:rsidRPr="00C331A0" w:rsidRDefault="002E5DDC" w:rsidP="00A75C3F">
      <w:pPr>
        <w:pStyle w:val="Default"/>
        <w:rPr>
          <w:szCs w:val="23"/>
          <w:lang w:val="lv-LV"/>
        </w:rPr>
      </w:pPr>
      <w:r w:rsidRPr="00C331A0">
        <w:rPr>
          <w:szCs w:val="23"/>
          <w:lang w:val="lv-LV"/>
        </w:rPr>
        <w:t>Antidepresantu lietošanas gadījumā pastāv krampju risks. Citaloprāma lietošana ir jāpārtrauc, ja pacientam parādā</w:t>
      </w:r>
      <w:r w:rsidR="00C331A0">
        <w:rPr>
          <w:szCs w:val="23"/>
          <w:lang w:val="lv-LV"/>
        </w:rPr>
        <w:t>s krampji.</w:t>
      </w:r>
    </w:p>
    <w:p w14:paraId="35216CD9" w14:textId="77777777" w:rsidR="002E5DDC" w:rsidRPr="00C331A0" w:rsidRDefault="002E5DDC" w:rsidP="00A75C3F">
      <w:pPr>
        <w:pStyle w:val="Default"/>
        <w:rPr>
          <w:szCs w:val="23"/>
          <w:lang w:val="lv-LV"/>
        </w:rPr>
      </w:pPr>
      <w:r w:rsidRPr="00C331A0">
        <w:rPr>
          <w:szCs w:val="23"/>
          <w:lang w:val="lv-LV"/>
        </w:rPr>
        <w:t>Pacientiem ar nestabilu epilepsiju jāizvairās no citaloprāma lietošanas un pacienti ar kontrolētu epilepsiju zāļu lietošanas laikā rūpīgi jāuzrauga. Ja lēkmes kļūst biežākas, citaloprāma lietošana jāpā</w:t>
      </w:r>
      <w:r w:rsidR="00C331A0">
        <w:rPr>
          <w:szCs w:val="23"/>
          <w:lang w:val="lv-LV"/>
        </w:rPr>
        <w:t>rtrauc.</w:t>
      </w:r>
    </w:p>
    <w:p w14:paraId="5E59A010" w14:textId="77777777" w:rsidR="002E5DDC" w:rsidRPr="00C331A0" w:rsidRDefault="002E5DDC" w:rsidP="00A75C3F">
      <w:pPr>
        <w:pStyle w:val="Default"/>
        <w:rPr>
          <w:szCs w:val="23"/>
          <w:lang w:val="lv-LV"/>
        </w:rPr>
      </w:pPr>
    </w:p>
    <w:p w14:paraId="2F5E80D9" w14:textId="77777777" w:rsidR="002E5DDC" w:rsidRPr="00C331A0" w:rsidRDefault="002E5DDC" w:rsidP="00A75C3F">
      <w:pPr>
        <w:pStyle w:val="Default"/>
        <w:rPr>
          <w:szCs w:val="23"/>
          <w:lang w:val="lv-LV"/>
        </w:rPr>
      </w:pPr>
      <w:r w:rsidRPr="00C331A0">
        <w:rPr>
          <w:i/>
          <w:iCs/>
          <w:szCs w:val="23"/>
          <w:lang w:val="lv-LV"/>
        </w:rPr>
        <w:t>Atcelšanas simptomi, kas novēroti, pārtraucot SSAI terapiju</w:t>
      </w:r>
    </w:p>
    <w:p w14:paraId="5781C20C" w14:textId="77777777" w:rsidR="00C331A0" w:rsidRDefault="002E5DDC" w:rsidP="00A75C3F">
      <w:pPr>
        <w:pStyle w:val="Default"/>
        <w:rPr>
          <w:szCs w:val="23"/>
          <w:lang w:val="lv-LV"/>
        </w:rPr>
      </w:pPr>
      <w:r w:rsidRPr="00C331A0">
        <w:rPr>
          <w:szCs w:val="23"/>
          <w:lang w:val="lv-LV"/>
        </w:rPr>
        <w:t>Pārtraucot citaloprāma lietošanu, bieži rodas atcelšanas simptomi, īpaši, ja terapija tiek pārtraukta strauji (skatīt 4.8</w:t>
      </w:r>
      <w:r w:rsidR="00464835">
        <w:rPr>
          <w:szCs w:val="23"/>
          <w:lang w:val="lv-LV"/>
        </w:rPr>
        <w:t>.</w:t>
      </w:r>
      <w:r w:rsidRPr="00C331A0">
        <w:rPr>
          <w:szCs w:val="23"/>
          <w:lang w:val="lv-LV"/>
        </w:rPr>
        <w:t xml:space="preserve"> apakšpunktu). Citaloprāma atcelšanas simptomu profilakses klīniskajos pētījumos, pēc aktīvās terapijas pārtraukšanas 40 % pacientu novēroja blakusparādības, salīdzinot ar 20 % pacientu, kuri turpināja lietot citaloprā</w:t>
      </w:r>
      <w:r w:rsidR="00C331A0">
        <w:rPr>
          <w:szCs w:val="23"/>
          <w:lang w:val="lv-LV"/>
        </w:rPr>
        <w:t>mu.</w:t>
      </w:r>
    </w:p>
    <w:p w14:paraId="27FE2F8F" w14:textId="77777777" w:rsidR="002E5DDC" w:rsidRPr="00C331A0" w:rsidRDefault="002E5DDC" w:rsidP="00A75C3F">
      <w:pPr>
        <w:pStyle w:val="Default"/>
        <w:rPr>
          <w:szCs w:val="23"/>
          <w:lang w:val="lv-LV"/>
        </w:rPr>
      </w:pPr>
      <w:r w:rsidRPr="00C331A0">
        <w:rPr>
          <w:szCs w:val="23"/>
          <w:lang w:val="lv-LV"/>
        </w:rPr>
        <w:t>Atcelšanas simptomu risks var būt atkarīgs no vairākiem faktoriem, tai skaitā terapijas ilguma un devas, kā arī devas samazināšanas ātruma. Visbiežāk ir ziņots par reiboni, jušanas traucējumiem (ieskaitot parestēziju), miega traucējumiem (tai skaitā bezmiegu un intensīviem sapņiem), uzbudinājumu vai trauksmi, sliktu dūšu un/vai vemšanu, trīci</w:t>
      </w:r>
      <w:r w:rsidR="00BC54E9">
        <w:rPr>
          <w:szCs w:val="23"/>
          <w:lang w:val="lv-LV"/>
        </w:rPr>
        <w:t>,</w:t>
      </w:r>
      <w:r w:rsidRPr="00C331A0">
        <w:rPr>
          <w:szCs w:val="23"/>
          <w:lang w:val="lv-LV"/>
        </w:rPr>
        <w:t xml:space="preserve"> apjukumu, svīšanu, galvassāpes, caureju, sirdsklauves, emocionālu nestabilitāti, aizkaitināmību un redzes traucējumiem. Šie simptomi parasti ir viegli līdz mēreni, tomēr dažiem pacientiem tie var būt izteikti. Tie parasti rodas dažās pirmajās dienās pēc terapijas pārtraukšanas, bet ir bijuši ļoti reti ziņojumi par šādiem simptomiem pacientiem, kas nejauši izlaiduši devu. Parasti šie simptomi ir pašierobežojoši un izzūd 2 nedēļu laikā, tomēr dažiem cilvēkiem tie var būt ilgstoši (2 – 3 mēnešus vai ilgāk). Tādēļ ieteicams citaloprāma terapiju pārtraukt pakāpeniski, devu samazinot vairāku nedēļu vai mēnešu laikā, atbilstoši pacienta vajadzībām (skatīt “Simptomi, kas novēroti, pārtraucot SSAI terapiju“ 4.2</w:t>
      </w:r>
      <w:r w:rsidR="00464835">
        <w:rPr>
          <w:szCs w:val="23"/>
          <w:lang w:val="lv-LV"/>
        </w:rPr>
        <w:t>.</w:t>
      </w:r>
      <w:r w:rsidRPr="00C331A0">
        <w:rPr>
          <w:szCs w:val="23"/>
          <w:lang w:val="lv-LV"/>
        </w:rPr>
        <w:t xml:space="preserve"> apakšpunktā</w:t>
      </w:r>
      <w:r w:rsidR="00C331A0">
        <w:rPr>
          <w:szCs w:val="23"/>
          <w:lang w:val="lv-LV"/>
        </w:rPr>
        <w:t>).</w:t>
      </w:r>
    </w:p>
    <w:p w14:paraId="5D735BB0" w14:textId="77777777" w:rsidR="002E5DDC" w:rsidRPr="00C331A0" w:rsidRDefault="002E5DDC" w:rsidP="00A75C3F">
      <w:pPr>
        <w:pStyle w:val="Default"/>
        <w:rPr>
          <w:szCs w:val="23"/>
          <w:lang w:val="lv-LV"/>
        </w:rPr>
      </w:pPr>
    </w:p>
    <w:p w14:paraId="2D914781" w14:textId="77777777" w:rsidR="002E5DDC" w:rsidRPr="00C331A0" w:rsidRDefault="002E5DDC" w:rsidP="00A75C3F">
      <w:pPr>
        <w:pStyle w:val="Default"/>
        <w:rPr>
          <w:szCs w:val="23"/>
          <w:lang w:val="lv-LV"/>
        </w:rPr>
      </w:pPr>
      <w:r w:rsidRPr="00C331A0">
        <w:rPr>
          <w:i/>
          <w:iCs/>
          <w:szCs w:val="23"/>
          <w:lang w:val="lv-LV"/>
        </w:rPr>
        <w:t>Elektrokonvulsīva terapija (EKT)</w:t>
      </w:r>
    </w:p>
    <w:p w14:paraId="3970EE2A" w14:textId="77777777" w:rsidR="002E5DDC" w:rsidRPr="00C331A0" w:rsidRDefault="002E5DDC" w:rsidP="00A75C3F">
      <w:pPr>
        <w:pStyle w:val="Default"/>
        <w:rPr>
          <w:szCs w:val="23"/>
          <w:lang w:val="lv-LV"/>
        </w:rPr>
      </w:pPr>
      <w:r w:rsidRPr="00C331A0">
        <w:rPr>
          <w:szCs w:val="23"/>
          <w:lang w:val="lv-LV"/>
        </w:rPr>
        <w:t>Citaloprāma lietošanā kopā ar elektrokonvulsīvo terapiju ir tikai neliela klīniskā pieredze, tāpēc ir jāievēro piesardzī</w:t>
      </w:r>
      <w:r w:rsidR="00C331A0">
        <w:rPr>
          <w:szCs w:val="23"/>
          <w:lang w:val="lv-LV"/>
        </w:rPr>
        <w:t>ba.</w:t>
      </w:r>
    </w:p>
    <w:p w14:paraId="3C6D93FB" w14:textId="77777777" w:rsidR="002E5DDC" w:rsidRPr="00C331A0" w:rsidRDefault="002E5DDC" w:rsidP="00A75C3F">
      <w:pPr>
        <w:pStyle w:val="Default"/>
        <w:rPr>
          <w:szCs w:val="23"/>
          <w:lang w:val="lv-LV"/>
        </w:rPr>
      </w:pPr>
    </w:p>
    <w:p w14:paraId="52D2CC0A" w14:textId="77777777" w:rsidR="002E5DDC" w:rsidRPr="00C331A0" w:rsidRDefault="002E5DDC" w:rsidP="00A75C3F">
      <w:pPr>
        <w:pStyle w:val="Default"/>
        <w:rPr>
          <w:szCs w:val="23"/>
          <w:lang w:val="lv-LV"/>
        </w:rPr>
      </w:pPr>
      <w:r w:rsidRPr="00C331A0">
        <w:rPr>
          <w:i/>
          <w:iCs/>
          <w:szCs w:val="23"/>
          <w:lang w:val="lv-LV"/>
        </w:rPr>
        <w:t>Mānija</w:t>
      </w:r>
    </w:p>
    <w:p w14:paraId="7BEA7CE3" w14:textId="77777777" w:rsidR="002E5DDC" w:rsidRPr="00C331A0" w:rsidRDefault="002E5DDC" w:rsidP="00A75C3F">
      <w:pPr>
        <w:pStyle w:val="Default"/>
        <w:rPr>
          <w:szCs w:val="23"/>
          <w:lang w:val="lv-LV"/>
        </w:rPr>
      </w:pPr>
      <w:r w:rsidRPr="00C331A0">
        <w:rPr>
          <w:szCs w:val="23"/>
          <w:lang w:val="lv-LV"/>
        </w:rPr>
        <w:t>Pacientiem, kuriem anamnēzē ir mānijas – depresijas slimība, citaloprāmu ir jālieto ar piesardzību, jo iespējama mānijas attīstība. Citaloprāma lietošana ir jāpārtrauc, ja pacientam sāk attīstīties mā</w:t>
      </w:r>
      <w:r w:rsidR="00C331A0">
        <w:rPr>
          <w:szCs w:val="23"/>
          <w:lang w:val="lv-LV"/>
        </w:rPr>
        <w:t>nija.</w:t>
      </w:r>
    </w:p>
    <w:p w14:paraId="6DC607D3" w14:textId="77777777" w:rsidR="002E5DDC" w:rsidRPr="00C331A0" w:rsidRDefault="002E5DDC" w:rsidP="00A75C3F">
      <w:pPr>
        <w:pStyle w:val="Default"/>
        <w:rPr>
          <w:szCs w:val="23"/>
          <w:lang w:val="lv-LV"/>
        </w:rPr>
      </w:pPr>
    </w:p>
    <w:p w14:paraId="61271120" w14:textId="77777777" w:rsidR="002E5DDC" w:rsidRPr="00C331A0" w:rsidRDefault="002E5DDC" w:rsidP="00A75C3F">
      <w:pPr>
        <w:pStyle w:val="Default"/>
        <w:rPr>
          <w:szCs w:val="23"/>
          <w:lang w:val="lv-LV"/>
        </w:rPr>
      </w:pPr>
      <w:r w:rsidRPr="00C331A0">
        <w:rPr>
          <w:i/>
          <w:iCs/>
          <w:szCs w:val="23"/>
          <w:lang w:val="lv-LV"/>
        </w:rPr>
        <w:t>Asiņošana</w:t>
      </w:r>
    </w:p>
    <w:p w14:paraId="32C8F2FC" w14:textId="77777777" w:rsidR="002E5DDC" w:rsidRPr="00C331A0" w:rsidRDefault="002E5DDC" w:rsidP="00A75C3F">
      <w:pPr>
        <w:pStyle w:val="Default"/>
        <w:rPr>
          <w:szCs w:val="23"/>
          <w:lang w:val="lv-LV"/>
        </w:rPr>
      </w:pPr>
      <w:r w:rsidRPr="00C331A0">
        <w:rPr>
          <w:szCs w:val="23"/>
          <w:lang w:val="lv-LV"/>
        </w:rPr>
        <w:t>Ir bijuši ziņojumi par pagarinātu asins tecēšanas laiku un/vai patoloģisku asiņošanu, piemēram, ekhimozi, ginekoloģiskām asiņošanām, kuņģa-zarnu trakta asiņošanām un citām ādas vai gļotādas asiņošanām SSAI lietošanas laikā (skatīt 4.8</w:t>
      </w:r>
      <w:r w:rsidR="00464835">
        <w:rPr>
          <w:szCs w:val="23"/>
          <w:lang w:val="lv-LV"/>
        </w:rPr>
        <w:t>.</w:t>
      </w:r>
      <w:r w:rsidRPr="00C331A0">
        <w:rPr>
          <w:szCs w:val="23"/>
          <w:lang w:val="lv-LV"/>
        </w:rPr>
        <w:t xml:space="preserve"> apakšpunktu). Piesardzība ieteicama pacientiem, kuri vienlaicīgi ar SSAI lieto zāles, kuru aktīvās vielas ietekmē trombocītu funkciju, vai citas aktīvās vielas, kas var palielināt asiņošanas risku, kā arī pacientiem ar asinsreces traucējumiem anamnēzē (skatīt 4.5</w:t>
      </w:r>
      <w:r w:rsidR="00464835">
        <w:rPr>
          <w:szCs w:val="23"/>
          <w:lang w:val="lv-LV"/>
        </w:rPr>
        <w:t>.</w:t>
      </w:r>
      <w:r w:rsidRPr="00C331A0">
        <w:rPr>
          <w:szCs w:val="23"/>
          <w:lang w:val="lv-LV"/>
        </w:rPr>
        <w:t xml:space="preserve"> apakš</w:t>
      </w:r>
      <w:r w:rsidR="00C331A0">
        <w:rPr>
          <w:szCs w:val="23"/>
          <w:lang w:val="lv-LV"/>
        </w:rPr>
        <w:t>punktu).</w:t>
      </w:r>
    </w:p>
    <w:p w14:paraId="621E78C6" w14:textId="77777777" w:rsidR="006B0F8B" w:rsidRPr="00E954AE" w:rsidRDefault="006B0F8B" w:rsidP="006B0F8B">
      <w:pPr>
        <w:autoSpaceDE w:val="0"/>
        <w:autoSpaceDN w:val="0"/>
        <w:adjustRightInd w:val="0"/>
        <w:spacing w:after="0" w:line="240" w:lineRule="auto"/>
        <w:rPr>
          <w:rFonts w:ascii="Times New Roman" w:hAnsi="Times New Roman"/>
          <w:color w:val="000000"/>
          <w:sz w:val="24"/>
          <w:szCs w:val="23"/>
          <w:lang w:val="lv-LV"/>
        </w:rPr>
      </w:pPr>
    </w:p>
    <w:p w14:paraId="460C2BDB" w14:textId="77777777" w:rsidR="002E5DDC" w:rsidRPr="00E954AE" w:rsidRDefault="006B0F8B" w:rsidP="006B0F8B">
      <w:pPr>
        <w:pStyle w:val="Default"/>
        <w:rPr>
          <w:szCs w:val="23"/>
          <w:lang w:val="lv-LV"/>
        </w:rPr>
      </w:pPr>
      <w:r w:rsidRPr="00E954AE">
        <w:rPr>
          <w:szCs w:val="23"/>
          <w:lang w:val="lv-LV"/>
        </w:rPr>
        <w:t>SSAI/SNAI var paaugstināt pēcdzemdību asiņošanas risku (skatīt 4.6. un 4.8. apakšpunktu).</w:t>
      </w:r>
    </w:p>
    <w:p w14:paraId="5BFB47EC" w14:textId="77777777" w:rsidR="006B0F8B" w:rsidRPr="00C331A0" w:rsidRDefault="006B0F8B" w:rsidP="006B0F8B">
      <w:pPr>
        <w:pStyle w:val="Default"/>
        <w:rPr>
          <w:szCs w:val="23"/>
          <w:lang w:val="lv-LV"/>
        </w:rPr>
      </w:pPr>
    </w:p>
    <w:p w14:paraId="520320FE" w14:textId="77777777" w:rsidR="002E5DDC" w:rsidRPr="00C331A0" w:rsidRDefault="002E5DDC" w:rsidP="00A75C3F">
      <w:pPr>
        <w:pStyle w:val="Default"/>
        <w:rPr>
          <w:szCs w:val="23"/>
          <w:lang w:val="lv-LV"/>
        </w:rPr>
      </w:pPr>
      <w:r w:rsidRPr="00C331A0">
        <w:rPr>
          <w:i/>
          <w:iCs/>
          <w:szCs w:val="23"/>
          <w:lang w:val="lv-LV"/>
        </w:rPr>
        <w:t>Serotonīna sindroms</w:t>
      </w:r>
    </w:p>
    <w:p w14:paraId="5D159E91" w14:textId="77777777" w:rsidR="002E5DDC" w:rsidRPr="00C331A0" w:rsidRDefault="002E5DDC" w:rsidP="00A75C3F">
      <w:pPr>
        <w:pStyle w:val="Default"/>
        <w:rPr>
          <w:szCs w:val="23"/>
          <w:lang w:val="lv-LV"/>
        </w:rPr>
      </w:pPr>
      <w:r w:rsidRPr="00C331A0">
        <w:rPr>
          <w:szCs w:val="23"/>
          <w:lang w:val="lv-LV"/>
        </w:rPr>
        <w:t xml:space="preserve">Serotonīna sindroms SSAI lietošanas laikā tika novērots retos gadījumos. Par šāda stāvokļa attīstību var norādīt simptomu kombinācija, piemēram: uzbudinājums, trīce, mioklonuss un </w:t>
      </w:r>
      <w:r w:rsidRPr="00C331A0">
        <w:rPr>
          <w:szCs w:val="23"/>
          <w:lang w:val="lv-LV"/>
        </w:rPr>
        <w:lastRenderedPageBreak/>
        <w:t>hipertermija. Šajā gadījumā citaloprāma lietošana nekavējoties jāpārtrauc un jāuzsāk simptomātiska ārstēš</w:t>
      </w:r>
      <w:r w:rsidR="00C331A0">
        <w:rPr>
          <w:szCs w:val="23"/>
          <w:lang w:val="lv-LV"/>
        </w:rPr>
        <w:t>ana.</w:t>
      </w:r>
    </w:p>
    <w:p w14:paraId="217108E7" w14:textId="77777777" w:rsidR="002E5DDC" w:rsidRPr="00C331A0" w:rsidRDefault="002E5DDC" w:rsidP="00A75C3F">
      <w:pPr>
        <w:pStyle w:val="Default"/>
        <w:rPr>
          <w:szCs w:val="23"/>
          <w:lang w:val="lv-LV"/>
        </w:rPr>
      </w:pPr>
    </w:p>
    <w:p w14:paraId="086F52CC" w14:textId="77777777" w:rsidR="002E5DDC" w:rsidRPr="00C331A0" w:rsidRDefault="002E5DDC" w:rsidP="00A75C3F">
      <w:pPr>
        <w:pStyle w:val="Default"/>
        <w:rPr>
          <w:szCs w:val="23"/>
          <w:lang w:val="lv-LV"/>
        </w:rPr>
      </w:pPr>
      <w:r w:rsidRPr="00C331A0">
        <w:rPr>
          <w:i/>
          <w:iCs/>
          <w:szCs w:val="23"/>
          <w:lang w:val="lv-LV"/>
        </w:rPr>
        <w:t>Serotonīnerģiskas zāles</w:t>
      </w:r>
    </w:p>
    <w:p w14:paraId="31C81D86" w14:textId="77777777" w:rsidR="002E5DDC" w:rsidRPr="00C331A0" w:rsidRDefault="002E5DDC" w:rsidP="00A75C3F">
      <w:pPr>
        <w:pStyle w:val="Default"/>
        <w:rPr>
          <w:szCs w:val="23"/>
          <w:lang w:val="lv-LV"/>
        </w:rPr>
      </w:pPr>
      <w:r w:rsidRPr="00C331A0">
        <w:rPr>
          <w:szCs w:val="23"/>
          <w:lang w:val="lv-LV"/>
        </w:rPr>
        <w:t>Citaloprāmu nedrīkst lietot vienlaicīgi ar citām zālēm, kurām piemīt serotonīnerģiska iedarbība, piemēram, sumatriptānu vai citiem triptāniem, tramadolu, oksitriptānu un triptofā</w:t>
      </w:r>
      <w:r w:rsidR="00C331A0">
        <w:rPr>
          <w:szCs w:val="23"/>
          <w:lang w:val="lv-LV"/>
        </w:rPr>
        <w:t>nu.</w:t>
      </w:r>
    </w:p>
    <w:p w14:paraId="6521671C" w14:textId="77777777" w:rsidR="002E5DDC" w:rsidRPr="00C331A0" w:rsidRDefault="002E5DDC" w:rsidP="00A75C3F">
      <w:pPr>
        <w:pStyle w:val="Default"/>
        <w:rPr>
          <w:szCs w:val="23"/>
          <w:lang w:val="lv-LV"/>
        </w:rPr>
      </w:pPr>
    </w:p>
    <w:p w14:paraId="4D7D774F" w14:textId="77777777" w:rsidR="002E5DDC" w:rsidRPr="00C331A0" w:rsidRDefault="002E5DDC" w:rsidP="00A75C3F">
      <w:pPr>
        <w:pStyle w:val="Default"/>
        <w:rPr>
          <w:szCs w:val="23"/>
          <w:lang w:val="lv-LV"/>
        </w:rPr>
      </w:pPr>
      <w:r w:rsidRPr="00C331A0">
        <w:rPr>
          <w:i/>
          <w:iCs/>
          <w:szCs w:val="23"/>
          <w:lang w:val="lv-LV"/>
        </w:rPr>
        <w:t>Paradoksāla trauksme</w:t>
      </w:r>
    </w:p>
    <w:p w14:paraId="6156FF3E" w14:textId="77777777" w:rsidR="002E5DDC" w:rsidRPr="00C331A0" w:rsidRDefault="002E5DDC" w:rsidP="00A75C3F">
      <w:pPr>
        <w:pStyle w:val="Default"/>
        <w:rPr>
          <w:szCs w:val="23"/>
          <w:lang w:val="lv-LV"/>
        </w:rPr>
      </w:pPr>
      <w:r w:rsidRPr="00C331A0">
        <w:rPr>
          <w:szCs w:val="23"/>
          <w:lang w:val="lv-LV"/>
        </w:rPr>
        <w:t>Panikas lēkmju ārstēšanā daži pacienti terapijas sākumā var izjust pastiprinātas trauksmes simptomus. Šī paradoksālā reakcija parasti izzūd pirmo divu nedēļu laikā pēc terapijas sākuma. Lai novērstu paradoksālo anksiogēno iedarbību, ieteicams ārstēšanu uzsākt ar mazu sākuma devu (skatīt 4.2</w:t>
      </w:r>
      <w:r w:rsidR="00BC54E9">
        <w:rPr>
          <w:szCs w:val="23"/>
          <w:lang w:val="lv-LV"/>
        </w:rPr>
        <w:t>.</w:t>
      </w:r>
      <w:r w:rsidRPr="00C331A0">
        <w:rPr>
          <w:szCs w:val="23"/>
          <w:lang w:val="lv-LV"/>
        </w:rPr>
        <w:t xml:space="preserve"> apakš</w:t>
      </w:r>
      <w:r w:rsidR="00C331A0">
        <w:rPr>
          <w:szCs w:val="23"/>
          <w:lang w:val="lv-LV"/>
        </w:rPr>
        <w:t>punktu).</w:t>
      </w:r>
    </w:p>
    <w:p w14:paraId="618ADCCA" w14:textId="77777777" w:rsidR="002E5DDC" w:rsidRPr="00C331A0" w:rsidRDefault="002E5DDC" w:rsidP="00A75C3F">
      <w:pPr>
        <w:pStyle w:val="Default"/>
        <w:rPr>
          <w:szCs w:val="23"/>
          <w:lang w:val="lv-LV"/>
        </w:rPr>
      </w:pPr>
    </w:p>
    <w:p w14:paraId="27452779" w14:textId="77777777" w:rsidR="002E5DDC" w:rsidRPr="00C331A0" w:rsidRDefault="002E5DDC" w:rsidP="00A75C3F">
      <w:pPr>
        <w:pStyle w:val="Default"/>
        <w:rPr>
          <w:szCs w:val="23"/>
          <w:lang w:val="lv-LV"/>
        </w:rPr>
      </w:pPr>
      <w:r w:rsidRPr="00C331A0">
        <w:rPr>
          <w:i/>
          <w:iCs/>
          <w:szCs w:val="23"/>
          <w:lang w:val="lv-LV"/>
        </w:rPr>
        <w:t>Psihoze</w:t>
      </w:r>
    </w:p>
    <w:p w14:paraId="23080AA0" w14:textId="77777777" w:rsidR="002E5DDC" w:rsidRPr="00C331A0" w:rsidRDefault="002E5DDC" w:rsidP="00A75C3F">
      <w:pPr>
        <w:pStyle w:val="Default"/>
        <w:rPr>
          <w:szCs w:val="23"/>
          <w:lang w:val="lv-LV"/>
        </w:rPr>
      </w:pPr>
      <w:r w:rsidRPr="00C331A0">
        <w:rPr>
          <w:szCs w:val="23"/>
          <w:lang w:val="lv-LV"/>
        </w:rPr>
        <w:t>Ārstējot psihiski slimos pacientus, kuriem ir depresijas epizodes, var saasinā</w:t>
      </w:r>
      <w:r w:rsidR="00C331A0">
        <w:rPr>
          <w:szCs w:val="23"/>
          <w:lang w:val="lv-LV"/>
        </w:rPr>
        <w:t>ties psihotiskie simptomi.</w:t>
      </w:r>
    </w:p>
    <w:p w14:paraId="068C6269" w14:textId="77777777" w:rsidR="002E5DDC" w:rsidRPr="00C331A0" w:rsidRDefault="002E5DDC" w:rsidP="00A75C3F">
      <w:pPr>
        <w:pStyle w:val="Default"/>
        <w:rPr>
          <w:szCs w:val="23"/>
          <w:lang w:val="lv-LV"/>
        </w:rPr>
      </w:pPr>
    </w:p>
    <w:p w14:paraId="52A81828" w14:textId="77777777" w:rsidR="00C331A0" w:rsidRDefault="002E5DDC" w:rsidP="00A75C3F">
      <w:pPr>
        <w:pStyle w:val="Default"/>
        <w:rPr>
          <w:i/>
          <w:iCs/>
          <w:szCs w:val="23"/>
          <w:lang w:val="lv-LV"/>
        </w:rPr>
      </w:pPr>
      <w:r w:rsidRPr="00C331A0">
        <w:rPr>
          <w:i/>
          <w:iCs/>
          <w:szCs w:val="23"/>
          <w:lang w:val="lv-LV"/>
        </w:rPr>
        <w:t>Hiponatriēmija</w:t>
      </w:r>
    </w:p>
    <w:p w14:paraId="15B39159" w14:textId="77777777" w:rsidR="002E5DDC" w:rsidRPr="00C331A0" w:rsidRDefault="002E5DDC" w:rsidP="00A75C3F">
      <w:pPr>
        <w:pStyle w:val="Default"/>
        <w:rPr>
          <w:szCs w:val="23"/>
          <w:lang w:val="lv-LV"/>
        </w:rPr>
      </w:pPr>
      <w:r w:rsidRPr="00C331A0">
        <w:rPr>
          <w:szCs w:val="23"/>
          <w:lang w:val="lv-LV"/>
        </w:rPr>
        <w:t>Retos gadījumos SSAI lietošanas laikā ir ziņots par hiponatriēmiju, kuras izcelsmi saista ar izmainītu antidiurētiskā hormona sekrēciju (IADHS), kas parasti izzūd līdz ar terapijas pārtraukšanu. Tiek uzskatīts, ka īpaši palielināts risks ir gados vecākām sievietē</w:t>
      </w:r>
      <w:r w:rsidR="00C331A0">
        <w:rPr>
          <w:szCs w:val="23"/>
          <w:lang w:val="lv-LV"/>
        </w:rPr>
        <w:t>m.</w:t>
      </w:r>
    </w:p>
    <w:p w14:paraId="24DBBC81" w14:textId="77777777" w:rsidR="002E5DDC" w:rsidRPr="00C331A0" w:rsidRDefault="002E5DDC" w:rsidP="00A75C3F">
      <w:pPr>
        <w:pStyle w:val="Default"/>
        <w:rPr>
          <w:szCs w:val="23"/>
          <w:lang w:val="lv-LV"/>
        </w:rPr>
      </w:pPr>
    </w:p>
    <w:p w14:paraId="1CDB6B0B" w14:textId="77777777" w:rsidR="002E5DDC" w:rsidRPr="00C331A0" w:rsidRDefault="002E5DDC" w:rsidP="00A75C3F">
      <w:pPr>
        <w:pStyle w:val="Default"/>
        <w:rPr>
          <w:szCs w:val="23"/>
          <w:lang w:val="lv-LV"/>
        </w:rPr>
      </w:pPr>
      <w:r w:rsidRPr="00C331A0">
        <w:rPr>
          <w:i/>
          <w:iCs/>
          <w:szCs w:val="23"/>
          <w:lang w:val="lv-LV"/>
        </w:rPr>
        <w:t>Asinszāle (Hypericum perforatum)</w:t>
      </w:r>
    </w:p>
    <w:p w14:paraId="28A65818" w14:textId="77777777" w:rsidR="002E5DDC" w:rsidRPr="00C331A0" w:rsidRDefault="002E5DDC" w:rsidP="00A75C3F">
      <w:pPr>
        <w:pStyle w:val="Default"/>
        <w:rPr>
          <w:szCs w:val="23"/>
          <w:lang w:val="lv-LV"/>
        </w:rPr>
      </w:pPr>
      <w:r w:rsidRPr="00C331A0">
        <w:rPr>
          <w:szCs w:val="23"/>
          <w:lang w:val="lv-LV"/>
        </w:rPr>
        <w:t>Nevēlamās blakusparādības var būt vairāk sastopamas citaloprāma un ārstniecības augu līdzekļu, kas satur asinszāli (</w:t>
      </w:r>
      <w:r w:rsidRPr="00C331A0">
        <w:rPr>
          <w:i/>
          <w:iCs/>
          <w:szCs w:val="23"/>
          <w:lang w:val="lv-LV"/>
        </w:rPr>
        <w:t>Hypericum perforatum</w:t>
      </w:r>
      <w:r w:rsidRPr="00C331A0">
        <w:rPr>
          <w:szCs w:val="23"/>
          <w:lang w:val="lv-LV"/>
        </w:rPr>
        <w:t>), vienlaicīgas lietošanas laikā. Tādējādi citaloprāmu un asinszāli saturošus līdzekļus nevajadzētu lietot vienlaicīgi (skatīt 4.5</w:t>
      </w:r>
      <w:r w:rsidR="00BC54E9">
        <w:rPr>
          <w:szCs w:val="23"/>
          <w:lang w:val="lv-LV"/>
        </w:rPr>
        <w:t>.</w:t>
      </w:r>
      <w:r w:rsidRPr="00C331A0">
        <w:rPr>
          <w:szCs w:val="23"/>
          <w:lang w:val="lv-LV"/>
        </w:rPr>
        <w:t xml:space="preserve"> apakš</w:t>
      </w:r>
      <w:r w:rsidR="00C331A0">
        <w:rPr>
          <w:szCs w:val="23"/>
          <w:lang w:val="lv-LV"/>
        </w:rPr>
        <w:t>punktu).</w:t>
      </w:r>
    </w:p>
    <w:p w14:paraId="108E550E" w14:textId="77777777" w:rsidR="002E5DDC" w:rsidRPr="00C331A0" w:rsidRDefault="002E5DDC" w:rsidP="00A75C3F">
      <w:pPr>
        <w:pStyle w:val="Default"/>
        <w:rPr>
          <w:szCs w:val="23"/>
          <w:lang w:val="lv-LV"/>
        </w:rPr>
      </w:pPr>
    </w:p>
    <w:p w14:paraId="3F61C6BD" w14:textId="77777777" w:rsidR="002E5DDC" w:rsidRPr="00C331A0" w:rsidRDefault="002E5DDC" w:rsidP="00A75C3F">
      <w:pPr>
        <w:pStyle w:val="Default"/>
        <w:rPr>
          <w:szCs w:val="23"/>
          <w:lang w:val="lv-LV"/>
        </w:rPr>
      </w:pPr>
      <w:r w:rsidRPr="00C331A0">
        <w:rPr>
          <w:i/>
          <w:iCs/>
          <w:szCs w:val="23"/>
          <w:lang w:val="lv-LV"/>
        </w:rPr>
        <w:t>Devas pielāgošana</w:t>
      </w:r>
    </w:p>
    <w:p w14:paraId="25121388" w14:textId="77777777" w:rsidR="002E5DDC" w:rsidRPr="00C331A0" w:rsidRDefault="002E5DDC" w:rsidP="00A75C3F">
      <w:pPr>
        <w:pStyle w:val="Default"/>
        <w:rPr>
          <w:szCs w:val="23"/>
          <w:lang w:val="lv-LV"/>
        </w:rPr>
      </w:pPr>
      <w:r w:rsidRPr="00C331A0">
        <w:rPr>
          <w:szCs w:val="23"/>
          <w:lang w:val="lv-LV"/>
        </w:rPr>
        <w:t>Terapijas sākumā var rasties bezmiegs un uzbudinājums. Vēlama devas pakāpeniska palielināš</w:t>
      </w:r>
      <w:r w:rsidR="00C331A0">
        <w:rPr>
          <w:szCs w:val="23"/>
          <w:lang w:val="lv-LV"/>
        </w:rPr>
        <w:t>ana.</w:t>
      </w:r>
    </w:p>
    <w:p w14:paraId="41841E33" w14:textId="77777777" w:rsidR="002E5DDC" w:rsidRPr="00C331A0" w:rsidRDefault="002E5DDC" w:rsidP="00A75C3F">
      <w:pPr>
        <w:pStyle w:val="Default"/>
        <w:rPr>
          <w:szCs w:val="23"/>
          <w:lang w:val="lv-LV"/>
        </w:rPr>
      </w:pPr>
    </w:p>
    <w:p w14:paraId="0487638C" w14:textId="77777777" w:rsidR="002E5DDC" w:rsidRPr="00C331A0" w:rsidRDefault="002E5DDC" w:rsidP="00A75C3F">
      <w:pPr>
        <w:pStyle w:val="Default"/>
        <w:rPr>
          <w:szCs w:val="23"/>
          <w:lang w:val="lv-LV"/>
        </w:rPr>
      </w:pPr>
      <w:r w:rsidRPr="00C331A0">
        <w:rPr>
          <w:i/>
          <w:iCs/>
          <w:szCs w:val="23"/>
          <w:lang w:val="lv-LV"/>
        </w:rPr>
        <w:t>QT intervāla pagarināšanās</w:t>
      </w:r>
    </w:p>
    <w:p w14:paraId="59029D3E" w14:textId="77777777" w:rsidR="002E5DDC" w:rsidRPr="00C331A0" w:rsidRDefault="002E5DDC" w:rsidP="00A75C3F">
      <w:pPr>
        <w:pStyle w:val="Default"/>
        <w:rPr>
          <w:szCs w:val="23"/>
          <w:lang w:val="lv-LV"/>
        </w:rPr>
      </w:pPr>
      <w:r w:rsidRPr="00C331A0">
        <w:rPr>
          <w:szCs w:val="23"/>
          <w:lang w:val="lv-LV"/>
        </w:rPr>
        <w:t xml:space="preserve">Ir pierādīts, ka citaloprāms izraisa no devas atkarīgu QT intervāla pagarināšanos. Pēc zāļu nonākšanas tirgū ir ziņots par QT intervāla pagarināšanās un ventrikulāru aritmiju, tajā skaitā </w:t>
      </w:r>
      <w:r w:rsidRPr="00C331A0">
        <w:rPr>
          <w:i/>
          <w:iCs/>
          <w:szCs w:val="23"/>
          <w:lang w:val="lv-LV"/>
        </w:rPr>
        <w:t>torsades de pointes</w:t>
      </w:r>
      <w:r w:rsidRPr="00C331A0">
        <w:rPr>
          <w:szCs w:val="23"/>
          <w:lang w:val="lv-LV"/>
        </w:rPr>
        <w:t>, gadījumiem, galvenokārt sieviešu dzimuma pacientēm, pacientiem ar hipokaliēmiju, esošu pagarinātu QT intervālu vai citām sirds slimībām (skatīt 4.3</w:t>
      </w:r>
      <w:r w:rsidR="005676A3">
        <w:rPr>
          <w:szCs w:val="23"/>
          <w:lang w:val="lv-LV"/>
        </w:rPr>
        <w:t>.</w:t>
      </w:r>
      <w:r w:rsidRPr="00C331A0">
        <w:rPr>
          <w:szCs w:val="23"/>
          <w:lang w:val="lv-LV"/>
        </w:rPr>
        <w:t>, 4.5</w:t>
      </w:r>
      <w:r w:rsidR="005676A3">
        <w:rPr>
          <w:szCs w:val="23"/>
          <w:lang w:val="lv-LV"/>
        </w:rPr>
        <w:t>.</w:t>
      </w:r>
      <w:r w:rsidRPr="00C331A0">
        <w:rPr>
          <w:szCs w:val="23"/>
          <w:lang w:val="lv-LV"/>
        </w:rPr>
        <w:t>, 4.8</w:t>
      </w:r>
      <w:r w:rsidR="005676A3">
        <w:rPr>
          <w:szCs w:val="23"/>
          <w:lang w:val="lv-LV"/>
        </w:rPr>
        <w:t>.</w:t>
      </w:r>
      <w:r w:rsidRPr="00C331A0">
        <w:rPr>
          <w:szCs w:val="23"/>
          <w:lang w:val="lv-LV"/>
        </w:rPr>
        <w:t>, 4.9</w:t>
      </w:r>
      <w:r w:rsidR="005676A3">
        <w:rPr>
          <w:szCs w:val="23"/>
          <w:lang w:val="lv-LV"/>
        </w:rPr>
        <w:t>.</w:t>
      </w:r>
      <w:r w:rsidRPr="00C331A0">
        <w:rPr>
          <w:szCs w:val="23"/>
          <w:lang w:val="lv-LV"/>
        </w:rPr>
        <w:t xml:space="preserve"> un 5.1</w:t>
      </w:r>
      <w:r w:rsidR="005676A3">
        <w:rPr>
          <w:szCs w:val="23"/>
          <w:lang w:val="lv-LV"/>
        </w:rPr>
        <w:t>.</w:t>
      </w:r>
      <w:r w:rsidRPr="00C331A0">
        <w:rPr>
          <w:szCs w:val="23"/>
          <w:lang w:val="lv-LV"/>
        </w:rPr>
        <w:t xml:space="preserve"> apakš</w:t>
      </w:r>
      <w:r w:rsidR="00C331A0">
        <w:rPr>
          <w:szCs w:val="23"/>
          <w:lang w:val="lv-LV"/>
        </w:rPr>
        <w:t>punktus).</w:t>
      </w:r>
    </w:p>
    <w:p w14:paraId="545733E1" w14:textId="77777777" w:rsidR="002E5DDC" w:rsidRPr="00C331A0" w:rsidRDefault="002E5DDC" w:rsidP="00A75C3F">
      <w:pPr>
        <w:pStyle w:val="Default"/>
        <w:rPr>
          <w:szCs w:val="23"/>
          <w:lang w:val="lv-LV"/>
        </w:rPr>
      </w:pPr>
      <w:r w:rsidRPr="00C331A0">
        <w:rPr>
          <w:szCs w:val="23"/>
          <w:lang w:val="lv-LV"/>
        </w:rPr>
        <w:t>Piesardzība jāievēro pacientiem ar izteiktu bradikardiju, kā arī pacientiem ar nesenu akūtu miokarda infarktu vai dekompensētu sirds mazspē</w:t>
      </w:r>
      <w:r w:rsidR="00C331A0">
        <w:rPr>
          <w:szCs w:val="23"/>
          <w:lang w:val="lv-LV"/>
        </w:rPr>
        <w:t>ju.</w:t>
      </w:r>
    </w:p>
    <w:p w14:paraId="306E2F35" w14:textId="77777777" w:rsidR="002E5DDC" w:rsidRPr="00C331A0" w:rsidRDefault="002E5DDC" w:rsidP="00A75C3F">
      <w:pPr>
        <w:pStyle w:val="Default"/>
        <w:rPr>
          <w:szCs w:val="23"/>
          <w:lang w:val="lv-LV"/>
        </w:rPr>
      </w:pPr>
      <w:r w:rsidRPr="00C331A0">
        <w:rPr>
          <w:szCs w:val="23"/>
          <w:lang w:val="lv-LV"/>
        </w:rPr>
        <w:t>Elektrolītu līdzsvara traucējumi, piemēram, hipokaliēmija un hipomagniēmija, palielina ļaundabīgas aritmijas risku, un tas pirms citaloprāma terapijas uzsākšanas ir jākoriģē</w:t>
      </w:r>
      <w:r w:rsidR="00C331A0">
        <w:rPr>
          <w:szCs w:val="23"/>
          <w:lang w:val="lv-LV"/>
        </w:rPr>
        <w:t>.</w:t>
      </w:r>
    </w:p>
    <w:p w14:paraId="0E15D062" w14:textId="77777777" w:rsidR="002E5DDC" w:rsidRPr="00C331A0" w:rsidRDefault="002E5DDC" w:rsidP="00A75C3F">
      <w:pPr>
        <w:pStyle w:val="Default"/>
        <w:rPr>
          <w:szCs w:val="23"/>
          <w:lang w:val="lv-LV"/>
        </w:rPr>
      </w:pPr>
      <w:r w:rsidRPr="00C331A0">
        <w:rPr>
          <w:szCs w:val="23"/>
          <w:lang w:val="lv-LV"/>
        </w:rPr>
        <w:t>Ja tiek ārstēti pacienti ar stabilu sirds slimību, pirms terapijas sākuma ieteicams veikt elektrokardiogrammas (EKG) izmeklē</w:t>
      </w:r>
      <w:r w:rsidR="00C331A0">
        <w:rPr>
          <w:szCs w:val="23"/>
          <w:lang w:val="lv-LV"/>
        </w:rPr>
        <w:t>jumus.</w:t>
      </w:r>
    </w:p>
    <w:p w14:paraId="75E8080E" w14:textId="77777777" w:rsidR="002E5DDC" w:rsidRPr="00C331A0" w:rsidRDefault="002E5DDC" w:rsidP="00A75C3F">
      <w:pPr>
        <w:pStyle w:val="Default"/>
        <w:rPr>
          <w:szCs w:val="23"/>
          <w:lang w:val="lv-LV"/>
        </w:rPr>
      </w:pPr>
      <w:r w:rsidRPr="00C331A0">
        <w:rPr>
          <w:szCs w:val="23"/>
          <w:lang w:val="lv-LV"/>
        </w:rPr>
        <w:t>Ja citaloprāma terapijas laikā rodas sirds aritmijas pazīmes, terapija jāpārtrauc un jā</w:t>
      </w:r>
      <w:r w:rsidR="00C331A0">
        <w:rPr>
          <w:szCs w:val="23"/>
          <w:lang w:val="lv-LV"/>
        </w:rPr>
        <w:t>veic EKG.</w:t>
      </w:r>
    </w:p>
    <w:p w14:paraId="6189F3B9" w14:textId="77777777" w:rsidR="002E5DDC" w:rsidRPr="00C331A0" w:rsidRDefault="002E5DDC" w:rsidP="00A75C3F">
      <w:pPr>
        <w:pStyle w:val="Default"/>
        <w:rPr>
          <w:szCs w:val="23"/>
          <w:lang w:val="lv-LV"/>
        </w:rPr>
      </w:pPr>
    </w:p>
    <w:p w14:paraId="0457FD1E" w14:textId="77777777" w:rsidR="002E5DDC" w:rsidRPr="00C331A0" w:rsidRDefault="002E5DDC" w:rsidP="00A75C3F">
      <w:pPr>
        <w:pStyle w:val="Default"/>
        <w:rPr>
          <w:szCs w:val="23"/>
          <w:lang w:val="lv-LV"/>
        </w:rPr>
      </w:pPr>
      <w:r w:rsidRPr="00C331A0">
        <w:rPr>
          <w:i/>
          <w:iCs/>
          <w:szCs w:val="23"/>
          <w:lang w:val="lv-LV"/>
        </w:rPr>
        <w:t>Slēgta kakta glaukoma</w:t>
      </w:r>
    </w:p>
    <w:p w14:paraId="3E961382" w14:textId="77777777" w:rsidR="002E5DDC" w:rsidRDefault="002E5DDC" w:rsidP="00A75C3F">
      <w:pPr>
        <w:pStyle w:val="Default"/>
        <w:rPr>
          <w:szCs w:val="23"/>
          <w:lang w:val="lv-LV"/>
        </w:rPr>
      </w:pPr>
      <w:r w:rsidRPr="00C331A0">
        <w:rPr>
          <w:szCs w:val="23"/>
          <w:lang w:val="lv-LV"/>
        </w:rPr>
        <w:t>S</w:t>
      </w:r>
      <w:r w:rsidR="00D425A5">
        <w:rPr>
          <w:szCs w:val="23"/>
          <w:lang w:val="lv-LV"/>
        </w:rPr>
        <w:t>S</w:t>
      </w:r>
      <w:r w:rsidRPr="00C331A0">
        <w:rPr>
          <w:szCs w:val="23"/>
          <w:lang w:val="lv-LV"/>
        </w:rPr>
        <w:t xml:space="preserve">ASI, tajā skaitā citaloprāms, var ietekmēt acs zīlītes izmērus, kā rezultātā iespējama midriāze. Šī midriātiskā iedarbība var sašaurināt acs kakta leņķi, kā rezultātā palielinās intraokulārais spiediens un attīstās slēgta kakta glaukoma, it īpaši predisponētiem pacientiem. Tāpēc pacientiem ar slēgta kakta glaukomu vai glaukomu anamnēzē citaloprāms jālieto </w:t>
      </w:r>
      <w:r w:rsidRPr="00C331A0">
        <w:rPr>
          <w:szCs w:val="23"/>
          <w:lang w:val="lv-LV"/>
        </w:rPr>
        <w:lastRenderedPageBreak/>
        <w:t>piesardzī</w:t>
      </w:r>
      <w:r w:rsidR="00C331A0">
        <w:rPr>
          <w:szCs w:val="23"/>
          <w:lang w:val="lv-LV"/>
        </w:rPr>
        <w:t>gi.</w:t>
      </w:r>
    </w:p>
    <w:p w14:paraId="1E773121" w14:textId="77777777" w:rsidR="00900994" w:rsidRDefault="00900994" w:rsidP="00A75C3F">
      <w:pPr>
        <w:pStyle w:val="Default"/>
        <w:rPr>
          <w:szCs w:val="23"/>
          <w:lang w:val="lv-LV"/>
        </w:rPr>
      </w:pPr>
    </w:p>
    <w:p w14:paraId="5DA47CBA" w14:textId="77777777" w:rsidR="00900994" w:rsidRPr="00900994" w:rsidRDefault="00900994" w:rsidP="00A75C3F">
      <w:pPr>
        <w:pStyle w:val="Default"/>
        <w:rPr>
          <w:i/>
          <w:iCs/>
          <w:szCs w:val="23"/>
          <w:lang w:val="lv-LV"/>
        </w:rPr>
      </w:pPr>
      <w:r w:rsidRPr="00900994">
        <w:rPr>
          <w:i/>
          <w:iCs/>
          <w:szCs w:val="23"/>
          <w:lang w:val="lv-LV"/>
        </w:rPr>
        <w:t xml:space="preserve">Seksuāla disfunkcija </w:t>
      </w:r>
    </w:p>
    <w:p w14:paraId="0A51DF30" w14:textId="77777777" w:rsidR="00900994" w:rsidRPr="00900994" w:rsidRDefault="00900994" w:rsidP="00A75C3F">
      <w:pPr>
        <w:pStyle w:val="Default"/>
        <w:rPr>
          <w:szCs w:val="23"/>
          <w:lang w:val="lv-LV"/>
        </w:rPr>
      </w:pPr>
      <w:r w:rsidRPr="00900994">
        <w:rPr>
          <w:szCs w:val="23"/>
          <w:lang w:val="lv-LV"/>
        </w:rPr>
        <w:t>Selektīvie serotonīna atpakaļsaist</w:t>
      </w:r>
      <w:r w:rsidR="00F6402E">
        <w:rPr>
          <w:szCs w:val="23"/>
          <w:lang w:val="lv-LV"/>
        </w:rPr>
        <w:t>īšanas</w:t>
      </w:r>
      <w:r w:rsidRPr="00900994">
        <w:rPr>
          <w:szCs w:val="23"/>
          <w:lang w:val="lv-LV"/>
        </w:rPr>
        <w:t xml:space="preserve"> inhibitori (SS</w:t>
      </w:r>
      <w:r w:rsidR="00F6402E">
        <w:rPr>
          <w:szCs w:val="23"/>
          <w:lang w:val="lv-LV"/>
        </w:rPr>
        <w:t>A</w:t>
      </w:r>
      <w:r w:rsidRPr="00900994">
        <w:rPr>
          <w:szCs w:val="23"/>
          <w:lang w:val="lv-LV"/>
        </w:rPr>
        <w:t>I)/ serotonīna norepinefrīna atpakaļsaist</w:t>
      </w:r>
      <w:r w:rsidR="00F6402E">
        <w:rPr>
          <w:szCs w:val="23"/>
          <w:lang w:val="lv-LV"/>
        </w:rPr>
        <w:t>īšanas</w:t>
      </w:r>
      <w:r w:rsidRPr="00900994">
        <w:rPr>
          <w:szCs w:val="23"/>
          <w:lang w:val="lv-LV"/>
        </w:rPr>
        <w:t xml:space="preserve"> inhibitori (SN</w:t>
      </w:r>
      <w:r w:rsidR="00F6402E">
        <w:rPr>
          <w:szCs w:val="23"/>
          <w:lang w:val="lv-LV"/>
        </w:rPr>
        <w:t>A</w:t>
      </w:r>
      <w:r w:rsidRPr="00900994">
        <w:rPr>
          <w:szCs w:val="23"/>
          <w:lang w:val="lv-LV"/>
        </w:rPr>
        <w:t>I) var izraisīt seksuālās disfunkcijas simptomus (skatīt 4.8. apakšpunktu). Ir ziņots par ilgstošu seksuālo disfunkciju, kuras simptomi ir saglabājušies pat pēc SS</w:t>
      </w:r>
      <w:r w:rsidR="00F6402E">
        <w:rPr>
          <w:szCs w:val="23"/>
          <w:lang w:val="lv-LV"/>
        </w:rPr>
        <w:t>A</w:t>
      </w:r>
      <w:r w:rsidRPr="00900994">
        <w:rPr>
          <w:szCs w:val="23"/>
          <w:lang w:val="lv-LV"/>
        </w:rPr>
        <w:t>I/SN</w:t>
      </w:r>
      <w:r w:rsidR="00F6402E">
        <w:rPr>
          <w:szCs w:val="23"/>
          <w:lang w:val="lv-LV"/>
        </w:rPr>
        <w:t>A</w:t>
      </w:r>
      <w:r w:rsidRPr="00900994">
        <w:rPr>
          <w:szCs w:val="23"/>
          <w:lang w:val="lv-LV"/>
        </w:rPr>
        <w:t>I lietošanas pārtraukšanas.</w:t>
      </w:r>
    </w:p>
    <w:p w14:paraId="01EBF255" w14:textId="77777777" w:rsidR="002E5DDC" w:rsidRPr="00C331A0" w:rsidRDefault="002E5DDC" w:rsidP="00A75C3F">
      <w:pPr>
        <w:pStyle w:val="Default"/>
        <w:rPr>
          <w:szCs w:val="23"/>
          <w:lang w:val="lv-LV"/>
        </w:rPr>
      </w:pPr>
    </w:p>
    <w:p w14:paraId="53BC5BB4" w14:textId="77777777" w:rsidR="002E5DDC" w:rsidRPr="00C331A0" w:rsidRDefault="002E5DDC" w:rsidP="00A75C3F">
      <w:pPr>
        <w:pStyle w:val="Default"/>
        <w:rPr>
          <w:szCs w:val="23"/>
          <w:lang w:val="lv-LV"/>
        </w:rPr>
      </w:pPr>
      <w:r w:rsidRPr="00C331A0">
        <w:rPr>
          <w:b/>
          <w:bCs/>
          <w:szCs w:val="23"/>
          <w:lang w:val="lv-LV"/>
        </w:rPr>
        <w:t>4.5</w:t>
      </w:r>
      <w:r w:rsidR="00881547">
        <w:rPr>
          <w:b/>
          <w:bCs/>
          <w:szCs w:val="23"/>
          <w:lang w:val="lv-LV"/>
        </w:rPr>
        <w:t>.</w:t>
      </w:r>
      <w:r w:rsidRPr="00C331A0">
        <w:rPr>
          <w:b/>
          <w:bCs/>
          <w:szCs w:val="23"/>
          <w:lang w:val="lv-LV"/>
        </w:rPr>
        <w:t xml:space="preserve"> Mijiedarbība ar citām zālēm un citi mijiedarbības veidi</w:t>
      </w:r>
    </w:p>
    <w:p w14:paraId="7C16E467" w14:textId="77777777" w:rsidR="00E42F72" w:rsidRDefault="00E42F72" w:rsidP="00A75C3F">
      <w:pPr>
        <w:pStyle w:val="Default"/>
        <w:rPr>
          <w:szCs w:val="23"/>
          <w:u w:val="single"/>
          <w:lang w:val="lv-LV"/>
        </w:rPr>
      </w:pPr>
    </w:p>
    <w:p w14:paraId="1545365C" w14:textId="77777777" w:rsidR="002E5DDC" w:rsidRPr="000B1C99" w:rsidRDefault="002E5DDC" w:rsidP="00A75C3F">
      <w:pPr>
        <w:pStyle w:val="Default"/>
        <w:rPr>
          <w:szCs w:val="23"/>
          <w:u w:val="single"/>
          <w:lang w:val="lv-LV"/>
        </w:rPr>
      </w:pPr>
      <w:r w:rsidRPr="000B1C99">
        <w:rPr>
          <w:szCs w:val="23"/>
          <w:u w:val="single"/>
          <w:lang w:val="lv-LV"/>
        </w:rPr>
        <w:t>Farmakodinamiskā mijiedarbī</w:t>
      </w:r>
      <w:r w:rsidR="00C331A0" w:rsidRPr="000B1C99">
        <w:rPr>
          <w:szCs w:val="23"/>
          <w:u w:val="single"/>
          <w:lang w:val="lv-LV"/>
        </w:rPr>
        <w:t>ba</w:t>
      </w:r>
    </w:p>
    <w:p w14:paraId="1B43337A" w14:textId="77777777" w:rsidR="002E5DDC" w:rsidRPr="00C331A0" w:rsidRDefault="002E5DDC" w:rsidP="00A75C3F">
      <w:pPr>
        <w:pStyle w:val="Default"/>
        <w:rPr>
          <w:szCs w:val="23"/>
          <w:lang w:val="lv-LV"/>
        </w:rPr>
      </w:pPr>
      <w:r w:rsidRPr="00C331A0">
        <w:rPr>
          <w:szCs w:val="23"/>
          <w:lang w:val="lv-LV"/>
        </w:rPr>
        <w:t>Farmakodinamiskajā līmeni ziņots par serotonīna sindromu, lietojot citaloprāmu vienlaicīgi ar moklobemīdu un</w:t>
      </w:r>
      <w:r w:rsidR="00C331A0">
        <w:rPr>
          <w:szCs w:val="23"/>
          <w:lang w:val="lv-LV"/>
        </w:rPr>
        <w:t xml:space="preserve"> buspironu.</w:t>
      </w:r>
    </w:p>
    <w:p w14:paraId="7C1A90CE" w14:textId="77777777" w:rsidR="002E5DDC" w:rsidRPr="00C331A0" w:rsidRDefault="002E5DDC" w:rsidP="00A75C3F">
      <w:pPr>
        <w:pStyle w:val="Default"/>
        <w:rPr>
          <w:szCs w:val="23"/>
          <w:lang w:val="lv-LV"/>
        </w:rPr>
      </w:pPr>
    </w:p>
    <w:p w14:paraId="22322599" w14:textId="77777777" w:rsidR="002E5DDC" w:rsidRPr="000B1C99" w:rsidRDefault="002E5DDC" w:rsidP="00A75C3F">
      <w:pPr>
        <w:pStyle w:val="Default"/>
        <w:rPr>
          <w:szCs w:val="23"/>
          <w:u w:val="single"/>
          <w:lang w:val="lv-LV"/>
        </w:rPr>
      </w:pPr>
      <w:r w:rsidRPr="000B1C99">
        <w:rPr>
          <w:i/>
          <w:iCs/>
          <w:szCs w:val="23"/>
          <w:u w:val="single"/>
          <w:lang w:val="lv-LV"/>
        </w:rPr>
        <w:t>Kontrindicētās kombinācijas</w:t>
      </w:r>
    </w:p>
    <w:p w14:paraId="78D934AC" w14:textId="77777777" w:rsidR="002E5DDC" w:rsidRPr="00C331A0" w:rsidRDefault="002E5DDC" w:rsidP="00A75C3F">
      <w:pPr>
        <w:pStyle w:val="Default"/>
        <w:rPr>
          <w:szCs w:val="23"/>
          <w:lang w:val="lv-LV"/>
        </w:rPr>
      </w:pPr>
      <w:r w:rsidRPr="00C331A0">
        <w:rPr>
          <w:i/>
          <w:iCs/>
          <w:szCs w:val="23"/>
          <w:lang w:val="lv-LV"/>
        </w:rPr>
        <w:t>MAO inhibitori</w:t>
      </w:r>
    </w:p>
    <w:p w14:paraId="3FC69F5F" w14:textId="77777777" w:rsidR="002E5DDC" w:rsidRPr="00C331A0" w:rsidRDefault="002E5DDC" w:rsidP="00A75C3F">
      <w:pPr>
        <w:pStyle w:val="Default"/>
        <w:rPr>
          <w:szCs w:val="23"/>
          <w:lang w:val="lv-LV"/>
        </w:rPr>
      </w:pPr>
      <w:r w:rsidRPr="00C331A0">
        <w:rPr>
          <w:szCs w:val="23"/>
          <w:lang w:val="lv-LV"/>
        </w:rPr>
        <w:t>Vienlaicīga citaloprāma un MAO inhibitoru lietošana var izraisīt smagas nevēlamās blakusparādības, tai skaitā serotonīna sindromu (skatīt 4.3</w:t>
      </w:r>
      <w:r w:rsidR="0046743C">
        <w:rPr>
          <w:szCs w:val="23"/>
          <w:lang w:val="lv-LV"/>
        </w:rPr>
        <w:t>.</w:t>
      </w:r>
      <w:r w:rsidRPr="00C331A0">
        <w:rPr>
          <w:szCs w:val="23"/>
          <w:lang w:val="lv-LV"/>
        </w:rPr>
        <w:t xml:space="preserve"> apakš</w:t>
      </w:r>
      <w:r w:rsidR="00C331A0">
        <w:rPr>
          <w:szCs w:val="23"/>
          <w:lang w:val="lv-LV"/>
        </w:rPr>
        <w:t>punktu).</w:t>
      </w:r>
    </w:p>
    <w:p w14:paraId="41DCE723" w14:textId="77777777" w:rsidR="002E5DDC" w:rsidRPr="00C331A0" w:rsidRDefault="002E5DDC" w:rsidP="00A75C3F">
      <w:pPr>
        <w:pStyle w:val="Default"/>
        <w:rPr>
          <w:szCs w:val="23"/>
          <w:lang w:val="lv-LV"/>
        </w:rPr>
      </w:pPr>
      <w:r w:rsidRPr="00C331A0">
        <w:rPr>
          <w:szCs w:val="23"/>
          <w:lang w:val="lv-LV"/>
        </w:rPr>
        <w:t>Ir ziņots par nopietnām un dažkārt letālām reakcijām pacientiem, kas vienlaicīgi lietojuši SSAI un monoamīnoksidāzes inhibitorus (MAOI), tai skaitā neatgriezenisko MAO inhibitoru – selegilīnu un atgriezeniskos MAO inhibitorus linezolīdu un moklobemīdu, kā arī pacientiem, kas nesen pārtraukuši SSAI lietošanu un sākuš</w:t>
      </w:r>
      <w:r w:rsidR="00C331A0">
        <w:rPr>
          <w:szCs w:val="23"/>
          <w:lang w:val="lv-LV"/>
        </w:rPr>
        <w:t>i lietot MAO inhibitorus.</w:t>
      </w:r>
    </w:p>
    <w:p w14:paraId="529C0B92" w14:textId="77777777" w:rsidR="002E5DDC" w:rsidRPr="00C331A0" w:rsidRDefault="002E5DDC" w:rsidP="00A75C3F">
      <w:pPr>
        <w:pStyle w:val="Default"/>
        <w:rPr>
          <w:szCs w:val="23"/>
          <w:lang w:val="lv-LV"/>
        </w:rPr>
      </w:pPr>
      <w:r w:rsidRPr="00C331A0">
        <w:rPr>
          <w:szCs w:val="23"/>
          <w:lang w:val="lv-LV"/>
        </w:rPr>
        <w:t>Dažos gadījumos novēroja serotonīna sindromam līdzīgus simptomus. Serotonerģiskā sindroma simptomi ir sekojoši: hipertermija, trīce, svīšana, muskuļu stīvums, mioklonuss, autonomās nervu sistēmas nestabilitāte ar iespējamām straujām vitālo funkciju izmaiņām, aizkaitināmība un uzbudinājums. Ja šie simptomi progresē un netiek novērsti, rabdomiolīzes, centrālās hipertermijas un daudzu orgānu darbības traucējumu, delīrija un komas rezultātā stāvoklis var būt letā</w:t>
      </w:r>
      <w:r w:rsidR="00C331A0">
        <w:rPr>
          <w:szCs w:val="23"/>
          <w:lang w:val="lv-LV"/>
        </w:rPr>
        <w:t>ls.</w:t>
      </w:r>
    </w:p>
    <w:p w14:paraId="4774C26B" w14:textId="77777777" w:rsidR="002E5DDC" w:rsidRPr="00C331A0" w:rsidRDefault="002E5DDC" w:rsidP="00A75C3F">
      <w:pPr>
        <w:pStyle w:val="Default"/>
        <w:rPr>
          <w:szCs w:val="23"/>
          <w:lang w:val="lv-LV"/>
        </w:rPr>
      </w:pPr>
    </w:p>
    <w:p w14:paraId="65536FAA" w14:textId="77777777" w:rsidR="002E5DDC" w:rsidRPr="00C331A0" w:rsidRDefault="002E5DDC" w:rsidP="00A75C3F">
      <w:pPr>
        <w:pStyle w:val="Default"/>
        <w:rPr>
          <w:szCs w:val="23"/>
          <w:lang w:val="lv-LV"/>
        </w:rPr>
      </w:pPr>
      <w:r w:rsidRPr="00C331A0">
        <w:rPr>
          <w:i/>
          <w:iCs/>
          <w:szCs w:val="23"/>
          <w:lang w:val="lv-LV"/>
        </w:rPr>
        <w:t>Pagarināts QT intervāls</w:t>
      </w:r>
    </w:p>
    <w:p w14:paraId="4CEFC312" w14:textId="77777777" w:rsidR="002E5DDC" w:rsidRPr="00C331A0" w:rsidRDefault="002E5DDC" w:rsidP="00A75C3F">
      <w:pPr>
        <w:pStyle w:val="Default"/>
        <w:rPr>
          <w:szCs w:val="23"/>
          <w:lang w:val="lv-LV"/>
        </w:rPr>
      </w:pPr>
      <w:r w:rsidRPr="00C331A0">
        <w:rPr>
          <w:szCs w:val="23"/>
          <w:lang w:val="lv-LV"/>
        </w:rPr>
        <w:t>Nav veikti farmakokinētikas un farmakodinamikas pētījumi starp citaloprāmu un citām zālēm, kas pagarina QT intervālu. Nav iespējams izslēgt citaloprāma un šo zāļu papildinošo iedarbību. Tāpēc, citaloprāma lietošana vienlaicīgi ar zālēm, kas pagarina QT intervālu, piemēram, IA un III klases antiaritmiskie līdzekļi, antipsihotiskie līdzekļi (piemēram, fentiazīna atvasinājumi, pimozīds, haloperidols), tricikliskie antidepresanti, noteikti antibakteriālie līdzekļi (piemēram, sparfloksacīns, moksifloksacīns, intravenozi ievadāms eritromicīns, pretmalārijas līdzekļi, it īpaši halofantrīns), noteikti antihistamīna līdzekļi (astemizols, mizolastīns) u.c., ir kontrindicē</w:t>
      </w:r>
      <w:r w:rsidR="00C331A0">
        <w:rPr>
          <w:szCs w:val="23"/>
          <w:lang w:val="lv-LV"/>
        </w:rPr>
        <w:t>ta.</w:t>
      </w:r>
    </w:p>
    <w:p w14:paraId="251B5C1D" w14:textId="77777777" w:rsidR="002E5DDC" w:rsidRPr="00C331A0" w:rsidRDefault="002E5DDC" w:rsidP="00A75C3F">
      <w:pPr>
        <w:pStyle w:val="Default"/>
        <w:rPr>
          <w:szCs w:val="23"/>
          <w:lang w:val="lv-LV"/>
        </w:rPr>
      </w:pPr>
    </w:p>
    <w:p w14:paraId="25A97E75" w14:textId="77777777" w:rsidR="002E5DDC" w:rsidRPr="000B1C99" w:rsidRDefault="002E5DDC" w:rsidP="00A75C3F">
      <w:pPr>
        <w:pStyle w:val="Default"/>
        <w:rPr>
          <w:szCs w:val="23"/>
          <w:u w:val="single"/>
          <w:lang w:val="lv-LV"/>
        </w:rPr>
      </w:pPr>
      <w:r w:rsidRPr="000B1C99">
        <w:rPr>
          <w:i/>
          <w:iCs/>
          <w:szCs w:val="23"/>
          <w:u w:val="single"/>
          <w:lang w:val="lv-LV"/>
        </w:rPr>
        <w:t>Pimozīds</w:t>
      </w:r>
    </w:p>
    <w:p w14:paraId="726511A3" w14:textId="77777777" w:rsidR="002E5DDC" w:rsidRPr="00C331A0" w:rsidRDefault="002E5DDC" w:rsidP="00A75C3F">
      <w:pPr>
        <w:pStyle w:val="Default"/>
        <w:rPr>
          <w:szCs w:val="23"/>
          <w:lang w:val="lv-LV"/>
        </w:rPr>
      </w:pPr>
      <w:r w:rsidRPr="00C331A0">
        <w:rPr>
          <w:szCs w:val="23"/>
          <w:lang w:val="lv-LV"/>
        </w:rPr>
        <w:t>Vienlaicīga vienas 2 mg pimozīda devas lietošana cilvēkiem, kuri bija lietojuši 40 mg racēmiskā citaloprāma dienā 11 dienas ilgi, izraisīja pimozīda AUC un C</w:t>
      </w:r>
      <w:r w:rsidRPr="000B1C99">
        <w:rPr>
          <w:szCs w:val="16"/>
          <w:vertAlign w:val="subscript"/>
          <w:lang w:val="lv-LV"/>
        </w:rPr>
        <w:t>ma</w:t>
      </w:r>
      <w:r w:rsidRPr="000B1C99">
        <w:rPr>
          <w:szCs w:val="23"/>
          <w:vertAlign w:val="subscript"/>
          <w:lang w:val="lv-LV"/>
        </w:rPr>
        <w:t>x</w:t>
      </w:r>
      <w:r w:rsidRPr="00C331A0">
        <w:rPr>
          <w:szCs w:val="23"/>
          <w:lang w:val="lv-LV"/>
        </w:rPr>
        <w:t xml:space="preserve"> palielināšanos, lai gan visa pētījumā laikā tas nebija konstanti. Vienlaicīgas pimozīda un citaloprāma lietošanas gadījumā vidēji par apmēram 10 ms pagarinājās QT intervāls. Tā kā šī mijiedarbība tika novērota jau pēc mazu pimozīdu devu lietošanas, vienlaicīga citaloprāma un pimozīda lietošana ir kontrindicē</w:t>
      </w:r>
      <w:r w:rsidR="00C331A0">
        <w:rPr>
          <w:szCs w:val="23"/>
          <w:lang w:val="lv-LV"/>
        </w:rPr>
        <w:t>ta.</w:t>
      </w:r>
    </w:p>
    <w:p w14:paraId="2A6290D4" w14:textId="77777777" w:rsidR="002E5DDC" w:rsidRPr="00C331A0" w:rsidRDefault="002E5DDC" w:rsidP="00A75C3F">
      <w:pPr>
        <w:pStyle w:val="Default"/>
        <w:rPr>
          <w:szCs w:val="23"/>
          <w:lang w:val="lv-LV"/>
        </w:rPr>
      </w:pPr>
    </w:p>
    <w:p w14:paraId="225ADD2C" w14:textId="77777777" w:rsidR="002E5DDC" w:rsidRPr="000B1C99" w:rsidRDefault="002E5DDC" w:rsidP="00A75C3F">
      <w:pPr>
        <w:pStyle w:val="Default"/>
        <w:rPr>
          <w:szCs w:val="23"/>
          <w:u w:val="single"/>
          <w:lang w:val="lv-LV"/>
        </w:rPr>
      </w:pPr>
      <w:r w:rsidRPr="000B1C99">
        <w:rPr>
          <w:i/>
          <w:iCs/>
          <w:szCs w:val="23"/>
          <w:u w:val="single"/>
          <w:lang w:val="lv-LV"/>
        </w:rPr>
        <w:t>Kombinācijas, kuru gadījumā jāievēro piesardzība</w:t>
      </w:r>
    </w:p>
    <w:p w14:paraId="12E3B7C1" w14:textId="77777777" w:rsidR="002E5DDC" w:rsidRPr="00C331A0" w:rsidRDefault="002E5DDC" w:rsidP="00A75C3F">
      <w:pPr>
        <w:pStyle w:val="Default"/>
        <w:rPr>
          <w:szCs w:val="23"/>
          <w:lang w:val="lv-LV"/>
        </w:rPr>
      </w:pPr>
      <w:r w:rsidRPr="00C331A0">
        <w:rPr>
          <w:i/>
          <w:iCs/>
          <w:szCs w:val="23"/>
          <w:lang w:val="lv-LV"/>
        </w:rPr>
        <w:t>Selegilīns (selektīvs MAO-B inhibitors)</w:t>
      </w:r>
    </w:p>
    <w:p w14:paraId="450D27A0" w14:textId="77777777" w:rsidR="002E5DDC" w:rsidRPr="00C331A0" w:rsidRDefault="002E5DDC" w:rsidP="00A75C3F">
      <w:pPr>
        <w:pStyle w:val="Default"/>
        <w:rPr>
          <w:szCs w:val="23"/>
          <w:lang w:val="lv-LV"/>
        </w:rPr>
      </w:pPr>
      <w:r w:rsidRPr="00C331A0">
        <w:rPr>
          <w:szCs w:val="23"/>
          <w:lang w:val="lv-LV"/>
        </w:rPr>
        <w:t xml:space="preserve">Farmakokinētiskās/farmakodinamiskās mijiedarbības pētījumā, lietojot vienlaicīgi citaloprāmu (20 mg dienā) un selegilīnu (10 mg dienā) (selektīvs MAO-B inhibitors) nenovēroja klīniski nozīmīgu mijiedarbību. Vienlaicīga citaloprāma un selegilīna (devas, kas </w:t>
      </w:r>
      <w:r w:rsidRPr="00C331A0">
        <w:rPr>
          <w:szCs w:val="23"/>
          <w:lang w:val="lv-LV"/>
        </w:rPr>
        <w:lastRenderedPageBreak/>
        <w:t>lielākas par 10 mg dienā) lietošana ir kontrindicēta (skatīt 4.3</w:t>
      </w:r>
      <w:r w:rsidR="0046743C">
        <w:rPr>
          <w:szCs w:val="23"/>
          <w:lang w:val="lv-LV"/>
        </w:rPr>
        <w:t>.</w:t>
      </w:r>
      <w:r w:rsidRPr="00C331A0">
        <w:rPr>
          <w:szCs w:val="23"/>
          <w:lang w:val="lv-LV"/>
        </w:rPr>
        <w:t xml:space="preserve"> apakš</w:t>
      </w:r>
      <w:r w:rsidR="00C331A0">
        <w:rPr>
          <w:szCs w:val="23"/>
          <w:lang w:val="lv-LV"/>
        </w:rPr>
        <w:t>punktu).</w:t>
      </w:r>
    </w:p>
    <w:p w14:paraId="24B60E07" w14:textId="77777777" w:rsidR="002E5DDC" w:rsidRPr="00C331A0" w:rsidRDefault="002E5DDC" w:rsidP="00A75C3F">
      <w:pPr>
        <w:pStyle w:val="Default"/>
        <w:rPr>
          <w:szCs w:val="23"/>
          <w:lang w:val="lv-LV"/>
        </w:rPr>
      </w:pPr>
    </w:p>
    <w:p w14:paraId="7744E168" w14:textId="77777777" w:rsidR="002E5DDC" w:rsidRPr="00C331A0" w:rsidRDefault="002E5DDC" w:rsidP="00A75C3F">
      <w:pPr>
        <w:pStyle w:val="Default"/>
        <w:rPr>
          <w:szCs w:val="23"/>
          <w:lang w:val="lv-LV"/>
        </w:rPr>
      </w:pPr>
      <w:r w:rsidRPr="00C331A0">
        <w:rPr>
          <w:i/>
          <w:iCs/>
          <w:szCs w:val="23"/>
          <w:lang w:val="lv-LV"/>
        </w:rPr>
        <w:t>Serotonīnerģiskas zāles</w:t>
      </w:r>
    </w:p>
    <w:p w14:paraId="28883BD5" w14:textId="77777777" w:rsidR="002E5DDC" w:rsidRPr="00C331A0" w:rsidRDefault="002E5DDC" w:rsidP="00A75C3F">
      <w:pPr>
        <w:pStyle w:val="Default"/>
        <w:rPr>
          <w:szCs w:val="23"/>
          <w:lang w:val="lv-LV"/>
        </w:rPr>
      </w:pPr>
      <w:r w:rsidRPr="00C331A0">
        <w:rPr>
          <w:szCs w:val="23"/>
          <w:lang w:val="lv-LV"/>
        </w:rPr>
        <w:t>Litijs un triptofāns: Klīniskajos pētījumos, lietojot citaloprāmu vienlaicīgi ar litiju, nav novērota farmakodinamiska mijiedarbība. Tomēr, ir bijuši ziņojumi par pastiprinātu iedarbību, kad SSAI tika lietoti kombinācijā ar litiju vai triptofānu. Tāpēc vienlaicīgas citaloprāma un šo zāļu lietošanas laikā jāievēro piesardzība. Kā parasti, vajadzētu turpināt regulāru litija līmeņ</w:t>
      </w:r>
      <w:r w:rsidR="00C331A0">
        <w:rPr>
          <w:szCs w:val="23"/>
          <w:lang w:val="lv-LV"/>
        </w:rPr>
        <w:t>a kontroli.</w:t>
      </w:r>
    </w:p>
    <w:p w14:paraId="0D6C2755" w14:textId="77777777" w:rsidR="002E5DDC" w:rsidRPr="00C331A0" w:rsidRDefault="002E5DDC" w:rsidP="00A75C3F">
      <w:pPr>
        <w:pStyle w:val="Default"/>
        <w:rPr>
          <w:szCs w:val="23"/>
          <w:lang w:val="lv-LV"/>
        </w:rPr>
      </w:pPr>
    </w:p>
    <w:p w14:paraId="092DB043" w14:textId="77777777" w:rsidR="002E5DDC" w:rsidRPr="00C331A0" w:rsidRDefault="002E5DDC" w:rsidP="00A75C3F">
      <w:pPr>
        <w:pStyle w:val="Default"/>
        <w:rPr>
          <w:szCs w:val="23"/>
          <w:lang w:val="lv-LV"/>
        </w:rPr>
      </w:pPr>
      <w:r w:rsidRPr="00C331A0">
        <w:rPr>
          <w:szCs w:val="23"/>
          <w:lang w:val="lv-LV"/>
        </w:rPr>
        <w:t>Vienlaicīga serotonīnerģisku zāļu (piemēram, tramadola, sumatriptāna) lietošana var pastiprināt efektus, kas saistīti ar 5-HT. Kamēr nav pieejama cita informācija, vienlaicīga citaloprāma un 5-HT agonistu, piemēram, sumatriptāna un citu triptānu, lietošana nav ieteicama (skatīt 4.4</w:t>
      </w:r>
      <w:r w:rsidR="00881547">
        <w:rPr>
          <w:szCs w:val="23"/>
          <w:lang w:val="lv-LV"/>
        </w:rPr>
        <w:t>.</w:t>
      </w:r>
      <w:r w:rsidRPr="00C331A0">
        <w:rPr>
          <w:szCs w:val="23"/>
          <w:lang w:val="lv-LV"/>
        </w:rPr>
        <w:t xml:space="preserve"> apakš</w:t>
      </w:r>
      <w:r w:rsidR="00C331A0">
        <w:rPr>
          <w:szCs w:val="23"/>
          <w:lang w:val="lv-LV"/>
        </w:rPr>
        <w:t>punktu).</w:t>
      </w:r>
    </w:p>
    <w:p w14:paraId="38CFBFA6" w14:textId="77777777" w:rsidR="002E5DDC" w:rsidRPr="00C331A0" w:rsidRDefault="002E5DDC" w:rsidP="00A75C3F">
      <w:pPr>
        <w:pStyle w:val="Default"/>
        <w:rPr>
          <w:szCs w:val="23"/>
          <w:lang w:val="lv-LV"/>
        </w:rPr>
      </w:pPr>
    </w:p>
    <w:p w14:paraId="14F81DD2" w14:textId="77777777" w:rsidR="002E5DDC" w:rsidRPr="00C331A0" w:rsidRDefault="002E5DDC" w:rsidP="00A75C3F">
      <w:pPr>
        <w:pStyle w:val="Default"/>
        <w:rPr>
          <w:szCs w:val="23"/>
          <w:lang w:val="lv-LV"/>
        </w:rPr>
      </w:pPr>
      <w:r w:rsidRPr="00C331A0">
        <w:rPr>
          <w:i/>
          <w:iCs/>
          <w:szCs w:val="23"/>
          <w:lang w:val="lv-LV"/>
        </w:rPr>
        <w:t>Asiņošana</w:t>
      </w:r>
    </w:p>
    <w:p w14:paraId="0D9CC4F4" w14:textId="77777777" w:rsidR="002E5DDC" w:rsidRPr="00C331A0" w:rsidRDefault="002E5DDC" w:rsidP="00A75C3F">
      <w:pPr>
        <w:pStyle w:val="Default"/>
        <w:rPr>
          <w:szCs w:val="23"/>
          <w:lang w:val="lv-LV"/>
        </w:rPr>
      </w:pPr>
      <w:r w:rsidRPr="00C331A0">
        <w:rPr>
          <w:szCs w:val="23"/>
          <w:lang w:val="lv-LV"/>
        </w:rPr>
        <w:t>Piesardzība ir nepieciešama pacientiem, kas vienlaicīgi ārstējas ar antikoagulantiem, zālēm, kas ietekmē trombocītu funkciju (piemēram, nesteroīdajiem pretiekaisuma līdzekļiem (NPL), acetilsalicilskābi, dipiramidolu un tiklopidīnu vai citām zālēm (piemēram, netipiskiem antipsihotiskajiem līdzekļiem apakšpunktu), kas var palielināt asiņošanas risku (skatīt 4.4</w:t>
      </w:r>
      <w:r w:rsidR="00881547">
        <w:rPr>
          <w:szCs w:val="23"/>
          <w:lang w:val="lv-LV"/>
        </w:rPr>
        <w:t>.</w:t>
      </w:r>
      <w:r w:rsidRPr="00C331A0">
        <w:rPr>
          <w:szCs w:val="23"/>
          <w:lang w:val="lv-LV"/>
        </w:rPr>
        <w:t xml:space="preserve"> apakš</w:t>
      </w:r>
      <w:r w:rsidR="00C331A0">
        <w:rPr>
          <w:szCs w:val="23"/>
          <w:lang w:val="lv-LV"/>
        </w:rPr>
        <w:t>punktu).</w:t>
      </w:r>
    </w:p>
    <w:p w14:paraId="523C78F1" w14:textId="77777777" w:rsidR="002E5DDC" w:rsidRPr="00C331A0" w:rsidRDefault="002E5DDC" w:rsidP="00A75C3F">
      <w:pPr>
        <w:pStyle w:val="Default"/>
        <w:rPr>
          <w:szCs w:val="23"/>
          <w:lang w:val="lv-LV"/>
        </w:rPr>
      </w:pPr>
    </w:p>
    <w:p w14:paraId="74F88725" w14:textId="77777777" w:rsidR="002E5DDC" w:rsidRPr="00C331A0" w:rsidRDefault="002E5DDC" w:rsidP="00A75C3F">
      <w:pPr>
        <w:pStyle w:val="Default"/>
        <w:rPr>
          <w:szCs w:val="23"/>
          <w:lang w:val="lv-LV"/>
        </w:rPr>
      </w:pPr>
      <w:r w:rsidRPr="00C331A0">
        <w:rPr>
          <w:i/>
          <w:iCs/>
          <w:szCs w:val="23"/>
          <w:lang w:val="lv-LV"/>
        </w:rPr>
        <w:t>Zāles, kas pazemina krampju slieksni</w:t>
      </w:r>
    </w:p>
    <w:p w14:paraId="7D658F39" w14:textId="77777777" w:rsidR="00C331A0" w:rsidRDefault="002E5DDC" w:rsidP="00A75C3F">
      <w:pPr>
        <w:pStyle w:val="Default"/>
        <w:rPr>
          <w:szCs w:val="23"/>
          <w:lang w:val="lv-LV"/>
        </w:rPr>
      </w:pPr>
      <w:r w:rsidRPr="00C331A0">
        <w:rPr>
          <w:szCs w:val="23"/>
          <w:lang w:val="lv-LV"/>
        </w:rPr>
        <w:t>SSAI var pazemināt krampju slieksni. Vienlaicīgi lietojot arī citas zāles, kas spēj pazemināt krampju slieksni (piemēram, antidepresantus (SSAI), neiroleptiskos līdzekļus (butirofenonus, tioksantēnus), meflohīnu, bupropionu un tramadolu), ir ieteicams ievērot piesardzī</w:t>
      </w:r>
      <w:r w:rsidR="00C331A0">
        <w:rPr>
          <w:szCs w:val="23"/>
          <w:lang w:val="lv-LV"/>
        </w:rPr>
        <w:t>bu.</w:t>
      </w:r>
    </w:p>
    <w:p w14:paraId="3C34766B" w14:textId="77777777" w:rsidR="00C331A0" w:rsidRDefault="00C331A0" w:rsidP="00A75C3F">
      <w:pPr>
        <w:pStyle w:val="Default"/>
        <w:rPr>
          <w:szCs w:val="23"/>
          <w:lang w:val="lv-LV"/>
        </w:rPr>
      </w:pPr>
    </w:p>
    <w:p w14:paraId="43AFB253" w14:textId="77777777" w:rsidR="002E5DDC" w:rsidRPr="00C331A0" w:rsidRDefault="002E5DDC" w:rsidP="00A75C3F">
      <w:pPr>
        <w:pStyle w:val="Default"/>
        <w:rPr>
          <w:szCs w:val="23"/>
          <w:lang w:val="lv-LV"/>
        </w:rPr>
      </w:pPr>
      <w:r w:rsidRPr="00C331A0">
        <w:rPr>
          <w:i/>
          <w:iCs/>
          <w:szCs w:val="23"/>
          <w:lang w:val="lv-LV"/>
        </w:rPr>
        <w:t>Elektrokonvulsīva terapija (EKT)</w:t>
      </w:r>
    </w:p>
    <w:p w14:paraId="4658F09F" w14:textId="77777777" w:rsidR="002E5DDC" w:rsidRPr="00C331A0" w:rsidRDefault="002E5DDC" w:rsidP="00A75C3F">
      <w:pPr>
        <w:pStyle w:val="Default"/>
        <w:rPr>
          <w:szCs w:val="23"/>
          <w:lang w:val="lv-LV"/>
        </w:rPr>
      </w:pPr>
      <w:r w:rsidRPr="00C331A0">
        <w:rPr>
          <w:szCs w:val="23"/>
          <w:lang w:val="lv-LV"/>
        </w:rPr>
        <w:t>Nav veikti klīniskie pētījumi, kas noteiktu risku vai ieguvumu, lietojot citaloprāmu elektrošoka terapijas (EKT) laikā (skatīt 4.4</w:t>
      </w:r>
      <w:r w:rsidR="00881547">
        <w:rPr>
          <w:szCs w:val="23"/>
          <w:lang w:val="lv-LV"/>
        </w:rPr>
        <w:t>.</w:t>
      </w:r>
      <w:r w:rsidRPr="00C331A0">
        <w:rPr>
          <w:szCs w:val="23"/>
          <w:lang w:val="lv-LV"/>
        </w:rPr>
        <w:t xml:space="preserve"> apakš</w:t>
      </w:r>
      <w:r w:rsidR="00C331A0">
        <w:rPr>
          <w:szCs w:val="23"/>
          <w:lang w:val="lv-LV"/>
        </w:rPr>
        <w:t>punktu).</w:t>
      </w:r>
    </w:p>
    <w:p w14:paraId="5D13CEC3" w14:textId="77777777" w:rsidR="002E5DDC" w:rsidRPr="00C331A0" w:rsidRDefault="002E5DDC" w:rsidP="00A75C3F">
      <w:pPr>
        <w:pStyle w:val="Default"/>
        <w:rPr>
          <w:szCs w:val="23"/>
          <w:lang w:val="lv-LV"/>
        </w:rPr>
      </w:pPr>
    </w:p>
    <w:p w14:paraId="5BF00839" w14:textId="77777777" w:rsidR="002E5DDC" w:rsidRPr="00C331A0" w:rsidRDefault="002E5DDC" w:rsidP="00A75C3F">
      <w:pPr>
        <w:pStyle w:val="Default"/>
        <w:rPr>
          <w:szCs w:val="23"/>
          <w:lang w:val="lv-LV"/>
        </w:rPr>
      </w:pPr>
      <w:r w:rsidRPr="00C331A0">
        <w:rPr>
          <w:i/>
          <w:iCs/>
          <w:szCs w:val="23"/>
          <w:lang w:val="lv-LV"/>
        </w:rPr>
        <w:t>Asinszāle</w:t>
      </w:r>
    </w:p>
    <w:p w14:paraId="22785670" w14:textId="77777777" w:rsidR="002E5DDC" w:rsidRPr="00C331A0" w:rsidRDefault="002E5DDC" w:rsidP="00A75C3F">
      <w:pPr>
        <w:pStyle w:val="Default"/>
        <w:rPr>
          <w:szCs w:val="23"/>
          <w:lang w:val="lv-LV"/>
        </w:rPr>
      </w:pPr>
      <w:r w:rsidRPr="00C331A0">
        <w:rPr>
          <w:szCs w:val="23"/>
          <w:lang w:val="lv-LV"/>
        </w:rPr>
        <w:t>Nevēlamās blakusparādības var būt vairāk sastopamas citaloprāma un ārstniecības augu līdzekļu, kas satur asinszāli (</w:t>
      </w:r>
      <w:r w:rsidRPr="00C331A0">
        <w:rPr>
          <w:i/>
          <w:iCs/>
          <w:szCs w:val="23"/>
          <w:lang w:val="lv-LV"/>
        </w:rPr>
        <w:t>Hypericum perforatum</w:t>
      </w:r>
      <w:r w:rsidRPr="00C331A0">
        <w:rPr>
          <w:szCs w:val="23"/>
          <w:lang w:val="lv-LV"/>
        </w:rPr>
        <w:t>), vienlaicīgas lietošanas laikā (skatīt 4.4</w:t>
      </w:r>
      <w:r w:rsidR="00881547">
        <w:rPr>
          <w:szCs w:val="23"/>
          <w:lang w:val="lv-LV"/>
        </w:rPr>
        <w:t>.</w:t>
      </w:r>
      <w:r w:rsidRPr="00C331A0">
        <w:rPr>
          <w:szCs w:val="23"/>
          <w:lang w:val="lv-LV"/>
        </w:rPr>
        <w:t xml:space="preserve"> apakšpunktu). Farmakokinētiskā mijiedarbība nav pētī</w:t>
      </w:r>
      <w:r w:rsidR="00C331A0">
        <w:rPr>
          <w:szCs w:val="23"/>
          <w:lang w:val="lv-LV"/>
        </w:rPr>
        <w:t>ta.</w:t>
      </w:r>
    </w:p>
    <w:p w14:paraId="7D98D775" w14:textId="77777777" w:rsidR="002E5DDC" w:rsidRPr="00C331A0" w:rsidRDefault="002E5DDC" w:rsidP="00A75C3F">
      <w:pPr>
        <w:pStyle w:val="Default"/>
        <w:rPr>
          <w:szCs w:val="23"/>
          <w:lang w:val="lv-LV"/>
        </w:rPr>
      </w:pPr>
    </w:p>
    <w:p w14:paraId="6B8E9C5C" w14:textId="77777777" w:rsidR="002E5DDC" w:rsidRPr="00C331A0" w:rsidRDefault="002E5DDC" w:rsidP="00A75C3F">
      <w:pPr>
        <w:pStyle w:val="Default"/>
        <w:rPr>
          <w:szCs w:val="23"/>
          <w:lang w:val="lv-LV"/>
        </w:rPr>
      </w:pPr>
      <w:r w:rsidRPr="00C331A0">
        <w:rPr>
          <w:i/>
          <w:iCs/>
          <w:szCs w:val="23"/>
          <w:lang w:val="lv-LV"/>
        </w:rPr>
        <w:t>Alkohols</w:t>
      </w:r>
    </w:p>
    <w:p w14:paraId="5911752C" w14:textId="77777777" w:rsidR="002E5DDC" w:rsidRPr="00C331A0" w:rsidRDefault="002E5DDC" w:rsidP="00A75C3F">
      <w:pPr>
        <w:pStyle w:val="Default"/>
        <w:rPr>
          <w:szCs w:val="23"/>
          <w:lang w:val="lv-LV"/>
        </w:rPr>
      </w:pPr>
      <w:r w:rsidRPr="00C331A0">
        <w:rPr>
          <w:szCs w:val="23"/>
          <w:lang w:val="lv-LV"/>
        </w:rPr>
        <w:t>Nav konstatēta ne farmakodinamiskā, ne farmakokinētiskā mijiedarbība starp citaloprāmu un alkoholu. Tomēr, citaloprāma un alkohola kombinā</w:t>
      </w:r>
      <w:r w:rsidR="00C331A0">
        <w:rPr>
          <w:szCs w:val="23"/>
          <w:lang w:val="lv-LV"/>
        </w:rPr>
        <w:t>cija nav ieteicama.</w:t>
      </w:r>
    </w:p>
    <w:p w14:paraId="0DC90DA7" w14:textId="77777777" w:rsidR="002E5DDC" w:rsidRPr="00C331A0" w:rsidRDefault="002E5DDC" w:rsidP="00A75C3F">
      <w:pPr>
        <w:pStyle w:val="Default"/>
        <w:rPr>
          <w:szCs w:val="23"/>
          <w:lang w:val="lv-LV"/>
        </w:rPr>
      </w:pPr>
    </w:p>
    <w:p w14:paraId="751D6C06" w14:textId="77777777" w:rsidR="002E5DDC" w:rsidRPr="00C331A0" w:rsidRDefault="002E5DDC" w:rsidP="00A75C3F">
      <w:pPr>
        <w:pStyle w:val="Default"/>
        <w:rPr>
          <w:szCs w:val="23"/>
          <w:lang w:val="lv-LV"/>
        </w:rPr>
      </w:pPr>
      <w:r w:rsidRPr="00C331A0">
        <w:rPr>
          <w:i/>
          <w:iCs/>
          <w:szCs w:val="23"/>
          <w:lang w:val="lv-LV"/>
        </w:rPr>
        <w:t>Zāles, kas izraisa hipokaliēmiju/hipomagniēmiju</w:t>
      </w:r>
    </w:p>
    <w:p w14:paraId="04C61067" w14:textId="77777777" w:rsidR="002E5DDC" w:rsidRPr="00C331A0" w:rsidRDefault="002E5DDC" w:rsidP="00A75C3F">
      <w:pPr>
        <w:pStyle w:val="Default"/>
        <w:rPr>
          <w:szCs w:val="23"/>
          <w:lang w:val="lv-LV"/>
        </w:rPr>
      </w:pPr>
      <w:r w:rsidRPr="00C331A0">
        <w:rPr>
          <w:szCs w:val="23"/>
          <w:lang w:val="lv-LV"/>
        </w:rPr>
        <w:t>Lietojot vienlaicīgi zāles, kas var izraisīt hipokaliēmiju/hipomagniēmiju, jāievēro piesardzība, jo šie stāvokļi var palielināt ļaundabīgas aritmijas risku (skatīt 4.4</w:t>
      </w:r>
      <w:r w:rsidR="00881547">
        <w:rPr>
          <w:szCs w:val="23"/>
          <w:lang w:val="lv-LV"/>
        </w:rPr>
        <w:t>.</w:t>
      </w:r>
      <w:r w:rsidRPr="00C331A0">
        <w:rPr>
          <w:szCs w:val="23"/>
          <w:lang w:val="lv-LV"/>
        </w:rPr>
        <w:t xml:space="preserve"> apakš</w:t>
      </w:r>
      <w:r w:rsidR="00C331A0">
        <w:rPr>
          <w:szCs w:val="23"/>
          <w:lang w:val="lv-LV"/>
        </w:rPr>
        <w:t>punktu).</w:t>
      </w:r>
    </w:p>
    <w:p w14:paraId="3D6FFA63" w14:textId="77777777" w:rsidR="002E5DDC" w:rsidRPr="00C331A0" w:rsidRDefault="002E5DDC" w:rsidP="00A75C3F">
      <w:pPr>
        <w:pStyle w:val="Default"/>
        <w:rPr>
          <w:szCs w:val="23"/>
          <w:lang w:val="lv-LV"/>
        </w:rPr>
      </w:pPr>
    </w:p>
    <w:p w14:paraId="0BE57FEF" w14:textId="77777777" w:rsidR="002E5DDC" w:rsidRPr="000B1C99" w:rsidRDefault="002E5DDC" w:rsidP="00A75C3F">
      <w:pPr>
        <w:pStyle w:val="Default"/>
        <w:rPr>
          <w:szCs w:val="23"/>
          <w:u w:val="single"/>
          <w:lang w:val="lv-LV"/>
        </w:rPr>
      </w:pPr>
      <w:r w:rsidRPr="000B1C99">
        <w:rPr>
          <w:szCs w:val="23"/>
          <w:u w:val="single"/>
          <w:lang w:val="lv-LV"/>
        </w:rPr>
        <w:t>Farmakokinētiskā mijiedarbī</w:t>
      </w:r>
      <w:r w:rsidR="00C331A0" w:rsidRPr="000B1C99">
        <w:rPr>
          <w:szCs w:val="23"/>
          <w:u w:val="single"/>
          <w:lang w:val="lv-LV"/>
        </w:rPr>
        <w:t>ba</w:t>
      </w:r>
    </w:p>
    <w:p w14:paraId="7E69B0BD" w14:textId="77777777" w:rsidR="002E5DDC" w:rsidRPr="00C331A0" w:rsidRDefault="002E5DDC" w:rsidP="00A75C3F">
      <w:pPr>
        <w:pStyle w:val="Default"/>
        <w:rPr>
          <w:szCs w:val="23"/>
          <w:lang w:val="lv-LV"/>
        </w:rPr>
      </w:pPr>
      <w:r w:rsidRPr="00C331A0">
        <w:rPr>
          <w:szCs w:val="23"/>
          <w:lang w:val="lv-LV"/>
        </w:rPr>
        <w:t>Citaloprāma biotransformāciju par demetilcitaloprāmu nodrošina CYP2C19 (apmēram 38 %), CYP3A4 (apmēram 31 %) un CYP2D6 (apmēram 31 %) citohroma P450 sistēmas izoenzīmi. Fakts, ka citaloprāmu metabolizē vairāk kā viens CYP nozīmē to, ka tā biotransformācijas nomākums ir mazāk ticams, jo viena enzīma nomākumu kompensē citi. Šā iemesla dēļ, vienlaicīgai citaloprāma lietošanai ar citām zālēm medicīniskajā praksē ir mazs zāļu farmakokinētiskās mijiedarbī</w:t>
      </w:r>
      <w:r w:rsidR="00C331A0">
        <w:rPr>
          <w:szCs w:val="23"/>
          <w:lang w:val="lv-LV"/>
        </w:rPr>
        <w:t>bas risks.</w:t>
      </w:r>
    </w:p>
    <w:p w14:paraId="37AE365A" w14:textId="77777777" w:rsidR="002E5DDC" w:rsidRPr="00C331A0" w:rsidRDefault="002E5DDC" w:rsidP="00A75C3F">
      <w:pPr>
        <w:pStyle w:val="Default"/>
        <w:rPr>
          <w:szCs w:val="23"/>
          <w:lang w:val="lv-LV"/>
        </w:rPr>
      </w:pPr>
    </w:p>
    <w:p w14:paraId="3167DF8E" w14:textId="77777777" w:rsidR="002E5DDC" w:rsidRPr="00C331A0" w:rsidRDefault="002E5DDC" w:rsidP="00A75C3F">
      <w:pPr>
        <w:pStyle w:val="Default"/>
        <w:rPr>
          <w:szCs w:val="23"/>
          <w:lang w:val="lv-LV"/>
        </w:rPr>
      </w:pPr>
      <w:r w:rsidRPr="00C331A0">
        <w:rPr>
          <w:i/>
          <w:iCs/>
          <w:szCs w:val="23"/>
          <w:lang w:val="lv-LV"/>
        </w:rPr>
        <w:t>Ēdiens</w:t>
      </w:r>
    </w:p>
    <w:p w14:paraId="78F821A6" w14:textId="77777777" w:rsidR="002E5DDC" w:rsidRPr="00C331A0" w:rsidRDefault="002E5DDC" w:rsidP="00A75C3F">
      <w:pPr>
        <w:pStyle w:val="Default"/>
        <w:rPr>
          <w:szCs w:val="23"/>
          <w:lang w:val="lv-LV"/>
        </w:rPr>
      </w:pPr>
      <w:r w:rsidRPr="00C331A0">
        <w:rPr>
          <w:szCs w:val="23"/>
          <w:lang w:val="lv-LV"/>
        </w:rPr>
        <w:lastRenderedPageBreak/>
        <w:t>Nav datu, ka ēdiens ietekmētu citaloprāma uzsūkšanos vai citas farmakokinētiskās īpašī</w:t>
      </w:r>
      <w:r w:rsidR="00C331A0">
        <w:rPr>
          <w:szCs w:val="23"/>
          <w:lang w:val="lv-LV"/>
        </w:rPr>
        <w:t>bas.</w:t>
      </w:r>
    </w:p>
    <w:p w14:paraId="622FE00E" w14:textId="77777777" w:rsidR="002E5DDC" w:rsidRPr="00C331A0" w:rsidRDefault="002E5DDC" w:rsidP="00A75C3F">
      <w:pPr>
        <w:pStyle w:val="Default"/>
        <w:rPr>
          <w:szCs w:val="23"/>
          <w:lang w:val="lv-LV"/>
        </w:rPr>
      </w:pPr>
    </w:p>
    <w:p w14:paraId="61B35193" w14:textId="77777777" w:rsidR="002E5DDC" w:rsidRPr="00C331A0" w:rsidRDefault="002E5DDC" w:rsidP="00A75C3F">
      <w:pPr>
        <w:pStyle w:val="Default"/>
        <w:rPr>
          <w:szCs w:val="23"/>
          <w:lang w:val="lv-LV"/>
        </w:rPr>
      </w:pPr>
      <w:r w:rsidRPr="00C331A0">
        <w:rPr>
          <w:i/>
          <w:iCs/>
          <w:szCs w:val="23"/>
          <w:lang w:val="lv-LV"/>
        </w:rPr>
        <w:t>Citu zāļu iedarbība uz citaloprāma farmakokinētiku</w:t>
      </w:r>
    </w:p>
    <w:p w14:paraId="374D6219" w14:textId="77777777" w:rsidR="002E5DDC" w:rsidRPr="00C331A0" w:rsidRDefault="002E5DDC" w:rsidP="00A75C3F">
      <w:pPr>
        <w:pStyle w:val="Default"/>
        <w:rPr>
          <w:szCs w:val="23"/>
          <w:lang w:val="lv-LV"/>
        </w:rPr>
      </w:pPr>
      <w:r w:rsidRPr="00C331A0">
        <w:rPr>
          <w:szCs w:val="23"/>
          <w:lang w:val="lv-LV"/>
        </w:rPr>
        <w:t>Vienlaicīga ketokonazola (spēcīgs CYP3A4 inhibitors) neizmainīja citaloprāma farmakokinē</w:t>
      </w:r>
      <w:r w:rsidR="00C331A0">
        <w:rPr>
          <w:szCs w:val="23"/>
          <w:lang w:val="lv-LV"/>
        </w:rPr>
        <w:t>tiku.</w:t>
      </w:r>
    </w:p>
    <w:p w14:paraId="2EB92FED" w14:textId="77777777" w:rsidR="002E5DDC" w:rsidRPr="00C331A0" w:rsidRDefault="002E5DDC" w:rsidP="00A75C3F">
      <w:pPr>
        <w:pStyle w:val="Default"/>
        <w:rPr>
          <w:szCs w:val="23"/>
          <w:lang w:val="lv-LV"/>
        </w:rPr>
      </w:pPr>
    </w:p>
    <w:p w14:paraId="11705E95" w14:textId="77777777" w:rsidR="002E5DDC" w:rsidRPr="00C331A0" w:rsidRDefault="002E5DDC" w:rsidP="00A75C3F">
      <w:pPr>
        <w:pStyle w:val="Default"/>
        <w:rPr>
          <w:szCs w:val="23"/>
          <w:lang w:val="lv-LV"/>
        </w:rPr>
      </w:pPr>
      <w:r w:rsidRPr="00C331A0">
        <w:rPr>
          <w:i/>
          <w:iCs/>
          <w:szCs w:val="23"/>
          <w:lang w:val="lv-LV"/>
        </w:rPr>
        <w:t>Litijs</w:t>
      </w:r>
    </w:p>
    <w:p w14:paraId="1EE9388C" w14:textId="77777777" w:rsidR="002E5DDC" w:rsidRPr="00C331A0" w:rsidRDefault="002E5DDC" w:rsidP="00A75C3F">
      <w:pPr>
        <w:pStyle w:val="Default"/>
        <w:rPr>
          <w:szCs w:val="23"/>
          <w:lang w:val="lv-LV"/>
        </w:rPr>
      </w:pPr>
      <w:r w:rsidRPr="00C331A0">
        <w:rPr>
          <w:szCs w:val="23"/>
          <w:lang w:val="lv-LV"/>
        </w:rPr>
        <w:t>Litija un citaloprāma farmakokinētiskajā pētījumā netika novērota farmakokinētiska mijiedarbība (skatīt iepriekš</w:t>
      </w:r>
      <w:r w:rsidR="00C331A0">
        <w:rPr>
          <w:szCs w:val="23"/>
          <w:lang w:val="lv-LV"/>
        </w:rPr>
        <w:t>).</w:t>
      </w:r>
    </w:p>
    <w:p w14:paraId="742B1219" w14:textId="77777777" w:rsidR="002E5DDC" w:rsidRPr="00C331A0" w:rsidRDefault="002E5DDC" w:rsidP="00A75C3F">
      <w:pPr>
        <w:pStyle w:val="Default"/>
        <w:rPr>
          <w:szCs w:val="23"/>
          <w:lang w:val="lv-LV"/>
        </w:rPr>
      </w:pPr>
    </w:p>
    <w:p w14:paraId="33622E9C" w14:textId="77777777" w:rsidR="002E5DDC" w:rsidRPr="00C331A0" w:rsidRDefault="002E5DDC" w:rsidP="00A75C3F">
      <w:pPr>
        <w:pStyle w:val="Default"/>
        <w:rPr>
          <w:szCs w:val="23"/>
          <w:lang w:val="lv-LV"/>
        </w:rPr>
      </w:pPr>
      <w:r w:rsidRPr="00C331A0">
        <w:rPr>
          <w:i/>
          <w:iCs/>
          <w:szCs w:val="23"/>
          <w:lang w:val="lv-LV"/>
        </w:rPr>
        <w:t>Cimetidīns, omeprazols un citi CYP2C19 inhibitori</w:t>
      </w:r>
    </w:p>
    <w:p w14:paraId="58A2F54E" w14:textId="77777777" w:rsidR="002E5DDC" w:rsidRPr="00C331A0" w:rsidRDefault="002E5DDC" w:rsidP="00A75C3F">
      <w:pPr>
        <w:pStyle w:val="Default"/>
        <w:rPr>
          <w:szCs w:val="23"/>
          <w:lang w:val="lv-LV"/>
        </w:rPr>
      </w:pPr>
      <w:r w:rsidRPr="00C331A0">
        <w:rPr>
          <w:szCs w:val="23"/>
          <w:lang w:val="lv-LV"/>
        </w:rPr>
        <w:t xml:space="preserve">Cimetidīns (spēcīgs CYP2D6, 3A4 un IA2 inhibitors) izraisīja </w:t>
      </w:r>
      <w:r w:rsidR="000B6671">
        <w:rPr>
          <w:szCs w:val="23"/>
          <w:lang w:val="lv-LV"/>
        </w:rPr>
        <w:t>mērenu</w:t>
      </w:r>
      <w:r w:rsidRPr="00C331A0">
        <w:rPr>
          <w:szCs w:val="23"/>
          <w:lang w:val="lv-LV"/>
        </w:rPr>
        <w:t xml:space="preserve"> citaloprāma vidējās līdzsvara koncentrācijas palielināšanos. Lietojot citaloprāmu vienlaicīgi ar cimetidīnu, ieteicams ievērot piesardzību. Var būt nepieciešama devas pielāgoš</w:t>
      </w:r>
      <w:r w:rsidR="00C331A0">
        <w:rPr>
          <w:szCs w:val="23"/>
          <w:lang w:val="lv-LV"/>
        </w:rPr>
        <w:t>ana.</w:t>
      </w:r>
    </w:p>
    <w:p w14:paraId="7EA99AFB" w14:textId="77777777" w:rsidR="002E5DDC" w:rsidRPr="00900994" w:rsidRDefault="002E5DDC" w:rsidP="00A75C3F">
      <w:pPr>
        <w:pStyle w:val="Default"/>
        <w:rPr>
          <w:szCs w:val="23"/>
          <w:lang w:val="lv-LV"/>
        </w:rPr>
      </w:pPr>
      <w:r w:rsidRPr="00C331A0">
        <w:rPr>
          <w:szCs w:val="23"/>
          <w:lang w:val="lv-LV"/>
        </w:rPr>
        <w:t>Lietojot escitaloprāmu (citaloprāma aktīvais enantiomērs) vienlaicīgi ar 30 mg omeprazola (CYP2C19 inhibitors) vienu reizi dienā, mēreni (par aptuveni 50 %) palielinājās escitaloprāma koncentrācija plazmā. Tādējādi, gadījumos, kad vienlaicīgi tiek lietoti arī CYP2C19 inhibitori (piemēram, omeprazols, esomeprazols,</w:t>
      </w:r>
      <w:r w:rsidR="00900994">
        <w:rPr>
          <w:szCs w:val="23"/>
          <w:lang w:val="lv-LV"/>
        </w:rPr>
        <w:t xml:space="preserve"> flukonazols,</w:t>
      </w:r>
      <w:r w:rsidRPr="00C331A0">
        <w:rPr>
          <w:szCs w:val="23"/>
          <w:lang w:val="lv-LV"/>
        </w:rPr>
        <w:t xml:space="preserve"> fluvoksamīns, lansoprazols, tiklopidīns) vai cimetidīns, ir jāievēro piesardzība. Vienlaicīgas terapijas gadījumā, novērojot nevēlamo blakusparādību izpausmes, var būt nepieciešam</w:t>
      </w:r>
      <w:r w:rsidR="00C235BB">
        <w:rPr>
          <w:szCs w:val="23"/>
          <w:lang w:val="lv-LV"/>
        </w:rPr>
        <w:t>ība</w:t>
      </w:r>
      <w:r w:rsidRPr="00C331A0">
        <w:rPr>
          <w:szCs w:val="23"/>
          <w:lang w:val="lv-LV"/>
        </w:rPr>
        <w:t xml:space="preserve"> samazināt citaloprā</w:t>
      </w:r>
      <w:r w:rsidR="00C331A0">
        <w:rPr>
          <w:szCs w:val="23"/>
          <w:lang w:val="lv-LV"/>
        </w:rPr>
        <w:t xml:space="preserve">ma </w:t>
      </w:r>
      <w:r w:rsidR="00C331A0" w:rsidRPr="00900994">
        <w:rPr>
          <w:szCs w:val="23"/>
          <w:lang w:val="lv-LV"/>
        </w:rPr>
        <w:t>devu</w:t>
      </w:r>
      <w:r w:rsidR="00900994" w:rsidRPr="00900994">
        <w:rPr>
          <w:szCs w:val="23"/>
          <w:lang w:val="lv-LV"/>
        </w:rPr>
        <w:t xml:space="preserve"> (skatīt 4.4. apakšpunktu)</w:t>
      </w:r>
      <w:r w:rsidR="00C331A0" w:rsidRPr="00900994">
        <w:rPr>
          <w:szCs w:val="23"/>
          <w:lang w:val="lv-LV"/>
        </w:rPr>
        <w:t>.</w:t>
      </w:r>
    </w:p>
    <w:p w14:paraId="4BAB93BB" w14:textId="77777777" w:rsidR="002E5DDC" w:rsidRPr="00C331A0" w:rsidRDefault="002E5DDC" w:rsidP="00A75C3F">
      <w:pPr>
        <w:pStyle w:val="Default"/>
        <w:rPr>
          <w:szCs w:val="23"/>
          <w:lang w:val="lv-LV"/>
        </w:rPr>
      </w:pPr>
    </w:p>
    <w:p w14:paraId="104F5337" w14:textId="77777777" w:rsidR="002E5DDC" w:rsidRPr="00C331A0" w:rsidRDefault="002E5DDC" w:rsidP="00A75C3F">
      <w:pPr>
        <w:pStyle w:val="Default"/>
        <w:rPr>
          <w:szCs w:val="23"/>
          <w:lang w:val="lv-LV"/>
        </w:rPr>
      </w:pPr>
      <w:r w:rsidRPr="00C331A0">
        <w:rPr>
          <w:i/>
          <w:iCs/>
          <w:szCs w:val="23"/>
          <w:lang w:val="lv-LV"/>
        </w:rPr>
        <w:t>Citaloprāma iedarbība uz citu zāļu farmakokinētiku</w:t>
      </w:r>
    </w:p>
    <w:p w14:paraId="4E381622" w14:textId="77777777" w:rsidR="002E5DDC" w:rsidRPr="00C331A0" w:rsidRDefault="002E5DDC" w:rsidP="00A75C3F">
      <w:pPr>
        <w:pStyle w:val="Default"/>
        <w:rPr>
          <w:szCs w:val="23"/>
          <w:lang w:val="lv-LV"/>
        </w:rPr>
      </w:pPr>
      <w:r w:rsidRPr="00C331A0">
        <w:rPr>
          <w:szCs w:val="23"/>
          <w:lang w:val="lv-LV"/>
        </w:rPr>
        <w:t>Citaloprāms un demetilcitaloprāms ir niecīgi CYP2C9, CYP2E1 un CYP3A4 inhibitori un vāji CYP1A2, CYP2C9 un CYP2D6 inhibitori, salīdzinājumā ar citiem SSAI, kas, kā pierādīts, ir spēcī</w:t>
      </w:r>
      <w:r w:rsidR="00C331A0">
        <w:rPr>
          <w:szCs w:val="23"/>
          <w:lang w:val="lv-LV"/>
        </w:rPr>
        <w:t>gi inhibitori.</w:t>
      </w:r>
    </w:p>
    <w:p w14:paraId="58B5F62F" w14:textId="77777777" w:rsidR="002E5DDC" w:rsidRPr="00C331A0" w:rsidRDefault="002E5DDC" w:rsidP="00A75C3F">
      <w:pPr>
        <w:pStyle w:val="Default"/>
        <w:rPr>
          <w:szCs w:val="23"/>
          <w:lang w:val="lv-LV"/>
        </w:rPr>
      </w:pPr>
      <w:r w:rsidRPr="00C331A0">
        <w:rPr>
          <w:szCs w:val="23"/>
          <w:lang w:val="lv-LV"/>
        </w:rPr>
        <w:t>Lietojot citaloprāmu vienlaicīgi ar CYP1A2 substrātiem (klozapīnu un teofilīnu), CYP2C9 (varfarīnu), CYP2C19 (imipramīnu un mefenitoīnu), CYP2D6 (sparteīnu, imipramīnu, amitriptilīnu, risperidonu) un CYP3A4 (varfarīnu, karbamazepīnu (un tā metabolītu karbamazepīna-epoksīdu) un triazolamu) netika novērotas izmaiņas vai arī tās bija nelielas izmaiņas, kam nebija klīniska nozī</w:t>
      </w:r>
      <w:r w:rsidR="00C331A0">
        <w:rPr>
          <w:szCs w:val="23"/>
          <w:lang w:val="lv-LV"/>
        </w:rPr>
        <w:t>me.</w:t>
      </w:r>
    </w:p>
    <w:p w14:paraId="57B24F20" w14:textId="77777777" w:rsidR="002E5DDC" w:rsidRPr="00C331A0" w:rsidRDefault="002E5DDC" w:rsidP="00A75C3F">
      <w:pPr>
        <w:pStyle w:val="Default"/>
        <w:rPr>
          <w:szCs w:val="23"/>
          <w:lang w:val="lv-LV"/>
        </w:rPr>
      </w:pPr>
    </w:p>
    <w:p w14:paraId="6E926799" w14:textId="77777777" w:rsidR="002E5DDC" w:rsidRPr="00C331A0" w:rsidRDefault="002E5DDC" w:rsidP="00A75C3F">
      <w:pPr>
        <w:pStyle w:val="Default"/>
        <w:rPr>
          <w:szCs w:val="23"/>
          <w:lang w:val="lv-LV"/>
        </w:rPr>
      </w:pPr>
      <w:r w:rsidRPr="00C331A0">
        <w:rPr>
          <w:szCs w:val="23"/>
          <w:lang w:val="lv-LV"/>
        </w:rPr>
        <w:t>Nevajadzētu gaidīt farmakokinētisko mijiedarbību, kas balstītos uz saistīšanos ar plazmas olbaltumvielā</w:t>
      </w:r>
      <w:r w:rsidR="00C331A0">
        <w:rPr>
          <w:szCs w:val="23"/>
          <w:lang w:val="lv-LV"/>
        </w:rPr>
        <w:t>m.</w:t>
      </w:r>
    </w:p>
    <w:p w14:paraId="019D44C8" w14:textId="77777777" w:rsidR="002E5DDC" w:rsidRPr="00C331A0" w:rsidRDefault="002E5DDC" w:rsidP="00A75C3F">
      <w:pPr>
        <w:pStyle w:val="Default"/>
        <w:rPr>
          <w:szCs w:val="23"/>
          <w:lang w:val="lv-LV"/>
        </w:rPr>
      </w:pPr>
    </w:p>
    <w:p w14:paraId="09646B3A" w14:textId="77777777" w:rsidR="002E5DDC" w:rsidRPr="00C331A0" w:rsidRDefault="002E5DDC" w:rsidP="00A75C3F">
      <w:pPr>
        <w:pStyle w:val="Default"/>
        <w:rPr>
          <w:szCs w:val="23"/>
          <w:lang w:val="lv-LV"/>
        </w:rPr>
      </w:pPr>
      <w:r w:rsidRPr="00C331A0">
        <w:rPr>
          <w:i/>
          <w:iCs/>
          <w:szCs w:val="23"/>
          <w:lang w:val="lv-LV"/>
        </w:rPr>
        <w:t>CYP2D6 inhibitori</w:t>
      </w:r>
    </w:p>
    <w:p w14:paraId="6C7236E2" w14:textId="77777777" w:rsidR="002E5DDC" w:rsidRPr="00C331A0" w:rsidRDefault="002E5DDC" w:rsidP="00A75C3F">
      <w:pPr>
        <w:pStyle w:val="Default"/>
        <w:rPr>
          <w:szCs w:val="23"/>
          <w:lang w:val="lv-LV"/>
        </w:rPr>
      </w:pPr>
      <w:r w:rsidRPr="00C331A0">
        <w:rPr>
          <w:szCs w:val="23"/>
          <w:lang w:val="lv-LV"/>
        </w:rPr>
        <w:t>Escitaloprāms (citaloprāma aktīvais enantiomērs) ir enzīma CYP2D6 inhibitors. Ja escitaloprāma lietošana tiek nozīmēta vienlaicīgi ar zālēm, ko galvenokārt metabolizē šis enzīms un kurām ir šaurs terapeitiskais indekss, piemēram, flekainīdu, propafenonu un metoprololu (lietojot sirds mazspējas gadījumā), dažām zālēm, kuras ietekmē CNS darbību un kuras galvenokārt metabolizē CYP2D6, piemēram, antidepresantiem kā dezipramīnu, klomipramīnu un nortriptilīnu, vai antipsihotiskajiem līdzekļiem, kā risperidonu, tioridazīnu un haloperidolu, ir ieteicams ievērot piesardzību. Var būt nepieciešama devas pielāgošana. Lietojot kombinācijā ar metoprololu, metoprolola koncentrācija plazmā palielinājās 2 reizes, bet tas neizraisīja statistiski nozīmīgu metoprolola iedarbības pastiprināšanos uz asinsspiedienu un sirds</w:t>
      </w:r>
      <w:r w:rsidR="00C331A0">
        <w:rPr>
          <w:szCs w:val="23"/>
          <w:lang w:val="lv-LV"/>
        </w:rPr>
        <w:t xml:space="preserve"> ritmu.</w:t>
      </w:r>
    </w:p>
    <w:p w14:paraId="74B064E3" w14:textId="77777777" w:rsidR="002E5DDC" w:rsidRPr="00C331A0" w:rsidRDefault="002E5DDC" w:rsidP="00A75C3F">
      <w:pPr>
        <w:pStyle w:val="Default"/>
        <w:rPr>
          <w:szCs w:val="23"/>
          <w:lang w:val="lv-LV"/>
        </w:rPr>
      </w:pPr>
    </w:p>
    <w:p w14:paraId="2E1B4689" w14:textId="77777777" w:rsidR="002E5DDC" w:rsidRPr="00C331A0" w:rsidRDefault="002E5DDC" w:rsidP="00A75C3F">
      <w:pPr>
        <w:pStyle w:val="Default"/>
        <w:rPr>
          <w:szCs w:val="23"/>
          <w:lang w:val="lv-LV"/>
        </w:rPr>
      </w:pPr>
      <w:r w:rsidRPr="00C331A0">
        <w:rPr>
          <w:i/>
          <w:iCs/>
          <w:szCs w:val="23"/>
          <w:lang w:val="lv-LV"/>
        </w:rPr>
        <w:t>Dezipramīns, imipramīns</w:t>
      </w:r>
    </w:p>
    <w:p w14:paraId="676DC92A" w14:textId="77777777" w:rsidR="002E5DDC" w:rsidRPr="00C331A0" w:rsidRDefault="002E5DDC" w:rsidP="00A75C3F">
      <w:pPr>
        <w:pStyle w:val="Default"/>
        <w:rPr>
          <w:szCs w:val="23"/>
          <w:lang w:val="lv-LV"/>
        </w:rPr>
      </w:pPr>
      <w:r w:rsidRPr="00C331A0">
        <w:rPr>
          <w:szCs w:val="23"/>
          <w:lang w:val="lv-LV"/>
        </w:rPr>
        <w:t>Farmakokinētiskā pētījumā netika pierādīta ietekme ne uz citaloprāma, ne uz imipramīna līmeņiem, lai gan dezipramīna, imipramīna primārā metabolīta, līmenis bija paaugstinājies. Kad dezipramīnu lietoja kopā ar citaloprāmu, novēroja dezipramīna koncentrācijas pieaugumu. Šajā gadījumā var būt nepieciešama dezipramīna devas samazināš</w:t>
      </w:r>
      <w:r w:rsidR="00C331A0">
        <w:rPr>
          <w:szCs w:val="23"/>
          <w:lang w:val="lv-LV"/>
        </w:rPr>
        <w:t>ana.</w:t>
      </w:r>
    </w:p>
    <w:p w14:paraId="79CB3076" w14:textId="77777777" w:rsidR="002E5DDC" w:rsidRPr="00C331A0" w:rsidRDefault="002E5DDC" w:rsidP="00A75C3F">
      <w:pPr>
        <w:pStyle w:val="Default"/>
        <w:rPr>
          <w:szCs w:val="23"/>
          <w:lang w:val="lv-LV"/>
        </w:rPr>
      </w:pPr>
    </w:p>
    <w:p w14:paraId="030F27C4" w14:textId="77777777" w:rsidR="002E5DDC" w:rsidRPr="00C331A0" w:rsidRDefault="002E5DDC" w:rsidP="00A75C3F">
      <w:pPr>
        <w:pStyle w:val="Default"/>
        <w:rPr>
          <w:szCs w:val="23"/>
          <w:lang w:val="lv-LV"/>
        </w:rPr>
      </w:pPr>
      <w:r w:rsidRPr="00C331A0">
        <w:rPr>
          <w:i/>
          <w:iCs/>
          <w:szCs w:val="23"/>
          <w:lang w:val="lv-LV"/>
        </w:rPr>
        <w:t>Levomepromazīns, digoksīns, karbamazepīns</w:t>
      </w:r>
    </w:p>
    <w:p w14:paraId="77753848" w14:textId="77777777" w:rsidR="002E5DDC" w:rsidRPr="00C331A0" w:rsidRDefault="002E5DDC" w:rsidP="00A75C3F">
      <w:pPr>
        <w:pStyle w:val="Default"/>
        <w:rPr>
          <w:szCs w:val="23"/>
          <w:lang w:val="lv-LV"/>
        </w:rPr>
      </w:pPr>
      <w:r w:rsidRPr="00C331A0">
        <w:rPr>
          <w:szCs w:val="23"/>
          <w:lang w:val="lv-LV"/>
        </w:rPr>
        <w:t>Starp citaloprāmu un levomepromazīnu, digoksīnu mijiedarbība (kas liecina, ka citaloprāms nedz inducē, nedz arī inhibē P-glikoproteīnu) vai karbamazepīnu un tā metabolītu karbamazepīnu-epoksīdu nebija novērota farmakokinētiska mijiedarbī</w:t>
      </w:r>
      <w:r w:rsidR="00C331A0">
        <w:rPr>
          <w:szCs w:val="23"/>
          <w:lang w:val="lv-LV"/>
        </w:rPr>
        <w:t>ba.</w:t>
      </w:r>
    </w:p>
    <w:p w14:paraId="66FD1732" w14:textId="77777777" w:rsidR="002E5DDC" w:rsidRPr="00C331A0" w:rsidRDefault="002E5DDC" w:rsidP="00A75C3F">
      <w:pPr>
        <w:pStyle w:val="Default"/>
        <w:rPr>
          <w:szCs w:val="23"/>
          <w:lang w:val="lv-LV"/>
        </w:rPr>
      </w:pPr>
    </w:p>
    <w:p w14:paraId="166FBF72" w14:textId="77777777" w:rsidR="002E5DDC" w:rsidRPr="00C331A0" w:rsidRDefault="002E5DDC" w:rsidP="00A75C3F">
      <w:pPr>
        <w:pStyle w:val="Default"/>
        <w:rPr>
          <w:szCs w:val="23"/>
          <w:lang w:val="lv-LV"/>
        </w:rPr>
      </w:pPr>
      <w:r w:rsidRPr="00C331A0">
        <w:rPr>
          <w:b/>
          <w:bCs/>
          <w:szCs w:val="23"/>
          <w:lang w:val="lv-LV"/>
        </w:rPr>
        <w:t>4.6</w:t>
      </w:r>
      <w:r w:rsidR="00C235BB">
        <w:rPr>
          <w:b/>
          <w:bCs/>
          <w:szCs w:val="23"/>
          <w:lang w:val="lv-LV"/>
        </w:rPr>
        <w:t>.</w:t>
      </w:r>
      <w:r w:rsidRPr="00C331A0">
        <w:rPr>
          <w:b/>
          <w:bCs/>
          <w:szCs w:val="23"/>
          <w:lang w:val="lv-LV"/>
        </w:rPr>
        <w:t xml:space="preserve"> Fertilitāte, grūtniecība un </w:t>
      </w:r>
      <w:r w:rsidR="00C235BB">
        <w:rPr>
          <w:b/>
          <w:bCs/>
          <w:szCs w:val="23"/>
          <w:lang w:val="lv-LV"/>
        </w:rPr>
        <w:t>barošana ar krūti</w:t>
      </w:r>
    </w:p>
    <w:p w14:paraId="58102991" w14:textId="77777777" w:rsidR="00E42F72" w:rsidRDefault="00E42F72" w:rsidP="00A75C3F">
      <w:pPr>
        <w:pStyle w:val="Default"/>
        <w:rPr>
          <w:szCs w:val="23"/>
          <w:u w:val="single"/>
          <w:lang w:val="lv-LV"/>
        </w:rPr>
      </w:pPr>
    </w:p>
    <w:p w14:paraId="7F177F81" w14:textId="77777777" w:rsidR="002E5DDC" w:rsidRPr="000B1C99" w:rsidRDefault="002E5DDC" w:rsidP="00A75C3F">
      <w:pPr>
        <w:pStyle w:val="Default"/>
        <w:rPr>
          <w:szCs w:val="23"/>
          <w:u w:val="single"/>
          <w:lang w:val="lv-LV"/>
        </w:rPr>
      </w:pPr>
      <w:r w:rsidRPr="000B1C99">
        <w:rPr>
          <w:szCs w:val="23"/>
          <w:u w:val="single"/>
          <w:lang w:val="lv-LV"/>
        </w:rPr>
        <w:t>Fertilitā</w:t>
      </w:r>
      <w:r w:rsidR="00C331A0" w:rsidRPr="000B1C99">
        <w:rPr>
          <w:szCs w:val="23"/>
          <w:u w:val="single"/>
          <w:lang w:val="lv-LV"/>
        </w:rPr>
        <w:t>te</w:t>
      </w:r>
    </w:p>
    <w:p w14:paraId="43838447" w14:textId="77777777" w:rsidR="002E5DDC" w:rsidRPr="00C331A0" w:rsidRDefault="002E5DDC" w:rsidP="00A75C3F">
      <w:pPr>
        <w:pStyle w:val="Default"/>
        <w:rPr>
          <w:szCs w:val="23"/>
          <w:lang w:val="lv-LV"/>
        </w:rPr>
      </w:pPr>
      <w:r w:rsidRPr="00C331A0">
        <w:rPr>
          <w:szCs w:val="23"/>
          <w:lang w:val="lv-LV"/>
        </w:rPr>
        <w:t>Pētījumi ar dzīvniekiem liecina, ka citaloprāms var ietekmēt spermas kvalitāti (skatīt 5.3</w:t>
      </w:r>
      <w:r w:rsidR="00C235BB">
        <w:rPr>
          <w:szCs w:val="23"/>
          <w:lang w:val="lv-LV"/>
        </w:rPr>
        <w:t>.</w:t>
      </w:r>
      <w:r w:rsidRPr="00C331A0">
        <w:rPr>
          <w:szCs w:val="23"/>
          <w:lang w:val="lv-LV"/>
        </w:rPr>
        <w:t xml:space="preserve"> apakšpunktu). Ziņojumi par gadījumiem saistībā ar dažu SSAI lietošanu cilvēkiem liecina, ka ietekme uz spermas kvalitāti ir atgriezeniska. Līdz šim nav novērota ietekme uz cilvēku auglī</w:t>
      </w:r>
      <w:r w:rsidR="00C331A0">
        <w:rPr>
          <w:szCs w:val="23"/>
          <w:lang w:val="lv-LV"/>
        </w:rPr>
        <w:t>bu.</w:t>
      </w:r>
    </w:p>
    <w:p w14:paraId="277680EB" w14:textId="77777777" w:rsidR="002E5DDC" w:rsidRPr="00C331A0" w:rsidRDefault="002E5DDC" w:rsidP="00A75C3F">
      <w:pPr>
        <w:pStyle w:val="Default"/>
        <w:rPr>
          <w:szCs w:val="23"/>
          <w:lang w:val="lv-LV"/>
        </w:rPr>
      </w:pPr>
    </w:p>
    <w:p w14:paraId="083C8B25" w14:textId="77777777" w:rsidR="002E5DDC" w:rsidRPr="000B1C99" w:rsidRDefault="002E5DDC" w:rsidP="00A75C3F">
      <w:pPr>
        <w:pStyle w:val="Default"/>
        <w:rPr>
          <w:szCs w:val="23"/>
          <w:u w:val="single"/>
          <w:lang w:val="lv-LV"/>
        </w:rPr>
      </w:pPr>
      <w:r w:rsidRPr="000B1C99">
        <w:rPr>
          <w:szCs w:val="23"/>
          <w:u w:val="single"/>
          <w:lang w:val="lv-LV"/>
        </w:rPr>
        <w:t>Grūtniecī</w:t>
      </w:r>
      <w:r w:rsidR="00C331A0" w:rsidRPr="000B1C99">
        <w:rPr>
          <w:szCs w:val="23"/>
          <w:u w:val="single"/>
          <w:lang w:val="lv-LV"/>
        </w:rPr>
        <w:t>ba</w:t>
      </w:r>
    </w:p>
    <w:p w14:paraId="15B2C0C4" w14:textId="77777777" w:rsidR="002E5DDC" w:rsidRPr="00C331A0" w:rsidRDefault="002E5DDC" w:rsidP="00A75C3F">
      <w:pPr>
        <w:pStyle w:val="Default"/>
        <w:rPr>
          <w:szCs w:val="23"/>
          <w:lang w:val="lv-LV"/>
        </w:rPr>
      </w:pPr>
      <w:r w:rsidRPr="00C331A0">
        <w:rPr>
          <w:szCs w:val="23"/>
          <w:lang w:val="lv-LV"/>
        </w:rPr>
        <w:t>Apjomīgs datu daudzums par grūtniecēm (vairāk kā 2500 grūtnieces, kas pakļautas citaloprāma iedarbībai) neliecina par nelabvēlīgu feto/neonatālo toksicitāti. Neskatoties uz to, citaloprāmu nedrīkst lietot grūtniecības laikā, izņemot absolūtas nepieciešamības gadījumos</w:t>
      </w:r>
      <w:r w:rsidR="00304918">
        <w:rPr>
          <w:szCs w:val="23"/>
          <w:lang w:val="lv-LV"/>
        </w:rPr>
        <w:t>,</w:t>
      </w:r>
      <w:r w:rsidRPr="00C331A0">
        <w:rPr>
          <w:szCs w:val="23"/>
          <w:lang w:val="lv-LV"/>
        </w:rPr>
        <w:t xml:space="preserve"> un tikai pēc rūpīgas riska/ieguvuma attiecības izvērtēš</w:t>
      </w:r>
      <w:r w:rsidR="00C331A0">
        <w:rPr>
          <w:szCs w:val="23"/>
          <w:lang w:val="lv-LV"/>
        </w:rPr>
        <w:t>anas.</w:t>
      </w:r>
    </w:p>
    <w:p w14:paraId="0599ED22" w14:textId="77777777" w:rsidR="002E5DDC" w:rsidRPr="00C331A0" w:rsidRDefault="002E5DDC" w:rsidP="00A75C3F">
      <w:pPr>
        <w:pStyle w:val="Default"/>
        <w:rPr>
          <w:szCs w:val="23"/>
          <w:lang w:val="lv-LV"/>
        </w:rPr>
      </w:pPr>
    </w:p>
    <w:p w14:paraId="7D2AE13A" w14:textId="77777777" w:rsidR="002E5DDC" w:rsidRPr="00C331A0" w:rsidRDefault="002E5DDC" w:rsidP="00A75C3F">
      <w:pPr>
        <w:pStyle w:val="Default"/>
        <w:rPr>
          <w:szCs w:val="23"/>
          <w:lang w:val="lv-LV"/>
        </w:rPr>
      </w:pPr>
      <w:r w:rsidRPr="00C331A0">
        <w:rPr>
          <w:szCs w:val="23"/>
          <w:lang w:val="lv-LV"/>
        </w:rPr>
        <w:t>Epidemioloģiskie dati liecina, ka SSAI lietošana grūtniecības laikā, it īpaši vēlīnā grūtniecības stadijā, var palielināt ilgstošas plaušu hipertensijas risku jaundzimušajiem (IPHJ). Novērotais risks ir apmēram 5 gadījumi uz 1000 grūtniecēm. Vispārējā populācijā šis risks ir 1 līdz 2 IPHJ gadījumi uz 1000 grūtniecē</w:t>
      </w:r>
      <w:r w:rsidR="00C331A0">
        <w:rPr>
          <w:szCs w:val="23"/>
          <w:lang w:val="lv-LV"/>
        </w:rPr>
        <w:t>m.</w:t>
      </w:r>
    </w:p>
    <w:p w14:paraId="710F70E4" w14:textId="77777777" w:rsidR="002E5DDC" w:rsidRPr="00C331A0" w:rsidRDefault="002E5DDC" w:rsidP="00A75C3F">
      <w:pPr>
        <w:pStyle w:val="Default"/>
        <w:rPr>
          <w:szCs w:val="23"/>
          <w:lang w:val="lv-LV"/>
        </w:rPr>
      </w:pPr>
    </w:p>
    <w:p w14:paraId="786AE0B9" w14:textId="77777777" w:rsidR="00C331A0" w:rsidRDefault="002E5DDC" w:rsidP="00A75C3F">
      <w:pPr>
        <w:pStyle w:val="Default"/>
        <w:rPr>
          <w:szCs w:val="23"/>
          <w:lang w:val="lv-LV"/>
        </w:rPr>
      </w:pPr>
      <w:r w:rsidRPr="00C331A0">
        <w:rPr>
          <w:szCs w:val="23"/>
          <w:lang w:val="lv-LV"/>
        </w:rPr>
        <w:t>Ja grūtniecības beigu stadijās, it īpaši trešajā grūtniecības trimestrī, māte turpina lietot citaloprāmu, jaundzimušajam ir nepieciešama kontrole. Grūtniecības laikā jāizvairās terapiju pārtraukt pēkšņ</w:t>
      </w:r>
      <w:r w:rsidR="00C331A0">
        <w:rPr>
          <w:szCs w:val="23"/>
          <w:lang w:val="lv-LV"/>
        </w:rPr>
        <w:t>i.</w:t>
      </w:r>
    </w:p>
    <w:p w14:paraId="373C09D3" w14:textId="77777777" w:rsidR="00C331A0" w:rsidRDefault="00C331A0" w:rsidP="00A75C3F">
      <w:pPr>
        <w:pStyle w:val="Default"/>
        <w:rPr>
          <w:szCs w:val="23"/>
          <w:lang w:val="lv-LV"/>
        </w:rPr>
      </w:pPr>
    </w:p>
    <w:p w14:paraId="1551BDCB" w14:textId="77777777" w:rsidR="002E5DDC" w:rsidRPr="00C331A0" w:rsidRDefault="002E5DDC" w:rsidP="00A75C3F">
      <w:pPr>
        <w:pStyle w:val="Default"/>
        <w:rPr>
          <w:szCs w:val="23"/>
          <w:lang w:val="lv-LV"/>
        </w:rPr>
      </w:pPr>
      <w:r w:rsidRPr="00C331A0">
        <w:rPr>
          <w:szCs w:val="23"/>
          <w:lang w:val="lv-LV"/>
        </w:rPr>
        <w:t>Pēc selektīvo serotonīna atpakaļsaist</w:t>
      </w:r>
      <w:r w:rsidR="00304918">
        <w:rPr>
          <w:szCs w:val="23"/>
          <w:lang w:val="lv-LV"/>
        </w:rPr>
        <w:t>īšanas</w:t>
      </w:r>
      <w:r w:rsidRPr="00C331A0">
        <w:rPr>
          <w:szCs w:val="23"/>
          <w:lang w:val="lv-LV"/>
        </w:rPr>
        <w:t xml:space="preserve"> inhibitoru lietošanas grūtniecības laikā, jaundzimušajiem ir ziņots par zāļu lietošanas atcelš</w:t>
      </w:r>
      <w:r w:rsidR="00C331A0">
        <w:rPr>
          <w:szCs w:val="23"/>
          <w:lang w:val="lv-LV"/>
        </w:rPr>
        <w:t>anas simptomiem.</w:t>
      </w:r>
    </w:p>
    <w:p w14:paraId="7BEADBED" w14:textId="77777777" w:rsidR="002E5DDC" w:rsidRDefault="002E5DDC" w:rsidP="00A75C3F">
      <w:pPr>
        <w:pStyle w:val="Default"/>
        <w:rPr>
          <w:szCs w:val="23"/>
          <w:lang w:val="lv-LV"/>
        </w:rPr>
      </w:pPr>
      <w:r w:rsidRPr="00C331A0">
        <w:rPr>
          <w:szCs w:val="23"/>
          <w:lang w:val="lv-LV"/>
        </w:rPr>
        <w:t>Ja māte vēlīnā grūtniecības stadijā lieto SSAI/SNAI grupas zāles, jaundzimušajam ir iespējami šādi simptomi: respiratorais distress, cianoze, elpas trūkums, krampji, nestabila ķermeņa temperatūra, zīšanas grūtības, vemšana, hipoglikēmija, hipertonija, hipotonija, hiperrefleksija, trīce, drebuļi, uzbudināmība, letarģija, nepārtrauktas raudas, miegainība un miega traucējumi. Šādus simptomus var izraisīt vai nu serotonīnerģiskie efekti</w:t>
      </w:r>
      <w:r w:rsidR="00304918">
        <w:rPr>
          <w:szCs w:val="23"/>
          <w:lang w:val="lv-LV"/>
        </w:rPr>
        <w:t>,</w:t>
      </w:r>
      <w:r w:rsidRPr="00C331A0">
        <w:rPr>
          <w:szCs w:val="23"/>
          <w:lang w:val="lv-LV"/>
        </w:rPr>
        <w:t xml:space="preserve"> vai arī zāļu lietošanas atcelšanas simptomi. Vairumā gadījumu minētās komplikācijas parādās nekavējoties vai arī drīz (ātrāk kā 24 stundu laikā) pēc dzemdībā</w:t>
      </w:r>
      <w:r w:rsidR="00C331A0">
        <w:rPr>
          <w:szCs w:val="23"/>
          <w:lang w:val="lv-LV"/>
        </w:rPr>
        <w:t>m.</w:t>
      </w:r>
    </w:p>
    <w:p w14:paraId="7C04025D" w14:textId="77777777" w:rsidR="006B0F8B" w:rsidRPr="006B0F8B" w:rsidRDefault="006B0F8B" w:rsidP="006B0F8B">
      <w:pPr>
        <w:autoSpaceDE w:val="0"/>
        <w:autoSpaceDN w:val="0"/>
        <w:adjustRightInd w:val="0"/>
        <w:spacing w:after="0" w:line="240" w:lineRule="auto"/>
        <w:rPr>
          <w:rFonts w:ascii="Verdana" w:hAnsi="Verdana" w:cs="Verdana"/>
          <w:color w:val="000000"/>
          <w:sz w:val="24"/>
          <w:szCs w:val="24"/>
          <w:lang w:val="lt-LT" w:eastAsia="lt-LT"/>
        </w:rPr>
      </w:pPr>
    </w:p>
    <w:p w14:paraId="40DB9FF3" w14:textId="77777777" w:rsidR="00C331A0" w:rsidRPr="00E954AE" w:rsidRDefault="006B0F8B" w:rsidP="006B0F8B">
      <w:pPr>
        <w:pStyle w:val="Default"/>
        <w:rPr>
          <w:szCs w:val="23"/>
          <w:lang w:val="lv-LV"/>
        </w:rPr>
      </w:pPr>
      <w:r w:rsidRPr="00E954AE">
        <w:rPr>
          <w:szCs w:val="23"/>
          <w:lang w:val="lv-LV"/>
        </w:rPr>
        <w:t>Novērojumu dati liecina par paaugstinātu (mazāk nekā 2 reizes) pēcdzemdību asiņošanas risku pēc SSAI/SNAI iedarbības mēnesi pirms dzemdībām (skatīt 4.4. un 4.8. apakšpunktu).</w:t>
      </w:r>
    </w:p>
    <w:p w14:paraId="4493F1FD" w14:textId="77777777" w:rsidR="006B0F8B" w:rsidRPr="00C331A0" w:rsidRDefault="006B0F8B" w:rsidP="006B0F8B">
      <w:pPr>
        <w:pStyle w:val="Default"/>
        <w:rPr>
          <w:szCs w:val="23"/>
          <w:lang w:val="lv-LV"/>
        </w:rPr>
      </w:pPr>
    </w:p>
    <w:p w14:paraId="7AB74009" w14:textId="77777777" w:rsidR="002E5DDC" w:rsidRPr="000B1C99" w:rsidRDefault="002E5DDC" w:rsidP="00A75C3F">
      <w:pPr>
        <w:pStyle w:val="Default"/>
        <w:rPr>
          <w:szCs w:val="23"/>
          <w:u w:val="single"/>
          <w:lang w:val="lv-LV"/>
        </w:rPr>
      </w:pPr>
      <w:r w:rsidRPr="000B1C99">
        <w:rPr>
          <w:szCs w:val="23"/>
          <w:u w:val="single"/>
          <w:lang w:val="lv-LV"/>
        </w:rPr>
        <w:t>Barošana ar krū</w:t>
      </w:r>
      <w:r w:rsidR="00C331A0" w:rsidRPr="000B1C99">
        <w:rPr>
          <w:szCs w:val="23"/>
          <w:u w:val="single"/>
          <w:lang w:val="lv-LV"/>
        </w:rPr>
        <w:t>ti</w:t>
      </w:r>
    </w:p>
    <w:p w14:paraId="6320A442" w14:textId="77777777" w:rsidR="002E5DDC" w:rsidRPr="00C331A0" w:rsidRDefault="002E5DDC" w:rsidP="00A75C3F">
      <w:pPr>
        <w:pStyle w:val="Default"/>
        <w:rPr>
          <w:szCs w:val="23"/>
          <w:lang w:val="lv-LV"/>
        </w:rPr>
      </w:pPr>
      <w:r w:rsidRPr="00C331A0">
        <w:rPr>
          <w:szCs w:val="23"/>
          <w:lang w:val="lv-LV"/>
        </w:rPr>
        <w:t xml:space="preserve">Citaloprāms izdalās mātes pienā. Tiek uzskatīts, ka ar krūti barotais bērns saņems apmēram 5 % no mātes devas, kas aprēķināta pēc ķermeņa masas (mg/kg). Nav novēroti vai arī novērotie gadījumi bijuši nenozīmīgi ar krūti barotajiem bērniem. Tomēr, pieejamā informācija nav pilnīga, lai izvērtētu risku bērnam. Ieteicams ievērot piesardzību. Jāapsver </w:t>
      </w:r>
      <w:r w:rsidR="00814F2C">
        <w:rPr>
          <w:szCs w:val="23"/>
          <w:lang w:val="lv-LV"/>
        </w:rPr>
        <w:t>barošanas ar krūti</w:t>
      </w:r>
      <w:r w:rsidRPr="00C331A0">
        <w:rPr>
          <w:szCs w:val="23"/>
          <w:lang w:val="lv-LV"/>
        </w:rPr>
        <w:t xml:space="preserve"> priekšrocības salīdzinājumā ar iespējamajām blakusparādībām bē</w:t>
      </w:r>
      <w:r w:rsidR="00C331A0">
        <w:rPr>
          <w:szCs w:val="23"/>
          <w:lang w:val="lv-LV"/>
        </w:rPr>
        <w:t>rnam.</w:t>
      </w:r>
    </w:p>
    <w:p w14:paraId="764A7614" w14:textId="77777777" w:rsidR="002E5DDC" w:rsidRPr="00C331A0" w:rsidRDefault="002E5DDC" w:rsidP="00A75C3F">
      <w:pPr>
        <w:pStyle w:val="Default"/>
        <w:rPr>
          <w:szCs w:val="23"/>
          <w:lang w:val="lv-LV"/>
        </w:rPr>
      </w:pPr>
    </w:p>
    <w:p w14:paraId="21A0D202" w14:textId="77777777" w:rsidR="002E5DDC" w:rsidRPr="00C331A0" w:rsidRDefault="002E5DDC" w:rsidP="00A75C3F">
      <w:pPr>
        <w:pStyle w:val="Default"/>
        <w:rPr>
          <w:szCs w:val="23"/>
          <w:lang w:val="lv-LV"/>
        </w:rPr>
      </w:pPr>
      <w:r w:rsidRPr="00C331A0">
        <w:rPr>
          <w:b/>
          <w:bCs/>
          <w:szCs w:val="23"/>
          <w:lang w:val="lv-LV"/>
        </w:rPr>
        <w:t>4.7</w:t>
      </w:r>
      <w:r w:rsidR="00814F2C">
        <w:rPr>
          <w:b/>
          <w:bCs/>
          <w:szCs w:val="23"/>
          <w:lang w:val="lv-LV"/>
        </w:rPr>
        <w:t>.</w:t>
      </w:r>
      <w:r w:rsidRPr="00C331A0">
        <w:rPr>
          <w:b/>
          <w:bCs/>
          <w:szCs w:val="23"/>
          <w:lang w:val="lv-LV"/>
        </w:rPr>
        <w:t xml:space="preserve"> Ietekme uz spēju vadīt transportlīdzekļus un apkalpot mehānismus</w:t>
      </w:r>
    </w:p>
    <w:p w14:paraId="31A54A34" w14:textId="77777777" w:rsidR="00E42F72" w:rsidRDefault="00E42F72" w:rsidP="00A75C3F">
      <w:pPr>
        <w:pStyle w:val="Default"/>
        <w:rPr>
          <w:szCs w:val="23"/>
          <w:lang w:val="lv-LV"/>
        </w:rPr>
      </w:pPr>
    </w:p>
    <w:p w14:paraId="2D1C7E90" w14:textId="77777777" w:rsidR="002E5DDC" w:rsidRPr="00C331A0" w:rsidRDefault="002E5DDC" w:rsidP="00A75C3F">
      <w:pPr>
        <w:pStyle w:val="Default"/>
        <w:rPr>
          <w:szCs w:val="23"/>
          <w:lang w:val="lv-LV"/>
        </w:rPr>
      </w:pPr>
      <w:r w:rsidRPr="00C331A0">
        <w:rPr>
          <w:szCs w:val="23"/>
          <w:lang w:val="lv-LV"/>
        </w:rPr>
        <w:t xml:space="preserve">Citaloprāms neietekmē vai nedaudz ietekmē spēju vadīt transportlīdzekļus un apkalpot </w:t>
      </w:r>
      <w:r w:rsidRPr="00C331A0">
        <w:rPr>
          <w:szCs w:val="23"/>
          <w:lang w:val="lv-LV"/>
        </w:rPr>
        <w:lastRenderedPageBreak/>
        <w:t>mehānismus. Zāles, kas ietekmē psihisko stāvokli, var samazināt spēju pieņemt lēmumus un ātri reaģēt neparedzētās situācijās. Pacienti jāinformē par šiem efektiem un jābrīdina, ka viņu spējas vadīt transportlīdzekļus un apkalpot mehānismus var tikt traucē</w:t>
      </w:r>
      <w:r w:rsidR="00C331A0">
        <w:rPr>
          <w:szCs w:val="23"/>
          <w:lang w:val="lv-LV"/>
        </w:rPr>
        <w:t>tas.</w:t>
      </w:r>
    </w:p>
    <w:p w14:paraId="393033B4" w14:textId="77777777" w:rsidR="002E5DDC" w:rsidRPr="00C331A0" w:rsidRDefault="002E5DDC" w:rsidP="00A75C3F">
      <w:pPr>
        <w:pStyle w:val="Default"/>
        <w:rPr>
          <w:szCs w:val="23"/>
          <w:lang w:val="lv-LV"/>
        </w:rPr>
      </w:pPr>
    </w:p>
    <w:p w14:paraId="093C4E9F" w14:textId="77777777" w:rsidR="002E5DDC" w:rsidRPr="00C331A0" w:rsidRDefault="002E5DDC" w:rsidP="00A75C3F">
      <w:pPr>
        <w:pStyle w:val="Default"/>
        <w:rPr>
          <w:szCs w:val="23"/>
          <w:lang w:val="lv-LV"/>
        </w:rPr>
      </w:pPr>
      <w:r w:rsidRPr="00C331A0">
        <w:rPr>
          <w:b/>
          <w:bCs/>
          <w:szCs w:val="23"/>
          <w:lang w:val="lv-LV"/>
        </w:rPr>
        <w:t>4.8</w:t>
      </w:r>
      <w:r w:rsidR="00814F2C">
        <w:rPr>
          <w:b/>
          <w:bCs/>
          <w:szCs w:val="23"/>
          <w:lang w:val="lv-LV"/>
        </w:rPr>
        <w:t>.</w:t>
      </w:r>
      <w:r w:rsidRPr="00C331A0">
        <w:rPr>
          <w:b/>
          <w:bCs/>
          <w:szCs w:val="23"/>
          <w:lang w:val="lv-LV"/>
        </w:rPr>
        <w:t xml:space="preserve"> Nevēlamās blakusparādības</w:t>
      </w:r>
    </w:p>
    <w:p w14:paraId="69A0CF26" w14:textId="77777777" w:rsidR="00E42F72" w:rsidRDefault="00E42F72" w:rsidP="00A75C3F">
      <w:pPr>
        <w:pStyle w:val="Default"/>
        <w:rPr>
          <w:szCs w:val="23"/>
          <w:lang w:val="lv-LV"/>
        </w:rPr>
      </w:pPr>
    </w:p>
    <w:p w14:paraId="5937D725" w14:textId="77777777" w:rsidR="002E5DDC" w:rsidRPr="00C331A0" w:rsidRDefault="002E5DDC" w:rsidP="00A75C3F">
      <w:pPr>
        <w:pStyle w:val="Default"/>
        <w:rPr>
          <w:szCs w:val="23"/>
          <w:lang w:val="lv-LV"/>
        </w:rPr>
      </w:pPr>
      <w:r w:rsidRPr="00C331A0">
        <w:rPr>
          <w:szCs w:val="23"/>
          <w:lang w:val="lv-LV"/>
        </w:rPr>
        <w:t>Blakusparādības, kas novērotas lietojot citaloprāmu, parasti ir vieglas un pārejošas. Biežāk tās rodas terapijas pirmajās nedēļās un parasti norimst depresīvajam stā</w:t>
      </w:r>
      <w:r w:rsidR="00C331A0">
        <w:rPr>
          <w:szCs w:val="23"/>
          <w:lang w:val="lv-LV"/>
        </w:rPr>
        <w:t>voklim uzlabojoties.</w:t>
      </w:r>
    </w:p>
    <w:p w14:paraId="4E458753" w14:textId="77777777" w:rsidR="002E5DDC" w:rsidRPr="00C331A0" w:rsidRDefault="002E5DDC" w:rsidP="00A75C3F">
      <w:pPr>
        <w:pStyle w:val="Default"/>
        <w:rPr>
          <w:szCs w:val="23"/>
          <w:lang w:val="lv-LV"/>
        </w:rPr>
      </w:pPr>
    </w:p>
    <w:p w14:paraId="5C654FAC" w14:textId="77777777" w:rsidR="002E5DDC" w:rsidRPr="00C331A0" w:rsidRDefault="002E5DDC" w:rsidP="00A75C3F">
      <w:pPr>
        <w:pStyle w:val="Default"/>
        <w:rPr>
          <w:szCs w:val="23"/>
          <w:lang w:val="lv-LV"/>
        </w:rPr>
      </w:pPr>
      <w:r w:rsidRPr="00C331A0">
        <w:rPr>
          <w:szCs w:val="23"/>
          <w:lang w:val="lv-LV"/>
        </w:rPr>
        <w:t>Sekojošas blakusparādības bija saistītas ar lietotās devas lielumu: pastiprināta svīšana, sausuma sajūta mutē, bezmiegs, miegainība, caureja, slikta dūša un vā</w:t>
      </w:r>
      <w:r w:rsidR="00C331A0">
        <w:rPr>
          <w:szCs w:val="23"/>
          <w:lang w:val="lv-LV"/>
        </w:rPr>
        <w:t>jums.</w:t>
      </w:r>
    </w:p>
    <w:p w14:paraId="35AE4F21" w14:textId="77777777" w:rsidR="002E5DDC" w:rsidRPr="00C331A0" w:rsidRDefault="002E5DDC" w:rsidP="00A75C3F">
      <w:pPr>
        <w:pStyle w:val="Default"/>
        <w:rPr>
          <w:szCs w:val="23"/>
          <w:lang w:val="lv-LV"/>
        </w:rPr>
      </w:pPr>
    </w:p>
    <w:p w14:paraId="7B1E7010" w14:textId="77777777" w:rsidR="002E5DDC" w:rsidRPr="00C331A0" w:rsidRDefault="002E5DDC" w:rsidP="00A75C3F">
      <w:pPr>
        <w:pStyle w:val="Default"/>
        <w:rPr>
          <w:szCs w:val="23"/>
          <w:lang w:val="lv-LV"/>
        </w:rPr>
      </w:pPr>
      <w:r w:rsidRPr="00C331A0">
        <w:rPr>
          <w:szCs w:val="23"/>
          <w:lang w:val="lv-LV"/>
        </w:rPr>
        <w:t>Tabulā atspoguļots zāļu nevēlamo blakusparādību sastopamības koeficients (%), kas saistīts ar SSAI un/vai citaloprāma lietošanu vai nu ≥ 1 % pacientu dubultaklos, placebo kontrolētos pētījumos, vai arī pēcreģistrācijas pieredzē</w:t>
      </w:r>
      <w:r w:rsidR="00C331A0">
        <w:rPr>
          <w:szCs w:val="23"/>
          <w:lang w:val="lv-LV"/>
        </w:rPr>
        <w:t>.</w:t>
      </w:r>
    </w:p>
    <w:p w14:paraId="59BE162A" w14:textId="77777777" w:rsidR="002E5DDC" w:rsidRPr="00C331A0" w:rsidRDefault="002E5DDC" w:rsidP="00A75C3F">
      <w:pPr>
        <w:pStyle w:val="Default"/>
        <w:rPr>
          <w:szCs w:val="23"/>
          <w:lang w:val="lv-LV"/>
        </w:rPr>
      </w:pPr>
      <w:r w:rsidRPr="00C331A0">
        <w:rPr>
          <w:szCs w:val="23"/>
          <w:lang w:val="lv-LV"/>
        </w:rPr>
        <w:t>Sastopamības biežums definēts sekojoši: ļoti bieži (≥1/10), bieži (≥1/100 līdz &lt;1/10), retāk (≥1/1 000 līdz &lt;1/100), reti (≥1/10 000 līdz &lt;1/1 000), ļoti reti (&lt;1/10 000), nav zināmi (nevar noteikt pē</w:t>
      </w:r>
      <w:r w:rsidR="00C331A0">
        <w:rPr>
          <w:szCs w:val="23"/>
          <w:lang w:val="lv-LV"/>
        </w:rPr>
        <w:t>c pieejamiem datiem).</w:t>
      </w:r>
    </w:p>
    <w:p w14:paraId="6C6528F0" w14:textId="77777777" w:rsidR="002E5DDC" w:rsidRPr="00C331A0" w:rsidRDefault="002E5DDC" w:rsidP="00A75C3F">
      <w:pPr>
        <w:pStyle w:val="Default"/>
        <w:rPr>
          <w:color w:val="auto"/>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7"/>
        <w:gridCol w:w="2927"/>
        <w:gridCol w:w="2927"/>
      </w:tblGrid>
      <w:tr w:rsidR="002459EE" w:rsidRPr="002E5DDC" w14:paraId="1CA983C3" w14:textId="77777777" w:rsidTr="002E5DDC">
        <w:trPr>
          <w:trHeight w:val="149"/>
        </w:trPr>
        <w:tc>
          <w:tcPr>
            <w:tcW w:w="2927" w:type="dxa"/>
          </w:tcPr>
          <w:p w14:paraId="7FE07DAA" w14:textId="77777777" w:rsidR="002459EE" w:rsidRPr="002E5DDC" w:rsidRDefault="002459EE" w:rsidP="00A75C3F">
            <w:pPr>
              <w:pStyle w:val="Default"/>
              <w:rPr>
                <w:szCs w:val="23"/>
                <w:lang w:val="lv-LV"/>
              </w:rPr>
            </w:pPr>
            <w:r w:rsidRPr="002E5DDC">
              <w:rPr>
                <w:b/>
                <w:bCs/>
                <w:szCs w:val="23"/>
                <w:lang w:val="lv-LV"/>
              </w:rPr>
              <w:t>MedDRA orgānu sistēma</w:t>
            </w:r>
          </w:p>
        </w:tc>
        <w:tc>
          <w:tcPr>
            <w:tcW w:w="2927" w:type="dxa"/>
          </w:tcPr>
          <w:p w14:paraId="6241D3F9" w14:textId="77777777" w:rsidR="002459EE" w:rsidRPr="002E5DDC" w:rsidRDefault="002459EE" w:rsidP="00A75C3F">
            <w:pPr>
              <w:pStyle w:val="Default"/>
              <w:rPr>
                <w:szCs w:val="23"/>
                <w:lang w:val="lv-LV"/>
              </w:rPr>
            </w:pPr>
            <w:r w:rsidRPr="002E5DDC">
              <w:rPr>
                <w:b/>
                <w:bCs/>
                <w:szCs w:val="23"/>
                <w:lang w:val="lv-LV"/>
              </w:rPr>
              <w:t>Sastopamības biežums</w:t>
            </w:r>
          </w:p>
        </w:tc>
        <w:tc>
          <w:tcPr>
            <w:tcW w:w="2927" w:type="dxa"/>
          </w:tcPr>
          <w:p w14:paraId="126DE2FB" w14:textId="77777777" w:rsidR="002459EE" w:rsidRPr="002E5DDC" w:rsidRDefault="002459EE" w:rsidP="00A75C3F">
            <w:pPr>
              <w:pStyle w:val="Default"/>
              <w:rPr>
                <w:szCs w:val="23"/>
                <w:lang w:val="lv-LV"/>
              </w:rPr>
            </w:pPr>
            <w:r w:rsidRPr="002E5DDC">
              <w:rPr>
                <w:b/>
                <w:bCs/>
                <w:szCs w:val="23"/>
                <w:lang w:val="lv-LV"/>
              </w:rPr>
              <w:t>Blakusparādības</w:t>
            </w:r>
          </w:p>
        </w:tc>
      </w:tr>
      <w:tr w:rsidR="002459EE" w:rsidRPr="002E5DDC" w14:paraId="5EA83648" w14:textId="77777777" w:rsidTr="002E5DDC">
        <w:trPr>
          <w:trHeight w:val="285"/>
        </w:trPr>
        <w:tc>
          <w:tcPr>
            <w:tcW w:w="2927" w:type="dxa"/>
          </w:tcPr>
          <w:p w14:paraId="2E309BBE" w14:textId="77777777" w:rsidR="002459EE" w:rsidRPr="002E5DDC" w:rsidRDefault="002459EE" w:rsidP="00A75C3F">
            <w:pPr>
              <w:pStyle w:val="Default"/>
              <w:rPr>
                <w:szCs w:val="23"/>
                <w:lang w:val="lv-LV"/>
              </w:rPr>
            </w:pPr>
            <w:r w:rsidRPr="002E5DDC">
              <w:rPr>
                <w:szCs w:val="23"/>
                <w:lang w:val="lv-LV"/>
              </w:rPr>
              <w:t>Asins un limfātiskās sistēmas traucējumi</w:t>
            </w:r>
          </w:p>
        </w:tc>
        <w:tc>
          <w:tcPr>
            <w:tcW w:w="2927" w:type="dxa"/>
          </w:tcPr>
          <w:p w14:paraId="19D3A1F1" w14:textId="77777777" w:rsidR="002459EE" w:rsidRPr="002E5DDC" w:rsidRDefault="002459EE" w:rsidP="00A75C3F">
            <w:pPr>
              <w:pStyle w:val="Default"/>
              <w:rPr>
                <w:szCs w:val="23"/>
                <w:lang w:val="lv-LV"/>
              </w:rPr>
            </w:pPr>
            <w:r w:rsidRPr="002E5DDC">
              <w:rPr>
                <w:szCs w:val="23"/>
                <w:lang w:val="lv-LV"/>
              </w:rPr>
              <w:t>Nav zināmi</w:t>
            </w:r>
          </w:p>
        </w:tc>
        <w:tc>
          <w:tcPr>
            <w:tcW w:w="2927" w:type="dxa"/>
          </w:tcPr>
          <w:p w14:paraId="66F84CD3" w14:textId="77777777" w:rsidR="002459EE" w:rsidRPr="002E5DDC" w:rsidRDefault="002459EE" w:rsidP="00A75C3F">
            <w:pPr>
              <w:pStyle w:val="Default"/>
              <w:rPr>
                <w:szCs w:val="23"/>
                <w:lang w:val="lv-LV"/>
              </w:rPr>
            </w:pPr>
            <w:r w:rsidRPr="002E5DDC">
              <w:rPr>
                <w:szCs w:val="23"/>
                <w:lang w:val="lv-LV"/>
              </w:rPr>
              <w:t>Trombocitopēnija</w:t>
            </w:r>
          </w:p>
        </w:tc>
      </w:tr>
      <w:tr w:rsidR="002459EE" w:rsidRPr="002E5DDC" w14:paraId="53E726FB" w14:textId="77777777" w:rsidTr="002E5DDC">
        <w:trPr>
          <w:trHeight w:val="285"/>
        </w:trPr>
        <w:tc>
          <w:tcPr>
            <w:tcW w:w="2927" w:type="dxa"/>
          </w:tcPr>
          <w:p w14:paraId="76375D1E" w14:textId="77777777" w:rsidR="002459EE" w:rsidRPr="002E5DDC" w:rsidRDefault="002459EE" w:rsidP="00A75C3F">
            <w:pPr>
              <w:pStyle w:val="Default"/>
              <w:rPr>
                <w:szCs w:val="23"/>
                <w:lang w:val="lv-LV"/>
              </w:rPr>
            </w:pPr>
            <w:r w:rsidRPr="002E5DDC">
              <w:rPr>
                <w:szCs w:val="23"/>
                <w:lang w:val="lv-LV"/>
              </w:rPr>
              <w:t>Imūnās sistēmas traucējumi</w:t>
            </w:r>
          </w:p>
        </w:tc>
        <w:tc>
          <w:tcPr>
            <w:tcW w:w="2927" w:type="dxa"/>
          </w:tcPr>
          <w:p w14:paraId="44FC367E" w14:textId="77777777" w:rsidR="002459EE" w:rsidRPr="002E5DDC" w:rsidRDefault="002459EE" w:rsidP="00A75C3F">
            <w:pPr>
              <w:pStyle w:val="Default"/>
              <w:rPr>
                <w:szCs w:val="23"/>
                <w:lang w:val="lv-LV"/>
              </w:rPr>
            </w:pPr>
            <w:r w:rsidRPr="002E5DDC">
              <w:rPr>
                <w:szCs w:val="23"/>
                <w:lang w:val="lv-LV"/>
              </w:rPr>
              <w:t>Nav zināmi</w:t>
            </w:r>
          </w:p>
        </w:tc>
        <w:tc>
          <w:tcPr>
            <w:tcW w:w="2927" w:type="dxa"/>
          </w:tcPr>
          <w:p w14:paraId="1AC35D83" w14:textId="77777777" w:rsidR="002459EE" w:rsidRPr="002E5DDC" w:rsidRDefault="002459EE" w:rsidP="00A75C3F">
            <w:pPr>
              <w:pStyle w:val="Default"/>
              <w:rPr>
                <w:szCs w:val="23"/>
                <w:lang w:val="lv-LV"/>
              </w:rPr>
            </w:pPr>
            <w:r w:rsidRPr="002E5DDC">
              <w:rPr>
                <w:szCs w:val="23"/>
                <w:lang w:val="lv-LV"/>
              </w:rPr>
              <w:t>Paaugstināta jutība, anafilaktiskas reakcijas</w:t>
            </w:r>
          </w:p>
        </w:tc>
      </w:tr>
      <w:tr w:rsidR="002459EE" w:rsidRPr="005B7B02" w14:paraId="1480CE7D" w14:textId="77777777" w:rsidTr="002E5DDC">
        <w:trPr>
          <w:trHeight w:val="428"/>
        </w:trPr>
        <w:tc>
          <w:tcPr>
            <w:tcW w:w="2927" w:type="dxa"/>
          </w:tcPr>
          <w:p w14:paraId="65CF5475" w14:textId="77777777" w:rsidR="002459EE" w:rsidRPr="002E5DDC" w:rsidRDefault="002459EE" w:rsidP="00A75C3F">
            <w:pPr>
              <w:pStyle w:val="Default"/>
              <w:rPr>
                <w:szCs w:val="23"/>
                <w:lang w:val="lv-LV"/>
              </w:rPr>
            </w:pPr>
            <w:r w:rsidRPr="002E5DDC">
              <w:rPr>
                <w:szCs w:val="23"/>
                <w:lang w:val="lv-LV"/>
              </w:rPr>
              <w:t>Endokrīnās sistēmas traucējumi</w:t>
            </w:r>
          </w:p>
        </w:tc>
        <w:tc>
          <w:tcPr>
            <w:tcW w:w="2927" w:type="dxa"/>
          </w:tcPr>
          <w:p w14:paraId="5DE7EE35" w14:textId="77777777" w:rsidR="002459EE" w:rsidRPr="002E5DDC" w:rsidRDefault="002459EE" w:rsidP="00A75C3F">
            <w:pPr>
              <w:pStyle w:val="Default"/>
              <w:rPr>
                <w:szCs w:val="23"/>
                <w:lang w:val="lv-LV"/>
              </w:rPr>
            </w:pPr>
            <w:r w:rsidRPr="002E5DDC">
              <w:rPr>
                <w:szCs w:val="23"/>
                <w:lang w:val="lv-LV"/>
              </w:rPr>
              <w:t>Nav zināmi</w:t>
            </w:r>
          </w:p>
        </w:tc>
        <w:tc>
          <w:tcPr>
            <w:tcW w:w="2927" w:type="dxa"/>
          </w:tcPr>
          <w:p w14:paraId="25AA6210" w14:textId="77777777" w:rsidR="002459EE" w:rsidRPr="002E5DDC" w:rsidRDefault="002459EE" w:rsidP="00A75C3F">
            <w:pPr>
              <w:pStyle w:val="Default"/>
              <w:rPr>
                <w:szCs w:val="23"/>
                <w:lang w:val="lv-LV"/>
              </w:rPr>
            </w:pPr>
            <w:r w:rsidRPr="002E5DDC">
              <w:rPr>
                <w:szCs w:val="23"/>
                <w:lang w:val="lv-LV"/>
              </w:rPr>
              <w:t>Neadekvāta antidiurētiskā hormona sekrēcija (NADHS)</w:t>
            </w:r>
          </w:p>
        </w:tc>
      </w:tr>
      <w:tr w:rsidR="002459EE" w:rsidRPr="005B7B02" w14:paraId="09DAD710" w14:textId="77777777" w:rsidTr="002E5DDC">
        <w:trPr>
          <w:trHeight w:val="423"/>
        </w:trPr>
        <w:tc>
          <w:tcPr>
            <w:tcW w:w="2927" w:type="dxa"/>
            <w:vMerge w:val="restart"/>
          </w:tcPr>
          <w:p w14:paraId="2C7E609C" w14:textId="77777777" w:rsidR="002459EE" w:rsidRPr="002E5DDC" w:rsidRDefault="002459EE" w:rsidP="00A75C3F">
            <w:pPr>
              <w:pStyle w:val="Default"/>
              <w:rPr>
                <w:szCs w:val="23"/>
                <w:lang w:val="lv-LV"/>
              </w:rPr>
            </w:pPr>
            <w:r w:rsidRPr="002E5DDC">
              <w:rPr>
                <w:szCs w:val="23"/>
                <w:lang w:val="lv-LV"/>
              </w:rPr>
              <w:t>Vielmaiņas un uztures traucē</w:t>
            </w:r>
            <w:r w:rsidR="00185641" w:rsidRPr="002E5DDC">
              <w:rPr>
                <w:szCs w:val="23"/>
                <w:lang w:val="lv-LV"/>
              </w:rPr>
              <w:t>jumi</w:t>
            </w:r>
          </w:p>
        </w:tc>
        <w:tc>
          <w:tcPr>
            <w:tcW w:w="2927" w:type="dxa"/>
          </w:tcPr>
          <w:p w14:paraId="074D1A4A" w14:textId="77777777" w:rsidR="002459EE" w:rsidRPr="002E5DDC" w:rsidRDefault="002459EE" w:rsidP="00A75C3F">
            <w:pPr>
              <w:pStyle w:val="Default"/>
              <w:rPr>
                <w:szCs w:val="23"/>
                <w:lang w:val="lv-LV"/>
              </w:rPr>
            </w:pPr>
            <w:r w:rsidRPr="002E5DDC">
              <w:rPr>
                <w:szCs w:val="23"/>
                <w:lang w:val="lv-LV"/>
              </w:rPr>
              <w:t>Bieži</w:t>
            </w:r>
          </w:p>
        </w:tc>
        <w:tc>
          <w:tcPr>
            <w:tcW w:w="2927" w:type="dxa"/>
          </w:tcPr>
          <w:p w14:paraId="33F645A7" w14:textId="77777777" w:rsidR="002459EE" w:rsidRPr="002E5DDC" w:rsidRDefault="002459EE" w:rsidP="00A75C3F">
            <w:pPr>
              <w:pStyle w:val="Default"/>
              <w:rPr>
                <w:szCs w:val="23"/>
                <w:lang w:val="lv-LV"/>
              </w:rPr>
            </w:pPr>
            <w:r w:rsidRPr="002E5DDC">
              <w:rPr>
                <w:szCs w:val="23"/>
                <w:lang w:val="lv-LV"/>
              </w:rPr>
              <w:t>Samazināta apetīte, ķermeņa masas samazināšanās, anoreksija</w:t>
            </w:r>
          </w:p>
        </w:tc>
      </w:tr>
      <w:tr w:rsidR="002459EE" w:rsidRPr="005B7B02" w14:paraId="40B5CE93" w14:textId="77777777" w:rsidTr="002E5DDC">
        <w:trPr>
          <w:trHeight w:val="285"/>
        </w:trPr>
        <w:tc>
          <w:tcPr>
            <w:tcW w:w="2927" w:type="dxa"/>
            <w:vMerge/>
          </w:tcPr>
          <w:p w14:paraId="2B79278D" w14:textId="77777777" w:rsidR="002459EE" w:rsidRPr="002E5DDC" w:rsidRDefault="002459EE" w:rsidP="00A75C3F">
            <w:pPr>
              <w:pStyle w:val="Default"/>
              <w:rPr>
                <w:color w:val="auto"/>
                <w:lang w:val="lv-LV"/>
              </w:rPr>
            </w:pPr>
          </w:p>
        </w:tc>
        <w:tc>
          <w:tcPr>
            <w:tcW w:w="2927" w:type="dxa"/>
          </w:tcPr>
          <w:p w14:paraId="61EF228A" w14:textId="77777777" w:rsidR="002459EE" w:rsidRPr="002E5DDC" w:rsidRDefault="002459EE" w:rsidP="00A75C3F">
            <w:pPr>
              <w:pStyle w:val="Default"/>
              <w:rPr>
                <w:szCs w:val="23"/>
                <w:lang w:val="lv-LV"/>
              </w:rPr>
            </w:pPr>
            <w:r w:rsidRPr="002E5DDC">
              <w:rPr>
                <w:szCs w:val="23"/>
                <w:lang w:val="lv-LV"/>
              </w:rPr>
              <w:t>Retāk</w:t>
            </w:r>
          </w:p>
        </w:tc>
        <w:tc>
          <w:tcPr>
            <w:tcW w:w="2927" w:type="dxa"/>
          </w:tcPr>
          <w:p w14:paraId="2E0CEB90" w14:textId="77777777" w:rsidR="002459EE" w:rsidRPr="002E5DDC" w:rsidRDefault="002459EE" w:rsidP="00A75C3F">
            <w:pPr>
              <w:pStyle w:val="Default"/>
              <w:rPr>
                <w:szCs w:val="23"/>
                <w:lang w:val="lv-LV"/>
              </w:rPr>
            </w:pPr>
            <w:r w:rsidRPr="002E5DDC">
              <w:rPr>
                <w:szCs w:val="23"/>
                <w:lang w:val="lv-LV"/>
              </w:rPr>
              <w:t>Palielināta apetīte, ķermeņa masas palielināšanās</w:t>
            </w:r>
          </w:p>
        </w:tc>
      </w:tr>
      <w:tr w:rsidR="002459EE" w:rsidRPr="002E5DDC" w14:paraId="789B788C" w14:textId="77777777" w:rsidTr="002E5DDC">
        <w:trPr>
          <w:trHeight w:val="153"/>
        </w:trPr>
        <w:tc>
          <w:tcPr>
            <w:tcW w:w="2927" w:type="dxa"/>
            <w:vMerge/>
          </w:tcPr>
          <w:p w14:paraId="19C2C063" w14:textId="77777777" w:rsidR="002459EE" w:rsidRPr="002E5DDC" w:rsidRDefault="002459EE" w:rsidP="00A75C3F">
            <w:pPr>
              <w:pStyle w:val="Default"/>
              <w:rPr>
                <w:color w:val="auto"/>
                <w:lang w:val="lv-LV"/>
              </w:rPr>
            </w:pPr>
          </w:p>
        </w:tc>
        <w:tc>
          <w:tcPr>
            <w:tcW w:w="2927" w:type="dxa"/>
          </w:tcPr>
          <w:p w14:paraId="5F5B476A" w14:textId="77777777" w:rsidR="002459EE" w:rsidRPr="002E5DDC" w:rsidRDefault="002459EE" w:rsidP="00A75C3F">
            <w:pPr>
              <w:pStyle w:val="Default"/>
              <w:rPr>
                <w:szCs w:val="23"/>
                <w:lang w:val="lv-LV"/>
              </w:rPr>
            </w:pPr>
            <w:r w:rsidRPr="002E5DDC">
              <w:rPr>
                <w:szCs w:val="23"/>
                <w:lang w:val="lv-LV"/>
              </w:rPr>
              <w:t>Reti</w:t>
            </w:r>
          </w:p>
        </w:tc>
        <w:tc>
          <w:tcPr>
            <w:tcW w:w="2927" w:type="dxa"/>
          </w:tcPr>
          <w:p w14:paraId="4BCFA937" w14:textId="77777777" w:rsidR="002459EE" w:rsidRPr="002E5DDC" w:rsidRDefault="002459EE" w:rsidP="00A75C3F">
            <w:pPr>
              <w:pStyle w:val="Default"/>
              <w:rPr>
                <w:szCs w:val="23"/>
                <w:lang w:val="lv-LV"/>
              </w:rPr>
            </w:pPr>
            <w:r w:rsidRPr="002E5DDC">
              <w:rPr>
                <w:szCs w:val="23"/>
                <w:lang w:val="lv-LV"/>
              </w:rPr>
              <w:t>Hiponatriēmija</w:t>
            </w:r>
          </w:p>
        </w:tc>
      </w:tr>
      <w:tr w:rsidR="002459EE" w:rsidRPr="002E5DDC" w14:paraId="4E3709DF" w14:textId="77777777" w:rsidTr="002E5DDC">
        <w:trPr>
          <w:trHeight w:val="153"/>
        </w:trPr>
        <w:tc>
          <w:tcPr>
            <w:tcW w:w="2927" w:type="dxa"/>
            <w:vMerge/>
          </w:tcPr>
          <w:p w14:paraId="7F6C7D54" w14:textId="77777777" w:rsidR="002459EE" w:rsidRPr="002E5DDC" w:rsidRDefault="002459EE" w:rsidP="00A75C3F">
            <w:pPr>
              <w:pStyle w:val="Default"/>
              <w:rPr>
                <w:color w:val="auto"/>
                <w:lang w:val="lv-LV"/>
              </w:rPr>
            </w:pPr>
          </w:p>
        </w:tc>
        <w:tc>
          <w:tcPr>
            <w:tcW w:w="2927" w:type="dxa"/>
          </w:tcPr>
          <w:p w14:paraId="00110411" w14:textId="77777777" w:rsidR="002459EE" w:rsidRPr="002E5DDC" w:rsidRDefault="002459EE" w:rsidP="00A75C3F">
            <w:pPr>
              <w:pStyle w:val="Default"/>
              <w:rPr>
                <w:szCs w:val="23"/>
                <w:lang w:val="lv-LV"/>
              </w:rPr>
            </w:pPr>
            <w:r w:rsidRPr="002E5DDC">
              <w:rPr>
                <w:szCs w:val="23"/>
                <w:lang w:val="lv-LV"/>
              </w:rPr>
              <w:t>Nav zināmi</w:t>
            </w:r>
          </w:p>
        </w:tc>
        <w:tc>
          <w:tcPr>
            <w:tcW w:w="2927" w:type="dxa"/>
          </w:tcPr>
          <w:p w14:paraId="27D5C017" w14:textId="77777777" w:rsidR="002459EE" w:rsidRPr="002E5DDC" w:rsidRDefault="002459EE" w:rsidP="00A75C3F">
            <w:pPr>
              <w:pStyle w:val="Default"/>
              <w:rPr>
                <w:szCs w:val="23"/>
                <w:lang w:val="lv-LV"/>
              </w:rPr>
            </w:pPr>
            <w:r w:rsidRPr="002E5DDC">
              <w:rPr>
                <w:szCs w:val="23"/>
                <w:lang w:val="lv-LV"/>
              </w:rPr>
              <w:t>Hipokaliēmija</w:t>
            </w:r>
          </w:p>
        </w:tc>
      </w:tr>
      <w:tr w:rsidR="002459EE" w:rsidRPr="005B7B02" w14:paraId="7B3451FB" w14:textId="77777777" w:rsidTr="002E5DDC">
        <w:trPr>
          <w:trHeight w:val="153"/>
        </w:trPr>
        <w:tc>
          <w:tcPr>
            <w:tcW w:w="2927" w:type="dxa"/>
            <w:vMerge w:val="restart"/>
          </w:tcPr>
          <w:p w14:paraId="30829D7C" w14:textId="77777777" w:rsidR="002459EE" w:rsidRPr="002E5DDC" w:rsidRDefault="002459EE" w:rsidP="00A75C3F">
            <w:pPr>
              <w:pStyle w:val="Default"/>
              <w:rPr>
                <w:color w:val="auto"/>
                <w:lang w:val="lv-LV"/>
              </w:rPr>
            </w:pPr>
            <w:r w:rsidRPr="002E5DDC">
              <w:rPr>
                <w:color w:val="auto"/>
                <w:lang w:val="lv-LV"/>
              </w:rPr>
              <w:t>Psihiskie traucējumi</w:t>
            </w:r>
          </w:p>
        </w:tc>
        <w:tc>
          <w:tcPr>
            <w:tcW w:w="2927" w:type="dxa"/>
          </w:tcPr>
          <w:p w14:paraId="1DE05FFC" w14:textId="77777777" w:rsidR="002459EE" w:rsidRPr="002E5DDC" w:rsidRDefault="002459EE" w:rsidP="00A75C3F">
            <w:pPr>
              <w:pStyle w:val="Default"/>
              <w:rPr>
                <w:szCs w:val="23"/>
                <w:lang w:val="lv-LV"/>
              </w:rPr>
            </w:pPr>
            <w:r w:rsidRPr="002E5DDC">
              <w:rPr>
                <w:szCs w:val="23"/>
                <w:lang w:val="lv-LV"/>
              </w:rPr>
              <w:t>Bieži</w:t>
            </w:r>
          </w:p>
        </w:tc>
        <w:tc>
          <w:tcPr>
            <w:tcW w:w="2927" w:type="dxa"/>
          </w:tcPr>
          <w:p w14:paraId="43CF1A64" w14:textId="77777777" w:rsidR="002459EE" w:rsidRPr="002E5DDC" w:rsidRDefault="002459EE" w:rsidP="00A75C3F">
            <w:pPr>
              <w:pStyle w:val="Default"/>
              <w:rPr>
                <w:szCs w:val="23"/>
                <w:lang w:val="lv-LV"/>
              </w:rPr>
            </w:pPr>
            <w:r w:rsidRPr="002E5DDC">
              <w:rPr>
                <w:szCs w:val="23"/>
                <w:lang w:val="lv-LV"/>
              </w:rPr>
              <w:t>Uzbudinājums, samazināta dzimumtieksme, trauksme, nervozitāte, apjukums, orgasma traucējumi (sievietēm), neparasti sapņi, apātija</w:t>
            </w:r>
          </w:p>
        </w:tc>
      </w:tr>
      <w:tr w:rsidR="002459EE" w:rsidRPr="005B7B02" w14:paraId="34812609" w14:textId="77777777" w:rsidTr="002E5DDC">
        <w:trPr>
          <w:trHeight w:val="153"/>
        </w:trPr>
        <w:tc>
          <w:tcPr>
            <w:tcW w:w="2927" w:type="dxa"/>
            <w:vMerge/>
          </w:tcPr>
          <w:p w14:paraId="2139FA5A" w14:textId="77777777" w:rsidR="002459EE" w:rsidRPr="002E5DDC" w:rsidRDefault="002459EE" w:rsidP="00A75C3F">
            <w:pPr>
              <w:pStyle w:val="Default"/>
              <w:rPr>
                <w:color w:val="auto"/>
                <w:lang w:val="lv-LV"/>
              </w:rPr>
            </w:pPr>
          </w:p>
        </w:tc>
        <w:tc>
          <w:tcPr>
            <w:tcW w:w="2927" w:type="dxa"/>
          </w:tcPr>
          <w:p w14:paraId="48462563" w14:textId="77777777" w:rsidR="002459EE" w:rsidRPr="002E5DDC" w:rsidRDefault="002459EE" w:rsidP="00A75C3F">
            <w:pPr>
              <w:pStyle w:val="Default"/>
              <w:rPr>
                <w:szCs w:val="23"/>
                <w:lang w:val="lv-LV"/>
              </w:rPr>
            </w:pPr>
            <w:r w:rsidRPr="002E5DDC">
              <w:rPr>
                <w:szCs w:val="23"/>
                <w:lang w:val="lv-LV"/>
              </w:rPr>
              <w:t>Retāk</w:t>
            </w:r>
          </w:p>
        </w:tc>
        <w:tc>
          <w:tcPr>
            <w:tcW w:w="2927" w:type="dxa"/>
          </w:tcPr>
          <w:p w14:paraId="461526DF" w14:textId="77777777" w:rsidR="002459EE" w:rsidRPr="002E5DDC" w:rsidRDefault="002459EE" w:rsidP="00A75C3F">
            <w:pPr>
              <w:pStyle w:val="Default"/>
              <w:rPr>
                <w:szCs w:val="23"/>
                <w:lang w:val="lv-LV"/>
              </w:rPr>
            </w:pPr>
            <w:r w:rsidRPr="002E5DDC">
              <w:rPr>
                <w:szCs w:val="23"/>
                <w:lang w:val="lv-LV"/>
              </w:rPr>
              <w:t>Agresivitāte, depersonalizācija, halucinācijas, mānija, eiforija, palielināta dzimumtieksme</w:t>
            </w:r>
          </w:p>
        </w:tc>
      </w:tr>
      <w:tr w:rsidR="002459EE" w:rsidRPr="005B7B02" w14:paraId="4561C723" w14:textId="77777777" w:rsidTr="002E5DDC">
        <w:trPr>
          <w:trHeight w:val="153"/>
        </w:trPr>
        <w:tc>
          <w:tcPr>
            <w:tcW w:w="2927" w:type="dxa"/>
            <w:vMerge/>
          </w:tcPr>
          <w:p w14:paraId="599CE5C2" w14:textId="77777777" w:rsidR="002459EE" w:rsidRPr="002E5DDC" w:rsidRDefault="002459EE" w:rsidP="00A75C3F">
            <w:pPr>
              <w:pStyle w:val="Default"/>
              <w:rPr>
                <w:color w:val="auto"/>
                <w:lang w:val="lv-LV"/>
              </w:rPr>
            </w:pPr>
          </w:p>
        </w:tc>
        <w:tc>
          <w:tcPr>
            <w:tcW w:w="2927" w:type="dxa"/>
          </w:tcPr>
          <w:p w14:paraId="7327300B" w14:textId="77777777" w:rsidR="002459EE" w:rsidRPr="002E5DDC" w:rsidRDefault="002459EE" w:rsidP="00A75C3F">
            <w:pPr>
              <w:pStyle w:val="Default"/>
              <w:rPr>
                <w:szCs w:val="23"/>
                <w:lang w:val="lv-LV"/>
              </w:rPr>
            </w:pPr>
            <w:r w:rsidRPr="002E5DDC">
              <w:rPr>
                <w:szCs w:val="23"/>
                <w:lang w:val="lv-LV"/>
              </w:rPr>
              <w:t>Nav zināmi</w:t>
            </w:r>
          </w:p>
        </w:tc>
        <w:tc>
          <w:tcPr>
            <w:tcW w:w="2927" w:type="dxa"/>
          </w:tcPr>
          <w:p w14:paraId="416B1DC4" w14:textId="77777777" w:rsidR="002459EE" w:rsidRPr="002E5DDC" w:rsidRDefault="002459EE" w:rsidP="00A75C3F">
            <w:pPr>
              <w:pStyle w:val="Default"/>
              <w:rPr>
                <w:szCs w:val="23"/>
                <w:lang w:val="lv-LV"/>
              </w:rPr>
            </w:pPr>
            <w:r w:rsidRPr="002E5DDC">
              <w:rPr>
                <w:szCs w:val="23"/>
                <w:lang w:val="lv-LV"/>
              </w:rPr>
              <w:t>Panikas lēkmes, bruksisms, nemiers, domas par pašnāvību, pašnāvnieciska uzvedība</w:t>
            </w:r>
            <w:r w:rsidRPr="002E5DDC">
              <w:rPr>
                <w:szCs w:val="23"/>
                <w:vertAlign w:val="superscript"/>
                <w:lang w:val="lv-LV"/>
              </w:rPr>
              <w:t>2</w:t>
            </w:r>
          </w:p>
        </w:tc>
      </w:tr>
      <w:tr w:rsidR="002459EE" w:rsidRPr="002E5DDC" w14:paraId="2BCF5BC6" w14:textId="77777777" w:rsidTr="002E5DDC">
        <w:trPr>
          <w:trHeight w:val="153"/>
        </w:trPr>
        <w:tc>
          <w:tcPr>
            <w:tcW w:w="2927" w:type="dxa"/>
            <w:vMerge w:val="restart"/>
          </w:tcPr>
          <w:p w14:paraId="532168DF" w14:textId="77777777" w:rsidR="002459EE" w:rsidRPr="002E5DDC" w:rsidRDefault="002459EE" w:rsidP="00A75C3F">
            <w:pPr>
              <w:pStyle w:val="Default"/>
              <w:rPr>
                <w:color w:val="auto"/>
                <w:lang w:val="lv-LV"/>
              </w:rPr>
            </w:pPr>
            <w:r w:rsidRPr="002E5DDC">
              <w:rPr>
                <w:color w:val="auto"/>
                <w:lang w:val="lv-LV"/>
              </w:rPr>
              <w:t>Nervu sistēmas traucējumi</w:t>
            </w:r>
          </w:p>
        </w:tc>
        <w:tc>
          <w:tcPr>
            <w:tcW w:w="2927" w:type="dxa"/>
          </w:tcPr>
          <w:p w14:paraId="43C12713" w14:textId="77777777" w:rsidR="002459EE" w:rsidRPr="002E5DDC" w:rsidRDefault="002459EE" w:rsidP="00A75C3F">
            <w:pPr>
              <w:pStyle w:val="Default"/>
              <w:rPr>
                <w:szCs w:val="23"/>
                <w:lang w:val="lv-LV"/>
              </w:rPr>
            </w:pPr>
            <w:r w:rsidRPr="002E5DDC">
              <w:rPr>
                <w:szCs w:val="23"/>
                <w:lang w:val="lv-LV"/>
              </w:rPr>
              <w:t>Ļoti bieži</w:t>
            </w:r>
          </w:p>
        </w:tc>
        <w:tc>
          <w:tcPr>
            <w:tcW w:w="2927" w:type="dxa"/>
          </w:tcPr>
          <w:p w14:paraId="6404EB9A" w14:textId="77777777" w:rsidR="002459EE" w:rsidRPr="002E5DDC" w:rsidRDefault="002459EE" w:rsidP="00A75C3F">
            <w:pPr>
              <w:pStyle w:val="Default"/>
              <w:rPr>
                <w:szCs w:val="23"/>
                <w:lang w:val="lv-LV"/>
              </w:rPr>
            </w:pPr>
            <w:r w:rsidRPr="002E5DDC">
              <w:rPr>
                <w:szCs w:val="23"/>
                <w:lang w:val="lv-LV"/>
              </w:rPr>
              <w:t>Miegainība, bezmiegs, galvassāpes</w:t>
            </w:r>
          </w:p>
        </w:tc>
      </w:tr>
      <w:tr w:rsidR="002459EE" w:rsidRPr="005B7B02" w14:paraId="4FBF1F98" w14:textId="77777777" w:rsidTr="002E5DDC">
        <w:trPr>
          <w:trHeight w:val="153"/>
        </w:trPr>
        <w:tc>
          <w:tcPr>
            <w:tcW w:w="2927" w:type="dxa"/>
            <w:vMerge/>
          </w:tcPr>
          <w:p w14:paraId="4D0072D3" w14:textId="77777777" w:rsidR="002459EE" w:rsidRPr="002E5DDC" w:rsidRDefault="002459EE" w:rsidP="00A75C3F">
            <w:pPr>
              <w:pStyle w:val="Default"/>
              <w:rPr>
                <w:color w:val="auto"/>
                <w:lang w:val="lv-LV"/>
              </w:rPr>
            </w:pPr>
          </w:p>
        </w:tc>
        <w:tc>
          <w:tcPr>
            <w:tcW w:w="2927" w:type="dxa"/>
          </w:tcPr>
          <w:p w14:paraId="2541F5D3" w14:textId="77777777" w:rsidR="002459EE" w:rsidRPr="002E5DDC" w:rsidRDefault="002459EE" w:rsidP="00A75C3F">
            <w:pPr>
              <w:pStyle w:val="Default"/>
              <w:rPr>
                <w:szCs w:val="23"/>
                <w:lang w:val="lv-LV"/>
              </w:rPr>
            </w:pPr>
            <w:r w:rsidRPr="002E5DDC">
              <w:rPr>
                <w:szCs w:val="23"/>
                <w:lang w:val="lv-LV"/>
              </w:rPr>
              <w:t>Bieži</w:t>
            </w:r>
          </w:p>
        </w:tc>
        <w:tc>
          <w:tcPr>
            <w:tcW w:w="2927" w:type="dxa"/>
          </w:tcPr>
          <w:p w14:paraId="6E806C14" w14:textId="77777777" w:rsidR="002459EE" w:rsidRPr="002E5DDC" w:rsidRDefault="002459EE" w:rsidP="00A75C3F">
            <w:pPr>
              <w:pStyle w:val="Default"/>
              <w:rPr>
                <w:szCs w:val="23"/>
                <w:lang w:val="lv-LV"/>
              </w:rPr>
            </w:pPr>
            <w:r w:rsidRPr="002E5DDC">
              <w:rPr>
                <w:szCs w:val="23"/>
                <w:lang w:val="lv-LV"/>
              </w:rPr>
              <w:t>Trīce, parestēzija, reibonis, uzmanības traucējumi, migrēna, amnēzija</w:t>
            </w:r>
          </w:p>
        </w:tc>
      </w:tr>
      <w:tr w:rsidR="002459EE" w:rsidRPr="002E5DDC" w14:paraId="78FA3E57" w14:textId="77777777" w:rsidTr="002E5DDC">
        <w:trPr>
          <w:trHeight w:val="153"/>
        </w:trPr>
        <w:tc>
          <w:tcPr>
            <w:tcW w:w="2927" w:type="dxa"/>
            <w:vMerge/>
          </w:tcPr>
          <w:p w14:paraId="722BEC72" w14:textId="77777777" w:rsidR="002459EE" w:rsidRPr="002E5DDC" w:rsidRDefault="002459EE" w:rsidP="00A75C3F">
            <w:pPr>
              <w:pStyle w:val="Default"/>
              <w:rPr>
                <w:color w:val="auto"/>
                <w:lang w:val="lv-LV"/>
              </w:rPr>
            </w:pPr>
          </w:p>
        </w:tc>
        <w:tc>
          <w:tcPr>
            <w:tcW w:w="2927" w:type="dxa"/>
          </w:tcPr>
          <w:p w14:paraId="1A1AD6A4" w14:textId="77777777" w:rsidR="002459EE" w:rsidRPr="002E5DDC" w:rsidRDefault="002459EE" w:rsidP="00A75C3F">
            <w:pPr>
              <w:pStyle w:val="Default"/>
              <w:rPr>
                <w:szCs w:val="23"/>
                <w:lang w:val="lv-LV"/>
              </w:rPr>
            </w:pPr>
            <w:r w:rsidRPr="002E5DDC">
              <w:rPr>
                <w:szCs w:val="23"/>
                <w:lang w:val="lv-LV"/>
              </w:rPr>
              <w:t>Retāk</w:t>
            </w:r>
          </w:p>
        </w:tc>
        <w:tc>
          <w:tcPr>
            <w:tcW w:w="2927" w:type="dxa"/>
          </w:tcPr>
          <w:p w14:paraId="12A9038F" w14:textId="77777777" w:rsidR="002459EE" w:rsidRPr="002E5DDC" w:rsidRDefault="002459EE" w:rsidP="00A75C3F">
            <w:pPr>
              <w:pStyle w:val="Default"/>
              <w:rPr>
                <w:szCs w:val="23"/>
                <w:lang w:val="lv-LV"/>
              </w:rPr>
            </w:pPr>
            <w:r w:rsidRPr="002E5DDC">
              <w:rPr>
                <w:szCs w:val="23"/>
                <w:lang w:val="lv-LV"/>
              </w:rPr>
              <w:t>Ģībonis</w:t>
            </w:r>
          </w:p>
        </w:tc>
      </w:tr>
      <w:tr w:rsidR="002459EE" w:rsidRPr="005B7B02" w14:paraId="07591ABB" w14:textId="77777777" w:rsidTr="002E5DDC">
        <w:trPr>
          <w:trHeight w:val="153"/>
        </w:trPr>
        <w:tc>
          <w:tcPr>
            <w:tcW w:w="2927" w:type="dxa"/>
            <w:vMerge/>
          </w:tcPr>
          <w:p w14:paraId="3336950E" w14:textId="77777777" w:rsidR="002459EE" w:rsidRPr="002E5DDC" w:rsidRDefault="002459EE" w:rsidP="00A75C3F">
            <w:pPr>
              <w:pStyle w:val="Default"/>
              <w:rPr>
                <w:color w:val="auto"/>
                <w:lang w:val="lv-LV"/>
              </w:rPr>
            </w:pPr>
          </w:p>
        </w:tc>
        <w:tc>
          <w:tcPr>
            <w:tcW w:w="2927" w:type="dxa"/>
          </w:tcPr>
          <w:p w14:paraId="500100E4" w14:textId="77777777" w:rsidR="002459EE" w:rsidRPr="002E5DDC" w:rsidRDefault="002459EE" w:rsidP="00A75C3F">
            <w:pPr>
              <w:pStyle w:val="Default"/>
              <w:rPr>
                <w:szCs w:val="23"/>
                <w:lang w:val="lv-LV"/>
              </w:rPr>
            </w:pPr>
            <w:r w:rsidRPr="002E5DDC">
              <w:rPr>
                <w:szCs w:val="23"/>
                <w:lang w:val="lv-LV"/>
              </w:rPr>
              <w:t>Reti</w:t>
            </w:r>
          </w:p>
        </w:tc>
        <w:tc>
          <w:tcPr>
            <w:tcW w:w="2927" w:type="dxa"/>
          </w:tcPr>
          <w:p w14:paraId="518C1D9E" w14:textId="77777777" w:rsidR="002459EE" w:rsidRPr="002E5DDC" w:rsidRDefault="002459EE" w:rsidP="00A75C3F">
            <w:pPr>
              <w:pStyle w:val="Default"/>
              <w:rPr>
                <w:szCs w:val="23"/>
                <w:lang w:val="lv-LV"/>
              </w:rPr>
            </w:pPr>
            <w:r w:rsidRPr="002E5DDC">
              <w:rPr>
                <w:szCs w:val="23"/>
                <w:lang w:val="lv-LV"/>
              </w:rPr>
              <w:t>Grand mal lēkmes, diskinēzija, garšas sajūtu traucējumi</w:t>
            </w:r>
          </w:p>
        </w:tc>
      </w:tr>
      <w:tr w:rsidR="002459EE" w:rsidRPr="005B7B02" w14:paraId="73A8F18B" w14:textId="77777777" w:rsidTr="002E5DDC">
        <w:trPr>
          <w:trHeight w:val="153"/>
        </w:trPr>
        <w:tc>
          <w:tcPr>
            <w:tcW w:w="2927" w:type="dxa"/>
            <w:vMerge/>
          </w:tcPr>
          <w:p w14:paraId="006333BB" w14:textId="77777777" w:rsidR="002459EE" w:rsidRPr="002E5DDC" w:rsidRDefault="002459EE" w:rsidP="00A75C3F">
            <w:pPr>
              <w:pStyle w:val="Default"/>
              <w:rPr>
                <w:color w:val="auto"/>
                <w:lang w:val="lv-LV"/>
              </w:rPr>
            </w:pPr>
          </w:p>
        </w:tc>
        <w:tc>
          <w:tcPr>
            <w:tcW w:w="2927" w:type="dxa"/>
          </w:tcPr>
          <w:p w14:paraId="78C43E75" w14:textId="77777777" w:rsidR="002459EE" w:rsidRPr="002E5DDC" w:rsidRDefault="002459EE" w:rsidP="00A75C3F">
            <w:pPr>
              <w:pStyle w:val="Default"/>
              <w:rPr>
                <w:szCs w:val="23"/>
                <w:lang w:val="lv-LV"/>
              </w:rPr>
            </w:pPr>
            <w:r w:rsidRPr="002E5DDC">
              <w:rPr>
                <w:szCs w:val="23"/>
                <w:lang w:val="lv-LV"/>
              </w:rPr>
              <w:t>Nav zināmi</w:t>
            </w:r>
          </w:p>
        </w:tc>
        <w:tc>
          <w:tcPr>
            <w:tcW w:w="2927" w:type="dxa"/>
          </w:tcPr>
          <w:p w14:paraId="1B9D112F" w14:textId="77777777" w:rsidR="002459EE" w:rsidRPr="002E5DDC" w:rsidRDefault="002459EE" w:rsidP="00A75C3F">
            <w:pPr>
              <w:pStyle w:val="Default"/>
              <w:rPr>
                <w:szCs w:val="23"/>
                <w:lang w:val="lv-LV"/>
              </w:rPr>
            </w:pPr>
            <w:r w:rsidRPr="002E5DDC">
              <w:rPr>
                <w:szCs w:val="23"/>
                <w:lang w:val="lv-LV"/>
              </w:rPr>
              <w:t>Krampji, serotonīna sindroms, ekstrapiramidāli traucējumi, akatīzija, kustību traucējumi</w:t>
            </w:r>
          </w:p>
        </w:tc>
      </w:tr>
      <w:tr w:rsidR="002459EE" w:rsidRPr="002E5DDC" w14:paraId="62F2791C" w14:textId="77777777" w:rsidTr="002E5DDC">
        <w:trPr>
          <w:trHeight w:val="153"/>
        </w:trPr>
        <w:tc>
          <w:tcPr>
            <w:tcW w:w="2927" w:type="dxa"/>
            <w:vMerge w:val="restart"/>
          </w:tcPr>
          <w:p w14:paraId="3347478D" w14:textId="77777777" w:rsidR="002459EE" w:rsidRPr="002E5DDC" w:rsidRDefault="002459EE" w:rsidP="00A75C3F">
            <w:pPr>
              <w:pStyle w:val="Default"/>
              <w:rPr>
                <w:color w:val="auto"/>
                <w:lang w:val="lv-LV"/>
              </w:rPr>
            </w:pPr>
            <w:r w:rsidRPr="002E5DDC">
              <w:rPr>
                <w:color w:val="auto"/>
                <w:lang w:val="lv-LV"/>
              </w:rPr>
              <w:t>Acu bojājumi</w:t>
            </w:r>
          </w:p>
        </w:tc>
        <w:tc>
          <w:tcPr>
            <w:tcW w:w="2927" w:type="dxa"/>
          </w:tcPr>
          <w:p w14:paraId="5090AEFC" w14:textId="77777777" w:rsidR="002459EE" w:rsidRPr="002E5DDC" w:rsidRDefault="002459EE" w:rsidP="00A75C3F">
            <w:pPr>
              <w:pStyle w:val="Default"/>
              <w:rPr>
                <w:szCs w:val="23"/>
                <w:lang w:val="lv-LV"/>
              </w:rPr>
            </w:pPr>
            <w:r w:rsidRPr="002E5DDC">
              <w:rPr>
                <w:szCs w:val="23"/>
                <w:lang w:val="lv-LV"/>
              </w:rPr>
              <w:t>Retāk</w:t>
            </w:r>
          </w:p>
        </w:tc>
        <w:tc>
          <w:tcPr>
            <w:tcW w:w="2927" w:type="dxa"/>
          </w:tcPr>
          <w:p w14:paraId="5995CD51" w14:textId="77777777" w:rsidR="002459EE" w:rsidRPr="002E5DDC" w:rsidRDefault="002459EE" w:rsidP="00A75C3F">
            <w:pPr>
              <w:pStyle w:val="Default"/>
              <w:rPr>
                <w:szCs w:val="23"/>
                <w:lang w:val="lv-LV"/>
              </w:rPr>
            </w:pPr>
            <w:r w:rsidRPr="002E5DDC">
              <w:rPr>
                <w:szCs w:val="23"/>
                <w:lang w:val="lv-LV"/>
              </w:rPr>
              <w:t>Midriāze</w:t>
            </w:r>
          </w:p>
        </w:tc>
      </w:tr>
      <w:tr w:rsidR="002459EE" w:rsidRPr="002E5DDC" w14:paraId="3C3C3063" w14:textId="77777777" w:rsidTr="002E5DDC">
        <w:trPr>
          <w:trHeight w:val="153"/>
        </w:trPr>
        <w:tc>
          <w:tcPr>
            <w:tcW w:w="2927" w:type="dxa"/>
            <w:vMerge/>
          </w:tcPr>
          <w:p w14:paraId="0B1D1B77" w14:textId="77777777" w:rsidR="002459EE" w:rsidRPr="002E5DDC" w:rsidRDefault="002459EE" w:rsidP="00A75C3F">
            <w:pPr>
              <w:pStyle w:val="Default"/>
              <w:rPr>
                <w:color w:val="auto"/>
                <w:lang w:val="lv-LV"/>
              </w:rPr>
            </w:pPr>
          </w:p>
        </w:tc>
        <w:tc>
          <w:tcPr>
            <w:tcW w:w="2927" w:type="dxa"/>
          </w:tcPr>
          <w:p w14:paraId="76B3541B" w14:textId="77777777" w:rsidR="002459EE" w:rsidRPr="002E5DDC" w:rsidRDefault="002459EE" w:rsidP="00A75C3F">
            <w:pPr>
              <w:pStyle w:val="Default"/>
              <w:rPr>
                <w:szCs w:val="23"/>
                <w:lang w:val="lv-LV"/>
              </w:rPr>
            </w:pPr>
            <w:r w:rsidRPr="002E5DDC">
              <w:rPr>
                <w:szCs w:val="23"/>
                <w:lang w:val="lv-LV"/>
              </w:rPr>
              <w:t>Nav zināmi</w:t>
            </w:r>
          </w:p>
        </w:tc>
        <w:tc>
          <w:tcPr>
            <w:tcW w:w="2927" w:type="dxa"/>
          </w:tcPr>
          <w:p w14:paraId="58AE92A2" w14:textId="77777777" w:rsidR="002459EE" w:rsidRPr="002E5DDC" w:rsidRDefault="002459EE" w:rsidP="00A75C3F">
            <w:pPr>
              <w:pStyle w:val="Default"/>
              <w:rPr>
                <w:szCs w:val="23"/>
                <w:lang w:val="lv-LV"/>
              </w:rPr>
            </w:pPr>
            <w:r w:rsidRPr="002E5DDC">
              <w:rPr>
                <w:szCs w:val="23"/>
                <w:lang w:val="lv-LV"/>
              </w:rPr>
              <w:t>Redzes traucējumi</w:t>
            </w:r>
          </w:p>
        </w:tc>
      </w:tr>
      <w:tr w:rsidR="002459EE" w:rsidRPr="002E5DDC" w14:paraId="4103301E" w14:textId="77777777" w:rsidTr="002E5DDC">
        <w:trPr>
          <w:trHeight w:val="153"/>
        </w:trPr>
        <w:tc>
          <w:tcPr>
            <w:tcW w:w="2927" w:type="dxa"/>
          </w:tcPr>
          <w:p w14:paraId="6C191024" w14:textId="77777777" w:rsidR="002459EE" w:rsidRPr="002E5DDC" w:rsidRDefault="002459EE" w:rsidP="00A75C3F">
            <w:pPr>
              <w:pStyle w:val="Default"/>
              <w:rPr>
                <w:color w:val="auto"/>
                <w:lang w:val="lv-LV"/>
              </w:rPr>
            </w:pPr>
            <w:r w:rsidRPr="002E5DDC">
              <w:rPr>
                <w:color w:val="auto"/>
                <w:lang w:val="lv-LV"/>
              </w:rPr>
              <w:t>Ausu un labirinta bojājumi</w:t>
            </w:r>
          </w:p>
        </w:tc>
        <w:tc>
          <w:tcPr>
            <w:tcW w:w="2927" w:type="dxa"/>
          </w:tcPr>
          <w:p w14:paraId="188D2E8A" w14:textId="77777777" w:rsidR="002459EE" w:rsidRPr="002E5DDC" w:rsidRDefault="002459EE" w:rsidP="00A75C3F">
            <w:pPr>
              <w:pStyle w:val="Default"/>
              <w:rPr>
                <w:szCs w:val="23"/>
                <w:lang w:val="lv-LV"/>
              </w:rPr>
            </w:pPr>
            <w:r w:rsidRPr="002E5DDC">
              <w:rPr>
                <w:szCs w:val="23"/>
                <w:lang w:val="lv-LV"/>
              </w:rPr>
              <w:t>Bieži</w:t>
            </w:r>
          </w:p>
        </w:tc>
        <w:tc>
          <w:tcPr>
            <w:tcW w:w="2927" w:type="dxa"/>
          </w:tcPr>
          <w:p w14:paraId="7B3F288A" w14:textId="77777777" w:rsidR="002459EE" w:rsidRPr="002E5DDC" w:rsidRDefault="002459EE" w:rsidP="00A75C3F">
            <w:pPr>
              <w:pStyle w:val="Default"/>
              <w:rPr>
                <w:szCs w:val="23"/>
                <w:lang w:val="lv-LV"/>
              </w:rPr>
            </w:pPr>
            <w:r w:rsidRPr="002E5DDC">
              <w:rPr>
                <w:szCs w:val="23"/>
                <w:lang w:val="lv-LV"/>
              </w:rPr>
              <w:t>Troksnis ausīs</w:t>
            </w:r>
          </w:p>
        </w:tc>
      </w:tr>
      <w:tr w:rsidR="002459EE" w:rsidRPr="002E5DDC" w14:paraId="5E6A7148" w14:textId="77777777" w:rsidTr="002E5DDC">
        <w:trPr>
          <w:trHeight w:val="153"/>
        </w:trPr>
        <w:tc>
          <w:tcPr>
            <w:tcW w:w="2927" w:type="dxa"/>
            <w:vMerge w:val="restart"/>
          </w:tcPr>
          <w:p w14:paraId="3259BDA6" w14:textId="77777777" w:rsidR="002459EE" w:rsidRPr="002E5DDC" w:rsidRDefault="002459EE" w:rsidP="00A75C3F">
            <w:pPr>
              <w:pStyle w:val="Default"/>
              <w:rPr>
                <w:color w:val="auto"/>
                <w:lang w:val="lv-LV"/>
              </w:rPr>
            </w:pPr>
            <w:r w:rsidRPr="002E5DDC">
              <w:rPr>
                <w:color w:val="auto"/>
                <w:lang w:val="lv-LV"/>
              </w:rPr>
              <w:t>Sirds funkcijas traucējumi</w:t>
            </w:r>
          </w:p>
        </w:tc>
        <w:tc>
          <w:tcPr>
            <w:tcW w:w="2927" w:type="dxa"/>
          </w:tcPr>
          <w:p w14:paraId="37CD5F79" w14:textId="77777777" w:rsidR="002459EE" w:rsidRPr="002E5DDC" w:rsidRDefault="002459EE" w:rsidP="00A75C3F">
            <w:pPr>
              <w:pStyle w:val="Default"/>
              <w:rPr>
                <w:szCs w:val="23"/>
                <w:lang w:val="lv-LV"/>
              </w:rPr>
            </w:pPr>
            <w:r w:rsidRPr="002E5DDC">
              <w:rPr>
                <w:szCs w:val="23"/>
                <w:lang w:val="lv-LV"/>
              </w:rPr>
              <w:t>Ļoti bieži</w:t>
            </w:r>
          </w:p>
        </w:tc>
        <w:tc>
          <w:tcPr>
            <w:tcW w:w="2927" w:type="dxa"/>
          </w:tcPr>
          <w:p w14:paraId="5CD47A73" w14:textId="77777777" w:rsidR="002459EE" w:rsidRPr="002E5DDC" w:rsidRDefault="002459EE" w:rsidP="00A75C3F">
            <w:pPr>
              <w:pStyle w:val="Default"/>
              <w:rPr>
                <w:szCs w:val="23"/>
                <w:lang w:val="lv-LV"/>
              </w:rPr>
            </w:pPr>
            <w:r w:rsidRPr="002E5DDC">
              <w:rPr>
                <w:szCs w:val="23"/>
                <w:lang w:val="lv-LV"/>
              </w:rPr>
              <w:t>Sirdsklauves</w:t>
            </w:r>
          </w:p>
        </w:tc>
      </w:tr>
      <w:tr w:rsidR="002459EE" w:rsidRPr="002E5DDC" w14:paraId="6EAFFF5D" w14:textId="77777777" w:rsidTr="002E5DDC">
        <w:trPr>
          <w:trHeight w:val="153"/>
        </w:trPr>
        <w:tc>
          <w:tcPr>
            <w:tcW w:w="2927" w:type="dxa"/>
            <w:vMerge/>
          </w:tcPr>
          <w:p w14:paraId="3488B963" w14:textId="77777777" w:rsidR="002459EE" w:rsidRPr="002E5DDC" w:rsidRDefault="002459EE" w:rsidP="00A75C3F">
            <w:pPr>
              <w:pStyle w:val="Default"/>
              <w:rPr>
                <w:color w:val="auto"/>
                <w:lang w:val="lv-LV"/>
              </w:rPr>
            </w:pPr>
          </w:p>
        </w:tc>
        <w:tc>
          <w:tcPr>
            <w:tcW w:w="2927" w:type="dxa"/>
          </w:tcPr>
          <w:p w14:paraId="7C3CE9D2" w14:textId="77777777" w:rsidR="002459EE" w:rsidRPr="002E5DDC" w:rsidRDefault="002459EE" w:rsidP="00A75C3F">
            <w:pPr>
              <w:pStyle w:val="Default"/>
              <w:rPr>
                <w:szCs w:val="23"/>
                <w:lang w:val="lv-LV"/>
              </w:rPr>
            </w:pPr>
            <w:r w:rsidRPr="002E5DDC">
              <w:rPr>
                <w:szCs w:val="23"/>
                <w:lang w:val="lv-LV"/>
              </w:rPr>
              <w:t>Retāk</w:t>
            </w:r>
          </w:p>
        </w:tc>
        <w:tc>
          <w:tcPr>
            <w:tcW w:w="2927" w:type="dxa"/>
          </w:tcPr>
          <w:p w14:paraId="47E31BD8" w14:textId="77777777" w:rsidR="002459EE" w:rsidRPr="002E5DDC" w:rsidRDefault="002459EE" w:rsidP="00A75C3F">
            <w:pPr>
              <w:pStyle w:val="Default"/>
              <w:rPr>
                <w:szCs w:val="23"/>
                <w:lang w:val="lv-LV"/>
              </w:rPr>
            </w:pPr>
            <w:r w:rsidRPr="002E5DDC">
              <w:rPr>
                <w:szCs w:val="23"/>
                <w:lang w:val="lv-LV"/>
              </w:rPr>
              <w:t>Bradikardija, tahikardija</w:t>
            </w:r>
          </w:p>
        </w:tc>
      </w:tr>
      <w:tr w:rsidR="002459EE" w:rsidRPr="005B7B02" w14:paraId="0BC4C1F4" w14:textId="77777777" w:rsidTr="002E5DDC">
        <w:trPr>
          <w:trHeight w:val="153"/>
        </w:trPr>
        <w:tc>
          <w:tcPr>
            <w:tcW w:w="2927" w:type="dxa"/>
            <w:vMerge/>
          </w:tcPr>
          <w:p w14:paraId="70E48114" w14:textId="77777777" w:rsidR="002459EE" w:rsidRPr="002E5DDC" w:rsidRDefault="002459EE" w:rsidP="00A75C3F">
            <w:pPr>
              <w:pStyle w:val="Default"/>
              <w:rPr>
                <w:color w:val="auto"/>
                <w:lang w:val="lv-LV"/>
              </w:rPr>
            </w:pPr>
          </w:p>
        </w:tc>
        <w:tc>
          <w:tcPr>
            <w:tcW w:w="2927" w:type="dxa"/>
          </w:tcPr>
          <w:p w14:paraId="0938C47F" w14:textId="77777777" w:rsidR="002459EE" w:rsidRPr="002E5DDC" w:rsidRDefault="002459EE" w:rsidP="00A75C3F">
            <w:pPr>
              <w:pStyle w:val="Default"/>
              <w:rPr>
                <w:szCs w:val="23"/>
                <w:lang w:val="lv-LV"/>
              </w:rPr>
            </w:pPr>
            <w:r w:rsidRPr="002E5DDC">
              <w:rPr>
                <w:szCs w:val="23"/>
                <w:lang w:val="lv-LV"/>
              </w:rPr>
              <w:t>Nav zināmi</w:t>
            </w:r>
          </w:p>
        </w:tc>
        <w:tc>
          <w:tcPr>
            <w:tcW w:w="2927" w:type="dxa"/>
          </w:tcPr>
          <w:p w14:paraId="61D6E2B9" w14:textId="77777777" w:rsidR="002459EE" w:rsidRPr="002E5DDC" w:rsidRDefault="002459EE" w:rsidP="00A75C3F">
            <w:pPr>
              <w:pStyle w:val="Default"/>
              <w:rPr>
                <w:szCs w:val="23"/>
                <w:lang w:val="lv-LV"/>
              </w:rPr>
            </w:pPr>
            <w:r w:rsidRPr="002E5DDC">
              <w:rPr>
                <w:szCs w:val="23"/>
                <w:lang w:val="lv-LV"/>
              </w:rPr>
              <w:t>Pagarināts QT intervāls</w:t>
            </w:r>
            <w:r w:rsidRPr="002E5DDC">
              <w:rPr>
                <w:szCs w:val="23"/>
                <w:vertAlign w:val="superscript"/>
                <w:lang w:val="lv-LV"/>
              </w:rPr>
              <w:t>1</w:t>
            </w:r>
            <w:r w:rsidRPr="002E5DDC">
              <w:rPr>
                <w:szCs w:val="23"/>
                <w:lang w:val="lv-LV"/>
              </w:rPr>
              <w:t xml:space="preserve">, supraventrikulāra un ventrikulāra aritmija. tajā skaitā </w:t>
            </w:r>
            <w:r w:rsidRPr="002E5DDC">
              <w:rPr>
                <w:i/>
                <w:szCs w:val="23"/>
                <w:lang w:val="lv-LV"/>
              </w:rPr>
              <w:t>torsades de pointes</w:t>
            </w:r>
          </w:p>
        </w:tc>
      </w:tr>
      <w:tr w:rsidR="002459EE" w:rsidRPr="002E5DDC" w14:paraId="5E502171" w14:textId="77777777" w:rsidTr="002E5DDC">
        <w:trPr>
          <w:trHeight w:val="153"/>
        </w:trPr>
        <w:tc>
          <w:tcPr>
            <w:tcW w:w="2927" w:type="dxa"/>
            <w:vMerge w:val="restart"/>
          </w:tcPr>
          <w:p w14:paraId="165172F4" w14:textId="77777777" w:rsidR="002459EE" w:rsidRPr="002E5DDC" w:rsidRDefault="002459EE" w:rsidP="00A75C3F">
            <w:pPr>
              <w:pStyle w:val="Default"/>
              <w:rPr>
                <w:color w:val="auto"/>
                <w:lang w:val="lv-LV"/>
              </w:rPr>
            </w:pPr>
            <w:r w:rsidRPr="002E5DDC">
              <w:rPr>
                <w:color w:val="auto"/>
                <w:lang w:val="lv-LV"/>
              </w:rPr>
              <w:t>Asinsvadu sistēmas traucējumi</w:t>
            </w:r>
          </w:p>
        </w:tc>
        <w:tc>
          <w:tcPr>
            <w:tcW w:w="2927" w:type="dxa"/>
          </w:tcPr>
          <w:p w14:paraId="4DB3AECA" w14:textId="77777777" w:rsidR="002459EE" w:rsidRPr="002E5DDC" w:rsidRDefault="002459EE" w:rsidP="00A75C3F">
            <w:pPr>
              <w:pStyle w:val="Default"/>
              <w:rPr>
                <w:szCs w:val="23"/>
                <w:lang w:val="lv-LV"/>
              </w:rPr>
            </w:pPr>
            <w:r w:rsidRPr="002E5DDC">
              <w:rPr>
                <w:szCs w:val="23"/>
                <w:lang w:val="lv-LV"/>
              </w:rPr>
              <w:t>Bieži</w:t>
            </w:r>
          </w:p>
        </w:tc>
        <w:tc>
          <w:tcPr>
            <w:tcW w:w="2927" w:type="dxa"/>
          </w:tcPr>
          <w:p w14:paraId="01456569" w14:textId="77777777" w:rsidR="002459EE" w:rsidRPr="002E5DDC" w:rsidRDefault="002459EE" w:rsidP="00A75C3F">
            <w:pPr>
              <w:pStyle w:val="Default"/>
              <w:rPr>
                <w:szCs w:val="23"/>
                <w:lang w:val="lv-LV"/>
              </w:rPr>
            </w:pPr>
            <w:r w:rsidRPr="002E5DDC">
              <w:rPr>
                <w:szCs w:val="23"/>
                <w:lang w:val="lv-LV"/>
              </w:rPr>
              <w:t>Hipertensija</w:t>
            </w:r>
          </w:p>
        </w:tc>
      </w:tr>
      <w:tr w:rsidR="002459EE" w:rsidRPr="002E5DDC" w14:paraId="593D73D6" w14:textId="77777777" w:rsidTr="002E5DDC">
        <w:trPr>
          <w:trHeight w:val="153"/>
        </w:trPr>
        <w:tc>
          <w:tcPr>
            <w:tcW w:w="2927" w:type="dxa"/>
            <w:vMerge/>
          </w:tcPr>
          <w:p w14:paraId="431FE403" w14:textId="77777777" w:rsidR="002459EE" w:rsidRPr="002E5DDC" w:rsidRDefault="002459EE" w:rsidP="00A75C3F">
            <w:pPr>
              <w:pStyle w:val="Default"/>
              <w:rPr>
                <w:color w:val="auto"/>
                <w:lang w:val="lv-LV"/>
              </w:rPr>
            </w:pPr>
          </w:p>
        </w:tc>
        <w:tc>
          <w:tcPr>
            <w:tcW w:w="2927" w:type="dxa"/>
          </w:tcPr>
          <w:p w14:paraId="397B24FA" w14:textId="77777777" w:rsidR="002459EE" w:rsidRPr="002E5DDC" w:rsidRDefault="002459EE" w:rsidP="00A75C3F">
            <w:pPr>
              <w:pStyle w:val="Default"/>
              <w:rPr>
                <w:szCs w:val="23"/>
                <w:lang w:val="lv-LV"/>
              </w:rPr>
            </w:pPr>
            <w:r w:rsidRPr="002E5DDC">
              <w:rPr>
                <w:szCs w:val="23"/>
                <w:lang w:val="lv-LV"/>
              </w:rPr>
              <w:t>Reti</w:t>
            </w:r>
          </w:p>
        </w:tc>
        <w:tc>
          <w:tcPr>
            <w:tcW w:w="2927" w:type="dxa"/>
          </w:tcPr>
          <w:p w14:paraId="44465526" w14:textId="77777777" w:rsidR="002459EE" w:rsidRPr="002E5DDC" w:rsidRDefault="002459EE" w:rsidP="00A75C3F">
            <w:pPr>
              <w:pStyle w:val="Default"/>
              <w:rPr>
                <w:szCs w:val="23"/>
                <w:lang w:val="lv-LV"/>
              </w:rPr>
            </w:pPr>
            <w:r w:rsidRPr="002E5DDC">
              <w:rPr>
                <w:szCs w:val="23"/>
                <w:lang w:val="lv-LV"/>
              </w:rPr>
              <w:t>Asiņošana</w:t>
            </w:r>
          </w:p>
        </w:tc>
      </w:tr>
      <w:tr w:rsidR="002459EE" w:rsidRPr="002E5DDC" w14:paraId="0DA127D5" w14:textId="77777777" w:rsidTr="002E5DDC">
        <w:trPr>
          <w:trHeight w:val="153"/>
        </w:trPr>
        <w:tc>
          <w:tcPr>
            <w:tcW w:w="2927" w:type="dxa"/>
            <w:vMerge/>
          </w:tcPr>
          <w:p w14:paraId="2591BB33" w14:textId="77777777" w:rsidR="002459EE" w:rsidRPr="002E5DDC" w:rsidRDefault="002459EE" w:rsidP="00A75C3F">
            <w:pPr>
              <w:pStyle w:val="Default"/>
              <w:rPr>
                <w:color w:val="auto"/>
                <w:lang w:val="lv-LV"/>
              </w:rPr>
            </w:pPr>
          </w:p>
        </w:tc>
        <w:tc>
          <w:tcPr>
            <w:tcW w:w="2927" w:type="dxa"/>
          </w:tcPr>
          <w:p w14:paraId="62C760ED" w14:textId="77777777" w:rsidR="002459EE" w:rsidRPr="002E5DDC" w:rsidRDefault="002459EE" w:rsidP="00A75C3F">
            <w:pPr>
              <w:pStyle w:val="Default"/>
              <w:rPr>
                <w:szCs w:val="23"/>
                <w:lang w:val="lv-LV"/>
              </w:rPr>
            </w:pPr>
            <w:r w:rsidRPr="002E5DDC">
              <w:rPr>
                <w:szCs w:val="23"/>
                <w:lang w:val="lv-LV"/>
              </w:rPr>
              <w:t>Nav zināmi</w:t>
            </w:r>
          </w:p>
        </w:tc>
        <w:tc>
          <w:tcPr>
            <w:tcW w:w="2927" w:type="dxa"/>
          </w:tcPr>
          <w:p w14:paraId="15DE564B" w14:textId="77777777" w:rsidR="002459EE" w:rsidRPr="002E5DDC" w:rsidRDefault="002459EE" w:rsidP="00A75C3F">
            <w:pPr>
              <w:pStyle w:val="Default"/>
              <w:rPr>
                <w:szCs w:val="23"/>
                <w:lang w:val="lv-LV"/>
              </w:rPr>
            </w:pPr>
            <w:r w:rsidRPr="002E5DDC">
              <w:rPr>
                <w:szCs w:val="23"/>
                <w:lang w:val="lv-LV"/>
              </w:rPr>
              <w:t>Ortostatiska hipotensija</w:t>
            </w:r>
          </w:p>
        </w:tc>
      </w:tr>
      <w:tr w:rsidR="002459EE" w:rsidRPr="002E5DDC" w14:paraId="448D5CA8" w14:textId="77777777" w:rsidTr="002E5DDC">
        <w:trPr>
          <w:trHeight w:val="153"/>
        </w:trPr>
        <w:tc>
          <w:tcPr>
            <w:tcW w:w="2927" w:type="dxa"/>
            <w:vMerge w:val="restart"/>
          </w:tcPr>
          <w:p w14:paraId="7A81CCC6" w14:textId="77777777" w:rsidR="002459EE" w:rsidRPr="002E5DDC" w:rsidRDefault="002459EE" w:rsidP="00A75C3F">
            <w:pPr>
              <w:pStyle w:val="Default"/>
              <w:rPr>
                <w:color w:val="auto"/>
                <w:lang w:val="lv-LV"/>
              </w:rPr>
            </w:pPr>
            <w:r w:rsidRPr="002E5DDC">
              <w:rPr>
                <w:color w:val="auto"/>
                <w:lang w:val="lv-LV"/>
              </w:rPr>
              <w:t>Elpošanas sistēmas traucējumi, krūšu kurvja un videnes slimības</w:t>
            </w:r>
          </w:p>
        </w:tc>
        <w:tc>
          <w:tcPr>
            <w:tcW w:w="2927" w:type="dxa"/>
          </w:tcPr>
          <w:p w14:paraId="6099C32F" w14:textId="77777777" w:rsidR="002459EE" w:rsidRPr="002E5DDC" w:rsidRDefault="002459EE" w:rsidP="00A75C3F">
            <w:pPr>
              <w:pStyle w:val="Default"/>
              <w:rPr>
                <w:szCs w:val="23"/>
                <w:lang w:val="lv-LV"/>
              </w:rPr>
            </w:pPr>
            <w:r w:rsidRPr="002E5DDC">
              <w:rPr>
                <w:szCs w:val="23"/>
                <w:lang w:val="lv-LV"/>
              </w:rPr>
              <w:t>Bieži</w:t>
            </w:r>
          </w:p>
        </w:tc>
        <w:tc>
          <w:tcPr>
            <w:tcW w:w="2927" w:type="dxa"/>
          </w:tcPr>
          <w:p w14:paraId="05E1DAA3" w14:textId="77777777" w:rsidR="002459EE" w:rsidRPr="002E5DDC" w:rsidRDefault="002459EE" w:rsidP="00A75C3F">
            <w:pPr>
              <w:pStyle w:val="Default"/>
              <w:rPr>
                <w:szCs w:val="23"/>
                <w:lang w:val="lv-LV"/>
              </w:rPr>
            </w:pPr>
            <w:r w:rsidRPr="002E5DDC">
              <w:rPr>
                <w:szCs w:val="23"/>
                <w:lang w:val="lv-LV"/>
              </w:rPr>
              <w:t>Žāvas, rinīts, sinusīts</w:t>
            </w:r>
          </w:p>
        </w:tc>
      </w:tr>
      <w:tr w:rsidR="002459EE" w:rsidRPr="002E5DDC" w14:paraId="2C2FAC19" w14:textId="77777777" w:rsidTr="002E5DDC">
        <w:trPr>
          <w:trHeight w:val="153"/>
        </w:trPr>
        <w:tc>
          <w:tcPr>
            <w:tcW w:w="2927" w:type="dxa"/>
            <w:vMerge/>
          </w:tcPr>
          <w:p w14:paraId="7E2870C5" w14:textId="77777777" w:rsidR="002459EE" w:rsidRPr="002E5DDC" w:rsidRDefault="002459EE" w:rsidP="00A75C3F">
            <w:pPr>
              <w:pStyle w:val="Default"/>
              <w:rPr>
                <w:color w:val="auto"/>
                <w:lang w:val="lv-LV"/>
              </w:rPr>
            </w:pPr>
          </w:p>
        </w:tc>
        <w:tc>
          <w:tcPr>
            <w:tcW w:w="2927" w:type="dxa"/>
          </w:tcPr>
          <w:p w14:paraId="707B2A4D" w14:textId="77777777" w:rsidR="002459EE" w:rsidRPr="002E5DDC" w:rsidRDefault="002459EE" w:rsidP="00A75C3F">
            <w:pPr>
              <w:pStyle w:val="Default"/>
              <w:rPr>
                <w:szCs w:val="23"/>
                <w:lang w:val="lv-LV"/>
              </w:rPr>
            </w:pPr>
            <w:r w:rsidRPr="002E5DDC">
              <w:rPr>
                <w:szCs w:val="23"/>
                <w:lang w:val="lv-LV"/>
              </w:rPr>
              <w:t>Retāk</w:t>
            </w:r>
          </w:p>
        </w:tc>
        <w:tc>
          <w:tcPr>
            <w:tcW w:w="2927" w:type="dxa"/>
          </w:tcPr>
          <w:p w14:paraId="4012CC2D" w14:textId="77777777" w:rsidR="002459EE" w:rsidRPr="002E5DDC" w:rsidRDefault="002459EE" w:rsidP="00A75C3F">
            <w:pPr>
              <w:pStyle w:val="Default"/>
              <w:rPr>
                <w:szCs w:val="23"/>
                <w:lang w:val="lv-LV"/>
              </w:rPr>
            </w:pPr>
            <w:r w:rsidRPr="002E5DDC">
              <w:rPr>
                <w:szCs w:val="23"/>
                <w:lang w:val="lv-LV"/>
              </w:rPr>
              <w:t>Klepus</w:t>
            </w:r>
          </w:p>
        </w:tc>
      </w:tr>
      <w:tr w:rsidR="002459EE" w:rsidRPr="002E5DDC" w14:paraId="36EADE09" w14:textId="77777777" w:rsidTr="002E5DDC">
        <w:trPr>
          <w:trHeight w:val="153"/>
        </w:trPr>
        <w:tc>
          <w:tcPr>
            <w:tcW w:w="2927" w:type="dxa"/>
            <w:vMerge/>
          </w:tcPr>
          <w:p w14:paraId="3BE9F514" w14:textId="77777777" w:rsidR="002459EE" w:rsidRPr="002E5DDC" w:rsidRDefault="002459EE" w:rsidP="00A75C3F">
            <w:pPr>
              <w:pStyle w:val="Default"/>
              <w:rPr>
                <w:color w:val="auto"/>
                <w:lang w:val="lv-LV"/>
              </w:rPr>
            </w:pPr>
          </w:p>
        </w:tc>
        <w:tc>
          <w:tcPr>
            <w:tcW w:w="2927" w:type="dxa"/>
          </w:tcPr>
          <w:p w14:paraId="196BCA5F" w14:textId="77777777" w:rsidR="002459EE" w:rsidRPr="002E5DDC" w:rsidRDefault="002459EE" w:rsidP="00A75C3F">
            <w:pPr>
              <w:pStyle w:val="Default"/>
              <w:rPr>
                <w:szCs w:val="23"/>
                <w:lang w:val="lv-LV"/>
              </w:rPr>
            </w:pPr>
            <w:r w:rsidRPr="002E5DDC">
              <w:rPr>
                <w:szCs w:val="23"/>
                <w:lang w:val="lv-LV"/>
              </w:rPr>
              <w:t>Nav zināmi</w:t>
            </w:r>
          </w:p>
        </w:tc>
        <w:tc>
          <w:tcPr>
            <w:tcW w:w="2927" w:type="dxa"/>
          </w:tcPr>
          <w:p w14:paraId="573F6AA3" w14:textId="77777777" w:rsidR="002459EE" w:rsidRPr="002E5DDC" w:rsidRDefault="002459EE" w:rsidP="00A75C3F">
            <w:pPr>
              <w:pStyle w:val="Default"/>
              <w:rPr>
                <w:szCs w:val="23"/>
                <w:lang w:val="lv-LV"/>
              </w:rPr>
            </w:pPr>
            <w:r w:rsidRPr="002E5DDC">
              <w:rPr>
                <w:szCs w:val="23"/>
                <w:lang w:val="lv-LV"/>
              </w:rPr>
              <w:t>Asiņošana no deguna</w:t>
            </w:r>
          </w:p>
        </w:tc>
      </w:tr>
      <w:tr w:rsidR="002459EE" w:rsidRPr="005B7B02" w14:paraId="25958452" w14:textId="77777777" w:rsidTr="002E5DDC">
        <w:trPr>
          <w:trHeight w:val="153"/>
        </w:trPr>
        <w:tc>
          <w:tcPr>
            <w:tcW w:w="2927" w:type="dxa"/>
            <w:vMerge w:val="restart"/>
          </w:tcPr>
          <w:p w14:paraId="6B54CB8B" w14:textId="77777777" w:rsidR="002459EE" w:rsidRPr="002E5DDC" w:rsidRDefault="002459EE" w:rsidP="00A75C3F">
            <w:pPr>
              <w:pStyle w:val="Default"/>
              <w:rPr>
                <w:color w:val="auto"/>
                <w:lang w:val="lv-LV"/>
              </w:rPr>
            </w:pPr>
            <w:r w:rsidRPr="002E5DDC">
              <w:rPr>
                <w:color w:val="auto"/>
                <w:lang w:val="lv-LV"/>
              </w:rPr>
              <w:t>Kuņģa-zarnu trakta traucējumi</w:t>
            </w:r>
          </w:p>
        </w:tc>
        <w:tc>
          <w:tcPr>
            <w:tcW w:w="2927" w:type="dxa"/>
          </w:tcPr>
          <w:p w14:paraId="2F119041" w14:textId="77777777" w:rsidR="002459EE" w:rsidRPr="002E5DDC" w:rsidRDefault="002459EE" w:rsidP="00A75C3F">
            <w:pPr>
              <w:pStyle w:val="Default"/>
              <w:rPr>
                <w:szCs w:val="23"/>
                <w:lang w:val="lv-LV"/>
              </w:rPr>
            </w:pPr>
            <w:r w:rsidRPr="002E5DDC">
              <w:rPr>
                <w:szCs w:val="23"/>
                <w:lang w:val="lv-LV"/>
              </w:rPr>
              <w:t>Ļoti bieži</w:t>
            </w:r>
          </w:p>
        </w:tc>
        <w:tc>
          <w:tcPr>
            <w:tcW w:w="2927" w:type="dxa"/>
          </w:tcPr>
          <w:p w14:paraId="4FD7D1B9" w14:textId="77777777" w:rsidR="002459EE" w:rsidRPr="002E5DDC" w:rsidRDefault="002459EE" w:rsidP="00A75C3F">
            <w:pPr>
              <w:pStyle w:val="Default"/>
              <w:rPr>
                <w:szCs w:val="23"/>
                <w:lang w:val="lv-LV"/>
              </w:rPr>
            </w:pPr>
            <w:r w:rsidRPr="002E5DDC">
              <w:rPr>
                <w:szCs w:val="23"/>
                <w:lang w:val="lv-LV"/>
              </w:rPr>
              <w:t>Sausuma sajūta mutē, slikta dūša</w:t>
            </w:r>
          </w:p>
        </w:tc>
      </w:tr>
      <w:tr w:rsidR="002459EE" w:rsidRPr="005B7B02" w14:paraId="173C6046" w14:textId="77777777" w:rsidTr="002E5DDC">
        <w:trPr>
          <w:trHeight w:val="153"/>
        </w:trPr>
        <w:tc>
          <w:tcPr>
            <w:tcW w:w="2927" w:type="dxa"/>
            <w:vMerge/>
          </w:tcPr>
          <w:p w14:paraId="7401F6A8" w14:textId="77777777" w:rsidR="002459EE" w:rsidRPr="002E5DDC" w:rsidRDefault="002459EE" w:rsidP="00A75C3F">
            <w:pPr>
              <w:pStyle w:val="Default"/>
              <w:rPr>
                <w:color w:val="auto"/>
                <w:lang w:val="lv-LV"/>
              </w:rPr>
            </w:pPr>
          </w:p>
        </w:tc>
        <w:tc>
          <w:tcPr>
            <w:tcW w:w="2927" w:type="dxa"/>
          </w:tcPr>
          <w:p w14:paraId="0A608611" w14:textId="77777777" w:rsidR="002459EE" w:rsidRPr="002E5DDC" w:rsidRDefault="002459EE" w:rsidP="00A75C3F">
            <w:pPr>
              <w:pStyle w:val="Default"/>
              <w:rPr>
                <w:szCs w:val="23"/>
                <w:lang w:val="lv-LV"/>
              </w:rPr>
            </w:pPr>
            <w:r w:rsidRPr="002E5DDC">
              <w:rPr>
                <w:szCs w:val="23"/>
                <w:lang w:val="lv-LV"/>
              </w:rPr>
              <w:t>Bieži</w:t>
            </w:r>
          </w:p>
        </w:tc>
        <w:tc>
          <w:tcPr>
            <w:tcW w:w="2927" w:type="dxa"/>
          </w:tcPr>
          <w:p w14:paraId="3403F78B" w14:textId="77777777" w:rsidR="002459EE" w:rsidRPr="002E5DDC" w:rsidRDefault="002459EE" w:rsidP="00A75C3F">
            <w:pPr>
              <w:pStyle w:val="Default"/>
              <w:rPr>
                <w:szCs w:val="23"/>
                <w:lang w:val="lv-LV"/>
              </w:rPr>
            </w:pPr>
            <w:r w:rsidRPr="002E5DDC">
              <w:rPr>
                <w:szCs w:val="23"/>
                <w:lang w:val="lv-LV"/>
              </w:rPr>
              <w:t>Caureja, vemšana, aizcietējums, dispepsija, vēdera sāpes, meteorisms, pastiprināta siekalu izdalīšanās</w:t>
            </w:r>
          </w:p>
        </w:tc>
      </w:tr>
      <w:tr w:rsidR="002459EE" w:rsidRPr="005B7B02" w14:paraId="2AC23344" w14:textId="77777777" w:rsidTr="002E5DDC">
        <w:trPr>
          <w:trHeight w:val="153"/>
        </w:trPr>
        <w:tc>
          <w:tcPr>
            <w:tcW w:w="2927" w:type="dxa"/>
            <w:vMerge/>
          </w:tcPr>
          <w:p w14:paraId="02460991" w14:textId="77777777" w:rsidR="002459EE" w:rsidRPr="002E5DDC" w:rsidRDefault="002459EE" w:rsidP="00A75C3F">
            <w:pPr>
              <w:pStyle w:val="Default"/>
              <w:rPr>
                <w:color w:val="auto"/>
                <w:lang w:val="lv-LV"/>
              </w:rPr>
            </w:pPr>
          </w:p>
        </w:tc>
        <w:tc>
          <w:tcPr>
            <w:tcW w:w="2927" w:type="dxa"/>
          </w:tcPr>
          <w:p w14:paraId="53E9B2A0" w14:textId="77777777" w:rsidR="002459EE" w:rsidRPr="002E5DDC" w:rsidRDefault="002459EE" w:rsidP="00A75C3F">
            <w:pPr>
              <w:pStyle w:val="Default"/>
              <w:rPr>
                <w:szCs w:val="23"/>
                <w:lang w:val="lv-LV"/>
              </w:rPr>
            </w:pPr>
            <w:r w:rsidRPr="002E5DDC">
              <w:rPr>
                <w:szCs w:val="23"/>
                <w:lang w:val="lv-LV"/>
              </w:rPr>
              <w:t>Nav zināmi</w:t>
            </w:r>
          </w:p>
        </w:tc>
        <w:tc>
          <w:tcPr>
            <w:tcW w:w="2927" w:type="dxa"/>
          </w:tcPr>
          <w:p w14:paraId="477691BF" w14:textId="77777777" w:rsidR="002459EE" w:rsidRPr="002E5DDC" w:rsidRDefault="002459EE" w:rsidP="00A75C3F">
            <w:pPr>
              <w:pStyle w:val="Default"/>
              <w:rPr>
                <w:szCs w:val="23"/>
                <w:lang w:val="lv-LV"/>
              </w:rPr>
            </w:pPr>
            <w:r w:rsidRPr="002E5DDC">
              <w:rPr>
                <w:szCs w:val="23"/>
                <w:lang w:val="lv-LV"/>
              </w:rPr>
              <w:t>Kuņģa-zarnu trakta asiņošana (tai skaitā rektāla asiņošana)</w:t>
            </w:r>
          </w:p>
        </w:tc>
      </w:tr>
      <w:tr w:rsidR="002459EE" w:rsidRPr="002E5DDC" w14:paraId="7BCC1C1F" w14:textId="77777777" w:rsidTr="002E5DDC">
        <w:trPr>
          <w:trHeight w:val="153"/>
        </w:trPr>
        <w:tc>
          <w:tcPr>
            <w:tcW w:w="2927" w:type="dxa"/>
            <w:vMerge w:val="restart"/>
          </w:tcPr>
          <w:p w14:paraId="77357A3D" w14:textId="77777777" w:rsidR="002459EE" w:rsidRPr="002E5DDC" w:rsidRDefault="002459EE" w:rsidP="00A75C3F">
            <w:pPr>
              <w:pStyle w:val="Default"/>
              <w:rPr>
                <w:color w:val="auto"/>
                <w:lang w:val="lv-LV"/>
              </w:rPr>
            </w:pPr>
            <w:r w:rsidRPr="002E5DDC">
              <w:rPr>
                <w:color w:val="auto"/>
                <w:lang w:val="lv-LV"/>
              </w:rPr>
              <w:t>Aknu un/vai žults izvades sistēmas traucējumi</w:t>
            </w:r>
          </w:p>
        </w:tc>
        <w:tc>
          <w:tcPr>
            <w:tcW w:w="2927" w:type="dxa"/>
          </w:tcPr>
          <w:p w14:paraId="599F5B63" w14:textId="77777777" w:rsidR="002459EE" w:rsidRPr="002E5DDC" w:rsidRDefault="002459EE" w:rsidP="00A75C3F">
            <w:pPr>
              <w:pStyle w:val="Default"/>
              <w:rPr>
                <w:szCs w:val="23"/>
                <w:lang w:val="lv-LV"/>
              </w:rPr>
            </w:pPr>
            <w:r w:rsidRPr="002E5DDC">
              <w:rPr>
                <w:szCs w:val="23"/>
                <w:lang w:val="lv-LV"/>
              </w:rPr>
              <w:t>Reti</w:t>
            </w:r>
          </w:p>
        </w:tc>
        <w:tc>
          <w:tcPr>
            <w:tcW w:w="2927" w:type="dxa"/>
          </w:tcPr>
          <w:p w14:paraId="5181CE17" w14:textId="77777777" w:rsidR="002459EE" w:rsidRPr="002E5DDC" w:rsidRDefault="002459EE" w:rsidP="00A75C3F">
            <w:pPr>
              <w:pStyle w:val="Default"/>
              <w:rPr>
                <w:szCs w:val="23"/>
                <w:lang w:val="lv-LV"/>
              </w:rPr>
            </w:pPr>
            <w:r w:rsidRPr="002E5DDC">
              <w:rPr>
                <w:szCs w:val="23"/>
                <w:lang w:val="lv-LV"/>
              </w:rPr>
              <w:t>Hepatīts</w:t>
            </w:r>
          </w:p>
        </w:tc>
      </w:tr>
      <w:tr w:rsidR="002459EE" w:rsidRPr="002E5DDC" w14:paraId="38609C85" w14:textId="77777777" w:rsidTr="002E5DDC">
        <w:trPr>
          <w:trHeight w:val="153"/>
        </w:trPr>
        <w:tc>
          <w:tcPr>
            <w:tcW w:w="2927" w:type="dxa"/>
            <w:vMerge/>
          </w:tcPr>
          <w:p w14:paraId="605FD44F" w14:textId="77777777" w:rsidR="002459EE" w:rsidRPr="002E5DDC" w:rsidRDefault="002459EE" w:rsidP="00A75C3F">
            <w:pPr>
              <w:pStyle w:val="Default"/>
              <w:rPr>
                <w:color w:val="auto"/>
                <w:lang w:val="lv-LV"/>
              </w:rPr>
            </w:pPr>
          </w:p>
        </w:tc>
        <w:tc>
          <w:tcPr>
            <w:tcW w:w="2927" w:type="dxa"/>
          </w:tcPr>
          <w:p w14:paraId="5760CF10" w14:textId="77777777" w:rsidR="002459EE" w:rsidRPr="002E5DDC" w:rsidRDefault="002459EE" w:rsidP="00A75C3F">
            <w:pPr>
              <w:pStyle w:val="Default"/>
              <w:rPr>
                <w:szCs w:val="23"/>
                <w:lang w:val="lv-LV"/>
              </w:rPr>
            </w:pPr>
            <w:r w:rsidRPr="002E5DDC">
              <w:rPr>
                <w:szCs w:val="23"/>
                <w:lang w:val="lv-LV"/>
              </w:rPr>
              <w:t>Nav zināmi</w:t>
            </w:r>
          </w:p>
        </w:tc>
        <w:tc>
          <w:tcPr>
            <w:tcW w:w="2927" w:type="dxa"/>
          </w:tcPr>
          <w:p w14:paraId="37F47606" w14:textId="77777777" w:rsidR="002459EE" w:rsidRPr="002E5DDC" w:rsidRDefault="002459EE" w:rsidP="00A75C3F">
            <w:pPr>
              <w:pStyle w:val="Default"/>
              <w:rPr>
                <w:szCs w:val="23"/>
                <w:lang w:val="lv-LV"/>
              </w:rPr>
            </w:pPr>
            <w:r w:rsidRPr="002E5DDC">
              <w:rPr>
                <w:szCs w:val="23"/>
                <w:lang w:val="lv-LV"/>
              </w:rPr>
              <w:t>Novirzes aknu funkcionālajos rādītājos</w:t>
            </w:r>
          </w:p>
        </w:tc>
      </w:tr>
      <w:tr w:rsidR="002459EE" w:rsidRPr="002E5DDC" w14:paraId="3D5B6045" w14:textId="77777777" w:rsidTr="002E5DDC">
        <w:trPr>
          <w:trHeight w:val="153"/>
        </w:trPr>
        <w:tc>
          <w:tcPr>
            <w:tcW w:w="2927" w:type="dxa"/>
            <w:vMerge w:val="restart"/>
          </w:tcPr>
          <w:p w14:paraId="6D617A13" w14:textId="77777777" w:rsidR="002459EE" w:rsidRPr="002E5DDC" w:rsidRDefault="002459EE" w:rsidP="00A75C3F">
            <w:pPr>
              <w:pStyle w:val="Default"/>
              <w:rPr>
                <w:color w:val="auto"/>
                <w:lang w:val="lv-LV"/>
              </w:rPr>
            </w:pPr>
            <w:r w:rsidRPr="002E5DDC">
              <w:rPr>
                <w:color w:val="auto"/>
                <w:lang w:val="lv-LV"/>
              </w:rPr>
              <w:t>Ādas un zemādas audu bojājumi</w:t>
            </w:r>
          </w:p>
        </w:tc>
        <w:tc>
          <w:tcPr>
            <w:tcW w:w="2927" w:type="dxa"/>
          </w:tcPr>
          <w:p w14:paraId="4F9509FC" w14:textId="77777777" w:rsidR="002459EE" w:rsidRPr="002E5DDC" w:rsidRDefault="002459EE" w:rsidP="00A75C3F">
            <w:pPr>
              <w:pStyle w:val="Default"/>
              <w:rPr>
                <w:szCs w:val="23"/>
                <w:lang w:val="lv-LV"/>
              </w:rPr>
            </w:pPr>
            <w:r w:rsidRPr="002E5DDC">
              <w:rPr>
                <w:szCs w:val="23"/>
                <w:lang w:val="lv-LV"/>
              </w:rPr>
              <w:t>Ļoti bieži</w:t>
            </w:r>
          </w:p>
        </w:tc>
        <w:tc>
          <w:tcPr>
            <w:tcW w:w="2927" w:type="dxa"/>
          </w:tcPr>
          <w:p w14:paraId="23ACF5B8" w14:textId="77777777" w:rsidR="002459EE" w:rsidRPr="002E5DDC" w:rsidRDefault="002459EE" w:rsidP="00A75C3F">
            <w:pPr>
              <w:pStyle w:val="Default"/>
              <w:rPr>
                <w:szCs w:val="23"/>
                <w:lang w:val="lv-LV"/>
              </w:rPr>
            </w:pPr>
            <w:r w:rsidRPr="002E5DDC">
              <w:rPr>
                <w:szCs w:val="23"/>
                <w:lang w:val="lv-LV"/>
              </w:rPr>
              <w:t>Pastiprināta svīšana</w:t>
            </w:r>
          </w:p>
        </w:tc>
      </w:tr>
      <w:tr w:rsidR="002459EE" w:rsidRPr="002E5DDC" w14:paraId="54096C42" w14:textId="77777777" w:rsidTr="002E5DDC">
        <w:trPr>
          <w:trHeight w:val="153"/>
        </w:trPr>
        <w:tc>
          <w:tcPr>
            <w:tcW w:w="2927" w:type="dxa"/>
            <w:vMerge/>
          </w:tcPr>
          <w:p w14:paraId="75891B64" w14:textId="77777777" w:rsidR="002459EE" w:rsidRPr="002E5DDC" w:rsidRDefault="002459EE" w:rsidP="00A75C3F">
            <w:pPr>
              <w:pStyle w:val="Default"/>
              <w:rPr>
                <w:color w:val="auto"/>
                <w:lang w:val="lv-LV"/>
              </w:rPr>
            </w:pPr>
          </w:p>
        </w:tc>
        <w:tc>
          <w:tcPr>
            <w:tcW w:w="2927" w:type="dxa"/>
          </w:tcPr>
          <w:p w14:paraId="27ECD3D9" w14:textId="77777777" w:rsidR="002459EE" w:rsidRPr="002E5DDC" w:rsidRDefault="002459EE" w:rsidP="00A75C3F">
            <w:pPr>
              <w:pStyle w:val="Default"/>
              <w:rPr>
                <w:szCs w:val="23"/>
                <w:lang w:val="lv-LV"/>
              </w:rPr>
            </w:pPr>
            <w:r w:rsidRPr="002E5DDC">
              <w:rPr>
                <w:szCs w:val="23"/>
                <w:lang w:val="lv-LV"/>
              </w:rPr>
              <w:t>Bieži</w:t>
            </w:r>
          </w:p>
        </w:tc>
        <w:tc>
          <w:tcPr>
            <w:tcW w:w="2927" w:type="dxa"/>
          </w:tcPr>
          <w:p w14:paraId="438803DF" w14:textId="77777777" w:rsidR="002459EE" w:rsidRPr="002E5DDC" w:rsidRDefault="002459EE" w:rsidP="00A75C3F">
            <w:pPr>
              <w:pStyle w:val="Default"/>
              <w:rPr>
                <w:szCs w:val="23"/>
                <w:lang w:val="lv-LV"/>
              </w:rPr>
            </w:pPr>
            <w:r w:rsidRPr="002E5DDC">
              <w:rPr>
                <w:szCs w:val="23"/>
                <w:lang w:val="lv-LV"/>
              </w:rPr>
              <w:t>Nieze</w:t>
            </w:r>
          </w:p>
        </w:tc>
      </w:tr>
      <w:tr w:rsidR="002459EE" w:rsidRPr="005B7B02" w14:paraId="03C53F7D" w14:textId="77777777" w:rsidTr="002E5DDC">
        <w:trPr>
          <w:trHeight w:val="153"/>
        </w:trPr>
        <w:tc>
          <w:tcPr>
            <w:tcW w:w="2927" w:type="dxa"/>
            <w:vMerge/>
          </w:tcPr>
          <w:p w14:paraId="088B0F8C" w14:textId="77777777" w:rsidR="002459EE" w:rsidRPr="002E5DDC" w:rsidRDefault="002459EE" w:rsidP="00A75C3F">
            <w:pPr>
              <w:pStyle w:val="Default"/>
              <w:rPr>
                <w:color w:val="auto"/>
                <w:lang w:val="lv-LV"/>
              </w:rPr>
            </w:pPr>
          </w:p>
        </w:tc>
        <w:tc>
          <w:tcPr>
            <w:tcW w:w="2927" w:type="dxa"/>
          </w:tcPr>
          <w:p w14:paraId="59E03318" w14:textId="77777777" w:rsidR="002459EE" w:rsidRPr="002E5DDC" w:rsidRDefault="002459EE" w:rsidP="00A75C3F">
            <w:pPr>
              <w:pStyle w:val="Default"/>
              <w:rPr>
                <w:szCs w:val="23"/>
                <w:lang w:val="lv-LV"/>
              </w:rPr>
            </w:pPr>
            <w:r w:rsidRPr="002E5DDC">
              <w:rPr>
                <w:szCs w:val="23"/>
                <w:lang w:val="lv-LV"/>
              </w:rPr>
              <w:t>Retāk</w:t>
            </w:r>
          </w:p>
        </w:tc>
        <w:tc>
          <w:tcPr>
            <w:tcW w:w="2927" w:type="dxa"/>
          </w:tcPr>
          <w:p w14:paraId="0914F344" w14:textId="77777777" w:rsidR="002459EE" w:rsidRPr="002E5DDC" w:rsidRDefault="002459EE" w:rsidP="00A75C3F">
            <w:pPr>
              <w:pStyle w:val="Default"/>
              <w:rPr>
                <w:szCs w:val="23"/>
                <w:lang w:val="lv-LV"/>
              </w:rPr>
            </w:pPr>
            <w:r w:rsidRPr="002E5DDC">
              <w:rPr>
                <w:szCs w:val="23"/>
                <w:lang w:val="lv-LV"/>
              </w:rPr>
              <w:t>Nātrene, alopēcija, izsitumi, purpura, fotosensitivitātes reakcijas</w:t>
            </w:r>
          </w:p>
        </w:tc>
      </w:tr>
      <w:tr w:rsidR="002459EE" w:rsidRPr="002E5DDC" w14:paraId="59B00E40" w14:textId="77777777" w:rsidTr="002E5DDC">
        <w:trPr>
          <w:trHeight w:val="153"/>
        </w:trPr>
        <w:tc>
          <w:tcPr>
            <w:tcW w:w="2927" w:type="dxa"/>
            <w:vMerge/>
          </w:tcPr>
          <w:p w14:paraId="41215256" w14:textId="77777777" w:rsidR="002459EE" w:rsidRPr="002E5DDC" w:rsidRDefault="002459EE" w:rsidP="00A75C3F">
            <w:pPr>
              <w:pStyle w:val="Default"/>
              <w:rPr>
                <w:color w:val="auto"/>
                <w:lang w:val="lv-LV"/>
              </w:rPr>
            </w:pPr>
          </w:p>
        </w:tc>
        <w:tc>
          <w:tcPr>
            <w:tcW w:w="2927" w:type="dxa"/>
          </w:tcPr>
          <w:p w14:paraId="3660825D" w14:textId="77777777" w:rsidR="002459EE" w:rsidRPr="002E5DDC" w:rsidRDefault="002459EE" w:rsidP="00A75C3F">
            <w:pPr>
              <w:pStyle w:val="Default"/>
              <w:rPr>
                <w:szCs w:val="23"/>
                <w:lang w:val="lv-LV"/>
              </w:rPr>
            </w:pPr>
            <w:r w:rsidRPr="002E5DDC">
              <w:rPr>
                <w:szCs w:val="23"/>
                <w:lang w:val="lv-LV"/>
              </w:rPr>
              <w:t>Nav zināmi</w:t>
            </w:r>
          </w:p>
        </w:tc>
        <w:tc>
          <w:tcPr>
            <w:tcW w:w="2927" w:type="dxa"/>
          </w:tcPr>
          <w:p w14:paraId="2F75EA73" w14:textId="77777777" w:rsidR="002459EE" w:rsidRPr="002E5DDC" w:rsidRDefault="002459EE" w:rsidP="00A75C3F">
            <w:pPr>
              <w:pStyle w:val="Default"/>
              <w:rPr>
                <w:szCs w:val="23"/>
                <w:lang w:val="lv-LV"/>
              </w:rPr>
            </w:pPr>
            <w:r w:rsidRPr="002E5DDC">
              <w:rPr>
                <w:szCs w:val="23"/>
                <w:lang w:val="lv-LV"/>
              </w:rPr>
              <w:t xml:space="preserve">Ekhimoze, </w:t>
            </w:r>
            <w:r w:rsidR="0003680B">
              <w:rPr>
                <w:szCs w:val="23"/>
                <w:lang w:val="lv-LV"/>
              </w:rPr>
              <w:t>angioedēma</w:t>
            </w:r>
          </w:p>
        </w:tc>
      </w:tr>
      <w:tr w:rsidR="002459EE" w:rsidRPr="002E5DDC" w14:paraId="08CEFF92" w14:textId="77777777" w:rsidTr="002E5DDC">
        <w:trPr>
          <w:trHeight w:val="153"/>
        </w:trPr>
        <w:tc>
          <w:tcPr>
            <w:tcW w:w="2927" w:type="dxa"/>
          </w:tcPr>
          <w:p w14:paraId="521F8A3C" w14:textId="77777777" w:rsidR="002459EE" w:rsidRPr="002E5DDC" w:rsidRDefault="002459EE" w:rsidP="00A75C3F">
            <w:pPr>
              <w:pStyle w:val="Default"/>
              <w:rPr>
                <w:color w:val="auto"/>
                <w:lang w:val="lv-LV"/>
              </w:rPr>
            </w:pPr>
            <w:r w:rsidRPr="002E5DDC">
              <w:rPr>
                <w:color w:val="auto"/>
                <w:lang w:val="lv-LV"/>
              </w:rPr>
              <w:t>Skeleta-muskuļu un saistaudu sistēmas bojājumi</w:t>
            </w:r>
          </w:p>
        </w:tc>
        <w:tc>
          <w:tcPr>
            <w:tcW w:w="2927" w:type="dxa"/>
          </w:tcPr>
          <w:p w14:paraId="1F070999" w14:textId="77777777" w:rsidR="002459EE" w:rsidRPr="002E5DDC" w:rsidRDefault="002459EE" w:rsidP="00A75C3F">
            <w:pPr>
              <w:pStyle w:val="Default"/>
              <w:rPr>
                <w:szCs w:val="23"/>
                <w:lang w:val="lv-LV"/>
              </w:rPr>
            </w:pPr>
            <w:r w:rsidRPr="002E5DDC">
              <w:rPr>
                <w:szCs w:val="23"/>
                <w:lang w:val="lv-LV"/>
              </w:rPr>
              <w:t>Bieži</w:t>
            </w:r>
          </w:p>
        </w:tc>
        <w:tc>
          <w:tcPr>
            <w:tcW w:w="2927" w:type="dxa"/>
          </w:tcPr>
          <w:p w14:paraId="6C07F857" w14:textId="77777777" w:rsidR="002459EE" w:rsidRPr="002E5DDC" w:rsidRDefault="002459EE" w:rsidP="00A75C3F">
            <w:pPr>
              <w:pStyle w:val="Default"/>
              <w:rPr>
                <w:szCs w:val="23"/>
                <w:lang w:val="lv-LV"/>
              </w:rPr>
            </w:pPr>
            <w:r w:rsidRPr="002E5DDC">
              <w:rPr>
                <w:szCs w:val="23"/>
                <w:lang w:val="lv-LV"/>
              </w:rPr>
              <w:t>Mialģija, artaļģija</w:t>
            </w:r>
          </w:p>
        </w:tc>
      </w:tr>
      <w:tr w:rsidR="002459EE" w:rsidRPr="002E5DDC" w14:paraId="62E15A77" w14:textId="77777777" w:rsidTr="002E5DDC">
        <w:trPr>
          <w:trHeight w:val="153"/>
        </w:trPr>
        <w:tc>
          <w:tcPr>
            <w:tcW w:w="2927" w:type="dxa"/>
            <w:vMerge w:val="restart"/>
          </w:tcPr>
          <w:p w14:paraId="082F2F20" w14:textId="77777777" w:rsidR="002459EE" w:rsidRPr="002E5DDC" w:rsidRDefault="002459EE" w:rsidP="00A75C3F">
            <w:pPr>
              <w:pStyle w:val="Default"/>
              <w:rPr>
                <w:color w:val="auto"/>
                <w:lang w:val="lv-LV"/>
              </w:rPr>
            </w:pPr>
            <w:r w:rsidRPr="002E5DDC">
              <w:rPr>
                <w:color w:val="auto"/>
                <w:lang w:val="lv-LV"/>
              </w:rPr>
              <w:t>Nieru un urīnizvades sistēmas traucējumi</w:t>
            </w:r>
          </w:p>
        </w:tc>
        <w:tc>
          <w:tcPr>
            <w:tcW w:w="2927" w:type="dxa"/>
          </w:tcPr>
          <w:p w14:paraId="152FA31D" w14:textId="77777777" w:rsidR="002459EE" w:rsidRPr="002E5DDC" w:rsidRDefault="002459EE" w:rsidP="00A75C3F">
            <w:pPr>
              <w:pStyle w:val="Default"/>
              <w:rPr>
                <w:szCs w:val="23"/>
                <w:lang w:val="lv-LV"/>
              </w:rPr>
            </w:pPr>
            <w:r w:rsidRPr="002E5DDC">
              <w:rPr>
                <w:szCs w:val="23"/>
                <w:lang w:val="lv-LV"/>
              </w:rPr>
              <w:t>Bieži</w:t>
            </w:r>
          </w:p>
        </w:tc>
        <w:tc>
          <w:tcPr>
            <w:tcW w:w="2927" w:type="dxa"/>
          </w:tcPr>
          <w:p w14:paraId="5F9143C2" w14:textId="77777777" w:rsidR="002459EE" w:rsidRPr="002E5DDC" w:rsidRDefault="002459EE" w:rsidP="00A75C3F">
            <w:pPr>
              <w:pStyle w:val="Default"/>
              <w:rPr>
                <w:szCs w:val="23"/>
                <w:lang w:val="lv-LV"/>
              </w:rPr>
            </w:pPr>
            <w:r w:rsidRPr="002E5DDC">
              <w:rPr>
                <w:szCs w:val="23"/>
                <w:lang w:val="lv-LV"/>
              </w:rPr>
              <w:t>Poliūrija</w:t>
            </w:r>
          </w:p>
        </w:tc>
      </w:tr>
      <w:tr w:rsidR="002459EE" w:rsidRPr="002E5DDC" w14:paraId="271B8F97" w14:textId="77777777" w:rsidTr="002E5DDC">
        <w:trPr>
          <w:trHeight w:val="153"/>
        </w:trPr>
        <w:tc>
          <w:tcPr>
            <w:tcW w:w="2927" w:type="dxa"/>
            <w:vMerge/>
          </w:tcPr>
          <w:p w14:paraId="7A588422" w14:textId="77777777" w:rsidR="002459EE" w:rsidRPr="002E5DDC" w:rsidRDefault="002459EE" w:rsidP="00A75C3F">
            <w:pPr>
              <w:pStyle w:val="Default"/>
              <w:rPr>
                <w:color w:val="auto"/>
                <w:lang w:val="lv-LV"/>
              </w:rPr>
            </w:pPr>
          </w:p>
        </w:tc>
        <w:tc>
          <w:tcPr>
            <w:tcW w:w="2927" w:type="dxa"/>
          </w:tcPr>
          <w:p w14:paraId="30D204B0" w14:textId="77777777" w:rsidR="002459EE" w:rsidRPr="002E5DDC" w:rsidRDefault="002459EE" w:rsidP="00A75C3F">
            <w:pPr>
              <w:pStyle w:val="Default"/>
              <w:rPr>
                <w:szCs w:val="23"/>
                <w:lang w:val="lv-LV"/>
              </w:rPr>
            </w:pPr>
            <w:r w:rsidRPr="002E5DDC">
              <w:rPr>
                <w:szCs w:val="23"/>
                <w:lang w:val="lv-LV"/>
              </w:rPr>
              <w:t>Retāk</w:t>
            </w:r>
          </w:p>
        </w:tc>
        <w:tc>
          <w:tcPr>
            <w:tcW w:w="2927" w:type="dxa"/>
          </w:tcPr>
          <w:p w14:paraId="040AA2FE" w14:textId="77777777" w:rsidR="002459EE" w:rsidRPr="002E5DDC" w:rsidRDefault="002459EE" w:rsidP="00A75C3F">
            <w:pPr>
              <w:pStyle w:val="Default"/>
              <w:rPr>
                <w:szCs w:val="23"/>
                <w:lang w:val="lv-LV"/>
              </w:rPr>
            </w:pPr>
            <w:r w:rsidRPr="002E5DDC">
              <w:rPr>
                <w:szCs w:val="23"/>
                <w:lang w:val="lv-LV"/>
              </w:rPr>
              <w:t>Urīna aizture</w:t>
            </w:r>
          </w:p>
        </w:tc>
      </w:tr>
      <w:tr w:rsidR="002459EE" w:rsidRPr="005B7B02" w14:paraId="5EC97A4E" w14:textId="77777777" w:rsidTr="002E5DDC">
        <w:trPr>
          <w:trHeight w:val="153"/>
        </w:trPr>
        <w:tc>
          <w:tcPr>
            <w:tcW w:w="2927" w:type="dxa"/>
            <w:vMerge w:val="restart"/>
          </w:tcPr>
          <w:p w14:paraId="676058DD" w14:textId="77777777" w:rsidR="002459EE" w:rsidRPr="002E5DDC" w:rsidRDefault="002459EE" w:rsidP="00A75C3F">
            <w:pPr>
              <w:pStyle w:val="Default"/>
              <w:rPr>
                <w:color w:val="auto"/>
                <w:lang w:val="lv-LV"/>
              </w:rPr>
            </w:pPr>
            <w:r w:rsidRPr="002E5DDC">
              <w:rPr>
                <w:color w:val="auto"/>
                <w:lang w:val="lv-LV"/>
              </w:rPr>
              <w:t xml:space="preserve">Reproduktīvās sistēmas traucējumi un krūts </w:t>
            </w:r>
            <w:r w:rsidRPr="002E5DDC">
              <w:rPr>
                <w:color w:val="auto"/>
                <w:lang w:val="lv-LV"/>
              </w:rPr>
              <w:lastRenderedPageBreak/>
              <w:t>slimības</w:t>
            </w:r>
          </w:p>
        </w:tc>
        <w:tc>
          <w:tcPr>
            <w:tcW w:w="2927" w:type="dxa"/>
          </w:tcPr>
          <w:p w14:paraId="763DFB49" w14:textId="77777777" w:rsidR="002459EE" w:rsidRPr="002E5DDC" w:rsidRDefault="002459EE" w:rsidP="00A75C3F">
            <w:pPr>
              <w:pStyle w:val="Default"/>
              <w:rPr>
                <w:szCs w:val="23"/>
                <w:lang w:val="lv-LV"/>
              </w:rPr>
            </w:pPr>
            <w:r w:rsidRPr="002E5DDC">
              <w:rPr>
                <w:szCs w:val="23"/>
                <w:lang w:val="lv-LV"/>
              </w:rPr>
              <w:lastRenderedPageBreak/>
              <w:t>Bieži</w:t>
            </w:r>
          </w:p>
        </w:tc>
        <w:tc>
          <w:tcPr>
            <w:tcW w:w="2927" w:type="dxa"/>
          </w:tcPr>
          <w:p w14:paraId="42DE1A07" w14:textId="77777777" w:rsidR="002459EE" w:rsidRPr="002E5DDC" w:rsidRDefault="002459EE" w:rsidP="00A75C3F">
            <w:pPr>
              <w:pStyle w:val="Default"/>
              <w:rPr>
                <w:szCs w:val="23"/>
                <w:lang w:val="lv-LV"/>
              </w:rPr>
            </w:pPr>
            <w:r w:rsidRPr="002E5DDC">
              <w:rPr>
                <w:szCs w:val="23"/>
                <w:lang w:val="lv-LV"/>
              </w:rPr>
              <w:t>Impotence, ejakulācijas traucējumi, nespēja ejakulēt</w:t>
            </w:r>
          </w:p>
          <w:p w14:paraId="5D9957C8" w14:textId="77777777" w:rsidR="002459EE" w:rsidRPr="002E5DDC" w:rsidRDefault="002459EE" w:rsidP="00A75C3F">
            <w:pPr>
              <w:pStyle w:val="Default"/>
              <w:rPr>
                <w:szCs w:val="23"/>
                <w:lang w:val="lv-LV"/>
              </w:rPr>
            </w:pPr>
            <w:r w:rsidRPr="002E5DDC">
              <w:rPr>
                <w:szCs w:val="23"/>
                <w:lang w:val="lv-LV"/>
              </w:rPr>
              <w:lastRenderedPageBreak/>
              <w:t>Sievietēm: dismenoreja</w:t>
            </w:r>
          </w:p>
        </w:tc>
      </w:tr>
      <w:tr w:rsidR="002459EE" w:rsidRPr="002E5DDC" w14:paraId="52A4A87B" w14:textId="77777777" w:rsidTr="002E5DDC">
        <w:trPr>
          <w:trHeight w:val="153"/>
        </w:trPr>
        <w:tc>
          <w:tcPr>
            <w:tcW w:w="2927" w:type="dxa"/>
            <w:vMerge/>
          </w:tcPr>
          <w:p w14:paraId="7265FCB1" w14:textId="77777777" w:rsidR="002459EE" w:rsidRPr="002E5DDC" w:rsidRDefault="002459EE" w:rsidP="00A75C3F">
            <w:pPr>
              <w:pStyle w:val="Default"/>
              <w:rPr>
                <w:color w:val="auto"/>
                <w:lang w:val="lv-LV"/>
              </w:rPr>
            </w:pPr>
          </w:p>
        </w:tc>
        <w:tc>
          <w:tcPr>
            <w:tcW w:w="2927" w:type="dxa"/>
          </w:tcPr>
          <w:p w14:paraId="4D9C03E4" w14:textId="77777777" w:rsidR="002459EE" w:rsidRPr="002E5DDC" w:rsidRDefault="002459EE" w:rsidP="00A75C3F">
            <w:pPr>
              <w:pStyle w:val="Default"/>
              <w:rPr>
                <w:szCs w:val="23"/>
                <w:lang w:val="lv-LV"/>
              </w:rPr>
            </w:pPr>
            <w:r w:rsidRPr="002E5DDC">
              <w:rPr>
                <w:szCs w:val="23"/>
                <w:lang w:val="lv-LV"/>
              </w:rPr>
              <w:t>Retāk</w:t>
            </w:r>
          </w:p>
        </w:tc>
        <w:tc>
          <w:tcPr>
            <w:tcW w:w="2927" w:type="dxa"/>
          </w:tcPr>
          <w:p w14:paraId="754E29C0" w14:textId="77777777" w:rsidR="002459EE" w:rsidRPr="002E5DDC" w:rsidRDefault="002459EE" w:rsidP="00A75C3F">
            <w:pPr>
              <w:pStyle w:val="Default"/>
              <w:rPr>
                <w:szCs w:val="23"/>
                <w:lang w:val="lv-LV"/>
              </w:rPr>
            </w:pPr>
            <w:r w:rsidRPr="002E5DDC">
              <w:rPr>
                <w:szCs w:val="23"/>
                <w:lang w:val="lv-LV"/>
              </w:rPr>
              <w:t>Sievietēm: menorāģija</w:t>
            </w:r>
          </w:p>
        </w:tc>
      </w:tr>
      <w:tr w:rsidR="002459EE" w:rsidRPr="005B7B02" w14:paraId="2B4477B9" w14:textId="77777777" w:rsidTr="002E5DDC">
        <w:trPr>
          <w:trHeight w:val="153"/>
        </w:trPr>
        <w:tc>
          <w:tcPr>
            <w:tcW w:w="2927" w:type="dxa"/>
            <w:vMerge/>
          </w:tcPr>
          <w:p w14:paraId="11E048BC" w14:textId="77777777" w:rsidR="002459EE" w:rsidRPr="002E5DDC" w:rsidRDefault="002459EE" w:rsidP="00A75C3F">
            <w:pPr>
              <w:pStyle w:val="Default"/>
              <w:rPr>
                <w:color w:val="auto"/>
                <w:lang w:val="lv-LV"/>
              </w:rPr>
            </w:pPr>
          </w:p>
        </w:tc>
        <w:tc>
          <w:tcPr>
            <w:tcW w:w="2927" w:type="dxa"/>
          </w:tcPr>
          <w:p w14:paraId="645303CD" w14:textId="77777777" w:rsidR="002459EE" w:rsidRPr="002E5DDC" w:rsidRDefault="002459EE" w:rsidP="00A75C3F">
            <w:pPr>
              <w:pStyle w:val="Default"/>
              <w:rPr>
                <w:szCs w:val="23"/>
                <w:lang w:val="lv-LV"/>
              </w:rPr>
            </w:pPr>
            <w:r w:rsidRPr="002E5DDC">
              <w:rPr>
                <w:szCs w:val="23"/>
                <w:lang w:val="lv-LV"/>
              </w:rPr>
              <w:t>Nav zināmi</w:t>
            </w:r>
          </w:p>
        </w:tc>
        <w:tc>
          <w:tcPr>
            <w:tcW w:w="2927" w:type="dxa"/>
          </w:tcPr>
          <w:p w14:paraId="5FC5AF74" w14:textId="77777777" w:rsidR="002459EE" w:rsidRPr="002E5DDC" w:rsidRDefault="002459EE" w:rsidP="00A75C3F">
            <w:pPr>
              <w:pStyle w:val="Default"/>
              <w:rPr>
                <w:szCs w:val="23"/>
                <w:lang w:val="lv-LV"/>
              </w:rPr>
            </w:pPr>
            <w:r w:rsidRPr="002E5DDC">
              <w:rPr>
                <w:szCs w:val="23"/>
                <w:lang w:val="lv-LV"/>
              </w:rPr>
              <w:t>Sievietēm: metrorāģija</w:t>
            </w:r>
            <w:r w:rsidR="006B0F8B">
              <w:rPr>
                <w:szCs w:val="23"/>
                <w:lang w:val="lv-LV"/>
              </w:rPr>
              <w:t xml:space="preserve">, </w:t>
            </w:r>
            <w:r w:rsidR="006B0F8B" w:rsidRPr="006B0F8B">
              <w:rPr>
                <w:szCs w:val="23"/>
                <w:lang w:val="lv-LV"/>
              </w:rPr>
              <w:t>pēcdzemdību asiņošana*</w:t>
            </w:r>
          </w:p>
          <w:p w14:paraId="3DE8E921" w14:textId="77777777" w:rsidR="002459EE" w:rsidRPr="002E5DDC" w:rsidRDefault="002459EE" w:rsidP="00A75C3F">
            <w:pPr>
              <w:pStyle w:val="Default"/>
              <w:rPr>
                <w:szCs w:val="23"/>
                <w:lang w:val="lv-LV"/>
              </w:rPr>
            </w:pPr>
            <w:r w:rsidRPr="002E5DDC">
              <w:rPr>
                <w:szCs w:val="23"/>
                <w:lang w:val="lv-LV"/>
              </w:rPr>
              <w:t>Vīriešiem: priapisms, galaktoreja</w:t>
            </w:r>
          </w:p>
        </w:tc>
      </w:tr>
      <w:tr w:rsidR="002459EE" w:rsidRPr="002E5DDC" w14:paraId="42E9FD98" w14:textId="77777777" w:rsidTr="002E5DDC">
        <w:trPr>
          <w:trHeight w:val="153"/>
        </w:trPr>
        <w:tc>
          <w:tcPr>
            <w:tcW w:w="2927" w:type="dxa"/>
            <w:vMerge w:val="restart"/>
          </w:tcPr>
          <w:p w14:paraId="7CB1BAC9" w14:textId="77777777" w:rsidR="002459EE" w:rsidRPr="002E5DDC" w:rsidRDefault="002459EE" w:rsidP="00A75C3F">
            <w:pPr>
              <w:pStyle w:val="Default"/>
              <w:rPr>
                <w:color w:val="auto"/>
                <w:lang w:val="lv-LV"/>
              </w:rPr>
            </w:pPr>
            <w:r w:rsidRPr="002E5DDC">
              <w:rPr>
                <w:color w:val="auto"/>
                <w:lang w:val="lv-LV"/>
              </w:rPr>
              <w:t>Vispārēji traucējumi un reakcijas ievadīšanas vietā</w:t>
            </w:r>
          </w:p>
        </w:tc>
        <w:tc>
          <w:tcPr>
            <w:tcW w:w="2927" w:type="dxa"/>
          </w:tcPr>
          <w:p w14:paraId="4957B545" w14:textId="77777777" w:rsidR="002459EE" w:rsidRPr="002E5DDC" w:rsidRDefault="002459EE" w:rsidP="00A75C3F">
            <w:pPr>
              <w:pStyle w:val="Default"/>
              <w:rPr>
                <w:szCs w:val="23"/>
                <w:lang w:val="lv-LV"/>
              </w:rPr>
            </w:pPr>
            <w:r w:rsidRPr="002E5DDC">
              <w:rPr>
                <w:szCs w:val="23"/>
                <w:lang w:val="lv-LV"/>
              </w:rPr>
              <w:t>Bieži</w:t>
            </w:r>
          </w:p>
        </w:tc>
        <w:tc>
          <w:tcPr>
            <w:tcW w:w="2927" w:type="dxa"/>
          </w:tcPr>
          <w:p w14:paraId="44D1E278" w14:textId="77777777" w:rsidR="002459EE" w:rsidRPr="002E5DDC" w:rsidRDefault="002459EE" w:rsidP="00A75C3F">
            <w:pPr>
              <w:pStyle w:val="Default"/>
              <w:rPr>
                <w:szCs w:val="23"/>
                <w:lang w:val="lv-LV"/>
              </w:rPr>
            </w:pPr>
            <w:r w:rsidRPr="002E5DDC">
              <w:rPr>
                <w:szCs w:val="23"/>
                <w:lang w:val="lv-LV"/>
              </w:rPr>
              <w:t>Nespēks</w:t>
            </w:r>
          </w:p>
        </w:tc>
      </w:tr>
      <w:tr w:rsidR="002459EE" w:rsidRPr="002E5DDC" w14:paraId="52C5720F" w14:textId="77777777" w:rsidTr="002E5DDC">
        <w:trPr>
          <w:trHeight w:val="153"/>
        </w:trPr>
        <w:tc>
          <w:tcPr>
            <w:tcW w:w="2927" w:type="dxa"/>
            <w:vMerge/>
          </w:tcPr>
          <w:p w14:paraId="25B28E8E" w14:textId="77777777" w:rsidR="002459EE" w:rsidRPr="002E5DDC" w:rsidRDefault="002459EE" w:rsidP="00A75C3F">
            <w:pPr>
              <w:pStyle w:val="Default"/>
              <w:rPr>
                <w:color w:val="auto"/>
                <w:lang w:val="lv-LV"/>
              </w:rPr>
            </w:pPr>
          </w:p>
        </w:tc>
        <w:tc>
          <w:tcPr>
            <w:tcW w:w="2927" w:type="dxa"/>
          </w:tcPr>
          <w:p w14:paraId="4E13AB5C" w14:textId="77777777" w:rsidR="002459EE" w:rsidRPr="002E5DDC" w:rsidRDefault="002459EE" w:rsidP="00A75C3F">
            <w:pPr>
              <w:pStyle w:val="Default"/>
              <w:rPr>
                <w:szCs w:val="23"/>
                <w:lang w:val="lv-LV"/>
              </w:rPr>
            </w:pPr>
            <w:r w:rsidRPr="002E5DDC">
              <w:rPr>
                <w:szCs w:val="23"/>
                <w:lang w:val="lv-LV"/>
              </w:rPr>
              <w:t>Retāk</w:t>
            </w:r>
          </w:p>
        </w:tc>
        <w:tc>
          <w:tcPr>
            <w:tcW w:w="2927" w:type="dxa"/>
          </w:tcPr>
          <w:p w14:paraId="63A1D717" w14:textId="77777777" w:rsidR="002459EE" w:rsidRPr="002E5DDC" w:rsidRDefault="002459EE" w:rsidP="00A75C3F">
            <w:pPr>
              <w:pStyle w:val="Default"/>
              <w:rPr>
                <w:szCs w:val="23"/>
                <w:lang w:val="lv-LV"/>
              </w:rPr>
            </w:pPr>
            <w:r w:rsidRPr="002E5DDC">
              <w:rPr>
                <w:szCs w:val="23"/>
                <w:lang w:val="lv-LV"/>
              </w:rPr>
              <w:t>Tūska</w:t>
            </w:r>
          </w:p>
        </w:tc>
      </w:tr>
      <w:tr w:rsidR="002459EE" w:rsidRPr="002E5DDC" w14:paraId="106268D8" w14:textId="77777777" w:rsidTr="002E5DDC">
        <w:trPr>
          <w:trHeight w:val="153"/>
        </w:trPr>
        <w:tc>
          <w:tcPr>
            <w:tcW w:w="2927" w:type="dxa"/>
            <w:vMerge/>
          </w:tcPr>
          <w:p w14:paraId="7BB58815" w14:textId="77777777" w:rsidR="002459EE" w:rsidRPr="002E5DDC" w:rsidRDefault="002459EE" w:rsidP="00A75C3F">
            <w:pPr>
              <w:pStyle w:val="Default"/>
              <w:rPr>
                <w:color w:val="auto"/>
                <w:lang w:val="lv-LV"/>
              </w:rPr>
            </w:pPr>
          </w:p>
        </w:tc>
        <w:tc>
          <w:tcPr>
            <w:tcW w:w="2927" w:type="dxa"/>
          </w:tcPr>
          <w:p w14:paraId="7E327746" w14:textId="77777777" w:rsidR="002459EE" w:rsidRPr="002E5DDC" w:rsidRDefault="002459EE" w:rsidP="00A75C3F">
            <w:pPr>
              <w:pStyle w:val="Default"/>
              <w:rPr>
                <w:szCs w:val="23"/>
                <w:lang w:val="lv-LV"/>
              </w:rPr>
            </w:pPr>
            <w:r w:rsidRPr="002E5DDC">
              <w:rPr>
                <w:szCs w:val="23"/>
                <w:lang w:val="lv-LV"/>
              </w:rPr>
              <w:t>Reti</w:t>
            </w:r>
          </w:p>
        </w:tc>
        <w:tc>
          <w:tcPr>
            <w:tcW w:w="2927" w:type="dxa"/>
          </w:tcPr>
          <w:p w14:paraId="7116BD20" w14:textId="77777777" w:rsidR="002459EE" w:rsidRPr="002E5DDC" w:rsidRDefault="002459EE" w:rsidP="00A75C3F">
            <w:pPr>
              <w:pStyle w:val="Default"/>
              <w:rPr>
                <w:szCs w:val="23"/>
                <w:lang w:val="lv-LV"/>
              </w:rPr>
            </w:pPr>
            <w:r w:rsidRPr="002E5DDC">
              <w:rPr>
                <w:szCs w:val="23"/>
                <w:lang w:val="lv-LV"/>
              </w:rPr>
              <w:t>Drudzis</w:t>
            </w:r>
          </w:p>
        </w:tc>
      </w:tr>
    </w:tbl>
    <w:p w14:paraId="2A5CCF75" w14:textId="77777777" w:rsidR="002E5DDC" w:rsidRDefault="006B0F8B" w:rsidP="00A75C3F">
      <w:pPr>
        <w:pStyle w:val="Default"/>
        <w:rPr>
          <w:color w:val="auto"/>
          <w:lang w:val="lv-LV"/>
        </w:rPr>
      </w:pPr>
      <w:r w:rsidRPr="006B0F8B">
        <w:rPr>
          <w:color w:val="auto"/>
          <w:lang w:val="lv-LV"/>
        </w:rPr>
        <w:t>* Par šo traucējumu ziņots kā par SSAI/SNAI grupas zālēm raksturīgu ietekmi (skatīt 4.4. un 4.6. apakšpunktu).</w:t>
      </w:r>
    </w:p>
    <w:p w14:paraId="458F7CB1" w14:textId="77777777" w:rsidR="006B0F8B" w:rsidRPr="00C331A0" w:rsidRDefault="006B0F8B" w:rsidP="00A75C3F">
      <w:pPr>
        <w:pStyle w:val="Default"/>
        <w:rPr>
          <w:color w:val="auto"/>
          <w:lang w:val="lv-LV"/>
        </w:rPr>
      </w:pPr>
    </w:p>
    <w:p w14:paraId="2CAF6D31" w14:textId="77777777" w:rsidR="002E5DDC" w:rsidRPr="00C331A0" w:rsidRDefault="002E5DDC" w:rsidP="00A75C3F">
      <w:pPr>
        <w:pStyle w:val="Default"/>
        <w:rPr>
          <w:color w:val="auto"/>
          <w:szCs w:val="23"/>
          <w:lang w:val="lv-LV"/>
        </w:rPr>
      </w:pPr>
      <w:r w:rsidRPr="00C331A0">
        <w:rPr>
          <w:color w:val="auto"/>
          <w:szCs w:val="23"/>
          <w:lang w:val="lv-LV"/>
        </w:rPr>
        <w:t>Pacientu skaits: citaloprā</w:t>
      </w:r>
      <w:r w:rsidR="002459EE">
        <w:rPr>
          <w:color w:val="auto"/>
          <w:szCs w:val="23"/>
          <w:lang w:val="lv-LV"/>
        </w:rPr>
        <w:t>ms/placebo = 1346/545</w:t>
      </w:r>
    </w:p>
    <w:p w14:paraId="60FCB0F0" w14:textId="77777777" w:rsidR="002E5DDC" w:rsidRPr="00C331A0" w:rsidRDefault="002E5DDC" w:rsidP="00A75C3F">
      <w:pPr>
        <w:pStyle w:val="Default"/>
        <w:rPr>
          <w:color w:val="auto"/>
          <w:szCs w:val="23"/>
          <w:lang w:val="lv-LV"/>
        </w:rPr>
      </w:pPr>
      <w:r w:rsidRPr="002459EE">
        <w:rPr>
          <w:color w:val="auto"/>
          <w:szCs w:val="16"/>
          <w:vertAlign w:val="superscript"/>
          <w:lang w:val="lv-LV"/>
        </w:rPr>
        <w:t>1</w:t>
      </w:r>
      <w:r w:rsidRPr="00C331A0">
        <w:rPr>
          <w:color w:val="auto"/>
          <w:szCs w:val="23"/>
          <w:lang w:val="lv-LV"/>
        </w:rPr>
        <w:t xml:space="preserve"> Pēc zāļu nonākšanas tirgū ir ziņots par QT intervāla pagarināšanos un ventrikulāru aritmiju, tajā skaitā </w:t>
      </w:r>
      <w:r w:rsidRPr="00C331A0">
        <w:rPr>
          <w:i/>
          <w:iCs/>
          <w:color w:val="auto"/>
          <w:szCs w:val="23"/>
          <w:lang w:val="lv-LV"/>
        </w:rPr>
        <w:t>torsades de pointes</w:t>
      </w:r>
      <w:r w:rsidRPr="00C331A0">
        <w:rPr>
          <w:color w:val="auto"/>
          <w:szCs w:val="23"/>
          <w:lang w:val="lv-LV"/>
        </w:rPr>
        <w:t>, gadījumiem, galvenokārt sieviešu dzimuma pacientēm, pacientiem ar hipokaliēmiju, esošu pagarinātu QT intervālu vai citām sirds slimībām (skatīt 4.3</w:t>
      </w:r>
      <w:r w:rsidR="009260A5">
        <w:rPr>
          <w:color w:val="auto"/>
          <w:szCs w:val="23"/>
          <w:lang w:val="lv-LV"/>
        </w:rPr>
        <w:t>.</w:t>
      </w:r>
      <w:r w:rsidRPr="00C331A0">
        <w:rPr>
          <w:color w:val="auto"/>
          <w:szCs w:val="23"/>
          <w:lang w:val="lv-LV"/>
        </w:rPr>
        <w:t>, 4.4</w:t>
      </w:r>
      <w:r w:rsidR="009260A5">
        <w:rPr>
          <w:color w:val="auto"/>
          <w:szCs w:val="23"/>
          <w:lang w:val="lv-LV"/>
        </w:rPr>
        <w:t>.</w:t>
      </w:r>
      <w:r w:rsidRPr="00C331A0">
        <w:rPr>
          <w:color w:val="auto"/>
          <w:szCs w:val="23"/>
          <w:lang w:val="lv-LV"/>
        </w:rPr>
        <w:t>, 4.5</w:t>
      </w:r>
      <w:r w:rsidR="009260A5">
        <w:rPr>
          <w:color w:val="auto"/>
          <w:szCs w:val="23"/>
          <w:lang w:val="lv-LV"/>
        </w:rPr>
        <w:t>.</w:t>
      </w:r>
      <w:r w:rsidRPr="00C331A0">
        <w:rPr>
          <w:color w:val="auto"/>
          <w:szCs w:val="23"/>
          <w:lang w:val="lv-LV"/>
        </w:rPr>
        <w:t>, 4.9</w:t>
      </w:r>
      <w:r w:rsidR="009260A5">
        <w:rPr>
          <w:color w:val="auto"/>
          <w:szCs w:val="23"/>
          <w:lang w:val="lv-LV"/>
        </w:rPr>
        <w:t>.</w:t>
      </w:r>
      <w:r w:rsidRPr="00C331A0">
        <w:rPr>
          <w:color w:val="auto"/>
          <w:szCs w:val="23"/>
          <w:lang w:val="lv-LV"/>
        </w:rPr>
        <w:t xml:space="preserve"> un 5.1</w:t>
      </w:r>
      <w:r w:rsidR="009260A5">
        <w:rPr>
          <w:color w:val="auto"/>
          <w:szCs w:val="23"/>
          <w:lang w:val="lv-LV"/>
        </w:rPr>
        <w:t>.</w:t>
      </w:r>
      <w:r w:rsidRPr="00C331A0">
        <w:rPr>
          <w:color w:val="auto"/>
          <w:szCs w:val="23"/>
          <w:lang w:val="lv-LV"/>
        </w:rPr>
        <w:t xml:space="preserve"> apakš</w:t>
      </w:r>
      <w:r w:rsidR="002459EE">
        <w:rPr>
          <w:color w:val="auto"/>
          <w:szCs w:val="23"/>
          <w:lang w:val="lv-LV"/>
        </w:rPr>
        <w:t>punktu).</w:t>
      </w:r>
    </w:p>
    <w:p w14:paraId="591CD39C" w14:textId="77777777" w:rsidR="002E5DDC" w:rsidRPr="00C331A0" w:rsidRDefault="002E5DDC" w:rsidP="00A75C3F">
      <w:pPr>
        <w:pStyle w:val="Default"/>
        <w:rPr>
          <w:color w:val="auto"/>
          <w:szCs w:val="23"/>
          <w:lang w:val="lv-LV"/>
        </w:rPr>
      </w:pPr>
      <w:r w:rsidRPr="002459EE">
        <w:rPr>
          <w:color w:val="auto"/>
          <w:szCs w:val="16"/>
          <w:vertAlign w:val="superscript"/>
          <w:lang w:val="lv-LV"/>
        </w:rPr>
        <w:t>2</w:t>
      </w:r>
      <w:r w:rsidRPr="00C331A0">
        <w:rPr>
          <w:color w:val="auto"/>
          <w:szCs w:val="23"/>
          <w:lang w:val="lv-LV"/>
        </w:rPr>
        <w:t xml:space="preserve"> Saņemti ziņojumu par pašnāvības domām un pašnāvnieciskas uzvedības gadījumiem citaloprāma lietošanas laikā vai drīz pēc tā lietošana</w:t>
      </w:r>
      <w:r w:rsidR="00DF7AD9">
        <w:rPr>
          <w:color w:val="auto"/>
          <w:szCs w:val="23"/>
          <w:lang w:val="lv-LV"/>
        </w:rPr>
        <w:t>s</w:t>
      </w:r>
      <w:r w:rsidRPr="00C331A0">
        <w:rPr>
          <w:color w:val="auto"/>
          <w:szCs w:val="23"/>
          <w:lang w:val="lv-LV"/>
        </w:rPr>
        <w:t xml:space="preserve"> pārtraukšanas (skatīt 4.4</w:t>
      </w:r>
      <w:r w:rsidR="009260A5">
        <w:rPr>
          <w:color w:val="auto"/>
          <w:szCs w:val="23"/>
          <w:lang w:val="lv-LV"/>
        </w:rPr>
        <w:t>.</w:t>
      </w:r>
      <w:r w:rsidRPr="00C331A0">
        <w:rPr>
          <w:color w:val="auto"/>
          <w:szCs w:val="23"/>
          <w:lang w:val="lv-LV"/>
        </w:rPr>
        <w:t xml:space="preserve"> apakš</w:t>
      </w:r>
      <w:r w:rsidR="002459EE">
        <w:rPr>
          <w:color w:val="auto"/>
          <w:szCs w:val="23"/>
          <w:lang w:val="lv-LV"/>
        </w:rPr>
        <w:t>punktu).</w:t>
      </w:r>
    </w:p>
    <w:p w14:paraId="41EEDB24" w14:textId="77777777" w:rsidR="002E5DDC" w:rsidRPr="00C331A0" w:rsidRDefault="002E5DDC" w:rsidP="00A75C3F">
      <w:pPr>
        <w:pStyle w:val="Default"/>
        <w:rPr>
          <w:color w:val="auto"/>
          <w:szCs w:val="23"/>
          <w:lang w:val="lv-LV"/>
        </w:rPr>
      </w:pPr>
    </w:p>
    <w:p w14:paraId="0359DB42" w14:textId="77777777" w:rsidR="002E5DDC" w:rsidRPr="00C331A0" w:rsidRDefault="002E5DDC" w:rsidP="00A75C3F">
      <w:pPr>
        <w:pStyle w:val="Default"/>
        <w:rPr>
          <w:color w:val="auto"/>
          <w:szCs w:val="23"/>
          <w:lang w:val="lv-LV"/>
        </w:rPr>
      </w:pPr>
      <w:r w:rsidRPr="00C331A0">
        <w:rPr>
          <w:i/>
          <w:iCs/>
          <w:color w:val="auto"/>
          <w:szCs w:val="23"/>
          <w:lang w:val="lv-LV"/>
        </w:rPr>
        <w:t>Atcelšanas simptomi, kas novēroti, pārtraucot terapiju</w:t>
      </w:r>
    </w:p>
    <w:p w14:paraId="293D2B06" w14:textId="77777777" w:rsidR="002E5DDC" w:rsidRPr="00C331A0" w:rsidRDefault="002E5DDC" w:rsidP="00A75C3F">
      <w:pPr>
        <w:pStyle w:val="Default"/>
        <w:rPr>
          <w:color w:val="auto"/>
          <w:szCs w:val="23"/>
          <w:lang w:val="lv-LV"/>
        </w:rPr>
      </w:pPr>
      <w:r w:rsidRPr="00C331A0">
        <w:rPr>
          <w:color w:val="auto"/>
          <w:szCs w:val="23"/>
          <w:lang w:val="lv-LV"/>
        </w:rPr>
        <w:t>Citaloprāma terapijas pārtraukšana (īpaši, ja tā notiek strauji) bieži var izraisīt atcelšanas simptomus. Visbiežāk ir ziņots par reiboni, jušanas traucējumiem (ieskaitot parestēziju), miega traucējumiem (tai skaitā bezmiegu un intensīviem sapņiem), uzbudinājumu vai trauksmi, sliktu dūšu un/vai vemšanu, trīci, apmulsumu, svīšanu, galvassāpēm, caureju, sirdsklauvēm, emocionālu nestabilitāti, aizkaitināmību un redzes traucējumiem. Šie simptomi parasti ir viegli līdz mēreni un pašierobežojoši, tomēr dažiem pacientiem tie var būt izteikti un/vai ilgstoši. Tādēļ tad, kad citaloprāma terapija vairs nav nepieciešama, ieteicams terapiju pārtraukt, pakāpeniski samazinot devu (skatīt 4.2</w:t>
      </w:r>
      <w:r w:rsidR="00F51784">
        <w:rPr>
          <w:color w:val="auto"/>
          <w:szCs w:val="23"/>
          <w:lang w:val="lv-LV"/>
        </w:rPr>
        <w:t>.</w:t>
      </w:r>
      <w:r w:rsidRPr="00C331A0">
        <w:rPr>
          <w:color w:val="auto"/>
          <w:szCs w:val="23"/>
          <w:lang w:val="lv-LV"/>
        </w:rPr>
        <w:t xml:space="preserve"> un 4.4</w:t>
      </w:r>
      <w:r w:rsidR="00F51784">
        <w:rPr>
          <w:color w:val="auto"/>
          <w:szCs w:val="23"/>
          <w:lang w:val="lv-LV"/>
        </w:rPr>
        <w:t>.</w:t>
      </w:r>
      <w:r w:rsidRPr="00C331A0">
        <w:rPr>
          <w:color w:val="auto"/>
          <w:szCs w:val="23"/>
          <w:lang w:val="lv-LV"/>
        </w:rPr>
        <w:t xml:space="preserve"> apakš</w:t>
      </w:r>
      <w:r w:rsidR="002459EE">
        <w:rPr>
          <w:color w:val="auto"/>
          <w:szCs w:val="23"/>
          <w:lang w:val="lv-LV"/>
        </w:rPr>
        <w:t>punktus).</w:t>
      </w:r>
    </w:p>
    <w:p w14:paraId="2AA859ED" w14:textId="77777777" w:rsidR="002E5DDC" w:rsidRPr="00C331A0" w:rsidRDefault="002E5DDC" w:rsidP="00A75C3F">
      <w:pPr>
        <w:pStyle w:val="Default"/>
        <w:rPr>
          <w:color w:val="auto"/>
          <w:szCs w:val="23"/>
          <w:lang w:val="lv-LV"/>
        </w:rPr>
      </w:pPr>
    </w:p>
    <w:p w14:paraId="178E9D49" w14:textId="77777777" w:rsidR="002E5DDC" w:rsidRPr="00C331A0" w:rsidRDefault="002E5DDC" w:rsidP="00A75C3F">
      <w:pPr>
        <w:pStyle w:val="Default"/>
        <w:rPr>
          <w:color w:val="auto"/>
          <w:szCs w:val="23"/>
          <w:lang w:val="lv-LV"/>
        </w:rPr>
      </w:pPr>
      <w:r w:rsidRPr="00C331A0">
        <w:rPr>
          <w:i/>
          <w:iCs/>
          <w:color w:val="auto"/>
          <w:szCs w:val="23"/>
          <w:lang w:val="lv-LV"/>
        </w:rPr>
        <w:t>Kaulu lūzumi</w:t>
      </w:r>
    </w:p>
    <w:p w14:paraId="5534B83C" w14:textId="77777777" w:rsidR="002459EE" w:rsidRDefault="002E5DDC" w:rsidP="00A75C3F">
      <w:pPr>
        <w:pStyle w:val="Default"/>
        <w:rPr>
          <w:color w:val="auto"/>
          <w:szCs w:val="23"/>
          <w:lang w:val="lv-LV"/>
        </w:rPr>
      </w:pPr>
      <w:r w:rsidRPr="00C331A0">
        <w:rPr>
          <w:color w:val="auto"/>
          <w:szCs w:val="23"/>
          <w:lang w:val="lv-LV"/>
        </w:rPr>
        <w:t>Epidemioloģiskie pētījumi, kas galvenokārt veikti pacientiem, kuri vecāki par 50 gadiem, liecina par palielinātu kaulu lūzumu risku pacientiem, kuri lieto SSAI un tricikliskos antidepresantus. Nav zināms mehānisms, kas izraisa š</w:t>
      </w:r>
      <w:r w:rsidR="002459EE">
        <w:rPr>
          <w:color w:val="auto"/>
          <w:szCs w:val="23"/>
          <w:lang w:val="lv-LV"/>
        </w:rPr>
        <w:t>o risku.</w:t>
      </w:r>
    </w:p>
    <w:p w14:paraId="628CB0E8" w14:textId="77777777" w:rsidR="002459EE" w:rsidRDefault="002459EE" w:rsidP="00A75C3F">
      <w:pPr>
        <w:pStyle w:val="Default"/>
        <w:rPr>
          <w:color w:val="auto"/>
          <w:szCs w:val="23"/>
          <w:lang w:val="lv-LV"/>
        </w:rPr>
      </w:pPr>
    </w:p>
    <w:p w14:paraId="4A6BAFB0" w14:textId="77777777" w:rsidR="002E5DDC" w:rsidRPr="000B1C99" w:rsidRDefault="002E5DDC" w:rsidP="00A75C3F">
      <w:pPr>
        <w:pStyle w:val="Default"/>
        <w:rPr>
          <w:color w:val="auto"/>
          <w:szCs w:val="23"/>
          <w:u w:val="single"/>
          <w:lang w:val="lv-LV"/>
        </w:rPr>
      </w:pPr>
      <w:r w:rsidRPr="000B1C99">
        <w:rPr>
          <w:color w:val="auto"/>
          <w:szCs w:val="23"/>
          <w:u w:val="single"/>
          <w:lang w:val="lv-LV"/>
        </w:rPr>
        <w:t>Ziņošana par iespējamām nevēlamām blakusparādībā</w:t>
      </w:r>
      <w:r w:rsidR="002459EE" w:rsidRPr="000B1C99">
        <w:rPr>
          <w:color w:val="auto"/>
          <w:szCs w:val="23"/>
          <w:u w:val="single"/>
          <w:lang w:val="lv-LV"/>
        </w:rPr>
        <w:t>m</w:t>
      </w:r>
    </w:p>
    <w:p w14:paraId="203FD2FF" w14:textId="77777777" w:rsidR="002E5DDC" w:rsidRPr="00C331A0" w:rsidRDefault="002E5DDC" w:rsidP="00A75C3F">
      <w:pPr>
        <w:pStyle w:val="Default"/>
        <w:rPr>
          <w:color w:val="auto"/>
          <w:szCs w:val="23"/>
          <w:lang w:val="lv-LV"/>
        </w:rPr>
      </w:pPr>
      <w:r w:rsidRPr="00C331A0">
        <w:rPr>
          <w:color w:val="auto"/>
          <w:szCs w:val="23"/>
          <w:lang w:val="lv-LV"/>
        </w:rPr>
        <w:t>Ir svarīgi ziņot par iespējamām nevēlamām blakusparādībām pēc zāļu reģistrācijas. Tādējādi zāļu ieguvum</w:t>
      </w:r>
      <w:r w:rsidR="00F51784">
        <w:rPr>
          <w:color w:val="auto"/>
          <w:szCs w:val="23"/>
          <w:lang w:val="lv-LV"/>
        </w:rPr>
        <w:t>a</w:t>
      </w:r>
      <w:r w:rsidRPr="00C331A0">
        <w:rPr>
          <w:color w:val="auto"/>
          <w:szCs w:val="23"/>
          <w:lang w:val="lv-LV"/>
        </w:rPr>
        <w:t>/riska attiecība tiek nepārtraukti uzraudzīta. Veselības aprūpes speciālisti tiek lūgti ziņot par jebkādām iespējamām nevēlamām blakusparādībā</w:t>
      </w:r>
      <w:r w:rsidR="002459EE">
        <w:rPr>
          <w:color w:val="auto"/>
          <w:szCs w:val="23"/>
          <w:lang w:val="lv-LV"/>
        </w:rPr>
        <w:t>m</w:t>
      </w:r>
      <w:r w:rsidR="00CD6253">
        <w:rPr>
          <w:color w:val="auto"/>
          <w:szCs w:val="23"/>
          <w:lang w:val="lv-LV"/>
        </w:rPr>
        <w:t xml:space="preserve"> </w:t>
      </w:r>
      <w:r w:rsidRPr="00C331A0">
        <w:rPr>
          <w:color w:val="auto"/>
          <w:szCs w:val="23"/>
          <w:lang w:val="lv-LV"/>
        </w:rPr>
        <w:t>Zāļu valsts aģentū</w:t>
      </w:r>
      <w:r w:rsidR="002459EE">
        <w:rPr>
          <w:color w:val="auto"/>
          <w:szCs w:val="23"/>
          <w:lang w:val="lv-LV"/>
        </w:rPr>
        <w:t>ra</w:t>
      </w:r>
      <w:r w:rsidR="00CD6253">
        <w:rPr>
          <w:color w:val="auto"/>
          <w:szCs w:val="23"/>
          <w:lang w:val="lv-LV"/>
        </w:rPr>
        <w:t xml:space="preserve">i, </w:t>
      </w:r>
      <w:r w:rsidR="002459EE">
        <w:rPr>
          <w:color w:val="auto"/>
          <w:szCs w:val="23"/>
          <w:lang w:val="lv-LV"/>
        </w:rPr>
        <w:t>Jersikas iel</w:t>
      </w:r>
      <w:r w:rsidR="00CD6253">
        <w:rPr>
          <w:color w:val="auto"/>
          <w:szCs w:val="23"/>
          <w:lang w:val="lv-LV"/>
        </w:rPr>
        <w:t>ā</w:t>
      </w:r>
      <w:r w:rsidR="002459EE">
        <w:rPr>
          <w:color w:val="auto"/>
          <w:szCs w:val="23"/>
          <w:lang w:val="lv-LV"/>
        </w:rPr>
        <w:t xml:space="preserve"> 15</w:t>
      </w:r>
      <w:r w:rsidR="00CD6253">
        <w:rPr>
          <w:color w:val="auto"/>
          <w:szCs w:val="23"/>
          <w:lang w:val="lv-LV"/>
        </w:rPr>
        <w:t xml:space="preserve">, </w:t>
      </w:r>
      <w:r w:rsidRPr="00C331A0">
        <w:rPr>
          <w:color w:val="auto"/>
          <w:szCs w:val="23"/>
          <w:lang w:val="lv-LV"/>
        </w:rPr>
        <w:t>Rī</w:t>
      </w:r>
      <w:r w:rsidR="002459EE">
        <w:rPr>
          <w:color w:val="auto"/>
          <w:szCs w:val="23"/>
          <w:lang w:val="lv-LV"/>
        </w:rPr>
        <w:t>g</w:t>
      </w:r>
      <w:r w:rsidR="00CD6253">
        <w:rPr>
          <w:color w:val="auto"/>
          <w:szCs w:val="23"/>
          <w:lang w:val="lv-LV"/>
        </w:rPr>
        <w:t>ā</w:t>
      </w:r>
      <w:r w:rsidR="002459EE">
        <w:rPr>
          <w:color w:val="auto"/>
          <w:szCs w:val="23"/>
          <w:lang w:val="lv-LV"/>
        </w:rPr>
        <w:t>, LV 1003</w:t>
      </w:r>
      <w:r w:rsidR="00CD6253">
        <w:rPr>
          <w:color w:val="auto"/>
          <w:szCs w:val="23"/>
          <w:lang w:val="lv-LV"/>
        </w:rPr>
        <w:t xml:space="preserve">. </w:t>
      </w:r>
      <w:r w:rsidRPr="00C331A0">
        <w:rPr>
          <w:color w:val="auto"/>
          <w:szCs w:val="23"/>
          <w:lang w:val="lv-LV"/>
        </w:rPr>
        <w:t xml:space="preserve">Tīmekļa vietne: </w:t>
      </w:r>
      <w:hyperlink r:id="rId10" w:history="1">
        <w:r w:rsidRPr="00C331A0">
          <w:rPr>
            <w:color w:val="0000FF"/>
            <w:szCs w:val="23"/>
            <w:lang w:val="lv-LV"/>
          </w:rPr>
          <w:t>www.zva.gov.lv</w:t>
        </w:r>
      </w:hyperlink>
    </w:p>
    <w:p w14:paraId="4B8E553B" w14:textId="77777777" w:rsidR="002E5DDC" w:rsidRPr="00C331A0" w:rsidRDefault="002E5DDC" w:rsidP="00A75C3F">
      <w:pPr>
        <w:pStyle w:val="Default"/>
        <w:rPr>
          <w:color w:val="auto"/>
          <w:szCs w:val="23"/>
          <w:lang w:val="lv-LV"/>
        </w:rPr>
      </w:pPr>
    </w:p>
    <w:p w14:paraId="2E68950C" w14:textId="77777777" w:rsidR="002E5DDC" w:rsidRDefault="002E5DDC" w:rsidP="00A75C3F">
      <w:pPr>
        <w:pStyle w:val="Default"/>
        <w:rPr>
          <w:b/>
          <w:bCs/>
          <w:color w:val="auto"/>
          <w:szCs w:val="23"/>
          <w:lang w:val="lv-LV"/>
        </w:rPr>
      </w:pPr>
      <w:r w:rsidRPr="00C331A0">
        <w:rPr>
          <w:b/>
          <w:bCs/>
          <w:color w:val="auto"/>
          <w:szCs w:val="23"/>
          <w:lang w:val="lv-LV"/>
        </w:rPr>
        <w:t>4.9</w:t>
      </w:r>
      <w:r w:rsidR="00F51784">
        <w:rPr>
          <w:b/>
          <w:bCs/>
          <w:color w:val="auto"/>
          <w:szCs w:val="23"/>
          <w:lang w:val="lv-LV"/>
        </w:rPr>
        <w:t>.</w:t>
      </w:r>
      <w:r w:rsidRPr="00C331A0">
        <w:rPr>
          <w:b/>
          <w:bCs/>
          <w:color w:val="auto"/>
          <w:szCs w:val="23"/>
          <w:lang w:val="lv-LV"/>
        </w:rPr>
        <w:t xml:space="preserve"> Pārdozēšana</w:t>
      </w:r>
    </w:p>
    <w:p w14:paraId="7D2AB450" w14:textId="77777777" w:rsidR="00E42F72" w:rsidRPr="00E42F72" w:rsidRDefault="00E42F72" w:rsidP="00A75C3F">
      <w:pPr>
        <w:pStyle w:val="Default"/>
        <w:rPr>
          <w:color w:val="auto"/>
          <w:szCs w:val="23"/>
          <w:lang w:val="lv-LV"/>
        </w:rPr>
      </w:pPr>
    </w:p>
    <w:p w14:paraId="6A5461C9" w14:textId="77777777" w:rsidR="002E5DDC" w:rsidRPr="00C331A0" w:rsidRDefault="002E5DDC" w:rsidP="00A75C3F">
      <w:pPr>
        <w:pStyle w:val="Default"/>
        <w:rPr>
          <w:color w:val="auto"/>
          <w:szCs w:val="23"/>
          <w:lang w:val="lv-LV"/>
        </w:rPr>
      </w:pPr>
      <w:r w:rsidRPr="00C331A0">
        <w:rPr>
          <w:i/>
          <w:iCs/>
          <w:color w:val="auto"/>
          <w:szCs w:val="23"/>
          <w:lang w:val="lv-LV"/>
        </w:rPr>
        <w:t>Toksicitāte</w:t>
      </w:r>
    </w:p>
    <w:p w14:paraId="42385E9F" w14:textId="77777777" w:rsidR="002E5DDC" w:rsidRPr="00C331A0" w:rsidRDefault="002E5DDC" w:rsidP="00A75C3F">
      <w:pPr>
        <w:pStyle w:val="Default"/>
        <w:rPr>
          <w:color w:val="auto"/>
          <w:szCs w:val="23"/>
          <w:lang w:val="lv-LV"/>
        </w:rPr>
      </w:pPr>
      <w:r w:rsidRPr="00C331A0">
        <w:rPr>
          <w:color w:val="auto"/>
          <w:szCs w:val="23"/>
          <w:lang w:val="lv-LV"/>
        </w:rPr>
        <w:t>Visaptveroša klīniskā informācija par citaloprāma pārdozēšanu ir ierobežota un daudzos gadījumos tas ietver vienlaicīgi pārdozēšanu ar citām zālēm/alkoholu. Ziņots par letāliem gadījumiem pārdozējot tikai citaloprāmu, tomēr vairums letālo gadījumu bija saistīti ar citu vienlaicīgi lietoto zāļu pārdozēš</w:t>
      </w:r>
      <w:r w:rsidR="002459EE">
        <w:rPr>
          <w:color w:val="auto"/>
          <w:szCs w:val="23"/>
          <w:lang w:val="lv-LV"/>
        </w:rPr>
        <w:t>anu.</w:t>
      </w:r>
    </w:p>
    <w:p w14:paraId="0792C43F" w14:textId="77777777" w:rsidR="002E5DDC" w:rsidRPr="00C331A0" w:rsidRDefault="002E5DDC" w:rsidP="00A75C3F">
      <w:pPr>
        <w:pStyle w:val="Default"/>
        <w:rPr>
          <w:color w:val="auto"/>
          <w:szCs w:val="23"/>
          <w:lang w:val="lv-LV"/>
        </w:rPr>
      </w:pPr>
    </w:p>
    <w:p w14:paraId="247F4722" w14:textId="77777777" w:rsidR="002E5DDC" w:rsidRPr="00C331A0" w:rsidRDefault="002E5DDC" w:rsidP="00A75C3F">
      <w:pPr>
        <w:pStyle w:val="Default"/>
        <w:rPr>
          <w:color w:val="auto"/>
          <w:szCs w:val="23"/>
          <w:lang w:val="lv-LV"/>
        </w:rPr>
      </w:pPr>
      <w:r w:rsidRPr="00C331A0">
        <w:rPr>
          <w:i/>
          <w:iCs/>
          <w:color w:val="auto"/>
          <w:szCs w:val="23"/>
          <w:lang w:val="lv-LV"/>
        </w:rPr>
        <w:t>Simptomi</w:t>
      </w:r>
    </w:p>
    <w:p w14:paraId="41D89734" w14:textId="77777777" w:rsidR="002E5DDC" w:rsidRPr="00C331A0" w:rsidRDefault="002E5DDC" w:rsidP="00A75C3F">
      <w:pPr>
        <w:pStyle w:val="Default"/>
        <w:rPr>
          <w:color w:val="auto"/>
          <w:szCs w:val="23"/>
          <w:lang w:val="lv-LV"/>
        </w:rPr>
      </w:pPr>
      <w:r w:rsidRPr="00C331A0">
        <w:rPr>
          <w:color w:val="auto"/>
          <w:szCs w:val="23"/>
          <w:lang w:val="lv-LV"/>
        </w:rPr>
        <w:t xml:space="preserve">Citaloprāma pārdozēšanas gadījumā ziņots par sekojošiem simptomiem: krampji, tahikardija, miegainība, pagarināts QT intervāls, koma, vemšana, trīce, hipotensija, sinkope, sirds </w:t>
      </w:r>
      <w:r w:rsidRPr="00C331A0">
        <w:rPr>
          <w:color w:val="auto"/>
          <w:szCs w:val="23"/>
          <w:lang w:val="lv-LV"/>
        </w:rPr>
        <w:lastRenderedPageBreak/>
        <w:t xml:space="preserve">apstāšanās, slikta dūša, serotonīna sindroms, satraukums, bradikardija, reibonis, Hisa kūlīšu blokāde, pagarināts QRS, hipertensija, midriāze, </w:t>
      </w:r>
      <w:r w:rsidRPr="00C331A0">
        <w:rPr>
          <w:i/>
          <w:iCs/>
          <w:color w:val="auto"/>
          <w:szCs w:val="23"/>
          <w:lang w:val="lv-LV"/>
        </w:rPr>
        <w:t>torsades de pointes</w:t>
      </w:r>
      <w:r w:rsidRPr="00C331A0">
        <w:rPr>
          <w:color w:val="auto"/>
          <w:szCs w:val="23"/>
          <w:lang w:val="lv-LV"/>
        </w:rPr>
        <w:t>, stupors, svīšana, cianoze, hiperventilācija, neiromuskulāra hiperaktivitāte, hiperpireksija un atriāla un ventrikulā</w:t>
      </w:r>
      <w:r w:rsidR="002459EE">
        <w:rPr>
          <w:color w:val="auto"/>
          <w:szCs w:val="23"/>
          <w:lang w:val="lv-LV"/>
        </w:rPr>
        <w:t>ra aritmija.</w:t>
      </w:r>
    </w:p>
    <w:p w14:paraId="2D2D740B" w14:textId="77777777" w:rsidR="002E5DDC" w:rsidRPr="00C331A0" w:rsidRDefault="002E5DDC" w:rsidP="00A75C3F">
      <w:pPr>
        <w:pStyle w:val="Default"/>
        <w:rPr>
          <w:color w:val="auto"/>
          <w:szCs w:val="23"/>
          <w:lang w:val="lv-LV"/>
        </w:rPr>
      </w:pPr>
      <w:r w:rsidRPr="00C331A0">
        <w:rPr>
          <w:color w:val="auto"/>
          <w:szCs w:val="23"/>
          <w:lang w:val="lv-LV"/>
        </w:rPr>
        <w:t>Rabdomiolīze novērota retos gadī</w:t>
      </w:r>
      <w:r w:rsidR="002459EE">
        <w:rPr>
          <w:color w:val="auto"/>
          <w:szCs w:val="23"/>
          <w:lang w:val="lv-LV"/>
        </w:rPr>
        <w:t>jumos.</w:t>
      </w:r>
    </w:p>
    <w:p w14:paraId="43C98EC8" w14:textId="77777777" w:rsidR="002E5DDC" w:rsidRPr="00C331A0" w:rsidRDefault="002E5DDC" w:rsidP="00A75C3F">
      <w:pPr>
        <w:pStyle w:val="Default"/>
        <w:rPr>
          <w:color w:val="auto"/>
          <w:szCs w:val="23"/>
          <w:lang w:val="lv-LV"/>
        </w:rPr>
      </w:pPr>
    </w:p>
    <w:p w14:paraId="26775EC2" w14:textId="77777777" w:rsidR="002E5DDC" w:rsidRPr="00C331A0" w:rsidRDefault="002E5DDC" w:rsidP="00A75C3F">
      <w:pPr>
        <w:pStyle w:val="Default"/>
        <w:rPr>
          <w:color w:val="auto"/>
          <w:szCs w:val="23"/>
          <w:lang w:val="lv-LV"/>
        </w:rPr>
      </w:pPr>
      <w:r w:rsidRPr="00C331A0">
        <w:rPr>
          <w:i/>
          <w:iCs/>
          <w:color w:val="auto"/>
          <w:szCs w:val="23"/>
          <w:lang w:val="lv-LV"/>
        </w:rPr>
        <w:t>Ārstēšana</w:t>
      </w:r>
    </w:p>
    <w:p w14:paraId="4C7AF29F" w14:textId="77777777" w:rsidR="002E5DDC" w:rsidRPr="00C331A0" w:rsidRDefault="002E5DDC" w:rsidP="00A75C3F">
      <w:pPr>
        <w:pStyle w:val="Default"/>
        <w:rPr>
          <w:color w:val="auto"/>
          <w:szCs w:val="23"/>
          <w:lang w:val="lv-LV"/>
        </w:rPr>
      </w:pPr>
      <w:r w:rsidRPr="00C331A0">
        <w:rPr>
          <w:color w:val="auto"/>
          <w:szCs w:val="23"/>
          <w:lang w:val="lv-LV"/>
        </w:rPr>
        <w:t>Nav zināms specifisks citaloprāma antidots. Terapijai jābūt simptomātiskai un atbalstošai. Jāapsver aktivētās ogles, osmotisku caureju veicinošu līdzekļu (piemēram, nātrija sulfāta) lietošana un kuņģa skalošana. Samaņas traucējumu gadījumā pacients jāintubē. Jānovēro EKG un dzīvībai svarīgas pazī</w:t>
      </w:r>
      <w:r w:rsidR="002459EE">
        <w:rPr>
          <w:color w:val="auto"/>
          <w:szCs w:val="23"/>
          <w:lang w:val="lv-LV"/>
        </w:rPr>
        <w:t>mes.</w:t>
      </w:r>
    </w:p>
    <w:p w14:paraId="23BA95CE" w14:textId="77777777" w:rsidR="002E5DDC" w:rsidRPr="00C331A0" w:rsidRDefault="002E5DDC" w:rsidP="00A75C3F">
      <w:pPr>
        <w:pStyle w:val="Default"/>
        <w:rPr>
          <w:color w:val="auto"/>
          <w:szCs w:val="23"/>
          <w:lang w:val="lv-LV"/>
        </w:rPr>
      </w:pPr>
      <w:r w:rsidRPr="00C331A0">
        <w:rPr>
          <w:color w:val="auto"/>
          <w:szCs w:val="23"/>
          <w:lang w:val="lv-LV"/>
        </w:rPr>
        <w:t>Pacientiem ar sastrēguma sirds mazspēju/bradiaritmijām, pacientiem, kuri vienlaicīgi lieto zāles, kas var pagarināt QT intervālu, vai arī pacientiem ar vielmaiņas traucējumiem, piemēram, pacientiem ar aknu darbības traucējumiem, pārdozēšanas gadījumā ieteicams veikt EKG novēroš</w:t>
      </w:r>
      <w:r w:rsidR="002459EE">
        <w:rPr>
          <w:color w:val="auto"/>
          <w:szCs w:val="23"/>
          <w:lang w:val="lv-LV"/>
        </w:rPr>
        <w:t>anu.</w:t>
      </w:r>
    </w:p>
    <w:p w14:paraId="4811C3B9" w14:textId="77777777" w:rsidR="002E5DDC" w:rsidRDefault="002E5DDC" w:rsidP="00A75C3F">
      <w:pPr>
        <w:pStyle w:val="Default"/>
        <w:rPr>
          <w:color w:val="auto"/>
          <w:szCs w:val="23"/>
          <w:lang w:val="lv-LV"/>
        </w:rPr>
      </w:pPr>
    </w:p>
    <w:p w14:paraId="6C8E5969" w14:textId="77777777" w:rsidR="00E42F72" w:rsidRPr="00C331A0" w:rsidRDefault="00E42F72" w:rsidP="00A75C3F">
      <w:pPr>
        <w:pStyle w:val="Default"/>
        <w:rPr>
          <w:color w:val="auto"/>
          <w:szCs w:val="23"/>
          <w:lang w:val="lv-LV"/>
        </w:rPr>
      </w:pPr>
    </w:p>
    <w:p w14:paraId="2C08FCBE" w14:textId="77777777" w:rsidR="002E5DDC" w:rsidRPr="00C331A0" w:rsidRDefault="002E5DDC" w:rsidP="00E42F72">
      <w:pPr>
        <w:pStyle w:val="Default"/>
        <w:keepNext/>
        <w:rPr>
          <w:color w:val="auto"/>
          <w:szCs w:val="23"/>
          <w:lang w:val="lv-LV"/>
        </w:rPr>
      </w:pPr>
      <w:r w:rsidRPr="00C331A0">
        <w:rPr>
          <w:b/>
          <w:bCs/>
          <w:color w:val="auto"/>
          <w:szCs w:val="23"/>
          <w:lang w:val="lv-LV"/>
        </w:rPr>
        <w:t>5. FARMAKOLOĢISKĀS ĪPAŠĪBAS</w:t>
      </w:r>
    </w:p>
    <w:p w14:paraId="6FD4D891" w14:textId="77777777" w:rsidR="00E42F72" w:rsidRDefault="00E42F72" w:rsidP="00E42F72">
      <w:pPr>
        <w:pStyle w:val="Default"/>
        <w:keepNext/>
        <w:rPr>
          <w:b/>
          <w:bCs/>
          <w:color w:val="auto"/>
          <w:szCs w:val="23"/>
          <w:lang w:val="lv-LV"/>
        </w:rPr>
      </w:pPr>
    </w:p>
    <w:p w14:paraId="538520D2" w14:textId="77777777" w:rsidR="002E5DDC" w:rsidRPr="00C331A0" w:rsidRDefault="002E5DDC" w:rsidP="00E42F72">
      <w:pPr>
        <w:pStyle w:val="Default"/>
        <w:keepNext/>
        <w:rPr>
          <w:color w:val="auto"/>
          <w:szCs w:val="23"/>
          <w:lang w:val="lv-LV"/>
        </w:rPr>
      </w:pPr>
      <w:r w:rsidRPr="00C331A0">
        <w:rPr>
          <w:b/>
          <w:bCs/>
          <w:color w:val="auto"/>
          <w:szCs w:val="23"/>
          <w:lang w:val="lv-LV"/>
        </w:rPr>
        <w:t>5.1 Farmakodinamiskās īpašības</w:t>
      </w:r>
    </w:p>
    <w:p w14:paraId="3548F2BA" w14:textId="77777777" w:rsidR="00E42F72" w:rsidRDefault="00E42F72" w:rsidP="00E42F72">
      <w:pPr>
        <w:pStyle w:val="Default"/>
        <w:keepNext/>
        <w:rPr>
          <w:b/>
          <w:bCs/>
          <w:color w:val="auto"/>
          <w:szCs w:val="23"/>
          <w:lang w:val="lv-LV"/>
        </w:rPr>
      </w:pPr>
    </w:p>
    <w:p w14:paraId="4A94ACA0" w14:textId="77777777" w:rsidR="002E5DDC" w:rsidRPr="00C331A0" w:rsidRDefault="002E5DDC" w:rsidP="00E42F72">
      <w:pPr>
        <w:pStyle w:val="Default"/>
        <w:keepNext/>
        <w:rPr>
          <w:color w:val="auto"/>
          <w:szCs w:val="23"/>
          <w:lang w:val="lv-LV"/>
        </w:rPr>
      </w:pPr>
      <w:r w:rsidRPr="00C331A0">
        <w:rPr>
          <w:b/>
          <w:bCs/>
          <w:color w:val="auto"/>
          <w:szCs w:val="23"/>
          <w:lang w:val="lv-LV"/>
        </w:rPr>
        <w:t>Farmakoterapeitiskā grupa</w:t>
      </w:r>
      <w:r w:rsidR="002459EE">
        <w:rPr>
          <w:color w:val="auto"/>
          <w:szCs w:val="23"/>
          <w:lang w:val="lv-LV"/>
        </w:rPr>
        <w:t>: antidepresants.</w:t>
      </w:r>
    </w:p>
    <w:p w14:paraId="44AF54E9" w14:textId="77777777" w:rsidR="002E5DDC" w:rsidRPr="00C331A0" w:rsidRDefault="002E5DDC" w:rsidP="00E42F72">
      <w:pPr>
        <w:pStyle w:val="Default"/>
        <w:keepNext/>
        <w:rPr>
          <w:color w:val="auto"/>
          <w:szCs w:val="23"/>
          <w:lang w:val="lv-LV"/>
        </w:rPr>
      </w:pPr>
      <w:r w:rsidRPr="00C331A0">
        <w:rPr>
          <w:b/>
          <w:bCs/>
          <w:color w:val="auto"/>
          <w:szCs w:val="23"/>
          <w:lang w:val="lv-LV"/>
        </w:rPr>
        <w:t>ATĶ kods</w:t>
      </w:r>
      <w:r w:rsidR="002459EE">
        <w:rPr>
          <w:color w:val="auto"/>
          <w:szCs w:val="23"/>
          <w:lang w:val="lv-LV"/>
        </w:rPr>
        <w:t>: N06AB04</w:t>
      </w:r>
    </w:p>
    <w:p w14:paraId="15593FDF" w14:textId="77777777" w:rsidR="002E5DDC" w:rsidRPr="00C331A0" w:rsidRDefault="002E5DDC" w:rsidP="00A75C3F">
      <w:pPr>
        <w:pStyle w:val="Default"/>
        <w:rPr>
          <w:color w:val="auto"/>
          <w:szCs w:val="23"/>
          <w:lang w:val="lv-LV"/>
        </w:rPr>
      </w:pPr>
    </w:p>
    <w:p w14:paraId="1BF3FD98" w14:textId="77777777" w:rsidR="002E5DDC" w:rsidRPr="00C331A0" w:rsidRDefault="002E5DDC" w:rsidP="00A75C3F">
      <w:pPr>
        <w:pStyle w:val="Default"/>
        <w:rPr>
          <w:color w:val="auto"/>
          <w:szCs w:val="23"/>
          <w:lang w:val="lv-LV"/>
        </w:rPr>
      </w:pPr>
      <w:r w:rsidRPr="00C331A0">
        <w:rPr>
          <w:color w:val="auto"/>
          <w:szCs w:val="23"/>
          <w:lang w:val="lv-LV"/>
        </w:rPr>
        <w:t>Citaloprāms ir antidepresants ar izteiktu selektīvu inhibējošu darbību uz 5-hidroksitriptamīna (5-HT, serotonīns) atpakaļsaistīš</w:t>
      </w:r>
      <w:r w:rsidR="002459EE">
        <w:rPr>
          <w:color w:val="auto"/>
          <w:szCs w:val="23"/>
          <w:lang w:val="lv-LV"/>
        </w:rPr>
        <w:t>anos.</w:t>
      </w:r>
    </w:p>
    <w:p w14:paraId="7A5470CE" w14:textId="77777777" w:rsidR="002E5DDC" w:rsidRPr="00C331A0" w:rsidRDefault="002E5DDC" w:rsidP="00A75C3F">
      <w:pPr>
        <w:pStyle w:val="Default"/>
        <w:rPr>
          <w:color w:val="auto"/>
          <w:szCs w:val="23"/>
          <w:lang w:val="lv-LV"/>
        </w:rPr>
      </w:pPr>
    </w:p>
    <w:p w14:paraId="14787EB5" w14:textId="77777777" w:rsidR="002E5DDC" w:rsidRPr="00C331A0" w:rsidRDefault="002E5DDC" w:rsidP="00A75C3F">
      <w:pPr>
        <w:pStyle w:val="Default"/>
        <w:rPr>
          <w:color w:val="auto"/>
          <w:szCs w:val="23"/>
          <w:lang w:val="lv-LV"/>
        </w:rPr>
      </w:pPr>
      <w:r w:rsidRPr="00C331A0">
        <w:rPr>
          <w:i/>
          <w:iCs/>
          <w:color w:val="auto"/>
          <w:szCs w:val="23"/>
          <w:lang w:val="lv-LV"/>
        </w:rPr>
        <w:t>Darbības un farmakodinamisko efektu mehānisms</w:t>
      </w:r>
    </w:p>
    <w:p w14:paraId="6DA1A092" w14:textId="77777777" w:rsidR="002E5DDC" w:rsidRPr="00C331A0" w:rsidRDefault="002E5DDC" w:rsidP="00A75C3F">
      <w:pPr>
        <w:pStyle w:val="Default"/>
        <w:rPr>
          <w:color w:val="auto"/>
          <w:szCs w:val="23"/>
          <w:lang w:val="lv-LV"/>
        </w:rPr>
      </w:pPr>
      <w:r w:rsidRPr="00C331A0">
        <w:rPr>
          <w:color w:val="auto"/>
          <w:szCs w:val="23"/>
          <w:lang w:val="lv-LV"/>
        </w:rPr>
        <w:t>Ilgstošas ārstēšanas gadījumā pret citaloprāma inhibējošo efektu uz 5-HT atpakaļsaistīšanos tolerances veidošanās nav novērota. Antidepresīvais efekts varētu būt saistīts ar serotonīna atpakaļsaistīšanās specifisko inhibēšanu smadzeņ</w:t>
      </w:r>
      <w:r w:rsidR="002459EE">
        <w:rPr>
          <w:color w:val="auto"/>
          <w:szCs w:val="23"/>
          <w:lang w:val="lv-LV"/>
        </w:rPr>
        <w:t>u neironos.</w:t>
      </w:r>
    </w:p>
    <w:p w14:paraId="6C99F16E" w14:textId="77777777" w:rsidR="002E5DDC" w:rsidRPr="00C331A0" w:rsidRDefault="002E5DDC" w:rsidP="00A75C3F">
      <w:pPr>
        <w:pStyle w:val="Default"/>
        <w:rPr>
          <w:color w:val="auto"/>
          <w:szCs w:val="23"/>
          <w:lang w:val="lv-LV"/>
        </w:rPr>
      </w:pPr>
      <w:r w:rsidRPr="00C331A0">
        <w:rPr>
          <w:color w:val="auto"/>
          <w:szCs w:val="23"/>
          <w:lang w:val="lv-LV"/>
        </w:rPr>
        <w:t xml:space="preserve">Citaloprāms </w:t>
      </w:r>
      <w:r w:rsidR="00DE4A27">
        <w:rPr>
          <w:color w:val="auto"/>
          <w:szCs w:val="23"/>
          <w:lang w:val="lv-LV"/>
        </w:rPr>
        <w:t>gandrīz</w:t>
      </w:r>
      <w:r w:rsidRPr="00C331A0">
        <w:rPr>
          <w:color w:val="auto"/>
          <w:szCs w:val="23"/>
          <w:lang w:val="lv-LV"/>
        </w:rPr>
        <w:t xml:space="preserve"> neinhibē noradrenalīna, dopamīna un gamma aminosviestskābes atpakaļsaistīšanos neironos. Citaloprāms neuzrāda vai uzrāda neizteiktu afinitāti pret holīnerģiskiem, histamīnerģiskiem un pret dažādiem adrenerģiskiem, serotonerģiskiem un dopamīnerģ</w:t>
      </w:r>
      <w:r w:rsidR="002459EE">
        <w:rPr>
          <w:color w:val="auto"/>
          <w:szCs w:val="23"/>
          <w:lang w:val="lv-LV"/>
        </w:rPr>
        <w:t>iskiem receptoriem.</w:t>
      </w:r>
    </w:p>
    <w:p w14:paraId="68CFF47B" w14:textId="77777777" w:rsidR="002E5DDC" w:rsidRPr="00C331A0" w:rsidRDefault="002E5DDC" w:rsidP="00A75C3F">
      <w:pPr>
        <w:pStyle w:val="Default"/>
        <w:rPr>
          <w:color w:val="auto"/>
          <w:szCs w:val="23"/>
          <w:lang w:val="lv-LV"/>
        </w:rPr>
      </w:pPr>
      <w:r w:rsidRPr="00C331A0">
        <w:rPr>
          <w:color w:val="auto"/>
          <w:szCs w:val="23"/>
          <w:lang w:val="lv-LV"/>
        </w:rPr>
        <w:t>Citaloprāms ir biciklisks izobenzofurāna atvasinājums, kam nav ķīmiskas līdzības ar tricikliskiem vai tetracikliskiem antidepresantiem, kā arī citiem pieejamajiem depresantiem. Galvenie citaloprāma metabolīti arī ir selektīvā serotonīna atpakaļsaistīšan</w:t>
      </w:r>
      <w:r w:rsidR="00A06140">
        <w:rPr>
          <w:color w:val="auto"/>
          <w:szCs w:val="23"/>
          <w:lang w:val="lv-LV"/>
        </w:rPr>
        <w:t>a</w:t>
      </w:r>
      <w:r w:rsidRPr="00C331A0">
        <w:rPr>
          <w:color w:val="auto"/>
          <w:szCs w:val="23"/>
          <w:lang w:val="lv-LV"/>
        </w:rPr>
        <w:t>s inhibitori, tikai vājākas darbības. Nav ziņots, ka metabolīti palielina kopējo antidepresī</w:t>
      </w:r>
      <w:r w:rsidR="002459EE">
        <w:rPr>
          <w:color w:val="auto"/>
          <w:szCs w:val="23"/>
          <w:lang w:val="lv-LV"/>
        </w:rPr>
        <w:t>vo efektu.</w:t>
      </w:r>
    </w:p>
    <w:p w14:paraId="0CE305B4" w14:textId="77777777" w:rsidR="002E5DDC" w:rsidRPr="00C331A0" w:rsidRDefault="002E5DDC" w:rsidP="00A75C3F">
      <w:pPr>
        <w:pStyle w:val="Default"/>
        <w:rPr>
          <w:color w:val="auto"/>
          <w:szCs w:val="23"/>
          <w:lang w:val="lv-LV"/>
        </w:rPr>
      </w:pPr>
    </w:p>
    <w:p w14:paraId="7C5E76E5" w14:textId="77777777" w:rsidR="002E5DDC" w:rsidRPr="00C331A0" w:rsidRDefault="002E5DDC" w:rsidP="00A75C3F">
      <w:pPr>
        <w:pStyle w:val="Default"/>
        <w:rPr>
          <w:color w:val="auto"/>
          <w:szCs w:val="23"/>
          <w:lang w:val="lv-LV"/>
        </w:rPr>
      </w:pPr>
      <w:r w:rsidRPr="00C331A0">
        <w:rPr>
          <w:color w:val="auto"/>
          <w:szCs w:val="23"/>
          <w:lang w:val="lv-LV"/>
        </w:rPr>
        <w:t>Dubultaklā, placebo kontrolētā EKG pētījumā ar veseliem indivīdiem, lietojot 20 mg dienas devu, izmaiņas no QTc sākuma stāvokļa (</w:t>
      </w:r>
      <w:r w:rsidRPr="00C331A0">
        <w:rPr>
          <w:i/>
          <w:iCs/>
          <w:color w:val="auto"/>
          <w:szCs w:val="23"/>
          <w:lang w:val="lv-LV"/>
        </w:rPr>
        <w:t>Fridericia</w:t>
      </w:r>
      <w:r w:rsidRPr="00C331A0">
        <w:rPr>
          <w:color w:val="auto"/>
          <w:szCs w:val="23"/>
          <w:lang w:val="lv-LV"/>
        </w:rPr>
        <w:t xml:space="preserve"> kritērija) bija 7,5 msek (90 % TI 5,9 – 9,1) un 16,7 msek, lietojot 60 mg dienas devu (skatīt 4.3</w:t>
      </w:r>
      <w:r w:rsidR="00127991">
        <w:rPr>
          <w:color w:val="auto"/>
          <w:szCs w:val="23"/>
          <w:lang w:val="lv-LV"/>
        </w:rPr>
        <w:t>.</w:t>
      </w:r>
      <w:r w:rsidRPr="00C331A0">
        <w:rPr>
          <w:color w:val="auto"/>
          <w:szCs w:val="23"/>
          <w:lang w:val="lv-LV"/>
        </w:rPr>
        <w:t>, 4.4</w:t>
      </w:r>
      <w:r w:rsidR="00127991">
        <w:rPr>
          <w:color w:val="auto"/>
          <w:szCs w:val="23"/>
          <w:lang w:val="lv-LV"/>
        </w:rPr>
        <w:t>.</w:t>
      </w:r>
      <w:r w:rsidRPr="00C331A0">
        <w:rPr>
          <w:color w:val="auto"/>
          <w:szCs w:val="23"/>
          <w:lang w:val="lv-LV"/>
        </w:rPr>
        <w:t>, 4.5</w:t>
      </w:r>
      <w:r w:rsidR="00127991">
        <w:rPr>
          <w:color w:val="auto"/>
          <w:szCs w:val="23"/>
          <w:lang w:val="lv-LV"/>
        </w:rPr>
        <w:t>.</w:t>
      </w:r>
      <w:r w:rsidRPr="00C331A0">
        <w:rPr>
          <w:color w:val="auto"/>
          <w:szCs w:val="23"/>
          <w:lang w:val="lv-LV"/>
        </w:rPr>
        <w:t>, 4.8</w:t>
      </w:r>
      <w:r w:rsidR="00127991">
        <w:rPr>
          <w:color w:val="auto"/>
          <w:szCs w:val="23"/>
          <w:lang w:val="lv-LV"/>
        </w:rPr>
        <w:t>.</w:t>
      </w:r>
      <w:r w:rsidRPr="00C331A0">
        <w:rPr>
          <w:color w:val="auto"/>
          <w:szCs w:val="23"/>
          <w:lang w:val="lv-LV"/>
        </w:rPr>
        <w:t xml:space="preserve"> un 4.9</w:t>
      </w:r>
      <w:r w:rsidR="00127991">
        <w:rPr>
          <w:color w:val="auto"/>
          <w:szCs w:val="23"/>
          <w:lang w:val="lv-LV"/>
        </w:rPr>
        <w:t>.</w:t>
      </w:r>
      <w:r w:rsidRPr="00C331A0">
        <w:rPr>
          <w:color w:val="auto"/>
          <w:szCs w:val="23"/>
          <w:lang w:val="lv-LV"/>
        </w:rPr>
        <w:t xml:space="preserve"> apakšp</w:t>
      </w:r>
      <w:r w:rsidR="002459EE">
        <w:rPr>
          <w:color w:val="auto"/>
          <w:szCs w:val="23"/>
          <w:lang w:val="lv-LV"/>
        </w:rPr>
        <w:t>unktus).</w:t>
      </w:r>
    </w:p>
    <w:p w14:paraId="4F042B59" w14:textId="77777777" w:rsidR="002E5DDC" w:rsidRPr="00C331A0" w:rsidRDefault="002E5DDC" w:rsidP="00A75C3F">
      <w:pPr>
        <w:pStyle w:val="Default"/>
        <w:rPr>
          <w:color w:val="auto"/>
          <w:szCs w:val="23"/>
          <w:lang w:val="lv-LV"/>
        </w:rPr>
      </w:pPr>
    </w:p>
    <w:p w14:paraId="6DFFCE6B" w14:textId="77777777" w:rsidR="002E5DDC" w:rsidRPr="00C331A0" w:rsidRDefault="002E5DDC" w:rsidP="00A75C3F">
      <w:pPr>
        <w:pStyle w:val="Default"/>
        <w:rPr>
          <w:color w:val="auto"/>
          <w:szCs w:val="23"/>
          <w:lang w:val="lv-LV"/>
        </w:rPr>
      </w:pPr>
      <w:r w:rsidRPr="00C331A0">
        <w:rPr>
          <w:b/>
          <w:bCs/>
          <w:color w:val="auto"/>
          <w:szCs w:val="23"/>
          <w:lang w:val="lv-LV"/>
        </w:rPr>
        <w:t>5.2 Farmakokinētiskās īpašības</w:t>
      </w:r>
    </w:p>
    <w:p w14:paraId="099EDDF4" w14:textId="77777777" w:rsidR="00E42F72" w:rsidRPr="00E42F72" w:rsidRDefault="00E42F72" w:rsidP="00A75C3F">
      <w:pPr>
        <w:pStyle w:val="Default"/>
        <w:rPr>
          <w:iCs/>
          <w:color w:val="auto"/>
          <w:sz w:val="22"/>
          <w:szCs w:val="22"/>
          <w:lang w:val="lv-LV"/>
        </w:rPr>
      </w:pPr>
    </w:p>
    <w:p w14:paraId="2EB58F84" w14:textId="77777777" w:rsidR="002E5DDC" w:rsidRPr="00C331A0" w:rsidRDefault="002E5DDC" w:rsidP="00A75C3F">
      <w:pPr>
        <w:pStyle w:val="Default"/>
        <w:rPr>
          <w:color w:val="auto"/>
          <w:szCs w:val="23"/>
          <w:lang w:val="lv-LV"/>
        </w:rPr>
      </w:pPr>
      <w:r w:rsidRPr="00C331A0">
        <w:rPr>
          <w:i/>
          <w:iCs/>
          <w:color w:val="auto"/>
          <w:szCs w:val="23"/>
          <w:lang w:val="lv-LV"/>
        </w:rPr>
        <w:t>Uzsūkšanās</w:t>
      </w:r>
    </w:p>
    <w:p w14:paraId="064F8570" w14:textId="77777777" w:rsidR="002E5DDC" w:rsidRPr="00C331A0" w:rsidRDefault="002E5DDC" w:rsidP="00A75C3F">
      <w:pPr>
        <w:pStyle w:val="Default"/>
        <w:rPr>
          <w:color w:val="auto"/>
          <w:szCs w:val="23"/>
          <w:lang w:val="lv-LV"/>
        </w:rPr>
      </w:pPr>
      <w:r w:rsidRPr="00C331A0">
        <w:rPr>
          <w:color w:val="auto"/>
          <w:szCs w:val="23"/>
          <w:lang w:val="lv-LV"/>
        </w:rPr>
        <w:t>Lietojot iekšķīgi, citaloprāms tiek ātri absorbēts: maksimālā koncentrācija plazmā tiek sasniegta vidēji pēc 4 (1-7) stundām. Absorbcija nav atkarīga no ēdiena uzņemšanas. Perorālā biopieejamība ir ap</w:t>
      </w:r>
      <w:r w:rsidR="002459EE">
        <w:rPr>
          <w:color w:val="auto"/>
          <w:szCs w:val="23"/>
          <w:lang w:val="lv-LV"/>
        </w:rPr>
        <w:t>tuveni 80 %.</w:t>
      </w:r>
    </w:p>
    <w:p w14:paraId="33BEBBEE" w14:textId="77777777" w:rsidR="002E5DDC" w:rsidRPr="00C331A0" w:rsidRDefault="002E5DDC" w:rsidP="00A75C3F">
      <w:pPr>
        <w:pStyle w:val="Default"/>
        <w:rPr>
          <w:color w:val="auto"/>
          <w:szCs w:val="23"/>
          <w:lang w:val="lv-LV"/>
        </w:rPr>
      </w:pPr>
    </w:p>
    <w:p w14:paraId="373C73AD" w14:textId="77777777" w:rsidR="002E5DDC" w:rsidRPr="00C331A0" w:rsidRDefault="002E5DDC" w:rsidP="00A75C3F">
      <w:pPr>
        <w:pStyle w:val="Default"/>
        <w:rPr>
          <w:color w:val="auto"/>
          <w:szCs w:val="23"/>
          <w:lang w:val="lv-LV"/>
        </w:rPr>
      </w:pPr>
      <w:r w:rsidRPr="00C331A0">
        <w:rPr>
          <w:i/>
          <w:iCs/>
          <w:color w:val="auto"/>
          <w:szCs w:val="23"/>
          <w:lang w:val="lv-LV"/>
        </w:rPr>
        <w:lastRenderedPageBreak/>
        <w:t>Sadalījums</w:t>
      </w:r>
    </w:p>
    <w:p w14:paraId="252E8200" w14:textId="77777777" w:rsidR="002E5DDC" w:rsidRPr="00C331A0" w:rsidRDefault="002E5DDC" w:rsidP="00A75C3F">
      <w:pPr>
        <w:pStyle w:val="Default"/>
        <w:rPr>
          <w:color w:val="auto"/>
          <w:szCs w:val="23"/>
          <w:lang w:val="lv-LV"/>
        </w:rPr>
      </w:pPr>
      <w:r w:rsidRPr="00C331A0">
        <w:rPr>
          <w:color w:val="auto"/>
          <w:szCs w:val="23"/>
          <w:lang w:val="lv-LV"/>
        </w:rPr>
        <w:t>Šķietamais izplatīšanās tilpums ir 12-17 l/kg. Plazmas olbaltumvielu saistīšanās ar citaloprāmu un tā metabolī</w:t>
      </w:r>
      <w:r w:rsidR="002459EE">
        <w:rPr>
          <w:color w:val="auto"/>
          <w:szCs w:val="23"/>
          <w:lang w:val="lv-LV"/>
        </w:rPr>
        <w:t>tiem ir zem 80 %.</w:t>
      </w:r>
    </w:p>
    <w:p w14:paraId="043DFECA" w14:textId="77777777" w:rsidR="002E5DDC" w:rsidRPr="00C331A0" w:rsidRDefault="002E5DDC" w:rsidP="00A75C3F">
      <w:pPr>
        <w:pStyle w:val="Default"/>
        <w:rPr>
          <w:color w:val="auto"/>
          <w:szCs w:val="23"/>
          <w:lang w:val="lv-LV"/>
        </w:rPr>
      </w:pPr>
    </w:p>
    <w:p w14:paraId="5964351E" w14:textId="77777777" w:rsidR="002E5DDC" w:rsidRPr="00C331A0" w:rsidRDefault="002E5DDC" w:rsidP="00A75C3F">
      <w:pPr>
        <w:pStyle w:val="Default"/>
        <w:rPr>
          <w:color w:val="auto"/>
          <w:szCs w:val="23"/>
          <w:lang w:val="lv-LV"/>
        </w:rPr>
      </w:pPr>
      <w:r w:rsidRPr="00C331A0">
        <w:rPr>
          <w:i/>
          <w:iCs/>
          <w:color w:val="auto"/>
          <w:szCs w:val="23"/>
          <w:lang w:val="lv-LV"/>
        </w:rPr>
        <w:t>Biotransformācija</w:t>
      </w:r>
    </w:p>
    <w:p w14:paraId="7456A067" w14:textId="77777777" w:rsidR="002E5DDC" w:rsidRPr="00C331A0" w:rsidRDefault="002E5DDC" w:rsidP="00A75C3F">
      <w:pPr>
        <w:pStyle w:val="Default"/>
        <w:rPr>
          <w:color w:val="auto"/>
          <w:szCs w:val="23"/>
          <w:lang w:val="lv-LV"/>
        </w:rPr>
      </w:pPr>
      <w:r w:rsidRPr="00C331A0">
        <w:rPr>
          <w:color w:val="auto"/>
          <w:szCs w:val="23"/>
          <w:lang w:val="lv-LV"/>
        </w:rPr>
        <w:t>Citaloprāms metabolizējas par demetilcitaloprāmu, didemetilcitaloprāmu, citaloprām-N-oksīdu un dezaminētu propionskābes atvasinājumu. Propionskābes atvasinājums ir farmakoloģiski neaktīvs. Demetilcitaloprāms, didemetilcitaloprāms un citaloprām-N-oksīds ir selektīvi serotonīna atpakaļsaistīšan</w:t>
      </w:r>
      <w:r w:rsidR="00337F63">
        <w:rPr>
          <w:color w:val="auto"/>
          <w:szCs w:val="23"/>
          <w:lang w:val="lv-LV"/>
        </w:rPr>
        <w:t>a</w:t>
      </w:r>
      <w:r w:rsidRPr="00C331A0">
        <w:rPr>
          <w:color w:val="auto"/>
          <w:szCs w:val="23"/>
          <w:lang w:val="lv-LV"/>
        </w:rPr>
        <w:t>s inhibitori, bet vājāki par pašu citaloprā</w:t>
      </w:r>
      <w:r w:rsidR="002459EE">
        <w:rPr>
          <w:color w:val="auto"/>
          <w:szCs w:val="23"/>
          <w:lang w:val="lv-LV"/>
        </w:rPr>
        <w:t>mu.</w:t>
      </w:r>
    </w:p>
    <w:p w14:paraId="3A548DD3" w14:textId="77777777" w:rsidR="002E5DDC" w:rsidRPr="00C331A0" w:rsidRDefault="002E5DDC" w:rsidP="00A75C3F">
      <w:pPr>
        <w:pStyle w:val="Default"/>
        <w:rPr>
          <w:color w:val="auto"/>
          <w:szCs w:val="23"/>
          <w:lang w:val="lv-LV"/>
        </w:rPr>
      </w:pPr>
      <w:r w:rsidRPr="00C331A0">
        <w:rPr>
          <w:color w:val="auto"/>
          <w:szCs w:val="23"/>
          <w:lang w:val="lv-LV"/>
        </w:rPr>
        <w:t>Galvenais metabolizējošais enzīms ir CYP2C19. Ir iespējama arī neliela CYP3A4 un CYP2D6 iesaistīšanā</w:t>
      </w:r>
      <w:r w:rsidR="002459EE">
        <w:rPr>
          <w:color w:val="auto"/>
          <w:szCs w:val="23"/>
          <w:lang w:val="lv-LV"/>
        </w:rPr>
        <w:t>s.</w:t>
      </w:r>
    </w:p>
    <w:p w14:paraId="58D19B9C" w14:textId="77777777" w:rsidR="002E5DDC" w:rsidRPr="00C331A0" w:rsidRDefault="002E5DDC" w:rsidP="00A75C3F">
      <w:pPr>
        <w:pStyle w:val="Default"/>
        <w:rPr>
          <w:color w:val="auto"/>
          <w:szCs w:val="23"/>
          <w:lang w:val="lv-LV"/>
        </w:rPr>
      </w:pPr>
    </w:p>
    <w:p w14:paraId="7C4BA634" w14:textId="77777777" w:rsidR="002E5DDC" w:rsidRPr="00C331A0" w:rsidRDefault="002E5DDC" w:rsidP="00A75C3F">
      <w:pPr>
        <w:pStyle w:val="Default"/>
        <w:rPr>
          <w:color w:val="auto"/>
          <w:szCs w:val="23"/>
          <w:lang w:val="lv-LV"/>
        </w:rPr>
      </w:pPr>
      <w:r w:rsidRPr="00C331A0">
        <w:rPr>
          <w:i/>
          <w:iCs/>
          <w:color w:val="auto"/>
          <w:szCs w:val="23"/>
          <w:lang w:val="lv-LV"/>
        </w:rPr>
        <w:t>Eliminācija</w:t>
      </w:r>
    </w:p>
    <w:p w14:paraId="7D3426BA" w14:textId="77777777" w:rsidR="002E5DDC" w:rsidRPr="00C331A0" w:rsidRDefault="002E5DDC" w:rsidP="00A75C3F">
      <w:pPr>
        <w:pStyle w:val="Default"/>
        <w:rPr>
          <w:color w:val="auto"/>
          <w:szCs w:val="23"/>
          <w:lang w:val="lv-LV"/>
        </w:rPr>
      </w:pPr>
      <w:r w:rsidRPr="00C331A0">
        <w:rPr>
          <w:color w:val="auto"/>
          <w:szCs w:val="23"/>
          <w:lang w:val="lv-LV"/>
        </w:rPr>
        <w:t>Eliminācijas pusperiods ir aptuveni 1 ½ diena. Pēc sistēmiskās lietošanas plazmas klīrenss ir aptuveni 0,3 –0,4 l/min, pēc perorālas lietošanas – aptuveni 0,4 l/min. Citaloprāms galvenokārt tiek izvadīts caur aknām (85 %), bet arī daļēji (15 %) caur nierēm. 12-13 % citaloprāma izdalās ar urīnu neizmainītā veidā. Aknu klīrenss ir aptuveni 0,3 l/min, nieru klīrenss ir 0,05 – 0,08 l/mi</w:t>
      </w:r>
      <w:r w:rsidR="002459EE">
        <w:rPr>
          <w:color w:val="auto"/>
          <w:szCs w:val="23"/>
          <w:lang w:val="lv-LV"/>
        </w:rPr>
        <w:t>n.</w:t>
      </w:r>
    </w:p>
    <w:p w14:paraId="54BEA7ED" w14:textId="77777777" w:rsidR="002E5DDC" w:rsidRPr="00C331A0" w:rsidRDefault="002E5DDC" w:rsidP="00A75C3F">
      <w:pPr>
        <w:pStyle w:val="Default"/>
        <w:rPr>
          <w:color w:val="auto"/>
          <w:szCs w:val="23"/>
          <w:lang w:val="lv-LV"/>
        </w:rPr>
      </w:pPr>
      <w:r w:rsidRPr="00C331A0">
        <w:rPr>
          <w:color w:val="auto"/>
          <w:szCs w:val="23"/>
          <w:lang w:val="lv-LV"/>
        </w:rPr>
        <w:t>Līdzsvara stāvokļa koncentrācija tiek sasniegta pēc 1-2 nedēļām. Starp plazmas nemainīgo koncentrāciju un ievadīto devu pastāv lineāra sakarība. Vidējā koncentrācija plazmā 300 nmol/l tiek sasniegta, lietojot 40 mg dienā. Nav skaidras sakarības starp citaloprāma plazmas koncentrāciju un blakusparādībā</w:t>
      </w:r>
      <w:r w:rsidR="002459EE">
        <w:rPr>
          <w:color w:val="auto"/>
          <w:szCs w:val="23"/>
          <w:lang w:val="lv-LV"/>
        </w:rPr>
        <w:t>m.</w:t>
      </w:r>
    </w:p>
    <w:p w14:paraId="313D20C4" w14:textId="77777777" w:rsidR="002E5DDC" w:rsidRPr="00C331A0" w:rsidRDefault="002E5DDC" w:rsidP="00A75C3F">
      <w:pPr>
        <w:pStyle w:val="Default"/>
        <w:rPr>
          <w:color w:val="auto"/>
          <w:szCs w:val="23"/>
          <w:lang w:val="lv-LV"/>
        </w:rPr>
      </w:pPr>
    </w:p>
    <w:p w14:paraId="111EC7BD" w14:textId="77777777" w:rsidR="002E5DDC" w:rsidRPr="000B1C99" w:rsidRDefault="002E5DDC" w:rsidP="00A75C3F">
      <w:pPr>
        <w:pStyle w:val="Default"/>
        <w:rPr>
          <w:color w:val="auto"/>
          <w:szCs w:val="23"/>
          <w:u w:val="single"/>
          <w:lang w:val="lv-LV"/>
        </w:rPr>
      </w:pPr>
      <w:r w:rsidRPr="000B1C99">
        <w:rPr>
          <w:color w:val="auto"/>
          <w:szCs w:val="23"/>
          <w:u w:val="single"/>
          <w:lang w:val="lv-LV"/>
        </w:rPr>
        <w:t>Īpašības, kas attiecinā</w:t>
      </w:r>
      <w:r w:rsidR="002459EE" w:rsidRPr="000B1C99">
        <w:rPr>
          <w:color w:val="auto"/>
          <w:szCs w:val="23"/>
          <w:u w:val="single"/>
          <w:lang w:val="lv-LV"/>
        </w:rPr>
        <w:t>mas uz pacientiem</w:t>
      </w:r>
    </w:p>
    <w:p w14:paraId="64E14A8A" w14:textId="77777777" w:rsidR="002E5DDC" w:rsidRPr="00C331A0" w:rsidRDefault="002E5DDC" w:rsidP="00A75C3F">
      <w:pPr>
        <w:pStyle w:val="Default"/>
        <w:rPr>
          <w:color w:val="auto"/>
          <w:szCs w:val="23"/>
          <w:lang w:val="lv-LV"/>
        </w:rPr>
      </w:pPr>
      <w:r w:rsidRPr="00C331A0">
        <w:rPr>
          <w:i/>
          <w:iCs/>
          <w:color w:val="auto"/>
          <w:szCs w:val="23"/>
          <w:lang w:val="lv-LV"/>
        </w:rPr>
        <w:t>Gados vecāki pacienti (vecāki par 65 gadiem)</w:t>
      </w:r>
    </w:p>
    <w:p w14:paraId="31F588C5" w14:textId="77777777" w:rsidR="002E5DDC" w:rsidRPr="00C331A0" w:rsidRDefault="002E5DDC" w:rsidP="00A75C3F">
      <w:pPr>
        <w:pStyle w:val="Default"/>
        <w:rPr>
          <w:color w:val="auto"/>
          <w:szCs w:val="23"/>
          <w:lang w:val="lv-LV"/>
        </w:rPr>
      </w:pPr>
      <w:r w:rsidRPr="00C331A0">
        <w:rPr>
          <w:color w:val="auto"/>
          <w:szCs w:val="23"/>
          <w:lang w:val="lv-LV"/>
        </w:rPr>
        <w:t>Sakarā ar palēnināto metabolismu gados vecākiem pacientiem tika atklāts ilgāks eliminācijas pusperiods un zemāki klīrensa rādītā</w:t>
      </w:r>
      <w:r w:rsidR="002459EE">
        <w:rPr>
          <w:color w:val="auto"/>
          <w:szCs w:val="23"/>
          <w:lang w:val="lv-LV"/>
        </w:rPr>
        <w:t>ji.</w:t>
      </w:r>
    </w:p>
    <w:p w14:paraId="338CB1FA" w14:textId="77777777" w:rsidR="002E5DDC" w:rsidRPr="00C331A0" w:rsidRDefault="002E5DDC" w:rsidP="00A75C3F">
      <w:pPr>
        <w:pStyle w:val="Default"/>
        <w:rPr>
          <w:color w:val="auto"/>
          <w:szCs w:val="23"/>
          <w:lang w:val="lv-LV"/>
        </w:rPr>
      </w:pPr>
    </w:p>
    <w:p w14:paraId="37949771" w14:textId="77777777" w:rsidR="002E5DDC" w:rsidRPr="00C331A0" w:rsidRDefault="002E5DDC" w:rsidP="00A75C3F">
      <w:pPr>
        <w:pStyle w:val="Default"/>
        <w:rPr>
          <w:color w:val="auto"/>
          <w:szCs w:val="23"/>
          <w:lang w:val="lv-LV"/>
        </w:rPr>
      </w:pPr>
      <w:r w:rsidRPr="00C331A0">
        <w:rPr>
          <w:i/>
          <w:iCs/>
          <w:color w:val="auto"/>
          <w:szCs w:val="23"/>
          <w:lang w:val="lv-LV"/>
        </w:rPr>
        <w:t>Aknu darbības traucējumi</w:t>
      </w:r>
    </w:p>
    <w:p w14:paraId="5A8298CD" w14:textId="77777777" w:rsidR="002E5DDC" w:rsidRPr="00C331A0" w:rsidRDefault="002E5DDC" w:rsidP="00A75C3F">
      <w:pPr>
        <w:pStyle w:val="Default"/>
        <w:rPr>
          <w:color w:val="auto"/>
          <w:szCs w:val="23"/>
          <w:lang w:val="lv-LV"/>
        </w:rPr>
      </w:pPr>
      <w:r w:rsidRPr="00C331A0">
        <w:rPr>
          <w:color w:val="auto"/>
          <w:szCs w:val="23"/>
          <w:lang w:val="lv-LV"/>
        </w:rPr>
        <w:t>Citaloprāma eliminācija notiek daudz lēnāk pacientiem ar pavājinātu aknu darbību. Citaloprāma eliminācijas pusperiods plazmā ir apmēram divas reizes garāks un citaloprāma līdzsvara koncentrācija ir aptuveni divas reizes augstāka nekā pacientiem ar normālu aknu darbī</w:t>
      </w:r>
      <w:r w:rsidR="002459EE">
        <w:rPr>
          <w:color w:val="auto"/>
          <w:szCs w:val="23"/>
          <w:lang w:val="lv-LV"/>
        </w:rPr>
        <w:t>bu.</w:t>
      </w:r>
    </w:p>
    <w:p w14:paraId="5F2CC6A3" w14:textId="77777777" w:rsidR="002E5DDC" w:rsidRPr="00C331A0" w:rsidRDefault="002E5DDC" w:rsidP="00A75C3F">
      <w:pPr>
        <w:pStyle w:val="Default"/>
        <w:rPr>
          <w:color w:val="auto"/>
          <w:szCs w:val="23"/>
          <w:lang w:val="lv-LV"/>
        </w:rPr>
      </w:pPr>
    </w:p>
    <w:p w14:paraId="53CD5712" w14:textId="77777777" w:rsidR="002E5DDC" w:rsidRPr="00C331A0" w:rsidRDefault="002E5DDC" w:rsidP="00A75C3F">
      <w:pPr>
        <w:pStyle w:val="Default"/>
        <w:rPr>
          <w:color w:val="auto"/>
          <w:szCs w:val="23"/>
          <w:lang w:val="lv-LV"/>
        </w:rPr>
      </w:pPr>
      <w:r w:rsidRPr="00C331A0">
        <w:rPr>
          <w:i/>
          <w:iCs/>
          <w:color w:val="auto"/>
          <w:szCs w:val="23"/>
          <w:lang w:val="lv-LV"/>
        </w:rPr>
        <w:t>Nieru darbības traucējumi</w:t>
      </w:r>
    </w:p>
    <w:p w14:paraId="0792310C" w14:textId="77777777" w:rsidR="002E5DDC" w:rsidRPr="00C331A0" w:rsidRDefault="002E5DDC" w:rsidP="00A75C3F">
      <w:pPr>
        <w:pStyle w:val="Default"/>
        <w:rPr>
          <w:color w:val="auto"/>
          <w:szCs w:val="23"/>
          <w:lang w:val="lv-LV"/>
        </w:rPr>
      </w:pPr>
      <w:r w:rsidRPr="00C331A0">
        <w:rPr>
          <w:color w:val="auto"/>
          <w:szCs w:val="23"/>
          <w:lang w:val="lv-LV"/>
        </w:rPr>
        <w:t>Pacientiem ar viegli vai mēreni pavājinātu nieru darbību citaloprāms tiek izvadīts lēnāk, būtiski neietekmējot citaloprāma farmakokinētiku. Nav pieejama informācija par pacientu ārstēšanu, kam ir izteikti pavājināta nieru darbība (kreatinīna klīrenss mazāks kā</w:t>
      </w:r>
      <w:r w:rsidR="002459EE">
        <w:rPr>
          <w:color w:val="auto"/>
          <w:szCs w:val="23"/>
          <w:lang w:val="lv-LV"/>
        </w:rPr>
        <w:t xml:space="preserve"> 20 ml/min).</w:t>
      </w:r>
    </w:p>
    <w:p w14:paraId="0E70553B" w14:textId="77777777" w:rsidR="002E5DDC" w:rsidRPr="00C331A0" w:rsidRDefault="002E5DDC" w:rsidP="00A75C3F">
      <w:pPr>
        <w:pStyle w:val="Default"/>
        <w:rPr>
          <w:color w:val="auto"/>
          <w:szCs w:val="23"/>
          <w:lang w:val="lv-LV"/>
        </w:rPr>
      </w:pPr>
    </w:p>
    <w:p w14:paraId="068270EF" w14:textId="77777777" w:rsidR="002E5DDC" w:rsidRPr="00C331A0" w:rsidRDefault="002E5DDC" w:rsidP="00A75C3F">
      <w:pPr>
        <w:pStyle w:val="Default"/>
        <w:rPr>
          <w:color w:val="auto"/>
          <w:szCs w:val="23"/>
          <w:lang w:val="lv-LV"/>
        </w:rPr>
      </w:pPr>
      <w:r w:rsidRPr="00C331A0">
        <w:rPr>
          <w:i/>
          <w:iCs/>
          <w:color w:val="auto"/>
          <w:szCs w:val="23"/>
          <w:lang w:val="lv-LV"/>
        </w:rPr>
        <w:t>Polimorfisms</w:t>
      </w:r>
    </w:p>
    <w:p w14:paraId="553332A7" w14:textId="77777777" w:rsidR="002E5DDC" w:rsidRPr="00C331A0" w:rsidRDefault="002E5DDC" w:rsidP="00A75C3F">
      <w:pPr>
        <w:pStyle w:val="Default"/>
        <w:rPr>
          <w:color w:val="auto"/>
          <w:szCs w:val="23"/>
          <w:lang w:val="lv-LV"/>
        </w:rPr>
      </w:pPr>
      <w:r w:rsidRPr="00C331A0">
        <w:rPr>
          <w:color w:val="auto"/>
          <w:szCs w:val="23"/>
          <w:lang w:val="lv-LV"/>
        </w:rPr>
        <w:t>Vājiem metabolizētājiem attiecībā uz CYP2C19 tika novērota divkārt lielāka escitaloprāma koncentrācija plazmā salīdzinājumā ar spēcīgiem metabolizētā</w:t>
      </w:r>
      <w:r w:rsidR="002459EE">
        <w:rPr>
          <w:color w:val="auto"/>
          <w:szCs w:val="23"/>
          <w:lang w:val="lv-LV"/>
        </w:rPr>
        <w:t>jiem.</w:t>
      </w:r>
    </w:p>
    <w:p w14:paraId="282B027E" w14:textId="77777777" w:rsidR="002E5DDC" w:rsidRPr="00C331A0" w:rsidRDefault="002E5DDC" w:rsidP="00A75C3F">
      <w:pPr>
        <w:pStyle w:val="Default"/>
        <w:rPr>
          <w:color w:val="auto"/>
          <w:szCs w:val="23"/>
          <w:lang w:val="lv-LV"/>
        </w:rPr>
      </w:pPr>
      <w:r w:rsidRPr="00C331A0">
        <w:rPr>
          <w:color w:val="auto"/>
          <w:szCs w:val="23"/>
          <w:lang w:val="lv-LV"/>
        </w:rPr>
        <w:t>Attiecībā uz vājiem CYP2D metabolizētājiem netika novērotas būtiskas izmaiņas iedarbībā (skatīt 4.2</w:t>
      </w:r>
      <w:r w:rsidR="00387820">
        <w:rPr>
          <w:color w:val="auto"/>
          <w:szCs w:val="23"/>
          <w:lang w:val="lv-LV"/>
        </w:rPr>
        <w:t>.</w:t>
      </w:r>
      <w:r w:rsidRPr="00C331A0">
        <w:rPr>
          <w:color w:val="auto"/>
          <w:szCs w:val="23"/>
          <w:lang w:val="lv-LV"/>
        </w:rPr>
        <w:t xml:space="preserve"> apakš</w:t>
      </w:r>
      <w:r w:rsidR="002459EE">
        <w:rPr>
          <w:color w:val="auto"/>
          <w:szCs w:val="23"/>
          <w:lang w:val="lv-LV"/>
        </w:rPr>
        <w:t>punktu).</w:t>
      </w:r>
    </w:p>
    <w:p w14:paraId="150B5CBD" w14:textId="77777777" w:rsidR="002E5DDC" w:rsidRPr="00C331A0" w:rsidRDefault="002E5DDC" w:rsidP="00A75C3F">
      <w:pPr>
        <w:pStyle w:val="Default"/>
        <w:rPr>
          <w:color w:val="auto"/>
          <w:szCs w:val="23"/>
          <w:lang w:val="lv-LV"/>
        </w:rPr>
      </w:pPr>
    </w:p>
    <w:p w14:paraId="6FF184A4" w14:textId="77777777" w:rsidR="002E5DDC" w:rsidRPr="00C331A0" w:rsidRDefault="002E5DDC" w:rsidP="00A75C3F">
      <w:pPr>
        <w:pStyle w:val="Default"/>
        <w:rPr>
          <w:color w:val="auto"/>
          <w:szCs w:val="23"/>
          <w:lang w:val="lv-LV"/>
        </w:rPr>
      </w:pPr>
      <w:r w:rsidRPr="00C331A0">
        <w:rPr>
          <w:b/>
          <w:bCs/>
          <w:color w:val="auto"/>
          <w:szCs w:val="23"/>
          <w:lang w:val="lv-LV"/>
        </w:rPr>
        <w:t>5.3 Preklīniskie dati par drošumu</w:t>
      </w:r>
    </w:p>
    <w:p w14:paraId="1F7A7A72" w14:textId="77777777" w:rsidR="00E42F72" w:rsidRDefault="00E42F72" w:rsidP="00A75C3F">
      <w:pPr>
        <w:pStyle w:val="Default"/>
        <w:rPr>
          <w:color w:val="auto"/>
          <w:szCs w:val="23"/>
          <w:lang w:val="lv-LV"/>
        </w:rPr>
      </w:pPr>
    </w:p>
    <w:p w14:paraId="38B82C6C" w14:textId="77777777" w:rsidR="004517D4" w:rsidRPr="004517D4" w:rsidRDefault="004517D4" w:rsidP="004517D4">
      <w:pPr>
        <w:pStyle w:val="NoSpacing"/>
        <w:rPr>
          <w:rFonts w:ascii="Times New Roman" w:hAnsi="Times New Roman"/>
          <w:sz w:val="24"/>
          <w:szCs w:val="24"/>
          <w:u w:val="single"/>
          <w:lang w:val="lv-LV"/>
        </w:rPr>
      </w:pPr>
      <w:r w:rsidRPr="004517D4">
        <w:rPr>
          <w:rFonts w:ascii="Times New Roman" w:hAnsi="Times New Roman"/>
          <w:sz w:val="24"/>
          <w:szCs w:val="24"/>
          <w:u w:val="single"/>
          <w:lang w:val="lv-LV"/>
        </w:rPr>
        <w:t>Akūtā toksicitāte</w:t>
      </w:r>
    </w:p>
    <w:p w14:paraId="0C8D103E" w14:textId="77777777" w:rsidR="004517D4" w:rsidRPr="004517D4" w:rsidRDefault="004517D4" w:rsidP="004517D4">
      <w:pPr>
        <w:pStyle w:val="NoSpacing"/>
        <w:rPr>
          <w:rFonts w:ascii="Times New Roman" w:hAnsi="Times New Roman"/>
          <w:sz w:val="24"/>
          <w:szCs w:val="24"/>
          <w:lang w:val="lv-LV"/>
        </w:rPr>
      </w:pPr>
      <w:r w:rsidRPr="004517D4">
        <w:rPr>
          <w:rFonts w:ascii="Times New Roman" w:hAnsi="Times New Roman"/>
          <w:sz w:val="24"/>
          <w:szCs w:val="24"/>
          <w:lang w:val="lv-LV"/>
        </w:rPr>
        <w:t xml:space="preserve">Citaloprāmam ir </w:t>
      </w:r>
      <w:r w:rsidR="00864797">
        <w:rPr>
          <w:rFonts w:ascii="Times New Roman" w:hAnsi="Times New Roman"/>
          <w:sz w:val="24"/>
          <w:szCs w:val="24"/>
          <w:lang w:val="lv-LV"/>
        </w:rPr>
        <w:t>zema</w:t>
      </w:r>
      <w:r w:rsidRPr="004517D4">
        <w:rPr>
          <w:rFonts w:ascii="Times New Roman" w:hAnsi="Times New Roman"/>
          <w:sz w:val="24"/>
          <w:szCs w:val="24"/>
          <w:lang w:val="lv-LV"/>
        </w:rPr>
        <w:t xml:space="preserve"> akūtā toksicitāte.</w:t>
      </w:r>
    </w:p>
    <w:p w14:paraId="1AB4C84F" w14:textId="77777777" w:rsidR="004517D4" w:rsidRPr="004517D4" w:rsidRDefault="004517D4" w:rsidP="004517D4">
      <w:pPr>
        <w:pStyle w:val="NoSpacing"/>
        <w:rPr>
          <w:rFonts w:ascii="Times New Roman" w:hAnsi="Times New Roman"/>
          <w:sz w:val="24"/>
          <w:szCs w:val="24"/>
          <w:lang w:val="lv-LV"/>
        </w:rPr>
      </w:pPr>
    </w:p>
    <w:p w14:paraId="24753181" w14:textId="77777777" w:rsidR="004517D4" w:rsidRPr="004517D4" w:rsidRDefault="004517D4" w:rsidP="004517D4">
      <w:pPr>
        <w:pStyle w:val="NoSpacing"/>
        <w:rPr>
          <w:rFonts w:ascii="Times New Roman" w:hAnsi="Times New Roman"/>
          <w:sz w:val="24"/>
          <w:szCs w:val="24"/>
          <w:u w:val="single"/>
          <w:lang w:val="lv-LV"/>
        </w:rPr>
      </w:pPr>
      <w:r w:rsidRPr="004517D4">
        <w:rPr>
          <w:rFonts w:ascii="Times New Roman" w:hAnsi="Times New Roman"/>
          <w:sz w:val="24"/>
          <w:szCs w:val="24"/>
          <w:u w:val="single"/>
          <w:lang w:val="lv-LV"/>
        </w:rPr>
        <w:t>Hroniskā toksicitāte</w:t>
      </w:r>
    </w:p>
    <w:p w14:paraId="3EF8DB2F" w14:textId="77777777" w:rsidR="004517D4" w:rsidRPr="004517D4" w:rsidRDefault="004517D4" w:rsidP="004517D4">
      <w:pPr>
        <w:pStyle w:val="NoSpacing"/>
        <w:rPr>
          <w:rFonts w:ascii="Times New Roman" w:hAnsi="Times New Roman"/>
          <w:sz w:val="24"/>
          <w:szCs w:val="24"/>
          <w:lang w:val="lv-LV"/>
        </w:rPr>
      </w:pPr>
      <w:r w:rsidRPr="004517D4">
        <w:rPr>
          <w:rFonts w:ascii="Times New Roman" w:hAnsi="Times New Roman"/>
          <w:sz w:val="24"/>
          <w:szCs w:val="24"/>
          <w:lang w:val="lv-LV"/>
        </w:rPr>
        <w:lastRenderedPageBreak/>
        <w:t>Hroniskās toksicitātes pētījumos netika atklāti nozīmīgi dati, kas attiektos uz citaloprāma terapeitisku lietošanu.</w:t>
      </w:r>
    </w:p>
    <w:p w14:paraId="6BFD7230" w14:textId="77777777" w:rsidR="004517D4" w:rsidRPr="004517D4" w:rsidRDefault="004517D4" w:rsidP="004517D4">
      <w:pPr>
        <w:pStyle w:val="NoSpacing"/>
        <w:rPr>
          <w:rFonts w:ascii="Times New Roman" w:hAnsi="Times New Roman"/>
          <w:sz w:val="24"/>
          <w:szCs w:val="24"/>
          <w:lang w:val="lv-LV"/>
        </w:rPr>
      </w:pPr>
    </w:p>
    <w:p w14:paraId="75128CA7" w14:textId="77777777" w:rsidR="004517D4" w:rsidRPr="004517D4" w:rsidRDefault="004517D4" w:rsidP="004517D4">
      <w:pPr>
        <w:pStyle w:val="NoSpacing"/>
        <w:rPr>
          <w:rFonts w:ascii="Times New Roman" w:hAnsi="Times New Roman"/>
          <w:sz w:val="24"/>
          <w:szCs w:val="24"/>
          <w:u w:val="single"/>
          <w:lang w:val="lv-LV"/>
        </w:rPr>
      </w:pPr>
      <w:r w:rsidRPr="004517D4">
        <w:rPr>
          <w:rFonts w:ascii="Times New Roman" w:hAnsi="Times New Roman"/>
          <w:sz w:val="24"/>
          <w:szCs w:val="24"/>
          <w:u w:val="single"/>
          <w:lang w:val="lv-LV"/>
        </w:rPr>
        <w:t>Reproduktīvie pētījumi</w:t>
      </w:r>
    </w:p>
    <w:p w14:paraId="63AACE30" w14:textId="77777777" w:rsidR="004517D4" w:rsidRDefault="004517D4" w:rsidP="004517D4">
      <w:pPr>
        <w:pStyle w:val="NoSpacing"/>
        <w:rPr>
          <w:rFonts w:ascii="Times New Roman" w:hAnsi="Times New Roman"/>
          <w:sz w:val="24"/>
          <w:szCs w:val="24"/>
          <w:lang w:val="lv-LV"/>
        </w:rPr>
      </w:pPr>
      <w:r w:rsidRPr="004517D4">
        <w:rPr>
          <w:rFonts w:ascii="Times New Roman" w:hAnsi="Times New Roman"/>
          <w:sz w:val="24"/>
          <w:szCs w:val="24"/>
          <w:lang w:val="lv-LV"/>
        </w:rPr>
        <w:t>Ņemot vērā reproduktīvās toksicitātes pētījumu datus, nav iemesla īpašām bažām par citaloprāma lietošanu sievietēm reproduktīvā vecumā.</w:t>
      </w:r>
    </w:p>
    <w:p w14:paraId="2AB4FA74" w14:textId="77777777" w:rsidR="00C6605B" w:rsidRDefault="00C6605B" w:rsidP="004517D4">
      <w:pPr>
        <w:pStyle w:val="NoSpacing"/>
        <w:rPr>
          <w:rFonts w:ascii="Times New Roman" w:hAnsi="Times New Roman"/>
          <w:sz w:val="24"/>
          <w:szCs w:val="24"/>
          <w:lang w:val="lv-LV"/>
        </w:rPr>
      </w:pPr>
    </w:p>
    <w:p w14:paraId="7BF90702" w14:textId="77777777" w:rsidR="00C6605B" w:rsidRPr="00C6605B" w:rsidRDefault="00C6605B" w:rsidP="00C6605B">
      <w:pPr>
        <w:spacing w:after="0" w:line="240" w:lineRule="auto"/>
        <w:jc w:val="both"/>
        <w:rPr>
          <w:rFonts w:ascii="Times New Roman" w:hAnsi="Times New Roman"/>
          <w:u w:val="single"/>
          <w:lang w:val="lv-LV" w:eastAsia="en-US"/>
        </w:rPr>
      </w:pPr>
      <w:r w:rsidRPr="00C6605B">
        <w:rPr>
          <w:rFonts w:ascii="Times New Roman" w:hAnsi="Times New Roman"/>
          <w:lang w:val="lv-LV" w:eastAsia="en-US"/>
        </w:rPr>
        <w:t xml:space="preserve">Embriotoksicitātes pētījumos ar žurkām, lietojot devas pa 56 mg/kg dienā, kas izraisa mātītei toksicitāti, novērotas kaulu patoloģijas mugurkaula un ribu rajonā. Plazmas līmenis mātītei bija 2-3 reizes lielāks par terapeitisko koncentrāciju cilvēkam. Žurkām citaloprāms neizraisīja nekādu ietekmi uz auglību, grūsnību un attīstību pēc dzimšanas, taču mazuļiem bija samazināts dzimšanas svars. Citaloprāms un tā metabolīti augļa organismā sasniedz koncentrāciju, kas 10 – 15 reizes pārsniedz koncentrāciju mātes plazmā. </w:t>
      </w:r>
    </w:p>
    <w:p w14:paraId="1B8ED3E3" w14:textId="77777777" w:rsidR="00C6605B" w:rsidRPr="004517D4" w:rsidRDefault="00C6605B" w:rsidP="004517D4">
      <w:pPr>
        <w:pStyle w:val="NoSpacing"/>
        <w:rPr>
          <w:rFonts w:ascii="Times New Roman" w:hAnsi="Times New Roman"/>
          <w:sz w:val="24"/>
          <w:szCs w:val="24"/>
          <w:lang w:val="lv-LV"/>
        </w:rPr>
      </w:pPr>
    </w:p>
    <w:p w14:paraId="51635E31" w14:textId="77777777" w:rsidR="004517D4" w:rsidRPr="004517D4" w:rsidRDefault="004517D4" w:rsidP="004517D4">
      <w:pPr>
        <w:pStyle w:val="NoSpacing"/>
        <w:rPr>
          <w:rFonts w:ascii="Times New Roman" w:hAnsi="Times New Roman"/>
          <w:sz w:val="24"/>
          <w:szCs w:val="24"/>
          <w:u w:val="single"/>
          <w:lang w:val="lv-LV"/>
        </w:rPr>
      </w:pPr>
    </w:p>
    <w:p w14:paraId="6C215683" w14:textId="77777777" w:rsidR="004517D4" w:rsidRPr="004517D4" w:rsidRDefault="004517D4" w:rsidP="004517D4">
      <w:pPr>
        <w:pStyle w:val="NoSpacing"/>
        <w:rPr>
          <w:rFonts w:ascii="Times New Roman" w:hAnsi="Times New Roman"/>
          <w:sz w:val="24"/>
          <w:szCs w:val="24"/>
          <w:u w:val="single"/>
          <w:lang w:val="lv-LV"/>
        </w:rPr>
      </w:pPr>
      <w:r w:rsidRPr="004517D4">
        <w:rPr>
          <w:rFonts w:ascii="Times New Roman" w:hAnsi="Times New Roman"/>
          <w:sz w:val="24"/>
          <w:szCs w:val="24"/>
          <w:u w:val="single"/>
          <w:lang w:val="lv-LV"/>
        </w:rPr>
        <w:t>Mutagēnas un kancerogēnas īpašības</w:t>
      </w:r>
    </w:p>
    <w:p w14:paraId="5600E230" w14:textId="77777777" w:rsidR="004517D4" w:rsidRDefault="004517D4" w:rsidP="004517D4">
      <w:pPr>
        <w:pStyle w:val="NoSpacing"/>
        <w:rPr>
          <w:rFonts w:ascii="Times New Roman" w:hAnsi="Times New Roman"/>
          <w:sz w:val="24"/>
          <w:szCs w:val="24"/>
          <w:lang w:val="lv-LV"/>
        </w:rPr>
      </w:pPr>
      <w:r w:rsidRPr="004517D4">
        <w:rPr>
          <w:rFonts w:ascii="Times New Roman" w:hAnsi="Times New Roman"/>
          <w:sz w:val="24"/>
          <w:szCs w:val="24"/>
          <w:lang w:val="lv-LV"/>
        </w:rPr>
        <w:t>Citaloprāmam nepiemīt mutagēnas un kancerogēnas īpašības.</w:t>
      </w:r>
    </w:p>
    <w:p w14:paraId="7AF23C5A" w14:textId="77777777" w:rsidR="00F97D30" w:rsidRDefault="00F97D30" w:rsidP="004517D4">
      <w:pPr>
        <w:pStyle w:val="NoSpacing"/>
        <w:rPr>
          <w:rFonts w:ascii="Times New Roman" w:hAnsi="Times New Roman"/>
          <w:sz w:val="24"/>
          <w:szCs w:val="24"/>
          <w:lang w:val="lv-LV"/>
        </w:rPr>
      </w:pPr>
    </w:p>
    <w:p w14:paraId="3A023EA2" w14:textId="77777777" w:rsidR="002E5DDC" w:rsidRPr="00C331A0" w:rsidRDefault="00F97D30" w:rsidP="000A5474">
      <w:pPr>
        <w:spacing w:after="0" w:line="240" w:lineRule="auto"/>
        <w:jc w:val="both"/>
        <w:rPr>
          <w:lang w:val="lv-LV"/>
        </w:rPr>
      </w:pPr>
      <w:r w:rsidRPr="00F97D30">
        <w:rPr>
          <w:rFonts w:ascii="Times New Roman" w:hAnsi="Times New Roman"/>
          <w:lang w:val="lv-LV" w:eastAsia="en-US"/>
        </w:rPr>
        <w:t>Pētījumi ar dzīvniekiem norāda, ka citaloprāms izraisa auglības koeficienta un grūtniecības koeficienta pazemināšanos, implantāciju skaita samazināšanos un anormālu spermu, lietojot devas, kas krietni augstākas nekā cilvēkiem lietojamās devas.</w:t>
      </w:r>
    </w:p>
    <w:p w14:paraId="0329A319" w14:textId="77777777" w:rsidR="002E5DDC" w:rsidRDefault="002E5DDC" w:rsidP="00A75C3F">
      <w:pPr>
        <w:pStyle w:val="Default"/>
        <w:rPr>
          <w:color w:val="auto"/>
          <w:szCs w:val="23"/>
          <w:lang w:val="lv-LV"/>
        </w:rPr>
      </w:pPr>
    </w:p>
    <w:p w14:paraId="6F62AC2D" w14:textId="77777777" w:rsidR="00E42F72" w:rsidRPr="00C331A0" w:rsidRDefault="00E42F72" w:rsidP="00A75C3F">
      <w:pPr>
        <w:pStyle w:val="Default"/>
        <w:rPr>
          <w:color w:val="auto"/>
          <w:szCs w:val="23"/>
          <w:lang w:val="lv-LV"/>
        </w:rPr>
      </w:pPr>
    </w:p>
    <w:p w14:paraId="37744019" w14:textId="77777777" w:rsidR="002E5DDC" w:rsidRPr="00C331A0" w:rsidRDefault="002E5DDC" w:rsidP="00A75C3F">
      <w:pPr>
        <w:pStyle w:val="Default"/>
        <w:rPr>
          <w:color w:val="auto"/>
          <w:szCs w:val="23"/>
          <w:lang w:val="lv-LV"/>
        </w:rPr>
      </w:pPr>
      <w:r w:rsidRPr="00C331A0">
        <w:rPr>
          <w:b/>
          <w:bCs/>
          <w:color w:val="auto"/>
          <w:szCs w:val="23"/>
          <w:lang w:val="lv-LV"/>
        </w:rPr>
        <w:t>6. FARMACEITISKĀ INFORMĀCIJA</w:t>
      </w:r>
    </w:p>
    <w:p w14:paraId="01CBD255" w14:textId="77777777" w:rsidR="00E42F72" w:rsidRDefault="00E42F72" w:rsidP="00A75C3F">
      <w:pPr>
        <w:pStyle w:val="Default"/>
        <w:rPr>
          <w:b/>
          <w:bCs/>
          <w:color w:val="auto"/>
          <w:szCs w:val="23"/>
          <w:lang w:val="lv-LV"/>
        </w:rPr>
      </w:pPr>
    </w:p>
    <w:p w14:paraId="0350B2CA" w14:textId="77777777" w:rsidR="002E5DDC" w:rsidRDefault="002E5DDC" w:rsidP="00A75C3F">
      <w:pPr>
        <w:pStyle w:val="Default"/>
        <w:rPr>
          <w:b/>
          <w:bCs/>
          <w:color w:val="auto"/>
          <w:szCs w:val="23"/>
          <w:lang w:val="lv-LV"/>
        </w:rPr>
      </w:pPr>
      <w:r w:rsidRPr="00C331A0">
        <w:rPr>
          <w:b/>
          <w:bCs/>
          <w:color w:val="auto"/>
          <w:szCs w:val="23"/>
          <w:lang w:val="lv-LV"/>
        </w:rPr>
        <w:t>6.1 Palīgvielu saraksts</w:t>
      </w:r>
    </w:p>
    <w:p w14:paraId="49E7B3CB" w14:textId="77777777" w:rsidR="00E42F72" w:rsidRPr="00E42F72" w:rsidRDefault="00E42F72" w:rsidP="00A75C3F">
      <w:pPr>
        <w:pStyle w:val="Default"/>
        <w:rPr>
          <w:color w:val="auto"/>
          <w:szCs w:val="23"/>
          <w:lang w:val="lv-LV"/>
        </w:rPr>
      </w:pPr>
    </w:p>
    <w:p w14:paraId="58E95D5D" w14:textId="77777777" w:rsidR="002E5DDC" w:rsidRPr="00C331A0" w:rsidRDefault="002E5DDC" w:rsidP="00A75C3F">
      <w:pPr>
        <w:pStyle w:val="Default"/>
        <w:rPr>
          <w:color w:val="auto"/>
          <w:szCs w:val="23"/>
          <w:lang w:val="lv-LV"/>
        </w:rPr>
      </w:pPr>
      <w:r w:rsidRPr="00C331A0">
        <w:rPr>
          <w:i/>
          <w:iCs/>
          <w:color w:val="auto"/>
          <w:szCs w:val="23"/>
          <w:lang w:val="lv-LV"/>
        </w:rPr>
        <w:t>Tabletes kodols</w:t>
      </w:r>
      <w:r w:rsidR="002459EE">
        <w:rPr>
          <w:color w:val="auto"/>
          <w:szCs w:val="23"/>
          <w:lang w:val="lv-LV"/>
        </w:rPr>
        <w:t>:</w:t>
      </w:r>
    </w:p>
    <w:p w14:paraId="0BAF9D31" w14:textId="77777777" w:rsidR="002E5DDC" w:rsidRPr="00C331A0" w:rsidRDefault="002E5DDC" w:rsidP="00A75C3F">
      <w:pPr>
        <w:pStyle w:val="Default"/>
        <w:rPr>
          <w:color w:val="auto"/>
          <w:szCs w:val="23"/>
          <w:lang w:val="lv-LV"/>
        </w:rPr>
      </w:pPr>
      <w:r w:rsidRPr="00C331A0">
        <w:rPr>
          <w:color w:val="auto"/>
          <w:szCs w:val="23"/>
          <w:lang w:val="lv-LV"/>
        </w:rPr>
        <w:t>Mannī</w:t>
      </w:r>
      <w:r w:rsidR="002459EE">
        <w:rPr>
          <w:color w:val="auto"/>
          <w:szCs w:val="23"/>
          <w:lang w:val="lv-LV"/>
        </w:rPr>
        <w:t>ts</w:t>
      </w:r>
    </w:p>
    <w:p w14:paraId="6B2E238F" w14:textId="77777777" w:rsidR="002E5DDC" w:rsidRPr="00C331A0" w:rsidRDefault="002E5DDC" w:rsidP="00A75C3F">
      <w:pPr>
        <w:pStyle w:val="Default"/>
        <w:rPr>
          <w:color w:val="auto"/>
          <w:szCs w:val="23"/>
          <w:lang w:val="lv-LV"/>
        </w:rPr>
      </w:pPr>
      <w:r w:rsidRPr="00C331A0">
        <w:rPr>
          <w:color w:val="auto"/>
          <w:szCs w:val="23"/>
          <w:lang w:val="lv-LV"/>
        </w:rPr>
        <w:t>Mikrokristāliskā</w:t>
      </w:r>
      <w:r w:rsidR="002459EE">
        <w:rPr>
          <w:color w:val="auto"/>
          <w:szCs w:val="23"/>
          <w:lang w:val="lv-LV"/>
        </w:rPr>
        <w:t xml:space="preserve"> celuloze</w:t>
      </w:r>
    </w:p>
    <w:p w14:paraId="64171F15" w14:textId="77777777" w:rsidR="002E5DDC" w:rsidRPr="00C331A0" w:rsidRDefault="002E5DDC" w:rsidP="00A75C3F">
      <w:pPr>
        <w:pStyle w:val="Default"/>
        <w:rPr>
          <w:color w:val="auto"/>
          <w:szCs w:val="23"/>
          <w:lang w:val="lv-LV"/>
        </w:rPr>
      </w:pPr>
      <w:r w:rsidRPr="00C331A0">
        <w:rPr>
          <w:color w:val="auto"/>
          <w:szCs w:val="23"/>
          <w:lang w:val="lv-LV"/>
        </w:rPr>
        <w:t>Koloidālais bezūdens silīcija dioksī</w:t>
      </w:r>
      <w:r w:rsidR="002459EE">
        <w:rPr>
          <w:color w:val="auto"/>
          <w:szCs w:val="23"/>
          <w:lang w:val="lv-LV"/>
        </w:rPr>
        <w:t>ds</w:t>
      </w:r>
    </w:p>
    <w:p w14:paraId="66104577" w14:textId="77777777" w:rsidR="002E5DDC" w:rsidRPr="00C331A0" w:rsidRDefault="002E5DDC" w:rsidP="00A75C3F">
      <w:pPr>
        <w:pStyle w:val="Default"/>
        <w:rPr>
          <w:color w:val="auto"/>
          <w:szCs w:val="23"/>
          <w:lang w:val="lv-LV"/>
        </w:rPr>
      </w:pPr>
      <w:r w:rsidRPr="00C331A0">
        <w:rPr>
          <w:color w:val="auto"/>
          <w:szCs w:val="23"/>
          <w:lang w:val="lv-LV"/>
        </w:rPr>
        <w:t>Magnija stearā</w:t>
      </w:r>
      <w:r w:rsidR="002459EE">
        <w:rPr>
          <w:color w:val="auto"/>
          <w:szCs w:val="23"/>
          <w:lang w:val="lv-LV"/>
        </w:rPr>
        <w:t>ts</w:t>
      </w:r>
    </w:p>
    <w:p w14:paraId="1945C218" w14:textId="77777777" w:rsidR="002E5DDC" w:rsidRPr="00C331A0" w:rsidRDefault="002E5DDC" w:rsidP="00A75C3F">
      <w:pPr>
        <w:pStyle w:val="Default"/>
        <w:rPr>
          <w:color w:val="auto"/>
          <w:szCs w:val="23"/>
          <w:lang w:val="lv-LV"/>
        </w:rPr>
      </w:pPr>
    </w:p>
    <w:p w14:paraId="2433E0B9" w14:textId="77777777" w:rsidR="002E5DDC" w:rsidRPr="00C331A0" w:rsidRDefault="002E5DDC" w:rsidP="00A75C3F">
      <w:pPr>
        <w:pStyle w:val="Default"/>
        <w:rPr>
          <w:color w:val="auto"/>
          <w:szCs w:val="23"/>
          <w:lang w:val="lv-LV"/>
        </w:rPr>
      </w:pPr>
      <w:r w:rsidRPr="00C331A0">
        <w:rPr>
          <w:i/>
          <w:iCs/>
          <w:color w:val="auto"/>
          <w:szCs w:val="23"/>
          <w:lang w:val="lv-LV"/>
        </w:rPr>
        <w:t>Apvalks</w:t>
      </w:r>
      <w:r w:rsidR="002459EE">
        <w:rPr>
          <w:color w:val="auto"/>
          <w:szCs w:val="23"/>
          <w:lang w:val="lv-LV"/>
        </w:rPr>
        <w:t>:</w:t>
      </w:r>
    </w:p>
    <w:p w14:paraId="7540D00D" w14:textId="77777777" w:rsidR="002E5DDC" w:rsidRPr="00C331A0" w:rsidRDefault="002459EE" w:rsidP="00A75C3F">
      <w:pPr>
        <w:pStyle w:val="Default"/>
        <w:rPr>
          <w:color w:val="auto"/>
          <w:szCs w:val="23"/>
          <w:lang w:val="lv-LV"/>
        </w:rPr>
      </w:pPr>
      <w:r>
        <w:rPr>
          <w:color w:val="auto"/>
          <w:szCs w:val="23"/>
          <w:lang w:val="lv-LV"/>
        </w:rPr>
        <w:t>Hipromeloze</w:t>
      </w:r>
    </w:p>
    <w:p w14:paraId="527A816D" w14:textId="77777777" w:rsidR="002E5DDC" w:rsidRPr="00C331A0" w:rsidRDefault="002459EE" w:rsidP="00A75C3F">
      <w:pPr>
        <w:pStyle w:val="Default"/>
        <w:rPr>
          <w:color w:val="auto"/>
          <w:szCs w:val="23"/>
          <w:lang w:val="lv-LV"/>
        </w:rPr>
      </w:pPr>
      <w:r>
        <w:rPr>
          <w:color w:val="auto"/>
          <w:szCs w:val="23"/>
          <w:lang w:val="lv-LV"/>
        </w:rPr>
        <w:t>Makrogols 6000</w:t>
      </w:r>
    </w:p>
    <w:p w14:paraId="40C4126E" w14:textId="77777777" w:rsidR="002E5DDC" w:rsidRPr="00C331A0" w:rsidRDefault="002E5DDC" w:rsidP="00A75C3F">
      <w:pPr>
        <w:pStyle w:val="Default"/>
        <w:rPr>
          <w:color w:val="auto"/>
          <w:szCs w:val="23"/>
          <w:lang w:val="lv-LV"/>
        </w:rPr>
      </w:pPr>
      <w:r w:rsidRPr="00C331A0">
        <w:rPr>
          <w:color w:val="auto"/>
          <w:szCs w:val="23"/>
          <w:lang w:val="lv-LV"/>
        </w:rPr>
        <w:t>Titāna dioksī</w:t>
      </w:r>
      <w:r w:rsidR="002459EE">
        <w:rPr>
          <w:color w:val="auto"/>
          <w:szCs w:val="23"/>
          <w:lang w:val="lv-LV"/>
        </w:rPr>
        <w:t>ds (E171)</w:t>
      </w:r>
    </w:p>
    <w:p w14:paraId="3D03EC04" w14:textId="77777777" w:rsidR="002E5DDC" w:rsidRPr="00C331A0" w:rsidRDefault="002E5DDC" w:rsidP="00A75C3F">
      <w:pPr>
        <w:pStyle w:val="Default"/>
        <w:rPr>
          <w:color w:val="auto"/>
          <w:szCs w:val="23"/>
          <w:lang w:val="lv-LV"/>
        </w:rPr>
      </w:pPr>
    </w:p>
    <w:p w14:paraId="5A821810" w14:textId="77777777" w:rsidR="002E5DDC" w:rsidRPr="00C331A0" w:rsidRDefault="002E5DDC" w:rsidP="00A75C3F">
      <w:pPr>
        <w:pStyle w:val="Default"/>
        <w:rPr>
          <w:color w:val="auto"/>
          <w:szCs w:val="23"/>
          <w:lang w:val="lv-LV"/>
        </w:rPr>
      </w:pPr>
      <w:r w:rsidRPr="00C331A0">
        <w:rPr>
          <w:b/>
          <w:bCs/>
          <w:color w:val="auto"/>
          <w:szCs w:val="23"/>
          <w:lang w:val="lv-LV"/>
        </w:rPr>
        <w:t>6.2 Nesaderība</w:t>
      </w:r>
    </w:p>
    <w:p w14:paraId="4BE20A02" w14:textId="77777777" w:rsidR="00E42F72" w:rsidRDefault="00E42F72" w:rsidP="00A75C3F">
      <w:pPr>
        <w:pStyle w:val="Default"/>
        <w:rPr>
          <w:color w:val="auto"/>
          <w:szCs w:val="23"/>
          <w:lang w:val="lv-LV"/>
        </w:rPr>
      </w:pPr>
    </w:p>
    <w:p w14:paraId="39A6D3A8" w14:textId="77777777" w:rsidR="002E5DDC" w:rsidRPr="00C331A0" w:rsidRDefault="002E5DDC" w:rsidP="00A75C3F">
      <w:pPr>
        <w:pStyle w:val="Default"/>
        <w:rPr>
          <w:color w:val="auto"/>
          <w:szCs w:val="23"/>
          <w:lang w:val="lv-LV"/>
        </w:rPr>
      </w:pPr>
      <w:r w:rsidRPr="00C331A0">
        <w:rPr>
          <w:color w:val="auto"/>
          <w:szCs w:val="23"/>
          <w:lang w:val="lv-LV"/>
        </w:rPr>
        <w:t>Nav piemē</w:t>
      </w:r>
      <w:r w:rsidR="002459EE">
        <w:rPr>
          <w:color w:val="auto"/>
          <w:szCs w:val="23"/>
          <w:lang w:val="lv-LV"/>
        </w:rPr>
        <w:t>rojama.</w:t>
      </w:r>
    </w:p>
    <w:p w14:paraId="5012A135" w14:textId="77777777" w:rsidR="002E5DDC" w:rsidRPr="00C331A0" w:rsidRDefault="002E5DDC" w:rsidP="00A75C3F">
      <w:pPr>
        <w:pStyle w:val="Default"/>
        <w:rPr>
          <w:color w:val="auto"/>
          <w:szCs w:val="23"/>
          <w:lang w:val="lv-LV"/>
        </w:rPr>
      </w:pPr>
    </w:p>
    <w:p w14:paraId="75BF4B89" w14:textId="77777777" w:rsidR="002E5DDC" w:rsidRPr="00C331A0" w:rsidRDefault="002E5DDC" w:rsidP="00A75C3F">
      <w:pPr>
        <w:pStyle w:val="Default"/>
        <w:rPr>
          <w:color w:val="auto"/>
          <w:szCs w:val="23"/>
          <w:lang w:val="lv-LV"/>
        </w:rPr>
      </w:pPr>
      <w:r w:rsidRPr="00C331A0">
        <w:rPr>
          <w:b/>
          <w:bCs/>
          <w:color w:val="auto"/>
          <w:szCs w:val="23"/>
          <w:lang w:val="lv-LV"/>
        </w:rPr>
        <w:t>6.3 Uzglabāšanas laiks</w:t>
      </w:r>
    </w:p>
    <w:p w14:paraId="46C1CC71" w14:textId="77777777" w:rsidR="00E42F72" w:rsidRDefault="00E42F72" w:rsidP="00A75C3F">
      <w:pPr>
        <w:pStyle w:val="Default"/>
        <w:rPr>
          <w:color w:val="auto"/>
          <w:szCs w:val="23"/>
          <w:lang w:val="lv-LV"/>
        </w:rPr>
      </w:pPr>
    </w:p>
    <w:p w14:paraId="13CCE6B1" w14:textId="77777777" w:rsidR="002E5DDC" w:rsidRPr="00C331A0" w:rsidRDefault="002459EE" w:rsidP="00A75C3F">
      <w:pPr>
        <w:pStyle w:val="Default"/>
        <w:rPr>
          <w:color w:val="auto"/>
          <w:szCs w:val="23"/>
          <w:lang w:val="lv-LV"/>
        </w:rPr>
      </w:pPr>
      <w:r>
        <w:rPr>
          <w:color w:val="auto"/>
          <w:szCs w:val="23"/>
          <w:lang w:val="lv-LV"/>
        </w:rPr>
        <w:t>4 gadi.</w:t>
      </w:r>
    </w:p>
    <w:p w14:paraId="36BACD66" w14:textId="77777777" w:rsidR="002E5DDC" w:rsidRPr="00C331A0" w:rsidRDefault="002E5DDC" w:rsidP="00A75C3F">
      <w:pPr>
        <w:pStyle w:val="Default"/>
        <w:rPr>
          <w:color w:val="auto"/>
          <w:szCs w:val="23"/>
          <w:lang w:val="lv-LV"/>
        </w:rPr>
      </w:pPr>
    </w:p>
    <w:p w14:paraId="37668544" w14:textId="77777777" w:rsidR="002E5DDC" w:rsidRPr="00C331A0" w:rsidRDefault="002E5DDC" w:rsidP="00A75C3F">
      <w:pPr>
        <w:pStyle w:val="Default"/>
        <w:rPr>
          <w:color w:val="auto"/>
          <w:szCs w:val="23"/>
          <w:lang w:val="lv-LV"/>
        </w:rPr>
      </w:pPr>
      <w:r w:rsidRPr="00C331A0">
        <w:rPr>
          <w:b/>
          <w:bCs/>
          <w:color w:val="auto"/>
          <w:szCs w:val="23"/>
          <w:lang w:val="lv-LV"/>
        </w:rPr>
        <w:t>6.4 Īpaši uzglabāšanas nosacījumi</w:t>
      </w:r>
    </w:p>
    <w:p w14:paraId="731358EB" w14:textId="77777777" w:rsidR="00E42F72" w:rsidRDefault="00E42F72" w:rsidP="00A75C3F">
      <w:pPr>
        <w:pStyle w:val="Default"/>
        <w:rPr>
          <w:color w:val="auto"/>
          <w:szCs w:val="23"/>
          <w:lang w:val="lv-LV"/>
        </w:rPr>
      </w:pPr>
    </w:p>
    <w:p w14:paraId="484719B2" w14:textId="77777777" w:rsidR="002E5DDC" w:rsidRPr="00C331A0" w:rsidRDefault="002E5DDC" w:rsidP="00A75C3F">
      <w:pPr>
        <w:pStyle w:val="Default"/>
        <w:rPr>
          <w:color w:val="auto"/>
          <w:szCs w:val="23"/>
          <w:lang w:val="lv-LV"/>
        </w:rPr>
      </w:pPr>
      <w:r w:rsidRPr="00C331A0">
        <w:rPr>
          <w:color w:val="auto"/>
          <w:szCs w:val="23"/>
          <w:lang w:val="lv-LV"/>
        </w:rPr>
        <w:t>Zālēm nav nepieciešami īpaši uzglabāšanas apstākļ</w:t>
      </w:r>
      <w:r w:rsidR="002459EE">
        <w:rPr>
          <w:color w:val="auto"/>
          <w:szCs w:val="23"/>
          <w:lang w:val="lv-LV"/>
        </w:rPr>
        <w:t>i.</w:t>
      </w:r>
    </w:p>
    <w:p w14:paraId="6AB191E9" w14:textId="77777777" w:rsidR="002E5DDC" w:rsidRPr="00C331A0" w:rsidRDefault="002E5DDC" w:rsidP="00A75C3F">
      <w:pPr>
        <w:pStyle w:val="Default"/>
        <w:rPr>
          <w:color w:val="auto"/>
          <w:szCs w:val="23"/>
          <w:lang w:val="lv-LV"/>
        </w:rPr>
      </w:pPr>
    </w:p>
    <w:p w14:paraId="39378617" w14:textId="77777777" w:rsidR="002E5DDC" w:rsidRPr="00C331A0" w:rsidRDefault="002E5DDC" w:rsidP="00A75C3F">
      <w:pPr>
        <w:pStyle w:val="Default"/>
        <w:rPr>
          <w:color w:val="auto"/>
          <w:szCs w:val="23"/>
          <w:lang w:val="lv-LV"/>
        </w:rPr>
      </w:pPr>
      <w:r w:rsidRPr="00C331A0">
        <w:rPr>
          <w:b/>
          <w:bCs/>
          <w:color w:val="auto"/>
          <w:szCs w:val="23"/>
          <w:lang w:val="lv-LV"/>
        </w:rPr>
        <w:t>6.5 Iepakojuma veids un saturs</w:t>
      </w:r>
    </w:p>
    <w:p w14:paraId="221FF028" w14:textId="77777777" w:rsidR="00E42F72" w:rsidRDefault="00E42F72" w:rsidP="00A75C3F">
      <w:pPr>
        <w:pStyle w:val="Default"/>
        <w:rPr>
          <w:color w:val="auto"/>
          <w:szCs w:val="23"/>
          <w:lang w:val="lv-LV"/>
        </w:rPr>
      </w:pPr>
    </w:p>
    <w:p w14:paraId="3E4CF32A" w14:textId="77777777" w:rsidR="002E5DDC" w:rsidRPr="00C331A0" w:rsidRDefault="00A75C3F" w:rsidP="00A75C3F">
      <w:pPr>
        <w:pStyle w:val="Default"/>
        <w:rPr>
          <w:color w:val="auto"/>
          <w:szCs w:val="23"/>
          <w:lang w:val="lv-LV"/>
        </w:rPr>
      </w:pPr>
      <w:r>
        <w:rPr>
          <w:color w:val="auto"/>
          <w:szCs w:val="23"/>
          <w:lang w:val="lv-LV"/>
        </w:rPr>
        <w:t>Alorit</w:t>
      </w:r>
      <w:r w:rsidR="002E5DDC" w:rsidRPr="00C331A0">
        <w:rPr>
          <w:color w:val="auto"/>
          <w:szCs w:val="23"/>
          <w:lang w:val="lv-LV"/>
        </w:rPr>
        <w:t xml:space="preserve"> 20 mg tabletes ir i</w:t>
      </w:r>
      <w:r w:rsidR="002459EE">
        <w:rPr>
          <w:color w:val="auto"/>
          <w:szCs w:val="23"/>
          <w:lang w:val="lv-LV"/>
        </w:rPr>
        <w:t>epakotas PVH/PVDH/Al blisteros.</w:t>
      </w:r>
    </w:p>
    <w:p w14:paraId="29197AC9" w14:textId="77777777" w:rsidR="002E5DDC" w:rsidRPr="00C331A0" w:rsidRDefault="002E5DDC" w:rsidP="00A75C3F">
      <w:pPr>
        <w:pStyle w:val="Default"/>
        <w:rPr>
          <w:color w:val="auto"/>
          <w:szCs w:val="23"/>
          <w:lang w:val="lv-LV"/>
        </w:rPr>
      </w:pPr>
      <w:r w:rsidRPr="00C331A0">
        <w:rPr>
          <w:color w:val="auto"/>
          <w:szCs w:val="23"/>
          <w:lang w:val="lv-LV"/>
        </w:rPr>
        <w:lastRenderedPageBreak/>
        <w:t>Iepakojumi: 10, 14, 20, 28, 30, 50, 56, 98, 100 tabletes (iepakojumā</w:t>
      </w:r>
      <w:r w:rsidR="002459EE">
        <w:rPr>
          <w:color w:val="auto"/>
          <w:szCs w:val="23"/>
          <w:lang w:val="lv-LV"/>
        </w:rPr>
        <w:t>).</w:t>
      </w:r>
    </w:p>
    <w:p w14:paraId="51883368" w14:textId="77777777" w:rsidR="002E5DDC" w:rsidRPr="00C331A0" w:rsidRDefault="002E5DDC" w:rsidP="00A75C3F">
      <w:pPr>
        <w:pStyle w:val="Default"/>
        <w:rPr>
          <w:color w:val="auto"/>
          <w:szCs w:val="23"/>
          <w:lang w:val="lv-LV"/>
        </w:rPr>
      </w:pPr>
      <w:r w:rsidRPr="00C331A0">
        <w:rPr>
          <w:color w:val="auto"/>
          <w:szCs w:val="23"/>
          <w:lang w:val="lv-LV"/>
        </w:rPr>
        <w:t>100x1 blisters ar tabletē</w:t>
      </w:r>
      <w:r w:rsidR="002459EE">
        <w:rPr>
          <w:color w:val="auto"/>
          <w:szCs w:val="23"/>
          <w:lang w:val="lv-LV"/>
        </w:rPr>
        <w:t>m pa vienai devai.</w:t>
      </w:r>
    </w:p>
    <w:p w14:paraId="7128F412" w14:textId="77777777" w:rsidR="002E5DDC" w:rsidRPr="00C331A0" w:rsidRDefault="002E5DDC" w:rsidP="00A75C3F">
      <w:pPr>
        <w:pStyle w:val="Default"/>
        <w:rPr>
          <w:color w:val="auto"/>
          <w:szCs w:val="23"/>
          <w:lang w:val="lv-LV"/>
        </w:rPr>
      </w:pPr>
      <w:r w:rsidRPr="00C331A0">
        <w:rPr>
          <w:color w:val="auto"/>
          <w:szCs w:val="23"/>
          <w:lang w:val="lv-LV"/>
        </w:rPr>
        <w:t>ABPE-tablešu konteiners ar ZBPE-vāciņ</w:t>
      </w:r>
      <w:r w:rsidR="002459EE">
        <w:rPr>
          <w:color w:val="auto"/>
          <w:szCs w:val="23"/>
          <w:lang w:val="lv-LV"/>
        </w:rPr>
        <w:t>u.</w:t>
      </w:r>
    </w:p>
    <w:p w14:paraId="4B2847D5" w14:textId="77777777" w:rsidR="002459EE" w:rsidRDefault="002E5DDC" w:rsidP="00A75C3F">
      <w:pPr>
        <w:pStyle w:val="Default"/>
        <w:rPr>
          <w:color w:val="auto"/>
          <w:szCs w:val="23"/>
          <w:lang w:val="lv-LV"/>
        </w:rPr>
      </w:pPr>
      <w:r w:rsidRPr="00C331A0">
        <w:rPr>
          <w:color w:val="auto"/>
          <w:szCs w:val="23"/>
          <w:lang w:val="lv-LV"/>
        </w:rPr>
        <w:t>Iepakojumi: 30,</w:t>
      </w:r>
      <w:r w:rsidR="002459EE">
        <w:rPr>
          <w:color w:val="auto"/>
          <w:szCs w:val="23"/>
          <w:lang w:val="lv-LV"/>
        </w:rPr>
        <w:t xml:space="preserve"> 60, 100, 250 vai 500 tabletes.</w:t>
      </w:r>
    </w:p>
    <w:p w14:paraId="6358826E" w14:textId="77777777" w:rsidR="002E5DDC" w:rsidRPr="00C331A0" w:rsidRDefault="002E5DDC" w:rsidP="00A75C3F">
      <w:pPr>
        <w:pStyle w:val="Default"/>
        <w:rPr>
          <w:color w:val="auto"/>
          <w:szCs w:val="23"/>
          <w:lang w:val="lv-LV"/>
        </w:rPr>
      </w:pPr>
    </w:p>
    <w:p w14:paraId="55909DD0" w14:textId="77777777" w:rsidR="002E5DDC" w:rsidRPr="00C331A0" w:rsidRDefault="002E5DDC" w:rsidP="00A75C3F">
      <w:pPr>
        <w:pStyle w:val="Default"/>
        <w:rPr>
          <w:color w:val="auto"/>
          <w:szCs w:val="23"/>
          <w:lang w:val="lv-LV"/>
        </w:rPr>
      </w:pPr>
      <w:r w:rsidRPr="00C331A0">
        <w:rPr>
          <w:color w:val="auto"/>
          <w:szCs w:val="23"/>
          <w:lang w:val="lv-LV"/>
        </w:rPr>
        <w:t>Visi iepakojuma lielumi tirgū var nebū</w:t>
      </w:r>
      <w:r w:rsidR="002459EE">
        <w:rPr>
          <w:color w:val="auto"/>
          <w:szCs w:val="23"/>
          <w:lang w:val="lv-LV"/>
        </w:rPr>
        <w:t>t pieejami.</w:t>
      </w:r>
    </w:p>
    <w:p w14:paraId="280304F6" w14:textId="77777777" w:rsidR="002E5DDC" w:rsidRPr="00C331A0" w:rsidRDefault="002E5DDC" w:rsidP="00A75C3F">
      <w:pPr>
        <w:pStyle w:val="Default"/>
        <w:rPr>
          <w:color w:val="auto"/>
          <w:szCs w:val="23"/>
          <w:lang w:val="lv-LV"/>
        </w:rPr>
      </w:pPr>
    </w:p>
    <w:p w14:paraId="16E22763" w14:textId="77777777" w:rsidR="002E5DDC" w:rsidRPr="00C331A0" w:rsidRDefault="002E5DDC" w:rsidP="00A75C3F">
      <w:pPr>
        <w:pStyle w:val="Default"/>
        <w:rPr>
          <w:color w:val="auto"/>
          <w:szCs w:val="23"/>
          <w:lang w:val="lv-LV"/>
        </w:rPr>
      </w:pPr>
      <w:r w:rsidRPr="00C331A0">
        <w:rPr>
          <w:b/>
          <w:bCs/>
          <w:color w:val="auto"/>
          <w:szCs w:val="23"/>
          <w:lang w:val="lv-LV"/>
        </w:rPr>
        <w:t>6.6 Īpaši norādījumi atkritumu likvidēšanai un citi norādījumi par rīkošanos</w:t>
      </w:r>
    </w:p>
    <w:p w14:paraId="7D0DC885" w14:textId="77777777" w:rsidR="00E42F72" w:rsidRDefault="00E42F72" w:rsidP="00A75C3F">
      <w:pPr>
        <w:pStyle w:val="Default"/>
        <w:rPr>
          <w:color w:val="auto"/>
          <w:szCs w:val="23"/>
          <w:lang w:val="lv-LV"/>
        </w:rPr>
      </w:pPr>
    </w:p>
    <w:p w14:paraId="14D28211" w14:textId="77777777" w:rsidR="002E5DDC" w:rsidRPr="00C331A0" w:rsidRDefault="002E5DDC" w:rsidP="00A75C3F">
      <w:pPr>
        <w:pStyle w:val="Default"/>
        <w:rPr>
          <w:color w:val="auto"/>
          <w:szCs w:val="23"/>
          <w:lang w:val="lv-LV"/>
        </w:rPr>
      </w:pPr>
      <w:r w:rsidRPr="00C331A0">
        <w:rPr>
          <w:color w:val="auto"/>
          <w:szCs w:val="23"/>
          <w:lang w:val="lv-LV"/>
        </w:rPr>
        <w:t>Nav īpašu atkritumu likvidēšanas prasī</w:t>
      </w:r>
      <w:r w:rsidR="002459EE">
        <w:rPr>
          <w:color w:val="auto"/>
          <w:szCs w:val="23"/>
          <w:lang w:val="lv-LV"/>
        </w:rPr>
        <w:t>bu.</w:t>
      </w:r>
    </w:p>
    <w:p w14:paraId="6AD48171" w14:textId="77777777" w:rsidR="002E5DDC" w:rsidRDefault="002E5DDC" w:rsidP="00A75C3F">
      <w:pPr>
        <w:pStyle w:val="Default"/>
        <w:rPr>
          <w:color w:val="auto"/>
          <w:szCs w:val="23"/>
          <w:lang w:val="lv-LV"/>
        </w:rPr>
      </w:pPr>
    </w:p>
    <w:p w14:paraId="7576BFE3" w14:textId="77777777" w:rsidR="00E42F72" w:rsidRPr="00C331A0" w:rsidRDefault="00E42F72" w:rsidP="00A75C3F">
      <w:pPr>
        <w:pStyle w:val="Default"/>
        <w:rPr>
          <w:color w:val="auto"/>
          <w:szCs w:val="23"/>
          <w:lang w:val="lv-LV"/>
        </w:rPr>
      </w:pPr>
    </w:p>
    <w:p w14:paraId="67AC60C6" w14:textId="77777777" w:rsidR="002E5DDC" w:rsidRPr="00C331A0" w:rsidRDefault="002E5DDC" w:rsidP="00A75C3F">
      <w:pPr>
        <w:pStyle w:val="Default"/>
        <w:rPr>
          <w:color w:val="auto"/>
          <w:szCs w:val="23"/>
          <w:lang w:val="lv-LV"/>
        </w:rPr>
      </w:pPr>
      <w:r w:rsidRPr="00C331A0">
        <w:rPr>
          <w:b/>
          <w:bCs/>
          <w:color w:val="auto"/>
          <w:szCs w:val="23"/>
          <w:lang w:val="lv-LV"/>
        </w:rPr>
        <w:t>7. REĢISTRĀCIJAS APLIECĪBAS ĪPAŠNIEKS</w:t>
      </w:r>
    </w:p>
    <w:p w14:paraId="5B0968C4" w14:textId="77777777" w:rsidR="00E42F72" w:rsidRDefault="00E42F72" w:rsidP="00E42F72">
      <w:pPr>
        <w:spacing w:after="0" w:line="240" w:lineRule="auto"/>
        <w:rPr>
          <w:rFonts w:ascii="Times New Roman" w:hAnsi="Times New Roman"/>
          <w:lang w:val="lv-LV" w:eastAsia="en-US"/>
        </w:rPr>
      </w:pPr>
    </w:p>
    <w:p w14:paraId="256EE7B3" w14:textId="77777777" w:rsidR="0077387A" w:rsidRPr="0077387A" w:rsidRDefault="0077387A" w:rsidP="0077387A">
      <w:pPr>
        <w:tabs>
          <w:tab w:val="left" w:pos="567"/>
        </w:tabs>
        <w:spacing w:after="0" w:line="240" w:lineRule="auto"/>
        <w:rPr>
          <w:rFonts w:ascii="Times New Roman" w:hAnsi="Times New Roman"/>
          <w:lang w:val="lv-LV" w:eastAsia="en-US"/>
        </w:rPr>
      </w:pPr>
      <w:r w:rsidRPr="0077387A">
        <w:rPr>
          <w:rFonts w:ascii="Times New Roman" w:hAnsi="Times New Roman"/>
          <w:lang w:val="lv-LV" w:eastAsia="en-US"/>
        </w:rPr>
        <w:t>UAB „SanoSwiss“</w:t>
      </w:r>
    </w:p>
    <w:p w14:paraId="2ABB96D2" w14:textId="77777777" w:rsidR="0077387A" w:rsidRPr="0077387A" w:rsidRDefault="0077387A" w:rsidP="0077387A">
      <w:pPr>
        <w:tabs>
          <w:tab w:val="left" w:pos="567"/>
        </w:tabs>
        <w:spacing w:after="0" w:line="240" w:lineRule="auto"/>
        <w:rPr>
          <w:rFonts w:ascii="Times New Roman" w:hAnsi="Times New Roman"/>
          <w:szCs w:val="20"/>
          <w:lang w:val="lv-LV" w:eastAsia="en-US"/>
        </w:rPr>
      </w:pPr>
      <w:r w:rsidRPr="0077387A">
        <w:rPr>
          <w:rFonts w:ascii="Times New Roman" w:hAnsi="Times New Roman"/>
          <w:szCs w:val="20"/>
          <w:lang w:val="lv-LV" w:eastAsia="en-US"/>
        </w:rPr>
        <w:t>Lvovo g. 25-701,</w:t>
      </w:r>
    </w:p>
    <w:p w14:paraId="7995B321" w14:textId="77777777" w:rsidR="0077387A" w:rsidRPr="0077387A" w:rsidRDefault="0077387A" w:rsidP="0077387A">
      <w:pPr>
        <w:tabs>
          <w:tab w:val="left" w:pos="567"/>
        </w:tabs>
        <w:spacing w:after="0" w:line="240" w:lineRule="auto"/>
        <w:rPr>
          <w:rFonts w:ascii="Times New Roman" w:hAnsi="Times New Roman"/>
          <w:szCs w:val="20"/>
          <w:lang w:val="lv-LV" w:eastAsia="en-US"/>
        </w:rPr>
      </w:pPr>
      <w:r w:rsidRPr="0077387A">
        <w:rPr>
          <w:rFonts w:ascii="Times New Roman" w:hAnsi="Times New Roman"/>
          <w:szCs w:val="20"/>
          <w:lang w:val="lv-LV" w:eastAsia="en-US"/>
        </w:rPr>
        <w:t>Vilnius, LT-09320</w:t>
      </w:r>
    </w:p>
    <w:p w14:paraId="7F05E5B5" w14:textId="77777777" w:rsidR="0077387A" w:rsidRPr="0077387A" w:rsidRDefault="0077387A" w:rsidP="0077387A">
      <w:pPr>
        <w:tabs>
          <w:tab w:val="left" w:pos="567"/>
        </w:tabs>
        <w:spacing w:after="0" w:line="240" w:lineRule="auto"/>
        <w:rPr>
          <w:rFonts w:ascii="Times New Roman" w:hAnsi="Times New Roman"/>
          <w:lang w:val="lv-LV" w:eastAsia="en-US"/>
        </w:rPr>
      </w:pPr>
      <w:r w:rsidRPr="0077387A">
        <w:rPr>
          <w:rFonts w:ascii="Times New Roman" w:hAnsi="Times New Roman"/>
          <w:lang w:val="lv-LV" w:eastAsia="en-US"/>
        </w:rPr>
        <w:t>Lietuva</w:t>
      </w:r>
    </w:p>
    <w:p w14:paraId="0CAC4CA5" w14:textId="77777777" w:rsidR="002E5DDC" w:rsidRDefault="002E5DDC" w:rsidP="00A75C3F">
      <w:pPr>
        <w:pStyle w:val="Default"/>
        <w:rPr>
          <w:color w:val="auto"/>
          <w:szCs w:val="23"/>
          <w:lang w:val="lv-LV"/>
        </w:rPr>
      </w:pPr>
    </w:p>
    <w:p w14:paraId="49050EA9" w14:textId="77777777" w:rsidR="00E42F72" w:rsidRPr="00C331A0" w:rsidRDefault="00E42F72" w:rsidP="00A75C3F">
      <w:pPr>
        <w:pStyle w:val="Default"/>
        <w:rPr>
          <w:color w:val="auto"/>
          <w:szCs w:val="23"/>
          <w:lang w:val="lv-LV"/>
        </w:rPr>
      </w:pPr>
    </w:p>
    <w:p w14:paraId="6210567D" w14:textId="77777777" w:rsidR="002E5DDC" w:rsidRPr="00C331A0" w:rsidRDefault="002E5DDC" w:rsidP="00A75C3F">
      <w:pPr>
        <w:pStyle w:val="Default"/>
        <w:rPr>
          <w:color w:val="auto"/>
          <w:szCs w:val="23"/>
          <w:lang w:val="lv-LV"/>
        </w:rPr>
      </w:pPr>
      <w:r w:rsidRPr="00C331A0">
        <w:rPr>
          <w:b/>
          <w:bCs/>
          <w:color w:val="auto"/>
          <w:szCs w:val="23"/>
          <w:lang w:val="lv-LV"/>
        </w:rPr>
        <w:t>8. REĢISTRĀCIJAS APLIECĪBAS NUMURS</w:t>
      </w:r>
    </w:p>
    <w:p w14:paraId="27D2E53C" w14:textId="77777777" w:rsidR="00E42F72" w:rsidRDefault="00E42F72" w:rsidP="00A75C3F">
      <w:pPr>
        <w:pStyle w:val="Default"/>
        <w:rPr>
          <w:color w:val="auto"/>
          <w:szCs w:val="23"/>
          <w:lang w:val="lv-LV"/>
        </w:rPr>
      </w:pPr>
    </w:p>
    <w:p w14:paraId="60B0F0E2" w14:textId="77777777" w:rsidR="002E5DDC" w:rsidRPr="00C331A0" w:rsidRDefault="002459EE" w:rsidP="00A75C3F">
      <w:pPr>
        <w:pStyle w:val="Default"/>
        <w:rPr>
          <w:color w:val="auto"/>
          <w:szCs w:val="23"/>
          <w:lang w:val="lv-LV"/>
        </w:rPr>
      </w:pPr>
      <w:r>
        <w:rPr>
          <w:color w:val="auto"/>
          <w:szCs w:val="23"/>
          <w:lang w:val="lv-LV"/>
        </w:rPr>
        <w:t>05-0462</w:t>
      </w:r>
    </w:p>
    <w:p w14:paraId="7F15EFE1" w14:textId="77777777" w:rsidR="002E5DDC" w:rsidRDefault="002E5DDC" w:rsidP="00A75C3F">
      <w:pPr>
        <w:pStyle w:val="Default"/>
        <w:rPr>
          <w:color w:val="auto"/>
          <w:szCs w:val="23"/>
          <w:lang w:val="lv-LV"/>
        </w:rPr>
      </w:pPr>
    </w:p>
    <w:p w14:paraId="07A08C85" w14:textId="77777777" w:rsidR="00E42F72" w:rsidRPr="00C331A0" w:rsidRDefault="00E42F72" w:rsidP="00A75C3F">
      <w:pPr>
        <w:pStyle w:val="Default"/>
        <w:rPr>
          <w:color w:val="auto"/>
          <w:szCs w:val="23"/>
          <w:lang w:val="lv-LV"/>
        </w:rPr>
      </w:pPr>
    </w:p>
    <w:p w14:paraId="353B6E82" w14:textId="77777777" w:rsidR="002E5DDC" w:rsidRPr="00C331A0" w:rsidRDefault="002E5DDC" w:rsidP="00A75C3F">
      <w:pPr>
        <w:pStyle w:val="Default"/>
        <w:rPr>
          <w:color w:val="auto"/>
          <w:szCs w:val="23"/>
          <w:lang w:val="lv-LV"/>
        </w:rPr>
      </w:pPr>
      <w:r w:rsidRPr="00C331A0">
        <w:rPr>
          <w:b/>
          <w:bCs/>
          <w:color w:val="auto"/>
          <w:szCs w:val="23"/>
          <w:lang w:val="lv-LV"/>
        </w:rPr>
        <w:t>9. REĢISTRĀCIJAS/PĀRREĢISTRĀCIJAS DATUMS</w:t>
      </w:r>
    </w:p>
    <w:p w14:paraId="440B40CD" w14:textId="77777777" w:rsidR="00E42F72" w:rsidRDefault="00E42F72" w:rsidP="00A75C3F">
      <w:pPr>
        <w:pStyle w:val="Default"/>
        <w:rPr>
          <w:color w:val="auto"/>
          <w:szCs w:val="23"/>
          <w:lang w:val="lv-LV"/>
        </w:rPr>
      </w:pPr>
    </w:p>
    <w:p w14:paraId="7EC1CE90" w14:textId="77777777" w:rsidR="002E5DDC" w:rsidRPr="00C331A0" w:rsidRDefault="002E5DDC" w:rsidP="00A75C3F">
      <w:pPr>
        <w:pStyle w:val="Default"/>
        <w:rPr>
          <w:color w:val="auto"/>
          <w:szCs w:val="23"/>
          <w:lang w:val="lv-LV"/>
        </w:rPr>
      </w:pPr>
      <w:r w:rsidRPr="00C331A0">
        <w:rPr>
          <w:color w:val="auto"/>
          <w:szCs w:val="23"/>
          <w:lang w:val="lv-LV"/>
        </w:rPr>
        <w:t>Reģistrācijas</w:t>
      </w:r>
      <w:r w:rsidR="002459EE">
        <w:rPr>
          <w:color w:val="auto"/>
          <w:szCs w:val="23"/>
          <w:lang w:val="lv-LV"/>
        </w:rPr>
        <w:t xml:space="preserve"> datums: 2005.gada 28.oktobris.</w:t>
      </w:r>
    </w:p>
    <w:p w14:paraId="6C1E5F33" w14:textId="77777777" w:rsidR="002E5DDC" w:rsidRPr="00C331A0" w:rsidRDefault="002E5DDC" w:rsidP="00A75C3F">
      <w:pPr>
        <w:pStyle w:val="Default"/>
        <w:rPr>
          <w:color w:val="auto"/>
          <w:szCs w:val="23"/>
          <w:lang w:val="lv-LV"/>
        </w:rPr>
      </w:pPr>
      <w:r w:rsidRPr="00C331A0">
        <w:rPr>
          <w:color w:val="auto"/>
          <w:szCs w:val="23"/>
          <w:lang w:val="lv-LV"/>
        </w:rPr>
        <w:t>Pēdējās pārreģistrāci</w:t>
      </w:r>
      <w:r w:rsidR="002459EE">
        <w:rPr>
          <w:color w:val="auto"/>
          <w:szCs w:val="23"/>
          <w:lang w:val="lv-LV"/>
        </w:rPr>
        <w:t>jas datums: 2008.gada 13.marts.</w:t>
      </w:r>
    </w:p>
    <w:p w14:paraId="64370F27" w14:textId="77777777" w:rsidR="002E5DDC" w:rsidRDefault="002E5DDC" w:rsidP="00A75C3F">
      <w:pPr>
        <w:pStyle w:val="Default"/>
        <w:rPr>
          <w:color w:val="auto"/>
          <w:szCs w:val="23"/>
          <w:lang w:val="lv-LV"/>
        </w:rPr>
      </w:pPr>
    </w:p>
    <w:p w14:paraId="2F4D2D1A" w14:textId="77777777" w:rsidR="00E42F72" w:rsidRPr="00C331A0" w:rsidRDefault="00E42F72" w:rsidP="00A75C3F">
      <w:pPr>
        <w:pStyle w:val="Default"/>
        <w:rPr>
          <w:color w:val="auto"/>
          <w:szCs w:val="23"/>
          <w:lang w:val="lv-LV"/>
        </w:rPr>
      </w:pPr>
    </w:p>
    <w:p w14:paraId="3EC8016E" w14:textId="77777777" w:rsidR="002E5DDC" w:rsidRPr="00C331A0" w:rsidRDefault="002E5DDC" w:rsidP="00E42F72">
      <w:pPr>
        <w:pStyle w:val="Default"/>
        <w:keepNext/>
        <w:rPr>
          <w:color w:val="auto"/>
          <w:szCs w:val="23"/>
          <w:lang w:val="lv-LV"/>
        </w:rPr>
      </w:pPr>
      <w:r w:rsidRPr="00C331A0">
        <w:rPr>
          <w:b/>
          <w:bCs/>
          <w:color w:val="auto"/>
          <w:szCs w:val="23"/>
          <w:lang w:val="lv-LV"/>
        </w:rPr>
        <w:t>10. TEKSTA PĀRSKATĪŠANAS DATUMS</w:t>
      </w:r>
    </w:p>
    <w:p w14:paraId="19EBC1A3" w14:textId="77777777" w:rsidR="00E42F72" w:rsidRDefault="00E42F72" w:rsidP="00E42F72">
      <w:pPr>
        <w:pStyle w:val="Default"/>
        <w:keepNext/>
        <w:rPr>
          <w:color w:val="auto"/>
          <w:szCs w:val="23"/>
          <w:lang w:val="lv-LV"/>
        </w:rPr>
      </w:pPr>
    </w:p>
    <w:p w14:paraId="04705A8B" w14:textId="24BC1E63" w:rsidR="002E5DDC" w:rsidRPr="00C331A0" w:rsidRDefault="002F286E" w:rsidP="00E42F72">
      <w:pPr>
        <w:pStyle w:val="Default"/>
        <w:keepNext/>
        <w:rPr>
          <w:lang w:val="lv-LV"/>
        </w:rPr>
      </w:pPr>
      <w:r>
        <w:rPr>
          <w:lang w:val="lv-LV"/>
        </w:rPr>
        <w:t>08/2021</w:t>
      </w:r>
    </w:p>
    <w:sectPr w:rsidR="002E5DDC" w:rsidRPr="00C331A0" w:rsidSect="00C331A0">
      <w:headerReference w:type="even" r:id="rId11"/>
      <w:headerReference w:type="default" r:id="rId12"/>
      <w:footerReference w:type="even" r:id="rId13"/>
      <w:footerReference w:type="default" r:id="rId14"/>
      <w:headerReference w:type="first" r:id="rId15"/>
      <w:footerReference w:type="first" r:id="rId16"/>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4233D" w14:textId="77777777" w:rsidR="00ED5F6E" w:rsidRDefault="00ED5F6E" w:rsidP="00C331A0">
      <w:pPr>
        <w:spacing w:after="0" w:line="240" w:lineRule="auto"/>
      </w:pPr>
      <w:r>
        <w:separator/>
      </w:r>
    </w:p>
  </w:endnote>
  <w:endnote w:type="continuationSeparator" w:id="0">
    <w:p w14:paraId="10E4E7F2" w14:textId="77777777" w:rsidR="00ED5F6E" w:rsidRDefault="00ED5F6E" w:rsidP="00C3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7ED3" w14:textId="77777777" w:rsidR="00C96F9A" w:rsidRDefault="00C96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87FCC" w14:textId="77777777" w:rsidR="00C96F9A" w:rsidRDefault="00C96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9471" w14:textId="77777777" w:rsidR="00C96F9A" w:rsidRDefault="00C96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C09CC" w14:textId="77777777" w:rsidR="00ED5F6E" w:rsidRDefault="00ED5F6E" w:rsidP="00C331A0">
      <w:pPr>
        <w:spacing w:after="0" w:line="240" w:lineRule="auto"/>
      </w:pPr>
      <w:r>
        <w:separator/>
      </w:r>
    </w:p>
  </w:footnote>
  <w:footnote w:type="continuationSeparator" w:id="0">
    <w:p w14:paraId="78398518" w14:textId="77777777" w:rsidR="00ED5F6E" w:rsidRDefault="00ED5F6E" w:rsidP="00C33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DDBA" w14:textId="77777777" w:rsidR="00C96F9A" w:rsidRDefault="00C96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57D5" w14:textId="5BCD671F" w:rsidR="00C331A0" w:rsidRPr="00F804DC" w:rsidRDefault="009B65FD" w:rsidP="00C331A0">
    <w:pPr>
      <w:pStyle w:val="Header"/>
      <w:spacing w:after="0" w:line="240" w:lineRule="auto"/>
      <w:jc w:val="right"/>
      <w:rPr>
        <w:rFonts w:ascii="Times New Roman" w:hAnsi="Times New Roman"/>
        <w:sz w:val="24"/>
        <w:szCs w:val="24"/>
      </w:rPr>
    </w:pPr>
    <w:r>
      <w:rPr>
        <w:rFonts w:ascii="Times New Roman" w:hAnsi="Times New Roman"/>
        <w:sz w:val="24"/>
        <w:szCs w:val="24"/>
      </w:rPr>
      <w:t xml:space="preserve">SASKAŅOTS ZVA </w:t>
    </w:r>
    <w:r w:rsidR="00C96F9A">
      <w:rPr>
        <w:rFonts w:ascii="Times New Roman" w:hAnsi="Times New Roman"/>
        <w:sz w:val="24"/>
        <w:szCs w:val="24"/>
      </w:rPr>
      <w:t>03-08-2021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75D6" w14:textId="77777777" w:rsidR="00C96F9A" w:rsidRDefault="00C96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B6C3A"/>
    <w:multiLevelType w:val="hybridMultilevel"/>
    <w:tmpl w:val="735867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396D81"/>
    <w:multiLevelType w:val="hybridMultilevel"/>
    <w:tmpl w:val="DE1287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AC26FD4"/>
    <w:multiLevelType w:val="hybridMultilevel"/>
    <w:tmpl w:val="F522D88A"/>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386B8D"/>
    <w:multiLevelType w:val="hybridMultilevel"/>
    <w:tmpl w:val="77EC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396"/>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A0"/>
    <w:rsid w:val="00006CF4"/>
    <w:rsid w:val="00016158"/>
    <w:rsid w:val="000228F8"/>
    <w:rsid w:val="0003680B"/>
    <w:rsid w:val="00044550"/>
    <w:rsid w:val="00050A3B"/>
    <w:rsid w:val="000533E0"/>
    <w:rsid w:val="00092707"/>
    <w:rsid w:val="000A5474"/>
    <w:rsid w:val="000A56B2"/>
    <w:rsid w:val="000A6F63"/>
    <w:rsid w:val="000B1C99"/>
    <w:rsid w:val="000B6671"/>
    <w:rsid w:val="00122DC9"/>
    <w:rsid w:val="00127991"/>
    <w:rsid w:val="00152C3D"/>
    <w:rsid w:val="00185641"/>
    <w:rsid w:val="00197CB0"/>
    <w:rsid w:val="001A59F6"/>
    <w:rsid w:val="001C52D2"/>
    <w:rsid w:val="001E243E"/>
    <w:rsid w:val="002049DE"/>
    <w:rsid w:val="00205CE6"/>
    <w:rsid w:val="002459EE"/>
    <w:rsid w:val="00260317"/>
    <w:rsid w:val="002A4BC3"/>
    <w:rsid w:val="002B1529"/>
    <w:rsid w:val="002B6FCF"/>
    <w:rsid w:val="002B7206"/>
    <w:rsid w:val="002C3104"/>
    <w:rsid w:val="002C4DF8"/>
    <w:rsid w:val="002E5DDC"/>
    <w:rsid w:val="002F16B6"/>
    <w:rsid w:val="002F286E"/>
    <w:rsid w:val="00304918"/>
    <w:rsid w:val="003129E7"/>
    <w:rsid w:val="00313EDD"/>
    <w:rsid w:val="00334512"/>
    <w:rsid w:val="00334575"/>
    <w:rsid w:val="00337F63"/>
    <w:rsid w:val="00343C60"/>
    <w:rsid w:val="00361C47"/>
    <w:rsid w:val="00387820"/>
    <w:rsid w:val="00397528"/>
    <w:rsid w:val="003A32F4"/>
    <w:rsid w:val="003E50D2"/>
    <w:rsid w:val="0040446B"/>
    <w:rsid w:val="004068C0"/>
    <w:rsid w:val="004517D4"/>
    <w:rsid w:val="00463923"/>
    <w:rsid w:val="00464835"/>
    <w:rsid w:val="0046743C"/>
    <w:rsid w:val="00467444"/>
    <w:rsid w:val="00492025"/>
    <w:rsid w:val="004965D6"/>
    <w:rsid w:val="004F7288"/>
    <w:rsid w:val="00526681"/>
    <w:rsid w:val="00540E74"/>
    <w:rsid w:val="0054759F"/>
    <w:rsid w:val="00552C63"/>
    <w:rsid w:val="005676A3"/>
    <w:rsid w:val="00591618"/>
    <w:rsid w:val="005B40AC"/>
    <w:rsid w:val="005B7B02"/>
    <w:rsid w:val="005C7D0E"/>
    <w:rsid w:val="005E1E99"/>
    <w:rsid w:val="00615779"/>
    <w:rsid w:val="006273E0"/>
    <w:rsid w:val="00650B16"/>
    <w:rsid w:val="00657C63"/>
    <w:rsid w:val="00661988"/>
    <w:rsid w:val="00661C43"/>
    <w:rsid w:val="006B0F8B"/>
    <w:rsid w:val="006C5FBF"/>
    <w:rsid w:val="006C7C8C"/>
    <w:rsid w:val="006D5372"/>
    <w:rsid w:val="006F4CF8"/>
    <w:rsid w:val="00752070"/>
    <w:rsid w:val="0077387A"/>
    <w:rsid w:val="00793AB3"/>
    <w:rsid w:val="007A3E10"/>
    <w:rsid w:val="007A4D5C"/>
    <w:rsid w:val="00810E01"/>
    <w:rsid w:val="00814F2C"/>
    <w:rsid w:val="00864797"/>
    <w:rsid w:val="00881547"/>
    <w:rsid w:val="00890A32"/>
    <w:rsid w:val="00896148"/>
    <w:rsid w:val="008A2914"/>
    <w:rsid w:val="008B0EC2"/>
    <w:rsid w:val="008C5BA2"/>
    <w:rsid w:val="00900994"/>
    <w:rsid w:val="00914278"/>
    <w:rsid w:val="009260A5"/>
    <w:rsid w:val="00945AE5"/>
    <w:rsid w:val="00993EB5"/>
    <w:rsid w:val="009948DB"/>
    <w:rsid w:val="009B65FD"/>
    <w:rsid w:val="009B6A12"/>
    <w:rsid w:val="009C7950"/>
    <w:rsid w:val="00A06140"/>
    <w:rsid w:val="00A10241"/>
    <w:rsid w:val="00A312EF"/>
    <w:rsid w:val="00A50BCB"/>
    <w:rsid w:val="00A576E0"/>
    <w:rsid w:val="00A75C3F"/>
    <w:rsid w:val="00AA334E"/>
    <w:rsid w:val="00AB0938"/>
    <w:rsid w:val="00B34CBD"/>
    <w:rsid w:val="00B55A07"/>
    <w:rsid w:val="00B55B43"/>
    <w:rsid w:val="00BC54E9"/>
    <w:rsid w:val="00BD2892"/>
    <w:rsid w:val="00C235BB"/>
    <w:rsid w:val="00C3313C"/>
    <w:rsid w:val="00C331A0"/>
    <w:rsid w:val="00C6605B"/>
    <w:rsid w:val="00C96F9A"/>
    <w:rsid w:val="00CD6253"/>
    <w:rsid w:val="00CF6DCA"/>
    <w:rsid w:val="00D425A5"/>
    <w:rsid w:val="00D8184B"/>
    <w:rsid w:val="00D96A97"/>
    <w:rsid w:val="00DE4A27"/>
    <w:rsid w:val="00DF7AD9"/>
    <w:rsid w:val="00E0604F"/>
    <w:rsid w:val="00E1033A"/>
    <w:rsid w:val="00E42F72"/>
    <w:rsid w:val="00E45CCB"/>
    <w:rsid w:val="00E51437"/>
    <w:rsid w:val="00E63B35"/>
    <w:rsid w:val="00E954AE"/>
    <w:rsid w:val="00ED5F6E"/>
    <w:rsid w:val="00F51784"/>
    <w:rsid w:val="00F60F57"/>
    <w:rsid w:val="00F6402E"/>
    <w:rsid w:val="00F7407F"/>
    <w:rsid w:val="00F804DC"/>
    <w:rsid w:val="00F904C5"/>
    <w:rsid w:val="00F97D30"/>
    <w:rsid w:val="00FE440A"/>
    <w:rsid w:val="00FE7F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2FC1B9"/>
  <w15:chartTrackingRefBased/>
  <w15:docId w15:val="{45FA3641-7092-41A3-A77E-2ED203CD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en-GB" w:eastAsia="en-GB"/>
    </w:rPr>
  </w:style>
  <w:style w:type="paragraph" w:styleId="Header">
    <w:name w:val="header"/>
    <w:basedOn w:val="Normal"/>
    <w:link w:val="HeaderChar"/>
    <w:uiPriority w:val="99"/>
    <w:unhideWhenUsed/>
    <w:rsid w:val="00C331A0"/>
    <w:pPr>
      <w:tabs>
        <w:tab w:val="center" w:pos="4153"/>
        <w:tab w:val="right" w:pos="8306"/>
      </w:tabs>
    </w:pPr>
  </w:style>
  <w:style w:type="character" w:customStyle="1" w:styleId="HeaderChar">
    <w:name w:val="Header Char"/>
    <w:basedOn w:val="DefaultParagraphFont"/>
    <w:link w:val="Header"/>
    <w:uiPriority w:val="99"/>
    <w:rsid w:val="00C331A0"/>
  </w:style>
  <w:style w:type="paragraph" w:styleId="Footer">
    <w:name w:val="footer"/>
    <w:basedOn w:val="Normal"/>
    <w:link w:val="FooterChar"/>
    <w:uiPriority w:val="99"/>
    <w:unhideWhenUsed/>
    <w:rsid w:val="00C331A0"/>
    <w:pPr>
      <w:tabs>
        <w:tab w:val="center" w:pos="4153"/>
        <w:tab w:val="right" w:pos="8306"/>
      </w:tabs>
    </w:pPr>
  </w:style>
  <w:style w:type="character" w:customStyle="1" w:styleId="FooterChar">
    <w:name w:val="Footer Char"/>
    <w:basedOn w:val="DefaultParagraphFont"/>
    <w:link w:val="Footer"/>
    <w:uiPriority w:val="99"/>
    <w:rsid w:val="00C331A0"/>
  </w:style>
  <w:style w:type="paragraph" w:styleId="BalloonText">
    <w:name w:val="Balloon Text"/>
    <w:basedOn w:val="Normal"/>
    <w:link w:val="BalloonTextChar"/>
    <w:uiPriority w:val="99"/>
    <w:semiHidden/>
    <w:unhideWhenUsed/>
    <w:rsid w:val="002459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9EE"/>
    <w:rPr>
      <w:rFonts w:ascii="Tahoma" w:hAnsi="Tahoma" w:cs="Tahoma"/>
      <w:sz w:val="16"/>
      <w:szCs w:val="16"/>
    </w:rPr>
  </w:style>
  <w:style w:type="character" w:styleId="CommentReference">
    <w:name w:val="annotation reference"/>
    <w:uiPriority w:val="99"/>
    <w:semiHidden/>
    <w:unhideWhenUsed/>
    <w:rsid w:val="00E1033A"/>
    <w:rPr>
      <w:sz w:val="16"/>
      <w:szCs w:val="16"/>
    </w:rPr>
  </w:style>
  <w:style w:type="paragraph" w:styleId="CommentText">
    <w:name w:val="annotation text"/>
    <w:basedOn w:val="Normal"/>
    <w:link w:val="CommentTextChar"/>
    <w:uiPriority w:val="99"/>
    <w:semiHidden/>
    <w:unhideWhenUsed/>
    <w:rsid w:val="00E1033A"/>
    <w:rPr>
      <w:sz w:val="20"/>
      <w:szCs w:val="20"/>
    </w:rPr>
  </w:style>
  <w:style w:type="character" w:customStyle="1" w:styleId="CommentTextChar">
    <w:name w:val="Comment Text Char"/>
    <w:basedOn w:val="DefaultParagraphFont"/>
    <w:link w:val="CommentText"/>
    <w:uiPriority w:val="99"/>
    <w:semiHidden/>
    <w:rsid w:val="00E1033A"/>
  </w:style>
  <w:style w:type="paragraph" w:styleId="CommentSubject">
    <w:name w:val="annotation subject"/>
    <w:basedOn w:val="CommentText"/>
    <w:next w:val="CommentText"/>
    <w:link w:val="CommentSubjectChar"/>
    <w:uiPriority w:val="99"/>
    <w:semiHidden/>
    <w:unhideWhenUsed/>
    <w:rsid w:val="00E1033A"/>
    <w:rPr>
      <w:b/>
      <w:bCs/>
    </w:rPr>
  </w:style>
  <w:style w:type="character" w:customStyle="1" w:styleId="CommentSubjectChar">
    <w:name w:val="Comment Subject Char"/>
    <w:link w:val="CommentSubject"/>
    <w:uiPriority w:val="99"/>
    <w:semiHidden/>
    <w:rsid w:val="00E1033A"/>
    <w:rPr>
      <w:b/>
      <w:bCs/>
    </w:rPr>
  </w:style>
  <w:style w:type="paragraph" w:styleId="NoSpacing">
    <w:name w:val="No Spacing"/>
    <w:uiPriority w:val="1"/>
    <w:qFormat/>
    <w:rsid w:val="000533E0"/>
    <w:rPr>
      <w:sz w:val="22"/>
      <w:szCs w:val="22"/>
      <w:lang w:val="en-GB" w:eastAsia="en-GB"/>
    </w:rPr>
  </w:style>
  <w:style w:type="paragraph" w:styleId="BodyTextIndent">
    <w:name w:val="Body Text Indent"/>
    <w:basedOn w:val="Normal"/>
    <w:link w:val="BodyTextIndentChar"/>
    <w:rsid w:val="000533E0"/>
    <w:pPr>
      <w:spacing w:after="0" w:line="240" w:lineRule="auto"/>
      <w:ind w:left="720"/>
      <w:jc w:val="both"/>
    </w:pPr>
    <w:rPr>
      <w:rFonts w:ascii="Arial" w:hAnsi="Arial"/>
      <w:spacing w:val="-3"/>
      <w:szCs w:val="20"/>
      <w:lang w:val="da-DK" w:eastAsia="en-US"/>
    </w:rPr>
  </w:style>
  <w:style w:type="character" w:customStyle="1" w:styleId="BodyTextIndentChar">
    <w:name w:val="Body Text Indent Char"/>
    <w:link w:val="BodyTextIndent"/>
    <w:rsid w:val="000533E0"/>
    <w:rPr>
      <w:rFonts w:ascii="Arial" w:hAnsi="Arial"/>
      <w:spacing w:val="-3"/>
      <w:sz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zva.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0BB27F6170C4281D72A09042F392A" ma:contentTypeVersion="12" ma:contentTypeDescription="Create a new document." ma:contentTypeScope="" ma:versionID="7cb991635c15ee39022faa83dd334723">
  <xsd:schema xmlns:xsd="http://www.w3.org/2001/XMLSchema" xmlns:xs="http://www.w3.org/2001/XMLSchema" xmlns:p="http://schemas.microsoft.com/office/2006/metadata/properties" xmlns:ns2="04d69301-8a09-47d6-b4e7-771964707a58" xmlns:ns3="109dd77f-ce19-45eb-9f15-de2b02146225" targetNamespace="http://schemas.microsoft.com/office/2006/metadata/properties" ma:root="true" ma:fieldsID="9897b035a91f03e37a39ab4e65705786" ns2:_="" ns3:_="">
    <xsd:import namespace="04d69301-8a09-47d6-b4e7-771964707a58"/>
    <xsd:import namespace="109dd77f-ce19-45eb-9f15-de2b021462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69301-8a09-47d6-b4e7-771964707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dd77f-ce19-45eb-9f15-de2b021462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86D35-9CB9-4FD9-89BF-00E26AF66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69301-8a09-47d6-b4e7-771964707a58"/>
    <ds:schemaRef ds:uri="109dd77f-ce19-45eb-9f15-de2b02146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4A92E-01DA-49F6-9C84-A42EE342B6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0CDAA7-FCCE-48EC-A2BE-5DE00C937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4793</Words>
  <Characters>35140</Characters>
  <Application>Microsoft Office Word</Application>
  <DocSecurity>0</DocSecurity>
  <Lines>292</Lines>
  <Paragraphs>79</Paragraphs>
  <ScaleCrop>false</ScaleCrop>
  <HeadingPairs>
    <vt:vector size="2" baseType="variant">
      <vt:variant>
        <vt:lpstr>Title</vt:lpstr>
      </vt:variant>
      <vt:variant>
        <vt:i4>1</vt:i4>
      </vt:variant>
    </vt:vector>
  </HeadingPairs>
  <TitlesOfParts>
    <vt:vector size="1" baseType="lpstr">
      <vt:lpstr>Microsoft Word - Citalopram Actavis 20mg apv tabl_ZA_31-05-2012_C</vt:lpstr>
    </vt:vector>
  </TitlesOfParts>
  <Company/>
  <LinksUpToDate>false</LinksUpToDate>
  <CharactersWithSpaces>39854</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Citalopram Actavis 20mg apv tabl_ZA_31-05-2012_C</dc:title>
  <dc:subject/>
  <dc:creator>ieva.rozena</dc:creator>
  <cp:keywords/>
  <cp:lastModifiedBy>Skaidrīte Lapsenīte</cp:lastModifiedBy>
  <cp:revision>5</cp:revision>
  <cp:lastPrinted>2020-11-20T07:44:00Z</cp:lastPrinted>
  <dcterms:created xsi:type="dcterms:W3CDTF">2021-05-24T14:30:00Z</dcterms:created>
  <dcterms:modified xsi:type="dcterms:W3CDTF">2021-08-02T08:29:00Z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Comments">
    <vt:lpwstr/>
  </property>
  <property fmtid="{D5CDD505-2E9C-101B-9397-08002B2CF9AE}" pid="4" name="ContentTypeId">
    <vt:lpwstr>0x01010097D0BB27F6170C4281D72A09042F392A</vt:lpwstr>
  </property>
</Properties>
</file>