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F655" w14:textId="77777777" w:rsidR="00CD10AA" w:rsidRPr="0059231D" w:rsidRDefault="00CD10AA" w:rsidP="0085436C">
      <w:pPr>
        <w:spacing w:line="240" w:lineRule="auto"/>
        <w:jc w:val="center"/>
        <w:rPr>
          <w:color w:val="000000"/>
          <w:szCs w:val="22"/>
        </w:rPr>
      </w:pPr>
      <w:r w:rsidRPr="0059231D">
        <w:rPr>
          <w:b/>
          <w:color w:val="000000"/>
          <w:szCs w:val="22"/>
        </w:rPr>
        <w:t>ZĀĻU APRAKSTS</w:t>
      </w:r>
    </w:p>
    <w:p w14:paraId="1940038E" w14:textId="77777777" w:rsidR="00E75EF4" w:rsidRPr="0059231D" w:rsidRDefault="00E75EF4" w:rsidP="0085436C">
      <w:pPr>
        <w:spacing w:line="240" w:lineRule="auto"/>
        <w:jc w:val="both"/>
        <w:rPr>
          <w:color w:val="000000"/>
          <w:szCs w:val="22"/>
        </w:rPr>
      </w:pPr>
    </w:p>
    <w:p w14:paraId="47D52EFC" w14:textId="77777777" w:rsidR="00017E16" w:rsidRPr="0059231D" w:rsidRDefault="00017E16" w:rsidP="0085436C">
      <w:pPr>
        <w:spacing w:line="240" w:lineRule="auto"/>
        <w:jc w:val="both"/>
        <w:rPr>
          <w:color w:val="000000"/>
          <w:szCs w:val="22"/>
        </w:rPr>
      </w:pPr>
    </w:p>
    <w:p w14:paraId="58784F90" w14:textId="77777777" w:rsidR="00CD10AA" w:rsidRPr="0059231D" w:rsidRDefault="00CD10AA" w:rsidP="0085436C">
      <w:pPr>
        <w:spacing w:line="240" w:lineRule="auto"/>
        <w:jc w:val="both"/>
        <w:rPr>
          <w:b/>
          <w:color w:val="000000"/>
          <w:szCs w:val="22"/>
        </w:rPr>
      </w:pPr>
      <w:r w:rsidRPr="0059231D">
        <w:rPr>
          <w:b/>
          <w:color w:val="000000"/>
          <w:szCs w:val="22"/>
        </w:rPr>
        <w:t>1.</w:t>
      </w:r>
      <w:r w:rsidRPr="0059231D">
        <w:rPr>
          <w:b/>
          <w:color w:val="000000"/>
          <w:szCs w:val="22"/>
        </w:rPr>
        <w:tab/>
        <w:t>ZĀĻU NOSAUKUMS</w:t>
      </w:r>
    </w:p>
    <w:p w14:paraId="1A91353C" w14:textId="77777777" w:rsidR="00AC07BB" w:rsidRPr="0059231D" w:rsidRDefault="00AC07BB" w:rsidP="0085436C">
      <w:pPr>
        <w:spacing w:line="240" w:lineRule="auto"/>
        <w:jc w:val="both"/>
        <w:rPr>
          <w:rStyle w:val="apple-style-span"/>
          <w:b/>
          <w:bCs/>
          <w:color w:val="000000"/>
          <w:szCs w:val="22"/>
        </w:rPr>
      </w:pPr>
    </w:p>
    <w:p w14:paraId="4FB4042E" w14:textId="77777777" w:rsidR="00CD10AA" w:rsidRPr="0059231D" w:rsidRDefault="00E75EF4" w:rsidP="0085436C">
      <w:pPr>
        <w:spacing w:line="240" w:lineRule="auto"/>
        <w:jc w:val="both"/>
        <w:rPr>
          <w:rStyle w:val="apple-style-span"/>
          <w:b/>
          <w:bCs/>
          <w:color w:val="000000"/>
          <w:szCs w:val="22"/>
        </w:rPr>
      </w:pPr>
      <w:r w:rsidRPr="0059231D">
        <w:rPr>
          <w:rStyle w:val="apple-style-span"/>
          <w:b/>
          <w:bCs/>
          <w:color w:val="000000"/>
          <w:szCs w:val="22"/>
        </w:rPr>
        <w:t>Subutex 2 mg tabletes lietošanai zem mēles</w:t>
      </w:r>
    </w:p>
    <w:p w14:paraId="1DF76B51" w14:textId="77777777" w:rsidR="001D59DA" w:rsidRPr="00055DEF" w:rsidRDefault="001D59DA" w:rsidP="001D59DA">
      <w:pPr>
        <w:spacing w:line="240" w:lineRule="auto"/>
        <w:jc w:val="both"/>
        <w:rPr>
          <w:rStyle w:val="apple-style-span"/>
          <w:b/>
          <w:bCs/>
          <w:color w:val="000000"/>
          <w:szCs w:val="22"/>
        </w:rPr>
      </w:pPr>
      <w:r w:rsidRPr="00055DEF">
        <w:rPr>
          <w:rStyle w:val="apple-style-span"/>
          <w:b/>
          <w:bCs/>
          <w:color w:val="000000"/>
          <w:szCs w:val="22"/>
        </w:rPr>
        <w:t>Subutex 8 mg tabletes lietošanai zem mēles</w:t>
      </w:r>
    </w:p>
    <w:p w14:paraId="48113A31" w14:textId="77777777" w:rsidR="00E75EF4" w:rsidRPr="0059231D" w:rsidRDefault="00E75EF4" w:rsidP="0085436C">
      <w:pPr>
        <w:spacing w:line="240" w:lineRule="auto"/>
        <w:jc w:val="both"/>
        <w:rPr>
          <w:color w:val="000000"/>
          <w:szCs w:val="22"/>
        </w:rPr>
      </w:pPr>
    </w:p>
    <w:p w14:paraId="57F24FB4" w14:textId="77777777" w:rsidR="00AC07BB" w:rsidRPr="0059231D" w:rsidRDefault="00AC07BB" w:rsidP="0085436C">
      <w:pPr>
        <w:spacing w:line="240" w:lineRule="auto"/>
        <w:jc w:val="both"/>
        <w:rPr>
          <w:color w:val="000000"/>
          <w:szCs w:val="22"/>
        </w:rPr>
      </w:pPr>
    </w:p>
    <w:p w14:paraId="05E8876F" w14:textId="77777777" w:rsidR="00CD10AA" w:rsidRPr="0059231D" w:rsidRDefault="00CD10AA" w:rsidP="0085436C">
      <w:pPr>
        <w:spacing w:line="240" w:lineRule="auto"/>
        <w:jc w:val="both"/>
        <w:rPr>
          <w:b/>
          <w:color w:val="000000"/>
          <w:szCs w:val="22"/>
        </w:rPr>
      </w:pPr>
      <w:r w:rsidRPr="0059231D">
        <w:rPr>
          <w:b/>
          <w:color w:val="000000"/>
          <w:szCs w:val="22"/>
        </w:rPr>
        <w:t>2.</w:t>
      </w:r>
      <w:r w:rsidRPr="0059231D">
        <w:rPr>
          <w:b/>
          <w:color w:val="000000"/>
          <w:szCs w:val="22"/>
        </w:rPr>
        <w:tab/>
        <w:t>KVALITATĪVAIS UN KVANTITATĪVAIS SASTĀVS</w:t>
      </w:r>
    </w:p>
    <w:p w14:paraId="44A05509" w14:textId="77777777" w:rsidR="00AC07BB" w:rsidRPr="0059231D" w:rsidRDefault="00AC07BB" w:rsidP="0085436C">
      <w:pPr>
        <w:spacing w:line="240" w:lineRule="auto"/>
        <w:jc w:val="both"/>
        <w:rPr>
          <w:color w:val="000000"/>
          <w:szCs w:val="22"/>
        </w:rPr>
      </w:pPr>
    </w:p>
    <w:p w14:paraId="4456BDEB" w14:textId="762F054C" w:rsidR="001D59DA" w:rsidRPr="001D59DA" w:rsidRDefault="001D59DA" w:rsidP="001D59DA">
      <w:pPr>
        <w:spacing w:line="240" w:lineRule="auto"/>
        <w:jc w:val="both"/>
        <w:rPr>
          <w:rStyle w:val="apple-style-span"/>
          <w:color w:val="000000"/>
          <w:szCs w:val="22"/>
          <w:u w:val="single"/>
        </w:rPr>
      </w:pPr>
      <w:r w:rsidRPr="001D59DA">
        <w:rPr>
          <w:rStyle w:val="apple-style-span"/>
          <w:color w:val="000000"/>
          <w:szCs w:val="22"/>
          <w:u w:val="single"/>
        </w:rPr>
        <w:t>Subutex 2 mg tabletes lietošanai zem mēles</w:t>
      </w:r>
    </w:p>
    <w:p w14:paraId="55EB1E73" w14:textId="77777777" w:rsidR="00CD10AA" w:rsidRPr="0059231D" w:rsidRDefault="002D4BF5" w:rsidP="0085436C">
      <w:pPr>
        <w:spacing w:line="240" w:lineRule="auto"/>
        <w:jc w:val="both"/>
        <w:rPr>
          <w:color w:val="000000"/>
          <w:szCs w:val="22"/>
        </w:rPr>
      </w:pPr>
      <w:r w:rsidRPr="0059231D">
        <w:rPr>
          <w:color w:val="000000"/>
          <w:szCs w:val="22"/>
        </w:rPr>
        <w:t>Katra tablete satur buprenorfīna hidrohlorīdu, kas atbilst 2 mg buprenorfīna (</w:t>
      </w:r>
      <w:r w:rsidRPr="0059231D">
        <w:rPr>
          <w:i/>
          <w:color w:val="000000"/>
          <w:szCs w:val="22"/>
          <w:lang w:eastAsia="en-GB"/>
        </w:rPr>
        <w:t>Buprenorphinum</w:t>
      </w:r>
      <w:r w:rsidRPr="0059231D">
        <w:rPr>
          <w:color w:val="000000"/>
          <w:szCs w:val="22"/>
        </w:rPr>
        <w:t>) bāzes.</w:t>
      </w:r>
    </w:p>
    <w:p w14:paraId="37FBF5FF" w14:textId="03042B48" w:rsidR="002D4BF5" w:rsidRDefault="002D4BF5" w:rsidP="0085436C">
      <w:pPr>
        <w:spacing w:line="240" w:lineRule="auto"/>
        <w:jc w:val="both"/>
        <w:rPr>
          <w:color w:val="000000"/>
          <w:szCs w:val="22"/>
        </w:rPr>
      </w:pPr>
    </w:p>
    <w:p w14:paraId="1AF02881" w14:textId="77777777" w:rsidR="001D59DA" w:rsidRPr="001D59DA" w:rsidRDefault="001D59DA" w:rsidP="001D59DA">
      <w:pPr>
        <w:spacing w:line="240" w:lineRule="auto"/>
        <w:jc w:val="both"/>
        <w:rPr>
          <w:rStyle w:val="apple-style-span"/>
          <w:color w:val="000000"/>
          <w:szCs w:val="22"/>
          <w:u w:val="single"/>
        </w:rPr>
      </w:pPr>
      <w:r w:rsidRPr="001D59DA">
        <w:rPr>
          <w:rStyle w:val="apple-style-span"/>
          <w:color w:val="000000"/>
          <w:szCs w:val="22"/>
          <w:u w:val="single"/>
        </w:rPr>
        <w:t>Subutex 8 mg tabletes lietošanai zem mēles</w:t>
      </w:r>
    </w:p>
    <w:p w14:paraId="0A4E9058" w14:textId="4FABF1FE" w:rsidR="001D59DA" w:rsidRPr="0059231D" w:rsidRDefault="001D59DA" w:rsidP="001D59DA">
      <w:pPr>
        <w:spacing w:line="240" w:lineRule="auto"/>
        <w:jc w:val="both"/>
        <w:rPr>
          <w:color w:val="000000"/>
          <w:szCs w:val="22"/>
        </w:rPr>
      </w:pPr>
      <w:r w:rsidRPr="0059231D">
        <w:rPr>
          <w:color w:val="000000"/>
          <w:szCs w:val="22"/>
        </w:rPr>
        <w:t xml:space="preserve">Katra tablete satur buprenorfīna hidrohlorīdu, kas atbilst </w:t>
      </w:r>
      <w:r>
        <w:rPr>
          <w:color w:val="000000"/>
          <w:szCs w:val="22"/>
        </w:rPr>
        <w:t>8</w:t>
      </w:r>
      <w:r w:rsidRPr="0059231D">
        <w:rPr>
          <w:color w:val="000000"/>
          <w:szCs w:val="22"/>
        </w:rPr>
        <w:t xml:space="preserve"> mg buprenorfīna (</w:t>
      </w:r>
      <w:r w:rsidRPr="0059231D">
        <w:rPr>
          <w:i/>
          <w:color w:val="000000"/>
          <w:szCs w:val="22"/>
          <w:lang w:eastAsia="en-GB"/>
        </w:rPr>
        <w:t>Buprenorphinum</w:t>
      </w:r>
      <w:r w:rsidRPr="0059231D">
        <w:rPr>
          <w:color w:val="000000"/>
          <w:szCs w:val="22"/>
        </w:rPr>
        <w:t>) bāzes.</w:t>
      </w:r>
    </w:p>
    <w:p w14:paraId="05D6C27F" w14:textId="77777777" w:rsidR="001D59DA" w:rsidRPr="0059231D" w:rsidRDefault="001D59DA" w:rsidP="0085436C">
      <w:pPr>
        <w:spacing w:line="240" w:lineRule="auto"/>
        <w:jc w:val="both"/>
        <w:rPr>
          <w:color w:val="000000"/>
          <w:szCs w:val="22"/>
        </w:rPr>
      </w:pPr>
    </w:p>
    <w:p w14:paraId="581917C5" w14:textId="3E3FA0A1" w:rsidR="002D4BF5" w:rsidRPr="0059231D" w:rsidRDefault="00C55D3E" w:rsidP="0085436C">
      <w:pPr>
        <w:pStyle w:val="EMEAEnBodyText"/>
        <w:autoSpaceDE w:val="0"/>
        <w:autoSpaceDN w:val="0"/>
        <w:adjustRightInd w:val="0"/>
        <w:spacing w:before="0" w:after="0"/>
        <w:rPr>
          <w:color w:val="000000"/>
          <w:szCs w:val="22"/>
          <w:lang w:val="lv-LV"/>
        </w:rPr>
      </w:pPr>
      <w:r w:rsidRPr="00402556">
        <w:rPr>
          <w:color w:val="000000"/>
          <w:szCs w:val="22"/>
          <w:u w:val="single"/>
          <w:lang w:val="lv-LV"/>
        </w:rPr>
        <w:t>Palīgviela(-s) ar zināmu iedarbību</w:t>
      </w:r>
      <w:r w:rsidR="002D4BF5" w:rsidRPr="0059231D">
        <w:rPr>
          <w:color w:val="000000"/>
          <w:szCs w:val="22"/>
          <w:lang w:val="lv-LV"/>
        </w:rPr>
        <w:t>:</w:t>
      </w:r>
    </w:p>
    <w:p w14:paraId="55B1BC21" w14:textId="77777777" w:rsidR="002D4BF5" w:rsidRPr="0059231D" w:rsidRDefault="002D4BF5" w:rsidP="0085436C">
      <w:pPr>
        <w:pStyle w:val="EMEAEnBodyText"/>
        <w:autoSpaceDE w:val="0"/>
        <w:autoSpaceDN w:val="0"/>
        <w:adjustRightInd w:val="0"/>
        <w:spacing w:before="0" w:after="0"/>
        <w:rPr>
          <w:color w:val="000000"/>
          <w:szCs w:val="22"/>
          <w:lang w:val="lv-LV"/>
        </w:rPr>
      </w:pPr>
      <w:r w:rsidRPr="0059231D">
        <w:rPr>
          <w:color w:val="000000"/>
          <w:szCs w:val="22"/>
          <w:lang w:val="lv-LV"/>
        </w:rPr>
        <w:t>Katra tablete satur laktozi.</w:t>
      </w:r>
    </w:p>
    <w:p w14:paraId="1E8B167B" w14:textId="77777777" w:rsidR="003F45AD" w:rsidRPr="0059231D" w:rsidRDefault="003F45AD" w:rsidP="0085436C">
      <w:pPr>
        <w:pStyle w:val="EMEAEnBodyText"/>
        <w:autoSpaceDE w:val="0"/>
        <w:autoSpaceDN w:val="0"/>
        <w:adjustRightInd w:val="0"/>
        <w:spacing w:before="0" w:after="0"/>
        <w:rPr>
          <w:color w:val="000000"/>
          <w:szCs w:val="22"/>
          <w:u w:val="single"/>
          <w:lang w:val="lv-LV"/>
        </w:rPr>
      </w:pPr>
    </w:p>
    <w:p w14:paraId="58EA3404" w14:textId="77777777" w:rsidR="00CD10AA" w:rsidRPr="0059231D" w:rsidRDefault="00CD10AA" w:rsidP="0085436C">
      <w:pPr>
        <w:spacing w:line="240" w:lineRule="auto"/>
        <w:jc w:val="both"/>
        <w:rPr>
          <w:color w:val="000000"/>
          <w:szCs w:val="22"/>
        </w:rPr>
      </w:pPr>
      <w:r w:rsidRPr="0059231D">
        <w:rPr>
          <w:color w:val="000000"/>
          <w:szCs w:val="22"/>
        </w:rPr>
        <w:t xml:space="preserve">Pilnu palīgvielu sarakstu skatīt </w:t>
      </w:r>
      <w:r w:rsidR="0020587A" w:rsidRPr="0059231D">
        <w:rPr>
          <w:color w:val="000000"/>
          <w:szCs w:val="22"/>
        </w:rPr>
        <w:t>6.1</w:t>
      </w:r>
      <w:r w:rsidR="00F41868" w:rsidRPr="0059231D">
        <w:rPr>
          <w:color w:val="000000"/>
          <w:szCs w:val="22"/>
        </w:rPr>
        <w:t>.</w:t>
      </w:r>
      <w:r w:rsidR="0020587A" w:rsidRPr="0059231D">
        <w:rPr>
          <w:color w:val="000000"/>
          <w:szCs w:val="22"/>
        </w:rPr>
        <w:t xml:space="preserve"> </w:t>
      </w:r>
      <w:r w:rsidRPr="0059231D">
        <w:rPr>
          <w:color w:val="000000"/>
          <w:szCs w:val="22"/>
        </w:rPr>
        <w:t>apakšpunktā</w:t>
      </w:r>
      <w:r w:rsidR="0020587A" w:rsidRPr="0059231D">
        <w:rPr>
          <w:color w:val="000000"/>
          <w:szCs w:val="22"/>
        </w:rPr>
        <w:t>.</w:t>
      </w:r>
    </w:p>
    <w:p w14:paraId="2BDA544C" w14:textId="77777777" w:rsidR="00CD10AA" w:rsidRPr="0059231D" w:rsidRDefault="00CD10AA" w:rsidP="0085436C">
      <w:pPr>
        <w:spacing w:line="240" w:lineRule="auto"/>
        <w:jc w:val="both"/>
        <w:rPr>
          <w:color w:val="000000"/>
          <w:szCs w:val="22"/>
        </w:rPr>
      </w:pPr>
    </w:p>
    <w:p w14:paraId="71E0AF17" w14:textId="77777777" w:rsidR="00AC07BB" w:rsidRPr="0059231D" w:rsidRDefault="00AC07BB" w:rsidP="0085436C">
      <w:pPr>
        <w:spacing w:line="240" w:lineRule="auto"/>
        <w:jc w:val="both"/>
        <w:rPr>
          <w:color w:val="000000"/>
          <w:szCs w:val="22"/>
        </w:rPr>
      </w:pPr>
    </w:p>
    <w:p w14:paraId="53A9EA22" w14:textId="77777777" w:rsidR="00CD10AA" w:rsidRPr="0059231D" w:rsidRDefault="00CD10AA" w:rsidP="0085436C">
      <w:pPr>
        <w:spacing w:line="240" w:lineRule="auto"/>
        <w:jc w:val="both"/>
        <w:rPr>
          <w:b/>
          <w:caps/>
          <w:color w:val="000000"/>
          <w:szCs w:val="22"/>
        </w:rPr>
      </w:pPr>
      <w:r w:rsidRPr="0059231D">
        <w:rPr>
          <w:b/>
          <w:color w:val="000000"/>
          <w:szCs w:val="22"/>
        </w:rPr>
        <w:t>3.</w:t>
      </w:r>
      <w:r w:rsidRPr="0059231D">
        <w:rPr>
          <w:b/>
          <w:color w:val="000000"/>
          <w:szCs w:val="22"/>
        </w:rPr>
        <w:tab/>
        <w:t>ZĀĻU FORMA</w:t>
      </w:r>
    </w:p>
    <w:p w14:paraId="38880008" w14:textId="77777777" w:rsidR="00AC07BB" w:rsidRPr="0059231D" w:rsidRDefault="00AC07BB" w:rsidP="0085436C">
      <w:pPr>
        <w:spacing w:line="240" w:lineRule="auto"/>
        <w:jc w:val="both"/>
        <w:rPr>
          <w:rStyle w:val="apple-style-span"/>
          <w:bCs/>
          <w:color w:val="000000"/>
          <w:szCs w:val="22"/>
        </w:rPr>
      </w:pPr>
    </w:p>
    <w:p w14:paraId="5475F90A" w14:textId="77777777" w:rsidR="00CD10AA" w:rsidRPr="0059231D" w:rsidRDefault="002D4BF5" w:rsidP="0085436C">
      <w:pPr>
        <w:spacing w:line="240" w:lineRule="auto"/>
        <w:jc w:val="both"/>
        <w:rPr>
          <w:rStyle w:val="apple-style-span"/>
          <w:bCs/>
          <w:color w:val="000000"/>
          <w:szCs w:val="22"/>
        </w:rPr>
      </w:pPr>
      <w:r w:rsidRPr="0059231D">
        <w:rPr>
          <w:rStyle w:val="apple-style-span"/>
          <w:bCs/>
          <w:color w:val="000000"/>
          <w:szCs w:val="22"/>
        </w:rPr>
        <w:t>Tablete lietošanai zem mēles.</w:t>
      </w:r>
    </w:p>
    <w:p w14:paraId="4CDFCF12" w14:textId="77777777" w:rsidR="002D4BF5" w:rsidRPr="0059231D" w:rsidRDefault="002D4BF5" w:rsidP="0085436C">
      <w:pPr>
        <w:spacing w:line="240" w:lineRule="auto"/>
        <w:jc w:val="both"/>
        <w:rPr>
          <w:color w:val="000000"/>
          <w:szCs w:val="22"/>
        </w:rPr>
      </w:pPr>
    </w:p>
    <w:p w14:paraId="3AF2110C" w14:textId="77777777" w:rsidR="001D59DA" w:rsidRPr="00AA4512" w:rsidRDefault="001D59DA" w:rsidP="001D59DA">
      <w:pPr>
        <w:spacing w:line="240" w:lineRule="auto"/>
        <w:jc w:val="both"/>
        <w:rPr>
          <w:rStyle w:val="apple-style-span"/>
          <w:color w:val="000000"/>
          <w:szCs w:val="22"/>
          <w:u w:val="single"/>
        </w:rPr>
      </w:pPr>
      <w:r w:rsidRPr="00AA4512">
        <w:rPr>
          <w:rStyle w:val="apple-style-span"/>
          <w:color w:val="000000"/>
          <w:szCs w:val="22"/>
          <w:u w:val="single"/>
        </w:rPr>
        <w:t>Subutex 2 mg tabletes lietošanai zem mēles</w:t>
      </w:r>
    </w:p>
    <w:p w14:paraId="4117C898" w14:textId="77777777" w:rsidR="00CD10AA" w:rsidRPr="0059231D" w:rsidRDefault="002D4BF5" w:rsidP="0085436C">
      <w:pPr>
        <w:spacing w:line="240" w:lineRule="auto"/>
        <w:jc w:val="both"/>
        <w:rPr>
          <w:color w:val="000000"/>
          <w:szCs w:val="22"/>
          <w:lang w:eastAsia="en-GB"/>
        </w:rPr>
      </w:pPr>
      <w:r w:rsidRPr="0059231D">
        <w:rPr>
          <w:color w:val="000000"/>
          <w:szCs w:val="22"/>
          <w:lang w:eastAsia="en-GB"/>
        </w:rPr>
        <w:t>Baltas vai krēmīgi baltas, ovālas, plakanas tabletes ar slīpām malām</w:t>
      </w:r>
      <w:r w:rsidR="009419EF" w:rsidRPr="0059231D">
        <w:rPr>
          <w:color w:val="000000"/>
          <w:szCs w:val="22"/>
          <w:lang w:eastAsia="en-GB"/>
        </w:rPr>
        <w:t xml:space="preserve">, kas </w:t>
      </w:r>
      <w:r w:rsidRPr="0059231D">
        <w:rPr>
          <w:color w:val="000000"/>
          <w:szCs w:val="22"/>
          <w:lang w:eastAsia="en-GB"/>
        </w:rPr>
        <w:t xml:space="preserve">vienā pusē </w:t>
      </w:r>
      <w:r w:rsidR="00BD47F8" w:rsidRPr="0059231D">
        <w:rPr>
          <w:color w:val="000000"/>
          <w:szCs w:val="22"/>
          <w:lang w:eastAsia="en-GB"/>
        </w:rPr>
        <w:t xml:space="preserve">marķētas ar </w:t>
      </w:r>
      <w:r w:rsidRPr="0059231D">
        <w:rPr>
          <w:color w:val="000000"/>
          <w:szCs w:val="22"/>
          <w:lang w:eastAsia="en-GB"/>
        </w:rPr>
        <w:t>„</w:t>
      </w:r>
      <w:r w:rsidR="009419EF" w:rsidRPr="0059231D">
        <w:rPr>
          <w:color w:val="000000"/>
          <w:szCs w:val="22"/>
          <w:lang w:eastAsia="en-GB"/>
        </w:rPr>
        <w:t>B</w:t>
      </w:r>
      <w:r w:rsidRPr="0059231D">
        <w:rPr>
          <w:color w:val="000000"/>
          <w:szCs w:val="22"/>
          <w:lang w:eastAsia="en-GB"/>
        </w:rPr>
        <w:t>2”.</w:t>
      </w:r>
    </w:p>
    <w:p w14:paraId="48774E01" w14:textId="7384BFF0" w:rsidR="002D4BF5" w:rsidRDefault="002D4BF5" w:rsidP="0085436C">
      <w:pPr>
        <w:spacing w:line="240" w:lineRule="auto"/>
        <w:jc w:val="both"/>
        <w:rPr>
          <w:color w:val="000000"/>
          <w:szCs w:val="22"/>
        </w:rPr>
      </w:pPr>
    </w:p>
    <w:p w14:paraId="7667B917" w14:textId="6F6C7464" w:rsidR="001D59DA" w:rsidRPr="00AA4512" w:rsidRDefault="001D59DA" w:rsidP="001D59DA">
      <w:pPr>
        <w:spacing w:line="240" w:lineRule="auto"/>
        <w:jc w:val="both"/>
        <w:rPr>
          <w:rStyle w:val="apple-style-span"/>
          <w:color w:val="000000"/>
          <w:szCs w:val="22"/>
          <w:u w:val="single"/>
        </w:rPr>
      </w:pPr>
      <w:r w:rsidRPr="00AA4512">
        <w:rPr>
          <w:rStyle w:val="apple-style-span"/>
          <w:color w:val="000000"/>
          <w:szCs w:val="22"/>
          <w:u w:val="single"/>
        </w:rPr>
        <w:t xml:space="preserve">Subutex </w:t>
      </w:r>
      <w:r>
        <w:rPr>
          <w:rStyle w:val="apple-style-span"/>
          <w:color w:val="000000"/>
          <w:szCs w:val="22"/>
          <w:u w:val="single"/>
        </w:rPr>
        <w:t>8</w:t>
      </w:r>
      <w:r w:rsidRPr="00AA4512">
        <w:rPr>
          <w:rStyle w:val="apple-style-span"/>
          <w:color w:val="000000"/>
          <w:szCs w:val="22"/>
          <w:u w:val="single"/>
        </w:rPr>
        <w:t xml:space="preserve"> mg tabletes lietošanai zem mēles</w:t>
      </w:r>
    </w:p>
    <w:p w14:paraId="33B0080D" w14:textId="77777777" w:rsidR="001D59DA" w:rsidRPr="00055DEF" w:rsidRDefault="001D59DA" w:rsidP="001D59DA">
      <w:pPr>
        <w:spacing w:line="240" w:lineRule="auto"/>
        <w:jc w:val="both"/>
        <w:rPr>
          <w:color w:val="000000"/>
          <w:szCs w:val="22"/>
          <w:lang w:eastAsia="en-GB"/>
        </w:rPr>
      </w:pPr>
      <w:r w:rsidRPr="00055DEF">
        <w:rPr>
          <w:color w:val="000000"/>
          <w:szCs w:val="22"/>
          <w:lang w:eastAsia="en-GB"/>
        </w:rPr>
        <w:t>Baltas vai krēmīgi baltas, ovālas, plakanas tabletes ar slīpām malām, kas vienā pusē marķētas ar „B8”.</w:t>
      </w:r>
    </w:p>
    <w:p w14:paraId="46C45E70" w14:textId="19D0C3BB" w:rsidR="001D59DA" w:rsidRDefault="001D59DA" w:rsidP="0085436C">
      <w:pPr>
        <w:spacing w:line="240" w:lineRule="auto"/>
        <w:jc w:val="both"/>
        <w:rPr>
          <w:color w:val="000000"/>
          <w:szCs w:val="22"/>
        </w:rPr>
      </w:pPr>
    </w:p>
    <w:p w14:paraId="78F1A4B6" w14:textId="77777777" w:rsidR="001D59DA" w:rsidRPr="0059231D" w:rsidRDefault="001D59DA" w:rsidP="0085436C">
      <w:pPr>
        <w:spacing w:line="240" w:lineRule="auto"/>
        <w:jc w:val="both"/>
        <w:rPr>
          <w:color w:val="000000"/>
          <w:szCs w:val="22"/>
        </w:rPr>
      </w:pPr>
    </w:p>
    <w:p w14:paraId="23F84D96" w14:textId="77777777" w:rsidR="00CD10AA" w:rsidRPr="0059231D" w:rsidRDefault="00CD10AA" w:rsidP="0085436C">
      <w:pPr>
        <w:tabs>
          <w:tab w:val="clear" w:pos="567"/>
        </w:tabs>
        <w:spacing w:line="240" w:lineRule="auto"/>
        <w:jc w:val="both"/>
        <w:rPr>
          <w:b/>
          <w:color w:val="000000"/>
          <w:szCs w:val="22"/>
        </w:rPr>
      </w:pPr>
      <w:r w:rsidRPr="0059231D">
        <w:rPr>
          <w:b/>
          <w:caps/>
          <w:color w:val="000000"/>
          <w:szCs w:val="22"/>
        </w:rPr>
        <w:t>4.</w:t>
      </w:r>
      <w:r w:rsidRPr="0059231D">
        <w:rPr>
          <w:b/>
          <w:caps/>
          <w:color w:val="000000"/>
          <w:szCs w:val="22"/>
        </w:rPr>
        <w:tab/>
        <w:t>KLĪNISKĀ INFORMĀCIJA</w:t>
      </w:r>
    </w:p>
    <w:p w14:paraId="07C54970" w14:textId="77777777" w:rsidR="00AC07BB" w:rsidRPr="0059231D" w:rsidRDefault="00AC07BB" w:rsidP="0085436C">
      <w:pPr>
        <w:tabs>
          <w:tab w:val="clear" w:pos="567"/>
        </w:tabs>
        <w:spacing w:line="240" w:lineRule="auto"/>
        <w:jc w:val="both"/>
        <w:rPr>
          <w:b/>
          <w:color w:val="000000"/>
          <w:szCs w:val="22"/>
        </w:rPr>
      </w:pPr>
    </w:p>
    <w:p w14:paraId="369F0E47"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4.1</w:t>
      </w:r>
      <w:r w:rsidR="003B0FF0" w:rsidRPr="0059231D">
        <w:rPr>
          <w:b/>
          <w:color w:val="000000"/>
          <w:szCs w:val="22"/>
        </w:rPr>
        <w:t>.</w:t>
      </w:r>
      <w:r w:rsidRPr="0059231D">
        <w:rPr>
          <w:b/>
          <w:color w:val="000000"/>
          <w:szCs w:val="22"/>
        </w:rPr>
        <w:tab/>
        <w:t>Terapeitiskās indikācijas</w:t>
      </w:r>
    </w:p>
    <w:p w14:paraId="0EF3834D" w14:textId="77777777" w:rsidR="00AC07BB" w:rsidRPr="0059231D" w:rsidRDefault="00AC07BB" w:rsidP="0085436C">
      <w:pPr>
        <w:pStyle w:val="BodyTextIndent"/>
        <w:ind w:left="0" w:firstLine="0"/>
        <w:jc w:val="both"/>
        <w:rPr>
          <w:b w:val="0"/>
          <w:color w:val="000000"/>
          <w:lang w:val="lv-LV"/>
        </w:rPr>
      </w:pPr>
    </w:p>
    <w:p w14:paraId="2F00DBB8" w14:textId="77777777" w:rsidR="00C528EB" w:rsidRPr="0059231D" w:rsidRDefault="00C528EB" w:rsidP="0085436C">
      <w:pPr>
        <w:pStyle w:val="BodyTextIndent"/>
        <w:ind w:left="0" w:firstLine="0"/>
        <w:jc w:val="both"/>
        <w:rPr>
          <w:b w:val="0"/>
          <w:color w:val="000000"/>
          <w:lang w:val="lv-LV"/>
        </w:rPr>
      </w:pPr>
      <w:r w:rsidRPr="0059231D">
        <w:rPr>
          <w:b w:val="0"/>
          <w:color w:val="000000"/>
          <w:lang w:val="lv-LV"/>
        </w:rPr>
        <w:t>Aizvietojoša ārstēšana no opioīdo zāļu</w:t>
      </w:r>
      <w:r w:rsidRPr="0059231D">
        <w:rPr>
          <w:b w:val="0"/>
          <w:i/>
          <w:iCs/>
          <w:color w:val="000000"/>
          <w:lang w:val="lv-LV"/>
        </w:rPr>
        <w:t xml:space="preserve"> </w:t>
      </w:r>
      <w:r w:rsidRPr="0059231D">
        <w:rPr>
          <w:b w:val="0"/>
          <w:color w:val="000000"/>
          <w:lang w:val="lv-LV"/>
        </w:rPr>
        <w:t>atkarības medicīniskās, sociālās un psiholoģiskās ārstēšanas ietvaros.</w:t>
      </w:r>
    </w:p>
    <w:p w14:paraId="4EF9E4E7" w14:textId="77777777" w:rsidR="00C528EB" w:rsidRPr="0059231D" w:rsidRDefault="00C528EB" w:rsidP="0085436C">
      <w:pPr>
        <w:pStyle w:val="BodyTextIndent"/>
        <w:ind w:left="0" w:firstLine="0"/>
        <w:jc w:val="both"/>
        <w:rPr>
          <w:b w:val="0"/>
          <w:color w:val="000000"/>
          <w:lang w:val="lv-LV"/>
        </w:rPr>
      </w:pPr>
      <w:r w:rsidRPr="0059231D">
        <w:rPr>
          <w:b w:val="0"/>
          <w:color w:val="000000"/>
          <w:lang w:val="lv-LV"/>
        </w:rPr>
        <w:t>Šīs zāles paredzētas pieaugušajiem un pusaudžiem, kuri vecāki par 15 gadiem un piekrituši atkarības ārstēšanai.</w:t>
      </w:r>
    </w:p>
    <w:p w14:paraId="63CF618F" w14:textId="77777777" w:rsidR="00CD10AA" w:rsidRPr="0059231D" w:rsidRDefault="00CD10AA" w:rsidP="0085436C">
      <w:pPr>
        <w:tabs>
          <w:tab w:val="clear" w:pos="567"/>
        </w:tabs>
        <w:spacing w:line="240" w:lineRule="auto"/>
        <w:jc w:val="both"/>
        <w:rPr>
          <w:color w:val="000000"/>
          <w:szCs w:val="22"/>
        </w:rPr>
      </w:pPr>
    </w:p>
    <w:p w14:paraId="25DE9D84"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4.2</w:t>
      </w:r>
      <w:r w:rsidR="00FB475A" w:rsidRPr="0059231D">
        <w:rPr>
          <w:b/>
          <w:color w:val="000000"/>
          <w:szCs w:val="22"/>
        </w:rPr>
        <w:t>.</w:t>
      </w:r>
      <w:r w:rsidRPr="0059231D">
        <w:rPr>
          <w:b/>
          <w:color w:val="000000"/>
          <w:szCs w:val="22"/>
        </w:rPr>
        <w:tab/>
        <w:t>Devas un lietošanas veids</w:t>
      </w:r>
    </w:p>
    <w:p w14:paraId="684DA060" w14:textId="77777777" w:rsidR="00AC07BB" w:rsidRPr="0059231D" w:rsidRDefault="00AC07BB" w:rsidP="0085436C">
      <w:pPr>
        <w:tabs>
          <w:tab w:val="clear" w:pos="567"/>
        </w:tabs>
        <w:spacing w:line="240" w:lineRule="auto"/>
        <w:jc w:val="both"/>
        <w:rPr>
          <w:color w:val="000000"/>
          <w:szCs w:val="22"/>
          <w:lang w:eastAsia="en-GB"/>
        </w:rPr>
      </w:pPr>
    </w:p>
    <w:p w14:paraId="050E7166" w14:textId="77777777" w:rsidR="004537F8" w:rsidRPr="0059231D" w:rsidRDefault="004537F8" w:rsidP="0085436C">
      <w:pPr>
        <w:tabs>
          <w:tab w:val="clear" w:pos="567"/>
        </w:tabs>
        <w:spacing w:line="240" w:lineRule="auto"/>
        <w:jc w:val="both"/>
        <w:rPr>
          <w:color w:val="000000"/>
          <w:szCs w:val="22"/>
          <w:lang w:eastAsia="en-GB"/>
        </w:rPr>
      </w:pPr>
      <w:r w:rsidRPr="0059231D">
        <w:rPr>
          <w:color w:val="000000"/>
          <w:szCs w:val="22"/>
          <w:lang w:eastAsia="en-GB"/>
        </w:rPr>
        <w:t>Ārstēšanai jānotiek ārsta, kuram ir pieredze opiātu atkarības ārstēšanā</w:t>
      </w:r>
      <w:r w:rsidR="0055619A">
        <w:rPr>
          <w:color w:val="000000"/>
          <w:szCs w:val="22"/>
          <w:lang w:eastAsia="en-GB"/>
        </w:rPr>
        <w:t>, uzraudzībā</w:t>
      </w:r>
      <w:r w:rsidRPr="0059231D">
        <w:rPr>
          <w:color w:val="000000"/>
          <w:szCs w:val="22"/>
          <w:lang w:eastAsia="en-GB"/>
        </w:rPr>
        <w:t>.</w:t>
      </w:r>
    </w:p>
    <w:p w14:paraId="16210676" w14:textId="77777777" w:rsidR="004537F8" w:rsidRPr="0059231D" w:rsidRDefault="004537F8" w:rsidP="0085436C">
      <w:pPr>
        <w:tabs>
          <w:tab w:val="clear" w:pos="567"/>
        </w:tabs>
        <w:spacing w:line="240" w:lineRule="auto"/>
        <w:jc w:val="both"/>
        <w:rPr>
          <w:color w:val="000000"/>
          <w:szCs w:val="22"/>
          <w:u w:val="single"/>
        </w:rPr>
      </w:pPr>
    </w:p>
    <w:p w14:paraId="0C019D62" w14:textId="77777777" w:rsidR="004537F8" w:rsidRPr="0059231D" w:rsidRDefault="004537F8" w:rsidP="0085436C">
      <w:pPr>
        <w:pStyle w:val="BodyTextIndent"/>
        <w:ind w:left="0" w:firstLine="0"/>
        <w:jc w:val="both"/>
        <w:rPr>
          <w:b w:val="0"/>
          <w:bCs w:val="0"/>
          <w:color w:val="000000"/>
          <w:lang w:val="lv-LV" w:eastAsia="en-GB"/>
        </w:rPr>
      </w:pPr>
      <w:r w:rsidRPr="0059231D">
        <w:rPr>
          <w:b w:val="0"/>
          <w:bCs w:val="0"/>
          <w:color w:val="000000"/>
          <w:lang w:val="lv-LV" w:eastAsia="en-GB"/>
        </w:rPr>
        <w:t xml:space="preserve">Ārstēšanos ar buprenorfīnu ieteicams nozīmēt </w:t>
      </w:r>
      <w:r w:rsidRPr="0059231D">
        <w:rPr>
          <w:b w:val="0"/>
          <w:color w:val="000000"/>
          <w:lang w:val="lv-LV"/>
        </w:rPr>
        <w:t>opioīdo zāļu</w:t>
      </w:r>
      <w:r w:rsidRPr="0059231D">
        <w:rPr>
          <w:b w:val="0"/>
          <w:i/>
          <w:iCs/>
          <w:color w:val="000000"/>
          <w:lang w:val="lv-LV"/>
        </w:rPr>
        <w:t xml:space="preserve"> </w:t>
      </w:r>
      <w:r w:rsidR="007B120A" w:rsidRPr="0059231D">
        <w:rPr>
          <w:b w:val="0"/>
          <w:color w:val="000000"/>
          <w:lang w:val="lv-LV"/>
        </w:rPr>
        <w:t>atkarības terapijas iet</w:t>
      </w:r>
      <w:r w:rsidRPr="0059231D">
        <w:rPr>
          <w:b w:val="0"/>
          <w:color w:val="000000"/>
          <w:lang w:val="lv-LV"/>
        </w:rPr>
        <w:t>v</w:t>
      </w:r>
      <w:r w:rsidR="007B120A" w:rsidRPr="0059231D">
        <w:rPr>
          <w:b w:val="0"/>
          <w:color w:val="000000"/>
          <w:lang w:val="lv-LV"/>
        </w:rPr>
        <w:t>a</w:t>
      </w:r>
      <w:r w:rsidRPr="0059231D">
        <w:rPr>
          <w:b w:val="0"/>
          <w:color w:val="000000"/>
          <w:lang w:val="lv-LV"/>
        </w:rPr>
        <w:t>r</w:t>
      </w:r>
      <w:r w:rsidR="007B120A" w:rsidRPr="0059231D">
        <w:rPr>
          <w:b w:val="0"/>
          <w:color w:val="000000"/>
          <w:lang w:val="lv-LV"/>
        </w:rPr>
        <w:t>o</w:t>
      </w:r>
      <w:r w:rsidRPr="0059231D">
        <w:rPr>
          <w:b w:val="0"/>
          <w:color w:val="000000"/>
          <w:lang w:val="lv-LV"/>
        </w:rPr>
        <w:t>s.</w:t>
      </w:r>
      <w:r w:rsidRPr="0059231D">
        <w:rPr>
          <w:b w:val="0"/>
          <w:bCs w:val="0"/>
          <w:color w:val="000000"/>
          <w:lang w:val="lv-LV" w:eastAsia="en-GB"/>
        </w:rPr>
        <w:t xml:space="preserve"> Ārstēšanas rezultāts ir atkarīgs no lietotās devas, kā arī no vienlaicīgi lietotajām zālēm, psiholoģiskiem, sociāliem un izglītojošiem pasākumiem, kas veikti, novērojot pacientu.</w:t>
      </w:r>
    </w:p>
    <w:p w14:paraId="34FF7B24" w14:textId="77777777" w:rsidR="004537F8" w:rsidRPr="0059231D" w:rsidRDefault="004537F8" w:rsidP="0085436C">
      <w:pPr>
        <w:pStyle w:val="BodyTextIndent"/>
        <w:ind w:left="0" w:firstLine="0"/>
        <w:jc w:val="both"/>
        <w:rPr>
          <w:b w:val="0"/>
          <w:bCs w:val="0"/>
          <w:color w:val="000000"/>
          <w:lang w:val="lv-LV" w:eastAsia="en-GB"/>
        </w:rPr>
      </w:pPr>
    </w:p>
    <w:p w14:paraId="4823D2F1" w14:textId="77777777" w:rsidR="004537F8" w:rsidRPr="0059231D" w:rsidRDefault="004537F8" w:rsidP="0085436C">
      <w:pPr>
        <w:tabs>
          <w:tab w:val="clear" w:pos="567"/>
        </w:tabs>
        <w:spacing w:line="240" w:lineRule="auto"/>
        <w:jc w:val="both"/>
        <w:rPr>
          <w:i/>
          <w:color w:val="000000"/>
          <w:szCs w:val="22"/>
          <w:lang w:eastAsia="en-GB"/>
        </w:rPr>
      </w:pPr>
      <w:r w:rsidRPr="0059231D">
        <w:rPr>
          <w:i/>
          <w:iCs/>
          <w:color w:val="000000"/>
          <w:szCs w:val="22"/>
          <w:lang w:eastAsia="en-GB"/>
        </w:rPr>
        <w:t>Piesardzības pasākumi pirms terapijas uzsākšanas</w:t>
      </w:r>
    </w:p>
    <w:p w14:paraId="2160509A" w14:textId="77777777" w:rsidR="009F63E9" w:rsidRPr="0059231D" w:rsidRDefault="009F63E9" w:rsidP="0085436C">
      <w:pPr>
        <w:tabs>
          <w:tab w:val="clear" w:pos="567"/>
        </w:tabs>
        <w:spacing w:line="240" w:lineRule="auto"/>
        <w:rPr>
          <w:color w:val="000000"/>
          <w:szCs w:val="22"/>
        </w:rPr>
      </w:pPr>
      <w:r w:rsidRPr="0059231D">
        <w:rPr>
          <w:color w:val="000000"/>
          <w:szCs w:val="22"/>
          <w:lang w:eastAsia="en-GB"/>
        </w:rPr>
        <w:t>Pirms terapijas uzsākšanas jānoskaidro opioīdu atkarības tips (proti, ilgstošas vai īslaicīgas darbības opioīds), laiks kopš pēdējās opioīdu lietošanas reizes un opioīdu atkarības pakāpe. Lai izvairītos no abstinences reakciju riska, terapiju ar buprenorfīnu drīkst uzsākt tikai tad, ja ir acīmredzami objektīvi un skaidri abstinences simptomi</w:t>
      </w:r>
      <w:r w:rsidRPr="0059231D">
        <w:rPr>
          <w:color w:val="000000"/>
          <w:szCs w:val="22"/>
        </w:rPr>
        <w:t xml:space="preserve"> (tos pierāda, piemēram, apstiprinātas klīniskās </w:t>
      </w:r>
      <w:r w:rsidRPr="0059231D">
        <w:rPr>
          <w:color w:val="000000"/>
          <w:szCs w:val="22"/>
          <w:shd w:val="clear" w:color="auto" w:fill="FFFFFF"/>
        </w:rPr>
        <w:t xml:space="preserve">opioīdu abstinences </w:t>
      </w:r>
      <w:r w:rsidRPr="0059231D">
        <w:rPr>
          <w:color w:val="000000"/>
          <w:szCs w:val="22"/>
          <w:shd w:val="clear" w:color="auto" w:fill="FFFFFF"/>
        </w:rPr>
        <w:lastRenderedPageBreak/>
        <w:t>simptomu skalas (</w:t>
      </w:r>
      <w:r w:rsidRPr="0059231D">
        <w:rPr>
          <w:i/>
          <w:color w:val="000000"/>
          <w:szCs w:val="22"/>
          <w:shd w:val="clear" w:color="auto" w:fill="FFFFFF"/>
        </w:rPr>
        <w:t xml:space="preserve">COWS — </w:t>
      </w:r>
      <w:r w:rsidRPr="0059231D">
        <w:rPr>
          <w:i/>
          <w:color w:val="000000"/>
          <w:szCs w:val="22"/>
        </w:rPr>
        <w:t>Clinical Opioid Withdrawal Scale</w:t>
      </w:r>
      <w:r w:rsidRPr="0059231D">
        <w:rPr>
          <w:color w:val="000000"/>
          <w:szCs w:val="22"/>
          <w:shd w:val="clear" w:color="auto" w:fill="FFFFFF"/>
        </w:rPr>
        <w:t xml:space="preserve">) </w:t>
      </w:r>
      <w:r w:rsidRPr="0059231D">
        <w:rPr>
          <w:color w:val="000000"/>
          <w:szCs w:val="22"/>
        </w:rPr>
        <w:t>rādītāji, kas atbilst vieglai vai vidēji smagai abstinencei).</w:t>
      </w:r>
    </w:p>
    <w:p w14:paraId="0700F0C0" w14:textId="77777777" w:rsidR="009F63E9" w:rsidRPr="0059231D" w:rsidRDefault="009F63E9" w:rsidP="0085436C">
      <w:pPr>
        <w:tabs>
          <w:tab w:val="clear" w:pos="567"/>
        </w:tabs>
        <w:spacing w:line="240" w:lineRule="auto"/>
        <w:rPr>
          <w:color w:val="000000"/>
          <w:szCs w:val="22"/>
          <w:lang w:eastAsia="en-GB"/>
        </w:rPr>
      </w:pPr>
    </w:p>
    <w:p w14:paraId="4A20B032" w14:textId="77777777" w:rsidR="009F63E9" w:rsidRPr="0059231D" w:rsidRDefault="009F63E9" w:rsidP="0085436C">
      <w:pPr>
        <w:tabs>
          <w:tab w:val="clear" w:pos="567"/>
        </w:tabs>
        <w:spacing w:line="240" w:lineRule="auto"/>
        <w:rPr>
          <w:color w:val="000000"/>
          <w:szCs w:val="22"/>
          <w:lang w:eastAsia="en-GB"/>
        </w:rPr>
      </w:pPr>
      <w:r w:rsidRPr="0059231D">
        <w:rPr>
          <w:color w:val="000000"/>
          <w:szCs w:val="22"/>
        </w:rPr>
        <w:t>Pacientiem ar atkarību no heroīna vai īsas darbības opioīdiem pirmā buprenorfīna deva ir jālieto</w:t>
      </w:r>
      <w:r w:rsidR="0055619A">
        <w:rPr>
          <w:color w:val="000000"/>
          <w:szCs w:val="22"/>
        </w:rPr>
        <w:t xml:space="preserve"> tad</w:t>
      </w:r>
      <w:r w:rsidRPr="0059231D">
        <w:rPr>
          <w:color w:val="000000"/>
          <w:szCs w:val="22"/>
        </w:rPr>
        <w:t xml:space="preserve">, </w:t>
      </w:r>
      <w:r w:rsidRPr="0059231D">
        <w:rPr>
          <w:color w:val="000000"/>
          <w:szCs w:val="22"/>
          <w:lang w:eastAsia="en-GB"/>
        </w:rPr>
        <w:t>kad parādās abstinences pazīmes, bet ne ātrāk kā 6 stundas pēc tam, kad pacients pēdējo reizi lietojis opioīdus.</w:t>
      </w:r>
    </w:p>
    <w:p w14:paraId="63143BB7" w14:textId="77777777" w:rsidR="009F63E9" w:rsidRPr="0059231D" w:rsidRDefault="009F63E9" w:rsidP="0085436C">
      <w:pPr>
        <w:tabs>
          <w:tab w:val="clear" w:pos="567"/>
        </w:tabs>
        <w:spacing w:line="240" w:lineRule="auto"/>
        <w:rPr>
          <w:color w:val="000000"/>
          <w:szCs w:val="22"/>
        </w:rPr>
      </w:pPr>
    </w:p>
    <w:p w14:paraId="1A43B53F" w14:textId="77777777" w:rsidR="009F63E9" w:rsidRPr="0059231D" w:rsidRDefault="009F63E9" w:rsidP="0085436C">
      <w:pPr>
        <w:tabs>
          <w:tab w:val="clear" w:pos="567"/>
        </w:tabs>
        <w:spacing w:line="240" w:lineRule="auto"/>
        <w:rPr>
          <w:color w:val="000000"/>
          <w:szCs w:val="22"/>
        </w:rPr>
      </w:pPr>
      <w:r w:rsidRPr="0059231D">
        <w:rPr>
          <w:color w:val="000000"/>
          <w:szCs w:val="22"/>
        </w:rPr>
        <w:t xml:space="preserve">Pacientiem, kuri saņem metadonu, pirms buprenorfīna terapijas uzsākšanas metadona deva jāsamazina līdz maksimāli 30 mg dienā. Uzsākot buprenorfīna </w:t>
      </w:r>
      <w:r w:rsidRPr="0059231D">
        <w:rPr>
          <w:color w:val="000000"/>
          <w:szCs w:val="22"/>
          <w:lang w:eastAsia="en-GB"/>
        </w:rPr>
        <w:t>terapiju</w:t>
      </w:r>
      <w:r w:rsidRPr="0059231D">
        <w:rPr>
          <w:color w:val="000000"/>
          <w:szCs w:val="22"/>
        </w:rPr>
        <w:t>, jāņem vērā metadona ilgais eliminācijas pusperiods. Pirmo buprenorfīna devu drīkst lietot tikai pēc abstinences pazīmju parādīšanās, bet ne ātrāk kā 24 stundas pēc tam, kad pacients pēdējo reizi lietojis metadonu</w:t>
      </w:r>
      <w:r w:rsidRPr="0059231D">
        <w:rPr>
          <w:color w:val="000000"/>
          <w:szCs w:val="22"/>
          <w:lang w:eastAsia="en-GB"/>
        </w:rPr>
        <w:t>.</w:t>
      </w:r>
      <w:r w:rsidRPr="0059231D">
        <w:rPr>
          <w:color w:val="000000"/>
          <w:szCs w:val="22"/>
        </w:rPr>
        <w:t xml:space="preserve"> Buprenorfīns var provocēt abstinences simptomus pacientiem, kuri ir atkarīgi no metadona.</w:t>
      </w:r>
      <w:r w:rsidRPr="0059231D">
        <w:rPr>
          <w:color w:val="000000"/>
          <w:szCs w:val="22"/>
          <w:lang w:eastAsia="en-GB"/>
        </w:rPr>
        <w:t xml:space="preserve"> </w:t>
      </w:r>
    </w:p>
    <w:p w14:paraId="328CFC97" w14:textId="77777777" w:rsidR="009F63E9" w:rsidRPr="0059231D" w:rsidRDefault="009F63E9" w:rsidP="0085436C">
      <w:pPr>
        <w:pStyle w:val="BodyTextIndent"/>
        <w:ind w:left="0" w:firstLine="0"/>
        <w:rPr>
          <w:color w:val="000000"/>
          <w:lang w:val="lv-LV"/>
        </w:rPr>
      </w:pPr>
    </w:p>
    <w:p w14:paraId="65C30A5D" w14:textId="77777777" w:rsidR="009F63E9" w:rsidRPr="00012FAC" w:rsidRDefault="009F63E9" w:rsidP="0085436C">
      <w:pPr>
        <w:tabs>
          <w:tab w:val="clear" w:pos="567"/>
        </w:tabs>
        <w:spacing w:line="240" w:lineRule="auto"/>
        <w:jc w:val="both"/>
        <w:rPr>
          <w:bCs/>
          <w:color w:val="000000"/>
          <w:szCs w:val="22"/>
          <w:u w:val="single"/>
          <w:lang w:val="fi-FI"/>
        </w:rPr>
      </w:pPr>
      <w:r w:rsidRPr="00012FAC">
        <w:rPr>
          <w:bCs/>
          <w:color w:val="000000"/>
          <w:szCs w:val="22"/>
          <w:u w:val="single"/>
          <w:lang w:val="fi-FI"/>
        </w:rPr>
        <w:t>Devas</w:t>
      </w:r>
    </w:p>
    <w:p w14:paraId="06718601" w14:textId="77777777" w:rsidR="009F63E9" w:rsidRPr="0059231D" w:rsidRDefault="009F63E9" w:rsidP="0085436C">
      <w:pPr>
        <w:tabs>
          <w:tab w:val="clear" w:pos="567"/>
        </w:tabs>
        <w:spacing w:line="240" w:lineRule="auto"/>
        <w:rPr>
          <w:i/>
          <w:color w:val="000000"/>
          <w:szCs w:val="22"/>
          <w:lang w:eastAsia="en-GB"/>
        </w:rPr>
      </w:pPr>
      <w:r w:rsidRPr="0059231D">
        <w:rPr>
          <w:i/>
          <w:iCs/>
          <w:color w:val="000000"/>
          <w:szCs w:val="22"/>
          <w:lang w:eastAsia="en-GB"/>
        </w:rPr>
        <w:t>Sākuma terapija (terapijas uzsākšana)</w:t>
      </w:r>
    </w:p>
    <w:p w14:paraId="4C2E7D46" w14:textId="77777777" w:rsidR="009F63E9" w:rsidRPr="0059231D" w:rsidRDefault="009F63E9" w:rsidP="0085436C">
      <w:pPr>
        <w:pStyle w:val="BodyTextIndent"/>
        <w:ind w:left="0" w:firstLine="0"/>
        <w:rPr>
          <w:b w:val="0"/>
          <w:color w:val="000000"/>
          <w:lang w:val="lv-LV"/>
        </w:rPr>
      </w:pPr>
      <w:r w:rsidRPr="0059231D">
        <w:rPr>
          <w:b w:val="0"/>
          <w:color w:val="000000"/>
          <w:lang w:val="lv-LV"/>
        </w:rPr>
        <w:t>Ieteicamā sākuma deva pieaugušajiem un pusaudžiem, kuri vecāki par 15 gadiem, ir 2 līdz 4 mg kā vienreizēja dienas deva. Atbilstoši katra pacienta individuālai nepieciešamībai pirmajā terapijas dienā var papildus lietot 2 līdz 4 mg.</w:t>
      </w:r>
    </w:p>
    <w:p w14:paraId="2E88C703" w14:textId="77777777" w:rsidR="009F63E9" w:rsidRPr="0059231D" w:rsidRDefault="009F63E9" w:rsidP="0085436C">
      <w:pPr>
        <w:pStyle w:val="BodyTextIndent"/>
        <w:ind w:left="0" w:firstLine="0"/>
        <w:rPr>
          <w:b w:val="0"/>
          <w:color w:val="000000"/>
          <w:lang w:val="lv-LV"/>
        </w:rPr>
      </w:pPr>
    </w:p>
    <w:p w14:paraId="50479D19" w14:textId="77777777" w:rsidR="009F63E9" w:rsidRPr="0059231D" w:rsidRDefault="009F63E9" w:rsidP="0085436C">
      <w:pPr>
        <w:tabs>
          <w:tab w:val="clear" w:pos="567"/>
        </w:tabs>
        <w:spacing w:line="240" w:lineRule="auto"/>
        <w:rPr>
          <w:color w:val="000000"/>
          <w:szCs w:val="22"/>
          <w:lang w:eastAsia="en-GB"/>
        </w:rPr>
      </w:pPr>
      <w:r w:rsidRPr="0059231D">
        <w:rPr>
          <w:color w:val="000000"/>
          <w:szCs w:val="22"/>
          <w:lang w:eastAsia="en-GB"/>
        </w:rPr>
        <w:t>Terapijas sākuma periodā ir ieteicams uzraudzīt devas lietošanu katru dienu, lai nodrošinātu pareizu tabletes novietošanu zem mēles un novērotu pacienta reakciju uz zālēm, kas kalpo kā vadlīnija efektīvai devas pielāgošanai atkarībā no klīniskās iedarbības.</w:t>
      </w:r>
    </w:p>
    <w:p w14:paraId="6662AE35" w14:textId="77777777" w:rsidR="009F63E9" w:rsidRPr="0059231D" w:rsidRDefault="009F63E9" w:rsidP="0085436C">
      <w:pPr>
        <w:pStyle w:val="BodyTextIndent"/>
        <w:ind w:left="0" w:firstLine="0"/>
        <w:rPr>
          <w:b w:val="0"/>
          <w:color w:val="000000"/>
          <w:lang w:val="lv-LV"/>
        </w:rPr>
      </w:pPr>
    </w:p>
    <w:p w14:paraId="72C21732" w14:textId="77777777" w:rsidR="009F63E9" w:rsidRPr="0059231D" w:rsidRDefault="009F63E9" w:rsidP="0085436C">
      <w:pPr>
        <w:tabs>
          <w:tab w:val="clear" w:pos="567"/>
        </w:tabs>
        <w:spacing w:line="240" w:lineRule="auto"/>
        <w:rPr>
          <w:i/>
          <w:color w:val="000000"/>
          <w:szCs w:val="22"/>
          <w:lang w:eastAsia="en-GB"/>
        </w:rPr>
      </w:pPr>
      <w:r w:rsidRPr="0059231D">
        <w:rPr>
          <w:i/>
          <w:iCs/>
          <w:color w:val="000000"/>
          <w:szCs w:val="22"/>
          <w:lang w:eastAsia="en-GB"/>
        </w:rPr>
        <w:t>Devas pielāgošana un uzturošā terapija</w:t>
      </w:r>
    </w:p>
    <w:p w14:paraId="1B00C13E" w14:textId="77777777" w:rsidR="009F63E9" w:rsidRPr="0059231D" w:rsidRDefault="009F63E9" w:rsidP="0085436C">
      <w:pPr>
        <w:tabs>
          <w:tab w:val="clear" w:pos="567"/>
        </w:tabs>
        <w:spacing w:line="240" w:lineRule="auto"/>
        <w:rPr>
          <w:color w:val="000000"/>
          <w:szCs w:val="22"/>
          <w:lang w:eastAsia="en-GB"/>
        </w:rPr>
      </w:pPr>
      <w:r w:rsidRPr="0059231D">
        <w:rPr>
          <w:color w:val="000000"/>
          <w:szCs w:val="22"/>
          <w:lang w:eastAsia="en-GB"/>
        </w:rPr>
        <w:t xml:space="preserve">Pēc terapijas uzsākšanas pirmajā dienā </w:t>
      </w:r>
      <w:r w:rsidR="0055619A">
        <w:rPr>
          <w:color w:val="000000"/>
          <w:szCs w:val="22"/>
          <w:lang w:eastAsia="en-GB"/>
        </w:rPr>
        <w:t>un</w:t>
      </w:r>
      <w:r w:rsidRPr="0059231D">
        <w:rPr>
          <w:color w:val="000000"/>
          <w:szCs w:val="22"/>
          <w:lang w:eastAsia="en-GB"/>
        </w:rPr>
        <w:t xml:space="preserve"> dažās nākamajās dienās </w:t>
      </w:r>
      <w:r w:rsidR="0055619A">
        <w:rPr>
          <w:color w:val="000000"/>
          <w:szCs w:val="22"/>
          <w:lang w:eastAsia="en-GB"/>
        </w:rPr>
        <w:t xml:space="preserve">pacients </w:t>
      </w:r>
      <w:r w:rsidRPr="0059231D">
        <w:rPr>
          <w:color w:val="000000"/>
          <w:szCs w:val="22"/>
          <w:lang w:eastAsia="en-GB"/>
        </w:rPr>
        <w:t>ir jāstabilizē ar balstdevu, pakāpeniski pielāgojot devu atbilstoši katra pacienta klīniskajai atbildes reakcijai. Buprenorfīna devu pielāgo ar 2</w:t>
      </w:r>
      <w:r w:rsidRPr="0059231D">
        <w:rPr>
          <w:color w:val="000000"/>
          <w:szCs w:val="22"/>
          <w:lang w:eastAsia="en-GB"/>
        </w:rPr>
        <w:noBreakHyphen/>
        <w:t>8 mg soli, vadoties pēc pacienta klīniskā un psiholoģiskā stāvokļa pārvērtēšanas. Nedrīkst pārsniegt vienreizējo maksimālo dienas devu 24 mg buprenorfīna.</w:t>
      </w:r>
    </w:p>
    <w:p w14:paraId="0702268B" w14:textId="77777777" w:rsidR="009F63E9" w:rsidRPr="0059231D" w:rsidRDefault="009F63E9" w:rsidP="0085436C">
      <w:pPr>
        <w:tabs>
          <w:tab w:val="clear" w:pos="567"/>
        </w:tabs>
        <w:spacing w:line="240" w:lineRule="auto"/>
        <w:rPr>
          <w:color w:val="000000"/>
          <w:szCs w:val="22"/>
          <w:lang w:eastAsia="en-GB"/>
        </w:rPr>
      </w:pPr>
    </w:p>
    <w:p w14:paraId="788D4CC1" w14:textId="77777777" w:rsidR="009F63E9" w:rsidRPr="0059231D" w:rsidRDefault="009F63E9" w:rsidP="0085436C">
      <w:pPr>
        <w:tabs>
          <w:tab w:val="clear" w:pos="567"/>
        </w:tabs>
        <w:spacing w:line="240" w:lineRule="auto"/>
        <w:jc w:val="both"/>
        <w:rPr>
          <w:color w:val="000000"/>
          <w:szCs w:val="22"/>
        </w:rPr>
      </w:pPr>
      <w:r w:rsidRPr="0059231D">
        <w:rPr>
          <w:color w:val="000000"/>
          <w:szCs w:val="22"/>
        </w:rPr>
        <w:t>Buprenorfīnu ieteicams izsniegt katru dienu, it īpaši ārstēšanas sākumā. Pēc stāvokļa stabilizēšanas pacientam var izsniegt zāļu krājumu vairākām ārstēšanas dienām. Tomēr nevajadzētu izsniegt zāļu daudzumu, kas pārsniedz 7 dienām nepieciešamo.</w:t>
      </w:r>
    </w:p>
    <w:p w14:paraId="5FC67309" w14:textId="77777777" w:rsidR="009F63E9" w:rsidRPr="0059231D" w:rsidRDefault="009F63E9" w:rsidP="0085436C">
      <w:pPr>
        <w:tabs>
          <w:tab w:val="clear" w:pos="567"/>
        </w:tabs>
        <w:spacing w:line="240" w:lineRule="auto"/>
        <w:rPr>
          <w:color w:val="000000"/>
          <w:szCs w:val="22"/>
          <w:lang w:eastAsia="en-GB"/>
        </w:rPr>
      </w:pPr>
    </w:p>
    <w:p w14:paraId="5B3801E6" w14:textId="77777777" w:rsidR="009F63E9" w:rsidRPr="0059231D" w:rsidRDefault="009F63E9" w:rsidP="0085436C">
      <w:pPr>
        <w:tabs>
          <w:tab w:val="clear" w:pos="567"/>
        </w:tabs>
        <w:spacing w:line="240" w:lineRule="auto"/>
        <w:rPr>
          <w:i/>
          <w:color w:val="000000"/>
          <w:szCs w:val="22"/>
          <w:lang w:eastAsia="en-GB"/>
        </w:rPr>
      </w:pPr>
      <w:r w:rsidRPr="0059231D">
        <w:rPr>
          <w:i/>
          <w:iCs/>
          <w:color w:val="000000"/>
          <w:szCs w:val="22"/>
          <w:lang w:eastAsia="en-GB"/>
        </w:rPr>
        <w:t>Lietošana retāk nekā reizi dienā</w:t>
      </w:r>
    </w:p>
    <w:p w14:paraId="0EADC866" w14:textId="77777777" w:rsidR="009F63E9" w:rsidRPr="0059231D" w:rsidRDefault="009F63E9" w:rsidP="0085436C">
      <w:pPr>
        <w:tabs>
          <w:tab w:val="clear" w:pos="567"/>
        </w:tabs>
        <w:spacing w:line="240" w:lineRule="auto"/>
        <w:rPr>
          <w:color w:val="000000"/>
          <w:szCs w:val="22"/>
          <w:lang w:eastAsia="en-GB"/>
        </w:rPr>
      </w:pPr>
      <w:r w:rsidRPr="0059231D">
        <w:rPr>
          <w:color w:val="000000"/>
          <w:szCs w:val="22"/>
          <w:lang w:eastAsia="en-GB"/>
        </w:rPr>
        <w:t>Pēc tam, kad pacienta stāvoklis ir apmierinoši stabilizējies, devas lietošanas biežumu var samazināt līdz vienai reizei katru otro dienu, lietojot dubultu individuāli pielāgotu dienas devu. Piemēram, pacients, kura stāvoklis stabilizēts ar 8 mg buprenorfīna dienas devu, var lietot 16 mg buprenorfīna katru otro dienu, nelietojot devu nepāra dienās. Dažiem pacientiem pēc apmierinoši stabila klīniskā stāvokļa panākšanas devas lietošanas biežumu var mazināt līdz 3 reizēm nedēļā (piemēram, pirmdienā, trešdienā un piektdienā). Pirmdien un trešdien devai jābūt dubultai individuāli pielāgotajai dienas devai un piektdien – trīskāršai individuāli pielāgotajai dienas devai, bet pārējās nedēļas dienās deva netiek lietota. Tomēr vienas dienas deva nedrīkst pārsniegt 24 mg buprenorfīna. Pacientiem, kuriem nepieciešamā pielāgotā dienas deva ir mazāka par 8 mg buprenorfīna dienā, šī shēma var nebūt piemērota.</w:t>
      </w:r>
    </w:p>
    <w:p w14:paraId="3BED9D7D" w14:textId="77777777" w:rsidR="009F63E9" w:rsidRPr="0059231D" w:rsidRDefault="009F63E9" w:rsidP="0085436C">
      <w:pPr>
        <w:tabs>
          <w:tab w:val="clear" w:pos="567"/>
        </w:tabs>
        <w:spacing w:line="240" w:lineRule="auto"/>
        <w:rPr>
          <w:color w:val="000000"/>
          <w:szCs w:val="22"/>
          <w:lang w:eastAsia="en-GB"/>
        </w:rPr>
      </w:pPr>
    </w:p>
    <w:p w14:paraId="25BF933D" w14:textId="77777777" w:rsidR="009F63E9" w:rsidRPr="0059231D" w:rsidRDefault="009F63E9" w:rsidP="0085436C">
      <w:pPr>
        <w:tabs>
          <w:tab w:val="clear" w:pos="567"/>
        </w:tabs>
        <w:spacing w:line="240" w:lineRule="auto"/>
        <w:jc w:val="both"/>
        <w:rPr>
          <w:i/>
          <w:color w:val="000000"/>
          <w:szCs w:val="22"/>
          <w:lang w:eastAsia="en-GB"/>
        </w:rPr>
      </w:pPr>
      <w:r w:rsidRPr="0059231D">
        <w:rPr>
          <w:i/>
          <w:iCs/>
          <w:color w:val="000000"/>
          <w:szCs w:val="22"/>
          <w:lang w:eastAsia="en-GB"/>
        </w:rPr>
        <w:t>Devas samazināšana un terapijas izbeigšana</w:t>
      </w:r>
    </w:p>
    <w:p w14:paraId="418041EF" w14:textId="77777777" w:rsidR="009F63E9" w:rsidRPr="0059231D" w:rsidRDefault="009F63E9" w:rsidP="0085436C">
      <w:pPr>
        <w:tabs>
          <w:tab w:val="clear" w:pos="567"/>
        </w:tabs>
        <w:spacing w:line="240" w:lineRule="auto"/>
        <w:jc w:val="both"/>
        <w:rPr>
          <w:color w:val="000000"/>
          <w:szCs w:val="22"/>
          <w:lang w:eastAsia="en-GB"/>
        </w:rPr>
      </w:pPr>
      <w:r w:rsidRPr="0059231D">
        <w:rPr>
          <w:color w:val="000000"/>
          <w:szCs w:val="22"/>
        </w:rPr>
        <w:t xml:space="preserve">Ja klīniskais novērtējums un pacienta griba ļauj apsvērt terapijas pārtraukšanu, tas jāveic piesardzīgi. Lēmums par buprenorfīna lietošanas pārtraukšanu pēc uzturošās terapijas vai īslaicīgas stabilizācijas jāpieņem visaptverošas ārstēšanas ietvaros. Lai izvairītos no absistences simptomiem un iespējamas atkārtotas zāļu nelikumīgas lietošanas, buprenorfīna deva ar laiku progresīvi jāsamazina, labvēlīgos gadījumos </w:t>
      </w:r>
      <w:r w:rsidRPr="0059231D">
        <w:rPr>
          <w:color w:val="000000"/>
          <w:szCs w:val="22"/>
          <w:lang w:eastAsia="en-GB"/>
        </w:rPr>
        <w:t xml:space="preserve">terapiju var pārtraukt. </w:t>
      </w:r>
      <w:r w:rsidRPr="0059231D">
        <w:rPr>
          <w:color w:val="000000"/>
          <w:szCs w:val="22"/>
        </w:rPr>
        <w:t xml:space="preserve">Panākot apmierinošu stabilizācijas periodu, ja pacients piekrīt, buprenorfīna devu var pakāpeniski samazināt; dažos labvēlīgos gadījumos ārstēšanu var pārtraukt. </w:t>
      </w:r>
      <w:r w:rsidRPr="0059231D">
        <w:rPr>
          <w:color w:val="000000"/>
          <w:szCs w:val="22"/>
          <w:lang w:eastAsia="en-GB"/>
        </w:rPr>
        <w:t>Tā kā ir pieejamas 2 mg un 8 mg tabletes lietošanai zem mēles, iespējama lejupejoša devas pielāgošana. Pēc buprenorfīna lietošanas pārtraukšanas pacienti rūpīgi jānovēro, jo iespējams recidīva risks.</w:t>
      </w:r>
    </w:p>
    <w:p w14:paraId="706E3F32" w14:textId="77777777" w:rsidR="009F63E9" w:rsidRPr="0059231D" w:rsidRDefault="009F63E9" w:rsidP="0085436C">
      <w:pPr>
        <w:tabs>
          <w:tab w:val="clear" w:pos="567"/>
        </w:tabs>
        <w:spacing w:line="240" w:lineRule="auto"/>
        <w:jc w:val="both"/>
        <w:rPr>
          <w:color w:val="000000"/>
          <w:szCs w:val="22"/>
        </w:rPr>
      </w:pPr>
    </w:p>
    <w:p w14:paraId="507B450B" w14:textId="77777777" w:rsidR="009F63E9" w:rsidRPr="00012FAC" w:rsidRDefault="009F63E9" w:rsidP="0085436C">
      <w:pPr>
        <w:tabs>
          <w:tab w:val="clear" w:pos="567"/>
        </w:tabs>
        <w:spacing w:line="240" w:lineRule="auto"/>
        <w:jc w:val="both"/>
        <w:rPr>
          <w:bCs/>
          <w:color w:val="000000"/>
          <w:szCs w:val="22"/>
          <w:u w:val="single"/>
        </w:rPr>
      </w:pPr>
      <w:r w:rsidRPr="00012FAC">
        <w:rPr>
          <w:bCs/>
          <w:color w:val="000000"/>
          <w:szCs w:val="22"/>
          <w:u w:val="single"/>
        </w:rPr>
        <w:t>Īpašas pacientu grupas</w:t>
      </w:r>
    </w:p>
    <w:p w14:paraId="241495C8" w14:textId="77777777" w:rsidR="009F63E9" w:rsidRPr="0059231D" w:rsidRDefault="009F63E9" w:rsidP="0085436C">
      <w:pPr>
        <w:tabs>
          <w:tab w:val="clear" w:pos="567"/>
        </w:tabs>
        <w:spacing w:line="240" w:lineRule="auto"/>
        <w:jc w:val="both"/>
        <w:rPr>
          <w:i/>
          <w:color w:val="000000"/>
          <w:szCs w:val="22"/>
          <w:lang w:eastAsia="en-GB"/>
        </w:rPr>
      </w:pPr>
      <w:r w:rsidRPr="0059231D">
        <w:rPr>
          <w:i/>
          <w:iCs/>
          <w:color w:val="000000"/>
          <w:szCs w:val="22"/>
          <w:lang w:eastAsia="en-GB"/>
        </w:rPr>
        <w:t>Gados vecāki cilvēki</w:t>
      </w:r>
    </w:p>
    <w:p w14:paraId="44C2EAE1" w14:textId="77777777" w:rsidR="009F63E9" w:rsidRPr="0059231D" w:rsidRDefault="009F63E9" w:rsidP="0085436C">
      <w:pPr>
        <w:tabs>
          <w:tab w:val="clear" w:pos="567"/>
        </w:tabs>
        <w:spacing w:line="240" w:lineRule="auto"/>
        <w:jc w:val="both"/>
        <w:rPr>
          <w:color w:val="000000"/>
          <w:szCs w:val="22"/>
          <w:lang w:eastAsia="en-GB"/>
        </w:rPr>
      </w:pPr>
      <w:r w:rsidRPr="0059231D">
        <w:rPr>
          <w:color w:val="000000"/>
          <w:szCs w:val="22"/>
          <w:lang w:eastAsia="en-GB"/>
        </w:rPr>
        <w:lastRenderedPageBreak/>
        <w:t>Buprenorfīna drošums un efektivitāte, lietojot par 65 gadiem vecākiem pacientiem, nav pierādīta. Nav iespējams sniegt ieteikumus par devām.</w:t>
      </w:r>
    </w:p>
    <w:p w14:paraId="04B98FAF" w14:textId="77777777" w:rsidR="009F63E9" w:rsidRPr="0059231D" w:rsidRDefault="009F63E9" w:rsidP="0085436C">
      <w:pPr>
        <w:tabs>
          <w:tab w:val="clear" w:pos="567"/>
        </w:tabs>
        <w:spacing w:line="240" w:lineRule="auto"/>
        <w:jc w:val="both"/>
        <w:rPr>
          <w:color w:val="000000"/>
          <w:szCs w:val="22"/>
          <w:lang w:eastAsia="en-GB"/>
        </w:rPr>
      </w:pPr>
    </w:p>
    <w:p w14:paraId="5DC9ED29" w14:textId="77777777" w:rsidR="009F63E9" w:rsidRPr="0059231D" w:rsidRDefault="009F63E9" w:rsidP="0085436C">
      <w:pPr>
        <w:tabs>
          <w:tab w:val="clear" w:pos="567"/>
        </w:tabs>
        <w:spacing w:line="240" w:lineRule="auto"/>
        <w:jc w:val="both"/>
        <w:rPr>
          <w:i/>
          <w:color w:val="000000"/>
          <w:szCs w:val="22"/>
          <w:lang w:eastAsia="en-GB"/>
        </w:rPr>
      </w:pPr>
      <w:r w:rsidRPr="0059231D">
        <w:rPr>
          <w:i/>
          <w:iCs/>
          <w:color w:val="000000"/>
          <w:szCs w:val="22"/>
          <w:lang w:eastAsia="en-GB"/>
        </w:rPr>
        <w:t>Aknu darbības traucējumi</w:t>
      </w:r>
    </w:p>
    <w:p w14:paraId="269C2DC4" w14:textId="77777777" w:rsidR="009F63E9" w:rsidRPr="0059231D" w:rsidRDefault="009F63E9" w:rsidP="0085436C">
      <w:pPr>
        <w:tabs>
          <w:tab w:val="clear" w:pos="567"/>
        </w:tabs>
        <w:spacing w:line="240" w:lineRule="auto"/>
        <w:jc w:val="both"/>
        <w:rPr>
          <w:i/>
          <w:color w:val="000000"/>
          <w:szCs w:val="22"/>
          <w:lang w:eastAsia="en-GB"/>
        </w:rPr>
      </w:pPr>
      <w:r w:rsidRPr="0059231D">
        <w:rPr>
          <w:i/>
          <w:color w:val="000000"/>
          <w:szCs w:val="22"/>
        </w:rPr>
        <w:t>Pirms terapijas uzsākšanas ieteicams noteikt sākuma aknu funkcionālos rādītājus un dokumentēt vīrushepatīta statusu.</w:t>
      </w:r>
    </w:p>
    <w:p w14:paraId="509472F2" w14:textId="77777777" w:rsidR="009F63E9" w:rsidRPr="0059231D" w:rsidRDefault="009F63E9" w:rsidP="0085436C">
      <w:pPr>
        <w:tabs>
          <w:tab w:val="clear" w:pos="567"/>
        </w:tabs>
        <w:spacing w:line="240" w:lineRule="auto"/>
        <w:jc w:val="both"/>
        <w:rPr>
          <w:color w:val="000000"/>
          <w:szCs w:val="22"/>
          <w:lang w:eastAsia="en-GB"/>
        </w:rPr>
      </w:pPr>
      <w:r w:rsidRPr="0059231D">
        <w:rPr>
          <w:color w:val="000000"/>
          <w:szCs w:val="22"/>
          <w:lang w:eastAsia="en-GB"/>
        </w:rPr>
        <w:t>Aknu darbības traucējumu ietekme uz buprenorfīna farmakokinētiku tika izvērtēta pēcreģistrācijas pētījumā. Buprenorfīns tiek plaši metabolizēts aknās un pacientiem ar aknu darbības traucējumiem tika novērota augstāka buprenorfīna koncentrācija plazmā. Pacientiem ar viegliem aknu darbības traucējumiem sistēmiskā iedarbība palielinās margināli</w:t>
      </w:r>
      <w:r w:rsidR="00124551">
        <w:rPr>
          <w:color w:val="000000"/>
          <w:szCs w:val="22"/>
          <w:lang w:eastAsia="en-GB"/>
        </w:rPr>
        <w:t>,</w:t>
      </w:r>
      <w:r w:rsidRPr="0059231D">
        <w:rPr>
          <w:color w:val="000000"/>
          <w:szCs w:val="22"/>
          <w:lang w:eastAsia="en-GB"/>
        </w:rPr>
        <w:t xml:space="preserve"> un tiek uzskatīts, ka devas pielāgošana nav nepieciešama. Pēc vienreizējas 2 mg devas lietošanas būtiski palielinājās sistēmiskā iedarbība pacientiem ar vidēji smagiem un smagiem aknu darbības traucējumiem, attiecīgi 1,6 reizes un 2,8 reizes, salīdzinājumā ar veseliem indivīdiem. Jānovēro, vai pacientiem nerodas toksicitātes vai pārdozēšanas pazīmes un simptomi, kam pamatā ir paaugstināta buprenorfīna koncentrācija. Subutex tabletes lietošanai zem mēles piesardzīgi jālieto pacientiem ar vidēji smagiem aknu darbības traucējumiem</w:t>
      </w:r>
      <w:r w:rsidR="00124551">
        <w:rPr>
          <w:color w:val="000000"/>
          <w:szCs w:val="22"/>
          <w:lang w:eastAsia="en-GB"/>
        </w:rPr>
        <w:t>,</w:t>
      </w:r>
      <w:r w:rsidRPr="0059231D">
        <w:rPr>
          <w:color w:val="000000"/>
          <w:szCs w:val="22"/>
          <w:lang w:eastAsia="en-GB"/>
        </w:rPr>
        <w:t xml:space="preserve"> un jāapsver nepieciešamība samazināt sākuma devu un balstdevu. Ņemot vērā pastiprināto iedarbību pacientiem ar smagiem aknu darbības traucējumiem un iespējamo lielākas uzkrāšanās potenciālu atkārtotas lietošanas gadījumā, Subutex nedrīkst lietot pacientiem ar smagiem aknu darbības traucējumiem (skatīt 4.3. un 4.5. apakšpunktu).</w:t>
      </w:r>
    </w:p>
    <w:p w14:paraId="6A0A9756" w14:textId="77777777" w:rsidR="009F63E9" w:rsidRPr="0059231D" w:rsidRDefault="009F63E9" w:rsidP="0085436C">
      <w:pPr>
        <w:tabs>
          <w:tab w:val="clear" w:pos="567"/>
        </w:tabs>
        <w:spacing w:line="240" w:lineRule="auto"/>
        <w:jc w:val="both"/>
        <w:rPr>
          <w:color w:val="000000"/>
          <w:szCs w:val="22"/>
          <w:lang w:eastAsia="en-GB"/>
        </w:rPr>
      </w:pPr>
      <w:r w:rsidRPr="0059231D">
        <w:rPr>
          <w:color w:val="000000"/>
          <w:szCs w:val="22"/>
          <w:lang w:eastAsia="en-GB"/>
        </w:rPr>
        <w:t>Palielināts paātrināta aknu bojājuma risks ir pacientiem ar diagnosticētu vīrushepatītu, pacientiem, kuri vienlaicīgi lieto zāles (skatīt 4.5. apakšpunktu)</w:t>
      </w:r>
      <w:r w:rsidR="00124551">
        <w:rPr>
          <w:color w:val="000000"/>
          <w:szCs w:val="22"/>
          <w:lang w:eastAsia="en-GB"/>
        </w:rPr>
        <w:t>,</w:t>
      </w:r>
      <w:r w:rsidRPr="0059231D">
        <w:rPr>
          <w:color w:val="000000"/>
          <w:szCs w:val="22"/>
          <w:lang w:eastAsia="en-GB"/>
        </w:rPr>
        <w:t xml:space="preserve"> un/vai pacientiem ar esošiem aknu darbības traucējumiem. Pirms terapijas uzsākšanas ieteicams noteikt sākuma aknu funkcionālos rādītājus un dokumentēt vīrushepatīta statusu. Ieteicama regulāra aknu darbības novērošana (skatīt 4.4. apakšpunktu).</w:t>
      </w:r>
    </w:p>
    <w:p w14:paraId="335CADE3" w14:textId="77777777" w:rsidR="009F63E9" w:rsidRPr="0059231D" w:rsidRDefault="009F63E9" w:rsidP="0085436C">
      <w:pPr>
        <w:tabs>
          <w:tab w:val="clear" w:pos="567"/>
        </w:tabs>
        <w:spacing w:line="240" w:lineRule="auto"/>
        <w:jc w:val="both"/>
        <w:rPr>
          <w:color w:val="000000"/>
          <w:szCs w:val="22"/>
          <w:lang w:eastAsia="en-GB"/>
        </w:rPr>
      </w:pPr>
    </w:p>
    <w:p w14:paraId="0587A9AC" w14:textId="77777777" w:rsidR="009F63E9" w:rsidRPr="0059231D" w:rsidRDefault="009F63E9" w:rsidP="0085436C">
      <w:pPr>
        <w:tabs>
          <w:tab w:val="clear" w:pos="567"/>
        </w:tabs>
        <w:spacing w:line="240" w:lineRule="auto"/>
        <w:jc w:val="both"/>
        <w:rPr>
          <w:color w:val="000000"/>
          <w:szCs w:val="22"/>
          <w:lang w:eastAsia="en-GB"/>
        </w:rPr>
      </w:pPr>
      <w:r w:rsidRPr="0059231D">
        <w:rPr>
          <w:i/>
          <w:iCs/>
          <w:color w:val="000000"/>
          <w:szCs w:val="22"/>
          <w:lang w:eastAsia="en-GB"/>
        </w:rPr>
        <w:t>Nieru darbības traucējumi</w:t>
      </w:r>
    </w:p>
    <w:p w14:paraId="4084D48C" w14:textId="77777777" w:rsidR="009F63E9" w:rsidRPr="0059231D" w:rsidRDefault="009F63E9" w:rsidP="0085436C">
      <w:pPr>
        <w:tabs>
          <w:tab w:val="clear" w:pos="567"/>
        </w:tabs>
        <w:spacing w:line="240" w:lineRule="auto"/>
        <w:jc w:val="both"/>
        <w:rPr>
          <w:color w:val="000000"/>
          <w:szCs w:val="22"/>
          <w:lang w:eastAsia="en-GB"/>
        </w:rPr>
      </w:pPr>
      <w:r w:rsidRPr="0059231D">
        <w:rPr>
          <w:color w:val="000000"/>
          <w:szCs w:val="22"/>
          <w:lang w:eastAsia="en-GB"/>
        </w:rPr>
        <w:t>Pacientiem ar nieru darbības traucējumiem parasti nav nepieciešams mainīt buprenorfīna devu. Lietojot un nosakot devu pacientiem ar smagiem nieru darbības traucējumiem (kreatinīna klīrenss &lt; 30 ml/min), jāievēro piesardzība (skatīt 4.4. un 5.2. apakšpunktu).</w:t>
      </w:r>
    </w:p>
    <w:p w14:paraId="42DAC704" w14:textId="77777777" w:rsidR="009F63E9" w:rsidRPr="0059231D" w:rsidRDefault="009F63E9" w:rsidP="0085436C">
      <w:pPr>
        <w:tabs>
          <w:tab w:val="clear" w:pos="567"/>
        </w:tabs>
        <w:spacing w:line="240" w:lineRule="auto"/>
        <w:jc w:val="both"/>
        <w:rPr>
          <w:color w:val="000000"/>
          <w:szCs w:val="22"/>
          <w:lang w:eastAsia="en-GB"/>
        </w:rPr>
      </w:pPr>
    </w:p>
    <w:p w14:paraId="5E11BB38" w14:textId="77777777" w:rsidR="009F63E9" w:rsidRPr="0059231D" w:rsidRDefault="009F63E9" w:rsidP="0085436C">
      <w:pPr>
        <w:tabs>
          <w:tab w:val="clear" w:pos="567"/>
        </w:tabs>
        <w:spacing w:line="240" w:lineRule="auto"/>
        <w:jc w:val="both"/>
        <w:rPr>
          <w:i/>
          <w:color w:val="000000"/>
          <w:szCs w:val="22"/>
          <w:lang w:eastAsia="en-GB"/>
        </w:rPr>
      </w:pPr>
      <w:r w:rsidRPr="0059231D">
        <w:rPr>
          <w:i/>
          <w:iCs/>
          <w:color w:val="000000"/>
          <w:szCs w:val="22"/>
          <w:lang w:eastAsia="en-GB"/>
        </w:rPr>
        <w:t>Pediatriskā populācija</w:t>
      </w:r>
    </w:p>
    <w:p w14:paraId="69483A38" w14:textId="77777777" w:rsidR="009F63E9" w:rsidRPr="0059231D" w:rsidRDefault="009F63E9" w:rsidP="0085436C">
      <w:pPr>
        <w:tabs>
          <w:tab w:val="clear" w:pos="567"/>
        </w:tabs>
        <w:spacing w:line="240" w:lineRule="auto"/>
        <w:jc w:val="both"/>
        <w:rPr>
          <w:color w:val="000000"/>
          <w:szCs w:val="22"/>
          <w:lang w:eastAsia="en-GB"/>
        </w:rPr>
      </w:pPr>
      <w:r w:rsidRPr="0059231D">
        <w:rPr>
          <w:color w:val="000000"/>
          <w:szCs w:val="22"/>
          <w:lang w:eastAsia="en-GB"/>
        </w:rPr>
        <w:t>Buprenorfīna drošums un efektivitāte bērniem, kuri jaunāki par 15 gadiem, nav pierādīta. Nav pieejama informācija.</w:t>
      </w:r>
    </w:p>
    <w:p w14:paraId="12EE5F3F" w14:textId="77777777" w:rsidR="009F63E9" w:rsidRPr="0059231D" w:rsidRDefault="009F63E9" w:rsidP="0085436C">
      <w:pPr>
        <w:tabs>
          <w:tab w:val="clear" w:pos="567"/>
        </w:tabs>
        <w:spacing w:line="240" w:lineRule="auto"/>
        <w:jc w:val="both"/>
        <w:rPr>
          <w:color w:val="000000"/>
          <w:szCs w:val="22"/>
        </w:rPr>
      </w:pPr>
      <w:r w:rsidRPr="0059231D">
        <w:rPr>
          <w:color w:val="000000"/>
          <w:szCs w:val="22"/>
        </w:rPr>
        <w:t>Tā kā nav pieejama informācija par pusaudžiem (vecumā no 15 – 17 gadiem), šīs vecuma grupas pacienti terapijas laikā jānovēro daudz rūpīgāk.</w:t>
      </w:r>
    </w:p>
    <w:p w14:paraId="5DC8B2C0" w14:textId="77777777" w:rsidR="009F63E9" w:rsidRPr="0059231D" w:rsidRDefault="009F63E9" w:rsidP="0085436C">
      <w:pPr>
        <w:tabs>
          <w:tab w:val="clear" w:pos="567"/>
        </w:tabs>
        <w:spacing w:line="240" w:lineRule="auto"/>
        <w:jc w:val="both"/>
        <w:rPr>
          <w:color w:val="000000"/>
          <w:szCs w:val="22"/>
          <w:u w:val="single"/>
        </w:rPr>
      </w:pPr>
    </w:p>
    <w:p w14:paraId="777E58CC" w14:textId="77777777" w:rsidR="009F63E9" w:rsidRPr="00012FAC" w:rsidRDefault="009F63E9" w:rsidP="0085436C">
      <w:pPr>
        <w:spacing w:line="240" w:lineRule="auto"/>
        <w:jc w:val="both"/>
        <w:rPr>
          <w:bCs/>
          <w:color w:val="000000"/>
          <w:szCs w:val="22"/>
          <w:u w:val="single"/>
          <w:lang w:eastAsia="en-GB"/>
        </w:rPr>
      </w:pPr>
      <w:r w:rsidRPr="00012FAC">
        <w:rPr>
          <w:bCs/>
          <w:color w:val="000000"/>
          <w:szCs w:val="22"/>
          <w:u w:val="single"/>
        </w:rPr>
        <w:t>Lietošanas veids</w:t>
      </w:r>
    </w:p>
    <w:p w14:paraId="45217D46" w14:textId="77777777" w:rsidR="009F63E9" w:rsidRPr="0059231D" w:rsidRDefault="009F63E9" w:rsidP="0085436C">
      <w:pPr>
        <w:spacing w:line="240" w:lineRule="auto"/>
        <w:jc w:val="both"/>
        <w:rPr>
          <w:color w:val="000000"/>
          <w:szCs w:val="22"/>
          <w:lang w:eastAsia="en-GB"/>
        </w:rPr>
      </w:pPr>
      <w:r w:rsidRPr="0059231D">
        <w:rPr>
          <w:color w:val="000000"/>
          <w:szCs w:val="22"/>
        </w:rPr>
        <w:t>Lietošanai zem mēles: Ārstiem ir jābrīdina pacienti, ka šo zāļu vienīgais efektīvais un drošais lietošanas veids ir lietošana zem mēles. Tablete ir jānovieto zem mēles un jātur, līdz tā pilnīgi izšķīst, kas parasti notiek 5 līdz 10 minūšu laikā. Pacienti nedrīkst tableti norīt vai lietot ēdienu vai dzērienu, kamēr tablete nav pilnīgi izšķīdusi.</w:t>
      </w:r>
    </w:p>
    <w:p w14:paraId="30CFC750" w14:textId="77777777" w:rsidR="009F63E9" w:rsidRPr="0059231D" w:rsidRDefault="009F63E9" w:rsidP="0085436C">
      <w:pPr>
        <w:spacing w:line="240" w:lineRule="auto"/>
        <w:jc w:val="both"/>
        <w:rPr>
          <w:color w:val="000000"/>
          <w:szCs w:val="22"/>
        </w:rPr>
      </w:pPr>
    </w:p>
    <w:p w14:paraId="2E1E1C95" w14:textId="77777777" w:rsidR="009F63E9" w:rsidRPr="0059231D" w:rsidRDefault="009F63E9" w:rsidP="0085436C">
      <w:pPr>
        <w:spacing w:line="240" w:lineRule="auto"/>
        <w:jc w:val="both"/>
        <w:rPr>
          <w:color w:val="000000"/>
          <w:szCs w:val="22"/>
          <w:lang w:eastAsia="en-GB"/>
        </w:rPr>
      </w:pPr>
      <w:r w:rsidRPr="0059231D">
        <w:rPr>
          <w:color w:val="000000"/>
          <w:szCs w:val="22"/>
        </w:rPr>
        <w:t>Devu veido vairākās dažāda stipruma Subutex tabletes, kuras var lietot zem mēles vienā reizē vai divās dalītās daļās; otra daļa jālieto zem mēles tūlīt pēc pirmās daļas izšķīšanas. Specifiskus norādījumus par devām terapijas sākumā, panākot stabilizāciju un uzturošai terapijai, lūdzu, skatīt ap</w:t>
      </w:r>
      <w:r w:rsidR="00124551">
        <w:rPr>
          <w:color w:val="000000"/>
          <w:szCs w:val="22"/>
        </w:rPr>
        <w:t>a</w:t>
      </w:r>
      <w:r w:rsidRPr="0059231D">
        <w:rPr>
          <w:color w:val="000000"/>
          <w:szCs w:val="22"/>
        </w:rPr>
        <w:t>kšpunktos „</w:t>
      </w:r>
      <w:r w:rsidRPr="0059231D">
        <w:rPr>
          <w:i/>
          <w:iCs/>
          <w:color w:val="000000"/>
          <w:szCs w:val="22"/>
          <w:lang w:eastAsia="en-GB"/>
        </w:rPr>
        <w:t>Terapijas uzsākšana</w:t>
      </w:r>
      <w:r w:rsidRPr="0059231D">
        <w:rPr>
          <w:color w:val="000000"/>
          <w:szCs w:val="22"/>
        </w:rPr>
        <w:t>” un „</w:t>
      </w:r>
      <w:r w:rsidRPr="0059231D">
        <w:rPr>
          <w:i/>
          <w:iCs/>
          <w:color w:val="000000"/>
          <w:szCs w:val="22"/>
          <w:lang w:eastAsia="en-GB"/>
        </w:rPr>
        <w:t>Devas pielāgošana un uzturošā terapija</w:t>
      </w:r>
      <w:r w:rsidRPr="0059231D">
        <w:rPr>
          <w:color w:val="000000"/>
          <w:szCs w:val="22"/>
        </w:rPr>
        <w:t>”.</w:t>
      </w:r>
    </w:p>
    <w:p w14:paraId="543B55C5" w14:textId="77777777" w:rsidR="0097548A" w:rsidRPr="0059231D" w:rsidRDefault="0097548A" w:rsidP="0085436C">
      <w:pPr>
        <w:tabs>
          <w:tab w:val="clear" w:pos="567"/>
        </w:tabs>
        <w:spacing w:line="240" w:lineRule="auto"/>
        <w:jc w:val="both"/>
        <w:rPr>
          <w:b/>
          <w:color w:val="000000"/>
          <w:szCs w:val="22"/>
        </w:rPr>
      </w:pPr>
    </w:p>
    <w:p w14:paraId="03565803"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4.3</w:t>
      </w:r>
      <w:r w:rsidR="004D591D" w:rsidRPr="0059231D">
        <w:rPr>
          <w:b/>
          <w:color w:val="000000"/>
          <w:szCs w:val="22"/>
        </w:rPr>
        <w:t>.</w:t>
      </w:r>
      <w:r w:rsidRPr="0059231D">
        <w:rPr>
          <w:b/>
          <w:color w:val="000000"/>
          <w:szCs w:val="22"/>
        </w:rPr>
        <w:tab/>
        <w:t>Kontrindikācijas</w:t>
      </w:r>
    </w:p>
    <w:p w14:paraId="227B1EB8" w14:textId="77777777" w:rsidR="00AC07BB" w:rsidRPr="0059231D" w:rsidRDefault="00AC07BB" w:rsidP="0085436C">
      <w:pPr>
        <w:tabs>
          <w:tab w:val="clear" w:pos="567"/>
          <w:tab w:val="left" w:pos="709"/>
        </w:tabs>
        <w:spacing w:line="240" w:lineRule="auto"/>
        <w:jc w:val="both"/>
        <w:rPr>
          <w:color w:val="000000"/>
          <w:szCs w:val="22"/>
        </w:rPr>
      </w:pPr>
    </w:p>
    <w:p w14:paraId="68563216" w14:textId="0553989A" w:rsidR="003F45AD" w:rsidRPr="0059231D" w:rsidRDefault="00CD10AA" w:rsidP="0085436C">
      <w:pPr>
        <w:numPr>
          <w:ilvl w:val="0"/>
          <w:numId w:val="29"/>
        </w:numPr>
        <w:tabs>
          <w:tab w:val="clear" w:pos="567"/>
          <w:tab w:val="left" w:pos="709"/>
        </w:tabs>
        <w:spacing w:line="240" w:lineRule="auto"/>
        <w:jc w:val="both"/>
        <w:rPr>
          <w:color w:val="000000"/>
          <w:szCs w:val="22"/>
        </w:rPr>
      </w:pPr>
      <w:r w:rsidRPr="0059231D">
        <w:rPr>
          <w:color w:val="000000"/>
          <w:szCs w:val="22"/>
        </w:rPr>
        <w:t xml:space="preserve">Paaugstināta jutība pret </w:t>
      </w:r>
      <w:r w:rsidR="004537F8" w:rsidRPr="0059231D">
        <w:rPr>
          <w:color w:val="000000"/>
          <w:szCs w:val="22"/>
        </w:rPr>
        <w:t>buprenorfīnu</w:t>
      </w:r>
      <w:r w:rsidRPr="0059231D">
        <w:rPr>
          <w:color w:val="000000"/>
          <w:szCs w:val="22"/>
        </w:rPr>
        <w:t xml:space="preserve"> vai jebkuru no </w:t>
      </w:r>
      <w:r w:rsidR="00C55D3E" w:rsidRPr="00402556">
        <w:rPr>
          <w:color w:val="000000"/>
          <w:szCs w:val="22"/>
        </w:rPr>
        <w:t xml:space="preserve">6.1. apakšpunktā uzskaitītajām </w:t>
      </w:r>
      <w:r w:rsidRPr="0059231D">
        <w:rPr>
          <w:color w:val="000000"/>
          <w:szCs w:val="22"/>
        </w:rPr>
        <w:t>palīgvielām</w:t>
      </w:r>
      <w:r w:rsidR="003F45AD" w:rsidRPr="0059231D">
        <w:rPr>
          <w:color w:val="000000"/>
          <w:szCs w:val="22"/>
        </w:rPr>
        <w:t>.</w:t>
      </w:r>
    </w:p>
    <w:p w14:paraId="4DCC6D81" w14:textId="77777777" w:rsidR="004537F8" w:rsidRPr="0059231D" w:rsidRDefault="004537F8" w:rsidP="0085436C">
      <w:pPr>
        <w:pStyle w:val="BodyTextIndent"/>
        <w:numPr>
          <w:ilvl w:val="0"/>
          <w:numId w:val="29"/>
        </w:numPr>
        <w:tabs>
          <w:tab w:val="left" w:pos="709"/>
        </w:tabs>
        <w:jc w:val="both"/>
        <w:rPr>
          <w:b w:val="0"/>
          <w:color w:val="000000"/>
          <w:lang w:val="lv-LV"/>
        </w:rPr>
      </w:pPr>
      <w:r w:rsidRPr="0059231D">
        <w:rPr>
          <w:b w:val="0"/>
          <w:color w:val="000000"/>
          <w:lang w:val="lv-LV"/>
        </w:rPr>
        <w:t>Bērniem līdz 15 gadu vecumam.</w:t>
      </w:r>
    </w:p>
    <w:p w14:paraId="3691BCD7" w14:textId="77777777" w:rsidR="004537F8" w:rsidRPr="0059231D" w:rsidRDefault="004537F8" w:rsidP="0085436C">
      <w:pPr>
        <w:pStyle w:val="BodyTextIndent"/>
        <w:numPr>
          <w:ilvl w:val="0"/>
          <w:numId w:val="29"/>
        </w:numPr>
        <w:tabs>
          <w:tab w:val="left" w:pos="709"/>
        </w:tabs>
        <w:jc w:val="both"/>
        <w:rPr>
          <w:b w:val="0"/>
          <w:color w:val="000000"/>
          <w:lang w:val="lv-LV"/>
        </w:rPr>
      </w:pPr>
      <w:r w:rsidRPr="0059231D">
        <w:rPr>
          <w:b w:val="0"/>
          <w:color w:val="000000"/>
          <w:lang w:val="lv-LV"/>
        </w:rPr>
        <w:t>Smaga elpošanas mazspēja.</w:t>
      </w:r>
    </w:p>
    <w:p w14:paraId="100648D1" w14:textId="77777777" w:rsidR="004537F8" w:rsidRPr="0059231D" w:rsidRDefault="004537F8" w:rsidP="0085436C">
      <w:pPr>
        <w:pStyle w:val="BodyTextIndent"/>
        <w:numPr>
          <w:ilvl w:val="0"/>
          <w:numId w:val="29"/>
        </w:numPr>
        <w:tabs>
          <w:tab w:val="left" w:pos="709"/>
        </w:tabs>
        <w:jc w:val="both"/>
        <w:rPr>
          <w:b w:val="0"/>
          <w:color w:val="000000"/>
          <w:lang w:val="lv-LV"/>
        </w:rPr>
      </w:pPr>
      <w:r w:rsidRPr="0059231D">
        <w:rPr>
          <w:b w:val="0"/>
          <w:color w:val="000000"/>
          <w:lang w:val="lv-LV"/>
        </w:rPr>
        <w:t>Smaga aknu mazspēja.</w:t>
      </w:r>
    </w:p>
    <w:p w14:paraId="5C24430E" w14:textId="77777777" w:rsidR="004537F8" w:rsidRPr="0059231D" w:rsidRDefault="004537F8" w:rsidP="0085436C">
      <w:pPr>
        <w:pStyle w:val="BodyTextIndent"/>
        <w:numPr>
          <w:ilvl w:val="0"/>
          <w:numId w:val="29"/>
        </w:numPr>
        <w:tabs>
          <w:tab w:val="left" w:pos="709"/>
        </w:tabs>
        <w:jc w:val="both"/>
        <w:rPr>
          <w:b w:val="0"/>
          <w:color w:val="000000"/>
          <w:lang w:val="lv-LV"/>
        </w:rPr>
      </w:pPr>
      <w:r w:rsidRPr="0059231D">
        <w:rPr>
          <w:b w:val="0"/>
          <w:color w:val="000000"/>
          <w:lang w:val="lv-LV"/>
        </w:rPr>
        <w:t xml:space="preserve">Akūts alkoholisms vai </w:t>
      </w:r>
      <w:r w:rsidRPr="0059231D">
        <w:rPr>
          <w:b w:val="0"/>
          <w:i/>
          <w:iCs/>
          <w:color w:val="000000"/>
          <w:lang w:val="lv-LV"/>
        </w:rPr>
        <w:t>delirium tremens</w:t>
      </w:r>
      <w:r w:rsidRPr="0059231D">
        <w:rPr>
          <w:b w:val="0"/>
          <w:color w:val="000000"/>
          <w:lang w:val="lv-LV"/>
        </w:rPr>
        <w:t>.</w:t>
      </w:r>
    </w:p>
    <w:p w14:paraId="762D54B6" w14:textId="77777777" w:rsidR="004537F8" w:rsidRPr="0059231D" w:rsidRDefault="004537F8" w:rsidP="0085436C">
      <w:pPr>
        <w:pStyle w:val="BodyTextIndent"/>
        <w:numPr>
          <w:ilvl w:val="0"/>
          <w:numId w:val="29"/>
        </w:numPr>
        <w:tabs>
          <w:tab w:val="left" w:pos="709"/>
        </w:tabs>
        <w:jc w:val="both"/>
        <w:rPr>
          <w:b w:val="0"/>
          <w:color w:val="000000"/>
          <w:lang w:val="lv-LV"/>
        </w:rPr>
      </w:pPr>
      <w:r w:rsidRPr="0059231D">
        <w:rPr>
          <w:b w:val="0"/>
          <w:color w:val="000000"/>
          <w:lang w:val="lv-LV"/>
        </w:rPr>
        <w:t>Vienlaicīgi ar metadonu, III klases opioīdajiem pretsāpju līdzekļiem, naltreksonu, nalmefēnu (skatīt 4.5. apakšpunktu).</w:t>
      </w:r>
    </w:p>
    <w:p w14:paraId="4417C826" w14:textId="77777777" w:rsidR="00CD10AA" w:rsidRPr="0059231D" w:rsidRDefault="00CD10AA" w:rsidP="0085436C">
      <w:pPr>
        <w:tabs>
          <w:tab w:val="clear" w:pos="567"/>
        </w:tabs>
        <w:spacing w:line="240" w:lineRule="auto"/>
        <w:jc w:val="both"/>
        <w:rPr>
          <w:color w:val="000000"/>
          <w:szCs w:val="22"/>
        </w:rPr>
      </w:pPr>
    </w:p>
    <w:p w14:paraId="5F66215C"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4.4</w:t>
      </w:r>
      <w:r w:rsidR="004D591D" w:rsidRPr="0059231D">
        <w:rPr>
          <w:b/>
          <w:color w:val="000000"/>
          <w:szCs w:val="22"/>
        </w:rPr>
        <w:t>.</w:t>
      </w:r>
      <w:r w:rsidRPr="0059231D">
        <w:rPr>
          <w:b/>
          <w:color w:val="000000"/>
          <w:szCs w:val="22"/>
        </w:rPr>
        <w:tab/>
        <w:t>Īpaši brīdinājumi un piesardzība lietošanā</w:t>
      </w:r>
    </w:p>
    <w:p w14:paraId="6C1AB22B" w14:textId="77777777" w:rsidR="00AC07BB" w:rsidRPr="0059231D" w:rsidRDefault="00AC07BB" w:rsidP="0085436C">
      <w:pPr>
        <w:tabs>
          <w:tab w:val="clear" w:pos="567"/>
        </w:tabs>
        <w:autoSpaceDE w:val="0"/>
        <w:autoSpaceDN w:val="0"/>
        <w:adjustRightInd w:val="0"/>
        <w:spacing w:line="240" w:lineRule="auto"/>
        <w:jc w:val="both"/>
        <w:rPr>
          <w:color w:val="000000"/>
          <w:szCs w:val="22"/>
          <w:lang w:eastAsia="en-GB"/>
        </w:rPr>
      </w:pPr>
    </w:p>
    <w:p w14:paraId="5731FD1A" w14:textId="77777777" w:rsidR="005935FB" w:rsidRPr="0059231D" w:rsidRDefault="005935FB"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Šīs zāles ieteicams lietot tikai nopietnas opioīdu atkarības ārstēšanai.</w:t>
      </w:r>
    </w:p>
    <w:p w14:paraId="33C7B46C" w14:textId="77777777" w:rsidR="005935FB" w:rsidRPr="0059231D" w:rsidRDefault="005935FB" w:rsidP="0085436C">
      <w:pPr>
        <w:tabs>
          <w:tab w:val="clear" w:pos="567"/>
        </w:tabs>
        <w:spacing w:line="240" w:lineRule="auto"/>
        <w:jc w:val="both"/>
        <w:rPr>
          <w:color w:val="000000"/>
          <w:szCs w:val="22"/>
          <w:lang w:eastAsia="en-GB"/>
        </w:rPr>
      </w:pPr>
    </w:p>
    <w:p w14:paraId="0F61753E" w14:textId="77777777" w:rsidR="005935FB" w:rsidRPr="0059231D" w:rsidRDefault="005935FB" w:rsidP="0085436C">
      <w:pPr>
        <w:tabs>
          <w:tab w:val="clear" w:pos="567"/>
        </w:tabs>
        <w:spacing w:line="240" w:lineRule="auto"/>
        <w:jc w:val="both"/>
        <w:rPr>
          <w:color w:val="000000"/>
          <w:szCs w:val="22"/>
        </w:rPr>
      </w:pPr>
      <w:r w:rsidRPr="0059231D">
        <w:rPr>
          <w:color w:val="000000"/>
          <w:szCs w:val="22"/>
        </w:rPr>
        <w:t>Lietošana pusaudžiem: Tā kā nav pieejama informācija par pusaudžiem (vecumā no 15 – 17 gadiem), šīs vecuma grupas pacienti terapijas laikā jānovēro daudz rūpīgāk.</w:t>
      </w:r>
    </w:p>
    <w:p w14:paraId="28DB957B" w14:textId="77777777" w:rsidR="005935FB" w:rsidRPr="0059231D" w:rsidRDefault="005935FB" w:rsidP="0085436C">
      <w:pPr>
        <w:tabs>
          <w:tab w:val="left" w:pos="720"/>
        </w:tabs>
        <w:spacing w:line="240" w:lineRule="auto"/>
        <w:jc w:val="both"/>
        <w:rPr>
          <w:color w:val="000000"/>
          <w:szCs w:val="22"/>
          <w:u w:val="single"/>
        </w:rPr>
      </w:pPr>
    </w:p>
    <w:p w14:paraId="0B024DE1" w14:textId="77777777" w:rsidR="005935FB" w:rsidRPr="0059231D" w:rsidRDefault="005935FB" w:rsidP="0085436C">
      <w:pPr>
        <w:tabs>
          <w:tab w:val="clear" w:pos="567"/>
        </w:tabs>
        <w:spacing w:line="240" w:lineRule="auto"/>
        <w:jc w:val="both"/>
        <w:rPr>
          <w:color w:val="000000"/>
          <w:szCs w:val="22"/>
          <w:lang w:eastAsia="en-GB"/>
        </w:rPr>
      </w:pPr>
      <w:r w:rsidRPr="0059231D">
        <w:rPr>
          <w:color w:val="000000"/>
          <w:szCs w:val="22"/>
          <w:lang w:eastAsia="en-GB"/>
        </w:rPr>
        <w:t xml:space="preserve">Ārstēšanu ieteicams nozīmēt tikai ārstam, kurš nodrošina </w:t>
      </w:r>
      <w:r w:rsidR="00AA411B" w:rsidRPr="0059231D">
        <w:rPr>
          <w:color w:val="000000"/>
          <w:szCs w:val="22"/>
          <w:lang w:eastAsia="en-GB"/>
        </w:rPr>
        <w:t xml:space="preserve">pacientu ar atkarību no opioīdiem </w:t>
      </w:r>
      <w:r w:rsidR="007B120A" w:rsidRPr="0059231D">
        <w:rPr>
          <w:color w:val="000000"/>
          <w:szCs w:val="22"/>
          <w:lang w:eastAsia="en-GB"/>
        </w:rPr>
        <w:t>visaptverošu</w:t>
      </w:r>
      <w:r w:rsidRPr="0059231D">
        <w:rPr>
          <w:color w:val="000000"/>
          <w:szCs w:val="22"/>
          <w:lang w:eastAsia="en-GB"/>
        </w:rPr>
        <w:t xml:space="preserve"> uzraudzību.</w:t>
      </w:r>
    </w:p>
    <w:p w14:paraId="72725B12" w14:textId="77777777" w:rsidR="005935FB" w:rsidRPr="0059231D" w:rsidRDefault="005935FB" w:rsidP="0085436C">
      <w:pPr>
        <w:tabs>
          <w:tab w:val="left" w:pos="720"/>
        </w:tabs>
        <w:spacing w:line="240" w:lineRule="auto"/>
        <w:jc w:val="both"/>
        <w:rPr>
          <w:color w:val="000000"/>
          <w:szCs w:val="22"/>
          <w:u w:val="single"/>
        </w:rPr>
      </w:pPr>
    </w:p>
    <w:p w14:paraId="281CB36F" w14:textId="77777777" w:rsidR="005935FB" w:rsidRPr="00012FAC" w:rsidRDefault="005935FB" w:rsidP="0085436C">
      <w:pPr>
        <w:tabs>
          <w:tab w:val="left" w:pos="720"/>
        </w:tabs>
        <w:spacing w:line="240" w:lineRule="auto"/>
        <w:jc w:val="both"/>
        <w:rPr>
          <w:color w:val="000000"/>
          <w:szCs w:val="22"/>
          <w:u w:val="single"/>
        </w:rPr>
      </w:pPr>
      <w:r w:rsidRPr="00012FAC">
        <w:rPr>
          <w:color w:val="000000"/>
          <w:szCs w:val="22"/>
          <w:u w:val="single"/>
        </w:rPr>
        <w:t>Nepareiza, ļaunprātīga un kļūdaina zāļu lietošana</w:t>
      </w:r>
    </w:p>
    <w:p w14:paraId="701C6065" w14:textId="77777777" w:rsidR="005935FB" w:rsidRPr="0059231D" w:rsidRDefault="005935FB" w:rsidP="0085436C">
      <w:pPr>
        <w:tabs>
          <w:tab w:val="left" w:pos="720"/>
        </w:tabs>
        <w:spacing w:line="240" w:lineRule="auto"/>
        <w:jc w:val="both"/>
        <w:rPr>
          <w:color w:val="000000"/>
          <w:szCs w:val="22"/>
        </w:rPr>
      </w:pPr>
      <w:r w:rsidRPr="0059231D">
        <w:rPr>
          <w:color w:val="000000"/>
          <w:szCs w:val="22"/>
        </w:rPr>
        <w:t>Buprenorfīnu var lietot nepareizi vai ļaunprātīgi tāpat kā citus opioīdus - legālos vai nelegālos. Daži no nepareizas vai ļaunprātīgas lietošanas riskiem ietver pārdozēšanu, ar asinīm pārnēsājamu vīrusu vai lokalizētu un sistēmisku infekciju izplatīšanos, elpošanas nomākumu un aknu bojājumu. Ja buprenorfīnu nepareizi lieto persona, kurai tas nav paredzēts, rodas papildu risks, ka buprenorfīnu kā primāro ļaunprātīgas lietošanas narkotiku lietos jauni no narkotikām atkarīgi indivīdi, kas var notikt, ja šīs zāles nelegālai lietošanai izplata pacients, kuram tās paredzētas, vai arī šīs zāles netiek pasargātas no nozagšanas.</w:t>
      </w:r>
    </w:p>
    <w:p w14:paraId="0BAAEFF1" w14:textId="77777777" w:rsidR="005935FB" w:rsidRPr="0059231D" w:rsidRDefault="005935FB" w:rsidP="0085436C">
      <w:pPr>
        <w:tabs>
          <w:tab w:val="left" w:pos="720"/>
        </w:tabs>
        <w:spacing w:line="240" w:lineRule="auto"/>
        <w:jc w:val="both"/>
        <w:rPr>
          <w:color w:val="000000"/>
          <w:szCs w:val="22"/>
        </w:rPr>
      </w:pPr>
    </w:p>
    <w:p w14:paraId="37C39DBC" w14:textId="77777777" w:rsidR="005935FB" w:rsidRPr="0059231D" w:rsidRDefault="005935FB" w:rsidP="0085436C">
      <w:pPr>
        <w:spacing w:line="240" w:lineRule="auto"/>
        <w:jc w:val="both"/>
        <w:rPr>
          <w:color w:val="000000"/>
          <w:szCs w:val="22"/>
        </w:rPr>
      </w:pPr>
      <w:r w:rsidRPr="0059231D">
        <w:rPr>
          <w:color w:val="000000"/>
          <w:szCs w:val="22"/>
        </w:rPr>
        <w:t>Ārstēšana ar mazāk nekā optimālu buprenorfīna devu var mudināt pacientu nepareizi lietot zāles, kas noved pie pārdozēšanas vai izstāšanās no ārstēšanas. Pacients, kurš saņem nepietiekamu buprenorfīna devu, var turpināt reaģēt uz nekontrolētajiem abstinences simptomiem, pašārstējoties ar opioīdiem, alkoholu vai citiem sedatīvi-hipnotiskiem līdzekļiem, piemēram, benzodiazepīniem.</w:t>
      </w:r>
    </w:p>
    <w:p w14:paraId="6686FD13" w14:textId="77777777" w:rsidR="005935FB" w:rsidRPr="0059231D" w:rsidRDefault="005935FB" w:rsidP="0085436C">
      <w:pPr>
        <w:tabs>
          <w:tab w:val="left" w:pos="720"/>
        </w:tabs>
        <w:spacing w:line="240" w:lineRule="auto"/>
        <w:jc w:val="both"/>
        <w:rPr>
          <w:color w:val="000000"/>
          <w:szCs w:val="22"/>
        </w:rPr>
      </w:pPr>
    </w:p>
    <w:p w14:paraId="63A7C28D" w14:textId="77777777" w:rsidR="005935FB" w:rsidRPr="001D59DA" w:rsidRDefault="005935FB" w:rsidP="001D59DA">
      <w:pPr>
        <w:tabs>
          <w:tab w:val="left" w:pos="720"/>
        </w:tabs>
        <w:spacing w:line="240" w:lineRule="auto"/>
        <w:jc w:val="both"/>
        <w:rPr>
          <w:color w:val="000000"/>
          <w:szCs w:val="22"/>
        </w:rPr>
      </w:pPr>
      <w:r w:rsidRPr="0059231D">
        <w:rPr>
          <w:color w:val="000000"/>
          <w:szCs w:val="22"/>
        </w:rPr>
        <w:t xml:space="preserve">Lai samazinātu nepareizas, ļaunprātīgas un kļūdainas zāļu lietošanas risku, ārstiem ir jābūt pienācīgi </w:t>
      </w:r>
      <w:r w:rsidRPr="001D59DA">
        <w:rPr>
          <w:color w:val="000000"/>
          <w:szCs w:val="22"/>
        </w:rPr>
        <w:t>piesardzīgiem, nozīmējot un izsniedzot buprenorfīnu, piemēram, izvairoties parakstīt lielāku zāļu daudzumu ārstēšanas sākumā un veicot pacienta vajadzībām piemērotu klīnisko uzraudzību pārbaudes vizītēs.</w:t>
      </w:r>
    </w:p>
    <w:p w14:paraId="35DF96B5" w14:textId="2F9FE072" w:rsidR="005935FB" w:rsidRPr="00B60621" w:rsidRDefault="005935FB" w:rsidP="001D59DA">
      <w:pPr>
        <w:spacing w:line="240" w:lineRule="auto"/>
        <w:jc w:val="both"/>
        <w:rPr>
          <w:color w:val="000000"/>
          <w:szCs w:val="22"/>
        </w:rPr>
      </w:pPr>
    </w:p>
    <w:p w14:paraId="6F74AF08" w14:textId="77777777" w:rsidR="001D59DA" w:rsidRPr="001D59DA" w:rsidRDefault="001D59DA" w:rsidP="001D59DA">
      <w:pPr>
        <w:spacing w:line="240" w:lineRule="auto"/>
        <w:rPr>
          <w:szCs w:val="22"/>
          <w:u w:val="single"/>
        </w:rPr>
      </w:pPr>
      <w:r w:rsidRPr="001D59DA">
        <w:rPr>
          <w:szCs w:val="22"/>
          <w:u w:val="single"/>
        </w:rPr>
        <w:t>Ar miegu saistīti elpošanas traucējumi</w:t>
      </w:r>
    </w:p>
    <w:p w14:paraId="6A6BA5BD" w14:textId="77777777" w:rsidR="001D59DA" w:rsidRPr="001D59DA" w:rsidRDefault="001D59DA" w:rsidP="001D59DA">
      <w:pPr>
        <w:tabs>
          <w:tab w:val="left" w:pos="284"/>
        </w:tabs>
        <w:spacing w:line="240" w:lineRule="auto"/>
        <w:jc w:val="both"/>
        <w:rPr>
          <w:szCs w:val="22"/>
        </w:rPr>
      </w:pPr>
      <w:r w:rsidRPr="001D59DA">
        <w:rPr>
          <w:szCs w:val="22"/>
        </w:rPr>
        <w:t>Opioīdi var izraisīt ar miegu saistītus elpošanas traucējumus, ieskaitot centrālo miega apnoju (CMA) un ar miegu saistītu hipoksēmiju. Opioīdu lietošana palielina CMA rašanās risku atkarībā no devas. Apsveriet iespēju CMA pacientiem samazināt kopējo opioīdu devu.</w:t>
      </w:r>
    </w:p>
    <w:p w14:paraId="23723554" w14:textId="77777777" w:rsidR="001D59DA" w:rsidRPr="001D59DA" w:rsidRDefault="001D59DA" w:rsidP="001D59DA">
      <w:pPr>
        <w:spacing w:line="240" w:lineRule="auto"/>
        <w:jc w:val="both"/>
        <w:rPr>
          <w:color w:val="000000"/>
          <w:szCs w:val="22"/>
        </w:rPr>
      </w:pPr>
    </w:p>
    <w:p w14:paraId="5DA55E6A" w14:textId="77777777" w:rsidR="005935FB" w:rsidRPr="001D59DA" w:rsidRDefault="005935FB" w:rsidP="001D59DA">
      <w:pPr>
        <w:pStyle w:val="BodyTextIndent"/>
        <w:ind w:left="0" w:firstLine="0"/>
        <w:jc w:val="both"/>
        <w:rPr>
          <w:rFonts w:cs="Times New Roman"/>
          <w:b w:val="0"/>
          <w:bCs w:val="0"/>
          <w:color w:val="000000"/>
          <w:u w:val="single"/>
          <w:lang w:val="lv-LV"/>
        </w:rPr>
      </w:pPr>
      <w:r w:rsidRPr="001D59DA">
        <w:rPr>
          <w:rFonts w:cs="Times New Roman"/>
          <w:b w:val="0"/>
          <w:bCs w:val="0"/>
          <w:color w:val="000000"/>
          <w:u w:val="single"/>
          <w:lang w:val="lv-LV"/>
        </w:rPr>
        <w:t>Elpošanas nomākums</w:t>
      </w:r>
    </w:p>
    <w:p w14:paraId="2C23FF58" w14:textId="77777777" w:rsidR="005935FB" w:rsidRPr="0059231D" w:rsidRDefault="005935FB" w:rsidP="00B60621">
      <w:pPr>
        <w:pStyle w:val="BodyTextIndent"/>
        <w:ind w:left="0" w:firstLine="0"/>
        <w:jc w:val="both"/>
        <w:rPr>
          <w:b w:val="0"/>
          <w:color w:val="000000"/>
          <w:lang w:val="lv-LV"/>
        </w:rPr>
      </w:pPr>
      <w:r w:rsidRPr="00B60621">
        <w:rPr>
          <w:rFonts w:cs="Times New Roman"/>
          <w:b w:val="0"/>
          <w:color w:val="000000"/>
          <w:lang w:val="lv-LV"/>
        </w:rPr>
        <w:t>Ziņots par vairākiem nāves gadījumiem elpošanas nomākuma dēļ, it īpaši, ja buprenorfīns lietots kombinācijā ar benzodiazepīniem (skatīt 4.5. apakšpunktu) vai arī buprenorfīns nav lietots saskaņā ar</w:t>
      </w:r>
      <w:r w:rsidRPr="0059231D">
        <w:rPr>
          <w:b w:val="0"/>
          <w:color w:val="000000"/>
          <w:lang w:val="lv-LV"/>
        </w:rPr>
        <w:t xml:space="preserve"> ārsta norādījumiem. Ir ziņojumi arī par nāves gadījumiem saist</w:t>
      </w:r>
      <w:smartTag w:uri="urn:schemas-microsoft-com:office:smarttags" w:element="PersonName">
        <w:r w:rsidRPr="0059231D">
          <w:rPr>
            <w:b w:val="0"/>
            <w:color w:val="000000"/>
            <w:lang w:val="lv-LV"/>
          </w:rPr>
          <w:t>ībā</w:t>
        </w:r>
      </w:smartTag>
      <w:r w:rsidRPr="0059231D">
        <w:rPr>
          <w:b w:val="0"/>
          <w:color w:val="000000"/>
          <w:lang w:val="lv-LV"/>
        </w:rPr>
        <w:t xml:space="preserve"> ar vienlaicīgu buprenorfīna lietoš</w:t>
      </w:r>
      <w:smartTag w:uri="urn:schemas-microsoft-com:office:smarttags" w:element="PersonName">
        <w:r w:rsidRPr="0059231D">
          <w:rPr>
            <w:b w:val="0"/>
            <w:color w:val="000000"/>
            <w:lang w:val="lv-LV"/>
          </w:rPr>
          <w:t>anu</w:t>
        </w:r>
      </w:smartTag>
      <w:r w:rsidRPr="0059231D">
        <w:rPr>
          <w:b w:val="0"/>
          <w:color w:val="000000"/>
          <w:lang w:val="lv-LV"/>
        </w:rPr>
        <w:t xml:space="preserve"> kopā ar citiem depresantiem, piemēram, alkoholu vai citiem opioīdiem. Ja buprenorfīnu lieto persona, kura nav atkarīga no opioīdiem un kura nevar izturēt opioīdu ietekmi, var rasties iespējami letāls elpošanas nomākums.</w:t>
      </w:r>
    </w:p>
    <w:p w14:paraId="7C07AFF4" w14:textId="77777777" w:rsidR="005935FB" w:rsidRPr="0059231D" w:rsidRDefault="005935FB" w:rsidP="0085436C">
      <w:pPr>
        <w:autoSpaceDE w:val="0"/>
        <w:autoSpaceDN w:val="0"/>
        <w:adjustRightInd w:val="0"/>
        <w:spacing w:line="240" w:lineRule="auto"/>
        <w:jc w:val="both"/>
        <w:rPr>
          <w:color w:val="000000"/>
          <w:szCs w:val="22"/>
        </w:rPr>
      </w:pPr>
      <w:r w:rsidRPr="0059231D">
        <w:rPr>
          <w:color w:val="000000"/>
          <w:szCs w:val="22"/>
        </w:rPr>
        <w:t>Šīs zāles jālieto uzmanīgi pacientiem ar astmu vai elpošanas mazspēju (piemēram, hronisku obstruktīvu plaušu slimību, plaušu sirdi, samazinātām elpošanas rezervēm, hipoksiju, hiperkapniju, elpošanas nomākumu anamnēzē vai kifoskoliozi (mugurkaula izliekums, kas var izraisīt elpas trūkumu)).</w:t>
      </w:r>
    </w:p>
    <w:p w14:paraId="4DF60D70" w14:textId="77777777" w:rsidR="005935FB" w:rsidRPr="0059231D" w:rsidRDefault="005935FB" w:rsidP="0085436C">
      <w:pPr>
        <w:autoSpaceDE w:val="0"/>
        <w:autoSpaceDN w:val="0"/>
        <w:adjustRightInd w:val="0"/>
        <w:spacing w:line="240" w:lineRule="auto"/>
        <w:jc w:val="both"/>
        <w:rPr>
          <w:color w:val="000000"/>
          <w:szCs w:val="22"/>
        </w:rPr>
      </w:pPr>
      <w:r w:rsidRPr="0059231D">
        <w:rPr>
          <w:color w:val="000000"/>
          <w:szCs w:val="22"/>
        </w:rPr>
        <w:t>Pacienti ar iepriekš minētajiem fiziskajiem un/vai farmakoloģiskajiem riska faktoriem jānovēro, un var apsvērt nepieciešamību samazināt devu.</w:t>
      </w:r>
    </w:p>
    <w:p w14:paraId="736E6DCE" w14:textId="77777777" w:rsidR="005935FB" w:rsidRPr="0059231D" w:rsidRDefault="005935FB" w:rsidP="0085436C">
      <w:pPr>
        <w:autoSpaceDE w:val="0"/>
        <w:autoSpaceDN w:val="0"/>
        <w:adjustRightInd w:val="0"/>
        <w:spacing w:line="240" w:lineRule="auto"/>
        <w:jc w:val="both"/>
        <w:rPr>
          <w:color w:val="000000"/>
          <w:szCs w:val="22"/>
        </w:rPr>
      </w:pPr>
      <w:r w:rsidRPr="0059231D">
        <w:rPr>
          <w:color w:val="000000"/>
          <w:szCs w:val="22"/>
        </w:rPr>
        <w:t>Buprenorfīns</w:t>
      </w:r>
      <w:r w:rsidRPr="0059231D">
        <w:rPr>
          <w:i/>
          <w:iCs/>
          <w:color w:val="000000"/>
          <w:szCs w:val="22"/>
        </w:rPr>
        <w:t xml:space="preserve"> </w:t>
      </w:r>
      <w:r w:rsidRPr="0059231D">
        <w:rPr>
          <w:color w:val="000000"/>
          <w:szCs w:val="22"/>
        </w:rPr>
        <w:t>var izraisīt smagu, iespējami letālu elpošanas nomākumu bērniem un cilvēkiem, kuri nav atkarīgi, ja tas netīšām vai apzināti tiek norīts. Pacienti jābrīdina, ka blisters droši jāglabā, to nekādā gadījumā nedrīkst atvērt iepriekš, tas jātur bērniem un citiem ģimenes locekļiem nepieejamā vietā, kā arī šīs zāles nedrīkst lietot bērnu klātbūtnē. Ja notiek netīša norīšana vai ir aizdomas par to, nekavējoties jāsazinās ar neatliekamās palīdzības dienestu.</w:t>
      </w:r>
    </w:p>
    <w:p w14:paraId="6E777C28" w14:textId="77777777" w:rsidR="005935FB" w:rsidRPr="0059231D" w:rsidRDefault="005935FB" w:rsidP="0085436C">
      <w:pPr>
        <w:autoSpaceDE w:val="0"/>
        <w:autoSpaceDN w:val="0"/>
        <w:adjustRightInd w:val="0"/>
        <w:spacing w:line="240" w:lineRule="auto"/>
        <w:jc w:val="both"/>
        <w:rPr>
          <w:color w:val="000000"/>
          <w:szCs w:val="22"/>
        </w:rPr>
      </w:pPr>
    </w:p>
    <w:p w14:paraId="78E30257" w14:textId="77777777" w:rsidR="005935FB" w:rsidRPr="00012FAC" w:rsidRDefault="005935FB" w:rsidP="0085436C">
      <w:pPr>
        <w:tabs>
          <w:tab w:val="left" w:pos="720"/>
        </w:tabs>
        <w:spacing w:line="240" w:lineRule="auto"/>
        <w:jc w:val="both"/>
        <w:rPr>
          <w:color w:val="000000"/>
          <w:szCs w:val="22"/>
          <w:u w:val="single"/>
        </w:rPr>
      </w:pPr>
      <w:r w:rsidRPr="00012FAC">
        <w:rPr>
          <w:color w:val="000000"/>
          <w:szCs w:val="22"/>
          <w:u w:val="single"/>
        </w:rPr>
        <w:t>CNS nomākums</w:t>
      </w:r>
    </w:p>
    <w:p w14:paraId="37DDAE87"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Buprenorfīns</w:t>
      </w:r>
      <w:r w:rsidRPr="0059231D">
        <w:rPr>
          <w:b w:val="0"/>
          <w:i/>
          <w:iCs/>
          <w:color w:val="000000"/>
          <w:lang w:val="lv-LV"/>
        </w:rPr>
        <w:t xml:space="preserve"> </w:t>
      </w:r>
      <w:r w:rsidRPr="0059231D">
        <w:rPr>
          <w:b w:val="0"/>
          <w:color w:val="000000"/>
          <w:lang w:val="lv-LV"/>
        </w:rPr>
        <w:t>var izraisīt miegainību, it īpaši, ja tas tiek lietots vienlaicīgi ar alkoholu vai centrālo nervu sistēmu nomācošiem līdzekļiem (piemēram, benzodiazepīniem, trankvilizatoriem, sedatīviem vai miega līdzekļiem) (skatīt 4.5. un 4.7 apakš</w:t>
      </w:r>
      <w:smartTag w:uri="urn:schemas-microsoft-com:office:smarttags" w:element="PersonName">
        <w:r w:rsidRPr="0059231D">
          <w:rPr>
            <w:b w:val="0"/>
            <w:color w:val="000000"/>
            <w:lang w:val="lv-LV"/>
          </w:rPr>
          <w:t>punktu</w:t>
        </w:r>
      </w:smartTag>
      <w:r w:rsidRPr="0059231D">
        <w:rPr>
          <w:b w:val="0"/>
          <w:color w:val="000000"/>
          <w:lang w:val="lv-LV"/>
        </w:rPr>
        <w:t>).</w:t>
      </w:r>
    </w:p>
    <w:p w14:paraId="4E7D52AD" w14:textId="77777777" w:rsidR="005935FB" w:rsidRDefault="005935FB" w:rsidP="0085436C">
      <w:pPr>
        <w:tabs>
          <w:tab w:val="left" w:pos="720"/>
        </w:tabs>
        <w:spacing w:line="240" w:lineRule="auto"/>
        <w:jc w:val="both"/>
        <w:rPr>
          <w:color w:val="000000"/>
          <w:szCs w:val="22"/>
        </w:rPr>
      </w:pPr>
    </w:p>
    <w:p w14:paraId="38D98453" w14:textId="5F46EBA4" w:rsidR="00C55D3E" w:rsidRPr="00C76452" w:rsidRDefault="00C55D3E" w:rsidP="00C55D3E">
      <w:pPr>
        <w:pStyle w:val="Default"/>
        <w:widowControl/>
        <w:jc w:val="both"/>
        <w:rPr>
          <w:sz w:val="22"/>
          <w:szCs w:val="22"/>
          <w:u w:val="single"/>
          <w:lang w:val="lv-LV"/>
        </w:rPr>
      </w:pPr>
      <w:r w:rsidRPr="00C76452">
        <w:rPr>
          <w:bCs/>
          <w:iCs/>
          <w:sz w:val="22"/>
          <w:szCs w:val="22"/>
          <w:u w:val="single"/>
          <w:lang w:val="lv-LV"/>
        </w:rPr>
        <w:t>Risks, kas saistīts ar vienlaicīgu sedatīvo līdzekļu, piemēram, benzodiazepīnu vai līdzīgu zāļu lietošanu</w:t>
      </w:r>
    </w:p>
    <w:p w14:paraId="0BB636F4" w14:textId="77777777" w:rsidR="00C55D3E" w:rsidRPr="00EF1289" w:rsidRDefault="00C55D3E" w:rsidP="00C55D3E">
      <w:pPr>
        <w:pStyle w:val="Default"/>
        <w:jc w:val="both"/>
        <w:rPr>
          <w:b/>
          <w:bCs/>
          <w:szCs w:val="22"/>
          <w:lang w:val="lv-LV"/>
        </w:rPr>
      </w:pPr>
      <w:r w:rsidRPr="00644F45">
        <w:rPr>
          <w:sz w:val="22"/>
          <w:szCs w:val="22"/>
          <w:lang w:val="lv-LV"/>
        </w:rPr>
        <w:t xml:space="preserve">Vienlaicīga </w:t>
      </w:r>
      <w:r>
        <w:rPr>
          <w:szCs w:val="22"/>
          <w:lang w:val="lv-LV"/>
        </w:rPr>
        <w:t>buprenorfīna</w:t>
      </w:r>
      <w:r w:rsidRPr="00F9476B">
        <w:rPr>
          <w:szCs w:val="22"/>
          <w:lang w:val="lv-LV"/>
        </w:rPr>
        <w:t xml:space="preserve"> </w:t>
      </w:r>
      <w:r>
        <w:rPr>
          <w:sz w:val="22"/>
          <w:szCs w:val="22"/>
          <w:lang w:val="lv-LV"/>
        </w:rPr>
        <w:t>un</w:t>
      </w:r>
      <w:r w:rsidRPr="00644F45">
        <w:rPr>
          <w:sz w:val="22"/>
          <w:szCs w:val="22"/>
          <w:lang w:val="lv-LV"/>
        </w:rPr>
        <w:t xml:space="preserve"> </w:t>
      </w:r>
      <w:r>
        <w:rPr>
          <w:sz w:val="22"/>
          <w:szCs w:val="22"/>
          <w:lang w:val="lv-LV"/>
        </w:rPr>
        <w:t xml:space="preserve">sedatīvo līdzekļu, piemēram, </w:t>
      </w:r>
      <w:r w:rsidRPr="00C76452">
        <w:rPr>
          <w:sz w:val="22"/>
          <w:szCs w:val="22"/>
          <w:lang w:val="lv-LV"/>
        </w:rPr>
        <w:t>benz</w:t>
      </w:r>
      <w:r>
        <w:rPr>
          <w:sz w:val="22"/>
          <w:szCs w:val="22"/>
          <w:lang w:val="lv-LV"/>
        </w:rPr>
        <w:t>odiazepīnu vai līdzīgu zāļu,</w:t>
      </w:r>
      <w:r w:rsidRPr="00644F45">
        <w:rPr>
          <w:sz w:val="22"/>
          <w:szCs w:val="22"/>
          <w:lang w:val="lv-LV"/>
        </w:rPr>
        <w:t xml:space="preserve"> lietošana var izraisīt sedāciju, el</w:t>
      </w:r>
      <w:r>
        <w:rPr>
          <w:sz w:val="22"/>
          <w:szCs w:val="22"/>
          <w:lang w:val="lv-LV"/>
        </w:rPr>
        <w:t>pošanas nomākumu, komu un nāvi.</w:t>
      </w:r>
      <w:r w:rsidRPr="00407055">
        <w:rPr>
          <w:sz w:val="22"/>
          <w:szCs w:val="22"/>
          <w:lang w:val="lv-LV"/>
        </w:rPr>
        <w:t xml:space="preserve"> </w:t>
      </w:r>
      <w:r w:rsidRPr="00644F45">
        <w:rPr>
          <w:sz w:val="22"/>
          <w:szCs w:val="22"/>
          <w:lang w:val="lv-LV"/>
        </w:rPr>
        <w:t xml:space="preserve">Šo risku dēļ </w:t>
      </w:r>
      <w:r w:rsidRPr="00C76452">
        <w:rPr>
          <w:sz w:val="22"/>
          <w:szCs w:val="22"/>
          <w:lang w:val="lv-LV"/>
        </w:rPr>
        <w:t xml:space="preserve">nozīmēšanu vienlaicīgi ar šiem sedatīvajiem līdzekļiem drīkst apsvērt vienīgi pacientiem, kuriem nepastāv alternatīvas terapijas iespējas. Ja tiek pieņemts lēmums nozīmēt </w:t>
      </w:r>
      <w:r>
        <w:rPr>
          <w:szCs w:val="22"/>
          <w:lang w:val="lv-LV"/>
        </w:rPr>
        <w:t>buprenorfīnu</w:t>
      </w:r>
      <w:r w:rsidRPr="00F9476B">
        <w:rPr>
          <w:szCs w:val="22"/>
          <w:lang w:val="lv-LV"/>
        </w:rPr>
        <w:t xml:space="preserve"> </w:t>
      </w:r>
      <w:r w:rsidRPr="00C76452">
        <w:rPr>
          <w:sz w:val="22"/>
          <w:szCs w:val="22"/>
          <w:lang w:val="lv-LV"/>
        </w:rPr>
        <w:t xml:space="preserve">vienlaicīgi ar sedatīvajiem līdzekļiem, jālieto mazākā efektīvā </w:t>
      </w:r>
      <w:r>
        <w:rPr>
          <w:sz w:val="22"/>
          <w:szCs w:val="22"/>
          <w:lang w:val="lv-LV"/>
        </w:rPr>
        <w:t xml:space="preserve">sedatīvo līdzekļu </w:t>
      </w:r>
      <w:r w:rsidRPr="00C76452">
        <w:rPr>
          <w:sz w:val="22"/>
          <w:szCs w:val="22"/>
          <w:lang w:val="lv-LV"/>
        </w:rPr>
        <w:t>deva un terapijas ilgumam jābūt pēc iespējas īsākam.</w:t>
      </w:r>
      <w:r>
        <w:rPr>
          <w:sz w:val="22"/>
          <w:szCs w:val="22"/>
          <w:lang w:val="lv-LV"/>
        </w:rPr>
        <w:t xml:space="preserve"> </w:t>
      </w:r>
      <w:r w:rsidRPr="00407055">
        <w:rPr>
          <w:lang w:val="lv-LV"/>
        </w:rPr>
        <w:t>Pacienti rūpīgi jānovēro attiecībā uz elpošanas nomākuma un sedācijas simptomiem un pazīmēm.</w:t>
      </w:r>
      <w:r>
        <w:rPr>
          <w:lang w:val="lv-LV"/>
        </w:rPr>
        <w:t xml:space="preserve"> </w:t>
      </w:r>
      <w:r w:rsidRPr="00EF1289">
        <w:rPr>
          <w:szCs w:val="22"/>
          <w:lang w:val="lv-LV"/>
        </w:rPr>
        <w:t>Šajā sakarā stingri ieteicams informēt pacientus un viņu tuviniekus (ja piemērojams) par šiem simptomiem (skatīt 4.5. apakšpunktu).</w:t>
      </w:r>
    </w:p>
    <w:p w14:paraId="6866D71A" w14:textId="77777777" w:rsidR="00C55D3E" w:rsidRDefault="00C55D3E" w:rsidP="00C55D3E">
      <w:pPr>
        <w:tabs>
          <w:tab w:val="left" w:pos="720"/>
        </w:tabs>
        <w:spacing w:line="240" w:lineRule="auto"/>
        <w:jc w:val="both"/>
        <w:rPr>
          <w:color w:val="000000"/>
          <w:szCs w:val="22"/>
        </w:rPr>
      </w:pPr>
    </w:p>
    <w:p w14:paraId="4C56DD95" w14:textId="77777777" w:rsidR="00C55D3E" w:rsidRPr="00F9476B" w:rsidRDefault="00C55D3E" w:rsidP="00C55D3E">
      <w:pPr>
        <w:tabs>
          <w:tab w:val="left" w:pos="720"/>
        </w:tabs>
        <w:spacing w:line="240" w:lineRule="auto"/>
        <w:jc w:val="both"/>
        <w:rPr>
          <w:color w:val="000000"/>
          <w:szCs w:val="22"/>
          <w:u w:val="single"/>
          <w:lang w:eastAsia="en-GB"/>
        </w:rPr>
      </w:pPr>
      <w:r w:rsidRPr="00F9476B">
        <w:rPr>
          <w:color w:val="000000"/>
          <w:szCs w:val="22"/>
          <w:u w:val="single"/>
          <w:lang w:eastAsia="en-GB"/>
        </w:rPr>
        <w:t>Serotonīna sindroms</w:t>
      </w:r>
    </w:p>
    <w:p w14:paraId="3B7F6E80" w14:textId="77777777" w:rsidR="00C55D3E" w:rsidRPr="00F9476B" w:rsidRDefault="00C55D3E" w:rsidP="00C55D3E">
      <w:pPr>
        <w:tabs>
          <w:tab w:val="left" w:pos="720"/>
        </w:tabs>
        <w:spacing w:line="240" w:lineRule="auto"/>
        <w:jc w:val="both"/>
        <w:rPr>
          <w:color w:val="000000"/>
          <w:szCs w:val="22"/>
          <w:lang w:eastAsia="en-GB"/>
        </w:rPr>
      </w:pPr>
      <w:r w:rsidRPr="00F9476B">
        <w:rPr>
          <w:color w:val="000000"/>
          <w:szCs w:val="22"/>
          <w:lang w:eastAsia="en-GB"/>
        </w:rPr>
        <w:t xml:space="preserve">Lietojot </w:t>
      </w:r>
      <w:r>
        <w:rPr>
          <w:color w:val="000000"/>
          <w:szCs w:val="22"/>
          <w:lang w:eastAsia="en-GB"/>
        </w:rPr>
        <w:t>Subutex</w:t>
      </w:r>
      <w:r w:rsidRPr="00F9476B">
        <w:rPr>
          <w:color w:val="000000"/>
          <w:szCs w:val="22"/>
          <w:lang w:eastAsia="en-GB"/>
        </w:rPr>
        <w:t xml:space="preserve"> vienlaicīgi ar citiem serotonerģiskiem līdzekļiem, piemēram, MAO</w:t>
      </w:r>
      <w:r>
        <w:rPr>
          <w:color w:val="000000"/>
          <w:szCs w:val="22"/>
          <w:lang w:eastAsia="en-GB"/>
        </w:rPr>
        <w:t xml:space="preserve"> </w:t>
      </w:r>
      <w:r w:rsidRPr="00F9476B">
        <w:rPr>
          <w:color w:val="000000"/>
          <w:szCs w:val="22"/>
          <w:lang w:eastAsia="en-GB"/>
        </w:rPr>
        <w:t>inhibitoriem, selektīvajiem serotonīna atpakaļsaistīšanas inhibitoriem (SSRI), serotonīna norepinefrīna</w:t>
      </w:r>
      <w:r>
        <w:rPr>
          <w:color w:val="000000"/>
          <w:szCs w:val="22"/>
          <w:lang w:eastAsia="en-GB"/>
        </w:rPr>
        <w:t xml:space="preserve"> </w:t>
      </w:r>
      <w:r w:rsidRPr="00F9476B">
        <w:rPr>
          <w:color w:val="000000"/>
          <w:szCs w:val="22"/>
          <w:lang w:eastAsia="en-GB"/>
        </w:rPr>
        <w:t>atpakaļsaistīšanas inhibitoriem (SNRI) vai tricikliskajiem antidepresantiem, var rasties serotonīna</w:t>
      </w:r>
      <w:r>
        <w:rPr>
          <w:color w:val="000000"/>
          <w:szCs w:val="22"/>
          <w:lang w:eastAsia="en-GB"/>
        </w:rPr>
        <w:t xml:space="preserve"> </w:t>
      </w:r>
      <w:r w:rsidRPr="00F9476B">
        <w:rPr>
          <w:color w:val="000000"/>
          <w:szCs w:val="22"/>
          <w:lang w:eastAsia="en-GB"/>
        </w:rPr>
        <w:t>sindroms, kas ir potenciāli dzīvībai bīstams stāvoklis (skatīt 4.5. apakšpunktu).</w:t>
      </w:r>
    </w:p>
    <w:p w14:paraId="22BF0862" w14:textId="77777777" w:rsidR="00C55D3E" w:rsidRPr="00F9476B" w:rsidRDefault="00C55D3E" w:rsidP="00C55D3E">
      <w:pPr>
        <w:tabs>
          <w:tab w:val="left" w:pos="720"/>
        </w:tabs>
        <w:spacing w:line="240" w:lineRule="auto"/>
        <w:jc w:val="both"/>
        <w:rPr>
          <w:color w:val="000000"/>
          <w:szCs w:val="22"/>
          <w:lang w:eastAsia="en-GB"/>
        </w:rPr>
      </w:pPr>
      <w:r w:rsidRPr="00F9476B">
        <w:rPr>
          <w:color w:val="000000"/>
          <w:szCs w:val="22"/>
          <w:lang w:eastAsia="en-GB"/>
        </w:rPr>
        <w:t>Ja lietošana vienlaicīgi ar citiem serotonerģiskiem līdzekļiem ir klīniski nepieciešama, ieteicams rūpīgi</w:t>
      </w:r>
      <w:r>
        <w:rPr>
          <w:color w:val="000000"/>
          <w:szCs w:val="22"/>
          <w:lang w:eastAsia="en-GB"/>
        </w:rPr>
        <w:t xml:space="preserve"> </w:t>
      </w:r>
      <w:r w:rsidRPr="00F9476B">
        <w:rPr>
          <w:color w:val="000000"/>
          <w:szCs w:val="22"/>
          <w:lang w:eastAsia="en-GB"/>
        </w:rPr>
        <w:t>novērot pacientu, it īpaši ārstēšanas sākumā un devas palielināšanas laikā.</w:t>
      </w:r>
    </w:p>
    <w:p w14:paraId="15B14FF3" w14:textId="77777777" w:rsidR="00C55D3E" w:rsidRPr="00F9476B" w:rsidRDefault="00C55D3E" w:rsidP="00C55D3E">
      <w:pPr>
        <w:tabs>
          <w:tab w:val="left" w:pos="720"/>
        </w:tabs>
        <w:spacing w:line="240" w:lineRule="auto"/>
        <w:jc w:val="both"/>
        <w:rPr>
          <w:color w:val="000000"/>
          <w:szCs w:val="22"/>
          <w:lang w:eastAsia="en-GB"/>
        </w:rPr>
      </w:pPr>
      <w:r w:rsidRPr="00F9476B">
        <w:rPr>
          <w:color w:val="000000"/>
          <w:szCs w:val="22"/>
          <w:lang w:eastAsia="en-GB"/>
        </w:rPr>
        <w:t>Serotonīna sindroma simptomi var ietvert psihiskā stāvokļa izmaiņas, veģetatīvu nestabilitāti,</w:t>
      </w:r>
      <w:r>
        <w:rPr>
          <w:color w:val="000000"/>
          <w:szCs w:val="22"/>
          <w:lang w:eastAsia="en-GB"/>
        </w:rPr>
        <w:t xml:space="preserve"> </w:t>
      </w:r>
      <w:r w:rsidRPr="00F9476B">
        <w:rPr>
          <w:color w:val="000000"/>
          <w:szCs w:val="22"/>
          <w:lang w:eastAsia="en-GB"/>
        </w:rPr>
        <w:t>neiromuskulāras patoloģijas un/vai kuņģa-zarnu trakta simptomus.</w:t>
      </w:r>
    </w:p>
    <w:p w14:paraId="4E54E788" w14:textId="77777777" w:rsidR="00C55D3E" w:rsidRPr="00F9476B" w:rsidRDefault="00C55D3E" w:rsidP="00C55D3E">
      <w:pPr>
        <w:tabs>
          <w:tab w:val="left" w:pos="720"/>
        </w:tabs>
        <w:spacing w:line="240" w:lineRule="auto"/>
        <w:jc w:val="both"/>
        <w:rPr>
          <w:color w:val="000000"/>
          <w:szCs w:val="22"/>
          <w:lang w:eastAsia="en-GB"/>
        </w:rPr>
      </w:pPr>
      <w:r w:rsidRPr="00F9476B">
        <w:rPr>
          <w:color w:val="000000"/>
          <w:szCs w:val="22"/>
          <w:lang w:eastAsia="en-GB"/>
        </w:rPr>
        <w:t>Ja ir aizdomas par serotonīna sindromu, atkarībā no simptomu smaguma pakāpes jāapsver devas</w:t>
      </w:r>
    </w:p>
    <w:p w14:paraId="2A432679" w14:textId="77777777" w:rsidR="00C55D3E" w:rsidRDefault="00C55D3E" w:rsidP="00C55D3E">
      <w:pPr>
        <w:tabs>
          <w:tab w:val="left" w:pos="720"/>
        </w:tabs>
        <w:spacing w:line="240" w:lineRule="auto"/>
        <w:jc w:val="both"/>
        <w:rPr>
          <w:color w:val="000000"/>
          <w:szCs w:val="22"/>
          <w:lang w:eastAsia="en-GB"/>
        </w:rPr>
      </w:pPr>
      <w:r w:rsidRPr="00F9476B">
        <w:rPr>
          <w:color w:val="000000"/>
          <w:szCs w:val="22"/>
          <w:lang w:eastAsia="en-GB"/>
        </w:rPr>
        <w:t>samazināšana vai terapijas pārtraukšana.</w:t>
      </w:r>
    </w:p>
    <w:p w14:paraId="6D27B02B" w14:textId="77777777" w:rsidR="00C55D3E" w:rsidRPr="0059231D" w:rsidRDefault="00C55D3E" w:rsidP="0085436C">
      <w:pPr>
        <w:tabs>
          <w:tab w:val="left" w:pos="720"/>
        </w:tabs>
        <w:spacing w:line="240" w:lineRule="auto"/>
        <w:jc w:val="both"/>
        <w:rPr>
          <w:color w:val="000000"/>
          <w:szCs w:val="22"/>
        </w:rPr>
      </w:pPr>
    </w:p>
    <w:p w14:paraId="269E5503" w14:textId="77777777" w:rsidR="005935FB" w:rsidRPr="00012FAC" w:rsidRDefault="005935FB" w:rsidP="0085436C">
      <w:pPr>
        <w:pStyle w:val="BodyTextIndent"/>
        <w:ind w:left="0" w:firstLine="0"/>
        <w:jc w:val="both"/>
        <w:rPr>
          <w:b w:val="0"/>
          <w:bCs w:val="0"/>
          <w:color w:val="000000"/>
          <w:u w:val="single"/>
          <w:lang w:val="lv-LV"/>
        </w:rPr>
      </w:pPr>
      <w:r w:rsidRPr="00012FAC">
        <w:rPr>
          <w:b w:val="0"/>
          <w:bCs w:val="0"/>
          <w:color w:val="000000"/>
          <w:u w:val="single"/>
          <w:lang w:val="lv-LV"/>
        </w:rPr>
        <w:t>Atkarība</w:t>
      </w:r>
    </w:p>
    <w:p w14:paraId="23302371"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 xml:space="preserve">Pētījumi ar dzīvniekiem un klīniskā pieredze ir pierādījusi, ka buprenorfīns, kā daļējs µ </w:t>
      </w:r>
      <w:r w:rsidR="007B120A" w:rsidRPr="0059231D">
        <w:rPr>
          <w:b w:val="0"/>
          <w:color w:val="000000"/>
          <w:lang w:val="lv-LV"/>
        </w:rPr>
        <w:t>receptoru</w:t>
      </w:r>
      <w:r w:rsidRPr="0059231D">
        <w:rPr>
          <w:b w:val="0"/>
          <w:color w:val="000000"/>
          <w:lang w:val="lv-LV"/>
        </w:rPr>
        <w:t xml:space="preserve"> antagonists, ilgstošas lietošanas gadījumā var izraisīt atkarību, taču mazākā pakāpē nekā tīrs agonists, piemēram, </w:t>
      </w:r>
      <w:r w:rsidR="00D53657" w:rsidRPr="0059231D">
        <w:rPr>
          <w:b w:val="0"/>
          <w:color w:val="000000"/>
          <w:lang w:val="lv-LV"/>
        </w:rPr>
        <w:t>morfīns</w:t>
      </w:r>
      <w:r w:rsidRPr="0059231D">
        <w:rPr>
          <w:b w:val="0"/>
          <w:color w:val="000000"/>
          <w:lang w:val="lv-LV"/>
        </w:rPr>
        <w:t>.</w:t>
      </w:r>
    </w:p>
    <w:p w14:paraId="08CC673E"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Pēkšņa ārstēšanas pārtraukšana var izraisīt abstinences sindromu, kas var parādīties aizkavēti.</w:t>
      </w:r>
    </w:p>
    <w:p w14:paraId="24A16A0D" w14:textId="77777777" w:rsidR="005935FB" w:rsidRPr="0059231D" w:rsidRDefault="005935FB" w:rsidP="0085436C">
      <w:pPr>
        <w:pStyle w:val="BodyTextIndent"/>
        <w:ind w:left="0" w:firstLine="0"/>
        <w:jc w:val="both"/>
        <w:rPr>
          <w:b w:val="0"/>
          <w:color w:val="000000"/>
          <w:lang w:val="lv-LV"/>
        </w:rPr>
      </w:pPr>
    </w:p>
    <w:p w14:paraId="5F6E34DC" w14:textId="77777777" w:rsidR="005935FB" w:rsidRPr="00012FAC" w:rsidRDefault="005935FB" w:rsidP="0085436C">
      <w:pPr>
        <w:pStyle w:val="BodyTextIndent"/>
        <w:ind w:left="0" w:firstLine="0"/>
        <w:jc w:val="both"/>
        <w:rPr>
          <w:b w:val="0"/>
          <w:bCs w:val="0"/>
          <w:color w:val="000000"/>
          <w:u w:val="single"/>
          <w:lang w:val="lv-LV" w:bidi="gu-IN"/>
        </w:rPr>
      </w:pPr>
      <w:r w:rsidRPr="00012FAC">
        <w:rPr>
          <w:b w:val="0"/>
          <w:bCs w:val="0"/>
          <w:color w:val="000000"/>
          <w:u w:val="single"/>
          <w:lang w:val="lv-LV"/>
        </w:rPr>
        <w:t>Hepatīts un aknu komplikācijas</w:t>
      </w:r>
    </w:p>
    <w:p w14:paraId="21EEC858" w14:textId="77777777" w:rsidR="005935FB" w:rsidRPr="0059231D" w:rsidRDefault="005935FB" w:rsidP="0085436C">
      <w:pPr>
        <w:spacing w:line="240" w:lineRule="auto"/>
        <w:jc w:val="both"/>
        <w:rPr>
          <w:color w:val="000000"/>
          <w:szCs w:val="22"/>
          <w:u w:val="single"/>
        </w:rPr>
      </w:pPr>
      <w:r w:rsidRPr="0059231D">
        <w:rPr>
          <w:color w:val="000000"/>
          <w:szCs w:val="22"/>
        </w:rPr>
        <w:t>Ir ziņots par akūta aknu bojājuma gadījumiem saistībā ar nepareizu zāļu lietošanu, it īpaši intravenozas ievadīšanas gadījumā</w:t>
      </w:r>
      <w:r w:rsidR="008A76C2" w:rsidRPr="0059231D">
        <w:rPr>
          <w:color w:val="000000"/>
          <w:szCs w:val="22"/>
        </w:rPr>
        <w:t xml:space="preserve"> (skatīt 4.8. apakšpunktu)</w:t>
      </w:r>
      <w:r w:rsidRPr="0059231D">
        <w:rPr>
          <w:color w:val="000000"/>
          <w:szCs w:val="22"/>
        </w:rPr>
        <w:t>. Šie aknu bojājumi galvenokārt novēroti lielu devu lietošanas gadījumā un var būt saistīt ar mitohondrija toksicitāti. Daudzos gadījumos izraisoša un sekmējoša nozīme var būt jau iepriekš esošiem mitohondrija bojājumiem (ģenētiskai slimībai, aknu enzīmu patoloģijai, B vai C vīrushepatīta infek</w:t>
      </w:r>
      <w:smartTag w:uri="urn:schemas-microsoft-com:office:smarttags" w:element="PersonName">
        <w:r w:rsidRPr="0059231D">
          <w:rPr>
            <w:color w:val="000000"/>
            <w:szCs w:val="22"/>
          </w:rPr>
          <w:t>cijai</w:t>
        </w:r>
      </w:smartTag>
      <w:r w:rsidRPr="0059231D">
        <w:rPr>
          <w:color w:val="000000"/>
          <w:szCs w:val="22"/>
        </w:rPr>
        <w:t xml:space="preserve">, atkarībai no alkohola, anoreksijai, vienlaicīgai citu potenciāli hepatotoksisku līdzekļu lietošanai) un pašreizējai injicējamo narkotiku lietošanai. </w:t>
      </w:r>
      <w:r w:rsidRPr="0059231D">
        <w:rPr>
          <w:color w:val="000000"/>
          <w:szCs w:val="22"/>
          <w:lang w:eastAsia="en-GB"/>
        </w:rPr>
        <w:t xml:space="preserve">Pacientiem ar diagnosticētu vīrushepatītu, lietojot vienlaicīgi citas zāles (skatīt 4.5. apakšpunktu) un/vai esošiem aknu darbības traucējumiem ir lielāks aknu bojājumu risks. </w:t>
      </w:r>
      <w:r w:rsidRPr="0059231D">
        <w:rPr>
          <w:color w:val="000000"/>
          <w:szCs w:val="22"/>
        </w:rPr>
        <w:t>Šie faktori jāapsver pirms buprenorfīna nozīmēšanas un terapijas laikā (skatīt 4.2. apakšpunktu).</w:t>
      </w:r>
    </w:p>
    <w:p w14:paraId="6088AB70"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Ja rodas aizdomas par aknu bojājumiem, nepieciešama sīkāka bioloģiska un etioloģiska novērtē</w:t>
      </w:r>
      <w:smartTag w:uri="urn:schemas-microsoft-com:office:smarttags" w:element="PersonName">
        <w:r w:rsidRPr="0059231D">
          <w:rPr>
            <w:b w:val="0"/>
            <w:color w:val="000000"/>
            <w:lang w:val="lv-LV"/>
          </w:rPr>
          <w:t>šana</w:t>
        </w:r>
      </w:smartTag>
      <w:r w:rsidRPr="0059231D">
        <w:rPr>
          <w:b w:val="0"/>
          <w:color w:val="000000"/>
          <w:lang w:val="lv-LV"/>
        </w:rPr>
        <w:t>. Atkarībā no izmeklējumu rezultātiem zāļu lietošanu var piesardzīgi pārtraukt tā, lai novērstu abstinences sindromu un novērstu atgriešanos pie nelegālu narkotiku lietošanas. Ja ārstēšana tiek turpināta, rūpīgi jākontrolē aknu darbība.</w:t>
      </w:r>
    </w:p>
    <w:p w14:paraId="7625CEDC" w14:textId="77777777" w:rsidR="005935FB" w:rsidRPr="0059231D" w:rsidRDefault="005935FB" w:rsidP="0085436C">
      <w:pPr>
        <w:pStyle w:val="BodyTextIndent"/>
        <w:ind w:left="0" w:firstLine="0"/>
        <w:jc w:val="both"/>
        <w:rPr>
          <w:b w:val="0"/>
          <w:color w:val="000000"/>
          <w:lang w:val="lv-LV"/>
        </w:rPr>
      </w:pPr>
    </w:p>
    <w:p w14:paraId="237DD2B2" w14:textId="77777777" w:rsidR="005935FB" w:rsidRPr="00012FAC" w:rsidRDefault="005935FB" w:rsidP="0085436C">
      <w:pPr>
        <w:pStyle w:val="BodyTextIndent"/>
        <w:ind w:left="0" w:firstLine="0"/>
        <w:jc w:val="both"/>
        <w:rPr>
          <w:b w:val="0"/>
          <w:bCs w:val="0"/>
          <w:color w:val="000000"/>
          <w:u w:val="single"/>
          <w:lang w:val="lv-LV"/>
        </w:rPr>
      </w:pPr>
      <w:r w:rsidRPr="00012FAC">
        <w:rPr>
          <w:b w:val="0"/>
          <w:bCs w:val="0"/>
          <w:color w:val="000000"/>
          <w:u w:val="single"/>
          <w:lang w:val="lv-LV"/>
        </w:rPr>
        <w:t>Opioīdu abstinences sindroma provocēšana</w:t>
      </w:r>
    </w:p>
    <w:p w14:paraId="2D08CB69" w14:textId="77777777" w:rsidR="005935FB" w:rsidRPr="0059231D" w:rsidRDefault="005935FB" w:rsidP="0085436C">
      <w:pPr>
        <w:tabs>
          <w:tab w:val="clear" w:pos="567"/>
        </w:tabs>
        <w:spacing w:line="240" w:lineRule="auto"/>
        <w:jc w:val="both"/>
        <w:rPr>
          <w:color w:val="000000"/>
          <w:szCs w:val="22"/>
        </w:rPr>
      </w:pPr>
      <w:r w:rsidRPr="0059231D">
        <w:rPr>
          <w:color w:val="000000"/>
          <w:szCs w:val="22"/>
        </w:rPr>
        <w:t>Uzsākot terapiju ar buprenorfīnu, ārstam jāzina, ka buprenorfīns ir daļējs agonists, un tas var izraisīt abstinenci no opioīdiem atkarīgiem pacientiem, it īpaši ja to lieto ātrāk nekā 6 stundas pēc pēdējās heroīna vai citu īslaicīgas darbības opioīdu lietošanas vai ātrāk nekā 24 stundas pēc pēdējās metadona devas (jo metadonam ir ilgs</w:t>
      </w:r>
      <w:r w:rsidR="007B120A" w:rsidRPr="0059231D">
        <w:rPr>
          <w:color w:val="000000"/>
          <w:szCs w:val="22"/>
        </w:rPr>
        <w:t xml:space="preserve"> e</w:t>
      </w:r>
      <w:r w:rsidRPr="0059231D">
        <w:rPr>
          <w:color w:val="000000"/>
          <w:szCs w:val="22"/>
        </w:rPr>
        <w:t>liminācijas pusperiods). Pārejas posmā no metadona uz buprenorfīnu pacienti ir rūpīgi jānovēro, jo ir ziņots par abstinences simptomiem. Lai izvairītos no abstinences provocēšanas, iesaistīt ārstēšanā buprenorfīnu drīkst tikai tad, ja ir acīmredzamas objektīvas abstinences pazīmes (skatīt 4.2. apakšpunktu).</w:t>
      </w:r>
    </w:p>
    <w:p w14:paraId="45703F54"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Abstinences simptomi var būt saistīti arī ar devu, kas mazāka par optimālo.</w:t>
      </w:r>
    </w:p>
    <w:p w14:paraId="7E3A5E97" w14:textId="77777777" w:rsidR="005935FB" w:rsidRPr="0059231D" w:rsidRDefault="005935FB" w:rsidP="0085436C">
      <w:pPr>
        <w:pStyle w:val="BodyTextIndent"/>
        <w:ind w:left="0" w:firstLine="0"/>
        <w:jc w:val="both"/>
        <w:rPr>
          <w:b w:val="0"/>
          <w:color w:val="000000"/>
          <w:lang w:val="lv-LV"/>
        </w:rPr>
      </w:pPr>
    </w:p>
    <w:p w14:paraId="204BC855" w14:textId="77777777" w:rsidR="005935FB" w:rsidRPr="00012FAC" w:rsidRDefault="005935FB" w:rsidP="0085436C">
      <w:pPr>
        <w:pStyle w:val="BodyTextIndent"/>
        <w:ind w:left="0" w:firstLine="0"/>
        <w:jc w:val="both"/>
        <w:rPr>
          <w:b w:val="0"/>
          <w:bCs w:val="0"/>
          <w:color w:val="000000"/>
          <w:u w:val="single"/>
          <w:lang w:val="lv-LV"/>
        </w:rPr>
      </w:pPr>
      <w:r w:rsidRPr="00012FAC">
        <w:rPr>
          <w:b w:val="0"/>
          <w:bCs w:val="0"/>
          <w:color w:val="000000"/>
          <w:u w:val="single"/>
          <w:lang w:val="lv-LV"/>
        </w:rPr>
        <w:t>Alerģiskas reakcijas</w:t>
      </w:r>
    </w:p>
    <w:p w14:paraId="165139ED"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Klīniskajos pētījumos un pēcreģistrācijas pieredzē ziņots par akūtiem un hroniskiem paaugstinātas jutības gadījumiem pret buprenorfīnu. Vis</w:t>
      </w:r>
      <w:r w:rsidR="007B120A" w:rsidRPr="0059231D">
        <w:rPr>
          <w:b w:val="0"/>
          <w:color w:val="000000"/>
          <w:lang w:val="lv-LV"/>
        </w:rPr>
        <w:t>biežāk novērojamās pazīmes un s</w:t>
      </w:r>
      <w:r w:rsidRPr="0059231D">
        <w:rPr>
          <w:b w:val="0"/>
          <w:color w:val="000000"/>
          <w:lang w:val="lv-LV"/>
        </w:rPr>
        <w:t xml:space="preserve">imptomi ir izsitumi, nātrene </w:t>
      </w:r>
      <w:r w:rsidRPr="0059231D">
        <w:rPr>
          <w:b w:val="0"/>
          <w:color w:val="000000"/>
          <w:lang w:val="lv-LV"/>
        </w:rPr>
        <w:lastRenderedPageBreak/>
        <w:t>un nieze. Ziņots par bronhospazmu, angioedēmas un anafilaktiska šoka gadījumiem. Paaugstināta jutība pret buprenor</w:t>
      </w:r>
      <w:r w:rsidR="007B120A" w:rsidRPr="0059231D">
        <w:rPr>
          <w:b w:val="0"/>
          <w:color w:val="000000"/>
          <w:lang w:val="lv-LV"/>
        </w:rPr>
        <w:t>f</w:t>
      </w:r>
      <w:r w:rsidRPr="0059231D">
        <w:rPr>
          <w:b w:val="0"/>
          <w:color w:val="000000"/>
          <w:lang w:val="lv-LV"/>
        </w:rPr>
        <w:t>īnu anamnēzē ir kontrindikācija buprenor</w:t>
      </w:r>
      <w:r w:rsidR="007B120A" w:rsidRPr="0059231D">
        <w:rPr>
          <w:b w:val="0"/>
          <w:color w:val="000000"/>
          <w:lang w:val="lv-LV"/>
        </w:rPr>
        <w:t>f</w:t>
      </w:r>
      <w:r w:rsidRPr="0059231D">
        <w:rPr>
          <w:b w:val="0"/>
          <w:color w:val="000000"/>
          <w:lang w:val="lv-LV"/>
        </w:rPr>
        <w:t>īna lietošanai.</w:t>
      </w:r>
    </w:p>
    <w:p w14:paraId="4527F2CB" w14:textId="77777777" w:rsidR="005935FB" w:rsidRPr="0059231D" w:rsidRDefault="005935FB" w:rsidP="0085436C">
      <w:pPr>
        <w:pStyle w:val="BodyTextIndent"/>
        <w:ind w:left="0" w:firstLine="0"/>
        <w:jc w:val="both"/>
        <w:rPr>
          <w:b w:val="0"/>
          <w:color w:val="000000"/>
          <w:lang w:val="lv-LV"/>
        </w:rPr>
      </w:pPr>
    </w:p>
    <w:p w14:paraId="53AEB34D" w14:textId="77777777" w:rsidR="005935FB" w:rsidRPr="00012FAC" w:rsidRDefault="005935FB" w:rsidP="0085436C">
      <w:pPr>
        <w:pStyle w:val="BodyTextIndent"/>
        <w:ind w:left="0" w:firstLine="0"/>
        <w:jc w:val="both"/>
        <w:rPr>
          <w:b w:val="0"/>
          <w:bCs w:val="0"/>
          <w:color w:val="000000"/>
          <w:u w:val="single"/>
          <w:lang w:val="lv-LV"/>
        </w:rPr>
      </w:pPr>
      <w:r w:rsidRPr="00012FAC">
        <w:rPr>
          <w:b w:val="0"/>
          <w:bCs w:val="0"/>
          <w:color w:val="000000"/>
          <w:u w:val="single"/>
          <w:lang w:val="lv-LV"/>
        </w:rPr>
        <w:t>Aknu darbības traucējumi</w:t>
      </w:r>
    </w:p>
    <w:p w14:paraId="70216B55" w14:textId="77777777" w:rsidR="006A4A77" w:rsidRPr="0059231D" w:rsidRDefault="006A4A77" w:rsidP="0085436C">
      <w:pPr>
        <w:pStyle w:val="BodyTextIndent"/>
        <w:ind w:left="0" w:firstLine="0"/>
        <w:jc w:val="both"/>
        <w:rPr>
          <w:b w:val="0"/>
          <w:color w:val="000000"/>
          <w:lang w:val="lv-LV"/>
        </w:rPr>
      </w:pPr>
      <w:r w:rsidRPr="0059231D">
        <w:rPr>
          <w:b w:val="0"/>
          <w:color w:val="000000"/>
          <w:lang w:val="lv-LV"/>
        </w:rPr>
        <w:t xml:space="preserve">Aknu darbības traucējumu ietekme uz buprenorfīna farmakokinētiku tika izvērtēta vienas devas pēcreģistrācijas pētījumā. Tā kā buprenorfīns tiek plaši metabolizēts, pacientiem ar vidēji smagiem un smagiem aknu darbības traucējumiem novēroja augstāku buprenorfīna koncentrāciju plazmā. </w:t>
      </w:r>
      <w:r w:rsidRPr="0059231D">
        <w:rPr>
          <w:b w:val="0"/>
          <w:color w:val="000000"/>
          <w:lang w:val="lv-LV" w:eastAsia="en-GB"/>
        </w:rPr>
        <w:t xml:space="preserve">Jānovēro, vai pacientiem nerodas toksicitātes vai pārdozēšanas pazīmes un simptomi, kam pamatā ir paaugstināta buprenorfīna koncentrācija. Subutex tabletes lietošanai zem mēles piesardzīgi jālieto pacientiem ar vidēji smagiem aknu darbības traucējumiem). Pacientiem ar smagu aknu mazspēju buprenorfīna </w:t>
      </w:r>
      <w:r w:rsidRPr="0059231D">
        <w:rPr>
          <w:b w:val="0"/>
          <w:color w:val="000000"/>
          <w:lang w:val="lv-LV"/>
        </w:rPr>
        <w:t>lietošana ir kontrindicēta (skatīt 4.3. un 5.2. apakšpunktu).</w:t>
      </w:r>
    </w:p>
    <w:p w14:paraId="4D1F9E54" w14:textId="77777777" w:rsidR="005935FB" w:rsidRPr="0059231D" w:rsidRDefault="005935FB" w:rsidP="0085436C">
      <w:pPr>
        <w:pStyle w:val="BodyTextIndent"/>
        <w:ind w:left="0" w:firstLine="0"/>
        <w:jc w:val="both"/>
        <w:rPr>
          <w:b w:val="0"/>
          <w:color w:val="000000"/>
          <w:lang w:val="lv-LV"/>
        </w:rPr>
      </w:pPr>
    </w:p>
    <w:p w14:paraId="5109DF7F" w14:textId="77777777" w:rsidR="005935FB" w:rsidRPr="00012FAC" w:rsidRDefault="005935FB" w:rsidP="0085436C">
      <w:pPr>
        <w:pStyle w:val="BodyTextIndent"/>
        <w:ind w:left="0" w:firstLine="0"/>
        <w:jc w:val="both"/>
        <w:rPr>
          <w:b w:val="0"/>
          <w:bCs w:val="0"/>
          <w:color w:val="000000"/>
          <w:u w:val="single"/>
          <w:lang w:val="lv-LV"/>
        </w:rPr>
      </w:pPr>
      <w:r w:rsidRPr="00012FAC">
        <w:rPr>
          <w:b w:val="0"/>
          <w:bCs w:val="0"/>
          <w:color w:val="000000"/>
          <w:u w:val="single"/>
          <w:lang w:val="lv-LV"/>
        </w:rPr>
        <w:t>Nieru darbības traucējumi</w:t>
      </w:r>
    </w:p>
    <w:p w14:paraId="02CFE2F5" w14:textId="77777777" w:rsidR="005935FB" w:rsidRPr="0059231D" w:rsidRDefault="005935FB" w:rsidP="0085436C">
      <w:pPr>
        <w:autoSpaceDE w:val="0"/>
        <w:autoSpaceDN w:val="0"/>
        <w:adjustRightInd w:val="0"/>
        <w:spacing w:line="240" w:lineRule="auto"/>
        <w:jc w:val="both"/>
        <w:rPr>
          <w:color w:val="000000"/>
          <w:szCs w:val="22"/>
        </w:rPr>
      </w:pPr>
      <w:r w:rsidRPr="0059231D">
        <w:rPr>
          <w:color w:val="000000"/>
          <w:szCs w:val="22"/>
        </w:rPr>
        <w:t>Var būt ilgāka izdalī</w:t>
      </w:r>
      <w:smartTag w:uri="urn:schemas-microsoft-com:office:smarttags" w:element="PersonName">
        <w:r w:rsidRPr="0059231D">
          <w:rPr>
            <w:color w:val="000000"/>
            <w:szCs w:val="22"/>
          </w:rPr>
          <w:t>šanās</w:t>
        </w:r>
      </w:smartTag>
      <w:r w:rsidRPr="0059231D">
        <w:rPr>
          <w:color w:val="000000"/>
          <w:szCs w:val="22"/>
        </w:rPr>
        <w:t xml:space="preserve"> caur nierēm, jo 30 % ievadītās devas izdalās caur nierēm. Pacientiem ar nieru mazspēju uzkrājas buprenorfīna metabolīti. Piesardzība jāievēro, lietojot pacientiem ar smagiem nieru darbības traucējumiem (kreatinīna klīrenss &lt; 30 ml/min) (skatīt 4.2. un 5.2. apakšpunktu).</w:t>
      </w:r>
    </w:p>
    <w:p w14:paraId="7C427FFB" w14:textId="77777777" w:rsidR="005935FB" w:rsidRPr="0059231D" w:rsidRDefault="005935FB" w:rsidP="0085436C">
      <w:pPr>
        <w:pStyle w:val="BodyTextIndent"/>
        <w:ind w:left="0" w:firstLine="0"/>
        <w:jc w:val="both"/>
        <w:rPr>
          <w:b w:val="0"/>
          <w:color w:val="000000"/>
          <w:lang w:val="lv-LV"/>
        </w:rPr>
      </w:pPr>
    </w:p>
    <w:p w14:paraId="1E34BC1F" w14:textId="77777777" w:rsidR="005935FB" w:rsidRPr="00012FAC" w:rsidRDefault="005935FB" w:rsidP="0085436C">
      <w:pPr>
        <w:pStyle w:val="BodyTextIndent"/>
        <w:ind w:left="0" w:firstLine="0"/>
        <w:jc w:val="both"/>
        <w:rPr>
          <w:b w:val="0"/>
          <w:bCs w:val="0"/>
          <w:color w:val="000000"/>
          <w:u w:val="single"/>
          <w:lang w:val="lv-LV"/>
        </w:rPr>
      </w:pPr>
      <w:r w:rsidRPr="00012FAC">
        <w:rPr>
          <w:b w:val="0"/>
          <w:bCs w:val="0"/>
          <w:color w:val="000000"/>
          <w:u w:val="single"/>
          <w:lang w:val="lv-LV"/>
        </w:rPr>
        <w:t xml:space="preserve">Vispārēji brīdinājumi par opioīdu lietošanu </w:t>
      </w:r>
    </w:p>
    <w:p w14:paraId="6821A616"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Opioīdi var izraisīt ortostatisko hipotoniju.</w:t>
      </w:r>
    </w:p>
    <w:p w14:paraId="6DED7600"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Opioīdi var paaugstināt cerebrospinālā šķidruma spiedienu, kas savukārt var izraisīt krampjus. Līdzīgi kā lietojot citus opioīdus, lietojot buprenorfīnu, piesardzība jāievēro pacientiem ar galvas traumu, intrakraniāliem bojājumiem un paaugstinātu intrakraniālā šķidruma spiedienu, vai arī krampjiem anamnēzē.</w:t>
      </w:r>
    </w:p>
    <w:p w14:paraId="49D4E04D"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Opioīdu izraisīta mioze, apziņas līmeņa izmaiņas vai izmaiņas sāpju kā slimības simptoma izpratnē var traucēt pacienta stāvokļa novērtējumam, diagnozes noteikšanai vai arī ietekmēt līdztekus esošās slimības klīnisko gaitu.</w:t>
      </w:r>
    </w:p>
    <w:p w14:paraId="06ADBF05"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Opioīdi jālieto piesardzīgi pacientiem ar miksedēmu, hipotireoīdismu vai virsnieru garozas hormonu trūkumu (piemēram, Adisona slimību).</w:t>
      </w:r>
    </w:p>
    <w:p w14:paraId="5285DC83"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Opioīdi jālieto piesardzīgi pacientiem ar hipotensiju, prostatas hipertrofiju vai urīnvada stenozi.</w:t>
      </w:r>
    </w:p>
    <w:p w14:paraId="7469622E"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Ir pierādīts, ka opioīdi palielina žultsvada iekšējo spiedienu, un opioīdi jālieto piesardzīgi pacientiem ar žultsvada traucējumiem.</w:t>
      </w:r>
    </w:p>
    <w:p w14:paraId="09E881B0"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Gados vecākiem un novājinātiem pacientiem, lietojot opioīdus, jāievēro piesardzība.</w:t>
      </w:r>
    </w:p>
    <w:p w14:paraId="37C403E5" w14:textId="77777777" w:rsidR="005935FB" w:rsidRPr="0059231D" w:rsidRDefault="005935FB" w:rsidP="0085436C">
      <w:pPr>
        <w:pStyle w:val="BodyTextIndent"/>
        <w:ind w:left="0" w:firstLine="0"/>
        <w:jc w:val="both"/>
        <w:rPr>
          <w:b w:val="0"/>
          <w:color w:val="000000"/>
          <w:lang w:val="lv-LV"/>
        </w:rPr>
      </w:pPr>
    </w:p>
    <w:p w14:paraId="75D6428D" w14:textId="77777777" w:rsidR="005935FB" w:rsidRPr="0059231D" w:rsidRDefault="007B120A" w:rsidP="0085436C">
      <w:pPr>
        <w:pStyle w:val="BodyTextIndent"/>
        <w:ind w:left="0" w:firstLine="0"/>
        <w:jc w:val="both"/>
        <w:rPr>
          <w:b w:val="0"/>
          <w:color w:val="000000"/>
          <w:lang w:val="lv-LV"/>
        </w:rPr>
      </w:pPr>
      <w:r w:rsidRPr="0059231D">
        <w:rPr>
          <w:b w:val="0"/>
          <w:color w:val="000000"/>
          <w:lang w:val="lv-LV"/>
        </w:rPr>
        <w:t>Sportisti jābrīdina, ka šīs zāl</w:t>
      </w:r>
      <w:r w:rsidR="005935FB" w:rsidRPr="0059231D">
        <w:rPr>
          <w:b w:val="0"/>
          <w:color w:val="000000"/>
          <w:lang w:val="lv-LV"/>
        </w:rPr>
        <w:t>es var uzrādīt pozitīvus rezultātus dopinga analīzēs.</w:t>
      </w:r>
    </w:p>
    <w:p w14:paraId="37C41DAC" w14:textId="77777777" w:rsidR="005935FB" w:rsidRPr="0059231D" w:rsidRDefault="005935FB" w:rsidP="0085436C">
      <w:pPr>
        <w:pStyle w:val="BodyTextIndent"/>
        <w:ind w:left="0" w:firstLine="0"/>
        <w:jc w:val="both"/>
        <w:rPr>
          <w:b w:val="0"/>
          <w:color w:val="000000"/>
          <w:lang w:val="lv-LV"/>
        </w:rPr>
      </w:pPr>
    </w:p>
    <w:p w14:paraId="79B33276" w14:textId="77777777" w:rsidR="005935FB" w:rsidRPr="0059231D" w:rsidRDefault="005935FB" w:rsidP="0085436C">
      <w:pPr>
        <w:pStyle w:val="BodyTextIndent"/>
        <w:ind w:left="0" w:firstLine="0"/>
        <w:jc w:val="both"/>
        <w:rPr>
          <w:b w:val="0"/>
          <w:color w:val="000000"/>
          <w:lang w:val="lv-LV"/>
        </w:rPr>
      </w:pPr>
      <w:r w:rsidRPr="0059231D">
        <w:rPr>
          <w:b w:val="0"/>
          <w:color w:val="000000"/>
          <w:lang w:val="lv-LV"/>
        </w:rPr>
        <w:t xml:space="preserve">Vienlaicīgi ar buprenorfīnu nav ieteicams lietot sekojošas zāles: II klases pretsāpju līdzekļus, </w:t>
      </w:r>
      <w:r w:rsidR="006F7AA1" w:rsidRPr="0059231D">
        <w:rPr>
          <w:b w:val="0"/>
          <w:color w:val="000000"/>
          <w:lang w:val="lv-LV"/>
        </w:rPr>
        <w:t>etilmorfīnu</w:t>
      </w:r>
      <w:r w:rsidRPr="0059231D">
        <w:rPr>
          <w:b w:val="0"/>
          <w:color w:val="000000"/>
          <w:lang w:val="lv-LV"/>
        </w:rPr>
        <w:t xml:space="preserve"> un alkoholu (skatīt 4.3. apakšpunktu).</w:t>
      </w:r>
    </w:p>
    <w:p w14:paraId="6AA3D70B" w14:textId="77777777" w:rsidR="00CD10AA" w:rsidRDefault="00CD10AA" w:rsidP="0085436C">
      <w:pPr>
        <w:tabs>
          <w:tab w:val="clear" w:pos="567"/>
        </w:tabs>
        <w:spacing w:line="240" w:lineRule="auto"/>
        <w:jc w:val="both"/>
        <w:rPr>
          <w:color w:val="000000"/>
          <w:szCs w:val="22"/>
        </w:rPr>
      </w:pPr>
    </w:p>
    <w:p w14:paraId="2A7DBCB4" w14:textId="77777777" w:rsidR="00C55D3E" w:rsidRPr="00C05C59" w:rsidRDefault="00C55D3E" w:rsidP="00C55D3E">
      <w:pPr>
        <w:pStyle w:val="Default"/>
        <w:jc w:val="both"/>
        <w:rPr>
          <w:sz w:val="22"/>
          <w:szCs w:val="22"/>
          <w:u w:val="single"/>
          <w:lang w:val="lv-LV"/>
        </w:rPr>
      </w:pPr>
      <w:r>
        <w:rPr>
          <w:sz w:val="22"/>
          <w:szCs w:val="22"/>
          <w:u w:val="single"/>
          <w:lang w:val="lv-LV"/>
        </w:rPr>
        <w:t>Palīgvielas</w:t>
      </w:r>
    </w:p>
    <w:p w14:paraId="34BD1AF6" w14:textId="02C7BFD7" w:rsidR="00C55D3E" w:rsidRPr="00055DEF" w:rsidRDefault="00C55D3E" w:rsidP="00C55D3E">
      <w:pPr>
        <w:pStyle w:val="BodyTextIndent"/>
        <w:ind w:left="0" w:firstLine="0"/>
        <w:jc w:val="both"/>
        <w:rPr>
          <w:b w:val="0"/>
          <w:color w:val="000000"/>
          <w:lang w:val="lv-LV"/>
        </w:rPr>
      </w:pPr>
      <w:r>
        <w:rPr>
          <w:b w:val="0"/>
          <w:color w:val="000000"/>
          <w:lang w:val="lv-LV"/>
        </w:rPr>
        <w:t>Šīs zāles satur laktozi</w:t>
      </w:r>
      <w:r w:rsidRPr="00055DEF">
        <w:rPr>
          <w:b w:val="0"/>
          <w:color w:val="000000"/>
          <w:lang w:val="lv-LV"/>
        </w:rPr>
        <w:t xml:space="preserve">. Šīs zāles nevajadzētu lietot pacientiem ar retu iedzimtu galaktozes nepanesību, </w:t>
      </w:r>
      <w:r>
        <w:rPr>
          <w:b w:val="0"/>
          <w:color w:val="000000"/>
          <w:lang w:val="lv-LV"/>
        </w:rPr>
        <w:t>pilnīgu</w:t>
      </w:r>
      <w:r w:rsidRPr="00055DEF">
        <w:rPr>
          <w:b w:val="0"/>
          <w:color w:val="000000"/>
          <w:lang w:val="lv-LV"/>
        </w:rPr>
        <w:t xml:space="preserve"> laktāzes deficītu vai glikozes-galaktozes malabsorbciju.</w:t>
      </w:r>
    </w:p>
    <w:p w14:paraId="55C0137A" w14:textId="77777777" w:rsidR="00C55D3E" w:rsidRDefault="00C55D3E" w:rsidP="00C55D3E">
      <w:pPr>
        <w:tabs>
          <w:tab w:val="clear" w:pos="567"/>
        </w:tabs>
        <w:spacing w:line="240" w:lineRule="auto"/>
        <w:jc w:val="both"/>
        <w:rPr>
          <w:color w:val="000000"/>
          <w:szCs w:val="22"/>
        </w:rPr>
      </w:pPr>
    </w:p>
    <w:p w14:paraId="44B80D6E" w14:textId="77777777" w:rsidR="00C55D3E" w:rsidRPr="00EF1289" w:rsidRDefault="00C55D3E" w:rsidP="00C55D3E">
      <w:pPr>
        <w:pStyle w:val="Default"/>
        <w:jc w:val="both"/>
        <w:rPr>
          <w:sz w:val="22"/>
          <w:szCs w:val="22"/>
          <w:lang w:val="lv-LV"/>
        </w:rPr>
      </w:pPr>
      <w:r w:rsidRPr="00EF1289">
        <w:rPr>
          <w:sz w:val="22"/>
          <w:szCs w:val="22"/>
          <w:lang w:val="lv-LV"/>
        </w:rPr>
        <w:t>Zāles satur mazāk par 1 mmol nātrija (23 mg) katrā tabletē, - būtībā tās ir “nātriju nesaturošas”.</w:t>
      </w:r>
    </w:p>
    <w:p w14:paraId="63E81431" w14:textId="77777777" w:rsidR="00C55D3E" w:rsidRPr="0059231D" w:rsidRDefault="00C55D3E" w:rsidP="0085436C">
      <w:pPr>
        <w:tabs>
          <w:tab w:val="clear" w:pos="567"/>
        </w:tabs>
        <w:spacing w:line="240" w:lineRule="auto"/>
        <w:jc w:val="both"/>
        <w:rPr>
          <w:color w:val="000000"/>
          <w:szCs w:val="22"/>
        </w:rPr>
      </w:pPr>
    </w:p>
    <w:p w14:paraId="595B96D5"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4.5</w:t>
      </w:r>
      <w:r w:rsidR="004D591D" w:rsidRPr="0059231D">
        <w:rPr>
          <w:b/>
          <w:color w:val="000000"/>
          <w:szCs w:val="22"/>
        </w:rPr>
        <w:t>.</w:t>
      </w:r>
      <w:r w:rsidRPr="0059231D">
        <w:rPr>
          <w:b/>
          <w:color w:val="000000"/>
          <w:szCs w:val="22"/>
        </w:rPr>
        <w:tab/>
        <w:t>Mijiedarbība ar citām zālēm un citi mijiedarbības veidi</w:t>
      </w:r>
    </w:p>
    <w:p w14:paraId="29B64CF6" w14:textId="77777777" w:rsidR="00AC07BB" w:rsidRPr="0059231D" w:rsidRDefault="00AC07BB" w:rsidP="0085436C">
      <w:pPr>
        <w:pStyle w:val="BodyTextIndent"/>
        <w:ind w:left="0" w:firstLine="0"/>
        <w:jc w:val="both"/>
        <w:rPr>
          <w:color w:val="000000"/>
          <w:lang w:val="lv-LV"/>
        </w:rPr>
      </w:pPr>
    </w:p>
    <w:p w14:paraId="51B33C34" w14:textId="77777777" w:rsidR="00F8170B" w:rsidRPr="00012FAC" w:rsidRDefault="00F8170B" w:rsidP="0085436C">
      <w:pPr>
        <w:pStyle w:val="BodyTextIndent"/>
        <w:ind w:left="0" w:firstLine="0"/>
        <w:jc w:val="both"/>
        <w:rPr>
          <w:color w:val="000000"/>
          <w:u w:val="single"/>
          <w:lang w:val="lv-LV"/>
        </w:rPr>
      </w:pPr>
      <w:r w:rsidRPr="00012FAC">
        <w:rPr>
          <w:color w:val="000000"/>
          <w:u w:val="single"/>
          <w:lang w:val="lv-LV"/>
        </w:rPr>
        <w:t>Kombinācijas, kuru lietošana ir kontrindicēta (skatīt 4.3. apakšpunktu):</w:t>
      </w:r>
    </w:p>
    <w:p w14:paraId="641971A0" w14:textId="1A75FB7C" w:rsidR="00F8170B" w:rsidRPr="0059231D" w:rsidRDefault="00F8170B" w:rsidP="0085436C">
      <w:pPr>
        <w:pStyle w:val="BodyTextIndent"/>
        <w:numPr>
          <w:ilvl w:val="0"/>
          <w:numId w:val="30"/>
        </w:numPr>
        <w:tabs>
          <w:tab w:val="left" w:pos="709"/>
        </w:tabs>
        <w:jc w:val="both"/>
        <w:rPr>
          <w:b w:val="0"/>
          <w:color w:val="000000"/>
          <w:lang w:val="lv-LV"/>
        </w:rPr>
      </w:pPr>
      <w:r w:rsidRPr="0059231D">
        <w:rPr>
          <w:i/>
          <w:color w:val="000000"/>
          <w:lang w:val="lv-LV"/>
        </w:rPr>
        <w:t>metadons</w:t>
      </w:r>
      <w:r w:rsidRPr="0059231D">
        <w:rPr>
          <w:b w:val="0"/>
          <w:color w:val="000000"/>
          <w:lang w:val="lv-LV"/>
        </w:rPr>
        <w:t>: samazināta metadona iedarbību, kam pamatā ir konkurējoša receptoru blokāde, ar palielinātu absistences sindroma risku</w:t>
      </w:r>
      <w:r w:rsidR="00C55D3E">
        <w:rPr>
          <w:b w:val="0"/>
          <w:color w:val="000000"/>
          <w:lang w:val="lv-LV"/>
        </w:rPr>
        <w:t>;</w:t>
      </w:r>
    </w:p>
    <w:p w14:paraId="3F29060E" w14:textId="3B3D7E7E" w:rsidR="00F8170B" w:rsidRPr="0059231D" w:rsidRDefault="00F8170B" w:rsidP="0085436C">
      <w:pPr>
        <w:pStyle w:val="BodyTextIndent"/>
        <w:numPr>
          <w:ilvl w:val="0"/>
          <w:numId w:val="30"/>
        </w:numPr>
        <w:tabs>
          <w:tab w:val="left" w:pos="709"/>
        </w:tabs>
        <w:jc w:val="both"/>
        <w:rPr>
          <w:b w:val="0"/>
          <w:color w:val="000000"/>
          <w:lang w:val="lv-LV"/>
        </w:rPr>
      </w:pPr>
      <w:r w:rsidRPr="0059231D">
        <w:rPr>
          <w:i/>
          <w:color w:val="000000"/>
          <w:lang w:val="lv-LV"/>
        </w:rPr>
        <w:t>III klases opioīdi pretsāpju līdzekļi</w:t>
      </w:r>
      <w:r w:rsidRPr="0059231D">
        <w:rPr>
          <w:b w:val="0"/>
          <w:color w:val="000000"/>
          <w:lang w:val="lv-LV"/>
        </w:rPr>
        <w:t>: pacientiem, kuri lieto II klases pretsāpju līdzekļus, var būt samazināta morfinomimētikas pretsāpju iedarbīb</w:t>
      </w:r>
      <w:r w:rsidR="00D92A89">
        <w:rPr>
          <w:b w:val="0"/>
          <w:color w:val="000000"/>
          <w:lang w:val="lv-LV"/>
        </w:rPr>
        <w:t>a</w:t>
      </w:r>
      <w:r w:rsidRPr="0059231D">
        <w:rPr>
          <w:b w:val="0"/>
          <w:color w:val="000000"/>
          <w:lang w:val="lv-LV"/>
        </w:rPr>
        <w:t>, kam pamatā ir konkurējoša receptoru blokāde ar palielinātu absistences sindroma risku</w:t>
      </w:r>
      <w:r w:rsidR="00C55D3E">
        <w:rPr>
          <w:b w:val="0"/>
          <w:color w:val="000000"/>
          <w:lang w:val="lv-LV"/>
        </w:rPr>
        <w:t>;</w:t>
      </w:r>
    </w:p>
    <w:p w14:paraId="23DA1563" w14:textId="77777777" w:rsidR="00F8170B" w:rsidRPr="0059231D" w:rsidRDefault="007B120A" w:rsidP="0085436C">
      <w:pPr>
        <w:pStyle w:val="BodyTextIndent"/>
        <w:numPr>
          <w:ilvl w:val="0"/>
          <w:numId w:val="30"/>
        </w:numPr>
        <w:tabs>
          <w:tab w:val="left" w:pos="709"/>
        </w:tabs>
        <w:jc w:val="both"/>
        <w:rPr>
          <w:b w:val="0"/>
          <w:color w:val="000000"/>
          <w:lang w:val="lv-LV"/>
        </w:rPr>
      </w:pPr>
      <w:r w:rsidRPr="0059231D">
        <w:rPr>
          <w:i/>
          <w:color w:val="000000"/>
          <w:lang w:val="lv-LV"/>
        </w:rPr>
        <w:t>n</w:t>
      </w:r>
      <w:r w:rsidR="00F8170B" w:rsidRPr="0059231D">
        <w:rPr>
          <w:i/>
          <w:color w:val="000000"/>
          <w:lang w:val="lv-LV"/>
        </w:rPr>
        <w:t>altreksons un nalmefēns</w:t>
      </w:r>
      <w:r w:rsidR="00F8170B" w:rsidRPr="0059231D">
        <w:rPr>
          <w:b w:val="0"/>
          <w:color w:val="000000"/>
          <w:lang w:val="lv-LV"/>
        </w:rPr>
        <w:t>: naltreksons un nalmefēns ir opioīdu antagonisti, kas var bloķēt buprenorfīna farmakoloģisko iedarbību. Vienlaicīga lietošana buprenorfīna terapijas laikā ir kontrindicēta, jo iespējama bīstama mijiedarbība, kas var izraisīt pēkšņus ilgstošus un intensīvus opioīdu abstinences simptomus.</w:t>
      </w:r>
    </w:p>
    <w:p w14:paraId="007349B1" w14:textId="77777777" w:rsidR="00F8170B" w:rsidRPr="0059231D" w:rsidRDefault="00F8170B" w:rsidP="0085436C">
      <w:pPr>
        <w:pStyle w:val="ListParagraph"/>
        <w:spacing w:line="240" w:lineRule="auto"/>
        <w:ind w:left="0"/>
        <w:jc w:val="both"/>
        <w:rPr>
          <w:b/>
          <w:color w:val="000000"/>
          <w:lang w:val="lv-LV"/>
        </w:rPr>
      </w:pPr>
    </w:p>
    <w:p w14:paraId="61DEACCB" w14:textId="77777777" w:rsidR="00F8170B" w:rsidRPr="00012FAC" w:rsidRDefault="00F8170B" w:rsidP="0085436C">
      <w:pPr>
        <w:pStyle w:val="BodyTextIndent"/>
        <w:ind w:left="0" w:firstLine="0"/>
        <w:jc w:val="both"/>
        <w:rPr>
          <w:color w:val="000000"/>
          <w:u w:val="single"/>
          <w:lang w:val="lv-LV"/>
        </w:rPr>
      </w:pPr>
      <w:r w:rsidRPr="00012FAC">
        <w:rPr>
          <w:color w:val="000000"/>
          <w:u w:val="single"/>
          <w:lang w:val="lv-LV"/>
        </w:rPr>
        <w:lastRenderedPageBreak/>
        <w:t>Kombinācijas, kuru lietošana nav ieteicama:</w:t>
      </w:r>
    </w:p>
    <w:p w14:paraId="3697C901" w14:textId="412A7553" w:rsidR="00F8170B" w:rsidRPr="0059231D" w:rsidRDefault="00F8170B" w:rsidP="0085436C">
      <w:pPr>
        <w:pStyle w:val="BodyTextIndent"/>
        <w:numPr>
          <w:ilvl w:val="0"/>
          <w:numId w:val="31"/>
        </w:numPr>
        <w:tabs>
          <w:tab w:val="left" w:pos="709"/>
        </w:tabs>
        <w:jc w:val="both"/>
        <w:rPr>
          <w:b w:val="0"/>
          <w:color w:val="000000"/>
          <w:lang w:val="lv-LV"/>
        </w:rPr>
      </w:pPr>
      <w:r w:rsidRPr="0059231D">
        <w:rPr>
          <w:i/>
          <w:color w:val="000000"/>
          <w:lang w:val="lv-LV"/>
        </w:rPr>
        <w:t>II klases pretsāpju līdzekļi (tramadols, kodeīns un dihidrokodeīns)</w:t>
      </w:r>
      <w:r w:rsidRPr="0059231D">
        <w:rPr>
          <w:b w:val="0"/>
          <w:color w:val="000000"/>
          <w:lang w:val="lv-LV"/>
        </w:rPr>
        <w:t>: samazināta morfinomimētikas pretsāpju iedarbīb</w:t>
      </w:r>
      <w:r w:rsidR="00D92A89">
        <w:rPr>
          <w:b w:val="0"/>
          <w:color w:val="000000"/>
          <w:lang w:val="lv-LV"/>
        </w:rPr>
        <w:t>a</w:t>
      </w:r>
      <w:r w:rsidRPr="0059231D">
        <w:rPr>
          <w:b w:val="0"/>
          <w:color w:val="000000"/>
          <w:lang w:val="lv-LV"/>
        </w:rPr>
        <w:t>, kam pamatā ir konkurējoša receptoru blokāde ar palielinātu absistences sindroma risku</w:t>
      </w:r>
      <w:r w:rsidR="00C55D3E">
        <w:rPr>
          <w:b w:val="0"/>
          <w:color w:val="000000"/>
          <w:lang w:val="lv-LV"/>
        </w:rPr>
        <w:t>;</w:t>
      </w:r>
    </w:p>
    <w:p w14:paraId="780707D2" w14:textId="77777777" w:rsidR="00F8170B" w:rsidRPr="0059231D" w:rsidRDefault="00F8170B" w:rsidP="0085436C">
      <w:pPr>
        <w:pStyle w:val="BodyTextIndent"/>
        <w:numPr>
          <w:ilvl w:val="0"/>
          <w:numId w:val="31"/>
        </w:numPr>
        <w:tabs>
          <w:tab w:val="left" w:pos="709"/>
        </w:tabs>
        <w:jc w:val="both"/>
        <w:rPr>
          <w:b w:val="0"/>
          <w:color w:val="000000"/>
          <w:lang w:val="lv-LV"/>
        </w:rPr>
      </w:pPr>
      <w:r w:rsidRPr="0059231D">
        <w:rPr>
          <w:i/>
          <w:color w:val="000000"/>
          <w:lang w:val="lv-LV"/>
        </w:rPr>
        <w:t>etilmorfijs</w:t>
      </w:r>
      <w:r w:rsidRPr="0059231D">
        <w:rPr>
          <w:b w:val="0"/>
          <w:color w:val="000000"/>
          <w:lang w:val="lv-LV"/>
        </w:rPr>
        <w:t xml:space="preserve">: pacientiem, kuri lieto </w:t>
      </w:r>
      <w:r w:rsidR="00170D2C" w:rsidRPr="0059231D">
        <w:rPr>
          <w:b w:val="0"/>
          <w:color w:val="000000"/>
          <w:lang w:val="lv-LV"/>
        </w:rPr>
        <w:t>etilmorfīnu</w:t>
      </w:r>
      <w:r w:rsidRPr="0059231D">
        <w:rPr>
          <w:b w:val="0"/>
          <w:color w:val="000000"/>
          <w:lang w:val="lv-LV"/>
        </w:rPr>
        <w:t>, var būt samazināta morfinomimētikas pretsāpju iedarbīb</w:t>
      </w:r>
      <w:r w:rsidR="00DD2121">
        <w:rPr>
          <w:b w:val="0"/>
          <w:color w:val="000000"/>
          <w:lang w:val="lv-LV"/>
        </w:rPr>
        <w:t>a</w:t>
      </w:r>
      <w:r w:rsidRPr="0059231D">
        <w:rPr>
          <w:b w:val="0"/>
          <w:color w:val="000000"/>
          <w:lang w:val="lv-LV"/>
        </w:rPr>
        <w:t>, kam pamatā ir konkurējoša receptoru blokāde ar palielinātu absistences sindroma risku.</w:t>
      </w:r>
    </w:p>
    <w:p w14:paraId="40C40909" w14:textId="77777777" w:rsidR="00F8170B" w:rsidRPr="0059231D" w:rsidRDefault="00F8170B" w:rsidP="0085436C">
      <w:pPr>
        <w:pStyle w:val="BodyTextIndent"/>
        <w:numPr>
          <w:ilvl w:val="0"/>
          <w:numId w:val="31"/>
        </w:numPr>
        <w:tabs>
          <w:tab w:val="left" w:pos="709"/>
        </w:tabs>
        <w:jc w:val="both"/>
        <w:rPr>
          <w:b w:val="0"/>
          <w:color w:val="000000"/>
          <w:lang w:val="lv-LV"/>
        </w:rPr>
      </w:pPr>
      <w:r w:rsidRPr="0059231D">
        <w:rPr>
          <w:i/>
          <w:color w:val="000000"/>
          <w:lang w:val="lv-LV"/>
        </w:rPr>
        <w:t>alkohols</w:t>
      </w:r>
      <w:r w:rsidRPr="0059231D">
        <w:rPr>
          <w:b w:val="0"/>
          <w:color w:val="000000"/>
          <w:lang w:val="lv-LV"/>
        </w:rPr>
        <w:t>: alkohols pastiprina buprenorfīna sedatīvo iedarbību, kas var padarīt transportlīdzekļu vadīšanu un mehānismu apkalpošanu bīstamu.</w:t>
      </w:r>
    </w:p>
    <w:p w14:paraId="3B9B80F3" w14:textId="77777777" w:rsidR="00F8170B" w:rsidRPr="0059231D" w:rsidRDefault="00F8170B" w:rsidP="0085436C">
      <w:pPr>
        <w:pStyle w:val="BodyTextIndent"/>
        <w:tabs>
          <w:tab w:val="left" w:pos="709"/>
        </w:tabs>
        <w:ind w:left="720" w:firstLine="0"/>
        <w:jc w:val="both"/>
        <w:rPr>
          <w:b w:val="0"/>
          <w:color w:val="000000"/>
          <w:lang w:val="lv-LV"/>
        </w:rPr>
      </w:pPr>
      <w:r w:rsidRPr="0059231D">
        <w:rPr>
          <w:b w:val="0"/>
          <w:color w:val="000000"/>
          <w:lang w:val="lv-LV"/>
        </w:rPr>
        <w:t>Jāizvairās no vienlaicīgas buprenorfīna lietošanas ar alkoholiskiem dzērieniem vai alkoholu saturošām zālēm.</w:t>
      </w:r>
    </w:p>
    <w:p w14:paraId="57AECC95" w14:textId="77777777" w:rsidR="00F8170B" w:rsidRPr="0059231D" w:rsidRDefault="00F8170B" w:rsidP="0085436C">
      <w:pPr>
        <w:pStyle w:val="ListParagraph"/>
        <w:spacing w:line="240" w:lineRule="auto"/>
        <w:ind w:left="0"/>
        <w:jc w:val="both"/>
        <w:rPr>
          <w:b/>
          <w:color w:val="000000"/>
          <w:lang w:val="lv-LV"/>
        </w:rPr>
      </w:pPr>
    </w:p>
    <w:p w14:paraId="67EB55F4" w14:textId="77777777" w:rsidR="00F8170B" w:rsidRPr="00012FAC" w:rsidRDefault="00F8170B" w:rsidP="0085436C">
      <w:pPr>
        <w:pStyle w:val="BodyTextIndent"/>
        <w:ind w:left="0" w:firstLine="0"/>
        <w:jc w:val="both"/>
        <w:rPr>
          <w:color w:val="000000"/>
          <w:u w:val="single"/>
          <w:lang w:val="lv-LV"/>
        </w:rPr>
      </w:pPr>
      <w:r w:rsidRPr="00012FAC">
        <w:rPr>
          <w:color w:val="000000"/>
          <w:u w:val="single"/>
          <w:lang w:val="lv-LV"/>
        </w:rPr>
        <w:t>Buprenorfīns jālieto piesardzīgi vienlaicīgi ar:</w:t>
      </w:r>
    </w:p>
    <w:p w14:paraId="4A4D6C13" w14:textId="73671ECC" w:rsidR="00F8170B" w:rsidRPr="0059231D" w:rsidRDefault="00C55D3E" w:rsidP="0085436C">
      <w:pPr>
        <w:pStyle w:val="BodyTextIndent"/>
        <w:numPr>
          <w:ilvl w:val="0"/>
          <w:numId w:val="32"/>
        </w:numPr>
        <w:tabs>
          <w:tab w:val="left" w:pos="709"/>
        </w:tabs>
        <w:jc w:val="both"/>
        <w:rPr>
          <w:b w:val="0"/>
          <w:color w:val="000000"/>
          <w:lang w:val="lv-LV"/>
        </w:rPr>
      </w:pPr>
      <w:r w:rsidRPr="008A472F">
        <w:rPr>
          <w:i/>
          <w:iCs/>
          <w:color w:val="auto"/>
          <w:lang w:val="lv-LV"/>
        </w:rPr>
        <w:t xml:space="preserve">sedatīviem līdzekļiem, piemēram, benzodiazepīniem vai līdzīgām </w:t>
      </w:r>
      <w:r w:rsidR="00DE43FD" w:rsidRPr="008A472F">
        <w:rPr>
          <w:i/>
          <w:iCs/>
          <w:color w:val="auto"/>
          <w:lang w:val="lv-LV"/>
        </w:rPr>
        <w:t>vielām</w:t>
      </w:r>
      <w:r w:rsidRPr="008A472F">
        <w:rPr>
          <w:b w:val="0"/>
          <w:bCs w:val="0"/>
          <w:color w:val="auto"/>
          <w:lang w:val="lv-LV"/>
        </w:rPr>
        <w:t>:</w:t>
      </w:r>
      <w:r w:rsidRPr="008A472F">
        <w:rPr>
          <w:color w:val="auto"/>
          <w:lang w:val="lv-LV"/>
        </w:rPr>
        <w:t xml:space="preserve"> </w:t>
      </w:r>
      <w:r w:rsidRPr="008A472F">
        <w:rPr>
          <w:b w:val="0"/>
          <w:bCs w:val="0"/>
          <w:color w:val="auto"/>
          <w:lang w:val="lv-LV"/>
        </w:rPr>
        <w:t xml:space="preserve">vienlaicīga opioīdu lietošana ar sedatīviem līdzekļiem, piemēram, benzodiazepīniem vai līdzīgām </w:t>
      </w:r>
      <w:r w:rsidR="00DE43FD" w:rsidRPr="008A472F">
        <w:rPr>
          <w:b w:val="0"/>
          <w:bCs w:val="0"/>
          <w:color w:val="auto"/>
          <w:lang w:val="lv-LV"/>
        </w:rPr>
        <w:t>vielām</w:t>
      </w:r>
      <w:r w:rsidRPr="008A472F">
        <w:rPr>
          <w:b w:val="0"/>
          <w:bCs w:val="0"/>
          <w:color w:val="auto"/>
          <w:lang w:val="lv-LV"/>
        </w:rPr>
        <w:t xml:space="preserve">, var palielināt sedācijas, elpošanas nomākuma, komas un nāves risku, kam pamatā ir papildus nomācoša ietekme uz CNS. Jāierobežo vienlaicīgas sedatīvo līdzekļu terapijas devas un ilgums (skatīt 4.4. apakšpunktu). </w:t>
      </w:r>
      <w:r w:rsidR="00F8170B" w:rsidRPr="0059231D">
        <w:rPr>
          <w:b w:val="0"/>
          <w:color w:val="000000"/>
          <w:lang w:val="lv-LV"/>
        </w:rPr>
        <w:t>Pacienti jābrīdina, ko šo zāļu lietošanas laikā pašārstēšanās ar benzodiazepīniem bēz ārsta norīkojuma ir ļoti bīstama, kā arī jābrīdina, ka šo zāļu lietošanas laikā drīkst lietot tikai nozīmētos benzodiazepīnus (skatīt 4.4. apakšpunktu)</w:t>
      </w:r>
      <w:r>
        <w:rPr>
          <w:b w:val="0"/>
          <w:color w:val="000000"/>
          <w:lang w:val="lv-LV"/>
        </w:rPr>
        <w:t>;</w:t>
      </w:r>
    </w:p>
    <w:p w14:paraId="56A98DE3" w14:textId="0EDD9A63" w:rsidR="00F8170B" w:rsidRPr="0059231D" w:rsidRDefault="00F8170B" w:rsidP="0085436C">
      <w:pPr>
        <w:pStyle w:val="BodyTextIndent"/>
        <w:numPr>
          <w:ilvl w:val="0"/>
          <w:numId w:val="32"/>
        </w:numPr>
        <w:tabs>
          <w:tab w:val="left" w:pos="709"/>
        </w:tabs>
        <w:jc w:val="both"/>
        <w:rPr>
          <w:b w:val="0"/>
          <w:color w:val="000000"/>
          <w:lang w:val="lv-LV"/>
        </w:rPr>
      </w:pPr>
      <w:r w:rsidRPr="0059231D">
        <w:rPr>
          <w:i/>
          <w:color w:val="000000"/>
          <w:lang w:val="lv-LV"/>
        </w:rPr>
        <w:t>citiem centrālās nervu sistēmas depresantiem</w:t>
      </w:r>
      <w:r w:rsidRPr="0059231D">
        <w:rPr>
          <w:b w:val="0"/>
          <w:color w:val="000000"/>
          <w:lang w:val="lv-LV"/>
        </w:rPr>
        <w:t>: citi opioīdu atvasinājumi (piemēram, pretsāpju un pretklepus līdzekļi), noteikti antidepresanti, sedatīvie H</w:t>
      </w:r>
      <w:r w:rsidRPr="0059231D">
        <w:rPr>
          <w:b w:val="0"/>
          <w:color w:val="000000"/>
          <w:vertAlign w:val="subscript"/>
          <w:lang w:val="lv-LV"/>
        </w:rPr>
        <w:t>1</w:t>
      </w:r>
      <w:r w:rsidRPr="0059231D">
        <w:rPr>
          <w:b w:val="0"/>
          <w:color w:val="000000"/>
          <w:lang w:val="lv-LV"/>
        </w:rPr>
        <w:noBreakHyphen/>
        <w:t>receptoru antagonisti, benzodiazepīni, pie benzodiazepīniem nepiederoši trauksmi mazinoši līdzekļi, neiroleptiski līdzekļi, klonidīns un līdzīg</w:t>
      </w:r>
      <w:r w:rsidR="006B7CCA" w:rsidRPr="0059231D">
        <w:rPr>
          <w:b w:val="0"/>
          <w:color w:val="000000"/>
          <w:lang w:val="lv-LV"/>
        </w:rPr>
        <w:t>as</w:t>
      </w:r>
      <w:r w:rsidRPr="0059231D">
        <w:rPr>
          <w:b w:val="0"/>
          <w:color w:val="000000"/>
          <w:lang w:val="lv-LV"/>
        </w:rPr>
        <w:t xml:space="preserve"> vielas – šīs kombinā</w:t>
      </w:r>
      <w:smartTag w:uri="urn:schemas-microsoft-com:office:smarttags" w:element="PersonName">
        <w:r w:rsidRPr="0059231D">
          <w:rPr>
            <w:b w:val="0"/>
            <w:color w:val="000000"/>
            <w:lang w:val="lv-LV"/>
          </w:rPr>
          <w:t>cija</w:t>
        </w:r>
      </w:smartTag>
      <w:r w:rsidRPr="0059231D">
        <w:rPr>
          <w:b w:val="0"/>
          <w:color w:val="000000"/>
          <w:lang w:val="lv-LV"/>
        </w:rPr>
        <w:t>s pastiprina centrālās nervu sistēmas nomākumu. Samazināta modrība var padarīt transportlīdzekļu vadīšanu un mehānismu apkalpošanu bīstamu. Bez tam, barbiturāti palielina elpošanas nomākuma risku</w:t>
      </w:r>
      <w:r w:rsidR="00C55D3E">
        <w:rPr>
          <w:b w:val="0"/>
          <w:color w:val="000000"/>
          <w:lang w:val="lv-LV"/>
        </w:rPr>
        <w:t>;</w:t>
      </w:r>
    </w:p>
    <w:p w14:paraId="41B51535" w14:textId="77777777" w:rsidR="00DE43FD" w:rsidRPr="007F4C56" w:rsidRDefault="00DE43FD" w:rsidP="00DE43FD">
      <w:pPr>
        <w:pStyle w:val="BodyTextIndent"/>
        <w:numPr>
          <w:ilvl w:val="0"/>
          <w:numId w:val="32"/>
        </w:numPr>
        <w:tabs>
          <w:tab w:val="left" w:pos="709"/>
        </w:tabs>
        <w:jc w:val="both"/>
        <w:rPr>
          <w:b w:val="0"/>
          <w:bCs w:val="0"/>
          <w:iCs/>
          <w:color w:val="000000"/>
          <w:lang w:val="lv-LV"/>
        </w:rPr>
      </w:pPr>
      <w:r w:rsidRPr="007F4C56">
        <w:rPr>
          <w:i/>
          <w:color w:val="000000"/>
          <w:lang w:val="lv-LV"/>
        </w:rPr>
        <w:t>serotonerģiskām zālēm</w:t>
      </w:r>
      <w:r w:rsidRPr="007F4C56">
        <w:rPr>
          <w:b w:val="0"/>
          <w:bCs w:val="0"/>
          <w:iCs/>
          <w:color w:val="000000"/>
          <w:lang w:val="lv-LV"/>
        </w:rPr>
        <w:t>, piemēram, MAO inhibitoriem, selektīvajiem serotonīna atpakaļsaistīšanas inhibitoriem (SSRI), serotonīna norepinefrīna atpakaļsaistīšanas inhibitoriem (SNRI) vai tricikliskajiem antidepresantiem, jo palielinās serotonīna sindroma risks, kas ir potenciāli dzīvībai bīstams stāvoklis (skatīt 4.4. apakšpunktu);</w:t>
      </w:r>
    </w:p>
    <w:p w14:paraId="5AFB60A1" w14:textId="6678815C" w:rsidR="00F8170B" w:rsidRPr="0059231D" w:rsidRDefault="00F8170B" w:rsidP="0085436C">
      <w:pPr>
        <w:pStyle w:val="BodyTextIndent"/>
        <w:numPr>
          <w:ilvl w:val="0"/>
          <w:numId w:val="32"/>
        </w:numPr>
        <w:tabs>
          <w:tab w:val="left" w:pos="709"/>
        </w:tabs>
        <w:jc w:val="both"/>
        <w:rPr>
          <w:b w:val="0"/>
          <w:color w:val="000000"/>
          <w:lang w:val="lv-LV"/>
        </w:rPr>
      </w:pPr>
      <w:r w:rsidRPr="0059231D">
        <w:rPr>
          <w:i/>
          <w:color w:val="000000"/>
          <w:lang w:val="lv-LV"/>
        </w:rPr>
        <w:t>CYP3A4 inhibitoriem</w:t>
      </w:r>
      <w:r w:rsidRPr="0059231D">
        <w:rPr>
          <w:b w:val="0"/>
          <w:color w:val="000000"/>
          <w:lang w:val="lv-LV"/>
        </w:rPr>
        <w:t>: buprenorfīna un ketokonazola (spēcīga CYP3A4 inhibitora) mijiedarbī</w:t>
      </w:r>
      <w:smartTag w:uri="urn:schemas-microsoft-com:office:smarttags" w:element="PersonName">
        <w:r w:rsidRPr="0059231D">
          <w:rPr>
            <w:b w:val="0"/>
            <w:color w:val="000000"/>
            <w:lang w:val="lv-LV"/>
          </w:rPr>
          <w:t>bas</w:t>
        </w:r>
      </w:smartTag>
      <w:r w:rsidRPr="0059231D">
        <w:rPr>
          <w:b w:val="0"/>
          <w:color w:val="000000"/>
          <w:lang w:val="lv-LV"/>
        </w:rPr>
        <w:t xml:space="preserve"> pētījumā novēroja palielinātu buprenorfīna C</w:t>
      </w:r>
      <w:r w:rsidRPr="0059231D">
        <w:rPr>
          <w:b w:val="0"/>
          <w:color w:val="000000"/>
          <w:vertAlign w:val="subscript"/>
          <w:lang w:val="lv-LV"/>
        </w:rPr>
        <w:t>max</w:t>
      </w:r>
      <w:r w:rsidRPr="0059231D">
        <w:rPr>
          <w:b w:val="0"/>
          <w:color w:val="000000"/>
          <w:lang w:val="lv-LV"/>
        </w:rPr>
        <w:t xml:space="preserve"> un AUC (laukumu zem līknes)</w:t>
      </w:r>
      <w:r w:rsidR="00EC4151" w:rsidRPr="0059231D">
        <w:rPr>
          <w:b w:val="0"/>
          <w:color w:val="000000"/>
          <w:lang w:val="lv-LV"/>
        </w:rPr>
        <w:t xml:space="preserve"> </w:t>
      </w:r>
      <w:r w:rsidRPr="0059231D">
        <w:rPr>
          <w:b w:val="0"/>
          <w:color w:val="000000"/>
          <w:lang w:val="lv-LV"/>
        </w:rPr>
        <w:t>– aptuveni attiecīgi par 50% un 70%, un mazākā mērā norbuprenofrīnam. Pacienti, kuri lieto buprenorfīnu, rūpīgi jānovēro un, lietojot vienlaicīgi ar spēcīgiem CYP3A4 inhibitoriem (piemēram, ar tādiem proteāzes inhibitoriem kā ritonavīrs, nelfinavīrs vai indinavīrs vai ar tādiem azola grupas pretsēnīšu līdzekļiem kā ketokonazols, itrakonazols, vorikonazols vai posakonazols), var būt jāsamazina deva</w:t>
      </w:r>
      <w:r w:rsidR="00C55D3E">
        <w:rPr>
          <w:b w:val="0"/>
          <w:color w:val="000000"/>
          <w:lang w:val="lv-LV"/>
        </w:rPr>
        <w:t>;</w:t>
      </w:r>
    </w:p>
    <w:p w14:paraId="78B6DA2D" w14:textId="77777777" w:rsidR="00F8170B" w:rsidRPr="0059231D" w:rsidRDefault="00F8170B" w:rsidP="0085436C">
      <w:pPr>
        <w:pStyle w:val="BodyTextIndent"/>
        <w:numPr>
          <w:ilvl w:val="0"/>
          <w:numId w:val="32"/>
        </w:numPr>
        <w:tabs>
          <w:tab w:val="left" w:pos="709"/>
        </w:tabs>
        <w:jc w:val="both"/>
        <w:rPr>
          <w:b w:val="0"/>
          <w:color w:val="000000"/>
          <w:lang w:val="lv-LV"/>
        </w:rPr>
      </w:pPr>
      <w:r w:rsidRPr="0059231D">
        <w:rPr>
          <w:i/>
          <w:color w:val="000000"/>
          <w:lang w:val="lv-LV"/>
        </w:rPr>
        <w:t>CYP3A4 induktoriem</w:t>
      </w:r>
      <w:r w:rsidRPr="0059231D">
        <w:rPr>
          <w:b w:val="0"/>
          <w:color w:val="000000"/>
          <w:lang w:val="lv-LV"/>
        </w:rPr>
        <w:t>: klīniskajā pētījumā ar veseliem brīvprātīgajiem, lietojot buprenorfīnu vienlaicīgi ar rifampicīnu vai rifabutīnu, novēroja buprenorfīna plazmas koncentrācijas samazināšanos par attiecīgi 70% un 35%, kā arī absistences simptomus 50 % no 12 brīvprātīgajiem. Tāpēc, pacientus, kuri saņem buprenorfīnu, ieteicams rūpīgi novērot, ja vienlaicīgi tiek lietoti induktori (piemēram, fenobarbitāls, karbamazepīns, fenitoīns, rifampicīns). Var būt nepieciešams attiecīgi pielāgot buprenorfīna vai CYP3A4 induktora devu.</w:t>
      </w:r>
    </w:p>
    <w:p w14:paraId="19DCDA73" w14:textId="77777777" w:rsidR="00CD10AA" w:rsidRPr="0059231D" w:rsidRDefault="00CD10AA" w:rsidP="0085436C">
      <w:pPr>
        <w:tabs>
          <w:tab w:val="clear" w:pos="567"/>
          <w:tab w:val="left" w:pos="709"/>
        </w:tabs>
        <w:spacing w:line="240" w:lineRule="auto"/>
        <w:jc w:val="both"/>
        <w:rPr>
          <w:color w:val="000000"/>
          <w:szCs w:val="22"/>
        </w:rPr>
      </w:pPr>
    </w:p>
    <w:p w14:paraId="48B5290C"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4.6</w:t>
      </w:r>
      <w:r w:rsidR="00E2542E" w:rsidRPr="0059231D">
        <w:rPr>
          <w:b/>
          <w:color w:val="000000"/>
          <w:szCs w:val="22"/>
        </w:rPr>
        <w:t>.</w:t>
      </w:r>
      <w:r w:rsidRPr="0059231D">
        <w:rPr>
          <w:b/>
          <w:color w:val="000000"/>
          <w:szCs w:val="22"/>
        </w:rPr>
        <w:tab/>
      </w:r>
      <w:r w:rsidR="0097548A" w:rsidRPr="0059231D">
        <w:rPr>
          <w:b/>
          <w:noProof/>
          <w:color w:val="000000"/>
          <w:szCs w:val="22"/>
        </w:rPr>
        <w:t xml:space="preserve">Fertilitāte, grūtniecība </w:t>
      </w:r>
      <w:r w:rsidRPr="0059231D">
        <w:rPr>
          <w:b/>
          <w:color w:val="000000"/>
          <w:szCs w:val="22"/>
        </w:rPr>
        <w:t xml:space="preserve">un </w:t>
      </w:r>
      <w:r w:rsidR="00E2542E" w:rsidRPr="0059231D">
        <w:rPr>
          <w:b/>
          <w:noProof/>
          <w:color w:val="000000"/>
          <w:szCs w:val="22"/>
        </w:rPr>
        <w:t>barošana ar krūti</w:t>
      </w:r>
    </w:p>
    <w:p w14:paraId="68F47ED5" w14:textId="77777777" w:rsidR="00AC07BB" w:rsidRPr="0059231D" w:rsidRDefault="00AC07BB" w:rsidP="0085436C">
      <w:pPr>
        <w:spacing w:line="240" w:lineRule="auto"/>
        <w:jc w:val="both"/>
        <w:rPr>
          <w:b/>
          <w:color w:val="000000"/>
          <w:szCs w:val="22"/>
        </w:rPr>
      </w:pPr>
    </w:p>
    <w:p w14:paraId="06B2AA8B" w14:textId="77777777" w:rsidR="000B163A" w:rsidRPr="00012FAC" w:rsidRDefault="000B163A" w:rsidP="0085436C">
      <w:pPr>
        <w:spacing w:line="240" w:lineRule="auto"/>
        <w:jc w:val="both"/>
        <w:rPr>
          <w:bCs/>
          <w:color w:val="000000"/>
          <w:szCs w:val="22"/>
          <w:u w:val="single"/>
        </w:rPr>
      </w:pPr>
      <w:r w:rsidRPr="00012FAC">
        <w:rPr>
          <w:bCs/>
          <w:color w:val="000000"/>
          <w:szCs w:val="22"/>
          <w:u w:val="single"/>
        </w:rPr>
        <w:t>Grūtniecība</w:t>
      </w:r>
    </w:p>
    <w:p w14:paraId="0F453EF6" w14:textId="77777777" w:rsidR="000B163A" w:rsidRPr="0059231D" w:rsidRDefault="000B163A" w:rsidP="0085436C">
      <w:pPr>
        <w:spacing w:line="240" w:lineRule="auto"/>
        <w:jc w:val="both"/>
        <w:rPr>
          <w:color w:val="000000"/>
          <w:szCs w:val="22"/>
        </w:rPr>
      </w:pPr>
      <w:r w:rsidRPr="0059231D">
        <w:rPr>
          <w:color w:val="000000"/>
          <w:szCs w:val="22"/>
        </w:rPr>
        <w:t>Ņemot vērā pieejamo informāciju un ieguvumu mātei/auglim, buprenorfīnu drīkst lietot grūtnieces. Tomēr var būt nepieciešams pielāgot dienas devu, lai uzturētu ārstēšanās efektivitāti. Ilgstoša buprenorfīna lieto</w:t>
      </w:r>
      <w:smartTag w:uri="urn:schemas-microsoft-com:office:smarttags" w:element="PersonName">
        <w:r w:rsidRPr="0059231D">
          <w:rPr>
            <w:color w:val="000000"/>
            <w:szCs w:val="22"/>
          </w:rPr>
          <w:t>šana</w:t>
        </w:r>
      </w:smartTag>
      <w:r w:rsidRPr="0059231D">
        <w:rPr>
          <w:color w:val="000000"/>
          <w:szCs w:val="22"/>
        </w:rPr>
        <w:t xml:space="preserve"> mātei grūtniecības beigu stadijā (lietojot jebkādu devu) var izraisīt abstinences sindromu jaundzimušajam (piemēram, nepārtrauktas raudas, sliktu ēšanu, miega traucējumus, uzbudinājumu, trīci, hipertoniju, miokloniju vai krampjus). Parasti šīs sindroms ir aizkavēts no dažām stundām līdz pat dažām dienām pēc dzimšanas. Ziņots arī par elpošanas nomākumu jaundzimušajiem. Tādejādi, ja māte ir ārstējusies līdz pat grūtniecības beigām, pirmajās dienās pēc dzimšanas jāapsver nepieciešamība novērot jaundzimušo.</w:t>
      </w:r>
    </w:p>
    <w:p w14:paraId="6E8D1A23" w14:textId="77777777" w:rsidR="000B163A" w:rsidRPr="0059231D" w:rsidRDefault="000B163A" w:rsidP="0085436C">
      <w:pPr>
        <w:spacing w:line="240" w:lineRule="auto"/>
        <w:jc w:val="both"/>
        <w:rPr>
          <w:color w:val="000000"/>
          <w:szCs w:val="22"/>
        </w:rPr>
      </w:pPr>
    </w:p>
    <w:p w14:paraId="3630A874" w14:textId="77777777" w:rsidR="000B163A" w:rsidRPr="00012FAC" w:rsidRDefault="00696E97" w:rsidP="0085436C">
      <w:pPr>
        <w:spacing w:line="240" w:lineRule="auto"/>
        <w:jc w:val="both"/>
        <w:rPr>
          <w:bCs/>
          <w:color w:val="000000"/>
          <w:szCs w:val="22"/>
          <w:u w:val="single"/>
        </w:rPr>
      </w:pPr>
      <w:r w:rsidRPr="00012FAC">
        <w:rPr>
          <w:bCs/>
          <w:color w:val="000000"/>
          <w:szCs w:val="22"/>
          <w:u w:val="single"/>
        </w:rPr>
        <w:t>Barošana ar krūti</w:t>
      </w:r>
    </w:p>
    <w:p w14:paraId="03BB27D0" w14:textId="77777777" w:rsidR="000B163A" w:rsidRPr="0059231D" w:rsidRDefault="000B163A" w:rsidP="0085436C">
      <w:pPr>
        <w:spacing w:line="240" w:lineRule="auto"/>
        <w:jc w:val="both"/>
        <w:rPr>
          <w:color w:val="000000"/>
          <w:szCs w:val="22"/>
        </w:rPr>
      </w:pPr>
      <w:r w:rsidRPr="0059231D">
        <w:rPr>
          <w:color w:val="000000"/>
          <w:szCs w:val="22"/>
        </w:rPr>
        <w:lastRenderedPageBreak/>
        <w:t>Neliels daudzums buprenorfīna un tā metabolītu izdalās cilvēka mātes pienā. Šis daudzums nav pietiekams, lai novērstu absistences sindromu, kas varētu aizkavēti parādīties ar krūti barotiem zīdaiņiem. Pēc individuāla riska faktoru izvērtēšanas, var tikt apsvērta buprenorfīna lietošana mātēm, kuras baro bērnu ar krūti.</w:t>
      </w:r>
    </w:p>
    <w:p w14:paraId="3DF2F67B" w14:textId="77777777" w:rsidR="000B163A" w:rsidRPr="0059231D" w:rsidRDefault="000B163A" w:rsidP="0085436C">
      <w:pPr>
        <w:spacing w:line="240" w:lineRule="auto"/>
        <w:jc w:val="both"/>
        <w:rPr>
          <w:color w:val="000000"/>
          <w:szCs w:val="22"/>
        </w:rPr>
      </w:pPr>
    </w:p>
    <w:p w14:paraId="2CE6B50F" w14:textId="77777777" w:rsidR="000B163A" w:rsidRPr="00012FAC" w:rsidRDefault="000B163A" w:rsidP="0085436C">
      <w:pPr>
        <w:spacing w:line="240" w:lineRule="auto"/>
        <w:jc w:val="both"/>
        <w:rPr>
          <w:bCs/>
          <w:color w:val="000000"/>
          <w:szCs w:val="22"/>
          <w:u w:val="single"/>
        </w:rPr>
      </w:pPr>
      <w:r w:rsidRPr="00012FAC">
        <w:rPr>
          <w:bCs/>
          <w:color w:val="000000"/>
          <w:szCs w:val="22"/>
          <w:u w:val="single"/>
        </w:rPr>
        <w:t>Fertilitāte</w:t>
      </w:r>
    </w:p>
    <w:p w14:paraId="29BCDB44" w14:textId="77777777" w:rsidR="000B163A" w:rsidRPr="0059231D" w:rsidRDefault="000B163A" w:rsidP="0085436C">
      <w:pPr>
        <w:tabs>
          <w:tab w:val="clear" w:pos="567"/>
        </w:tabs>
        <w:spacing w:line="240" w:lineRule="auto"/>
        <w:jc w:val="both"/>
        <w:rPr>
          <w:color w:val="000000"/>
          <w:szCs w:val="22"/>
          <w:lang w:eastAsia="en-GB"/>
        </w:rPr>
      </w:pPr>
      <w:r w:rsidRPr="0059231D">
        <w:rPr>
          <w:color w:val="000000"/>
          <w:szCs w:val="22"/>
          <w:lang w:eastAsia="en-GB"/>
        </w:rPr>
        <w:t>Pētījumā, kas veikts ar pelēm, lietojot farmakoloģiskas devas, ārstētiem dzīvniekiem novērota sēklinieku atrofija un tubulāra mineralizācija.</w:t>
      </w:r>
    </w:p>
    <w:p w14:paraId="4D3478DF" w14:textId="77777777" w:rsidR="000B163A" w:rsidRPr="0059231D" w:rsidRDefault="000B163A" w:rsidP="0085436C">
      <w:pPr>
        <w:pStyle w:val="BodyTextIndent"/>
        <w:ind w:left="0" w:firstLine="0"/>
        <w:jc w:val="both"/>
        <w:rPr>
          <w:b w:val="0"/>
          <w:bCs w:val="0"/>
          <w:color w:val="000000"/>
          <w:lang w:val="lv-LV"/>
        </w:rPr>
      </w:pPr>
      <w:r w:rsidRPr="0059231D">
        <w:rPr>
          <w:b w:val="0"/>
          <w:bCs w:val="0"/>
          <w:color w:val="000000"/>
          <w:lang w:val="lv-LV"/>
        </w:rPr>
        <w:t>Pētījumos ar žurkām nav novērota nelabvēlīga ietekme uz auglību, lai gan ir novērotas apgrūtinātas dzemdības (skatīt 5.3. apakšpunktu</w:t>
      </w:r>
      <w:r w:rsidR="00B80BFC" w:rsidRPr="0059231D">
        <w:rPr>
          <w:b w:val="0"/>
          <w:bCs w:val="0"/>
          <w:color w:val="000000"/>
          <w:lang w:val="lv-LV"/>
        </w:rPr>
        <w:t>)</w:t>
      </w:r>
      <w:r w:rsidRPr="0059231D">
        <w:rPr>
          <w:b w:val="0"/>
          <w:bCs w:val="0"/>
          <w:color w:val="000000"/>
          <w:lang w:val="lv-LV"/>
        </w:rPr>
        <w:t>.</w:t>
      </w:r>
    </w:p>
    <w:p w14:paraId="710DF38D" w14:textId="77777777" w:rsidR="00CD10AA" w:rsidRPr="0059231D" w:rsidRDefault="00CD10AA" w:rsidP="0085436C">
      <w:pPr>
        <w:tabs>
          <w:tab w:val="clear" w:pos="567"/>
        </w:tabs>
        <w:spacing w:line="240" w:lineRule="auto"/>
        <w:jc w:val="both"/>
        <w:rPr>
          <w:color w:val="000000"/>
          <w:szCs w:val="22"/>
        </w:rPr>
      </w:pPr>
    </w:p>
    <w:p w14:paraId="3F4561AF"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4.7</w:t>
      </w:r>
      <w:r w:rsidR="00ED4652" w:rsidRPr="0059231D">
        <w:rPr>
          <w:b/>
          <w:color w:val="000000"/>
          <w:szCs w:val="22"/>
        </w:rPr>
        <w:t>.</w:t>
      </w:r>
      <w:r w:rsidRPr="0059231D">
        <w:rPr>
          <w:b/>
          <w:color w:val="000000"/>
          <w:szCs w:val="22"/>
        </w:rPr>
        <w:tab/>
        <w:t>Ietekme uz spēju vadīt transportlīdzekļus un apkalpot mehānismus</w:t>
      </w:r>
    </w:p>
    <w:p w14:paraId="63C13AFB" w14:textId="77777777" w:rsidR="00AC07BB" w:rsidRPr="0059231D" w:rsidRDefault="00AC07BB" w:rsidP="0085436C">
      <w:pPr>
        <w:pStyle w:val="BodyTextIndent"/>
        <w:ind w:left="0" w:firstLine="0"/>
        <w:jc w:val="both"/>
        <w:rPr>
          <w:b w:val="0"/>
          <w:color w:val="000000"/>
          <w:lang w:val="lv-LV"/>
        </w:rPr>
      </w:pPr>
    </w:p>
    <w:p w14:paraId="0700A92C" w14:textId="77777777" w:rsidR="004C1189" w:rsidRPr="0059231D" w:rsidRDefault="004C1189" w:rsidP="0085436C">
      <w:pPr>
        <w:pStyle w:val="BodyTextIndent"/>
        <w:ind w:left="0" w:firstLine="0"/>
        <w:jc w:val="both"/>
        <w:rPr>
          <w:b w:val="0"/>
          <w:color w:val="000000"/>
          <w:lang w:val="lv-LV"/>
        </w:rPr>
      </w:pPr>
      <w:r w:rsidRPr="0059231D">
        <w:rPr>
          <w:b w:val="0"/>
          <w:color w:val="000000"/>
          <w:lang w:val="lv-LV"/>
        </w:rPr>
        <w:t>Buprenorfīns, lietojot to pacientiem, kuri ir atkarīgi no opioīdiem, maz vai mēreni ietekmē spēju vadīt transportlīdzekļus un apkalpot mehānismus. Šīs zāles var izraisīt miegainību, reiboni vai domāšanas traucējumus, it īpaši, uzsākot ārstēšanu un pielāgojot devu. Lietojot kopā ar alkoholu vai centrālo nervu sistēmu nomācošiem līdzekļiem, sagaidāma izteiktāka iedarbība (skatīt 4.4. un 4.5. apakšpunktu).</w:t>
      </w:r>
    </w:p>
    <w:p w14:paraId="3F66A55F" w14:textId="77777777" w:rsidR="004C1189" w:rsidRPr="0059231D" w:rsidRDefault="004C1189" w:rsidP="0085436C">
      <w:pPr>
        <w:pStyle w:val="BodyTextIndent"/>
        <w:ind w:left="0" w:firstLine="0"/>
        <w:jc w:val="both"/>
        <w:rPr>
          <w:rStyle w:val="BodyTextCharChar"/>
          <w:rFonts w:ascii="Times New Roman" w:hAnsi="Times New Roman" w:cs="Times New Roman"/>
          <w:b w:val="0"/>
          <w:color w:val="000000"/>
          <w:sz w:val="22"/>
          <w:szCs w:val="22"/>
          <w:lang w:val="lv-LV"/>
        </w:rPr>
      </w:pPr>
      <w:r w:rsidRPr="0059231D">
        <w:rPr>
          <w:b w:val="0"/>
          <w:color w:val="000000"/>
          <w:lang w:val="lv-LV"/>
        </w:rPr>
        <w:t>Pacienti ir jābrīdina par transportlīdzekļu vadīšanu vai bīstamu mehānismu apkalpošanu, jo buprenorfīns var ietekmēt viņu spēju veikt šādas darbības.</w:t>
      </w:r>
    </w:p>
    <w:p w14:paraId="5FE303AD" w14:textId="77777777" w:rsidR="00CD10AA" w:rsidRPr="0059231D" w:rsidRDefault="00CD10AA" w:rsidP="0085436C">
      <w:pPr>
        <w:tabs>
          <w:tab w:val="clear" w:pos="567"/>
        </w:tabs>
        <w:spacing w:line="240" w:lineRule="auto"/>
        <w:jc w:val="both"/>
        <w:rPr>
          <w:color w:val="000000"/>
          <w:szCs w:val="22"/>
        </w:rPr>
      </w:pPr>
    </w:p>
    <w:p w14:paraId="2310FFB5"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4.8</w:t>
      </w:r>
      <w:r w:rsidR="002A61E1" w:rsidRPr="0059231D">
        <w:rPr>
          <w:b/>
          <w:color w:val="000000"/>
          <w:szCs w:val="22"/>
        </w:rPr>
        <w:t>.</w:t>
      </w:r>
      <w:r w:rsidRPr="0059231D">
        <w:rPr>
          <w:b/>
          <w:color w:val="000000"/>
          <w:szCs w:val="22"/>
        </w:rPr>
        <w:tab/>
        <w:t>Nevēlamās blakusparādības</w:t>
      </w:r>
    </w:p>
    <w:p w14:paraId="5E2E7FE5" w14:textId="77777777" w:rsidR="00AC07BB" w:rsidRPr="0059231D" w:rsidRDefault="00AC07BB" w:rsidP="0085436C">
      <w:pPr>
        <w:spacing w:line="240" w:lineRule="auto"/>
        <w:jc w:val="both"/>
        <w:outlineLvl w:val="0"/>
        <w:rPr>
          <w:iCs/>
          <w:color w:val="000000"/>
          <w:szCs w:val="22"/>
          <w:u w:val="single"/>
        </w:rPr>
      </w:pPr>
    </w:p>
    <w:p w14:paraId="38ED566C" w14:textId="77777777" w:rsidR="001C35FC" w:rsidRPr="0059231D" w:rsidRDefault="00B93C70" w:rsidP="0085436C">
      <w:pPr>
        <w:spacing w:line="240" w:lineRule="auto"/>
        <w:jc w:val="both"/>
        <w:outlineLvl w:val="0"/>
        <w:rPr>
          <w:color w:val="000000"/>
          <w:szCs w:val="22"/>
          <w:u w:val="single"/>
        </w:rPr>
      </w:pPr>
      <w:r w:rsidRPr="0059231D">
        <w:rPr>
          <w:iCs/>
          <w:color w:val="000000"/>
          <w:szCs w:val="22"/>
          <w:u w:val="single"/>
        </w:rPr>
        <w:t>Drošuma</w:t>
      </w:r>
      <w:r w:rsidR="001C35FC" w:rsidRPr="0059231D">
        <w:rPr>
          <w:iCs/>
          <w:color w:val="000000"/>
          <w:szCs w:val="22"/>
          <w:u w:val="single"/>
        </w:rPr>
        <w:t xml:space="preserve"> profila kopsavilkums</w:t>
      </w:r>
    </w:p>
    <w:p w14:paraId="04194C19" w14:textId="77777777" w:rsidR="001C35FC" w:rsidRPr="0059231D" w:rsidRDefault="001C35FC" w:rsidP="0085436C">
      <w:pPr>
        <w:pStyle w:val="BodyTextIndent"/>
        <w:ind w:left="0" w:firstLine="0"/>
        <w:jc w:val="both"/>
        <w:rPr>
          <w:b w:val="0"/>
          <w:color w:val="000000"/>
          <w:lang w:val="lv-LV"/>
        </w:rPr>
      </w:pPr>
      <w:r w:rsidRPr="0059231D">
        <w:rPr>
          <w:b w:val="0"/>
          <w:snapToGrid w:val="0"/>
          <w:color w:val="000000"/>
          <w:lang w:val="lv-LV"/>
        </w:rPr>
        <w:t>Pivotālos klīniskajos pētījumos visbiežākās ziņotās terapijas izraisītās nevēlamās blakusparādības bija tās, kas saistītas ar zāļu lietošanas pārtraukšanu</w:t>
      </w:r>
      <w:r w:rsidRPr="0059231D" w:rsidDel="00F52C32">
        <w:rPr>
          <w:b w:val="0"/>
          <w:snapToGrid w:val="0"/>
          <w:color w:val="000000"/>
          <w:lang w:val="lv-LV"/>
        </w:rPr>
        <w:t xml:space="preserve"> </w:t>
      </w:r>
      <w:r w:rsidRPr="0059231D">
        <w:rPr>
          <w:b w:val="0"/>
          <w:snapToGrid w:val="0"/>
          <w:color w:val="000000"/>
          <w:lang w:val="lv-LV"/>
        </w:rPr>
        <w:t>(t.i., bezmiegs, galvassāpes, slikta dūša un pastiprināta svīšana).</w:t>
      </w:r>
    </w:p>
    <w:p w14:paraId="59890CE8" w14:textId="77777777" w:rsidR="001C35FC" w:rsidRPr="0059231D" w:rsidRDefault="001C35FC" w:rsidP="0085436C">
      <w:pPr>
        <w:spacing w:line="240" w:lineRule="auto"/>
        <w:jc w:val="both"/>
        <w:rPr>
          <w:color w:val="000000"/>
          <w:szCs w:val="22"/>
        </w:rPr>
      </w:pPr>
    </w:p>
    <w:p w14:paraId="79C11877" w14:textId="77777777" w:rsidR="001C35FC" w:rsidRPr="0059231D" w:rsidRDefault="001C35FC" w:rsidP="0085436C">
      <w:pPr>
        <w:spacing w:line="240" w:lineRule="auto"/>
        <w:jc w:val="both"/>
        <w:rPr>
          <w:color w:val="000000"/>
          <w:szCs w:val="22"/>
          <w:u w:val="single"/>
        </w:rPr>
      </w:pPr>
      <w:r w:rsidRPr="0059231D">
        <w:rPr>
          <w:color w:val="000000"/>
          <w:szCs w:val="22"/>
          <w:u w:val="single"/>
        </w:rPr>
        <w:t>Nevēlam</w:t>
      </w:r>
      <w:r w:rsidR="00DD2121">
        <w:rPr>
          <w:color w:val="000000"/>
          <w:szCs w:val="22"/>
          <w:u w:val="single"/>
        </w:rPr>
        <w:t>o</w:t>
      </w:r>
      <w:r w:rsidRPr="0059231D">
        <w:rPr>
          <w:color w:val="000000"/>
          <w:szCs w:val="22"/>
          <w:u w:val="single"/>
        </w:rPr>
        <w:t xml:space="preserve"> blakusparādīb</w:t>
      </w:r>
      <w:r w:rsidR="00DD2121">
        <w:rPr>
          <w:color w:val="000000"/>
          <w:szCs w:val="22"/>
          <w:u w:val="single"/>
        </w:rPr>
        <w:t>u</w:t>
      </w:r>
      <w:r w:rsidRPr="0059231D">
        <w:rPr>
          <w:color w:val="000000"/>
          <w:szCs w:val="22"/>
          <w:u w:val="single"/>
        </w:rPr>
        <w:t xml:space="preserve"> </w:t>
      </w:r>
      <w:r w:rsidR="00DD2121">
        <w:rPr>
          <w:color w:val="000000"/>
          <w:szCs w:val="22"/>
          <w:u w:val="single"/>
        </w:rPr>
        <w:t xml:space="preserve">saraksts </w:t>
      </w:r>
      <w:r w:rsidRPr="0059231D">
        <w:rPr>
          <w:color w:val="000000"/>
          <w:szCs w:val="22"/>
          <w:u w:val="single"/>
        </w:rPr>
        <w:t>tabulas veidā</w:t>
      </w:r>
    </w:p>
    <w:p w14:paraId="7FD4748E" w14:textId="77777777" w:rsidR="001C35FC" w:rsidRPr="0059231D" w:rsidRDefault="001C35FC" w:rsidP="0085436C">
      <w:pPr>
        <w:pStyle w:val="BodyTextIndent"/>
        <w:ind w:left="0" w:firstLine="0"/>
        <w:jc w:val="both"/>
        <w:rPr>
          <w:b w:val="0"/>
          <w:snapToGrid w:val="0"/>
          <w:color w:val="000000"/>
          <w:lang w:val="lv-LV"/>
        </w:rPr>
      </w:pPr>
      <w:r w:rsidRPr="0059231D">
        <w:rPr>
          <w:b w:val="0"/>
          <w:snapToGrid w:val="0"/>
          <w:color w:val="000000"/>
          <w:lang w:val="lv-LV"/>
        </w:rPr>
        <w:t>1. tabulā apkopotas nevēlamās blakusparādības, par kurām pivotālos klīniskajos pētījumos ziņots biežāk pacientiem, kuri lietoja buprenorfīnu (n=103) salīdzinājumā ar placebo (n=107).</w:t>
      </w:r>
    </w:p>
    <w:p w14:paraId="14885803" w14:textId="77777777" w:rsidR="001C35FC" w:rsidRPr="0059231D" w:rsidRDefault="001C35FC" w:rsidP="0085436C">
      <w:pPr>
        <w:pStyle w:val="EMEAEnBodyText"/>
        <w:spacing w:before="0" w:after="0"/>
        <w:rPr>
          <w:bCs/>
          <w:noProof/>
          <w:color w:val="000000"/>
          <w:szCs w:val="22"/>
          <w:lang w:val="lv-LV"/>
        </w:rPr>
      </w:pPr>
      <w:r w:rsidRPr="0059231D">
        <w:rPr>
          <w:color w:val="000000"/>
          <w:szCs w:val="22"/>
          <w:lang w:val="lv-LV"/>
        </w:rPr>
        <w:t xml:space="preserve">Zemāk uzskaitīto iespējamo blakusparādību sastopamības biežums tiek definēts izmantojot sekojošu klasifikāciju: </w:t>
      </w:r>
      <w:r w:rsidRPr="0059231D">
        <w:rPr>
          <w:bCs/>
          <w:noProof/>
          <w:color w:val="000000"/>
          <w:szCs w:val="22"/>
          <w:lang w:val="lv-LV"/>
        </w:rPr>
        <w:t>ļoti bieži (</w:t>
      </w:r>
      <w:r w:rsidRPr="0059231D">
        <w:rPr>
          <w:bCs/>
          <w:noProof/>
          <w:color w:val="000000"/>
          <w:szCs w:val="22"/>
          <w:lang w:val="lv-LV"/>
        </w:rPr>
        <w:sym w:font="Symbol" w:char="F0B3"/>
      </w:r>
      <w:r w:rsidRPr="0059231D">
        <w:rPr>
          <w:bCs/>
          <w:noProof/>
          <w:color w:val="000000"/>
          <w:szCs w:val="22"/>
          <w:lang w:val="lv-LV"/>
        </w:rPr>
        <w:t>1/10), bieži (</w:t>
      </w:r>
      <w:r w:rsidRPr="0059231D">
        <w:rPr>
          <w:bCs/>
          <w:noProof/>
          <w:color w:val="000000"/>
          <w:szCs w:val="22"/>
          <w:lang w:val="lv-LV"/>
        </w:rPr>
        <w:sym w:font="Symbol" w:char="F0B3"/>
      </w:r>
      <w:r w:rsidRPr="0059231D">
        <w:rPr>
          <w:bCs/>
          <w:noProof/>
          <w:color w:val="000000"/>
          <w:szCs w:val="22"/>
          <w:lang w:val="lv-LV"/>
        </w:rPr>
        <w:t>1/100 līdz &lt;1/10), retāk (</w:t>
      </w:r>
      <w:r w:rsidRPr="0059231D">
        <w:rPr>
          <w:bCs/>
          <w:noProof/>
          <w:color w:val="000000"/>
          <w:szCs w:val="22"/>
          <w:lang w:val="lv-LV"/>
        </w:rPr>
        <w:sym w:font="Symbol" w:char="F0B3"/>
      </w:r>
      <w:r w:rsidRPr="0059231D">
        <w:rPr>
          <w:bCs/>
          <w:noProof/>
          <w:color w:val="000000"/>
          <w:szCs w:val="22"/>
          <w:lang w:val="lv-LV"/>
        </w:rPr>
        <w:t>1/1 000 līdz &lt;1/100), reti (</w:t>
      </w:r>
      <w:r w:rsidRPr="0059231D">
        <w:rPr>
          <w:bCs/>
          <w:noProof/>
          <w:color w:val="000000"/>
          <w:szCs w:val="22"/>
          <w:lang w:val="lv-LV"/>
        </w:rPr>
        <w:sym w:font="Symbol" w:char="F0B3"/>
      </w:r>
      <w:r w:rsidRPr="0059231D">
        <w:rPr>
          <w:bCs/>
          <w:noProof/>
          <w:color w:val="000000"/>
          <w:szCs w:val="22"/>
          <w:lang w:val="lv-LV"/>
        </w:rPr>
        <w:t>1/10 000 līdz &lt;1/1 000) un ļoti reti (&lt;1/10 000).</w:t>
      </w:r>
    </w:p>
    <w:p w14:paraId="4DA51845" w14:textId="77777777" w:rsidR="001C35FC" w:rsidRPr="0059231D" w:rsidRDefault="001C35FC" w:rsidP="0085436C">
      <w:pPr>
        <w:pStyle w:val="EMEAEnBodyText"/>
        <w:spacing w:before="0" w:after="0"/>
        <w:rPr>
          <w:bCs/>
          <w:noProof/>
          <w:color w:val="000000"/>
          <w:szCs w:val="22"/>
          <w:lang w:val="lv-LV"/>
        </w:rPr>
      </w:pPr>
      <w:r w:rsidRPr="0059231D">
        <w:rPr>
          <w:snapToGrid w:val="0"/>
          <w:color w:val="000000"/>
          <w:szCs w:val="22"/>
          <w:lang w:val="lv-LV"/>
        </w:rPr>
        <w:t xml:space="preserve">1. tabulā atspoguļotas arī visbiežāk ziņotās blakusparādībās, par kurām ziņots </w:t>
      </w:r>
      <w:r w:rsidR="00615B15">
        <w:rPr>
          <w:snapToGrid w:val="0"/>
          <w:color w:val="000000"/>
          <w:szCs w:val="22"/>
          <w:lang w:val="lv-LV"/>
        </w:rPr>
        <w:t>RAĪ</w:t>
      </w:r>
      <w:r w:rsidR="00615B15" w:rsidRPr="0059231D">
        <w:rPr>
          <w:snapToGrid w:val="0"/>
          <w:color w:val="000000"/>
          <w:szCs w:val="22"/>
          <w:lang w:val="lv-LV"/>
        </w:rPr>
        <w:t xml:space="preserve"> </w:t>
      </w:r>
      <w:r w:rsidRPr="0059231D">
        <w:rPr>
          <w:snapToGrid w:val="0"/>
          <w:color w:val="000000"/>
          <w:szCs w:val="22"/>
          <w:lang w:val="lv-LV"/>
        </w:rPr>
        <w:t>globālajā droš</w:t>
      </w:r>
      <w:r w:rsidR="001A3E18">
        <w:rPr>
          <w:snapToGrid w:val="0"/>
          <w:color w:val="000000"/>
          <w:szCs w:val="22"/>
          <w:lang w:val="lv-LV"/>
        </w:rPr>
        <w:t>uma</w:t>
      </w:r>
      <w:r w:rsidRPr="0059231D">
        <w:rPr>
          <w:snapToGrid w:val="0"/>
          <w:color w:val="000000"/>
          <w:szCs w:val="22"/>
          <w:lang w:val="lv-LV"/>
        </w:rPr>
        <w:t xml:space="preserve"> datu bāzē, kas identificētas visa cita veida klīniskajā pieredzē un pēcreģistrācijas novērošanas periodā. Sastopamības biežums nav zināms, ja blakusparādība netika identificēta pivotālā klīniskajā pētījumā.</w:t>
      </w:r>
    </w:p>
    <w:p w14:paraId="51A0FD36" w14:textId="77777777" w:rsidR="001C35FC" w:rsidRPr="0059231D" w:rsidRDefault="001C35FC" w:rsidP="0085436C">
      <w:pPr>
        <w:spacing w:line="240" w:lineRule="auto"/>
        <w:jc w:val="both"/>
        <w:rPr>
          <w:color w:val="000000"/>
          <w:szCs w:val="22"/>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381"/>
        <w:gridCol w:w="1616"/>
        <w:gridCol w:w="820"/>
        <w:gridCol w:w="1497"/>
        <w:gridCol w:w="635"/>
        <w:gridCol w:w="1904"/>
      </w:tblGrid>
      <w:tr w:rsidR="001C35FC" w:rsidRPr="0059231D" w14:paraId="42C0CB66" w14:textId="77777777" w:rsidTr="001C35FC">
        <w:tc>
          <w:tcPr>
            <w:tcW w:w="9456" w:type="dxa"/>
            <w:gridSpan w:val="7"/>
          </w:tcPr>
          <w:p w14:paraId="281EDAE8" w14:textId="77777777" w:rsidR="001C35FC" w:rsidRPr="0059231D" w:rsidRDefault="001C35FC" w:rsidP="0085436C">
            <w:pPr>
              <w:pStyle w:val="reg11"/>
              <w:ind w:left="0"/>
              <w:rPr>
                <w:rFonts w:ascii="Times New Roman" w:hAnsi="Times New Roman" w:cs="Times New Roman"/>
                <w:b/>
                <w:spacing w:val="0"/>
                <w:lang w:val="lv-LV"/>
              </w:rPr>
            </w:pPr>
            <w:r w:rsidRPr="0059231D">
              <w:rPr>
                <w:rFonts w:ascii="Times New Roman" w:hAnsi="Times New Roman" w:cs="Times New Roman"/>
                <w:b/>
                <w:bCs/>
                <w:spacing w:val="0"/>
                <w:lang w:val="lv-LV"/>
              </w:rPr>
              <w:t>1. tabula. Blakusparādības, kas novērotas pivotālā klīniskajā pētījumā un/vai pēcreģistrācijas novērošanas periodā, uzskaitot tās atbilstoši orgānu sistēmām</w:t>
            </w:r>
          </w:p>
        </w:tc>
      </w:tr>
      <w:tr w:rsidR="001C35FC" w:rsidRPr="0059231D" w14:paraId="4D3768E0" w14:textId="77777777" w:rsidTr="00EC4151">
        <w:tc>
          <w:tcPr>
            <w:tcW w:w="1603" w:type="dxa"/>
          </w:tcPr>
          <w:p w14:paraId="7947EF14" w14:textId="77777777" w:rsidR="001C35FC" w:rsidRPr="0059231D" w:rsidRDefault="001C35FC" w:rsidP="0085436C">
            <w:pPr>
              <w:pStyle w:val="reg11"/>
              <w:ind w:left="0"/>
              <w:rPr>
                <w:rFonts w:ascii="Times New Roman" w:hAnsi="Times New Roman" w:cs="Times New Roman"/>
                <w:b/>
                <w:spacing w:val="0"/>
                <w:lang w:val="lv-LV"/>
              </w:rPr>
            </w:pPr>
            <w:r w:rsidRPr="0059231D">
              <w:rPr>
                <w:rFonts w:ascii="Times New Roman" w:hAnsi="Times New Roman" w:cs="Times New Roman"/>
                <w:b/>
                <w:spacing w:val="0"/>
                <w:lang w:val="lv-LV"/>
              </w:rPr>
              <w:t>O</w:t>
            </w:r>
            <w:r w:rsidR="00EC4151" w:rsidRPr="0059231D">
              <w:rPr>
                <w:rFonts w:ascii="Times New Roman" w:hAnsi="Times New Roman" w:cs="Times New Roman"/>
                <w:b/>
                <w:spacing w:val="0"/>
                <w:lang w:val="lv-LV"/>
              </w:rPr>
              <w:t>r</w:t>
            </w:r>
            <w:r w:rsidRPr="0059231D">
              <w:rPr>
                <w:rFonts w:ascii="Times New Roman" w:hAnsi="Times New Roman" w:cs="Times New Roman"/>
                <w:b/>
                <w:spacing w:val="0"/>
                <w:lang w:val="lv-LV"/>
              </w:rPr>
              <w:t>gānu sistēma</w:t>
            </w:r>
          </w:p>
        </w:tc>
        <w:tc>
          <w:tcPr>
            <w:tcW w:w="1381" w:type="dxa"/>
          </w:tcPr>
          <w:p w14:paraId="57ABC91A" w14:textId="77777777" w:rsidR="001C35FC" w:rsidRPr="0059231D" w:rsidRDefault="001C35FC" w:rsidP="0085436C">
            <w:pPr>
              <w:pStyle w:val="reg11"/>
              <w:ind w:left="0"/>
              <w:rPr>
                <w:rFonts w:ascii="Times New Roman" w:hAnsi="Times New Roman" w:cs="Times New Roman"/>
                <w:b/>
                <w:spacing w:val="0"/>
                <w:lang w:val="lv-LV"/>
              </w:rPr>
            </w:pPr>
            <w:r w:rsidRPr="0059231D">
              <w:rPr>
                <w:rFonts w:ascii="Times New Roman" w:hAnsi="Times New Roman" w:cs="Times New Roman"/>
                <w:b/>
                <w:spacing w:val="0"/>
                <w:lang w:val="lv-LV"/>
              </w:rPr>
              <w:t>Ļoti bieži</w:t>
            </w:r>
          </w:p>
        </w:tc>
        <w:tc>
          <w:tcPr>
            <w:tcW w:w="1616" w:type="dxa"/>
            <w:tcMar>
              <w:left w:w="6" w:type="dxa"/>
              <w:right w:w="6" w:type="dxa"/>
            </w:tcMar>
          </w:tcPr>
          <w:p w14:paraId="744EC794" w14:textId="77777777" w:rsidR="001C35FC" w:rsidRPr="0059231D" w:rsidRDefault="001C35FC" w:rsidP="0085436C">
            <w:pPr>
              <w:pStyle w:val="reg11"/>
              <w:ind w:left="0"/>
              <w:rPr>
                <w:rFonts w:ascii="Times New Roman" w:hAnsi="Times New Roman" w:cs="Times New Roman"/>
                <w:b/>
                <w:spacing w:val="0"/>
                <w:lang w:val="lv-LV"/>
              </w:rPr>
            </w:pPr>
            <w:r w:rsidRPr="0059231D">
              <w:rPr>
                <w:rFonts w:ascii="Times New Roman" w:hAnsi="Times New Roman" w:cs="Times New Roman"/>
                <w:b/>
                <w:spacing w:val="0"/>
                <w:lang w:val="lv-LV"/>
              </w:rPr>
              <w:t>Bieži</w:t>
            </w:r>
          </w:p>
        </w:tc>
        <w:tc>
          <w:tcPr>
            <w:tcW w:w="820" w:type="dxa"/>
          </w:tcPr>
          <w:p w14:paraId="0D4B7081" w14:textId="77777777" w:rsidR="001C35FC" w:rsidRPr="0059231D" w:rsidRDefault="001C35FC" w:rsidP="0085436C">
            <w:pPr>
              <w:pStyle w:val="reg11"/>
              <w:ind w:left="0"/>
              <w:rPr>
                <w:rFonts w:ascii="Times New Roman" w:hAnsi="Times New Roman" w:cs="Times New Roman"/>
                <w:b/>
                <w:spacing w:val="0"/>
                <w:lang w:val="lv-LV"/>
              </w:rPr>
            </w:pPr>
            <w:r w:rsidRPr="0059231D">
              <w:rPr>
                <w:rFonts w:ascii="Times New Roman" w:hAnsi="Times New Roman" w:cs="Times New Roman"/>
                <w:b/>
                <w:spacing w:val="0"/>
                <w:lang w:val="lv-LV"/>
              </w:rPr>
              <w:t>Retāk</w:t>
            </w:r>
          </w:p>
        </w:tc>
        <w:tc>
          <w:tcPr>
            <w:tcW w:w="1497" w:type="dxa"/>
          </w:tcPr>
          <w:p w14:paraId="2227C288" w14:textId="77777777" w:rsidR="001C35FC" w:rsidRPr="0059231D" w:rsidRDefault="001C35FC" w:rsidP="0085436C">
            <w:pPr>
              <w:pStyle w:val="reg11"/>
              <w:ind w:left="0"/>
              <w:rPr>
                <w:rFonts w:ascii="Times New Roman" w:hAnsi="Times New Roman" w:cs="Times New Roman"/>
                <w:b/>
                <w:spacing w:val="0"/>
                <w:lang w:val="lv-LV"/>
              </w:rPr>
            </w:pPr>
            <w:r w:rsidRPr="0059231D">
              <w:rPr>
                <w:rFonts w:ascii="Times New Roman" w:hAnsi="Times New Roman" w:cs="Times New Roman"/>
                <w:b/>
                <w:spacing w:val="0"/>
                <w:lang w:val="lv-LV"/>
              </w:rPr>
              <w:t>Reti</w:t>
            </w:r>
          </w:p>
        </w:tc>
        <w:tc>
          <w:tcPr>
            <w:tcW w:w="635" w:type="dxa"/>
          </w:tcPr>
          <w:p w14:paraId="6A5EA1B0" w14:textId="77777777" w:rsidR="001C35FC" w:rsidRPr="0059231D" w:rsidRDefault="001C35FC" w:rsidP="0085436C">
            <w:pPr>
              <w:pStyle w:val="reg11"/>
              <w:ind w:left="0"/>
              <w:rPr>
                <w:rFonts w:ascii="Times New Roman" w:hAnsi="Times New Roman" w:cs="Times New Roman"/>
                <w:b/>
                <w:spacing w:val="0"/>
                <w:lang w:val="lv-LV"/>
              </w:rPr>
            </w:pPr>
            <w:r w:rsidRPr="0059231D">
              <w:rPr>
                <w:rFonts w:ascii="Times New Roman" w:hAnsi="Times New Roman" w:cs="Times New Roman"/>
                <w:b/>
                <w:spacing w:val="0"/>
                <w:lang w:val="lv-LV"/>
              </w:rPr>
              <w:t>Ļoti reti</w:t>
            </w:r>
          </w:p>
        </w:tc>
        <w:tc>
          <w:tcPr>
            <w:tcW w:w="1904" w:type="dxa"/>
          </w:tcPr>
          <w:p w14:paraId="4B6DC550" w14:textId="77777777" w:rsidR="001C35FC" w:rsidRPr="0059231D" w:rsidRDefault="001C35FC" w:rsidP="0085436C">
            <w:pPr>
              <w:pStyle w:val="reg11"/>
              <w:ind w:left="0"/>
              <w:rPr>
                <w:rFonts w:ascii="Times New Roman" w:hAnsi="Times New Roman" w:cs="Times New Roman"/>
                <w:b/>
                <w:spacing w:val="0"/>
                <w:lang w:val="lv-LV"/>
              </w:rPr>
            </w:pPr>
            <w:r w:rsidRPr="0059231D">
              <w:rPr>
                <w:rFonts w:ascii="Times New Roman" w:hAnsi="Times New Roman" w:cs="Times New Roman"/>
                <w:b/>
                <w:spacing w:val="0"/>
                <w:lang w:val="lv-LV"/>
              </w:rPr>
              <w:t>Nav zināmi</w:t>
            </w:r>
          </w:p>
        </w:tc>
      </w:tr>
      <w:tr w:rsidR="001C35FC" w:rsidRPr="0059231D" w14:paraId="19386764" w14:textId="77777777" w:rsidTr="00EC4151">
        <w:tc>
          <w:tcPr>
            <w:tcW w:w="1603" w:type="dxa"/>
          </w:tcPr>
          <w:p w14:paraId="61BF38E8"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iCs/>
                <w:noProof/>
                <w:spacing w:val="0"/>
                <w:lang w:val="lv-LV"/>
              </w:rPr>
              <w:t>Infekcijas un infestācijas</w:t>
            </w:r>
          </w:p>
        </w:tc>
        <w:tc>
          <w:tcPr>
            <w:tcW w:w="1381" w:type="dxa"/>
          </w:tcPr>
          <w:p w14:paraId="7FF70CD2"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Infekcija</w:t>
            </w:r>
          </w:p>
        </w:tc>
        <w:tc>
          <w:tcPr>
            <w:tcW w:w="1616" w:type="dxa"/>
            <w:tcMar>
              <w:left w:w="6" w:type="dxa"/>
              <w:right w:w="6" w:type="dxa"/>
            </w:tcMar>
          </w:tcPr>
          <w:p w14:paraId="43B3CDBF"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Faringīts</w:t>
            </w:r>
          </w:p>
        </w:tc>
        <w:tc>
          <w:tcPr>
            <w:tcW w:w="820" w:type="dxa"/>
          </w:tcPr>
          <w:p w14:paraId="63E90328"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7D2B0F83"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77FF09B3"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0E2414A3"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0FA91EA9" w14:textId="77777777" w:rsidTr="00EC4151">
        <w:tc>
          <w:tcPr>
            <w:tcW w:w="1603" w:type="dxa"/>
          </w:tcPr>
          <w:p w14:paraId="23E32752"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iCs/>
                <w:noProof/>
                <w:spacing w:val="0"/>
                <w:lang w:val="lv-LV"/>
              </w:rPr>
              <w:t>Psihiskie traucējumi</w:t>
            </w:r>
          </w:p>
        </w:tc>
        <w:tc>
          <w:tcPr>
            <w:tcW w:w="1381" w:type="dxa"/>
          </w:tcPr>
          <w:p w14:paraId="5C682CE9"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Bezmiegs</w:t>
            </w:r>
          </w:p>
        </w:tc>
        <w:tc>
          <w:tcPr>
            <w:tcW w:w="1616" w:type="dxa"/>
            <w:tcMar>
              <w:left w:w="6" w:type="dxa"/>
              <w:right w:w="6" w:type="dxa"/>
            </w:tcMar>
          </w:tcPr>
          <w:p w14:paraId="238FC25C"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Uzbudinājums</w:t>
            </w:r>
          </w:p>
          <w:p w14:paraId="5D20037C"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Trauksme</w:t>
            </w:r>
          </w:p>
          <w:p w14:paraId="30329180"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Nervozitāte</w:t>
            </w:r>
          </w:p>
        </w:tc>
        <w:tc>
          <w:tcPr>
            <w:tcW w:w="820" w:type="dxa"/>
          </w:tcPr>
          <w:p w14:paraId="1F04B318"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12576029"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Halucinācijas</w:t>
            </w:r>
          </w:p>
        </w:tc>
        <w:tc>
          <w:tcPr>
            <w:tcW w:w="635" w:type="dxa"/>
          </w:tcPr>
          <w:p w14:paraId="3D10C077"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46B45837"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6B1307E7" w14:textId="77777777" w:rsidTr="00EC4151">
        <w:tc>
          <w:tcPr>
            <w:tcW w:w="1603" w:type="dxa"/>
          </w:tcPr>
          <w:p w14:paraId="6609E35A" w14:textId="77777777" w:rsidR="001C35FC" w:rsidRPr="0059231D" w:rsidRDefault="001C35FC" w:rsidP="0085436C">
            <w:pPr>
              <w:spacing w:line="240" w:lineRule="auto"/>
              <w:jc w:val="both"/>
              <w:rPr>
                <w:color w:val="000000"/>
                <w:szCs w:val="22"/>
              </w:rPr>
            </w:pPr>
            <w:r w:rsidRPr="0059231D">
              <w:rPr>
                <w:iCs/>
                <w:noProof/>
                <w:color w:val="000000"/>
                <w:szCs w:val="22"/>
              </w:rPr>
              <w:t>Nervu sistēmas traucējumi</w:t>
            </w:r>
          </w:p>
        </w:tc>
        <w:tc>
          <w:tcPr>
            <w:tcW w:w="1381" w:type="dxa"/>
          </w:tcPr>
          <w:p w14:paraId="2463E91C"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Galvassāpes</w:t>
            </w:r>
          </w:p>
        </w:tc>
        <w:tc>
          <w:tcPr>
            <w:tcW w:w="1616" w:type="dxa"/>
            <w:tcMar>
              <w:left w:w="6" w:type="dxa"/>
              <w:right w:w="6" w:type="dxa"/>
            </w:tcMar>
          </w:tcPr>
          <w:p w14:paraId="27F2A2DA"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Migrēna</w:t>
            </w:r>
          </w:p>
          <w:p w14:paraId="225E4A35"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Parestēzija</w:t>
            </w:r>
          </w:p>
          <w:p w14:paraId="165191E6"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Miegainība</w:t>
            </w:r>
          </w:p>
          <w:p w14:paraId="5256D256"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Ģībonis</w:t>
            </w:r>
          </w:p>
          <w:p w14:paraId="67D00668"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Vertigo</w:t>
            </w:r>
          </w:p>
          <w:p w14:paraId="3292A377"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Hiperkinēzija</w:t>
            </w:r>
          </w:p>
        </w:tc>
        <w:tc>
          <w:tcPr>
            <w:tcW w:w="820" w:type="dxa"/>
          </w:tcPr>
          <w:p w14:paraId="3E95E459"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1765F530"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3D7BF786"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57D39549"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73257A9C" w14:textId="77777777" w:rsidTr="00EC4151">
        <w:tc>
          <w:tcPr>
            <w:tcW w:w="1603" w:type="dxa"/>
          </w:tcPr>
          <w:p w14:paraId="542328D2" w14:textId="77777777" w:rsidR="001C35FC" w:rsidRPr="0059231D" w:rsidRDefault="001C35FC" w:rsidP="0085436C">
            <w:pPr>
              <w:spacing w:line="240" w:lineRule="auto"/>
              <w:jc w:val="both"/>
              <w:rPr>
                <w:color w:val="000000"/>
                <w:szCs w:val="22"/>
              </w:rPr>
            </w:pPr>
            <w:r w:rsidRPr="0059231D">
              <w:rPr>
                <w:iCs/>
                <w:noProof/>
                <w:color w:val="000000"/>
                <w:szCs w:val="22"/>
              </w:rPr>
              <w:t>Asinsvadu sistēmas traucējumi</w:t>
            </w:r>
          </w:p>
        </w:tc>
        <w:tc>
          <w:tcPr>
            <w:tcW w:w="1381" w:type="dxa"/>
          </w:tcPr>
          <w:p w14:paraId="63E1DC86" w14:textId="77777777" w:rsidR="001C35FC" w:rsidRPr="0059231D" w:rsidRDefault="001C35FC" w:rsidP="0085436C">
            <w:pPr>
              <w:pStyle w:val="reg11"/>
              <w:ind w:left="0"/>
              <w:rPr>
                <w:rFonts w:ascii="Times New Roman" w:hAnsi="Times New Roman" w:cs="Times New Roman"/>
                <w:spacing w:val="0"/>
                <w:lang w:val="lv-LV"/>
              </w:rPr>
            </w:pPr>
          </w:p>
        </w:tc>
        <w:tc>
          <w:tcPr>
            <w:tcW w:w="1616" w:type="dxa"/>
            <w:tcMar>
              <w:left w:w="6" w:type="dxa"/>
              <w:right w:w="6" w:type="dxa"/>
            </w:tcMar>
          </w:tcPr>
          <w:p w14:paraId="6AD5F185"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Ortostatiska hipotensija</w:t>
            </w:r>
          </w:p>
        </w:tc>
        <w:tc>
          <w:tcPr>
            <w:tcW w:w="820" w:type="dxa"/>
          </w:tcPr>
          <w:p w14:paraId="2C9F6A49"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7ABD4CCE"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4B387651"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501FE874"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2C0132FC" w14:textId="77777777" w:rsidTr="00EC4151">
        <w:tc>
          <w:tcPr>
            <w:tcW w:w="1603" w:type="dxa"/>
          </w:tcPr>
          <w:p w14:paraId="7FDDB605" w14:textId="77777777" w:rsidR="001C35FC" w:rsidRPr="0059231D" w:rsidRDefault="001C35FC" w:rsidP="0085436C">
            <w:pPr>
              <w:spacing w:line="240" w:lineRule="auto"/>
              <w:jc w:val="both"/>
              <w:rPr>
                <w:color w:val="000000"/>
                <w:szCs w:val="22"/>
              </w:rPr>
            </w:pPr>
            <w:r w:rsidRPr="0059231D">
              <w:rPr>
                <w:iCs/>
                <w:noProof/>
                <w:color w:val="000000"/>
                <w:szCs w:val="22"/>
              </w:rPr>
              <w:t xml:space="preserve">Elpošanas sistēmas </w:t>
            </w:r>
            <w:r w:rsidRPr="0059231D">
              <w:rPr>
                <w:iCs/>
                <w:noProof/>
                <w:color w:val="000000"/>
                <w:szCs w:val="22"/>
              </w:rPr>
              <w:lastRenderedPageBreak/>
              <w:t>traucējumi, krūšu kurvja un videnes slimības</w:t>
            </w:r>
          </w:p>
        </w:tc>
        <w:tc>
          <w:tcPr>
            <w:tcW w:w="1381" w:type="dxa"/>
          </w:tcPr>
          <w:p w14:paraId="779CC7B0" w14:textId="77777777" w:rsidR="001C35FC" w:rsidRPr="0059231D" w:rsidRDefault="001C35FC" w:rsidP="0085436C">
            <w:pPr>
              <w:pStyle w:val="reg11"/>
              <w:ind w:left="0"/>
              <w:rPr>
                <w:rFonts w:ascii="Times New Roman" w:hAnsi="Times New Roman" w:cs="Times New Roman"/>
                <w:spacing w:val="0"/>
                <w:lang w:val="lv-LV"/>
              </w:rPr>
            </w:pPr>
          </w:p>
        </w:tc>
        <w:tc>
          <w:tcPr>
            <w:tcW w:w="1616" w:type="dxa"/>
            <w:tcMar>
              <w:left w:w="6" w:type="dxa"/>
              <w:right w:w="6" w:type="dxa"/>
            </w:tcMar>
          </w:tcPr>
          <w:p w14:paraId="54A59E1A"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Elpas trūkums</w:t>
            </w:r>
          </w:p>
        </w:tc>
        <w:tc>
          <w:tcPr>
            <w:tcW w:w="820" w:type="dxa"/>
          </w:tcPr>
          <w:p w14:paraId="70AF2C53"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0B44670A"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Elpošanas nomākums</w:t>
            </w:r>
            <w:r w:rsidRPr="0059231D">
              <w:rPr>
                <w:rFonts w:ascii="Times New Roman" w:hAnsi="Times New Roman" w:cs="Times New Roman"/>
                <w:spacing w:val="0"/>
                <w:vertAlign w:val="superscript"/>
                <w:lang w:val="lv-LV"/>
              </w:rPr>
              <w:t>1</w:t>
            </w:r>
          </w:p>
        </w:tc>
        <w:tc>
          <w:tcPr>
            <w:tcW w:w="635" w:type="dxa"/>
          </w:tcPr>
          <w:p w14:paraId="5A3199E9"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3BEA7116"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4C42E515" w14:textId="77777777" w:rsidTr="00EC4151">
        <w:tc>
          <w:tcPr>
            <w:tcW w:w="1603" w:type="dxa"/>
          </w:tcPr>
          <w:p w14:paraId="450DA6CB" w14:textId="77777777" w:rsidR="001C35FC" w:rsidRPr="0059231D" w:rsidRDefault="001C35FC" w:rsidP="0085436C">
            <w:pPr>
              <w:spacing w:line="240" w:lineRule="auto"/>
              <w:jc w:val="both"/>
              <w:rPr>
                <w:color w:val="000000"/>
                <w:szCs w:val="22"/>
              </w:rPr>
            </w:pPr>
            <w:r w:rsidRPr="0059231D">
              <w:rPr>
                <w:iCs/>
                <w:noProof/>
                <w:color w:val="000000"/>
                <w:szCs w:val="22"/>
              </w:rPr>
              <w:t>Kuņģa-zarnu trakta traucējumi</w:t>
            </w:r>
          </w:p>
        </w:tc>
        <w:tc>
          <w:tcPr>
            <w:tcW w:w="1381" w:type="dxa"/>
          </w:tcPr>
          <w:p w14:paraId="37C48AE5" w14:textId="77777777" w:rsidR="001C35FC" w:rsidRPr="0059231D" w:rsidRDefault="001C35FC" w:rsidP="0085436C">
            <w:pPr>
              <w:spacing w:line="240" w:lineRule="auto"/>
              <w:jc w:val="both"/>
              <w:rPr>
                <w:color w:val="000000"/>
                <w:szCs w:val="22"/>
              </w:rPr>
            </w:pPr>
            <w:r w:rsidRPr="0059231D">
              <w:rPr>
                <w:color w:val="000000"/>
                <w:szCs w:val="22"/>
              </w:rPr>
              <w:t>Slikta dūša</w:t>
            </w:r>
          </w:p>
          <w:p w14:paraId="0A11422B"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Sāpes vēderā</w:t>
            </w:r>
          </w:p>
        </w:tc>
        <w:tc>
          <w:tcPr>
            <w:tcW w:w="1616" w:type="dxa"/>
            <w:tcMar>
              <w:left w:w="6" w:type="dxa"/>
              <w:right w:w="6" w:type="dxa"/>
            </w:tcMar>
          </w:tcPr>
          <w:p w14:paraId="53243054"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Aizcietējums</w:t>
            </w:r>
          </w:p>
          <w:p w14:paraId="2E5EF603" w14:textId="77777777" w:rsidR="001C35FC" w:rsidRPr="0059231D" w:rsidRDefault="001C35FC" w:rsidP="0085436C">
            <w:pPr>
              <w:spacing w:line="240" w:lineRule="auto"/>
              <w:jc w:val="both"/>
              <w:rPr>
                <w:color w:val="000000"/>
                <w:szCs w:val="22"/>
              </w:rPr>
            </w:pPr>
            <w:r w:rsidRPr="0059231D">
              <w:rPr>
                <w:color w:val="000000"/>
                <w:szCs w:val="22"/>
              </w:rPr>
              <w:t>Vemšana</w:t>
            </w:r>
          </w:p>
        </w:tc>
        <w:tc>
          <w:tcPr>
            <w:tcW w:w="820" w:type="dxa"/>
          </w:tcPr>
          <w:p w14:paraId="0C108F5C"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72586DB9"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45763FFA"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648137B4"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26E4BF1C" w14:textId="77777777" w:rsidTr="00EC4151">
        <w:tc>
          <w:tcPr>
            <w:tcW w:w="1603" w:type="dxa"/>
          </w:tcPr>
          <w:p w14:paraId="3D5B37A9" w14:textId="77777777" w:rsidR="001C35FC" w:rsidRPr="0059231D" w:rsidRDefault="001C35FC" w:rsidP="0085436C">
            <w:pPr>
              <w:spacing w:line="240" w:lineRule="auto"/>
              <w:jc w:val="both"/>
              <w:rPr>
                <w:color w:val="000000"/>
                <w:szCs w:val="22"/>
              </w:rPr>
            </w:pPr>
            <w:r w:rsidRPr="0059231D">
              <w:rPr>
                <w:iCs/>
                <w:noProof/>
                <w:color w:val="000000"/>
                <w:szCs w:val="22"/>
              </w:rPr>
              <w:t>Ādas un zemādas audu bojājumi</w:t>
            </w:r>
          </w:p>
        </w:tc>
        <w:tc>
          <w:tcPr>
            <w:tcW w:w="1381" w:type="dxa"/>
          </w:tcPr>
          <w:p w14:paraId="6F7330D9"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Pastiprināta svīšana</w:t>
            </w:r>
          </w:p>
        </w:tc>
        <w:tc>
          <w:tcPr>
            <w:tcW w:w="1616" w:type="dxa"/>
            <w:tcMar>
              <w:left w:w="6" w:type="dxa"/>
              <w:right w:w="6" w:type="dxa"/>
            </w:tcMar>
          </w:tcPr>
          <w:p w14:paraId="3125E899" w14:textId="77777777" w:rsidR="001C35FC" w:rsidRPr="0059231D" w:rsidRDefault="001C35FC" w:rsidP="0085436C">
            <w:pPr>
              <w:pStyle w:val="reg11"/>
              <w:ind w:left="0"/>
              <w:rPr>
                <w:rFonts w:ascii="Times New Roman" w:hAnsi="Times New Roman" w:cs="Times New Roman"/>
                <w:spacing w:val="0"/>
                <w:lang w:val="lv-LV"/>
              </w:rPr>
            </w:pPr>
          </w:p>
        </w:tc>
        <w:tc>
          <w:tcPr>
            <w:tcW w:w="820" w:type="dxa"/>
          </w:tcPr>
          <w:p w14:paraId="1659017D"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6F9ACBF5"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208F7502"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3A88A312"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27CD51F4" w14:textId="77777777" w:rsidTr="00EC4151">
        <w:tc>
          <w:tcPr>
            <w:tcW w:w="1603" w:type="dxa"/>
          </w:tcPr>
          <w:p w14:paraId="30845948" w14:textId="77777777" w:rsidR="001C35FC" w:rsidRPr="0059231D" w:rsidRDefault="001C35FC" w:rsidP="0085436C">
            <w:pPr>
              <w:spacing w:line="240" w:lineRule="auto"/>
              <w:jc w:val="both"/>
              <w:rPr>
                <w:color w:val="000000"/>
                <w:szCs w:val="22"/>
              </w:rPr>
            </w:pPr>
            <w:r w:rsidRPr="0059231D">
              <w:rPr>
                <w:iCs/>
                <w:noProof/>
                <w:color w:val="000000"/>
                <w:szCs w:val="22"/>
              </w:rPr>
              <w:t>Skeleta-muskuļu un saistaudu sistēmas bojājumi</w:t>
            </w:r>
          </w:p>
        </w:tc>
        <w:tc>
          <w:tcPr>
            <w:tcW w:w="1381" w:type="dxa"/>
          </w:tcPr>
          <w:p w14:paraId="6061FD44" w14:textId="77777777" w:rsidR="001C35FC" w:rsidRPr="0059231D" w:rsidRDefault="001C35FC" w:rsidP="0085436C">
            <w:pPr>
              <w:pStyle w:val="reg11"/>
              <w:ind w:left="0"/>
              <w:rPr>
                <w:rFonts w:ascii="Times New Roman" w:hAnsi="Times New Roman" w:cs="Times New Roman"/>
                <w:spacing w:val="0"/>
                <w:lang w:val="lv-LV"/>
              </w:rPr>
            </w:pPr>
          </w:p>
        </w:tc>
        <w:tc>
          <w:tcPr>
            <w:tcW w:w="1616" w:type="dxa"/>
            <w:tcMar>
              <w:left w:w="6" w:type="dxa"/>
              <w:right w:w="6" w:type="dxa"/>
            </w:tcMar>
          </w:tcPr>
          <w:p w14:paraId="2A3DF8F0"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Muskuļu spazmas</w:t>
            </w:r>
          </w:p>
        </w:tc>
        <w:tc>
          <w:tcPr>
            <w:tcW w:w="820" w:type="dxa"/>
          </w:tcPr>
          <w:p w14:paraId="2683E3DC"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2CC92C24"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3CAF23EA"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2601A2BF"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0E2FD3EB" w14:textId="77777777" w:rsidTr="00EC4151">
        <w:tc>
          <w:tcPr>
            <w:tcW w:w="1603" w:type="dxa"/>
          </w:tcPr>
          <w:p w14:paraId="0ACDCBF2" w14:textId="77777777" w:rsidR="001C35FC" w:rsidRPr="0059231D" w:rsidRDefault="001C35FC" w:rsidP="0085436C">
            <w:pPr>
              <w:spacing w:line="240" w:lineRule="auto"/>
              <w:jc w:val="both"/>
              <w:rPr>
                <w:color w:val="000000"/>
                <w:szCs w:val="22"/>
              </w:rPr>
            </w:pPr>
            <w:r w:rsidRPr="0059231D">
              <w:rPr>
                <w:iCs/>
                <w:noProof/>
                <w:color w:val="000000"/>
                <w:szCs w:val="22"/>
              </w:rPr>
              <w:t>Reproduktīvās sistēmas traucējumi un krūts slimības</w:t>
            </w:r>
          </w:p>
        </w:tc>
        <w:tc>
          <w:tcPr>
            <w:tcW w:w="1381" w:type="dxa"/>
          </w:tcPr>
          <w:p w14:paraId="1415AF46" w14:textId="77777777" w:rsidR="001C35FC" w:rsidRPr="0059231D" w:rsidRDefault="001C35FC" w:rsidP="0085436C">
            <w:pPr>
              <w:pStyle w:val="reg11"/>
              <w:ind w:left="0"/>
              <w:rPr>
                <w:rFonts w:ascii="Times New Roman" w:hAnsi="Times New Roman" w:cs="Times New Roman"/>
                <w:spacing w:val="0"/>
                <w:lang w:val="lv-LV"/>
              </w:rPr>
            </w:pPr>
          </w:p>
        </w:tc>
        <w:tc>
          <w:tcPr>
            <w:tcW w:w="1616" w:type="dxa"/>
            <w:tcMar>
              <w:left w:w="6" w:type="dxa"/>
              <w:right w:w="6" w:type="dxa"/>
            </w:tcMar>
          </w:tcPr>
          <w:p w14:paraId="1EF1D84A"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Dismenoreja</w:t>
            </w:r>
          </w:p>
          <w:p w14:paraId="3F0349C7"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Leikoreja</w:t>
            </w:r>
          </w:p>
        </w:tc>
        <w:tc>
          <w:tcPr>
            <w:tcW w:w="820" w:type="dxa"/>
          </w:tcPr>
          <w:p w14:paraId="7C322849"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2B408649"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656C6B78"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0B63C957" w14:textId="77777777" w:rsidR="001C35FC" w:rsidRPr="0059231D" w:rsidRDefault="001C35FC" w:rsidP="0085436C">
            <w:pPr>
              <w:pStyle w:val="reg11"/>
              <w:ind w:left="0"/>
              <w:rPr>
                <w:rFonts w:ascii="Times New Roman" w:hAnsi="Times New Roman" w:cs="Times New Roman"/>
                <w:spacing w:val="0"/>
                <w:lang w:val="lv-LV"/>
              </w:rPr>
            </w:pPr>
          </w:p>
        </w:tc>
      </w:tr>
      <w:tr w:rsidR="001C35FC" w:rsidRPr="0059231D" w14:paraId="610E2E74" w14:textId="77777777" w:rsidTr="00EC4151">
        <w:tc>
          <w:tcPr>
            <w:tcW w:w="1603" w:type="dxa"/>
          </w:tcPr>
          <w:p w14:paraId="5BE19285" w14:textId="77777777" w:rsidR="001C35FC" w:rsidRPr="0059231D" w:rsidRDefault="001C35FC" w:rsidP="0085436C">
            <w:pPr>
              <w:spacing w:line="240" w:lineRule="auto"/>
              <w:jc w:val="both"/>
              <w:rPr>
                <w:color w:val="000000"/>
                <w:szCs w:val="22"/>
              </w:rPr>
            </w:pPr>
            <w:r w:rsidRPr="0059231D">
              <w:rPr>
                <w:iCs/>
                <w:noProof/>
                <w:color w:val="000000"/>
                <w:szCs w:val="22"/>
              </w:rPr>
              <w:t>Vispārēji traucējumi un reakcijas ievadīšanas vietā</w:t>
            </w:r>
          </w:p>
        </w:tc>
        <w:tc>
          <w:tcPr>
            <w:tcW w:w="1381" w:type="dxa"/>
          </w:tcPr>
          <w:p w14:paraId="77BEE256"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Absistences sindroms</w:t>
            </w:r>
          </w:p>
        </w:tc>
        <w:tc>
          <w:tcPr>
            <w:tcW w:w="1616" w:type="dxa"/>
            <w:tcMar>
              <w:left w:w="6" w:type="dxa"/>
              <w:right w:w="6" w:type="dxa"/>
            </w:tcMar>
          </w:tcPr>
          <w:p w14:paraId="70FDFE44"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Astēnija</w:t>
            </w:r>
          </w:p>
        </w:tc>
        <w:tc>
          <w:tcPr>
            <w:tcW w:w="820" w:type="dxa"/>
          </w:tcPr>
          <w:p w14:paraId="5B106ED0"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207801FF"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36F164B6"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65B1621F"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Absistences sindroms jaundzimušajiem</w:t>
            </w:r>
            <w:r w:rsidRPr="0059231D">
              <w:rPr>
                <w:rFonts w:ascii="Times New Roman" w:hAnsi="Times New Roman" w:cs="Times New Roman"/>
                <w:spacing w:val="0"/>
                <w:vertAlign w:val="superscript"/>
                <w:lang w:val="lv-LV"/>
              </w:rPr>
              <w:t>2</w:t>
            </w:r>
          </w:p>
        </w:tc>
      </w:tr>
      <w:tr w:rsidR="001C35FC" w:rsidRPr="0059231D" w14:paraId="73F9AF56" w14:textId="77777777" w:rsidTr="00EC4151">
        <w:tc>
          <w:tcPr>
            <w:tcW w:w="1603" w:type="dxa"/>
          </w:tcPr>
          <w:p w14:paraId="78190742" w14:textId="77777777" w:rsidR="001C35FC" w:rsidRPr="0059231D" w:rsidRDefault="001C35FC" w:rsidP="0085436C">
            <w:pPr>
              <w:spacing w:line="240" w:lineRule="auto"/>
              <w:jc w:val="both"/>
              <w:rPr>
                <w:color w:val="000000"/>
                <w:szCs w:val="22"/>
              </w:rPr>
            </w:pPr>
            <w:r w:rsidRPr="0059231D">
              <w:rPr>
                <w:iCs/>
                <w:noProof/>
                <w:color w:val="000000"/>
                <w:szCs w:val="22"/>
              </w:rPr>
              <w:t>Imūnās sistēmas traucējumi</w:t>
            </w:r>
          </w:p>
        </w:tc>
        <w:tc>
          <w:tcPr>
            <w:tcW w:w="1381" w:type="dxa"/>
          </w:tcPr>
          <w:p w14:paraId="73385720" w14:textId="77777777" w:rsidR="001C35FC" w:rsidRPr="0059231D" w:rsidRDefault="001C35FC" w:rsidP="0085436C">
            <w:pPr>
              <w:pStyle w:val="reg11"/>
              <w:ind w:left="0"/>
              <w:rPr>
                <w:rFonts w:ascii="Times New Roman" w:hAnsi="Times New Roman" w:cs="Times New Roman"/>
                <w:spacing w:val="0"/>
                <w:lang w:val="lv-LV"/>
              </w:rPr>
            </w:pPr>
          </w:p>
        </w:tc>
        <w:tc>
          <w:tcPr>
            <w:tcW w:w="1616" w:type="dxa"/>
            <w:tcMar>
              <w:left w:w="6" w:type="dxa"/>
              <w:right w:w="6" w:type="dxa"/>
            </w:tcMar>
          </w:tcPr>
          <w:p w14:paraId="5373530C" w14:textId="77777777" w:rsidR="001C35FC" w:rsidRPr="0059231D" w:rsidRDefault="001C35FC" w:rsidP="0085436C">
            <w:pPr>
              <w:pStyle w:val="reg11"/>
              <w:ind w:left="0"/>
              <w:rPr>
                <w:rFonts w:ascii="Times New Roman" w:hAnsi="Times New Roman" w:cs="Times New Roman"/>
                <w:spacing w:val="0"/>
                <w:lang w:val="lv-LV"/>
              </w:rPr>
            </w:pPr>
          </w:p>
        </w:tc>
        <w:tc>
          <w:tcPr>
            <w:tcW w:w="820" w:type="dxa"/>
          </w:tcPr>
          <w:p w14:paraId="0A45C6E8"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31EC7A10"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5813921A"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01D8C491"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Paaugstinātas jutības reakcijas</w:t>
            </w:r>
            <w:r w:rsidRPr="0059231D">
              <w:rPr>
                <w:rFonts w:ascii="Times New Roman" w:hAnsi="Times New Roman" w:cs="Times New Roman"/>
                <w:spacing w:val="0"/>
                <w:vertAlign w:val="superscript"/>
                <w:lang w:val="lv-LV"/>
              </w:rPr>
              <w:t>3</w:t>
            </w:r>
          </w:p>
        </w:tc>
      </w:tr>
      <w:tr w:rsidR="001C35FC" w:rsidRPr="0059231D" w14:paraId="48CBA6B9" w14:textId="77777777" w:rsidTr="00EC4151">
        <w:tc>
          <w:tcPr>
            <w:tcW w:w="1603" w:type="dxa"/>
          </w:tcPr>
          <w:p w14:paraId="4CC86D15"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noProof/>
                <w:spacing w:val="0"/>
                <w:lang w:val="lv-LV"/>
              </w:rPr>
              <w:t>Aknu un/vai žults izvades sistēmas traucējumi</w:t>
            </w:r>
          </w:p>
        </w:tc>
        <w:tc>
          <w:tcPr>
            <w:tcW w:w="1381" w:type="dxa"/>
          </w:tcPr>
          <w:p w14:paraId="400D8C54" w14:textId="77777777" w:rsidR="001C35FC" w:rsidRPr="0059231D" w:rsidRDefault="001C35FC" w:rsidP="0085436C">
            <w:pPr>
              <w:pStyle w:val="reg11"/>
              <w:ind w:left="0"/>
              <w:rPr>
                <w:rFonts w:ascii="Times New Roman" w:hAnsi="Times New Roman" w:cs="Times New Roman"/>
                <w:spacing w:val="0"/>
                <w:lang w:val="lv-LV"/>
              </w:rPr>
            </w:pPr>
          </w:p>
        </w:tc>
        <w:tc>
          <w:tcPr>
            <w:tcW w:w="1616" w:type="dxa"/>
            <w:tcMar>
              <w:left w:w="6" w:type="dxa"/>
              <w:right w:w="6" w:type="dxa"/>
            </w:tcMar>
          </w:tcPr>
          <w:p w14:paraId="62CD5A37" w14:textId="77777777" w:rsidR="001C35FC" w:rsidRPr="0059231D" w:rsidRDefault="001C35FC" w:rsidP="0085436C">
            <w:pPr>
              <w:pStyle w:val="reg11"/>
              <w:ind w:left="0"/>
              <w:rPr>
                <w:rFonts w:ascii="Times New Roman" w:hAnsi="Times New Roman" w:cs="Times New Roman"/>
                <w:spacing w:val="0"/>
                <w:lang w:val="lv-LV"/>
              </w:rPr>
            </w:pPr>
          </w:p>
        </w:tc>
        <w:tc>
          <w:tcPr>
            <w:tcW w:w="820" w:type="dxa"/>
          </w:tcPr>
          <w:p w14:paraId="7B0AD8CD" w14:textId="77777777" w:rsidR="001C35FC" w:rsidRPr="0059231D" w:rsidRDefault="001C35FC" w:rsidP="0085436C">
            <w:pPr>
              <w:pStyle w:val="reg11"/>
              <w:ind w:left="0"/>
              <w:rPr>
                <w:rFonts w:ascii="Times New Roman" w:hAnsi="Times New Roman" w:cs="Times New Roman"/>
                <w:spacing w:val="0"/>
                <w:lang w:val="lv-LV"/>
              </w:rPr>
            </w:pPr>
          </w:p>
        </w:tc>
        <w:tc>
          <w:tcPr>
            <w:tcW w:w="1497" w:type="dxa"/>
          </w:tcPr>
          <w:p w14:paraId="6A2C3518" w14:textId="77777777" w:rsidR="001C35FC" w:rsidRPr="0059231D" w:rsidRDefault="001C35FC" w:rsidP="0085436C">
            <w:pPr>
              <w:pStyle w:val="reg11"/>
              <w:ind w:left="0"/>
              <w:rPr>
                <w:rFonts w:ascii="Times New Roman" w:hAnsi="Times New Roman" w:cs="Times New Roman"/>
                <w:spacing w:val="0"/>
                <w:lang w:val="lv-LV"/>
              </w:rPr>
            </w:pPr>
          </w:p>
        </w:tc>
        <w:tc>
          <w:tcPr>
            <w:tcW w:w="635" w:type="dxa"/>
          </w:tcPr>
          <w:p w14:paraId="3CFDC70A" w14:textId="77777777" w:rsidR="001C35FC" w:rsidRPr="0059231D" w:rsidRDefault="001C35FC" w:rsidP="0085436C">
            <w:pPr>
              <w:pStyle w:val="reg11"/>
              <w:ind w:left="0"/>
              <w:rPr>
                <w:rFonts w:ascii="Times New Roman" w:hAnsi="Times New Roman" w:cs="Times New Roman"/>
                <w:spacing w:val="0"/>
                <w:lang w:val="lv-LV"/>
              </w:rPr>
            </w:pPr>
          </w:p>
        </w:tc>
        <w:tc>
          <w:tcPr>
            <w:tcW w:w="1904" w:type="dxa"/>
          </w:tcPr>
          <w:p w14:paraId="6EC9A4FE" w14:textId="77777777" w:rsidR="001C35FC" w:rsidRPr="0059231D" w:rsidRDefault="001C35FC" w:rsidP="0085436C">
            <w:pPr>
              <w:pStyle w:val="reg11"/>
              <w:ind w:left="0"/>
              <w:rPr>
                <w:rFonts w:ascii="Times New Roman" w:hAnsi="Times New Roman" w:cs="Times New Roman"/>
                <w:spacing w:val="0"/>
                <w:lang w:val="lv-LV"/>
              </w:rPr>
            </w:pPr>
            <w:r w:rsidRPr="0059231D">
              <w:rPr>
                <w:rFonts w:ascii="Times New Roman" w:hAnsi="Times New Roman" w:cs="Times New Roman"/>
                <w:spacing w:val="0"/>
                <w:lang w:val="lv-LV"/>
              </w:rPr>
              <w:t>Palielināts transamināžu līmenis, hepatīts, dzelte</w:t>
            </w:r>
            <w:r w:rsidRPr="0059231D">
              <w:rPr>
                <w:rFonts w:ascii="Times New Roman" w:hAnsi="Times New Roman" w:cs="Times New Roman"/>
                <w:spacing w:val="0"/>
                <w:vertAlign w:val="superscript"/>
                <w:lang w:val="lv-LV"/>
              </w:rPr>
              <w:t>4</w:t>
            </w:r>
          </w:p>
        </w:tc>
      </w:tr>
    </w:tbl>
    <w:p w14:paraId="47C7EA30" w14:textId="77777777" w:rsidR="001C35FC" w:rsidRPr="0059231D" w:rsidRDefault="001C35FC" w:rsidP="0085436C">
      <w:pPr>
        <w:pStyle w:val="reg11"/>
        <w:ind w:left="0"/>
        <w:rPr>
          <w:rFonts w:ascii="Times New Roman" w:hAnsi="Times New Roman" w:cs="Times New Roman"/>
          <w:b/>
          <w:spacing w:val="0"/>
          <w:lang w:val="lv-LV"/>
        </w:rPr>
      </w:pPr>
    </w:p>
    <w:p w14:paraId="5B700B41" w14:textId="77777777" w:rsidR="001C35FC" w:rsidRPr="0059231D" w:rsidRDefault="001C35FC" w:rsidP="0085436C">
      <w:pPr>
        <w:pStyle w:val="BodyTextIndent"/>
        <w:ind w:left="0" w:firstLine="0"/>
        <w:jc w:val="both"/>
        <w:rPr>
          <w:b w:val="0"/>
          <w:color w:val="000000"/>
          <w:u w:val="single"/>
          <w:lang w:val="lv-LV"/>
        </w:rPr>
      </w:pPr>
      <w:r w:rsidRPr="0059231D">
        <w:rPr>
          <w:b w:val="0"/>
          <w:iCs/>
          <w:color w:val="000000"/>
          <w:u w:val="single"/>
          <w:lang w:val="lv-LV"/>
        </w:rPr>
        <w:t>Atsevišķu nevēlamo blakusparādību raksturojums</w:t>
      </w:r>
    </w:p>
    <w:p w14:paraId="746C91F4" w14:textId="77777777" w:rsidR="001C35FC" w:rsidRPr="0059231D" w:rsidRDefault="001C35FC" w:rsidP="0085436C">
      <w:pPr>
        <w:tabs>
          <w:tab w:val="clear" w:pos="567"/>
        </w:tabs>
        <w:spacing w:line="240" w:lineRule="auto"/>
        <w:jc w:val="both"/>
        <w:rPr>
          <w:color w:val="000000"/>
          <w:szCs w:val="22"/>
        </w:rPr>
      </w:pPr>
      <w:r w:rsidRPr="0059231D">
        <w:rPr>
          <w:color w:val="000000"/>
          <w:szCs w:val="22"/>
        </w:rPr>
        <w:t>Tālāk sniegts kopsavilkums par ziņotajām nevēlamajām blakusparādībām pēcreģistrācijas periodā, kas tiek uzskatītas par nopietnām vai citādi pieminēšanas vērtām</w:t>
      </w:r>
    </w:p>
    <w:p w14:paraId="04283993" w14:textId="77777777" w:rsidR="001C35FC" w:rsidRPr="0059231D" w:rsidRDefault="001C35FC" w:rsidP="0085436C">
      <w:pPr>
        <w:tabs>
          <w:tab w:val="clear" w:pos="567"/>
        </w:tabs>
        <w:spacing w:line="240" w:lineRule="auto"/>
        <w:jc w:val="both"/>
        <w:rPr>
          <w:color w:val="000000"/>
          <w:szCs w:val="22"/>
        </w:rPr>
      </w:pPr>
      <w:r w:rsidRPr="0059231D">
        <w:rPr>
          <w:color w:val="000000"/>
          <w:szCs w:val="22"/>
          <w:vertAlign w:val="superscript"/>
        </w:rPr>
        <w:t>1</w:t>
      </w:r>
      <w:r w:rsidRPr="0059231D">
        <w:rPr>
          <w:color w:val="000000"/>
          <w:szCs w:val="22"/>
        </w:rPr>
        <w:t xml:space="preserve"> Ir ziņots par </w:t>
      </w:r>
      <w:r w:rsidR="00094F44" w:rsidRPr="0059231D">
        <w:rPr>
          <w:color w:val="000000"/>
          <w:szCs w:val="22"/>
        </w:rPr>
        <w:t xml:space="preserve">elpošanas </w:t>
      </w:r>
      <w:r w:rsidRPr="0059231D">
        <w:rPr>
          <w:color w:val="000000"/>
          <w:szCs w:val="22"/>
        </w:rPr>
        <w:t xml:space="preserve">nomākumu. Ziņots par nāves gadījumiem elpošanas nomākuma dēļ, it īpaši, ja buprenorfīns </w:t>
      </w:r>
      <w:r w:rsidR="00554EBB" w:rsidRPr="0059231D">
        <w:rPr>
          <w:color w:val="000000"/>
          <w:szCs w:val="22"/>
        </w:rPr>
        <w:t xml:space="preserve">tiek </w:t>
      </w:r>
      <w:r w:rsidRPr="0059231D">
        <w:rPr>
          <w:color w:val="000000"/>
          <w:szCs w:val="22"/>
        </w:rPr>
        <w:t>lietot</w:t>
      </w:r>
      <w:r w:rsidR="00554EBB" w:rsidRPr="0059231D">
        <w:rPr>
          <w:color w:val="000000"/>
          <w:szCs w:val="22"/>
        </w:rPr>
        <w:t>s</w:t>
      </w:r>
      <w:r w:rsidRPr="0059231D">
        <w:rPr>
          <w:color w:val="000000"/>
          <w:szCs w:val="22"/>
        </w:rPr>
        <w:t xml:space="preserve"> vienlaicīgi ar benzodiazepīniem (skatīt 4.5. apakšpunktu) vai arī</w:t>
      </w:r>
      <w:r w:rsidR="00554EBB" w:rsidRPr="0059231D">
        <w:rPr>
          <w:color w:val="000000"/>
          <w:szCs w:val="22"/>
        </w:rPr>
        <w:t>, ja</w:t>
      </w:r>
      <w:r w:rsidRPr="0059231D">
        <w:rPr>
          <w:color w:val="000000"/>
          <w:szCs w:val="22"/>
        </w:rPr>
        <w:t xml:space="preserve"> buprenorfīns </w:t>
      </w:r>
      <w:r w:rsidR="00554EBB" w:rsidRPr="0059231D">
        <w:rPr>
          <w:color w:val="000000"/>
          <w:szCs w:val="22"/>
        </w:rPr>
        <w:t>netiek</w:t>
      </w:r>
      <w:r w:rsidRPr="0059231D">
        <w:rPr>
          <w:color w:val="000000"/>
          <w:szCs w:val="22"/>
        </w:rPr>
        <w:t xml:space="preserve"> lietots atbilstoši norādījumiem. Par nāv</w:t>
      </w:r>
      <w:r w:rsidR="00991E1D" w:rsidRPr="0059231D">
        <w:rPr>
          <w:color w:val="000000"/>
          <w:szCs w:val="22"/>
        </w:rPr>
        <w:t>es gadījumiem ziņots arī saistī</w:t>
      </w:r>
      <w:r w:rsidRPr="0059231D">
        <w:rPr>
          <w:color w:val="000000"/>
          <w:szCs w:val="22"/>
        </w:rPr>
        <w:t>bā ar buprenorfīna lietošanu vienlaicīgi ar citiem CNS depresantiem, piemēram, alkoholu vai citiem opioīdiem (skatīt 4.4. un 4.5. apakšpunktu</w:t>
      </w:r>
      <w:r w:rsidR="00554EBB" w:rsidRPr="0059231D">
        <w:rPr>
          <w:color w:val="000000"/>
          <w:szCs w:val="22"/>
        </w:rPr>
        <w:t>)</w:t>
      </w:r>
      <w:r w:rsidRPr="0059231D">
        <w:rPr>
          <w:color w:val="000000"/>
          <w:szCs w:val="22"/>
        </w:rPr>
        <w:t>.</w:t>
      </w:r>
    </w:p>
    <w:p w14:paraId="163580AA" w14:textId="77777777" w:rsidR="001C35FC" w:rsidRPr="0059231D" w:rsidRDefault="001C35FC" w:rsidP="0085436C">
      <w:pPr>
        <w:tabs>
          <w:tab w:val="clear" w:pos="567"/>
        </w:tabs>
        <w:spacing w:line="240" w:lineRule="auto"/>
        <w:jc w:val="both"/>
        <w:rPr>
          <w:color w:val="000000"/>
          <w:szCs w:val="22"/>
        </w:rPr>
      </w:pPr>
      <w:r w:rsidRPr="0059231D">
        <w:rPr>
          <w:color w:val="000000"/>
          <w:szCs w:val="22"/>
          <w:vertAlign w:val="superscript"/>
        </w:rPr>
        <w:t>2</w:t>
      </w:r>
      <w:r w:rsidRPr="0059231D">
        <w:rPr>
          <w:color w:val="000000"/>
          <w:szCs w:val="22"/>
        </w:rPr>
        <w:t xml:space="preserve"> Ir ziņots par jaundzimušā abstinences sindromu, kas rodas jaundzimušajiem, ja māte grūtniecības laikā ir lietojusi buprenorfīnu. Sindroms var būt izteikts vieglākā un daudz </w:t>
      </w:r>
      <w:r w:rsidR="000D73ED" w:rsidRPr="0059231D">
        <w:rPr>
          <w:color w:val="000000"/>
          <w:szCs w:val="22"/>
        </w:rPr>
        <w:t>ilgstošākā</w:t>
      </w:r>
      <w:r w:rsidRPr="0059231D">
        <w:rPr>
          <w:color w:val="000000"/>
          <w:szCs w:val="22"/>
        </w:rPr>
        <w:t xml:space="preserve"> formā nekā no īslaicīgas darbības tīriem µ-opioīdu agonistiem. Sindrom</w:t>
      </w:r>
      <w:r w:rsidR="00BC5D41" w:rsidRPr="0059231D">
        <w:rPr>
          <w:color w:val="000000"/>
          <w:szCs w:val="22"/>
        </w:rPr>
        <w:t>a</w:t>
      </w:r>
      <w:r w:rsidRPr="0059231D">
        <w:rPr>
          <w:color w:val="000000"/>
          <w:szCs w:val="22"/>
        </w:rPr>
        <w:t xml:space="preserve"> raksturs var būt atkarīgs no mātes zāļu lietošanas vēstures (skatīt 4.6. apakš</w:t>
      </w:r>
      <w:smartTag w:uri="urn:schemas-microsoft-com:office:smarttags" w:element="PersonName">
        <w:r w:rsidRPr="0059231D">
          <w:rPr>
            <w:color w:val="000000"/>
            <w:szCs w:val="22"/>
          </w:rPr>
          <w:t>punktu</w:t>
        </w:r>
      </w:smartTag>
      <w:r w:rsidRPr="0059231D">
        <w:rPr>
          <w:color w:val="000000"/>
          <w:szCs w:val="22"/>
        </w:rPr>
        <w:t>).</w:t>
      </w:r>
    </w:p>
    <w:p w14:paraId="1D95BF72" w14:textId="77777777" w:rsidR="001C35FC" w:rsidRPr="0059231D" w:rsidRDefault="001C35FC" w:rsidP="0085436C">
      <w:pPr>
        <w:tabs>
          <w:tab w:val="clear" w:pos="567"/>
        </w:tabs>
        <w:autoSpaceDE w:val="0"/>
        <w:autoSpaceDN w:val="0"/>
        <w:adjustRightInd w:val="0"/>
        <w:spacing w:line="240" w:lineRule="auto"/>
        <w:jc w:val="both"/>
        <w:rPr>
          <w:color w:val="000000"/>
          <w:szCs w:val="22"/>
        </w:rPr>
      </w:pPr>
      <w:r w:rsidRPr="0059231D">
        <w:rPr>
          <w:color w:val="000000"/>
          <w:szCs w:val="22"/>
          <w:vertAlign w:val="superscript"/>
        </w:rPr>
        <w:t>3</w:t>
      </w:r>
      <w:r w:rsidRPr="0059231D">
        <w:rPr>
          <w:color w:val="000000"/>
          <w:szCs w:val="22"/>
        </w:rPr>
        <w:t xml:space="preserve"> Visbiežāk sastopamās paaugstinātas jutības pazīmes un simptomi ir izsitumi, nātrene un nieze. Ir ziņots par bronhospazmu, elpošanas nomākumu, angiodēmu un anafilaktiskā šoka gadījumiem.</w:t>
      </w:r>
    </w:p>
    <w:p w14:paraId="14DE290C" w14:textId="77777777" w:rsidR="001C35FC" w:rsidRPr="0059231D" w:rsidRDefault="001C35FC" w:rsidP="0085436C">
      <w:pPr>
        <w:tabs>
          <w:tab w:val="clear" w:pos="567"/>
        </w:tabs>
        <w:autoSpaceDE w:val="0"/>
        <w:autoSpaceDN w:val="0"/>
        <w:adjustRightInd w:val="0"/>
        <w:spacing w:line="240" w:lineRule="auto"/>
        <w:jc w:val="both"/>
        <w:rPr>
          <w:color w:val="000000"/>
          <w:szCs w:val="22"/>
        </w:rPr>
      </w:pPr>
      <w:r w:rsidRPr="0059231D">
        <w:rPr>
          <w:color w:val="000000"/>
          <w:szCs w:val="22"/>
          <w:vertAlign w:val="superscript"/>
        </w:rPr>
        <w:t>4</w:t>
      </w:r>
      <w:r w:rsidRPr="0059231D">
        <w:rPr>
          <w:color w:val="000000"/>
          <w:szCs w:val="22"/>
        </w:rPr>
        <w:t xml:space="preserve"> Ir ziņots par aknu transamināžu līmeņa paaugstināšanos un hepatītu ar dzelti, kas parasti izzuda bez paliekošām sekām (skatīt 4.4. apakšpunktu).</w:t>
      </w:r>
    </w:p>
    <w:p w14:paraId="29D9606B" w14:textId="77777777" w:rsidR="002A61E1" w:rsidRPr="0059231D" w:rsidRDefault="002A61E1" w:rsidP="0085436C">
      <w:pPr>
        <w:tabs>
          <w:tab w:val="clear" w:pos="567"/>
        </w:tabs>
        <w:spacing w:line="240" w:lineRule="auto"/>
        <w:jc w:val="both"/>
        <w:rPr>
          <w:bCs/>
          <w:iCs/>
          <w:color w:val="000000"/>
          <w:szCs w:val="22"/>
          <w:u w:val="single"/>
        </w:rPr>
      </w:pPr>
    </w:p>
    <w:p w14:paraId="13549F0C" w14:textId="77777777" w:rsidR="0048297B" w:rsidRPr="0059231D" w:rsidRDefault="0048297B" w:rsidP="0085436C">
      <w:pPr>
        <w:autoSpaceDE w:val="0"/>
        <w:autoSpaceDN w:val="0"/>
        <w:adjustRightInd w:val="0"/>
        <w:spacing w:line="240" w:lineRule="auto"/>
        <w:jc w:val="both"/>
        <w:rPr>
          <w:color w:val="000000"/>
          <w:szCs w:val="22"/>
          <w:u w:val="single"/>
        </w:rPr>
      </w:pPr>
      <w:r w:rsidRPr="0059231D">
        <w:rPr>
          <w:color w:val="000000"/>
          <w:szCs w:val="22"/>
          <w:u w:val="single"/>
        </w:rPr>
        <w:t>Ziņošana par iespējamām nevēlamām blakusparādībām</w:t>
      </w:r>
    </w:p>
    <w:p w14:paraId="30664F59" w14:textId="77777777" w:rsidR="0048297B" w:rsidRPr="0059231D" w:rsidRDefault="0048297B" w:rsidP="0085436C">
      <w:pPr>
        <w:autoSpaceDE w:val="0"/>
        <w:autoSpaceDN w:val="0"/>
        <w:adjustRightInd w:val="0"/>
        <w:spacing w:line="240" w:lineRule="auto"/>
        <w:jc w:val="both"/>
        <w:rPr>
          <w:rFonts w:eastAsia="Calibri"/>
          <w:color w:val="000000"/>
          <w:szCs w:val="22"/>
          <w:lang w:eastAsia="zh-CN"/>
        </w:rPr>
      </w:pPr>
      <w:r w:rsidRPr="0059231D">
        <w:rPr>
          <w:color w:val="000000"/>
          <w:szCs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w:t>
      </w:r>
      <w:r w:rsidR="005F1F82" w:rsidRPr="0059231D">
        <w:rPr>
          <w:color w:val="000000"/>
          <w:szCs w:val="22"/>
        </w:rPr>
        <w:t xml:space="preserve"> </w:t>
      </w:r>
      <w:r w:rsidRPr="0059231D">
        <w:rPr>
          <w:color w:val="000000"/>
          <w:szCs w:val="22"/>
        </w:rPr>
        <w:t xml:space="preserve">15, Rīgā, LV 1003. </w:t>
      </w:r>
      <w:r w:rsidRPr="0059231D">
        <w:rPr>
          <w:rFonts w:eastAsia="Calibri"/>
          <w:color w:val="000000"/>
          <w:szCs w:val="22"/>
          <w:lang w:eastAsia="zh-CN"/>
        </w:rPr>
        <w:t xml:space="preserve">Tīmekļa vietne: </w:t>
      </w:r>
      <w:hyperlink r:id="rId15" w:history="1">
        <w:r w:rsidRPr="0059231D">
          <w:rPr>
            <w:rFonts w:eastAsia="Calibri"/>
            <w:color w:val="000000"/>
            <w:szCs w:val="22"/>
            <w:u w:val="single"/>
            <w:lang w:eastAsia="zh-CN"/>
          </w:rPr>
          <w:t>www.zva.gov.lv</w:t>
        </w:r>
      </w:hyperlink>
    </w:p>
    <w:p w14:paraId="5FFEE7D1" w14:textId="77777777" w:rsidR="00CD10AA" w:rsidRPr="0059231D" w:rsidRDefault="00CD10AA" w:rsidP="0085436C">
      <w:pPr>
        <w:tabs>
          <w:tab w:val="clear" w:pos="567"/>
        </w:tabs>
        <w:spacing w:line="240" w:lineRule="auto"/>
        <w:jc w:val="both"/>
        <w:rPr>
          <w:color w:val="000000"/>
          <w:szCs w:val="22"/>
        </w:rPr>
      </w:pPr>
    </w:p>
    <w:p w14:paraId="511018A3"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4.9</w:t>
      </w:r>
      <w:r w:rsidR="002A61E1" w:rsidRPr="0059231D">
        <w:rPr>
          <w:b/>
          <w:color w:val="000000"/>
          <w:szCs w:val="22"/>
        </w:rPr>
        <w:t>.</w:t>
      </w:r>
      <w:r w:rsidRPr="0059231D">
        <w:rPr>
          <w:b/>
          <w:color w:val="000000"/>
          <w:szCs w:val="22"/>
        </w:rPr>
        <w:tab/>
        <w:t>Pārdozēšana</w:t>
      </w:r>
    </w:p>
    <w:p w14:paraId="718E0BA4" w14:textId="77777777" w:rsidR="00AC07BB" w:rsidRPr="0059231D" w:rsidRDefault="00AC07BB" w:rsidP="0085436C">
      <w:pPr>
        <w:tabs>
          <w:tab w:val="clear" w:pos="567"/>
        </w:tabs>
        <w:autoSpaceDE w:val="0"/>
        <w:autoSpaceDN w:val="0"/>
        <w:adjustRightInd w:val="0"/>
        <w:spacing w:line="240" w:lineRule="auto"/>
        <w:jc w:val="both"/>
        <w:rPr>
          <w:color w:val="000000"/>
          <w:szCs w:val="22"/>
          <w:lang w:eastAsia="en-GB"/>
        </w:rPr>
      </w:pPr>
    </w:p>
    <w:p w14:paraId="71617807" w14:textId="77777777" w:rsidR="00C844ED" w:rsidRPr="0059231D" w:rsidRDefault="00C844ED"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lastRenderedPageBreak/>
        <w:t xml:space="preserve">Buprenorfīnam daļējo opioīda agonista īpašību dēļ teorētiski ir plašs </w:t>
      </w:r>
      <w:r w:rsidR="00BC5D41" w:rsidRPr="0059231D">
        <w:rPr>
          <w:color w:val="000000"/>
          <w:szCs w:val="22"/>
          <w:lang w:eastAsia="en-GB"/>
        </w:rPr>
        <w:t>drošuma</w:t>
      </w:r>
      <w:r w:rsidRPr="0059231D">
        <w:rPr>
          <w:color w:val="000000"/>
          <w:szCs w:val="22"/>
          <w:lang w:eastAsia="en-GB"/>
        </w:rPr>
        <w:t xml:space="preserve"> intervāls.</w:t>
      </w:r>
    </w:p>
    <w:p w14:paraId="4346A2A6" w14:textId="77777777" w:rsidR="00C844ED" w:rsidRPr="0059231D" w:rsidRDefault="00C844ED" w:rsidP="0085436C">
      <w:pPr>
        <w:pStyle w:val="BodyTextIndent"/>
        <w:ind w:left="0" w:firstLine="0"/>
        <w:jc w:val="both"/>
        <w:rPr>
          <w:b w:val="0"/>
          <w:bCs w:val="0"/>
          <w:color w:val="000000"/>
          <w:lang w:val="lv-LV" w:eastAsia="en-GB"/>
        </w:rPr>
      </w:pPr>
    </w:p>
    <w:p w14:paraId="07DA88C2" w14:textId="77777777" w:rsidR="00C844ED" w:rsidRPr="00012FAC" w:rsidRDefault="00C844ED" w:rsidP="0085436C">
      <w:pPr>
        <w:pStyle w:val="BodyTextIndent"/>
        <w:ind w:left="0" w:firstLine="0"/>
        <w:jc w:val="both"/>
        <w:rPr>
          <w:b w:val="0"/>
          <w:bCs w:val="0"/>
          <w:color w:val="000000"/>
          <w:u w:val="single"/>
          <w:lang w:val="lv-LV"/>
        </w:rPr>
      </w:pPr>
      <w:r w:rsidRPr="00012FAC">
        <w:rPr>
          <w:b w:val="0"/>
          <w:bCs w:val="0"/>
          <w:color w:val="000000"/>
          <w:u w:val="single"/>
          <w:lang w:val="lv-LV"/>
        </w:rPr>
        <w:t>Simptomi</w:t>
      </w:r>
    </w:p>
    <w:p w14:paraId="65BD34C5" w14:textId="77777777" w:rsidR="00C844ED" w:rsidRPr="0059231D" w:rsidRDefault="00C844ED" w:rsidP="0085436C">
      <w:pPr>
        <w:pStyle w:val="BodyTextIndent"/>
        <w:ind w:left="0" w:firstLine="0"/>
        <w:jc w:val="both"/>
        <w:rPr>
          <w:b w:val="0"/>
          <w:color w:val="000000"/>
          <w:lang w:val="lv-LV"/>
        </w:rPr>
      </w:pPr>
      <w:r w:rsidRPr="0059231D">
        <w:rPr>
          <w:b w:val="0"/>
          <w:color w:val="000000"/>
          <w:lang w:val="lv-LV"/>
        </w:rPr>
        <w:t>Galvenais simptoms pārdozēšanas gadījumā, kad nepieciešama medicīniska iejaukšanās, ir elpošanas nomākums centrālās nervu sistēmas nomākuma rezultātā, jo tas var izraisīt elpošanas apstāšanos un nāvi</w:t>
      </w:r>
      <w:r w:rsidR="00CE1486" w:rsidRPr="0059231D">
        <w:rPr>
          <w:b w:val="0"/>
          <w:color w:val="000000"/>
          <w:lang w:val="lv-LV"/>
        </w:rPr>
        <w:t xml:space="preserve"> (skatīt 4.4. apakšpunktu)</w:t>
      </w:r>
      <w:r w:rsidRPr="0059231D">
        <w:rPr>
          <w:b w:val="0"/>
          <w:color w:val="000000"/>
          <w:lang w:val="lv-LV"/>
        </w:rPr>
        <w:t xml:space="preserve">. Pārdozēšanas pazīmes var ietvert arī </w:t>
      </w:r>
      <w:r w:rsidR="00CE1486" w:rsidRPr="0059231D">
        <w:rPr>
          <w:b w:val="0"/>
          <w:color w:val="000000"/>
          <w:lang w:val="lv-LV"/>
        </w:rPr>
        <w:t>sedāciju</w:t>
      </w:r>
      <w:r w:rsidRPr="0059231D">
        <w:rPr>
          <w:b w:val="0"/>
          <w:color w:val="000000"/>
          <w:lang w:val="lv-LV"/>
        </w:rPr>
        <w:t>, miozi, hipotensiju, sliktu dūšu</w:t>
      </w:r>
      <w:r w:rsidR="00CE1486" w:rsidRPr="0059231D">
        <w:rPr>
          <w:b w:val="0"/>
          <w:color w:val="000000"/>
          <w:lang w:val="lv-LV"/>
        </w:rPr>
        <w:t xml:space="preserve"> un </w:t>
      </w:r>
      <w:r w:rsidRPr="0059231D">
        <w:rPr>
          <w:b w:val="0"/>
          <w:color w:val="000000"/>
          <w:lang w:val="lv-LV"/>
        </w:rPr>
        <w:t>vemšanu.</w:t>
      </w:r>
    </w:p>
    <w:p w14:paraId="269E4F8C" w14:textId="77777777" w:rsidR="00C844ED" w:rsidRPr="0059231D" w:rsidRDefault="00C844ED" w:rsidP="0085436C">
      <w:pPr>
        <w:pStyle w:val="BodyTextIndent"/>
        <w:ind w:left="0" w:firstLine="0"/>
        <w:jc w:val="both"/>
        <w:rPr>
          <w:b w:val="0"/>
          <w:color w:val="000000"/>
          <w:lang w:val="lv-LV"/>
        </w:rPr>
      </w:pPr>
    </w:p>
    <w:p w14:paraId="225E6981" w14:textId="77777777" w:rsidR="00C844ED" w:rsidRPr="00012FAC" w:rsidRDefault="00C844ED" w:rsidP="0085436C">
      <w:pPr>
        <w:pStyle w:val="BodyTextIndent"/>
        <w:ind w:left="0" w:firstLine="0"/>
        <w:jc w:val="both"/>
        <w:rPr>
          <w:b w:val="0"/>
          <w:bCs w:val="0"/>
          <w:color w:val="000000"/>
          <w:u w:val="single"/>
          <w:lang w:val="lv-LV"/>
        </w:rPr>
      </w:pPr>
      <w:r w:rsidRPr="00012FAC">
        <w:rPr>
          <w:b w:val="0"/>
          <w:bCs w:val="0"/>
          <w:color w:val="000000"/>
          <w:u w:val="single"/>
          <w:lang w:val="lv-LV"/>
        </w:rPr>
        <w:t>Ārstēšana</w:t>
      </w:r>
    </w:p>
    <w:p w14:paraId="1B0243D2" w14:textId="77777777" w:rsidR="00CE1486" w:rsidRPr="0059231D" w:rsidRDefault="00CE1486" w:rsidP="0085436C">
      <w:pPr>
        <w:pStyle w:val="BodyTextIndent"/>
        <w:ind w:left="0" w:firstLine="0"/>
        <w:jc w:val="both"/>
        <w:rPr>
          <w:b w:val="0"/>
          <w:color w:val="000000"/>
          <w:lang w:val="lv-LV"/>
        </w:rPr>
      </w:pPr>
      <w:r w:rsidRPr="0059231D">
        <w:rPr>
          <w:b w:val="0"/>
          <w:color w:val="000000"/>
          <w:lang w:val="lv-LV"/>
        </w:rPr>
        <w:t>Pārdozēšanas gadījumā</w:t>
      </w:r>
      <w:r w:rsidR="00C844ED" w:rsidRPr="0059231D">
        <w:rPr>
          <w:b w:val="0"/>
          <w:color w:val="000000"/>
          <w:lang w:val="lv-LV"/>
        </w:rPr>
        <w:t xml:space="preserve"> jāveic vispārēji uzturoši pasākumi, tajā skaitā rūpīgi jākontrolē pacienta elpošana un sirdsdarbība.</w:t>
      </w:r>
    </w:p>
    <w:p w14:paraId="40F08D7B" w14:textId="77777777" w:rsidR="00C844ED" w:rsidRPr="0059231D" w:rsidRDefault="00C844ED" w:rsidP="0085436C">
      <w:pPr>
        <w:pStyle w:val="BodyTextIndent"/>
        <w:ind w:left="0" w:firstLine="0"/>
        <w:jc w:val="both"/>
        <w:rPr>
          <w:b w:val="0"/>
          <w:color w:val="000000"/>
          <w:lang w:val="lv-LV"/>
        </w:rPr>
      </w:pPr>
      <w:r w:rsidRPr="0059231D">
        <w:rPr>
          <w:b w:val="0"/>
          <w:color w:val="000000"/>
          <w:lang w:val="lv-LV"/>
        </w:rPr>
        <w:t>Jāveic simptomātiska elpošanas nomāku</w:t>
      </w:r>
      <w:smartTag w:uri="urn:schemas-microsoft-com:office:smarttags" w:element="PersonName">
        <w:r w:rsidRPr="0059231D">
          <w:rPr>
            <w:b w:val="0"/>
            <w:color w:val="000000"/>
            <w:lang w:val="lv-LV"/>
          </w:rPr>
          <w:t>ma</w:t>
        </w:r>
      </w:smartTag>
      <w:r w:rsidRPr="0059231D">
        <w:rPr>
          <w:b w:val="0"/>
          <w:color w:val="000000"/>
          <w:lang w:val="lv-LV"/>
        </w:rPr>
        <w:t xml:space="preserve"> ārstēšana un standarta intensīvās terapijas pasākumi. Jānodrošina elpceļu caurlaidība un </w:t>
      </w:r>
      <w:r w:rsidR="00CE1486" w:rsidRPr="0059231D">
        <w:rPr>
          <w:b w:val="0"/>
          <w:color w:val="000000"/>
          <w:lang w:val="lv-LV"/>
        </w:rPr>
        <w:t xml:space="preserve">nepieciešamības gadījumā </w:t>
      </w:r>
      <w:r w:rsidRPr="0059231D">
        <w:rPr>
          <w:b w:val="0"/>
          <w:color w:val="000000"/>
          <w:lang w:val="lv-LV"/>
        </w:rPr>
        <w:t>jāveic asistēta vai kontrolēta elpinā</w:t>
      </w:r>
      <w:smartTag w:uri="urn:schemas-microsoft-com:office:smarttags" w:element="PersonName">
        <w:r w:rsidRPr="0059231D">
          <w:rPr>
            <w:b w:val="0"/>
            <w:color w:val="000000"/>
            <w:lang w:val="lv-LV"/>
          </w:rPr>
          <w:t>šana</w:t>
        </w:r>
      </w:smartTag>
      <w:r w:rsidRPr="0059231D">
        <w:rPr>
          <w:b w:val="0"/>
          <w:color w:val="000000"/>
          <w:lang w:val="lv-LV"/>
        </w:rPr>
        <w:t>. Pacients jāpārvieto uz vietu, kur pieejami visi līdzekļi reanimē</w:t>
      </w:r>
      <w:smartTag w:uri="urn:schemas-microsoft-com:office:smarttags" w:element="PersonName">
        <w:r w:rsidRPr="0059231D">
          <w:rPr>
            <w:b w:val="0"/>
            <w:color w:val="000000"/>
            <w:lang w:val="lv-LV"/>
          </w:rPr>
          <w:t>šanai</w:t>
        </w:r>
      </w:smartTag>
      <w:r w:rsidRPr="0059231D">
        <w:rPr>
          <w:b w:val="0"/>
          <w:color w:val="000000"/>
          <w:lang w:val="lv-LV"/>
        </w:rPr>
        <w:t>.</w:t>
      </w:r>
    </w:p>
    <w:p w14:paraId="67707861" w14:textId="77777777" w:rsidR="00C844ED" w:rsidRPr="0059231D" w:rsidRDefault="00C844ED" w:rsidP="0085436C">
      <w:pPr>
        <w:pStyle w:val="BodyTextIndent"/>
        <w:ind w:left="0" w:firstLine="0"/>
        <w:jc w:val="both"/>
        <w:rPr>
          <w:b w:val="0"/>
          <w:color w:val="000000"/>
          <w:lang w:val="lv-LV"/>
        </w:rPr>
      </w:pPr>
      <w:r w:rsidRPr="0059231D">
        <w:rPr>
          <w:b w:val="0"/>
          <w:color w:val="000000"/>
          <w:lang w:val="lv-LV"/>
        </w:rPr>
        <w:t>Ja pacientam ir vemšana, jāievēro piesardzība, lai novērstu atvemto masu aspirāciju.</w:t>
      </w:r>
    </w:p>
    <w:p w14:paraId="60C71321" w14:textId="77777777" w:rsidR="00C844ED" w:rsidRPr="0059231D" w:rsidRDefault="00C844ED" w:rsidP="0085436C">
      <w:pPr>
        <w:pStyle w:val="BodyTextIndent"/>
        <w:ind w:left="0" w:firstLine="0"/>
        <w:jc w:val="both"/>
        <w:rPr>
          <w:b w:val="0"/>
          <w:color w:val="000000"/>
          <w:lang w:val="lv-LV"/>
        </w:rPr>
      </w:pPr>
      <w:r w:rsidRPr="0059231D">
        <w:rPr>
          <w:b w:val="0"/>
          <w:color w:val="000000"/>
          <w:lang w:val="lv-LV"/>
        </w:rPr>
        <w:t xml:space="preserve">Ieteicama </w:t>
      </w:r>
      <w:r w:rsidR="00CE1486" w:rsidRPr="0059231D">
        <w:rPr>
          <w:b w:val="0"/>
          <w:color w:val="000000"/>
          <w:lang w:val="lv-LV"/>
        </w:rPr>
        <w:t xml:space="preserve">injicējama </w:t>
      </w:r>
      <w:r w:rsidRPr="0059231D">
        <w:rPr>
          <w:b w:val="0"/>
          <w:color w:val="000000"/>
          <w:lang w:val="lv-LV"/>
        </w:rPr>
        <w:t>opioīdu antagonista (t.i., naloksona) lietošana, neraugoties uz tā mēreno ietekmi, mazinot buprenorfīna izraisītus respiratoros simptomus</w:t>
      </w:r>
      <w:r w:rsidR="00CE1486" w:rsidRPr="0059231D">
        <w:rPr>
          <w:b w:val="0"/>
          <w:color w:val="000000"/>
          <w:lang w:val="lv-LV"/>
        </w:rPr>
        <w:t>.</w:t>
      </w:r>
      <w:r w:rsidRPr="0059231D">
        <w:rPr>
          <w:b w:val="0"/>
          <w:color w:val="000000"/>
          <w:lang w:val="lv-LV"/>
        </w:rPr>
        <w:t xml:space="preserve"> </w:t>
      </w:r>
      <w:r w:rsidR="00CE1486" w:rsidRPr="0059231D">
        <w:rPr>
          <w:b w:val="0"/>
          <w:color w:val="000000"/>
          <w:lang w:val="lv-LV"/>
        </w:rPr>
        <w:t>Buprenorfīns izteikti saistās ar morfija receptoriem</w:t>
      </w:r>
      <w:r w:rsidRPr="0059231D">
        <w:rPr>
          <w:b w:val="0"/>
          <w:color w:val="000000"/>
          <w:lang w:val="lv-LV"/>
        </w:rPr>
        <w:t>.</w:t>
      </w:r>
    </w:p>
    <w:p w14:paraId="5035B66C" w14:textId="77777777" w:rsidR="00C844ED" w:rsidRPr="0059231D" w:rsidRDefault="00C844ED" w:rsidP="0085436C">
      <w:pPr>
        <w:pStyle w:val="BodyTextIndent"/>
        <w:ind w:left="0" w:firstLine="0"/>
        <w:jc w:val="both"/>
        <w:rPr>
          <w:b w:val="0"/>
          <w:color w:val="000000"/>
          <w:lang w:val="lv-LV"/>
        </w:rPr>
      </w:pPr>
    </w:p>
    <w:p w14:paraId="37A43A7B" w14:textId="77777777" w:rsidR="00C844ED" w:rsidRPr="0059231D" w:rsidRDefault="00C844ED" w:rsidP="0085436C">
      <w:pPr>
        <w:pStyle w:val="BodyTextIndent"/>
        <w:ind w:left="0" w:firstLine="0"/>
        <w:jc w:val="both"/>
        <w:rPr>
          <w:b w:val="0"/>
          <w:color w:val="000000"/>
          <w:lang w:val="lv-LV"/>
        </w:rPr>
      </w:pPr>
      <w:r w:rsidRPr="0059231D">
        <w:rPr>
          <w:b w:val="0"/>
          <w:color w:val="000000"/>
          <w:lang w:val="lv-LV"/>
        </w:rPr>
        <w:t>Ja tiek lietots naloksons, ilgsto</w:t>
      </w:r>
      <w:smartTag w:uri="urn:schemas-microsoft-com:office:smarttags" w:element="PersonName">
        <w:r w:rsidRPr="0059231D">
          <w:rPr>
            <w:b w:val="0"/>
            <w:color w:val="000000"/>
            <w:lang w:val="lv-LV"/>
          </w:rPr>
          <w:t>šā</w:t>
        </w:r>
      </w:smartTag>
      <w:r w:rsidRPr="0059231D">
        <w:rPr>
          <w:b w:val="0"/>
          <w:color w:val="000000"/>
          <w:lang w:val="lv-LV"/>
        </w:rPr>
        <w:t xml:space="preserve"> buprenorfīna darbī</w:t>
      </w:r>
      <w:smartTag w:uri="urn:schemas-microsoft-com:office:smarttags" w:element="PersonName">
        <w:r w:rsidRPr="0059231D">
          <w:rPr>
            <w:b w:val="0"/>
            <w:color w:val="000000"/>
            <w:lang w:val="lv-LV"/>
          </w:rPr>
          <w:t>ba</w:t>
        </w:r>
      </w:smartTag>
      <w:r w:rsidRPr="0059231D">
        <w:rPr>
          <w:b w:val="0"/>
          <w:color w:val="000000"/>
          <w:lang w:val="lv-LV"/>
        </w:rPr>
        <w:t xml:space="preserve"> ir jāņem vērā, nosakot terapijas ilgumu un medicīnisko uzraudzību, kas nepieciešama, lai novērstu pārdozēšanas izpausmes. Naloksonu var izvadīt ātrāk nekā buprenorfīnu, tādējādi iespējama iepriekš kontrolēto buprenorfīna pārdozēšanas simptomu atgriešanās, tāpēc var būt nepieciešama ilgstoša infūzija. </w:t>
      </w:r>
      <w:r w:rsidR="00CE1486" w:rsidRPr="0059231D">
        <w:rPr>
          <w:b w:val="0"/>
          <w:color w:val="000000"/>
          <w:lang w:val="lv-LV"/>
        </w:rPr>
        <w:t xml:space="preserve">Turpmākais intravenozo infūziju ātrums jāpielāgo atbilstoši pacienta reakcijai. </w:t>
      </w:r>
      <w:r w:rsidRPr="0059231D">
        <w:rPr>
          <w:b w:val="0"/>
          <w:color w:val="000000"/>
          <w:lang w:val="lv-LV"/>
        </w:rPr>
        <w:t>Ja infūzija nav iespējama, var būt nepieci</w:t>
      </w:r>
      <w:r w:rsidR="00CE1486" w:rsidRPr="0059231D">
        <w:rPr>
          <w:b w:val="0"/>
          <w:color w:val="000000"/>
          <w:lang w:val="lv-LV"/>
        </w:rPr>
        <w:t>ešama atkārtota naloksona deva.</w:t>
      </w:r>
    </w:p>
    <w:p w14:paraId="32645414" w14:textId="77777777" w:rsidR="00CD10AA" w:rsidRPr="0059231D" w:rsidRDefault="00CD10AA" w:rsidP="0085436C">
      <w:pPr>
        <w:tabs>
          <w:tab w:val="clear" w:pos="567"/>
        </w:tabs>
        <w:spacing w:line="240" w:lineRule="auto"/>
        <w:jc w:val="both"/>
        <w:rPr>
          <w:color w:val="000000"/>
          <w:szCs w:val="22"/>
        </w:rPr>
      </w:pPr>
    </w:p>
    <w:p w14:paraId="4DFA6379" w14:textId="77777777" w:rsidR="00AC07BB" w:rsidRPr="0059231D" w:rsidRDefault="00AC07BB" w:rsidP="0085436C">
      <w:pPr>
        <w:tabs>
          <w:tab w:val="clear" w:pos="567"/>
        </w:tabs>
        <w:spacing w:line="240" w:lineRule="auto"/>
        <w:jc w:val="both"/>
        <w:rPr>
          <w:color w:val="000000"/>
          <w:szCs w:val="22"/>
        </w:rPr>
      </w:pPr>
    </w:p>
    <w:p w14:paraId="19C6FB7E" w14:textId="77777777" w:rsidR="00CD10AA" w:rsidRPr="0059231D" w:rsidRDefault="00846D85" w:rsidP="0085436C">
      <w:pPr>
        <w:tabs>
          <w:tab w:val="clear" w:pos="567"/>
        </w:tabs>
        <w:spacing w:line="240" w:lineRule="auto"/>
        <w:jc w:val="both"/>
        <w:rPr>
          <w:b/>
          <w:color w:val="000000"/>
          <w:szCs w:val="22"/>
        </w:rPr>
      </w:pPr>
      <w:r w:rsidRPr="0059231D">
        <w:rPr>
          <w:b/>
          <w:color w:val="000000"/>
          <w:szCs w:val="22"/>
        </w:rPr>
        <w:t>5.</w:t>
      </w:r>
      <w:r w:rsidRPr="0059231D">
        <w:rPr>
          <w:b/>
          <w:color w:val="000000"/>
          <w:szCs w:val="22"/>
        </w:rPr>
        <w:tab/>
        <w:t>FARMAKOLOĢISKĀS ĪPAŠĪBAS</w:t>
      </w:r>
    </w:p>
    <w:p w14:paraId="01AABEC9" w14:textId="77777777" w:rsidR="00AC07BB" w:rsidRPr="0059231D" w:rsidRDefault="00AC07BB" w:rsidP="0085436C">
      <w:pPr>
        <w:tabs>
          <w:tab w:val="clear" w:pos="567"/>
        </w:tabs>
        <w:spacing w:line="240" w:lineRule="auto"/>
        <w:jc w:val="both"/>
        <w:rPr>
          <w:b/>
          <w:color w:val="000000"/>
          <w:szCs w:val="22"/>
        </w:rPr>
      </w:pPr>
    </w:p>
    <w:p w14:paraId="0E65C65E"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5.1</w:t>
      </w:r>
      <w:r w:rsidR="00F311D8" w:rsidRPr="0059231D">
        <w:rPr>
          <w:b/>
          <w:color w:val="000000"/>
          <w:szCs w:val="22"/>
        </w:rPr>
        <w:t>.</w:t>
      </w:r>
      <w:r w:rsidRPr="0059231D">
        <w:rPr>
          <w:b/>
          <w:color w:val="000000"/>
          <w:szCs w:val="22"/>
        </w:rPr>
        <w:tab/>
        <w:t>Farmakodinamiskās īpašības</w:t>
      </w:r>
    </w:p>
    <w:p w14:paraId="7177B11B" w14:textId="77777777" w:rsidR="00AC07BB" w:rsidRPr="0059231D" w:rsidRDefault="00AC07BB" w:rsidP="0085436C">
      <w:pPr>
        <w:tabs>
          <w:tab w:val="clear" w:pos="567"/>
        </w:tabs>
        <w:spacing w:line="240" w:lineRule="auto"/>
        <w:jc w:val="both"/>
        <w:rPr>
          <w:b/>
          <w:color w:val="000000"/>
          <w:szCs w:val="22"/>
        </w:rPr>
      </w:pPr>
    </w:p>
    <w:p w14:paraId="17D2490E" w14:textId="77777777" w:rsidR="003F45AD" w:rsidRPr="0059231D" w:rsidRDefault="00CD10AA" w:rsidP="0085436C">
      <w:pPr>
        <w:tabs>
          <w:tab w:val="clear" w:pos="567"/>
        </w:tabs>
        <w:spacing w:line="240" w:lineRule="auto"/>
        <w:jc w:val="both"/>
        <w:rPr>
          <w:color w:val="000000"/>
          <w:szCs w:val="22"/>
        </w:rPr>
      </w:pPr>
      <w:r w:rsidRPr="0059231D">
        <w:rPr>
          <w:b/>
          <w:color w:val="000000"/>
          <w:szCs w:val="22"/>
        </w:rPr>
        <w:t>Farmakoterapeitiskā grupa</w:t>
      </w:r>
      <w:r w:rsidRPr="0059231D">
        <w:rPr>
          <w:color w:val="000000"/>
          <w:szCs w:val="22"/>
        </w:rPr>
        <w:t xml:space="preserve">: </w:t>
      </w:r>
      <w:r w:rsidR="005C1DC2">
        <w:rPr>
          <w:color w:val="000000"/>
          <w:szCs w:val="22"/>
          <w:lang w:eastAsia="en-GB"/>
        </w:rPr>
        <w:t>l</w:t>
      </w:r>
      <w:r w:rsidR="00E75EF4" w:rsidRPr="0059231D">
        <w:rPr>
          <w:color w:val="000000"/>
          <w:szCs w:val="22"/>
          <w:lang w:eastAsia="en-GB"/>
        </w:rPr>
        <w:t>īdzekļi opioīdu atkarības ārstēšanai</w:t>
      </w:r>
    </w:p>
    <w:p w14:paraId="79495574"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ATĶ kods</w:t>
      </w:r>
      <w:r w:rsidRPr="0059231D">
        <w:rPr>
          <w:color w:val="000000"/>
          <w:szCs w:val="22"/>
        </w:rPr>
        <w:t xml:space="preserve">: </w:t>
      </w:r>
      <w:r w:rsidR="00E75EF4" w:rsidRPr="0059231D">
        <w:rPr>
          <w:color w:val="000000"/>
          <w:szCs w:val="22"/>
        </w:rPr>
        <w:t>N07BC01</w:t>
      </w:r>
    </w:p>
    <w:p w14:paraId="0D604C43" w14:textId="77777777" w:rsidR="00CD10AA" w:rsidRPr="0059231D" w:rsidRDefault="00CD10AA" w:rsidP="0085436C">
      <w:pPr>
        <w:tabs>
          <w:tab w:val="clear" w:pos="567"/>
        </w:tabs>
        <w:spacing w:line="240" w:lineRule="auto"/>
        <w:jc w:val="both"/>
        <w:rPr>
          <w:color w:val="000000"/>
          <w:szCs w:val="22"/>
        </w:rPr>
      </w:pPr>
    </w:p>
    <w:p w14:paraId="425A6967" w14:textId="77777777" w:rsidR="00E75EF4" w:rsidRPr="0059231D" w:rsidRDefault="00E75EF4" w:rsidP="0085436C">
      <w:pPr>
        <w:pStyle w:val="BodyTextIndent"/>
        <w:ind w:left="0" w:firstLine="0"/>
        <w:jc w:val="both"/>
        <w:rPr>
          <w:b w:val="0"/>
          <w:color w:val="000000"/>
          <w:lang w:val="lv-LV"/>
        </w:rPr>
      </w:pPr>
      <w:r w:rsidRPr="0059231D">
        <w:rPr>
          <w:b w:val="0"/>
          <w:color w:val="000000"/>
          <w:lang w:val="lv-LV"/>
        </w:rPr>
        <w:t xml:space="preserve">Buprenorfīns ir opioīdu agonists/antagonists, kas pats par sevi saistās ar </w:t>
      </w:r>
      <w:r w:rsidR="00C528EB" w:rsidRPr="0059231D">
        <w:rPr>
          <w:rFonts w:eastAsia="Symbol"/>
          <w:b w:val="0"/>
          <w:color w:val="000000"/>
          <w:lang w:val="lv-LV"/>
        </w:rPr>
        <w:t>µ</w:t>
      </w:r>
      <w:r w:rsidRPr="0059231D">
        <w:rPr>
          <w:b w:val="0"/>
          <w:color w:val="000000"/>
          <w:lang w:val="lv-LV"/>
        </w:rPr>
        <w:t xml:space="preserve"> un </w:t>
      </w:r>
      <w:r w:rsidR="00C528EB" w:rsidRPr="0059231D">
        <w:rPr>
          <w:rFonts w:eastAsia="Symbol"/>
          <w:b w:val="0"/>
          <w:color w:val="000000"/>
          <w:lang w:val="lv-LV"/>
        </w:rPr>
        <w:t>κ</w:t>
      </w:r>
      <w:r w:rsidRPr="0059231D">
        <w:rPr>
          <w:b w:val="0"/>
          <w:color w:val="000000"/>
          <w:lang w:val="lv-LV"/>
        </w:rPr>
        <w:t xml:space="preserve"> opioīdu receptoriem smadzenēs. Tā iedarbība opioīdu balstterapijā saistīta ar lēnu atgriezenisku saistīšanos ar opioīdu </w:t>
      </w:r>
      <w:r w:rsidR="00C528EB" w:rsidRPr="0059231D">
        <w:rPr>
          <w:rFonts w:eastAsia="Symbol"/>
          <w:b w:val="0"/>
          <w:color w:val="000000"/>
          <w:lang w:val="lv-LV"/>
        </w:rPr>
        <w:t>µ</w:t>
      </w:r>
      <w:r w:rsidRPr="0059231D">
        <w:rPr>
          <w:b w:val="0"/>
          <w:color w:val="000000"/>
          <w:lang w:val="lv-LV"/>
        </w:rPr>
        <w:t xml:space="preserve"> receptoriem, kas ilgstošā laika periodā var mazināt nepieciešamību atkarīgiem pacientiem lietot narkotikas.</w:t>
      </w:r>
    </w:p>
    <w:p w14:paraId="218A5DB3" w14:textId="77777777" w:rsidR="0097548A" w:rsidRPr="0059231D" w:rsidRDefault="0097548A" w:rsidP="0085436C">
      <w:pPr>
        <w:spacing w:line="240" w:lineRule="auto"/>
        <w:jc w:val="both"/>
        <w:rPr>
          <w:bCs/>
          <w:iCs/>
          <w:color w:val="000000"/>
          <w:szCs w:val="22"/>
        </w:rPr>
      </w:pPr>
    </w:p>
    <w:p w14:paraId="5439683A" w14:textId="77777777" w:rsidR="00E75EF4" w:rsidRPr="0059231D" w:rsidRDefault="00E75EF4" w:rsidP="0085436C">
      <w:pPr>
        <w:spacing w:line="240" w:lineRule="auto"/>
        <w:jc w:val="both"/>
        <w:rPr>
          <w:color w:val="000000"/>
          <w:szCs w:val="22"/>
        </w:rPr>
      </w:pPr>
      <w:r w:rsidRPr="0059231D">
        <w:rPr>
          <w:color w:val="000000"/>
          <w:szCs w:val="22"/>
        </w:rPr>
        <w:t xml:space="preserve">Daļējās opioīdu agonista iedarbības dēļ buprenorfīnam ir plašs </w:t>
      </w:r>
      <w:r w:rsidR="00552167" w:rsidRPr="0059231D">
        <w:rPr>
          <w:color w:val="000000"/>
          <w:szCs w:val="22"/>
        </w:rPr>
        <w:t>drošuma</w:t>
      </w:r>
      <w:r w:rsidRPr="0059231D">
        <w:rPr>
          <w:color w:val="000000"/>
          <w:szCs w:val="22"/>
        </w:rPr>
        <w:t xml:space="preserve"> intervāls, kas ierobežo tā nomācošo iedarbību, it īpaši uz sirdsdarbību un elpošanu. Lietojot vienlaicīgi ar benzodiazepīniem vai nepareizi lietojot buprenorfīnu, iespējama </w:t>
      </w:r>
      <w:r w:rsidR="00552167" w:rsidRPr="0059231D">
        <w:rPr>
          <w:color w:val="000000"/>
          <w:szCs w:val="22"/>
        </w:rPr>
        <w:t>drošuma intervāla</w:t>
      </w:r>
      <w:r w:rsidRPr="0059231D">
        <w:rPr>
          <w:color w:val="000000"/>
          <w:szCs w:val="22"/>
        </w:rPr>
        <w:t xml:space="preserve"> </w:t>
      </w:r>
      <w:r w:rsidR="00552167" w:rsidRPr="0059231D">
        <w:rPr>
          <w:color w:val="000000"/>
          <w:szCs w:val="22"/>
        </w:rPr>
        <w:t>sa</w:t>
      </w:r>
      <w:r w:rsidRPr="0059231D">
        <w:rPr>
          <w:color w:val="000000"/>
          <w:szCs w:val="22"/>
        </w:rPr>
        <w:t>mazināšanās.</w:t>
      </w:r>
    </w:p>
    <w:p w14:paraId="39606EDC" w14:textId="77777777" w:rsidR="00552167" w:rsidRPr="0059231D" w:rsidRDefault="00552167" w:rsidP="0085436C">
      <w:pPr>
        <w:spacing w:line="240" w:lineRule="auto"/>
        <w:jc w:val="both"/>
        <w:rPr>
          <w:bCs/>
          <w:iCs/>
          <w:color w:val="000000"/>
          <w:szCs w:val="22"/>
        </w:rPr>
      </w:pPr>
    </w:p>
    <w:p w14:paraId="0E4B484F"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5.2</w:t>
      </w:r>
      <w:r w:rsidR="00565B11" w:rsidRPr="0059231D">
        <w:rPr>
          <w:b/>
          <w:color w:val="000000"/>
          <w:szCs w:val="22"/>
        </w:rPr>
        <w:t>.</w:t>
      </w:r>
      <w:r w:rsidRPr="0059231D">
        <w:rPr>
          <w:b/>
          <w:color w:val="000000"/>
          <w:szCs w:val="22"/>
        </w:rPr>
        <w:tab/>
        <w:t>Farmakokinētiskās īpašības</w:t>
      </w:r>
    </w:p>
    <w:p w14:paraId="7921A4AF" w14:textId="77777777" w:rsidR="00AC07BB" w:rsidRPr="0059231D" w:rsidRDefault="00AC07BB" w:rsidP="0085436C">
      <w:pPr>
        <w:tabs>
          <w:tab w:val="clear" w:pos="567"/>
        </w:tabs>
        <w:spacing w:line="240" w:lineRule="auto"/>
        <w:jc w:val="both"/>
        <w:rPr>
          <w:b/>
          <w:color w:val="000000"/>
          <w:szCs w:val="22"/>
        </w:rPr>
      </w:pPr>
    </w:p>
    <w:p w14:paraId="1AB7D14D" w14:textId="77777777" w:rsidR="00EA4EDE" w:rsidRPr="00012FAC" w:rsidRDefault="003F45AD" w:rsidP="0085436C">
      <w:pPr>
        <w:tabs>
          <w:tab w:val="clear" w:pos="567"/>
        </w:tabs>
        <w:spacing w:line="240" w:lineRule="auto"/>
        <w:jc w:val="both"/>
        <w:rPr>
          <w:bCs/>
          <w:color w:val="000000"/>
          <w:szCs w:val="22"/>
          <w:u w:val="single"/>
        </w:rPr>
      </w:pPr>
      <w:r w:rsidRPr="00012FAC">
        <w:rPr>
          <w:bCs/>
          <w:color w:val="000000"/>
          <w:szCs w:val="22"/>
          <w:u w:val="single"/>
        </w:rPr>
        <w:t>Uzsūkšanās</w:t>
      </w:r>
    </w:p>
    <w:p w14:paraId="18E5370A" w14:textId="77777777" w:rsidR="00552167" w:rsidRPr="0059231D" w:rsidRDefault="00552167" w:rsidP="0085436C">
      <w:pPr>
        <w:spacing w:line="240" w:lineRule="auto"/>
        <w:jc w:val="both"/>
        <w:rPr>
          <w:color w:val="000000"/>
          <w:szCs w:val="22"/>
        </w:rPr>
      </w:pPr>
      <w:r w:rsidRPr="0059231D">
        <w:rPr>
          <w:color w:val="000000"/>
          <w:szCs w:val="22"/>
        </w:rPr>
        <w:t>Lietojot iekšķīgi, buprenorfīns tiek pakļauts pirmā loka metabolismam ar N-dealkilēšanos un glikuronizāciju tievajās zarnās un aknās. Tādēļ šīs zāles nav piemērotas iekšķīgai lietošanai.</w:t>
      </w:r>
    </w:p>
    <w:p w14:paraId="2C7D39B9" w14:textId="77777777" w:rsidR="00552167" w:rsidRPr="0059231D" w:rsidRDefault="00552167" w:rsidP="0085436C">
      <w:pPr>
        <w:spacing w:line="240" w:lineRule="auto"/>
        <w:jc w:val="both"/>
        <w:rPr>
          <w:color w:val="000000"/>
          <w:szCs w:val="22"/>
        </w:rPr>
      </w:pPr>
    </w:p>
    <w:p w14:paraId="5B1C45CC" w14:textId="77777777" w:rsidR="00552167" w:rsidRPr="0059231D" w:rsidRDefault="00552167" w:rsidP="0085436C">
      <w:pPr>
        <w:spacing w:line="240" w:lineRule="auto"/>
        <w:jc w:val="both"/>
        <w:rPr>
          <w:color w:val="000000"/>
          <w:szCs w:val="22"/>
        </w:rPr>
      </w:pPr>
      <w:r w:rsidRPr="0059231D">
        <w:rPr>
          <w:color w:val="000000"/>
          <w:szCs w:val="22"/>
        </w:rPr>
        <w:t>Lietojot zem mēles, buprenorfīna tablešu absolūtā biopieejamība nav labi zināma, bet sagaidāms, ka tā varētu būt 15 – 30 %. Maksimālā koncentrācija plazmā tiek sasniegta 90 minūšu laikā pēc lietošanas zem mēles. Lietojot buprenorfīna/naloksona devu zem mēles, palielinājās buprenorfīna līmenis plazmā un sakarība starp devu un koncentrāciju ir lineāra, lietojot 2 mg līdz 16 mg devu.</w:t>
      </w:r>
    </w:p>
    <w:p w14:paraId="66AE89E9" w14:textId="77777777" w:rsidR="00552167" w:rsidRPr="0059231D" w:rsidRDefault="00552167" w:rsidP="0085436C">
      <w:pPr>
        <w:tabs>
          <w:tab w:val="clear" w:pos="567"/>
        </w:tabs>
        <w:spacing w:line="240" w:lineRule="auto"/>
        <w:jc w:val="both"/>
        <w:rPr>
          <w:b/>
          <w:color w:val="000000"/>
          <w:szCs w:val="22"/>
        </w:rPr>
      </w:pPr>
    </w:p>
    <w:p w14:paraId="50ED9193" w14:textId="77777777" w:rsidR="00EA4EDE" w:rsidRPr="00012FAC" w:rsidRDefault="00565B11" w:rsidP="0085436C">
      <w:pPr>
        <w:tabs>
          <w:tab w:val="clear" w:pos="567"/>
        </w:tabs>
        <w:spacing w:line="240" w:lineRule="auto"/>
        <w:jc w:val="both"/>
        <w:rPr>
          <w:bCs/>
          <w:color w:val="000000"/>
          <w:szCs w:val="22"/>
          <w:u w:val="single"/>
        </w:rPr>
      </w:pPr>
      <w:r w:rsidRPr="00012FAC">
        <w:rPr>
          <w:bCs/>
          <w:color w:val="000000"/>
          <w:szCs w:val="22"/>
          <w:u w:val="single"/>
        </w:rPr>
        <w:t>Izkliede</w:t>
      </w:r>
    </w:p>
    <w:p w14:paraId="44F69DC0" w14:textId="77777777" w:rsidR="00552167" w:rsidRPr="0059231D" w:rsidRDefault="00552167" w:rsidP="0085436C">
      <w:pPr>
        <w:spacing w:line="240" w:lineRule="auto"/>
        <w:jc w:val="both"/>
        <w:rPr>
          <w:color w:val="000000"/>
          <w:szCs w:val="22"/>
        </w:rPr>
      </w:pPr>
      <w:r w:rsidRPr="0059231D">
        <w:rPr>
          <w:color w:val="000000"/>
          <w:szCs w:val="22"/>
        </w:rPr>
        <w:t>Pēc buprenorfīna uzsūkšanās novērojama ātra izkliedes fāze. Izkliedes pusperiods ir 2 līdz 5 stundas.</w:t>
      </w:r>
    </w:p>
    <w:p w14:paraId="440EB76D" w14:textId="77777777" w:rsidR="00552167" w:rsidRPr="0059231D" w:rsidRDefault="00552167" w:rsidP="0085436C">
      <w:pPr>
        <w:tabs>
          <w:tab w:val="clear" w:pos="567"/>
        </w:tabs>
        <w:spacing w:line="240" w:lineRule="auto"/>
        <w:jc w:val="both"/>
        <w:rPr>
          <w:b/>
          <w:color w:val="000000"/>
          <w:szCs w:val="22"/>
        </w:rPr>
      </w:pPr>
    </w:p>
    <w:p w14:paraId="039FA0ED" w14:textId="77777777" w:rsidR="00EA4EDE" w:rsidRPr="00012FAC" w:rsidRDefault="00565B11" w:rsidP="0085436C">
      <w:pPr>
        <w:tabs>
          <w:tab w:val="clear" w:pos="567"/>
        </w:tabs>
        <w:spacing w:line="240" w:lineRule="auto"/>
        <w:jc w:val="both"/>
        <w:rPr>
          <w:bCs/>
          <w:color w:val="000000"/>
          <w:szCs w:val="22"/>
          <w:u w:val="single"/>
        </w:rPr>
      </w:pPr>
      <w:r w:rsidRPr="00012FAC">
        <w:rPr>
          <w:bCs/>
          <w:color w:val="000000"/>
          <w:szCs w:val="22"/>
          <w:u w:val="single"/>
        </w:rPr>
        <w:lastRenderedPageBreak/>
        <w:t>Biotransformācija</w:t>
      </w:r>
      <w:r w:rsidR="00552167" w:rsidRPr="00012FAC">
        <w:rPr>
          <w:bCs/>
          <w:color w:val="000000"/>
          <w:szCs w:val="22"/>
          <w:u w:val="single"/>
        </w:rPr>
        <w:t xml:space="preserve"> un e</w:t>
      </w:r>
      <w:r w:rsidRPr="00012FAC">
        <w:rPr>
          <w:bCs/>
          <w:color w:val="000000"/>
          <w:szCs w:val="22"/>
          <w:u w:val="single"/>
        </w:rPr>
        <w:t>liminācija</w:t>
      </w:r>
    </w:p>
    <w:p w14:paraId="1DED4CC9" w14:textId="77777777" w:rsidR="00552167" w:rsidRPr="0059231D" w:rsidRDefault="00552167" w:rsidP="0085436C">
      <w:pPr>
        <w:spacing w:line="240" w:lineRule="auto"/>
        <w:jc w:val="both"/>
        <w:rPr>
          <w:color w:val="000000"/>
          <w:szCs w:val="22"/>
        </w:rPr>
      </w:pPr>
      <w:r w:rsidRPr="0059231D">
        <w:rPr>
          <w:color w:val="000000"/>
          <w:szCs w:val="22"/>
        </w:rPr>
        <w:t>Buprenorfīna metabolisms notiek pamatmolekulas un dealkilēta metabolīta 14-N-dealkilēšanas un glikuronizācijas rezultātā. Klīniskie dati apstiprina, ka CYP3A4 ir atbildīgs par buprenorfīna N</w:t>
      </w:r>
      <w:r w:rsidRPr="0059231D">
        <w:rPr>
          <w:color w:val="000000"/>
          <w:szCs w:val="22"/>
        </w:rPr>
        <w:noBreakHyphen/>
        <w:t>dealkilēšanu.</w:t>
      </w:r>
    </w:p>
    <w:p w14:paraId="33A786B3" w14:textId="77777777" w:rsidR="00552167" w:rsidRPr="0059231D" w:rsidRDefault="00552167" w:rsidP="0085436C">
      <w:pPr>
        <w:spacing w:line="240" w:lineRule="auto"/>
        <w:jc w:val="both"/>
        <w:rPr>
          <w:color w:val="000000"/>
          <w:szCs w:val="22"/>
        </w:rPr>
      </w:pPr>
      <w:r w:rsidRPr="0059231D">
        <w:rPr>
          <w:color w:val="000000"/>
          <w:szCs w:val="22"/>
        </w:rPr>
        <w:t>N</w:t>
      </w:r>
      <w:r w:rsidRPr="0059231D">
        <w:rPr>
          <w:color w:val="000000"/>
          <w:szCs w:val="22"/>
        </w:rPr>
        <w:noBreakHyphen/>
        <w:t xml:space="preserve">dealkilbuprenorfīns ir </w:t>
      </w:r>
      <w:r w:rsidR="00C528EB" w:rsidRPr="0059231D">
        <w:rPr>
          <w:rFonts w:eastAsia="Symbol"/>
          <w:color w:val="000000"/>
          <w:szCs w:val="22"/>
        </w:rPr>
        <w:t>µ</w:t>
      </w:r>
      <w:r w:rsidRPr="0059231D">
        <w:rPr>
          <w:color w:val="000000"/>
          <w:szCs w:val="22"/>
        </w:rPr>
        <w:t xml:space="preserve"> agonists ar vāji raksturīgu iedarbību.</w:t>
      </w:r>
    </w:p>
    <w:p w14:paraId="3CE74609" w14:textId="77777777" w:rsidR="00552167" w:rsidRPr="0059231D" w:rsidRDefault="00552167" w:rsidP="0085436C">
      <w:pPr>
        <w:spacing w:line="240" w:lineRule="auto"/>
        <w:jc w:val="both"/>
        <w:rPr>
          <w:color w:val="000000"/>
          <w:szCs w:val="22"/>
        </w:rPr>
      </w:pPr>
      <w:r w:rsidRPr="0059231D">
        <w:rPr>
          <w:color w:val="000000"/>
          <w:szCs w:val="22"/>
        </w:rPr>
        <w:t>Daļēji buprenorfīna reabsorbcijas dēļ pēc konjugēta atvasinājuma hidrolīzes zarnās un daļēji molekulas izteikti lipofīlisko īpašību dēļ buprenorfīna eliminācija ir bi- vai trieksponenciāla ar garu terminālo eliminācijas fāzi – 20 – 25 stundas.</w:t>
      </w:r>
    </w:p>
    <w:p w14:paraId="0F76AC47" w14:textId="77777777" w:rsidR="00552167" w:rsidRPr="0059231D" w:rsidRDefault="00552167" w:rsidP="0085436C">
      <w:pPr>
        <w:spacing w:line="240" w:lineRule="auto"/>
        <w:jc w:val="both"/>
        <w:rPr>
          <w:color w:val="000000"/>
          <w:szCs w:val="22"/>
        </w:rPr>
      </w:pPr>
      <w:r w:rsidRPr="0059231D">
        <w:rPr>
          <w:color w:val="000000"/>
          <w:szCs w:val="22"/>
        </w:rPr>
        <w:t>Buprenorfīns tiek izvadīts galvenokārt ar izkārnījumiem, ar žulti izdaloties glikuronizētiem metabolītiem (70 %), bet atlikusī daļa izdalās ar urīnu.</w:t>
      </w:r>
    </w:p>
    <w:p w14:paraId="56BBCD93" w14:textId="77777777" w:rsidR="00CD10AA" w:rsidRDefault="00CD10AA" w:rsidP="0085436C">
      <w:pPr>
        <w:spacing w:line="240" w:lineRule="auto"/>
        <w:jc w:val="both"/>
        <w:rPr>
          <w:color w:val="000000"/>
          <w:szCs w:val="22"/>
        </w:rPr>
      </w:pPr>
    </w:p>
    <w:p w14:paraId="7DCA5990" w14:textId="77777777" w:rsidR="00C55D3E" w:rsidRPr="00C55D3E" w:rsidRDefault="00C55D3E" w:rsidP="00C55D3E">
      <w:pPr>
        <w:pStyle w:val="BodyTextIndent"/>
        <w:ind w:left="0" w:firstLine="0"/>
        <w:rPr>
          <w:b w:val="0"/>
          <w:color w:val="000000"/>
          <w:u w:val="single"/>
          <w:lang w:val="lv-LV"/>
        </w:rPr>
      </w:pPr>
      <w:r w:rsidRPr="00C55D3E">
        <w:rPr>
          <w:b w:val="0"/>
          <w:iCs/>
          <w:color w:val="000000"/>
          <w:u w:val="single"/>
          <w:lang w:val="lv-LV"/>
        </w:rPr>
        <w:t>Īpašas pacientu grupas</w:t>
      </w:r>
    </w:p>
    <w:p w14:paraId="56DAEF5C" w14:textId="77777777" w:rsidR="00C55D3E" w:rsidRPr="0059231D" w:rsidRDefault="00C55D3E" w:rsidP="00C55D3E">
      <w:pPr>
        <w:pStyle w:val="BodyTextIndent"/>
        <w:ind w:left="0" w:firstLine="0"/>
        <w:rPr>
          <w:b w:val="0"/>
          <w:bCs w:val="0"/>
          <w:snapToGrid w:val="0"/>
          <w:color w:val="000000"/>
          <w:lang w:val="lv-LV"/>
        </w:rPr>
      </w:pPr>
      <w:r w:rsidRPr="0059231D">
        <w:rPr>
          <w:b w:val="0"/>
          <w:i/>
          <w:iCs/>
          <w:snapToGrid w:val="0"/>
          <w:color w:val="000000"/>
          <w:lang w:val="lv-LV"/>
        </w:rPr>
        <w:t>Aknu darbības traucējumi</w:t>
      </w:r>
    </w:p>
    <w:p w14:paraId="281D749D" w14:textId="77777777" w:rsidR="00C55D3E" w:rsidRPr="0059231D" w:rsidRDefault="00C55D3E" w:rsidP="00C55D3E">
      <w:pPr>
        <w:spacing w:line="240" w:lineRule="auto"/>
        <w:jc w:val="both"/>
        <w:rPr>
          <w:color w:val="000000"/>
          <w:szCs w:val="22"/>
        </w:rPr>
      </w:pPr>
      <w:r w:rsidRPr="0059231D">
        <w:rPr>
          <w:color w:val="000000"/>
          <w:szCs w:val="22"/>
        </w:rPr>
        <w:t>Aknu darbības traucējumu ietekme uz buprenorfīna un naloksona farmakokinētiku tika izvērtēta vienas devas pēcreģistrācijas pētījumā.</w:t>
      </w:r>
    </w:p>
    <w:p w14:paraId="0D0F7CDC" w14:textId="77777777" w:rsidR="00C55D3E" w:rsidRPr="0059231D" w:rsidRDefault="00C55D3E" w:rsidP="00C55D3E">
      <w:pPr>
        <w:spacing w:line="240" w:lineRule="auto"/>
        <w:jc w:val="both"/>
        <w:rPr>
          <w:bCs/>
          <w:iCs/>
          <w:color w:val="000000"/>
          <w:szCs w:val="22"/>
        </w:rPr>
      </w:pPr>
      <w:r w:rsidRPr="0059231D">
        <w:rPr>
          <w:bCs/>
          <w:iCs/>
          <w:color w:val="000000"/>
          <w:szCs w:val="22"/>
        </w:rPr>
        <w:t>2. tabulā ir apkopoti klīniskā pētījuma rezultāti, kuros tika noteikta buprenorfīna iedarbība pēc buprenorfīna/naloksona 2,0 mg/0,5 mg tabletes lietošanai zem mēles lietošanas veseliem indivīdiem un indivīdiem ar dažādas smaguma pakāpes aknu darbības traucējumiem.</w:t>
      </w:r>
    </w:p>
    <w:p w14:paraId="2635C4E3" w14:textId="77777777" w:rsidR="00C55D3E" w:rsidRPr="0059231D" w:rsidRDefault="00C55D3E" w:rsidP="00C55D3E">
      <w:pPr>
        <w:spacing w:line="240" w:lineRule="auto"/>
        <w:jc w:val="both"/>
        <w:rPr>
          <w:bCs/>
          <w:iCs/>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482"/>
        <w:gridCol w:w="2476"/>
        <w:gridCol w:w="2476"/>
      </w:tblGrid>
      <w:tr w:rsidR="00C55D3E" w:rsidRPr="0059231D" w14:paraId="5B044E47" w14:textId="77777777" w:rsidTr="00E5264F">
        <w:tc>
          <w:tcPr>
            <w:tcW w:w="0" w:type="auto"/>
            <w:gridSpan w:val="4"/>
            <w:shd w:val="clear" w:color="auto" w:fill="auto"/>
          </w:tcPr>
          <w:p w14:paraId="77CEFE72" w14:textId="77777777" w:rsidR="00C55D3E" w:rsidRPr="0059231D" w:rsidRDefault="00C55D3E" w:rsidP="00E5264F">
            <w:pPr>
              <w:spacing w:line="240" w:lineRule="auto"/>
              <w:jc w:val="both"/>
              <w:rPr>
                <w:b/>
                <w:color w:val="000000"/>
                <w:szCs w:val="22"/>
              </w:rPr>
            </w:pPr>
            <w:r w:rsidRPr="0059231D">
              <w:rPr>
                <w:b/>
                <w:bCs/>
                <w:iCs/>
                <w:color w:val="000000"/>
                <w:szCs w:val="22"/>
              </w:rPr>
              <w:t>2. tabula</w:t>
            </w:r>
            <w:r w:rsidRPr="0059231D">
              <w:rPr>
                <w:b/>
                <w:bCs/>
                <w:color w:val="000000"/>
                <w:szCs w:val="22"/>
              </w:rPr>
              <w:t xml:space="preserve">. </w:t>
            </w:r>
            <w:r w:rsidRPr="0059231D">
              <w:rPr>
                <w:rFonts w:eastAsia="Calibri"/>
                <w:b/>
                <w:color w:val="000000"/>
                <w:szCs w:val="22"/>
              </w:rPr>
              <w:t xml:space="preserve">Aknu darbības traucējumu ietekme buprenorfīna farmakokinētiskajiem rādītājiem pēc </w:t>
            </w:r>
            <w:r w:rsidRPr="0059231D">
              <w:rPr>
                <w:b/>
                <w:bCs/>
                <w:iCs/>
                <w:color w:val="000000"/>
                <w:szCs w:val="22"/>
              </w:rPr>
              <w:t>buprenorfīna/naloksona</w:t>
            </w:r>
            <w:r w:rsidRPr="0059231D">
              <w:rPr>
                <w:rFonts w:eastAsia="Calibri"/>
                <w:b/>
                <w:color w:val="000000"/>
                <w:szCs w:val="22"/>
              </w:rPr>
              <w:t xml:space="preserve"> lietošanas (izmaiņas attiecībā pret veseliem indivīdiem)</w:t>
            </w:r>
          </w:p>
        </w:tc>
      </w:tr>
      <w:tr w:rsidR="00C55D3E" w:rsidRPr="0059231D" w14:paraId="712F39B7" w14:textId="77777777" w:rsidTr="00E5264F">
        <w:tc>
          <w:tcPr>
            <w:tcW w:w="0" w:type="auto"/>
            <w:shd w:val="clear" w:color="auto" w:fill="auto"/>
          </w:tcPr>
          <w:p w14:paraId="4F3BE52A" w14:textId="77777777" w:rsidR="00C55D3E" w:rsidRPr="0059231D" w:rsidRDefault="00C55D3E" w:rsidP="00E5264F">
            <w:pPr>
              <w:spacing w:line="240" w:lineRule="auto"/>
              <w:jc w:val="both"/>
              <w:rPr>
                <w:b/>
                <w:color w:val="000000"/>
                <w:szCs w:val="22"/>
              </w:rPr>
            </w:pPr>
            <w:r w:rsidRPr="0059231D">
              <w:rPr>
                <w:rFonts w:eastAsia="Calibri"/>
                <w:b/>
                <w:color w:val="000000"/>
                <w:szCs w:val="22"/>
              </w:rPr>
              <w:t>FK rādītājs</w:t>
            </w:r>
          </w:p>
        </w:tc>
        <w:tc>
          <w:tcPr>
            <w:tcW w:w="0" w:type="auto"/>
            <w:shd w:val="clear" w:color="auto" w:fill="auto"/>
            <w:vAlign w:val="center"/>
          </w:tcPr>
          <w:p w14:paraId="47D36143" w14:textId="77777777" w:rsidR="00C55D3E" w:rsidRPr="0059231D" w:rsidRDefault="00C55D3E" w:rsidP="00E5264F">
            <w:pPr>
              <w:keepNext/>
              <w:spacing w:line="240" w:lineRule="auto"/>
              <w:jc w:val="center"/>
              <w:rPr>
                <w:rFonts w:eastAsia="Calibri"/>
                <w:color w:val="000000"/>
                <w:szCs w:val="22"/>
              </w:rPr>
            </w:pPr>
            <w:r w:rsidRPr="0059231D">
              <w:rPr>
                <w:rFonts w:eastAsia="Calibri"/>
                <w:color w:val="000000"/>
                <w:szCs w:val="22"/>
              </w:rPr>
              <w:t>Viegli aknu darbības traucējumi</w:t>
            </w:r>
          </w:p>
          <w:p w14:paraId="13471B7D" w14:textId="77777777" w:rsidR="00C55D3E" w:rsidRPr="0059231D" w:rsidRDefault="00C55D3E" w:rsidP="00E5264F">
            <w:pPr>
              <w:keepNext/>
              <w:spacing w:line="240" w:lineRule="auto"/>
              <w:jc w:val="center"/>
              <w:rPr>
                <w:rFonts w:eastAsia="Calibri"/>
                <w:color w:val="000000"/>
                <w:szCs w:val="22"/>
              </w:rPr>
            </w:pPr>
            <w:r w:rsidRPr="0059231D">
              <w:rPr>
                <w:rFonts w:eastAsia="Calibri"/>
                <w:color w:val="000000"/>
                <w:szCs w:val="22"/>
              </w:rPr>
              <w:t xml:space="preserve">(A klase pēc </w:t>
            </w:r>
            <w:r w:rsidRPr="0059231D">
              <w:rPr>
                <w:rFonts w:eastAsia="Calibri"/>
                <w:i/>
                <w:color w:val="000000"/>
                <w:szCs w:val="22"/>
              </w:rPr>
              <w:t xml:space="preserve">Child-Pugh </w:t>
            </w:r>
            <w:r w:rsidRPr="0059231D">
              <w:rPr>
                <w:rFonts w:eastAsia="Calibri"/>
                <w:color w:val="000000"/>
                <w:szCs w:val="22"/>
              </w:rPr>
              <w:t>klasifikācijas)</w:t>
            </w:r>
          </w:p>
          <w:p w14:paraId="29F63D37" w14:textId="77777777" w:rsidR="00C55D3E" w:rsidRPr="0059231D" w:rsidRDefault="00C55D3E" w:rsidP="00E5264F">
            <w:pPr>
              <w:spacing w:line="240" w:lineRule="auto"/>
              <w:jc w:val="center"/>
              <w:rPr>
                <w:color w:val="000000"/>
                <w:szCs w:val="22"/>
              </w:rPr>
            </w:pPr>
            <w:r w:rsidRPr="0059231D">
              <w:rPr>
                <w:rFonts w:eastAsia="Calibri"/>
                <w:color w:val="000000"/>
                <w:szCs w:val="22"/>
              </w:rPr>
              <w:t>(n=9)</w:t>
            </w:r>
          </w:p>
        </w:tc>
        <w:tc>
          <w:tcPr>
            <w:tcW w:w="0" w:type="auto"/>
            <w:shd w:val="clear" w:color="auto" w:fill="auto"/>
            <w:vAlign w:val="center"/>
          </w:tcPr>
          <w:p w14:paraId="6697204C" w14:textId="77777777" w:rsidR="00C55D3E" w:rsidRPr="0059231D" w:rsidRDefault="00C55D3E" w:rsidP="00E5264F">
            <w:pPr>
              <w:keepNext/>
              <w:spacing w:line="240" w:lineRule="auto"/>
              <w:jc w:val="center"/>
              <w:rPr>
                <w:rFonts w:eastAsia="Calibri"/>
                <w:color w:val="000000"/>
                <w:szCs w:val="22"/>
              </w:rPr>
            </w:pPr>
            <w:r w:rsidRPr="0059231D">
              <w:rPr>
                <w:rFonts w:eastAsia="Calibri"/>
                <w:color w:val="000000"/>
                <w:szCs w:val="22"/>
              </w:rPr>
              <w:t>Vidēji smagi aknu darbības traucējumi</w:t>
            </w:r>
          </w:p>
          <w:p w14:paraId="4EBF0216" w14:textId="77777777" w:rsidR="00C55D3E" w:rsidRPr="0059231D" w:rsidRDefault="00C55D3E" w:rsidP="00E5264F">
            <w:pPr>
              <w:keepNext/>
              <w:spacing w:line="240" w:lineRule="auto"/>
              <w:jc w:val="center"/>
              <w:rPr>
                <w:rFonts w:eastAsia="Calibri"/>
                <w:color w:val="000000"/>
                <w:szCs w:val="22"/>
              </w:rPr>
            </w:pPr>
            <w:r w:rsidRPr="0059231D">
              <w:rPr>
                <w:rFonts w:eastAsia="Calibri"/>
                <w:color w:val="000000"/>
                <w:szCs w:val="22"/>
              </w:rPr>
              <w:t xml:space="preserve">(B klase pēc </w:t>
            </w:r>
            <w:r w:rsidRPr="0059231D">
              <w:rPr>
                <w:rFonts w:eastAsia="Calibri"/>
                <w:i/>
                <w:color w:val="000000"/>
                <w:szCs w:val="22"/>
              </w:rPr>
              <w:t xml:space="preserve">Child-Pugh </w:t>
            </w:r>
            <w:r w:rsidRPr="0059231D">
              <w:rPr>
                <w:rFonts w:eastAsia="Calibri"/>
                <w:color w:val="000000"/>
                <w:szCs w:val="22"/>
              </w:rPr>
              <w:t>klasifikācijas)</w:t>
            </w:r>
          </w:p>
          <w:p w14:paraId="10BFF736" w14:textId="77777777" w:rsidR="00C55D3E" w:rsidRPr="0059231D" w:rsidRDefault="00C55D3E" w:rsidP="00E5264F">
            <w:pPr>
              <w:spacing w:line="240" w:lineRule="auto"/>
              <w:jc w:val="center"/>
              <w:rPr>
                <w:color w:val="000000"/>
                <w:szCs w:val="22"/>
              </w:rPr>
            </w:pPr>
            <w:r w:rsidRPr="0059231D">
              <w:rPr>
                <w:rFonts w:eastAsia="Calibri"/>
                <w:color w:val="000000"/>
                <w:szCs w:val="22"/>
              </w:rPr>
              <w:t>(n=8)</w:t>
            </w:r>
          </w:p>
        </w:tc>
        <w:tc>
          <w:tcPr>
            <w:tcW w:w="0" w:type="auto"/>
            <w:shd w:val="clear" w:color="auto" w:fill="auto"/>
            <w:vAlign w:val="center"/>
          </w:tcPr>
          <w:p w14:paraId="2F7B97B4" w14:textId="77777777" w:rsidR="00C55D3E" w:rsidRPr="0059231D" w:rsidRDefault="00C55D3E" w:rsidP="00E5264F">
            <w:pPr>
              <w:keepNext/>
              <w:spacing w:line="240" w:lineRule="auto"/>
              <w:jc w:val="center"/>
              <w:rPr>
                <w:rFonts w:eastAsia="Calibri"/>
                <w:color w:val="000000"/>
                <w:szCs w:val="22"/>
              </w:rPr>
            </w:pPr>
            <w:r w:rsidRPr="0059231D">
              <w:rPr>
                <w:rFonts w:eastAsia="Calibri"/>
                <w:color w:val="000000"/>
                <w:szCs w:val="22"/>
              </w:rPr>
              <w:t>Smagi aknu darbības traucējumi</w:t>
            </w:r>
          </w:p>
          <w:p w14:paraId="33779A00" w14:textId="77777777" w:rsidR="00C55D3E" w:rsidRPr="0059231D" w:rsidRDefault="00C55D3E" w:rsidP="00E5264F">
            <w:pPr>
              <w:keepNext/>
              <w:spacing w:line="240" w:lineRule="auto"/>
              <w:jc w:val="center"/>
              <w:rPr>
                <w:rFonts w:eastAsia="Calibri"/>
                <w:color w:val="000000"/>
                <w:szCs w:val="22"/>
              </w:rPr>
            </w:pPr>
            <w:r w:rsidRPr="0059231D">
              <w:rPr>
                <w:rFonts w:eastAsia="Calibri"/>
                <w:color w:val="000000"/>
                <w:szCs w:val="22"/>
              </w:rPr>
              <w:t xml:space="preserve">(C klase pēc </w:t>
            </w:r>
            <w:r w:rsidRPr="0059231D">
              <w:rPr>
                <w:rFonts w:eastAsia="Calibri"/>
                <w:i/>
                <w:color w:val="000000"/>
                <w:szCs w:val="22"/>
              </w:rPr>
              <w:t xml:space="preserve">Child-Pugh </w:t>
            </w:r>
            <w:r w:rsidRPr="0059231D">
              <w:rPr>
                <w:rFonts w:eastAsia="Calibri"/>
                <w:color w:val="000000"/>
                <w:szCs w:val="22"/>
              </w:rPr>
              <w:t>klasifikācijas)</w:t>
            </w:r>
          </w:p>
          <w:p w14:paraId="0E5BC207" w14:textId="77777777" w:rsidR="00C55D3E" w:rsidRPr="0059231D" w:rsidRDefault="00C55D3E" w:rsidP="00E5264F">
            <w:pPr>
              <w:spacing w:line="240" w:lineRule="auto"/>
              <w:jc w:val="center"/>
              <w:rPr>
                <w:color w:val="000000"/>
                <w:szCs w:val="22"/>
              </w:rPr>
            </w:pPr>
            <w:r w:rsidRPr="0059231D">
              <w:rPr>
                <w:rFonts w:eastAsia="Calibri"/>
                <w:color w:val="000000"/>
                <w:szCs w:val="22"/>
              </w:rPr>
              <w:t>(n=8)</w:t>
            </w:r>
          </w:p>
        </w:tc>
      </w:tr>
      <w:tr w:rsidR="00C55D3E" w:rsidRPr="0059231D" w14:paraId="6E15EC7C" w14:textId="77777777" w:rsidTr="00E5264F">
        <w:tc>
          <w:tcPr>
            <w:tcW w:w="0" w:type="auto"/>
            <w:shd w:val="clear" w:color="auto" w:fill="auto"/>
          </w:tcPr>
          <w:p w14:paraId="3BC62402" w14:textId="77777777" w:rsidR="00C55D3E" w:rsidRPr="0059231D" w:rsidRDefault="00C55D3E" w:rsidP="00E5264F">
            <w:pPr>
              <w:spacing w:line="240" w:lineRule="auto"/>
              <w:jc w:val="both"/>
              <w:rPr>
                <w:b/>
                <w:color w:val="000000"/>
                <w:szCs w:val="22"/>
              </w:rPr>
            </w:pPr>
            <w:r w:rsidRPr="0059231D">
              <w:rPr>
                <w:rFonts w:eastAsia="Calibri"/>
                <w:b/>
                <w:color w:val="000000"/>
                <w:szCs w:val="22"/>
              </w:rPr>
              <w:t>Buprenorfīns</w:t>
            </w:r>
          </w:p>
        </w:tc>
        <w:tc>
          <w:tcPr>
            <w:tcW w:w="0" w:type="auto"/>
            <w:shd w:val="clear" w:color="auto" w:fill="auto"/>
          </w:tcPr>
          <w:p w14:paraId="3B602463" w14:textId="77777777" w:rsidR="00C55D3E" w:rsidRPr="0059231D" w:rsidRDefault="00C55D3E" w:rsidP="00E5264F">
            <w:pPr>
              <w:spacing w:line="240" w:lineRule="auto"/>
              <w:jc w:val="both"/>
              <w:rPr>
                <w:color w:val="000000"/>
                <w:szCs w:val="22"/>
              </w:rPr>
            </w:pPr>
          </w:p>
        </w:tc>
        <w:tc>
          <w:tcPr>
            <w:tcW w:w="0" w:type="auto"/>
            <w:shd w:val="clear" w:color="auto" w:fill="auto"/>
          </w:tcPr>
          <w:p w14:paraId="7260C4A0" w14:textId="77777777" w:rsidR="00C55D3E" w:rsidRPr="0059231D" w:rsidRDefault="00C55D3E" w:rsidP="00E5264F">
            <w:pPr>
              <w:spacing w:line="240" w:lineRule="auto"/>
              <w:jc w:val="both"/>
              <w:rPr>
                <w:color w:val="000000"/>
                <w:szCs w:val="22"/>
              </w:rPr>
            </w:pPr>
          </w:p>
        </w:tc>
        <w:tc>
          <w:tcPr>
            <w:tcW w:w="0" w:type="auto"/>
            <w:shd w:val="clear" w:color="auto" w:fill="auto"/>
          </w:tcPr>
          <w:p w14:paraId="05642617" w14:textId="77777777" w:rsidR="00C55D3E" w:rsidRPr="0059231D" w:rsidRDefault="00C55D3E" w:rsidP="00E5264F">
            <w:pPr>
              <w:spacing w:line="240" w:lineRule="auto"/>
              <w:jc w:val="both"/>
              <w:rPr>
                <w:color w:val="000000"/>
                <w:szCs w:val="22"/>
              </w:rPr>
            </w:pPr>
          </w:p>
        </w:tc>
      </w:tr>
      <w:tr w:rsidR="00C55D3E" w:rsidRPr="0059231D" w14:paraId="7F5F805C" w14:textId="77777777" w:rsidTr="00E5264F">
        <w:tc>
          <w:tcPr>
            <w:tcW w:w="0" w:type="auto"/>
            <w:shd w:val="clear" w:color="auto" w:fill="auto"/>
          </w:tcPr>
          <w:p w14:paraId="5A1E50B9" w14:textId="77777777" w:rsidR="00C55D3E" w:rsidRPr="0059231D" w:rsidRDefault="00C55D3E" w:rsidP="00E5264F">
            <w:pPr>
              <w:spacing w:line="240" w:lineRule="auto"/>
              <w:jc w:val="both"/>
              <w:rPr>
                <w:b/>
                <w:color w:val="000000"/>
                <w:szCs w:val="22"/>
              </w:rPr>
            </w:pPr>
            <w:r w:rsidRPr="0059231D">
              <w:rPr>
                <w:rFonts w:eastAsia="Calibri"/>
                <w:b/>
                <w:color w:val="000000"/>
                <w:szCs w:val="22"/>
              </w:rPr>
              <w:t>C</w:t>
            </w:r>
            <w:r w:rsidRPr="0059231D">
              <w:rPr>
                <w:rFonts w:eastAsia="Calibri"/>
                <w:b/>
                <w:color w:val="000000"/>
                <w:szCs w:val="22"/>
                <w:vertAlign w:val="subscript"/>
              </w:rPr>
              <w:t>max</w:t>
            </w:r>
          </w:p>
        </w:tc>
        <w:tc>
          <w:tcPr>
            <w:tcW w:w="0" w:type="auto"/>
            <w:shd w:val="clear" w:color="auto" w:fill="auto"/>
            <w:vAlign w:val="center"/>
          </w:tcPr>
          <w:p w14:paraId="580BB6D3" w14:textId="77777777" w:rsidR="00C55D3E" w:rsidRPr="0059231D" w:rsidRDefault="00C55D3E" w:rsidP="00E5264F">
            <w:pPr>
              <w:spacing w:line="240" w:lineRule="auto"/>
              <w:jc w:val="center"/>
              <w:rPr>
                <w:color w:val="000000"/>
                <w:szCs w:val="22"/>
              </w:rPr>
            </w:pPr>
            <w:r w:rsidRPr="0059231D">
              <w:rPr>
                <w:rFonts w:eastAsia="Calibri"/>
                <w:color w:val="000000"/>
                <w:szCs w:val="22"/>
              </w:rPr>
              <w:t>Palielinājās 1,2 reizes</w:t>
            </w:r>
          </w:p>
        </w:tc>
        <w:tc>
          <w:tcPr>
            <w:tcW w:w="0" w:type="auto"/>
            <w:shd w:val="clear" w:color="auto" w:fill="auto"/>
            <w:vAlign w:val="center"/>
          </w:tcPr>
          <w:p w14:paraId="5471B2E3" w14:textId="77777777" w:rsidR="00C55D3E" w:rsidRPr="0059231D" w:rsidRDefault="00C55D3E" w:rsidP="00E5264F">
            <w:pPr>
              <w:spacing w:line="240" w:lineRule="auto"/>
              <w:jc w:val="center"/>
              <w:rPr>
                <w:color w:val="000000"/>
                <w:szCs w:val="22"/>
              </w:rPr>
            </w:pPr>
            <w:r w:rsidRPr="0059231D">
              <w:rPr>
                <w:rFonts w:eastAsia="Calibri"/>
                <w:color w:val="000000"/>
                <w:szCs w:val="22"/>
              </w:rPr>
              <w:t>Palielinājās 1,1 reizi</w:t>
            </w:r>
          </w:p>
        </w:tc>
        <w:tc>
          <w:tcPr>
            <w:tcW w:w="0" w:type="auto"/>
            <w:shd w:val="clear" w:color="auto" w:fill="auto"/>
            <w:vAlign w:val="center"/>
          </w:tcPr>
          <w:p w14:paraId="28E8A06F" w14:textId="77777777" w:rsidR="00C55D3E" w:rsidRPr="0059231D" w:rsidRDefault="00C55D3E" w:rsidP="00E5264F">
            <w:pPr>
              <w:spacing w:line="240" w:lineRule="auto"/>
              <w:jc w:val="center"/>
              <w:rPr>
                <w:color w:val="000000"/>
                <w:szCs w:val="22"/>
              </w:rPr>
            </w:pPr>
            <w:r w:rsidRPr="0059231D">
              <w:rPr>
                <w:rFonts w:eastAsia="Calibri"/>
                <w:color w:val="000000"/>
                <w:szCs w:val="22"/>
              </w:rPr>
              <w:t>Palielinājās 1,7 reizes</w:t>
            </w:r>
          </w:p>
        </w:tc>
      </w:tr>
      <w:tr w:rsidR="00C55D3E" w:rsidRPr="0059231D" w14:paraId="6539799D" w14:textId="77777777" w:rsidTr="00E5264F">
        <w:tc>
          <w:tcPr>
            <w:tcW w:w="0" w:type="auto"/>
            <w:shd w:val="clear" w:color="auto" w:fill="auto"/>
          </w:tcPr>
          <w:p w14:paraId="0DCC58EA" w14:textId="77777777" w:rsidR="00C55D3E" w:rsidRPr="0059231D" w:rsidRDefault="00C55D3E" w:rsidP="00E5264F">
            <w:pPr>
              <w:spacing w:line="240" w:lineRule="auto"/>
              <w:jc w:val="both"/>
              <w:rPr>
                <w:b/>
                <w:color w:val="000000"/>
                <w:szCs w:val="22"/>
              </w:rPr>
            </w:pPr>
            <w:r w:rsidRPr="0059231D">
              <w:rPr>
                <w:rFonts w:eastAsia="Calibri"/>
                <w:b/>
                <w:color w:val="000000"/>
                <w:szCs w:val="22"/>
              </w:rPr>
              <w:t>AUC</w:t>
            </w:r>
            <w:r w:rsidRPr="0059231D">
              <w:rPr>
                <w:rFonts w:eastAsia="Calibri"/>
                <w:b/>
                <w:color w:val="000000"/>
                <w:szCs w:val="22"/>
                <w:vertAlign w:val="subscript"/>
              </w:rPr>
              <w:t>last</w:t>
            </w:r>
          </w:p>
        </w:tc>
        <w:tc>
          <w:tcPr>
            <w:tcW w:w="0" w:type="auto"/>
            <w:shd w:val="clear" w:color="auto" w:fill="auto"/>
            <w:vAlign w:val="center"/>
          </w:tcPr>
          <w:p w14:paraId="737BB67D" w14:textId="77777777" w:rsidR="00C55D3E" w:rsidRPr="0059231D" w:rsidRDefault="00C55D3E" w:rsidP="00E5264F">
            <w:pPr>
              <w:spacing w:line="240" w:lineRule="auto"/>
              <w:jc w:val="center"/>
              <w:rPr>
                <w:color w:val="000000"/>
                <w:szCs w:val="22"/>
              </w:rPr>
            </w:pPr>
            <w:r w:rsidRPr="0059231D">
              <w:rPr>
                <w:iCs/>
                <w:color w:val="000000"/>
                <w:szCs w:val="22"/>
              </w:rPr>
              <w:t>Līdzīgi kā kontroles grupai</w:t>
            </w:r>
          </w:p>
        </w:tc>
        <w:tc>
          <w:tcPr>
            <w:tcW w:w="0" w:type="auto"/>
            <w:shd w:val="clear" w:color="auto" w:fill="auto"/>
            <w:vAlign w:val="center"/>
          </w:tcPr>
          <w:p w14:paraId="6C14BD10" w14:textId="77777777" w:rsidR="00C55D3E" w:rsidRPr="0059231D" w:rsidRDefault="00C55D3E" w:rsidP="00E5264F">
            <w:pPr>
              <w:spacing w:line="240" w:lineRule="auto"/>
              <w:jc w:val="center"/>
              <w:rPr>
                <w:color w:val="000000"/>
                <w:szCs w:val="22"/>
              </w:rPr>
            </w:pPr>
            <w:r w:rsidRPr="0059231D">
              <w:rPr>
                <w:rFonts w:eastAsia="Calibri"/>
                <w:color w:val="000000"/>
                <w:szCs w:val="22"/>
              </w:rPr>
              <w:t>Palielinājās 1,6 reizes</w:t>
            </w:r>
          </w:p>
        </w:tc>
        <w:tc>
          <w:tcPr>
            <w:tcW w:w="0" w:type="auto"/>
            <w:shd w:val="clear" w:color="auto" w:fill="auto"/>
            <w:vAlign w:val="center"/>
          </w:tcPr>
          <w:p w14:paraId="72A5FF21" w14:textId="77777777" w:rsidR="00C55D3E" w:rsidRPr="0059231D" w:rsidRDefault="00C55D3E" w:rsidP="00E5264F">
            <w:pPr>
              <w:spacing w:line="240" w:lineRule="auto"/>
              <w:jc w:val="center"/>
              <w:rPr>
                <w:color w:val="000000"/>
                <w:szCs w:val="22"/>
              </w:rPr>
            </w:pPr>
            <w:r w:rsidRPr="0059231D">
              <w:rPr>
                <w:rFonts w:eastAsia="Calibri"/>
                <w:color w:val="000000"/>
                <w:szCs w:val="22"/>
              </w:rPr>
              <w:t>Palielinājās 2,8 reizes</w:t>
            </w:r>
          </w:p>
        </w:tc>
      </w:tr>
    </w:tbl>
    <w:p w14:paraId="68FB7A23" w14:textId="77777777" w:rsidR="00C55D3E" w:rsidRPr="0059231D" w:rsidRDefault="00C55D3E" w:rsidP="00C55D3E">
      <w:pPr>
        <w:spacing w:line="240" w:lineRule="auto"/>
        <w:jc w:val="both"/>
        <w:rPr>
          <w:b/>
          <w:color w:val="000000"/>
          <w:szCs w:val="22"/>
          <w:u w:val="single"/>
        </w:rPr>
      </w:pPr>
    </w:p>
    <w:p w14:paraId="12898575" w14:textId="77777777" w:rsidR="00C55D3E" w:rsidRPr="0059231D" w:rsidRDefault="00C55D3E" w:rsidP="00C55D3E">
      <w:pPr>
        <w:spacing w:line="240" w:lineRule="auto"/>
        <w:jc w:val="both"/>
        <w:rPr>
          <w:bCs/>
          <w:iCs/>
          <w:color w:val="000000"/>
          <w:szCs w:val="22"/>
        </w:rPr>
      </w:pPr>
      <w:r w:rsidRPr="0059231D">
        <w:rPr>
          <w:bCs/>
          <w:iCs/>
          <w:color w:val="000000"/>
          <w:szCs w:val="22"/>
        </w:rPr>
        <w:t>Kopumā, pacientiem ar smagiem aknu darbības traucējumiem pēc vienreizējas 2 mg devas lietošanas buprenorfīna plazmas iedarbība palielinājās apmēram trīskārši.</w:t>
      </w:r>
    </w:p>
    <w:p w14:paraId="40D18CD4" w14:textId="77777777" w:rsidR="00C55D3E" w:rsidRPr="0059231D" w:rsidRDefault="00C55D3E" w:rsidP="0085436C">
      <w:pPr>
        <w:spacing w:line="240" w:lineRule="auto"/>
        <w:jc w:val="both"/>
        <w:rPr>
          <w:color w:val="000000"/>
          <w:szCs w:val="22"/>
        </w:rPr>
      </w:pPr>
    </w:p>
    <w:p w14:paraId="42148B1D"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5.3</w:t>
      </w:r>
      <w:r w:rsidR="008C59E2" w:rsidRPr="0059231D">
        <w:rPr>
          <w:b/>
          <w:color w:val="000000"/>
          <w:szCs w:val="22"/>
        </w:rPr>
        <w:t>.</w:t>
      </w:r>
      <w:r w:rsidRPr="0059231D">
        <w:rPr>
          <w:b/>
          <w:color w:val="000000"/>
          <w:szCs w:val="22"/>
        </w:rPr>
        <w:tab/>
        <w:t>Preklīniskie dati par droš</w:t>
      </w:r>
      <w:r w:rsidR="00E53972" w:rsidRPr="0059231D">
        <w:rPr>
          <w:b/>
          <w:color w:val="000000"/>
          <w:szCs w:val="22"/>
        </w:rPr>
        <w:t>umu</w:t>
      </w:r>
    </w:p>
    <w:p w14:paraId="2929B92B" w14:textId="77777777" w:rsidR="00AC07BB" w:rsidRPr="0059231D" w:rsidRDefault="00AC07BB" w:rsidP="0085436C">
      <w:pPr>
        <w:tabs>
          <w:tab w:val="clear" w:pos="567"/>
        </w:tabs>
        <w:autoSpaceDE w:val="0"/>
        <w:autoSpaceDN w:val="0"/>
        <w:adjustRightInd w:val="0"/>
        <w:spacing w:line="240" w:lineRule="auto"/>
        <w:jc w:val="both"/>
        <w:rPr>
          <w:color w:val="000000"/>
          <w:szCs w:val="22"/>
          <w:lang w:eastAsia="en-GB"/>
        </w:rPr>
      </w:pPr>
    </w:p>
    <w:p w14:paraId="40B17419" w14:textId="77777777" w:rsidR="00AE3A48" w:rsidRPr="0059231D" w:rsidRDefault="00552167"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 xml:space="preserve">Hroniskas toksicitātes pētījumos ar četrām dzīvnieku sugām (grauzējiem un citiem dzīvniekiem), ievadot </w:t>
      </w:r>
      <w:r w:rsidR="00AE3A48" w:rsidRPr="0059231D">
        <w:rPr>
          <w:color w:val="000000"/>
          <w:szCs w:val="22"/>
          <w:lang w:eastAsia="en-GB"/>
        </w:rPr>
        <w:t>četros daž</w:t>
      </w:r>
      <w:r w:rsidRPr="0059231D">
        <w:rPr>
          <w:color w:val="000000"/>
          <w:szCs w:val="22"/>
          <w:lang w:eastAsia="en-GB"/>
        </w:rPr>
        <w:t xml:space="preserve">ādos veidos, </w:t>
      </w:r>
      <w:r w:rsidR="00AE3A48" w:rsidRPr="0059231D">
        <w:rPr>
          <w:color w:val="000000"/>
          <w:szCs w:val="22"/>
          <w:lang w:eastAsia="en-GB"/>
        </w:rPr>
        <w:t>nenovēroja</w:t>
      </w:r>
      <w:r w:rsidRPr="0059231D">
        <w:rPr>
          <w:color w:val="000000"/>
          <w:szCs w:val="22"/>
          <w:lang w:eastAsia="en-GB"/>
        </w:rPr>
        <w:t xml:space="preserve"> klīniski nozīmīgu iedarbību. Vienā </w:t>
      </w:r>
      <w:r w:rsidR="00AE3A48" w:rsidRPr="0059231D">
        <w:rPr>
          <w:color w:val="000000"/>
          <w:szCs w:val="22"/>
          <w:lang w:eastAsia="en-GB"/>
        </w:rPr>
        <w:t>iekšķīgas</w:t>
      </w:r>
      <w:r w:rsidRPr="0059231D">
        <w:rPr>
          <w:color w:val="000000"/>
          <w:szCs w:val="22"/>
          <w:lang w:eastAsia="en-GB"/>
        </w:rPr>
        <w:t xml:space="preserve"> lietošanas </w:t>
      </w:r>
      <w:r w:rsidR="00AE3A48" w:rsidRPr="0059231D">
        <w:rPr>
          <w:color w:val="000000"/>
          <w:szCs w:val="22"/>
          <w:lang w:eastAsia="en-GB"/>
        </w:rPr>
        <w:t>pētījumā, lietojot suņ</w:t>
      </w:r>
      <w:r w:rsidRPr="0059231D">
        <w:rPr>
          <w:color w:val="000000"/>
          <w:szCs w:val="22"/>
          <w:lang w:eastAsia="en-GB"/>
        </w:rPr>
        <w:t>iem vienu gadu ļoti lielu devu (75 mg/kg), novēroja toksisku ietekmi uz aknām.</w:t>
      </w:r>
    </w:p>
    <w:p w14:paraId="72BFB5E0" w14:textId="77777777" w:rsidR="00AE3A48" w:rsidRPr="0059231D" w:rsidRDefault="00AE3A48" w:rsidP="0085436C">
      <w:pPr>
        <w:tabs>
          <w:tab w:val="clear" w:pos="567"/>
        </w:tabs>
        <w:autoSpaceDE w:val="0"/>
        <w:autoSpaceDN w:val="0"/>
        <w:adjustRightInd w:val="0"/>
        <w:spacing w:line="240" w:lineRule="auto"/>
        <w:jc w:val="both"/>
        <w:rPr>
          <w:color w:val="000000"/>
          <w:szCs w:val="22"/>
          <w:lang w:eastAsia="en-GB"/>
        </w:rPr>
      </w:pPr>
    </w:p>
    <w:p w14:paraId="3FB14790" w14:textId="77777777" w:rsidR="00552167" w:rsidRPr="0059231D" w:rsidRDefault="00552167"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 xml:space="preserve">Ar </w:t>
      </w:r>
      <w:r w:rsidR="00AE3A48" w:rsidRPr="0059231D">
        <w:rPr>
          <w:color w:val="000000"/>
          <w:szCs w:val="22"/>
          <w:lang w:eastAsia="en-GB"/>
        </w:rPr>
        <w:t>ž</w:t>
      </w:r>
      <w:r w:rsidRPr="0059231D">
        <w:rPr>
          <w:color w:val="000000"/>
          <w:szCs w:val="22"/>
          <w:lang w:eastAsia="en-GB"/>
        </w:rPr>
        <w:t xml:space="preserve">urkām un trušiem veiktie </w:t>
      </w:r>
      <w:r w:rsidR="00AE3A48" w:rsidRPr="0059231D">
        <w:rPr>
          <w:color w:val="000000"/>
          <w:szCs w:val="22"/>
          <w:lang w:eastAsia="en-GB"/>
        </w:rPr>
        <w:t>teratogenitātes</w:t>
      </w:r>
      <w:r w:rsidRPr="0059231D">
        <w:rPr>
          <w:color w:val="000000"/>
          <w:szCs w:val="22"/>
          <w:lang w:eastAsia="en-GB"/>
        </w:rPr>
        <w:t xml:space="preserve"> pētījumi ļauj secināt, ka buprenorfīns nav ne embriotoksisks, ne teratogēns. </w:t>
      </w:r>
      <w:r w:rsidR="00AE3A48" w:rsidRPr="0059231D">
        <w:rPr>
          <w:color w:val="000000"/>
          <w:szCs w:val="22"/>
          <w:lang w:eastAsia="en-GB"/>
        </w:rPr>
        <w:t>Ž</w:t>
      </w:r>
      <w:r w:rsidRPr="0059231D">
        <w:rPr>
          <w:color w:val="000000"/>
          <w:szCs w:val="22"/>
          <w:lang w:eastAsia="en-GB"/>
        </w:rPr>
        <w:t xml:space="preserve">urkām nav novērota nelabvēlīga </w:t>
      </w:r>
      <w:r w:rsidR="00AE3A48" w:rsidRPr="0059231D">
        <w:rPr>
          <w:color w:val="000000"/>
          <w:szCs w:val="22"/>
          <w:lang w:eastAsia="en-GB"/>
        </w:rPr>
        <w:t>ietekme</w:t>
      </w:r>
      <w:r w:rsidRPr="0059231D">
        <w:rPr>
          <w:color w:val="000000"/>
          <w:szCs w:val="22"/>
          <w:lang w:eastAsia="en-GB"/>
        </w:rPr>
        <w:t xml:space="preserve"> uz auglību, tomēr, ievadot intramuskulāri un </w:t>
      </w:r>
      <w:r w:rsidR="00AE3A48" w:rsidRPr="0059231D">
        <w:rPr>
          <w:color w:val="000000"/>
          <w:szCs w:val="22"/>
          <w:lang w:eastAsia="en-GB"/>
        </w:rPr>
        <w:t>iekšķīgi</w:t>
      </w:r>
      <w:r w:rsidRPr="0059231D">
        <w:rPr>
          <w:color w:val="000000"/>
          <w:szCs w:val="22"/>
          <w:lang w:eastAsia="en-GB"/>
        </w:rPr>
        <w:t>, šīm sugām grūtu dzemdību un laktācijas traucējumu dēļ mātīt</w:t>
      </w:r>
      <w:r w:rsidR="00554988" w:rsidRPr="0059231D">
        <w:rPr>
          <w:color w:val="000000"/>
          <w:szCs w:val="22"/>
          <w:lang w:eastAsia="en-GB"/>
        </w:rPr>
        <w:t>ēm</w:t>
      </w:r>
      <w:r w:rsidRPr="0059231D">
        <w:rPr>
          <w:color w:val="000000"/>
          <w:szCs w:val="22"/>
          <w:lang w:eastAsia="en-GB"/>
        </w:rPr>
        <w:t xml:space="preserve"> novērota augsta peri– un pos</w:t>
      </w:r>
      <w:r w:rsidR="00AE3A48" w:rsidRPr="0059231D">
        <w:rPr>
          <w:color w:val="000000"/>
          <w:szCs w:val="22"/>
          <w:lang w:eastAsia="en-GB"/>
        </w:rPr>
        <w:t>tnatālā mirstība.</w:t>
      </w:r>
    </w:p>
    <w:p w14:paraId="0F133C74" w14:textId="77777777" w:rsidR="00AE3A48" w:rsidRPr="0059231D" w:rsidRDefault="00AE3A48" w:rsidP="0085436C">
      <w:pPr>
        <w:tabs>
          <w:tab w:val="clear" w:pos="567"/>
        </w:tabs>
        <w:autoSpaceDE w:val="0"/>
        <w:autoSpaceDN w:val="0"/>
        <w:adjustRightInd w:val="0"/>
        <w:spacing w:line="240" w:lineRule="auto"/>
        <w:jc w:val="both"/>
        <w:rPr>
          <w:color w:val="000000"/>
          <w:szCs w:val="22"/>
          <w:lang w:eastAsia="en-GB"/>
        </w:rPr>
      </w:pPr>
    </w:p>
    <w:p w14:paraId="7002D926" w14:textId="77777777" w:rsidR="00552167" w:rsidRPr="0059231D" w:rsidRDefault="00AE3A48"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S</w:t>
      </w:r>
      <w:r w:rsidR="00552167" w:rsidRPr="0059231D">
        <w:rPr>
          <w:color w:val="000000"/>
          <w:szCs w:val="22"/>
          <w:lang w:eastAsia="en-GB"/>
        </w:rPr>
        <w:t>tandarta testu sērijā nav iegūti pier</w:t>
      </w:r>
      <w:r w:rsidRPr="0059231D">
        <w:rPr>
          <w:color w:val="000000"/>
          <w:szCs w:val="22"/>
          <w:lang w:eastAsia="en-GB"/>
        </w:rPr>
        <w:t xml:space="preserve">ādījumi </w:t>
      </w:r>
      <w:r w:rsidR="00B5291F" w:rsidRPr="0059231D">
        <w:rPr>
          <w:color w:val="000000"/>
          <w:szCs w:val="22"/>
          <w:lang w:eastAsia="en-GB"/>
        </w:rPr>
        <w:t xml:space="preserve">par </w:t>
      </w:r>
      <w:r w:rsidRPr="0059231D">
        <w:rPr>
          <w:color w:val="000000"/>
          <w:szCs w:val="22"/>
          <w:lang w:eastAsia="en-GB"/>
        </w:rPr>
        <w:t>genotoksisku iedarbību.</w:t>
      </w:r>
    </w:p>
    <w:p w14:paraId="38516AAF" w14:textId="77777777" w:rsidR="00AE3A48" w:rsidRPr="0059231D" w:rsidRDefault="00AE3A48" w:rsidP="0085436C">
      <w:pPr>
        <w:tabs>
          <w:tab w:val="clear" w:pos="567"/>
        </w:tabs>
        <w:autoSpaceDE w:val="0"/>
        <w:autoSpaceDN w:val="0"/>
        <w:adjustRightInd w:val="0"/>
        <w:spacing w:line="240" w:lineRule="auto"/>
        <w:jc w:val="both"/>
        <w:rPr>
          <w:color w:val="000000"/>
          <w:szCs w:val="22"/>
          <w:lang w:eastAsia="en-GB"/>
        </w:rPr>
      </w:pPr>
    </w:p>
    <w:p w14:paraId="26769A5C" w14:textId="77777777" w:rsidR="00CD10AA" w:rsidRPr="0059231D" w:rsidRDefault="00552167" w:rsidP="0085436C">
      <w:pPr>
        <w:tabs>
          <w:tab w:val="clear" w:pos="567"/>
        </w:tabs>
        <w:spacing w:line="240" w:lineRule="auto"/>
        <w:jc w:val="both"/>
        <w:rPr>
          <w:color w:val="000000"/>
          <w:szCs w:val="22"/>
          <w:lang w:eastAsia="en-GB"/>
        </w:rPr>
      </w:pPr>
      <w:r w:rsidRPr="0059231D">
        <w:rPr>
          <w:color w:val="000000"/>
          <w:szCs w:val="22"/>
          <w:lang w:eastAsia="en-GB"/>
        </w:rPr>
        <w:t>Kancero</w:t>
      </w:r>
      <w:r w:rsidR="00AE3A48" w:rsidRPr="0059231D">
        <w:rPr>
          <w:color w:val="000000"/>
          <w:szCs w:val="22"/>
          <w:lang w:eastAsia="en-GB"/>
        </w:rPr>
        <w:t>genitātes pētījumi ar pelēm un ž</w:t>
      </w:r>
      <w:r w:rsidRPr="0059231D">
        <w:rPr>
          <w:color w:val="000000"/>
          <w:szCs w:val="22"/>
          <w:lang w:eastAsia="en-GB"/>
        </w:rPr>
        <w:t>urkām liec</w:t>
      </w:r>
      <w:r w:rsidR="00AE3A48" w:rsidRPr="0059231D">
        <w:rPr>
          <w:color w:val="000000"/>
          <w:szCs w:val="22"/>
          <w:lang w:eastAsia="en-GB"/>
        </w:rPr>
        <w:t>ina, ka nav atšķirības starp daž</w:t>
      </w:r>
      <w:r w:rsidRPr="0059231D">
        <w:rPr>
          <w:color w:val="000000"/>
          <w:szCs w:val="22"/>
          <w:lang w:eastAsia="en-GB"/>
        </w:rPr>
        <w:t>āda veida audzēju sastopamību kontroles un ar buprenorfīnu ārstētiem dzīvniekiem. Tomēr pētījumā, kas veikts ar pelēm, lietojot farmakoloģiskas devas, ārstētiem dzīvniekiem novērota sēklinieku atrofija un tubulāra mineralizācija.</w:t>
      </w:r>
    </w:p>
    <w:p w14:paraId="2F0C8CA5" w14:textId="77777777" w:rsidR="00552167" w:rsidRPr="0059231D" w:rsidRDefault="00552167" w:rsidP="0085436C">
      <w:pPr>
        <w:tabs>
          <w:tab w:val="clear" w:pos="567"/>
        </w:tabs>
        <w:spacing w:line="240" w:lineRule="auto"/>
        <w:jc w:val="both"/>
        <w:rPr>
          <w:color w:val="000000"/>
          <w:szCs w:val="22"/>
        </w:rPr>
      </w:pPr>
    </w:p>
    <w:p w14:paraId="0F7C6BE3" w14:textId="77777777" w:rsidR="00AC07BB" w:rsidRPr="0059231D" w:rsidRDefault="00AC07BB" w:rsidP="0085436C">
      <w:pPr>
        <w:tabs>
          <w:tab w:val="clear" w:pos="567"/>
        </w:tabs>
        <w:spacing w:line="240" w:lineRule="auto"/>
        <w:jc w:val="both"/>
        <w:rPr>
          <w:color w:val="000000"/>
          <w:szCs w:val="22"/>
        </w:rPr>
      </w:pPr>
    </w:p>
    <w:p w14:paraId="3343A40E"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6.</w:t>
      </w:r>
      <w:r w:rsidRPr="0059231D">
        <w:rPr>
          <w:b/>
          <w:color w:val="000000"/>
          <w:szCs w:val="22"/>
        </w:rPr>
        <w:tab/>
        <w:t>FARMACEITISKĀ INFORMĀCIJA</w:t>
      </w:r>
    </w:p>
    <w:p w14:paraId="44F97697" w14:textId="77777777" w:rsidR="00AC07BB" w:rsidRPr="0059231D" w:rsidRDefault="00AC07BB" w:rsidP="0085436C">
      <w:pPr>
        <w:tabs>
          <w:tab w:val="clear" w:pos="567"/>
        </w:tabs>
        <w:spacing w:line="240" w:lineRule="auto"/>
        <w:jc w:val="both"/>
        <w:rPr>
          <w:b/>
          <w:color w:val="000000"/>
          <w:szCs w:val="22"/>
        </w:rPr>
      </w:pPr>
    </w:p>
    <w:p w14:paraId="31475FF7"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6.1</w:t>
      </w:r>
      <w:r w:rsidR="00980C1E" w:rsidRPr="0059231D">
        <w:rPr>
          <w:b/>
          <w:color w:val="000000"/>
          <w:szCs w:val="22"/>
        </w:rPr>
        <w:t>.</w:t>
      </w:r>
      <w:r w:rsidRPr="0059231D">
        <w:rPr>
          <w:b/>
          <w:color w:val="000000"/>
          <w:szCs w:val="22"/>
        </w:rPr>
        <w:tab/>
        <w:t>Palīgvielu saraksts</w:t>
      </w:r>
    </w:p>
    <w:p w14:paraId="1A3949CB" w14:textId="77777777" w:rsidR="00AC07BB" w:rsidRPr="0059231D" w:rsidRDefault="00AC07BB" w:rsidP="0085436C">
      <w:pPr>
        <w:tabs>
          <w:tab w:val="clear" w:pos="567"/>
        </w:tabs>
        <w:autoSpaceDE w:val="0"/>
        <w:autoSpaceDN w:val="0"/>
        <w:adjustRightInd w:val="0"/>
        <w:spacing w:line="240" w:lineRule="auto"/>
        <w:jc w:val="both"/>
        <w:rPr>
          <w:color w:val="000000"/>
          <w:szCs w:val="22"/>
          <w:lang w:eastAsia="en-GB"/>
        </w:rPr>
      </w:pPr>
    </w:p>
    <w:p w14:paraId="22D0BA07" w14:textId="77777777" w:rsidR="00E75EF4" w:rsidRPr="0059231D" w:rsidRDefault="00E75EF4"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lastRenderedPageBreak/>
        <w:t>Laktozes monohidrāts</w:t>
      </w:r>
    </w:p>
    <w:p w14:paraId="3C7D6ABF" w14:textId="77777777" w:rsidR="00E75EF4" w:rsidRPr="0059231D" w:rsidRDefault="00E75EF4"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Mannīts</w:t>
      </w:r>
    </w:p>
    <w:p w14:paraId="3274F0D0" w14:textId="77777777" w:rsidR="00E75EF4" w:rsidRPr="0059231D" w:rsidRDefault="00E75EF4"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Kukurūzas ciete</w:t>
      </w:r>
    </w:p>
    <w:p w14:paraId="4B4723B8" w14:textId="77777777" w:rsidR="00E75EF4" w:rsidRPr="0059231D" w:rsidRDefault="00E75EF4"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Povidons K30</w:t>
      </w:r>
    </w:p>
    <w:p w14:paraId="0332209D" w14:textId="77777777" w:rsidR="00E75EF4" w:rsidRPr="0059231D" w:rsidRDefault="00E75EF4"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Citronskābe</w:t>
      </w:r>
    </w:p>
    <w:p w14:paraId="3519E78D" w14:textId="77777777" w:rsidR="00E75EF4" w:rsidRPr="0059231D" w:rsidRDefault="00E75EF4"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Nātrija citrāts</w:t>
      </w:r>
    </w:p>
    <w:p w14:paraId="3DD4CEC3" w14:textId="77777777" w:rsidR="00CD10AA" w:rsidRPr="0059231D" w:rsidRDefault="00E75EF4" w:rsidP="0085436C">
      <w:pPr>
        <w:tabs>
          <w:tab w:val="clear" w:pos="567"/>
        </w:tabs>
        <w:spacing w:line="240" w:lineRule="auto"/>
        <w:jc w:val="both"/>
        <w:rPr>
          <w:color w:val="000000"/>
          <w:szCs w:val="22"/>
          <w:lang w:eastAsia="en-GB"/>
        </w:rPr>
      </w:pPr>
      <w:r w:rsidRPr="0059231D">
        <w:rPr>
          <w:color w:val="000000"/>
          <w:szCs w:val="22"/>
          <w:lang w:eastAsia="en-GB"/>
        </w:rPr>
        <w:t>Magnija stearāts</w:t>
      </w:r>
    </w:p>
    <w:p w14:paraId="280CE4B6" w14:textId="77777777" w:rsidR="00E75EF4" w:rsidRPr="0059231D" w:rsidRDefault="00E75EF4" w:rsidP="0085436C">
      <w:pPr>
        <w:tabs>
          <w:tab w:val="clear" w:pos="567"/>
        </w:tabs>
        <w:spacing w:line="240" w:lineRule="auto"/>
        <w:jc w:val="both"/>
        <w:rPr>
          <w:color w:val="000000"/>
          <w:szCs w:val="22"/>
        </w:rPr>
      </w:pPr>
    </w:p>
    <w:p w14:paraId="11AED3BD"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6.2</w:t>
      </w:r>
      <w:r w:rsidR="00980C1E" w:rsidRPr="0059231D">
        <w:rPr>
          <w:b/>
          <w:color w:val="000000"/>
          <w:szCs w:val="22"/>
        </w:rPr>
        <w:t>.</w:t>
      </w:r>
      <w:r w:rsidRPr="0059231D">
        <w:rPr>
          <w:b/>
          <w:color w:val="000000"/>
          <w:szCs w:val="22"/>
        </w:rPr>
        <w:tab/>
        <w:t>Nesaderība</w:t>
      </w:r>
    </w:p>
    <w:p w14:paraId="7AFDC748" w14:textId="77777777" w:rsidR="00AC07BB" w:rsidRPr="0059231D" w:rsidRDefault="00AC07BB" w:rsidP="0085436C">
      <w:pPr>
        <w:tabs>
          <w:tab w:val="clear" w:pos="567"/>
        </w:tabs>
        <w:spacing w:line="240" w:lineRule="auto"/>
        <w:jc w:val="both"/>
        <w:rPr>
          <w:color w:val="000000"/>
          <w:szCs w:val="22"/>
        </w:rPr>
      </w:pPr>
    </w:p>
    <w:p w14:paraId="74D31C40" w14:textId="77777777" w:rsidR="00CD10AA" w:rsidRPr="0059231D" w:rsidRDefault="003F45AD" w:rsidP="0085436C">
      <w:pPr>
        <w:tabs>
          <w:tab w:val="clear" w:pos="567"/>
        </w:tabs>
        <w:spacing w:line="240" w:lineRule="auto"/>
        <w:jc w:val="both"/>
        <w:rPr>
          <w:color w:val="000000"/>
          <w:szCs w:val="22"/>
        </w:rPr>
      </w:pPr>
      <w:r w:rsidRPr="0059231D">
        <w:rPr>
          <w:color w:val="000000"/>
          <w:szCs w:val="22"/>
        </w:rPr>
        <w:t>Nav piemērojama.</w:t>
      </w:r>
    </w:p>
    <w:p w14:paraId="61EFB045" w14:textId="77777777" w:rsidR="00CD10AA" w:rsidRPr="0059231D" w:rsidRDefault="00CD10AA" w:rsidP="0085436C">
      <w:pPr>
        <w:tabs>
          <w:tab w:val="clear" w:pos="567"/>
        </w:tabs>
        <w:spacing w:line="240" w:lineRule="auto"/>
        <w:jc w:val="both"/>
        <w:rPr>
          <w:color w:val="000000"/>
          <w:szCs w:val="22"/>
        </w:rPr>
      </w:pPr>
    </w:p>
    <w:p w14:paraId="434A2BFF"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6.3</w:t>
      </w:r>
      <w:r w:rsidR="00980C1E" w:rsidRPr="0059231D">
        <w:rPr>
          <w:b/>
          <w:color w:val="000000"/>
          <w:szCs w:val="22"/>
        </w:rPr>
        <w:t>.</w:t>
      </w:r>
      <w:r w:rsidRPr="0059231D">
        <w:rPr>
          <w:b/>
          <w:color w:val="000000"/>
          <w:szCs w:val="22"/>
        </w:rPr>
        <w:tab/>
        <w:t>Uzglabāšanas laiks</w:t>
      </w:r>
    </w:p>
    <w:p w14:paraId="0F86A2D1" w14:textId="77777777" w:rsidR="00AC07BB" w:rsidRPr="0059231D" w:rsidRDefault="00AC07BB" w:rsidP="0085436C">
      <w:pPr>
        <w:tabs>
          <w:tab w:val="clear" w:pos="567"/>
        </w:tabs>
        <w:spacing w:line="240" w:lineRule="auto"/>
        <w:jc w:val="both"/>
        <w:rPr>
          <w:color w:val="000000"/>
          <w:szCs w:val="22"/>
        </w:rPr>
      </w:pPr>
    </w:p>
    <w:p w14:paraId="14A7F67E" w14:textId="77777777" w:rsidR="001D59DA" w:rsidRPr="001D59DA" w:rsidRDefault="001D59DA" w:rsidP="001D59DA">
      <w:pPr>
        <w:spacing w:line="240" w:lineRule="auto"/>
        <w:jc w:val="both"/>
        <w:rPr>
          <w:rStyle w:val="apple-style-span"/>
          <w:color w:val="000000"/>
          <w:szCs w:val="22"/>
          <w:u w:val="single"/>
        </w:rPr>
      </w:pPr>
      <w:r w:rsidRPr="001D59DA">
        <w:rPr>
          <w:rStyle w:val="apple-style-span"/>
          <w:color w:val="000000"/>
          <w:szCs w:val="22"/>
          <w:u w:val="single"/>
        </w:rPr>
        <w:t>Subutex 2 mg tabletes lietošanai zem mēles</w:t>
      </w:r>
    </w:p>
    <w:p w14:paraId="3B20E2D9" w14:textId="77777777" w:rsidR="00CD10AA" w:rsidRPr="0059231D" w:rsidRDefault="00E75EF4" w:rsidP="0085436C">
      <w:pPr>
        <w:tabs>
          <w:tab w:val="clear" w:pos="567"/>
        </w:tabs>
        <w:spacing w:line="240" w:lineRule="auto"/>
        <w:jc w:val="both"/>
        <w:rPr>
          <w:color w:val="000000"/>
          <w:szCs w:val="22"/>
        </w:rPr>
      </w:pPr>
      <w:r w:rsidRPr="0059231D">
        <w:rPr>
          <w:color w:val="000000"/>
          <w:szCs w:val="22"/>
        </w:rPr>
        <w:t>2</w:t>
      </w:r>
      <w:r w:rsidR="00B944A8" w:rsidRPr="0059231D">
        <w:rPr>
          <w:color w:val="000000"/>
          <w:szCs w:val="22"/>
        </w:rPr>
        <w:t xml:space="preserve"> gadi.</w:t>
      </w:r>
    </w:p>
    <w:p w14:paraId="77AB7E23" w14:textId="0AA8047C" w:rsidR="00CD10AA" w:rsidRDefault="00CD10AA" w:rsidP="0085436C">
      <w:pPr>
        <w:tabs>
          <w:tab w:val="clear" w:pos="567"/>
        </w:tabs>
        <w:spacing w:line="240" w:lineRule="auto"/>
        <w:jc w:val="both"/>
        <w:rPr>
          <w:color w:val="000000"/>
          <w:szCs w:val="22"/>
        </w:rPr>
      </w:pPr>
    </w:p>
    <w:p w14:paraId="024BECFB" w14:textId="62D224D1" w:rsidR="001D59DA" w:rsidRPr="001D59DA" w:rsidRDefault="001D59DA" w:rsidP="001D59DA">
      <w:pPr>
        <w:spacing w:line="240" w:lineRule="auto"/>
        <w:jc w:val="both"/>
        <w:rPr>
          <w:rStyle w:val="apple-style-span"/>
          <w:color w:val="000000"/>
          <w:szCs w:val="22"/>
          <w:u w:val="single"/>
        </w:rPr>
      </w:pPr>
      <w:r w:rsidRPr="001D59DA">
        <w:rPr>
          <w:rStyle w:val="apple-style-span"/>
          <w:color w:val="000000"/>
          <w:szCs w:val="22"/>
          <w:u w:val="single"/>
        </w:rPr>
        <w:t xml:space="preserve">Subutex </w:t>
      </w:r>
      <w:r>
        <w:rPr>
          <w:rStyle w:val="apple-style-span"/>
          <w:color w:val="000000"/>
          <w:szCs w:val="22"/>
          <w:u w:val="single"/>
        </w:rPr>
        <w:t>8</w:t>
      </w:r>
      <w:r w:rsidRPr="001D59DA">
        <w:rPr>
          <w:rStyle w:val="apple-style-span"/>
          <w:color w:val="000000"/>
          <w:szCs w:val="22"/>
          <w:u w:val="single"/>
        </w:rPr>
        <w:t xml:space="preserve"> mg tabletes lietošanai zem mēles</w:t>
      </w:r>
    </w:p>
    <w:p w14:paraId="2434E552" w14:textId="0023636E" w:rsidR="001D59DA" w:rsidRPr="0059231D" w:rsidRDefault="001D59DA" w:rsidP="001D59DA">
      <w:pPr>
        <w:tabs>
          <w:tab w:val="clear" w:pos="567"/>
        </w:tabs>
        <w:spacing w:line="240" w:lineRule="auto"/>
        <w:jc w:val="both"/>
        <w:rPr>
          <w:color w:val="000000"/>
          <w:szCs w:val="22"/>
        </w:rPr>
      </w:pPr>
      <w:r>
        <w:rPr>
          <w:color w:val="000000"/>
          <w:szCs w:val="22"/>
        </w:rPr>
        <w:t>3</w:t>
      </w:r>
      <w:r w:rsidRPr="0059231D">
        <w:rPr>
          <w:color w:val="000000"/>
          <w:szCs w:val="22"/>
        </w:rPr>
        <w:t xml:space="preserve"> gadi.</w:t>
      </w:r>
    </w:p>
    <w:p w14:paraId="6AC0D22D" w14:textId="77777777" w:rsidR="001D59DA" w:rsidRPr="0059231D" w:rsidRDefault="001D59DA" w:rsidP="0085436C">
      <w:pPr>
        <w:tabs>
          <w:tab w:val="clear" w:pos="567"/>
        </w:tabs>
        <w:spacing w:line="240" w:lineRule="auto"/>
        <w:jc w:val="both"/>
        <w:rPr>
          <w:color w:val="000000"/>
          <w:szCs w:val="22"/>
        </w:rPr>
      </w:pPr>
    </w:p>
    <w:p w14:paraId="091306B8"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6.4</w:t>
      </w:r>
      <w:r w:rsidR="00980C1E" w:rsidRPr="0059231D">
        <w:rPr>
          <w:b/>
          <w:color w:val="000000"/>
          <w:szCs w:val="22"/>
        </w:rPr>
        <w:t>.</w:t>
      </w:r>
      <w:r w:rsidRPr="0059231D">
        <w:rPr>
          <w:b/>
          <w:color w:val="000000"/>
          <w:szCs w:val="22"/>
        </w:rPr>
        <w:tab/>
        <w:t>Īpaši uzglabāšanas nosacījumi</w:t>
      </w:r>
    </w:p>
    <w:p w14:paraId="39F57A04" w14:textId="77777777" w:rsidR="00AC07BB" w:rsidRPr="0059231D" w:rsidRDefault="00AC07BB" w:rsidP="0085436C">
      <w:pPr>
        <w:spacing w:line="240" w:lineRule="auto"/>
        <w:jc w:val="both"/>
        <w:rPr>
          <w:color w:val="000000"/>
          <w:szCs w:val="22"/>
        </w:rPr>
      </w:pPr>
    </w:p>
    <w:p w14:paraId="1956B5A3" w14:textId="77777777" w:rsidR="00C54BD0" w:rsidRPr="0059231D" w:rsidRDefault="00C54BD0" w:rsidP="0085436C">
      <w:pPr>
        <w:spacing w:line="240" w:lineRule="auto"/>
        <w:jc w:val="both"/>
        <w:rPr>
          <w:color w:val="000000"/>
          <w:szCs w:val="22"/>
        </w:rPr>
      </w:pPr>
      <w:r w:rsidRPr="0059231D">
        <w:rPr>
          <w:color w:val="000000"/>
          <w:szCs w:val="22"/>
        </w:rPr>
        <w:t>Uzglabāt temperatūrā līdz 30°C.</w:t>
      </w:r>
    </w:p>
    <w:p w14:paraId="2E82DAF3" w14:textId="77777777" w:rsidR="00C54BD0" w:rsidRPr="0059231D" w:rsidRDefault="00C54BD0" w:rsidP="0085436C">
      <w:pPr>
        <w:spacing w:line="240" w:lineRule="auto"/>
        <w:jc w:val="both"/>
        <w:rPr>
          <w:color w:val="000000"/>
          <w:szCs w:val="22"/>
        </w:rPr>
      </w:pPr>
      <w:r w:rsidRPr="0059231D">
        <w:rPr>
          <w:color w:val="000000"/>
          <w:szCs w:val="22"/>
        </w:rPr>
        <w:t>Uzglabāt oriģinālā iepakojumā</w:t>
      </w:r>
      <w:r w:rsidR="00E75EF4" w:rsidRPr="0059231D">
        <w:rPr>
          <w:color w:val="000000"/>
          <w:szCs w:val="22"/>
        </w:rPr>
        <w:t xml:space="preserve">, lai pasargātu no </w:t>
      </w:r>
      <w:r w:rsidR="002F3101" w:rsidRPr="0059231D">
        <w:rPr>
          <w:color w:val="000000"/>
          <w:szCs w:val="22"/>
        </w:rPr>
        <w:t>mitruma</w:t>
      </w:r>
      <w:r w:rsidR="00E75EF4" w:rsidRPr="0059231D">
        <w:rPr>
          <w:color w:val="000000"/>
          <w:szCs w:val="22"/>
        </w:rPr>
        <w:t>.</w:t>
      </w:r>
    </w:p>
    <w:p w14:paraId="6D16609C" w14:textId="77777777" w:rsidR="00CD10AA" w:rsidRPr="0059231D" w:rsidRDefault="00CD10AA" w:rsidP="0085436C">
      <w:pPr>
        <w:spacing w:line="240" w:lineRule="auto"/>
        <w:jc w:val="both"/>
        <w:rPr>
          <w:i/>
          <w:iCs/>
          <w:color w:val="000000"/>
          <w:szCs w:val="22"/>
        </w:rPr>
      </w:pPr>
    </w:p>
    <w:p w14:paraId="0E8533B1"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6.5</w:t>
      </w:r>
      <w:r w:rsidR="00980C1E" w:rsidRPr="0059231D">
        <w:rPr>
          <w:b/>
          <w:color w:val="000000"/>
          <w:szCs w:val="22"/>
        </w:rPr>
        <w:t>.</w:t>
      </w:r>
      <w:r w:rsidRPr="0059231D">
        <w:rPr>
          <w:b/>
          <w:color w:val="000000"/>
          <w:szCs w:val="22"/>
        </w:rPr>
        <w:tab/>
        <w:t>Iepakojuma veids un saturs</w:t>
      </w:r>
    </w:p>
    <w:p w14:paraId="271CB9E3" w14:textId="77777777" w:rsidR="00AC07BB" w:rsidRPr="0059231D" w:rsidRDefault="00AC07BB" w:rsidP="0085436C">
      <w:pPr>
        <w:tabs>
          <w:tab w:val="clear" w:pos="567"/>
        </w:tabs>
        <w:autoSpaceDE w:val="0"/>
        <w:autoSpaceDN w:val="0"/>
        <w:adjustRightInd w:val="0"/>
        <w:spacing w:line="240" w:lineRule="auto"/>
        <w:jc w:val="both"/>
        <w:rPr>
          <w:color w:val="000000"/>
          <w:szCs w:val="22"/>
          <w:lang w:eastAsia="en-GB"/>
        </w:rPr>
      </w:pPr>
    </w:p>
    <w:p w14:paraId="1413EFDE" w14:textId="77777777" w:rsidR="00E75EF4" w:rsidRPr="0059231D" w:rsidRDefault="00E75EF4" w:rsidP="0085436C">
      <w:pPr>
        <w:tabs>
          <w:tab w:val="clear" w:pos="567"/>
        </w:tabs>
        <w:autoSpaceDE w:val="0"/>
        <w:autoSpaceDN w:val="0"/>
        <w:adjustRightInd w:val="0"/>
        <w:spacing w:line="240" w:lineRule="auto"/>
        <w:jc w:val="both"/>
        <w:rPr>
          <w:color w:val="000000"/>
          <w:szCs w:val="22"/>
          <w:lang w:eastAsia="en-GB"/>
        </w:rPr>
      </w:pPr>
      <w:r w:rsidRPr="0059231D">
        <w:rPr>
          <w:color w:val="000000"/>
          <w:szCs w:val="22"/>
          <w:lang w:eastAsia="en-GB"/>
        </w:rPr>
        <w:t>7 tabletes neilona/alumīnija/PVH/alumīnija blisterī.</w:t>
      </w:r>
    </w:p>
    <w:p w14:paraId="5BE5C62D" w14:textId="77777777" w:rsidR="00CD10AA" w:rsidRPr="0059231D" w:rsidRDefault="00E75EF4" w:rsidP="0085436C">
      <w:pPr>
        <w:tabs>
          <w:tab w:val="clear" w:pos="567"/>
        </w:tabs>
        <w:spacing w:line="240" w:lineRule="auto"/>
        <w:jc w:val="both"/>
        <w:rPr>
          <w:color w:val="000000"/>
          <w:szCs w:val="22"/>
          <w:lang w:eastAsia="en-GB"/>
        </w:rPr>
      </w:pPr>
      <w:r w:rsidRPr="0059231D">
        <w:rPr>
          <w:color w:val="000000"/>
          <w:szCs w:val="22"/>
          <w:lang w:eastAsia="en-GB"/>
        </w:rPr>
        <w:t>28 tabletes neilona/alumīnija/PVH/alumīnija blisterī.</w:t>
      </w:r>
    </w:p>
    <w:p w14:paraId="18F0A4D6" w14:textId="77777777" w:rsidR="00E75EF4" w:rsidRPr="0059231D" w:rsidRDefault="00E75EF4" w:rsidP="0085436C">
      <w:pPr>
        <w:tabs>
          <w:tab w:val="clear" w:pos="567"/>
        </w:tabs>
        <w:spacing w:line="240" w:lineRule="auto"/>
        <w:jc w:val="both"/>
        <w:rPr>
          <w:color w:val="000000"/>
          <w:szCs w:val="22"/>
        </w:rPr>
      </w:pPr>
    </w:p>
    <w:p w14:paraId="62F05C37" w14:textId="77777777" w:rsidR="00CD10AA" w:rsidRPr="0059231D" w:rsidRDefault="00CD10AA" w:rsidP="0085436C">
      <w:pPr>
        <w:tabs>
          <w:tab w:val="clear" w:pos="567"/>
        </w:tabs>
        <w:spacing w:line="240" w:lineRule="auto"/>
        <w:jc w:val="both"/>
        <w:rPr>
          <w:color w:val="000000"/>
          <w:szCs w:val="22"/>
        </w:rPr>
      </w:pPr>
      <w:r w:rsidRPr="0059231D">
        <w:rPr>
          <w:color w:val="000000"/>
          <w:szCs w:val="22"/>
        </w:rPr>
        <w:t>Visi iepakojuma li</w:t>
      </w:r>
      <w:r w:rsidR="00B944A8" w:rsidRPr="0059231D">
        <w:rPr>
          <w:color w:val="000000"/>
          <w:szCs w:val="22"/>
        </w:rPr>
        <w:t>elumi tirgū var nebūt pieejami.</w:t>
      </w:r>
    </w:p>
    <w:p w14:paraId="3A0E85D8" w14:textId="77777777" w:rsidR="00CD10AA" w:rsidRPr="0059231D" w:rsidRDefault="00CD10AA" w:rsidP="0085436C">
      <w:pPr>
        <w:tabs>
          <w:tab w:val="clear" w:pos="567"/>
        </w:tabs>
        <w:spacing w:line="240" w:lineRule="auto"/>
        <w:jc w:val="both"/>
        <w:rPr>
          <w:color w:val="000000"/>
          <w:szCs w:val="22"/>
        </w:rPr>
      </w:pPr>
    </w:p>
    <w:p w14:paraId="5A317D78"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6.6</w:t>
      </w:r>
      <w:r w:rsidR="00980C1E" w:rsidRPr="0059231D">
        <w:rPr>
          <w:b/>
          <w:color w:val="000000"/>
          <w:szCs w:val="22"/>
        </w:rPr>
        <w:t>.</w:t>
      </w:r>
      <w:r w:rsidRPr="0059231D">
        <w:rPr>
          <w:b/>
          <w:color w:val="000000"/>
          <w:szCs w:val="22"/>
        </w:rPr>
        <w:tab/>
      </w:r>
      <w:r w:rsidRPr="0059231D">
        <w:rPr>
          <w:b/>
          <w:noProof/>
          <w:color w:val="000000"/>
          <w:szCs w:val="22"/>
        </w:rPr>
        <w:t>Īpaši norādījumi atkritumu likvidēšanai</w:t>
      </w:r>
      <w:r w:rsidRPr="0059231D">
        <w:rPr>
          <w:b/>
          <w:color w:val="000000"/>
          <w:szCs w:val="22"/>
        </w:rPr>
        <w:t xml:space="preserve"> un </w:t>
      </w:r>
      <w:r w:rsidR="0071303C" w:rsidRPr="0059231D">
        <w:rPr>
          <w:b/>
          <w:noProof/>
          <w:color w:val="000000"/>
          <w:szCs w:val="22"/>
        </w:rPr>
        <w:t>citi</w:t>
      </w:r>
      <w:r w:rsidR="0071303C" w:rsidRPr="0059231D">
        <w:rPr>
          <w:b/>
          <w:color w:val="000000"/>
          <w:szCs w:val="22"/>
        </w:rPr>
        <w:t xml:space="preserve"> </w:t>
      </w:r>
      <w:r w:rsidRPr="0059231D">
        <w:rPr>
          <w:b/>
          <w:color w:val="000000"/>
          <w:szCs w:val="22"/>
        </w:rPr>
        <w:t xml:space="preserve">norādījumi par </w:t>
      </w:r>
      <w:r w:rsidR="0071303C" w:rsidRPr="0059231D">
        <w:rPr>
          <w:b/>
          <w:noProof/>
          <w:color w:val="000000"/>
          <w:szCs w:val="22"/>
        </w:rPr>
        <w:t>rīkošanos</w:t>
      </w:r>
    </w:p>
    <w:p w14:paraId="37A741CE" w14:textId="77777777" w:rsidR="00AC07BB" w:rsidRPr="0059231D" w:rsidRDefault="00AC07BB" w:rsidP="0085436C">
      <w:pPr>
        <w:tabs>
          <w:tab w:val="clear" w:pos="567"/>
        </w:tabs>
        <w:spacing w:line="240" w:lineRule="auto"/>
        <w:jc w:val="both"/>
        <w:rPr>
          <w:color w:val="000000"/>
          <w:szCs w:val="22"/>
        </w:rPr>
      </w:pPr>
    </w:p>
    <w:p w14:paraId="2694542E" w14:textId="77777777" w:rsidR="00CD10AA" w:rsidRPr="0059231D" w:rsidRDefault="00CD10AA" w:rsidP="0085436C">
      <w:pPr>
        <w:tabs>
          <w:tab w:val="clear" w:pos="567"/>
        </w:tabs>
        <w:spacing w:line="240" w:lineRule="auto"/>
        <w:jc w:val="both"/>
        <w:rPr>
          <w:color w:val="000000"/>
          <w:szCs w:val="22"/>
        </w:rPr>
      </w:pPr>
      <w:r w:rsidRPr="0059231D">
        <w:rPr>
          <w:color w:val="000000"/>
          <w:szCs w:val="22"/>
        </w:rPr>
        <w:t>Nav īpašu</w:t>
      </w:r>
      <w:r w:rsidR="00CC4E9B" w:rsidRPr="0059231D">
        <w:rPr>
          <w:color w:val="000000"/>
          <w:szCs w:val="22"/>
        </w:rPr>
        <w:t xml:space="preserve"> </w:t>
      </w:r>
      <w:r w:rsidR="00B944A8" w:rsidRPr="0059231D">
        <w:rPr>
          <w:color w:val="000000"/>
          <w:szCs w:val="22"/>
        </w:rPr>
        <w:t>prasību.</w:t>
      </w:r>
    </w:p>
    <w:p w14:paraId="236E221C" w14:textId="77777777" w:rsidR="00CD10AA" w:rsidRPr="0059231D" w:rsidRDefault="00CD10AA" w:rsidP="0085436C">
      <w:pPr>
        <w:tabs>
          <w:tab w:val="clear" w:pos="567"/>
        </w:tabs>
        <w:spacing w:line="240" w:lineRule="auto"/>
        <w:jc w:val="both"/>
        <w:rPr>
          <w:color w:val="000000"/>
          <w:szCs w:val="22"/>
        </w:rPr>
      </w:pPr>
    </w:p>
    <w:p w14:paraId="531F44E4" w14:textId="77777777" w:rsidR="00AC07BB" w:rsidRPr="0059231D" w:rsidRDefault="00AC07BB" w:rsidP="0085436C">
      <w:pPr>
        <w:tabs>
          <w:tab w:val="clear" w:pos="567"/>
        </w:tabs>
        <w:spacing w:line="240" w:lineRule="auto"/>
        <w:jc w:val="both"/>
        <w:rPr>
          <w:color w:val="000000"/>
          <w:szCs w:val="22"/>
        </w:rPr>
      </w:pPr>
    </w:p>
    <w:p w14:paraId="71A2CBEC" w14:textId="77777777" w:rsidR="00CD10AA" w:rsidRPr="0059231D" w:rsidRDefault="00CD10AA" w:rsidP="0085436C">
      <w:pPr>
        <w:tabs>
          <w:tab w:val="clear" w:pos="567"/>
        </w:tabs>
        <w:spacing w:line="240" w:lineRule="auto"/>
        <w:jc w:val="both"/>
        <w:rPr>
          <w:color w:val="000000"/>
          <w:szCs w:val="22"/>
        </w:rPr>
      </w:pPr>
      <w:r w:rsidRPr="0059231D">
        <w:rPr>
          <w:b/>
          <w:color w:val="000000"/>
          <w:szCs w:val="22"/>
        </w:rPr>
        <w:t>7.</w:t>
      </w:r>
      <w:r w:rsidRPr="0059231D">
        <w:rPr>
          <w:b/>
          <w:color w:val="000000"/>
          <w:szCs w:val="22"/>
        </w:rPr>
        <w:tab/>
        <w:t>REĢISTRĀCIJAS APLIECĪBAS ĪPAŠNIEKS</w:t>
      </w:r>
    </w:p>
    <w:p w14:paraId="0D76088F" w14:textId="77777777" w:rsidR="00AC07BB" w:rsidRPr="0059231D" w:rsidRDefault="00AC07BB" w:rsidP="0085436C">
      <w:pPr>
        <w:tabs>
          <w:tab w:val="clear" w:pos="567"/>
        </w:tabs>
        <w:autoSpaceDE w:val="0"/>
        <w:autoSpaceDN w:val="0"/>
        <w:adjustRightInd w:val="0"/>
        <w:spacing w:line="240" w:lineRule="auto"/>
        <w:jc w:val="both"/>
        <w:rPr>
          <w:color w:val="000000"/>
          <w:szCs w:val="22"/>
          <w:lang w:eastAsia="en-GB"/>
        </w:rPr>
      </w:pPr>
    </w:p>
    <w:p w14:paraId="0433181D" w14:textId="609022AA" w:rsidR="001A3E18" w:rsidRPr="00F50EC1" w:rsidRDefault="001A3E18" w:rsidP="001A3E18">
      <w:pPr>
        <w:tabs>
          <w:tab w:val="clear" w:pos="567"/>
        </w:tabs>
        <w:autoSpaceDE w:val="0"/>
        <w:autoSpaceDN w:val="0"/>
        <w:adjustRightInd w:val="0"/>
        <w:spacing w:line="240" w:lineRule="auto"/>
        <w:jc w:val="both"/>
      </w:pPr>
      <w:r w:rsidRPr="00F50EC1">
        <w:t xml:space="preserve">Indivior </w:t>
      </w:r>
      <w:r w:rsidRPr="00F50EC1">
        <w:rPr>
          <w:szCs w:val="22"/>
          <w:lang w:eastAsia="en-GB"/>
        </w:rPr>
        <w:t>Europe</w:t>
      </w:r>
      <w:r w:rsidRPr="00F50EC1">
        <w:t xml:space="preserve"> Limited, </w:t>
      </w:r>
      <w:r w:rsidRPr="00F50EC1">
        <w:rPr>
          <w:szCs w:val="22"/>
          <w:lang w:eastAsia="en-GB"/>
        </w:rPr>
        <w:t xml:space="preserve">27 Windsor Place, Dublin 2, </w:t>
      </w:r>
      <w:r w:rsidR="009720DE" w:rsidRPr="00685B46">
        <w:rPr>
          <w:color w:val="353838"/>
          <w:szCs w:val="22"/>
        </w:rPr>
        <w:t xml:space="preserve">D02 DK44, </w:t>
      </w:r>
      <w:r w:rsidRPr="00F50EC1">
        <w:rPr>
          <w:szCs w:val="22"/>
          <w:lang w:eastAsia="en-GB"/>
        </w:rPr>
        <w:t>Īrija</w:t>
      </w:r>
    </w:p>
    <w:p w14:paraId="3730D2EC" w14:textId="77777777" w:rsidR="00E75EF4" w:rsidRPr="0059231D" w:rsidRDefault="00E75EF4" w:rsidP="0085436C">
      <w:pPr>
        <w:tabs>
          <w:tab w:val="clear" w:pos="567"/>
        </w:tabs>
        <w:autoSpaceDE w:val="0"/>
        <w:autoSpaceDN w:val="0"/>
        <w:adjustRightInd w:val="0"/>
        <w:spacing w:line="240" w:lineRule="auto"/>
        <w:jc w:val="both"/>
        <w:rPr>
          <w:color w:val="000000"/>
          <w:szCs w:val="22"/>
        </w:rPr>
      </w:pPr>
    </w:p>
    <w:p w14:paraId="67187F06" w14:textId="77777777" w:rsidR="00AC07BB" w:rsidRPr="0059231D" w:rsidRDefault="00AC07BB" w:rsidP="0085436C">
      <w:pPr>
        <w:tabs>
          <w:tab w:val="clear" w:pos="567"/>
        </w:tabs>
        <w:autoSpaceDE w:val="0"/>
        <w:autoSpaceDN w:val="0"/>
        <w:adjustRightInd w:val="0"/>
        <w:spacing w:line="240" w:lineRule="auto"/>
        <w:jc w:val="both"/>
        <w:rPr>
          <w:color w:val="000000"/>
          <w:szCs w:val="22"/>
        </w:rPr>
      </w:pPr>
    </w:p>
    <w:p w14:paraId="31CDFA79"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8.</w:t>
      </w:r>
      <w:r w:rsidRPr="0059231D">
        <w:rPr>
          <w:b/>
          <w:color w:val="000000"/>
          <w:szCs w:val="22"/>
        </w:rPr>
        <w:tab/>
        <w:t>REĢISTRĀCIJAS</w:t>
      </w:r>
      <w:r w:rsidR="0082246A" w:rsidRPr="0059231D">
        <w:rPr>
          <w:b/>
          <w:color w:val="000000"/>
          <w:szCs w:val="22"/>
        </w:rPr>
        <w:t xml:space="preserve"> APLIECĪBAS</w:t>
      </w:r>
      <w:r w:rsidR="00E75EF4" w:rsidRPr="0059231D">
        <w:rPr>
          <w:b/>
          <w:color w:val="000000"/>
          <w:szCs w:val="22"/>
        </w:rPr>
        <w:t xml:space="preserve"> NUMURS</w:t>
      </w:r>
    </w:p>
    <w:p w14:paraId="460EC002" w14:textId="77777777" w:rsidR="00AC07BB" w:rsidRPr="0059231D" w:rsidRDefault="00AC07BB" w:rsidP="0085436C">
      <w:pPr>
        <w:tabs>
          <w:tab w:val="clear" w:pos="567"/>
        </w:tabs>
        <w:spacing w:line="240" w:lineRule="auto"/>
        <w:jc w:val="both"/>
        <w:rPr>
          <w:rStyle w:val="apple-style-span"/>
          <w:color w:val="000000"/>
          <w:szCs w:val="22"/>
        </w:rPr>
      </w:pPr>
    </w:p>
    <w:p w14:paraId="3EE8F494" w14:textId="2ECBE3EA" w:rsidR="00E75EF4" w:rsidRPr="001D59DA" w:rsidRDefault="001D59DA" w:rsidP="001D59DA">
      <w:pPr>
        <w:spacing w:line="240" w:lineRule="auto"/>
        <w:jc w:val="both"/>
        <w:rPr>
          <w:b/>
          <w:color w:val="000000"/>
          <w:szCs w:val="22"/>
        </w:rPr>
      </w:pPr>
      <w:bookmarkStart w:id="0" w:name="_Hlk71283119"/>
      <w:r w:rsidRPr="001D59DA">
        <w:rPr>
          <w:rStyle w:val="apple-style-span"/>
          <w:b/>
          <w:bCs/>
          <w:color w:val="000000"/>
          <w:szCs w:val="22"/>
        </w:rPr>
        <w:t>Subutex 2 mg tabletes lietošanai zem mēles</w:t>
      </w:r>
      <w:r w:rsidRPr="001D59DA">
        <w:rPr>
          <w:rStyle w:val="apple-style-span"/>
          <w:color w:val="000000"/>
          <w:szCs w:val="22"/>
        </w:rPr>
        <w:t xml:space="preserve"> (</w:t>
      </w:r>
      <w:r w:rsidR="00E75EF4" w:rsidRPr="001D59DA">
        <w:rPr>
          <w:rStyle w:val="apple-style-span"/>
          <w:color w:val="000000"/>
          <w:szCs w:val="22"/>
        </w:rPr>
        <w:t>05-0401</w:t>
      </w:r>
      <w:r w:rsidRPr="001D59DA">
        <w:rPr>
          <w:rStyle w:val="apple-style-span"/>
          <w:color w:val="000000"/>
          <w:szCs w:val="22"/>
        </w:rPr>
        <w:t>)</w:t>
      </w:r>
    </w:p>
    <w:p w14:paraId="3ACC8A31" w14:textId="77C9B829" w:rsidR="001D59DA" w:rsidRPr="00AA4512" w:rsidRDefault="001D59DA" w:rsidP="001D59DA">
      <w:pPr>
        <w:spacing w:line="240" w:lineRule="auto"/>
        <w:jc w:val="both"/>
        <w:rPr>
          <w:b/>
          <w:color w:val="000000"/>
          <w:szCs w:val="22"/>
        </w:rPr>
      </w:pPr>
      <w:r w:rsidRPr="001D59DA">
        <w:rPr>
          <w:rStyle w:val="apple-style-span"/>
          <w:b/>
          <w:bCs/>
          <w:color w:val="000000"/>
          <w:szCs w:val="22"/>
        </w:rPr>
        <w:t>Subutex 8 mg tabletes lietošanai zem mēles</w:t>
      </w:r>
      <w:r w:rsidRPr="00AA4512">
        <w:rPr>
          <w:rStyle w:val="apple-style-span"/>
          <w:color w:val="000000"/>
          <w:szCs w:val="22"/>
        </w:rPr>
        <w:t xml:space="preserve"> (05-040</w:t>
      </w:r>
      <w:r>
        <w:rPr>
          <w:rStyle w:val="apple-style-span"/>
          <w:color w:val="000000"/>
          <w:szCs w:val="22"/>
        </w:rPr>
        <w:t>2</w:t>
      </w:r>
      <w:r w:rsidRPr="00AA4512">
        <w:rPr>
          <w:rStyle w:val="apple-style-span"/>
          <w:color w:val="000000"/>
          <w:szCs w:val="22"/>
        </w:rPr>
        <w:t>)</w:t>
      </w:r>
    </w:p>
    <w:bookmarkEnd w:id="0"/>
    <w:p w14:paraId="09FBA22B" w14:textId="77777777" w:rsidR="00CD10AA" w:rsidRPr="0059231D" w:rsidRDefault="00CD10AA" w:rsidP="0085436C">
      <w:pPr>
        <w:tabs>
          <w:tab w:val="clear" w:pos="567"/>
        </w:tabs>
        <w:spacing w:line="240" w:lineRule="auto"/>
        <w:jc w:val="both"/>
        <w:rPr>
          <w:color w:val="000000"/>
          <w:szCs w:val="22"/>
        </w:rPr>
      </w:pPr>
    </w:p>
    <w:p w14:paraId="1588FB47" w14:textId="77777777" w:rsidR="00AC07BB" w:rsidRPr="0059231D" w:rsidRDefault="00AC07BB" w:rsidP="0085436C">
      <w:pPr>
        <w:tabs>
          <w:tab w:val="clear" w:pos="567"/>
        </w:tabs>
        <w:spacing w:line="240" w:lineRule="auto"/>
        <w:jc w:val="both"/>
        <w:rPr>
          <w:color w:val="000000"/>
          <w:szCs w:val="22"/>
        </w:rPr>
      </w:pPr>
    </w:p>
    <w:p w14:paraId="431C9A5A"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9.</w:t>
      </w:r>
      <w:r w:rsidRPr="0059231D">
        <w:rPr>
          <w:b/>
          <w:color w:val="000000"/>
          <w:szCs w:val="22"/>
        </w:rPr>
        <w:tab/>
      </w:r>
      <w:r w:rsidR="00980C1E" w:rsidRPr="0059231D">
        <w:rPr>
          <w:b/>
          <w:color w:val="000000"/>
          <w:szCs w:val="22"/>
        </w:rPr>
        <w:t xml:space="preserve">PIRMĀS </w:t>
      </w:r>
      <w:r w:rsidRPr="0059231D">
        <w:rPr>
          <w:b/>
          <w:color w:val="000000"/>
          <w:szCs w:val="22"/>
        </w:rPr>
        <w:t>REĢISTRĀCIJAS/PĀRREĢISTRĀCIJAS DATUMS</w:t>
      </w:r>
    </w:p>
    <w:p w14:paraId="3B5A3414" w14:textId="77777777" w:rsidR="00AC07BB" w:rsidRPr="0059231D" w:rsidRDefault="00AC07BB" w:rsidP="0085436C">
      <w:pPr>
        <w:spacing w:line="240" w:lineRule="auto"/>
        <w:jc w:val="both"/>
        <w:rPr>
          <w:color w:val="000000"/>
          <w:szCs w:val="22"/>
        </w:rPr>
      </w:pPr>
    </w:p>
    <w:p w14:paraId="0E8CC4C0" w14:textId="77777777" w:rsidR="00B944A8" w:rsidRPr="0059231D" w:rsidRDefault="0082246A" w:rsidP="0085436C">
      <w:pPr>
        <w:spacing w:line="240" w:lineRule="auto"/>
        <w:jc w:val="both"/>
        <w:rPr>
          <w:color w:val="000000"/>
          <w:szCs w:val="22"/>
        </w:rPr>
      </w:pPr>
      <w:r w:rsidRPr="0059231D">
        <w:rPr>
          <w:color w:val="000000"/>
          <w:szCs w:val="22"/>
        </w:rPr>
        <w:t xml:space="preserve">Reģistrācijas datums: </w:t>
      </w:r>
      <w:r w:rsidR="00E75EF4" w:rsidRPr="0059231D">
        <w:rPr>
          <w:color w:val="000000"/>
          <w:szCs w:val="22"/>
        </w:rPr>
        <w:t>2005.gada 19.oktobris.</w:t>
      </w:r>
    </w:p>
    <w:p w14:paraId="4964B94A" w14:textId="77777777" w:rsidR="00CD10AA" w:rsidRPr="0059231D" w:rsidRDefault="0082246A" w:rsidP="0085436C">
      <w:pPr>
        <w:spacing w:line="240" w:lineRule="auto"/>
        <w:jc w:val="both"/>
        <w:rPr>
          <w:noProof/>
          <w:color w:val="000000"/>
          <w:szCs w:val="22"/>
        </w:rPr>
      </w:pPr>
      <w:r w:rsidRPr="0059231D">
        <w:rPr>
          <w:color w:val="000000"/>
          <w:szCs w:val="22"/>
        </w:rPr>
        <w:t xml:space="preserve">Pēdējās pārreģistrācijas datums: </w:t>
      </w:r>
      <w:r w:rsidR="00E75EF4" w:rsidRPr="0059231D">
        <w:rPr>
          <w:color w:val="000000"/>
          <w:szCs w:val="22"/>
        </w:rPr>
        <w:t>2008.gada 12.maijs</w:t>
      </w:r>
      <w:r w:rsidR="001F12E7" w:rsidRPr="0059231D">
        <w:rPr>
          <w:color w:val="000000"/>
          <w:szCs w:val="22"/>
        </w:rPr>
        <w:t>.</w:t>
      </w:r>
    </w:p>
    <w:p w14:paraId="382526EC" w14:textId="77777777" w:rsidR="00CD10AA" w:rsidRPr="0059231D" w:rsidRDefault="00CD10AA" w:rsidP="0085436C">
      <w:pPr>
        <w:tabs>
          <w:tab w:val="clear" w:pos="567"/>
        </w:tabs>
        <w:spacing w:line="240" w:lineRule="auto"/>
        <w:jc w:val="both"/>
        <w:rPr>
          <w:color w:val="000000"/>
          <w:szCs w:val="22"/>
        </w:rPr>
      </w:pPr>
    </w:p>
    <w:p w14:paraId="0452F9D0" w14:textId="77777777" w:rsidR="00AC07BB" w:rsidRPr="0059231D" w:rsidRDefault="00AC07BB" w:rsidP="0085436C">
      <w:pPr>
        <w:tabs>
          <w:tab w:val="clear" w:pos="567"/>
        </w:tabs>
        <w:spacing w:line="240" w:lineRule="auto"/>
        <w:jc w:val="both"/>
        <w:rPr>
          <w:color w:val="000000"/>
          <w:szCs w:val="22"/>
        </w:rPr>
      </w:pPr>
    </w:p>
    <w:p w14:paraId="7E465E60" w14:textId="77777777" w:rsidR="00CD10AA" w:rsidRPr="0059231D" w:rsidRDefault="00CD10AA" w:rsidP="0085436C">
      <w:pPr>
        <w:tabs>
          <w:tab w:val="clear" w:pos="567"/>
        </w:tabs>
        <w:spacing w:line="240" w:lineRule="auto"/>
        <w:jc w:val="both"/>
        <w:rPr>
          <w:b/>
          <w:color w:val="000000"/>
          <w:szCs w:val="22"/>
        </w:rPr>
      </w:pPr>
      <w:r w:rsidRPr="0059231D">
        <w:rPr>
          <w:b/>
          <w:color w:val="000000"/>
          <w:szCs w:val="22"/>
        </w:rPr>
        <w:t>10.</w:t>
      </w:r>
      <w:r w:rsidRPr="0059231D">
        <w:rPr>
          <w:b/>
          <w:color w:val="000000"/>
          <w:szCs w:val="22"/>
        </w:rPr>
        <w:tab/>
        <w:t>TEKSTA</w:t>
      </w:r>
      <w:r w:rsidR="00171350" w:rsidRPr="0059231D">
        <w:rPr>
          <w:b/>
          <w:color w:val="000000"/>
          <w:szCs w:val="22"/>
        </w:rPr>
        <w:t xml:space="preserve"> </w:t>
      </w:r>
      <w:r w:rsidRPr="0059231D">
        <w:rPr>
          <w:b/>
          <w:color w:val="000000"/>
          <w:szCs w:val="22"/>
        </w:rPr>
        <w:t>PĀRSKATĪŠANAS DATUMS</w:t>
      </w:r>
    </w:p>
    <w:p w14:paraId="6C9F8375" w14:textId="77777777" w:rsidR="00AC07BB" w:rsidRPr="0059231D" w:rsidRDefault="00AC07BB" w:rsidP="0085436C">
      <w:pPr>
        <w:tabs>
          <w:tab w:val="clear" w:pos="567"/>
        </w:tabs>
        <w:spacing w:line="240" w:lineRule="auto"/>
        <w:jc w:val="both"/>
        <w:rPr>
          <w:noProof/>
          <w:color w:val="000000"/>
          <w:szCs w:val="22"/>
        </w:rPr>
      </w:pPr>
    </w:p>
    <w:p w14:paraId="3E82FFA3" w14:textId="3546D98F" w:rsidR="00D21116" w:rsidRDefault="001D59DA" w:rsidP="0085436C">
      <w:pPr>
        <w:tabs>
          <w:tab w:val="clear" w:pos="567"/>
        </w:tabs>
        <w:spacing w:line="240" w:lineRule="auto"/>
        <w:jc w:val="both"/>
        <w:rPr>
          <w:noProof/>
          <w:color w:val="000000"/>
          <w:szCs w:val="22"/>
        </w:rPr>
      </w:pPr>
      <w:r>
        <w:rPr>
          <w:noProof/>
          <w:color w:val="000000"/>
          <w:szCs w:val="22"/>
        </w:rPr>
        <w:t>0</w:t>
      </w:r>
      <w:r w:rsidR="00DD61C1">
        <w:rPr>
          <w:noProof/>
          <w:color w:val="000000"/>
          <w:szCs w:val="22"/>
        </w:rPr>
        <w:t>7</w:t>
      </w:r>
      <w:r w:rsidR="00C55D3E">
        <w:rPr>
          <w:noProof/>
          <w:color w:val="000000"/>
          <w:szCs w:val="22"/>
        </w:rPr>
        <w:t>/202</w:t>
      </w:r>
      <w:r>
        <w:rPr>
          <w:noProof/>
          <w:color w:val="000000"/>
          <w:szCs w:val="22"/>
        </w:rPr>
        <w:t>1</w:t>
      </w:r>
    </w:p>
    <w:p w14:paraId="4295EBDA" w14:textId="77777777" w:rsidR="001A3E18" w:rsidRDefault="001A3E18" w:rsidP="0085436C">
      <w:pPr>
        <w:tabs>
          <w:tab w:val="clear" w:pos="567"/>
        </w:tabs>
        <w:spacing w:line="240" w:lineRule="auto"/>
        <w:jc w:val="both"/>
        <w:rPr>
          <w:noProof/>
          <w:color w:val="000000"/>
          <w:szCs w:val="22"/>
        </w:rPr>
      </w:pPr>
    </w:p>
    <w:p w14:paraId="0C85E9A8" w14:textId="77777777" w:rsidR="001A3E18" w:rsidRPr="0059231D" w:rsidRDefault="001A3E18" w:rsidP="0085436C">
      <w:pPr>
        <w:tabs>
          <w:tab w:val="clear" w:pos="567"/>
        </w:tabs>
        <w:spacing w:line="240" w:lineRule="auto"/>
        <w:jc w:val="both"/>
        <w:rPr>
          <w:color w:val="000000"/>
          <w:szCs w:val="22"/>
        </w:rPr>
      </w:pPr>
    </w:p>
    <w:sectPr w:rsidR="001A3E18" w:rsidRPr="0059231D" w:rsidSect="007B120A">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A4752" w14:textId="77777777" w:rsidR="00AE2009" w:rsidRDefault="00AE2009">
      <w:r>
        <w:separator/>
      </w:r>
    </w:p>
  </w:endnote>
  <w:endnote w:type="continuationSeparator" w:id="0">
    <w:p w14:paraId="25625261" w14:textId="77777777" w:rsidR="00AE2009" w:rsidRDefault="00AE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3EB9" w14:textId="77777777" w:rsidR="0014396C" w:rsidRDefault="00143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D9C5" w14:textId="5B983265" w:rsidR="00C67A12" w:rsidRPr="00652A1E" w:rsidRDefault="00615B15" w:rsidP="00615B15">
    <w:pPr>
      <w:pStyle w:val="Footer"/>
      <w:tabs>
        <w:tab w:val="clear" w:pos="8930"/>
        <w:tab w:val="right" w:pos="8931"/>
      </w:tabs>
      <w:ind w:right="96"/>
      <w:jc w:val="center"/>
      <w:rPr>
        <w:rFonts w:ascii="Times New Roman" w:hAnsi="Times New Roman"/>
        <w:sz w:val="18"/>
        <w:szCs w:val="18"/>
      </w:rPr>
    </w:pPr>
    <w:r w:rsidRPr="00012FAC">
      <w:rPr>
        <w:rFonts w:ascii="Times New Roman" w:hAnsi="Times New Roman"/>
        <w:sz w:val="22"/>
        <w:szCs w:val="22"/>
      </w:rPr>
      <w:t>FR/H/0147/002</w:t>
    </w:r>
    <w:r w:rsidR="001D59DA">
      <w:rPr>
        <w:rFonts w:ascii="Times New Roman" w:hAnsi="Times New Roman"/>
        <w:sz w:val="22"/>
        <w:szCs w:val="22"/>
      </w:rPr>
      <w:t>-003</w:t>
    </w:r>
    <w:r w:rsidRPr="00012FAC">
      <w:rPr>
        <w:rFonts w:ascii="Times New Roman" w:hAnsi="Times New Roman"/>
        <w:sz w:val="22"/>
        <w:szCs w:val="22"/>
      </w:rPr>
      <w:t>/</w:t>
    </w:r>
    <w:r w:rsidR="00BD245A">
      <w:rPr>
        <w:rFonts w:ascii="Times New Roman" w:hAnsi="Times New Roman"/>
        <w:sz w:val="22"/>
        <w:szCs w:val="22"/>
      </w:rPr>
      <w:t>IB</w:t>
    </w:r>
    <w:r w:rsidRPr="00012FAC">
      <w:rPr>
        <w:rFonts w:ascii="Times New Roman" w:hAnsi="Times New Roman"/>
        <w:sz w:val="22"/>
        <w:szCs w:val="22"/>
      </w:rPr>
      <w:t>/05</w:t>
    </w:r>
    <w:r w:rsidR="00BD245A">
      <w:rPr>
        <w:rFonts w:ascii="Times New Roman" w:hAnsi="Times New Roman"/>
        <w:sz w:val="22"/>
        <w:szCs w:val="22"/>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C5A7" w14:textId="77777777" w:rsidR="00615B15" w:rsidRDefault="00615B15">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953F" w14:textId="77777777" w:rsidR="00AE2009" w:rsidRDefault="00AE2009">
      <w:r>
        <w:separator/>
      </w:r>
    </w:p>
  </w:footnote>
  <w:footnote w:type="continuationSeparator" w:id="0">
    <w:p w14:paraId="05B836FD" w14:textId="77777777" w:rsidR="00AE2009" w:rsidRDefault="00AE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8D19" w14:textId="77777777" w:rsidR="0014396C" w:rsidRDefault="00143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ECBA" w14:textId="23880C26" w:rsidR="00615B15" w:rsidRPr="002A1566" w:rsidRDefault="0014396C" w:rsidP="00652A1E">
    <w:pPr>
      <w:pStyle w:val="Header"/>
      <w:jc w:val="right"/>
      <w:rPr>
        <w:rFonts w:ascii="Times New Roman" w:hAnsi="Times New Roman"/>
        <w:sz w:val="24"/>
        <w:lang w:val="en-US"/>
      </w:rPr>
    </w:pPr>
    <w:r>
      <w:rPr>
        <w:rFonts w:ascii="Times New Roman" w:hAnsi="Times New Roman"/>
        <w:sz w:val="24"/>
        <w:lang w:val="en-US"/>
      </w:rPr>
      <w:t>SASKAŅOTS ZVA 03-08-2021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25EF" w14:textId="77777777" w:rsidR="0014396C" w:rsidRDefault="0014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4B85"/>
    <w:multiLevelType w:val="hybridMultilevel"/>
    <w:tmpl w:val="C3E472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1BE"/>
    <w:multiLevelType w:val="hybridMultilevel"/>
    <w:tmpl w:val="3DDA35EC"/>
    <w:lvl w:ilvl="0" w:tplc="0CCC42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57D11"/>
    <w:multiLevelType w:val="hybridMultilevel"/>
    <w:tmpl w:val="97DC4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351A5E"/>
    <w:multiLevelType w:val="hybridMultilevel"/>
    <w:tmpl w:val="754424AA"/>
    <w:lvl w:ilvl="0" w:tplc="F7A07AEC">
      <w:start w:val="4"/>
      <w:numFmt w:val="decimal"/>
      <w:lvlText w:val="%1."/>
      <w:lvlJc w:val="left"/>
      <w:pPr>
        <w:tabs>
          <w:tab w:val="num" w:pos="930"/>
        </w:tabs>
        <w:ind w:left="930" w:hanging="570"/>
      </w:pPr>
      <w:rPr>
        <w:rFonts w:hint="default"/>
      </w:rPr>
    </w:lvl>
    <w:lvl w:ilvl="1" w:tplc="31805C18" w:tentative="1">
      <w:start w:val="1"/>
      <w:numFmt w:val="lowerLetter"/>
      <w:lvlText w:val="%2."/>
      <w:lvlJc w:val="left"/>
      <w:pPr>
        <w:tabs>
          <w:tab w:val="num" w:pos="1440"/>
        </w:tabs>
        <w:ind w:left="1440" w:hanging="360"/>
      </w:pPr>
    </w:lvl>
    <w:lvl w:ilvl="2" w:tplc="58EA8206" w:tentative="1">
      <w:start w:val="1"/>
      <w:numFmt w:val="lowerRoman"/>
      <w:lvlText w:val="%3."/>
      <w:lvlJc w:val="right"/>
      <w:pPr>
        <w:tabs>
          <w:tab w:val="num" w:pos="2160"/>
        </w:tabs>
        <w:ind w:left="2160" w:hanging="180"/>
      </w:pPr>
    </w:lvl>
    <w:lvl w:ilvl="3" w:tplc="BBD0C7DE" w:tentative="1">
      <w:start w:val="1"/>
      <w:numFmt w:val="decimal"/>
      <w:lvlText w:val="%4."/>
      <w:lvlJc w:val="left"/>
      <w:pPr>
        <w:tabs>
          <w:tab w:val="num" w:pos="2880"/>
        </w:tabs>
        <w:ind w:left="2880" w:hanging="360"/>
      </w:pPr>
    </w:lvl>
    <w:lvl w:ilvl="4" w:tplc="30DAA510" w:tentative="1">
      <w:start w:val="1"/>
      <w:numFmt w:val="lowerLetter"/>
      <w:lvlText w:val="%5."/>
      <w:lvlJc w:val="left"/>
      <w:pPr>
        <w:tabs>
          <w:tab w:val="num" w:pos="3600"/>
        </w:tabs>
        <w:ind w:left="3600" w:hanging="360"/>
      </w:pPr>
    </w:lvl>
    <w:lvl w:ilvl="5" w:tplc="F14EC868" w:tentative="1">
      <w:start w:val="1"/>
      <w:numFmt w:val="lowerRoman"/>
      <w:lvlText w:val="%6."/>
      <w:lvlJc w:val="right"/>
      <w:pPr>
        <w:tabs>
          <w:tab w:val="num" w:pos="4320"/>
        </w:tabs>
        <w:ind w:left="4320" w:hanging="180"/>
      </w:pPr>
    </w:lvl>
    <w:lvl w:ilvl="6" w:tplc="F3581C00" w:tentative="1">
      <w:start w:val="1"/>
      <w:numFmt w:val="decimal"/>
      <w:lvlText w:val="%7."/>
      <w:lvlJc w:val="left"/>
      <w:pPr>
        <w:tabs>
          <w:tab w:val="num" w:pos="5040"/>
        </w:tabs>
        <w:ind w:left="5040" w:hanging="360"/>
      </w:pPr>
    </w:lvl>
    <w:lvl w:ilvl="7" w:tplc="AF1A2932" w:tentative="1">
      <w:start w:val="1"/>
      <w:numFmt w:val="lowerLetter"/>
      <w:lvlText w:val="%8."/>
      <w:lvlJc w:val="left"/>
      <w:pPr>
        <w:tabs>
          <w:tab w:val="num" w:pos="5760"/>
        </w:tabs>
        <w:ind w:left="5760" w:hanging="360"/>
      </w:pPr>
    </w:lvl>
    <w:lvl w:ilvl="8" w:tplc="BB52C112" w:tentative="1">
      <w:start w:val="1"/>
      <w:numFmt w:val="lowerRoman"/>
      <w:lvlText w:val="%9."/>
      <w:lvlJc w:val="right"/>
      <w:pPr>
        <w:tabs>
          <w:tab w:val="num" w:pos="6480"/>
        </w:tabs>
        <w:ind w:left="6480" w:hanging="180"/>
      </w:pPr>
    </w:lvl>
  </w:abstractNum>
  <w:abstractNum w:abstractNumId="6" w15:restartNumberingAfterBreak="0">
    <w:nsid w:val="14CC187E"/>
    <w:multiLevelType w:val="hybridMultilevel"/>
    <w:tmpl w:val="8D6292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92C4B"/>
    <w:multiLevelType w:val="hybridMultilevel"/>
    <w:tmpl w:val="F4FE34B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1F1DEA"/>
    <w:multiLevelType w:val="hybridMultilevel"/>
    <w:tmpl w:val="C23C15A8"/>
    <w:lvl w:ilvl="0" w:tplc="B478E9D6">
      <w:start w:val="1"/>
      <w:numFmt w:val="bullet"/>
      <w:lvlText w:val=""/>
      <w:lvlJc w:val="left"/>
      <w:pPr>
        <w:ind w:left="1440" w:hanging="360"/>
      </w:pPr>
      <w:rPr>
        <w:rFonts w:ascii="Symbol" w:hAnsi="Symbol" w:cs="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64559"/>
    <w:multiLevelType w:val="hybridMultilevel"/>
    <w:tmpl w:val="2F0C3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E669E0"/>
    <w:multiLevelType w:val="hybridMultilevel"/>
    <w:tmpl w:val="FA5C408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4A9D"/>
    <w:multiLevelType w:val="hybridMultilevel"/>
    <w:tmpl w:val="50122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16AAC"/>
    <w:multiLevelType w:val="hybridMultilevel"/>
    <w:tmpl w:val="1C08A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230A8"/>
    <w:multiLevelType w:val="hybridMultilevel"/>
    <w:tmpl w:val="B9BA9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9754E"/>
    <w:multiLevelType w:val="hybridMultilevel"/>
    <w:tmpl w:val="E7E85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A6B6F"/>
    <w:multiLevelType w:val="hybridMultilevel"/>
    <w:tmpl w:val="B82C2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9D6658"/>
    <w:multiLevelType w:val="hybridMultilevel"/>
    <w:tmpl w:val="17F8F9DC"/>
    <w:lvl w:ilvl="0" w:tplc="95FC8EFC">
      <w:start w:val="1"/>
      <w:numFmt w:val="bullet"/>
      <w:lvlText w:val=""/>
      <w:lvlJc w:val="left"/>
      <w:pPr>
        <w:tabs>
          <w:tab w:val="num" w:pos="567"/>
        </w:tabs>
        <w:ind w:left="567" w:hanging="454"/>
      </w:pPr>
      <w:rPr>
        <w:rFonts w:ascii="Symbol" w:hAnsi="Symbol" w:hint="default"/>
      </w:rPr>
    </w:lvl>
    <w:lvl w:ilvl="1" w:tplc="FCCCCFD0">
      <w:start w:val="1"/>
      <w:numFmt w:val="bullet"/>
      <w:lvlText w:val="o"/>
      <w:lvlJc w:val="left"/>
      <w:pPr>
        <w:tabs>
          <w:tab w:val="num" w:pos="1440"/>
        </w:tabs>
        <w:ind w:left="1440" w:hanging="360"/>
      </w:pPr>
      <w:rPr>
        <w:rFonts w:ascii="Courier New" w:hAnsi="Courier New" w:hint="default"/>
      </w:rPr>
    </w:lvl>
    <w:lvl w:ilvl="2" w:tplc="D416E342" w:tentative="1">
      <w:start w:val="1"/>
      <w:numFmt w:val="bullet"/>
      <w:lvlText w:val=""/>
      <w:lvlJc w:val="left"/>
      <w:pPr>
        <w:tabs>
          <w:tab w:val="num" w:pos="2160"/>
        </w:tabs>
        <w:ind w:left="2160" w:hanging="360"/>
      </w:pPr>
      <w:rPr>
        <w:rFonts w:ascii="Wingdings" w:hAnsi="Wingdings" w:hint="default"/>
      </w:rPr>
    </w:lvl>
    <w:lvl w:ilvl="3" w:tplc="FB7A3B5C" w:tentative="1">
      <w:start w:val="1"/>
      <w:numFmt w:val="bullet"/>
      <w:lvlText w:val=""/>
      <w:lvlJc w:val="left"/>
      <w:pPr>
        <w:tabs>
          <w:tab w:val="num" w:pos="2880"/>
        </w:tabs>
        <w:ind w:left="2880" w:hanging="360"/>
      </w:pPr>
      <w:rPr>
        <w:rFonts w:ascii="Symbol" w:hAnsi="Symbol" w:hint="default"/>
      </w:rPr>
    </w:lvl>
    <w:lvl w:ilvl="4" w:tplc="889AF696" w:tentative="1">
      <w:start w:val="1"/>
      <w:numFmt w:val="bullet"/>
      <w:lvlText w:val="o"/>
      <w:lvlJc w:val="left"/>
      <w:pPr>
        <w:tabs>
          <w:tab w:val="num" w:pos="3600"/>
        </w:tabs>
        <w:ind w:left="3600" w:hanging="360"/>
      </w:pPr>
      <w:rPr>
        <w:rFonts w:ascii="Courier New" w:hAnsi="Courier New" w:hint="default"/>
      </w:rPr>
    </w:lvl>
    <w:lvl w:ilvl="5" w:tplc="A41413A4" w:tentative="1">
      <w:start w:val="1"/>
      <w:numFmt w:val="bullet"/>
      <w:lvlText w:val=""/>
      <w:lvlJc w:val="left"/>
      <w:pPr>
        <w:tabs>
          <w:tab w:val="num" w:pos="4320"/>
        </w:tabs>
        <w:ind w:left="4320" w:hanging="360"/>
      </w:pPr>
      <w:rPr>
        <w:rFonts w:ascii="Wingdings" w:hAnsi="Wingdings" w:hint="default"/>
      </w:rPr>
    </w:lvl>
    <w:lvl w:ilvl="6" w:tplc="EA0C8D62" w:tentative="1">
      <w:start w:val="1"/>
      <w:numFmt w:val="bullet"/>
      <w:lvlText w:val=""/>
      <w:lvlJc w:val="left"/>
      <w:pPr>
        <w:tabs>
          <w:tab w:val="num" w:pos="5040"/>
        </w:tabs>
        <w:ind w:left="5040" w:hanging="360"/>
      </w:pPr>
      <w:rPr>
        <w:rFonts w:ascii="Symbol" w:hAnsi="Symbol" w:hint="default"/>
      </w:rPr>
    </w:lvl>
    <w:lvl w:ilvl="7" w:tplc="526A281C" w:tentative="1">
      <w:start w:val="1"/>
      <w:numFmt w:val="bullet"/>
      <w:lvlText w:val="o"/>
      <w:lvlJc w:val="left"/>
      <w:pPr>
        <w:tabs>
          <w:tab w:val="num" w:pos="5760"/>
        </w:tabs>
        <w:ind w:left="5760" w:hanging="360"/>
      </w:pPr>
      <w:rPr>
        <w:rFonts w:ascii="Courier New" w:hAnsi="Courier New" w:hint="default"/>
      </w:rPr>
    </w:lvl>
    <w:lvl w:ilvl="8" w:tplc="11C064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4BE54AFE"/>
    <w:multiLevelType w:val="hybridMultilevel"/>
    <w:tmpl w:val="B1A46980"/>
    <w:lvl w:ilvl="0" w:tplc="385EF144">
      <w:start w:val="8"/>
      <w:numFmt w:val="decimal"/>
      <w:lvlText w:val="%1."/>
      <w:lvlJc w:val="left"/>
      <w:pPr>
        <w:tabs>
          <w:tab w:val="num" w:pos="570"/>
        </w:tabs>
        <w:ind w:left="570" w:hanging="570"/>
      </w:pPr>
      <w:rPr>
        <w:rFonts w:hint="default"/>
      </w:rPr>
    </w:lvl>
    <w:lvl w:ilvl="1" w:tplc="824C1A54" w:tentative="1">
      <w:start w:val="1"/>
      <w:numFmt w:val="lowerLetter"/>
      <w:lvlText w:val="%2."/>
      <w:lvlJc w:val="left"/>
      <w:pPr>
        <w:tabs>
          <w:tab w:val="num" w:pos="1080"/>
        </w:tabs>
        <w:ind w:left="1080" w:hanging="360"/>
      </w:pPr>
    </w:lvl>
    <w:lvl w:ilvl="2" w:tplc="92B00F46" w:tentative="1">
      <w:start w:val="1"/>
      <w:numFmt w:val="lowerRoman"/>
      <w:lvlText w:val="%3."/>
      <w:lvlJc w:val="right"/>
      <w:pPr>
        <w:tabs>
          <w:tab w:val="num" w:pos="1800"/>
        </w:tabs>
        <w:ind w:left="1800" w:hanging="180"/>
      </w:pPr>
    </w:lvl>
    <w:lvl w:ilvl="3" w:tplc="3D8A6374" w:tentative="1">
      <w:start w:val="1"/>
      <w:numFmt w:val="decimal"/>
      <w:lvlText w:val="%4."/>
      <w:lvlJc w:val="left"/>
      <w:pPr>
        <w:tabs>
          <w:tab w:val="num" w:pos="2520"/>
        </w:tabs>
        <w:ind w:left="2520" w:hanging="360"/>
      </w:pPr>
    </w:lvl>
    <w:lvl w:ilvl="4" w:tplc="DB585A12" w:tentative="1">
      <w:start w:val="1"/>
      <w:numFmt w:val="lowerLetter"/>
      <w:lvlText w:val="%5."/>
      <w:lvlJc w:val="left"/>
      <w:pPr>
        <w:tabs>
          <w:tab w:val="num" w:pos="3240"/>
        </w:tabs>
        <w:ind w:left="3240" w:hanging="360"/>
      </w:pPr>
    </w:lvl>
    <w:lvl w:ilvl="5" w:tplc="C47A12AA" w:tentative="1">
      <w:start w:val="1"/>
      <w:numFmt w:val="lowerRoman"/>
      <w:lvlText w:val="%6."/>
      <w:lvlJc w:val="right"/>
      <w:pPr>
        <w:tabs>
          <w:tab w:val="num" w:pos="3960"/>
        </w:tabs>
        <w:ind w:left="3960" w:hanging="180"/>
      </w:pPr>
    </w:lvl>
    <w:lvl w:ilvl="6" w:tplc="5FACADAE" w:tentative="1">
      <w:start w:val="1"/>
      <w:numFmt w:val="decimal"/>
      <w:lvlText w:val="%7."/>
      <w:lvlJc w:val="left"/>
      <w:pPr>
        <w:tabs>
          <w:tab w:val="num" w:pos="4680"/>
        </w:tabs>
        <w:ind w:left="4680" w:hanging="360"/>
      </w:pPr>
    </w:lvl>
    <w:lvl w:ilvl="7" w:tplc="82DCC396" w:tentative="1">
      <w:start w:val="1"/>
      <w:numFmt w:val="lowerLetter"/>
      <w:lvlText w:val="%8."/>
      <w:lvlJc w:val="left"/>
      <w:pPr>
        <w:tabs>
          <w:tab w:val="num" w:pos="5400"/>
        </w:tabs>
        <w:ind w:left="5400" w:hanging="360"/>
      </w:pPr>
    </w:lvl>
    <w:lvl w:ilvl="8" w:tplc="D0B2CD26" w:tentative="1">
      <w:start w:val="1"/>
      <w:numFmt w:val="lowerRoman"/>
      <w:lvlText w:val="%9."/>
      <w:lvlJc w:val="right"/>
      <w:pPr>
        <w:tabs>
          <w:tab w:val="num" w:pos="6120"/>
        </w:tabs>
        <w:ind w:left="6120" w:hanging="180"/>
      </w:pPr>
    </w:lvl>
  </w:abstractNum>
  <w:abstractNum w:abstractNumId="26" w15:restartNumberingAfterBreak="0">
    <w:nsid w:val="4DA15B1E"/>
    <w:multiLevelType w:val="hybridMultilevel"/>
    <w:tmpl w:val="A6BA9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15EA8"/>
    <w:multiLevelType w:val="hybridMultilevel"/>
    <w:tmpl w:val="85242A24"/>
    <w:lvl w:ilvl="0" w:tplc="8198015E">
      <w:start w:val="4"/>
      <w:numFmt w:val="decimal"/>
      <w:lvlText w:val="%1."/>
      <w:lvlJc w:val="left"/>
      <w:pPr>
        <w:tabs>
          <w:tab w:val="num" w:pos="720"/>
        </w:tabs>
        <w:ind w:left="720" w:hanging="360"/>
      </w:pPr>
      <w:rPr>
        <w:rFonts w:hint="default"/>
      </w:rPr>
    </w:lvl>
    <w:lvl w:ilvl="1" w:tplc="ED1CD2B8" w:tentative="1">
      <w:start w:val="1"/>
      <w:numFmt w:val="lowerLetter"/>
      <w:lvlText w:val="%2."/>
      <w:lvlJc w:val="left"/>
      <w:pPr>
        <w:tabs>
          <w:tab w:val="num" w:pos="1440"/>
        </w:tabs>
        <w:ind w:left="1440" w:hanging="360"/>
      </w:pPr>
    </w:lvl>
    <w:lvl w:ilvl="2" w:tplc="58C866E4" w:tentative="1">
      <w:start w:val="1"/>
      <w:numFmt w:val="lowerRoman"/>
      <w:lvlText w:val="%3."/>
      <w:lvlJc w:val="right"/>
      <w:pPr>
        <w:tabs>
          <w:tab w:val="num" w:pos="2160"/>
        </w:tabs>
        <w:ind w:left="2160" w:hanging="180"/>
      </w:pPr>
    </w:lvl>
    <w:lvl w:ilvl="3" w:tplc="BB7C1F6C" w:tentative="1">
      <w:start w:val="1"/>
      <w:numFmt w:val="decimal"/>
      <w:lvlText w:val="%4."/>
      <w:lvlJc w:val="left"/>
      <w:pPr>
        <w:tabs>
          <w:tab w:val="num" w:pos="2880"/>
        </w:tabs>
        <w:ind w:left="2880" w:hanging="360"/>
      </w:pPr>
    </w:lvl>
    <w:lvl w:ilvl="4" w:tplc="D306328A" w:tentative="1">
      <w:start w:val="1"/>
      <w:numFmt w:val="lowerLetter"/>
      <w:lvlText w:val="%5."/>
      <w:lvlJc w:val="left"/>
      <w:pPr>
        <w:tabs>
          <w:tab w:val="num" w:pos="3600"/>
        </w:tabs>
        <w:ind w:left="3600" w:hanging="360"/>
      </w:pPr>
    </w:lvl>
    <w:lvl w:ilvl="5" w:tplc="2312E25C" w:tentative="1">
      <w:start w:val="1"/>
      <w:numFmt w:val="lowerRoman"/>
      <w:lvlText w:val="%6."/>
      <w:lvlJc w:val="right"/>
      <w:pPr>
        <w:tabs>
          <w:tab w:val="num" w:pos="4320"/>
        </w:tabs>
        <w:ind w:left="4320" w:hanging="180"/>
      </w:pPr>
    </w:lvl>
    <w:lvl w:ilvl="6" w:tplc="96C0D3AA" w:tentative="1">
      <w:start w:val="1"/>
      <w:numFmt w:val="decimal"/>
      <w:lvlText w:val="%7."/>
      <w:lvlJc w:val="left"/>
      <w:pPr>
        <w:tabs>
          <w:tab w:val="num" w:pos="5040"/>
        </w:tabs>
        <w:ind w:left="5040" w:hanging="360"/>
      </w:pPr>
    </w:lvl>
    <w:lvl w:ilvl="7" w:tplc="AC4C9430" w:tentative="1">
      <w:start w:val="1"/>
      <w:numFmt w:val="lowerLetter"/>
      <w:lvlText w:val="%8."/>
      <w:lvlJc w:val="left"/>
      <w:pPr>
        <w:tabs>
          <w:tab w:val="num" w:pos="5760"/>
        </w:tabs>
        <w:ind w:left="5760" w:hanging="360"/>
      </w:pPr>
    </w:lvl>
    <w:lvl w:ilvl="8" w:tplc="7130A700" w:tentative="1">
      <w:start w:val="1"/>
      <w:numFmt w:val="lowerRoman"/>
      <w:lvlText w:val="%9."/>
      <w:lvlJc w:val="right"/>
      <w:pPr>
        <w:tabs>
          <w:tab w:val="num" w:pos="6480"/>
        </w:tabs>
        <w:ind w:left="6480" w:hanging="180"/>
      </w:pPr>
    </w:lvl>
  </w:abstractNum>
  <w:abstractNum w:abstractNumId="28"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9" w15:restartNumberingAfterBreak="0">
    <w:nsid w:val="5C404970"/>
    <w:multiLevelType w:val="hybridMultilevel"/>
    <w:tmpl w:val="4D182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05F5B"/>
    <w:multiLevelType w:val="hybridMultilevel"/>
    <w:tmpl w:val="FC26E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15:restartNumberingAfterBreak="0">
    <w:nsid w:val="6AAA57E2"/>
    <w:multiLevelType w:val="hybridMultilevel"/>
    <w:tmpl w:val="7D326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21B13"/>
    <w:multiLevelType w:val="multilevel"/>
    <w:tmpl w:val="0F8CD6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4F3A43"/>
    <w:multiLevelType w:val="hybridMultilevel"/>
    <w:tmpl w:val="44EA2960"/>
    <w:lvl w:ilvl="0" w:tplc="63FC1134">
      <w:start w:val="5"/>
      <w:numFmt w:val="decimal"/>
      <w:lvlText w:val="%1."/>
      <w:lvlJc w:val="left"/>
      <w:pPr>
        <w:tabs>
          <w:tab w:val="num" w:pos="930"/>
        </w:tabs>
        <w:ind w:left="930" w:hanging="570"/>
      </w:pPr>
      <w:rPr>
        <w:rFonts w:hint="default"/>
        <w:color w:val="auto"/>
      </w:rPr>
    </w:lvl>
    <w:lvl w:ilvl="1" w:tplc="5966F3E6" w:tentative="1">
      <w:start w:val="1"/>
      <w:numFmt w:val="lowerLetter"/>
      <w:lvlText w:val="%2."/>
      <w:lvlJc w:val="left"/>
      <w:pPr>
        <w:tabs>
          <w:tab w:val="num" w:pos="1440"/>
        </w:tabs>
        <w:ind w:left="1440" w:hanging="360"/>
      </w:pPr>
    </w:lvl>
    <w:lvl w:ilvl="2" w:tplc="85EE9B1C" w:tentative="1">
      <w:start w:val="1"/>
      <w:numFmt w:val="lowerRoman"/>
      <w:lvlText w:val="%3."/>
      <w:lvlJc w:val="right"/>
      <w:pPr>
        <w:tabs>
          <w:tab w:val="num" w:pos="2160"/>
        </w:tabs>
        <w:ind w:left="2160" w:hanging="180"/>
      </w:pPr>
    </w:lvl>
    <w:lvl w:ilvl="3" w:tplc="EF508528" w:tentative="1">
      <w:start w:val="1"/>
      <w:numFmt w:val="decimal"/>
      <w:lvlText w:val="%4."/>
      <w:lvlJc w:val="left"/>
      <w:pPr>
        <w:tabs>
          <w:tab w:val="num" w:pos="2880"/>
        </w:tabs>
        <w:ind w:left="2880" w:hanging="360"/>
      </w:pPr>
    </w:lvl>
    <w:lvl w:ilvl="4" w:tplc="EAA2F4E0" w:tentative="1">
      <w:start w:val="1"/>
      <w:numFmt w:val="lowerLetter"/>
      <w:lvlText w:val="%5."/>
      <w:lvlJc w:val="left"/>
      <w:pPr>
        <w:tabs>
          <w:tab w:val="num" w:pos="3600"/>
        </w:tabs>
        <w:ind w:left="3600" w:hanging="360"/>
      </w:pPr>
    </w:lvl>
    <w:lvl w:ilvl="5" w:tplc="BB7621DA" w:tentative="1">
      <w:start w:val="1"/>
      <w:numFmt w:val="lowerRoman"/>
      <w:lvlText w:val="%6."/>
      <w:lvlJc w:val="right"/>
      <w:pPr>
        <w:tabs>
          <w:tab w:val="num" w:pos="4320"/>
        </w:tabs>
        <w:ind w:left="4320" w:hanging="180"/>
      </w:pPr>
    </w:lvl>
    <w:lvl w:ilvl="6" w:tplc="0DF23A34" w:tentative="1">
      <w:start w:val="1"/>
      <w:numFmt w:val="decimal"/>
      <w:lvlText w:val="%7."/>
      <w:lvlJc w:val="left"/>
      <w:pPr>
        <w:tabs>
          <w:tab w:val="num" w:pos="5040"/>
        </w:tabs>
        <w:ind w:left="5040" w:hanging="360"/>
      </w:pPr>
    </w:lvl>
    <w:lvl w:ilvl="7" w:tplc="24B0FA82" w:tentative="1">
      <w:start w:val="1"/>
      <w:numFmt w:val="lowerLetter"/>
      <w:lvlText w:val="%8."/>
      <w:lvlJc w:val="left"/>
      <w:pPr>
        <w:tabs>
          <w:tab w:val="num" w:pos="5760"/>
        </w:tabs>
        <w:ind w:left="5760" w:hanging="360"/>
      </w:pPr>
    </w:lvl>
    <w:lvl w:ilvl="8" w:tplc="0D48CD06" w:tentative="1">
      <w:start w:val="1"/>
      <w:numFmt w:val="lowerRoman"/>
      <w:lvlText w:val="%9."/>
      <w:lvlJc w:val="right"/>
      <w:pPr>
        <w:tabs>
          <w:tab w:val="num" w:pos="6480"/>
        </w:tabs>
        <w:ind w:left="6480" w:hanging="180"/>
      </w:pPr>
    </w:lvl>
  </w:abstractNum>
  <w:abstractNum w:abstractNumId="38"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15:restartNumberingAfterBreak="0">
    <w:nsid w:val="762709E1"/>
    <w:multiLevelType w:val="hybridMultilevel"/>
    <w:tmpl w:val="440A813E"/>
    <w:lvl w:ilvl="0" w:tplc="1772E308">
      <w:start w:val="4"/>
      <w:numFmt w:val="decimal"/>
      <w:lvlText w:val="%1."/>
      <w:lvlJc w:val="left"/>
      <w:pPr>
        <w:tabs>
          <w:tab w:val="num" w:pos="720"/>
        </w:tabs>
        <w:ind w:left="720" w:hanging="360"/>
      </w:pPr>
      <w:rPr>
        <w:rFonts w:hint="default"/>
      </w:rPr>
    </w:lvl>
    <w:lvl w:ilvl="1" w:tplc="32CAC74E" w:tentative="1">
      <w:start w:val="1"/>
      <w:numFmt w:val="lowerLetter"/>
      <w:lvlText w:val="%2."/>
      <w:lvlJc w:val="left"/>
      <w:pPr>
        <w:tabs>
          <w:tab w:val="num" w:pos="1440"/>
        </w:tabs>
        <w:ind w:left="1440" w:hanging="360"/>
      </w:pPr>
    </w:lvl>
    <w:lvl w:ilvl="2" w:tplc="8456537A" w:tentative="1">
      <w:start w:val="1"/>
      <w:numFmt w:val="lowerRoman"/>
      <w:lvlText w:val="%3."/>
      <w:lvlJc w:val="right"/>
      <w:pPr>
        <w:tabs>
          <w:tab w:val="num" w:pos="2160"/>
        </w:tabs>
        <w:ind w:left="2160" w:hanging="180"/>
      </w:pPr>
    </w:lvl>
    <w:lvl w:ilvl="3" w:tplc="FBA20536" w:tentative="1">
      <w:start w:val="1"/>
      <w:numFmt w:val="decimal"/>
      <w:lvlText w:val="%4."/>
      <w:lvlJc w:val="left"/>
      <w:pPr>
        <w:tabs>
          <w:tab w:val="num" w:pos="2880"/>
        </w:tabs>
        <w:ind w:left="2880" w:hanging="360"/>
      </w:pPr>
    </w:lvl>
    <w:lvl w:ilvl="4" w:tplc="4E684B9A" w:tentative="1">
      <w:start w:val="1"/>
      <w:numFmt w:val="lowerLetter"/>
      <w:lvlText w:val="%5."/>
      <w:lvlJc w:val="left"/>
      <w:pPr>
        <w:tabs>
          <w:tab w:val="num" w:pos="3600"/>
        </w:tabs>
        <w:ind w:left="3600" w:hanging="360"/>
      </w:pPr>
    </w:lvl>
    <w:lvl w:ilvl="5" w:tplc="E5046F50" w:tentative="1">
      <w:start w:val="1"/>
      <w:numFmt w:val="lowerRoman"/>
      <w:lvlText w:val="%6."/>
      <w:lvlJc w:val="right"/>
      <w:pPr>
        <w:tabs>
          <w:tab w:val="num" w:pos="4320"/>
        </w:tabs>
        <w:ind w:left="4320" w:hanging="180"/>
      </w:pPr>
    </w:lvl>
    <w:lvl w:ilvl="6" w:tplc="D8F616B4" w:tentative="1">
      <w:start w:val="1"/>
      <w:numFmt w:val="decimal"/>
      <w:lvlText w:val="%7."/>
      <w:lvlJc w:val="left"/>
      <w:pPr>
        <w:tabs>
          <w:tab w:val="num" w:pos="5040"/>
        </w:tabs>
        <w:ind w:left="5040" w:hanging="360"/>
      </w:pPr>
    </w:lvl>
    <w:lvl w:ilvl="7" w:tplc="4AD2D4AC" w:tentative="1">
      <w:start w:val="1"/>
      <w:numFmt w:val="lowerLetter"/>
      <w:lvlText w:val="%8."/>
      <w:lvlJc w:val="left"/>
      <w:pPr>
        <w:tabs>
          <w:tab w:val="num" w:pos="5760"/>
        </w:tabs>
        <w:ind w:left="5760" w:hanging="360"/>
      </w:pPr>
    </w:lvl>
    <w:lvl w:ilvl="8" w:tplc="5BE82E8C" w:tentative="1">
      <w:start w:val="1"/>
      <w:numFmt w:val="lowerRoman"/>
      <w:lvlText w:val="%9."/>
      <w:lvlJc w:val="right"/>
      <w:pPr>
        <w:tabs>
          <w:tab w:val="num" w:pos="6480"/>
        </w:tabs>
        <w:ind w:left="6480" w:hanging="180"/>
      </w:pPr>
    </w:lvl>
  </w:abstractNum>
  <w:abstractNum w:abstractNumId="40" w15:restartNumberingAfterBreak="0">
    <w:nsid w:val="76D75A72"/>
    <w:multiLevelType w:val="hybridMultilevel"/>
    <w:tmpl w:val="337A5A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93422"/>
    <w:multiLevelType w:val="hybridMultilevel"/>
    <w:tmpl w:val="740ED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90FD8"/>
    <w:multiLevelType w:val="hybridMultilevel"/>
    <w:tmpl w:val="4A507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B753A"/>
    <w:multiLevelType w:val="hybridMultilevel"/>
    <w:tmpl w:val="11DA278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078CB"/>
    <w:multiLevelType w:val="hybridMultilevel"/>
    <w:tmpl w:val="985C8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B52F6"/>
    <w:multiLevelType w:val="hybridMultilevel"/>
    <w:tmpl w:val="B7EC6880"/>
    <w:lvl w:ilvl="0" w:tplc="C9FA212A">
      <w:start w:val="1"/>
      <w:numFmt w:val="decimal"/>
      <w:lvlText w:val="%1."/>
      <w:lvlJc w:val="left"/>
      <w:pPr>
        <w:tabs>
          <w:tab w:val="num" w:pos="360"/>
        </w:tabs>
        <w:ind w:left="360" w:hanging="360"/>
      </w:pPr>
    </w:lvl>
    <w:lvl w:ilvl="1" w:tplc="C63EC8A4" w:tentative="1">
      <w:start w:val="1"/>
      <w:numFmt w:val="lowerLetter"/>
      <w:lvlText w:val="%2."/>
      <w:lvlJc w:val="left"/>
      <w:pPr>
        <w:tabs>
          <w:tab w:val="num" w:pos="1080"/>
        </w:tabs>
        <w:ind w:left="1080" w:hanging="360"/>
      </w:pPr>
    </w:lvl>
    <w:lvl w:ilvl="2" w:tplc="E14A8196" w:tentative="1">
      <w:start w:val="1"/>
      <w:numFmt w:val="lowerRoman"/>
      <w:lvlText w:val="%3."/>
      <w:lvlJc w:val="right"/>
      <w:pPr>
        <w:tabs>
          <w:tab w:val="num" w:pos="1800"/>
        </w:tabs>
        <w:ind w:left="1800" w:hanging="180"/>
      </w:pPr>
    </w:lvl>
    <w:lvl w:ilvl="3" w:tplc="CF0C8274" w:tentative="1">
      <w:start w:val="1"/>
      <w:numFmt w:val="decimal"/>
      <w:lvlText w:val="%4."/>
      <w:lvlJc w:val="left"/>
      <w:pPr>
        <w:tabs>
          <w:tab w:val="num" w:pos="2520"/>
        </w:tabs>
        <w:ind w:left="2520" w:hanging="360"/>
      </w:pPr>
    </w:lvl>
    <w:lvl w:ilvl="4" w:tplc="44B42E9A" w:tentative="1">
      <w:start w:val="1"/>
      <w:numFmt w:val="lowerLetter"/>
      <w:lvlText w:val="%5."/>
      <w:lvlJc w:val="left"/>
      <w:pPr>
        <w:tabs>
          <w:tab w:val="num" w:pos="3240"/>
        </w:tabs>
        <w:ind w:left="3240" w:hanging="360"/>
      </w:pPr>
    </w:lvl>
    <w:lvl w:ilvl="5" w:tplc="55A611BC" w:tentative="1">
      <w:start w:val="1"/>
      <w:numFmt w:val="lowerRoman"/>
      <w:lvlText w:val="%6."/>
      <w:lvlJc w:val="right"/>
      <w:pPr>
        <w:tabs>
          <w:tab w:val="num" w:pos="3960"/>
        </w:tabs>
        <w:ind w:left="3960" w:hanging="180"/>
      </w:pPr>
    </w:lvl>
    <w:lvl w:ilvl="6" w:tplc="CBFC407C" w:tentative="1">
      <w:start w:val="1"/>
      <w:numFmt w:val="decimal"/>
      <w:lvlText w:val="%7."/>
      <w:lvlJc w:val="left"/>
      <w:pPr>
        <w:tabs>
          <w:tab w:val="num" w:pos="4680"/>
        </w:tabs>
        <w:ind w:left="4680" w:hanging="360"/>
      </w:pPr>
    </w:lvl>
    <w:lvl w:ilvl="7" w:tplc="41E2CE0A" w:tentative="1">
      <w:start w:val="1"/>
      <w:numFmt w:val="lowerLetter"/>
      <w:lvlText w:val="%8."/>
      <w:lvlJc w:val="left"/>
      <w:pPr>
        <w:tabs>
          <w:tab w:val="num" w:pos="5400"/>
        </w:tabs>
        <w:ind w:left="5400" w:hanging="360"/>
      </w:pPr>
    </w:lvl>
    <w:lvl w:ilvl="8" w:tplc="099E6298"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6"/>
  </w:num>
  <w:num w:numId="5">
    <w:abstractNumId w:val="20"/>
  </w:num>
  <w:num w:numId="6">
    <w:abstractNumId w:val="28"/>
  </w:num>
  <w:num w:numId="7">
    <w:abstractNumId w:val="24"/>
  </w:num>
  <w:num w:numId="8">
    <w:abstractNumId w:val="9"/>
  </w:num>
  <w:num w:numId="9">
    <w:abstractNumId w:val="33"/>
  </w:num>
  <w:num w:numId="10">
    <w:abstractNumId w:val="25"/>
  </w:num>
  <w:num w:numId="11">
    <w:abstractNumId w:val="37"/>
  </w:num>
  <w:num w:numId="12">
    <w:abstractNumId w:val="5"/>
  </w:num>
  <w:num w:numId="13">
    <w:abstractNumId w:val="14"/>
  </w:num>
  <w:num w:numId="14">
    <w:abstractNumId w:val="45"/>
  </w:num>
  <w:num w:numId="15">
    <w:abstractNumId w:val="39"/>
  </w:num>
  <w:num w:numId="16">
    <w:abstractNumId w:val="27"/>
  </w:num>
  <w:num w:numId="17">
    <w:abstractNumId w:val="23"/>
  </w:num>
  <w:num w:numId="18">
    <w:abstractNumId w:val="4"/>
  </w:num>
  <w:num w:numId="19">
    <w:abstractNumId w:val="12"/>
  </w:num>
  <w:num w:numId="20">
    <w:abstractNumId w:val="21"/>
  </w:num>
  <w:num w:numId="21">
    <w:abstractNumId w:val="31"/>
  </w:num>
  <w:num w:numId="22">
    <w:abstractNumId w:val="30"/>
  </w:num>
  <w:num w:numId="23">
    <w:abstractNumId w:val="11"/>
  </w:num>
  <w:num w:numId="24">
    <w:abstractNumId w:val="7"/>
  </w:num>
  <w:num w:numId="25">
    <w:abstractNumId w:val="1"/>
  </w:num>
  <w:num w:numId="26">
    <w:abstractNumId w:val="35"/>
  </w:num>
  <w:num w:numId="27">
    <w:abstractNumId w:val="8"/>
  </w:num>
  <w:num w:numId="28">
    <w:abstractNumId w:val="43"/>
  </w:num>
  <w:num w:numId="29">
    <w:abstractNumId w:val="32"/>
  </w:num>
  <w:num w:numId="30">
    <w:abstractNumId w:val="13"/>
  </w:num>
  <w:num w:numId="31">
    <w:abstractNumId w:val="17"/>
  </w:num>
  <w:num w:numId="32">
    <w:abstractNumId w:val="44"/>
  </w:num>
  <w:num w:numId="33">
    <w:abstractNumId w:val="2"/>
  </w:num>
  <w:num w:numId="34">
    <w:abstractNumId w:val="26"/>
  </w:num>
  <w:num w:numId="35">
    <w:abstractNumId w:val="22"/>
  </w:num>
  <w:num w:numId="36">
    <w:abstractNumId w:val="41"/>
  </w:num>
  <w:num w:numId="37">
    <w:abstractNumId w:val="16"/>
  </w:num>
  <w:num w:numId="38">
    <w:abstractNumId w:val="42"/>
  </w:num>
  <w:num w:numId="39">
    <w:abstractNumId w:val="6"/>
  </w:num>
  <w:num w:numId="40">
    <w:abstractNumId w:val="10"/>
  </w:num>
  <w:num w:numId="41">
    <w:abstractNumId w:val="15"/>
  </w:num>
  <w:num w:numId="42">
    <w:abstractNumId w:val="29"/>
  </w:num>
  <w:num w:numId="43">
    <w:abstractNumId w:val="18"/>
  </w:num>
  <w:num w:numId="44">
    <w:abstractNumId w:val="40"/>
  </w:num>
  <w:num w:numId="45">
    <w:abstractNumId w:val="34"/>
  </w:num>
  <w:num w:numId="46">
    <w:abstractNumId w:val="1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07027"/>
    <w:rsid w:val="00010846"/>
    <w:rsid w:val="00012FAC"/>
    <w:rsid w:val="00015A1A"/>
    <w:rsid w:val="000174DB"/>
    <w:rsid w:val="00017E16"/>
    <w:rsid w:val="00020C95"/>
    <w:rsid w:val="000235FD"/>
    <w:rsid w:val="00033061"/>
    <w:rsid w:val="00033516"/>
    <w:rsid w:val="00046A12"/>
    <w:rsid w:val="000535C0"/>
    <w:rsid w:val="000660B0"/>
    <w:rsid w:val="00066EE7"/>
    <w:rsid w:val="00067D94"/>
    <w:rsid w:val="000802BB"/>
    <w:rsid w:val="00081F8A"/>
    <w:rsid w:val="000820DB"/>
    <w:rsid w:val="00083B2F"/>
    <w:rsid w:val="00094F44"/>
    <w:rsid w:val="000A5FA6"/>
    <w:rsid w:val="000B163A"/>
    <w:rsid w:val="000B367B"/>
    <w:rsid w:val="000B7C6A"/>
    <w:rsid w:val="000C60AA"/>
    <w:rsid w:val="000D73ED"/>
    <w:rsid w:val="000D7A48"/>
    <w:rsid w:val="000E09A7"/>
    <w:rsid w:val="000E6CD5"/>
    <w:rsid w:val="000E72E4"/>
    <w:rsid w:val="000F4516"/>
    <w:rsid w:val="000F6C63"/>
    <w:rsid w:val="00106DE1"/>
    <w:rsid w:val="00113A9A"/>
    <w:rsid w:val="00117E6F"/>
    <w:rsid w:val="00121C5E"/>
    <w:rsid w:val="00124551"/>
    <w:rsid w:val="001269EA"/>
    <w:rsid w:val="00127324"/>
    <w:rsid w:val="00127EEF"/>
    <w:rsid w:val="00132092"/>
    <w:rsid w:val="00135C1E"/>
    <w:rsid w:val="0014396C"/>
    <w:rsid w:val="00151BE6"/>
    <w:rsid w:val="00152D0E"/>
    <w:rsid w:val="0016329F"/>
    <w:rsid w:val="00165887"/>
    <w:rsid w:val="00170D2C"/>
    <w:rsid w:val="00171350"/>
    <w:rsid w:val="0017355A"/>
    <w:rsid w:val="00176DD3"/>
    <w:rsid w:val="00184F63"/>
    <w:rsid w:val="00185F38"/>
    <w:rsid w:val="001A3E18"/>
    <w:rsid w:val="001B3C0B"/>
    <w:rsid w:val="001C35FC"/>
    <w:rsid w:val="001D0FE7"/>
    <w:rsid w:val="001D37B5"/>
    <w:rsid w:val="001D59DA"/>
    <w:rsid w:val="001E1B1C"/>
    <w:rsid w:val="001F0879"/>
    <w:rsid w:val="001F12E7"/>
    <w:rsid w:val="001F1B00"/>
    <w:rsid w:val="001F5487"/>
    <w:rsid w:val="00200E68"/>
    <w:rsid w:val="00203B70"/>
    <w:rsid w:val="00204C37"/>
    <w:rsid w:val="0020587A"/>
    <w:rsid w:val="00223366"/>
    <w:rsid w:val="002362A1"/>
    <w:rsid w:val="0024075A"/>
    <w:rsid w:val="00246CA3"/>
    <w:rsid w:val="00251CE3"/>
    <w:rsid w:val="00252E94"/>
    <w:rsid w:val="002556F9"/>
    <w:rsid w:val="00261D24"/>
    <w:rsid w:val="00265593"/>
    <w:rsid w:val="00273FDB"/>
    <w:rsid w:val="0027668E"/>
    <w:rsid w:val="00280EF5"/>
    <w:rsid w:val="00282286"/>
    <w:rsid w:val="002A02BD"/>
    <w:rsid w:val="002A1566"/>
    <w:rsid w:val="002A61E1"/>
    <w:rsid w:val="002B3B2E"/>
    <w:rsid w:val="002B7FDE"/>
    <w:rsid w:val="002C13EC"/>
    <w:rsid w:val="002C629B"/>
    <w:rsid w:val="002C784E"/>
    <w:rsid w:val="002D3ABE"/>
    <w:rsid w:val="002D4BF5"/>
    <w:rsid w:val="002F3101"/>
    <w:rsid w:val="002F429A"/>
    <w:rsid w:val="00304243"/>
    <w:rsid w:val="0030432C"/>
    <w:rsid w:val="00320750"/>
    <w:rsid w:val="00320AF5"/>
    <w:rsid w:val="00331057"/>
    <w:rsid w:val="00335456"/>
    <w:rsid w:val="00344AA6"/>
    <w:rsid w:val="0035022C"/>
    <w:rsid w:val="0035750F"/>
    <w:rsid w:val="003642F4"/>
    <w:rsid w:val="00364DCD"/>
    <w:rsid w:val="003662BE"/>
    <w:rsid w:val="00366581"/>
    <w:rsid w:val="00384EF9"/>
    <w:rsid w:val="00392D1F"/>
    <w:rsid w:val="00397B67"/>
    <w:rsid w:val="003A34E9"/>
    <w:rsid w:val="003B0FF0"/>
    <w:rsid w:val="003B2E2C"/>
    <w:rsid w:val="003B5C38"/>
    <w:rsid w:val="003C0ED4"/>
    <w:rsid w:val="003C7227"/>
    <w:rsid w:val="003E79A7"/>
    <w:rsid w:val="003F45AD"/>
    <w:rsid w:val="003F4922"/>
    <w:rsid w:val="003F5D01"/>
    <w:rsid w:val="003F6DD2"/>
    <w:rsid w:val="0040795C"/>
    <w:rsid w:val="00413A30"/>
    <w:rsid w:val="00434CCE"/>
    <w:rsid w:val="00450C1E"/>
    <w:rsid w:val="0045126D"/>
    <w:rsid w:val="004537F8"/>
    <w:rsid w:val="00456979"/>
    <w:rsid w:val="00457F98"/>
    <w:rsid w:val="00465F40"/>
    <w:rsid w:val="0048297B"/>
    <w:rsid w:val="00487D7A"/>
    <w:rsid w:val="00493477"/>
    <w:rsid w:val="004936FA"/>
    <w:rsid w:val="004C1189"/>
    <w:rsid w:val="004D1120"/>
    <w:rsid w:val="004D591D"/>
    <w:rsid w:val="004E764D"/>
    <w:rsid w:val="00507519"/>
    <w:rsid w:val="00507727"/>
    <w:rsid w:val="0051084B"/>
    <w:rsid w:val="005125DD"/>
    <w:rsid w:val="00512A02"/>
    <w:rsid w:val="00524BD9"/>
    <w:rsid w:val="005317F7"/>
    <w:rsid w:val="005339ED"/>
    <w:rsid w:val="00551EC9"/>
    <w:rsid w:val="00552167"/>
    <w:rsid w:val="00554988"/>
    <w:rsid w:val="00554EBB"/>
    <w:rsid w:val="0055619A"/>
    <w:rsid w:val="00565B11"/>
    <w:rsid w:val="00570396"/>
    <w:rsid w:val="005716CA"/>
    <w:rsid w:val="00571F00"/>
    <w:rsid w:val="005742C8"/>
    <w:rsid w:val="0059231D"/>
    <w:rsid w:val="005935FB"/>
    <w:rsid w:val="00596D4B"/>
    <w:rsid w:val="005A1051"/>
    <w:rsid w:val="005A5B8A"/>
    <w:rsid w:val="005C1DC2"/>
    <w:rsid w:val="005C40FB"/>
    <w:rsid w:val="005C7C3A"/>
    <w:rsid w:val="005D4E04"/>
    <w:rsid w:val="005D4FF7"/>
    <w:rsid w:val="005E427C"/>
    <w:rsid w:val="005E6E3A"/>
    <w:rsid w:val="005E6E82"/>
    <w:rsid w:val="005F1CF7"/>
    <w:rsid w:val="005F1F82"/>
    <w:rsid w:val="00603F13"/>
    <w:rsid w:val="006071A4"/>
    <w:rsid w:val="00612CD2"/>
    <w:rsid w:val="00615B15"/>
    <w:rsid w:val="00626852"/>
    <w:rsid w:val="0063331F"/>
    <w:rsid w:val="00644D26"/>
    <w:rsid w:val="00645687"/>
    <w:rsid w:val="00646468"/>
    <w:rsid w:val="00652A1E"/>
    <w:rsid w:val="00652C87"/>
    <w:rsid w:val="0066619B"/>
    <w:rsid w:val="006727EE"/>
    <w:rsid w:val="0068129F"/>
    <w:rsid w:val="006826C9"/>
    <w:rsid w:val="006878EC"/>
    <w:rsid w:val="00696E97"/>
    <w:rsid w:val="006A4A77"/>
    <w:rsid w:val="006A5F83"/>
    <w:rsid w:val="006A6775"/>
    <w:rsid w:val="006B15A3"/>
    <w:rsid w:val="006B35EF"/>
    <w:rsid w:val="006B5B51"/>
    <w:rsid w:val="006B6344"/>
    <w:rsid w:val="006B7CCA"/>
    <w:rsid w:val="006B7DCE"/>
    <w:rsid w:val="006C4742"/>
    <w:rsid w:val="006C6704"/>
    <w:rsid w:val="006D26EF"/>
    <w:rsid w:val="006E77CB"/>
    <w:rsid w:val="006F07AE"/>
    <w:rsid w:val="006F7AA1"/>
    <w:rsid w:val="0071303C"/>
    <w:rsid w:val="0071456F"/>
    <w:rsid w:val="00720C04"/>
    <w:rsid w:val="00720F7C"/>
    <w:rsid w:val="007240AA"/>
    <w:rsid w:val="0072506A"/>
    <w:rsid w:val="00725859"/>
    <w:rsid w:val="007263FC"/>
    <w:rsid w:val="007419C2"/>
    <w:rsid w:val="0075570B"/>
    <w:rsid w:val="00762D78"/>
    <w:rsid w:val="00776F99"/>
    <w:rsid w:val="00784AF3"/>
    <w:rsid w:val="007A0102"/>
    <w:rsid w:val="007A559B"/>
    <w:rsid w:val="007B0320"/>
    <w:rsid w:val="007B120A"/>
    <w:rsid w:val="007B2648"/>
    <w:rsid w:val="007B5FED"/>
    <w:rsid w:val="007B627F"/>
    <w:rsid w:val="007C4449"/>
    <w:rsid w:val="007D0017"/>
    <w:rsid w:val="007D3E43"/>
    <w:rsid w:val="007E1441"/>
    <w:rsid w:val="00806DB9"/>
    <w:rsid w:val="00811464"/>
    <w:rsid w:val="00821D0A"/>
    <w:rsid w:val="0082246A"/>
    <w:rsid w:val="00846418"/>
    <w:rsid w:val="00846D85"/>
    <w:rsid w:val="0084776A"/>
    <w:rsid w:val="0085436C"/>
    <w:rsid w:val="00855AAD"/>
    <w:rsid w:val="00865607"/>
    <w:rsid w:val="00866B73"/>
    <w:rsid w:val="00870E9B"/>
    <w:rsid w:val="008806F9"/>
    <w:rsid w:val="0088508A"/>
    <w:rsid w:val="008871B0"/>
    <w:rsid w:val="00890495"/>
    <w:rsid w:val="008965E6"/>
    <w:rsid w:val="008A472F"/>
    <w:rsid w:val="008A6E13"/>
    <w:rsid w:val="008A76C2"/>
    <w:rsid w:val="008B1EB3"/>
    <w:rsid w:val="008B366D"/>
    <w:rsid w:val="008B49F2"/>
    <w:rsid w:val="008B4A52"/>
    <w:rsid w:val="008B60D8"/>
    <w:rsid w:val="008C59E2"/>
    <w:rsid w:val="008C5A6D"/>
    <w:rsid w:val="008E273A"/>
    <w:rsid w:val="008E5463"/>
    <w:rsid w:val="008F26B5"/>
    <w:rsid w:val="00901081"/>
    <w:rsid w:val="00910F65"/>
    <w:rsid w:val="0091143B"/>
    <w:rsid w:val="00911DDF"/>
    <w:rsid w:val="00915A9E"/>
    <w:rsid w:val="009255B9"/>
    <w:rsid w:val="00932E25"/>
    <w:rsid w:val="009356B2"/>
    <w:rsid w:val="009419C3"/>
    <w:rsid w:val="009419EF"/>
    <w:rsid w:val="009449F4"/>
    <w:rsid w:val="00952955"/>
    <w:rsid w:val="0096452F"/>
    <w:rsid w:val="0097039A"/>
    <w:rsid w:val="009710D6"/>
    <w:rsid w:val="009720DE"/>
    <w:rsid w:val="00972808"/>
    <w:rsid w:val="0097548A"/>
    <w:rsid w:val="00975CD2"/>
    <w:rsid w:val="00980C1E"/>
    <w:rsid w:val="00985101"/>
    <w:rsid w:val="0098512F"/>
    <w:rsid w:val="009865A6"/>
    <w:rsid w:val="00987C7B"/>
    <w:rsid w:val="00991E1D"/>
    <w:rsid w:val="009A106C"/>
    <w:rsid w:val="009A5E66"/>
    <w:rsid w:val="009B2ED6"/>
    <w:rsid w:val="009C137D"/>
    <w:rsid w:val="009D3F4F"/>
    <w:rsid w:val="009D4620"/>
    <w:rsid w:val="009D5AF7"/>
    <w:rsid w:val="009E70C5"/>
    <w:rsid w:val="009F63E9"/>
    <w:rsid w:val="009F66E2"/>
    <w:rsid w:val="00A12EA6"/>
    <w:rsid w:val="00A146BB"/>
    <w:rsid w:val="00A152BC"/>
    <w:rsid w:val="00A16429"/>
    <w:rsid w:val="00A170C5"/>
    <w:rsid w:val="00A31298"/>
    <w:rsid w:val="00A476B6"/>
    <w:rsid w:val="00A633C7"/>
    <w:rsid w:val="00A65EB6"/>
    <w:rsid w:val="00A71FBA"/>
    <w:rsid w:val="00A73BE3"/>
    <w:rsid w:val="00A73BF0"/>
    <w:rsid w:val="00A744FA"/>
    <w:rsid w:val="00A85D34"/>
    <w:rsid w:val="00AA411B"/>
    <w:rsid w:val="00AB5426"/>
    <w:rsid w:val="00AB7663"/>
    <w:rsid w:val="00AC07BB"/>
    <w:rsid w:val="00AC0A1F"/>
    <w:rsid w:val="00AC430B"/>
    <w:rsid w:val="00AC52CB"/>
    <w:rsid w:val="00AD21F0"/>
    <w:rsid w:val="00AD7124"/>
    <w:rsid w:val="00AD790E"/>
    <w:rsid w:val="00AE2009"/>
    <w:rsid w:val="00AE2AFB"/>
    <w:rsid w:val="00AE33F7"/>
    <w:rsid w:val="00AE3A48"/>
    <w:rsid w:val="00AF0DD0"/>
    <w:rsid w:val="00AF4E7B"/>
    <w:rsid w:val="00B04772"/>
    <w:rsid w:val="00B06BDE"/>
    <w:rsid w:val="00B16E1E"/>
    <w:rsid w:val="00B2430F"/>
    <w:rsid w:val="00B2686E"/>
    <w:rsid w:val="00B305FD"/>
    <w:rsid w:val="00B331D8"/>
    <w:rsid w:val="00B35171"/>
    <w:rsid w:val="00B40141"/>
    <w:rsid w:val="00B4112D"/>
    <w:rsid w:val="00B42C80"/>
    <w:rsid w:val="00B47451"/>
    <w:rsid w:val="00B5291F"/>
    <w:rsid w:val="00B52B89"/>
    <w:rsid w:val="00B54420"/>
    <w:rsid w:val="00B55366"/>
    <w:rsid w:val="00B60621"/>
    <w:rsid w:val="00B73742"/>
    <w:rsid w:val="00B80BFC"/>
    <w:rsid w:val="00B93C70"/>
    <w:rsid w:val="00B944A8"/>
    <w:rsid w:val="00BB0D51"/>
    <w:rsid w:val="00BC059C"/>
    <w:rsid w:val="00BC5D41"/>
    <w:rsid w:val="00BD245A"/>
    <w:rsid w:val="00BD47F8"/>
    <w:rsid w:val="00BE0347"/>
    <w:rsid w:val="00BE403C"/>
    <w:rsid w:val="00BE5EFE"/>
    <w:rsid w:val="00BE7E8E"/>
    <w:rsid w:val="00BF6367"/>
    <w:rsid w:val="00C1388A"/>
    <w:rsid w:val="00C14365"/>
    <w:rsid w:val="00C15DAF"/>
    <w:rsid w:val="00C22B1B"/>
    <w:rsid w:val="00C2498A"/>
    <w:rsid w:val="00C309F9"/>
    <w:rsid w:val="00C45907"/>
    <w:rsid w:val="00C47A10"/>
    <w:rsid w:val="00C511AF"/>
    <w:rsid w:val="00C528EB"/>
    <w:rsid w:val="00C54BD0"/>
    <w:rsid w:val="00C55D3E"/>
    <w:rsid w:val="00C67A12"/>
    <w:rsid w:val="00C7465E"/>
    <w:rsid w:val="00C814A0"/>
    <w:rsid w:val="00C844ED"/>
    <w:rsid w:val="00C968F4"/>
    <w:rsid w:val="00CA5E89"/>
    <w:rsid w:val="00CB74E9"/>
    <w:rsid w:val="00CC4E9B"/>
    <w:rsid w:val="00CD0EE4"/>
    <w:rsid w:val="00CD10AA"/>
    <w:rsid w:val="00CD2E1C"/>
    <w:rsid w:val="00CD4807"/>
    <w:rsid w:val="00CE1486"/>
    <w:rsid w:val="00CE247F"/>
    <w:rsid w:val="00CF4B40"/>
    <w:rsid w:val="00D0123A"/>
    <w:rsid w:val="00D04831"/>
    <w:rsid w:val="00D10EB1"/>
    <w:rsid w:val="00D21116"/>
    <w:rsid w:val="00D228D2"/>
    <w:rsid w:val="00D251E5"/>
    <w:rsid w:val="00D257F8"/>
    <w:rsid w:val="00D31BBB"/>
    <w:rsid w:val="00D53657"/>
    <w:rsid w:val="00D6136B"/>
    <w:rsid w:val="00D6219F"/>
    <w:rsid w:val="00D65104"/>
    <w:rsid w:val="00D816C4"/>
    <w:rsid w:val="00D834A4"/>
    <w:rsid w:val="00D875DB"/>
    <w:rsid w:val="00D87F44"/>
    <w:rsid w:val="00D910AA"/>
    <w:rsid w:val="00D9220D"/>
    <w:rsid w:val="00D92A89"/>
    <w:rsid w:val="00DB15D5"/>
    <w:rsid w:val="00DC072C"/>
    <w:rsid w:val="00DC66DF"/>
    <w:rsid w:val="00DD2121"/>
    <w:rsid w:val="00DD5649"/>
    <w:rsid w:val="00DD61C1"/>
    <w:rsid w:val="00DD6563"/>
    <w:rsid w:val="00DD75E5"/>
    <w:rsid w:val="00DE2B5B"/>
    <w:rsid w:val="00DE43FD"/>
    <w:rsid w:val="00DF15FB"/>
    <w:rsid w:val="00E05F2F"/>
    <w:rsid w:val="00E11F9F"/>
    <w:rsid w:val="00E127C5"/>
    <w:rsid w:val="00E1735A"/>
    <w:rsid w:val="00E20F4C"/>
    <w:rsid w:val="00E2542E"/>
    <w:rsid w:val="00E25F94"/>
    <w:rsid w:val="00E36793"/>
    <w:rsid w:val="00E37CEC"/>
    <w:rsid w:val="00E406F2"/>
    <w:rsid w:val="00E40DB0"/>
    <w:rsid w:val="00E43D1F"/>
    <w:rsid w:val="00E46917"/>
    <w:rsid w:val="00E5264F"/>
    <w:rsid w:val="00E53972"/>
    <w:rsid w:val="00E569E6"/>
    <w:rsid w:val="00E7396F"/>
    <w:rsid w:val="00E744AD"/>
    <w:rsid w:val="00E754AC"/>
    <w:rsid w:val="00E75EF4"/>
    <w:rsid w:val="00E87F00"/>
    <w:rsid w:val="00E9666B"/>
    <w:rsid w:val="00EA4EDE"/>
    <w:rsid w:val="00EB142D"/>
    <w:rsid w:val="00EB14BB"/>
    <w:rsid w:val="00EB4D97"/>
    <w:rsid w:val="00EC4151"/>
    <w:rsid w:val="00EC7C08"/>
    <w:rsid w:val="00ED4652"/>
    <w:rsid w:val="00EF5B2C"/>
    <w:rsid w:val="00F01D80"/>
    <w:rsid w:val="00F03511"/>
    <w:rsid w:val="00F22394"/>
    <w:rsid w:val="00F27009"/>
    <w:rsid w:val="00F311D8"/>
    <w:rsid w:val="00F31C8D"/>
    <w:rsid w:val="00F34B80"/>
    <w:rsid w:val="00F3563F"/>
    <w:rsid w:val="00F36843"/>
    <w:rsid w:val="00F41417"/>
    <w:rsid w:val="00F41868"/>
    <w:rsid w:val="00F42F5D"/>
    <w:rsid w:val="00F44A1A"/>
    <w:rsid w:val="00F70660"/>
    <w:rsid w:val="00F70A53"/>
    <w:rsid w:val="00F74717"/>
    <w:rsid w:val="00F7536C"/>
    <w:rsid w:val="00F8170B"/>
    <w:rsid w:val="00F8203C"/>
    <w:rsid w:val="00F835F2"/>
    <w:rsid w:val="00F83D85"/>
    <w:rsid w:val="00F84E36"/>
    <w:rsid w:val="00F90620"/>
    <w:rsid w:val="00F93DA7"/>
    <w:rsid w:val="00FA03F8"/>
    <w:rsid w:val="00FA0D4C"/>
    <w:rsid w:val="00FA3562"/>
    <w:rsid w:val="00FA5249"/>
    <w:rsid w:val="00FB475A"/>
    <w:rsid w:val="00FB67DA"/>
    <w:rsid w:val="00FB6BDA"/>
    <w:rsid w:val="00FC3C89"/>
    <w:rsid w:val="00FC78CD"/>
    <w:rsid w:val="00FD0B28"/>
    <w:rsid w:val="00FD3D38"/>
    <w:rsid w:val="00FE6A71"/>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7B023D63"/>
  <w15:chartTrackingRefBased/>
  <w15:docId w15:val="{B86957A5-1861-461B-AF5C-791DAA37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cs="Arial Unicode MS"/>
      <w:sz w:val="20"/>
      <w:lang w:val="x-none" w:bidi="lo-LA"/>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E75EF4"/>
  </w:style>
  <w:style w:type="paragraph" w:styleId="BodyTextIndent">
    <w:name w:val="Body Text Indent"/>
    <w:basedOn w:val="Normal"/>
    <w:link w:val="BodyTextIndentChar"/>
    <w:rsid w:val="00E75EF4"/>
    <w:pPr>
      <w:tabs>
        <w:tab w:val="clear" w:pos="567"/>
      </w:tabs>
      <w:spacing w:line="240" w:lineRule="auto"/>
      <w:ind w:left="567" w:hanging="567"/>
    </w:pPr>
    <w:rPr>
      <w:rFonts w:cs="Arial Unicode MS"/>
      <w:b/>
      <w:bCs/>
      <w:color w:val="808080"/>
      <w:szCs w:val="22"/>
      <w:lang w:val="x-none" w:bidi="lo-LA"/>
    </w:rPr>
  </w:style>
  <w:style w:type="character" w:customStyle="1" w:styleId="BodyTextIndentChar">
    <w:name w:val="Body Text Indent Char"/>
    <w:link w:val="BodyTextIndent"/>
    <w:rsid w:val="00E75EF4"/>
    <w:rPr>
      <w:b/>
      <w:bCs/>
      <w:color w:val="808080"/>
      <w:sz w:val="22"/>
      <w:szCs w:val="22"/>
      <w:lang w:eastAsia="en-US"/>
    </w:rPr>
  </w:style>
  <w:style w:type="paragraph" w:styleId="ListParagraph">
    <w:name w:val="List Paragraph"/>
    <w:basedOn w:val="Normal"/>
    <w:uiPriority w:val="34"/>
    <w:qFormat/>
    <w:rsid w:val="00F8170B"/>
    <w:pPr>
      <w:ind w:left="720"/>
    </w:pPr>
    <w:rPr>
      <w:szCs w:val="22"/>
      <w:lang w:val="en-GB"/>
    </w:rPr>
  </w:style>
  <w:style w:type="character" w:customStyle="1" w:styleId="BodyTextCharChar">
    <w:name w:val="Body Text Char Char"/>
    <w:rsid w:val="004C1189"/>
    <w:rPr>
      <w:rFonts w:ascii="Arial" w:eastAsia="MS Mincho" w:hAnsi="Arial" w:cs="Arial"/>
      <w:noProof w:val="0"/>
      <w:sz w:val="18"/>
      <w:szCs w:val="18"/>
      <w:lang w:val="en-US" w:eastAsia="ja-JP" w:bidi="ar-SA"/>
    </w:rPr>
  </w:style>
  <w:style w:type="paragraph" w:customStyle="1" w:styleId="reg11">
    <w:name w:val="reg 11"/>
    <w:basedOn w:val="Normal"/>
    <w:rsid w:val="001C35FC"/>
    <w:pPr>
      <w:tabs>
        <w:tab w:val="clear" w:pos="567"/>
        <w:tab w:val="left" w:pos="0"/>
        <w:tab w:val="left" w:pos="72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20"/>
      <w:jc w:val="both"/>
    </w:pPr>
    <w:rPr>
      <w:rFonts w:ascii="Arial" w:hAnsi="Arial" w:cs="Arial"/>
      <w:snapToGrid w:val="0"/>
      <w:color w:val="000000"/>
      <w:spacing w:val="-2"/>
      <w:szCs w:val="22"/>
      <w:lang w:val="en-GB" w:eastAsia="en-GB"/>
    </w:rPr>
  </w:style>
  <w:style w:type="table" w:styleId="TableGrid">
    <w:name w:val="Table Grid"/>
    <w:basedOn w:val="TableNormal"/>
    <w:rsid w:val="001C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556F9"/>
    <w:rPr>
      <w:sz w:val="16"/>
      <w:szCs w:val="16"/>
    </w:rPr>
  </w:style>
  <w:style w:type="paragraph" w:styleId="CommentText">
    <w:name w:val="annotation text"/>
    <w:basedOn w:val="Normal"/>
    <w:link w:val="CommentTextChar"/>
    <w:rsid w:val="002556F9"/>
    <w:rPr>
      <w:rFonts w:cs="Arial Unicode MS"/>
      <w:sz w:val="20"/>
      <w:lang w:bidi="lo-LA"/>
    </w:rPr>
  </w:style>
  <w:style w:type="character" w:customStyle="1" w:styleId="CommentTextChar">
    <w:name w:val="Comment Text Char"/>
    <w:link w:val="CommentText"/>
    <w:rsid w:val="002556F9"/>
    <w:rPr>
      <w:lang w:val="lv-LV" w:eastAsia="en-US"/>
    </w:rPr>
  </w:style>
  <w:style w:type="paragraph" w:styleId="CommentSubject">
    <w:name w:val="annotation subject"/>
    <w:basedOn w:val="CommentText"/>
    <w:next w:val="CommentText"/>
    <w:link w:val="CommentSubjectChar"/>
    <w:rsid w:val="002556F9"/>
    <w:rPr>
      <w:b/>
      <w:bCs/>
    </w:rPr>
  </w:style>
  <w:style w:type="character" w:customStyle="1" w:styleId="CommentSubjectChar">
    <w:name w:val="Comment Subject Char"/>
    <w:link w:val="CommentSubject"/>
    <w:rsid w:val="002556F9"/>
    <w:rPr>
      <w:b/>
      <w:bCs/>
      <w:lang w:val="lv-LV" w:eastAsia="en-US"/>
    </w:rPr>
  </w:style>
  <w:style w:type="paragraph" w:styleId="Revision">
    <w:name w:val="Revision"/>
    <w:hidden/>
    <w:uiPriority w:val="99"/>
    <w:semiHidden/>
    <w:rsid w:val="00D910AA"/>
    <w:rPr>
      <w:sz w:val="22"/>
      <w:lang w:val="lv-LV"/>
    </w:rPr>
  </w:style>
  <w:style w:type="character" w:customStyle="1" w:styleId="HeaderChar">
    <w:name w:val="Header Char"/>
    <w:link w:val="Header"/>
    <w:uiPriority w:val="99"/>
    <w:rsid w:val="00D910AA"/>
    <w:rPr>
      <w:rFonts w:ascii="Helvetica" w:hAnsi="Helvetica"/>
      <w:lang w:eastAsia="en-US"/>
    </w:rPr>
  </w:style>
  <w:style w:type="paragraph" w:customStyle="1" w:styleId="AmmTitulaireNom">
    <w:name w:val="AmmTitulaireNom"/>
    <w:basedOn w:val="Normal"/>
    <w:next w:val="Normal"/>
    <w:link w:val="AmmTitulaireNomCar"/>
    <w:rsid w:val="00D21116"/>
    <w:pPr>
      <w:tabs>
        <w:tab w:val="clear" w:pos="567"/>
      </w:tabs>
      <w:spacing w:line="240" w:lineRule="auto"/>
    </w:pPr>
    <w:rPr>
      <w:rFonts w:ascii="Arial" w:hAnsi="Arial" w:cs="Arial Unicode MS"/>
      <w:b/>
      <w:caps/>
      <w:sz w:val="20"/>
      <w:lang w:val="fr-FR" w:eastAsia="fr-FR" w:bidi="lo-LA"/>
    </w:rPr>
  </w:style>
  <w:style w:type="character" w:customStyle="1" w:styleId="AmmTitulaireNomCar">
    <w:name w:val="AmmTitulaireNom Car"/>
    <w:link w:val="AmmTitulaireNom"/>
    <w:locked/>
    <w:rsid w:val="00D21116"/>
    <w:rPr>
      <w:rFonts w:ascii="Arial" w:hAnsi="Arial"/>
      <w:b/>
      <w:caps/>
      <w:lang w:val="fr-FR" w:eastAsia="fr-FR"/>
    </w:rPr>
  </w:style>
  <w:style w:type="paragraph" w:customStyle="1" w:styleId="ammcorpstexte">
    <w:name w:val="ammcorpstexte"/>
    <w:basedOn w:val="Normal"/>
    <w:rsid w:val="00D21116"/>
    <w:pPr>
      <w:tabs>
        <w:tab w:val="clear" w:pos="567"/>
      </w:tabs>
      <w:spacing w:line="240" w:lineRule="auto"/>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98014">
      <w:bodyDiv w:val="1"/>
      <w:marLeft w:val="0"/>
      <w:marRight w:val="0"/>
      <w:marTop w:val="0"/>
      <w:marBottom w:val="0"/>
      <w:divBdr>
        <w:top w:val="none" w:sz="0" w:space="0" w:color="auto"/>
        <w:left w:val="none" w:sz="0" w:space="0" w:color="auto"/>
        <w:bottom w:val="none" w:sz="0" w:space="0" w:color="auto"/>
        <w:right w:val="none" w:sz="0" w:space="0" w:color="auto"/>
      </w:divBdr>
    </w:div>
    <w:div w:id="584336983">
      <w:bodyDiv w:val="1"/>
      <w:marLeft w:val="0"/>
      <w:marRight w:val="0"/>
      <w:marTop w:val="0"/>
      <w:marBottom w:val="0"/>
      <w:divBdr>
        <w:top w:val="none" w:sz="0" w:space="0" w:color="auto"/>
        <w:left w:val="none" w:sz="0" w:space="0" w:color="auto"/>
        <w:bottom w:val="none" w:sz="0" w:space="0" w:color="auto"/>
        <w:right w:val="none" w:sz="0" w:space="0" w:color="auto"/>
      </w:divBdr>
    </w:div>
    <w:div w:id="20089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zva.gov.lv"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4FC0B-0941-415A-A014-B649803A4AC3}">
  <ds:schemaRefs>
    <ds:schemaRef ds:uri="http://schemas.openxmlformats.org/officeDocument/2006/bibliography"/>
  </ds:schemaRefs>
</ds:datastoreItem>
</file>

<file path=customXml/itemProps2.xml><?xml version="1.0" encoding="utf-8"?>
<ds:datastoreItem xmlns:ds="http://schemas.openxmlformats.org/officeDocument/2006/customXml" ds:itemID="{E9A770D4-4767-4127-8163-61E7D6C9AC1E}">
  <ds:schemaRefs>
    <ds:schemaRef ds:uri="http://schemas.openxmlformats.org/officeDocument/2006/bibliography"/>
  </ds:schemaRefs>
</ds:datastoreItem>
</file>

<file path=customXml/itemProps3.xml><?xml version="1.0" encoding="utf-8"?>
<ds:datastoreItem xmlns:ds="http://schemas.openxmlformats.org/officeDocument/2006/customXml" ds:itemID="{765FEFD2-D64B-4A51-8659-67A8B9E7E57F}">
  <ds:schemaRefs>
    <ds:schemaRef ds:uri="http://schemas.openxmlformats.org/officeDocument/2006/bibliography"/>
  </ds:schemaRefs>
</ds:datastoreItem>
</file>

<file path=customXml/itemProps4.xml><?xml version="1.0" encoding="utf-8"?>
<ds:datastoreItem xmlns:ds="http://schemas.openxmlformats.org/officeDocument/2006/customXml" ds:itemID="{2C813997-D940-44B7-9B29-9FECF67E37B8}">
  <ds:schemaRefs>
    <ds:schemaRef ds:uri="http://schemas.openxmlformats.org/officeDocument/2006/bibliography"/>
  </ds:schemaRefs>
</ds:datastoreItem>
</file>

<file path=customXml/itemProps5.xml><?xml version="1.0" encoding="utf-8"?>
<ds:datastoreItem xmlns:ds="http://schemas.openxmlformats.org/officeDocument/2006/customXml" ds:itemID="{3BAC6BC6-CB70-46AA-8B51-58DC052EFCCA}">
  <ds:schemaRefs>
    <ds:schemaRef ds:uri="http://schemas.openxmlformats.org/officeDocument/2006/bibliography"/>
  </ds:schemaRefs>
</ds:datastoreItem>
</file>

<file path=customXml/itemProps6.xml><?xml version="1.0" encoding="utf-8"?>
<ds:datastoreItem xmlns:ds="http://schemas.openxmlformats.org/officeDocument/2006/customXml" ds:itemID="{B903FE95-ACB3-4534-A681-98C104816FE6}">
  <ds:schemaRefs>
    <ds:schemaRef ds:uri="http://schemas.openxmlformats.org/officeDocument/2006/bibliography"/>
  </ds:schemaRefs>
</ds:datastoreItem>
</file>

<file path=customXml/itemProps7.xml><?xml version="1.0" encoding="utf-8"?>
<ds:datastoreItem xmlns:ds="http://schemas.openxmlformats.org/officeDocument/2006/customXml" ds:itemID="{EE86E2C4-F1FC-4DB0-9903-BEAAF6ADCF31}">
  <ds:schemaRefs>
    <ds:schemaRef ds:uri="http://schemas.openxmlformats.org/officeDocument/2006/bibliography"/>
  </ds:schemaRefs>
</ds:datastoreItem>
</file>

<file path=customXml/itemProps8.xml><?xml version="1.0" encoding="utf-8"?>
<ds:datastoreItem xmlns:ds="http://schemas.openxmlformats.org/officeDocument/2006/customXml" ds:itemID="{CC7867C6-494D-4A7E-89E3-40D43249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4635</Words>
  <Characters>33062</Characters>
  <Application>Microsoft Office Word</Application>
  <DocSecurity>0</DocSecurity>
  <Lines>275</Lines>
  <Paragraphs>75</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37622</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5</cp:revision>
  <cp:lastPrinted>2003-10-21T08:46:00Z</cp:lastPrinted>
  <dcterms:created xsi:type="dcterms:W3CDTF">2021-05-07T09:33:00Z</dcterms:created>
  <dcterms:modified xsi:type="dcterms:W3CDTF">2021-07-29T06:04:00Z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