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1C072" w14:textId="77777777" w:rsidR="00F75EAB" w:rsidRPr="00914012" w:rsidRDefault="00F75EAB" w:rsidP="00914012">
      <w:pPr>
        <w:spacing w:line="240" w:lineRule="auto"/>
        <w:jc w:val="center"/>
        <w:rPr>
          <w:color w:val="000000"/>
          <w:szCs w:val="22"/>
        </w:rPr>
      </w:pPr>
      <w:r w:rsidRPr="00914012">
        <w:rPr>
          <w:b/>
          <w:color w:val="000000"/>
          <w:szCs w:val="22"/>
        </w:rPr>
        <w:t>ZĀĻU APRAKSTS</w:t>
      </w:r>
    </w:p>
    <w:p w14:paraId="0EB08D04" w14:textId="77777777" w:rsidR="00F75EAB" w:rsidRPr="00914012" w:rsidRDefault="00F75EAB" w:rsidP="00914012">
      <w:pPr>
        <w:spacing w:line="240" w:lineRule="auto"/>
        <w:jc w:val="both"/>
        <w:rPr>
          <w:color w:val="000000"/>
          <w:szCs w:val="22"/>
        </w:rPr>
      </w:pPr>
    </w:p>
    <w:p w14:paraId="261E7D64" w14:textId="77777777" w:rsidR="00CE3063" w:rsidRPr="00914012" w:rsidRDefault="00CE3063" w:rsidP="00914012">
      <w:pPr>
        <w:spacing w:line="240" w:lineRule="auto"/>
        <w:jc w:val="both"/>
        <w:rPr>
          <w:color w:val="000000"/>
          <w:szCs w:val="22"/>
        </w:rPr>
      </w:pPr>
    </w:p>
    <w:p w14:paraId="7ABD1BDF" w14:textId="77777777" w:rsidR="00F75EAB" w:rsidRPr="00914012" w:rsidRDefault="00F75EAB" w:rsidP="00914012">
      <w:pPr>
        <w:spacing w:line="240" w:lineRule="auto"/>
        <w:jc w:val="both"/>
        <w:rPr>
          <w:b/>
          <w:color w:val="000000"/>
          <w:szCs w:val="22"/>
        </w:rPr>
      </w:pPr>
      <w:r w:rsidRPr="00914012">
        <w:rPr>
          <w:b/>
          <w:color w:val="000000"/>
          <w:szCs w:val="22"/>
        </w:rPr>
        <w:t>1.</w:t>
      </w:r>
      <w:r w:rsidRPr="00914012">
        <w:rPr>
          <w:b/>
          <w:color w:val="000000"/>
          <w:szCs w:val="22"/>
        </w:rPr>
        <w:tab/>
        <w:t>ZĀĻU NOSAUKUMS</w:t>
      </w:r>
    </w:p>
    <w:p w14:paraId="43E34335" w14:textId="77777777" w:rsidR="00CE3063" w:rsidRPr="00914012" w:rsidRDefault="00CE3063" w:rsidP="00914012">
      <w:pPr>
        <w:pStyle w:val="Default"/>
        <w:jc w:val="both"/>
        <w:rPr>
          <w:b/>
          <w:bCs/>
          <w:sz w:val="22"/>
          <w:szCs w:val="22"/>
          <w:lang w:val="lv-LV"/>
        </w:rPr>
      </w:pPr>
    </w:p>
    <w:p w14:paraId="00961236" w14:textId="77777777" w:rsidR="00153899" w:rsidRPr="00914012" w:rsidRDefault="00273E85" w:rsidP="00914012">
      <w:pPr>
        <w:pStyle w:val="Default"/>
        <w:jc w:val="both"/>
        <w:rPr>
          <w:b/>
          <w:sz w:val="22"/>
          <w:szCs w:val="22"/>
          <w:lang w:val="lv-LV"/>
        </w:rPr>
      </w:pPr>
      <w:r w:rsidRPr="00914012">
        <w:rPr>
          <w:b/>
          <w:bCs/>
          <w:sz w:val="22"/>
          <w:szCs w:val="22"/>
          <w:lang w:val="lv-LV"/>
        </w:rPr>
        <w:t>Ksilonex</w:t>
      </w:r>
      <w:r w:rsidR="00153899" w:rsidRPr="00914012">
        <w:rPr>
          <w:b/>
          <w:sz w:val="22"/>
          <w:szCs w:val="22"/>
          <w:lang w:val="lv-LV"/>
        </w:rPr>
        <w:t xml:space="preserve"> 1 mg/ml deguna aerosols, šķīdums</w:t>
      </w:r>
    </w:p>
    <w:p w14:paraId="18455FCF" w14:textId="77777777" w:rsidR="00F75EAB" w:rsidRPr="00914012" w:rsidRDefault="00F75EAB" w:rsidP="00914012">
      <w:pPr>
        <w:spacing w:line="240" w:lineRule="auto"/>
        <w:jc w:val="both"/>
        <w:rPr>
          <w:color w:val="000000"/>
          <w:szCs w:val="22"/>
        </w:rPr>
      </w:pPr>
    </w:p>
    <w:p w14:paraId="387958E6" w14:textId="77777777" w:rsidR="00CE3063" w:rsidRPr="00914012" w:rsidRDefault="00CE3063" w:rsidP="00914012">
      <w:pPr>
        <w:spacing w:line="240" w:lineRule="auto"/>
        <w:jc w:val="both"/>
        <w:rPr>
          <w:color w:val="000000"/>
          <w:szCs w:val="22"/>
        </w:rPr>
      </w:pPr>
    </w:p>
    <w:p w14:paraId="22544696" w14:textId="77777777" w:rsidR="00F75EAB" w:rsidRPr="00914012" w:rsidRDefault="00F75EAB" w:rsidP="00914012">
      <w:pPr>
        <w:spacing w:line="240" w:lineRule="auto"/>
        <w:jc w:val="both"/>
        <w:rPr>
          <w:b/>
          <w:color w:val="000000"/>
          <w:szCs w:val="22"/>
        </w:rPr>
      </w:pPr>
      <w:r w:rsidRPr="00914012">
        <w:rPr>
          <w:b/>
          <w:color w:val="000000"/>
          <w:szCs w:val="22"/>
        </w:rPr>
        <w:t>2.</w:t>
      </w:r>
      <w:r w:rsidRPr="00914012">
        <w:rPr>
          <w:b/>
          <w:color w:val="000000"/>
          <w:szCs w:val="22"/>
        </w:rPr>
        <w:tab/>
        <w:t>KVALITATĪVAIS UN KVANTITATĪVAIS SASTĀVS</w:t>
      </w:r>
    </w:p>
    <w:p w14:paraId="1624AE2E" w14:textId="77777777" w:rsidR="00CE3063" w:rsidRPr="00914012" w:rsidRDefault="00CE3063" w:rsidP="00914012">
      <w:pPr>
        <w:pStyle w:val="CM2"/>
        <w:spacing w:line="240" w:lineRule="auto"/>
        <w:jc w:val="both"/>
        <w:rPr>
          <w:color w:val="000000"/>
          <w:sz w:val="22"/>
          <w:szCs w:val="22"/>
          <w:lang w:val="lv-LV"/>
        </w:rPr>
      </w:pPr>
    </w:p>
    <w:p w14:paraId="183ACB58" w14:textId="77777777" w:rsidR="00153899" w:rsidRPr="00914012" w:rsidRDefault="00153899" w:rsidP="00914012">
      <w:pPr>
        <w:pStyle w:val="CM2"/>
        <w:spacing w:line="240" w:lineRule="auto"/>
        <w:jc w:val="both"/>
        <w:rPr>
          <w:color w:val="000000"/>
          <w:sz w:val="22"/>
          <w:szCs w:val="22"/>
          <w:lang w:val="lv-LV"/>
        </w:rPr>
      </w:pPr>
      <w:r w:rsidRPr="00914012">
        <w:rPr>
          <w:color w:val="000000"/>
          <w:sz w:val="22"/>
          <w:szCs w:val="22"/>
          <w:lang w:val="lv-LV"/>
        </w:rPr>
        <w:t>1 ml šķīduma satur 1 mg ksilometazolīna hidrohlorīda (</w:t>
      </w:r>
      <w:r w:rsidRPr="00914012">
        <w:rPr>
          <w:i/>
          <w:iCs/>
          <w:color w:val="000000"/>
          <w:sz w:val="22"/>
          <w:szCs w:val="22"/>
          <w:lang w:val="lv-LV"/>
        </w:rPr>
        <w:t>Xylometazolini hydrochloridum</w:t>
      </w:r>
      <w:r w:rsidRPr="00914012">
        <w:rPr>
          <w:color w:val="000000"/>
          <w:sz w:val="22"/>
          <w:szCs w:val="22"/>
          <w:lang w:val="lv-LV"/>
        </w:rPr>
        <w:t>).</w:t>
      </w:r>
    </w:p>
    <w:p w14:paraId="22979E07" w14:textId="77777777" w:rsidR="00F75EAB" w:rsidRPr="00914012" w:rsidRDefault="00F75EAB" w:rsidP="00914012">
      <w:pPr>
        <w:spacing w:line="240" w:lineRule="auto"/>
        <w:jc w:val="both"/>
        <w:rPr>
          <w:color w:val="000000"/>
          <w:szCs w:val="22"/>
        </w:rPr>
      </w:pPr>
    </w:p>
    <w:p w14:paraId="2D9628B8" w14:textId="77777777" w:rsidR="00F75EAB" w:rsidRPr="00914012" w:rsidRDefault="00F75EAB" w:rsidP="00914012">
      <w:pPr>
        <w:pStyle w:val="EMEAEnBodyText"/>
        <w:autoSpaceDE w:val="0"/>
        <w:autoSpaceDN w:val="0"/>
        <w:adjustRightInd w:val="0"/>
        <w:spacing w:before="0" w:after="0"/>
        <w:rPr>
          <w:color w:val="000000"/>
          <w:szCs w:val="22"/>
          <w:u w:val="single"/>
          <w:lang w:val="lv-LV"/>
        </w:rPr>
      </w:pPr>
      <w:r w:rsidRPr="00914012">
        <w:rPr>
          <w:color w:val="000000"/>
          <w:szCs w:val="22"/>
          <w:u w:val="single"/>
          <w:lang w:val="lv-LV"/>
        </w:rPr>
        <w:t>Palīgviela ar zināmu iedarbību:</w:t>
      </w:r>
    </w:p>
    <w:p w14:paraId="74A4DAD4" w14:textId="77777777" w:rsidR="00153899" w:rsidRPr="00914012" w:rsidRDefault="00153899" w:rsidP="00914012">
      <w:pPr>
        <w:pStyle w:val="CM2"/>
        <w:spacing w:line="240" w:lineRule="auto"/>
        <w:jc w:val="both"/>
        <w:rPr>
          <w:color w:val="000000"/>
          <w:sz w:val="22"/>
          <w:szCs w:val="22"/>
          <w:lang w:val="lv-LV"/>
        </w:rPr>
      </w:pPr>
      <w:r w:rsidRPr="00914012">
        <w:rPr>
          <w:color w:val="000000"/>
          <w:sz w:val="22"/>
          <w:szCs w:val="22"/>
          <w:lang w:val="lv-LV"/>
        </w:rPr>
        <w:t>1 ml šķīduma satur 0,</w:t>
      </w:r>
      <w:r w:rsidR="001646EC" w:rsidRPr="00914012">
        <w:rPr>
          <w:color w:val="000000"/>
          <w:sz w:val="22"/>
          <w:szCs w:val="22"/>
          <w:lang w:val="lv-LV"/>
        </w:rPr>
        <w:t>2</w:t>
      </w:r>
      <w:r w:rsidR="00B676B8" w:rsidRPr="00914012">
        <w:rPr>
          <w:color w:val="000000"/>
          <w:sz w:val="22"/>
          <w:szCs w:val="22"/>
          <w:lang w:val="lv-LV"/>
        </w:rPr>
        <w:t>0</w:t>
      </w:r>
      <w:r w:rsidRPr="00914012">
        <w:rPr>
          <w:color w:val="000000"/>
          <w:sz w:val="22"/>
          <w:szCs w:val="22"/>
          <w:lang w:val="lv-LV"/>
        </w:rPr>
        <w:t xml:space="preserve"> mg benzalkonija hlorīd</w:t>
      </w:r>
      <w:r w:rsidR="00BB1D1E" w:rsidRPr="00914012">
        <w:rPr>
          <w:color w:val="000000"/>
          <w:sz w:val="22"/>
          <w:szCs w:val="22"/>
          <w:lang w:val="lv-LV"/>
        </w:rPr>
        <w:t>a</w:t>
      </w:r>
      <w:r w:rsidRPr="00914012">
        <w:rPr>
          <w:color w:val="000000"/>
          <w:sz w:val="22"/>
          <w:szCs w:val="22"/>
          <w:lang w:val="lv-LV"/>
        </w:rPr>
        <w:t>.</w:t>
      </w:r>
    </w:p>
    <w:p w14:paraId="736BFBDC" w14:textId="77777777" w:rsidR="00F75EAB" w:rsidRPr="00914012" w:rsidRDefault="00F75EAB" w:rsidP="00914012">
      <w:pPr>
        <w:pStyle w:val="EMEAEnBodyText"/>
        <w:autoSpaceDE w:val="0"/>
        <w:autoSpaceDN w:val="0"/>
        <w:adjustRightInd w:val="0"/>
        <w:spacing w:before="0" w:after="0"/>
        <w:rPr>
          <w:color w:val="000000"/>
          <w:szCs w:val="22"/>
          <w:u w:val="single"/>
          <w:lang w:val="lv-LV"/>
        </w:rPr>
      </w:pPr>
    </w:p>
    <w:p w14:paraId="10AA2913" w14:textId="77777777" w:rsidR="00F75EAB" w:rsidRPr="00914012" w:rsidRDefault="00F75EAB" w:rsidP="00914012">
      <w:pPr>
        <w:spacing w:line="240" w:lineRule="auto"/>
        <w:jc w:val="both"/>
        <w:rPr>
          <w:color w:val="000000"/>
          <w:szCs w:val="22"/>
        </w:rPr>
      </w:pPr>
      <w:r w:rsidRPr="00914012">
        <w:rPr>
          <w:color w:val="000000"/>
          <w:szCs w:val="22"/>
        </w:rPr>
        <w:t>Pilnu palīgvielu sarakstu skatīt 6.1. apakšpunktā.</w:t>
      </w:r>
    </w:p>
    <w:p w14:paraId="6AF68502" w14:textId="77777777" w:rsidR="00F75EAB" w:rsidRPr="00914012" w:rsidRDefault="00F75EAB" w:rsidP="00914012">
      <w:pPr>
        <w:spacing w:line="240" w:lineRule="auto"/>
        <w:jc w:val="both"/>
        <w:rPr>
          <w:color w:val="000000"/>
          <w:szCs w:val="22"/>
        </w:rPr>
      </w:pPr>
    </w:p>
    <w:p w14:paraId="0E598608" w14:textId="77777777" w:rsidR="00CE3063" w:rsidRPr="00914012" w:rsidRDefault="00CE3063" w:rsidP="00914012">
      <w:pPr>
        <w:spacing w:line="240" w:lineRule="auto"/>
        <w:jc w:val="both"/>
        <w:rPr>
          <w:color w:val="000000"/>
          <w:szCs w:val="22"/>
        </w:rPr>
      </w:pPr>
    </w:p>
    <w:p w14:paraId="1B778E64" w14:textId="77777777" w:rsidR="00F75EAB" w:rsidRPr="00914012" w:rsidRDefault="00F75EAB" w:rsidP="00914012">
      <w:pPr>
        <w:spacing w:line="240" w:lineRule="auto"/>
        <w:jc w:val="both"/>
        <w:rPr>
          <w:b/>
          <w:caps/>
          <w:color w:val="000000"/>
          <w:szCs w:val="22"/>
        </w:rPr>
      </w:pPr>
      <w:r w:rsidRPr="00914012">
        <w:rPr>
          <w:b/>
          <w:color w:val="000000"/>
          <w:szCs w:val="22"/>
        </w:rPr>
        <w:t>3.</w:t>
      </w:r>
      <w:r w:rsidRPr="00914012">
        <w:rPr>
          <w:b/>
          <w:color w:val="000000"/>
          <w:szCs w:val="22"/>
        </w:rPr>
        <w:tab/>
        <w:t>ZĀĻU FORMA</w:t>
      </w:r>
    </w:p>
    <w:p w14:paraId="549E4F9E" w14:textId="77777777" w:rsidR="00CE3063" w:rsidRPr="00914012" w:rsidRDefault="00CE3063" w:rsidP="00914012">
      <w:pPr>
        <w:pStyle w:val="CM6"/>
        <w:jc w:val="both"/>
        <w:rPr>
          <w:color w:val="000000"/>
          <w:sz w:val="22"/>
          <w:szCs w:val="22"/>
          <w:lang w:val="lv-LV"/>
        </w:rPr>
      </w:pPr>
    </w:p>
    <w:p w14:paraId="58615091" w14:textId="77777777" w:rsidR="00153899" w:rsidRPr="00914012" w:rsidRDefault="00153899" w:rsidP="00914012">
      <w:pPr>
        <w:pStyle w:val="CM6"/>
        <w:jc w:val="both"/>
        <w:rPr>
          <w:color w:val="000000"/>
          <w:sz w:val="22"/>
          <w:szCs w:val="22"/>
          <w:lang w:val="lv-LV"/>
        </w:rPr>
      </w:pPr>
      <w:r w:rsidRPr="00914012">
        <w:rPr>
          <w:color w:val="000000"/>
          <w:sz w:val="22"/>
          <w:szCs w:val="22"/>
          <w:lang w:val="lv-LV"/>
        </w:rPr>
        <w:t>Deguna aerosols, šķīdums.</w:t>
      </w:r>
    </w:p>
    <w:p w14:paraId="285CA14B" w14:textId="77777777" w:rsidR="00153899" w:rsidRPr="00914012" w:rsidRDefault="00153899" w:rsidP="00914012">
      <w:pPr>
        <w:pStyle w:val="Default"/>
        <w:jc w:val="both"/>
        <w:rPr>
          <w:sz w:val="22"/>
          <w:szCs w:val="22"/>
          <w:lang w:val="lv-LV" w:eastAsia="en-US"/>
        </w:rPr>
      </w:pPr>
    </w:p>
    <w:p w14:paraId="04A49331" w14:textId="77777777" w:rsidR="00153899" w:rsidRPr="00914012" w:rsidRDefault="00153899" w:rsidP="00914012">
      <w:pPr>
        <w:pStyle w:val="CM6"/>
        <w:jc w:val="both"/>
        <w:rPr>
          <w:color w:val="000000"/>
          <w:sz w:val="22"/>
          <w:szCs w:val="22"/>
          <w:lang w:val="lv-LV"/>
        </w:rPr>
      </w:pPr>
      <w:r w:rsidRPr="00914012">
        <w:rPr>
          <w:color w:val="000000"/>
          <w:sz w:val="22"/>
          <w:szCs w:val="22"/>
          <w:lang w:val="lv-LV"/>
        </w:rPr>
        <w:t>Dzidrs, bezkrāsains šķīdums.</w:t>
      </w:r>
    </w:p>
    <w:p w14:paraId="38AF6337" w14:textId="77777777" w:rsidR="00F75EAB" w:rsidRPr="00914012" w:rsidRDefault="00F75EAB" w:rsidP="00914012">
      <w:pPr>
        <w:spacing w:line="240" w:lineRule="auto"/>
        <w:jc w:val="both"/>
        <w:rPr>
          <w:color w:val="000000"/>
          <w:szCs w:val="22"/>
        </w:rPr>
      </w:pPr>
    </w:p>
    <w:p w14:paraId="3B7E1976" w14:textId="77777777" w:rsidR="00CE3063" w:rsidRPr="00914012" w:rsidRDefault="00CE3063" w:rsidP="00914012">
      <w:pPr>
        <w:spacing w:line="240" w:lineRule="auto"/>
        <w:jc w:val="both"/>
        <w:rPr>
          <w:color w:val="000000"/>
          <w:szCs w:val="22"/>
        </w:rPr>
      </w:pPr>
    </w:p>
    <w:p w14:paraId="6FA38D98" w14:textId="77777777" w:rsidR="00F75EAB" w:rsidRPr="00914012" w:rsidRDefault="00F75EAB" w:rsidP="00914012">
      <w:pPr>
        <w:tabs>
          <w:tab w:val="clear" w:pos="567"/>
        </w:tabs>
        <w:spacing w:line="240" w:lineRule="auto"/>
        <w:jc w:val="both"/>
        <w:rPr>
          <w:b/>
          <w:color w:val="000000"/>
          <w:szCs w:val="22"/>
        </w:rPr>
      </w:pPr>
      <w:r w:rsidRPr="00914012">
        <w:rPr>
          <w:b/>
          <w:caps/>
          <w:color w:val="000000"/>
          <w:szCs w:val="22"/>
        </w:rPr>
        <w:t>4.</w:t>
      </w:r>
      <w:r w:rsidRPr="00914012">
        <w:rPr>
          <w:b/>
          <w:caps/>
          <w:color w:val="000000"/>
          <w:szCs w:val="22"/>
        </w:rPr>
        <w:tab/>
        <w:t>KLĪNISKĀ INFORMĀCIJA</w:t>
      </w:r>
    </w:p>
    <w:p w14:paraId="707BF63A" w14:textId="77777777" w:rsidR="00CE3063" w:rsidRPr="00914012" w:rsidRDefault="00CE3063" w:rsidP="00914012">
      <w:pPr>
        <w:tabs>
          <w:tab w:val="clear" w:pos="567"/>
        </w:tabs>
        <w:spacing w:line="240" w:lineRule="auto"/>
        <w:jc w:val="both"/>
        <w:rPr>
          <w:b/>
          <w:color w:val="000000"/>
          <w:szCs w:val="22"/>
        </w:rPr>
      </w:pPr>
    </w:p>
    <w:p w14:paraId="5EA21291" w14:textId="77777777" w:rsidR="00F75EAB" w:rsidRPr="00914012" w:rsidRDefault="00F75EAB" w:rsidP="00914012">
      <w:pPr>
        <w:tabs>
          <w:tab w:val="clear" w:pos="567"/>
        </w:tabs>
        <w:spacing w:line="240" w:lineRule="auto"/>
        <w:jc w:val="both"/>
        <w:rPr>
          <w:color w:val="000000"/>
          <w:szCs w:val="22"/>
        </w:rPr>
      </w:pPr>
      <w:r w:rsidRPr="00914012">
        <w:rPr>
          <w:b/>
          <w:color w:val="000000"/>
          <w:szCs w:val="22"/>
        </w:rPr>
        <w:t>4.1.</w:t>
      </w:r>
      <w:r w:rsidRPr="00914012">
        <w:rPr>
          <w:b/>
          <w:color w:val="000000"/>
          <w:szCs w:val="22"/>
        </w:rPr>
        <w:tab/>
        <w:t>Terapeitiskās indikācijas</w:t>
      </w:r>
    </w:p>
    <w:p w14:paraId="0AAF3C7D" w14:textId="77777777" w:rsidR="00CE3063" w:rsidRPr="00914012" w:rsidRDefault="00CE3063" w:rsidP="00914012">
      <w:pPr>
        <w:pStyle w:val="Default"/>
        <w:jc w:val="both"/>
        <w:rPr>
          <w:sz w:val="22"/>
          <w:szCs w:val="22"/>
          <w:lang w:val="lv-LV"/>
        </w:rPr>
      </w:pPr>
    </w:p>
    <w:p w14:paraId="7FB04BE4" w14:textId="77777777" w:rsidR="00153899" w:rsidRPr="00914012" w:rsidRDefault="00273E85" w:rsidP="00914012">
      <w:pPr>
        <w:pStyle w:val="Default"/>
        <w:jc w:val="both"/>
        <w:rPr>
          <w:sz w:val="22"/>
          <w:szCs w:val="22"/>
          <w:lang w:val="lv-LV"/>
        </w:rPr>
      </w:pPr>
      <w:r w:rsidRPr="00914012">
        <w:rPr>
          <w:sz w:val="22"/>
          <w:szCs w:val="22"/>
          <w:lang w:val="lv-LV"/>
        </w:rPr>
        <w:t>Ksilonex</w:t>
      </w:r>
      <w:r w:rsidR="00153899" w:rsidRPr="00914012">
        <w:rPr>
          <w:sz w:val="22"/>
          <w:szCs w:val="22"/>
          <w:lang w:val="lv-LV"/>
        </w:rPr>
        <w:t xml:space="preserve"> ir indicēts pieaugušajiem un bērniem no 10 gadu vecuma:</w:t>
      </w:r>
    </w:p>
    <w:p w14:paraId="295C6AC8" w14:textId="77777777" w:rsidR="00153899" w:rsidRPr="00914012" w:rsidRDefault="00153899" w:rsidP="00914012">
      <w:pPr>
        <w:pStyle w:val="Default"/>
        <w:numPr>
          <w:ilvl w:val="0"/>
          <w:numId w:val="30"/>
        </w:numPr>
        <w:tabs>
          <w:tab w:val="left" w:pos="709"/>
        </w:tabs>
        <w:jc w:val="both"/>
        <w:rPr>
          <w:sz w:val="22"/>
          <w:szCs w:val="22"/>
          <w:lang w:val="lv-LV"/>
        </w:rPr>
      </w:pPr>
      <w:r w:rsidRPr="00914012">
        <w:rPr>
          <w:sz w:val="22"/>
          <w:szCs w:val="22"/>
          <w:lang w:val="lv-LV"/>
        </w:rPr>
        <w:t>deguna gļotādas tūskas mazināšanai akūtu iesnu gadījumā;</w:t>
      </w:r>
    </w:p>
    <w:p w14:paraId="5979455C" w14:textId="77777777" w:rsidR="00153899" w:rsidRPr="00914012" w:rsidRDefault="00153899" w:rsidP="00914012">
      <w:pPr>
        <w:pStyle w:val="Default"/>
        <w:numPr>
          <w:ilvl w:val="0"/>
          <w:numId w:val="30"/>
        </w:numPr>
        <w:tabs>
          <w:tab w:val="left" w:pos="709"/>
        </w:tabs>
        <w:jc w:val="both"/>
        <w:rPr>
          <w:sz w:val="22"/>
          <w:szCs w:val="22"/>
          <w:lang w:val="lv-LV"/>
        </w:rPr>
      </w:pPr>
      <w:r w:rsidRPr="00914012">
        <w:rPr>
          <w:sz w:val="22"/>
          <w:szCs w:val="22"/>
          <w:lang w:val="lv-LV"/>
        </w:rPr>
        <w:t>vazomotorisku iesnu gadījumā;</w:t>
      </w:r>
    </w:p>
    <w:p w14:paraId="1C66B7EF" w14:textId="77777777" w:rsidR="00153899" w:rsidRPr="00914012" w:rsidRDefault="00153899" w:rsidP="00914012">
      <w:pPr>
        <w:pStyle w:val="Default"/>
        <w:numPr>
          <w:ilvl w:val="0"/>
          <w:numId w:val="30"/>
        </w:numPr>
        <w:tabs>
          <w:tab w:val="left" w:pos="709"/>
        </w:tabs>
        <w:jc w:val="both"/>
        <w:rPr>
          <w:sz w:val="22"/>
          <w:szCs w:val="22"/>
          <w:lang w:val="lv-LV"/>
        </w:rPr>
      </w:pPr>
      <w:r w:rsidRPr="00914012">
        <w:rPr>
          <w:sz w:val="22"/>
          <w:szCs w:val="22"/>
          <w:lang w:val="lv-LV"/>
        </w:rPr>
        <w:t>alerģiska rinīta gadījumā.</w:t>
      </w:r>
    </w:p>
    <w:p w14:paraId="2BAB19AD" w14:textId="77777777" w:rsidR="00F75EAB" w:rsidRPr="00914012" w:rsidRDefault="00F75EAB" w:rsidP="00914012">
      <w:pPr>
        <w:tabs>
          <w:tab w:val="clear" w:pos="567"/>
        </w:tabs>
        <w:spacing w:line="240" w:lineRule="auto"/>
        <w:jc w:val="both"/>
        <w:rPr>
          <w:color w:val="000000"/>
          <w:szCs w:val="22"/>
        </w:rPr>
      </w:pPr>
    </w:p>
    <w:p w14:paraId="5E04D11F" w14:textId="77777777" w:rsidR="00F75EAB" w:rsidRPr="00914012" w:rsidRDefault="00F75EAB" w:rsidP="00914012">
      <w:pPr>
        <w:tabs>
          <w:tab w:val="clear" w:pos="567"/>
        </w:tabs>
        <w:spacing w:line="240" w:lineRule="auto"/>
        <w:jc w:val="both"/>
        <w:rPr>
          <w:b/>
          <w:color w:val="000000"/>
          <w:szCs w:val="22"/>
        </w:rPr>
      </w:pPr>
      <w:r w:rsidRPr="00914012">
        <w:rPr>
          <w:b/>
          <w:color w:val="000000"/>
          <w:szCs w:val="22"/>
        </w:rPr>
        <w:t>4.2.</w:t>
      </w:r>
      <w:r w:rsidRPr="00914012">
        <w:rPr>
          <w:b/>
          <w:color w:val="000000"/>
          <w:szCs w:val="22"/>
        </w:rPr>
        <w:tab/>
        <w:t>Devas un lietošanas veids</w:t>
      </w:r>
    </w:p>
    <w:p w14:paraId="79D772D7" w14:textId="77777777" w:rsidR="00CE3063" w:rsidRPr="00914012" w:rsidRDefault="00CE3063" w:rsidP="00914012">
      <w:pPr>
        <w:tabs>
          <w:tab w:val="clear" w:pos="567"/>
        </w:tabs>
        <w:spacing w:line="240" w:lineRule="auto"/>
        <w:jc w:val="both"/>
        <w:rPr>
          <w:color w:val="000000"/>
          <w:szCs w:val="22"/>
          <w:u w:val="single"/>
        </w:rPr>
      </w:pPr>
    </w:p>
    <w:p w14:paraId="595DA77A" w14:textId="77777777" w:rsidR="00F75EAB" w:rsidRPr="00914012" w:rsidRDefault="00F75EAB" w:rsidP="00914012">
      <w:pPr>
        <w:tabs>
          <w:tab w:val="clear" w:pos="567"/>
        </w:tabs>
        <w:spacing w:line="240" w:lineRule="auto"/>
        <w:jc w:val="both"/>
        <w:rPr>
          <w:color w:val="000000"/>
          <w:szCs w:val="22"/>
          <w:u w:val="single"/>
        </w:rPr>
      </w:pPr>
      <w:r w:rsidRPr="00914012">
        <w:rPr>
          <w:color w:val="000000"/>
          <w:szCs w:val="22"/>
          <w:u w:val="single"/>
        </w:rPr>
        <w:t>Devas</w:t>
      </w:r>
    </w:p>
    <w:p w14:paraId="78EED972" w14:textId="77777777" w:rsidR="00153899" w:rsidRPr="00914012" w:rsidRDefault="00153899" w:rsidP="00914012">
      <w:pPr>
        <w:pStyle w:val="CM2"/>
        <w:spacing w:line="240" w:lineRule="auto"/>
        <w:jc w:val="both"/>
        <w:rPr>
          <w:i/>
          <w:color w:val="000000"/>
          <w:sz w:val="22"/>
          <w:szCs w:val="22"/>
          <w:lang w:val="lv-LV"/>
        </w:rPr>
      </w:pPr>
      <w:r w:rsidRPr="00914012">
        <w:rPr>
          <w:i/>
          <w:color w:val="000000"/>
          <w:sz w:val="22"/>
          <w:szCs w:val="22"/>
          <w:lang w:val="lv-LV"/>
        </w:rPr>
        <w:t>Pieaugušie un bērni no 10 gadu vecuma</w:t>
      </w:r>
    </w:p>
    <w:p w14:paraId="7E18DA5A" w14:textId="77777777" w:rsidR="00153899" w:rsidRPr="00914012" w:rsidRDefault="00153899" w:rsidP="00914012">
      <w:pPr>
        <w:pStyle w:val="CM1"/>
        <w:spacing w:line="240" w:lineRule="auto"/>
        <w:jc w:val="both"/>
        <w:rPr>
          <w:color w:val="000000"/>
          <w:sz w:val="22"/>
          <w:szCs w:val="22"/>
          <w:lang w:val="lv-LV"/>
        </w:rPr>
      </w:pPr>
      <w:r w:rsidRPr="00914012">
        <w:rPr>
          <w:color w:val="000000"/>
          <w:sz w:val="22"/>
          <w:szCs w:val="22"/>
          <w:lang w:val="lv-LV"/>
        </w:rPr>
        <w:t>Katrā nās</w:t>
      </w:r>
      <w:r w:rsidR="0038462D" w:rsidRPr="00914012">
        <w:rPr>
          <w:color w:val="000000"/>
          <w:sz w:val="22"/>
          <w:szCs w:val="22"/>
          <w:lang w:val="lv-LV"/>
        </w:rPr>
        <w:t>ī</w:t>
      </w:r>
      <w:r w:rsidRPr="00914012">
        <w:rPr>
          <w:color w:val="000000"/>
          <w:sz w:val="22"/>
          <w:szCs w:val="22"/>
          <w:lang w:val="lv-LV"/>
        </w:rPr>
        <w:t xml:space="preserve"> jāizsmidzina viena aerosola deva 2 – 3 reizes dienā. Ieteicamo </w:t>
      </w:r>
      <w:r w:rsidR="00273E85" w:rsidRPr="00914012">
        <w:rPr>
          <w:color w:val="000000"/>
          <w:sz w:val="22"/>
          <w:szCs w:val="22"/>
          <w:lang w:val="lv-LV"/>
        </w:rPr>
        <w:t>Ksilonex</w:t>
      </w:r>
      <w:r w:rsidRPr="00914012">
        <w:rPr>
          <w:color w:val="000000"/>
          <w:sz w:val="22"/>
          <w:szCs w:val="22"/>
          <w:lang w:val="lv-LV"/>
        </w:rPr>
        <w:t xml:space="preserve"> aerosola reizes devu nedrīkst lietot vairāk kā 3 reizes dienā.</w:t>
      </w:r>
    </w:p>
    <w:p w14:paraId="1A7DBD49" w14:textId="77777777" w:rsidR="00153899" w:rsidRPr="00914012" w:rsidRDefault="00153899" w:rsidP="00914012">
      <w:pPr>
        <w:pStyle w:val="Default"/>
        <w:jc w:val="both"/>
        <w:rPr>
          <w:sz w:val="22"/>
          <w:szCs w:val="22"/>
          <w:lang w:val="lv-LV"/>
        </w:rPr>
      </w:pPr>
    </w:p>
    <w:p w14:paraId="64D36678" w14:textId="77777777" w:rsidR="00153899" w:rsidRPr="00914012" w:rsidRDefault="00153899" w:rsidP="00914012">
      <w:pPr>
        <w:pStyle w:val="Default"/>
        <w:jc w:val="both"/>
        <w:rPr>
          <w:sz w:val="22"/>
          <w:szCs w:val="22"/>
          <w:lang w:val="lv-LV"/>
        </w:rPr>
      </w:pPr>
      <w:r w:rsidRPr="00914012">
        <w:rPr>
          <w:sz w:val="22"/>
          <w:szCs w:val="22"/>
          <w:lang w:val="lv-LV"/>
        </w:rPr>
        <w:t>Deva ir atkarīga no katra pacienta individuālās jutības un klīniskās atbildes reakcijas.</w:t>
      </w:r>
    </w:p>
    <w:p w14:paraId="1D0EF857" w14:textId="77777777" w:rsidR="00153899" w:rsidRPr="00914012" w:rsidRDefault="00153899" w:rsidP="00914012">
      <w:pPr>
        <w:pStyle w:val="Default"/>
        <w:jc w:val="both"/>
        <w:rPr>
          <w:sz w:val="22"/>
          <w:szCs w:val="22"/>
          <w:lang w:val="lv-LV"/>
        </w:rPr>
      </w:pPr>
    </w:p>
    <w:p w14:paraId="6259E6EA" w14:textId="77777777" w:rsidR="00153899" w:rsidRPr="00914012" w:rsidRDefault="00273E85" w:rsidP="00914012">
      <w:pPr>
        <w:pStyle w:val="Default"/>
        <w:jc w:val="both"/>
        <w:rPr>
          <w:sz w:val="22"/>
          <w:szCs w:val="22"/>
          <w:lang w:val="lv-LV"/>
        </w:rPr>
      </w:pPr>
      <w:r w:rsidRPr="00914012">
        <w:rPr>
          <w:sz w:val="22"/>
          <w:szCs w:val="22"/>
          <w:lang w:val="lv-LV"/>
        </w:rPr>
        <w:t>Ksilonex</w:t>
      </w:r>
      <w:r w:rsidR="00153899" w:rsidRPr="00914012">
        <w:rPr>
          <w:sz w:val="22"/>
          <w:szCs w:val="22"/>
          <w:lang w:val="lv-LV"/>
        </w:rPr>
        <w:t xml:space="preserve"> nedrīkst lietot ilgāk par 7 dienām, izņemot gadījumus, kad ārsts ilgāku lietošanu uzskata par klīniski nepieciešamu.</w:t>
      </w:r>
    </w:p>
    <w:p w14:paraId="2DFC7986" w14:textId="77777777" w:rsidR="00153899" w:rsidRPr="00914012" w:rsidRDefault="00153899" w:rsidP="00914012">
      <w:pPr>
        <w:pStyle w:val="Default"/>
        <w:jc w:val="both"/>
        <w:rPr>
          <w:sz w:val="22"/>
          <w:szCs w:val="22"/>
          <w:lang w:val="lv-LV"/>
        </w:rPr>
      </w:pPr>
    </w:p>
    <w:p w14:paraId="49CECD57" w14:textId="77777777" w:rsidR="00153899" w:rsidRPr="00914012" w:rsidRDefault="00153899" w:rsidP="00914012">
      <w:pPr>
        <w:pStyle w:val="CM7"/>
        <w:jc w:val="both"/>
        <w:rPr>
          <w:color w:val="000000"/>
          <w:sz w:val="22"/>
          <w:szCs w:val="22"/>
          <w:lang w:val="lv-LV"/>
        </w:rPr>
      </w:pPr>
      <w:r w:rsidRPr="00914012">
        <w:rPr>
          <w:color w:val="000000"/>
          <w:sz w:val="22"/>
          <w:szCs w:val="22"/>
          <w:lang w:val="lv-LV"/>
        </w:rPr>
        <w:t>Nedrīkst pārsniegt ieteicamās devas.</w:t>
      </w:r>
    </w:p>
    <w:p w14:paraId="1DA85D45" w14:textId="77777777" w:rsidR="00153899" w:rsidRPr="00914012" w:rsidRDefault="00153899" w:rsidP="00914012">
      <w:pPr>
        <w:pStyle w:val="CM7"/>
        <w:jc w:val="both"/>
        <w:rPr>
          <w:color w:val="000000"/>
          <w:sz w:val="22"/>
          <w:szCs w:val="22"/>
          <w:lang w:val="lv-LV"/>
        </w:rPr>
      </w:pPr>
    </w:p>
    <w:p w14:paraId="5F0EF1A9" w14:textId="77777777" w:rsidR="00153899" w:rsidRPr="00914012" w:rsidRDefault="00153899" w:rsidP="00914012">
      <w:pPr>
        <w:pStyle w:val="CM7"/>
        <w:jc w:val="both"/>
        <w:rPr>
          <w:color w:val="000000"/>
          <w:sz w:val="22"/>
          <w:szCs w:val="22"/>
          <w:lang w:val="lv-LV"/>
        </w:rPr>
      </w:pPr>
      <w:r w:rsidRPr="00914012">
        <w:rPr>
          <w:color w:val="000000"/>
          <w:sz w:val="22"/>
          <w:szCs w:val="22"/>
          <w:lang w:val="lv-LV"/>
        </w:rPr>
        <w:t>Terapijas ilgumu bērniem vienmēr nosaka ārsts.</w:t>
      </w:r>
    </w:p>
    <w:p w14:paraId="5B59D92D" w14:textId="77777777" w:rsidR="00153899" w:rsidRPr="00914012" w:rsidRDefault="00153899" w:rsidP="00914012">
      <w:pPr>
        <w:pStyle w:val="CM7"/>
        <w:jc w:val="both"/>
        <w:rPr>
          <w:color w:val="000000"/>
          <w:sz w:val="22"/>
          <w:szCs w:val="22"/>
          <w:lang w:val="lv-LV"/>
        </w:rPr>
      </w:pPr>
    </w:p>
    <w:p w14:paraId="20ED8C0F" w14:textId="77777777" w:rsidR="00153899" w:rsidRPr="00914012" w:rsidRDefault="00153899" w:rsidP="00914012">
      <w:pPr>
        <w:pStyle w:val="CM7"/>
        <w:jc w:val="both"/>
        <w:rPr>
          <w:color w:val="000000"/>
          <w:sz w:val="22"/>
          <w:szCs w:val="22"/>
          <w:lang w:val="lv-LV"/>
        </w:rPr>
      </w:pPr>
      <w:r w:rsidRPr="00914012">
        <w:rPr>
          <w:color w:val="000000"/>
          <w:sz w:val="22"/>
          <w:szCs w:val="22"/>
          <w:lang w:val="lv-LV"/>
        </w:rPr>
        <w:t>Hronisku iesnu gadījumā deguna gļotādas atrofijas riska dēļ šīs zāles drīkst lietot tikai atbilstošā medicīniskā uzraudzībā.</w:t>
      </w:r>
    </w:p>
    <w:p w14:paraId="5422E6D4" w14:textId="77777777" w:rsidR="00153899" w:rsidRPr="00914012" w:rsidRDefault="00153899" w:rsidP="00914012">
      <w:pPr>
        <w:pStyle w:val="Default"/>
        <w:jc w:val="both"/>
        <w:rPr>
          <w:sz w:val="22"/>
          <w:szCs w:val="22"/>
          <w:lang w:val="lv-LV"/>
        </w:rPr>
      </w:pPr>
    </w:p>
    <w:p w14:paraId="59FE2283" w14:textId="77777777" w:rsidR="00153899" w:rsidRPr="00914012" w:rsidRDefault="00153899" w:rsidP="00914012">
      <w:pPr>
        <w:tabs>
          <w:tab w:val="clear" w:pos="567"/>
        </w:tabs>
        <w:spacing w:line="240" w:lineRule="auto"/>
        <w:jc w:val="both"/>
        <w:rPr>
          <w:bCs/>
          <w:i/>
          <w:iCs/>
          <w:color w:val="000000"/>
          <w:szCs w:val="22"/>
        </w:rPr>
      </w:pPr>
      <w:r w:rsidRPr="00914012">
        <w:rPr>
          <w:bCs/>
          <w:i/>
          <w:iCs/>
          <w:color w:val="000000"/>
          <w:szCs w:val="22"/>
        </w:rPr>
        <w:t>Pediatriskā populācija</w:t>
      </w:r>
    </w:p>
    <w:p w14:paraId="057EF115" w14:textId="77777777" w:rsidR="00153899" w:rsidRPr="00914012" w:rsidRDefault="00273E85" w:rsidP="00914012">
      <w:pPr>
        <w:pStyle w:val="CM6"/>
        <w:jc w:val="both"/>
        <w:rPr>
          <w:color w:val="000000"/>
          <w:sz w:val="22"/>
          <w:szCs w:val="22"/>
          <w:lang w:val="lv-LV"/>
        </w:rPr>
      </w:pPr>
      <w:r w:rsidRPr="00914012">
        <w:rPr>
          <w:color w:val="000000"/>
          <w:sz w:val="22"/>
          <w:szCs w:val="22"/>
          <w:lang w:val="lv-LV"/>
        </w:rPr>
        <w:t>Ksilonex</w:t>
      </w:r>
      <w:r w:rsidR="00153899" w:rsidRPr="00914012">
        <w:rPr>
          <w:color w:val="000000"/>
          <w:sz w:val="22"/>
          <w:szCs w:val="22"/>
          <w:lang w:val="lv-LV"/>
        </w:rPr>
        <w:t xml:space="preserve"> paredzēts pieaugušajiem un bērniem no 10 gadu vecuma. Šīs zāles nedrīkst lietot bērniem, kuri jaunāki par 10 gadiem.</w:t>
      </w:r>
    </w:p>
    <w:p w14:paraId="71F35EE9" w14:textId="77777777" w:rsidR="00F75EAB" w:rsidRPr="00914012" w:rsidRDefault="00F75EAB" w:rsidP="00914012">
      <w:pPr>
        <w:tabs>
          <w:tab w:val="clear" w:pos="567"/>
        </w:tabs>
        <w:spacing w:line="240" w:lineRule="auto"/>
        <w:jc w:val="both"/>
        <w:rPr>
          <w:b/>
          <w:i/>
          <w:color w:val="000000"/>
          <w:szCs w:val="22"/>
        </w:rPr>
      </w:pPr>
    </w:p>
    <w:p w14:paraId="208CF7E6" w14:textId="77777777" w:rsidR="00F75EAB" w:rsidRPr="00914012" w:rsidRDefault="00F75EAB" w:rsidP="00914012">
      <w:pPr>
        <w:tabs>
          <w:tab w:val="clear" w:pos="567"/>
        </w:tabs>
        <w:spacing w:line="240" w:lineRule="auto"/>
        <w:jc w:val="both"/>
        <w:rPr>
          <w:color w:val="000000"/>
          <w:szCs w:val="22"/>
          <w:u w:val="single"/>
        </w:rPr>
      </w:pPr>
      <w:r w:rsidRPr="00914012">
        <w:rPr>
          <w:color w:val="000000"/>
          <w:szCs w:val="22"/>
          <w:u w:val="single"/>
        </w:rPr>
        <w:lastRenderedPageBreak/>
        <w:t>Lietošanas veids</w:t>
      </w:r>
    </w:p>
    <w:p w14:paraId="5B0EF1B8" w14:textId="77777777" w:rsidR="00153899" w:rsidRPr="00914012" w:rsidRDefault="00273E85" w:rsidP="00914012">
      <w:pPr>
        <w:pStyle w:val="CM2"/>
        <w:spacing w:line="240" w:lineRule="auto"/>
        <w:jc w:val="both"/>
        <w:rPr>
          <w:color w:val="000000"/>
          <w:sz w:val="22"/>
          <w:szCs w:val="22"/>
          <w:lang w:val="lv-LV"/>
        </w:rPr>
      </w:pPr>
      <w:r w:rsidRPr="00914012">
        <w:rPr>
          <w:color w:val="000000"/>
          <w:sz w:val="22"/>
          <w:szCs w:val="22"/>
          <w:lang w:val="lv-LV"/>
        </w:rPr>
        <w:t>Ksilonex</w:t>
      </w:r>
      <w:r w:rsidR="00153899" w:rsidRPr="00914012">
        <w:rPr>
          <w:color w:val="000000"/>
          <w:sz w:val="22"/>
          <w:szCs w:val="22"/>
          <w:lang w:val="lv-LV"/>
        </w:rPr>
        <w:t xml:space="preserve"> paredzēts intranazālai lietošanai.</w:t>
      </w:r>
    </w:p>
    <w:p w14:paraId="675BFE67" w14:textId="77777777" w:rsidR="00F75EAB" w:rsidRPr="00914012" w:rsidRDefault="00F75EAB" w:rsidP="00914012">
      <w:pPr>
        <w:tabs>
          <w:tab w:val="clear" w:pos="567"/>
        </w:tabs>
        <w:spacing w:line="240" w:lineRule="auto"/>
        <w:jc w:val="both"/>
        <w:rPr>
          <w:b/>
          <w:color w:val="000000"/>
          <w:szCs w:val="22"/>
        </w:rPr>
      </w:pPr>
    </w:p>
    <w:p w14:paraId="4F3B9819" w14:textId="77777777" w:rsidR="00F75EAB" w:rsidRPr="00914012" w:rsidRDefault="00F75EAB" w:rsidP="00914012">
      <w:pPr>
        <w:tabs>
          <w:tab w:val="clear" w:pos="567"/>
        </w:tabs>
        <w:spacing w:line="240" w:lineRule="auto"/>
        <w:jc w:val="both"/>
        <w:rPr>
          <w:b/>
          <w:color w:val="000000"/>
          <w:szCs w:val="22"/>
        </w:rPr>
      </w:pPr>
      <w:r w:rsidRPr="00914012">
        <w:rPr>
          <w:b/>
          <w:color w:val="000000"/>
          <w:szCs w:val="22"/>
        </w:rPr>
        <w:t>4.3.</w:t>
      </w:r>
      <w:r w:rsidRPr="00914012">
        <w:rPr>
          <w:b/>
          <w:color w:val="000000"/>
          <w:szCs w:val="22"/>
        </w:rPr>
        <w:tab/>
        <w:t>Kontrindikācijas</w:t>
      </w:r>
    </w:p>
    <w:p w14:paraId="3C46D963" w14:textId="77777777" w:rsidR="00CE3063" w:rsidRPr="00914012" w:rsidRDefault="00CE3063" w:rsidP="00914012">
      <w:pPr>
        <w:tabs>
          <w:tab w:val="clear" w:pos="567"/>
        </w:tabs>
        <w:spacing w:line="240" w:lineRule="auto"/>
        <w:jc w:val="both"/>
        <w:rPr>
          <w:color w:val="000000"/>
          <w:szCs w:val="22"/>
        </w:rPr>
      </w:pPr>
    </w:p>
    <w:p w14:paraId="050E90CC" w14:textId="77777777" w:rsidR="00F75EAB" w:rsidRPr="00914012" w:rsidRDefault="00F75EAB" w:rsidP="00914012">
      <w:pPr>
        <w:numPr>
          <w:ilvl w:val="0"/>
          <w:numId w:val="31"/>
        </w:numPr>
        <w:tabs>
          <w:tab w:val="clear" w:pos="567"/>
          <w:tab w:val="left" w:pos="709"/>
        </w:tabs>
        <w:spacing w:line="240" w:lineRule="auto"/>
        <w:jc w:val="both"/>
        <w:rPr>
          <w:color w:val="000000"/>
          <w:szCs w:val="22"/>
        </w:rPr>
      </w:pPr>
      <w:r w:rsidRPr="00914012">
        <w:rPr>
          <w:color w:val="000000"/>
          <w:szCs w:val="22"/>
        </w:rPr>
        <w:t>Paaugstināta jutība pret aktīvo vielu vai jebkuru no 6.1. apakšpunktā uzskaitītajām palīgvielām.</w:t>
      </w:r>
    </w:p>
    <w:p w14:paraId="1AD58FD1" w14:textId="77777777" w:rsidR="00336A43" w:rsidRPr="00914012" w:rsidRDefault="00336A43" w:rsidP="00914012">
      <w:pPr>
        <w:pStyle w:val="Default"/>
        <w:numPr>
          <w:ilvl w:val="0"/>
          <w:numId w:val="31"/>
        </w:numPr>
        <w:tabs>
          <w:tab w:val="left" w:pos="709"/>
        </w:tabs>
        <w:jc w:val="both"/>
        <w:rPr>
          <w:sz w:val="22"/>
          <w:szCs w:val="22"/>
          <w:lang w:val="lv-LV"/>
        </w:rPr>
      </w:pPr>
      <w:r w:rsidRPr="00914012">
        <w:rPr>
          <w:sz w:val="22"/>
          <w:szCs w:val="22"/>
          <w:lang w:val="lv-LV"/>
        </w:rPr>
        <w:t>Sauss deguna gļotādas iekaisums (</w:t>
      </w:r>
      <w:r w:rsidRPr="00914012">
        <w:rPr>
          <w:i/>
          <w:iCs/>
          <w:sz w:val="22"/>
          <w:szCs w:val="22"/>
          <w:lang w:val="lv-LV"/>
        </w:rPr>
        <w:t>Rhinitis sicca</w:t>
      </w:r>
      <w:r w:rsidRPr="00914012">
        <w:rPr>
          <w:sz w:val="22"/>
          <w:szCs w:val="22"/>
          <w:lang w:val="lv-LV"/>
        </w:rPr>
        <w:t>).</w:t>
      </w:r>
    </w:p>
    <w:p w14:paraId="0DFB1720" w14:textId="77777777" w:rsidR="00336A43" w:rsidRPr="00914012" w:rsidRDefault="00336A43" w:rsidP="00914012">
      <w:pPr>
        <w:pStyle w:val="Default"/>
        <w:numPr>
          <w:ilvl w:val="0"/>
          <w:numId w:val="31"/>
        </w:numPr>
        <w:tabs>
          <w:tab w:val="left" w:pos="709"/>
        </w:tabs>
        <w:jc w:val="both"/>
        <w:rPr>
          <w:sz w:val="22"/>
          <w:szCs w:val="22"/>
          <w:lang w:val="lv-LV"/>
        </w:rPr>
      </w:pPr>
      <w:r w:rsidRPr="00914012">
        <w:rPr>
          <w:sz w:val="22"/>
          <w:szCs w:val="22"/>
          <w:lang w:val="lv-LV"/>
        </w:rPr>
        <w:t>Pacientiem, kuriem veikta transsfenoidālā hipofīzektomija vai jebkāda cita operācija, kas skar smadzeņu apvalku.</w:t>
      </w:r>
    </w:p>
    <w:p w14:paraId="74B2E410" w14:textId="77777777" w:rsidR="00336A43" w:rsidRPr="00914012" w:rsidRDefault="00336A43" w:rsidP="00914012">
      <w:pPr>
        <w:pStyle w:val="Default"/>
        <w:numPr>
          <w:ilvl w:val="0"/>
          <w:numId w:val="31"/>
        </w:numPr>
        <w:tabs>
          <w:tab w:val="left" w:pos="709"/>
        </w:tabs>
        <w:jc w:val="both"/>
        <w:rPr>
          <w:sz w:val="22"/>
          <w:szCs w:val="22"/>
          <w:lang w:val="lv-LV"/>
        </w:rPr>
      </w:pPr>
      <w:r w:rsidRPr="00914012">
        <w:rPr>
          <w:sz w:val="22"/>
          <w:szCs w:val="22"/>
          <w:lang w:val="lv-LV"/>
        </w:rPr>
        <w:t>Bērni, kuri jaunāki par 10 gadiem.</w:t>
      </w:r>
    </w:p>
    <w:p w14:paraId="0DE437EC" w14:textId="77777777" w:rsidR="00F75EAB" w:rsidRPr="00914012" w:rsidRDefault="00F75EAB" w:rsidP="00914012">
      <w:pPr>
        <w:tabs>
          <w:tab w:val="clear" w:pos="567"/>
        </w:tabs>
        <w:spacing w:line="240" w:lineRule="auto"/>
        <w:jc w:val="both"/>
        <w:rPr>
          <w:color w:val="000000"/>
          <w:szCs w:val="22"/>
        </w:rPr>
      </w:pPr>
    </w:p>
    <w:p w14:paraId="074200D3" w14:textId="77777777" w:rsidR="00F75EAB" w:rsidRPr="00914012" w:rsidRDefault="00F75EAB" w:rsidP="00914012">
      <w:pPr>
        <w:tabs>
          <w:tab w:val="clear" w:pos="567"/>
        </w:tabs>
        <w:spacing w:line="240" w:lineRule="auto"/>
        <w:jc w:val="both"/>
        <w:rPr>
          <w:b/>
          <w:color w:val="000000"/>
          <w:szCs w:val="22"/>
        </w:rPr>
      </w:pPr>
      <w:r w:rsidRPr="00914012">
        <w:rPr>
          <w:b/>
          <w:color w:val="000000"/>
          <w:szCs w:val="22"/>
        </w:rPr>
        <w:t>4.4.</w:t>
      </w:r>
      <w:r w:rsidRPr="00914012">
        <w:rPr>
          <w:b/>
          <w:color w:val="000000"/>
          <w:szCs w:val="22"/>
        </w:rPr>
        <w:tab/>
        <w:t>Īpaši brīdinājumi un piesardzība lietošanā</w:t>
      </w:r>
    </w:p>
    <w:p w14:paraId="0A2658F3" w14:textId="77777777" w:rsidR="00CE3063" w:rsidRPr="00914012" w:rsidRDefault="00CE3063" w:rsidP="00914012">
      <w:pPr>
        <w:pStyle w:val="CM6"/>
        <w:jc w:val="both"/>
        <w:rPr>
          <w:color w:val="000000"/>
          <w:sz w:val="22"/>
          <w:szCs w:val="22"/>
          <w:lang w:val="lv-LV"/>
        </w:rPr>
      </w:pPr>
    </w:p>
    <w:p w14:paraId="7C2F21E3" w14:textId="77777777" w:rsidR="00914012" w:rsidRPr="00914012" w:rsidRDefault="00914012" w:rsidP="00914012">
      <w:pPr>
        <w:spacing w:line="240" w:lineRule="auto"/>
        <w:jc w:val="both"/>
        <w:rPr>
          <w:color w:val="000000"/>
          <w:szCs w:val="22"/>
        </w:rPr>
      </w:pPr>
      <w:r w:rsidRPr="00914012">
        <w:rPr>
          <w:color w:val="000000"/>
          <w:szCs w:val="22"/>
        </w:rPr>
        <w:t>Pacientiem ar pagarināta QT intervāla sindromu, kurus ārstē ar ksilometazolīnu, var būt palielināts smagas ventrikulāras aritmijas risks.</w:t>
      </w:r>
    </w:p>
    <w:p w14:paraId="373409D6" w14:textId="77777777" w:rsidR="00914012" w:rsidRPr="00914012" w:rsidRDefault="00914012" w:rsidP="00914012">
      <w:pPr>
        <w:pStyle w:val="CM6"/>
        <w:jc w:val="both"/>
        <w:rPr>
          <w:color w:val="000000"/>
          <w:sz w:val="22"/>
          <w:szCs w:val="22"/>
          <w:lang w:val="lv-LV"/>
        </w:rPr>
      </w:pPr>
    </w:p>
    <w:p w14:paraId="626A20B2" w14:textId="77777777" w:rsidR="00336A43" w:rsidRPr="00914012" w:rsidRDefault="00336A43" w:rsidP="00914012">
      <w:pPr>
        <w:pStyle w:val="CM6"/>
        <w:jc w:val="both"/>
        <w:rPr>
          <w:color w:val="000000"/>
          <w:sz w:val="22"/>
          <w:szCs w:val="22"/>
          <w:lang w:val="lv-LV"/>
        </w:rPr>
      </w:pPr>
      <w:r w:rsidRPr="00914012">
        <w:rPr>
          <w:color w:val="000000"/>
          <w:sz w:val="22"/>
          <w:szCs w:val="22"/>
          <w:lang w:val="lv-LV"/>
        </w:rPr>
        <w:t>Lietojot ieteiktajās devās, saņemti atsevišķi ziņojumi par smagām blakusparādībām (it īpaši elpošanas apstāšanos). Jebkādā veidā jāizvairās no pārdozēšanas un ilgstošas lietošanas.</w:t>
      </w:r>
    </w:p>
    <w:p w14:paraId="1C753138" w14:textId="77777777" w:rsidR="00336A43" w:rsidRPr="00914012" w:rsidRDefault="00336A43" w:rsidP="00914012">
      <w:pPr>
        <w:pStyle w:val="Default"/>
        <w:jc w:val="both"/>
        <w:rPr>
          <w:sz w:val="22"/>
          <w:szCs w:val="22"/>
          <w:lang w:val="lv-LV"/>
        </w:rPr>
      </w:pPr>
    </w:p>
    <w:p w14:paraId="56EE020A" w14:textId="77777777" w:rsidR="00336A43" w:rsidRPr="00914012" w:rsidRDefault="00273E85" w:rsidP="00914012">
      <w:pPr>
        <w:pStyle w:val="CM4"/>
        <w:spacing w:line="240" w:lineRule="auto"/>
        <w:jc w:val="both"/>
        <w:rPr>
          <w:color w:val="000000"/>
          <w:sz w:val="22"/>
          <w:szCs w:val="22"/>
          <w:lang w:val="lv-LV"/>
        </w:rPr>
      </w:pPr>
      <w:r w:rsidRPr="00914012">
        <w:rPr>
          <w:color w:val="000000"/>
          <w:sz w:val="22"/>
          <w:szCs w:val="22"/>
          <w:lang w:val="lv-LV"/>
        </w:rPr>
        <w:t>Ksilonex</w:t>
      </w:r>
      <w:r w:rsidR="00336A43" w:rsidRPr="00914012">
        <w:rPr>
          <w:color w:val="000000"/>
          <w:sz w:val="22"/>
          <w:szCs w:val="22"/>
          <w:lang w:val="lv-LV"/>
        </w:rPr>
        <w:t xml:space="preserve"> drīkst lietot tikai pēc rūpīgas gaidāmā labvēlīgā efekta un potenciālā riska izvērtēšanas:</w:t>
      </w:r>
    </w:p>
    <w:p w14:paraId="03D12B87" w14:textId="77777777" w:rsidR="00336A43" w:rsidRPr="00914012" w:rsidRDefault="00336A43" w:rsidP="00914012">
      <w:pPr>
        <w:pStyle w:val="Default"/>
        <w:numPr>
          <w:ilvl w:val="0"/>
          <w:numId w:val="32"/>
        </w:numPr>
        <w:tabs>
          <w:tab w:val="left" w:pos="709"/>
        </w:tabs>
        <w:jc w:val="both"/>
        <w:rPr>
          <w:sz w:val="22"/>
          <w:szCs w:val="22"/>
          <w:lang w:val="lv-LV"/>
        </w:rPr>
      </w:pPr>
      <w:r w:rsidRPr="00914012">
        <w:rPr>
          <w:sz w:val="22"/>
          <w:szCs w:val="22"/>
          <w:lang w:val="lv-LV"/>
        </w:rPr>
        <w:t>pacientiem, kuri lieto monoamīnoksidāzes inhibitorus (MAOI) vai arī tos lietojuši pēdējo 2 nedēļu laikā, vai arī citus potenciāli asinsspiedienu paaugstinošus līdzekļus;</w:t>
      </w:r>
    </w:p>
    <w:p w14:paraId="0A7F911E" w14:textId="77777777" w:rsidR="00336A43" w:rsidRPr="00914012" w:rsidRDefault="00336A43" w:rsidP="00914012">
      <w:pPr>
        <w:pStyle w:val="Default"/>
        <w:numPr>
          <w:ilvl w:val="0"/>
          <w:numId w:val="32"/>
        </w:numPr>
        <w:tabs>
          <w:tab w:val="left" w:pos="709"/>
        </w:tabs>
        <w:jc w:val="both"/>
        <w:rPr>
          <w:sz w:val="22"/>
          <w:szCs w:val="22"/>
          <w:lang w:val="lv-LV"/>
        </w:rPr>
      </w:pPr>
      <w:r w:rsidRPr="00914012">
        <w:rPr>
          <w:sz w:val="22"/>
          <w:szCs w:val="22"/>
          <w:lang w:val="lv-LV"/>
        </w:rPr>
        <w:t>pacientiem ar paaugstinātu intraokulāro spiedienu, it īpaši šaurleņķa glaukomu;</w:t>
      </w:r>
    </w:p>
    <w:p w14:paraId="5AEEF2C7" w14:textId="77777777" w:rsidR="00336A43" w:rsidRPr="00914012" w:rsidRDefault="00336A43" w:rsidP="00914012">
      <w:pPr>
        <w:pStyle w:val="Default"/>
        <w:numPr>
          <w:ilvl w:val="0"/>
          <w:numId w:val="32"/>
        </w:numPr>
        <w:tabs>
          <w:tab w:val="left" w:pos="709"/>
        </w:tabs>
        <w:jc w:val="both"/>
        <w:rPr>
          <w:sz w:val="22"/>
          <w:szCs w:val="22"/>
          <w:lang w:val="lv-LV"/>
        </w:rPr>
      </w:pPr>
      <w:r w:rsidRPr="00914012">
        <w:rPr>
          <w:sz w:val="22"/>
          <w:szCs w:val="22"/>
          <w:lang w:val="lv-LV"/>
        </w:rPr>
        <w:t>pacientiem ar smagām sirds un asinsvadu sistēmas slimībām (piemēram, koronāro sirds slimību, hipertensiju);</w:t>
      </w:r>
    </w:p>
    <w:p w14:paraId="1BE4B60E" w14:textId="77777777" w:rsidR="00336A43" w:rsidRPr="00914012" w:rsidRDefault="00336A43" w:rsidP="00914012">
      <w:pPr>
        <w:pStyle w:val="Default"/>
        <w:numPr>
          <w:ilvl w:val="0"/>
          <w:numId w:val="32"/>
        </w:numPr>
        <w:tabs>
          <w:tab w:val="left" w:pos="709"/>
        </w:tabs>
        <w:jc w:val="both"/>
        <w:rPr>
          <w:sz w:val="22"/>
          <w:szCs w:val="22"/>
          <w:lang w:val="lv-LV"/>
        </w:rPr>
      </w:pPr>
      <w:r w:rsidRPr="00914012">
        <w:rPr>
          <w:sz w:val="22"/>
          <w:szCs w:val="22"/>
          <w:lang w:val="lv-LV"/>
        </w:rPr>
        <w:t>pacientiem ar feohromocitomu;</w:t>
      </w:r>
    </w:p>
    <w:p w14:paraId="3028F0EF" w14:textId="77777777" w:rsidR="00336A43" w:rsidRPr="00914012" w:rsidRDefault="00336A43" w:rsidP="00914012">
      <w:pPr>
        <w:pStyle w:val="Default"/>
        <w:numPr>
          <w:ilvl w:val="0"/>
          <w:numId w:val="32"/>
        </w:numPr>
        <w:tabs>
          <w:tab w:val="left" w:pos="709"/>
        </w:tabs>
        <w:jc w:val="both"/>
        <w:rPr>
          <w:sz w:val="22"/>
          <w:szCs w:val="22"/>
          <w:lang w:val="lv-LV"/>
        </w:rPr>
      </w:pPr>
      <w:r w:rsidRPr="00914012">
        <w:rPr>
          <w:sz w:val="22"/>
          <w:szCs w:val="22"/>
          <w:lang w:val="lv-LV"/>
        </w:rPr>
        <w:t>pacientiem ar metabolisma traucējumiem (piemēram, hipertireoīdismu, cukura diabētu);</w:t>
      </w:r>
    </w:p>
    <w:p w14:paraId="2DAFBCFE" w14:textId="77777777" w:rsidR="00336A43" w:rsidRPr="00914012" w:rsidRDefault="00336A43" w:rsidP="00914012">
      <w:pPr>
        <w:pStyle w:val="Default"/>
        <w:numPr>
          <w:ilvl w:val="0"/>
          <w:numId w:val="32"/>
        </w:numPr>
        <w:tabs>
          <w:tab w:val="left" w:pos="709"/>
        </w:tabs>
        <w:jc w:val="both"/>
        <w:rPr>
          <w:sz w:val="22"/>
          <w:szCs w:val="22"/>
          <w:lang w:val="lv-LV"/>
        </w:rPr>
      </w:pPr>
      <w:r w:rsidRPr="00914012">
        <w:rPr>
          <w:sz w:val="22"/>
          <w:szCs w:val="22"/>
          <w:lang w:val="lv-LV"/>
        </w:rPr>
        <w:t>pacientiem ar porfīriju;</w:t>
      </w:r>
    </w:p>
    <w:p w14:paraId="49F230A4" w14:textId="77777777" w:rsidR="00336A43" w:rsidRPr="00914012" w:rsidRDefault="00336A43" w:rsidP="00914012">
      <w:pPr>
        <w:pStyle w:val="Default"/>
        <w:numPr>
          <w:ilvl w:val="0"/>
          <w:numId w:val="32"/>
        </w:numPr>
        <w:tabs>
          <w:tab w:val="left" w:pos="709"/>
        </w:tabs>
        <w:jc w:val="both"/>
        <w:rPr>
          <w:sz w:val="22"/>
          <w:szCs w:val="22"/>
          <w:lang w:val="lv-LV"/>
        </w:rPr>
      </w:pPr>
      <w:r w:rsidRPr="00914012">
        <w:rPr>
          <w:sz w:val="22"/>
          <w:szCs w:val="22"/>
          <w:lang w:val="lv-LV"/>
        </w:rPr>
        <w:t>pacientiem ar prostatas hiperplāziju.</w:t>
      </w:r>
    </w:p>
    <w:p w14:paraId="6B40F1A5" w14:textId="77777777" w:rsidR="00336A43" w:rsidRPr="00914012" w:rsidRDefault="00336A43" w:rsidP="00914012">
      <w:pPr>
        <w:pStyle w:val="Default"/>
        <w:jc w:val="both"/>
        <w:rPr>
          <w:sz w:val="22"/>
          <w:szCs w:val="22"/>
          <w:lang w:val="lv-LV"/>
        </w:rPr>
      </w:pPr>
    </w:p>
    <w:p w14:paraId="358340A0" w14:textId="77777777" w:rsidR="00336A43" w:rsidRPr="00914012" w:rsidRDefault="00336A43" w:rsidP="00914012">
      <w:pPr>
        <w:pStyle w:val="CM4"/>
        <w:spacing w:line="240" w:lineRule="auto"/>
        <w:jc w:val="both"/>
        <w:rPr>
          <w:color w:val="000000"/>
          <w:sz w:val="22"/>
          <w:szCs w:val="22"/>
          <w:lang w:val="lv-LV"/>
        </w:rPr>
      </w:pPr>
      <w:r w:rsidRPr="00914012">
        <w:rPr>
          <w:color w:val="000000"/>
          <w:sz w:val="22"/>
          <w:szCs w:val="22"/>
          <w:lang w:val="lv-LV"/>
        </w:rPr>
        <w:t>Deguna aizlikumu samazinošu līdzekļu iedarbība var būt pastiprināta ilgstošas lietošanas un pārdozēšanas gadījumā. Gadījumā, ja deguna aizlikumu samazinoši līdzekļi tiek lietoti nepareizi, iespējama:</w:t>
      </w:r>
    </w:p>
    <w:p w14:paraId="0753135E" w14:textId="77777777" w:rsidR="00336A43" w:rsidRPr="00914012" w:rsidRDefault="00336A43" w:rsidP="00914012">
      <w:pPr>
        <w:pStyle w:val="Default"/>
        <w:numPr>
          <w:ilvl w:val="0"/>
          <w:numId w:val="33"/>
        </w:numPr>
        <w:tabs>
          <w:tab w:val="left" w:pos="709"/>
        </w:tabs>
        <w:jc w:val="both"/>
        <w:rPr>
          <w:sz w:val="22"/>
          <w:szCs w:val="22"/>
          <w:lang w:val="lv-LV"/>
        </w:rPr>
      </w:pPr>
      <w:r w:rsidRPr="00914012">
        <w:rPr>
          <w:sz w:val="22"/>
          <w:szCs w:val="22"/>
          <w:lang w:val="lv-LV"/>
        </w:rPr>
        <w:t>deguna gļotādas reaktīvā hiperēmija (</w:t>
      </w:r>
      <w:r w:rsidRPr="00914012">
        <w:rPr>
          <w:i/>
          <w:iCs/>
          <w:sz w:val="22"/>
          <w:szCs w:val="22"/>
          <w:lang w:val="lv-LV"/>
        </w:rPr>
        <w:t>Rhinitis medicamentosa</w:t>
      </w:r>
      <w:r w:rsidRPr="00914012">
        <w:rPr>
          <w:sz w:val="22"/>
          <w:szCs w:val="22"/>
          <w:lang w:val="lv-LV"/>
        </w:rPr>
        <w:t>);</w:t>
      </w:r>
    </w:p>
    <w:p w14:paraId="191ABD71" w14:textId="77777777" w:rsidR="00336A43" w:rsidRPr="00914012" w:rsidRDefault="00336A43" w:rsidP="00914012">
      <w:pPr>
        <w:pStyle w:val="Default"/>
        <w:numPr>
          <w:ilvl w:val="0"/>
          <w:numId w:val="33"/>
        </w:numPr>
        <w:tabs>
          <w:tab w:val="left" w:pos="709"/>
        </w:tabs>
        <w:jc w:val="both"/>
        <w:rPr>
          <w:sz w:val="22"/>
          <w:szCs w:val="22"/>
          <w:lang w:val="lv-LV"/>
        </w:rPr>
      </w:pPr>
      <w:r w:rsidRPr="00914012">
        <w:rPr>
          <w:sz w:val="22"/>
          <w:szCs w:val="22"/>
          <w:lang w:val="lv-LV"/>
        </w:rPr>
        <w:t>deguna gļotādas atrofija.</w:t>
      </w:r>
    </w:p>
    <w:p w14:paraId="31E245AF" w14:textId="77777777" w:rsidR="00336A43" w:rsidRPr="00914012" w:rsidRDefault="00336A43" w:rsidP="00914012">
      <w:pPr>
        <w:pStyle w:val="Default"/>
        <w:jc w:val="both"/>
        <w:rPr>
          <w:sz w:val="22"/>
          <w:szCs w:val="22"/>
          <w:lang w:val="lv-LV"/>
        </w:rPr>
      </w:pPr>
    </w:p>
    <w:p w14:paraId="509815CD" w14:textId="77777777" w:rsidR="00336A43" w:rsidRPr="00914012" w:rsidRDefault="00336A43" w:rsidP="00914012">
      <w:pPr>
        <w:pStyle w:val="CM6"/>
        <w:jc w:val="both"/>
        <w:rPr>
          <w:color w:val="000000"/>
          <w:sz w:val="22"/>
          <w:szCs w:val="22"/>
          <w:lang w:val="lv-LV"/>
        </w:rPr>
      </w:pPr>
      <w:r w:rsidRPr="00914012">
        <w:rPr>
          <w:color w:val="000000"/>
          <w:sz w:val="22"/>
          <w:szCs w:val="22"/>
          <w:lang w:val="lv-LV"/>
        </w:rPr>
        <w:t>Lai nodrošinātu vismaz daļēju elpošanu caur degunu, simpatomimētiskos līdzekļus otrā nāsī nedrīkst lietot līdz simptomi nav izzuduši vienā nāsī.</w:t>
      </w:r>
    </w:p>
    <w:p w14:paraId="75894165" w14:textId="77777777" w:rsidR="00336A43" w:rsidRPr="00914012" w:rsidRDefault="00336A43" w:rsidP="00914012">
      <w:pPr>
        <w:pStyle w:val="Default"/>
        <w:jc w:val="both"/>
        <w:rPr>
          <w:sz w:val="22"/>
          <w:szCs w:val="22"/>
          <w:lang w:val="lv-LV"/>
        </w:rPr>
      </w:pPr>
    </w:p>
    <w:p w14:paraId="2D9EBD6C" w14:textId="77777777" w:rsidR="00336A43" w:rsidRPr="00914012" w:rsidRDefault="00336A43" w:rsidP="00914012">
      <w:pPr>
        <w:pStyle w:val="CM6"/>
        <w:jc w:val="both"/>
        <w:rPr>
          <w:i/>
          <w:color w:val="000000"/>
          <w:sz w:val="22"/>
          <w:szCs w:val="22"/>
          <w:lang w:val="lv-LV"/>
        </w:rPr>
      </w:pPr>
      <w:r w:rsidRPr="00914012">
        <w:rPr>
          <w:i/>
          <w:color w:val="000000"/>
          <w:sz w:val="22"/>
          <w:szCs w:val="22"/>
          <w:lang w:val="lv-LV"/>
        </w:rPr>
        <w:t>Palīgvielas</w:t>
      </w:r>
    </w:p>
    <w:p w14:paraId="3DD5AA48" w14:textId="77777777" w:rsidR="00CE3063" w:rsidRPr="00914012" w:rsidRDefault="00CE3063" w:rsidP="00914012">
      <w:pPr>
        <w:tabs>
          <w:tab w:val="clear" w:pos="567"/>
        </w:tabs>
        <w:autoSpaceDE w:val="0"/>
        <w:autoSpaceDN w:val="0"/>
        <w:adjustRightInd w:val="0"/>
        <w:spacing w:line="240" w:lineRule="auto"/>
        <w:jc w:val="both"/>
        <w:rPr>
          <w:color w:val="000000"/>
          <w:szCs w:val="22"/>
          <w:lang w:eastAsia="en-GB"/>
        </w:rPr>
      </w:pPr>
      <w:r w:rsidRPr="00914012">
        <w:rPr>
          <w:color w:val="000000"/>
          <w:szCs w:val="22"/>
          <w:lang w:eastAsia="en-GB"/>
        </w:rPr>
        <w:t>Šīs zāles satur 0,</w:t>
      </w:r>
      <w:r w:rsidR="001646EC" w:rsidRPr="00914012">
        <w:rPr>
          <w:color w:val="000000"/>
          <w:szCs w:val="22"/>
          <w:lang w:eastAsia="en-GB"/>
        </w:rPr>
        <w:t>2</w:t>
      </w:r>
      <w:r w:rsidRPr="00914012">
        <w:rPr>
          <w:color w:val="000000"/>
          <w:szCs w:val="22"/>
          <w:lang w:eastAsia="en-GB"/>
        </w:rPr>
        <w:t>0 mg benzalkonija hlorīda katrā ml</w:t>
      </w:r>
      <w:r w:rsidR="000435C0" w:rsidRPr="00914012">
        <w:rPr>
          <w:color w:val="000000"/>
          <w:szCs w:val="22"/>
          <w:lang w:eastAsia="en-GB"/>
        </w:rPr>
        <w:t xml:space="preserve"> šķīduma</w:t>
      </w:r>
      <w:r w:rsidRPr="00914012">
        <w:rPr>
          <w:color w:val="000000"/>
          <w:szCs w:val="22"/>
          <w:lang w:eastAsia="en-GB"/>
        </w:rPr>
        <w:t xml:space="preserve">. </w:t>
      </w:r>
      <w:r w:rsidR="00AD3931" w:rsidRPr="00914012">
        <w:rPr>
          <w:color w:val="000000"/>
          <w:szCs w:val="22"/>
          <w:lang w:eastAsia="en-GB"/>
        </w:rPr>
        <w:t>Ilgstoša lietošana var izraisīt deguna gļotādas tūsku.</w:t>
      </w:r>
    </w:p>
    <w:p w14:paraId="48F26206" w14:textId="77777777" w:rsidR="00CE3063" w:rsidRPr="00914012" w:rsidRDefault="00CE3063" w:rsidP="00914012">
      <w:pPr>
        <w:pStyle w:val="CM6"/>
        <w:jc w:val="both"/>
        <w:rPr>
          <w:color w:val="000000"/>
          <w:sz w:val="22"/>
          <w:szCs w:val="22"/>
          <w:lang w:val="lv-LV"/>
        </w:rPr>
      </w:pPr>
    </w:p>
    <w:p w14:paraId="15A7602A" w14:textId="77777777" w:rsidR="00336A43" w:rsidRPr="00914012" w:rsidRDefault="00336A43" w:rsidP="00914012">
      <w:pPr>
        <w:pStyle w:val="CM6"/>
        <w:jc w:val="both"/>
        <w:rPr>
          <w:color w:val="000000"/>
          <w:sz w:val="22"/>
          <w:szCs w:val="22"/>
          <w:lang w:val="lv-LV"/>
        </w:rPr>
      </w:pPr>
      <w:r w:rsidRPr="00914012">
        <w:rPr>
          <w:color w:val="000000"/>
          <w:sz w:val="22"/>
          <w:szCs w:val="22"/>
          <w:lang w:val="lv-LV"/>
        </w:rPr>
        <w:t>Ja ir aizdomas par šādu reakciju (piemēram, ilgstoši aizlikts deguns), ja iespējams, jāizmanto citus deguna līdzekļus, kas nesatur konservantus. Ja nav pieejami līdzekļi, kas nesatur konservantus, jāapsver citas zāļu farmaceitiskās formas lietošana.</w:t>
      </w:r>
    </w:p>
    <w:p w14:paraId="5120F8E2" w14:textId="77777777" w:rsidR="00F75EAB" w:rsidRPr="00914012" w:rsidRDefault="00F75EAB" w:rsidP="00914012">
      <w:pPr>
        <w:tabs>
          <w:tab w:val="clear" w:pos="567"/>
        </w:tabs>
        <w:spacing w:line="240" w:lineRule="auto"/>
        <w:jc w:val="both"/>
        <w:rPr>
          <w:color w:val="000000"/>
          <w:szCs w:val="22"/>
        </w:rPr>
      </w:pPr>
    </w:p>
    <w:p w14:paraId="78F8D6D5" w14:textId="77777777" w:rsidR="00F75EAB" w:rsidRPr="00914012" w:rsidRDefault="00F75EAB" w:rsidP="00914012">
      <w:pPr>
        <w:tabs>
          <w:tab w:val="clear" w:pos="567"/>
        </w:tabs>
        <w:spacing w:line="240" w:lineRule="auto"/>
        <w:jc w:val="both"/>
        <w:rPr>
          <w:b/>
          <w:color w:val="000000"/>
          <w:szCs w:val="22"/>
        </w:rPr>
      </w:pPr>
      <w:r w:rsidRPr="00914012">
        <w:rPr>
          <w:b/>
          <w:color w:val="000000"/>
          <w:szCs w:val="22"/>
        </w:rPr>
        <w:t>4.5.</w:t>
      </w:r>
      <w:r w:rsidRPr="00914012">
        <w:rPr>
          <w:b/>
          <w:color w:val="000000"/>
          <w:szCs w:val="22"/>
        </w:rPr>
        <w:tab/>
        <w:t>Mijiedarbība ar citām zālēm un citi mijiedarbības veidi</w:t>
      </w:r>
    </w:p>
    <w:p w14:paraId="7D569652" w14:textId="77777777" w:rsidR="00CE3063" w:rsidRPr="00914012" w:rsidRDefault="00CE3063" w:rsidP="00914012">
      <w:pPr>
        <w:pStyle w:val="CM6"/>
        <w:jc w:val="both"/>
        <w:rPr>
          <w:color w:val="000000"/>
          <w:sz w:val="22"/>
          <w:szCs w:val="22"/>
          <w:lang w:val="lv-LV"/>
        </w:rPr>
      </w:pPr>
    </w:p>
    <w:p w14:paraId="7DD1CC2F" w14:textId="77777777" w:rsidR="00336A43" w:rsidRPr="00914012" w:rsidRDefault="00336A43" w:rsidP="00914012">
      <w:pPr>
        <w:pStyle w:val="CM6"/>
        <w:jc w:val="both"/>
        <w:rPr>
          <w:color w:val="000000"/>
          <w:sz w:val="22"/>
          <w:szCs w:val="22"/>
          <w:lang w:val="lv-LV"/>
        </w:rPr>
      </w:pPr>
      <w:r w:rsidRPr="00914012">
        <w:rPr>
          <w:color w:val="000000"/>
          <w:sz w:val="22"/>
          <w:szCs w:val="22"/>
          <w:lang w:val="lv-LV"/>
        </w:rPr>
        <w:t>Vienlaicīga ksilometazolīna lietošana ar tricikliskajiem antidepresantiem, tranilcipromīna tipa monoamīnoksidāzes inhibitoriem, hipertensīviem līdzekļiem var izraisīt asinsspiediena paaugstināšanos. Tāpēc no šo zāļu vienlaicīgas lietošanas būtu jāizvairās.</w:t>
      </w:r>
    </w:p>
    <w:p w14:paraId="749325C6" w14:textId="77777777" w:rsidR="00336A43" w:rsidRPr="00914012" w:rsidRDefault="00336A43" w:rsidP="00914012">
      <w:pPr>
        <w:pStyle w:val="Default"/>
        <w:jc w:val="both"/>
        <w:rPr>
          <w:sz w:val="22"/>
          <w:szCs w:val="22"/>
          <w:lang w:val="lv-LV"/>
        </w:rPr>
      </w:pPr>
    </w:p>
    <w:p w14:paraId="4C1D2320" w14:textId="77777777" w:rsidR="00336A43" w:rsidRPr="00914012" w:rsidRDefault="00336A43" w:rsidP="00914012">
      <w:pPr>
        <w:pStyle w:val="CM6"/>
        <w:jc w:val="both"/>
        <w:rPr>
          <w:color w:val="000000"/>
          <w:sz w:val="22"/>
          <w:szCs w:val="22"/>
          <w:lang w:val="lv-LV"/>
        </w:rPr>
      </w:pPr>
      <w:r w:rsidRPr="00914012">
        <w:rPr>
          <w:color w:val="000000"/>
          <w:sz w:val="22"/>
          <w:szCs w:val="22"/>
          <w:lang w:val="lv-LV"/>
        </w:rPr>
        <w:t>Lietojot vienlaicīgi ar ergotamīnu, palielinās ergotisma risks.</w:t>
      </w:r>
    </w:p>
    <w:p w14:paraId="14D968C1" w14:textId="77777777" w:rsidR="00336A43" w:rsidRPr="00914012" w:rsidRDefault="00336A43" w:rsidP="00914012">
      <w:pPr>
        <w:pStyle w:val="Default"/>
        <w:jc w:val="both"/>
        <w:rPr>
          <w:sz w:val="22"/>
          <w:szCs w:val="22"/>
          <w:lang w:val="lv-LV"/>
        </w:rPr>
      </w:pPr>
    </w:p>
    <w:p w14:paraId="73947DB1" w14:textId="77777777" w:rsidR="00336A43" w:rsidRPr="00914012" w:rsidRDefault="00336A43" w:rsidP="00914012">
      <w:pPr>
        <w:pStyle w:val="CM6"/>
        <w:jc w:val="both"/>
        <w:rPr>
          <w:color w:val="000000"/>
          <w:sz w:val="22"/>
          <w:szCs w:val="22"/>
          <w:lang w:val="lv-LV"/>
        </w:rPr>
      </w:pPr>
      <w:r w:rsidRPr="00914012">
        <w:rPr>
          <w:color w:val="000000"/>
          <w:sz w:val="22"/>
          <w:szCs w:val="22"/>
          <w:lang w:val="lv-LV"/>
        </w:rPr>
        <w:t>Lietojot vienlaicīgi ar oksitocīnu, doksaprāmu, palielinās hipertensijas risks.</w:t>
      </w:r>
    </w:p>
    <w:p w14:paraId="22A6D761" w14:textId="77777777" w:rsidR="00F75EAB" w:rsidRPr="00914012" w:rsidRDefault="00F75EAB" w:rsidP="00914012">
      <w:pPr>
        <w:tabs>
          <w:tab w:val="clear" w:pos="567"/>
        </w:tabs>
        <w:spacing w:line="240" w:lineRule="auto"/>
        <w:jc w:val="both"/>
        <w:rPr>
          <w:color w:val="000000"/>
          <w:szCs w:val="22"/>
        </w:rPr>
      </w:pPr>
    </w:p>
    <w:p w14:paraId="75A16340" w14:textId="77777777" w:rsidR="00F75EAB" w:rsidRPr="00914012" w:rsidRDefault="00F75EAB" w:rsidP="00914012">
      <w:pPr>
        <w:tabs>
          <w:tab w:val="clear" w:pos="567"/>
        </w:tabs>
        <w:spacing w:line="240" w:lineRule="auto"/>
        <w:jc w:val="both"/>
        <w:rPr>
          <w:color w:val="000000"/>
          <w:szCs w:val="22"/>
        </w:rPr>
      </w:pPr>
      <w:r w:rsidRPr="00914012">
        <w:rPr>
          <w:b/>
          <w:color w:val="000000"/>
          <w:szCs w:val="22"/>
        </w:rPr>
        <w:lastRenderedPageBreak/>
        <w:t>4.6.</w:t>
      </w:r>
      <w:r w:rsidRPr="00914012">
        <w:rPr>
          <w:b/>
          <w:color w:val="000000"/>
          <w:szCs w:val="22"/>
        </w:rPr>
        <w:tab/>
      </w:r>
      <w:r w:rsidRPr="00914012">
        <w:rPr>
          <w:b/>
          <w:noProof/>
          <w:color w:val="000000"/>
          <w:szCs w:val="22"/>
        </w:rPr>
        <w:t>Fertilitāte, grūtniecība</w:t>
      </w:r>
      <w:r w:rsidRPr="00914012">
        <w:rPr>
          <w:b/>
          <w:color w:val="000000"/>
          <w:szCs w:val="22"/>
        </w:rPr>
        <w:t xml:space="preserve"> un </w:t>
      </w:r>
      <w:r w:rsidRPr="00914012">
        <w:rPr>
          <w:b/>
          <w:noProof/>
          <w:color w:val="000000"/>
          <w:szCs w:val="22"/>
        </w:rPr>
        <w:t>barošana ar krūti</w:t>
      </w:r>
    </w:p>
    <w:p w14:paraId="4B69853C" w14:textId="77777777" w:rsidR="00CE3063" w:rsidRPr="00914012" w:rsidRDefault="00CE3063" w:rsidP="00914012">
      <w:pPr>
        <w:tabs>
          <w:tab w:val="clear" w:pos="567"/>
        </w:tabs>
        <w:spacing w:line="240" w:lineRule="auto"/>
        <w:jc w:val="both"/>
        <w:rPr>
          <w:color w:val="000000"/>
          <w:szCs w:val="22"/>
          <w:u w:val="single"/>
        </w:rPr>
      </w:pPr>
    </w:p>
    <w:p w14:paraId="2A2939B9" w14:textId="77777777" w:rsidR="00F75EAB" w:rsidRPr="00914012" w:rsidRDefault="00F75EAB" w:rsidP="00914012">
      <w:pPr>
        <w:tabs>
          <w:tab w:val="clear" w:pos="567"/>
        </w:tabs>
        <w:spacing w:line="240" w:lineRule="auto"/>
        <w:jc w:val="both"/>
        <w:rPr>
          <w:color w:val="000000"/>
          <w:szCs w:val="22"/>
          <w:u w:val="single"/>
        </w:rPr>
      </w:pPr>
      <w:r w:rsidRPr="00914012">
        <w:rPr>
          <w:color w:val="000000"/>
          <w:szCs w:val="22"/>
          <w:u w:val="single"/>
        </w:rPr>
        <w:t>Grūtniecība</w:t>
      </w:r>
    </w:p>
    <w:p w14:paraId="0A982967" w14:textId="77777777" w:rsidR="00336A43" w:rsidRPr="00914012" w:rsidRDefault="00336A43" w:rsidP="00914012">
      <w:pPr>
        <w:pStyle w:val="CM6"/>
        <w:jc w:val="both"/>
        <w:rPr>
          <w:color w:val="000000"/>
          <w:sz w:val="22"/>
          <w:szCs w:val="22"/>
          <w:lang w:val="lv-LV"/>
        </w:rPr>
      </w:pPr>
      <w:r w:rsidRPr="00914012">
        <w:rPr>
          <w:color w:val="000000"/>
          <w:sz w:val="22"/>
          <w:szCs w:val="22"/>
          <w:lang w:val="lv-LV"/>
        </w:rPr>
        <w:t xml:space="preserve">Dati, kas iegūti no ierobežota grūtnieču skaita, kuras pirmā grūtniecības trimestra laikā lietoja šīs zāles, neliecina par jebkādām ksilometazolīna blakusparādībām attiecībā uz grūtniecību vai augļa/jaundzimušā veselību. Pašlaik nav pieejami citi nozīmīgi epidemioloģiskie dati. Eksperimentālie pētījumi ar dzīvniekiem, pārsniedzot ieteicamās devas, liecina par reproduktīvo toksicitāti (skatīt 5.3. apakšpunktu). Grūtniecības laikā </w:t>
      </w:r>
      <w:r w:rsidR="00273E85" w:rsidRPr="00914012">
        <w:rPr>
          <w:color w:val="000000"/>
          <w:sz w:val="22"/>
          <w:szCs w:val="22"/>
          <w:lang w:val="lv-LV"/>
        </w:rPr>
        <w:t>Ksilonex</w:t>
      </w:r>
      <w:r w:rsidRPr="00914012">
        <w:rPr>
          <w:color w:val="000000"/>
          <w:sz w:val="22"/>
          <w:szCs w:val="22"/>
          <w:lang w:val="lv-LV"/>
        </w:rPr>
        <w:t xml:space="preserve"> drīkst lietot tikai pēc rūpīgas riska/ieguvuma attiecības izvērtēšanas. Tā kā pārdozēšana var ietekmēt augļa apgādi ar asinīm, grūtniecības laikā nedrīkst pārsniegt ieteicamās devas.</w:t>
      </w:r>
    </w:p>
    <w:p w14:paraId="0A791AEE" w14:textId="77777777" w:rsidR="00336A43" w:rsidRPr="00914012" w:rsidRDefault="00336A43" w:rsidP="00914012">
      <w:pPr>
        <w:pStyle w:val="CM6"/>
        <w:jc w:val="both"/>
        <w:rPr>
          <w:color w:val="000000"/>
          <w:sz w:val="22"/>
          <w:szCs w:val="22"/>
          <w:lang w:val="lv-LV"/>
        </w:rPr>
      </w:pPr>
    </w:p>
    <w:p w14:paraId="630ACD03" w14:textId="77777777" w:rsidR="00336A43" w:rsidRPr="00914012" w:rsidRDefault="00336A43" w:rsidP="00914012">
      <w:pPr>
        <w:tabs>
          <w:tab w:val="clear" w:pos="567"/>
        </w:tabs>
        <w:spacing w:line="240" w:lineRule="auto"/>
        <w:jc w:val="both"/>
        <w:rPr>
          <w:noProof/>
          <w:color w:val="000000"/>
          <w:szCs w:val="22"/>
          <w:u w:val="single"/>
        </w:rPr>
      </w:pPr>
      <w:r w:rsidRPr="00914012">
        <w:rPr>
          <w:noProof/>
          <w:color w:val="000000"/>
          <w:szCs w:val="22"/>
          <w:u w:val="single"/>
        </w:rPr>
        <w:t>Barošana ar krūti</w:t>
      </w:r>
    </w:p>
    <w:p w14:paraId="3067E0E8" w14:textId="50E23969" w:rsidR="00336A43" w:rsidRPr="00914012" w:rsidRDefault="00336A43" w:rsidP="00914012">
      <w:pPr>
        <w:pStyle w:val="CM6"/>
        <w:jc w:val="both"/>
        <w:rPr>
          <w:color w:val="000000"/>
          <w:sz w:val="22"/>
          <w:szCs w:val="22"/>
          <w:lang w:val="lv-LV"/>
        </w:rPr>
      </w:pPr>
      <w:r w:rsidRPr="00914012">
        <w:rPr>
          <w:color w:val="000000"/>
          <w:sz w:val="22"/>
          <w:szCs w:val="22"/>
          <w:lang w:val="lv-LV"/>
        </w:rPr>
        <w:t xml:space="preserve">Nav zināms vai ksilometazolīns izdalās mātes pienā. Šā iemesla dēļ mātēm, kuras baro bērnu ar krūti, </w:t>
      </w:r>
      <w:r w:rsidR="00273E85" w:rsidRPr="00914012">
        <w:rPr>
          <w:color w:val="000000"/>
          <w:sz w:val="22"/>
          <w:szCs w:val="22"/>
          <w:lang w:val="lv-LV"/>
        </w:rPr>
        <w:t>Ksilonex</w:t>
      </w:r>
      <w:r w:rsidRPr="00914012">
        <w:rPr>
          <w:color w:val="000000"/>
          <w:sz w:val="22"/>
          <w:szCs w:val="22"/>
          <w:lang w:val="lv-LV"/>
        </w:rPr>
        <w:t xml:space="preserve"> drīkst lietot tikai pēc rūpīgas riska/ieguvuma attiecības izvērtēšanas. Tā kā pārdozēšanas gadījumā iespējama piena sekrēcijas samazināšanās, </w:t>
      </w:r>
      <w:r w:rsidR="000570C2">
        <w:rPr>
          <w:color w:val="000000"/>
          <w:sz w:val="22"/>
          <w:szCs w:val="22"/>
          <w:lang w:val="lv-LV"/>
        </w:rPr>
        <w:t>barošanas ar krūti</w:t>
      </w:r>
      <w:r w:rsidRPr="00914012">
        <w:rPr>
          <w:color w:val="000000"/>
          <w:sz w:val="22"/>
          <w:szCs w:val="22"/>
          <w:lang w:val="lv-LV"/>
        </w:rPr>
        <w:t xml:space="preserve"> periodā nedrīkst pārsniegt ieteicamās devas.</w:t>
      </w:r>
    </w:p>
    <w:p w14:paraId="1C2BDE94" w14:textId="77777777" w:rsidR="00F75EAB" w:rsidRPr="00914012" w:rsidRDefault="00F75EAB" w:rsidP="00914012">
      <w:pPr>
        <w:tabs>
          <w:tab w:val="clear" w:pos="567"/>
        </w:tabs>
        <w:spacing w:line="240" w:lineRule="auto"/>
        <w:jc w:val="both"/>
        <w:rPr>
          <w:color w:val="000000"/>
          <w:szCs w:val="22"/>
        </w:rPr>
      </w:pPr>
    </w:p>
    <w:p w14:paraId="5A069361" w14:textId="77777777" w:rsidR="00F75EAB" w:rsidRPr="00914012" w:rsidRDefault="00F75EAB" w:rsidP="00914012">
      <w:pPr>
        <w:tabs>
          <w:tab w:val="clear" w:pos="567"/>
        </w:tabs>
        <w:spacing w:line="240" w:lineRule="auto"/>
        <w:jc w:val="both"/>
        <w:rPr>
          <w:color w:val="000000"/>
          <w:szCs w:val="22"/>
        </w:rPr>
      </w:pPr>
      <w:r w:rsidRPr="00914012">
        <w:rPr>
          <w:b/>
          <w:color w:val="000000"/>
          <w:szCs w:val="22"/>
        </w:rPr>
        <w:t>4.7.</w:t>
      </w:r>
      <w:r w:rsidRPr="00914012">
        <w:rPr>
          <w:b/>
          <w:color w:val="000000"/>
          <w:szCs w:val="22"/>
        </w:rPr>
        <w:tab/>
        <w:t>Ietekme uz spēju vadīt transportlīdzekļus un apkalpot mehānismus</w:t>
      </w:r>
    </w:p>
    <w:p w14:paraId="4950D23F" w14:textId="77777777" w:rsidR="00CE3063" w:rsidRPr="00914012" w:rsidRDefault="00CE3063" w:rsidP="00914012">
      <w:pPr>
        <w:pStyle w:val="CM6"/>
        <w:jc w:val="both"/>
        <w:rPr>
          <w:color w:val="000000"/>
          <w:sz w:val="22"/>
          <w:szCs w:val="22"/>
          <w:lang w:val="lv-LV"/>
        </w:rPr>
      </w:pPr>
    </w:p>
    <w:p w14:paraId="3C9E84D7" w14:textId="77777777" w:rsidR="00336A43" w:rsidRPr="00914012" w:rsidRDefault="00336A43" w:rsidP="00914012">
      <w:pPr>
        <w:pStyle w:val="CM6"/>
        <w:jc w:val="both"/>
        <w:rPr>
          <w:color w:val="000000"/>
          <w:sz w:val="22"/>
          <w:szCs w:val="22"/>
          <w:lang w:val="lv-LV"/>
        </w:rPr>
      </w:pPr>
      <w:r w:rsidRPr="00914012">
        <w:rPr>
          <w:color w:val="000000"/>
          <w:sz w:val="22"/>
          <w:szCs w:val="22"/>
          <w:lang w:val="lv-LV"/>
        </w:rPr>
        <w:t>Lietojot kā norādīts, nav sagaidāmas blakusparādības, kas ietekmētu spēju vadīt transportlīdzekļus vai apkalpot mehānismus.</w:t>
      </w:r>
    </w:p>
    <w:p w14:paraId="285B10A9" w14:textId="77777777" w:rsidR="00F75EAB" w:rsidRPr="00914012" w:rsidRDefault="00F75EAB" w:rsidP="00914012">
      <w:pPr>
        <w:tabs>
          <w:tab w:val="clear" w:pos="567"/>
        </w:tabs>
        <w:spacing w:line="240" w:lineRule="auto"/>
        <w:jc w:val="both"/>
        <w:rPr>
          <w:color w:val="000000"/>
          <w:szCs w:val="22"/>
        </w:rPr>
      </w:pPr>
    </w:p>
    <w:p w14:paraId="489AF418" w14:textId="77777777" w:rsidR="00F75EAB" w:rsidRPr="00914012" w:rsidRDefault="00F75EAB" w:rsidP="00914012">
      <w:pPr>
        <w:tabs>
          <w:tab w:val="clear" w:pos="567"/>
        </w:tabs>
        <w:spacing w:line="240" w:lineRule="auto"/>
        <w:jc w:val="both"/>
        <w:rPr>
          <w:b/>
          <w:color w:val="000000"/>
          <w:szCs w:val="22"/>
        </w:rPr>
      </w:pPr>
      <w:r w:rsidRPr="00914012">
        <w:rPr>
          <w:b/>
          <w:color w:val="000000"/>
          <w:szCs w:val="22"/>
        </w:rPr>
        <w:t>4.8.</w:t>
      </w:r>
      <w:r w:rsidRPr="00914012">
        <w:rPr>
          <w:b/>
          <w:color w:val="000000"/>
          <w:szCs w:val="22"/>
        </w:rPr>
        <w:tab/>
        <w:t>Nevēlamās blakusparādības</w:t>
      </w:r>
    </w:p>
    <w:p w14:paraId="7B93083E" w14:textId="77777777" w:rsidR="00CE3063" w:rsidRPr="00914012" w:rsidRDefault="00CE3063" w:rsidP="00914012">
      <w:pPr>
        <w:pStyle w:val="EMEAEnBodyText"/>
        <w:spacing w:before="0" w:after="0"/>
        <w:rPr>
          <w:color w:val="000000"/>
          <w:szCs w:val="22"/>
          <w:lang w:val="lv-LV"/>
        </w:rPr>
      </w:pPr>
    </w:p>
    <w:p w14:paraId="52B03652" w14:textId="77777777" w:rsidR="00336A43" w:rsidRPr="00914012" w:rsidRDefault="00336A43" w:rsidP="00914012">
      <w:pPr>
        <w:pStyle w:val="EMEAEnBodyText"/>
        <w:spacing w:before="0" w:after="0"/>
        <w:rPr>
          <w:color w:val="000000"/>
          <w:szCs w:val="22"/>
          <w:lang w:val="lv-LV"/>
        </w:rPr>
      </w:pPr>
      <w:r w:rsidRPr="00914012">
        <w:rPr>
          <w:color w:val="000000"/>
          <w:szCs w:val="22"/>
          <w:lang w:val="lv-LV"/>
        </w:rPr>
        <w:t xml:space="preserve">Nevēlamo blakusparādību sastopamības biežums klasificēts sekojoši: ļoti bieži </w:t>
      </w:r>
      <w:r w:rsidRPr="00914012">
        <w:rPr>
          <w:bCs/>
          <w:noProof/>
          <w:color w:val="000000"/>
          <w:szCs w:val="22"/>
          <w:lang w:val="lv-LV"/>
        </w:rPr>
        <w:t>(</w:t>
      </w:r>
      <w:r w:rsidRPr="00914012">
        <w:rPr>
          <w:bCs/>
          <w:noProof/>
          <w:color w:val="000000"/>
          <w:szCs w:val="22"/>
          <w:lang w:val="lv-LV"/>
        </w:rPr>
        <w:sym w:font="Symbol" w:char="F0B3"/>
      </w:r>
      <w:r w:rsidRPr="00914012">
        <w:rPr>
          <w:color w:val="000000"/>
          <w:szCs w:val="22"/>
          <w:lang w:val="lv-LV"/>
        </w:rPr>
        <w:t xml:space="preserve">1/10), bieži </w:t>
      </w:r>
      <w:r w:rsidRPr="00914012">
        <w:rPr>
          <w:bCs/>
          <w:noProof/>
          <w:color w:val="000000"/>
          <w:szCs w:val="22"/>
          <w:lang w:val="lv-LV"/>
        </w:rPr>
        <w:t>(</w:t>
      </w:r>
      <w:r w:rsidRPr="00914012">
        <w:rPr>
          <w:bCs/>
          <w:noProof/>
          <w:color w:val="000000"/>
          <w:szCs w:val="22"/>
          <w:lang w:val="lv-LV"/>
        </w:rPr>
        <w:sym w:font="Symbol" w:char="F0B3"/>
      </w:r>
      <w:r w:rsidRPr="00914012">
        <w:rPr>
          <w:color w:val="000000"/>
          <w:szCs w:val="22"/>
          <w:lang w:val="lv-LV"/>
        </w:rPr>
        <w:t xml:space="preserve">1/100 līdz &lt;1/10), retāk </w:t>
      </w:r>
      <w:r w:rsidRPr="00914012">
        <w:rPr>
          <w:bCs/>
          <w:noProof/>
          <w:color w:val="000000"/>
          <w:szCs w:val="22"/>
          <w:lang w:val="lv-LV"/>
        </w:rPr>
        <w:t>(</w:t>
      </w:r>
      <w:r w:rsidRPr="00914012">
        <w:rPr>
          <w:bCs/>
          <w:noProof/>
          <w:color w:val="000000"/>
          <w:szCs w:val="22"/>
          <w:lang w:val="lv-LV"/>
        </w:rPr>
        <w:sym w:font="Symbol" w:char="F0B3"/>
      </w:r>
      <w:r w:rsidRPr="00914012">
        <w:rPr>
          <w:color w:val="000000"/>
          <w:szCs w:val="22"/>
          <w:lang w:val="lv-LV"/>
        </w:rPr>
        <w:t>1/1</w:t>
      </w:r>
      <w:r w:rsidRPr="00914012">
        <w:rPr>
          <w:bCs/>
          <w:noProof/>
          <w:color w:val="000000"/>
          <w:szCs w:val="22"/>
          <w:lang w:val="lv-LV"/>
        </w:rPr>
        <w:t> </w:t>
      </w:r>
      <w:r w:rsidRPr="00914012">
        <w:rPr>
          <w:color w:val="000000"/>
          <w:szCs w:val="22"/>
          <w:lang w:val="lv-LV"/>
        </w:rPr>
        <w:t xml:space="preserve">000 līdz &lt;1/100), reti </w:t>
      </w:r>
      <w:r w:rsidRPr="00914012">
        <w:rPr>
          <w:bCs/>
          <w:noProof/>
          <w:color w:val="000000"/>
          <w:szCs w:val="22"/>
          <w:lang w:val="lv-LV"/>
        </w:rPr>
        <w:t>(</w:t>
      </w:r>
      <w:r w:rsidRPr="00914012">
        <w:rPr>
          <w:bCs/>
          <w:noProof/>
          <w:color w:val="000000"/>
          <w:szCs w:val="22"/>
          <w:lang w:val="lv-LV"/>
        </w:rPr>
        <w:sym w:font="Symbol" w:char="F0B3"/>
      </w:r>
      <w:r w:rsidRPr="00914012">
        <w:rPr>
          <w:color w:val="000000"/>
          <w:szCs w:val="22"/>
          <w:lang w:val="lv-LV"/>
        </w:rPr>
        <w:t>1/10</w:t>
      </w:r>
      <w:r w:rsidRPr="00914012">
        <w:rPr>
          <w:bCs/>
          <w:noProof/>
          <w:color w:val="000000"/>
          <w:szCs w:val="22"/>
          <w:lang w:val="lv-LV"/>
        </w:rPr>
        <w:t> </w:t>
      </w:r>
      <w:r w:rsidRPr="00914012">
        <w:rPr>
          <w:color w:val="000000"/>
          <w:szCs w:val="22"/>
          <w:lang w:val="lv-LV"/>
        </w:rPr>
        <w:t>000 līdz &lt;1/1</w:t>
      </w:r>
      <w:r w:rsidRPr="00914012">
        <w:rPr>
          <w:bCs/>
          <w:noProof/>
          <w:color w:val="000000"/>
          <w:szCs w:val="22"/>
          <w:lang w:val="lv-LV"/>
        </w:rPr>
        <w:t> </w:t>
      </w:r>
      <w:r w:rsidRPr="00914012">
        <w:rPr>
          <w:color w:val="000000"/>
          <w:szCs w:val="22"/>
          <w:lang w:val="lv-LV"/>
        </w:rPr>
        <w:t>000), ļoti reti (&lt;1/10</w:t>
      </w:r>
      <w:r w:rsidRPr="00914012">
        <w:rPr>
          <w:bCs/>
          <w:noProof/>
          <w:color w:val="000000"/>
          <w:szCs w:val="22"/>
          <w:lang w:val="lv-LV"/>
        </w:rPr>
        <w:t> </w:t>
      </w:r>
      <w:r w:rsidRPr="00914012">
        <w:rPr>
          <w:color w:val="000000"/>
          <w:szCs w:val="22"/>
          <w:lang w:val="lv-LV"/>
        </w:rPr>
        <w:t>000</w:t>
      </w:r>
      <w:r w:rsidRPr="00914012">
        <w:rPr>
          <w:bCs/>
          <w:noProof/>
          <w:color w:val="000000"/>
          <w:szCs w:val="22"/>
          <w:lang w:val="lv-LV"/>
        </w:rPr>
        <w:t>) un</w:t>
      </w:r>
      <w:r w:rsidRPr="00914012">
        <w:rPr>
          <w:color w:val="000000"/>
          <w:szCs w:val="22"/>
          <w:lang w:val="lv-LV"/>
        </w:rPr>
        <w:t xml:space="preserve"> nav zināmi (nevar noteikt pēc pieejamiem datiem)</w:t>
      </w:r>
    </w:p>
    <w:p w14:paraId="4D20D51C" w14:textId="77777777" w:rsidR="00336A43" w:rsidRPr="00914012" w:rsidRDefault="00336A43" w:rsidP="00914012">
      <w:pPr>
        <w:pStyle w:val="Default"/>
        <w:jc w:val="both"/>
        <w:rPr>
          <w:sz w:val="22"/>
          <w:szCs w:val="22"/>
          <w:lang w:val="lv-LV"/>
        </w:rPr>
      </w:pPr>
    </w:p>
    <w:p w14:paraId="7F9C6D88" w14:textId="77777777" w:rsidR="00336A43" w:rsidRPr="00914012" w:rsidRDefault="00336A43" w:rsidP="00914012">
      <w:pPr>
        <w:pStyle w:val="CM4"/>
        <w:spacing w:line="240" w:lineRule="auto"/>
        <w:jc w:val="both"/>
        <w:rPr>
          <w:color w:val="000000"/>
          <w:sz w:val="22"/>
          <w:szCs w:val="22"/>
          <w:u w:val="single"/>
          <w:lang w:val="lv-LV"/>
        </w:rPr>
      </w:pPr>
      <w:r w:rsidRPr="00914012">
        <w:rPr>
          <w:iCs/>
          <w:color w:val="000000"/>
          <w:sz w:val="22"/>
          <w:szCs w:val="22"/>
          <w:u w:val="single"/>
          <w:lang w:val="lv-LV"/>
        </w:rPr>
        <w:t>Imūnās sistēmas traucējumi</w:t>
      </w:r>
    </w:p>
    <w:p w14:paraId="2F22FCDC" w14:textId="77777777" w:rsidR="00336A43" w:rsidRPr="00914012" w:rsidRDefault="00336A43" w:rsidP="00914012">
      <w:pPr>
        <w:pStyle w:val="CM6"/>
        <w:jc w:val="both"/>
        <w:rPr>
          <w:color w:val="000000"/>
          <w:sz w:val="22"/>
          <w:szCs w:val="22"/>
          <w:lang w:val="lv-LV"/>
        </w:rPr>
      </w:pPr>
      <w:r w:rsidRPr="00914012">
        <w:rPr>
          <w:i/>
          <w:color w:val="000000"/>
          <w:sz w:val="22"/>
          <w:szCs w:val="22"/>
          <w:lang w:val="lv-LV"/>
        </w:rPr>
        <w:t>Retāk</w:t>
      </w:r>
      <w:r w:rsidRPr="00914012">
        <w:rPr>
          <w:color w:val="000000"/>
          <w:sz w:val="22"/>
          <w:szCs w:val="22"/>
          <w:lang w:val="lv-LV"/>
        </w:rPr>
        <w:t>: paaugstinātas jutības reakcijas (</w:t>
      </w:r>
      <w:r w:rsidR="0055714A" w:rsidRPr="00914012">
        <w:rPr>
          <w:color w:val="000000"/>
          <w:sz w:val="22"/>
          <w:szCs w:val="22"/>
          <w:lang w:val="lv-LV"/>
        </w:rPr>
        <w:t>angioedēma</w:t>
      </w:r>
      <w:r w:rsidRPr="00914012">
        <w:rPr>
          <w:color w:val="000000"/>
          <w:sz w:val="22"/>
          <w:szCs w:val="22"/>
          <w:lang w:val="lv-LV"/>
        </w:rPr>
        <w:t>, izsitumi uz ādas, nieze).</w:t>
      </w:r>
    </w:p>
    <w:p w14:paraId="6C4B4089" w14:textId="77777777" w:rsidR="00336A43" w:rsidRPr="00914012" w:rsidRDefault="00336A43" w:rsidP="00914012">
      <w:pPr>
        <w:pStyle w:val="Default"/>
        <w:jc w:val="both"/>
        <w:rPr>
          <w:sz w:val="22"/>
          <w:szCs w:val="22"/>
          <w:lang w:val="lv-LV"/>
        </w:rPr>
      </w:pPr>
    </w:p>
    <w:p w14:paraId="1DF7C5F4" w14:textId="77777777" w:rsidR="00336A43" w:rsidRPr="00914012" w:rsidRDefault="00336A43" w:rsidP="00914012">
      <w:pPr>
        <w:pStyle w:val="CM4"/>
        <w:spacing w:line="240" w:lineRule="auto"/>
        <w:jc w:val="both"/>
        <w:rPr>
          <w:color w:val="000000"/>
          <w:sz w:val="22"/>
          <w:szCs w:val="22"/>
          <w:u w:val="single"/>
          <w:lang w:val="lv-LV"/>
        </w:rPr>
      </w:pPr>
      <w:r w:rsidRPr="00914012">
        <w:rPr>
          <w:color w:val="000000"/>
          <w:sz w:val="22"/>
          <w:szCs w:val="22"/>
          <w:u w:val="single"/>
          <w:lang w:val="lv-LV"/>
        </w:rPr>
        <w:t>Psihiskie traucējumi</w:t>
      </w:r>
    </w:p>
    <w:p w14:paraId="4571D09F" w14:textId="77777777" w:rsidR="00336A43" w:rsidRPr="00914012" w:rsidRDefault="00336A43" w:rsidP="00914012">
      <w:pPr>
        <w:pStyle w:val="CM6"/>
        <w:jc w:val="both"/>
        <w:rPr>
          <w:color w:val="000000"/>
          <w:sz w:val="22"/>
          <w:szCs w:val="22"/>
          <w:lang w:val="lv-LV"/>
        </w:rPr>
      </w:pPr>
      <w:r w:rsidRPr="00914012">
        <w:rPr>
          <w:i/>
          <w:color w:val="000000"/>
          <w:sz w:val="22"/>
          <w:szCs w:val="22"/>
          <w:lang w:val="lv-LV"/>
        </w:rPr>
        <w:t>Ļoti reti</w:t>
      </w:r>
      <w:r w:rsidRPr="00914012">
        <w:rPr>
          <w:color w:val="000000"/>
          <w:sz w:val="22"/>
          <w:szCs w:val="22"/>
          <w:lang w:val="lv-LV"/>
        </w:rPr>
        <w:t>: uzbudinājums, bezmiegs, halucinācijas (galvenokārt bērniem).</w:t>
      </w:r>
    </w:p>
    <w:p w14:paraId="3A5D3955" w14:textId="77777777" w:rsidR="00336A43" w:rsidRPr="00914012" w:rsidRDefault="00336A43" w:rsidP="00914012">
      <w:pPr>
        <w:pStyle w:val="Default"/>
        <w:jc w:val="both"/>
        <w:rPr>
          <w:sz w:val="22"/>
          <w:szCs w:val="22"/>
          <w:lang w:val="lv-LV"/>
        </w:rPr>
      </w:pPr>
    </w:p>
    <w:p w14:paraId="256D35FE" w14:textId="77777777" w:rsidR="00336A43" w:rsidRPr="00914012" w:rsidRDefault="00336A43" w:rsidP="00914012">
      <w:pPr>
        <w:pStyle w:val="CM4"/>
        <w:spacing w:line="240" w:lineRule="auto"/>
        <w:jc w:val="both"/>
        <w:rPr>
          <w:color w:val="000000"/>
          <w:sz w:val="22"/>
          <w:szCs w:val="22"/>
          <w:u w:val="single"/>
          <w:lang w:val="lv-LV"/>
        </w:rPr>
      </w:pPr>
      <w:r w:rsidRPr="00914012">
        <w:rPr>
          <w:iCs/>
          <w:color w:val="000000"/>
          <w:sz w:val="22"/>
          <w:szCs w:val="22"/>
          <w:u w:val="single"/>
          <w:lang w:val="lv-LV"/>
        </w:rPr>
        <w:t>Nervu sistēmas traucējumi</w:t>
      </w:r>
    </w:p>
    <w:p w14:paraId="69BD0905" w14:textId="77777777" w:rsidR="00336A43" w:rsidRPr="00914012" w:rsidRDefault="00336A43" w:rsidP="00914012">
      <w:pPr>
        <w:pStyle w:val="CM6"/>
        <w:jc w:val="both"/>
        <w:rPr>
          <w:color w:val="000000"/>
          <w:sz w:val="22"/>
          <w:szCs w:val="22"/>
          <w:lang w:val="lv-LV"/>
        </w:rPr>
      </w:pPr>
      <w:r w:rsidRPr="00914012">
        <w:rPr>
          <w:i/>
          <w:color w:val="000000"/>
          <w:sz w:val="22"/>
          <w:szCs w:val="22"/>
          <w:lang w:val="lv-LV"/>
        </w:rPr>
        <w:t>Ļoti reti</w:t>
      </w:r>
      <w:r w:rsidRPr="00914012">
        <w:rPr>
          <w:color w:val="000000"/>
          <w:sz w:val="22"/>
          <w:szCs w:val="22"/>
          <w:lang w:val="lv-LV"/>
        </w:rPr>
        <w:t>: galvassāpes, krampji (galvenokārt bērniem).</w:t>
      </w:r>
    </w:p>
    <w:p w14:paraId="140FE40E" w14:textId="77777777" w:rsidR="00336A43" w:rsidRPr="00914012" w:rsidRDefault="00336A43" w:rsidP="00914012">
      <w:pPr>
        <w:pStyle w:val="Default"/>
        <w:jc w:val="both"/>
        <w:rPr>
          <w:sz w:val="22"/>
          <w:szCs w:val="22"/>
          <w:lang w:val="lv-LV"/>
        </w:rPr>
      </w:pPr>
    </w:p>
    <w:p w14:paraId="40AC9B64" w14:textId="77777777" w:rsidR="00336A43" w:rsidRPr="00914012" w:rsidRDefault="00336A43" w:rsidP="00914012">
      <w:pPr>
        <w:pStyle w:val="CM4"/>
        <w:spacing w:line="240" w:lineRule="auto"/>
        <w:jc w:val="both"/>
        <w:rPr>
          <w:color w:val="000000"/>
          <w:sz w:val="22"/>
          <w:szCs w:val="22"/>
          <w:u w:val="single"/>
          <w:lang w:val="lv-LV"/>
        </w:rPr>
      </w:pPr>
      <w:r w:rsidRPr="00914012">
        <w:rPr>
          <w:color w:val="000000"/>
          <w:sz w:val="22"/>
          <w:szCs w:val="22"/>
          <w:u w:val="single"/>
          <w:lang w:val="lv-LV"/>
        </w:rPr>
        <w:t>Sirds funkcijas traucējumi</w:t>
      </w:r>
    </w:p>
    <w:p w14:paraId="38D22EE9" w14:textId="77777777" w:rsidR="00336A43" w:rsidRPr="00914012" w:rsidRDefault="00336A43" w:rsidP="00914012">
      <w:pPr>
        <w:pStyle w:val="CM6"/>
        <w:jc w:val="both"/>
        <w:rPr>
          <w:color w:val="000000"/>
          <w:sz w:val="22"/>
          <w:szCs w:val="22"/>
          <w:lang w:val="lv-LV"/>
        </w:rPr>
      </w:pPr>
      <w:r w:rsidRPr="00914012">
        <w:rPr>
          <w:i/>
          <w:color w:val="000000"/>
          <w:sz w:val="22"/>
          <w:szCs w:val="22"/>
          <w:lang w:val="lv-LV"/>
        </w:rPr>
        <w:t>Reti</w:t>
      </w:r>
      <w:r w:rsidRPr="00914012">
        <w:rPr>
          <w:color w:val="000000"/>
          <w:sz w:val="22"/>
          <w:szCs w:val="22"/>
          <w:lang w:val="lv-LV"/>
        </w:rPr>
        <w:t>: sirdsklauves, tahikardija.</w:t>
      </w:r>
    </w:p>
    <w:p w14:paraId="725E637A" w14:textId="77777777" w:rsidR="00336A43" w:rsidRPr="00914012" w:rsidRDefault="00336A43" w:rsidP="00914012">
      <w:pPr>
        <w:pStyle w:val="CM6"/>
        <w:jc w:val="both"/>
        <w:rPr>
          <w:color w:val="000000"/>
          <w:sz w:val="22"/>
          <w:szCs w:val="22"/>
          <w:lang w:val="lv-LV"/>
        </w:rPr>
      </w:pPr>
      <w:r w:rsidRPr="00914012">
        <w:rPr>
          <w:i/>
          <w:color w:val="000000"/>
          <w:sz w:val="22"/>
          <w:szCs w:val="22"/>
          <w:lang w:val="lv-LV"/>
        </w:rPr>
        <w:t>Ļoti reti</w:t>
      </w:r>
      <w:r w:rsidRPr="00914012">
        <w:rPr>
          <w:color w:val="000000"/>
          <w:sz w:val="22"/>
          <w:szCs w:val="22"/>
          <w:lang w:val="lv-LV"/>
        </w:rPr>
        <w:t>: aritmijas.</w:t>
      </w:r>
    </w:p>
    <w:p w14:paraId="2A1B406C" w14:textId="77777777" w:rsidR="00336A43" w:rsidRPr="00914012" w:rsidRDefault="00336A43" w:rsidP="00914012">
      <w:pPr>
        <w:pStyle w:val="Default"/>
        <w:jc w:val="both"/>
        <w:rPr>
          <w:sz w:val="22"/>
          <w:szCs w:val="22"/>
          <w:lang w:val="lv-LV"/>
        </w:rPr>
      </w:pPr>
    </w:p>
    <w:p w14:paraId="728347DF" w14:textId="77777777" w:rsidR="00336A43" w:rsidRPr="00914012" w:rsidRDefault="00336A43" w:rsidP="00914012">
      <w:pPr>
        <w:pStyle w:val="CM4"/>
        <w:spacing w:line="240" w:lineRule="auto"/>
        <w:jc w:val="both"/>
        <w:rPr>
          <w:color w:val="000000"/>
          <w:sz w:val="22"/>
          <w:szCs w:val="22"/>
          <w:u w:val="single"/>
          <w:lang w:val="lv-LV"/>
        </w:rPr>
      </w:pPr>
      <w:r w:rsidRPr="00914012">
        <w:rPr>
          <w:iCs/>
          <w:color w:val="000000"/>
          <w:sz w:val="22"/>
          <w:szCs w:val="22"/>
          <w:u w:val="single"/>
          <w:lang w:val="lv-LV"/>
        </w:rPr>
        <w:t>Asinsvadu</w:t>
      </w:r>
      <w:r w:rsidRPr="00914012">
        <w:rPr>
          <w:color w:val="000000"/>
          <w:sz w:val="22"/>
          <w:szCs w:val="22"/>
          <w:u w:val="single"/>
          <w:lang w:val="lv-LV"/>
        </w:rPr>
        <w:t xml:space="preserve"> sistēmas traucējumi</w:t>
      </w:r>
    </w:p>
    <w:p w14:paraId="316931A5" w14:textId="77777777" w:rsidR="00336A43" w:rsidRPr="00914012" w:rsidRDefault="00336A43" w:rsidP="00914012">
      <w:pPr>
        <w:pStyle w:val="CM6"/>
        <w:jc w:val="both"/>
        <w:rPr>
          <w:color w:val="000000"/>
          <w:sz w:val="22"/>
          <w:szCs w:val="22"/>
          <w:lang w:val="lv-LV"/>
        </w:rPr>
      </w:pPr>
      <w:r w:rsidRPr="00914012">
        <w:rPr>
          <w:i/>
          <w:color w:val="000000"/>
          <w:sz w:val="22"/>
          <w:szCs w:val="22"/>
          <w:lang w:val="lv-LV"/>
        </w:rPr>
        <w:t>Reti</w:t>
      </w:r>
      <w:r w:rsidRPr="00914012">
        <w:rPr>
          <w:color w:val="000000"/>
          <w:sz w:val="22"/>
          <w:szCs w:val="22"/>
          <w:lang w:val="lv-LV"/>
        </w:rPr>
        <w:t>: hipertensija.</w:t>
      </w:r>
    </w:p>
    <w:p w14:paraId="2BA255B1" w14:textId="77777777" w:rsidR="00336A43" w:rsidRPr="00914012" w:rsidRDefault="00336A43" w:rsidP="00914012">
      <w:pPr>
        <w:pStyle w:val="Default"/>
        <w:jc w:val="both"/>
        <w:rPr>
          <w:sz w:val="22"/>
          <w:szCs w:val="22"/>
          <w:lang w:val="lv-LV"/>
        </w:rPr>
      </w:pPr>
    </w:p>
    <w:p w14:paraId="0DBE3D79" w14:textId="77777777" w:rsidR="00336A43" w:rsidRPr="00914012" w:rsidRDefault="00336A43" w:rsidP="00914012">
      <w:pPr>
        <w:pStyle w:val="CM4"/>
        <w:spacing w:line="240" w:lineRule="auto"/>
        <w:jc w:val="both"/>
        <w:rPr>
          <w:color w:val="000000"/>
          <w:sz w:val="22"/>
          <w:szCs w:val="22"/>
          <w:u w:val="single"/>
          <w:lang w:val="lv-LV"/>
        </w:rPr>
      </w:pPr>
      <w:r w:rsidRPr="00914012">
        <w:rPr>
          <w:color w:val="000000"/>
          <w:sz w:val="22"/>
          <w:szCs w:val="22"/>
          <w:u w:val="single"/>
          <w:lang w:val="lv-LV"/>
        </w:rPr>
        <w:t>Elpošanas sistēmas traucējumi, krūšu kurvja un videnes slimības</w:t>
      </w:r>
    </w:p>
    <w:p w14:paraId="5648FA16" w14:textId="77777777" w:rsidR="00336A43" w:rsidRPr="00914012" w:rsidRDefault="00336A43" w:rsidP="00914012">
      <w:pPr>
        <w:pStyle w:val="CM6"/>
        <w:jc w:val="both"/>
        <w:rPr>
          <w:color w:val="000000"/>
          <w:sz w:val="22"/>
          <w:szCs w:val="22"/>
          <w:lang w:val="lv-LV"/>
        </w:rPr>
      </w:pPr>
      <w:r w:rsidRPr="00914012">
        <w:rPr>
          <w:i/>
          <w:color w:val="000000"/>
          <w:sz w:val="22"/>
          <w:szCs w:val="22"/>
          <w:lang w:val="lv-LV"/>
        </w:rPr>
        <w:t>Bieži</w:t>
      </w:r>
      <w:r w:rsidRPr="00914012">
        <w:rPr>
          <w:color w:val="000000"/>
          <w:sz w:val="22"/>
          <w:szCs w:val="22"/>
          <w:lang w:val="lv-LV"/>
        </w:rPr>
        <w:t>: dedzinoša sajūta deguna gļotādā un sausa deguna gļotāda, šķavas.</w:t>
      </w:r>
    </w:p>
    <w:p w14:paraId="48AF017F" w14:textId="6BE5FB02" w:rsidR="00336A43" w:rsidRPr="00914012" w:rsidRDefault="00336A43" w:rsidP="00914012">
      <w:pPr>
        <w:pStyle w:val="CM6"/>
        <w:jc w:val="both"/>
        <w:rPr>
          <w:color w:val="000000"/>
          <w:sz w:val="22"/>
          <w:szCs w:val="22"/>
          <w:lang w:val="lv-LV"/>
        </w:rPr>
      </w:pPr>
      <w:r w:rsidRPr="00914012">
        <w:rPr>
          <w:i/>
          <w:color w:val="000000"/>
          <w:sz w:val="22"/>
          <w:szCs w:val="22"/>
          <w:lang w:val="lv-LV"/>
        </w:rPr>
        <w:t>Retāk</w:t>
      </w:r>
      <w:r w:rsidRPr="00914012">
        <w:rPr>
          <w:color w:val="000000"/>
          <w:sz w:val="22"/>
          <w:szCs w:val="22"/>
          <w:lang w:val="lv-LV"/>
        </w:rPr>
        <w:t xml:space="preserve">: izteikts deguna gļotādas pietūkums (pēc tam, kad zāļu iedarbība beigusies), </w:t>
      </w:r>
      <w:r w:rsidR="004F7856">
        <w:rPr>
          <w:color w:val="000000"/>
          <w:sz w:val="22"/>
          <w:szCs w:val="22"/>
          <w:lang w:val="lv-LV"/>
        </w:rPr>
        <w:t>epistakse</w:t>
      </w:r>
      <w:r w:rsidRPr="00914012">
        <w:rPr>
          <w:color w:val="000000"/>
          <w:sz w:val="22"/>
          <w:szCs w:val="22"/>
          <w:lang w:val="lv-LV"/>
        </w:rPr>
        <w:t>.</w:t>
      </w:r>
    </w:p>
    <w:p w14:paraId="7CD9475D" w14:textId="77777777" w:rsidR="00336A43" w:rsidRPr="00914012" w:rsidRDefault="00336A43" w:rsidP="00914012">
      <w:pPr>
        <w:pStyle w:val="Default"/>
        <w:jc w:val="both"/>
        <w:rPr>
          <w:sz w:val="22"/>
          <w:szCs w:val="22"/>
          <w:lang w:val="lv-LV"/>
        </w:rPr>
      </w:pPr>
    </w:p>
    <w:p w14:paraId="3693C002" w14:textId="77777777" w:rsidR="00336A43" w:rsidRPr="00914012" w:rsidRDefault="00336A43" w:rsidP="00914012">
      <w:pPr>
        <w:pStyle w:val="CM4"/>
        <w:spacing w:line="240" w:lineRule="auto"/>
        <w:jc w:val="both"/>
        <w:rPr>
          <w:color w:val="000000"/>
          <w:sz w:val="22"/>
          <w:szCs w:val="22"/>
          <w:u w:val="single"/>
          <w:lang w:val="lv-LV"/>
        </w:rPr>
      </w:pPr>
      <w:r w:rsidRPr="00914012">
        <w:rPr>
          <w:color w:val="000000"/>
          <w:sz w:val="22"/>
          <w:szCs w:val="22"/>
          <w:u w:val="single"/>
          <w:lang w:val="lv-LV"/>
        </w:rPr>
        <w:t>Kuņģa-zarnu trakta traucējumi</w:t>
      </w:r>
    </w:p>
    <w:p w14:paraId="5D39E511" w14:textId="77777777" w:rsidR="00336A43" w:rsidRPr="00914012" w:rsidRDefault="00336A43" w:rsidP="00914012">
      <w:pPr>
        <w:pStyle w:val="CM6"/>
        <w:jc w:val="both"/>
        <w:rPr>
          <w:color w:val="000000"/>
          <w:sz w:val="22"/>
          <w:szCs w:val="22"/>
          <w:lang w:val="lv-LV"/>
        </w:rPr>
      </w:pPr>
      <w:r w:rsidRPr="00914012">
        <w:rPr>
          <w:i/>
          <w:color w:val="000000"/>
          <w:sz w:val="22"/>
          <w:szCs w:val="22"/>
          <w:lang w:val="lv-LV"/>
        </w:rPr>
        <w:t>Reti</w:t>
      </w:r>
      <w:r w:rsidRPr="00914012">
        <w:rPr>
          <w:color w:val="000000"/>
          <w:sz w:val="22"/>
          <w:szCs w:val="22"/>
          <w:lang w:val="lv-LV"/>
        </w:rPr>
        <w:t>: slikta dūša.</w:t>
      </w:r>
    </w:p>
    <w:p w14:paraId="11159CF0" w14:textId="77777777" w:rsidR="00336A43" w:rsidRPr="00914012" w:rsidRDefault="00336A43" w:rsidP="00914012">
      <w:pPr>
        <w:pStyle w:val="Default"/>
        <w:jc w:val="both"/>
        <w:rPr>
          <w:sz w:val="22"/>
          <w:szCs w:val="22"/>
          <w:lang w:val="lv-LV"/>
        </w:rPr>
      </w:pPr>
    </w:p>
    <w:p w14:paraId="05325BEA" w14:textId="77777777" w:rsidR="00336A43" w:rsidRPr="00914012" w:rsidRDefault="00336A43" w:rsidP="00914012">
      <w:pPr>
        <w:pStyle w:val="CM4"/>
        <w:spacing w:line="240" w:lineRule="auto"/>
        <w:jc w:val="both"/>
        <w:rPr>
          <w:color w:val="000000"/>
          <w:sz w:val="22"/>
          <w:szCs w:val="22"/>
          <w:u w:val="single"/>
          <w:lang w:val="lv-LV"/>
        </w:rPr>
      </w:pPr>
      <w:r w:rsidRPr="00914012">
        <w:rPr>
          <w:color w:val="000000"/>
          <w:sz w:val="22"/>
          <w:szCs w:val="22"/>
          <w:u w:val="single"/>
          <w:lang w:val="lv-LV"/>
        </w:rPr>
        <w:t>Vispārēji traucējumi un reakcijas ievadīšanas vietā</w:t>
      </w:r>
    </w:p>
    <w:p w14:paraId="77FCC060" w14:textId="77777777" w:rsidR="00336A43" w:rsidRPr="00914012" w:rsidRDefault="00336A43" w:rsidP="00914012">
      <w:pPr>
        <w:pStyle w:val="CM6"/>
        <w:jc w:val="both"/>
        <w:rPr>
          <w:color w:val="000000"/>
          <w:sz w:val="22"/>
          <w:szCs w:val="22"/>
          <w:lang w:val="lv-LV"/>
        </w:rPr>
      </w:pPr>
      <w:r w:rsidRPr="00914012">
        <w:rPr>
          <w:i/>
          <w:color w:val="000000"/>
          <w:sz w:val="22"/>
          <w:szCs w:val="22"/>
          <w:lang w:val="lv-LV"/>
        </w:rPr>
        <w:t>Ļoti reti</w:t>
      </w:r>
      <w:r w:rsidRPr="00914012">
        <w:rPr>
          <w:color w:val="000000"/>
          <w:sz w:val="22"/>
          <w:szCs w:val="22"/>
          <w:lang w:val="lv-LV"/>
        </w:rPr>
        <w:t>: nogurums (miegainība, sedācija).</w:t>
      </w:r>
    </w:p>
    <w:p w14:paraId="366D0EB3" w14:textId="77777777" w:rsidR="00F75EAB" w:rsidRPr="00914012" w:rsidRDefault="00F75EAB" w:rsidP="00914012">
      <w:pPr>
        <w:tabs>
          <w:tab w:val="clear" w:pos="567"/>
        </w:tabs>
        <w:spacing w:line="240" w:lineRule="auto"/>
        <w:jc w:val="both"/>
        <w:rPr>
          <w:color w:val="000000"/>
          <w:szCs w:val="22"/>
          <w:u w:val="single"/>
        </w:rPr>
      </w:pPr>
    </w:p>
    <w:p w14:paraId="10D9AB31" w14:textId="77777777" w:rsidR="00F75EAB" w:rsidRPr="00914012" w:rsidRDefault="00F75EAB" w:rsidP="00914012">
      <w:pPr>
        <w:autoSpaceDE w:val="0"/>
        <w:autoSpaceDN w:val="0"/>
        <w:adjustRightInd w:val="0"/>
        <w:spacing w:line="240" w:lineRule="auto"/>
        <w:jc w:val="both"/>
        <w:rPr>
          <w:color w:val="000000"/>
          <w:szCs w:val="22"/>
          <w:u w:val="single"/>
        </w:rPr>
      </w:pPr>
      <w:r w:rsidRPr="00914012">
        <w:rPr>
          <w:color w:val="000000"/>
          <w:szCs w:val="22"/>
          <w:u w:val="single"/>
        </w:rPr>
        <w:t>Ziņošana par iespējamām nevēlamām blakusparādībām</w:t>
      </w:r>
    </w:p>
    <w:p w14:paraId="09893931" w14:textId="77777777" w:rsidR="00F75EAB" w:rsidRPr="00914012" w:rsidRDefault="00F75EAB" w:rsidP="00914012">
      <w:pPr>
        <w:autoSpaceDE w:val="0"/>
        <w:autoSpaceDN w:val="0"/>
        <w:adjustRightInd w:val="0"/>
        <w:spacing w:line="240" w:lineRule="auto"/>
        <w:jc w:val="both"/>
        <w:rPr>
          <w:rFonts w:eastAsia="Calibri"/>
          <w:color w:val="000000"/>
          <w:szCs w:val="22"/>
          <w:lang w:eastAsia="zh-CN"/>
        </w:rPr>
      </w:pPr>
      <w:r w:rsidRPr="00914012">
        <w:rPr>
          <w:color w:val="000000"/>
          <w:szCs w:val="22"/>
        </w:rPr>
        <w:t>Ir svarīgi ziņot par iespējamām nevēlamām blakusparādībām pēc zāļu reģistrācijas. Tādējādi zāļu ieguvum</w:t>
      </w:r>
      <w:r w:rsidR="00894541" w:rsidRPr="00914012">
        <w:rPr>
          <w:color w:val="000000"/>
          <w:szCs w:val="22"/>
        </w:rPr>
        <w:t>a</w:t>
      </w:r>
      <w:r w:rsidRPr="00914012">
        <w:rPr>
          <w:color w:val="000000"/>
          <w:szCs w:val="22"/>
        </w:rPr>
        <w:t xml:space="preserve">/riska attiecība tiek nepārtraukti uzraudzīta. Veselības aprūpes speciālisti tiek lūgti ziņot par </w:t>
      </w:r>
      <w:r w:rsidRPr="00914012">
        <w:rPr>
          <w:color w:val="000000"/>
          <w:szCs w:val="22"/>
        </w:rPr>
        <w:lastRenderedPageBreak/>
        <w:t xml:space="preserve">jebkādām iespējamām nevēlamām blakusparādībām Zāļu valsts aģentūrai, Jersikas ielā 15, Rīgā, LV 1003. </w:t>
      </w:r>
      <w:r w:rsidRPr="00914012">
        <w:rPr>
          <w:rFonts w:eastAsia="Calibri"/>
          <w:color w:val="000000"/>
          <w:szCs w:val="22"/>
          <w:lang w:eastAsia="zh-CN"/>
        </w:rPr>
        <w:t xml:space="preserve">Tīmekļa vietne: </w:t>
      </w:r>
      <w:hyperlink r:id="rId9" w:history="1">
        <w:r w:rsidRPr="00914012">
          <w:rPr>
            <w:rFonts w:eastAsia="Calibri"/>
            <w:color w:val="000000"/>
            <w:szCs w:val="22"/>
            <w:u w:val="single"/>
            <w:lang w:eastAsia="zh-CN"/>
          </w:rPr>
          <w:t>www.zva.gov.lv</w:t>
        </w:r>
      </w:hyperlink>
    </w:p>
    <w:p w14:paraId="7063BDBA" w14:textId="77777777" w:rsidR="00F75EAB" w:rsidRPr="00914012" w:rsidRDefault="00F75EAB" w:rsidP="00914012">
      <w:pPr>
        <w:tabs>
          <w:tab w:val="clear" w:pos="567"/>
        </w:tabs>
        <w:spacing w:line="240" w:lineRule="auto"/>
        <w:jc w:val="both"/>
        <w:rPr>
          <w:color w:val="000000"/>
          <w:szCs w:val="22"/>
        </w:rPr>
      </w:pPr>
    </w:p>
    <w:p w14:paraId="3D7279DD" w14:textId="77777777" w:rsidR="00F75EAB" w:rsidRPr="00914012" w:rsidRDefault="00F75EAB" w:rsidP="00914012">
      <w:pPr>
        <w:tabs>
          <w:tab w:val="clear" w:pos="567"/>
        </w:tabs>
        <w:spacing w:line="240" w:lineRule="auto"/>
        <w:jc w:val="both"/>
        <w:rPr>
          <w:color w:val="000000"/>
          <w:szCs w:val="22"/>
        </w:rPr>
      </w:pPr>
      <w:r w:rsidRPr="00914012">
        <w:rPr>
          <w:b/>
          <w:color w:val="000000"/>
          <w:szCs w:val="22"/>
        </w:rPr>
        <w:t>4.9.</w:t>
      </w:r>
      <w:r w:rsidRPr="00914012">
        <w:rPr>
          <w:b/>
          <w:color w:val="000000"/>
          <w:szCs w:val="22"/>
        </w:rPr>
        <w:tab/>
        <w:t>Pārdozēšana</w:t>
      </w:r>
    </w:p>
    <w:p w14:paraId="6BB9DF56" w14:textId="77777777" w:rsidR="00CE3063" w:rsidRPr="00914012" w:rsidRDefault="00CE3063" w:rsidP="00914012">
      <w:pPr>
        <w:pStyle w:val="CM4"/>
        <w:spacing w:line="240" w:lineRule="auto"/>
        <w:jc w:val="both"/>
        <w:rPr>
          <w:color w:val="000000"/>
          <w:sz w:val="22"/>
          <w:szCs w:val="22"/>
          <w:u w:val="single"/>
          <w:lang w:val="lv-LV"/>
        </w:rPr>
      </w:pPr>
    </w:p>
    <w:p w14:paraId="54B9CE18" w14:textId="77777777" w:rsidR="00336A43" w:rsidRPr="00914012" w:rsidRDefault="00336A43" w:rsidP="00914012">
      <w:pPr>
        <w:pStyle w:val="CM4"/>
        <w:spacing w:line="240" w:lineRule="auto"/>
        <w:jc w:val="both"/>
        <w:rPr>
          <w:color w:val="000000"/>
          <w:sz w:val="22"/>
          <w:szCs w:val="22"/>
          <w:u w:val="single"/>
          <w:lang w:val="lv-LV"/>
        </w:rPr>
      </w:pPr>
      <w:r w:rsidRPr="00914012">
        <w:rPr>
          <w:color w:val="000000"/>
          <w:sz w:val="22"/>
          <w:szCs w:val="22"/>
          <w:u w:val="single"/>
          <w:lang w:val="lv-LV"/>
        </w:rPr>
        <w:t>Pārdozēšanas simptomi</w:t>
      </w:r>
    </w:p>
    <w:p w14:paraId="77243F43" w14:textId="77777777" w:rsidR="00336A43" w:rsidRPr="00914012" w:rsidRDefault="00336A43" w:rsidP="00914012">
      <w:pPr>
        <w:pStyle w:val="CM6"/>
        <w:jc w:val="both"/>
        <w:rPr>
          <w:color w:val="000000"/>
          <w:sz w:val="22"/>
          <w:szCs w:val="22"/>
          <w:lang w:val="lv-LV"/>
        </w:rPr>
      </w:pPr>
      <w:r w:rsidRPr="00914012">
        <w:rPr>
          <w:color w:val="000000"/>
          <w:sz w:val="22"/>
          <w:szCs w:val="22"/>
          <w:lang w:val="lv-LV"/>
        </w:rPr>
        <w:t>Imidazola atvasinājumu pārdozēšanas klīniskā aina var būt neskaidra, jo kardiovaskulārās un centrālās nervu sistēmas (CNS) stimulācijas fāzes var mīties ar depresijas fāzēm.</w:t>
      </w:r>
    </w:p>
    <w:p w14:paraId="449BF7A8" w14:textId="77777777" w:rsidR="00336A43" w:rsidRPr="00914012" w:rsidRDefault="00336A43" w:rsidP="00914012">
      <w:pPr>
        <w:pStyle w:val="Default"/>
        <w:jc w:val="both"/>
        <w:rPr>
          <w:sz w:val="22"/>
          <w:szCs w:val="22"/>
          <w:lang w:val="lv-LV"/>
        </w:rPr>
      </w:pPr>
    </w:p>
    <w:p w14:paraId="2E78CDDC" w14:textId="77777777" w:rsidR="00336A43" w:rsidRPr="00914012" w:rsidRDefault="00336A43" w:rsidP="00914012">
      <w:pPr>
        <w:pStyle w:val="CM4"/>
        <w:spacing w:line="240" w:lineRule="auto"/>
        <w:jc w:val="both"/>
        <w:rPr>
          <w:color w:val="000000"/>
          <w:sz w:val="22"/>
          <w:szCs w:val="22"/>
          <w:lang w:val="lv-LV"/>
        </w:rPr>
      </w:pPr>
      <w:r w:rsidRPr="00914012">
        <w:rPr>
          <w:color w:val="000000"/>
          <w:sz w:val="22"/>
          <w:szCs w:val="22"/>
          <w:lang w:val="lv-LV"/>
        </w:rPr>
        <w:t>CNS stimulācijas simptomi ir trauksmes sajūta, uzbudinājums, halucinācijas un krampji.</w:t>
      </w:r>
    </w:p>
    <w:p w14:paraId="6B7E44FD" w14:textId="77777777" w:rsidR="00336A43" w:rsidRPr="00914012" w:rsidRDefault="00336A43" w:rsidP="00914012">
      <w:pPr>
        <w:pStyle w:val="CM4"/>
        <w:spacing w:line="240" w:lineRule="auto"/>
        <w:jc w:val="both"/>
        <w:rPr>
          <w:color w:val="000000"/>
          <w:sz w:val="22"/>
          <w:szCs w:val="22"/>
          <w:lang w:val="lv-LV"/>
        </w:rPr>
      </w:pPr>
    </w:p>
    <w:p w14:paraId="66299678" w14:textId="77777777" w:rsidR="00336A43" w:rsidRPr="00914012" w:rsidRDefault="00336A43" w:rsidP="00914012">
      <w:pPr>
        <w:pStyle w:val="CM4"/>
        <w:spacing w:line="240" w:lineRule="auto"/>
        <w:jc w:val="both"/>
        <w:rPr>
          <w:color w:val="000000"/>
          <w:sz w:val="22"/>
          <w:szCs w:val="22"/>
          <w:lang w:val="lv-LV"/>
        </w:rPr>
      </w:pPr>
      <w:r w:rsidRPr="00914012">
        <w:rPr>
          <w:color w:val="000000"/>
          <w:sz w:val="22"/>
          <w:szCs w:val="22"/>
          <w:lang w:val="lv-LV"/>
        </w:rPr>
        <w:t xml:space="preserve">CNS </w:t>
      </w:r>
      <w:r w:rsidR="0055714A" w:rsidRPr="00914012">
        <w:rPr>
          <w:color w:val="000000"/>
          <w:sz w:val="22"/>
          <w:szCs w:val="22"/>
          <w:lang w:val="lv-LV"/>
        </w:rPr>
        <w:t>nomākuma</w:t>
      </w:r>
      <w:r w:rsidRPr="00914012">
        <w:rPr>
          <w:color w:val="000000"/>
          <w:sz w:val="22"/>
          <w:szCs w:val="22"/>
          <w:lang w:val="lv-LV"/>
        </w:rPr>
        <w:t xml:space="preserve"> simptomi ir hipotermija, letarģija, miegainība un koma.</w:t>
      </w:r>
    </w:p>
    <w:p w14:paraId="647E5D79" w14:textId="77777777" w:rsidR="00336A43" w:rsidRPr="00914012" w:rsidRDefault="00336A43" w:rsidP="00914012">
      <w:pPr>
        <w:pStyle w:val="CM6"/>
        <w:jc w:val="both"/>
        <w:rPr>
          <w:color w:val="000000"/>
          <w:sz w:val="22"/>
          <w:szCs w:val="22"/>
          <w:lang w:val="lv-LV"/>
        </w:rPr>
      </w:pPr>
      <w:r w:rsidRPr="00914012">
        <w:rPr>
          <w:color w:val="000000"/>
          <w:sz w:val="22"/>
          <w:szCs w:val="22"/>
          <w:lang w:val="lv-LV"/>
        </w:rPr>
        <w:t>Iespējami arī citi simptomi: mioze, midriāze, svīšana, drudzis, bālums, cianoze, slikta dūša un vemšana, tahikardija, bradikardija, sirds aritmija, sirds apstāšanās, sirdsklauves, hipertensija, šokam līdzīga hipotensija, plaušu tūska, elpošanas nomākums un elpošanas apstāšanās, psihiski traucējumi.</w:t>
      </w:r>
    </w:p>
    <w:p w14:paraId="5ED4C9AA" w14:textId="77777777" w:rsidR="00336A43" w:rsidRPr="00914012" w:rsidRDefault="00336A43" w:rsidP="00914012">
      <w:pPr>
        <w:pStyle w:val="Default"/>
        <w:jc w:val="both"/>
        <w:rPr>
          <w:sz w:val="22"/>
          <w:szCs w:val="22"/>
          <w:lang w:val="lv-LV"/>
        </w:rPr>
      </w:pPr>
    </w:p>
    <w:p w14:paraId="24496F61" w14:textId="77777777" w:rsidR="00336A43" w:rsidRPr="00914012" w:rsidRDefault="00336A43" w:rsidP="00914012">
      <w:pPr>
        <w:pStyle w:val="CM6"/>
        <w:jc w:val="both"/>
        <w:rPr>
          <w:color w:val="000000"/>
          <w:sz w:val="22"/>
          <w:szCs w:val="22"/>
          <w:lang w:val="lv-LV"/>
        </w:rPr>
      </w:pPr>
      <w:r w:rsidRPr="00914012">
        <w:rPr>
          <w:color w:val="000000"/>
          <w:sz w:val="22"/>
          <w:szCs w:val="22"/>
          <w:lang w:val="lv-LV"/>
        </w:rPr>
        <w:t>Pārdozēšanas gadījumā, it īpaši bērniem, bieži iespējami dominējošie centrālās nervu sistēmas efekti, tajā skaitā krampji un koma, bradikardija, elpošanas apstāšanās un hipertensija, ko var veicināt hipotensija.</w:t>
      </w:r>
    </w:p>
    <w:p w14:paraId="30428FF1" w14:textId="77777777" w:rsidR="00336A43" w:rsidRPr="00914012" w:rsidRDefault="00336A43" w:rsidP="00914012">
      <w:pPr>
        <w:pStyle w:val="Default"/>
        <w:jc w:val="both"/>
        <w:rPr>
          <w:sz w:val="22"/>
          <w:szCs w:val="22"/>
          <w:lang w:val="lv-LV"/>
        </w:rPr>
      </w:pPr>
    </w:p>
    <w:p w14:paraId="0498D0C5" w14:textId="77777777" w:rsidR="00336A43" w:rsidRPr="00914012" w:rsidRDefault="00336A43" w:rsidP="00914012">
      <w:pPr>
        <w:pStyle w:val="CM4"/>
        <w:spacing w:line="240" w:lineRule="auto"/>
        <w:jc w:val="both"/>
        <w:rPr>
          <w:color w:val="000000"/>
          <w:sz w:val="22"/>
          <w:szCs w:val="22"/>
          <w:u w:val="single"/>
          <w:lang w:val="lv-LV"/>
        </w:rPr>
      </w:pPr>
      <w:r w:rsidRPr="00914012">
        <w:rPr>
          <w:color w:val="000000"/>
          <w:sz w:val="22"/>
          <w:szCs w:val="22"/>
          <w:u w:val="single"/>
          <w:lang w:val="lv-LV"/>
        </w:rPr>
        <w:t>Pārdozēšanas ārstēšana</w:t>
      </w:r>
    </w:p>
    <w:p w14:paraId="758DBC3A" w14:textId="77777777" w:rsidR="00336A43" w:rsidRPr="00914012" w:rsidRDefault="00336A43" w:rsidP="00914012">
      <w:pPr>
        <w:pStyle w:val="CM6"/>
        <w:jc w:val="both"/>
        <w:rPr>
          <w:color w:val="000000"/>
          <w:sz w:val="22"/>
          <w:szCs w:val="22"/>
          <w:lang w:val="lv-LV"/>
        </w:rPr>
      </w:pPr>
      <w:r w:rsidRPr="00914012">
        <w:rPr>
          <w:color w:val="000000"/>
          <w:sz w:val="22"/>
          <w:szCs w:val="22"/>
          <w:lang w:val="lv-LV"/>
        </w:rPr>
        <w:t>Smagas pārdozēšanas gadījumā jāpiemēro intensīvās aprūpes terapija stacionārā. Nekavējoties jālieto aktivētā ogle (absorbents), nātrija sulfāts (caurejas līdzeklis) vai jāveic kuņģa skalošana (pārdozējot lielu daudzumu zāļu), jo ksilometazolīna uzsūkšanās var būt ātra. Lai pazeminātu asinsspiedienu, var lietot neselektīvos alfa blokatorus. Vazopresori ir kontrindicēti. Pēc nepieciešamības jāpiemēro pretdrudža, pretkrampju terapij</w:t>
      </w:r>
      <w:r w:rsidR="0038462D" w:rsidRPr="00914012">
        <w:rPr>
          <w:color w:val="000000"/>
          <w:sz w:val="22"/>
          <w:szCs w:val="22"/>
          <w:lang w:val="lv-LV"/>
        </w:rPr>
        <w:t>a</w:t>
      </w:r>
      <w:r w:rsidRPr="00914012">
        <w:rPr>
          <w:color w:val="000000"/>
          <w:sz w:val="22"/>
          <w:szCs w:val="22"/>
          <w:lang w:val="lv-LV"/>
        </w:rPr>
        <w:t xml:space="preserve"> un mākslīg</w:t>
      </w:r>
      <w:r w:rsidR="0038462D" w:rsidRPr="00914012">
        <w:rPr>
          <w:color w:val="000000"/>
          <w:sz w:val="22"/>
          <w:szCs w:val="22"/>
          <w:lang w:val="lv-LV"/>
        </w:rPr>
        <w:t>ā</w:t>
      </w:r>
      <w:r w:rsidRPr="00914012">
        <w:rPr>
          <w:color w:val="000000"/>
          <w:sz w:val="22"/>
          <w:szCs w:val="22"/>
          <w:lang w:val="lv-LV"/>
        </w:rPr>
        <w:t xml:space="preserve"> elpināšan</w:t>
      </w:r>
      <w:r w:rsidR="0038462D" w:rsidRPr="00914012">
        <w:rPr>
          <w:color w:val="000000"/>
          <w:sz w:val="22"/>
          <w:szCs w:val="22"/>
          <w:lang w:val="lv-LV"/>
        </w:rPr>
        <w:t>a</w:t>
      </w:r>
      <w:r w:rsidRPr="00914012">
        <w:rPr>
          <w:color w:val="000000"/>
          <w:sz w:val="22"/>
          <w:szCs w:val="22"/>
          <w:lang w:val="lv-LV"/>
        </w:rPr>
        <w:t>.</w:t>
      </w:r>
    </w:p>
    <w:p w14:paraId="597AF2C8" w14:textId="77777777" w:rsidR="00F75EAB" w:rsidRPr="00914012" w:rsidRDefault="00F75EAB" w:rsidP="00914012">
      <w:pPr>
        <w:tabs>
          <w:tab w:val="clear" w:pos="567"/>
        </w:tabs>
        <w:spacing w:line="240" w:lineRule="auto"/>
        <w:jc w:val="both"/>
        <w:rPr>
          <w:color w:val="000000"/>
          <w:szCs w:val="22"/>
        </w:rPr>
      </w:pPr>
    </w:p>
    <w:p w14:paraId="5CC0CA48" w14:textId="77777777" w:rsidR="00CE3063" w:rsidRPr="00914012" w:rsidRDefault="00CE3063" w:rsidP="00914012">
      <w:pPr>
        <w:tabs>
          <w:tab w:val="clear" w:pos="567"/>
        </w:tabs>
        <w:spacing w:line="240" w:lineRule="auto"/>
        <w:jc w:val="both"/>
        <w:rPr>
          <w:color w:val="000000"/>
          <w:szCs w:val="22"/>
        </w:rPr>
      </w:pPr>
    </w:p>
    <w:p w14:paraId="6B1D0E03" w14:textId="77777777" w:rsidR="00F75EAB" w:rsidRPr="00914012" w:rsidRDefault="00F75EAB" w:rsidP="00914012">
      <w:pPr>
        <w:tabs>
          <w:tab w:val="clear" w:pos="567"/>
        </w:tabs>
        <w:spacing w:line="240" w:lineRule="auto"/>
        <w:jc w:val="both"/>
        <w:rPr>
          <w:b/>
          <w:color w:val="000000"/>
          <w:szCs w:val="22"/>
        </w:rPr>
      </w:pPr>
      <w:r w:rsidRPr="00914012">
        <w:rPr>
          <w:b/>
          <w:color w:val="000000"/>
          <w:szCs w:val="22"/>
        </w:rPr>
        <w:t>5.</w:t>
      </w:r>
      <w:r w:rsidRPr="00914012">
        <w:rPr>
          <w:b/>
          <w:color w:val="000000"/>
          <w:szCs w:val="22"/>
        </w:rPr>
        <w:tab/>
        <w:t>FARMAKOLOĢISKĀS ĪPAŠĪBAS</w:t>
      </w:r>
    </w:p>
    <w:p w14:paraId="54AF6B78" w14:textId="77777777" w:rsidR="00CE3063" w:rsidRPr="00914012" w:rsidRDefault="00CE3063" w:rsidP="00914012">
      <w:pPr>
        <w:tabs>
          <w:tab w:val="clear" w:pos="567"/>
        </w:tabs>
        <w:spacing w:line="240" w:lineRule="auto"/>
        <w:jc w:val="both"/>
        <w:rPr>
          <w:b/>
          <w:color w:val="000000"/>
          <w:szCs w:val="22"/>
        </w:rPr>
      </w:pPr>
    </w:p>
    <w:p w14:paraId="68BAC776" w14:textId="77777777" w:rsidR="00F75EAB" w:rsidRPr="00914012" w:rsidRDefault="00F75EAB" w:rsidP="00914012">
      <w:pPr>
        <w:tabs>
          <w:tab w:val="clear" w:pos="567"/>
        </w:tabs>
        <w:spacing w:line="240" w:lineRule="auto"/>
        <w:jc w:val="both"/>
        <w:rPr>
          <w:color w:val="000000"/>
          <w:szCs w:val="22"/>
        </w:rPr>
      </w:pPr>
      <w:r w:rsidRPr="00914012">
        <w:rPr>
          <w:b/>
          <w:color w:val="000000"/>
          <w:szCs w:val="22"/>
        </w:rPr>
        <w:t>5.1.</w:t>
      </w:r>
      <w:r w:rsidRPr="00914012">
        <w:rPr>
          <w:b/>
          <w:color w:val="000000"/>
          <w:szCs w:val="22"/>
        </w:rPr>
        <w:tab/>
        <w:t>Farmakodinamiskās īpašības</w:t>
      </w:r>
    </w:p>
    <w:p w14:paraId="6082F725" w14:textId="77777777" w:rsidR="00CE3063" w:rsidRPr="00914012" w:rsidRDefault="00CE3063" w:rsidP="00914012">
      <w:pPr>
        <w:tabs>
          <w:tab w:val="clear" w:pos="567"/>
        </w:tabs>
        <w:spacing w:line="240" w:lineRule="auto"/>
        <w:jc w:val="both"/>
        <w:rPr>
          <w:b/>
          <w:color w:val="000000"/>
          <w:szCs w:val="22"/>
        </w:rPr>
      </w:pPr>
    </w:p>
    <w:p w14:paraId="1B503B42" w14:textId="77777777" w:rsidR="00F75EAB" w:rsidRPr="00914012" w:rsidRDefault="00F75EAB" w:rsidP="00914012">
      <w:pPr>
        <w:tabs>
          <w:tab w:val="clear" w:pos="567"/>
        </w:tabs>
        <w:spacing w:line="240" w:lineRule="auto"/>
        <w:jc w:val="both"/>
        <w:rPr>
          <w:color w:val="000000"/>
          <w:szCs w:val="22"/>
        </w:rPr>
      </w:pPr>
      <w:r w:rsidRPr="00914012">
        <w:rPr>
          <w:b/>
          <w:color w:val="000000"/>
          <w:szCs w:val="22"/>
        </w:rPr>
        <w:t>Farmakoterapeitiskā grupa</w:t>
      </w:r>
      <w:r w:rsidRPr="00914012">
        <w:rPr>
          <w:color w:val="000000"/>
          <w:szCs w:val="22"/>
        </w:rPr>
        <w:t xml:space="preserve">: </w:t>
      </w:r>
      <w:r w:rsidR="00CE3063" w:rsidRPr="00914012">
        <w:rPr>
          <w:color w:val="000000"/>
          <w:szCs w:val="22"/>
          <w:lang w:eastAsia="en-GB"/>
        </w:rPr>
        <w:t>d</w:t>
      </w:r>
      <w:r w:rsidR="0055714A" w:rsidRPr="00914012">
        <w:rPr>
          <w:color w:val="000000"/>
          <w:szCs w:val="22"/>
          <w:lang w:eastAsia="en-GB"/>
        </w:rPr>
        <w:t>eguna gļotādas tūsku mazinoši un citi vietējas darbības rinoloģiski līdzekļi, simpatomimētiski līdzekļi, monopreparāti.</w:t>
      </w:r>
    </w:p>
    <w:p w14:paraId="6FFE0D45" w14:textId="77777777" w:rsidR="00F75EAB" w:rsidRPr="00914012" w:rsidRDefault="00F75EAB" w:rsidP="00914012">
      <w:pPr>
        <w:tabs>
          <w:tab w:val="clear" w:pos="567"/>
        </w:tabs>
        <w:spacing w:line="240" w:lineRule="auto"/>
        <w:jc w:val="both"/>
        <w:rPr>
          <w:color w:val="000000"/>
          <w:szCs w:val="22"/>
        </w:rPr>
      </w:pPr>
      <w:r w:rsidRPr="00914012">
        <w:rPr>
          <w:b/>
          <w:color w:val="000000"/>
          <w:szCs w:val="22"/>
        </w:rPr>
        <w:t>ATĶ kods</w:t>
      </w:r>
      <w:r w:rsidRPr="00914012">
        <w:rPr>
          <w:color w:val="000000"/>
          <w:szCs w:val="22"/>
        </w:rPr>
        <w:t xml:space="preserve">: </w:t>
      </w:r>
      <w:r w:rsidR="0055714A" w:rsidRPr="00914012">
        <w:rPr>
          <w:color w:val="000000"/>
          <w:szCs w:val="22"/>
        </w:rPr>
        <w:t>R01AA07</w:t>
      </w:r>
    </w:p>
    <w:p w14:paraId="004FF60C" w14:textId="77777777" w:rsidR="00F75EAB" w:rsidRPr="00914012" w:rsidRDefault="00F75EAB" w:rsidP="00914012">
      <w:pPr>
        <w:tabs>
          <w:tab w:val="clear" w:pos="567"/>
        </w:tabs>
        <w:spacing w:line="240" w:lineRule="auto"/>
        <w:jc w:val="both"/>
        <w:rPr>
          <w:color w:val="000000"/>
          <w:szCs w:val="22"/>
        </w:rPr>
      </w:pPr>
    </w:p>
    <w:p w14:paraId="169EE615" w14:textId="77777777" w:rsidR="00F75EAB" w:rsidRPr="00914012" w:rsidRDefault="00F75EAB" w:rsidP="00914012">
      <w:pPr>
        <w:spacing w:line="240" w:lineRule="auto"/>
        <w:jc w:val="both"/>
        <w:rPr>
          <w:noProof/>
          <w:color w:val="000000"/>
          <w:szCs w:val="22"/>
          <w:u w:val="single"/>
        </w:rPr>
      </w:pPr>
      <w:r w:rsidRPr="00914012">
        <w:rPr>
          <w:noProof/>
          <w:color w:val="000000"/>
          <w:szCs w:val="22"/>
          <w:u w:val="single"/>
        </w:rPr>
        <w:t>Darbības mehānisms</w:t>
      </w:r>
    </w:p>
    <w:p w14:paraId="68ED5E30" w14:textId="77777777" w:rsidR="0055714A" w:rsidRPr="00914012" w:rsidRDefault="0055714A" w:rsidP="00914012">
      <w:pPr>
        <w:pStyle w:val="CM6"/>
        <w:jc w:val="both"/>
        <w:rPr>
          <w:color w:val="000000"/>
          <w:sz w:val="22"/>
          <w:szCs w:val="22"/>
          <w:lang w:val="lv-LV"/>
        </w:rPr>
      </w:pPr>
      <w:r w:rsidRPr="00914012">
        <w:rPr>
          <w:color w:val="000000"/>
          <w:sz w:val="22"/>
          <w:szCs w:val="22"/>
          <w:lang w:val="lv-LV"/>
        </w:rPr>
        <w:t>Ksilometazolīns, imidazola atvasinājums, ir simpatomimētisks līdzeklis ar alfa adrenerģisku darbību. Tam piemīt vazokonstriktīvs efekts un tādejādi tas samazina gļotādas tūsku. Darbības sākumu parasti novēro 5 – 10 minūšu laikā, kas izpaužas kā atvieglota elpošana caur degunu (samazinātas gļotādas tūskas rezultātā) un uzlabota sekrēta izdale.</w:t>
      </w:r>
    </w:p>
    <w:p w14:paraId="7543463C" w14:textId="77777777" w:rsidR="00F75EAB" w:rsidRPr="00914012" w:rsidRDefault="00F75EAB" w:rsidP="00914012">
      <w:pPr>
        <w:spacing w:line="240" w:lineRule="auto"/>
        <w:jc w:val="both"/>
        <w:rPr>
          <w:color w:val="000000"/>
          <w:szCs w:val="22"/>
        </w:rPr>
      </w:pPr>
    </w:p>
    <w:p w14:paraId="30EA664E" w14:textId="77777777" w:rsidR="00F75EAB" w:rsidRPr="00914012" w:rsidRDefault="00F75EAB" w:rsidP="00914012">
      <w:pPr>
        <w:tabs>
          <w:tab w:val="clear" w:pos="567"/>
        </w:tabs>
        <w:spacing w:line="240" w:lineRule="auto"/>
        <w:jc w:val="both"/>
        <w:rPr>
          <w:b/>
          <w:color w:val="000000"/>
          <w:szCs w:val="22"/>
        </w:rPr>
      </w:pPr>
      <w:r w:rsidRPr="00914012">
        <w:rPr>
          <w:b/>
          <w:color w:val="000000"/>
          <w:szCs w:val="22"/>
        </w:rPr>
        <w:t>5.2.</w:t>
      </w:r>
      <w:r w:rsidRPr="00914012">
        <w:rPr>
          <w:b/>
          <w:color w:val="000000"/>
          <w:szCs w:val="22"/>
        </w:rPr>
        <w:tab/>
        <w:t>Farmakokinētiskās īpašības</w:t>
      </w:r>
    </w:p>
    <w:p w14:paraId="2B639794" w14:textId="77777777" w:rsidR="00CE3063" w:rsidRPr="00914012" w:rsidRDefault="00CE3063" w:rsidP="00914012">
      <w:pPr>
        <w:pStyle w:val="CM6"/>
        <w:jc w:val="both"/>
        <w:rPr>
          <w:color w:val="000000"/>
          <w:sz w:val="22"/>
          <w:szCs w:val="22"/>
          <w:lang w:val="lv-LV"/>
        </w:rPr>
      </w:pPr>
    </w:p>
    <w:p w14:paraId="26BAC90E" w14:textId="77777777" w:rsidR="0055714A" w:rsidRPr="00914012" w:rsidRDefault="0055714A" w:rsidP="00914012">
      <w:pPr>
        <w:pStyle w:val="CM6"/>
        <w:jc w:val="both"/>
        <w:rPr>
          <w:color w:val="000000"/>
          <w:sz w:val="22"/>
          <w:szCs w:val="22"/>
          <w:lang w:val="lv-LV"/>
        </w:rPr>
      </w:pPr>
      <w:r w:rsidRPr="00914012">
        <w:rPr>
          <w:color w:val="000000"/>
          <w:sz w:val="22"/>
          <w:szCs w:val="22"/>
          <w:lang w:val="lv-LV"/>
        </w:rPr>
        <w:t>Ksilometazolīna iedarbību var sajust pāris minūšu laikā un tā ilgst vairākas stundas (vidēji 6 – 8 stundas).</w:t>
      </w:r>
    </w:p>
    <w:p w14:paraId="66BFF214" w14:textId="77777777" w:rsidR="0055714A" w:rsidRPr="00914012" w:rsidRDefault="0055714A" w:rsidP="00914012">
      <w:pPr>
        <w:pStyle w:val="Default"/>
        <w:jc w:val="both"/>
        <w:rPr>
          <w:sz w:val="22"/>
          <w:szCs w:val="22"/>
          <w:lang w:val="lv-LV"/>
        </w:rPr>
      </w:pPr>
    </w:p>
    <w:p w14:paraId="6CB6DADB" w14:textId="77777777" w:rsidR="0055714A" w:rsidRPr="00914012" w:rsidRDefault="0055714A" w:rsidP="00914012">
      <w:pPr>
        <w:pStyle w:val="CM6"/>
        <w:jc w:val="both"/>
        <w:rPr>
          <w:color w:val="000000"/>
          <w:sz w:val="22"/>
          <w:szCs w:val="22"/>
          <w:lang w:val="lv-LV"/>
        </w:rPr>
      </w:pPr>
      <w:r w:rsidRPr="00914012">
        <w:rPr>
          <w:color w:val="000000"/>
          <w:sz w:val="22"/>
          <w:szCs w:val="22"/>
          <w:lang w:val="lv-LV"/>
        </w:rPr>
        <w:t>Lietojot intranazāli, absorbētā deva var būt pietiekama, lai izraisītu sistēmiskos efektus, piemēram, CNS un kardiovaskulārajā sistēmā.</w:t>
      </w:r>
    </w:p>
    <w:p w14:paraId="3DF6EB7C" w14:textId="77777777" w:rsidR="0055714A" w:rsidRPr="00914012" w:rsidRDefault="0055714A" w:rsidP="00914012">
      <w:pPr>
        <w:pStyle w:val="Default"/>
        <w:jc w:val="both"/>
        <w:rPr>
          <w:sz w:val="22"/>
          <w:szCs w:val="22"/>
          <w:lang w:val="lv-LV"/>
        </w:rPr>
      </w:pPr>
    </w:p>
    <w:p w14:paraId="44B4CB7D" w14:textId="77777777" w:rsidR="0055714A" w:rsidRPr="00914012" w:rsidRDefault="0055714A" w:rsidP="00914012">
      <w:pPr>
        <w:pStyle w:val="CM6"/>
        <w:jc w:val="both"/>
        <w:rPr>
          <w:color w:val="000000"/>
          <w:sz w:val="22"/>
          <w:szCs w:val="22"/>
          <w:lang w:val="lv-LV"/>
        </w:rPr>
      </w:pPr>
      <w:r w:rsidRPr="00914012">
        <w:rPr>
          <w:color w:val="000000"/>
          <w:sz w:val="22"/>
          <w:szCs w:val="22"/>
          <w:lang w:val="lv-LV"/>
        </w:rPr>
        <w:t>Nav pieejami dati par farmakokinētiskajiem pētījumiem cilvēkiem.</w:t>
      </w:r>
    </w:p>
    <w:p w14:paraId="66EF5346" w14:textId="77777777" w:rsidR="00F75EAB" w:rsidRPr="00914012" w:rsidRDefault="00F75EAB" w:rsidP="00914012">
      <w:pPr>
        <w:spacing w:line="240" w:lineRule="auto"/>
        <w:jc w:val="both"/>
        <w:rPr>
          <w:color w:val="000000"/>
          <w:szCs w:val="22"/>
        </w:rPr>
      </w:pPr>
    </w:p>
    <w:p w14:paraId="065A8E9B" w14:textId="77777777" w:rsidR="00F75EAB" w:rsidRPr="00914012" w:rsidRDefault="00F75EAB" w:rsidP="00914012">
      <w:pPr>
        <w:tabs>
          <w:tab w:val="clear" w:pos="567"/>
        </w:tabs>
        <w:spacing w:line="240" w:lineRule="auto"/>
        <w:jc w:val="both"/>
        <w:rPr>
          <w:color w:val="000000"/>
          <w:szCs w:val="22"/>
        </w:rPr>
      </w:pPr>
      <w:r w:rsidRPr="00914012">
        <w:rPr>
          <w:b/>
          <w:color w:val="000000"/>
          <w:szCs w:val="22"/>
        </w:rPr>
        <w:t>5.3.</w:t>
      </w:r>
      <w:r w:rsidRPr="00914012">
        <w:rPr>
          <w:b/>
          <w:color w:val="000000"/>
          <w:szCs w:val="22"/>
        </w:rPr>
        <w:tab/>
        <w:t>Preklīniskie dati par drošumu</w:t>
      </w:r>
    </w:p>
    <w:p w14:paraId="5B1D928B" w14:textId="77777777" w:rsidR="00CE3063" w:rsidRPr="00914012" w:rsidRDefault="00CE3063" w:rsidP="00914012">
      <w:pPr>
        <w:pStyle w:val="CM6"/>
        <w:jc w:val="both"/>
        <w:rPr>
          <w:color w:val="000000"/>
          <w:sz w:val="22"/>
          <w:szCs w:val="22"/>
          <w:lang w:val="lv-LV"/>
        </w:rPr>
      </w:pPr>
    </w:p>
    <w:p w14:paraId="188BCE38" w14:textId="77777777" w:rsidR="0055714A" w:rsidRPr="00914012" w:rsidRDefault="0055714A" w:rsidP="00914012">
      <w:pPr>
        <w:pStyle w:val="CM6"/>
        <w:jc w:val="both"/>
        <w:rPr>
          <w:color w:val="000000"/>
          <w:sz w:val="22"/>
          <w:szCs w:val="22"/>
          <w:lang w:val="lv-LV"/>
        </w:rPr>
      </w:pPr>
      <w:r w:rsidRPr="00914012">
        <w:rPr>
          <w:color w:val="000000"/>
          <w:sz w:val="22"/>
          <w:szCs w:val="22"/>
          <w:lang w:val="lv-LV"/>
        </w:rPr>
        <w:t xml:space="preserve">Rezultāti, kas iegūti toksicitātes pētījumos ar suņiem ievadot atkārtotas devas, neliecina par risku cilvēkiem. Viens </w:t>
      </w:r>
      <w:r w:rsidRPr="00914012">
        <w:rPr>
          <w:i/>
          <w:iCs/>
          <w:color w:val="000000"/>
          <w:sz w:val="22"/>
          <w:szCs w:val="22"/>
          <w:lang w:val="lv-LV"/>
        </w:rPr>
        <w:t>in vitro</w:t>
      </w:r>
      <w:r w:rsidRPr="00914012">
        <w:rPr>
          <w:color w:val="000000"/>
          <w:sz w:val="22"/>
          <w:szCs w:val="22"/>
          <w:lang w:val="lv-LV"/>
        </w:rPr>
        <w:t xml:space="preserve"> bakteriālās mutagenitātes pētījums bija negatīvs. Nav pieejami dati par kancerogenitāti. Žurkām un trušiem nav novērota teratogēna iedarbība. Devas, kas pārsniedza terapeitisko devu robežas, bija embrioletālas vai arī, lietojot šīs devas, novēroja samazinātu augļa masu. </w:t>
      </w:r>
      <w:r w:rsidRPr="00914012">
        <w:rPr>
          <w:color w:val="000000"/>
          <w:sz w:val="22"/>
          <w:szCs w:val="22"/>
          <w:lang w:val="lv-LV"/>
        </w:rPr>
        <w:lastRenderedPageBreak/>
        <w:t>Žurkām tika nomākta piena sekrēcija. Nav novērotas nekādas auglības traucējumu pazīmes.</w:t>
      </w:r>
    </w:p>
    <w:p w14:paraId="4672E727" w14:textId="77777777" w:rsidR="0055714A" w:rsidRPr="00914012" w:rsidRDefault="0055714A" w:rsidP="00914012">
      <w:pPr>
        <w:pStyle w:val="Default"/>
        <w:jc w:val="both"/>
        <w:rPr>
          <w:sz w:val="22"/>
          <w:szCs w:val="22"/>
          <w:lang w:val="lv-LV"/>
        </w:rPr>
      </w:pPr>
    </w:p>
    <w:p w14:paraId="411A8E79" w14:textId="77777777" w:rsidR="0055714A" w:rsidRPr="00914012" w:rsidRDefault="0055714A" w:rsidP="00914012">
      <w:pPr>
        <w:pStyle w:val="CM6"/>
        <w:jc w:val="both"/>
        <w:rPr>
          <w:color w:val="000000"/>
          <w:sz w:val="22"/>
          <w:szCs w:val="22"/>
          <w:lang w:val="lv-LV"/>
        </w:rPr>
      </w:pPr>
      <w:r w:rsidRPr="00914012">
        <w:rPr>
          <w:color w:val="000000"/>
          <w:sz w:val="22"/>
          <w:szCs w:val="22"/>
          <w:lang w:val="lv-LV"/>
        </w:rPr>
        <w:t>Preklīniskie pētījumi liecina, ka benzalkonija hlorīds var, atkarībā no devas lieluma un lietošanas ilguma, izraisīt nomācošu iedarbību uz skropstiņepitēlija kustībām līdz pat neatgriezeniskai to blokādei, kā arī histopatoloģiskas deguna gļotādas izmaiņas.</w:t>
      </w:r>
    </w:p>
    <w:p w14:paraId="32D8807D" w14:textId="77777777" w:rsidR="00F75EAB" w:rsidRPr="00914012" w:rsidRDefault="00F75EAB" w:rsidP="00914012">
      <w:pPr>
        <w:tabs>
          <w:tab w:val="clear" w:pos="567"/>
        </w:tabs>
        <w:spacing w:line="240" w:lineRule="auto"/>
        <w:jc w:val="both"/>
        <w:rPr>
          <w:color w:val="000000"/>
          <w:szCs w:val="22"/>
        </w:rPr>
      </w:pPr>
    </w:p>
    <w:p w14:paraId="36C60EA8" w14:textId="77777777" w:rsidR="00CE3063" w:rsidRPr="00914012" w:rsidRDefault="00CE3063" w:rsidP="00914012">
      <w:pPr>
        <w:tabs>
          <w:tab w:val="clear" w:pos="567"/>
        </w:tabs>
        <w:spacing w:line="240" w:lineRule="auto"/>
        <w:jc w:val="both"/>
        <w:rPr>
          <w:color w:val="000000"/>
          <w:szCs w:val="22"/>
        </w:rPr>
      </w:pPr>
    </w:p>
    <w:p w14:paraId="672D154D" w14:textId="77777777" w:rsidR="00F75EAB" w:rsidRPr="00914012" w:rsidRDefault="00F75EAB" w:rsidP="00914012">
      <w:pPr>
        <w:tabs>
          <w:tab w:val="clear" w:pos="567"/>
        </w:tabs>
        <w:spacing w:line="240" w:lineRule="auto"/>
        <w:jc w:val="both"/>
        <w:rPr>
          <w:b/>
          <w:color w:val="000000"/>
          <w:szCs w:val="22"/>
        </w:rPr>
      </w:pPr>
      <w:r w:rsidRPr="00914012">
        <w:rPr>
          <w:b/>
          <w:color w:val="000000"/>
          <w:szCs w:val="22"/>
        </w:rPr>
        <w:t>6.</w:t>
      </w:r>
      <w:r w:rsidRPr="00914012">
        <w:rPr>
          <w:b/>
          <w:color w:val="000000"/>
          <w:szCs w:val="22"/>
        </w:rPr>
        <w:tab/>
        <w:t>FARMACEITISKĀ INFORMĀCIJA</w:t>
      </w:r>
    </w:p>
    <w:p w14:paraId="479715BF" w14:textId="77777777" w:rsidR="00CE3063" w:rsidRPr="00914012" w:rsidRDefault="00CE3063" w:rsidP="00914012">
      <w:pPr>
        <w:tabs>
          <w:tab w:val="clear" w:pos="567"/>
        </w:tabs>
        <w:spacing w:line="240" w:lineRule="auto"/>
        <w:jc w:val="both"/>
        <w:rPr>
          <w:b/>
          <w:color w:val="000000"/>
          <w:szCs w:val="22"/>
        </w:rPr>
      </w:pPr>
    </w:p>
    <w:p w14:paraId="0A2A1403" w14:textId="77777777" w:rsidR="00F75EAB" w:rsidRPr="00914012" w:rsidRDefault="00F75EAB" w:rsidP="00914012">
      <w:pPr>
        <w:tabs>
          <w:tab w:val="clear" w:pos="567"/>
        </w:tabs>
        <w:spacing w:line="240" w:lineRule="auto"/>
        <w:jc w:val="both"/>
        <w:rPr>
          <w:color w:val="000000"/>
          <w:szCs w:val="22"/>
        </w:rPr>
      </w:pPr>
      <w:r w:rsidRPr="00914012">
        <w:rPr>
          <w:b/>
          <w:color w:val="000000"/>
          <w:szCs w:val="22"/>
        </w:rPr>
        <w:t>6.1.</w:t>
      </w:r>
      <w:r w:rsidRPr="00914012">
        <w:rPr>
          <w:b/>
          <w:color w:val="000000"/>
          <w:szCs w:val="22"/>
        </w:rPr>
        <w:tab/>
        <w:t>Palīgvielu saraksts</w:t>
      </w:r>
    </w:p>
    <w:p w14:paraId="0B4E5F7B" w14:textId="77777777" w:rsidR="00CE3063" w:rsidRPr="00914012" w:rsidRDefault="00CE3063" w:rsidP="00914012">
      <w:pPr>
        <w:pStyle w:val="CM4"/>
        <w:spacing w:line="240" w:lineRule="auto"/>
        <w:jc w:val="both"/>
        <w:rPr>
          <w:color w:val="000000"/>
          <w:sz w:val="22"/>
          <w:szCs w:val="22"/>
          <w:lang w:val="lv-LV"/>
        </w:rPr>
      </w:pPr>
    </w:p>
    <w:p w14:paraId="58B1A17D" w14:textId="77777777" w:rsidR="0055714A" w:rsidRPr="00914012" w:rsidRDefault="0055714A" w:rsidP="00914012">
      <w:pPr>
        <w:pStyle w:val="CM4"/>
        <w:spacing w:line="240" w:lineRule="auto"/>
        <w:jc w:val="both"/>
        <w:rPr>
          <w:color w:val="000000"/>
          <w:sz w:val="22"/>
          <w:szCs w:val="22"/>
          <w:lang w:val="lv-LV"/>
        </w:rPr>
      </w:pPr>
      <w:r w:rsidRPr="00914012">
        <w:rPr>
          <w:color w:val="000000"/>
          <w:sz w:val="22"/>
          <w:szCs w:val="22"/>
          <w:lang w:val="lv-LV"/>
        </w:rPr>
        <w:t>Benzalkonija hlorīds</w:t>
      </w:r>
    </w:p>
    <w:p w14:paraId="318D0DE8" w14:textId="77777777" w:rsidR="0055714A" w:rsidRPr="00914012" w:rsidRDefault="0055714A" w:rsidP="00914012">
      <w:pPr>
        <w:pStyle w:val="CM4"/>
        <w:spacing w:line="240" w:lineRule="auto"/>
        <w:jc w:val="both"/>
        <w:rPr>
          <w:color w:val="000000"/>
          <w:sz w:val="22"/>
          <w:szCs w:val="22"/>
          <w:lang w:val="lv-LV"/>
        </w:rPr>
      </w:pPr>
      <w:r w:rsidRPr="00914012">
        <w:rPr>
          <w:color w:val="000000"/>
          <w:sz w:val="22"/>
          <w:szCs w:val="22"/>
          <w:lang w:val="lv-LV"/>
        </w:rPr>
        <w:t>Citronskābes monohidrāts</w:t>
      </w:r>
    </w:p>
    <w:p w14:paraId="0B5B3A6D" w14:textId="77777777" w:rsidR="0055714A" w:rsidRPr="00914012" w:rsidRDefault="0055714A" w:rsidP="00914012">
      <w:pPr>
        <w:pStyle w:val="CM4"/>
        <w:spacing w:line="240" w:lineRule="auto"/>
        <w:jc w:val="both"/>
        <w:rPr>
          <w:color w:val="000000"/>
          <w:sz w:val="22"/>
          <w:szCs w:val="22"/>
          <w:lang w:val="lv-LV"/>
        </w:rPr>
      </w:pPr>
      <w:r w:rsidRPr="00914012">
        <w:rPr>
          <w:color w:val="000000"/>
          <w:sz w:val="22"/>
          <w:szCs w:val="22"/>
          <w:lang w:val="lv-LV"/>
        </w:rPr>
        <w:t>Glicerīns</w:t>
      </w:r>
    </w:p>
    <w:p w14:paraId="45DD2377" w14:textId="77777777" w:rsidR="0055714A" w:rsidRPr="00914012" w:rsidRDefault="0055714A" w:rsidP="00914012">
      <w:pPr>
        <w:pStyle w:val="CM4"/>
        <w:spacing w:line="240" w:lineRule="auto"/>
        <w:jc w:val="both"/>
        <w:rPr>
          <w:color w:val="000000"/>
          <w:sz w:val="22"/>
          <w:szCs w:val="22"/>
          <w:lang w:val="lv-LV"/>
        </w:rPr>
      </w:pPr>
      <w:r w:rsidRPr="00914012">
        <w:rPr>
          <w:color w:val="000000"/>
          <w:sz w:val="22"/>
          <w:szCs w:val="22"/>
          <w:lang w:val="lv-LV"/>
        </w:rPr>
        <w:t>Nātrija citrāta dihidrāts</w:t>
      </w:r>
    </w:p>
    <w:p w14:paraId="4FA66B17" w14:textId="77777777" w:rsidR="0055714A" w:rsidRPr="00914012" w:rsidRDefault="0055714A" w:rsidP="00914012">
      <w:pPr>
        <w:pStyle w:val="CM4"/>
        <w:spacing w:line="240" w:lineRule="auto"/>
        <w:jc w:val="both"/>
        <w:rPr>
          <w:color w:val="000000"/>
          <w:sz w:val="22"/>
          <w:szCs w:val="22"/>
          <w:lang w:val="lv-LV"/>
        </w:rPr>
      </w:pPr>
      <w:r w:rsidRPr="00914012">
        <w:rPr>
          <w:color w:val="000000"/>
          <w:sz w:val="22"/>
          <w:szCs w:val="22"/>
          <w:lang w:val="lv-LV"/>
        </w:rPr>
        <w:t>Attīrīts ūdens</w:t>
      </w:r>
    </w:p>
    <w:p w14:paraId="3E67298C" w14:textId="77777777" w:rsidR="00F75EAB" w:rsidRPr="00914012" w:rsidRDefault="00F75EAB" w:rsidP="00914012">
      <w:pPr>
        <w:tabs>
          <w:tab w:val="clear" w:pos="567"/>
        </w:tabs>
        <w:spacing w:line="240" w:lineRule="auto"/>
        <w:jc w:val="both"/>
        <w:rPr>
          <w:color w:val="000000"/>
          <w:szCs w:val="22"/>
        </w:rPr>
      </w:pPr>
    </w:p>
    <w:p w14:paraId="16B1B1AF" w14:textId="77777777" w:rsidR="00F75EAB" w:rsidRPr="00914012" w:rsidRDefault="00F75EAB" w:rsidP="00914012">
      <w:pPr>
        <w:tabs>
          <w:tab w:val="clear" w:pos="567"/>
        </w:tabs>
        <w:spacing w:line="240" w:lineRule="auto"/>
        <w:jc w:val="both"/>
        <w:rPr>
          <w:color w:val="000000"/>
          <w:szCs w:val="22"/>
        </w:rPr>
      </w:pPr>
      <w:r w:rsidRPr="00914012">
        <w:rPr>
          <w:b/>
          <w:color w:val="000000"/>
          <w:szCs w:val="22"/>
        </w:rPr>
        <w:t>6.2.</w:t>
      </w:r>
      <w:r w:rsidRPr="00914012">
        <w:rPr>
          <w:b/>
          <w:color w:val="000000"/>
          <w:szCs w:val="22"/>
        </w:rPr>
        <w:tab/>
        <w:t>Nesaderība</w:t>
      </w:r>
    </w:p>
    <w:p w14:paraId="39FA478A" w14:textId="77777777" w:rsidR="00CE3063" w:rsidRPr="00914012" w:rsidRDefault="00CE3063" w:rsidP="00914012">
      <w:pPr>
        <w:tabs>
          <w:tab w:val="clear" w:pos="567"/>
        </w:tabs>
        <w:spacing w:line="240" w:lineRule="auto"/>
        <w:jc w:val="both"/>
        <w:rPr>
          <w:color w:val="000000"/>
          <w:szCs w:val="22"/>
        </w:rPr>
      </w:pPr>
    </w:p>
    <w:p w14:paraId="51973F1D" w14:textId="77777777" w:rsidR="00F75EAB" w:rsidRPr="00914012" w:rsidRDefault="00F75EAB" w:rsidP="00914012">
      <w:pPr>
        <w:tabs>
          <w:tab w:val="clear" w:pos="567"/>
        </w:tabs>
        <w:spacing w:line="240" w:lineRule="auto"/>
        <w:jc w:val="both"/>
        <w:rPr>
          <w:color w:val="000000"/>
          <w:szCs w:val="22"/>
        </w:rPr>
      </w:pPr>
      <w:r w:rsidRPr="00914012">
        <w:rPr>
          <w:color w:val="000000"/>
          <w:szCs w:val="22"/>
        </w:rPr>
        <w:t>Nav piemērojama.</w:t>
      </w:r>
    </w:p>
    <w:p w14:paraId="325D2E67" w14:textId="77777777" w:rsidR="00F75EAB" w:rsidRPr="00914012" w:rsidRDefault="00F75EAB" w:rsidP="00914012">
      <w:pPr>
        <w:tabs>
          <w:tab w:val="clear" w:pos="567"/>
        </w:tabs>
        <w:spacing w:line="240" w:lineRule="auto"/>
        <w:jc w:val="both"/>
        <w:rPr>
          <w:color w:val="000000"/>
          <w:szCs w:val="22"/>
        </w:rPr>
      </w:pPr>
    </w:p>
    <w:p w14:paraId="3BC9EA5A" w14:textId="77777777" w:rsidR="00F75EAB" w:rsidRPr="00914012" w:rsidRDefault="00F75EAB" w:rsidP="00914012">
      <w:pPr>
        <w:tabs>
          <w:tab w:val="clear" w:pos="567"/>
        </w:tabs>
        <w:spacing w:line="240" w:lineRule="auto"/>
        <w:jc w:val="both"/>
        <w:rPr>
          <w:color w:val="000000"/>
          <w:szCs w:val="22"/>
        </w:rPr>
      </w:pPr>
      <w:r w:rsidRPr="00914012">
        <w:rPr>
          <w:b/>
          <w:color w:val="000000"/>
          <w:szCs w:val="22"/>
        </w:rPr>
        <w:t>6.3.</w:t>
      </w:r>
      <w:r w:rsidRPr="00914012">
        <w:rPr>
          <w:b/>
          <w:color w:val="000000"/>
          <w:szCs w:val="22"/>
        </w:rPr>
        <w:tab/>
        <w:t>Uzglabāšanas laiks</w:t>
      </w:r>
    </w:p>
    <w:p w14:paraId="4C305CBB" w14:textId="77777777" w:rsidR="00CE3063" w:rsidRPr="00914012" w:rsidRDefault="00CE3063" w:rsidP="00914012">
      <w:pPr>
        <w:tabs>
          <w:tab w:val="clear" w:pos="567"/>
        </w:tabs>
        <w:spacing w:line="240" w:lineRule="auto"/>
        <w:jc w:val="both"/>
        <w:rPr>
          <w:color w:val="000000"/>
          <w:szCs w:val="22"/>
        </w:rPr>
      </w:pPr>
    </w:p>
    <w:p w14:paraId="76624A32" w14:textId="77777777" w:rsidR="00F75EAB" w:rsidRPr="00914012" w:rsidRDefault="0055714A" w:rsidP="00914012">
      <w:pPr>
        <w:tabs>
          <w:tab w:val="clear" w:pos="567"/>
        </w:tabs>
        <w:spacing w:line="240" w:lineRule="auto"/>
        <w:jc w:val="both"/>
        <w:rPr>
          <w:color w:val="000000"/>
          <w:szCs w:val="22"/>
        </w:rPr>
      </w:pPr>
      <w:r w:rsidRPr="00914012">
        <w:rPr>
          <w:color w:val="000000"/>
          <w:szCs w:val="22"/>
        </w:rPr>
        <w:t>5</w:t>
      </w:r>
      <w:r w:rsidR="00F75EAB" w:rsidRPr="00914012">
        <w:rPr>
          <w:color w:val="000000"/>
          <w:szCs w:val="22"/>
        </w:rPr>
        <w:t xml:space="preserve"> gadi.</w:t>
      </w:r>
    </w:p>
    <w:p w14:paraId="33C55F52" w14:textId="77777777" w:rsidR="00F75EAB" w:rsidRPr="00914012" w:rsidRDefault="00F75EAB" w:rsidP="00914012">
      <w:pPr>
        <w:tabs>
          <w:tab w:val="clear" w:pos="567"/>
        </w:tabs>
        <w:spacing w:line="240" w:lineRule="auto"/>
        <w:jc w:val="both"/>
        <w:rPr>
          <w:color w:val="000000"/>
          <w:szCs w:val="22"/>
        </w:rPr>
      </w:pPr>
    </w:p>
    <w:p w14:paraId="35E689B5" w14:textId="77777777" w:rsidR="0055714A" w:rsidRPr="00914012" w:rsidRDefault="0055714A" w:rsidP="00914012">
      <w:pPr>
        <w:pStyle w:val="CM6"/>
        <w:jc w:val="both"/>
        <w:rPr>
          <w:color w:val="000000"/>
          <w:sz w:val="22"/>
          <w:szCs w:val="22"/>
          <w:lang w:val="lv-LV"/>
        </w:rPr>
      </w:pPr>
      <w:r w:rsidRPr="00914012">
        <w:rPr>
          <w:color w:val="000000"/>
          <w:sz w:val="22"/>
          <w:szCs w:val="22"/>
          <w:lang w:val="lv-LV"/>
        </w:rPr>
        <w:t>Uzglabāšanas laiks pēc pirmās iepakojuma atvēršanas: 6 mēneši.</w:t>
      </w:r>
    </w:p>
    <w:p w14:paraId="683DB214" w14:textId="77777777" w:rsidR="0055714A" w:rsidRPr="00914012" w:rsidRDefault="0055714A" w:rsidP="00914012">
      <w:pPr>
        <w:tabs>
          <w:tab w:val="clear" w:pos="567"/>
        </w:tabs>
        <w:spacing w:line="240" w:lineRule="auto"/>
        <w:jc w:val="both"/>
        <w:rPr>
          <w:color w:val="000000"/>
          <w:szCs w:val="22"/>
        </w:rPr>
      </w:pPr>
    </w:p>
    <w:p w14:paraId="21E5947D" w14:textId="77777777" w:rsidR="00F75EAB" w:rsidRPr="00914012" w:rsidRDefault="00F75EAB" w:rsidP="00914012">
      <w:pPr>
        <w:tabs>
          <w:tab w:val="clear" w:pos="567"/>
        </w:tabs>
        <w:spacing w:line="240" w:lineRule="auto"/>
        <w:jc w:val="both"/>
        <w:rPr>
          <w:color w:val="000000"/>
          <w:szCs w:val="22"/>
        </w:rPr>
      </w:pPr>
      <w:r w:rsidRPr="00914012">
        <w:rPr>
          <w:b/>
          <w:color w:val="000000"/>
          <w:szCs w:val="22"/>
        </w:rPr>
        <w:t>6.4.</w:t>
      </w:r>
      <w:r w:rsidRPr="00914012">
        <w:rPr>
          <w:b/>
          <w:color w:val="000000"/>
          <w:szCs w:val="22"/>
        </w:rPr>
        <w:tab/>
        <w:t>Īpaši uzglabāšanas nosacījumi</w:t>
      </w:r>
    </w:p>
    <w:p w14:paraId="7F7E5679" w14:textId="77777777" w:rsidR="00CE3063" w:rsidRPr="00914012" w:rsidRDefault="00CE3063" w:rsidP="00914012">
      <w:pPr>
        <w:spacing w:line="240" w:lineRule="auto"/>
        <w:jc w:val="both"/>
        <w:rPr>
          <w:color w:val="000000"/>
          <w:szCs w:val="22"/>
        </w:rPr>
      </w:pPr>
    </w:p>
    <w:p w14:paraId="2CC862B5" w14:textId="77777777" w:rsidR="00F75EAB" w:rsidRPr="00914012" w:rsidRDefault="00F75EAB" w:rsidP="00914012">
      <w:pPr>
        <w:spacing w:line="240" w:lineRule="auto"/>
        <w:jc w:val="both"/>
        <w:rPr>
          <w:color w:val="000000"/>
          <w:szCs w:val="22"/>
        </w:rPr>
      </w:pPr>
      <w:r w:rsidRPr="00914012">
        <w:rPr>
          <w:color w:val="000000"/>
          <w:szCs w:val="22"/>
        </w:rPr>
        <w:t>Zālēm nav nepieciešami īpaši uzglabāšanas apstākļi.</w:t>
      </w:r>
    </w:p>
    <w:p w14:paraId="1E7F923F" w14:textId="77777777" w:rsidR="00F75EAB" w:rsidRPr="00914012" w:rsidRDefault="00F75EAB" w:rsidP="00914012">
      <w:pPr>
        <w:spacing w:line="240" w:lineRule="auto"/>
        <w:jc w:val="both"/>
        <w:rPr>
          <w:i/>
          <w:color w:val="000000"/>
          <w:szCs w:val="22"/>
        </w:rPr>
      </w:pPr>
    </w:p>
    <w:p w14:paraId="1F1A4239" w14:textId="77777777" w:rsidR="00F75EAB" w:rsidRPr="00914012" w:rsidRDefault="00F75EAB" w:rsidP="00914012">
      <w:pPr>
        <w:tabs>
          <w:tab w:val="clear" w:pos="567"/>
        </w:tabs>
        <w:spacing w:line="240" w:lineRule="auto"/>
        <w:jc w:val="both"/>
        <w:rPr>
          <w:color w:val="000000"/>
          <w:szCs w:val="22"/>
        </w:rPr>
      </w:pPr>
      <w:r w:rsidRPr="00914012">
        <w:rPr>
          <w:b/>
          <w:color w:val="000000"/>
          <w:szCs w:val="22"/>
        </w:rPr>
        <w:t>6.5.</w:t>
      </w:r>
      <w:r w:rsidRPr="00914012">
        <w:rPr>
          <w:b/>
          <w:color w:val="000000"/>
          <w:szCs w:val="22"/>
        </w:rPr>
        <w:tab/>
        <w:t>Iepakojuma veids un saturs</w:t>
      </w:r>
    </w:p>
    <w:p w14:paraId="4D6B352F" w14:textId="77777777" w:rsidR="00CE3063" w:rsidRPr="00914012" w:rsidRDefault="00CE3063" w:rsidP="00914012">
      <w:pPr>
        <w:pStyle w:val="CM6"/>
        <w:jc w:val="both"/>
        <w:rPr>
          <w:color w:val="000000"/>
          <w:sz w:val="22"/>
          <w:szCs w:val="22"/>
          <w:lang w:val="lv-LV"/>
        </w:rPr>
      </w:pPr>
    </w:p>
    <w:p w14:paraId="24E439EC" w14:textId="77777777" w:rsidR="0055714A" w:rsidRPr="00914012" w:rsidRDefault="0055714A" w:rsidP="00914012">
      <w:pPr>
        <w:pStyle w:val="CM6"/>
        <w:jc w:val="both"/>
        <w:rPr>
          <w:color w:val="000000"/>
          <w:sz w:val="22"/>
          <w:szCs w:val="22"/>
          <w:lang w:val="lv-LV"/>
        </w:rPr>
      </w:pPr>
      <w:r w:rsidRPr="00914012">
        <w:rPr>
          <w:color w:val="000000"/>
          <w:sz w:val="22"/>
          <w:szCs w:val="22"/>
          <w:lang w:val="lv-LV"/>
        </w:rPr>
        <w:t>Brūna stikla pudelīte ar polipropilēna dozējošu sūkni, kas nodrošina precīzu dozēšanu.</w:t>
      </w:r>
    </w:p>
    <w:p w14:paraId="628ED126" w14:textId="77777777" w:rsidR="0055714A" w:rsidRPr="00914012" w:rsidRDefault="0055714A" w:rsidP="00914012">
      <w:pPr>
        <w:pStyle w:val="CM6"/>
        <w:jc w:val="both"/>
        <w:rPr>
          <w:color w:val="000000"/>
          <w:sz w:val="22"/>
          <w:szCs w:val="22"/>
          <w:lang w:val="lv-LV"/>
        </w:rPr>
      </w:pPr>
      <w:r w:rsidRPr="00914012">
        <w:rPr>
          <w:color w:val="000000"/>
          <w:sz w:val="22"/>
          <w:szCs w:val="22"/>
          <w:lang w:val="lv-LV"/>
        </w:rPr>
        <w:t>Viena pudelīte (satur 10 ml šķīduma) iepakota kartona kastītē.</w:t>
      </w:r>
    </w:p>
    <w:p w14:paraId="1BFA8469" w14:textId="77777777" w:rsidR="00F75EAB" w:rsidRPr="00914012" w:rsidRDefault="00F75EAB" w:rsidP="00914012">
      <w:pPr>
        <w:tabs>
          <w:tab w:val="clear" w:pos="567"/>
        </w:tabs>
        <w:spacing w:line="240" w:lineRule="auto"/>
        <w:jc w:val="both"/>
        <w:rPr>
          <w:color w:val="000000"/>
          <w:szCs w:val="22"/>
        </w:rPr>
      </w:pPr>
    </w:p>
    <w:p w14:paraId="74B66F4E" w14:textId="77777777" w:rsidR="00F75EAB" w:rsidRPr="00914012" w:rsidRDefault="00F75EAB" w:rsidP="00914012">
      <w:pPr>
        <w:tabs>
          <w:tab w:val="clear" w:pos="567"/>
        </w:tabs>
        <w:spacing w:line="240" w:lineRule="auto"/>
        <w:jc w:val="both"/>
        <w:rPr>
          <w:b/>
          <w:color w:val="000000"/>
          <w:szCs w:val="22"/>
        </w:rPr>
      </w:pPr>
      <w:r w:rsidRPr="00914012">
        <w:rPr>
          <w:b/>
          <w:color w:val="000000"/>
          <w:szCs w:val="22"/>
        </w:rPr>
        <w:t>6.6.</w:t>
      </w:r>
      <w:r w:rsidRPr="00914012">
        <w:rPr>
          <w:b/>
          <w:color w:val="000000"/>
          <w:szCs w:val="22"/>
        </w:rPr>
        <w:tab/>
        <w:t>Īpaši norādījumi atkritumu likvidēšanai</w:t>
      </w:r>
    </w:p>
    <w:p w14:paraId="15D90843" w14:textId="77777777" w:rsidR="00CE3063" w:rsidRPr="00914012" w:rsidRDefault="00CE3063" w:rsidP="00914012">
      <w:pPr>
        <w:tabs>
          <w:tab w:val="clear" w:pos="567"/>
        </w:tabs>
        <w:spacing w:line="240" w:lineRule="auto"/>
        <w:jc w:val="both"/>
        <w:rPr>
          <w:color w:val="000000"/>
          <w:szCs w:val="22"/>
        </w:rPr>
      </w:pPr>
    </w:p>
    <w:p w14:paraId="421EAECF" w14:textId="77777777" w:rsidR="00F75EAB" w:rsidRPr="00914012" w:rsidRDefault="00F75EAB" w:rsidP="00914012">
      <w:pPr>
        <w:tabs>
          <w:tab w:val="clear" w:pos="567"/>
        </w:tabs>
        <w:spacing w:line="240" w:lineRule="auto"/>
        <w:jc w:val="both"/>
        <w:rPr>
          <w:color w:val="000000"/>
          <w:szCs w:val="22"/>
        </w:rPr>
      </w:pPr>
      <w:r w:rsidRPr="00914012">
        <w:rPr>
          <w:color w:val="000000"/>
          <w:szCs w:val="22"/>
        </w:rPr>
        <w:t>Nav īpašu prasību.</w:t>
      </w:r>
    </w:p>
    <w:p w14:paraId="2E250514" w14:textId="77777777" w:rsidR="00F75EAB" w:rsidRPr="00914012" w:rsidRDefault="00F75EAB" w:rsidP="00914012">
      <w:pPr>
        <w:tabs>
          <w:tab w:val="clear" w:pos="567"/>
        </w:tabs>
        <w:spacing w:line="240" w:lineRule="auto"/>
        <w:jc w:val="both"/>
        <w:rPr>
          <w:color w:val="000000"/>
          <w:szCs w:val="22"/>
        </w:rPr>
      </w:pPr>
    </w:p>
    <w:p w14:paraId="5D40ADD9" w14:textId="77777777" w:rsidR="00CE3063" w:rsidRPr="00914012" w:rsidRDefault="00CE3063" w:rsidP="00914012">
      <w:pPr>
        <w:tabs>
          <w:tab w:val="clear" w:pos="567"/>
        </w:tabs>
        <w:spacing w:line="240" w:lineRule="auto"/>
        <w:jc w:val="both"/>
        <w:rPr>
          <w:color w:val="000000"/>
          <w:szCs w:val="22"/>
        </w:rPr>
      </w:pPr>
    </w:p>
    <w:p w14:paraId="155A5904" w14:textId="77777777" w:rsidR="00F75EAB" w:rsidRPr="00914012" w:rsidRDefault="00F75EAB" w:rsidP="00914012">
      <w:pPr>
        <w:tabs>
          <w:tab w:val="clear" w:pos="567"/>
        </w:tabs>
        <w:spacing w:line="240" w:lineRule="auto"/>
        <w:jc w:val="both"/>
        <w:rPr>
          <w:color w:val="000000"/>
          <w:szCs w:val="22"/>
        </w:rPr>
      </w:pPr>
      <w:r w:rsidRPr="00914012">
        <w:rPr>
          <w:b/>
          <w:color w:val="000000"/>
          <w:szCs w:val="22"/>
        </w:rPr>
        <w:t>7.</w:t>
      </w:r>
      <w:r w:rsidRPr="00914012">
        <w:rPr>
          <w:b/>
          <w:color w:val="000000"/>
          <w:szCs w:val="22"/>
        </w:rPr>
        <w:tab/>
        <w:t>REĢISTRĀCIJAS APLIECĪBAS ĪPAŠNIEKS</w:t>
      </w:r>
    </w:p>
    <w:p w14:paraId="4615B99B" w14:textId="77777777" w:rsidR="00CE3063" w:rsidRPr="00914012" w:rsidRDefault="00CE3063" w:rsidP="00914012">
      <w:pPr>
        <w:spacing w:line="240" w:lineRule="auto"/>
        <w:jc w:val="both"/>
        <w:rPr>
          <w:color w:val="000000"/>
          <w:szCs w:val="22"/>
        </w:rPr>
      </w:pPr>
    </w:p>
    <w:p w14:paraId="4A7E5044" w14:textId="77777777" w:rsidR="0055714A" w:rsidRPr="00914012" w:rsidRDefault="0055714A" w:rsidP="00914012">
      <w:pPr>
        <w:spacing w:line="240" w:lineRule="auto"/>
        <w:jc w:val="both"/>
        <w:rPr>
          <w:color w:val="000000"/>
          <w:szCs w:val="22"/>
        </w:rPr>
      </w:pPr>
      <w:r w:rsidRPr="00914012">
        <w:rPr>
          <w:color w:val="000000"/>
          <w:szCs w:val="22"/>
        </w:rPr>
        <w:t>STADA Arzneimittel AG, Stadastraße 2-18, 61118 Bad Vilbel, Vācija</w:t>
      </w:r>
    </w:p>
    <w:p w14:paraId="6ADA1C30" w14:textId="77777777" w:rsidR="00F75EAB" w:rsidRPr="00914012" w:rsidRDefault="00F75EAB" w:rsidP="00914012">
      <w:pPr>
        <w:spacing w:line="240" w:lineRule="auto"/>
        <w:jc w:val="both"/>
        <w:rPr>
          <w:color w:val="000000"/>
          <w:szCs w:val="22"/>
        </w:rPr>
      </w:pPr>
    </w:p>
    <w:p w14:paraId="4C785553" w14:textId="77777777" w:rsidR="00CE3063" w:rsidRPr="00914012" w:rsidRDefault="00CE3063" w:rsidP="00914012">
      <w:pPr>
        <w:spacing w:line="240" w:lineRule="auto"/>
        <w:jc w:val="both"/>
        <w:rPr>
          <w:color w:val="000000"/>
          <w:szCs w:val="22"/>
        </w:rPr>
      </w:pPr>
    </w:p>
    <w:p w14:paraId="3F6E1C9B" w14:textId="77777777" w:rsidR="00F75EAB" w:rsidRPr="00914012" w:rsidRDefault="00F75EAB" w:rsidP="00914012">
      <w:pPr>
        <w:tabs>
          <w:tab w:val="clear" w:pos="567"/>
        </w:tabs>
        <w:spacing w:line="240" w:lineRule="auto"/>
        <w:jc w:val="both"/>
        <w:rPr>
          <w:b/>
          <w:color w:val="000000"/>
          <w:szCs w:val="22"/>
        </w:rPr>
      </w:pPr>
      <w:r w:rsidRPr="00914012">
        <w:rPr>
          <w:b/>
          <w:color w:val="000000"/>
          <w:szCs w:val="22"/>
        </w:rPr>
        <w:t>8.</w:t>
      </w:r>
      <w:r w:rsidRPr="00914012">
        <w:rPr>
          <w:b/>
          <w:color w:val="000000"/>
          <w:szCs w:val="22"/>
        </w:rPr>
        <w:tab/>
        <w:t>R</w:t>
      </w:r>
      <w:r w:rsidR="0055714A" w:rsidRPr="00914012">
        <w:rPr>
          <w:b/>
          <w:color w:val="000000"/>
          <w:szCs w:val="22"/>
        </w:rPr>
        <w:t>EĢISTRĀCIJAS APLIECĪBAS NUMURS</w:t>
      </w:r>
    </w:p>
    <w:p w14:paraId="7E4C3CC6" w14:textId="77777777" w:rsidR="00CE3063" w:rsidRPr="00914012" w:rsidRDefault="00CE3063" w:rsidP="00914012">
      <w:pPr>
        <w:pStyle w:val="CM6"/>
        <w:jc w:val="both"/>
        <w:rPr>
          <w:color w:val="000000"/>
          <w:sz w:val="22"/>
          <w:szCs w:val="22"/>
          <w:lang w:val="lv-LV"/>
        </w:rPr>
      </w:pPr>
    </w:p>
    <w:p w14:paraId="4DC4694C" w14:textId="77777777" w:rsidR="0055714A" w:rsidRPr="00914012" w:rsidRDefault="0055714A" w:rsidP="00914012">
      <w:pPr>
        <w:pStyle w:val="CM6"/>
        <w:jc w:val="both"/>
        <w:rPr>
          <w:color w:val="000000"/>
          <w:sz w:val="22"/>
          <w:szCs w:val="22"/>
          <w:lang w:val="lv-LV"/>
        </w:rPr>
      </w:pPr>
      <w:r w:rsidRPr="00914012">
        <w:rPr>
          <w:color w:val="000000"/>
          <w:sz w:val="22"/>
          <w:szCs w:val="22"/>
          <w:lang w:val="lv-LV"/>
        </w:rPr>
        <w:t>05-0086</w:t>
      </w:r>
    </w:p>
    <w:p w14:paraId="03085BB5" w14:textId="77777777" w:rsidR="00F75EAB" w:rsidRPr="00914012" w:rsidRDefault="00F75EAB" w:rsidP="00914012">
      <w:pPr>
        <w:tabs>
          <w:tab w:val="clear" w:pos="567"/>
        </w:tabs>
        <w:spacing w:line="240" w:lineRule="auto"/>
        <w:jc w:val="both"/>
        <w:rPr>
          <w:color w:val="000000"/>
          <w:szCs w:val="22"/>
        </w:rPr>
      </w:pPr>
    </w:p>
    <w:p w14:paraId="72B2F316" w14:textId="77777777" w:rsidR="00CE3063" w:rsidRPr="00914012" w:rsidRDefault="00CE3063" w:rsidP="00914012">
      <w:pPr>
        <w:tabs>
          <w:tab w:val="clear" w:pos="567"/>
        </w:tabs>
        <w:spacing w:line="240" w:lineRule="auto"/>
        <w:jc w:val="both"/>
        <w:rPr>
          <w:color w:val="000000"/>
          <w:szCs w:val="22"/>
        </w:rPr>
      </w:pPr>
    </w:p>
    <w:p w14:paraId="56248602" w14:textId="77777777" w:rsidR="00F75EAB" w:rsidRPr="00914012" w:rsidRDefault="00F75EAB" w:rsidP="00914012">
      <w:pPr>
        <w:tabs>
          <w:tab w:val="clear" w:pos="567"/>
        </w:tabs>
        <w:spacing w:line="240" w:lineRule="auto"/>
        <w:jc w:val="both"/>
        <w:rPr>
          <w:b/>
          <w:color w:val="000000"/>
          <w:szCs w:val="22"/>
        </w:rPr>
      </w:pPr>
      <w:r w:rsidRPr="00914012">
        <w:rPr>
          <w:b/>
          <w:color w:val="000000"/>
          <w:szCs w:val="22"/>
        </w:rPr>
        <w:t>9.</w:t>
      </w:r>
      <w:r w:rsidRPr="00914012">
        <w:rPr>
          <w:b/>
          <w:color w:val="000000"/>
          <w:szCs w:val="22"/>
        </w:rPr>
        <w:tab/>
        <w:t>PIRMĀS REĢISTRĀCIJAS/PĀRREĢISTRĀCIJAS DATUMS</w:t>
      </w:r>
    </w:p>
    <w:p w14:paraId="5235E499" w14:textId="77777777" w:rsidR="00CE3063" w:rsidRPr="00914012" w:rsidRDefault="00CE3063" w:rsidP="00914012">
      <w:pPr>
        <w:spacing w:line="240" w:lineRule="auto"/>
        <w:jc w:val="both"/>
        <w:rPr>
          <w:color w:val="000000"/>
          <w:szCs w:val="22"/>
        </w:rPr>
      </w:pPr>
    </w:p>
    <w:p w14:paraId="788FB4AB" w14:textId="77777777" w:rsidR="00F75EAB" w:rsidRPr="00914012" w:rsidRDefault="00F75EAB" w:rsidP="00914012">
      <w:pPr>
        <w:spacing w:line="240" w:lineRule="auto"/>
        <w:jc w:val="both"/>
        <w:rPr>
          <w:color w:val="000000"/>
          <w:szCs w:val="22"/>
        </w:rPr>
      </w:pPr>
      <w:r w:rsidRPr="00914012">
        <w:rPr>
          <w:color w:val="000000"/>
          <w:szCs w:val="22"/>
        </w:rPr>
        <w:t xml:space="preserve">Reģistrācijas datums: </w:t>
      </w:r>
      <w:r w:rsidR="0055714A" w:rsidRPr="00914012">
        <w:rPr>
          <w:color w:val="000000"/>
          <w:szCs w:val="22"/>
        </w:rPr>
        <w:t>2005.gada 13.aprīlis.</w:t>
      </w:r>
    </w:p>
    <w:p w14:paraId="3C130453" w14:textId="77777777" w:rsidR="00F75EAB" w:rsidRPr="00914012" w:rsidRDefault="00F75EAB" w:rsidP="00914012">
      <w:pPr>
        <w:spacing w:line="240" w:lineRule="auto"/>
        <w:jc w:val="both"/>
        <w:rPr>
          <w:noProof/>
          <w:color w:val="000000"/>
          <w:szCs w:val="22"/>
        </w:rPr>
      </w:pPr>
      <w:r w:rsidRPr="00914012">
        <w:rPr>
          <w:color w:val="000000"/>
          <w:szCs w:val="22"/>
        </w:rPr>
        <w:t xml:space="preserve">Pēdējās pārreģistrācijas datums: </w:t>
      </w:r>
      <w:r w:rsidR="0055714A" w:rsidRPr="00914012">
        <w:rPr>
          <w:color w:val="000000"/>
          <w:szCs w:val="22"/>
        </w:rPr>
        <w:t>2010.gada 30.aprīlis.</w:t>
      </w:r>
    </w:p>
    <w:p w14:paraId="4099B5E6" w14:textId="77777777" w:rsidR="00F75EAB" w:rsidRPr="00914012" w:rsidRDefault="00F75EAB" w:rsidP="00914012">
      <w:pPr>
        <w:tabs>
          <w:tab w:val="clear" w:pos="567"/>
        </w:tabs>
        <w:spacing w:line="240" w:lineRule="auto"/>
        <w:jc w:val="both"/>
        <w:rPr>
          <w:color w:val="000000"/>
          <w:szCs w:val="22"/>
        </w:rPr>
      </w:pPr>
    </w:p>
    <w:p w14:paraId="63E418E9" w14:textId="77777777" w:rsidR="00CE3063" w:rsidRPr="00914012" w:rsidRDefault="00CE3063" w:rsidP="00914012">
      <w:pPr>
        <w:tabs>
          <w:tab w:val="clear" w:pos="567"/>
        </w:tabs>
        <w:spacing w:line="240" w:lineRule="auto"/>
        <w:jc w:val="both"/>
        <w:rPr>
          <w:color w:val="000000"/>
          <w:szCs w:val="22"/>
        </w:rPr>
      </w:pPr>
    </w:p>
    <w:p w14:paraId="409C931D" w14:textId="77777777" w:rsidR="00F75EAB" w:rsidRPr="00914012" w:rsidRDefault="00F75EAB" w:rsidP="00914012">
      <w:pPr>
        <w:tabs>
          <w:tab w:val="clear" w:pos="567"/>
        </w:tabs>
        <w:spacing w:line="240" w:lineRule="auto"/>
        <w:jc w:val="both"/>
        <w:rPr>
          <w:b/>
          <w:color w:val="000000"/>
          <w:szCs w:val="22"/>
        </w:rPr>
      </w:pPr>
      <w:r w:rsidRPr="00914012">
        <w:rPr>
          <w:b/>
          <w:color w:val="000000"/>
          <w:szCs w:val="22"/>
        </w:rPr>
        <w:lastRenderedPageBreak/>
        <w:t>10.</w:t>
      </w:r>
      <w:r w:rsidRPr="00914012">
        <w:rPr>
          <w:b/>
          <w:color w:val="000000"/>
          <w:szCs w:val="22"/>
        </w:rPr>
        <w:tab/>
        <w:t>TEKSTA PĀRSKATĪŠANAS DATUMS</w:t>
      </w:r>
    </w:p>
    <w:p w14:paraId="51C48BA9" w14:textId="77777777" w:rsidR="00CE3063" w:rsidRPr="00914012" w:rsidRDefault="00CE3063" w:rsidP="00914012">
      <w:pPr>
        <w:tabs>
          <w:tab w:val="clear" w:pos="567"/>
        </w:tabs>
        <w:spacing w:line="240" w:lineRule="auto"/>
        <w:jc w:val="both"/>
        <w:rPr>
          <w:color w:val="000000"/>
          <w:szCs w:val="22"/>
        </w:rPr>
      </w:pPr>
    </w:p>
    <w:p w14:paraId="7C2EC136" w14:textId="180C3C7B" w:rsidR="006B6344" w:rsidRPr="00914012" w:rsidRDefault="004F7856" w:rsidP="00914012">
      <w:pPr>
        <w:tabs>
          <w:tab w:val="clear" w:pos="567"/>
        </w:tabs>
        <w:spacing w:line="240" w:lineRule="auto"/>
        <w:jc w:val="both"/>
        <w:rPr>
          <w:color w:val="000000"/>
          <w:szCs w:val="22"/>
        </w:rPr>
      </w:pPr>
      <w:r>
        <w:rPr>
          <w:color w:val="000000"/>
          <w:szCs w:val="22"/>
        </w:rPr>
        <w:t>03/</w:t>
      </w:r>
      <w:r w:rsidR="00153899" w:rsidRPr="00914012">
        <w:rPr>
          <w:color w:val="000000"/>
          <w:szCs w:val="22"/>
        </w:rPr>
        <w:t>20</w:t>
      </w:r>
      <w:r>
        <w:rPr>
          <w:color w:val="000000"/>
          <w:szCs w:val="22"/>
        </w:rPr>
        <w:t>21</w:t>
      </w:r>
    </w:p>
    <w:p w14:paraId="28B72742" w14:textId="77777777" w:rsidR="00CE3063" w:rsidRPr="00914012" w:rsidRDefault="00CE3063" w:rsidP="00914012">
      <w:pPr>
        <w:tabs>
          <w:tab w:val="clear" w:pos="567"/>
        </w:tabs>
        <w:spacing w:line="240" w:lineRule="auto"/>
        <w:jc w:val="both"/>
        <w:rPr>
          <w:color w:val="000000"/>
          <w:szCs w:val="22"/>
        </w:rPr>
      </w:pPr>
    </w:p>
    <w:p w14:paraId="1569E586" w14:textId="77777777" w:rsidR="00CE3063" w:rsidRPr="00914012" w:rsidRDefault="00CE3063" w:rsidP="00914012">
      <w:pPr>
        <w:tabs>
          <w:tab w:val="clear" w:pos="567"/>
        </w:tabs>
        <w:spacing w:line="240" w:lineRule="auto"/>
        <w:jc w:val="both"/>
        <w:rPr>
          <w:color w:val="000000"/>
          <w:szCs w:val="22"/>
        </w:rPr>
      </w:pPr>
    </w:p>
    <w:sectPr w:rsidR="00CE3063" w:rsidRPr="00914012" w:rsidSect="0055714A">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C7A9C" w14:textId="77777777" w:rsidR="00AE4296" w:rsidRDefault="00AE4296">
      <w:r>
        <w:separator/>
      </w:r>
    </w:p>
  </w:endnote>
  <w:endnote w:type="continuationSeparator" w:id="0">
    <w:p w14:paraId="45470CEF" w14:textId="77777777" w:rsidR="00AE4296" w:rsidRDefault="00AE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A6A96" w14:textId="77777777" w:rsidR="00DE6A73" w:rsidRDefault="00DE6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24774" w14:textId="79B1A4A9" w:rsidR="009E22A9" w:rsidRPr="008D5B72" w:rsidRDefault="009E22A9">
    <w:pPr>
      <w:pStyle w:val="Footer"/>
      <w:tabs>
        <w:tab w:val="clear" w:pos="8930"/>
        <w:tab w:val="right" w:pos="8931"/>
      </w:tabs>
      <w:ind w:right="96"/>
      <w:jc w:val="center"/>
      <w:rPr>
        <w:sz w:val="18"/>
        <w:szCs w:val="18"/>
      </w:rPr>
    </w:pPr>
    <w:r w:rsidRPr="008D5B72">
      <w:rPr>
        <w:rFonts w:ascii="Times New Roman" w:hAnsi="Times New Roman"/>
        <w:sz w:val="18"/>
        <w:szCs w:val="18"/>
      </w:rPr>
      <w:t>05-0086/I</w:t>
    </w:r>
    <w:r w:rsidR="009319C3">
      <w:rPr>
        <w:rFonts w:ascii="Times New Roman" w:hAnsi="Times New Roman"/>
        <w:sz w:val="18"/>
        <w:szCs w:val="18"/>
      </w:rPr>
      <w:t>B</w:t>
    </w:r>
    <w:r w:rsidRPr="008D5B72">
      <w:rPr>
        <w:rFonts w:ascii="Times New Roman" w:hAnsi="Times New Roman"/>
        <w:sz w:val="18"/>
        <w:szCs w:val="18"/>
      </w:rPr>
      <w:t>/01</w:t>
    </w:r>
    <w:r w:rsidR="004F7856">
      <w:rPr>
        <w:rFonts w:ascii="Times New Roman" w:hAnsi="Times New Roman"/>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847F" w14:textId="77777777" w:rsidR="009E22A9" w:rsidRDefault="009E22A9">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6F14A" w14:textId="77777777" w:rsidR="00AE4296" w:rsidRDefault="00AE4296">
      <w:r>
        <w:separator/>
      </w:r>
    </w:p>
  </w:footnote>
  <w:footnote w:type="continuationSeparator" w:id="0">
    <w:p w14:paraId="1E4746C3" w14:textId="77777777" w:rsidR="00AE4296" w:rsidRDefault="00AE4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3EB0" w14:textId="77777777" w:rsidR="00DE6A73" w:rsidRDefault="00DE6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F29B" w14:textId="4BAD42A3" w:rsidR="009E22A9" w:rsidRPr="00DE6A73" w:rsidRDefault="00DE6A73" w:rsidP="0023789E">
    <w:pPr>
      <w:pStyle w:val="Header"/>
      <w:jc w:val="right"/>
      <w:rPr>
        <w:rFonts w:ascii="Times New Roman" w:hAnsi="Times New Roman"/>
        <w:sz w:val="24"/>
        <w:szCs w:val="24"/>
        <w:lang w:val="en-US"/>
      </w:rPr>
    </w:pPr>
    <w:r>
      <w:rPr>
        <w:rFonts w:ascii="Times New Roman" w:hAnsi="Times New Roman"/>
        <w:sz w:val="24"/>
        <w:szCs w:val="24"/>
        <w:lang w:val="en-US"/>
      </w:rPr>
      <w:t xml:space="preserve">SASKAŅOTS ZVA 13-04-2021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CC8FD" w14:textId="77777777" w:rsidR="00DE6A73" w:rsidRDefault="00DE6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875C5E"/>
    <w:multiLevelType w:val="hybridMultilevel"/>
    <w:tmpl w:val="939237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3F11E1"/>
    <w:multiLevelType w:val="hybridMultilevel"/>
    <w:tmpl w:val="BFE3099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15BC80"/>
    <w:multiLevelType w:val="hybridMultilevel"/>
    <w:tmpl w:val="CCA06E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A5E2D1"/>
    <w:multiLevelType w:val="hybridMultilevel"/>
    <w:tmpl w:val="D3428F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19E166"/>
    <w:multiLevelType w:val="hybridMultilevel"/>
    <w:tmpl w:val="B72436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9582288"/>
    <w:multiLevelType w:val="hybridMultilevel"/>
    <w:tmpl w:val="052E12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0F351A5E"/>
    <w:multiLevelType w:val="hybridMultilevel"/>
    <w:tmpl w:val="754424AA"/>
    <w:lvl w:ilvl="0" w:tplc="D5280C6E">
      <w:start w:val="4"/>
      <w:numFmt w:val="decimal"/>
      <w:lvlText w:val="%1."/>
      <w:lvlJc w:val="left"/>
      <w:pPr>
        <w:tabs>
          <w:tab w:val="num" w:pos="930"/>
        </w:tabs>
        <w:ind w:left="930" w:hanging="570"/>
      </w:pPr>
      <w:rPr>
        <w:rFonts w:hint="default"/>
      </w:rPr>
    </w:lvl>
    <w:lvl w:ilvl="1" w:tplc="179E848C" w:tentative="1">
      <w:start w:val="1"/>
      <w:numFmt w:val="lowerLetter"/>
      <w:lvlText w:val="%2."/>
      <w:lvlJc w:val="left"/>
      <w:pPr>
        <w:tabs>
          <w:tab w:val="num" w:pos="1440"/>
        </w:tabs>
        <w:ind w:left="1440" w:hanging="360"/>
      </w:pPr>
    </w:lvl>
    <w:lvl w:ilvl="2" w:tplc="6004E9E0" w:tentative="1">
      <w:start w:val="1"/>
      <w:numFmt w:val="lowerRoman"/>
      <w:lvlText w:val="%3."/>
      <w:lvlJc w:val="right"/>
      <w:pPr>
        <w:tabs>
          <w:tab w:val="num" w:pos="2160"/>
        </w:tabs>
        <w:ind w:left="2160" w:hanging="180"/>
      </w:pPr>
    </w:lvl>
    <w:lvl w:ilvl="3" w:tplc="FC7CBC46" w:tentative="1">
      <w:start w:val="1"/>
      <w:numFmt w:val="decimal"/>
      <w:lvlText w:val="%4."/>
      <w:lvlJc w:val="left"/>
      <w:pPr>
        <w:tabs>
          <w:tab w:val="num" w:pos="2880"/>
        </w:tabs>
        <w:ind w:left="2880" w:hanging="360"/>
      </w:pPr>
    </w:lvl>
    <w:lvl w:ilvl="4" w:tplc="5AF62720" w:tentative="1">
      <w:start w:val="1"/>
      <w:numFmt w:val="lowerLetter"/>
      <w:lvlText w:val="%5."/>
      <w:lvlJc w:val="left"/>
      <w:pPr>
        <w:tabs>
          <w:tab w:val="num" w:pos="3600"/>
        </w:tabs>
        <w:ind w:left="3600" w:hanging="360"/>
      </w:pPr>
    </w:lvl>
    <w:lvl w:ilvl="5" w:tplc="5A34EE50" w:tentative="1">
      <w:start w:val="1"/>
      <w:numFmt w:val="lowerRoman"/>
      <w:lvlText w:val="%6."/>
      <w:lvlJc w:val="right"/>
      <w:pPr>
        <w:tabs>
          <w:tab w:val="num" w:pos="4320"/>
        </w:tabs>
        <w:ind w:left="4320" w:hanging="180"/>
      </w:pPr>
    </w:lvl>
    <w:lvl w:ilvl="6" w:tplc="1CFAF79C" w:tentative="1">
      <w:start w:val="1"/>
      <w:numFmt w:val="decimal"/>
      <w:lvlText w:val="%7."/>
      <w:lvlJc w:val="left"/>
      <w:pPr>
        <w:tabs>
          <w:tab w:val="num" w:pos="5040"/>
        </w:tabs>
        <w:ind w:left="5040" w:hanging="360"/>
      </w:pPr>
    </w:lvl>
    <w:lvl w:ilvl="7" w:tplc="D96A5552" w:tentative="1">
      <w:start w:val="1"/>
      <w:numFmt w:val="lowerLetter"/>
      <w:lvlText w:val="%8."/>
      <w:lvlJc w:val="left"/>
      <w:pPr>
        <w:tabs>
          <w:tab w:val="num" w:pos="5760"/>
        </w:tabs>
        <w:ind w:left="5760" w:hanging="360"/>
      </w:pPr>
    </w:lvl>
    <w:lvl w:ilvl="8" w:tplc="94A61C74" w:tentative="1">
      <w:start w:val="1"/>
      <w:numFmt w:val="lowerRoman"/>
      <w:lvlText w:val="%9."/>
      <w:lvlJc w:val="right"/>
      <w:pPr>
        <w:tabs>
          <w:tab w:val="num" w:pos="6480"/>
        </w:tabs>
        <w:ind w:left="6480" w:hanging="180"/>
      </w:pPr>
    </w:lvl>
  </w:abstractNum>
  <w:abstractNum w:abstractNumId="9" w15:restartNumberingAfterBreak="0">
    <w:nsid w:val="190919E8"/>
    <w:multiLevelType w:val="hybridMultilevel"/>
    <w:tmpl w:val="392EEB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40B01"/>
    <w:multiLevelType w:val="hybridMultilevel"/>
    <w:tmpl w:val="87AE81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719FD"/>
    <w:multiLevelType w:val="hybridMultilevel"/>
    <w:tmpl w:val="43B4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3" w15:restartNumberingAfterBreak="0">
    <w:nsid w:val="1F8D2DAC"/>
    <w:multiLevelType w:val="hybridMultilevel"/>
    <w:tmpl w:val="A1A82B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A62EA6"/>
    <w:multiLevelType w:val="hybridMultilevel"/>
    <w:tmpl w:val="9B4E9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397A40"/>
    <w:multiLevelType w:val="hybridMultilevel"/>
    <w:tmpl w:val="9C1A35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0444BCF"/>
    <w:multiLevelType w:val="hybridMultilevel"/>
    <w:tmpl w:val="F4E23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9D6658"/>
    <w:multiLevelType w:val="hybridMultilevel"/>
    <w:tmpl w:val="17F8F9DC"/>
    <w:lvl w:ilvl="0" w:tplc="F30808E0">
      <w:start w:val="1"/>
      <w:numFmt w:val="bullet"/>
      <w:lvlText w:val=""/>
      <w:lvlJc w:val="left"/>
      <w:pPr>
        <w:tabs>
          <w:tab w:val="num" w:pos="567"/>
        </w:tabs>
        <w:ind w:left="567" w:hanging="454"/>
      </w:pPr>
      <w:rPr>
        <w:rFonts w:ascii="Symbol" w:hAnsi="Symbol" w:hint="default"/>
      </w:rPr>
    </w:lvl>
    <w:lvl w:ilvl="1" w:tplc="EC46D328">
      <w:start w:val="1"/>
      <w:numFmt w:val="bullet"/>
      <w:lvlText w:val="o"/>
      <w:lvlJc w:val="left"/>
      <w:pPr>
        <w:tabs>
          <w:tab w:val="num" w:pos="1440"/>
        </w:tabs>
        <w:ind w:left="1440" w:hanging="360"/>
      </w:pPr>
      <w:rPr>
        <w:rFonts w:ascii="Courier New" w:hAnsi="Courier New" w:hint="default"/>
      </w:rPr>
    </w:lvl>
    <w:lvl w:ilvl="2" w:tplc="490A6B66" w:tentative="1">
      <w:start w:val="1"/>
      <w:numFmt w:val="bullet"/>
      <w:lvlText w:val=""/>
      <w:lvlJc w:val="left"/>
      <w:pPr>
        <w:tabs>
          <w:tab w:val="num" w:pos="2160"/>
        </w:tabs>
        <w:ind w:left="2160" w:hanging="360"/>
      </w:pPr>
      <w:rPr>
        <w:rFonts w:ascii="Wingdings" w:hAnsi="Wingdings" w:hint="default"/>
      </w:rPr>
    </w:lvl>
    <w:lvl w:ilvl="3" w:tplc="B8A65FBC" w:tentative="1">
      <w:start w:val="1"/>
      <w:numFmt w:val="bullet"/>
      <w:lvlText w:val=""/>
      <w:lvlJc w:val="left"/>
      <w:pPr>
        <w:tabs>
          <w:tab w:val="num" w:pos="2880"/>
        </w:tabs>
        <w:ind w:left="2880" w:hanging="360"/>
      </w:pPr>
      <w:rPr>
        <w:rFonts w:ascii="Symbol" w:hAnsi="Symbol" w:hint="default"/>
      </w:rPr>
    </w:lvl>
    <w:lvl w:ilvl="4" w:tplc="3A88BF58" w:tentative="1">
      <w:start w:val="1"/>
      <w:numFmt w:val="bullet"/>
      <w:lvlText w:val="o"/>
      <w:lvlJc w:val="left"/>
      <w:pPr>
        <w:tabs>
          <w:tab w:val="num" w:pos="3600"/>
        </w:tabs>
        <w:ind w:left="3600" w:hanging="360"/>
      </w:pPr>
      <w:rPr>
        <w:rFonts w:ascii="Courier New" w:hAnsi="Courier New" w:hint="default"/>
      </w:rPr>
    </w:lvl>
    <w:lvl w:ilvl="5" w:tplc="1200E1E0" w:tentative="1">
      <w:start w:val="1"/>
      <w:numFmt w:val="bullet"/>
      <w:lvlText w:val=""/>
      <w:lvlJc w:val="left"/>
      <w:pPr>
        <w:tabs>
          <w:tab w:val="num" w:pos="4320"/>
        </w:tabs>
        <w:ind w:left="4320" w:hanging="360"/>
      </w:pPr>
      <w:rPr>
        <w:rFonts w:ascii="Wingdings" w:hAnsi="Wingdings" w:hint="default"/>
      </w:rPr>
    </w:lvl>
    <w:lvl w:ilvl="6" w:tplc="F2B21BD4" w:tentative="1">
      <w:start w:val="1"/>
      <w:numFmt w:val="bullet"/>
      <w:lvlText w:val=""/>
      <w:lvlJc w:val="left"/>
      <w:pPr>
        <w:tabs>
          <w:tab w:val="num" w:pos="5040"/>
        </w:tabs>
        <w:ind w:left="5040" w:hanging="360"/>
      </w:pPr>
      <w:rPr>
        <w:rFonts w:ascii="Symbol" w:hAnsi="Symbol" w:hint="default"/>
      </w:rPr>
    </w:lvl>
    <w:lvl w:ilvl="7" w:tplc="1644A448" w:tentative="1">
      <w:start w:val="1"/>
      <w:numFmt w:val="bullet"/>
      <w:lvlText w:val="o"/>
      <w:lvlJc w:val="left"/>
      <w:pPr>
        <w:tabs>
          <w:tab w:val="num" w:pos="5760"/>
        </w:tabs>
        <w:ind w:left="5760" w:hanging="360"/>
      </w:pPr>
      <w:rPr>
        <w:rFonts w:ascii="Courier New" w:hAnsi="Courier New" w:hint="default"/>
      </w:rPr>
    </w:lvl>
    <w:lvl w:ilvl="8" w:tplc="005060D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1" w15:restartNumberingAfterBreak="0">
    <w:nsid w:val="4BE54AFE"/>
    <w:multiLevelType w:val="hybridMultilevel"/>
    <w:tmpl w:val="B1A46980"/>
    <w:lvl w:ilvl="0" w:tplc="A544C266">
      <w:start w:val="8"/>
      <w:numFmt w:val="decimal"/>
      <w:lvlText w:val="%1."/>
      <w:lvlJc w:val="left"/>
      <w:pPr>
        <w:tabs>
          <w:tab w:val="num" w:pos="570"/>
        </w:tabs>
        <w:ind w:left="570" w:hanging="570"/>
      </w:pPr>
      <w:rPr>
        <w:rFonts w:hint="default"/>
      </w:rPr>
    </w:lvl>
    <w:lvl w:ilvl="1" w:tplc="755A5762" w:tentative="1">
      <w:start w:val="1"/>
      <w:numFmt w:val="lowerLetter"/>
      <w:lvlText w:val="%2."/>
      <w:lvlJc w:val="left"/>
      <w:pPr>
        <w:tabs>
          <w:tab w:val="num" w:pos="1080"/>
        </w:tabs>
        <w:ind w:left="1080" w:hanging="360"/>
      </w:pPr>
    </w:lvl>
    <w:lvl w:ilvl="2" w:tplc="C6E0023C" w:tentative="1">
      <w:start w:val="1"/>
      <w:numFmt w:val="lowerRoman"/>
      <w:lvlText w:val="%3."/>
      <w:lvlJc w:val="right"/>
      <w:pPr>
        <w:tabs>
          <w:tab w:val="num" w:pos="1800"/>
        </w:tabs>
        <w:ind w:left="1800" w:hanging="180"/>
      </w:pPr>
    </w:lvl>
    <w:lvl w:ilvl="3" w:tplc="3A52C10A" w:tentative="1">
      <w:start w:val="1"/>
      <w:numFmt w:val="decimal"/>
      <w:lvlText w:val="%4."/>
      <w:lvlJc w:val="left"/>
      <w:pPr>
        <w:tabs>
          <w:tab w:val="num" w:pos="2520"/>
        </w:tabs>
        <w:ind w:left="2520" w:hanging="360"/>
      </w:pPr>
    </w:lvl>
    <w:lvl w:ilvl="4" w:tplc="4EB4C7A4" w:tentative="1">
      <w:start w:val="1"/>
      <w:numFmt w:val="lowerLetter"/>
      <w:lvlText w:val="%5."/>
      <w:lvlJc w:val="left"/>
      <w:pPr>
        <w:tabs>
          <w:tab w:val="num" w:pos="3240"/>
        </w:tabs>
        <w:ind w:left="3240" w:hanging="360"/>
      </w:pPr>
    </w:lvl>
    <w:lvl w:ilvl="5" w:tplc="5568E8AC" w:tentative="1">
      <w:start w:val="1"/>
      <w:numFmt w:val="lowerRoman"/>
      <w:lvlText w:val="%6."/>
      <w:lvlJc w:val="right"/>
      <w:pPr>
        <w:tabs>
          <w:tab w:val="num" w:pos="3960"/>
        </w:tabs>
        <w:ind w:left="3960" w:hanging="180"/>
      </w:pPr>
    </w:lvl>
    <w:lvl w:ilvl="6" w:tplc="9C8C2724" w:tentative="1">
      <w:start w:val="1"/>
      <w:numFmt w:val="decimal"/>
      <w:lvlText w:val="%7."/>
      <w:lvlJc w:val="left"/>
      <w:pPr>
        <w:tabs>
          <w:tab w:val="num" w:pos="4680"/>
        </w:tabs>
        <w:ind w:left="4680" w:hanging="360"/>
      </w:pPr>
    </w:lvl>
    <w:lvl w:ilvl="7" w:tplc="E9B446A8" w:tentative="1">
      <w:start w:val="1"/>
      <w:numFmt w:val="lowerLetter"/>
      <w:lvlText w:val="%8."/>
      <w:lvlJc w:val="left"/>
      <w:pPr>
        <w:tabs>
          <w:tab w:val="num" w:pos="5400"/>
        </w:tabs>
        <w:ind w:left="5400" w:hanging="360"/>
      </w:pPr>
    </w:lvl>
    <w:lvl w:ilvl="8" w:tplc="FCC6DA56" w:tentative="1">
      <w:start w:val="1"/>
      <w:numFmt w:val="lowerRoman"/>
      <w:lvlText w:val="%9."/>
      <w:lvlJc w:val="right"/>
      <w:pPr>
        <w:tabs>
          <w:tab w:val="num" w:pos="6120"/>
        </w:tabs>
        <w:ind w:left="6120" w:hanging="180"/>
      </w:pPr>
    </w:lvl>
  </w:abstractNum>
  <w:abstractNum w:abstractNumId="22" w15:restartNumberingAfterBreak="0">
    <w:nsid w:val="4F715EA8"/>
    <w:multiLevelType w:val="hybridMultilevel"/>
    <w:tmpl w:val="85242A24"/>
    <w:lvl w:ilvl="0" w:tplc="D78E0CEC">
      <w:start w:val="4"/>
      <w:numFmt w:val="decimal"/>
      <w:lvlText w:val="%1."/>
      <w:lvlJc w:val="left"/>
      <w:pPr>
        <w:tabs>
          <w:tab w:val="num" w:pos="720"/>
        </w:tabs>
        <w:ind w:left="720" w:hanging="360"/>
      </w:pPr>
      <w:rPr>
        <w:rFonts w:hint="default"/>
      </w:rPr>
    </w:lvl>
    <w:lvl w:ilvl="1" w:tplc="32C40BF4" w:tentative="1">
      <w:start w:val="1"/>
      <w:numFmt w:val="lowerLetter"/>
      <w:lvlText w:val="%2."/>
      <w:lvlJc w:val="left"/>
      <w:pPr>
        <w:tabs>
          <w:tab w:val="num" w:pos="1440"/>
        </w:tabs>
        <w:ind w:left="1440" w:hanging="360"/>
      </w:pPr>
    </w:lvl>
    <w:lvl w:ilvl="2" w:tplc="154677B8" w:tentative="1">
      <w:start w:val="1"/>
      <w:numFmt w:val="lowerRoman"/>
      <w:lvlText w:val="%3."/>
      <w:lvlJc w:val="right"/>
      <w:pPr>
        <w:tabs>
          <w:tab w:val="num" w:pos="2160"/>
        </w:tabs>
        <w:ind w:left="2160" w:hanging="180"/>
      </w:pPr>
    </w:lvl>
    <w:lvl w:ilvl="3" w:tplc="38CC534E" w:tentative="1">
      <w:start w:val="1"/>
      <w:numFmt w:val="decimal"/>
      <w:lvlText w:val="%4."/>
      <w:lvlJc w:val="left"/>
      <w:pPr>
        <w:tabs>
          <w:tab w:val="num" w:pos="2880"/>
        </w:tabs>
        <w:ind w:left="2880" w:hanging="360"/>
      </w:pPr>
    </w:lvl>
    <w:lvl w:ilvl="4" w:tplc="28AE13B8" w:tentative="1">
      <w:start w:val="1"/>
      <w:numFmt w:val="lowerLetter"/>
      <w:lvlText w:val="%5."/>
      <w:lvlJc w:val="left"/>
      <w:pPr>
        <w:tabs>
          <w:tab w:val="num" w:pos="3600"/>
        </w:tabs>
        <w:ind w:left="3600" w:hanging="360"/>
      </w:pPr>
    </w:lvl>
    <w:lvl w:ilvl="5" w:tplc="DBEC85AA" w:tentative="1">
      <w:start w:val="1"/>
      <w:numFmt w:val="lowerRoman"/>
      <w:lvlText w:val="%6."/>
      <w:lvlJc w:val="right"/>
      <w:pPr>
        <w:tabs>
          <w:tab w:val="num" w:pos="4320"/>
        </w:tabs>
        <w:ind w:left="4320" w:hanging="180"/>
      </w:pPr>
    </w:lvl>
    <w:lvl w:ilvl="6" w:tplc="74DA2E8E" w:tentative="1">
      <w:start w:val="1"/>
      <w:numFmt w:val="decimal"/>
      <w:lvlText w:val="%7."/>
      <w:lvlJc w:val="left"/>
      <w:pPr>
        <w:tabs>
          <w:tab w:val="num" w:pos="5040"/>
        </w:tabs>
        <w:ind w:left="5040" w:hanging="360"/>
      </w:pPr>
    </w:lvl>
    <w:lvl w:ilvl="7" w:tplc="4D2C21DC" w:tentative="1">
      <w:start w:val="1"/>
      <w:numFmt w:val="lowerLetter"/>
      <w:lvlText w:val="%8."/>
      <w:lvlJc w:val="left"/>
      <w:pPr>
        <w:tabs>
          <w:tab w:val="num" w:pos="5760"/>
        </w:tabs>
        <w:ind w:left="5760" w:hanging="360"/>
      </w:pPr>
    </w:lvl>
    <w:lvl w:ilvl="8" w:tplc="5AE6B1D6" w:tentative="1">
      <w:start w:val="1"/>
      <w:numFmt w:val="lowerRoman"/>
      <w:lvlText w:val="%9."/>
      <w:lvlJc w:val="right"/>
      <w:pPr>
        <w:tabs>
          <w:tab w:val="num" w:pos="6480"/>
        </w:tabs>
        <w:ind w:left="6480" w:hanging="180"/>
      </w:pPr>
    </w:lvl>
  </w:abstractNum>
  <w:abstractNum w:abstractNumId="23" w15:restartNumberingAfterBreak="0">
    <w:nsid w:val="50784472"/>
    <w:multiLevelType w:val="hybridMultilevel"/>
    <w:tmpl w:val="02B2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7F35B9C"/>
    <w:multiLevelType w:val="hybridMultilevel"/>
    <w:tmpl w:val="59E2A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07C9C"/>
    <w:multiLevelType w:val="hybridMultilevel"/>
    <w:tmpl w:val="880009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0C4F43"/>
    <w:multiLevelType w:val="hybridMultilevel"/>
    <w:tmpl w:val="E662D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B3F0F"/>
    <w:multiLevelType w:val="hybridMultilevel"/>
    <w:tmpl w:val="E7ECFB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56755A"/>
    <w:multiLevelType w:val="hybridMultilevel"/>
    <w:tmpl w:val="332A37D2"/>
    <w:lvl w:ilvl="0" w:tplc="7B16593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B5212A"/>
    <w:multiLevelType w:val="hybridMultilevel"/>
    <w:tmpl w:val="E71004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D7520"/>
    <w:multiLevelType w:val="hybridMultilevel"/>
    <w:tmpl w:val="5D96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3"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15:restartNumberingAfterBreak="0">
    <w:nsid w:val="6D4F3A43"/>
    <w:multiLevelType w:val="hybridMultilevel"/>
    <w:tmpl w:val="44EA2960"/>
    <w:lvl w:ilvl="0" w:tplc="968A9846">
      <w:start w:val="5"/>
      <w:numFmt w:val="decimal"/>
      <w:lvlText w:val="%1."/>
      <w:lvlJc w:val="left"/>
      <w:pPr>
        <w:tabs>
          <w:tab w:val="num" w:pos="930"/>
        </w:tabs>
        <w:ind w:left="930" w:hanging="570"/>
      </w:pPr>
      <w:rPr>
        <w:rFonts w:hint="default"/>
        <w:color w:val="auto"/>
      </w:rPr>
    </w:lvl>
    <w:lvl w:ilvl="1" w:tplc="38381CE0" w:tentative="1">
      <w:start w:val="1"/>
      <w:numFmt w:val="lowerLetter"/>
      <w:lvlText w:val="%2."/>
      <w:lvlJc w:val="left"/>
      <w:pPr>
        <w:tabs>
          <w:tab w:val="num" w:pos="1440"/>
        </w:tabs>
        <w:ind w:left="1440" w:hanging="360"/>
      </w:pPr>
    </w:lvl>
    <w:lvl w:ilvl="2" w:tplc="2FF4FFDA" w:tentative="1">
      <w:start w:val="1"/>
      <w:numFmt w:val="lowerRoman"/>
      <w:lvlText w:val="%3."/>
      <w:lvlJc w:val="right"/>
      <w:pPr>
        <w:tabs>
          <w:tab w:val="num" w:pos="2160"/>
        </w:tabs>
        <w:ind w:left="2160" w:hanging="180"/>
      </w:pPr>
    </w:lvl>
    <w:lvl w:ilvl="3" w:tplc="D6D2CA76" w:tentative="1">
      <w:start w:val="1"/>
      <w:numFmt w:val="decimal"/>
      <w:lvlText w:val="%4."/>
      <w:lvlJc w:val="left"/>
      <w:pPr>
        <w:tabs>
          <w:tab w:val="num" w:pos="2880"/>
        </w:tabs>
        <w:ind w:left="2880" w:hanging="360"/>
      </w:pPr>
    </w:lvl>
    <w:lvl w:ilvl="4" w:tplc="84FC3B02" w:tentative="1">
      <w:start w:val="1"/>
      <w:numFmt w:val="lowerLetter"/>
      <w:lvlText w:val="%5."/>
      <w:lvlJc w:val="left"/>
      <w:pPr>
        <w:tabs>
          <w:tab w:val="num" w:pos="3600"/>
        </w:tabs>
        <w:ind w:left="3600" w:hanging="360"/>
      </w:pPr>
    </w:lvl>
    <w:lvl w:ilvl="5" w:tplc="388A7CCA" w:tentative="1">
      <w:start w:val="1"/>
      <w:numFmt w:val="lowerRoman"/>
      <w:lvlText w:val="%6."/>
      <w:lvlJc w:val="right"/>
      <w:pPr>
        <w:tabs>
          <w:tab w:val="num" w:pos="4320"/>
        </w:tabs>
        <w:ind w:left="4320" w:hanging="180"/>
      </w:pPr>
    </w:lvl>
    <w:lvl w:ilvl="6" w:tplc="CE98458A" w:tentative="1">
      <w:start w:val="1"/>
      <w:numFmt w:val="decimal"/>
      <w:lvlText w:val="%7."/>
      <w:lvlJc w:val="left"/>
      <w:pPr>
        <w:tabs>
          <w:tab w:val="num" w:pos="5040"/>
        </w:tabs>
        <w:ind w:left="5040" w:hanging="360"/>
      </w:pPr>
    </w:lvl>
    <w:lvl w:ilvl="7" w:tplc="1E3421A8" w:tentative="1">
      <w:start w:val="1"/>
      <w:numFmt w:val="lowerLetter"/>
      <w:lvlText w:val="%8."/>
      <w:lvlJc w:val="left"/>
      <w:pPr>
        <w:tabs>
          <w:tab w:val="num" w:pos="5760"/>
        </w:tabs>
        <w:ind w:left="5760" w:hanging="360"/>
      </w:pPr>
    </w:lvl>
    <w:lvl w:ilvl="8" w:tplc="80A25D72" w:tentative="1">
      <w:start w:val="1"/>
      <w:numFmt w:val="lowerRoman"/>
      <w:lvlText w:val="%9."/>
      <w:lvlJc w:val="right"/>
      <w:pPr>
        <w:tabs>
          <w:tab w:val="num" w:pos="6480"/>
        </w:tabs>
        <w:ind w:left="6480" w:hanging="180"/>
      </w:pPr>
    </w:lvl>
  </w:abstractNum>
  <w:abstractNum w:abstractNumId="35"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6" w15:restartNumberingAfterBreak="0">
    <w:nsid w:val="762709E1"/>
    <w:multiLevelType w:val="hybridMultilevel"/>
    <w:tmpl w:val="440A813E"/>
    <w:lvl w:ilvl="0" w:tplc="6262E472">
      <w:start w:val="4"/>
      <w:numFmt w:val="decimal"/>
      <w:lvlText w:val="%1."/>
      <w:lvlJc w:val="left"/>
      <w:pPr>
        <w:tabs>
          <w:tab w:val="num" w:pos="720"/>
        </w:tabs>
        <w:ind w:left="720" w:hanging="360"/>
      </w:pPr>
      <w:rPr>
        <w:rFonts w:hint="default"/>
      </w:rPr>
    </w:lvl>
    <w:lvl w:ilvl="1" w:tplc="98381A66" w:tentative="1">
      <w:start w:val="1"/>
      <w:numFmt w:val="lowerLetter"/>
      <w:lvlText w:val="%2."/>
      <w:lvlJc w:val="left"/>
      <w:pPr>
        <w:tabs>
          <w:tab w:val="num" w:pos="1440"/>
        </w:tabs>
        <w:ind w:left="1440" w:hanging="360"/>
      </w:pPr>
    </w:lvl>
    <w:lvl w:ilvl="2" w:tplc="2A0C6462" w:tentative="1">
      <w:start w:val="1"/>
      <w:numFmt w:val="lowerRoman"/>
      <w:lvlText w:val="%3."/>
      <w:lvlJc w:val="right"/>
      <w:pPr>
        <w:tabs>
          <w:tab w:val="num" w:pos="2160"/>
        </w:tabs>
        <w:ind w:left="2160" w:hanging="180"/>
      </w:pPr>
    </w:lvl>
    <w:lvl w:ilvl="3" w:tplc="9F1A37EA" w:tentative="1">
      <w:start w:val="1"/>
      <w:numFmt w:val="decimal"/>
      <w:lvlText w:val="%4."/>
      <w:lvlJc w:val="left"/>
      <w:pPr>
        <w:tabs>
          <w:tab w:val="num" w:pos="2880"/>
        </w:tabs>
        <w:ind w:left="2880" w:hanging="360"/>
      </w:pPr>
    </w:lvl>
    <w:lvl w:ilvl="4" w:tplc="7E46A77A" w:tentative="1">
      <w:start w:val="1"/>
      <w:numFmt w:val="lowerLetter"/>
      <w:lvlText w:val="%5."/>
      <w:lvlJc w:val="left"/>
      <w:pPr>
        <w:tabs>
          <w:tab w:val="num" w:pos="3600"/>
        </w:tabs>
        <w:ind w:left="3600" w:hanging="360"/>
      </w:pPr>
    </w:lvl>
    <w:lvl w:ilvl="5" w:tplc="8E3E8AF2" w:tentative="1">
      <w:start w:val="1"/>
      <w:numFmt w:val="lowerRoman"/>
      <w:lvlText w:val="%6."/>
      <w:lvlJc w:val="right"/>
      <w:pPr>
        <w:tabs>
          <w:tab w:val="num" w:pos="4320"/>
        </w:tabs>
        <w:ind w:left="4320" w:hanging="180"/>
      </w:pPr>
    </w:lvl>
    <w:lvl w:ilvl="6" w:tplc="078A8A10" w:tentative="1">
      <w:start w:val="1"/>
      <w:numFmt w:val="decimal"/>
      <w:lvlText w:val="%7."/>
      <w:lvlJc w:val="left"/>
      <w:pPr>
        <w:tabs>
          <w:tab w:val="num" w:pos="5040"/>
        </w:tabs>
        <w:ind w:left="5040" w:hanging="360"/>
      </w:pPr>
    </w:lvl>
    <w:lvl w:ilvl="7" w:tplc="1EA29274" w:tentative="1">
      <w:start w:val="1"/>
      <w:numFmt w:val="lowerLetter"/>
      <w:lvlText w:val="%8."/>
      <w:lvlJc w:val="left"/>
      <w:pPr>
        <w:tabs>
          <w:tab w:val="num" w:pos="5760"/>
        </w:tabs>
        <w:ind w:left="5760" w:hanging="360"/>
      </w:pPr>
    </w:lvl>
    <w:lvl w:ilvl="8" w:tplc="D00E549E" w:tentative="1">
      <w:start w:val="1"/>
      <w:numFmt w:val="lowerRoman"/>
      <w:lvlText w:val="%9."/>
      <w:lvlJc w:val="right"/>
      <w:pPr>
        <w:tabs>
          <w:tab w:val="num" w:pos="6480"/>
        </w:tabs>
        <w:ind w:left="6480" w:hanging="180"/>
      </w:pPr>
    </w:lvl>
  </w:abstractNum>
  <w:abstractNum w:abstractNumId="37" w15:restartNumberingAfterBreak="0">
    <w:nsid w:val="7AA6032C"/>
    <w:multiLevelType w:val="hybridMultilevel"/>
    <w:tmpl w:val="C86C7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B52F6"/>
    <w:multiLevelType w:val="hybridMultilevel"/>
    <w:tmpl w:val="B7EC6880"/>
    <w:lvl w:ilvl="0" w:tplc="86DE836A">
      <w:start w:val="1"/>
      <w:numFmt w:val="decimal"/>
      <w:lvlText w:val="%1."/>
      <w:lvlJc w:val="left"/>
      <w:pPr>
        <w:tabs>
          <w:tab w:val="num" w:pos="360"/>
        </w:tabs>
        <w:ind w:left="360" w:hanging="360"/>
      </w:pPr>
    </w:lvl>
    <w:lvl w:ilvl="1" w:tplc="E68AFE58" w:tentative="1">
      <w:start w:val="1"/>
      <w:numFmt w:val="lowerLetter"/>
      <w:lvlText w:val="%2."/>
      <w:lvlJc w:val="left"/>
      <w:pPr>
        <w:tabs>
          <w:tab w:val="num" w:pos="1080"/>
        </w:tabs>
        <w:ind w:left="1080" w:hanging="360"/>
      </w:pPr>
    </w:lvl>
    <w:lvl w:ilvl="2" w:tplc="31644B48" w:tentative="1">
      <w:start w:val="1"/>
      <w:numFmt w:val="lowerRoman"/>
      <w:lvlText w:val="%3."/>
      <w:lvlJc w:val="right"/>
      <w:pPr>
        <w:tabs>
          <w:tab w:val="num" w:pos="1800"/>
        </w:tabs>
        <w:ind w:left="1800" w:hanging="180"/>
      </w:pPr>
    </w:lvl>
    <w:lvl w:ilvl="3" w:tplc="560679E6" w:tentative="1">
      <w:start w:val="1"/>
      <w:numFmt w:val="decimal"/>
      <w:lvlText w:val="%4."/>
      <w:lvlJc w:val="left"/>
      <w:pPr>
        <w:tabs>
          <w:tab w:val="num" w:pos="2520"/>
        </w:tabs>
        <w:ind w:left="2520" w:hanging="360"/>
      </w:pPr>
    </w:lvl>
    <w:lvl w:ilvl="4" w:tplc="ED8A7614" w:tentative="1">
      <w:start w:val="1"/>
      <w:numFmt w:val="lowerLetter"/>
      <w:lvlText w:val="%5."/>
      <w:lvlJc w:val="left"/>
      <w:pPr>
        <w:tabs>
          <w:tab w:val="num" w:pos="3240"/>
        </w:tabs>
        <w:ind w:left="3240" w:hanging="360"/>
      </w:pPr>
    </w:lvl>
    <w:lvl w:ilvl="5" w:tplc="41BACF6A" w:tentative="1">
      <w:start w:val="1"/>
      <w:numFmt w:val="lowerRoman"/>
      <w:lvlText w:val="%6."/>
      <w:lvlJc w:val="right"/>
      <w:pPr>
        <w:tabs>
          <w:tab w:val="num" w:pos="3960"/>
        </w:tabs>
        <w:ind w:left="3960" w:hanging="180"/>
      </w:pPr>
    </w:lvl>
    <w:lvl w:ilvl="6" w:tplc="916C4A62" w:tentative="1">
      <w:start w:val="1"/>
      <w:numFmt w:val="decimal"/>
      <w:lvlText w:val="%7."/>
      <w:lvlJc w:val="left"/>
      <w:pPr>
        <w:tabs>
          <w:tab w:val="num" w:pos="4680"/>
        </w:tabs>
        <w:ind w:left="4680" w:hanging="360"/>
      </w:pPr>
    </w:lvl>
    <w:lvl w:ilvl="7" w:tplc="F654A914" w:tentative="1">
      <w:start w:val="1"/>
      <w:numFmt w:val="lowerLetter"/>
      <w:lvlText w:val="%8."/>
      <w:lvlJc w:val="left"/>
      <w:pPr>
        <w:tabs>
          <w:tab w:val="num" w:pos="5400"/>
        </w:tabs>
        <w:ind w:left="5400" w:hanging="360"/>
      </w:pPr>
    </w:lvl>
    <w:lvl w:ilvl="8" w:tplc="0F964374" w:tentative="1">
      <w:start w:val="1"/>
      <w:numFmt w:val="lowerRoman"/>
      <w:lvlText w:val="%9."/>
      <w:lvlJc w:val="right"/>
      <w:pPr>
        <w:tabs>
          <w:tab w:val="num" w:pos="6120"/>
        </w:tabs>
        <w:ind w:left="6120" w:hanging="180"/>
      </w:pPr>
    </w:lvl>
  </w:abstractNum>
  <w:num w:numId="1">
    <w:abstractNumId w:val="5"/>
    <w:lvlOverride w:ilvl="0">
      <w:lvl w:ilvl="0">
        <w:start w:val="1"/>
        <w:numFmt w:val="bullet"/>
        <w:lvlText w:val="-"/>
        <w:legacy w:legacy="1" w:legacySpace="0" w:legacyIndent="360"/>
        <w:lvlJc w:val="left"/>
        <w:pPr>
          <w:ind w:left="360" w:hanging="360"/>
        </w:pPr>
      </w:lvl>
    </w:lvlOverride>
  </w:num>
  <w:num w:numId="2">
    <w:abstractNumId w:val="5"/>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5"/>
  </w:num>
  <w:num w:numId="4">
    <w:abstractNumId w:val="33"/>
  </w:num>
  <w:num w:numId="5">
    <w:abstractNumId w:val="17"/>
  </w:num>
  <w:num w:numId="6">
    <w:abstractNumId w:val="24"/>
  </w:num>
  <w:num w:numId="7">
    <w:abstractNumId w:val="20"/>
  </w:num>
  <w:num w:numId="8">
    <w:abstractNumId w:val="12"/>
  </w:num>
  <w:num w:numId="9">
    <w:abstractNumId w:val="32"/>
  </w:num>
  <w:num w:numId="10">
    <w:abstractNumId w:val="21"/>
  </w:num>
  <w:num w:numId="11">
    <w:abstractNumId w:val="34"/>
  </w:num>
  <w:num w:numId="12">
    <w:abstractNumId w:val="8"/>
  </w:num>
  <w:num w:numId="13">
    <w:abstractNumId w:val="15"/>
  </w:num>
  <w:num w:numId="14">
    <w:abstractNumId w:val="38"/>
  </w:num>
  <w:num w:numId="15">
    <w:abstractNumId w:val="36"/>
  </w:num>
  <w:num w:numId="16">
    <w:abstractNumId w:val="22"/>
  </w:num>
  <w:num w:numId="17">
    <w:abstractNumId w:val="19"/>
  </w:num>
  <w:num w:numId="18">
    <w:abstractNumId w:val="7"/>
  </w:num>
  <w:num w:numId="19">
    <w:abstractNumId w:val="14"/>
  </w:num>
  <w:num w:numId="20">
    <w:abstractNumId w:val="18"/>
  </w:num>
  <w:num w:numId="21">
    <w:abstractNumId w:val="29"/>
  </w:num>
  <w:num w:numId="22">
    <w:abstractNumId w:val="28"/>
  </w:num>
  <w:num w:numId="23">
    <w:abstractNumId w:val="13"/>
  </w:num>
  <w:num w:numId="24">
    <w:abstractNumId w:val="10"/>
  </w:num>
  <w:num w:numId="25">
    <w:abstractNumId w:val="25"/>
  </w:num>
  <w:num w:numId="26">
    <w:abstractNumId w:val="27"/>
  </w:num>
  <w:num w:numId="27">
    <w:abstractNumId w:val="26"/>
  </w:num>
  <w:num w:numId="28">
    <w:abstractNumId w:val="37"/>
  </w:num>
  <w:num w:numId="29">
    <w:abstractNumId w:val="11"/>
  </w:num>
  <w:num w:numId="30">
    <w:abstractNumId w:val="6"/>
  </w:num>
  <w:num w:numId="31">
    <w:abstractNumId w:val="9"/>
  </w:num>
  <w:num w:numId="32">
    <w:abstractNumId w:val="16"/>
  </w:num>
  <w:num w:numId="33">
    <w:abstractNumId w:val="30"/>
  </w:num>
  <w:num w:numId="34">
    <w:abstractNumId w:val="1"/>
  </w:num>
  <w:num w:numId="35">
    <w:abstractNumId w:val="4"/>
  </w:num>
  <w:num w:numId="36">
    <w:abstractNumId w:val="2"/>
  </w:num>
  <w:num w:numId="37">
    <w:abstractNumId w:val="3"/>
  </w:num>
  <w:num w:numId="38">
    <w:abstractNumId w:val="0"/>
  </w:num>
  <w:num w:numId="39">
    <w:abstractNumId w:val="3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1D78"/>
    <w:rsid w:val="00010846"/>
    <w:rsid w:val="000174DB"/>
    <w:rsid w:val="00020C95"/>
    <w:rsid w:val="000235FD"/>
    <w:rsid w:val="00033061"/>
    <w:rsid w:val="00033331"/>
    <w:rsid w:val="00033516"/>
    <w:rsid w:val="000435C0"/>
    <w:rsid w:val="000535C0"/>
    <w:rsid w:val="000570C2"/>
    <w:rsid w:val="000637AF"/>
    <w:rsid w:val="00067D94"/>
    <w:rsid w:val="00071498"/>
    <w:rsid w:val="00076F5F"/>
    <w:rsid w:val="000802BB"/>
    <w:rsid w:val="00081F8A"/>
    <w:rsid w:val="00083B2F"/>
    <w:rsid w:val="000A5FA6"/>
    <w:rsid w:val="000B2308"/>
    <w:rsid w:val="000B367B"/>
    <w:rsid w:val="000D7A48"/>
    <w:rsid w:val="000E09A7"/>
    <w:rsid w:val="000E6CD5"/>
    <w:rsid w:val="000E72E4"/>
    <w:rsid w:val="000F4516"/>
    <w:rsid w:val="000F7E98"/>
    <w:rsid w:val="00106DE1"/>
    <w:rsid w:val="00113A9A"/>
    <w:rsid w:val="00117E6F"/>
    <w:rsid w:val="00121C5E"/>
    <w:rsid w:val="001222E9"/>
    <w:rsid w:val="00127324"/>
    <w:rsid w:val="00132092"/>
    <w:rsid w:val="00135C1E"/>
    <w:rsid w:val="00152D0E"/>
    <w:rsid w:val="00153899"/>
    <w:rsid w:val="0016329F"/>
    <w:rsid w:val="001646EC"/>
    <w:rsid w:val="00165887"/>
    <w:rsid w:val="00171350"/>
    <w:rsid w:val="0017355A"/>
    <w:rsid w:val="00176DD3"/>
    <w:rsid w:val="001B3C0B"/>
    <w:rsid w:val="001D0FE7"/>
    <w:rsid w:val="001D37B5"/>
    <w:rsid w:val="001F5487"/>
    <w:rsid w:val="00200E68"/>
    <w:rsid w:val="00203A7E"/>
    <w:rsid w:val="00203B70"/>
    <w:rsid w:val="00204C37"/>
    <w:rsid w:val="0020587A"/>
    <w:rsid w:val="00220201"/>
    <w:rsid w:val="0023419D"/>
    <w:rsid w:val="002362A1"/>
    <w:rsid w:val="0023789E"/>
    <w:rsid w:val="00261D24"/>
    <w:rsid w:val="00273E85"/>
    <w:rsid w:val="00273FDB"/>
    <w:rsid w:val="0027668E"/>
    <w:rsid w:val="00282286"/>
    <w:rsid w:val="00294D92"/>
    <w:rsid w:val="00296065"/>
    <w:rsid w:val="002A02BD"/>
    <w:rsid w:val="002A61E1"/>
    <w:rsid w:val="002B7FDE"/>
    <w:rsid w:val="002C629B"/>
    <w:rsid w:val="002C784E"/>
    <w:rsid w:val="0030389D"/>
    <w:rsid w:val="00304243"/>
    <w:rsid w:val="00320750"/>
    <w:rsid w:val="00320AF5"/>
    <w:rsid w:val="00327ACA"/>
    <w:rsid w:val="00335456"/>
    <w:rsid w:val="00336A43"/>
    <w:rsid w:val="00344AA6"/>
    <w:rsid w:val="0035750F"/>
    <w:rsid w:val="003642F4"/>
    <w:rsid w:val="00364DCD"/>
    <w:rsid w:val="003662BE"/>
    <w:rsid w:val="00366581"/>
    <w:rsid w:val="0038462D"/>
    <w:rsid w:val="00384EF9"/>
    <w:rsid w:val="00392D1F"/>
    <w:rsid w:val="00397B67"/>
    <w:rsid w:val="003A34E9"/>
    <w:rsid w:val="003B0FF0"/>
    <w:rsid w:val="003B5C38"/>
    <w:rsid w:val="003C0ED4"/>
    <w:rsid w:val="003E0583"/>
    <w:rsid w:val="003F23F0"/>
    <w:rsid w:val="003F45AD"/>
    <w:rsid w:val="003F6650"/>
    <w:rsid w:val="0040795C"/>
    <w:rsid w:val="00413A30"/>
    <w:rsid w:val="0042664A"/>
    <w:rsid w:val="00434CCE"/>
    <w:rsid w:val="00435F32"/>
    <w:rsid w:val="00441AF1"/>
    <w:rsid w:val="0045126D"/>
    <w:rsid w:val="00456979"/>
    <w:rsid w:val="00457F98"/>
    <w:rsid w:val="00465F40"/>
    <w:rsid w:val="00471C63"/>
    <w:rsid w:val="00472E33"/>
    <w:rsid w:val="00473266"/>
    <w:rsid w:val="004746B7"/>
    <w:rsid w:val="0048297B"/>
    <w:rsid w:val="00487D7A"/>
    <w:rsid w:val="004D591D"/>
    <w:rsid w:val="004E764D"/>
    <w:rsid w:val="004E7C25"/>
    <w:rsid w:val="004F18A4"/>
    <w:rsid w:val="004F4588"/>
    <w:rsid w:val="004F7856"/>
    <w:rsid w:val="00507519"/>
    <w:rsid w:val="0051084B"/>
    <w:rsid w:val="005165A2"/>
    <w:rsid w:val="00524BD9"/>
    <w:rsid w:val="005317F7"/>
    <w:rsid w:val="00551EC9"/>
    <w:rsid w:val="0055714A"/>
    <w:rsid w:val="00565B11"/>
    <w:rsid w:val="00570396"/>
    <w:rsid w:val="005742C8"/>
    <w:rsid w:val="005822F8"/>
    <w:rsid w:val="00596D4B"/>
    <w:rsid w:val="005A5B8A"/>
    <w:rsid w:val="005C7C3A"/>
    <w:rsid w:val="005D4E04"/>
    <w:rsid w:val="005E427C"/>
    <w:rsid w:val="005E6E3A"/>
    <w:rsid w:val="005E6E82"/>
    <w:rsid w:val="005F1F82"/>
    <w:rsid w:val="00603F13"/>
    <w:rsid w:val="00612CD2"/>
    <w:rsid w:val="00626E3F"/>
    <w:rsid w:val="006340DB"/>
    <w:rsid w:val="0063706D"/>
    <w:rsid w:val="00644D26"/>
    <w:rsid w:val="00645687"/>
    <w:rsid w:val="00652C87"/>
    <w:rsid w:val="00661E91"/>
    <w:rsid w:val="0068129F"/>
    <w:rsid w:val="006878EC"/>
    <w:rsid w:val="006947AA"/>
    <w:rsid w:val="006A6775"/>
    <w:rsid w:val="006B35EF"/>
    <w:rsid w:val="006B591D"/>
    <w:rsid w:val="006B5B51"/>
    <w:rsid w:val="006B6344"/>
    <w:rsid w:val="006B7DCE"/>
    <w:rsid w:val="006D6AC3"/>
    <w:rsid w:val="006E77CB"/>
    <w:rsid w:val="006E7B31"/>
    <w:rsid w:val="0071303C"/>
    <w:rsid w:val="00720C04"/>
    <w:rsid w:val="007240AA"/>
    <w:rsid w:val="0072506A"/>
    <w:rsid w:val="007419C2"/>
    <w:rsid w:val="0074651E"/>
    <w:rsid w:val="00772A19"/>
    <w:rsid w:val="007766AF"/>
    <w:rsid w:val="007A0102"/>
    <w:rsid w:val="007A559B"/>
    <w:rsid w:val="007B0320"/>
    <w:rsid w:val="007B2648"/>
    <w:rsid w:val="007B627F"/>
    <w:rsid w:val="007C5A0E"/>
    <w:rsid w:val="007D3C6C"/>
    <w:rsid w:val="007D3F26"/>
    <w:rsid w:val="007E1441"/>
    <w:rsid w:val="007E3AE7"/>
    <w:rsid w:val="00801DDB"/>
    <w:rsid w:val="00806DB9"/>
    <w:rsid w:val="00811464"/>
    <w:rsid w:val="00821D0A"/>
    <w:rsid w:val="0082246A"/>
    <w:rsid w:val="00825F4A"/>
    <w:rsid w:val="00846418"/>
    <w:rsid w:val="00846D85"/>
    <w:rsid w:val="0084776A"/>
    <w:rsid w:val="00855AAD"/>
    <w:rsid w:val="00870E9B"/>
    <w:rsid w:val="00872B30"/>
    <w:rsid w:val="008806F9"/>
    <w:rsid w:val="0088508A"/>
    <w:rsid w:val="008871B0"/>
    <w:rsid w:val="008909BD"/>
    <w:rsid w:val="00894541"/>
    <w:rsid w:val="008A265D"/>
    <w:rsid w:val="008A44BD"/>
    <w:rsid w:val="008A6E13"/>
    <w:rsid w:val="008B1EB3"/>
    <w:rsid w:val="008B4A52"/>
    <w:rsid w:val="008C59E2"/>
    <w:rsid w:val="008C5A6D"/>
    <w:rsid w:val="008D5B72"/>
    <w:rsid w:val="008E5205"/>
    <w:rsid w:val="008F26B5"/>
    <w:rsid w:val="008F3DDE"/>
    <w:rsid w:val="009022F1"/>
    <w:rsid w:val="00910F65"/>
    <w:rsid w:val="0091143B"/>
    <w:rsid w:val="00911DDF"/>
    <w:rsid w:val="00914012"/>
    <w:rsid w:val="00914DDA"/>
    <w:rsid w:val="00915A9E"/>
    <w:rsid w:val="00922710"/>
    <w:rsid w:val="009319C3"/>
    <w:rsid w:val="009356B2"/>
    <w:rsid w:val="009419C3"/>
    <w:rsid w:val="009503D3"/>
    <w:rsid w:val="00952955"/>
    <w:rsid w:val="0096452F"/>
    <w:rsid w:val="0097039A"/>
    <w:rsid w:val="009710D6"/>
    <w:rsid w:val="00972808"/>
    <w:rsid w:val="0097548A"/>
    <w:rsid w:val="00975CD2"/>
    <w:rsid w:val="00980C1E"/>
    <w:rsid w:val="00985101"/>
    <w:rsid w:val="0098512F"/>
    <w:rsid w:val="009865A6"/>
    <w:rsid w:val="00987C7B"/>
    <w:rsid w:val="009A5E66"/>
    <w:rsid w:val="009C0F11"/>
    <w:rsid w:val="009C7C38"/>
    <w:rsid w:val="009D4620"/>
    <w:rsid w:val="009E22A9"/>
    <w:rsid w:val="009E70C5"/>
    <w:rsid w:val="009F66E2"/>
    <w:rsid w:val="00A12EA6"/>
    <w:rsid w:val="00A146BB"/>
    <w:rsid w:val="00A152BC"/>
    <w:rsid w:val="00A16429"/>
    <w:rsid w:val="00A170C5"/>
    <w:rsid w:val="00A61DB8"/>
    <w:rsid w:val="00A70AE4"/>
    <w:rsid w:val="00A71FBA"/>
    <w:rsid w:val="00A85D34"/>
    <w:rsid w:val="00A91E91"/>
    <w:rsid w:val="00AB5426"/>
    <w:rsid w:val="00AC430B"/>
    <w:rsid w:val="00AD305E"/>
    <w:rsid w:val="00AD3931"/>
    <w:rsid w:val="00AD7124"/>
    <w:rsid w:val="00AE2AFB"/>
    <w:rsid w:val="00AE33F7"/>
    <w:rsid w:val="00AE4296"/>
    <w:rsid w:val="00AF4644"/>
    <w:rsid w:val="00B04772"/>
    <w:rsid w:val="00B06BDE"/>
    <w:rsid w:val="00B305FD"/>
    <w:rsid w:val="00B32126"/>
    <w:rsid w:val="00B34AE1"/>
    <w:rsid w:val="00B35171"/>
    <w:rsid w:val="00B4112D"/>
    <w:rsid w:val="00B47451"/>
    <w:rsid w:val="00B536F2"/>
    <w:rsid w:val="00B54420"/>
    <w:rsid w:val="00B55366"/>
    <w:rsid w:val="00B64FF1"/>
    <w:rsid w:val="00B665EA"/>
    <w:rsid w:val="00B676B8"/>
    <w:rsid w:val="00B73742"/>
    <w:rsid w:val="00B944A8"/>
    <w:rsid w:val="00BB1D1E"/>
    <w:rsid w:val="00BD01BA"/>
    <w:rsid w:val="00BD3CA5"/>
    <w:rsid w:val="00BE3F46"/>
    <w:rsid w:val="00BE403C"/>
    <w:rsid w:val="00BF6367"/>
    <w:rsid w:val="00C07FB4"/>
    <w:rsid w:val="00C1388A"/>
    <w:rsid w:val="00C14365"/>
    <w:rsid w:val="00C15077"/>
    <w:rsid w:val="00C15DAF"/>
    <w:rsid w:val="00C311F0"/>
    <w:rsid w:val="00C33A25"/>
    <w:rsid w:val="00C45907"/>
    <w:rsid w:val="00C511AF"/>
    <w:rsid w:val="00C54BD0"/>
    <w:rsid w:val="00C7465E"/>
    <w:rsid w:val="00C8070D"/>
    <w:rsid w:val="00C93B53"/>
    <w:rsid w:val="00CC4E9B"/>
    <w:rsid w:val="00CD10AA"/>
    <w:rsid w:val="00CD2E1C"/>
    <w:rsid w:val="00CE3063"/>
    <w:rsid w:val="00D04396"/>
    <w:rsid w:val="00D04831"/>
    <w:rsid w:val="00D228D2"/>
    <w:rsid w:val="00D257F8"/>
    <w:rsid w:val="00D6136B"/>
    <w:rsid w:val="00D6219F"/>
    <w:rsid w:val="00D816C4"/>
    <w:rsid w:val="00D834A4"/>
    <w:rsid w:val="00D87F44"/>
    <w:rsid w:val="00D9220D"/>
    <w:rsid w:val="00DC072C"/>
    <w:rsid w:val="00DD75E5"/>
    <w:rsid w:val="00DE6A73"/>
    <w:rsid w:val="00DF15FB"/>
    <w:rsid w:val="00E11F9F"/>
    <w:rsid w:val="00E14571"/>
    <w:rsid w:val="00E1735A"/>
    <w:rsid w:val="00E2542E"/>
    <w:rsid w:val="00E25F94"/>
    <w:rsid w:val="00E40DB0"/>
    <w:rsid w:val="00E47695"/>
    <w:rsid w:val="00E53972"/>
    <w:rsid w:val="00E569E6"/>
    <w:rsid w:val="00E754AC"/>
    <w:rsid w:val="00E76146"/>
    <w:rsid w:val="00E87F00"/>
    <w:rsid w:val="00E9666B"/>
    <w:rsid w:val="00EA4EDE"/>
    <w:rsid w:val="00EB142D"/>
    <w:rsid w:val="00EB14BB"/>
    <w:rsid w:val="00EB4D97"/>
    <w:rsid w:val="00EC0A0F"/>
    <w:rsid w:val="00EC1257"/>
    <w:rsid w:val="00ED4652"/>
    <w:rsid w:val="00EF5B2C"/>
    <w:rsid w:val="00F03511"/>
    <w:rsid w:val="00F27009"/>
    <w:rsid w:val="00F311D8"/>
    <w:rsid w:val="00F36843"/>
    <w:rsid w:val="00F41417"/>
    <w:rsid w:val="00F41868"/>
    <w:rsid w:val="00F42F5D"/>
    <w:rsid w:val="00F44A1A"/>
    <w:rsid w:val="00F70660"/>
    <w:rsid w:val="00F70A53"/>
    <w:rsid w:val="00F74717"/>
    <w:rsid w:val="00F7536C"/>
    <w:rsid w:val="00F75EAB"/>
    <w:rsid w:val="00F8203C"/>
    <w:rsid w:val="00F835F2"/>
    <w:rsid w:val="00F90620"/>
    <w:rsid w:val="00F9162B"/>
    <w:rsid w:val="00F93DA7"/>
    <w:rsid w:val="00F94CB1"/>
    <w:rsid w:val="00F94E47"/>
    <w:rsid w:val="00FA03F8"/>
    <w:rsid w:val="00FA0D4C"/>
    <w:rsid w:val="00FA3562"/>
    <w:rsid w:val="00FA70E7"/>
    <w:rsid w:val="00FB475A"/>
    <w:rsid w:val="00FB67DA"/>
    <w:rsid w:val="00FB6BDA"/>
    <w:rsid w:val="00FC3C89"/>
    <w:rsid w:val="00FC78CD"/>
    <w:rsid w:val="00FD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6D66CB"/>
  <w15:chartTrackingRefBased/>
  <w15:docId w15:val="{D5141DEE-2C2C-47CA-ADAF-39A072D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650"/>
    <w:pPr>
      <w:tabs>
        <w:tab w:val="left" w:pos="567"/>
      </w:tabs>
      <w:spacing w:line="260" w:lineRule="exact"/>
    </w:pPr>
    <w:rPr>
      <w:sz w:val="22"/>
      <w:lang w:val="lv-LV"/>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6650"/>
    <w:pPr>
      <w:tabs>
        <w:tab w:val="center" w:pos="4153"/>
        <w:tab w:val="right" w:pos="8306"/>
      </w:tabs>
      <w:spacing w:line="240" w:lineRule="auto"/>
    </w:pPr>
    <w:rPr>
      <w:rFonts w:ascii="Helvetica" w:hAnsi="Helvetica"/>
      <w:sz w:val="20"/>
    </w:rPr>
  </w:style>
  <w:style w:type="paragraph" w:styleId="Footer">
    <w:name w:val="footer"/>
    <w:basedOn w:val="Normal"/>
    <w:link w:val="FooterChar"/>
    <w:rsid w:val="003F6650"/>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Default">
    <w:name w:val="Default"/>
    <w:rsid w:val="007A559B"/>
    <w:pPr>
      <w:widowControl w:val="0"/>
      <w:autoSpaceDE w:val="0"/>
      <w:autoSpaceDN w:val="0"/>
      <w:adjustRightInd w:val="0"/>
    </w:pPr>
    <w:rPr>
      <w:color w:val="000000"/>
      <w:sz w:val="24"/>
      <w:szCs w:val="24"/>
      <w:lang w:val="en-GB" w:eastAsia="en-GB"/>
    </w:rPr>
  </w:style>
  <w:style w:type="paragraph" w:customStyle="1" w:styleId="CM2">
    <w:name w:val="CM2"/>
    <w:basedOn w:val="Default"/>
    <w:next w:val="Default"/>
    <w:uiPriority w:val="99"/>
    <w:rsid w:val="00153899"/>
    <w:pPr>
      <w:spacing w:line="560" w:lineRule="atLeast"/>
    </w:pPr>
    <w:rPr>
      <w:color w:val="auto"/>
      <w:lang w:val="en-US" w:eastAsia="en-US"/>
    </w:rPr>
  </w:style>
  <w:style w:type="paragraph" w:customStyle="1" w:styleId="CM6">
    <w:name w:val="CM6"/>
    <w:basedOn w:val="Default"/>
    <w:next w:val="Default"/>
    <w:uiPriority w:val="99"/>
    <w:rsid w:val="00153899"/>
    <w:rPr>
      <w:color w:val="auto"/>
      <w:lang w:val="en-US" w:eastAsia="en-US"/>
    </w:rPr>
  </w:style>
  <w:style w:type="paragraph" w:customStyle="1" w:styleId="CM1">
    <w:name w:val="CM1"/>
    <w:basedOn w:val="Default"/>
    <w:next w:val="Default"/>
    <w:uiPriority w:val="99"/>
    <w:rsid w:val="00153899"/>
    <w:pPr>
      <w:spacing w:line="280" w:lineRule="atLeast"/>
    </w:pPr>
    <w:rPr>
      <w:color w:val="auto"/>
      <w:lang w:val="en-US" w:eastAsia="en-US"/>
    </w:rPr>
  </w:style>
  <w:style w:type="paragraph" w:customStyle="1" w:styleId="CM7">
    <w:name w:val="CM7"/>
    <w:basedOn w:val="Default"/>
    <w:next w:val="Default"/>
    <w:uiPriority w:val="99"/>
    <w:rsid w:val="00153899"/>
    <w:rPr>
      <w:color w:val="auto"/>
      <w:lang w:val="en-US" w:eastAsia="en-US"/>
    </w:rPr>
  </w:style>
  <w:style w:type="paragraph" w:customStyle="1" w:styleId="CM4">
    <w:name w:val="CM4"/>
    <w:basedOn w:val="Default"/>
    <w:next w:val="Default"/>
    <w:uiPriority w:val="99"/>
    <w:rsid w:val="00336A43"/>
    <w:pPr>
      <w:spacing w:line="280" w:lineRule="atLeast"/>
    </w:pPr>
    <w:rPr>
      <w:color w:val="auto"/>
      <w:lang w:val="en-US" w:eastAsia="en-US"/>
    </w:rPr>
  </w:style>
  <w:style w:type="character" w:customStyle="1" w:styleId="apple-style-span">
    <w:name w:val="apple-style-span"/>
    <w:basedOn w:val="DefaultParagraphFont"/>
    <w:rsid w:val="0055714A"/>
  </w:style>
  <w:style w:type="character" w:customStyle="1" w:styleId="HeaderChar">
    <w:name w:val="Header Char"/>
    <w:link w:val="Header"/>
    <w:uiPriority w:val="99"/>
    <w:rsid w:val="003F6650"/>
    <w:rPr>
      <w:rFonts w:ascii="Helvetica" w:hAnsi="Helvetica"/>
      <w:lang w:val="lv-LV" w:eastAsia="en-US"/>
    </w:rPr>
  </w:style>
  <w:style w:type="character" w:customStyle="1" w:styleId="FooterChar">
    <w:name w:val="Footer Char"/>
    <w:link w:val="Footer"/>
    <w:rsid w:val="003F6650"/>
    <w:rPr>
      <w:rFonts w:ascii="Helvetica" w:hAnsi="Helvetica"/>
      <w:sz w:val="16"/>
      <w:lang w:val="lv-LV" w:eastAsia="en-US"/>
    </w:rPr>
  </w:style>
  <w:style w:type="paragraph" w:styleId="Revision">
    <w:name w:val="Revision"/>
    <w:hidden/>
    <w:uiPriority w:val="99"/>
    <w:semiHidden/>
    <w:rsid w:val="00435F32"/>
    <w:rPr>
      <w:sz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47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zva.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0AF60-D653-43EF-932A-4F756D902644}">
  <ds:schemaRefs>
    <ds:schemaRef ds:uri="http://schemas.openxmlformats.org/officeDocument/2006/bibliography"/>
  </ds:schemaRefs>
</ds:datastoreItem>
</file>

<file path=customXml/itemProps2.xml><?xml version="1.0" encoding="utf-8"?>
<ds:datastoreItem xmlns:ds="http://schemas.openxmlformats.org/officeDocument/2006/customXml" ds:itemID="{863CAAA6-13AB-4D93-9184-95B83395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1323</Words>
  <Characters>9592</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Hreferralspccleanlv</vt:lpstr>
    </vt:vector>
  </TitlesOfParts>
  <Company>EMEA</Company>
  <LinksUpToDate>false</LinksUpToDate>
  <CharactersWithSpaces>10894</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Vippharma</dc:creator>
  <cp:keywords/>
  <cp:lastModifiedBy>Skaidrīte Lapsenīte</cp:lastModifiedBy>
  <cp:revision>5</cp:revision>
  <cp:lastPrinted>2016-01-18T09:05:00Z</cp:lastPrinted>
  <dcterms:created xsi:type="dcterms:W3CDTF">2021-03-20T11:45:00Z</dcterms:created>
  <dcterms:modified xsi:type="dcterms:W3CDTF">2021-04-09T10:54:00Z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CURRENT,1.0</vt:lpwstr>
  </property>
  <property fmtid="{D5CDD505-2E9C-101B-9397-08002B2CF9AE}" pid="31" name="DM_Name">
    <vt:lpwstr>Hreferralspccleanlv</vt:lpwstr>
  </property>
  <property fmtid="{D5CDD505-2E9C-101B-9397-08002B2CF9AE}" pid="32" name="DM_Creation_Date">
    <vt:lpwstr>04/04/2013 16:47:54</vt:lpwstr>
  </property>
  <property fmtid="{D5CDD505-2E9C-101B-9397-08002B2CF9AE}" pid="33" name="DM_Modify_Date">
    <vt:lpwstr>04/04/2013 16:47:54</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EMA/213722/2013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EMA/213722/2013</vt:lpwstr>
  </property>
  <property fmtid="{D5CDD505-2E9C-101B-9397-08002B2CF9AE}" pid="41" name="DM_Modifer_Name">
    <vt:lpwstr>Horemans Karina</vt:lpwstr>
  </property>
  <property fmtid="{D5CDD505-2E9C-101B-9397-08002B2CF9AE}" pid="42" name="DM_Modified_Date">
    <vt:lpwstr>04/04/2013 16:47:54</vt:lpwstr>
  </property>
</Properties>
</file>