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B550" w14:textId="77777777" w:rsidR="005261BA" w:rsidRPr="00033B8B" w:rsidRDefault="005261BA" w:rsidP="00033B8B">
      <w:pPr>
        <w:pStyle w:val="Default"/>
        <w:jc w:val="center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ZĀĻU APRAKSTS</w:t>
      </w:r>
    </w:p>
    <w:p w14:paraId="6C9B8132" w14:textId="77777777" w:rsidR="00C56B5F" w:rsidRPr="00033B8B" w:rsidRDefault="00C56B5F" w:rsidP="00C56B5F">
      <w:pPr>
        <w:pStyle w:val="Default"/>
        <w:rPr>
          <w:b/>
          <w:bCs/>
          <w:sz w:val="22"/>
          <w:szCs w:val="22"/>
          <w:lang w:val="lv-LV"/>
        </w:rPr>
      </w:pPr>
    </w:p>
    <w:p w14:paraId="24B851C7" w14:textId="77777777" w:rsidR="00C56B5F" w:rsidRPr="00033B8B" w:rsidRDefault="00C56B5F" w:rsidP="00C56B5F">
      <w:pPr>
        <w:pStyle w:val="Default"/>
        <w:rPr>
          <w:sz w:val="22"/>
          <w:szCs w:val="22"/>
          <w:lang w:val="lv-LV"/>
        </w:rPr>
      </w:pPr>
    </w:p>
    <w:p w14:paraId="4E260773" w14:textId="77777777" w:rsidR="005261BA" w:rsidRPr="00033B8B" w:rsidRDefault="00FB7277" w:rsidP="002A3C1F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ZĀĻU NOSAUKUMS</w:t>
      </w:r>
    </w:p>
    <w:p w14:paraId="23F89D8C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13C0C460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CIRRUS</w:t>
      </w:r>
      <w:r w:rsidR="00912CF7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5</w:t>
      </w:r>
      <w:r w:rsidR="009B1CED" w:rsidRPr="004E31CE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mg/120</w:t>
      </w:r>
      <w:r w:rsidR="009B1CED" w:rsidRPr="004E31CE">
        <w:rPr>
          <w:sz w:val="22"/>
          <w:szCs w:val="22"/>
          <w:lang w:val="lv-LV"/>
        </w:rPr>
        <w:t> </w:t>
      </w:r>
      <w:r w:rsidR="00FB7277" w:rsidRPr="00033B8B">
        <w:rPr>
          <w:sz w:val="22"/>
          <w:szCs w:val="22"/>
          <w:lang w:val="lv-LV"/>
        </w:rPr>
        <w:t>mg ilgstošās darbības tabletes</w:t>
      </w:r>
    </w:p>
    <w:p w14:paraId="653A5969" w14:textId="5CFF1624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0A84F660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29EC8390" w14:textId="77777777" w:rsidR="005261BA" w:rsidRPr="00033B8B" w:rsidRDefault="005261BA" w:rsidP="002A3C1F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KVALITAT</w:t>
      </w:r>
      <w:r w:rsidR="00FB7277" w:rsidRPr="00033B8B">
        <w:rPr>
          <w:b/>
          <w:bCs/>
          <w:sz w:val="22"/>
          <w:szCs w:val="22"/>
          <w:lang w:val="lv-LV"/>
        </w:rPr>
        <w:t>ĪVAIS UN KVANTITATĪVAIS SASTĀVS</w:t>
      </w:r>
    </w:p>
    <w:p w14:paraId="717FF81C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55E5157" w14:textId="77777777" w:rsidR="005261BA" w:rsidRPr="00033B8B" w:rsidRDefault="0034750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Katra</w:t>
      </w:r>
      <w:r w:rsidR="005261BA" w:rsidRPr="00033B8B">
        <w:rPr>
          <w:sz w:val="22"/>
          <w:szCs w:val="22"/>
          <w:lang w:val="lv-LV"/>
        </w:rPr>
        <w:t xml:space="preserve"> tablete satur 5</w:t>
      </w:r>
      <w:r w:rsidR="009B1CED" w:rsidRPr="00033B8B">
        <w:rPr>
          <w:sz w:val="22"/>
          <w:szCs w:val="22"/>
          <w:lang w:val="lv-LV"/>
        </w:rPr>
        <w:t> </w:t>
      </w:r>
      <w:r w:rsidR="005261BA" w:rsidRPr="00033B8B">
        <w:rPr>
          <w:sz w:val="22"/>
          <w:szCs w:val="22"/>
          <w:lang w:val="lv-LV"/>
        </w:rPr>
        <w:t xml:space="preserve">mg cetirizīna dihidrohlorīda </w:t>
      </w:r>
      <w:r w:rsidR="005261BA" w:rsidRPr="00033B8B">
        <w:rPr>
          <w:iCs/>
          <w:sz w:val="22"/>
          <w:szCs w:val="22"/>
          <w:lang w:val="lv-LV"/>
        </w:rPr>
        <w:t>(</w:t>
      </w:r>
      <w:r w:rsidR="005261BA" w:rsidRPr="00033B8B">
        <w:rPr>
          <w:i/>
          <w:iCs/>
          <w:sz w:val="22"/>
          <w:szCs w:val="22"/>
          <w:lang w:val="lv-LV"/>
        </w:rPr>
        <w:t>Cetirizini dihydrochloridum</w:t>
      </w:r>
      <w:r w:rsidR="005261BA" w:rsidRPr="00033B8B">
        <w:rPr>
          <w:iCs/>
          <w:sz w:val="22"/>
          <w:szCs w:val="22"/>
          <w:lang w:val="lv-LV"/>
        </w:rPr>
        <w:t>)</w:t>
      </w:r>
      <w:r w:rsidR="005261BA" w:rsidRPr="00033B8B">
        <w:rPr>
          <w:i/>
          <w:iCs/>
          <w:sz w:val="22"/>
          <w:szCs w:val="22"/>
          <w:lang w:val="lv-LV"/>
        </w:rPr>
        <w:t xml:space="preserve"> </w:t>
      </w:r>
      <w:r w:rsidR="005261BA" w:rsidRPr="00033B8B">
        <w:rPr>
          <w:sz w:val="22"/>
          <w:szCs w:val="22"/>
          <w:lang w:val="lv-LV"/>
        </w:rPr>
        <w:t>tūlītējas darbības formā un 120</w:t>
      </w:r>
      <w:r w:rsidR="001B6949" w:rsidRPr="00033B8B">
        <w:rPr>
          <w:sz w:val="22"/>
          <w:szCs w:val="22"/>
          <w:lang w:val="lv-LV"/>
        </w:rPr>
        <w:t> </w:t>
      </w:r>
      <w:r w:rsidR="005261BA" w:rsidRPr="00033B8B">
        <w:rPr>
          <w:sz w:val="22"/>
          <w:szCs w:val="22"/>
          <w:lang w:val="lv-LV"/>
        </w:rPr>
        <w:t xml:space="preserve">mg pseidoefedrīna hidrohlorīda </w:t>
      </w:r>
      <w:r w:rsidR="005261BA" w:rsidRPr="00033B8B">
        <w:rPr>
          <w:iCs/>
          <w:sz w:val="22"/>
          <w:szCs w:val="22"/>
          <w:lang w:val="lv-LV"/>
        </w:rPr>
        <w:t>(</w:t>
      </w:r>
      <w:r w:rsidR="005261BA" w:rsidRPr="00033B8B">
        <w:rPr>
          <w:i/>
          <w:iCs/>
          <w:sz w:val="22"/>
          <w:szCs w:val="22"/>
          <w:lang w:val="lv-LV"/>
        </w:rPr>
        <w:t>Pseudoephedrini hydrochloridum</w:t>
      </w:r>
      <w:r w:rsidR="005261BA" w:rsidRPr="00033B8B">
        <w:rPr>
          <w:iCs/>
          <w:sz w:val="22"/>
          <w:szCs w:val="22"/>
          <w:lang w:val="lv-LV"/>
        </w:rPr>
        <w:t>)</w:t>
      </w:r>
      <w:r w:rsidR="005261BA" w:rsidRPr="00033B8B">
        <w:rPr>
          <w:i/>
          <w:iCs/>
          <w:sz w:val="22"/>
          <w:szCs w:val="22"/>
          <w:lang w:val="lv-LV"/>
        </w:rPr>
        <w:t xml:space="preserve"> </w:t>
      </w:r>
      <w:r w:rsidR="00C54FD6" w:rsidRPr="00033B8B">
        <w:rPr>
          <w:sz w:val="22"/>
          <w:szCs w:val="22"/>
          <w:lang w:val="lv-LV"/>
        </w:rPr>
        <w:t xml:space="preserve">ilgstošas </w:t>
      </w:r>
      <w:r w:rsidR="005261BA" w:rsidRPr="00033B8B">
        <w:rPr>
          <w:sz w:val="22"/>
          <w:szCs w:val="22"/>
          <w:lang w:val="lv-LV"/>
        </w:rPr>
        <w:t>darbības formā</w:t>
      </w:r>
      <w:r w:rsidR="00FB7277" w:rsidRPr="00033B8B">
        <w:rPr>
          <w:sz w:val="22"/>
          <w:szCs w:val="22"/>
          <w:lang w:val="lv-LV"/>
        </w:rPr>
        <w:t>.</w:t>
      </w:r>
    </w:p>
    <w:p w14:paraId="1E636A86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1767098" w14:textId="77777777" w:rsidR="00EA0D52" w:rsidRDefault="00D4531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u w:val="single"/>
          <w:lang w:val="lv-LV"/>
        </w:rPr>
        <w:t>Palīgviela ar zināmu iedarbību</w:t>
      </w:r>
      <w:r w:rsidRPr="00033B8B">
        <w:rPr>
          <w:sz w:val="22"/>
          <w:szCs w:val="22"/>
          <w:lang w:val="lv-LV"/>
        </w:rPr>
        <w:t xml:space="preserve">: </w:t>
      </w:r>
    </w:p>
    <w:p w14:paraId="4D0D01B1" w14:textId="6933CC98" w:rsidR="00EA0D52" w:rsidRPr="0086116B" w:rsidRDefault="00347503" w:rsidP="00EA0D52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katra ilgstošās darbības tablete satur 43,23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 xml:space="preserve">mg </w:t>
      </w:r>
      <w:r w:rsidR="00D45313" w:rsidRPr="00033B8B">
        <w:rPr>
          <w:sz w:val="22"/>
          <w:szCs w:val="22"/>
          <w:lang w:val="lv-LV"/>
        </w:rPr>
        <w:t>laktozes monohidr</w:t>
      </w:r>
      <w:r w:rsidRPr="00033B8B">
        <w:rPr>
          <w:sz w:val="22"/>
          <w:szCs w:val="22"/>
          <w:lang w:val="lv-LV"/>
        </w:rPr>
        <w:t>āta</w:t>
      </w:r>
      <w:r w:rsidR="00C4346E">
        <w:rPr>
          <w:sz w:val="22"/>
          <w:szCs w:val="22"/>
          <w:lang w:val="lv-LV"/>
        </w:rPr>
        <w:t xml:space="preserve"> (</w:t>
      </w:r>
      <w:r w:rsidR="00C4346E" w:rsidRPr="00AA65CA">
        <w:rPr>
          <w:sz w:val="22"/>
          <w:szCs w:val="22"/>
          <w:lang w:val="lv-LV"/>
        </w:rPr>
        <w:t xml:space="preserve">skatīt </w:t>
      </w:r>
      <w:r w:rsidR="00C4346E">
        <w:rPr>
          <w:sz w:val="22"/>
          <w:szCs w:val="22"/>
          <w:lang w:val="lv-LV"/>
        </w:rPr>
        <w:t xml:space="preserve">4.4 </w:t>
      </w:r>
      <w:r w:rsidR="00C4346E" w:rsidRPr="00AA65CA">
        <w:rPr>
          <w:sz w:val="22"/>
          <w:szCs w:val="22"/>
          <w:lang w:val="lv-LV"/>
        </w:rPr>
        <w:t>apakšpunktu</w:t>
      </w:r>
      <w:r w:rsidR="00C4346E">
        <w:rPr>
          <w:sz w:val="22"/>
          <w:szCs w:val="22"/>
          <w:lang w:val="lv-LV"/>
        </w:rPr>
        <w:t>)</w:t>
      </w:r>
    </w:p>
    <w:p w14:paraId="75C2CBAF" w14:textId="77777777" w:rsidR="00EA0D52" w:rsidRPr="00033B8B" w:rsidRDefault="00EA0D52" w:rsidP="005261BA">
      <w:pPr>
        <w:pStyle w:val="Default"/>
        <w:rPr>
          <w:sz w:val="22"/>
          <w:szCs w:val="22"/>
          <w:lang w:val="lv-LV"/>
        </w:rPr>
      </w:pPr>
    </w:p>
    <w:p w14:paraId="2AF8D256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Pilnu palīgvielu sarakstu skatīt </w:t>
      </w:r>
      <w:r w:rsidR="00D45313" w:rsidRPr="00033B8B">
        <w:rPr>
          <w:sz w:val="22"/>
          <w:szCs w:val="22"/>
          <w:lang w:val="lv-LV"/>
        </w:rPr>
        <w:t>6.1</w:t>
      </w:r>
      <w:r w:rsidR="0079317F" w:rsidRPr="00033B8B">
        <w:rPr>
          <w:sz w:val="22"/>
          <w:szCs w:val="22"/>
          <w:lang w:val="lv-LV"/>
        </w:rPr>
        <w:t>.</w:t>
      </w:r>
      <w:r w:rsidR="009B1CED" w:rsidRPr="00033B8B">
        <w:rPr>
          <w:sz w:val="22"/>
          <w:szCs w:val="22"/>
          <w:lang w:val="lv-LV"/>
        </w:rPr>
        <w:t> </w:t>
      </w:r>
      <w:r w:rsidR="001B6949" w:rsidRPr="00033B8B">
        <w:rPr>
          <w:sz w:val="22"/>
          <w:szCs w:val="22"/>
          <w:lang w:val="lv-LV"/>
        </w:rPr>
        <w:t>a</w:t>
      </w:r>
      <w:r w:rsidR="00FB7277" w:rsidRPr="00033B8B">
        <w:rPr>
          <w:sz w:val="22"/>
          <w:szCs w:val="22"/>
          <w:lang w:val="lv-LV"/>
        </w:rPr>
        <w:t>pakšpunktā.</w:t>
      </w:r>
    </w:p>
    <w:p w14:paraId="26A9E464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EAB9E2D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78E019FB" w14:textId="77777777" w:rsidR="005261BA" w:rsidRPr="00033B8B" w:rsidRDefault="00FB7277" w:rsidP="002A3C1F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ZĀĻU FORMA</w:t>
      </w:r>
    </w:p>
    <w:p w14:paraId="4851B921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02380614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Ilgstošās darbības </w:t>
      </w:r>
      <w:r w:rsidR="00FB7277" w:rsidRPr="00033B8B">
        <w:rPr>
          <w:sz w:val="22"/>
          <w:szCs w:val="22"/>
          <w:lang w:val="lv-LV"/>
        </w:rPr>
        <w:t>tablete.</w:t>
      </w:r>
    </w:p>
    <w:p w14:paraId="3A4DCDA3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Baltas līdz pelēkbaltas, apaļas </w:t>
      </w:r>
      <w:r w:rsidR="00C22F41" w:rsidRPr="00033B8B">
        <w:rPr>
          <w:sz w:val="22"/>
          <w:szCs w:val="22"/>
          <w:lang w:val="lv-LV"/>
        </w:rPr>
        <w:t xml:space="preserve">abpusēji izliektas </w:t>
      </w:r>
      <w:r w:rsidRPr="00033B8B">
        <w:rPr>
          <w:sz w:val="22"/>
          <w:szCs w:val="22"/>
          <w:lang w:val="lv-LV"/>
        </w:rPr>
        <w:t>tabletes</w:t>
      </w:r>
      <w:r w:rsidR="00FB7277" w:rsidRPr="00033B8B">
        <w:rPr>
          <w:sz w:val="22"/>
          <w:szCs w:val="22"/>
          <w:lang w:val="lv-LV"/>
        </w:rPr>
        <w:t>.</w:t>
      </w:r>
    </w:p>
    <w:p w14:paraId="55D6ABAD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2784E4F0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304FA3E7" w14:textId="77777777" w:rsidR="005261BA" w:rsidRPr="00033B8B" w:rsidRDefault="00FB7277" w:rsidP="002A3C1F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KLĪNISKĀ INFORMĀCIJA</w:t>
      </w:r>
    </w:p>
    <w:p w14:paraId="7A4FB127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E4C1602" w14:textId="77777777" w:rsidR="005261BA" w:rsidRPr="00033B8B" w:rsidRDefault="005261BA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Terapeitiskās indikācijas</w:t>
      </w:r>
    </w:p>
    <w:p w14:paraId="27F539D9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05B8FB9F" w14:textId="77777777" w:rsidR="005261BA" w:rsidRPr="00033B8B" w:rsidRDefault="002144E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</w:t>
      </w:r>
      <w:r w:rsidR="00860B60" w:rsidRPr="00033B8B">
        <w:rPr>
          <w:sz w:val="22"/>
          <w:szCs w:val="22"/>
          <w:lang w:val="lv-LV"/>
        </w:rPr>
        <w:t>s</w:t>
      </w:r>
      <w:r w:rsidRPr="00033B8B">
        <w:rPr>
          <w:sz w:val="22"/>
          <w:szCs w:val="22"/>
          <w:lang w:val="lv-LV"/>
        </w:rPr>
        <w:t>-</w:t>
      </w:r>
      <w:r w:rsidR="001975B3" w:rsidRPr="00033B8B">
        <w:rPr>
          <w:sz w:val="22"/>
          <w:szCs w:val="22"/>
          <w:lang w:val="lv-LV"/>
        </w:rPr>
        <w:t xml:space="preserve">pseidoefedrīns </w:t>
      </w:r>
      <w:r w:rsidR="005261BA" w:rsidRPr="00033B8B">
        <w:rPr>
          <w:sz w:val="22"/>
          <w:szCs w:val="22"/>
          <w:lang w:val="lv-LV"/>
        </w:rPr>
        <w:t>ir indicēts sezonāla un pastāvīga alerģiska rinīta simptomu</w:t>
      </w:r>
      <w:r w:rsidR="005F55FD" w:rsidRPr="00033B8B">
        <w:rPr>
          <w:sz w:val="22"/>
          <w:szCs w:val="22"/>
          <w:lang w:val="lv-LV"/>
        </w:rPr>
        <w:t xml:space="preserve"> ārstēšanai, </w:t>
      </w:r>
      <w:r w:rsidR="00DE3571" w:rsidRPr="00033B8B">
        <w:rPr>
          <w:sz w:val="22"/>
          <w:szCs w:val="22"/>
          <w:lang w:val="lv-LV"/>
        </w:rPr>
        <w:t>tādu kā</w:t>
      </w:r>
      <w:r w:rsidR="005261BA" w:rsidRPr="00033B8B">
        <w:rPr>
          <w:sz w:val="22"/>
          <w:szCs w:val="22"/>
          <w:lang w:val="lv-LV"/>
        </w:rPr>
        <w:t xml:space="preserve"> aizlikt</w:t>
      </w:r>
      <w:r w:rsidR="005F55FD" w:rsidRPr="00033B8B">
        <w:rPr>
          <w:sz w:val="22"/>
          <w:szCs w:val="22"/>
          <w:lang w:val="lv-LV"/>
        </w:rPr>
        <w:t>s</w:t>
      </w:r>
      <w:r w:rsidR="005261BA" w:rsidRPr="00033B8B">
        <w:rPr>
          <w:sz w:val="22"/>
          <w:szCs w:val="22"/>
          <w:lang w:val="lv-LV"/>
        </w:rPr>
        <w:t xml:space="preserve"> degun</w:t>
      </w:r>
      <w:r w:rsidR="005F55FD" w:rsidRPr="00033B8B">
        <w:rPr>
          <w:sz w:val="22"/>
          <w:szCs w:val="22"/>
          <w:lang w:val="lv-LV"/>
        </w:rPr>
        <w:t>s</w:t>
      </w:r>
      <w:r w:rsidR="005261BA" w:rsidRPr="00033B8B">
        <w:rPr>
          <w:sz w:val="22"/>
          <w:szCs w:val="22"/>
          <w:lang w:val="lv-LV"/>
        </w:rPr>
        <w:t>, šķaudīšana, rinoreja</w:t>
      </w:r>
      <w:r w:rsidR="005F55FD" w:rsidRPr="00033B8B">
        <w:rPr>
          <w:sz w:val="22"/>
          <w:szCs w:val="22"/>
          <w:lang w:val="lv-LV"/>
        </w:rPr>
        <w:t xml:space="preserve"> un</w:t>
      </w:r>
      <w:r w:rsidR="005261BA" w:rsidRPr="00033B8B">
        <w:rPr>
          <w:sz w:val="22"/>
          <w:szCs w:val="22"/>
          <w:lang w:val="lv-LV"/>
        </w:rPr>
        <w:t xml:space="preserve"> deguna un acu nieze. Tas jālieto gadījumos, kad vēlama gan cetirizīna hidrohlorīda antialerģiskā, gan pseidoefedrīna hidrohlorīda deguna gļotādas tūs</w:t>
      </w:r>
      <w:r w:rsidR="00FB7277" w:rsidRPr="00033B8B">
        <w:rPr>
          <w:sz w:val="22"/>
          <w:szCs w:val="22"/>
          <w:lang w:val="lv-LV"/>
        </w:rPr>
        <w:t>ku mazinošā darbība.</w:t>
      </w:r>
    </w:p>
    <w:p w14:paraId="2499C8AC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3AB43405" w14:textId="77777777" w:rsidR="005261BA" w:rsidRPr="00033B8B" w:rsidRDefault="00FB7277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Devas un lietošanas veids</w:t>
      </w:r>
    </w:p>
    <w:p w14:paraId="2E3C6CDF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F2984AC" w14:textId="77777777" w:rsidR="00885FFC" w:rsidRPr="00033B8B" w:rsidRDefault="00885FFC" w:rsidP="005261BA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Devas</w:t>
      </w:r>
    </w:p>
    <w:p w14:paraId="56D39645" w14:textId="77777777" w:rsidR="00885FFC" w:rsidRPr="00033B8B" w:rsidRDefault="00885FFC" w:rsidP="005261BA">
      <w:pPr>
        <w:pStyle w:val="Default"/>
        <w:rPr>
          <w:sz w:val="22"/>
          <w:szCs w:val="22"/>
          <w:lang w:val="lv-LV"/>
        </w:rPr>
      </w:pPr>
    </w:p>
    <w:p w14:paraId="0E38C277" w14:textId="77777777" w:rsidR="00885FFC" w:rsidRPr="00033B8B" w:rsidRDefault="005261BA" w:rsidP="005261BA">
      <w:pPr>
        <w:pStyle w:val="Default"/>
        <w:rPr>
          <w:b/>
          <w:i/>
          <w:sz w:val="22"/>
          <w:szCs w:val="22"/>
          <w:lang w:val="lv-LV"/>
        </w:rPr>
      </w:pPr>
      <w:r w:rsidRPr="00033B8B">
        <w:rPr>
          <w:b/>
          <w:i/>
          <w:sz w:val="22"/>
          <w:szCs w:val="22"/>
          <w:lang w:val="lv-LV"/>
        </w:rPr>
        <w:t>Pieaugušie</w:t>
      </w:r>
    </w:p>
    <w:p w14:paraId="32890A33" w14:textId="77777777" w:rsidR="00D012D8" w:rsidRPr="00033B8B" w:rsidRDefault="00885FFC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Viena </w:t>
      </w:r>
      <w:r w:rsidR="005261BA" w:rsidRPr="00033B8B">
        <w:rPr>
          <w:sz w:val="22"/>
          <w:szCs w:val="22"/>
          <w:lang w:val="lv-LV"/>
        </w:rPr>
        <w:t>tablete divas reizes dienā (no rīta un vaka</w:t>
      </w:r>
      <w:r w:rsidR="00FB7277" w:rsidRPr="00033B8B">
        <w:rPr>
          <w:sz w:val="22"/>
          <w:szCs w:val="22"/>
          <w:lang w:val="lv-LV"/>
        </w:rPr>
        <w:t>rā), neatkarīgi no ēdienreizes.</w:t>
      </w:r>
    </w:p>
    <w:p w14:paraId="4E591E7E" w14:textId="77777777" w:rsidR="00D012D8" w:rsidRPr="00033B8B" w:rsidRDefault="00D012D8" w:rsidP="005261BA">
      <w:pPr>
        <w:pStyle w:val="Default"/>
        <w:rPr>
          <w:sz w:val="22"/>
          <w:szCs w:val="22"/>
          <w:lang w:val="lv-LV"/>
        </w:rPr>
      </w:pPr>
    </w:p>
    <w:p w14:paraId="4BF3AB0E" w14:textId="77777777" w:rsidR="002F515E" w:rsidRPr="00033B8B" w:rsidRDefault="005F55FD" w:rsidP="00D012D8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u w:val="single"/>
          <w:lang w:val="lv-LV"/>
        </w:rPr>
        <w:t>Ārstēšan</w:t>
      </w:r>
      <w:r w:rsidR="0073640F" w:rsidRPr="00033B8B">
        <w:rPr>
          <w:sz w:val="22"/>
          <w:szCs w:val="22"/>
          <w:u w:val="single"/>
          <w:lang w:val="lv-LV"/>
        </w:rPr>
        <w:t>a</w:t>
      </w:r>
      <w:r w:rsidRPr="00033B8B">
        <w:rPr>
          <w:sz w:val="22"/>
          <w:szCs w:val="22"/>
          <w:u w:val="single"/>
          <w:lang w:val="lv-LV"/>
        </w:rPr>
        <w:t xml:space="preserve">s </w:t>
      </w:r>
      <w:r w:rsidR="002F515E" w:rsidRPr="00033B8B">
        <w:rPr>
          <w:sz w:val="22"/>
          <w:szCs w:val="22"/>
          <w:u w:val="single"/>
          <w:lang w:val="lv-LV"/>
        </w:rPr>
        <w:t>ilgums</w:t>
      </w:r>
    </w:p>
    <w:p w14:paraId="5DF60569" w14:textId="77777777" w:rsidR="00D012D8" w:rsidRPr="00033B8B" w:rsidRDefault="005F55FD" w:rsidP="00D012D8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Ārstēšan</w:t>
      </w:r>
      <w:r w:rsidR="0073640F" w:rsidRPr="00033B8B">
        <w:rPr>
          <w:sz w:val="22"/>
          <w:szCs w:val="22"/>
          <w:lang w:val="lv-LV"/>
        </w:rPr>
        <w:t>a</w:t>
      </w:r>
      <w:r w:rsidRPr="00033B8B">
        <w:rPr>
          <w:sz w:val="22"/>
          <w:szCs w:val="22"/>
          <w:lang w:val="lv-LV"/>
        </w:rPr>
        <w:t xml:space="preserve">s </w:t>
      </w:r>
      <w:r w:rsidR="00D012D8" w:rsidRPr="00033B8B">
        <w:rPr>
          <w:sz w:val="22"/>
          <w:szCs w:val="22"/>
          <w:lang w:val="lv-LV"/>
        </w:rPr>
        <w:t>ilgums nedrīkst pārsniegt simptomu periodu, tas nedrīkst būt ilgāks par 2</w:t>
      </w:r>
      <w:r w:rsidRPr="00033B8B">
        <w:rPr>
          <w:sz w:val="22"/>
          <w:szCs w:val="22"/>
          <w:lang w:val="lv-LV"/>
        </w:rPr>
        <w:t xml:space="preserve"> līdz </w:t>
      </w:r>
      <w:r w:rsidR="00D012D8" w:rsidRPr="00033B8B">
        <w:rPr>
          <w:sz w:val="22"/>
          <w:szCs w:val="22"/>
          <w:lang w:val="lv-LV"/>
        </w:rPr>
        <w:t>3</w:t>
      </w:r>
      <w:r w:rsidR="009B1CED" w:rsidRPr="00033B8B">
        <w:rPr>
          <w:sz w:val="22"/>
          <w:szCs w:val="22"/>
          <w:lang w:val="lv-LV"/>
        </w:rPr>
        <w:t> </w:t>
      </w:r>
      <w:r w:rsidR="00D012D8" w:rsidRPr="00033B8B">
        <w:rPr>
          <w:sz w:val="22"/>
          <w:szCs w:val="22"/>
          <w:lang w:val="lv-LV"/>
        </w:rPr>
        <w:t xml:space="preserve">nedēļām. Pēc tam, kad panākta deguna simptomu pietiekama mazināšanās, </w:t>
      </w:r>
      <w:r w:rsidRPr="00033B8B">
        <w:rPr>
          <w:sz w:val="22"/>
          <w:szCs w:val="22"/>
          <w:lang w:val="lv-LV"/>
        </w:rPr>
        <w:t xml:space="preserve">ārstēšanu ar </w:t>
      </w:r>
      <w:r w:rsidR="00D012D8" w:rsidRPr="00033B8B">
        <w:rPr>
          <w:sz w:val="22"/>
          <w:szCs w:val="22"/>
          <w:lang w:val="lv-LV"/>
        </w:rPr>
        <w:t>cetirizīn</w:t>
      </w:r>
      <w:r w:rsidRPr="00033B8B">
        <w:rPr>
          <w:sz w:val="22"/>
          <w:szCs w:val="22"/>
          <w:lang w:val="lv-LV"/>
        </w:rPr>
        <w:t>u</w:t>
      </w:r>
      <w:r w:rsidR="00D012D8" w:rsidRPr="00033B8B">
        <w:rPr>
          <w:sz w:val="22"/>
          <w:szCs w:val="22"/>
          <w:lang w:val="lv-LV"/>
        </w:rPr>
        <w:t xml:space="preserve"> var turpināt, ja </w:t>
      </w:r>
      <w:r w:rsidRPr="00033B8B">
        <w:rPr>
          <w:sz w:val="22"/>
          <w:szCs w:val="22"/>
          <w:lang w:val="lv-LV"/>
        </w:rPr>
        <w:t xml:space="preserve">tas </w:t>
      </w:r>
      <w:r w:rsidR="00D012D8" w:rsidRPr="00033B8B">
        <w:rPr>
          <w:sz w:val="22"/>
          <w:szCs w:val="22"/>
          <w:lang w:val="lv-LV"/>
        </w:rPr>
        <w:t>ir piemērot</w:t>
      </w:r>
      <w:r w:rsidRPr="00033B8B">
        <w:rPr>
          <w:sz w:val="22"/>
          <w:szCs w:val="22"/>
          <w:lang w:val="lv-LV"/>
        </w:rPr>
        <w:t>s</w:t>
      </w:r>
      <w:r w:rsidR="00D012D8" w:rsidRPr="00033B8B">
        <w:rPr>
          <w:sz w:val="22"/>
          <w:szCs w:val="22"/>
          <w:lang w:val="lv-LV"/>
        </w:rPr>
        <w:t>.</w:t>
      </w:r>
    </w:p>
    <w:p w14:paraId="423A785E" w14:textId="77777777" w:rsidR="00D012D8" w:rsidRPr="00033B8B" w:rsidRDefault="00D012D8" w:rsidP="005261BA">
      <w:pPr>
        <w:pStyle w:val="Default"/>
        <w:rPr>
          <w:sz w:val="22"/>
          <w:szCs w:val="22"/>
          <w:lang w:val="lv-LV"/>
        </w:rPr>
      </w:pPr>
    </w:p>
    <w:p w14:paraId="58288537" w14:textId="77777777" w:rsidR="00D012D8" w:rsidRPr="00033B8B" w:rsidRDefault="00D012D8" w:rsidP="005261BA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Lietošanas veids</w:t>
      </w:r>
    </w:p>
    <w:p w14:paraId="258B6B5E" w14:textId="77777777" w:rsidR="005261BA" w:rsidRPr="00033B8B" w:rsidRDefault="005F55FD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Tablete</w:t>
      </w:r>
      <w:r w:rsidR="00DE3571" w:rsidRPr="00033B8B">
        <w:rPr>
          <w:sz w:val="22"/>
          <w:szCs w:val="22"/>
          <w:lang w:val="lv-LV"/>
        </w:rPr>
        <w:t>s</w:t>
      </w:r>
      <w:r w:rsidRPr="00033B8B">
        <w:rPr>
          <w:sz w:val="22"/>
          <w:szCs w:val="22"/>
          <w:lang w:val="lv-LV"/>
        </w:rPr>
        <w:t xml:space="preserve"> jānorij vesela</w:t>
      </w:r>
      <w:r w:rsidR="00DE3571" w:rsidRPr="00033B8B">
        <w:rPr>
          <w:sz w:val="22"/>
          <w:szCs w:val="22"/>
          <w:lang w:val="lv-LV"/>
        </w:rPr>
        <w:t>s</w:t>
      </w:r>
      <w:r w:rsidRPr="00033B8B">
        <w:rPr>
          <w:sz w:val="22"/>
          <w:szCs w:val="22"/>
          <w:lang w:val="lv-LV"/>
        </w:rPr>
        <w:t>, uzdzerot nedaudz šķidruma, t</w:t>
      </w:r>
      <w:r w:rsidR="00DE3571" w:rsidRPr="00033B8B">
        <w:rPr>
          <w:sz w:val="22"/>
          <w:szCs w:val="22"/>
          <w:lang w:val="lv-LV"/>
        </w:rPr>
        <w:t>ās</w:t>
      </w:r>
      <w:r w:rsidR="005261BA" w:rsidRPr="00033B8B">
        <w:rPr>
          <w:sz w:val="22"/>
          <w:szCs w:val="22"/>
          <w:lang w:val="lv-LV"/>
        </w:rPr>
        <w:t xml:space="preserve"> nedrīkst </w:t>
      </w:r>
      <w:r w:rsidR="002F515E" w:rsidRPr="00033B8B">
        <w:rPr>
          <w:sz w:val="22"/>
          <w:szCs w:val="22"/>
          <w:lang w:val="lv-LV"/>
        </w:rPr>
        <w:t xml:space="preserve">salauzt, </w:t>
      </w:r>
      <w:r w:rsidR="005261BA" w:rsidRPr="00033B8B">
        <w:rPr>
          <w:sz w:val="22"/>
          <w:szCs w:val="22"/>
          <w:lang w:val="lv-LV"/>
        </w:rPr>
        <w:t>sakošļāt vai sasmalcināt</w:t>
      </w:r>
      <w:r w:rsidR="00FB7277" w:rsidRPr="00033B8B">
        <w:rPr>
          <w:sz w:val="22"/>
          <w:szCs w:val="22"/>
          <w:lang w:val="lv-LV"/>
        </w:rPr>
        <w:t>.</w:t>
      </w:r>
    </w:p>
    <w:p w14:paraId="70A2CD90" w14:textId="77777777" w:rsidR="00D012D8" w:rsidRPr="00033B8B" w:rsidRDefault="00D012D8" w:rsidP="005261BA">
      <w:pPr>
        <w:pStyle w:val="Default"/>
        <w:rPr>
          <w:sz w:val="22"/>
          <w:szCs w:val="22"/>
          <w:lang w:val="lv-LV"/>
        </w:rPr>
      </w:pPr>
    </w:p>
    <w:p w14:paraId="30B4F40A" w14:textId="77777777" w:rsidR="00D012D8" w:rsidRPr="00033B8B" w:rsidRDefault="00D012D8" w:rsidP="005261BA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 xml:space="preserve">Īpašas </w:t>
      </w:r>
      <w:r w:rsidR="005F55FD" w:rsidRPr="00033B8B">
        <w:rPr>
          <w:sz w:val="22"/>
          <w:szCs w:val="22"/>
          <w:u w:val="single"/>
          <w:lang w:val="lv-LV"/>
        </w:rPr>
        <w:t>populācijas</w:t>
      </w:r>
    </w:p>
    <w:p w14:paraId="2902FEAC" w14:textId="77777777" w:rsidR="00F819C2" w:rsidRPr="00033B8B" w:rsidRDefault="00F819C2" w:rsidP="005261BA">
      <w:pPr>
        <w:pStyle w:val="Default"/>
        <w:rPr>
          <w:sz w:val="22"/>
          <w:szCs w:val="22"/>
          <w:u w:val="single"/>
          <w:lang w:val="lv-LV"/>
        </w:rPr>
      </w:pPr>
    </w:p>
    <w:p w14:paraId="72F0DA8F" w14:textId="58A312C8" w:rsidR="00F819C2" w:rsidRDefault="00F819C2" w:rsidP="00C50FF4">
      <w:pPr>
        <w:pStyle w:val="Default"/>
        <w:rPr>
          <w:i/>
          <w:sz w:val="22"/>
          <w:szCs w:val="22"/>
          <w:u w:val="single"/>
          <w:lang w:val="lv-LV"/>
        </w:rPr>
      </w:pPr>
      <w:r w:rsidRPr="00033B8B">
        <w:rPr>
          <w:i/>
          <w:sz w:val="22"/>
          <w:szCs w:val="22"/>
          <w:u w:val="single"/>
          <w:lang w:val="lv-LV"/>
        </w:rPr>
        <w:t>Nieru darbības traucējumi</w:t>
      </w:r>
    </w:p>
    <w:p w14:paraId="03147706" w14:textId="5C59FF87" w:rsidR="006D3EE8" w:rsidRPr="003E479E" w:rsidRDefault="006D3EE8" w:rsidP="00C50FF4">
      <w:pPr>
        <w:pStyle w:val="Default"/>
        <w:rPr>
          <w:iCs/>
          <w:sz w:val="22"/>
          <w:szCs w:val="22"/>
          <w:lang w:val="lv-LV"/>
        </w:rPr>
      </w:pPr>
      <w:r w:rsidRPr="003E479E">
        <w:rPr>
          <w:sz w:val="22"/>
          <w:szCs w:val="22"/>
          <w:lang w:val="lv-LV"/>
        </w:rPr>
        <w:t xml:space="preserve">Devas intervāliem jābūt individuāli pielāgotiem atbilstoši nieru funkcijai. Skatiet tabulu </w:t>
      </w:r>
      <w:r>
        <w:rPr>
          <w:sz w:val="22"/>
          <w:szCs w:val="22"/>
          <w:lang w:val="lv-LV"/>
        </w:rPr>
        <w:t>tālāk</w:t>
      </w:r>
      <w:r w:rsidRPr="003E479E">
        <w:rPr>
          <w:sz w:val="22"/>
          <w:szCs w:val="22"/>
          <w:lang w:val="lv-LV"/>
        </w:rPr>
        <w:t xml:space="preserve"> un pielāgojiet devu, kā norādīts.</w:t>
      </w:r>
    </w:p>
    <w:p w14:paraId="2123A1A9" w14:textId="6EFDA25D" w:rsidR="006D3EE8" w:rsidRDefault="006D3EE8" w:rsidP="006D3EE8">
      <w:pPr>
        <w:pStyle w:val="C-TableText"/>
        <w:rPr>
          <w:lang w:val="lv-LV"/>
        </w:rPr>
      </w:pPr>
    </w:p>
    <w:p w14:paraId="09200646" w14:textId="77777777" w:rsidR="006D3EE8" w:rsidRDefault="006D3EE8" w:rsidP="006D3EE8">
      <w:pPr>
        <w:pStyle w:val="C-TableText"/>
        <w:rPr>
          <w:lang w:val="lv-LV"/>
        </w:rPr>
      </w:pPr>
    </w:p>
    <w:p w14:paraId="4ED05445" w14:textId="77777777" w:rsidR="006D3EE8" w:rsidRDefault="006D3EE8" w:rsidP="006D3EE8">
      <w:pPr>
        <w:pStyle w:val="C-TableText"/>
        <w:rPr>
          <w:b/>
          <w:bCs/>
          <w:szCs w:val="22"/>
          <w:lang w:val="lv-LV"/>
        </w:rPr>
      </w:pPr>
    </w:p>
    <w:p w14:paraId="694C4B0D" w14:textId="043DB834" w:rsidR="006D3EE8" w:rsidRPr="006D3EE8" w:rsidRDefault="006D3EE8" w:rsidP="003E479E">
      <w:pPr>
        <w:pStyle w:val="C-TableText"/>
        <w:jc w:val="center"/>
        <w:rPr>
          <w:lang w:val="lv-LV"/>
        </w:rPr>
      </w:pPr>
      <w:r w:rsidRPr="003E479E">
        <w:rPr>
          <w:szCs w:val="22"/>
          <w:lang w:val="lv-LV"/>
        </w:rPr>
        <w:t>Devas pielāgošana pieaugušajiem ar nieru darbības traucējumiem</w:t>
      </w:r>
    </w:p>
    <w:p w14:paraId="734A6959" w14:textId="77777777" w:rsidR="006D3EE8" w:rsidRPr="006D3EE8" w:rsidRDefault="006D3EE8" w:rsidP="003E479E">
      <w:pPr>
        <w:pStyle w:val="C-TableText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501"/>
        <w:gridCol w:w="2629"/>
      </w:tblGrid>
      <w:tr w:rsidR="009D7C7A" w:rsidRPr="006D3EE8" w14:paraId="1E9D6AC8" w14:textId="77777777" w:rsidTr="003E479E">
        <w:trPr>
          <w:trHeight w:val="509"/>
          <w:jc w:val="center"/>
        </w:trPr>
        <w:tc>
          <w:tcPr>
            <w:tcW w:w="2875" w:type="dxa"/>
          </w:tcPr>
          <w:p w14:paraId="5E9DAD6D" w14:textId="744BC5D0" w:rsidR="009D7C7A" w:rsidRPr="006D3EE8" w:rsidRDefault="009D7C7A" w:rsidP="00AB0C3B">
            <w:pPr>
              <w:pStyle w:val="C-TableHeader"/>
              <w:rPr>
                <w:szCs w:val="22"/>
                <w:lang w:val="en-GB"/>
              </w:rPr>
            </w:pPr>
            <w:proofErr w:type="spellStart"/>
            <w:r w:rsidRPr="006D3EE8">
              <w:rPr>
                <w:szCs w:val="22"/>
                <w:lang w:val="en-GB"/>
              </w:rPr>
              <w:t>Grupa</w:t>
            </w:r>
            <w:proofErr w:type="spellEnd"/>
          </w:p>
        </w:tc>
        <w:tc>
          <w:tcPr>
            <w:tcW w:w="2501" w:type="dxa"/>
          </w:tcPr>
          <w:p w14:paraId="62130716" w14:textId="2A724816" w:rsidR="009D7C7A" w:rsidRPr="006D3EE8" w:rsidRDefault="009D7C7A" w:rsidP="00AB0C3B">
            <w:pPr>
              <w:pStyle w:val="C-TableHeader"/>
              <w:jc w:val="center"/>
              <w:rPr>
                <w:szCs w:val="22"/>
                <w:lang w:val="en-GB"/>
              </w:rPr>
            </w:pPr>
            <w:r w:rsidRPr="006D3EE8">
              <w:rPr>
                <w:szCs w:val="22"/>
                <w:lang w:val="en-GB"/>
              </w:rPr>
              <w:t>GFĀ</w:t>
            </w:r>
            <w:r w:rsidRPr="005E0100">
              <w:rPr>
                <w:szCs w:val="22"/>
                <w:lang w:val="en-GB"/>
              </w:rPr>
              <w:t xml:space="preserve"> (ml / min)</w:t>
            </w:r>
          </w:p>
        </w:tc>
        <w:tc>
          <w:tcPr>
            <w:tcW w:w="2629" w:type="dxa"/>
          </w:tcPr>
          <w:p w14:paraId="0F03C4B1" w14:textId="696EFA57" w:rsidR="009D7C7A" w:rsidRPr="006D3EE8" w:rsidRDefault="009D7C7A" w:rsidP="00AB0C3B">
            <w:pPr>
              <w:pStyle w:val="C-TableHeader"/>
              <w:jc w:val="center"/>
              <w:rPr>
                <w:szCs w:val="22"/>
                <w:lang w:val="en-GB"/>
              </w:rPr>
            </w:pPr>
            <w:r w:rsidRPr="006D3EE8">
              <w:rPr>
                <w:szCs w:val="22"/>
                <w:lang w:val="en-GB"/>
              </w:rPr>
              <w:t xml:space="preserve">Devas un </w:t>
            </w:r>
            <w:proofErr w:type="spellStart"/>
            <w:r w:rsidRPr="006D3EE8">
              <w:rPr>
                <w:szCs w:val="22"/>
                <w:lang w:val="en-GB"/>
              </w:rPr>
              <w:t>lietošanas</w:t>
            </w:r>
            <w:proofErr w:type="spellEnd"/>
            <w:r w:rsidRPr="006D3EE8">
              <w:rPr>
                <w:szCs w:val="22"/>
                <w:lang w:val="en-GB"/>
              </w:rPr>
              <w:t xml:space="preserve"> </w:t>
            </w:r>
            <w:proofErr w:type="spellStart"/>
            <w:r w:rsidRPr="006D3EE8">
              <w:rPr>
                <w:szCs w:val="22"/>
                <w:lang w:val="en-GB"/>
              </w:rPr>
              <w:t>biežums</w:t>
            </w:r>
            <w:proofErr w:type="spellEnd"/>
          </w:p>
        </w:tc>
      </w:tr>
      <w:tr w:rsidR="009D7C7A" w:rsidRPr="00856A3E" w14:paraId="31445867" w14:textId="77777777" w:rsidTr="00AB0C3B">
        <w:trPr>
          <w:jc w:val="center"/>
        </w:trPr>
        <w:tc>
          <w:tcPr>
            <w:tcW w:w="2875" w:type="dxa"/>
          </w:tcPr>
          <w:p w14:paraId="18164224" w14:textId="0CE5190E" w:rsidR="009D7C7A" w:rsidRPr="003E479E" w:rsidRDefault="009D7C7A" w:rsidP="009D7C7A">
            <w:pPr>
              <w:pStyle w:val="C-TableText"/>
            </w:pPr>
            <w:proofErr w:type="spellStart"/>
            <w:r w:rsidRPr="003936BD">
              <w:t>Normāla</w:t>
            </w:r>
            <w:proofErr w:type="spellEnd"/>
            <w:r w:rsidRPr="003936BD">
              <w:t xml:space="preserve"> </w:t>
            </w:r>
            <w:proofErr w:type="spellStart"/>
            <w:r w:rsidRPr="003936BD">
              <w:t>nieru</w:t>
            </w:r>
            <w:proofErr w:type="spellEnd"/>
            <w:r w:rsidRPr="003936BD">
              <w:t xml:space="preserve"> </w:t>
            </w:r>
            <w:proofErr w:type="spellStart"/>
            <w:r w:rsidRPr="003936BD">
              <w:t>darbība</w:t>
            </w:r>
            <w:proofErr w:type="spellEnd"/>
          </w:p>
        </w:tc>
        <w:tc>
          <w:tcPr>
            <w:tcW w:w="2501" w:type="dxa"/>
          </w:tcPr>
          <w:p w14:paraId="28F41D7F" w14:textId="77777777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 w:rsidRPr="00856A3E">
              <w:rPr>
                <w:szCs w:val="22"/>
                <w:lang w:val="en-GB"/>
              </w:rPr>
              <w:sym w:font="Symbol" w:char="F0B3"/>
            </w:r>
            <w:r>
              <w:rPr>
                <w:szCs w:val="22"/>
                <w:lang w:val="en-GB"/>
              </w:rPr>
              <w:t xml:space="preserve"> 90</w:t>
            </w:r>
          </w:p>
        </w:tc>
        <w:tc>
          <w:tcPr>
            <w:tcW w:w="2629" w:type="dxa"/>
          </w:tcPr>
          <w:p w14:paraId="381C5061" w14:textId="410145C2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 </w:t>
            </w:r>
            <w:proofErr w:type="spellStart"/>
            <w:r>
              <w:rPr>
                <w:szCs w:val="22"/>
                <w:lang w:val="en-GB"/>
              </w:rPr>
              <w:t>tablete</w:t>
            </w:r>
            <w:proofErr w:type="spellEnd"/>
            <w:r w:rsidR="005A333C">
              <w:rPr>
                <w:szCs w:val="22"/>
                <w:lang w:val="en-GB"/>
              </w:rPr>
              <w:t>*</w:t>
            </w:r>
            <w:r>
              <w:rPr>
                <w:szCs w:val="22"/>
                <w:lang w:val="en-GB"/>
              </w:rPr>
              <w:t xml:space="preserve"> 2 </w:t>
            </w:r>
            <w:proofErr w:type="spellStart"/>
            <w:r>
              <w:rPr>
                <w:szCs w:val="22"/>
                <w:lang w:val="en-GB"/>
              </w:rPr>
              <w:t>reizes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dienā</w:t>
            </w:r>
            <w:proofErr w:type="spellEnd"/>
          </w:p>
        </w:tc>
      </w:tr>
      <w:tr w:rsidR="009D7C7A" w:rsidRPr="00856A3E" w14:paraId="7857CEA9" w14:textId="77777777" w:rsidTr="00AB0C3B">
        <w:trPr>
          <w:jc w:val="center"/>
        </w:trPr>
        <w:tc>
          <w:tcPr>
            <w:tcW w:w="2875" w:type="dxa"/>
          </w:tcPr>
          <w:p w14:paraId="260045FB" w14:textId="29A0B7B7" w:rsidR="009D7C7A" w:rsidRPr="003E479E" w:rsidRDefault="00EC035F" w:rsidP="009D7C7A">
            <w:pPr>
              <w:pStyle w:val="C-TableText"/>
            </w:pPr>
            <w:proofErr w:type="spellStart"/>
            <w:r w:rsidRPr="003E479E">
              <w:t>Viegla</w:t>
            </w:r>
            <w:proofErr w:type="spellEnd"/>
            <w:r w:rsidRPr="003E479E">
              <w:t xml:space="preserve"> </w:t>
            </w:r>
            <w:proofErr w:type="spellStart"/>
            <w:r w:rsidRPr="003E479E">
              <w:t>nieru</w:t>
            </w:r>
            <w:proofErr w:type="spellEnd"/>
            <w:r w:rsidRPr="003E479E">
              <w:t xml:space="preserve"> </w:t>
            </w:r>
            <w:proofErr w:type="spellStart"/>
            <w:r w:rsidRPr="003E479E">
              <w:t>mazsp</w:t>
            </w:r>
            <w:r w:rsidRPr="003E479E">
              <w:rPr>
                <w:rFonts w:hint="eastAsia"/>
              </w:rPr>
              <w:t>ē</w:t>
            </w:r>
            <w:r w:rsidRPr="003E479E">
              <w:t>ja</w:t>
            </w:r>
            <w:proofErr w:type="spellEnd"/>
          </w:p>
        </w:tc>
        <w:tc>
          <w:tcPr>
            <w:tcW w:w="2501" w:type="dxa"/>
          </w:tcPr>
          <w:p w14:paraId="73896A80" w14:textId="77777777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</w:t>
            </w:r>
            <w:r w:rsidRPr="00856A3E">
              <w:rPr>
                <w:szCs w:val="22"/>
                <w:lang w:val="en-GB"/>
              </w:rPr>
              <w:t xml:space="preserve">0 – </w:t>
            </w:r>
            <w:r>
              <w:rPr>
                <w:szCs w:val="22"/>
                <w:lang w:val="en-GB"/>
              </w:rPr>
              <w:t xml:space="preserve">&lt; </w:t>
            </w:r>
            <w:r w:rsidRPr="00856A3E">
              <w:rPr>
                <w:szCs w:val="22"/>
                <w:lang w:val="en-GB"/>
              </w:rPr>
              <w:t>9</w:t>
            </w:r>
            <w:r>
              <w:rPr>
                <w:szCs w:val="22"/>
                <w:lang w:val="en-GB"/>
              </w:rPr>
              <w:t>0</w:t>
            </w:r>
          </w:p>
        </w:tc>
        <w:tc>
          <w:tcPr>
            <w:tcW w:w="2629" w:type="dxa"/>
          </w:tcPr>
          <w:p w14:paraId="79C792CD" w14:textId="51A8FC1E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 </w:t>
            </w:r>
            <w:proofErr w:type="spellStart"/>
            <w:r>
              <w:rPr>
                <w:szCs w:val="22"/>
                <w:lang w:val="en-GB"/>
              </w:rPr>
              <w:t>tablete</w:t>
            </w:r>
            <w:proofErr w:type="spellEnd"/>
            <w:r w:rsidR="005A333C">
              <w:rPr>
                <w:szCs w:val="22"/>
                <w:lang w:val="en-GB"/>
              </w:rPr>
              <w:t>*</w:t>
            </w:r>
            <w:r>
              <w:rPr>
                <w:szCs w:val="22"/>
                <w:lang w:val="en-GB"/>
              </w:rPr>
              <w:t xml:space="preserve"> 2 </w:t>
            </w:r>
            <w:proofErr w:type="spellStart"/>
            <w:r>
              <w:rPr>
                <w:szCs w:val="22"/>
                <w:lang w:val="en-GB"/>
              </w:rPr>
              <w:t>reizes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dienā</w:t>
            </w:r>
            <w:proofErr w:type="spellEnd"/>
          </w:p>
        </w:tc>
      </w:tr>
      <w:tr w:rsidR="009D7C7A" w:rsidRPr="00856A3E" w14:paraId="29872E12" w14:textId="77777777" w:rsidTr="00AB0C3B">
        <w:trPr>
          <w:jc w:val="center"/>
        </w:trPr>
        <w:tc>
          <w:tcPr>
            <w:tcW w:w="2875" w:type="dxa"/>
          </w:tcPr>
          <w:p w14:paraId="5BA023E7" w14:textId="15542692" w:rsidR="009D7C7A" w:rsidRPr="003E479E" w:rsidRDefault="00EC035F" w:rsidP="009D7C7A">
            <w:pPr>
              <w:pStyle w:val="C-TableText"/>
            </w:pPr>
            <w:proofErr w:type="spellStart"/>
            <w:r w:rsidRPr="003E479E">
              <w:t>M</w:t>
            </w:r>
            <w:r w:rsidRPr="003E479E">
              <w:rPr>
                <w:rFonts w:hint="eastAsia"/>
              </w:rPr>
              <w:t>ē</w:t>
            </w:r>
            <w:r w:rsidRPr="003E479E">
              <w:t>rena</w:t>
            </w:r>
            <w:proofErr w:type="spellEnd"/>
            <w:r w:rsidRPr="003E479E">
              <w:t xml:space="preserve"> </w:t>
            </w:r>
            <w:proofErr w:type="spellStart"/>
            <w:r w:rsidRPr="003E479E">
              <w:t>nieru</w:t>
            </w:r>
            <w:proofErr w:type="spellEnd"/>
            <w:r w:rsidRPr="003E479E">
              <w:t xml:space="preserve"> </w:t>
            </w:r>
            <w:proofErr w:type="spellStart"/>
            <w:r w:rsidRPr="003E479E">
              <w:t>mazsp</w:t>
            </w:r>
            <w:r w:rsidRPr="003E479E">
              <w:rPr>
                <w:rFonts w:hint="eastAsia"/>
              </w:rPr>
              <w:t>ē</w:t>
            </w:r>
            <w:r w:rsidRPr="003E479E">
              <w:t>ja</w:t>
            </w:r>
            <w:proofErr w:type="spellEnd"/>
          </w:p>
        </w:tc>
        <w:tc>
          <w:tcPr>
            <w:tcW w:w="2501" w:type="dxa"/>
          </w:tcPr>
          <w:p w14:paraId="298E2E29" w14:textId="77777777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 w:rsidRPr="00856A3E">
              <w:rPr>
                <w:szCs w:val="22"/>
                <w:lang w:val="en-GB"/>
              </w:rPr>
              <w:t xml:space="preserve">30 – </w:t>
            </w:r>
            <w:r>
              <w:rPr>
                <w:szCs w:val="22"/>
                <w:lang w:val="en-GB"/>
              </w:rPr>
              <w:t>&lt; 60</w:t>
            </w:r>
          </w:p>
        </w:tc>
        <w:tc>
          <w:tcPr>
            <w:tcW w:w="2629" w:type="dxa"/>
          </w:tcPr>
          <w:p w14:paraId="4E8D9B2F" w14:textId="5ADCDD18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 </w:t>
            </w:r>
            <w:proofErr w:type="spellStart"/>
            <w:r>
              <w:rPr>
                <w:szCs w:val="22"/>
                <w:lang w:val="en-GB"/>
              </w:rPr>
              <w:t>tablete</w:t>
            </w:r>
            <w:proofErr w:type="spellEnd"/>
            <w:r w:rsidR="005A333C">
              <w:rPr>
                <w:szCs w:val="22"/>
                <w:lang w:val="en-GB"/>
              </w:rPr>
              <w:t>*</w:t>
            </w:r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reizi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dienā</w:t>
            </w:r>
            <w:proofErr w:type="spellEnd"/>
          </w:p>
        </w:tc>
      </w:tr>
      <w:tr w:rsidR="009D7C7A" w:rsidRPr="00856A3E" w14:paraId="4AD7381B" w14:textId="77777777" w:rsidTr="00AB0C3B">
        <w:trPr>
          <w:jc w:val="center"/>
        </w:trPr>
        <w:tc>
          <w:tcPr>
            <w:tcW w:w="2875" w:type="dxa"/>
          </w:tcPr>
          <w:p w14:paraId="41FF33C4" w14:textId="26942C4E" w:rsidR="009D7C7A" w:rsidRPr="003E479E" w:rsidRDefault="00EC035F" w:rsidP="009D7C7A">
            <w:pPr>
              <w:pStyle w:val="C-TableText"/>
            </w:pPr>
            <w:proofErr w:type="spellStart"/>
            <w:r w:rsidRPr="003E479E">
              <w:t>Smaga</w:t>
            </w:r>
            <w:proofErr w:type="spellEnd"/>
            <w:r w:rsidRPr="003E479E">
              <w:t xml:space="preserve"> </w:t>
            </w:r>
            <w:proofErr w:type="spellStart"/>
            <w:r w:rsidRPr="003E479E">
              <w:t>nieru</w:t>
            </w:r>
            <w:proofErr w:type="spellEnd"/>
            <w:r w:rsidRPr="003E479E">
              <w:t xml:space="preserve"> </w:t>
            </w:r>
            <w:proofErr w:type="spellStart"/>
            <w:r w:rsidRPr="003E479E">
              <w:t>mazsp</w:t>
            </w:r>
            <w:r w:rsidRPr="003E479E">
              <w:rPr>
                <w:rFonts w:hint="eastAsia"/>
              </w:rPr>
              <w:t>ē</w:t>
            </w:r>
            <w:r w:rsidRPr="003E479E">
              <w:t>ja</w:t>
            </w:r>
            <w:proofErr w:type="spellEnd"/>
          </w:p>
        </w:tc>
        <w:tc>
          <w:tcPr>
            <w:tcW w:w="2501" w:type="dxa"/>
          </w:tcPr>
          <w:p w14:paraId="7671CE20" w14:textId="7406E6E5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15 - </w:t>
            </w:r>
            <w:r w:rsidRPr="00856A3E">
              <w:rPr>
                <w:szCs w:val="22"/>
                <w:lang w:val="en-GB"/>
              </w:rPr>
              <w:t>&lt; 30</w:t>
            </w:r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dialīze</w:t>
            </w:r>
            <w:proofErr w:type="spellEnd"/>
            <w:r>
              <w:rPr>
                <w:szCs w:val="22"/>
                <w:lang w:val="en-GB"/>
              </w:rPr>
              <w:t xml:space="preserve"> nav </w:t>
            </w:r>
            <w:proofErr w:type="spellStart"/>
            <w:r>
              <w:rPr>
                <w:szCs w:val="22"/>
                <w:lang w:val="en-GB"/>
              </w:rPr>
              <w:t>nepieciešama</w:t>
            </w:r>
            <w:proofErr w:type="spellEnd"/>
          </w:p>
        </w:tc>
        <w:tc>
          <w:tcPr>
            <w:tcW w:w="2629" w:type="dxa"/>
          </w:tcPr>
          <w:p w14:paraId="06FD9F5C" w14:textId="661AC585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 </w:t>
            </w:r>
            <w:proofErr w:type="spellStart"/>
            <w:r>
              <w:rPr>
                <w:szCs w:val="22"/>
                <w:lang w:val="en-GB"/>
              </w:rPr>
              <w:t>tablete</w:t>
            </w:r>
            <w:proofErr w:type="spellEnd"/>
            <w:r w:rsidR="005A333C">
              <w:rPr>
                <w:szCs w:val="22"/>
                <w:lang w:val="en-GB"/>
              </w:rPr>
              <w:t>*</w:t>
            </w:r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reizi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divās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dienas</w:t>
            </w:r>
            <w:proofErr w:type="spellEnd"/>
          </w:p>
        </w:tc>
      </w:tr>
      <w:tr w:rsidR="009D7C7A" w:rsidRPr="00856A3E" w14:paraId="232D8519" w14:textId="77777777" w:rsidTr="00AB0C3B">
        <w:trPr>
          <w:jc w:val="center"/>
        </w:trPr>
        <w:tc>
          <w:tcPr>
            <w:tcW w:w="2875" w:type="dxa"/>
          </w:tcPr>
          <w:p w14:paraId="3D9039AD" w14:textId="01F6E21C" w:rsidR="009D7C7A" w:rsidRPr="003E479E" w:rsidRDefault="009D7C7A" w:rsidP="009D7C7A">
            <w:pPr>
              <w:pStyle w:val="C-TableText"/>
            </w:pPr>
            <w:proofErr w:type="spellStart"/>
            <w:r w:rsidRPr="003936BD">
              <w:t>Nieru</w:t>
            </w:r>
            <w:proofErr w:type="spellEnd"/>
            <w:r w:rsidRPr="003936BD">
              <w:t xml:space="preserve"> </w:t>
            </w:r>
            <w:proofErr w:type="spellStart"/>
            <w:r w:rsidR="00EC035F">
              <w:t>mazspēja</w:t>
            </w:r>
            <w:proofErr w:type="spellEnd"/>
            <w:r w:rsidRPr="003936BD">
              <w:t xml:space="preserve"> </w:t>
            </w:r>
            <w:proofErr w:type="spellStart"/>
            <w:r w:rsidRPr="003936BD">
              <w:t>beigu</w:t>
            </w:r>
            <w:proofErr w:type="spellEnd"/>
            <w:r w:rsidRPr="003936BD">
              <w:t xml:space="preserve"> </w:t>
            </w:r>
            <w:proofErr w:type="spellStart"/>
            <w:r w:rsidRPr="003936BD">
              <w:t>stadijā</w:t>
            </w:r>
            <w:proofErr w:type="spellEnd"/>
          </w:p>
        </w:tc>
        <w:tc>
          <w:tcPr>
            <w:tcW w:w="2501" w:type="dxa"/>
          </w:tcPr>
          <w:p w14:paraId="610181D4" w14:textId="4ED5DAB3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 w:rsidRPr="00856A3E">
              <w:rPr>
                <w:szCs w:val="22"/>
                <w:lang w:val="en-GB"/>
              </w:rPr>
              <w:t>&lt; 1</w:t>
            </w:r>
            <w:r>
              <w:rPr>
                <w:szCs w:val="22"/>
                <w:lang w:val="en-GB"/>
              </w:rPr>
              <w:t xml:space="preserve">5 </w:t>
            </w:r>
            <w:proofErr w:type="spellStart"/>
            <w:r>
              <w:rPr>
                <w:szCs w:val="22"/>
                <w:lang w:val="en-GB"/>
              </w:rPr>
              <w:t>ir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nepieciešama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dialīze</w:t>
            </w:r>
            <w:proofErr w:type="spellEnd"/>
          </w:p>
        </w:tc>
        <w:tc>
          <w:tcPr>
            <w:tcW w:w="2629" w:type="dxa"/>
          </w:tcPr>
          <w:p w14:paraId="11DE9602" w14:textId="4A3CF626" w:rsidR="009D7C7A" w:rsidRPr="00856A3E" w:rsidRDefault="009D7C7A" w:rsidP="009D7C7A">
            <w:pPr>
              <w:pStyle w:val="C-TableText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Kontrindicēts</w:t>
            </w:r>
          </w:p>
        </w:tc>
      </w:tr>
    </w:tbl>
    <w:p w14:paraId="4901A181" w14:textId="7D8F070C" w:rsidR="009D7C7A" w:rsidRPr="00033B8B" w:rsidRDefault="005A333C" w:rsidP="00033B8B">
      <w:pPr>
        <w:pStyle w:val="Default"/>
        <w:rPr>
          <w:sz w:val="22"/>
          <w:szCs w:val="22"/>
          <w:lang w:val="lv-LV"/>
        </w:rPr>
      </w:pPr>
      <w:r w:rsidRPr="005A333C">
        <w:rPr>
          <w:sz w:val="22"/>
          <w:szCs w:val="22"/>
          <w:lang w:val="lv-LV"/>
        </w:rPr>
        <w:t>*1</w:t>
      </w:r>
      <w:r>
        <w:rPr>
          <w:sz w:val="22"/>
          <w:szCs w:val="22"/>
          <w:lang w:val="lv-LV"/>
        </w:rPr>
        <w:t> </w:t>
      </w:r>
      <w:r w:rsidRPr="005A333C">
        <w:rPr>
          <w:sz w:val="22"/>
          <w:szCs w:val="22"/>
          <w:lang w:val="lv-LV"/>
        </w:rPr>
        <w:t>tablete satur 5</w:t>
      </w:r>
      <w:r>
        <w:rPr>
          <w:sz w:val="22"/>
          <w:szCs w:val="22"/>
          <w:lang w:val="lv-LV"/>
        </w:rPr>
        <w:t> </w:t>
      </w:r>
      <w:r w:rsidRPr="005A333C">
        <w:rPr>
          <w:sz w:val="22"/>
          <w:szCs w:val="22"/>
          <w:lang w:val="lv-LV"/>
        </w:rPr>
        <w:t>mg cetirizīna dihidrohlorīda un 120</w:t>
      </w:r>
      <w:r>
        <w:rPr>
          <w:sz w:val="22"/>
          <w:szCs w:val="22"/>
          <w:lang w:val="lv-LV"/>
        </w:rPr>
        <w:t> </w:t>
      </w:r>
      <w:r w:rsidRPr="005A333C">
        <w:rPr>
          <w:sz w:val="22"/>
          <w:szCs w:val="22"/>
          <w:lang w:val="lv-LV"/>
        </w:rPr>
        <w:t>mg pseidoefedrīna hidrohlorīda</w:t>
      </w:r>
      <w:r>
        <w:rPr>
          <w:sz w:val="22"/>
          <w:szCs w:val="22"/>
          <w:lang w:val="lv-LV"/>
        </w:rPr>
        <w:t>.</w:t>
      </w:r>
    </w:p>
    <w:p w14:paraId="44C2BA48" w14:textId="77777777" w:rsidR="00F819C2" w:rsidRPr="00033B8B" w:rsidRDefault="00F819C2" w:rsidP="005261BA">
      <w:pPr>
        <w:pStyle w:val="Default"/>
        <w:rPr>
          <w:sz w:val="22"/>
          <w:szCs w:val="22"/>
          <w:lang w:val="lv-LV"/>
        </w:rPr>
      </w:pPr>
    </w:p>
    <w:p w14:paraId="7D714341" w14:textId="77777777" w:rsidR="00F819C2" w:rsidRPr="00033B8B" w:rsidRDefault="00F819C2" w:rsidP="00C50FF4">
      <w:pPr>
        <w:pStyle w:val="Default"/>
        <w:rPr>
          <w:i/>
          <w:sz w:val="22"/>
          <w:szCs w:val="22"/>
          <w:u w:val="single"/>
          <w:lang w:val="lv-LV"/>
        </w:rPr>
      </w:pPr>
      <w:r w:rsidRPr="00033B8B">
        <w:rPr>
          <w:i/>
          <w:sz w:val="22"/>
          <w:szCs w:val="22"/>
          <w:u w:val="single"/>
          <w:lang w:val="lv-LV"/>
        </w:rPr>
        <w:t>Aknu darbības traucējumi</w:t>
      </w:r>
    </w:p>
    <w:p w14:paraId="7D2E126A" w14:textId="77777777" w:rsidR="00F819C2" w:rsidRPr="00033B8B" w:rsidRDefault="00C54FD6" w:rsidP="00033B8B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Vidēji smagas</w:t>
      </w:r>
      <w:r w:rsidRPr="00033B8B" w:rsidDel="00C54FD6">
        <w:rPr>
          <w:sz w:val="22"/>
          <w:szCs w:val="22"/>
          <w:lang w:val="lv-LV"/>
        </w:rPr>
        <w:t xml:space="preserve"> </w:t>
      </w:r>
      <w:r w:rsidR="00F819C2" w:rsidRPr="00033B8B">
        <w:rPr>
          <w:sz w:val="22"/>
          <w:szCs w:val="22"/>
          <w:lang w:val="lv-LV"/>
        </w:rPr>
        <w:t>aknu mazspējas gadījumā dev</w:t>
      </w:r>
      <w:r w:rsidR="00D45313" w:rsidRPr="00033B8B">
        <w:rPr>
          <w:sz w:val="22"/>
          <w:szCs w:val="22"/>
          <w:lang w:val="lv-LV"/>
        </w:rPr>
        <w:t>a</w:t>
      </w:r>
      <w:r w:rsidR="00F819C2" w:rsidRPr="00033B8B">
        <w:rPr>
          <w:sz w:val="22"/>
          <w:szCs w:val="22"/>
          <w:lang w:val="lv-LV"/>
        </w:rPr>
        <w:t xml:space="preserve"> jāsamazina līdz 1 </w:t>
      </w:r>
      <w:r w:rsidR="00FB7277" w:rsidRPr="00033B8B">
        <w:rPr>
          <w:sz w:val="22"/>
          <w:szCs w:val="22"/>
          <w:lang w:val="lv-LV"/>
        </w:rPr>
        <w:t>tabletei dienā.</w:t>
      </w:r>
    </w:p>
    <w:p w14:paraId="6B856BCF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7885D56A" w14:textId="77777777" w:rsidR="002F515E" w:rsidRPr="00033B8B" w:rsidRDefault="002F515E" w:rsidP="00C50FF4">
      <w:pPr>
        <w:pStyle w:val="Default"/>
        <w:rPr>
          <w:bCs/>
          <w:i/>
          <w:sz w:val="22"/>
          <w:szCs w:val="22"/>
          <w:u w:val="single"/>
          <w:lang w:val="lv-LV"/>
        </w:rPr>
      </w:pPr>
      <w:r w:rsidRPr="00033B8B">
        <w:rPr>
          <w:bCs/>
          <w:i/>
          <w:sz w:val="22"/>
          <w:szCs w:val="22"/>
          <w:u w:val="single"/>
          <w:lang w:val="lv-LV"/>
        </w:rPr>
        <w:t>Pediatriskā populācija</w:t>
      </w:r>
    </w:p>
    <w:p w14:paraId="41592F08" w14:textId="77777777" w:rsidR="002F515E" w:rsidRPr="00033B8B" w:rsidRDefault="00C54FD6" w:rsidP="00033B8B">
      <w:pPr>
        <w:pStyle w:val="Default"/>
        <w:rPr>
          <w:bCs/>
          <w:sz w:val="22"/>
          <w:szCs w:val="22"/>
          <w:lang w:val="lv-LV"/>
        </w:rPr>
      </w:pPr>
      <w:r w:rsidRPr="00033B8B">
        <w:rPr>
          <w:bCs/>
          <w:sz w:val="22"/>
          <w:szCs w:val="22"/>
          <w:lang w:val="lv-LV"/>
        </w:rPr>
        <w:t xml:space="preserve">Pusaudži </w:t>
      </w:r>
      <w:r w:rsidR="00BD61DC" w:rsidRPr="00033B8B">
        <w:rPr>
          <w:bCs/>
          <w:sz w:val="22"/>
          <w:szCs w:val="22"/>
          <w:lang w:val="lv-LV"/>
        </w:rPr>
        <w:t xml:space="preserve">vecumā </w:t>
      </w:r>
      <w:r w:rsidR="00A722D2" w:rsidRPr="00033B8B">
        <w:rPr>
          <w:bCs/>
          <w:sz w:val="22"/>
          <w:szCs w:val="22"/>
          <w:lang w:val="lv-LV"/>
        </w:rPr>
        <w:t>no</w:t>
      </w:r>
      <w:r w:rsidR="0036130A" w:rsidRPr="00033B8B">
        <w:rPr>
          <w:bCs/>
          <w:sz w:val="22"/>
          <w:szCs w:val="22"/>
          <w:lang w:val="lv-LV"/>
        </w:rPr>
        <w:t xml:space="preserve"> 12</w:t>
      </w:r>
      <w:r w:rsidR="009B1CED" w:rsidRPr="00033B8B">
        <w:rPr>
          <w:sz w:val="22"/>
          <w:szCs w:val="22"/>
          <w:lang w:val="lv-LV"/>
        </w:rPr>
        <w:t> </w:t>
      </w:r>
      <w:r w:rsidR="0036130A" w:rsidRPr="00033B8B">
        <w:rPr>
          <w:bCs/>
          <w:sz w:val="22"/>
          <w:szCs w:val="22"/>
          <w:lang w:val="lv-LV"/>
        </w:rPr>
        <w:t>gadiem</w:t>
      </w:r>
      <w:r w:rsidR="00A722D2" w:rsidRPr="00033B8B">
        <w:rPr>
          <w:bCs/>
          <w:sz w:val="22"/>
          <w:szCs w:val="22"/>
          <w:lang w:val="lv-LV"/>
        </w:rPr>
        <w:t xml:space="preserve"> un vecāki</w:t>
      </w:r>
      <w:r w:rsidR="0036130A" w:rsidRPr="00033B8B">
        <w:rPr>
          <w:bCs/>
          <w:sz w:val="22"/>
          <w:szCs w:val="22"/>
          <w:lang w:val="lv-LV"/>
        </w:rPr>
        <w:t xml:space="preserve">: pa vienai tabletei divas reizes dienā (no rīta un vakarā), </w:t>
      </w:r>
      <w:r w:rsidR="00A722D2" w:rsidRPr="00033B8B">
        <w:rPr>
          <w:bCs/>
          <w:sz w:val="22"/>
          <w:szCs w:val="22"/>
          <w:lang w:val="lv-LV"/>
        </w:rPr>
        <w:t>neatkarīgi no</w:t>
      </w:r>
      <w:r w:rsidR="00032C45" w:rsidRPr="00033B8B">
        <w:rPr>
          <w:bCs/>
          <w:sz w:val="22"/>
          <w:szCs w:val="22"/>
          <w:lang w:val="lv-LV"/>
        </w:rPr>
        <w:t xml:space="preserve"> ēdienreizes.</w:t>
      </w:r>
    </w:p>
    <w:p w14:paraId="156E1290" w14:textId="77777777" w:rsidR="00032C45" w:rsidRPr="00033B8B" w:rsidRDefault="00032C45" w:rsidP="005261BA">
      <w:pPr>
        <w:pStyle w:val="Default"/>
        <w:rPr>
          <w:bCs/>
          <w:sz w:val="22"/>
          <w:szCs w:val="22"/>
          <w:lang w:val="lv-LV"/>
        </w:rPr>
      </w:pPr>
    </w:p>
    <w:p w14:paraId="3ACACAD2" w14:textId="77777777" w:rsidR="00032C45" w:rsidRPr="00033B8B" w:rsidRDefault="00032C45" w:rsidP="00033B8B">
      <w:pPr>
        <w:pStyle w:val="Default"/>
        <w:rPr>
          <w:bCs/>
          <w:sz w:val="22"/>
          <w:szCs w:val="22"/>
          <w:lang w:val="lv-LV"/>
        </w:rPr>
      </w:pPr>
      <w:r w:rsidRPr="00033B8B">
        <w:rPr>
          <w:bCs/>
          <w:sz w:val="22"/>
          <w:szCs w:val="22"/>
          <w:lang w:val="lv-LV"/>
        </w:rPr>
        <w:t>Bērni, kuri jaunāki par 12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bCs/>
          <w:sz w:val="22"/>
          <w:szCs w:val="22"/>
          <w:lang w:val="lv-LV"/>
        </w:rPr>
        <w:t xml:space="preserve">gadiem: šo zāļu lietošana ir kontrindicēta (skatīt </w:t>
      </w:r>
      <w:r w:rsidR="00D45313" w:rsidRPr="00033B8B">
        <w:rPr>
          <w:bCs/>
          <w:sz w:val="22"/>
          <w:szCs w:val="22"/>
          <w:lang w:val="lv-LV"/>
        </w:rPr>
        <w:t>4.3</w:t>
      </w:r>
      <w:r w:rsidR="0079317F" w:rsidRPr="00033B8B">
        <w:rPr>
          <w:bCs/>
          <w:sz w:val="22"/>
          <w:szCs w:val="22"/>
          <w:lang w:val="lv-LV"/>
        </w:rPr>
        <w:t>.</w:t>
      </w:r>
      <w:r w:rsidR="00D45313" w:rsidRPr="00033B8B">
        <w:rPr>
          <w:bCs/>
          <w:sz w:val="22"/>
          <w:szCs w:val="22"/>
          <w:lang w:val="lv-LV"/>
        </w:rPr>
        <w:t xml:space="preserve"> un 4.4</w:t>
      </w:r>
      <w:r w:rsidR="0079317F" w:rsidRPr="00033B8B">
        <w:rPr>
          <w:bCs/>
          <w:sz w:val="22"/>
          <w:szCs w:val="22"/>
          <w:lang w:val="lv-LV"/>
        </w:rPr>
        <w:t>. </w:t>
      </w:r>
      <w:r w:rsidRPr="00033B8B">
        <w:rPr>
          <w:bCs/>
          <w:sz w:val="22"/>
          <w:szCs w:val="22"/>
          <w:lang w:val="lv-LV"/>
        </w:rPr>
        <w:t>apakšpunkt</w:t>
      </w:r>
      <w:r w:rsidR="006977EC" w:rsidRPr="00033B8B">
        <w:rPr>
          <w:bCs/>
          <w:sz w:val="22"/>
          <w:szCs w:val="22"/>
          <w:lang w:val="lv-LV"/>
        </w:rPr>
        <w:t>u</w:t>
      </w:r>
      <w:r w:rsidRPr="00033B8B">
        <w:rPr>
          <w:bCs/>
          <w:sz w:val="22"/>
          <w:szCs w:val="22"/>
          <w:lang w:val="lv-LV"/>
        </w:rPr>
        <w:t>).</w:t>
      </w:r>
    </w:p>
    <w:p w14:paraId="10D3B016" w14:textId="77777777" w:rsidR="00032C45" w:rsidRPr="00033B8B" w:rsidRDefault="00032C45" w:rsidP="005261BA">
      <w:pPr>
        <w:pStyle w:val="Default"/>
        <w:rPr>
          <w:bCs/>
          <w:sz w:val="22"/>
          <w:szCs w:val="22"/>
          <w:lang w:val="lv-LV"/>
        </w:rPr>
      </w:pPr>
    </w:p>
    <w:p w14:paraId="2416EEA5" w14:textId="77777777" w:rsidR="005261BA" w:rsidRPr="00033B8B" w:rsidRDefault="00FB7277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Kontrindikācijas</w:t>
      </w:r>
    </w:p>
    <w:p w14:paraId="1ECE01B1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60239D4B" w14:textId="77777777" w:rsidR="005261BA" w:rsidRPr="00033B8B" w:rsidRDefault="002144E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</w:t>
      </w:r>
      <w:r w:rsidR="00860B60" w:rsidRPr="00033B8B">
        <w:rPr>
          <w:sz w:val="22"/>
          <w:szCs w:val="22"/>
          <w:lang w:val="lv-LV"/>
        </w:rPr>
        <w:t>s</w:t>
      </w:r>
      <w:r w:rsidRPr="00033B8B">
        <w:rPr>
          <w:sz w:val="22"/>
          <w:szCs w:val="22"/>
          <w:lang w:val="lv-LV"/>
        </w:rPr>
        <w:t>-</w:t>
      </w:r>
      <w:r w:rsidR="001975B3" w:rsidRPr="00033B8B">
        <w:rPr>
          <w:sz w:val="22"/>
          <w:szCs w:val="22"/>
          <w:lang w:val="lv-LV"/>
        </w:rPr>
        <w:t xml:space="preserve">pseidoefedrīns </w:t>
      </w:r>
      <w:r w:rsidR="005261BA" w:rsidRPr="00033B8B">
        <w:rPr>
          <w:sz w:val="22"/>
          <w:szCs w:val="22"/>
          <w:lang w:val="lv-LV"/>
        </w:rPr>
        <w:t>ir kontrindicēts</w:t>
      </w:r>
      <w:r w:rsidR="00AF7426" w:rsidRPr="00033B8B">
        <w:rPr>
          <w:sz w:val="22"/>
          <w:szCs w:val="22"/>
          <w:lang w:val="lv-LV"/>
        </w:rPr>
        <w:t xml:space="preserve"> pacientiem ar</w:t>
      </w:r>
      <w:r w:rsidR="00FB7277" w:rsidRPr="00033B8B">
        <w:rPr>
          <w:sz w:val="22"/>
          <w:szCs w:val="22"/>
          <w:lang w:val="lv-LV"/>
        </w:rPr>
        <w:t>:</w:t>
      </w:r>
    </w:p>
    <w:p w14:paraId="515636B6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paaugstināt</w:t>
      </w:r>
      <w:r w:rsidR="006F47CC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 xml:space="preserve"> jutīb</w:t>
      </w:r>
      <w:r w:rsidR="006F47CC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 xml:space="preserve"> pret </w:t>
      </w:r>
      <w:r w:rsidR="00C54FD6" w:rsidRPr="00033B8B">
        <w:rPr>
          <w:sz w:val="22"/>
          <w:szCs w:val="22"/>
          <w:lang w:val="lv-LV"/>
        </w:rPr>
        <w:t>aktīvajām vielām vai jebkuru no 6.1. apakšpunktā uzskaitītajām palīgvielām</w:t>
      </w:r>
      <w:r w:rsidRPr="00033B8B">
        <w:rPr>
          <w:sz w:val="22"/>
          <w:szCs w:val="22"/>
          <w:lang w:val="lv-LV"/>
        </w:rPr>
        <w:t>, efedrīnu vai kādu citu piperazīn</w:t>
      </w:r>
      <w:r w:rsidR="00C54FD6" w:rsidRPr="00033B8B">
        <w:rPr>
          <w:sz w:val="22"/>
          <w:szCs w:val="22"/>
          <w:lang w:val="lv-LV"/>
        </w:rPr>
        <w:t>a atvasinājumu;</w:t>
      </w:r>
      <w:r w:rsidR="00E00CC2" w:rsidRPr="00033B8B">
        <w:rPr>
          <w:sz w:val="22"/>
          <w:szCs w:val="22"/>
          <w:lang w:val="lv-LV"/>
        </w:rPr>
        <w:t xml:space="preserve"> </w:t>
      </w:r>
    </w:p>
    <w:p w14:paraId="737DD69B" w14:textId="77777777" w:rsidR="00C56B5F" w:rsidRPr="00033B8B" w:rsidRDefault="00E7301F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smagu hipertensiju vai smagas koronāro artēriju slimības gadījumā</w:t>
      </w:r>
      <w:r w:rsidR="00C54FD6" w:rsidRPr="00033B8B">
        <w:rPr>
          <w:sz w:val="22"/>
          <w:szCs w:val="22"/>
          <w:lang w:val="lv-LV"/>
        </w:rPr>
        <w:t>;</w:t>
      </w:r>
    </w:p>
    <w:p w14:paraId="3D9EE721" w14:textId="5BB1BC55" w:rsidR="006F47CC" w:rsidRPr="00033B8B" w:rsidRDefault="009D7C7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9D7C7A">
        <w:rPr>
          <w:sz w:val="22"/>
          <w:szCs w:val="22"/>
          <w:lang w:val="lv-LV"/>
        </w:rPr>
        <w:t xml:space="preserve">nieru </w:t>
      </w:r>
      <w:r w:rsidR="00EC035F">
        <w:rPr>
          <w:sz w:val="22"/>
          <w:szCs w:val="22"/>
          <w:lang w:val="lv-LV"/>
        </w:rPr>
        <w:t>mazspēja</w:t>
      </w:r>
      <w:r w:rsidRPr="009D7C7A">
        <w:rPr>
          <w:sz w:val="22"/>
          <w:szCs w:val="22"/>
          <w:lang w:val="lv-LV"/>
        </w:rPr>
        <w:t xml:space="preserve"> beigu stadij</w:t>
      </w:r>
      <w:r w:rsidR="006D3EE8">
        <w:rPr>
          <w:sz w:val="22"/>
          <w:szCs w:val="22"/>
          <w:lang w:val="lv-LV"/>
        </w:rPr>
        <w:t>ā</w:t>
      </w:r>
      <w:r w:rsidRPr="009D7C7A">
        <w:rPr>
          <w:sz w:val="22"/>
          <w:szCs w:val="22"/>
          <w:lang w:val="lv-LV"/>
        </w:rPr>
        <w:t xml:space="preserve"> </w:t>
      </w:r>
      <w:r w:rsidRPr="003E479E">
        <w:rPr>
          <w:sz w:val="22"/>
          <w:szCs w:val="22"/>
          <w:lang w:val="lv-LV"/>
        </w:rPr>
        <w:t>(glomerulārās filtrācijas ātrums (GFĀ) &lt;</w:t>
      </w:r>
      <w:r>
        <w:rPr>
          <w:sz w:val="22"/>
          <w:szCs w:val="22"/>
          <w:lang w:val="lv-LV"/>
        </w:rPr>
        <w:t>15</w:t>
      </w:r>
      <w:r w:rsidRPr="003E479E">
        <w:rPr>
          <w:sz w:val="22"/>
          <w:szCs w:val="22"/>
          <w:lang w:val="lv-LV"/>
        </w:rPr>
        <w:t> ml/min</w:t>
      </w:r>
      <w:r>
        <w:rPr>
          <w:sz w:val="22"/>
          <w:szCs w:val="22"/>
          <w:lang w:val="lv-LV"/>
        </w:rPr>
        <w:t>)</w:t>
      </w:r>
      <w:r w:rsidR="00C54FD6" w:rsidRPr="00033B8B">
        <w:rPr>
          <w:sz w:val="22"/>
          <w:szCs w:val="22"/>
          <w:lang w:val="lv-LV"/>
        </w:rPr>
        <w:t>;</w:t>
      </w:r>
    </w:p>
    <w:p w14:paraId="1415A958" w14:textId="77777777" w:rsidR="006F47CC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nekontrolēt</w:t>
      </w:r>
      <w:r w:rsidR="006F47CC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 xml:space="preserve"> hipertireoz</w:t>
      </w:r>
      <w:r w:rsidR="006F47CC" w:rsidRPr="00033B8B">
        <w:rPr>
          <w:sz w:val="22"/>
          <w:szCs w:val="22"/>
          <w:lang w:val="lv-LV"/>
        </w:rPr>
        <w:t>i</w:t>
      </w:r>
      <w:r w:rsidR="00C54FD6" w:rsidRPr="00033B8B">
        <w:rPr>
          <w:sz w:val="22"/>
          <w:szCs w:val="22"/>
          <w:lang w:val="lv-LV"/>
        </w:rPr>
        <w:t>;</w:t>
      </w:r>
    </w:p>
    <w:p w14:paraId="1E0E4BF8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smag</w:t>
      </w:r>
      <w:r w:rsidR="006F47CC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 xml:space="preserve"> sirds aritmij</w:t>
      </w:r>
      <w:r w:rsidR="006F47CC" w:rsidRPr="00033B8B">
        <w:rPr>
          <w:sz w:val="22"/>
          <w:szCs w:val="22"/>
          <w:lang w:val="lv-LV"/>
        </w:rPr>
        <w:t>u</w:t>
      </w:r>
      <w:r w:rsidR="00C54FD6" w:rsidRPr="00033B8B">
        <w:rPr>
          <w:sz w:val="22"/>
          <w:szCs w:val="22"/>
          <w:lang w:val="lv-LV"/>
        </w:rPr>
        <w:t>;</w:t>
      </w:r>
      <w:r w:rsidRPr="00033B8B">
        <w:rPr>
          <w:sz w:val="22"/>
          <w:szCs w:val="22"/>
          <w:lang w:val="lv-LV"/>
        </w:rPr>
        <w:t xml:space="preserve"> </w:t>
      </w:r>
    </w:p>
    <w:p w14:paraId="25852902" w14:textId="77777777" w:rsidR="006F47CC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feohromocitom</w:t>
      </w:r>
      <w:r w:rsidR="006F47CC" w:rsidRPr="00033B8B">
        <w:rPr>
          <w:sz w:val="22"/>
          <w:szCs w:val="22"/>
          <w:lang w:val="lv-LV"/>
        </w:rPr>
        <w:t>u</w:t>
      </w:r>
      <w:r w:rsidR="00C54FD6" w:rsidRPr="00033B8B">
        <w:rPr>
          <w:sz w:val="22"/>
          <w:szCs w:val="22"/>
          <w:lang w:val="lv-LV"/>
        </w:rPr>
        <w:t>;</w:t>
      </w:r>
    </w:p>
    <w:p w14:paraId="0083093F" w14:textId="77777777" w:rsidR="006F47CC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paaugstināt</w:t>
      </w:r>
      <w:r w:rsidR="006F47CC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 xml:space="preserve"> intraokulār</w:t>
      </w:r>
      <w:r w:rsidR="006F47CC" w:rsidRPr="00033B8B">
        <w:rPr>
          <w:sz w:val="22"/>
          <w:szCs w:val="22"/>
          <w:lang w:val="lv-LV"/>
        </w:rPr>
        <w:t>o</w:t>
      </w:r>
      <w:r w:rsidRPr="00033B8B">
        <w:rPr>
          <w:sz w:val="22"/>
          <w:szCs w:val="22"/>
          <w:lang w:val="lv-LV"/>
        </w:rPr>
        <w:t xml:space="preserve"> spiedien</w:t>
      </w:r>
      <w:r w:rsidR="006F47CC" w:rsidRPr="00033B8B">
        <w:rPr>
          <w:sz w:val="22"/>
          <w:szCs w:val="22"/>
          <w:lang w:val="lv-LV"/>
        </w:rPr>
        <w:t>u</w:t>
      </w:r>
      <w:r w:rsidR="00C54FD6" w:rsidRPr="00033B8B">
        <w:rPr>
          <w:sz w:val="22"/>
          <w:szCs w:val="22"/>
          <w:lang w:val="lv-LV"/>
        </w:rPr>
        <w:t>;</w:t>
      </w:r>
    </w:p>
    <w:p w14:paraId="3E066F5B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urīna aiztur</w:t>
      </w:r>
      <w:r w:rsidR="006F47CC" w:rsidRPr="00033B8B">
        <w:rPr>
          <w:sz w:val="22"/>
          <w:szCs w:val="22"/>
          <w:lang w:val="lv-LV"/>
        </w:rPr>
        <w:t>i</w:t>
      </w:r>
      <w:r w:rsidR="00C54FD6" w:rsidRPr="00033B8B">
        <w:rPr>
          <w:sz w:val="22"/>
          <w:szCs w:val="22"/>
          <w:lang w:val="lv-LV"/>
        </w:rPr>
        <w:t>;</w:t>
      </w:r>
    </w:p>
    <w:p w14:paraId="17EADC1D" w14:textId="77777777" w:rsidR="005261BA" w:rsidRPr="00033B8B" w:rsidRDefault="00F66350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insultu </w:t>
      </w:r>
      <w:r w:rsidR="005261BA" w:rsidRPr="00033B8B">
        <w:rPr>
          <w:sz w:val="22"/>
          <w:szCs w:val="22"/>
          <w:lang w:val="lv-LV"/>
        </w:rPr>
        <w:t>anamnēzē</w:t>
      </w:r>
      <w:r w:rsidR="00C54FD6" w:rsidRPr="00033B8B">
        <w:rPr>
          <w:sz w:val="22"/>
          <w:szCs w:val="22"/>
          <w:lang w:val="lv-LV"/>
        </w:rPr>
        <w:t>;</w:t>
      </w:r>
    </w:p>
    <w:p w14:paraId="280B129D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paaugstinātu hemorāģiskā insulta risku</w:t>
      </w:r>
      <w:r w:rsidR="00A722D2" w:rsidRPr="00033B8B">
        <w:rPr>
          <w:sz w:val="22"/>
          <w:szCs w:val="22"/>
          <w:lang w:val="lv-LV"/>
        </w:rPr>
        <w:t>.</w:t>
      </w:r>
    </w:p>
    <w:p w14:paraId="4BD5CEDA" w14:textId="77777777" w:rsidR="00C56B5F" w:rsidRPr="00033B8B" w:rsidRDefault="00C56B5F" w:rsidP="00D669B2">
      <w:pPr>
        <w:pStyle w:val="Default"/>
        <w:rPr>
          <w:sz w:val="22"/>
          <w:szCs w:val="22"/>
          <w:lang w:val="lv-LV"/>
        </w:rPr>
      </w:pPr>
    </w:p>
    <w:p w14:paraId="646D556A" w14:textId="77777777" w:rsidR="006F47CC" w:rsidRPr="00033B8B" w:rsidRDefault="002144E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</w:t>
      </w:r>
      <w:r w:rsidR="00860B60" w:rsidRPr="00033B8B">
        <w:rPr>
          <w:sz w:val="22"/>
          <w:szCs w:val="22"/>
          <w:lang w:val="lv-LV"/>
        </w:rPr>
        <w:t>s</w:t>
      </w:r>
      <w:r w:rsidRPr="00033B8B">
        <w:rPr>
          <w:sz w:val="22"/>
          <w:szCs w:val="22"/>
          <w:lang w:val="lv-LV"/>
        </w:rPr>
        <w:t>-</w:t>
      </w:r>
      <w:r w:rsidR="009A3942" w:rsidRPr="00033B8B">
        <w:rPr>
          <w:sz w:val="22"/>
          <w:szCs w:val="22"/>
          <w:lang w:val="lv-LV"/>
        </w:rPr>
        <w:t>pseidoefedrīns ir kontrindicēts pacientiem, kuri vienlaicīgi tiek ārstēti ar:</w:t>
      </w:r>
    </w:p>
    <w:p w14:paraId="5172A3A4" w14:textId="77777777" w:rsidR="009A3942" w:rsidRPr="00033B8B" w:rsidRDefault="009A3942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dihidroergotamīnu</w:t>
      </w:r>
      <w:r w:rsidR="002411BD">
        <w:rPr>
          <w:sz w:val="22"/>
          <w:szCs w:val="22"/>
          <w:lang w:val="lv-LV"/>
        </w:rPr>
        <w:t>,</w:t>
      </w:r>
    </w:p>
    <w:p w14:paraId="35FCA624" w14:textId="77777777" w:rsidR="009A3942" w:rsidRPr="00033B8B" w:rsidRDefault="00A722D2" w:rsidP="00A722D2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monoamīnoksidāzes inhibitoriem (</w:t>
      </w:r>
      <w:r w:rsidR="009A3942" w:rsidRPr="00033B8B">
        <w:rPr>
          <w:sz w:val="22"/>
          <w:szCs w:val="22"/>
          <w:lang w:val="lv-LV"/>
        </w:rPr>
        <w:t>MAOI</w:t>
      </w:r>
      <w:r w:rsidRPr="00033B8B">
        <w:rPr>
          <w:sz w:val="22"/>
          <w:szCs w:val="22"/>
          <w:lang w:val="lv-LV"/>
        </w:rPr>
        <w:t>)</w:t>
      </w:r>
      <w:r w:rsidR="00DE3571" w:rsidRPr="00033B8B">
        <w:rPr>
          <w:sz w:val="22"/>
          <w:szCs w:val="22"/>
          <w:lang w:val="lv-LV"/>
        </w:rPr>
        <w:t>,</w:t>
      </w:r>
      <w:r w:rsidR="009A3942" w:rsidRPr="00033B8B">
        <w:rPr>
          <w:sz w:val="22"/>
          <w:szCs w:val="22"/>
          <w:lang w:val="lv-LV"/>
        </w:rPr>
        <w:t xml:space="preserve"> </w:t>
      </w:r>
      <w:r w:rsidR="00DE3571" w:rsidRPr="00033B8B">
        <w:rPr>
          <w:sz w:val="22"/>
          <w:szCs w:val="22"/>
          <w:lang w:val="lv-LV"/>
        </w:rPr>
        <w:t xml:space="preserve">līdz </w:t>
      </w:r>
      <w:r w:rsidR="009A3942" w:rsidRPr="00033B8B">
        <w:rPr>
          <w:sz w:val="22"/>
          <w:szCs w:val="22"/>
          <w:lang w:val="lv-LV"/>
        </w:rPr>
        <w:t>2</w:t>
      </w:r>
      <w:r w:rsidR="009B1CED" w:rsidRPr="00033B8B">
        <w:rPr>
          <w:sz w:val="22"/>
          <w:szCs w:val="22"/>
          <w:lang w:val="lv-LV"/>
        </w:rPr>
        <w:t> </w:t>
      </w:r>
      <w:r w:rsidR="00DE3571" w:rsidRPr="00033B8B">
        <w:rPr>
          <w:sz w:val="22"/>
          <w:szCs w:val="22"/>
          <w:lang w:val="lv-LV"/>
        </w:rPr>
        <w:t xml:space="preserve">nedēļām </w:t>
      </w:r>
      <w:r w:rsidR="009A3942" w:rsidRPr="00033B8B">
        <w:rPr>
          <w:sz w:val="22"/>
          <w:szCs w:val="22"/>
          <w:lang w:val="lv-LV"/>
        </w:rPr>
        <w:t xml:space="preserve">pēc </w:t>
      </w:r>
      <w:r w:rsidR="0021163B" w:rsidRPr="00033B8B">
        <w:rPr>
          <w:sz w:val="22"/>
          <w:szCs w:val="22"/>
          <w:lang w:val="lv-LV"/>
        </w:rPr>
        <w:t xml:space="preserve">to </w:t>
      </w:r>
      <w:r w:rsidR="009A3942" w:rsidRPr="00033B8B">
        <w:rPr>
          <w:sz w:val="22"/>
          <w:szCs w:val="22"/>
          <w:lang w:val="lv-LV"/>
        </w:rPr>
        <w:t>pārtraukšanas</w:t>
      </w:r>
      <w:r w:rsidR="0021163B" w:rsidRPr="00033B8B">
        <w:rPr>
          <w:sz w:val="22"/>
          <w:szCs w:val="22"/>
          <w:lang w:val="lv-LV"/>
        </w:rPr>
        <w:t>.</w:t>
      </w:r>
    </w:p>
    <w:p w14:paraId="387E8B92" w14:textId="77777777" w:rsidR="009A3942" w:rsidRPr="00033B8B" w:rsidRDefault="009A3942" w:rsidP="005261BA">
      <w:pPr>
        <w:pStyle w:val="Default"/>
        <w:rPr>
          <w:sz w:val="22"/>
          <w:szCs w:val="22"/>
          <w:lang w:val="lv-LV"/>
        </w:rPr>
      </w:pPr>
    </w:p>
    <w:p w14:paraId="69BD275E" w14:textId="76FA9843" w:rsidR="005261BA" w:rsidRPr="00033B8B" w:rsidRDefault="002144E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</w:t>
      </w:r>
      <w:r w:rsidR="00860B60" w:rsidRPr="00033B8B">
        <w:rPr>
          <w:sz w:val="22"/>
          <w:szCs w:val="22"/>
          <w:lang w:val="lv-LV"/>
        </w:rPr>
        <w:t>s</w:t>
      </w:r>
      <w:r w:rsidRPr="00033B8B">
        <w:rPr>
          <w:sz w:val="22"/>
          <w:szCs w:val="22"/>
          <w:lang w:val="lv-LV"/>
        </w:rPr>
        <w:t>-</w:t>
      </w:r>
      <w:r w:rsidR="00F66350" w:rsidRPr="00033B8B">
        <w:rPr>
          <w:sz w:val="22"/>
          <w:szCs w:val="22"/>
          <w:lang w:val="lv-LV"/>
        </w:rPr>
        <w:t>pseidoefedrīn</w:t>
      </w:r>
      <w:r w:rsidR="00032C45" w:rsidRPr="00033B8B">
        <w:rPr>
          <w:sz w:val="22"/>
          <w:szCs w:val="22"/>
          <w:lang w:val="lv-LV"/>
        </w:rPr>
        <w:t xml:space="preserve">s ir kontrindicēts </w:t>
      </w:r>
      <w:r w:rsidR="005261BA" w:rsidRPr="00033B8B">
        <w:rPr>
          <w:sz w:val="22"/>
          <w:szCs w:val="22"/>
          <w:lang w:val="lv-LV"/>
        </w:rPr>
        <w:t>bērni</w:t>
      </w:r>
      <w:r w:rsidR="00032C45" w:rsidRPr="00033B8B">
        <w:rPr>
          <w:sz w:val="22"/>
          <w:szCs w:val="22"/>
          <w:lang w:val="lv-LV"/>
        </w:rPr>
        <w:t>em</w:t>
      </w:r>
      <w:r w:rsidR="005261BA" w:rsidRPr="00033B8B">
        <w:rPr>
          <w:sz w:val="22"/>
          <w:szCs w:val="22"/>
          <w:lang w:val="lv-LV"/>
        </w:rPr>
        <w:t xml:space="preserve"> līdz 12</w:t>
      </w:r>
      <w:r w:rsidR="009B1CED" w:rsidRPr="00033B8B">
        <w:rPr>
          <w:sz w:val="22"/>
          <w:szCs w:val="22"/>
          <w:lang w:val="lv-LV"/>
        </w:rPr>
        <w:t> </w:t>
      </w:r>
      <w:r w:rsidR="005261BA" w:rsidRPr="00033B8B">
        <w:rPr>
          <w:sz w:val="22"/>
          <w:szCs w:val="22"/>
          <w:lang w:val="lv-LV"/>
        </w:rPr>
        <w:t xml:space="preserve">gadu vecumam </w:t>
      </w:r>
      <w:r w:rsidR="00032C45" w:rsidRPr="00033B8B">
        <w:rPr>
          <w:sz w:val="22"/>
          <w:szCs w:val="22"/>
          <w:lang w:val="lv-LV"/>
        </w:rPr>
        <w:t xml:space="preserve">(skatīt </w:t>
      </w:r>
      <w:r w:rsidR="0021163B" w:rsidRPr="00033B8B">
        <w:rPr>
          <w:sz w:val="22"/>
          <w:szCs w:val="22"/>
          <w:lang w:val="lv-LV"/>
        </w:rPr>
        <w:t xml:space="preserve">4.2. un </w:t>
      </w:r>
      <w:r w:rsidR="00D45313" w:rsidRPr="00033B8B">
        <w:rPr>
          <w:sz w:val="22"/>
          <w:szCs w:val="22"/>
          <w:lang w:val="lv-LV"/>
        </w:rPr>
        <w:t>4.4</w:t>
      </w:r>
      <w:r w:rsidR="0079317F" w:rsidRPr="00033B8B">
        <w:rPr>
          <w:sz w:val="22"/>
          <w:szCs w:val="22"/>
          <w:lang w:val="lv-LV"/>
        </w:rPr>
        <w:t>.</w:t>
      </w:r>
      <w:r w:rsidR="00EE3633" w:rsidRPr="00033B8B">
        <w:rPr>
          <w:sz w:val="22"/>
          <w:szCs w:val="22"/>
          <w:lang w:val="lv-LV"/>
        </w:rPr>
        <w:t> </w:t>
      </w:r>
      <w:r w:rsidR="00032C45" w:rsidRPr="00033B8B">
        <w:rPr>
          <w:sz w:val="22"/>
          <w:szCs w:val="22"/>
          <w:lang w:val="lv-LV"/>
        </w:rPr>
        <w:t>apakšpunkt</w:t>
      </w:r>
      <w:r w:rsidR="006977EC" w:rsidRPr="00033B8B">
        <w:rPr>
          <w:sz w:val="22"/>
          <w:szCs w:val="22"/>
          <w:lang w:val="lv-LV"/>
        </w:rPr>
        <w:t>u</w:t>
      </w:r>
      <w:r w:rsidR="00032C45" w:rsidRPr="00033B8B">
        <w:rPr>
          <w:sz w:val="22"/>
          <w:szCs w:val="22"/>
          <w:lang w:val="lv-LV"/>
        </w:rPr>
        <w:t>)</w:t>
      </w:r>
      <w:r w:rsidR="00E32D8F">
        <w:rPr>
          <w:sz w:val="22"/>
          <w:szCs w:val="22"/>
          <w:lang w:val="lv-LV"/>
        </w:rPr>
        <w:t xml:space="preserve">, </w:t>
      </w:r>
      <w:r w:rsidR="00E32D8F" w:rsidRPr="00835058">
        <w:rPr>
          <w:sz w:val="22"/>
          <w:szCs w:val="22"/>
          <w:lang w:val="lv-LV"/>
        </w:rPr>
        <w:t>kā arī grūtniecēm un mātēm, kuras baro bērnu ar krūti (skatīt 4.6. apakšpunktu)</w:t>
      </w:r>
      <w:r w:rsidR="00693A31" w:rsidRPr="00033B8B">
        <w:rPr>
          <w:sz w:val="22"/>
          <w:szCs w:val="22"/>
          <w:lang w:val="lv-LV"/>
        </w:rPr>
        <w:t>.</w:t>
      </w:r>
    </w:p>
    <w:p w14:paraId="189C3E5B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3D10F08A" w14:textId="77777777" w:rsidR="005261BA" w:rsidRPr="00033B8B" w:rsidRDefault="005261BA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Īpaši brīdi</w:t>
      </w:r>
      <w:r w:rsidR="00693A31" w:rsidRPr="00033B8B">
        <w:rPr>
          <w:b/>
          <w:bCs/>
          <w:sz w:val="22"/>
          <w:szCs w:val="22"/>
          <w:lang w:val="lv-LV"/>
        </w:rPr>
        <w:t>nājumi un piesardzība lietošanā</w:t>
      </w:r>
    </w:p>
    <w:p w14:paraId="4DE8C2E9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758A4A3F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Tā kā </w:t>
      </w:r>
      <w:r w:rsidR="00D27E1E" w:rsidRPr="00033B8B">
        <w:rPr>
          <w:sz w:val="22"/>
          <w:szCs w:val="22"/>
          <w:lang w:val="lv-LV"/>
        </w:rPr>
        <w:t>c</w:t>
      </w:r>
      <w:r w:rsidR="002144E3" w:rsidRPr="00033B8B">
        <w:rPr>
          <w:sz w:val="22"/>
          <w:szCs w:val="22"/>
          <w:lang w:val="lv-LV"/>
        </w:rPr>
        <w:t>etirizīn</w:t>
      </w:r>
      <w:r w:rsidR="00860B60" w:rsidRPr="00033B8B">
        <w:rPr>
          <w:sz w:val="22"/>
          <w:szCs w:val="22"/>
          <w:lang w:val="lv-LV"/>
        </w:rPr>
        <w:t>s</w:t>
      </w:r>
      <w:r w:rsidR="002144E3" w:rsidRPr="00033B8B">
        <w:rPr>
          <w:sz w:val="22"/>
          <w:szCs w:val="22"/>
          <w:lang w:val="lv-LV"/>
        </w:rPr>
        <w:t>-</w:t>
      </w:r>
      <w:r w:rsidR="00F66350" w:rsidRPr="00033B8B">
        <w:rPr>
          <w:sz w:val="22"/>
          <w:szCs w:val="22"/>
          <w:lang w:val="lv-LV"/>
        </w:rPr>
        <w:t>pseidoefedrīns</w:t>
      </w:r>
      <w:r w:rsidRPr="00033B8B">
        <w:rPr>
          <w:sz w:val="22"/>
          <w:szCs w:val="22"/>
          <w:lang w:val="lv-LV"/>
        </w:rPr>
        <w:t xml:space="preserve"> satur pseidoefedrīnu, tas piesardzīgi jālieto pacientiem, kuriem ir cukura diabēts, hipertireo</w:t>
      </w:r>
      <w:r w:rsidR="00860B60" w:rsidRPr="00033B8B">
        <w:rPr>
          <w:sz w:val="22"/>
          <w:szCs w:val="22"/>
          <w:lang w:val="lv-LV"/>
        </w:rPr>
        <w:t>ze</w:t>
      </w:r>
      <w:r w:rsidRPr="00033B8B">
        <w:rPr>
          <w:sz w:val="22"/>
          <w:szCs w:val="22"/>
          <w:lang w:val="lv-LV"/>
        </w:rPr>
        <w:t xml:space="preserve">, arteriālā hipertensija, tahikardija, sirds aritmija, sirds išēmiskā slimība, </w:t>
      </w:r>
      <w:r w:rsidR="00C54FD6" w:rsidRPr="00033B8B">
        <w:rPr>
          <w:sz w:val="22"/>
          <w:szCs w:val="22"/>
          <w:lang w:val="lv-LV"/>
        </w:rPr>
        <w:t xml:space="preserve">vidēji smaga </w:t>
      </w:r>
      <w:r w:rsidRPr="00033B8B">
        <w:rPr>
          <w:sz w:val="22"/>
          <w:szCs w:val="22"/>
          <w:lang w:val="lv-LV"/>
        </w:rPr>
        <w:t xml:space="preserve">nieru vai aknu mazspēja, kā arī </w:t>
      </w:r>
      <w:r w:rsidR="0021163B" w:rsidRPr="00033B8B">
        <w:rPr>
          <w:sz w:val="22"/>
          <w:szCs w:val="22"/>
          <w:lang w:val="lv-LV"/>
        </w:rPr>
        <w:t>gados vecākiem</w:t>
      </w:r>
      <w:r w:rsidR="00693A31" w:rsidRPr="00033B8B">
        <w:rPr>
          <w:sz w:val="22"/>
          <w:szCs w:val="22"/>
          <w:lang w:val="lv-LV"/>
        </w:rPr>
        <w:t xml:space="preserve"> pacientiem.</w:t>
      </w:r>
    </w:p>
    <w:p w14:paraId="554F386A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B341924" w14:textId="77777777" w:rsidR="00032C45" w:rsidRPr="00033B8B" w:rsidRDefault="00CA4196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</w:t>
      </w:r>
      <w:r w:rsidR="00860B60" w:rsidRPr="00033B8B">
        <w:rPr>
          <w:sz w:val="22"/>
          <w:szCs w:val="22"/>
          <w:lang w:val="lv-LV"/>
        </w:rPr>
        <w:t>s</w:t>
      </w:r>
      <w:r w:rsidR="00C54FD6" w:rsidRPr="00033B8B">
        <w:rPr>
          <w:sz w:val="22"/>
          <w:szCs w:val="22"/>
          <w:lang w:val="lv-LV"/>
        </w:rPr>
        <w:t xml:space="preserve"> </w:t>
      </w:r>
      <w:r w:rsidR="00860B60" w:rsidRPr="00033B8B">
        <w:rPr>
          <w:sz w:val="22"/>
          <w:szCs w:val="22"/>
          <w:lang w:val="lv-LV"/>
        </w:rPr>
        <w:t>-</w:t>
      </w:r>
      <w:r w:rsidRPr="00033B8B">
        <w:rPr>
          <w:sz w:val="22"/>
          <w:szCs w:val="22"/>
          <w:lang w:val="lv-LV"/>
        </w:rPr>
        <w:t xml:space="preserve"> pseidoefedrīns ir kontrindicēts bērniem, kuri jaunāki par 12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 xml:space="preserve">gadiem (skatīt </w:t>
      </w:r>
      <w:r w:rsidR="0021163B" w:rsidRPr="00033B8B">
        <w:rPr>
          <w:sz w:val="22"/>
          <w:szCs w:val="22"/>
          <w:lang w:val="lv-LV"/>
        </w:rPr>
        <w:t xml:space="preserve">4.2. un </w:t>
      </w:r>
      <w:r w:rsidR="00D45313" w:rsidRPr="00033B8B">
        <w:rPr>
          <w:sz w:val="22"/>
          <w:szCs w:val="22"/>
          <w:lang w:val="lv-LV"/>
        </w:rPr>
        <w:t>4.3</w:t>
      </w:r>
      <w:r w:rsidR="0079317F" w:rsidRPr="00033B8B">
        <w:rPr>
          <w:sz w:val="22"/>
          <w:szCs w:val="22"/>
          <w:lang w:val="lv-LV"/>
        </w:rPr>
        <w:t>. </w:t>
      </w:r>
      <w:r w:rsidR="006977EC" w:rsidRPr="00033B8B">
        <w:rPr>
          <w:sz w:val="22"/>
          <w:szCs w:val="22"/>
          <w:lang w:val="lv-LV"/>
        </w:rPr>
        <w:t>apakšpunktu</w:t>
      </w:r>
      <w:r w:rsidRPr="00033B8B">
        <w:rPr>
          <w:sz w:val="22"/>
          <w:szCs w:val="22"/>
          <w:lang w:val="lv-LV"/>
        </w:rPr>
        <w:t xml:space="preserve">), jo </w:t>
      </w:r>
      <w:r w:rsidR="0079317F" w:rsidRPr="00033B8B">
        <w:rPr>
          <w:sz w:val="22"/>
          <w:szCs w:val="22"/>
          <w:lang w:val="lv-LV"/>
        </w:rPr>
        <w:t xml:space="preserve">šīs zāļu kombinācijas </w:t>
      </w:r>
      <w:r w:rsidR="00A07281" w:rsidRPr="00033B8B">
        <w:rPr>
          <w:sz w:val="22"/>
          <w:szCs w:val="22"/>
          <w:lang w:val="lv-LV"/>
        </w:rPr>
        <w:t xml:space="preserve">pētījumi </w:t>
      </w:r>
      <w:r w:rsidRPr="00033B8B">
        <w:rPr>
          <w:sz w:val="22"/>
          <w:szCs w:val="22"/>
          <w:lang w:val="lv-LV"/>
        </w:rPr>
        <w:t>šajā vecuma grupā</w:t>
      </w:r>
      <w:r w:rsidR="00A07281" w:rsidRPr="00033B8B">
        <w:rPr>
          <w:sz w:val="22"/>
          <w:szCs w:val="22"/>
          <w:lang w:val="lv-LV"/>
        </w:rPr>
        <w:t xml:space="preserve"> nav veikti</w:t>
      </w:r>
      <w:r w:rsidR="00E327C6" w:rsidRPr="00033B8B">
        <w:rPr>
          <w:sz w:val="22"/>
          <w:szCs w:val="22"/>
          <w:lang w:val="lv-LV"/>
        </w:rPr>
        <w:t>, kā arī pseidoefedrīna klātbūtnes dēļ</w:t>
      </w:r>
      <w:r w:rsidR="00A07281" w:rsidRPr="00033B8B">
        <w:rPr>
          <w:sz w:val="22"/>
          <w:szCs w:val="22"/>
          <w:lang w:val="lv-LV"/>
        </w:rPr>
        <w:t>.</w:t>
      </w:r>
    </w:p>
    <w:p w14:paraId="78B563B9" w14:textId="77777777" w:rsidR="004C50D0" w:rsidRPr="00033B8B" w:rsidRDefault="004C50D0" w:rsidP="005261BA">
      <w:pPr>
        <w:pStyle w:val="Default"/>
        <w:rPr>
          <w:sz w:val="22"/>
          <w:szCs w:val="22"/>
          <w:lang w:val="lv-LV"/>
        </w:rPr>
      </w:pPr>
    </w:p>
    <w:p w14:paraId="61BFB4C1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Piesardzība </w:t>
      </w:r>
      <w:r w:rsidR="00052DEB" w:rsidRPr="00033B8B">
        <w:rPr>
          <w:sz w:val="22"/>
          <w:szCs w:val="22"/>
          <w:lang w:val="lv-LV"/>
        </w:rPr>
        <w:t xml:space="preserve">arī </w:t>
      </w:r>
      <w:r w:rsidR="00693A31" w:rsidRPr="00033B8B">
        <w:rPr>
          <w:sz w:val="22"/>
          <w:szCs w:val="22"/>
          <w:lang w:val="lv-LV"/>
        </w:rPr>
        <w:t>jāievēro pacientiem, kas lieto:</w:t>
      </w:r>
    </w:p>
    <w:p w14:paraId="12863665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simpatomimētiskus līdzekļus, piemēram, deguna gļotādas tūsku vai ēstgribu mazinošus līdzekļus</w:t>
      </w:r>
      <w:r w:rsidR="0021163B" w:rsidRPr="00033B8B">
        <w:rPr>
          <w:sz w:val="22"/>
          <w:szCs w:val="22"/>
          <w:lang w:val="lv-LV"/>
        </w:rPr>
        <w:t xml:space="preserve"> un</w:t>
      </w:r>
      <w:r w:rsidRPr="00033B8B">
        <w:rPr>
          <w:sz w:val="22"/>
          <w:szCs w:val="22"/>
          <w:lang w:val="lv-LV"/>
        </w:rPr>
        <w:t xml:space="preserve"> psihostimulējošus līdzekļus, piemēram, amfetamīnus (kombinēta ietekme uz kardiovaskulāro sistēmu)</w:t>
      </w:r>
      <w:r w:rsidR="0021163B" w:rsidRPr="00033B8B">
        <w:rPr>
          <w:sz w:val="22"/>
          <w:szCs w:val="22"/>
          <w:lang w:val="lv-LV"/>
        </w:rPr>
        <w:t>,</w:t>
      </w:r>
    </w:p>
    <w:p w14:paraId="41E171D8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tricikliskos antidepresantus</w:t>
      </w:r>
      <w:r w:rsidR="0021163B" w:rsidRPr="00033B8B">
        <w:rPr>
          <w:sz w:val="22"/>
          <w:szCs w:val="22"/>
          <w:lang w:val="lv-LV"/>
        </w:rPr>
        <w:t>,</w:t>
      </w:r>
    </w:p>
    <w:p w14:paraId="00D94B4E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antihipertensīvos līdzekļus (</w:t>
      </w:r>
      <w:r w:rsidR="0021163B" w:rsidRPr="00033B8B">
        <w:rPr>
          <w:sz w:val="22"/>
          <w:szCs w:val="22"/>
          <w:lang w:val="lv-LV"/>
        </w:rPr>
        <w:t xml:space="preserve">pavājināta </w:t>
      </w:r>
      <w:r w:rsidRPr="00033B8B">
        <w:rPr>
          <w:sz w:val="22"/>
          <w:szCs w:val="22"/>
          <w:lang w:val="lv-LV"/>
        </w:rPr>
        <w:t>antihipertensīvā iedarbība)</w:t>
      </w:r>
      <w:r w:rsidR="00DC7528" w:rsidRPr="00033B8B">
        <w:rPr>
          <w:sz w:val="22"/>
          <w:szCs w:val="22"/>
          <w:lang w:val="lv-LV"/>
        </w:rPr>
        <w:t xml:space="preserve"> (skatīt </w:t>
      </w:r>
      <w:r w:rsidR="00D45313" w:rsidRPr="00033B8B">
        <w:rPr>
          <w:sz w:val="22"/>
          <w:szCs w:val="22"/>
          <w:lang w:val="lv-LV"/>
        </w:rPr>
        <w:t>4.5</w:t>
      </w:r>
      <w:r w:rsidR="00E327C6" w:rsidRPr="00033B8B">
        <w:rPr>
          <w:sz w:val="22"/>
          <w:szCs w:val="22"/>
          <w:lang w:val="lv-LV"/>
        </w:rPr>
        <w:t>. </w:t>
      </w:r>
      <w:r w:rsidR="006977EC" w:rsidRPr="00033B8B">
        <w:rPr>
          <w:sz w:val="22"/>
          <w:szCs w:val="22"/>
          <w:lang w:val="lv-LV"/>
        </w:rPr>
        <w:t>apakšpunktu</w:t>
      </w:r>
      <w:r w:rsidR="00DC7528" w:rsidRPr="00033B8B">
        <w:rPr>
          <w:sz w:val="22"/>
          <w:szCs w:val="22"/>
          <w:lang w:val="lv-LV"/>
        </w:rPr>
        <w:t>)</w:t>
      </w:r>
      <w:r w:rsidR="0021163B" w:rsidRPr="00033B8B">
        <w:rPr>
          <w:sz w:val="22"/>
          <w:szCs w:val="22"/>
          <w:lang w:val="lv-LV"/>
        </w:rPr>
        <w:t>,</w:t>
      </w:r>
    </w:p>
    <w:p w14:paraId="2B2AAF07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alkoholu un citus </w:t>
      </w:r>
      <w:r w:rsidR="0021163B" w:rsidRPr="00033B8B">
        <w:rPr>
          <w:sz w:val="22"/>
          <w:szCs w:val="22"/>
          <w:lang w:val="lv-LV"/>
        </w:rPr>
        <w:t>centrālās nervu sistēmas (</w:t>
      </w:r>
      <w:r w:rsidRPr="00033B8B">
        <w:rPr>
          <w:sz w:val="22"/>
          <w:szCs w:val="22"/>
          <w:lang w:val="lv-LV"/>
        </w:rPr>
        <w:t>CNS</w:t>
      </w:r>
      <w:r w:rsidR="0021163B" w:rsidRPr="00033B8B">
        <w:rPr>
          <w:sz w:val="22"/>
          <w:szCs w:val="22"/>
          <w:lang w:val="lv-LV"/>
        </w:rPr>
        <w:t>)</w:t>
      </w:r>
      <w:r w:rsidRPr="00033B8B">
        <w:rPr>
          <w:sz w:val="22"/>
          <w:szCs w:val="22"/>
          <w:lang w:val="lv-LV"/>
        </w:rPr>
        <w:t xml:space="preserve"> nomācošus līdzekļus (pastiprināts </w:t>
      </w:r>
      <w:smartTag w:uri="urn:schemas-microsoft-com:office:smarttags" w:element="country-region">
        <w:r w:rsidRPr="00033B8B">
          <w:rPr>
            <w:sz w:val="22"/>
            <w:szCs w:val="22"/>
            <w:lang w:val="lv-LV"/>
          </w:rPr>
          <w:t>CNS</w:t>
        </w:r>
      </w:smartTag>
      <w:r w:rsidRPr="00033B8B">
        <w:rPr>
          <w:sz w:val="22"/>
          <w:szCs w:val="22"/>
          <w:lang w:val="lv-LV"/>
        </w:rPr>
        <w:t xml:space="preserve"> nomākums un rīcībspējas pavājināšanās)</w:t>
      </w:r>
      <w:r w:rsidR="0021163B" w:rsidRPr="00033B8B">
        <w:rPr>
          <w:sz w:val="22"/>
          <w:szCs w:val="22"/>
          <w:lang w:val="lv-LV"/>
        </w:rPr>
        <w:t>,</w:t>
      </w:r>
    </w:p>
    <w:p w14:paraId="1F896228" w14:textId="77777777" w:rsidR="005261BA" w:rsidRPr="00033B8B" w:rsidRDefault="005261BA" w:rsidP="004C22B7">
      <w:pPr>
        <w:pStyle w:val="Default"/>
        <w:numPr>
          <w:ilvl w:val="0"/>
          <w:numId w:val="4"/>
        </w:numPr>
        <w:tabs>
          <w:tab w:val="clear" w:pos="1440"/>
        </w:tabs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sirds glikozīdus</w:t>
      </w:r>
      <w:r w:rsidR="00DC7528" w:rsidRPr="00033B8B">
        <w:rPr>
          <w:sz w:val="22"/>
          <w:szCs w:val="22"/>
          <w:lang w:val="lv-LV"/>
        </w:rPr>
        <w:t>, tādus kā</w:t>
      </w:r>
      <w:r w:rsidR="00A6184E" w:rsidRPr="00033B8B">
        <w:rPr>
          <w:sz w:val="22"/>
          <w:szCs w:val="22"/>
          <w:lang w:val="lv-LV"/>
        </w:rPr>
        <w:t>,</w:t>
      </w:r>
      <w:r w:rsidR="00DC7528" w:rsidRPr="00033B8B">
        <w:rPr>
          <w:sz w:val="22"/>
          <w:szCs w:val="22"/>
          <w:lang w:val="lv-LV"/>
        </w:rPr>
        <w:t xml:space="preserve"> digoksīns vai digitoksīns</w:t>
      </w:r>
      <w:r w:rsidRPr="00033B8B">
        <w:rPr>
          <w:sz w:val="22"/>
          <w:szCs w:val="22"/>
          <w:lang w:val="lv-LV"/>
        </w:rPr>
        <w:t xml:space="preserve"> (sirds aritmijas risks)</w:t>
      </w:r>
      <w:r w:rsidR="00223A08" w:rsidRPr="00033B8B">
        <w:rPr>
          <w:sz w:val="22"/>
          <w:szCs w:val="22"/>
          <w:lang w:val="lv-LV"/>
        </w:rPr>
        <w:t>.</w:t>
      </w:r>
    </w:p>
    <w:p w14:paraId="57A29CA5" w14:textId="77777777" w:rsidR="007A71FE" w:rsidRDefault="007A71FE" w:rsidP="00033B8B">
      <w:pPr>
        <w:pStyle w:val="Default"/>
        <w:rPr>
          <w:sz w:val="22"/>
          <w:szCs w:val="22"/>
          <w:lang w:val="lv-LV"/>
        </w:rPr>
      </w:pPr>
    </w:p>
    <w:p w14:paraId="748769DD" w14:textId="7FB63278" w:rsidR="005261BA" w:rsidRPr="00033B8B" w:rsidRDefault="0021163B" w:rsidP="00033B8B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Piesardzība </w:t>
      </w:r>
      <w:r w:rsidR="00A1046A" w:rsidRPr="00033B8B">
        <w:rPr>
          <w:sz w:val="22"/>
          <w:szCs w:val="22"/>
          <w:lang w:val="lv-LV"/>
        </w:rPr>
        <w:t>jāievēro</w:t>
      </w:r>
      <w:r w:rsidRPr="00033B8B">
        <w:rPr>
          <w:sz w:val="22"/>
          <w:szCs w:val="22"/>
          <w:lang w:val="lv-LV"/>
        </w:rPr>
        <w:t xml:space="preserve"> pacientiem ar veselības traucējumiem</w:t>
      </w:r>
      <w:r w:rsidR="005261BA" w:rsidRPr="00033B8B">
        <w:rPr>
          <w:sz w:val="22"/>
          <w:szCs w:val="22"/>
          <w:lang w:val="lv-LV"/>
        </w:rPr>
        <w:t xml:space="preserve">, kad antiholīnerģiskā aktivitāte ir nevēlama </w:t>
      </w:r>
      <w:r w:rsidR="00023515" w:rsidRPr="00023515">
        <w:rPr>
          <w:sz w:val="22"/>
          <w:szCs w:val="22"/>
          <w:lang w:val="lv-LV"/>
        </w:rPr>
        <w:t>un īpaši,</w:t>
      </w:r>
      <w:r w:rsidR="00023515">
        <w:rPr>
          <w:sz w:val="22"/>
          <w:szCs w:val="22"/>
          <w:lang w:val="lv-LV"/>
        </w:rPr>
        <w:t xml:space="preserve"> </w:t>
      </w:r>
      <w:r w:rsidR="00023515" w:rsidRPr="00023515">
        <w:rPr>
          <w:sz w:val="22"/>
          <w:szCs w:val="22"/>
          <w:lang w:val="lv-LV"/>
        </w:rPr>
        <w:t>pacientam ar urīna aiztures predisponējošiem faktoriem (piemēram, muguras smadzeņu bojājums, prostatas hiperplāzija, prostatas hipertrofija vai urīnpūšļa atveres obstrukcija), jo cetirizīns - pseidoefedrīns var palielināt urīna aiztures risku.</w:t>
      </w:r>
    </w:p>
    <w:p w14:paraId="09F536DE" w14:textId="77777777" w:rsidR="00C56B5F" w:rsidRPr="00033B8B" w:rsidRDefault="00C56B5F" w:rsidP="004C22B7">
      <w:pPr>
        <w:pStyle w:val="Default"/>
        <w:rPr>
          <w:sz w:val="22"/>
          <w:szCs w:val="22"/>
          <w:lang w:val="lv-LV"/>
        </w:rPr>
      </w:pPr>
    </w:p>
    <w:p w14:paraId="1F4689FD" w14:textId="25441941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Asinsvadu sašaurināšanās un asinsspiediena paaugstināšanās riska dēļ piesardzība arī jāievēro attiecībā uz pacientiem, kam ir paaugstināta hemorāģiskā insulta riska iespējamība </w:t>
      </w:r>
      <w:r w:rsidR="000E50D1" w:rsidRPr="00033B8B">
        <w:rPr>
          <w:sz w:val="22"/>
          <w:szCs w:val="22"/>
          <w:lang w:val="lv-LV"/>
        </w:rPr>
        <w:t>(</w:t>
      </w:r>
      <w:r w:rsidRPr="00033B8B">
        <w:rPr>
          <w:sz w:val="22"/>
          <w:szCs w:val="22"/>
          <w:lang w:val="lv-LV"/>
        </w:rPr>
        <w:t>vienlaikus lieto</w:t>
      </w:r>
      <w:r w:rsidR="000E50D1" w:rsidRPr="00033B8B">
        <w:rPr>
          <w:sz w:val="22"/>
          <w:szCs w:val="22"/>
          <w:lang w:val="lv-LV"/>
        </w:rPr>
        <w:t>jot</w:t>
      </w:r>
      <w:r w:rsidRPr="00033B8B">
        <w:rPr>
          <w:sz w:val="22"/>
          <w:szCs w:val="22"/>
          <w:lang w:val="lv-LV"/>
        </w:rPr>
        <w:t xml:space="preserve"> asinsvadus sašaurinoš</w:t>
      </w:r>
      <w:r w:rsidR="00F55C92" w:rsidRPr="00033B8B">
        <w:rPr>
          <w:sz w:val="22"/>
          <w:szCs w:val="22"/>
          <w:lang w:val="lv-LV"/>
        </w:rPr>
        <w:t>as</w:t>
      </w:r>
      <w:r w:rsidRPr="00033B8B">
        <w:rPr>
          <w:sz w:val="22"/>
          <w:szCs w:val="22"/>
          <w:lang w:val="lv-LV"/>
        </w:rPr>
        <w:t xml:space="preserve"> </w:t>
      </w:r>
      <w:r w:rsidR="00F55C92" w:rsidRPr="00033B8B">
        <w:rPr>
          <w:sz w:val="22"/>
          <w:szCs w:val="22"/>
          <w:lang w:val="lv-LV"/>
        </w:rPr>
        <w:t>zāles</w:t>
      </w:r>
      <w:r w:rsidRPr="00033B8B">
        <w:rPr>
          <w:sz w:val="22"/>
          <w:szCs w:val="22"/>
          <w:lang w:val="lv-LV"/>
        </w:rPr>
        <w:t xml:space="preserve">, </w:t>
      </w:r>
      <w:r w:rsidR="000E50D1" w:rsidRPr="00033B8B">
        <w:rPr>
          <w:sz w:val="22"/>
          <w:szCs w:val="22"/>
          <w:lang w:val="lv-LV"/>
        </w:rPr>
        <w:t>(piem</w:t>
      </w:r>
      <w:r w:rsidR="00945DD0">
        <w:rPr>
          <w:sz w:val="22"/>
          <w:szCs w:val="22"/>
          <w:lang w:val="lv-LV"/>
        </w:rPr>
        <w:t>ēram</w:t>
      </w:r>
      <w:r w:rsidR="000E50D1" w:rsidRPr="00033B8B">
        <w:rPr>
          <w:sz w:val="22"/>
          <w:szCs w:val="22"/>
          <w:lang w:val="lv-LV"/>
        </w:rPr>
        <w:t xml:space="preserve">, </w:t>
      </w:r>
      <w:r w:rsidRPr="00033B8B">
        <w:rPr>
          <w:sz w:val="22"/>
          <w:szCs w:val="22"/>
          <w:lang w:val="lv-LV"/>
        </w:rPr>
        <w:t>bromokriptīn</w:t>
      </w:r>
      <w:r w:rsidR="000E50D1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>, pergolīd</w:t>
      </w:r>
      <w:r w:rsidR="000E50D1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>, lizurīd</w:t>
      </w:r>
      <w:r w:rsidR="000E50D1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>, kabergolīn</w:t>
      </w:r>
      <w:r w:rsidR="000E50D1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>, ergotamīn</w:t>
      </w:r>
      <w:r w:rsidR="000E50D1" w:rsidRPr="00033B8B">
        <w:rPr>
          <w:sz w:val="22"/>
          <w:szCs w:val="22"/>
          <w:lang w:val="lv-LV"/>
        </w:rPr>
        <w:t>u)</w:t>
      </w:r>
      <w:r w:rsidRPr="00033B8B">
        <w:rPr>
          <w:sz w:val="22"/>
          <w:szCs w:val="22"/>
          <w:lang w:val="lv-LV"/>
        </w:rPr>
        <w:t xml:space="preserve"> vai kād</w:t>
      </w:r>
      <w:r w:rsidR="000E50D1" w:rsidRPr="00033B8B">
        <w:rPr>
          <w:sz w:val="22"/>
          <w:szCs w:val="22"/>
          <w:lang w:val="lv-LV"/>
        </w:rPr>
        <w:t>us</w:t>
      </w:r>
      <w:r w:rsidRPr="00033B8B">
        <w:rPr>
          <w:sz w:val="22"/>
          <w:szCs w:val="22"/>
          <w:lang w:val="lv-LV"/>
        </w:rPr>
        <w:t xml:space="preserve"> cit</w:t>
      </w:r>
      <w:r w:rsidR="000E50D1" w:rsidRPr="00033B8B">
        <w:rPr>
          <w:sz w:val="22"/>
          <w:szCs w:val="22"/>
          <w:lang w:val="lv-LV"/>
        </w:rPr>
        <w:t>us</w:t>
      </w:r>
      <w:r w:rsidRPr="00033B8B">
        <w:rPr>
          <w:sz w:val="22"/>
          <w:szCs w:val="22"/>
          <w:lang w:val="lv-LV"/>
        </w:rPr>
        <w:t xml:space="preserve"> prettūskas līdzekļ</w:t>
      </w:r>
      <w:r w:rsidR="000E50D1" w:rsidRPr="00033B8B">
        <w:rPr>
          <w:sz w:val="22"/>
          <w:szCs w:val="22"/>
          <w:lang w:val="lv-LV"/>
        </w:rPr>
        <w:t>us (piem</w:t>
      </w:r>
      <w:r w:rsidR="00735ECA">
        <w:rPr>
          <w:sz w:val="22"/>
          <w:szCs w:val="22"/>
          <w:lang w:val="lv-LV"/>
        </w:rPr>
        <w:t>ēram</w:t>
      </w:r>
      <w:r w:rsidR="000E50D1" w:rsidRPr="00033B8B">
        <w:rPr>
          <w:sz w:val="22"/>
          <w:szCs w:val="22"/>
          <w:lang w:val="lv-LV"/>
        </w:rPr>
        <w:t>, fenilpropanolamīnu, fenilefrīnu, efedrīnu)</w:t>
      </w:r>
      <w:r w:rsidRPr="00033B8B">
        <w:rPr>
          <w:sz w:val="22"/>
          <w:szCs w:val="22"/>
          <w:lang w:val="lv-LV"/>
        </w:rPr>
        <w:t>, kurus lieto perorālā vai intranazālā veidā</w:t>
      </w:r>
      <w:r w:rsidR="0054389D" w:rsidRPr="00033B8B">
        <w:rPr>
          <w:sz w:val="22"/>
          <w:szCs w:val="22"/>
          <w:lang w:val="lv-LV"/>
        </w:rPr>
        <w:t>.</w:t>
      </w:r>
    </w:p>
    <w:p w14:paraId="7028703F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A6709B6" w14:textId="77777777" w:rsidR="005261BA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Pseidoefedrīns izraisa asinsvadu sašaurināšanos, tādēļ piesardzība lietošanā tiek rekomendēta pacientiem, kuriem ir hiperkoagulācijas risks, un ie</w:t>
      </w:r>
      <w:r w:rsidR="00693A31" w:rsidRPr="00033B8B">
        <w:rPr>
          <w:sz w:val="22"/>
          <w:szCs w:val="22"/>
          <w:lang w:val="lv-LV"/>
        </w:rPr>
        <w:t>kaisīgu zarnu slimību gadījumā.</w:t>
      </w:r>
    </w:p>
    <w:p w14:paraId="3DEC6974" w14:textId="77777777" w:rsidR="00AC1E36" w:rsidRDefault="00AC1E36" w:rsidP="005261BA">
      <w:pPr>
        <w:pStyle w:val="Default"/>
        <w:rPr>
          <w:sz w:val="22"/>
          <w:szCs w:val="22"/>
          <w:lang w:val="lv-LV"/>
        </w:rPr>
      </w:pPr>
    </w:p>
    <w:p w14:paraId="319654EB" w14:textId="77777777" w:rsidR="00AC1E36" w:rsidRPr="00D13425" w:rsidRDefault="00B63908" w:rsidP="00AC1E36">
      <w:pPr>
        <w:pStyle w:val="Default"/>
        <w:rPr>
          <w:sz w:val="22"/>
          <w:szCs w:val="22"/>
          <w:lang w:val="lv-LV"/>
        </w:rPr>
      </w:pPr>
      <w:r w:rsidRPr="00F74F31">
        <w:rPr>
          <w:bCs/>
          <w:sz w:val="22"/>
          <w:szCs w:val="22"/>
          <w:lang w:val="lv-LV" w:eastAsia="de-DE"/>
        </w:rPr>
        <w:t>Ziņots par dažiem išēmiskā kolīta gadījumiem, lietojot pseidoefedrīnu. Ja rodas pēkšņas sāpes vēderā, rektāla asiņošana vai citi išēmiskā kolīta simptomi, pseidoefedrīna lietošana ir jāpārtrauc un jāvēršas pēc medicīniskas palīdzības.</w:t>
      </w:r>
    </w:p>
    <w:p w14:paraId="6F4483AD" w14:textId="77777777" w:rsidR="002F5A98" w:rsidRPr="00033B8B" w:rsidRDefault="002F5A98" w:rsidP="005261BA">
      <w:pPr>
        <w:pStyle w:val="Default"/>
        <w:rPr>
          <w:sz w:val="22"/>
          <w:szCs w:val="22"/>
          <w:lang w:val="lv-LV"/>
        </w:rPr>
      </w:pPr>
    </w:p>
    <w:p w14:paraId="327C688D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Piesardzība jāievēro hipertensijas pacientiem, kurus līdztekus ārstē ar nesteroīdajiem pretiekaisuma līdzekļiem (NSPL), jo gan pseidoefedrīns, gan NSPL </w:t>
      </w:r>
      <w:r w:rsidR="00693A31" w:rsidRPr="00033B8B">
        <w:rPr>
          <w:sz w:val="22"/>
          <w:szCs w:val="22"/>
          <w:lang w:val="lv-LV"/>
        </w:rPr>
        <w:t>var paaugstināt asinsspiedienu.</w:t>
      </w:r>
    </w:p>
    <w:p w14:paraId="69C3C7DB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16D70636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Ir novērots, ka pseidoefedrīnu, tāpat kā citus centrālas darbības stimulējošu</w:t>
      </w:r>
      <w:r w:rsidR="00693A31" w:rsidRPr="00033B8B">
        <w:rPr>
          <w:sz w:val="22"/>
          <w:szCs w:val="22"/>
          <w:lang w:val="lv-LV"/>
        </w:rPr>
        <w:t>s līdzekļus, lieto ļaunprātīgi.</w:t>
      </w:r>
    </w:p>
    <w:p w14:paraId="5215FD70" w14:textId="77777777" w:rsidR="0074746D" w:rsidRPr="00033B8B" w:rsidRDefault="0074746D" w:rsidP="005261BA">
      <w:pPr>
        <w:pStyle w:val="Default"/>
        <w:rPr>
          <w:sz w:val="22"/>
          <w:szCs w:val="22"/>
          <w:lang w:val="lv-LV"/>
        </w:rPr>
      </w:pPr>
    </w:p>
    <w:p w14:paraId="30A897E4" w14:textId="08E338B6" w:rsidR="005261BA" w:rsidRDefault="00F55C92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Šīs zāles </w:t>
      </w:r>
      <w:r w:rsidR="00C54FD6" w:rsidRPr="00033B8B">
        <w:rPr>
          <w:sz w:val="22"/>
          <w:szCs w:val="22"/>
          <w:lang w:val="lv-LV"/>
        </w:rPr>
        <w:t>nevajadzētu</w:t>
      </w:r>
      <w:r w:rsidR="00912CF7" w:rsidRPr="00033B8B">
        <w:rPr>
          <w:sz w:val="22"/>
          <w:lang w:val="lv-LV"/>
        </w:rPr>
        <w:t xml:space="preserve"> </w:t>
      </w:r>
      <w:r w:rsidR="005261BA" w:rsidRPr="00033B8B">
        <w:rPr>
          <w:sz w:val="22"/>
          <w:szCs w:val="22"/>
          <w:lang w:val="lv-LV"/>
        </w:rPr>
        <w:t>lietot pacienti</w:t>
      </w:r>
      <w:r w:rsidR="00C54FD6" w:rsidRPr="00033B8B">
        <w:rPr>
          <w:sz w:val="22"/>
          <w:szCs w:val="22"/>
          <w:lang w:val="lv-LV"/>
        </w:rPr>
        <w:t>em</w:t>
      </w:r>
      <w:r w:rsidR="005261BA" w:rsidRPr="00033B8B">
        <w:rPr>
          <w:sz w:val="22"/>
          <w:szCs w:val="22"/>
          <w:lang w:val="lv-LV"/>
        </w:rPr>
        <w:t xml:space="preserve">, </w:t>
      </w:r>
      <w:r w:rsidR="00C54FD6" w:rsidRPr="00033B8B">
        <w:rPr>
          <w:sz w:val="22"/>
          <w:szCs w:val="22"/>
          <w:lang w:val="lv-LV"/>
        </w:rPr>
        <w:t>ar</w:t>
      </w:r>
      <w:r w:rsidR="005261BA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ret</w:t>
      </w:r>
      <w:r w:rsidR="00C54FD6" w:rsidRPr="00033B8B">
        <w:rPr>
          <w:sz w:val="22"/>
          <w:szCs w:val="22"/>
          <w:lang w:val="lv-LV"/>
        </w:rPr>
        <w:t>u</w:t>
      </w:r>
      <w:r w:rsidRPr="00033B8B">
        <w:rPr>
          <w:sz w:val="22"/>
          <w:szCs w:val="22"/>
          <w:lang w:val="lv-LV"/>
        </w:rPr>
        <w:t xml:space="preserve"> </w:t>
      </w:r>
      <w:r w:rsidR="005261BA" w:rsidRPr="00033B8B">
        <w:rPr>
          <w:sz w:val="22"/>
          <w:szCs w:val="22"/>
          <w:lang w:val="lv-LV"/>
        </w:rPr>
        <w:t>iedzimt</w:t>
      </w:r>
      <w:r w:rsidR="00C54FD6" w:rsidRPr="00033B8B">
        <w:rPr>
          <w:sz w:val="22"/>
          <w:szCs w:val="22"/>
          <w:lang w:val="lv-LV"/>
        </w:rPr>
        <w:t>u</w:t>
      </w:r>
      <w:r w:rsidR="005261BA" w:rsidRPr="00033B8B">
        <w:rPr>
          <w:sz w:val="22"/>
          <w:szCs w:val="22"/>
          <w:lang w:val="lv-LV"/>
        </w:rPr>
        <w:t xml:space="preserve"> galaktozes nepanesīb</w:t>
      </w:r>
      <w:r w:rsidR="00C54FD6" w:rsidRPr="00033B8B">
        <w:rPr>
          <w:sz w:val="22"/>
          <w:szCs w:val="22"/>
          <w:lang w:val="lv-LV"/>
        </w:rPr>
        <w:t>u</w:t>
      </w:r>
      <w:r w:rsidR="005261BA" w:rsidRPr="00033B8B">
        <w:rPr>
          <w:sz w:val="22"/>
          <w:szCs w:val="22"/>
          <w:lang w:val="lv-LV"/>
        </w:rPr>
        <w:t xml:space="preserve">, </w:t>
      </w:r>
      <w:r w:rsidR="00060B3E" w:rsidRPr="0041080F">
        <w:rPr>
          <w:iCs/>
          <w:sz w:val="22"/>
          <w:szCs w:val="22"/>
          <w:lang w:val="lv-LV"/>
        </w:rPr>
        <w:t>ar pilnīgu</w:t>
      </w:r>
      <w:r w:rsidR="00060B3E" w:rsidRPr="00033B8B">
        <w:rPr>
          <w:i/>
          <w:iCs/>
          <w:sz w:val="22"/>
          <w:szCs w:val="22"/>
          <w:lang w:val="lv-LV"/>
        </w:rPr>
        <w:t xml:space="preserve"> </w:t>
      </w:r>
      <w:r w:rsidR="005261BA" w:rsidRPr="00033B8B">
        <w:rPr>
          <w:sz w:val="22"/>
          <w:szCs w:val="22"/>
          <w:lang w:val="lv-LV"/>
        </w:rPr>
        <w:t>laktāzes deficīt</w:t>
      </w:r>
      <w:r w:rsidR="00C54FD6" w:rsidRPr="00033B8B">
        <w:rPr>
          <w:sz w:val="22"/>
          <w:szCs w:val="22"/>
          <w:lang w:val="lv-LV"/>
        </w:rPr>
        <w:t>u</w:t>
      </w:r>
      <w:r w:rsidR="005261BA" w:rsidRPr="00033B8B">
        <w:rPr>
          <w:sz w:val="22"/>
          <w:szCs w:val="22"/>
          <w:lang w:val="lv-LV"/>
        </w:rPr>
        <w:t xml:space="preserve"> vai gli</w:t>
      </w:r>
      <w:r w:rsidR="00693A31" w:rsidRPr="00033B8B">
        <w:rPr>
          <w:sz w:val="22"/>
          <w:szCs w:val="22"/>
          <w:lang w:val="lv-LV"/>
        </w:rPr>
        <w:t>kozes-galaktozes malabsorbcij</w:t>
      </w:r>
      <w:r w:rsidR="00C54FD6" w:rsidRPr="00033B8B">
        <w:rPr>
          <w:sz w:val="22"/>
          <w:szCs w:val="22"/>
          <w:lang w:val="lv-LV"/>
        </w:rPr>
        <w:t>u</w:t>
      </w:r>
      <w:r w:rsidR="00693A31" w:rsidRPr="00033B8B">
        <w:rPr>
          <w:sz w:val="22"/>
          <w:szCs w:val="22"/>
          <w:lang w:val="lv-LV"/>
        </w:rPr>
        <w:t>.</w:t>
      </w:r>
    </w:p>
    <w:p w14:paraId="1003617B" w14:textId="6CBF6A79" w:rsidR="00332F84" w:rsidRDefault="00332F84" w:rsidP="005261BA">
      <w:pPr>
        <w:pStyle w:val="Default"/>
        <w:rPr>
          <w:sz w:val="22"/>
          <w:szCs w:val="22"/>
          <w:lang w:val="lv-LV"/>
        </w:rPr>
      </w:pPr>
    </w:p>
    <w:p w14:paraId="5B0CC14A" w14:textId="77777777" w:rsidR="00332F84" w:rsidRPr="00CA278B" w:rsidRDefault="00332F84" w:rsidP="00332F84">
      <w:pPr>
        <w:pStyle w:val="Default"/>
        <w:rPr>
          <w:sz w:val="22"/>
          <w:szCs w:val="22"/>
          <w:u w:val="single"/>
          <w:lang w:val="lv-LV"/>
        </w:rPr>
      </w:pPr>
      <w:r w:rsidRPr="00CA278B">
        <w:rPr>
          <w:sz w:val="22"/>
          <w:szCs w:val="22"/>
          <w:u w:val="single"/>
          <w:lang w:val="lv-LV"/>
        </w:rPr>
        <w:t>Išēmiska redzes nerva neiropātija</w:t>
      </w:r>
    </w:p>
    <w:p w14:paraId="13602A1F" w14:textId="77777777" w:rsidR="00332F84" w:rsidRPr="00332F84" w:rsidRDefault="00332F84" w:rsidP="00332F84">
      <w:pPr>
        <w:pStyle w:val="Default"/>
        <w:rPr>
          <w:sz w:val="22"/>
          <w:szCs w:val="22"/>
          <w:lang w:val="lv-LV"/>
        </w:rPr>
      </w:pPr>
      <w:r w:rsidRPr="00332F84">
        <w:rPr>
          <w:sz w:val="22"/>
          <w:szCs w:val="22"/>
          <w:lang w:val="lv-LV"/>
        </w:rPr>
        <w:t>Lietojot pseidoefedrīnu, ir ziņots par išēmiskas redzes nerva neiropātijas gadījumiem.</w:t>
      </w:r>
    </w:p>
    <w:p w14:paraId="6B3CB2DD" w14:textId="77777777" w:rsidR="00332F84" w:rsidRPr="00332F84" w:rsidRDefault="00332F84" w:rsidP="00332F84">
      <w:pPr>
        <w:pStyle w:val="Default"/>
        <w:rPr>
          <w:sz w:val="22"/>
          <w:szCs w:val="22"/>
          <w:lang w:val="lv-LV"/>
        </w:rPr>
      </w:pPr>
      <w:r w:rsidRPr="00332F84">
        <w:rPr>
          <w:sz w:val="22"/>
          <w:szCs w:val="22"/>
          <w:lang w:val="lv-LV"/>
        </w:rPr>
        <w:t>Pseidoefedrīna lietošana ir jāpārtrauc, ja pēkšņi rodas redzes zudums vai samazinās redzes</w:t>
      </w:r>
    </w:p>
    <w:p w14:paraId="4ED7D660" w14:textId="730E4E7E" w:rsidR="00C56B5F" w:rsidRDefault="00332F84" w:rsidP="005261BA">
      <w:pPr>
        <w:pStyle w:val="Default"/>
        <w:rPr>
          <w:sz w:val="22"/>
          <w:szCs w:val="22"/>
          <w:lang w:val="lv-LV"/>
        </w:rPr>
      </w:pPr>
      <w:r w:rsidRPr="00332F84">
        <w:rPr>
          <w:sz w:val="22"/>
          <w:szCs w:val="22"/>
          <w:lang w:val="lv-LV"/>
        </w:rPr>
        <w:t>asums, piemēram, rodas skotomas.</w:t>
      </w:r>
      <w:r w:rsidRPr="00332F84">
        <w:rPr>
          <w:sz w:val="22"/>
          <w:szCs w:val="22"/>
          <w:lang w:val="lv-LV"/>
        </w:rPr>
        <w:cr/>
      </w:r>
    </w:p>
    <w:p w14:paraId="3F4B2DF4" w14:textId="77777777" w:rsidR="005A333C" w:rsidRPr="003E479E" w:rsidRDefault="005A333C" w:rsidP="00671572">
      <w:pPr>
        <w:pStyle w:val="Default"/>
        <w:rPr>
          <w:sz w:val="22"/>
          <w:szCs w:val="22"/>
          <w:u w:val="single"/>
          <w:lang w:val="lv-LV"/>
        </w:rPr>
      </w:pPr>
      <w:r w:rsidRPr="003E479E">
        <w:rPr>
          <w:sz w:val="22"/>
          <w:szCs w:val="22"/>
          <w:u w:val="single"/>
          <w:lang w:val="lv-LV"/>
        </w:rPr>
        <w:t>Smagas ādas reakcijas</w:t>
      </w:r>
    </w:p>
    <w:p w14:paraId="06E630C9" w14:textId="05452342" w:rsidR="005A333C" w:rsidRDefault="005A333C">
      <w:pPr>
        <w:pStyle w:val="Defaul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Pr="005A333C">
        <w:rPr>
          <w:sz w:val="22"/>
          <w:szCs w:val="22"/>
          <w:lang w:val="lv-LV"/>
        </w:rPr>
        <w:t>seidoefedrīnu saturošie līdzekļi</w:t>
      </w:r>
      <w:r>
        <w:rPr>
          <w:sz w:val="22"/>
          <w:szCs w:val="22"/>
          <w:lang w:val="lv-LV"/>
        </w:rPr>
        <w:t xml:space="preserve"> var izraisīt s</w:t>
      </w:r>
      <w:r w:rsidRPr="005A333C">
        <w:rPr>
          <w:sz w:val="22"/>
          <w:szCs w:val="22"/>
          <w:lang w:val="lv-LV"/>
        </w:rPr>
        <w:t>magas ādas reakcijas, piemēram, akūt</w:t>
      </w:r>
      <w:r>
        <w:rPr>
          <w:sz w:val="22"/>
          <w:szCs w:val="22"/>
          <w:lang w:val="lv-LV"/>
        </w:rPr>
        <w:t>u</w:t>
      </w:r>
      <w:r w:rsidRPr="005A333C">
        <w:rPr>
          <w:sz w:val="22"/>
          <w:szCs w:val="22"/>
          <w:lang w:val="lv-LV"/>
        </w:rPr>
        <w:t xml:space="preserve"> ģeneralizēt</w:t>
      </w:r>
      <w:r>
        <w:rPr>
          <w:sz w:val="22"/>
          <w:szCs w:val="22"/>
          <w:lang w:val="lv-LV"/>
        </w:rPr>
        <w:t>u</w:t>
      </w:r>
      <w:r w:rsidRPr="005A333C">
        <w:rPr>
          <w:sz w:val="22"/>
          <w:szCs w:val="22"/>
          <w:lang w:val="lv-LV"/>
        </w:rPr>
        <w:t xml:space="preserve"> eksantematoz</w:t>
      </w:r>
      <w:r>
        <w:rPr>
          <w:sz w:val="22"/>
          <w:szCs w:val="22"/>
          <w:lang w:val="lv-LV"/>
        </w:rPr>
        <w:t>o</w:t>
      </w:r>
      <w:r w:rsidRPr="005A333C">
        <w:rPr>
          <w:sz w:val="22"/>
          <w:szCs w:val="22"/>
          <w:lang w:val="lv-LV"/>
        </w:rPr>
        <w:t xml:space="preserve"> pustuloz</w:t>
      </w:r>
      <w:r>
        <w:rPr>
          <w:sz w:val="22"/>
          <w:szCs w:val="22"/>
          <w:lang w:val="lv-LV"/>
        </w:rPr>
        <w:t>i </w:t>
      </w:r>
      <w:r w:rsidRPr="005A333C">
        <w:rPr>
          <w:sz w:val="22"/>
          <w:szCs w:val="22"/>
          <w:lang w:val="lv-LV"/>
        </w:rPr>
        <w:t>(A</w:t>
      </w:r>
      <w:r w:rsidR="00F9271C">
        <w:rPr>
          <w:sz w:val="22"/>
          <w:szCs w:val="22"/>
          <w:lang w:val="lv-LV"/>
        </w:rPr>
        <w:t>Ģ</w:t>
      </w:r>
      <w:r w:rsidRPr="005A333C">
        <w:rPr>
          <w:sz w:val="22"/>
          <w:szCs w:val="22"/>
          <w:lang w:val="lv-LV"/>
        </w:rPr>
        <w:t xml:space="preserve">EP). Pacienti </w:t>
      </w:r>
      <w:r w:rsidR="00F9271C">
        <w:rPr>
          <w:sz w:val="22"/>
          <w:szCs w:val="22"/>
          <w:lang w:val="lv-LV"/>
        </w:rPr>
        <w:t xml:space="preserve">ir </w:t>
      </w:r>
      <w:r w:rsidRPr="005A333C">
        <w:rPr>
          <w:sz w:val="22"/>
          <w:szCs w:val="22"/>
          <w:lang w:val="lv-LV"/>
        </w:rPr>
        <w:t>rūpīgi jā</w:t>
      </w:r>
      <w:r w:rsidR="00F9271C">
        <w:rPr>
          <w:sz w:val="22"/>
          <w:szCs w:val="22"/>
          <w:lang w:val="lv-LV"/>
        </w:rPr>
        <w:t>novēro</w:t>
      </w:r>
      <w:r w:rsidRPr="005A333C">
        <w:rPr>
          <w:sz w:val="22"/>
          <w:szCs w:val="22"/>
          <w:lang w:val="lv-LV"/>
        </w:rPr>
        <w:t xml:space="preserve">. Ja tiek novērotas tādas pazīmes un simptomi kā </w:t>
      </w:r>
      <w:r w:rsidR="00F9271C">
        <w:rPr>
          <w:sz w:val="22"/>
          <w:szCs w:val="22"/>
          <w:lang w:val="lv-LV"/>
        </w:rPr>
        <w:t>drudzis</w:t>
      </w:r>
      <w:r w:rsidRPr="005A333C">
        <w:rPr>
          <w:sz w:val="22"/>
          <w:szCs w:val="22"/>
          <w:lang w:val="lv-LV"/>
        </w:rPr>
        <w:t xml:space="preserve">, eritēma vai </w:t>
      </w:r>
      <w:r w:rsidR="00F9271C">
        <w:rPr>
          <w:sz w:val="22"/>
          <w:szCs w:val="22"/>
          <w:lang w:val="lv-LV"/>
        </w:rPr>
        <w:t>daudzas nelielas</w:t>
      </w:r>
      <w:r w:rsidRPr="005A333C">
        <w:rPr>
          <w:sz w:val="22"/>
          <w:szCs w:val="22"/>
          <w:lang w:val="lv-LV"/>
        </w:rPr>
        <w:t xml:space="preserve"> pustul</w:t>
      </w:r>
      <w:r w:rsidR="00F9271C">
        <w:rPr>
          <w:sz w:val="22"/>
          <w:szCs w:val="22"/>
          <w:lang w:val="lv-LV"/>
        </w:rPr>
        <w:t>as</w:t>
      </w:r>
      <w:r w:rsidRPr="005A333C">
        <w:rPr>
          <w:sz w:val="22"/>
          <w:szCs w:val="22"/>
          <w:lang w:val="lv-LV"/>
        </w:rPr>
        <w:t xml:space="preserve">, CIRRUS </w:t>
      </w:r>
      <w:r>
        <w:rPr>
          <w:sz w:val="22"/>
          <w:szCs w:val="22"/>
          <w:lang w:val="lv-LV"/>
        </w:rPr>
        <w:t>lieto</w:t>
      </w:r>
      <w:r w:rsidRPr="005A333C">
        <w:rPr>
          <w:sz w:val="22"/>
          <w:szCs w:val="22"/>
          <w:lang w:val="lv-LV"/>
        </w:rPr>
        <w:t>šana jāpārtrauc un, ja nepieciešams, jāveic atbilstoši pasākumi.</w:t>
      </w:r>
    </w:p>
    <w:p w14:paraId="030B3C89" w14:textId="77777777" w:rsidR="005A333C" w:rsidRDefault="005A333C" w:rsidP="005261BA">
      <w:pPr>
        <w:pStyle w:val="Default"/>
        <w:rPr>
          <w:sz w:val="22"/>
          <w:szCs w:val="22"/>
          <w:lang w:val="lv-LV"/>
        </w:rPr>
      </w:pPr>
    </w:p>
    <w:p w14:paraId="5497169A" w14:textId="486660F6" w:rsidR="009D7C7A" w:rsidRDefault="009D7C7A" w:rsidP="005261BA">
      <w:pPr>
        <w:pStyle w:val="Default"/>
        <w:rPr>
          <w:sz w:val="22"/>
          <w:szCs w:val="22"/>
          <w:lang w:val="lv-LV"/>
        </w:rPr>
      </w:pPr>
      <w:r w:rsidRPr="003E479E">
        <w:rPr>
          <w:sz w:val="22"/>
          <w:szCs w:val="22"/>
          <w:lang w:val="lv-LV"/>
        </w:rPr>
        <w:t>Sportisti ir jāinformē, ka ārstēšana ar pseidoefedrīnu var </w:t>
      </w:r>
      <w:r w:rsidR="001119F2">
        <w:rPr>
          <w:sz w:val="22"/>
          <w:szCs w:val="22"/>
          <w:lang w:val="lv-LV"/>
        </w:rPr>
        <w:t>uzrādīt</w:t>
      </w:r>
      <w:r w:rsidRPr="003E479E">
        <w:rPr>
          <w:sz w:val="22"/>
          <w:szCs w:val="22"/>
          <w:lang w:val="lv-LV"/>
        </w:rPr>
        <w:t xml:space="preserve"> pozitīvus dopinga pārbaudes</w:t>
      </w:r>
      <w:r w:rsidR="001119F2">
        <w:rPr>
          <w:sz w:val="22"/>
          <w:szCs w:val="22"/>
          <w:lang w:val="lv-LV"/>
        </w:rPr>
        <w:t xml:space="preserve"> rezultātus</w:t>
      </w:r>
      <w:r w:rsidRPr="003E479E">
        <w:rPr>
          <w:sz w:val="22"/>
          <w:szCs w:val="22"/>
          <w:lang w:val="lv-LV"/>
        </w:rPr>
        <w:t>.</w:t>
      </w:r>
    </w:p>
    <w:p w14:paraId="43641741" w14:textId="71DCFD3D" w:rsidR="009D7C7A" w:rsidRDefault="009D7C7A" w:rsidP="005261BA">
      <w:pPr>
        <w:pStyle w:val="Default"/>
        <w:rPr>
          <w:sz w:val="22"/>
          <w:szCs w:val="22"/>
          <w:lang w:val="lv-LV"/>
        </w:rPr>
      </w:pPr>
    </w:p>
    <w:p w14:paraId="0B761E5C" w14:textId="4089A5A2" w:rsidR="009D7C7A" w:rsidRPr="00033B8B" w:rsidRDefault="004F4126" w:rsidP="009D7C7A">
      <w:pPr>
        <w:pStyle w:val="Default"/>
        <w:rPr>
          <w:sz w:val="22"/>
          <w:szCs w:val="22"/>
          <w:lang w:val="lv-LV"/>
        </w:rPr>
      </w:pPr>
      <w:r w:rsidRPr="004F4126">
        <w:rPr>
          <w:sz w:val="22"/>
          <w:szCs w:val="22"/>
          <w:lang w:val="lv-LV"/>
        </w:rPr>
        <w:lastRenderedPageBreak/>
        <w:t>Antihistamīna</w:t>
      </w:r>
      <w:r w:rsidR="009D7C7A" w:rsidRPr="00033B8B">
        <w:rPr>
          <w:sz w:val="22"/>
          <w:szCs w:val="22"/>
          <w:lang w:val="lv-LV"/>
        </w:rPr>
        <w:t xml:space="preserve"> līdzekļi kavē ādas alerģijas testu darbību, un tādēļ pirms to veikšanas nepieciešams ievērot atbilstošu 3 dienu terapijas pārtraukumu.</w:t>
      </w:r>
    </w:p>
    <w:p w14:paraId="45EC0B31" w14:textId="77777777" w:rsidR="009D7C7A" w:rsidRDefault="009D7C7A" w:rsidP="005261BA">
      <w:pPr>
        <w:pStyle w:val="Default"/>
        <w:rPr>
          <w:sz w:val="22"/>
          <w:szCs w:val="22"/>
          <w:lang w:val="lv-LV"/>
        </w:rPr>
      </w:pPr>
    </w:p>
    <w:p w14:paraId="2A6720A6" w14:textId="3AFD0562" w:rsidR="00F01B89" w:rsidRPr="009D7C7A" w:rsidRDefault="00F01B89" w:rsidP="005261BA">
      <w:pPr>
        <w:pStyle w:val="Default"/>
        <w:rPr>
          <w:sz w:val="22"/>
          <w:szCs w:val="22"/>
          <w:lang w:val="lv-LV"/>
        </w:rPr>
      </w:pPr>
      <w:r w:rsidRPr="00F01B89">
        <w:rPr>
          <w:sz w:val="22"/>
          <w:szCs w:val="22"/>
          <w:lang w:val="lv-LV"/>
        </w:rPr>
        <w:t>Zāles satur mazāk par 1 mmol nātrija (23 mg) katrā tabletē, - būtībā tās ir “nātriju nesaturošas”.</w:t>
      </w:r>
    </w:p>
    <w:p w14:paraId="2ADFDFBB" w14:textId="77777777" w:rsidR="009D7C7A" w:rsidRPr="00033B8B" w:rsidRDefault="009D7C7A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494804D4" w14:textId="77777777" w:rsidR="005261BA" w:rsidRPr="00033B8B" w:rsidRDefault="005261BA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Mijiedarbība ar citām zā</w:t>
      </w:r>
      <w:r w:rsidR="00693A31" w:rsidRPr="00033B8B">
        <w:rPr>
          <w:b/>
          <w:bCs/>
          <w:sz w:val="22"/>
          <w:szCs w:val="22"/>
          <w:lang w:val="lv-LV"/>
        </w:rPr>
        <w:t>lēm un citi mijiedarbības veidi</w:t>
      </w:r>
    </w:p>
    <w:p w14:paraId="6AEE1EB1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4C1C58CC" w14:textId="77777777" w:rsidR="00894266" w:rsidRPr="00033B8B" w:rsidRDefault="00A07281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M</w:t>
      </w:r>
      <w:r w:rsidR="00894266" w:rsidRPr="00033B8B">
        <w:rPr>
          <w:sz w:val="22"/>
          <w:szCs w:val="22"/>
          <w:lang w:val="lv-LV"/>
        </w:rPr>
        <w:t>ijiedarbības pētījumi ar cetirizīna</w:t>
      </w:r>
      <w:r w:rsidR="002144E3" w:rsidRPr="00033B8B">
        <w:rPr>
          <w:sz w:val="22"/>
          <w:szCs w:val="22"/>
          <w:lang w:val="lv-LV"/>
        </w:rPr>
        <w:t>-</w:t>
      </w:r>
      <w:r w:rsidR="00894266" w:rsidRPr="00033B8B">
        <w:rPr>
          <w:sz w:val="22"/>
          <w:szCs w:val="22"/>
          <w:lang w:val="lv-LV"/>
        </w:rPr>
        <w:t>pseidoefedrīna</w:t>
      </w:r>
      <w:r w:rsidR="00912CF7" w:rsidRPr="00033B8B">
        <w:rPr>
          <w:sz w:val="22"/>
          <w:szCs w:val="22"/>
          <w:lang w:val="lv-LV"/>
        </w:rPr>
        <w:t xml:space="preserve"> </w:t>
      </w:r>
      <w:r w:rsidR="007A2D81" w:rsidRPr="00033B8B">
        <w:rPr>
          <w:sz w:val="22"/>
          <w:szCs w:val="22"/>
          <w:lang w:val="lv-LV"/>
        </w:rPr>
        <w:t xml:space="preserve">zāļu </w:t>
      </w:r>
      <w:r w:rsidR="00894266" w:rsidRPr="00033B8B">
        <w:rPr>
          <w:sz w:val="22"/>
          <w:szCs w:val="22"/>
          <w:lang w:val="lv-LV"/>
        </w:rPr>
        <w:t>kombināciju</w:t>
      </w:r>
      <w:r w:rsidRPr="00033B8B">
        <w:rPr>
          <w:sz w:val="22"/>
          <w:szCs w:val="22"/>
          <w:lang w:val="lv-LV"/>
        </w:rPr>
        <w:t xml:space="preserve"> nav veikti</w:t>
      </w:r>
      <w:r w:rsidR="00894266" w:rsidRPr="00033B8B">
        <w:rPr>
          <w:sz w:val="22"/>
          <w:szCs w:val="22"/>
          <w:lang w:val="lv-LV"/>
        </w:rPr>
        <w:t>.</w:t>
      </w:r>
    </w:p>
    <w:p w14:paraId="7687648B" w14:textId="77777777" w:rsidR="00894266" w:rsidRPr="00033B8B" w:rsidRDefault="00894266" w:rsidP="005261BA">
      <w:pPr>
        <w:pStyle w:val="Default"/>
        <w:rPr>
          <w:sz w:val="22"/>
          <w:szCs w:val="22"/>
          <w:lang w:val="lv-LV"/>
        </w:rPr>
      </w:pPr>
    </w:p>
    <w:p w14:paraId="432931EA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Farmakokinētiskās mijiedarbības pētījumi tika veikti ar cetirizīnu un cimetidīnu, ketokonazolu, eritromicīnu, azitromicīnu</w:t>
      </w:r>
      <w:r w:rsidR="002C2958" w:rsidRPr="00033B8B">
        <w:rPr>
          <w:sz w:val="22"/>
          <w:szCs w:val="22"/>
          <w:lang w:val="lv-LV"/>
        </w:rPr>
        <w:t>, antip</w:t>
      </w:r>
      <w:r w:rsidR="004C22B7" w:rsidRPr="00033B8B">
        <w:rPr>
          <w:sz w:val="22"/>
          <w:szCs w:val="22"/>
          <w:lang w:val="lv-LV"/>
        </w:rPr>
        <w:t>i</w:t>
      </w:r>
      <w:r w:rsidR="002C2958" w:rsidRPr="00033B8B">
        <w:rPr>
          <w:sz w:val="22"/>
          <w:szCs w:val="22"/>
          <w:lang w:val="lv-LV"/>
        </w:rPr>
        <w:t>rīnu</w:t>
      </w:r>
      <w:r w:rsidRPr="00033B8B">
        <w:rPr>
          <w:sz w:val="22"/>
          <w:szCs w:val="22"/>
          <w:lang w:val="lv-LV"/>
        </w:rPr>
        <w:t xml:space="preserve"> </w:t>
      </w:r>
      <w:r w:rsidR="00912CF7" w:rsidRPr="00033B8B">
        <w:rPr>
          <w:sz w:val="22"/>
          <w:szCs w:val="22"/>
          <w:lang w:val="lv-LV"/>
        </w:rPr>
        <w:t xml:space="preserve">vai </w:t>
      </w:r>
      <w:r w:rsidRPr="00033B8B">
        <w:rPr>
          <w:sz w:val="22"/>
          <w:szCs w:val="22"/>
          <w:lang w:val="lv-LV"/>
        </w:rPr>
        <w:t>pseidoefedrīnu; farmakokinētisk</w:t>
      </w:r>
      <w:r w:rsidR="00693A31" w:rsidRPr="00033B8B">
        <w:rPr>
          <w:sz w:val="22"/>
          <w:szCs w:val="22"/>
          <w:lang w:val="lv-LV"/>
        </w:rPr>
        <w:t>ā mijiedarbība netika novērota.</w:t>
      </w:r>
    </w:p>
    <w:p w14:paraId="1E6CBCF2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4C9948B6" w14:textId="77777777" w:rsidR="00AB3D07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Teofilīna (400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mg vienu reizi dienā) un cetirizīna vairāku devu pētījumā tika novērota cetirizīna klīrensa neliela samazināšanās (16%), turpretim teofilīna klīrenss nemainījās, ja vien</w:t>
      </w:r>
      <w:r w:rsidR="00693A31" w:rsidRPr="00033B8B">
        <w:rPr>
          <w:sz w:val="22"/>
          <w:szCs w:val="22"/>
          <w:lang w:val="lv-LV"/>
        </w:rPr>
        <w:t>laikus tika lietots cetirizīns.</w:t>
      </w:r>
    </w:p>
    <w:p w14:paraId="2F873BD2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Cetirizīna un cimetidīna, glipizīda, diazepāma </w:t>
      </w:r>
      <w:r w:rsidR="00AB3D07" w:rsidRPr="00033B8B">
        <w:rPr>
          <w:sz w:val="22"/>
          <w:szCs w:val="22"/>
          <w:lang w:val="lv-LV"/>
        </w:rPr>
        <w:t xml:space="preserve">vai </w:t>
      </w:r>
      <w:r w:rsidRPr="00033B8B">
        <w:rPr>
          <w:sz w:val="22"/>
          <w:szCs w:val="22"/>
          <w:lang w:val="lv-LV"/>
        </w:rPr>
        <w:t>pseidoefedrīna pētījumos netika pierādīta nelabvēlīga farmakodinamiska mijiedarbība.</w:t>
      </w:r>
    </w:p>
    <w:p w14:paraId="720EA8A0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Cetirizīna un azitromicīna, eritromicīna, ketokonazola, teofilīna</w:t>
      </w:r>
      <w:r w:rsidR="002C2958" w:rsidRPr="00033B8B">
        <w:rPr>
          <w:sz w:val="22"/>
          <w:szCs w:val="22"/>
          <w:lang w:val="lv-LV"/>
        </w:rPr>
        <w:t>, antip</w:t>
      </w:r>
      <w:r w:rsidR="004C22B7" w:rsidRPr="00033B8B">
        <w:rPr>
          <w:sz w:val="22"/>
          <w:szCs w:val="22"/>
          <w:lang w:val="lv-LV"/>
        </w:rPr>
        <w:t>i</w:t>
      </w:r>
      <w:r w:rsidR="002C2958" w:rsidRPr="00033B8B">
        <w:rPr>
          <w:sz w:val="22"/>
          <w:szCs w:val="22"/>
          <w:lang w:val="lv-LV"/>
        </w:rPr>
        <w:t>rīna</w:t>
      </w:r>
      <w:r w:rsidRPr="00033B8B">
        <w:rPr>
          <w:sz w:val="22"/>
          <w:szCs w:val="22"/>
          <w:lang w:val="lv-LV"/>
        </w:rPr>
        <w:t xml:space="preserve"> </w:t>
      </w:r>
      <w:r w:rsidR="00912CF7" w:rsidRPr="00033B8B">
        <w:rPr>
          <w:sz w:val="22"/>
          <w:szCs w:val="22"/>
          <w:lang w:val="lv-LV"/>
        </w:rPr>
        <w:t xml:space="preserve">vai </w:t>
      </w:r>
      <w:r w:rsidRPr="00033B8B">
        <w:rPr>
          <w:sz w:val="22"/>
          <w:szCs w:val="22"/>
          <w:lang w:val="lv-LV"/>
        </w:rPr>
        <w:t xml:space="preserve">pseidoefedrīna pētījumos netika pierādīta nelabvēlīga klīniska mijiedarbība, un, it īpaši, cetirizīna lietošana vienlaikus ar makrolīdiem vai ketokonazolu neradīja klīniski nozīmīgas </w:t>
      </w:r>
      <w:r w:rsidR="00912CF7" w:rsidRPr="00033B8B">
        <w:rPr>
          <w:sz w:val="22"/>
          <w:szCs w:val="22"/>
          <w:lang w:val="lv-LV"/>
        </w:rPr>
        <w:t>elektrokardiogrāfijas (</w:t>
      </w:r>
      <w:r w:rsidRPr="00033B8B">
        <w:rPr>
          <w:sz w:val="22"/>
          <w:szCs w:val="22"/>
          <w:lang w:val="lv-LV"/>
        </w:rPr>
        <w:t>EKG</w:t>
      </w:r>
      <w:r w:rsidR="00912CF7" w:rsidRPr="00033B8B">
        <w:rPr>
          <w:sz w:val="22"/>
          <w:szCs w:val="22"/>
          <w:lang w:val="lv-LV"/>
        </w:rPr>
        <w:t>)</w:t>
      </w:r>
      <w:r w:rsidR="00693A31" w:rsidRPr="00033B8B">
        <w:rPr>
          <w:sz w:val="22"/>
          <w:szCs w:val="22"/>
          <w:lang w:val="lv-LV"/>
        </w:rPr>
        <w:t xml:space="preserve"> pārmaiņas.</w:t>
      </w:r>
    </w:p>
    <w:p w14:paraId="3767EAF3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28AD4A9D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Ritonavīra (600 mg divas reizes dienā) un cetirizīna (10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 xml:space="preserve">mg dienā) vairāku devu pētījumā cetirizīna iedarbības apmērs palielinājās par aptuveni 40%, turpretim ritonavīra </w:t>
      </w:r>
      <w:r w:rsidR="004C2D1E" w:rsidRPr="00033B8B">
        <w:rPr>
          <w:sz w:val="22"/>
          <w:szCs w:val="22"/>
          <w:lang w:val="lv-LV"/>
        </w:rPr>
        <w:t xml:space="preserve">sadalījums </w:t>
      </w:r>
      <w:r w:rsidR="002C2958" w:rsidRPr="00033B8B">
        <w:rPr>
          <w:sz w:val="22"/>
          <w:szCs w:val="22"/>
          <w:lang w:val="lv-LV"/>
        </w:rPr>
        <w:t xml:space="preserve">nedaudz </w:t>
      </w:r>
      <w:r w:rsidRPr="00033B8B">
        <w:rPr>
          <w:sz w:val="22"/>
          <w:szCs w:val="22"/>
          <w:lang w:val="lv-LV"/>
        </w:rPr>
        <w:t>mainījās</w:t>
      </w:r>
      <w:r w:rsidR="002C2958" w:rsidRPr="00033B8B">
        <w:rPr>
          <w:sz w:val="22"/>
          <w:szCs w:val="22"/>
          <w:lang w:val="lv-LV"/>
        </w:rPr>
        <w:t xml:space="preserve"> (</w:t>
      </w:r>
      <w:r w:rsidR="00EB0B10" w:rsidRPr="00033B8B">
        <w:rPr>
          <w:sz w:val="22"/>
          <w:szCs w:val="22"/>
          <w:lang w:val="lv-LV"/>
        </w:rPr>
        <w:noBreakHyphen/>
      </w:r>
      <w:r w:rsidR="002C2958" w:rsidRPr="00033B8B">
        <w:rPr>
          <w:sz w:val="22"/>
          <w:szCs w:val="22"/>
          <w:lang w:val="lv-LV"/>
        </w:rPr>
        <w:t>11%)</w:t>
      </w:r>
      <w:r w:rsidRPr="00033B8B">
        <w:rPr>
          <w:sz w:val="22"/>
          <w:szCs w:val="22"/>
          <w:lang w:val="lv-LV"/>
        </w:rPr>
        <w:t xml:space="preserve">, </w:t>
      </w:r>
      <w:r w:rsidR="004C2D1E" w:rsidRPr="00033B8B">
        <w:rPr>
          <w:sz w:val="22"/>
          <w:szCs w:val="22"/>
          <w:lang w:val="lv-LV"/>
        </w:rPr>
        <w:t>lietojot</w:t>
      </w:r>
      <w:r w:rsidR="002C2958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 xml:space="preserve">vienlaikus </w:t>
      </w:r>
      <w:r w:rsidR="00681F22" w:rsidRPr="00033B8B">
        <w:rPr>
          <w:sz w:val="22"/>
          <w:szCs w:val="22"/>
          <w:lang w:val="lv-LV"/>
        </w:rPr>
        <w:t>ar</w:t>
      </w:r>
      <w:r w:rsidRPr="00033B8B">
        <w:rPr>
          <w:sz w:val="22"/>
          <w:szCs w:val="22"/>
          <w:lang w:val="lv-LV"/>
        </w:rPr>
        <w:t xml:space="preserve"> cetirizīn</w:t>
      </w:r>
      <w:r w:rsidR="00681F22" w:rsidRPr="00033B8B">
        <w:rPr>
          <w:sz w:val="22"/>
          <w:szCs w:val="22"/>
          <w:lang w:val="lv-LV"/>
        </w:rPr>
        <w:t>u</w:t>
      </w:r>
      <w:r w:rsidR="00693A31" w:rsidRPr="00033B8B">
        <w:rPr>
          <w:sz w:val="22"/>
          <w:szCs w:val="22"/>
          <w:lang w:val="lv-LV"/>
        </w:rPr>
        <w:t>.</w:t>
      </w:r>
    </w:p>
    <w:p w14:paraId="1B1436D0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718791DE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Simpatomimētisku amīnu un MAO</w:t>
      </w:r>
      <w:r w:rsidR="00912CF7" w:rsidRPr="00033B8B">
        <w:rPr>
          <w:sz w:val="22"/>
          <w:szCs w:val="22"/>
          <w:lang w:val="lv-LV"/>
        </w:rPr>
        <w:t>I</w:t>
      </w:r>
      <w:r w:rsidRPr="00033B8B">
        <w:rPr>
          <w:sz w:val="22"/>
          <w:szCs w:val="22"/>
          <w:lang w:val="lv-LV"/>
        </w:rPr>
        <w:t xml:space="preserve"> vienlaikus lietošana var radīt hipertensīvu krīzi. MAO</w:t>
      </w:r>
      <w:r w:rsidR="001408D4" w:rsidRPr="00033B8B">
        <w:rPr>
          <w:sz w:val="22"/>
          <w:szCs w:val="22"/>
          <w:lang w:val="lv-LV"/>
        </w:rPr>
        <w:t>I</w:t>
      </w:r>
      <w:r w:rsidRPr="00033B8B">
        <w:rPr>
          <w:sz w:val="22"/>
          <w:szCs w:val="22"/>
          <w:lang w:val="lv-LV"/>
        </w:rPr>
        <w:t xml:space="preserve"> ilgstošās darbības dēļ mijiedarbība iespējama vēl 15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 xml:space="preserve">dienas pēc </w:t>
      </w:r>
      <w:r w:rsidR="001408D4" w:rsidRPr="00033B8B">
        <w:rPr>
          <w:sz w:val="22"/>
          <w:szCs w:val="22"/>
          <w:lang w:val="lv-LV"/>
        </w:rPr>
        <w:t>to</w:t>
      </w:r>
      <w:r w:rsidR="00693A31" w:rsidRPr="00033B8B">
        <w:rPr>
          <w:sz w:val="22"/>
          <w:szCs w:val="22"/>
          <w:lang w:val="lv-LV"/>
        </w:rPr>
        <w:t xml:space="preserve"> pārtraukšanas.</w:t>
      </w:r>
    </w:p>
    <w:p w14:paraId="78F3D659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3D731955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Simpatomimētiskie amīni var mazināt </w:t>
      </w:r>
      <w:r w:rsidR="001408D4" w:rsidRPr="00033B8B">
        <w:rPr>
          <w:sz w:val="22"/>
          <w:szCs w:val="22"/>
          <w:lang w:val="lv-LV"/>
        </w:rPr>
        <w:t>bēta-</w:t>
      </w:r>
      <w:r w:rsidRPr="00033B8B">
        <w:rPr>
          <w:sz w:val="22"/>
          <w:szCs w:val="22"/>
          <w:lang w:val="lv-LV"/>
        </w:rPr>
        <w:t xml:space="preserve">adrenoblokatoru un simpātisko aktivitāti mazinošu </w:t>
      </w:r>
      <w:r w:rsidR="00F55C92" w:rsidRPr="00033B8B">
        <w:rPr>
          <w:sz w:val="22"/>
          <w:szCs w:val="22"/>
          <w:lang w:val="lv-LV"/>
        </w:rPr>
        <w:t>zāļu</w:t>
      </w:r>
      <w:r w:rsidRPr="00033B8B">
        <w:rPr>
          <w:sz w:val="22"/>
          <w:szCs w:val="22"/>
          <w:lang w:val="lv-LV"/>
        </w:rPr>
        <w:t xml:space="preserve">, piemēram, metildopas, guanetidīna un rezerpīna antihipertensīvo ietekmi (skatīt </w:t>
      </w:r>
      <w:r w:rsidR="006977EC" w:rsidRPr="00033B8B">
        <w:rPr>
          <w:sz w:val="22"/>
          <w:szCs w:val="22"/>
          <w:lang w:val="lv-LV"/>
        </w:rPr>
        <w:t>4.4</w:t>
      </w:r>
      <w:r w:rsidR="0001522A" w:rsidRPr="00033B8B">
        <w:rPr>
          <w:sz w:val="22"/>
          <w:szCs w:val="22"/>
          <w:lang w:val="lv-LV"/>
        </w:rPr>
        <w:t>. </w:t>
      </w:r>
      <w:r w:rsidRPr="00033B8B">
        <w:rPr>
          <w:sz w:val="22"/>
          <w:szCs w:val="22"/>
          <w:lang w:val="lv-LV"/>
        </w:rPr>
        <w:t>apakšpu</w:t>
      </w:r>
      <w:r w:rsidR="0001522A" w:rsidRPr="00033B8B">
        <w:rPr>
          <w:sz w:val="22"/>
          <w:szCs w:val="22"/>
          <w:lang w:val="lv-LV"/>
        </w:rPr>
        <w:t>n</w:t>
      </w:r>
      <w:r w:rsidRPr="00033B8B">
        <w:rPr>
          <w:sz w:val="22"/>
          <w:szCs w:val="22"/>
          <w:lang w:val="lv-LV"/>
        </w:rPr>
        <w:t>ktu</w:t>
      </w:r>
      <w:r w:rsidR="00693A31" w:rsidRPr="00033B8B">
        <w:rPr>
          <w:sz w:val="22"/>
          <w:szCs w:val="22"/>
          <w:lang w:val="lv-LV"/>
        </w:rPr>
        <w:t>).</w:t>
      </w:r>
    </w:p>
    <w:p w14:paraId="039F953E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1C2D2A51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Vienlaikus lietojot linezolīdu un pseidoefedrīnu, var paaugstināties asinsspiediens tiem p</w:t>
      </w:r>
      <w:r w:rsidR="00693A31" w:rsidRPr="00033B8B">
        <w:rPr>
          <w:sz w:val="22"/>
          <w:szCs w:val="22"/>
          <w:lang w:val="lv-LV"/>
        </w:rPr>
        <w:t>acientiem, kam ir normotensija.</w:t>
      </w:r>
    </w:p>
    <w:p w14:paraId="0BBD2126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71AD595C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Lietojot pseidoefedrīnu vienlaikus ar sirds glikozīdiem, </w:t>
      </w:r>
      <w:r w:rsidR="007A4806" w:rsidRPr="00033B8B">
        <w:rPr>
          <w:sz w:val="22"/>
          <w:szCs w:val="22"/>
          <w:lang w:val="lv-LV"/>
        </w:rPr>
        <w:t>tādiem kā digoksīns vai digitoksīns,</w:t>
      </w:r>
      <w:r w:rsidR="00171CF0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var palielināties kardiostimulatora ektopiskā aktivitāte; tādēļ pacientiem</w:t>
      </w:r>
      <w:r w:rsidR="007A4806" w:rsidRPr="00033B8B">
        <w:rPr>
          <w:sz w:val="22"/>
          <w:szCs w:val="22"/>
          <w:lang w:val="lv-LV"/>
        </w:rPr>
        <w:t>, kuri tiek ārstēti ar sirds glikozīdiem,</w:t>
      </w:r>
      <w:r w:rsidRPr="00033B8B">
        <w:rPr>
          <w:sz w:val="22"/>
          <w:szCs w:val="22"/>
          <w:lang w:val="lv-LV"/>
        </w:rPr>
        <w:t xml:space="preserve"> jāizvairās no cetiri</w:t>
      </w:r>
      <w:r w:rsidR="00693A31" w:rsidRPr="00033B8B">
        <w:rPr>
          <w:sz w:val="22"/>
          <w:szCs w:val="22"/>
          <w:lang w:val="lv-LV"/>
        </w:rPr>
        <w:t>zīna-pseidoefedrīna lietošanas.</w:t>
      </w:r>
    </w:p>
    <w:p w14:paraId="224A2538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1182A67F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Antacīdi un protona sūkņa inhibitori palielina pseidoefedrīna absorbcijas ātrumu</w:t>
      </w:r>
      <w:r w:rsidR="00693A31" w:rsidRPr="00033B8B">
        <w:rPr>
          <w:sz w:val="22"/>
          <w:szCs w:val="22"/>
          <w:lang w:val="lv-LV"/>
        </w:rPr>
        <w:t>, savukārt kaolīns to samazina.</w:t>
      </w:r>
    </w:p>
    <w:p w14:paraId="5C39FEBF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FC007FF" w14:textId="0F13B791" w:rsidR="00C56B5F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Vienlaicīga halogenēto anestēzijas līdzekļu lietošana var izraisīt vai pas</w:t>
      </w:r>
      <w:r w:rsidR="00693A31" w:rsidRPr="00033B8B">
        <w:rPr>
          <w:sz w:val="22"/>
          <w:szCs w:val="22"/>
          <w:lang w:val="lv-LV"/>
        </w:rPr>
        <w:t>liktināt ventrikulāru aritmiju.</w:t>
      </w:r>
    </w:p>
    <w:p w14:paraId="3E9A565F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41F041EB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Nav pierādīts, ka lielu daudzumu tauku saturoša maltīte maina </w:t>
      </w:r>
      <w:r w:rsidR="007B018E" w:rsidRPr="00033B8B">
        <w:rPr>
          <w:sz w:val="22"/>
          <w:szCs w:val="22"/>
          <w:lang w:val="lv-LV"/>
        </w:rPr>
        <w:t xml:space="preserve">zāļu </w:t>
      </w:r>
      <w:r w:rsidRPr="00033B8B">
        <w:rPr>
          <w:sz w:val="22"/>
          <w:szCs w:val="22"/>
          <w:lang w:val="lv-LV"/>
        </w:rPr>
        <w:t>abu aktīvo vielu bioloģisko pieejamību</w:t>
      </w:r>
      <w:r w:rsidR="001408D4" w:rsidRPr="00033B8B">
        <w:rPr>
          <w:sz w:val="22"/>
          <w:szCs w:val="22"/>
          <w:lang w:val="lv-LV"/>
        </w:rPr>
        <w:t>.</w:t>
      </w:r>
      <w:r w:rsidRPr="00033B8B">
        <w:rPr>
          <w:sz w:val="22"/>
          <w:szCs w:val="22"/>
          <w:lang w:val="lv-LV"/>
        </w:rPr>
        <w:t xml:space="preserve"> </w:t>
      </w:r>
      <w:r w:rsidR="001408D4" w:rsidRPr="00033B8B">
        <w:rPr>
          <w:sz w:val="22"/>
          <w:szCs w:val="22"/>
          <w:lang w:val="lv-LV"/>
        </w:rPr>
        <w:t>T</w:t>
      </w:r>
      <w:r w:rsidRPr="00033B8B">
        <w:rPr>
          <w:sz w:val="22"/>
          <w:szCs w:val="22"/>
          <w:lang w:val="lv-LV"/>
        </w:rPr>
        <w:t>aču tā samazina cetirizīna maksimālo koncentrāciju plazm</w:t>
      </w:r>
      <w:r w:rsidR="00693A31" w:rsidRPr="00033B8B">
        <w:rPr>
          <w:sz w:val="22"/>
          <w:szCs w:val="22"/>
          <w:lang w:val="lv-LV"/>
        </w:rPr>
        <w:t>ā un novilcina tās sasniegšanu.</w:t>
      </w:r>
    </w:p>
    <w:p w14:paraId="391DB22F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4349786F" w14:textId="77777777" w:rsidR="005261BA" w:rsidRPr="00033B8B" w:rsidRDefault="00A07281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Fertilitāte, g</w:t>
      </w:r>
      <w:r w:rsidR="005261BA" w:rsidRPr="00033B8B">
        <w:rPr>
          <w:b/>
          <w:bCs/>
          <w:sz w:val="22"/>
          <w:szCs w:val="22"/>
          <w:lang w:val="lv-LV"/>
        </w:rPr>
        <w:t xml:space="preserve">rūtniecība un </w:t>
      </w:r>
      <w:r w:rsidRPr="00033B8B">
        <w:rPr>
          <w:b/>
          <w:bCs/>
          <w:sz w:val="22"/>
          <w:szCs w:val="22"/>
          <w:lang w:val="lv-LV"/>
        </w:rPr>
        <w:t>barošana ar krūti</w:t>
      </w:r>
    </w:p>
    <w:p w14:paraId="749E1F79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712A6D66" w14:textId="77777777" w:rsidR="00C56B5F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bCs/>
          <w:sz w:val="22"/>
          <w:szCs w:val="22"/>
          <w:u w:val="single"/>
          <w:lang w:val="lv-LV"/>
        </w:rPr>
        <w:t>Grūtniecība</w:t>
      </w:r>
    </w:p>
    <w:p w14:paraId="03B3D96B" w14:textId="77777777" w:rsidR="001408D4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Nav pietiekamu datu par </w:t>
      </w:r>
      <w:r w:rsidR="002144E3" w:rsidRPr="00033B8B">
        <w:rPr>
          <w:sz w:val="22"/>
          <w:szCs w:val="22"/>
          <w:lang w:val="lv-LV"/>
        </w:rPr>
        <w:t>cetirizīna-pseidoefedrīna</w:t>
      </w:r>
      <w:r w:rsidRPr="00033B8B">
        <w:rPr>
          <w:sz w:val="22"/>
          <w:szCs w:val="22"/>
          <w:lang w:val="lv-LV"/>
        </w:rPr>
        <w:t xml:space="preserve"> lietošanu sievietēm grūtniecības laikā.</w:t>
      </w:r>
      <w:r w:rsidR="001408D4" w:rsidRPr="00033B8B">
        <w:rPr>
          <w:lang w:val="lv-LV"/>
        </w:rPr>
        <w:t xml:space="preserve"> </w:t>
      </w:r>
      <w:r w:rsidR="001408D4" w:rsidRPr="00033B8B">
        <w:rPr>
          <w:sz w:val="22"/>
          <w:szCs w:val="22"/>
          <w:lang w:val="lv-LV"/>
        </w:rPr>
        <w:t>Grūtniecības laikā cetirizīna-pseidoefedrīnu nedrīkst lietot.</w:t>
      </w:r>
    </w:p>
    <w:p w14:paraId="25A89EFC" w14:textId="77777777" w:rsidR="001408D4" w:rsidRPr="00033B8B" w:rsidRDefault="001408D4" w:rsidP="005261BA">
      <w:pPr>
        <w:pStyle w:val="Default"/>
        <w:rPr>
          <w:sz w:val="22"/>
          <w:szCs w:val="22"/>
          <w:lang w:val="lv-LV"/>
        </w:rPr>
      </w:pPr>
    </w:p>
    <w:p w14:paraId="50E7FD77" w14:textId="77777777" w:rsidR="00044D1D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Pseidoefedrīna lietošana grūtniecības pirmajā trimestrī tiek saistīta ar gastrošīzes biežuma pieaugumu (vēdera priekšējās sienas defekts ar zarnu trūci)</w:t>
      </w:r>
      <w:r w:rsidR="00D1712D" w:rsidRPr="00033B8B">
        <w:rPr>
          <w:sz w:val="22"/>
          <w:szCs w:val="22"/>
          <w:lang w:val="lv-LV"/>
        </w:rPr>
        <w:t xml:space="preserve"> un tievo zarnu atrēzija (iedzimts tievo zarnu nosprostojums)</w:t>
      </w:r>
      <w:r w:rsidRPr="00033B8B">
        <w:rPr>
          <w:sz w:val="22"/>
          <w:szCs w:val="22"/>
          <w:lang w:val="lv-LV"/>
        </w:rPr>
        <w:t xml:space="preserve">. </w:t>
      </w:r>
    </w:p>
    <w:p w14:paraId="6EF3A8DA" w14:textId="77777777" w:rsidR="00044D1D" w:rsidRPr="00033B8B" w:rsidRDefault="00044D1D" w:rsidP="005261BA">
      <w:pPr>
        <w:pStyle w:val="Default"/>
        <w:rPr>
          <w:sz w:val="22"/>
          <w:szCs w:val="22"/>
          <w:lang w:val="lv-LV"/>
        </w:rPr>
      </w:pPr>
    </w:p>
    <w:p w14:paraId="14A19F3F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Pseidoefedrīna vazokonstriktoro īpašību dēļ, to nedrīkst lietot trešā trimestra laikā, jo tas var izraisīt samazinā</w:t>
      </w:r>
      <w:r w:rsidR="00693A31" w:rsidRPr="00033B8B">
        <w:rPr>
          <w:sz w:val="22"/>
          <w:szCs w:val="22"/>
          <w:lang w:val="lv-LV"/>
        </w:rPr>
        <w:t>tu uteroplacentālo cirkulāciju.</w:t>
      </w:r>
      <w:r w:rsidR="00044D1D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 xml:space="preserve">Nav pietiekamu datu par iespējamām cetirizīna blakusparādībām uz grūtniecību vai uz augļa/jaundzimušā veselību, ja tas tiek nozīmēts grūtniecības laikā. Nav pietiekamu ar dzīvniekiem veiktu pētījumu par ietekmi uz grūtniecību un embrija/augļa attīstību, dzemdībām vai pēcdzemdību attīstību (skatīt </w:t>
      </w:r>
      <w:r w:rsidR="006977EC" w:rsidRPr="00033B8B">
        <w:rPr>
          <w:sz w:val="22"/>
          <w:szCs w:val="22"/>
          <w:lang w:val="lv-LV"/>
        </w:rPr>
        <w:t>5.3</w:t>
      </w:r>
      <w:r w:rsidR="0001522A" w:rsidRPr="00033B8B">
        <w:rPr>
          <w:sz w:val="22"/>
          <w:szCs w:val="22"/>
          <w:lang w:val="lv-LV"/>
        </w:rPr>
        <w:t>.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apakšpunktu).</w:t>
      </w:r>
    </w:p>
    <w:p w14:paraId="1766E4AB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615F311C" w14:textId="77777777" w:rsidR="005261BA" w:rsidRPr="00033B8B" w:rsidRDefault="00A07281" w:rsidP="005261BA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bCs/>
          <w:sz w:val="22"/>
          <w:szCs w:val="22"/>
          <w:u w:val="single"/>
          <w:lang w:val="lv-LV"/>
        </w:rPr>
        <w:t>Barošana ar krūti</w:t>
      </w:r>
    </w:p>
    <w:p w14:paraId="1BEBF9D5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Cetirizīns un pseidoefedrīns nokļūst mātes pienā</w:t>
      </w:r>
      <w:r w:rsidR="001408D4" w:rsidRPr="00033B8B">
        <w:rPr>
          <w:sz w:val="22"/>
          <w:szCs w:val="22"/>
          <w:lang w:val="lv-LV"/>
        </w:rPr>
        <w:t>.</w:t>
      </w:r>
      <w:r w:rsidRPr="00033B8B">
        <w:rPr>
          <w:sz w:val="22"/>
          <w:szCs w:val="22"/>
          <w:lang w:val="lv-LV"/>
        </w:rPr>
        <w:t xml:space="preserve"> </w:t>
      </w:r>
      <w:r w:rsidR="001408D4" w:rsidRPr="00033B8B">
        <w:rPr>
          <w:sz w:val="22"/>
          <w:szCs w:val="22"/>
          <w:lang w:val="lv-LV"/>
        </w:rPr>
        <w:t>T</w:t>
      </w:r>
      <w:r w:rsidRPr="00033B8B">
        <w:rPr>
          <w:sz w:val="22"/>
          <w:szCs w:val="22"/>
          <w:lang w:val="lv-LV"/>
        </w:rPr>
        <w:t xml:space="preserve">ādēļ </w:t>
      </w:r>
      <w:r w:rsidR="007B018E" w:rsidRPr="00033B8B">
        <w:rPr>
          <w:sz w:val="22"/>
          <w:szCs w:val="22"/>
          <w:lang w:val="lv-LV"/>
        </w:rPr>
        <w:t xml:space="preserve">cetirizīna-pseidoefedrīnu </w:t>
      </w:r>
      <w:r w:rsidRPr="00033B8B">
        <w:rPr>
          <w:sz w:val="22"/>
          <w:szCs w:val="22"/>
          <w:lang w:val="lv-LV"/>
        </w:rPr>
        <w:t xml:space="preserve">nedrīkst lietot </w:t>
      </w:r>
      <w:r w:rsidR="0001522A" w:rsidRPr="00033B8B">
        <w:rPr>
          <w:sz w:val="22"/>
          <w:szCs w:val="22"/>
          <w:lang w:val="lv-LV"/>
        </w:rPr>
        <w:t>barošanas ar krūti</w:t>
      </w:r>
      <w:r w:rsidR="00693A31" w:rsidRPr="00033B8B">
        <w:rPr>
          <w:sz w:val="22"/>
          <w:szCs w:val="22"/>
          <w:lang w:val="lv-LV"/>
        </w:rPr>
        <w:t xml:space="preserve"> laikā.</w:t>
      </w:r>
    </w:p>
    <w:p w14:paraId="46DC211E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05EF5358" w14:textId="77777777" w:rsidR="006977EC" w:rsidRPr="00033B8B" w:rsidRDefault="006977EC" w:rsidP="006977EC">
      <w:pPr>
        <w:pStyle w:val="Default"/>
        <w:rPr>
          <w:bCs/>
          <w:sz w:val="22"/>
          <w:szCs w:val="22"/>
          <w:u w:val="single"/>
          <w:lang w:val="lv-LV"/>
        </w:rPr>
      </w:pPr>
      <w:r w:rsidRPr="00033B8B">
        <w:rPr>
          <w:bCs/>
          <w:sz w:val="22"/>
          <w:szCs w:val="22"/>
          <w:u w:val="single"/>
          <w:lang w:val="lv-LV"/>
        </w:rPr>
        <w:t>Fertilitāte</w:t>
      </w:r>
    </w:p>
    <w:p w14:paraId="495D0978" w14:textId="77777777" w:rsidR="006977EC" w:rsidRPr="00033B8B" w:rsidRDefault="006977EC" w:rsidP="006977EC">
      <w:pPr>
        <w:pStyle w:val="Default"/>
        <w:rPr>
          <w:bCs/>
          <w:sz w:val="22"/>
          <w:szCs w:val="22"/>
          <w:lang w:val="lv-LV"/>
        </w:rPr>
      </w:pPr>
      <w:r w:rsidRPr="00033B8B">
        <w:rPr>
          <w:bCs/>
          <w:sz w:val="22"/>
          <w:szCs w:val="22"/>
          <w:lang w:val="lv-LV"/>
        </w:rPr>
        <w:t xml:space="preserve">Pētījumi ar </w:t>
      </w:r>
      <w:r w:rsidR="001408D4" w:rsidRPr="00033B8B">
        <w:rPr>
          <w:bCs/>
          <w:sz w:val="22"/>
          <w:szCs w:val="22"/>
          <w:lang w:val="lv-LV"/>
        </w:rPr>
        <w:t xml:space="preserve">žurkām </w:t>
      </w:r>
      <w:r w:rsidRPr="00033B8B">
        <w:rPr>
          <w:bCs/>
          <w:sz w:val="22"/>
          <w:szCs w:val="22"/>
          <w:lang w:val="lv-LV"/>
        </w:rPr>
        <w:t>neatklāja ietekmi uz fertilitāti</w:t>
      </w:r>
      <w:r w:rsidR="003A51C4" w:rsidRPr="00033B8B">
        <w:rPr>
          <w:bCs/>
          <w:sz w:val="22"/>
          <w:szCs w:val="22"/>
          <w:lang w:val="lv-LV"/>
        </w:rPr>
        <w:t>, lietojot</w:t>
      </w:r>
      <w:r w:rsidRPr="00033B8B">
        <w:rPr>
          <w:bCs/>
          <w:sz w:val="22"/>
          <w:szCs w:val="22"/>
          <w:lang w:val="lv-LV"/>
        </w:rPr>
        <w:t xml:space="preserve"> </w:t>
      </w:r>
      <w:r w:rsidR="007B018E" w:rsidRPr="00033B8B">
        <w:rPr>
          <w:bCs/>
          <w:sz w:val="22"/>
          <w:szCs w:val="22"/>
          <w:lang w:val="lv-LV"/>
        </w:rPr>
        <w:t>iekšķīg</w:t>
      </w:r>
      <w:r w:rsidR="003A51C4" w:rsidRPr="00033B8B">
        <w:rPr>
          <w:bCs/>
          <w:sz w:val="22"/>
          <w:szCs w:val="22"/>
          <w:lang w:val="lv-LV"/>
        </w:rPr>
        <w:t>i devu</w:t>
      </w:r>
      <w:r w:rsidR="007B018E" w:rsidRPr="00033B8B">
        <w:rPr>
          <w:bCs/>
          <w:sz w:val="22"/>
          <w:szCs w:val="22"/>
          <w:lang w:val="lv-LV"/>
        </w:rPr>
        <w:t xml:space="preserve"> </w:t>
      </w:r>
      <w:r w:rsidR="005F6FFA" w:rsidRPr="00033B8B">
        <w:rPr>
          <w:bCs/>
          <w:sz w:val="22"/>
          <w:szCs w:val="22"/>
          <w:lang w:val="lv-LV"/>
        </w:rPr>
        <w:t>160</w:t>
      </w:r>
      <w:r w:rsidR="009B1CED" w:rsidRPr="00033B8B">
        <w:rPr>
          <w:sz w:val="22"/>
          <w:szCs w:val="22"/>
          <w:lang w:val="lv-LV"/>
        </w:rPr>
        <w:t> </w:t>
      </w:r>
      <w:r w:rsidR="005F6FFA" w:rsidRPr="00033B8B">
        <w:rPr>
          <w:bCs/>
          <w:sz w:val="22"/>
          <w:szCs w:val="22"/>
          <w:lang w:val="lv-LV"/>
        </w:rPr>
        <w:t>mg/kg (satur 6,4</w:t>
      </w:r>
      <w:r w:rsidR="009B1CED" w:rsidRPr="00033B8B">
        <w:rPr>
          <w:sz w:val="22"/>
          <w:szCs w:val="22"/>
          <w:lang w:val="lv-LV"/>
        </w:rPr>
        <w:t> </w:t>
      </w:r>
      <w:r w:rsidR="005F6FFA" w:rsidRPr="00033B8B">
        <w:rPr>
          <w:bCs/>
          <w:sz w:val="22"/>
          <w:szCs w:val="22"/>
          <w:lang w:val="lv-LV"/>
        </w:rPr>
        <w:t>mg/kg cetirizīnu un 153,6</w:t>
      </w:r>
      <w:r w:rsidR="009B1CED" w:rsidRPr="00033B8B">
        <w:rPr>
          <w:sz w:val="22"/>
          <w:szCs w:val="22"/>
          <w:lang w:val="lv-LV"/>
        </w:rPr>
        <w:t> </w:t>
      </w:r>
      <w:r w:rsidR="005F6FFA" w:rsidRPr="00033B8B">
        <w:rPr>
          <w:bCs/>
          <w:sz w:val="22"/>
          <w:szCs w:val="22"/>
          <w:lang w:val="lv-LV"/>
        </w:rPr>
        <w:t>mg/kg pseidoefedrīnu)</w:t>
      </w:r>
      <w:r w:rsidRPr="00033B8B">
        <w:rPr>
          <w:bCs/>
          <w:sz w:val="22"/>
          <w:szCs w:val="22"/>
          <w:lang w:val="lv-LV"/>
        </w:rPr>
        <w:t xml:space="preserve">, </w:t>
      </w:r>
      <w:r w:rsidR="005F6FFA" w:rsidRPr="00033B8B">
        <w:rPr>
          <w:bCs/>
          <w:sz w:val="22"/>
          <w:szCs w:val="22"/>
          <w:lang w:val="lv-LV"/>
        </w:rPr>
        <w:t>radot 2</w:t>
      </w:r>
      <w:r w:rsidR="009B1CED" w:rsidRPr="00033B8B">
        <w:rPr>
          <w:sz w:val="22"/>
          <w:szCs w:val="22"/>
          <w:lang w:val="lv-LV"/>
        </w:rPr>
        <w:t> </w:t>
      </w:r>
      <w:r w:rsidR="005F6FFA" w:rsidRPr="00033B8B">
        <w:rPr>
          <w:bCs/>
          <w:sz w:val="22"/>
          <w:szCs w:val="22"/>
          <w:lang w:val="lv-LV"/>
        </w:rPr>
        <w:t>reizes lielāku cetirizīna sistēmisko iedarbību nekā terapeitiskā iedarbība cilvēkiem</w:t>
      </w:r>
      <w:r w:rsidRPr="00033B8B">
        <w:rPr>
          <w:bCs/>
          <w:sz w:val="22"/>
          <w:szCs w:val="22"/>
          <w:lang w:val="lv-LV"/>
        </w:rPr>
        <w:t>.</w:t>
      </w:r>
      <w:r w:rsidR="003A51C4" w:rsidRPr="00033B8B">
        <w:rPr>
          <w:bCs/>
          <w:sz w:val="22"/>
          <w:szCs w:val="22"/>
          <w:lang w:val="lv-LV"/>
        </w:rPr>
        <w:t xml:space="preserve"> </w:t>
      </w:r>
      <w:r w:rsidRPr="00033B8B">
        <w:rPr>
          <w:bCs/>
          <w:sz w:val="22"/>
          <w:szCs w:val="22"/>
          <w:lang w:val="lv-LV"/>
        </w:rPr>
        <w:t>Dati par fertilitāti cilvēkiem nav pieejami.</w:t>
      </w:r>
    </w:p>
    <w:p w14:paraId="11412AC5" w14:textId="77777777" w:rsidR="006977EC" w:rsidRPr="00033B8B" w:rsidRDefault="006977EC" w:rsidP="006977EC">
      <w:pPr>
        <w:pStyle w:val="Default"/>
        <w:rPr>
          <w:b/>
          <w:bCs/>
          <w:sz w:val="22"/>
          <w:szCs w:val="22"/>
          <w:lang w:val="lv-LV"/>
        </w:rPr>
      </w:pPr>
    </w:p>
    <w:p w14:paraId="0C1289CE" w14:textId="77777777" w:rsidR="005261BA" w:rsidRPr="00033B8B" w:rsidRDefault="005261BA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Ietekme uz spēju vadīt transportl</w:t>
      </w:r>
      <w:r w:rsidR="00693A31" w:rsidRPr="00033B8B">
        <w:rPr>
          <w:b/>
          <w:bCs/>
          <w:sz w:val="22"/>
          <w:szCs w:val="22"/>
          <w:lang w:val="lv-LV"/>
        </w:rPr>
        <w:t>īdzekļus un apkalpot mehānismus</w:t>
      </w:r>
    </w:p>
    <w:p w14:paraId="3E3D6D31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592C3F8" w14:textId="77777777" w:rsidR="005F6FFA" w:rsidRPr="00033B8B" w:rsidRDefault="005F6FF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Pacienti, kuri plāno vadīt transportlīdzekļus, veikt potenciāli bīstamas darbības vai apkalpot mehānismus, nedrīkst pārsniegt </w:t>
      </w:r>
      <w:r w:rsidR="00EB0B10" w:rsidRPr="00033B8B">
        <w:rPr>
          <w:sz w:val="22"/>
          <w:szCs w:val="22"/>
          <w:lang w:val="lv-LV"/>
        </w:rPr>
        <w:t>ieteicamo</w:t>
      </w:r>
      <w:r w:rsidRPr="00033B8B">
        <w:rPr>
          <w:sz w:val="22"/>
          <w:szCs w:val="22"/>
          <w:lang w:val="lv-LV"/>
        </w:rPr>
        <w:t xml:space="preserve"> devu</w:t>
      </w:r>
      <w:r w:rsidR="00E91749" w:rsidRPr="00033B8B">
        <w:rPr>
          <w:sz w:val="22"/>
          <w:szCs w:val="22"/>
          <w:lang w:val="lv-LV"/>
        </w:rPr>
        <w:t>. Jāņem vērā arī individuālā atbildes reakcija uz zālēm. Pacientiem, kuriem rodas miegainība, vajadzētu izvairīties no transportlīdzekļu vadīšanas, potenciāli bīstamu darbību veikšanas vai mehānismu apkalpošanas.</w:t>
      </w:r>
    </w:p>
    <w:p w14:paraId="7A74F2C2" w14:textId="77777777" w:rsidR="00433677" w:rsidRPr="00033B8B" w:rsidRDefault="00433677" w:rsidP="005261BA">
      <w:pPr>
        <w:pStyle w:val="Default"/>
        <w:rPr>
          <w:sz w:val="22"/>
          <w:szCs w:val="22"/>
          <w:lang w:val="lv-LV"/>
        </w:rPr>
      </w:pPr>
    </w:p>
    <w:p w14:paraId="7391EB5E" w14:textId="77777777" w:rsidR="00433677" w:rsidRPr="00033B8B" w:rsidRDefault="00E91749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Pacientiem</w:t>
      </w:r>
      <w:r w:rsidR="00433677" w:rsidRPr="00033B8B">
        <w:rPr>
          <w:sz w:val="22"/>
          <w:szCs w:val="22"/>
          <w:lang w:val="lv-LV"/>
        </w:rPr>
        <w:t>,</w:t>
      </w:r>
      <w:r w:rsidRPr="00033B8B">
        <w:rPr>
          <w:sz w:val="22"/>
          <w:szCs w:val="22"/>
          <w:lang w:val="lv-LV"/>
        </w:rPr>
        <w:t xml:space="preserve"> </w:t>
      </w:r>
      <w:r w:rsidR="00433677" w:rsidRPr="00033B8B">
        <w:rPr>
          <w:sz w:val="22"/>
          <w:szCs w:val="22"/>
          <w:lang w:val="lv-LV"/>
        </w:rPr>
        <w:t xml:space="preserve">kas </w:t>
      </w:r>
      <w:r w:rsidRPr="00033B8B">
        <w:rPr>
          <w:sz w:val="22"/>
          <w:szCs w:val="22"/>
          <w:lang w:val="lv-LV"/>
        </w:rPr>
        <w:t xml:space="preserve">vienlaikus </w:t>
      </w:r>
      <w:r w:rsidR="007B018E" w:rsidRPr="00033B8B">
        <w:rPr>
          <w:sz w:val="22"/>
          <w:szCs w:val="22"/>
          <w:lang w:val="lv-LV"/>
        </w:rPr>
        <w:t>saņēma</w:t>
      </w:r>
      <w:r w:rsidRPr="00033B8B">
        <w:rPr>
          <w:sz w:val="22"/>
          <w:szCs w:val="22"/>
          <w:lang w:val="lv-LV"/>
        </w:rPr>
        <w:t xml:space="preserve"> </w:t>
      </w:r>
      <w:r w:rsidR="00433677" w:rsidRPr="00033B8B">
        <w:rPr>
          <w:sz w:val="22"/>
          <w:szCs w:val="22"/>
          <w:lang w:val="lv-LV"/>
        </w:rPr>
        <w:t>10</w:t>
      </w:r>
      <w:r w:rsidR="009B1CED" w:rsidRPr="00033B8B">
        <w:rPr>
          <w:sz w:val="22"/>
          <w:szCs w:val="22"/>
          <w:lang w:val="lv-LV"/>
        </w:rPr>
        <w:t> </w:t>
      </w:r>
      <w:r w:rsidR="00433677" w:rsidRPr="00033B8B">
        <w:rPr>
          <w:sz w:val="22"/>
          <w:szCs w:val="22"/>
          <w:lang w:val="lv-LV"/>
        </w:rPr>
        <w:t xml:space="preserve">mg cetirizīna </w:t>
      </w:r>
      <w:r w:rsidRPr="00033B8B">
        <w:rPr>
          <w:sz w:val="22"/>
          <w:szCs w:val="22"/>
          <w:lang w:val="lv-LV"/>
        </w:rPr>
        <w:t>dienā</w:t>
      </w:r>
      <w:r w:rsidR="00F66510" w:rsidRPr="00033B8B">
        <w:rPr>
          <w:sz w:val="22"/>
          <w:szCs w:val="22"/>
          <w:lang w:val="lv-LV"/>
        </w:rPr>
        <w:t xml:space="preserve"> (apstiprinātā deva)</w:t>
      </w:r>
      <w:r w:rsidRPr="00033B8B">
        <w:rPr>
          <w:sz w:val="22"/>
          <w:szCs w:val="22"/>
          <w:lang w:val="lv-LV"/>
        </w:rPr>
        <w:t xml:space="preserve">, </w:t>
      </w:r>
      <w:r w:rsidR="00433677" w:rsidRPr="00033B8B">
        <w:rPr>
          <w:sz w:val="22"/>
          <w:szCs w:val="22"/>
          <w:lang w:val="lv-LV"/>
        </w:rPr>
        <w:t>t</w:t>
      </w:r>
      <w:r w:rsidR="005261BA" w:rsidRPr="00033B8B">
        <w:rPr>
          <w:sz w:val="22"/>
          <w:szCs w:val="22"/>
          <w:lang w:val="lv-LV"/>
        </w:rPr>
        <w:t xml:space="preserve">ransportlīdzekļa vadīšanas spēju, miega </w:t>
      </w:r>
      <w:r w:rsidR="00ED7EEE" w:rsidRPr="00033B8B">
        <w:rPr>
          <w:sz w:val="22"/>
          <w:szCs w:val="22"/>
          <w:lang w:val="lv-LV"/>
        </w:rPr>
        <w:t xml:space="preserve">latento periodu </w:t>
      </w:r>
      <w:r w:rsidR="005261BA" w:rsidRPr="00033B8B">
        <w:rPr>
          <w:sz w:val="22"/>
          <w:szCs w:val="22"/>
          <w:lang w:val="lv-LV"/>
        </w:rPr>
        <w:t xml:space="preserve">un darba pie konveijera līnijas objektīvas pārbaudes nav pierādījušas klīniski nozīmīgu ietekmi. </w:t>
      </w:r>
      <w:r w:rsidR="00433677" w:rsidRPr="00033B8B">
        <w:rPr>
          <w:sz w:val="22"/>
          <w:szCs w:val="22"/>
          <w:lang w:val="lv-LV"/>
        </w:rPr>
        <w:t>Tomēr</w:t>
      </w:r>
      <w:r w:rsidR="007B018E" w:rsidRPr="00033B8B">
        <w:rPr>
          <w:sz w:val="22"/>
          <w:szCs w:val="22"/>
          <w:lang w:val="lv-LV"/>
        </w:rPr>
        <w:t>,</w:t>
      </w:r>
      <w:r w:rsidR="00433677" w:rsidRPr="00033B8B">
        <w:rPr>
          <w:sz w:val="22"/>
          <w:szCs w:val="22"/>
          <w:lang w:val="lv-LV"/>
        </w:rPr>
        <w:t xml:space="preserve"> vienlaicīga cetirizīna lietošana kopā ar alkoholu vai citām CNS darbību nom</w:t>
      </w:r>
      <w:r w:rsidR="007B018E" w:rsidRPr="00033B8B">
        <w:rPr>
          <w:sz w:val="22"/>
          <w:szCs w:val="22"/>
          <w:lang w:val="lv-LV"/>
        </w:rPr>
        <w:t>ā</w:t>
      </w:r>
      <w:r w:rsidR="00433677" w:rsidRPr="00033B8B">
        <w:rPr>
          <w:sz w:val="22"/>
          <w:szCs w:val="22"/>
          <w:lang w:val="lv-LV"/>
        </w:rPr>
        <w:t xml:space="preserve">cošām vielām, var izraisīt papildu uzmanības samazināšanos un ietekmēt </w:t>
      </w:r>
      <w:r w:rsidR="00F66510" w:rsidRPr="00033B8B">
        <w:rPr>
          <w:sz w:val="22"/>
          <w:szCs w:val="22"/>
          <w:lang w:val="lv-LV"/>
        </w:rPr>
        <w:t>darb</w:t>
      </w:r>
      <w:r w:rsidR="000A401E" w:rsidRPr="00033B8B">
        <w:rPr>
          <w:sz w:val="22"/>
          <w:szCs w:val="22"/>
          <w:lang w:val="lv-LV"/>
        </w:rPr>
        <w:t xml:space="preserve">a </w:t>
      </w:r>
      <w:r w:rsidR="00613AD6" w:rsidRPr="00033B8B">
        <w:rPr>
          <w:sz w:val="22"/>
          <w:szCs w:val="22"/>
          <w:lang w:val="lv-LV"/>
        </w:rPr>
        <w:t>spēj</w:t>
      </w:r>
      <w:r w:rsidR="00F66510" w:rsidRPr="00033B8B">
        <w:rPr>
          <w:sz w:val="22"/>
          <w:szCs w:val="22"/>
          <w:lang w:val="lv-LV"/>
        </w:rPr>
        <w:t>as</w:t>
      </w:r>
      <w:r w:rsidR="00433677" w:rsidRPr="00033B8B">
        <w:rPr>
          <w:sz w:val="22"/>
          <w:szCs w:val="22"/>
          <w:lang w:val="lv-LV"/>
        </w:rPr>
        <w:t>.</w:t>
      </w:r>
    </w:p>
    <w:p w14:paraId="3FFF6EC2" w14:textId="77777777" w:rsidR="00433677" w:rsidRPr="00033B8B" w:rsidRDefault="00433677" w:rsidP="005261BA">
      <w:pPr>
        <w:pStyle w:val="Default"/>
        <w:rPr>
          <w:sz w:val="22"/>
          <w:szCs w:val="22"/>
          <w:lang w:val="lv-LV"/>
        </w:rPr>
      </w:pPr>
    </w:p>
    <w:p w14:paraId="4548DAD3" w14:textId="77777777" w:rsidR="00433677" w:rsidRPr="00033B8B" w:rsidRDefault="00433677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informācijas par pseidoefedrīna negatīvu ietekmi</w:t>
      </w:r>
      <w:r w:rsidR="00F66510" w:rsidRPr="00033B8B">
        <w:rPr>
          <w:sz w:val="22"/>
          <w:szCs w:val="22"/>
          <w:lang w:val="lv-LV"/>
        </w:rPr>
        <w:t xml:space="preserve"> uz spēju vadīt transportlīdzekļus un apkalpot mehānismus</w:t>
      </w:r>
      <w:r w:rsidRPr="00033B8B">
        <w:rPr>
          <w:sz w:val="22"/>
          <w:szCs w:val="22"/>
          <w:lang w:val="lv-LV"/>
        </w:rPr>
        <w:t>, un tā arī nav gaidāma.</w:t>
      </w:r>
    </w:p>
    <w:p w14:paraId="16FF9C08" w14:textId="77777777" w:rsidR="002E10B0" w:rsidRPr="00033B8B" w:rsidRDefault="002E10B0" w:rsidP="005261BA">
      <w:pPr>
        <w:pStyle w:val="Default"/>
        <w:rPr>
          <w:sz w:val="22"/>
          <w:szCs w:val="22"/>
          <w:lang w:val="lv-LV"/>
        </w:rPr>
      </w:pPr>
    </w:p>
    <w:p w14:paraId="6711AE67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Tomēr jāatzīmē, ka dažādiem indivīdiem, lietojot dažād</w:t>
      </w:r>
      <w:r w:rsidR="00F55C92" w:rsidRPr="00033B8B">
        <w:rPr>
          <w:sz w:val="22"/>
          <w:szCs w:val="22"/>
          <w:lang w:val="lv-LV"/>
        </w:rPr>
        <w:t>a</w:t>
      </w:r>
      <w:r w:rsidRPr="00033B8B">
        <w:rPr>
          <w:sz w:val="22"/>
          <w:szCs w:val="22"/>
          <w:lang w:val="lv-LV"/>
        </w:rPr>
        <w:t>s</w:t>
      </w:r>
      <w:r w:rsidR="00F55C92" w:rsidRPr="00033B8B">
        <w:rPr>
          <w:sz w:val="22"/>
          <w:szCs w:val="22"/>
          <w:lang w:val="lv-LV"/>
        </w:rPr>
        <w:t xml:space="preserve"> zāles</w:t>
      </w:r>
      <w:r w:rsidRPr="00033B8B">
        <w:rPr>
          <w:sz w:val="22"/>
          <w:szCs w:val="22"/>
          <w:lang w:val="lv-LV"/>
        </w:rPr>
        <w:t>, šī ietekme var mainīties: klīniskos pētījumos ziņots par subjektīvu miegainības sajūtu. Lietojot devas, kas lielākas par parasti ieteicamajām, var rasties iet</w:t>
      </w:r>
      <w:r w:rsidR="00693A31" w:rsidRPr="00033B8B">
        <w:rPr>
          <w:sz w:val="22"/>
          <w:szCs w:val="22"/>
          <w:lang w:val="lv-LV"/>
        </w:rPr>
        <w:t>ekme uz centrālo nervu sistēmu.</w:t>
      </w:r>
    </w:p>
    <w:p w14:paraId="2C5C9AE8" w14:textId="77777777" w:rsidR="006316A3" w:rsidRPr="00033B8B" w:rsidRDefault="006316A3" w:rsidP="005261BA">
      <w:pPr>
        <w:pStyle w:val="Default"/>
        <w:rPr>
          <w:bCs/>
          <w:sz w:val="22"/>
          <w:szCs w:val="22"/>
          <w:u w:val="single"/>
          <w:lang w:val="lv-LV"/>
        </w:rPr>
      </w:pPr>
    </w:p>
    <w:p w14:paraId="77AF88ED" w14:textId="77777777" w:rsidR="005261BA" w:rsidRPr="00033B8B" w:rsidRDefault="00693A31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Nevēlamās blakusparādības</w:t>
      </w:r>
    </w:p>
    <w:p w14:paraId="2424D35A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33CCE2DC" w14:textId="77777777" w:rsidR="00884AF2" w:rsidRPr="00033B8B" w:rsidRDefault="00884AF2" w:rsidP="005261BA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Klīniskie pētījumi</w:t>
      </w:r>
    </w:p>
    <w:p w14:paraId="5627F07B" w14:textId="77777777" w:rsidR="00A46A47" w:rsidRPr="00033B8B" w:rsidRDefault="00A46A47" w:rsidP="00A46A47">
      <w:pPr>
        <w:numPr>
          <w:ilvl w:val="0"/>
          <w:numId w:val="8"/>
        </w:numPr>
        <w:tabs>
          <w:tab w:val="left" w:pos="709"/>
        </w:tabs>
        <w:spacing w:line="260" w:lineRule="exact"/>
        <w:rPr>
          <w:bCs/>
          <w:i/>
          <w:iCs/>
          <w:noProof/>
          <w:sz w:val="22"/>
          <w:szCs w:val="22"/>
          <w:u w:val="single"/>
        </w:rPr>
      </w:pPr>
      <w:r w:rsidRPr="00033B8B">
        <w:rPr>
          <w:bCs/>
          <w:i/>
          <w:iCs/>
          <w:noProof/>
          <w:sz w:val="22"/>
          <w:szCs w:val="22"/>
          <w:u w:val="single"/>
        </w:rPr>
        <w:t>Pārskats</w:t>
      </w:r>
    </w:p>
    <w:p w14:paraId="5541815D" w14:textId="77777777" w:rsidR="005261BA" w:rsidRPr="00033B8B" w:rsidRDefault="005261BA" w:rsidP="002E10B0">
      <w:pPr>
        <w:pStyle w:val="Default"/>
        <w:ind w:left="709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Kontrolētos klīniskos pētījumos blakusparādības, kas tika konstatētas vairāk nekā 1% pacientu, kas lietoja cetirizīna un pseidoefedrīna kombināciju, neatšķīrās no tām, par kurām tika ziņots cetirizīna un pseidoe</w:t>
      </w:r>
      <w:r w:rsidR="00693A31" w:rsidRPr="00033B8B">
        <w:rPr>
          <w:sz w:val="22"/>
          <w:szCs w:val="22"/>
          <w:lang w:val="lv-LV"/>
        </w:rPr>
        <w:t>fedrīna monoterapijas gadījumā.</w:t>
      </w:r>
    </w:p>
    <w:p w14:paraId="4D0CAF17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7AA5EB2E" w14:textId="77777777" w:rsidR="00884AF2" w:rsidRPr="00033B8B" w:rsidRDefault="00884AF2" w:rsidP="005261BA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Pēcreģistrācijas pieredze</w:t>
      </w:r>
    </w:p>
    <w:p w14:paraId="4A3C3E25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Nevēlamās blakusparādības, kas rodas, lietojot cetirizīnu, galvenokārt ir saistītas ar CNS nomācošu vai </w:t>
      </w:r>
      <w:smartTag w:uri="urn:schemas-microsoft-com:office:smarttags" w:element="country-region">
        <w:r w:rsidRPr="00033B8B">
          <w:rPr>
            <w:sz w:val="22"/>
            <w:szCs w:val="22"/>
            <w:lang w:val="lv-LV"/>
          </w:rPr>
          <w:t>CNS</w:t>
        </w:r>
      </w:smartTag>
      <w:r w:rsidRPr="00033B8B">
        <w:rPr>
          <w:sz w:val="22"/>
          <w:szCs w:val="22"/>
          <w:lang w:val="lv-LV"/>
        </w:rPr>
        <w:t xml:space="preserve"> paradoksālās stimulācijas iedarbību, antiholīnerģisk</w:t>
      </w:r>
      <w:r w:rsidR="004C22B7" w:rsidRPr="00033B8B">
        <w:rPr>
          <w:sz w:val="22"/>
          <w:szCs w:val="22"/>
          <w:lang w:val="lv-LV"/>
        </w:rPr>
        <w:t>ai</w:t>
      </w:r>
      <w:r w:rsidRPr="00033B8B">
        <w:rPr>
          <w:sz w:val="22"/>
          <w:szCs w:val="22"/>
          <w:lang w:val="lv-LV"/>
        </w:rPr>
        <w:t xml:space="preserve"> </w:t>
      </w:r>
      <w:r w:rsidR="004C22B7" w:rsidRPr="00033B8B">
        <w:rPr>
          <w:sz w:val="22"/>
          <w:szCs w:val="22"/>
          <w:lang w:val="lv-LV"/>
        </w:rPr>
        <w:t xml:space="preserve">līdzīgu </w:t>
      </w:r>
      <w:r w:rsidRPr="00033B8B">
        <w:rPr>
          <w:sz w:val="22"/>
          <w:szCs w:val="22"/>
          <w:lang w:val="lv-LV"/>
        </w:rPr>
        <w:t>aktivitāti vai paaugstinātas jutības reakcijām</w:t>
      </w:r>
      <w:r w:rsidR="001E5C9F" w:rsidRPr="00033B8B">
        <w:rPr>
          <w:sz w:val="22"/>
          <w:szCs w:val="22"/>
          <w:lang w:val="lv-LV"/>
        </w:rPr>
        <w:t xml:space="preserve"> (tai skaitā anafilaktiskais šoks)</w:t>
      </w:r>
      <w:r w:rsidR="00DB18B8">
        <w:rPr>
          <w:sz w:val="22"/>
          <w:szCs w:val="22"/>
          <w:lang w:val="lv-LV"/>
        </w:rPr>
        <w:t xml:space="preserve">. </w:t>
      </w:r>
      <w:r w:rsidR="00DB18B8" w:rsidRPr="00DB18B8">
        <w:rPr>
          <w:sz w:val="22"/>
          <w:szCs w:val="22"/>
          <w:lang w:val="lv-LV"/>
        </w:rPr>
        <w:t>Ir ziņots par atsevišķiem hepatīta gadījumiem, lietojot tikai cetirizīnu.</w:t>
      </w:r>
      <w:r w:rsidRPr="00033B8B">
        <w:rPr>
          <w:sz w:val="22"/>
          <w:szCs w:val="22"/>
          <w:lang w:val="lv-LV"/>
        </w:rPr>
        <w:t xml:space="preserve"> </w:t>
      </w:r>
      <w:r w:rsidR="00DB18B8">
        <w:rPr>
          <w:sz w:val="22"/>
          <w:szCs w:val="22"/>
          <w:lang w:val="lv-LV"/>
        </w:rPr>
        <w:t>P</w:t>
      </w:r>
      <w:r w:rsidRPr="00033B8B">
        <w:rPr>
          <w:sz w:val="22"/>
          <w:szCs w:val="22"/>
          <w:lang w:val="lv-LV"/>
        </w:rPr>
        <w:t>seidoefedrīna blakusparādības, visticamāk, ir saistītas ar CNS stimulāciju vai kardiovaskulāriem traucējumiem. Literatūras dati liecina par atsevišķiem insulta un išēmiskā kolīta gadījumiem, kas saistī</w:t>
      </w:r>
      <w:r w:rsidR="00693A31" w:rsidRPr="00033B8B">
        <w:rPr>
          <w:sz w:val="22"/>
          <w:szCs w:val="22"/>
          <w:lang w:val="lv-LV"/>
        </w:rPr>
        <w:t>ti ar pseidoefedrīna lietošanu.</w:t>
      </w:r>
    </w:p>
    <w:p w14:paraId="0428E3CB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2FB787C3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Ir ziņots par turpmāk minētajām nelabvēlīgajām blakusparādībām. Tās ir sakārtotas atbilstoši MedDRA primārajai orgānu sistēmu klasifikācijai un aprēķinātajam biežumam. Biežums tiek definēts šādi: ļoti bieži (≥1/10)</w:t>
      </w:r>
      <w:r w:rsidR="002E10B0" w:rsidRPr="00033B8B">
        <w:rPr>
          <w:sz w:val="22"/>
          <w:szCs w:val="22"/>
          <w:lang w:val="lv-LV"/>
        </w:rPr>
        <w:t>;</w:t>
      </w:r>
      <w:r w:rsidRPr="00033B8B">
        <w:rPr>
          <w:sz w:val="22"/>
          <w:szCs w:val="22"/>
          <w:lang w:val="lv-LV"/>
        </w:rPr>
        <w:t xml:space="preserve"> bieži (≥1/100 līdz &lt;1/10)</w:t>
      </w:r>
      <w:r w:rsidR="002E10B0" w:rsidRPr="00033B8B">
        <w:rPr>
          <w:sz w:val="22"/>
          <w:szCs w:val="22"/>
          <w:lang w:val="lv-LV"/>
        </w:rPr>
        <w:t>;</w:t>
      </w:r>
      <w:r w:rsidRPr="00033B8B">
        <w:rPr>
          <w:sz w:val="22"/>
          <w:szCs w:val="22"/>
          <w:lang w:val="lv-LV"/>
        </w:rPr>
        <w:t xml:space="preserve"> retāk (≥1/1000 līdz &lt;1/100)</w:t>
      </w:r>
      <w:r w:rsidR="002E10B0" w:rsidRPr="00033B8B">
        <w:rPr>
          <w:sz w:val="22"/>
          <w:szCs w:val="22"/>
          <w:lang w:val="lv-LV"/>
        </w:rPr>
        <w:t>;</w:t>
      </w:r>
      <w:r w:rsidRPr="00033B8B">
        <w:rPr>
          <w:sz w:val="22"/>
          <w:szCs w:val="22"/>
          <w:lang w:val="lv-LV"/>
        </w:rPr>
        <w:t xml:space="preserve"> reti (≥1/10</w:t>
      </w:r>
      <w:r w:rsidR="00F66510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000 līdz &lt;1/1000)</w:t>
      </w:r>
      <w:r w:rsidR="002E10B0" w:rsidRPr="00033B8B">
        <w:rPr>
          <w:sz w:val="22"/>
          <w:szCs w:val="22"/>
          <w:lang w:val="lv-LV"/>
        </w:rPr>
        <w:t>;</w:t>
      </w:r>
      <w:r w:rsidRPr="00033B8B">
        <w:rPr>
          <w:sz w:val="22"/>
          <w:szCs w:val="22"/>
          <w:lang w:val="lv-LV"/>
        </w:rPr>
        <w:t xml:space="preserve"> ļoti reti</w:t>
      </w:r>
      <w:r w:rsidR="008977E4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(&lt;1/10</w:t>
      </w:r>
      <w:r w:rsidR="00F66510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000)</w:t>
      </w:r>
      <w:r w:rsidR="002E10B0" w:rsidRPr="00033B8B">
        <w:rPr>
          <w:sz w:val="22"/>
          <w:szCs w:val="22"/>
          <w:lang w:val="lv-LV"/>
        </w:rPr>
        <w:t>;</w:t>
      </w:r>
      <w:r w:rsidR="008977E4" w:rsidRPr="00033B8B">
        <w:rPr>
          <w:sz w:val="22"/>
          <w:szCs w:val="22"/>
          <w:lang w:val="lv-LV"/>
        </w:rPr>
        <w:t xml:space="preserve"> nav zināmi (nevar noteikt pēc pieejamiem datiem)</w:t>
      </w:r>
      <w:r w:rsidR="00693A31" w:rsidRPr="00033B8B">
        <w:rPr>
          <w:sz w:val="22"/>
          <w:szCs w:val="22"/>
          <w:lang w:val="lv-LV"/>
        </w:rPr>
        <w:t>.</w:t>
      </w:r>
    </w:p>
    <w:p w14:paraId="2EE01357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6552BFBA" w14:textId="77777777" w:rsidR="008977E4" w:rsidRPr="00033B8B" w:rsidRDefault="008977E4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Imūnās sistēmas traucējumi</w:t>
      </w:r>
    </w:p>
    <w:p w14:paraId="32923B95" w14:textId="77777777" w:rsidR="008977E4" w:rsidRPr="00033B8B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Reti: </w:t>
      </w:r>
      <w:r w:rsidR="00217F56" w:rsidRPr="000C3576">
        <w:rPr>
          <w:sz w:val="22"/>
          <w:szCs w:val="22"/>
          <w:lang w:val="lv-LV"/>
        </w:rPr>
        <w:t>paaugstinātas jutības reakcijas (tostarp anafilaktiskais šoks)</w:t>
      </w:r>
    </w:p>
    <w:p w14:paraId="2F048405" w14:textId="77777777" w:rsidR="008977E4" w:rsidRPr="00033B8B" w:rsidRDefault="008977E4" w:rsidP="008977E4">
      <w:pPr>
        <w:pStyle w:val="Default"/>
        <w:rPr>
          <w:sz w:val="22"/>
          <w:szCs w:val="22"/>
          <w:lang w:val="lv-LV"/>
        </w:rPr>
      </w:pPr>
    </w:p>
    <w:p w14:paraId="5B4972D4" w14:textId="77777777" w:rsidR="008977E4" w:rsidRPr="00033B8B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Psihiskie traucējumi</w:t>
      </w:r>
    </w:p>
    <w:p w14:paraId="2BC72601" w14:textId="77777777" w:rsidR="008977E4" w:rsidRPr="00033B8B" w:rsidRDefault="00693A31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Bieži: nervozitāte, bezmiegs</w:t>
      </w:r>
    </w:p>
    <w:p w14:paraId="1209B8ED" w14:textId="77777777" w:rsidR="008977E4" w:rsidRPr="00033B8B" w:rsidRDefault="00693A31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Retāk: nemiers, uzbudinājums</w:t>
      </w:r>
    </w:p>
    <w:p w14:paraId="1A08174B" w14:textId="77777777" w:rsidR="008977E4" w:rsidRPr="00033B8B" w:rsidRDefault="00693A31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Reti: halucinācijas</w:t>
      </w:r>
    </w:p>
    <w:p w14:paraId="43725EC1" w14:textId="4D7774CE" w:rsidR="008977E4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Ļ</w:t>
      </w:r>
      <w:r w:rsidR="00693A31" w:rsidRPr="00033B8B">
        <w:rPr>
          <w:sz w:val="22"/>
          <w:szCs w:val="22"/>
          <w:lang w:val="lv-LV"/>
        </w:rPr>
        <w:t>oti reti: psihotiski traucējumi</w:t>
      </w:r>
    </w:p>
    <w:p w14:paraId="7AC8E450" w14:textId="16E2F838" w:rsidR="009D7C7A" w:rsidRPr="00033B8B" w:rsidRDefault="009D7C7A" w:rsidP="0057000D">
      <w:pPr>
        <w:pStyle w:val="Defaul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Nav zināmi: </w:t>
      </w:r>
      <w:r w:rsidRPr="009D7C7A">
        <w:rPr>
          <w:sz w:val="22"/>
          <w:szCs w:val="22"/>
          <w:lang w:val="lv-LV"/>
        </w:rPr>
        <w:t>agresija, apjukums, depresija, ti</w:t>
      </w:r>
      <w:r>
        <w:rPr>
          <w:sz w:val="22"/>
          <w:szCs w:val="22"/>
          <w:lang w:val="lv-LV"/>
        </w:rPr>
        <w:t>ki</w:t>
      </w:r>
      <w:r w:rsidRPr="009D7C7A">
        <w:rPr>
          <w:sz w:val="22"/>
          <w:szCs w:val="22"/>
          <w:lang w:val="lv-LV"/>
        </w:rPr>
        <w:t xml:space="preserve">, eiforisks noskaņojums, </w:t>
      </w:r>
      <w:r w:rsidRPr="003E479E">
        <w:rPr>
          <w:sz w:val="22"/>
          <w:szCs w:val="22"/>
          <w:lang w:val="lv-LV"/>
        </w:rPr>
        <w:t>pašnāvības domas</w:t>
      </w:r>
    </w:p>
    <w:p w14:paraId="15A9E908" w14:textId="77777777" w:rsidR="008977E4" w:rsidRPr="00033B8B" w:rsidRDefault="008977E4" w:rsidP="008977E4">
      <w:pPr>
        <w:pStyle w:val="Default"/>
        <w:rPr>
          <w:sz w:val="22"/>
          <w:szCs w:val="22"/>
          <w:lang w:val="lv-LV"/>
        </w:rPr>
      </w:pPr>
    </w:p>
    <w:p w14:paraId="325DA65B" w14:textId="77777777" w:rsidR="008977E4" w:rsidRPr="00033B8B" w:rsidRDefault="00693A31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Nervu sistēmas traucējumi</w:t>
      </w:r>
    </w:p>
    <w:p w14:paraId="4DC3D1B7" w14:textId="77777777" w:rsidR="008977E4" w:rsidRPr="00033B8B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Bieži: </w:t>
      </w:r>
      <w:r w:rsidRPr="00033B8B">
        <w:rPr>
          <w:i/>
          <w:iCs/>
          <w:sz w:val="22"/>
          <w:szCs w:val="22"/>
          <w:lang w:val="lv-LV"/>
        </w:rPr>
        <w:t>vertig</w:t>
      </w:r>
      <w:r w:rsidR="004E4F21" w:rsidRPr="00033B8B">
        <w:rPr>
          <w:i/>
          <w:iCs/>
          <w:sz w:val="22"/>
          <w:szCs w:val="22"/>
          <w:lang w:val="lv-LV"/>
        </w:rPr>
        <w:t>o</w:t>
      </w:r>
      <w:r w:rsidR="001F54C8" w:rsidRPr="00033B8B">
        <w:rPr>
          <w:i/>
          <w:iCs/>
          <w:sz w:val="22"/>
          <w:szCs w:val="22"/>
          <w:lang w:val="lv-LV"/>
        </w:rPr>
        <w:t>,</w:t>
      </w:r>
      <w:r w:rsidR="002E10B0" w:rsidRPr="00033B8B">
        <w:rPr>
          <w:i/>
          <w:iCs/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re</w:t>
      </w:r>
      <w:r w:rsidR="00693A31" w:rsidRPr="00033B8B">
        <w:rPr>
          <w:sz w:val="22"/>
          <w:szCs w:val="22"/>
          <w:lang w:val="lv-LV"/>
        </w:rPr>
        <w:t>ibonis, galvassāpes, miegainība</w:t>
      </w:r>
    </w:p>
    <w:p w14:paraId="6C513F75" w14:textId="77777777" w:rsidR="008977E4" w:rsidRPr="00033B8B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Reti: krampji, t</w:t>
      </w:r>
      <w:r w:rsidR="00693A31" w:rsidRPr="00033B8B">
        <w:rPr>
          <w:sz w:val="22"/>
          <w:szCs w:val="22"/>
          <w:lang w:val="lv-LV"/>
        </w:rPr>
        <w:t>rīce</w:t>
      </w:r>
    </w:p>
    <w:p w14:paraId="03FC4D84" w14:textId="6A79AC54" w:rsidR="008977E4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Ļoti reti: garšas sajūtas pārmaiņas, cerebr</w:t>
      </w:r>
      <w:r w:rsidR="00693A31" w:rsidRPr="00033B8B">
        <w:rPr>
          <w:sz w:val="22"/>
          <w:szCs w:val="22"/>
          <w:lang w:val="lv-LV"/>
        </w:rPr>
        <w:t>ovaskulāri traucējumi (insults)</w:t>
      </w:r>
    </w:p>
    <w:p w14:paraId="58D512B7" w14:textId="2903BEEB" w:rsidR="009D7C7A" w:rsidRPr="00033B8B" w:rsidRDefault="009D7C7A" w:rsidP="0057000D">
      <w:pPr>
        <w:pStyle w:val="Default"/>
        <w:rPr>
          <w:sz w:val="22"/>
          <w:szCs w:val="22"/>
          <w:lang w:val="lv-LV"/>
        </w:rPr>
      </w:pPr>
      <w:r w:rsidRPr="009D7C7A">
        <w:rPr>
          <w:sz w:val="22"/>
          <w:szCs w:val="22"/>
          <w:lang w:val="lv-LV"/>
        </w:rPr>
        <w:t>Nav zinām</w:t>
      </w:r>
      <w:r>
        <w:rPr>
          <w:sz w:val="22"/>
          <w:szCs w:val="22"/>
          <w:lang w:val="lv-LV"/>
        </w:rPr>
        <w:t>i</w:t>
      </w:r>
      <w:r w:rsidRPr="009D7C7A">
        <w:rPr>
          <w:sz w:val="22"/>
          <w:szCs w:val="22"/>
          <w:lang w:val="lv-LV"/>
        </w:rPr>
        <w:t>: parestēzija, nemiers, distonija, diskinēzija, amnēzija, atmiņas traucējumi, ģībonis</w:t>
      </w:r>
    </w:p>
    <w:p w14:paraId="0136648C" w14:textId="77777777" w:rsidR="008977E4" w:rsidRPr="00033B8B" w:rsidRDefault="008977E4" w:rsidP="005261BA">
      <w:pPr>
        <w:pStyle w:val="Default"/>
        <w:rPr>
          <w:sz w:val="22"/>
          <w:szCs w:val="22"/>
          <w:lang w:val="lv-LV"/>
        </w:rPr>
      </w:pPr>
    </w:p>
    <w:p w14:paraId="1EBC0D0D" w14:textId="77777777" w:rsidR="008977E4" w:rsidRPr="00033B8B" w:rsidRDefault="008977E4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Acu bojājumi</w:t>
      </w:r>
    </w:p>
    <w:p w14:paraId="2F4D7C6C" w14:textId="27325470" w:rsidR="008977E4" w:rsidRPr="00033B8B" w:rsidRDefault="008977E4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zināmi:</w:t>
      </w:r>
      <w:r w:rsidR="004C22B7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akomodācijas traucējumi</w:t>
      </w:r>
      <w:r w:rsidR="0006499B" w:rsidRPr="00033B8B">
        <w:rPr>
          <w:sz w:val="22"/>
          <w:szCs w:val="22"/>
          <w:lang w:val="lv-LV"/>
        </w:rPr>
        <w:t>, neskaidra redze, midriāze, sāpes</w:t>
      </w:r>
      <w:r w:rsidR="006F48F5">
        <w:rPr>
          <w:sz w:val="22"/>
          <w:szCs w:val="22"/>
          <w:lang w:val="lv-LV"/>
        </w:rPr>
        <w:t xml:space="preserve"> acīs</w:t>
      </w:r>
      <w:r w:rsidR="0006499B" w:rsidRPr="00033B8B">
        <w:rPr>
          <w:sz w:val="22"/>
          <w:szCs w:val="22"/>
          <w:lang w:val="lv-LV"/>
        </w:rPr>
        <w:t>, redzes traucējumi, fotofobija</w:t>
      </w:r>
      <w:r w:rsidR="00332F84">
        <w:rPr>
          <w:sz w:val="22"/>
          <w:szCs w:val="22"/>
          <w:lang w:val="lv-LV"/>
        </w:rPr>
        <w:t xml:space="preserve">, </w:t>
      </w:r>
      <w:r w:rsidR="00EC035F" w:rsidRPr="003E479E">
        <w:rPr>
          <w:sz w:val="22"/>
          <w:szCs w:val="22"/>
          <w:lang w:val="lv-LV"/>
        </w:rPr>
        <w:t>okulo</w:t>
      </w:r>
      <w:r w:rsidR="001119F2" w:rsidRPr="003E479E">
        <w:rPr>
          <w:sz w:val="22"/>
          <w:szCs w:val="22"/>
          <w:lang w:val="lv-LV"/>
        </w:rPr>
        <w:t>giriskā</w:t>
      </w:r>
      <w:r w:rsidR="00EC035F" w:rsidRPr="003E479E">
        <w:rPr>
          <w:sz w:val="22"/>
          <w:szCs w:val="22"/>
          <w:lang w:val="lv-LV"/>
        </w:rPr>
        <w:t xml:space="preserve"> krīze,</w:t>
      </w:r>
      <w:r w:rsidR="00EC035F">
        <w:rPr>
          <w:sz w:val="22"/>
          <w:szCs w:val="22"/>
          <w:lang w:val="lv-LV"/>
        </w:rPr>
        <w:t xml:space="preserve"> </w:t>
      </w:r>
      <w:r w:rsidR="00332F84">
        <w:rPr>
          <w:sz w:val="22"/>
          <w:szCs w:val="22"/>
          <w:lang w:val="lv-LV"/>
        </w:rPr>
        <w:t>i</w:t>
      </w:r>
      <w:r w:rsidR="00332F84" w:rsidRPr="00332F84">
        <w:rPr>
          <w:sz w:val="22"/>
          <w:szCs w:val="22"/>
          <w:lang w:val="lv-LV"/>
        </w:rPr>
        <w:t>šēmiska redzes nerva neiropātija</w:t>
      </w:r>
    </w:p>
    <w:p w14:paraId="4AAB1243" w14:textId="77777777" w:rsidR="0006499B" w:rsidRPr="00033B8B" w:rsidRDefault="0006499B" w:rsidP="005261BA">
      <w:pPr>
        <w:pStyle w:val="Default"/>
        <w:rPr>
          <w:sz w:val="22"/>
          <w:szCs w:val="22"/>
          <w:lang w:val="lv-LV"/>
        </w:rPr>
      </w:pPr>
    </w:p>
    <w:p w14:paraId="1FE8806D" w14:textId="77777777" w:rsidR="005261BA" w:rsidRPr="00033B8B" w:rsidRDefault="005261BA" w:rsidP="0057000D">
      <w:pPr>
        <w:pStyle w:val="Default"/>
        <w:rPr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Sirds funkcijas traucējumi</w:t>
      </w:r>
    </w:p>
    <w:p w14:paraId="35939CEE" w14:textId="77777777" w:rsidR="005261BA" w:rsidRPr="00033B8B" w:rsidRDefault="0006499B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B</w:t>
      </w:r>
      <w:r w:rsidR="00693A31" w:rsidRPr="00033B8B">
        <w:rPr>
          <w:sz w:val="22"/>
          <w:szCs w:val="22"/>
          <w:lang w:val="lv-LV"/>
        </w:rPr>
        <w:t>ieži: tahikardija</w:t>
      </w:r>
    </w:p>
    <w:p w14:paraId="7AF82D4D" w14:textId="77777777" w:rsidR="005261BA" w:rsidRPr="00033B8B" w:rsidRDefault="0006499B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</w:t>
      </w:r>
      <w:r w:rsidR="005261BA" w:rsidRPr="00033B8B">
        <w:rPr>
          <w:sz w:val="22"/>
          <w:szCs w:val="22"/>
          <w:lang w:val="lv-LV"/>
        </w:rPr>
        <w:t xml:space="preserve">eti: </w:t>
      </w:r>
      <w:r w:rsidR="00693A31" w:rsidRPr="00033B8B">
        <w:rPr>
          <w:sz w:val="22"/>
          <w:szCs w:val="22"/>
          <w:lang w:val="lv-LV"/>
        </w:rPr>
        <w:t>aritmija</w:t>
      </w:r>
    </w:p>
    <w:p w14:paraId="1DEED0D2" w14:textId="5DEBA462" w:rsidR="005937FF" w:rsidRDefault="00B00C57" w:rsidP="005937FF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zināmi:</w:t>
      </w:r>
      <w:r w:rsidR="00B63908" w:rsidRPr="004E31CE">
        <w:rPr>
          <w:lang w:val="lv-LV"/>
        </w:rPr>
        <w:t xml:space="preserve"> </w:t>
      </w:r>
      <w:r w:rsidR="00D95955">
        <w:rPr>
          <w:sz w:val="22"/>
          <w:szCs w:val="22"/>
          <w:lang w:val="lv-LV"/>
        </w:rPr>
        <w:t>sirdsklauves</w:t>
      </w:r>
      <w:r w:rsidR="00EC035F">
        <w:rPr>
          <w:sz w:val="22"/>
          <w:szCs w:val="22"/>
          <w:lang w:val="lv-LV"/>
        </w:rPr>
        <w:t xml:space="preserve">, miokarda infarkts </w:t>
      </w:r>
    </w:p>
    <w:p w14:paraId="6DCDC6DA" w14:textId="77777777" w:rsidR="00D339B5" w:rsidRDefault="00D339B5" w:rsidP="00D339B5">
      <w:pPr>
        <w:pStyle w:val="Default"/>
        <w:rPr>
          <w:sz w:val="22"/>
          <w:szCs w:val="22"/>
          <w:lang w:val="lv-LV"/>
        </w:rPr>
      </w:pPr>
    </w:p>
    <w:p w14:paraId="0A528CBD" w14:textId="77777777" w:rsidR="00D339B5" w:rsidRPr="00033B8B" w:rsidRDefault="00693A31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Asinsvadu sistēmas traucējumi</w:t>
      </w:r>
    </w:p>
    <w:p w14:paraId="1BEDE5BC" w14:textId="77777777" w:rsidR="00D339B5" w:rsidRPr="00033B8B" w:rsidRDefault="00693A31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Reti: bālums, hipertensija</w:t>
      </w:r>
    </w:p>
    <w:p w14:paraId="1093242F" w14:textId="350C0D13" w:rsidR="00D339B5" w:rsidRDefault="00D339B5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Ļoti reti: akū</w:t>
      </w:r>
      <w:r w:rsidR="00693A31" w:rsidRPr="00033B8B">
        <w:rPr>
          <w:sz w:val="22"/>
          <w:szCs w:val="22"/>
          <w:lang w:val="lv-LV"/>
        </w:rPr>
        <w:t>ta asinsvadu mazspēja (kolapss)</w:t>
      </w:r>
    </w:p>
    <w:p w14:paraId="2A5E624D" w14:textId="3BC29777" w:rsidR="004339BE" w:rsidRPr="00033B8B" w:rsidRDefault="004339BE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zināmi:</w:t>
      </w:r>
      <w:r>
        <w:rPr>
          <w:sz w:val="22"/>
          <w:szCs w:val="22"/>
          <w:lang w:val="lv-LV"/>
        </w:rPr>
        <w:t xml:space="preserve"> hipotensija</w:t>
      </w:r>
    </w:p>
    <w:p w14:paraId="77DFCC1A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FA60804" w14:textId="77777777" w:rsidR="005A780D" w:rsidRPr="00033B8B" w:rsidRDefault="005A780D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Elpošanas sistēmas traucējumi, krūšu kurvja un videnes slimības</w:t>
      </w:r>
    </w:p>
    <w:p w14:paraId="7F8E63FB" w14:textId="392E12AD" w:rsidR="005A780D" w:rsidRPr="00033B8B" w:rsidRDefault="005A780D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zināmi: aizdusa</w:t>
      </w:r>
    </w:p>
    <w:p w14:paraId="149E8EEB" w14:textId="77777777" w:rsidR="005A780D" w:rsidRPr="00033B8B" w:rsidRDefault="005A780D" w:rsidP="005261BA">
      <w:pPr>
        <w:pStyle w:val="Default"/>
        <w:rPr>
          <w:sz w:val="22"/>
          <w:szCs w:val="22"/>
          <w:lang w:val="lv-LV"/>
        </w:rPr>
      </w:pPr>
    </w:p>
    <w:p w14:paraId="21DD953B" w14:textId="77777777" w:rsidR="005261BA" w:rsidRPr="00033B8B" w:rsidRDefault="005261BA" w:rsidP="0057000D">
      <w:pPr>
        <w:pStyle w:val="Default"/>
        <w:rPr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Kuņģa-zarnu trakta traucējumi</w:t>
      </w:r>
    </w:p>
    <w:p w14:paraId="4CB2B354" w14:textId="77777777" w:rsidR="005261BA" w:rsidRPr="00033B8B" w:rsidRDefault="005A780D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B</w:t>
      </w:r>
      <w:r w:rsidR="005261BA" w:rsidRPr="00033B8B">
        <w:rPr>
          <w:sz w:val="22"/>
          <w:szCs w:val="22"/>
          <w:lang w:val="lv-LV"/>
        </w:rPr>
        <w:t>ieži: sausa mute, sli</w:t>
      </w:r>
      <w:r w:rsidR="00693A31" w:rsidRPr="00033B8B">
        <w:rPr>
          <w:sz w:val="22"/>
          <w:szCs w:val="22"/>
          <w:lang w:val="lv-LV"/>
        </w:rPr>
        <w:t>kta dūša</w:t>
      </w:r>
    </w:p>
    <w:p w14:paraId="7E966E82" w14:textId="77777777" w:rsidR="005261BA" w:rsidRPr="00033B8B" w:rsidRDefault="005A780D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</w:t>
      </w:r>
      <w:r w:rsidR="00693A31" w:rsidRPr="00033B8B">
        <w:rPr>
          <w:sz w:val="22"/>
          <w:szCs w:val="22"/>
          <w:lang w:val="lv-LV"/>
        </w:rPr>
        <w:t>eti: vemšana</w:t>
      </w:r>
    </w:p>
    <w:p w14:paraId="6C1A7EFD" w14:textId="733714B5" w:rsidR="005261BA" w:rsidRPr="00EC035F" w:rsidRDefault="004339BE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zināmi:</w:t>
      </w:r>
      <w:r>
        <w:rPr>
          <w:sz w:val="22"/>
          <w:szCs w:val="22"/>
          <w:lang w:val="lv-LV"/>
        </w:rPr>
        <w:t xml:space="preserve"> </w:t>
      </w:r>
      <w:r w:rsidR="00693A31" w:rsidRPr="00033B8B">
        <w:rPr>
          <w:sz w:val="22"/>
          <w:szCs w:val="22"/>
          <w:lang w:val="lv-LV"/>
        </w:rPr>
        <w:t>išēmisks kolīts</w:t>
      </w:r>
      <w:r w:rsidR="00EC035F">
        <w:rPr>
          <w:sz w:val="22"/>
          <w:szCs w:val="22"/>
          <w:lang w:val="lv-LV"/>
        </w:rPr>
        <w:t xml:space="preserve">, </w:t>
      </w:r>
      <w:r w:rsidR="00EC035F" w:rsidRPr="003E479E">
        <w:rPr>
          <w:sz w:val="22"/>
          <w:szCs w:val="22"/>
          <w:lang w:val="lv-LV"/>
        </w:rPr>
        <w:t>caureja, diskomforta sajūta vēderā</w:t>
      </w:r>
    </w:p>
    <w:p w14:paraId="4F86A339" w14:textId="77777777" w:rsidR="00147137" w:rsidRPr="00033B8B" w:rsidRDefault="00147137" w:rsidP="00147137">
      <w:pPr>
        <w:pStyle w:val="Default"/>
        <w:rPr>
          <w:sz w:val="22"/>
          <w:szCs w:val="22"/>
          <w:lang w:val="lv-LV"/>
        </w:rPr>
      </w:pPr>
    </w:p>
    <w:p w14:paraId="7B30B086" w14:textId="77777777" w:rsidR="00147137" w:rsidRPr="00033B8B" w:rsidRDefault="00147137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Aknu un/vai žu</w:t>
      </w:r>
      <w:r w:rsidR="00693A31" w:rsidRPr="00033B8B">
        <w:rPr>
          <w:i/>
          <w:sz w:val="22"/>
          <w:szCs w:val="22"/>
          <w:lang w:val="lv-LV"/>
        </w:rPr>
        <w:t>lts izvades sistēmas traucējumi</w:t>
      </w:r>
    </w:p>
    <w:p w14:paraId="15F0F753" w14:textId="77777777" w:rsidR="00147137" w:rsidRPr="00033B8B" w:rsidRDefault="00147137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Reti: aknu </w:t>
      </w:r>
      <w:r w:rsidR="004E5849">
        <w:rPr>
          <w:sz w:val="22"/>
          <w:szCs w:val="22"/>
          <w:lang w:val="lv-LV"/>
        </w:rPr>
        <w:t>darbības</w:t>
      </w:r>
      <w:r w:rsidR="004E5849" w:rsidRPr="00033B8B">
        <w:rPr>
          <w:sz w:val="22"/>
          <w:szCs w:val="22"/>
          <w:lang w:val="lv-LV"/>
        </w:rPr>
        <w:t xml:space="preserve"> </w:t>
      </w:r>
      <w:r w:rsidRPr="00033B8B">
        <w:rPr>
          <w:sz w:val="22"/>
          <w:szCs w:val="22"/>
          <w:lang w:val="lv-LV"/>
        </w:rPr>
        <w:t>traucējumi (transamināžu, sārmainās fos</w:t>
      </w:r>
      <w:r w:rsidR="00693A31" w:rsidRPr="00033B8B">
        <w:rPr>
          <w:sz w:val="22"/>
          <w:szCs w:val="22"/>
          <w:lang w:val="lv-LV"/>
        </w:rPr>
        <w:t>fatāzes, gamma-GT un bilirubīna</w:t>
      </w:r>
    </w:p>
    <w:p w14:paraId="584CDB55" w14:textId="77777777" w:rsidR="00147137" w:rsidRPr="00033B8B" w:rsidRDefault="00693A31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līmeņa paaugstināšanās)</w:t>
      </w:r>
    </w:p>
    <w:p w14:paraId="17871DDA" w14:textId="77777777" w:rsidR="00147137" w:rsidRPr="00033B8B" w:rsidRDefault="00147137" w:rsidP="00147137">
      <w:pPr>
        <w:pStyle w:val="Default"/>
        <w:rPr>
          <w:sz w:val="22"/>
          <w:szCs w:val="22"/>
          <w:lang w:val="lv-LV"/>
        </w:rPr>
      </w:pPr>
    </w:p>
    <w:p w14:paraId="35910319" w14:textId="77777777" w:rsidR="00147137" w:rsidRPr="00033B8B" w:rsidRDefault="00693A31" w:rsidP="0057000D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Ādas un zemādas audu bojājumi</w:t>
      </w:r>
    </w:p>
    <w:p w14:paraId="173093D3" w14:textId="77777777" w:rsidR="00147137" w:rsidRPr="00033B8B" w:rsidRDefault="00147137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Reti: sausa āda, izsitumi</w:t>
      </w:r>
      <w:r w:rsidR="00693A31" w:rsidRPr="00033B8B">
        <w:rPr>
          <w:sz w:val="22"/>
          <w:szCs w:val="22"/>
          <w:lang w:val="lv-LV"/>
        </w:rPr>
        <w:t>, pastiprināta svīšana, nātrene</w:t>
      </w:r>
    </w:p>
    <w:p w14:paraId="3DA3D2E7" w14:textId="77777777" w:rsidR="00147137" w:rsidRDefault="00147137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Ļoti reti: fiksēti </w:t>
      </w:r>
      <w:r w:rsidR="00693A31" w:rsidRPr="00033B8B">
        <w:rPr>
          <w:sz w:val="22"/>
          <w:szCs w:val="22"/>
          <w:lang w:val="lv-LV"/>
        </w:rPr>
        <w:t>izsitumi, angio</w:t>
      </w:r>
      <w:r w:rsidR="004E5849">
        <w:rPr>
          <w:sz w:val="22"/>
          <w:szCs w:val="22"/>
          <w:lang w:val="lv-LV"/>
        </w:rPr>
        <w:t>edēma</w:t>
      </w:r>
    </w:p>
    <w:p w14:paraId="50DECC2C" w14:textId="63C59EB2" w:rsidR="0066065F" w:rsidRPr="00EF765D" w:rsidRDefault="0066065F" w:rsidP="0057000D">
      <w:pPr>
        <w:pStyle w:val="Defaul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Nav zināmi: akūta ģeneralizēta eksantematoza pustuloze</w:t>
      </w:r>
      <w:r w:rsidR="00EC035F">
        <w:rPr>
          <w:sz w:val="22"/>
          <w:szCs w:val="22"/>
          <w:lang w:val="lv-LV"/>
        </w:rPr>
        <w:t>, nieze</w:t>
      </w:r>
    </w:p>
    <w:p w14:paraId="0E4B8F2D" w14:textId="77777777" w:rsidR="004C22B7" w:rsidRPr="00033B8B" w:rsidRDefault="004C22B7" w:rsidP="00147137">
      <w:pPr>
        <w:pStyle w:val="Default"/>
        <w:rPr>
          <w:sz w:val="22"/>
          <w:szCs w:val="22"/>
          <w:lang w:val="lv-LV"/>
        </w:rPr>
      </w:pPr>
    </w:p>
    <w:p w14:paraId="2151AFF6" w14:textId="77777777" w:rsidR="00EC035F" w:rsidRPr="003E479E" w:rsidRDefault="00EC035F" w:rsidP="00EC035F">
      <w:pPr>
        <w:pStyle w:val="Default"/>
        <w:keepNext/>
        <w:rPr>
          <w:i/>
          <w:sz w:val="22"/>
          <w:szCs w:val="22"/>
          <w:lang w:val="lv-LV"/>
        </w:rPr>
      </w:pPr>
      <w:r w:rsidRPr="003E479E">
        <w:rPr>
          <w:i/>
          <w:sz w:val="22"/>
          <w:szCs w:val="22"/>
          <w:lang w:val="lv-LV"/>
        </w:rPr>
        <w:lastRenderedPageBreak/>
        <w:t xml:space="preserve">Skeleta-muskuļu un saistaudu sistēmas bojājumi </w:t>
      </w:r>
    </w:p>
    <w:p w14:paraId="119BFCF7" w14:textId="7CF6C0DC" w:rsidR="00EC035F" w:rsidRPr="003E479E" w:rsidRDefault="00EC035F" w:rsidP="00EC035F">
      <w:pPr>
        <w:pStyle w:val="Default"/>
        <w:keepNext/>
        <w:rPr>
          <w:iCs/>
          <w:sz w:val="22"/>
          <w:szCs w:val="22"/>
          <w:lang w:val="lv-LV"/>
        </w:rPr>
      </w:pPr>
      <w:r w:rsidRPr="003E479E">
        <w:rPr>
          <w:iCs/>
          <w:sz w:val="22"/>
          <w:szCs w:val="22"/>
          <w:lang w:val="lv-LV"/>
        </w:rPr>
        <w:t>Nav zinām</w:t>
      </w:r>
      <w:r>
        <w:rPr>
          <w:iCs/>
          <w:sz w:val="22"/>
          <w:szCs w:val="22"/>
          <w:lang w:val="lv-LV"/>
        </w:rPr>
        <w:t>i</w:t>
      </w:r>
      <w:r w:rsidRPr="003E479E">
        <w:rPr>
          <w:iCs/>
          <w:sz w:val="22"/>
          <w:szCs w:val="22"/>
          <w:lang w:val="lv-LV"/>
        </w:rPr>
        <w:t>: artralģija, mialģija</w:t>
      </w:r>
    </w:p>
    <w:p w14:paraId="5C158DF8" w14:textId="77777777" w:rsidR="00EC035F" w:rsidRDefault="00EC035F" w:rsidP="0057000D">
      <w:pPr>
        <w:pStyle w:val="Default"/>
        <w:keepNext/>
        <w:rPr>
          <w:i/>
          <w:sz w:val="22"/>
          <w:szCs w:val="22"/>
          <w:lang w:val="lv-LV"/>
        </w:rPr>
      </w:pPr>
    </w:p>
    <w:p w14:paraId="03C06700" w14:textId="28443798" w:rsidR="00147137" w:rsidRPr="00033B8B" w:rsidRDefault="00147137" w:rsidP="0057000D">
      <w:pPr>
        <w:pStyle w:val="Default"/>
        <w:keepNext/>
        <w:rPr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Nieru un urīnizvades sistēmas traucējumi</w:t>
      </w:r>
    </w:p>
    <w:p w14:paraId="073C2094" w14:textId="38B21C91" w:rsidR="00147137" w:rsidRDefault="00693A31" w:rsidP="0057000D">
      <w:pPr>
        <w:pStyle w:val="Default"/>
        <w:keepNext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Reti: dizūrija</w:t>
      </w:r>
    </w:p>
    <w:p w14:paraId="23FEB86D" w14:textId="724AA6D2" w:rsidR="00EC035F" w:rsidRPr="00033B8B" w:rsidRDefault="00EC035F" w:rsidP="0057000D">
      <w:pPr>
        <w:pStyle w:val="Default"/>
        <w:keepNext/>
        <w:rPr>
          <w:sz w:val="22"/>
          <w:szCs w:val="22"/>
          <w:lang w:val="lv-LV"/>
        </w:rPr>
      </w:pPr>
      <w:r w:rsidRPr="00EC035F">
        <w:rPr>
          <w:sz w:val="22"/>
          <w:szCs w:val="22"/>
          <w:lang w:val="lv-LV"/>
        </w:rPr>
        <w:t>Nav zinām</w:t>
      </w:r>
      <w:r>
        <w:rPr>
          <w:sz w:val="22"/>
          <w:szCs w:val="22"/>
          <w:lang w:val="lv-LV"/>
        </w:rPr>
        <w:t>i</w:t>
      </w:r>
      <w:r w:rsidRPr="00EC035F">
        <w:rPr>
          <w:sz w:val="22"/>
          <w:szCs w:val="22"/>
          <w:lang w:val="lv-LV"/>
        </w:rPr>
        <w:t>: enurēze</w:t>
      </w:r>
      <w:r w:rsidR="008116BC">
        <w:rPr>
          <w:sz w:val="22"/>
          <w:szCs w:val="22"/>
          <w:lang w:val="lv-LV"/>
        </w:rPr>
        <w:t xml:space="preserve">, </w:t>
      </w:r>
      <w:r w:rsidR="008116BC" w:rsidRPr="008116BC">
        <w:rPr>
          <w:sz w:val="22"/>
          <w:szCs w:val="22"/>
          <w:lang w:val="lv-LV"/>
        </w:rPr>
        <w:t>urīna aizture</w:t>
      </w:r>
    </w:p>
    <w:p w14:paraId="28BA7C5F" w14:textId="77777777" w:rsidR="00B07C95" w:rsidRPr="00033B8B" w:rsidRDefault="00B07C95" w:rsidP="007C3DDD">
      <w:pPr>
        <w:pStyle w:val="Default"/>
        <w:keepNext/>
        <w:rPr>
          <w:sz w:val="22"/>
          <w:szCs w:val="22"/>
          <w:lang w:val="lv-LV"/>
        </w:rPr>
      </w:pPr>
    </w:p>
    <w:p w14:paraId="1542219B" w14:textId="77777777" w:rsidR="00B07C95" w:rsidRPr="00033B8B" w:rsidRDefault="00B07C95" w:rsidP="0057000D">
      <w:pPr>
        <w:pStyle w:val="Default"/>
        <w:keepNext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Reproduktīvās sistēmas traucējumi un krūts slimības</w:t>
      </w:r>
    </w:p>
    <w:p w14:paraId="250FE9AA" w14:textId="77777777" w:rsidR="00C56B5F" w:rsidRPr="00033B8B" w:rsidRDefault="00B07C95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Nav zināmi: </w:t>
      </w:r>
      <w:r w:rsidR="006F48F5" w:rsidRPr="000C3576">
        <w:rPr>
          <w:sz w:val="22"/>
          <w:szCs w:val="22"/>
          <w:lang w:val="lv-LV"/>
        </w:rPr>
        <w:t>erekcijas traucējumi</w:t>
      </w:r>
    </w:p>
    <w:p w14:paraId="6E83D4A1" w14:textId="77777777" w:rsidR="00B07C95" w:rsidRPr="00033B8B" w:rsidRDefault="00B07C95" w:rsidP="005261BA">
      <w:pPr>
        <w:pStyle w:val="Default"/>
        <w:rPr>
          <w:sz w:val="22"/>
          <w:szCs w:val="22"/>
          <w:lang w:val="lv-LV"/>
        </w:rPr>
      </w:pPr>
    </w:p>
    <w:p w14:paraId="52811554" w14:textId="77777777" w:rsidR="005261BA" w:rsidRPr="00033B8B" w:rsidRDefault="005261BA" w:rsidP="0057000D">
      <w:pPr>
        <w:pStyle w:val="Default"/>
        <w:rPr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Vispārēji traucējumi un reakcijas ievadīšanas vietā</w:t>
      </w:r>
    </w:p>
    <w:p w14:paraId="3D1C26A3" w14:textId="2D4297E9" w:rsidR="00C56B5F" w:rsidRDefault="00F86A7D" w:rsidP="0057000D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B</w:t>
      </w:r>
      <w:r w:rsidR="00693A31" w:rsidRPr="00033B8B">
        <w:rPr>
          <w:sz w:val="22"/>
          <w:szCs w:val="22"/>
          <w:lang w:val="lv-LV"/>
        </w:rPr>
        <w:t>ieži: astēnija</w:t>
      </w:r>
    </w:p>
    <w:p w14:paraId="4AEA1721" w14:textId="42C8FBAD" w:rsidR="00EC035F" w:rsidRPr="00033B8B" w:rsidRDefault="00EC035F" w:rsidP="0057000D">
      <w:pPr>
        <w:pStyle w:val="Default"/>
        <w:rPr>
          <w:sz w:val="22"/>
          <w:szCs w:val="22"/>
          <w:lang w:val="lv-LV"/>
        </w:rPr>
      </w:pPr>
      <w:r w:rsidRPr="00EC035F">
        <w:rPr>
          <w:sz w:val="22"/>
          <w:szCs w:val="22"/>
          <w:lang w:val="lv-LV"/>
        </w:rPr>
        <w:t>Nav zinām</w:t>
      </w:r>
      <w:r>
        <w:rPr>
          <w:sz w:val="22"/>
          <w:szCs w:val="22"/>
          <w:lang w:val="lv-LV"/>
        </w:rPr>
        <w:t>i</w:t>
      </w:r>
      <w:r w:rsidRPr="00EC035F">
        <w:rPr>
          <w:sz w:val="22"/>
          <w:szCs w:val="22"/>
          <w:lang w:val="lv-LV"/>
        </w:rPr>
        <w:t>: tūska, savārgums</w:t>
      </w:r>
    </w:p>
    <w:p w14:paraId="7C02FD00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20538EB1" w14:textId="05A51A5C" w:rsidR="00EC035F" w:rsidRPr="003E479E" w:rsidRDefault="00EC035F" w:rsidP="003E479E">
      <w:pPr>
        <w:pStyle w:val="Default"/>
        <w:rPr>
          <w:sz w:val="22"/>
          <w:szCs w:val="22"/>
          <w:lang w:val="lv-LV"/>
        </w:rPr>
      </w:pPr>
      <w:r w:rsidRPr="003E479E">
        <w:rPr>
          <w:sz w:val="22"/>
          <w:szCs w:val="22"/>
          <w:lang w:val="lv-LV"/>
        </w:rPr>
        <w:t>Atsevišķu zāļu izraisītu nevēlamo blakusparādību apraksts.</w:t>
      </w:r>
    </w:p>
    <w:p w14:paraId="525028ED" w14:textId="0F48FABF" w:rsidR="00EC035F" w:rsidRPr="003E479E" w:rsidRDefault="00584FAF" w:rsidP="006977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lv-LV"/>
        </w:rPr>
      </w:pPr>
      <w:r w:rsidRPr="003E479E">
        <w:rPr>
          <w:color w:val="000000"/>
          <w:sz w:val="22"/>
          <w:szCs w:val="22"/>
          <w:lang w:val="lv-LV"/>
        </w:rPr>
        <w:t xml:space="preserve">Pēc lietošanas pārtraukšanas </w:t>
      </w:r>
      <w:r w:rsidR="005E0100" w:rsidRPr="00405EE4">
        <w:rPr>
          <w:color w:val="000000"/>
          <w:sz w:val="22"/>
          <w:szCs w:val="22"/>
          <w:lang w:val="lv-LV"/>
        </w:rPr>
        <w:t>dažiem pacientiem</w:t>
      </w:r>
      <w:r w:rsidR="005E0100" w:rsidRPr="005E0100">
        <w:rPr>
          <w:color w:val="000000"/>
          <w:sz w:val="22"/>
          <w:szCs w:val="22"/>
          <w:lang w:val="lv-LV"/>
        </w:rPr>
        <w:t xml:space="preserve"> </w:t>
      </w:r>
      <w:r w:rsidRPr="003E479E">
        <w:rPr>
          <w:color w:val="000000"/>
          <w:sz w:val="22"/>
          <w:szCs w:val="22"/>
          <w:lang w:val="lv-LV"/>
        </w:rPr>
        <w:t>tika ziņots par niezes raša</w:t>
      </w:r>
      <w:r>
        <w:rPr>
          <w:color w:val="000000"/>
          <w:sz w:val="22"/>
          <w:szCs w:val="22"/>
          <w:lang w:val="lv-LV"/>
        </w:rPr>
        <w:t>nos</w:t>
      </w:r>
      <w:r w:rsidRPr="003E479E">
        <w:rPr>
          <w:color w:val="000000"/>
          <w:sz w:val="22"/>
          <w:szCs w:val="22"/>
          <w:lang w:val="lv-LV"/>
        </w:rPr>
        <w:t>.</w:t>
      </w:r>
    </w:p>
    <w:p w14:paraId="1BD8BC5E" w14:textId="77777777" w:rsidR="00EC035F" w:rsidRDefault="00EC035F" w:rsidP="006977E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lv-LV"/>
        </w:rPr>
      </w:pPr>
    </w:p>
    <w:p w14:paraId="19B0D546" w14:textId="4095EA74" w:rsidR="006977EC" w:rsidRPr="00033B8B" w:rsidRDefault="006977EC" w:rsidP="006977E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Ziņošana par iespējamām nevēlamām blakusparādībām</w:t>
      </w:r>
    </w:p>
    <w:p w14:paraId="2FF2A40A" w14:textId="77777777" w:rsidR="006977EC" w:rsidRPr="00033B8B" w:rsidRDefault="006977EC" w:rsidP="006977EC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</w:t>
      </w:r>
      <w:r w:rsidR="002A428F" w:rsidRPr="00033B8B">
        <w:rPr>
          <w:rFonts w:eastAsia="Calibri"/>
          <w:sz w:val="22"/>
          <w:szCs w:val="22"/>
          <w:lang w:val="lv-LV" w:eastAsia="zh-CN"/>
        </w:rPr>
        <w:t>Zāļu valsts aģentūrai, Jersikas ielā</w:t>
      </w:r>
      <w:r w:rsidR="00B62447" w:rsidRPr="00033B8B">
        <w:rPr>
          <w:sz w:val="22"/>
          <w:szCs w:val="22"/>
          <w:lang w:val="lv-LV"/>
        </w:rPr>
        <w:t> </w:t>
      </w:r>
      <w:r w:rsidR="002A428F" w:rsidRPr="00033B8B">
        <w:rPr>
          <w:rFonts w:eastAsia="Calibri"/>
          <w:sz w:val="22"/>
          <w:szCs w:val="22"/>
          <w:lang w:val="lv-LV" w:eastAsia="zh-CN"/>
        </w:rPr>
        <w:t xml:space="preserve">15, Rīgā, LV-1003. Tīmekļa vietne: </w:t>
      </w:r>
      <w:hyperlink r:id="rId10" w:history="1">
        <w:r w:rsidR="002A428F" w:rsidRPr="00033B8B">
          <w:rPr>
            <w:rFonts w:eastAsia="Calibri"/>
            <w:color w:val="0000FF"/>
            <w:sz w:val="22"/>
            <w:szCs w:val="22"/>
            <w:u w:val="single"/>
            <w:lang w:val="lv-LV" w:eastAsia="zh-CN"/>
          </w:rPr>
          <w:t>www.zva.gov.lv</w:t>
        </w:r>
      </w:hyperlink>
      <w:r w:rsidRPr="00033B8B">
        <w:rPr>
          <w:sz w:val="22"/>
          <w:szCs w:val="22"/>
          <w:lang w:val="lv-LV"/>
        </w:rPr>
        <w:t>.</w:t>
      </w:r>
    </w:p>
    <w:p w14:paraId="0A8BE3A9" w14:textId="77777777" w:rsidR="006977EC" w:rsidRPr="00033B8B" w:rsidRDefault="006977EC" w:rsidP="006977EC">
      <w:pPr>
        <w:pStyle w:val="Default"/>
        <w:rPr>
          <w:b/>
          <w:bCs/>
          <w:sz w:val="22"/>
          <w:szCs w:val="22"/>
          <w:lang w:val="lv-LV"/>
        </w:rPr>
      </w:pPr>
    </w:p>
    <w:p w14:paraId="33A97D92" w14:textId="77777777" w:rsidR="005261BA" w:rsidRPr="00033B8B" w:rsidRDefault="00693A31" w:rsidP="002A3C1F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Pārdozēšana</w:t>
      </w:r>
    </w:p>
    <w:p w14:paraId="08432634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131D5C67" w14:textId="77777777" w:rsidR="00DD4A70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Simptomi, kas novēroti pēc cetirizīna pārdozēšanas, galvenokārt ir saistīti ar ietekmi uz CNS vai ietekmi, kas var liecināt par antiholīnerģisku iedarbību. </w:t>
      </w:r>
    </w:p>
    <w:p w14:paraId="686EA824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Lietojot lielās devās, simpatomimētiskie līdzekļi var izraisīt toksisku psihozi ar mānijām un halucinācijām. Dažiem pacientiem var rasties sirds aritmijas, akūta asinsvadu mazspēja (kolapss), krampji, koma </w:t>
      </w:r>
      <w:r w:rsidR="002E10B0" w:rsidRPr="00033B8B">
        <w:rPr>
          <w:sz w:val="22"/>
          <w:szCs w:val="22"/>
          <w:lang w:val="lv-LV"/>
        </w:rPr>
        <w:t xml:space="preserve">vai </w:t>
      </w:r>
      <w:r w:rsidRPr="00033B8B">
        <w:rPr>
          <w:sz w:val="22"/>
          <w:szCs w:val="22"/>
          <w:lang w:val="lv-LV"/>
        </w:rPr>
        <w:t>elpošana</w:t>
      </w:r>
      <w:r w:rsidR="00693A31" w:rsidRPr="00033B8B">
        <w:rPr>
          <w:sz w:val="22"/>
          <w:szCs w:val="22"/>
          <w:lang w:val="lv-LV"/>
        </w:rPr>
        <w:t>s mazspēja, kas var būt letāla.</w:t>
      </w:r>
    </w:p>
    <w:p w14:paraId="78356D47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34AE34D4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Cetirizīna-pseidoefedrīna akūta pārdozēšana var radīt caureju, reiboni, nogurumu, galvassāpes, nespēku, midriāzi, urīna aizturi, tahikardiju, sirds aritmiju, arteriālo hipertensiju</w:t>
      </w:r>
      <w:r w:rsidR="002E10B0" w:rsidRPr="00033B8B">
        <w:rPr>
          <w:sz w:val="22"/>
          <w:szCs w:val="22"/>
          <w:lang w:val="lv-LV"/>
        </w:rPr>
        <w:t xml:space="preserve"> vai</w:t>
      </w:r>
      <w:r w:rsidRPr="00033B8B">
        <w:rPr>
          <w:sz w:val="22"/>
          <w:szCs w:val="22"/>
          <w:lang w:val="lv-LV"/>
        </w:rPr>
        <w:t xml:space="preserve"> CNS nomākuma pazīmes (sedāciju, apnoju, bezsamaņu, cianozi un kardiovaskulāru kolapsu) vai stimulāciju (bezmiegu, halucinācijas, trīci,</w:t>
      </w:r>
      <w:r w:rsidR="00693A31" w:rsidRPr="00033B8B">
        <w:rPr>
          <w:sz w:val="22"/>
          <w:szCs w:val="22"/>
          <w:lang w:val="lv-LV"/>
        </w:rPr>
        <w:t xml:space="preserve"> krampjus), kas var būt letāla.</w:t>
      </w:r>
    </w:p>
    <w:p w14:paraId="1A2D828F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5EF65DBF" w14:textId="77777777" w:rsidR="00CA197A" w:rsidRPr="00033B8B" w:rsidRDefault="005261BA" w:rsidP="00C56B5F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Ārstēšanu</w:t>
      </w:r>
      <w:r w:rsidR="002E10B0" w:rsidRPr="00033B8B">
        <w:rPr>
          <w:sz w:val="22"/>
          <w:szCs w:val="22"/>
          <w:lang w:val="lv-LV"/>
        </w:rPr>
        <w:t xml:space="preserve"> pardozēšanas gadījumā</w:t>
      </w:r>
      <w:r w:rsidRPr="00033B8B">
        <w:rPr>
          <w:sz w:val="22"/>
          <w:szCs w:val="22"/>
          <w:lang w:val="lv-LV"/>
        </w:rPr>
        <w:t xml:space="preserve"> ieteicams veikt slimnīcā</w:t>
      </w:r>
      <w:r w:rsidR="00A6184E" w:rsidRPr="00033B8B">
        <w:rPr>
          <w:sz w:val="22"/>
          <w:szCs w:val="22"/>
          <w:lang w:val="lv-LV"/>
        </w:rPr>
        <w:t>,</w:t>
      </w:r>
      <w:r w:rsidRPr="00033B8B">
        <w:rPr>
          <w:sz w:val="22"/>
          <w:szCs w:val="22"/>
          <w:lang w:val="lv-LV"/>
        </w:rPr>
        <w:t xml:space="preserve"> un tai jābūt simptomātiskai un balstošai, ņemot vērā ikvien</w:t>
      </w:r>
      <w:r w:rsidR="00F55C92" w:rsidRPr="00033B8B">
        <w:rPr>
          <w:sz w:val="22"/>
          <w:szCs w:val="22"/>
          <w:lang w:val="lv-LV"/>
        </w:rPr>
        <w:t>as</w:t>
      </w:r>
      <w:r w:rsidRPr="00033B8B">
        <w:rPr>
          <w:sz w:val="22"/>
          <w:szCs w:val="22"/>
          <w:lang w:val="lv-LV"/>
        </w:rPr>
        <w:t xml:space="preserve"> vienlaikus lietot</w:t>
      </w:r>
      <w:r w:rsidR="00F55C92" w:rsidRPr="00033B8B">
        <w:rPr>
          <w:sz w:val="22"/>
          <w:szCs w:val="22"/>
          <w:lang w:val="lv-LV"/>
        </w:rPr>
        <w:t>as zāles</w:t>
      </w:r>
      <w:r w:rsidRPr="00033B8B">
        <w:rPr>
          <w:sz w:val="22"/>
          <w:szCs w:val="22"/>
          <w:lang w:val="lv-LV"/>
        </w:rPr>
        <w:t>. Ja vemšana nerodas spontāni, tā jāizraisa. Ieteicama kuņģa skalošana. Nav zinām</w:t>
      </w:r>
      <w:r w:rsidR="002E10B0" w:rsidRPr="00033B8B">
        <w:rPr>
          <w:sz w:val="22"/>
          <w:szCs w:val="22"/>
          <w:lang w:val="lv-LV"/>
        </w:rPr>
        <w:t>i</w:t>
      </w:r>
      <w:r w:rsidRPr="00033B8B">
        <w:rPr>
          <w:sz w:val="22"/>
          <w:szCs w:val="22"/>
          <w:lang w:val="lv-LV"/>
        </w:rPr>
        <w:t xml:space="preserve"> antidot</w:t>
      </w:r>
      <w:r w:rsidR="002E10B0" w:rsidRPr="00033B8B">
        <w:rPr>
          <w:sz w:val="22"/>
          <w:szCs w:val="22"/>
          <w:lang w:val="lv-LV"/>
        </w:rPr>
        <w:t>i</w:t>
      </w:r>
      <w:r w:rsidRPr="00033B8B">
        <w:rPr>
          <w:sz w:val="22"/>
          <w:szCs w:val="22"/>
          <w:lang w:val="lv-LV"/>
        </w:rPr>
        <w:t xml:space="preserve">. Nedrīkst lietot simpatomimētiskus amīnus. Hipertensiju un tahikardiju var ārstēt lietojot </w:t>
      </w:r>
      <w:r w:rsidR="00CA197A" w:rsidRPr="00033B8B">
        <w:rPr>
          <w:sz w:val="22"/>
          <w:szCs w:val="22"/>
          <w:lang w:val="lv-LV"/>
        </w:rPr>
        <w:t>alfa-adren</w:t>
      </w:r>
      <w:r w:rsidR="007B018E" w:rsidRPr="00033B8B">
        <w:rPr>
          <w:sz w:val="22"/>
          <w:szCs w:val="22"/>
          <w:lang w:val="lv-LV"/>
        </w:rPr>
        <w:t>o</w:t>
      </w:r>
      <w:r w:rsidRPr="00033B8B">
        <w:rPr>
          <w:sz w:val="22"/>
          <w:szCs w:val="22"/>
          <w:lang w:val="lv-LV"/>
        </w:rPr>
        <w:t xml:space="preserve">blokatorus un/vai </w:t>
      </w:r>
      <w:r w:rsidR="00CA197A" w:rsidRPr="00033B8B">
        <w:rPr>
          <w:sz w:val="22"/>
          <w:szCs w:val="22"/>
          <w:lang w:val="lv-LV"/>
        </w:rPr>
        <w:t>bēta-adren</w:t>
      </w:r>
      <w:r w:rsidR="007B018E" w:rsidRPr="00033B8B">
        <w:rPr>
          <w:sz w:val="22"/>
          <w:szCs w:val="22"/>
          <w:lang w:val="lv-LV"/>
        </w:rPr>
        <w:t>o</w:t>
      </w:r>
      <w:r w:rsidRPr="00033B8B">
        <w:rPr>
          <w:sz w:val="22"/>
          <w:szCs w:val="22"/>
          <w:lang w:val="lv-LV"/>
        </w:rPr>
        <w:t xml:space="preserve">blokatorus. Krampjus var ārstēt, ievadot diazepāmu intravenozi (vai </w:t>
      </w:r>
      <w:r w:rsidR="00CA197A" w:rsidRPr="00033B8B">
        <w:rPr>
          <w:sz w:val="22"/>
          <w:szCs w:val="22"/>
          <w:lang w:val="lv-LV"/>
        </w:rPr>
        <w:t xml:space="preserve">ar diazepāmu </w:t>
      </w:r>
      <w:r w:rsidRPr="00033B8B">
        <w:rPr>
          <w:sz w:val="22"/>
          <w:szCs w:val="22"/>
          <w:lang w:val="lv-LV"/>
        </w:rPr>
        <w:t>rektāli – bēr</w:t>
      </w:r>
      <w:r w:rsidR="00693A31" w:rsidRPr="00033B8B">
        <w:rPr>
          <w:sz w:val="22"/>
          <w:szCs w:val="22"/>
          <w:lang w:val="lv-LV"/>
        </w:rPr>
        <w:t>niem).</w:t>
      </w:r>
    </w:p>
    <w:p w14:paraId="2C775243" w14:textId="77777777" w:rsidR="00C56B5F" w:rsidRPr="00033B8B" w:rsidRDefault="005261BA" w:rsidP="00C56B5F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Cetirizīns un pseidoefedr</w:t>
      </w:r>
      <w:r w:rsidR="00693A31" w:rsidRPr="00033B8B">
        <w:rPr>
          <w:sz w:val="22"/>
          <w:szCs w:val="22"/>
          <w:lang w:val="lv-LV"/>
        </w:rPr>
        <w:t>īns slikti izvadās hemodialīzē.</w:t>
      </w:r>
    </w:p>
    <w:p w14:paraId="789BA110" w14:textId="77777777" w:rsidR="00C56B5F" w:rsidRPr="00033B8B" w:rsidRDefault="00C56B5F" w:rsidP="00C56B5F">
      <w:pPr>
        <w:pStyle w:val="Default"/>
        <w:rPr>
          <w:sz w:val="22"/>
          <w:szCs w:val="22"/>
          <w:lang w:val="lv-LV"/>
        </w:rPr>
      </w:pPr>
    </w:p>
    <w:p w14:paraId="057EE305" w14:textId="77777777" w:rsidR="00B93521" w:rsidRPr="00033B8B" w:rsidRDefault="00B93521" w:rsidP="00C56B5F">
      <w:pPr>
        <w:pStyle w:val="Default"/>
        <w:rPr>
          <w:sz w:val="22"/>
          <w:szCs w:val="22"/>
          <w:lang w:val="lv-LV"/>
        </w:rPr>
      </w:pPr>
    </w:p>
    <w:p w14:paraId="6FD7E233" w14:textId="77777777" w:rsidR="005261BA" w:rsidRPr="00033B8B" w:rsidRDefault="005261BA" w:rsidP="004D74A6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 xml:space="preserve">FARMAKOLOĢISKĀS ĪPAŠĪBAS </w:t>
      </w:r>
    </w:p>
    <w:p w14:paraId="480D9EE3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4D9534B8" w14:textId="77777777" w:rsidR="005261BA" w:rsidRPr="00033B8B" w:rsidRDefault="005261BA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Farmakodinamiskās īpašības</w:t>
      </w:r>
    </w:p>
    <w:p w14:paraId="701450E8" w14:textId="77777777" w:rsidR="002A428F" w:rsidRPr="00033B8B" w:rsidRDefault="002A428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670BADB" w14:textId="23DF71EE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bCs/>
          <w:sz w:val="22"/>
          <w:szCs w:val="22"/>
          <w:lang w:val="lv-LV"/>
        </w:rPr>
        <w:t>Farmakoterapeitiskā grupa</w:t>
      </w:r>
      <w:r w:rsidRPr="00033B8B">
        <w:rPr>
          <w:sz w:val="22"/>
          <w:szCs w:val="22"/>
          <w:lang w:val="lv-LV"/>
        </w:rPr>
        <w:t xml:space="preserve">: </w:t>
      </w:r>
      <w:r w:rsidR="0080008C" w:rsidRPr="0080008C">
        <w:rPr>
          <w:sz w:val="22"/>
          <w:szCs w:val="22"/>
          <w:lang w:val="lv-LV"/>
        </w:rPr>
        <w:t>sistēmiski lietojamie dekongestanti, pseidoefedrīns, kombinācijas</w:t>
      </w:r>
      <w:r w:rsidR="0080008C">
        <w:rPr>
          <w:sz w:val="22"/>
          <w:szCs w:val="22"/>
          <w:lang w:val="lv-LV"/>
        </w:rPr>
        <w:t>;</w:t>
      </w:r>
      <w:r w:rsidRPr="00033B8B">
        <w:rPr>
          <w:sz w:val="22"/>
          <w:szCs w:val="22"/>
          <w:lang w:val="lv-LV"/>
        </w:rPr>
        <w:t xml:space="preserve"> </w:t>
      </w:r>
      <w:r w:rsidRPr="00033B8B">
        <w:rPr>
          <w:bCs/>
          <w:sz w:val="22"/>
          <w:szCs w:val="22"/>
          <w:lang w:val="lv-LV"/>
        </w:rPr>
        <w:t>ATĶ kods</w:t>
      </w:r>
      <w:r w:rsidRPr="00033B8B">
        <w:rPr>
          <w:sz w:val="22"/>
          <w:szCs w:val="22"/>
          <w:lang w:val="lv-LV"/>
        </w:rPr>
        <w:t xml:space="preserve">: </w:t>
      </w:r>
      <w:r w:rsidR="00B93521" w:rsidRPr="00033B8B">
        <w:rPr>
          <w:sz w:val="22"/>
          <w:szCs w:val="22"/>
          <w:lang w:val="lv-LV"/>
        </w:rPr>
        <w:t>R01B A52</w:t>
      </w:r>
    </w:p>
    <w:p w14:paraId="3DBD5706" w14:textId="77777777" w:rsidR="00B93521" w:rsidRPr="00033B8B" w:rsidRDefault="00B93521" w:rsidP="005261BA">
      <w:pPr>
        <w:pStyle w:val="Default"/>
        <w:rPr>
          <w:sz w:val="22"/>
          <w:szCs w:val="22"/>
          <w:lang w:val="lv-LV"/>
        </w:rPr>
      </w:pPr>
    </w:p>
    <w:p w14:paraId="23C05780" w14:textId="77777777" w:rsidR="00161FA1" w:rsidRPr="00033B8B" w:rsidRDefault="006067F8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Cetirizīna-pseidoefedrīna</w:t>
      </w:r>
      <w:r w:rsidR="005261BA" w:rsidRPr="00033B8B">
        <w:rPr>
          <w:sz w:val="22"/>
          <w:szCs w:val="22"/>
          <w:lang w:val="lv-LV"/>
        </w:rPr>
        <w:t xml:space="preserve"> farmakodinamiskā darbība ir tieši saistīta ar katras tā sas</w:t>
      </w:r>
      <w:r w:rsidR="00B13E6F" w:rsidRPr="00033B8B">
        <w:rPr>
          <w:sz w:val="22"/>
          <w:szCs w:val="22"/>
          <w:lang w:val="lv-LV"/>
        </w:rPr>
        <w:t>tāvdaļas papildinošo iedarbību.</w:t>
      </w:r>
    </w:p>
    <w:p w14:paraId="24E98692" w14:textId="77777777" w:rsidR="004C50D0" w:rsidRPr="00033B8B" w:rsidRDefault="005261BA" w:rsidP="00033B8B">
      <w:pPr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Cetirizīns</w:t>
      </w:r>
      <w:r w:rsidR="00161FA1" w:rsidRPr="00033B8B">
        <w:rPr>
          <w:sz w:val="22"/>
          <w:szCs w:val="22"/>
          <w:lang w:val="lv-LV"/>
        </w:rPr>
        <w:t>, hidroksizīna metabolīts</w:t>
      </w:r>
      <w:r w:rsidR="00F5036E" w:rsidRPr="00033B8B">
        <w:rPr>
          <w:sz w:val="22"/>
          <w:szCs w:val="22"/>
          <w:lang w:val="lv-LV"/>
        </w:rPr>
        <w:t xml:space="preserve"> cilvēka organismā</w:t>
      </w:r>
      <w:r w:rsidR="00161FA1" w:rsidRPr="00033B8B">
        <w:rPr>
          <w:sz w:val="22"/>
          <w:szCs w:val="22"/>
          <w:lang w:val="lv-LV"/>
        </w:rPr>
        <w:t xml:space="preserve">, </w:t>
      </w:r>
      <w:r w:rsidRPr="00033B8B">
        <w:rPr>
          <w:sz w:val="22"/>
          <w:szCs w:val="22"/>
          <w:lang w:val="lv-LV"/>
        </w:rPr>
        <w:t>ir spēcīgs un selektīvs</w:t>
      </w:r>
      <w:r w:rsidR="00012F53" w:rsidRPr="00033B8B">
        <w:rPr>
          <w:sz w:val="22"/>
          <w:szCs w:val="22"/>
          <w:lang w:val="lv-LV"/>
        </w:rPr>
        <w:t xml:space="preserve"> </w:t>
      </w:r>
      <w:r w:rsidR="00F5036E" w:rsidRPr="00033B8B">
        <w:rPr>
          <w:sz w:val="22"/>
          <w:szCs w:val="22"/>
          <w:lang w:val="lv-LV"/>
        </w:rPr>
        <w:t xml:space="preserve">perifēro </w:t>
      </w:r>
      <w:r w:rsidRPr="00033B8B">
        <w:rPr>
          <w:sz w:val="22"/>
          <w:szCs w:val="22"/>
          <w:lang w:val="lv-LV"/>
        </w:rPr>
        <w:t>H</w:t>
      </w:r>
      <w:r w:rsidRPr="00033B8B">
        <w:rPr>
          <w:sz w:val="22"/>
          <w:szCs w:val="22"/>
          <w:vertAlign w:val="subscript"/>
          <w:lang w:val="lv-LV"/>
        </w:rPr>
        <w:t>1</w:t>
      </w:r>
      <w:r w:rsidRPr="00033B8B">
        <w:rPr>
          <w:sz w:val="22"/>
          <w:szCs w:val="22"/>
          <w:lang w:val="lv-LV"/>
        </w:rPr>
        <w:t xml:space="preserve"> receptor</w:t>
      </w:r>
      <w:r w:rsidR="00F5036E" w:rsidRPr="00033B8B">
        <w:rPr>
          <w:sz w:val="22"/>
          <w:szCs w:val="22"/>
          <w:lang w:val="lv-LV"/>
        </w:rPr>
        <w:t>u antagonists</w:t>
      </w:r>
      <w:r w:rsidR="00012F53" w:rsidRPr="00033B8B">
        <w:rPr>
          <w:sz w:val="22"/>
          <w:szCs w:val="22"/>
          <w:lang w:val="lv-LV"/>
        </w:rPr>
        <w:t>.</w:t>
      </w:r>
      <w:r w:rsidRPr="00033B8B">
        <w:rPr>
          <w:sz w:val="22"/>
          <w:szCs w:val="22"/>
          <w:lang w:val="lv-LV"/>
        </w:rPr>
        <w:t xml:space="preserve"> </w:t>
      </w:r>
      <w:r w:rsidR="00012F53" w:rsidRPr="00033B8B">
        <w:rPr>
          <w:sz w:val="22"/>
          <w:szCs w:val="22"/>
          <w:lang w:val="lv-LV"/>
        </w:rPr>
        <w:t>P</w:t>
      </w:r>
      <w:r w:rsidRPr="00033B8B">
        <w:rPr>
          <w:sz w:val="22"/>
          <w:szCs w:val="22"/>
          <w:lang w:val="lv-LV"/>
        </w:rPr>
        <w:t xml:space="preserve">apildus </w:t>
      </w:r>
      <w:r w:rsidR="00012F53" w:rsidRPr="00033B8B">
        <w:rPr>
          <w:sz w:val="22"/>
          <w:szCs w:val="22"/>
          <w:lang w:val="lv-LV"/>
        </w:rPr>
        <w:t>tā anti H</w:t>
      </w:r>
      <w:r w:rsidR="00012F53" w:rsidRPr="00033B8B">
        <w:rPr>
          <w:sz w:val="22"/>
          <w:szCs w:val="22"/>
          <w:vertAlign w:val="subscript"/>
          <w:lang w:val="lv-LV"/>
        </w:rPr>
        <w:t>1</w:t>
      </w:r>
      <w:r w:rsidR="00012F53" w:rsidRPr="00033B8B">
        <w:rPr>
          <w:sz w:val="22"/>
          <w:szCs w:val="22"/>
          <w:lang w:val="lv-LV"/>
        </w:rPr>
        <w:t xml:space="preserve"> iedarbībai,</w:t>
      </w:r>
      <w:r w:rsidR="00012F53" w:rsidRPr="00033B8B">
        <w:rPr>
          <w:lang w:val="lv-LV"/>
        </w:rPr>
        <w:t xml:space="preserve"> </w:t>
      </w:r>
      <w:r w:rsidR="00012F53" w:rsidRPr="00033B8B">
        <w:rPr>
          <w:sz w:val="22"/>
          <w:szCs w:val="22"/>
          <w:lang w:val="lv-LV"/>
        </w:rPr>
        <w:t>cetirizīn</w:t>
      </w:r>
      <w:r w:rsidR="00F5036E" w:rsidRPr="00033B8B">
        <w:rPr>
          <w:sz w:val="22"/>
          <w:szCs w:val="22"/>
          <w:lang w:val="lv-LV"/>
        </w:rPr>
        <w:t>am ir arī pret</w:t>
      </w:r>
      <w:r w:rsidR="00012F53" w:rsidRPr="00033B8B">
        <w:rPr>
          <w:sz w:val="22"/>
          <w:szCs w:val="22"/>
          <w:lang w:val="lv-LV"/>
        </w:rPr>
        <w:t xml:space="preserve">alerģiskas īpašības. </w:t>
      </w:r>
      <w:r w:rsidR="00F5036E" w:rsidRPr="00033B8B">
        <w:rPr>
          <w:sz w:val="22"/>
          <w:szCs w:val="22"/>
          <w:lang w:val="lv-LV"/>
        </w:rPr>
        <w:t>10 mg devā</w:t>
      </w:r>
      <w:r w:rsidR="000A4C55" w:rsidRPr="00033B8B">
        <w:rPr>
          <w:sz w:val="22"/>
          <w:szCs w:val="22"/>
          <w:lang w:val="lv-LV"/>
        </w:rPr>
        <w:t>,</w:t>
      </w:r>
      <w:r w:rsidR="00F5036E" w:rsidRPr="00033B8B">
        <w:rPr>
          <w:sz w:val="22"/>
          <w:szCs w:val="22"/>
          <w:lang w:val="lv-LV"/>
        </w:rPr>
        <w:t xml:space="preserve"> vienu vai divas reizes dienā</w:t>
      </w:r>
      <w:r w:rsidR="000A4C55" w:rsidRPr="00033B8B">
        <w:rPr>
          <w:sz w:val="22"/>
          <w:szCs w:val="22"/>
          <w:lang w:val="lv-LV"/>
        </w:rPr>
        <w:t>,</w:t>
      </w:r>
      <w:r w:rsidR="00F5036E" w:rsidRPr="00033B8B">
        <w:rPr>
          <w:sz w:val="22"/>
          <w:szCs w:val="22"/>
          <w:lang w:val="lv-LV"/>
        </w:rPr>
        <w:t xml:space="preserve"> tas inhibē </w:t>
      </w:r>
      <w:r w:rsidR="00F5036E" w:rsidRPr="0041080F">
        <w:rPr>
          <w:sz w:val="22"/>
          <w:szCs w:val="22"/>
          <w:lang w:val="lv-LV"/>
        </w:rPr>
        <w:t xml:space="preserve">eozinofilo leikocītu piesaistīšanas vēlīno fāzi ādā un konjuktīvā </w:t>
      </w:r>
      <w:r w:rsidR="00F5036E" w:rsidRPr="0041080F">
        <w:rPr>
          <w:sz w:val="22"/>
          <w:szCs w:val="22"/>
          <w:lang w:val="lv-LV"/>
        </w:rPr>
        <w:lastRenderedPageBreak/>
        <w:t>atopiskiem pacientiem, kuri pakļauti alergēna ietekmei</w:t>
      </w:r>
      <w:r w:rsidR="000A4C55" w:rsidRPr="0041080F">
        <w:rPr>
          <w:sz w:val="22"/>
          <w:szCs w:val="22"/>
          <w:lang w:val="lv-LV"/>
        </w:rPr>
        <w:t>,</w:t>
      </w:r>
      <w:r w:rsidR="00C200A7" w:rsidRPr="0041080F">
        <w:rPr>
          <w:sz w:val="22"/>
          <w:szCs w:val="22"/>
          <w:lang w:val="lv-LV"/>
        </w:rPr>
        <w:t xml:space="preserve"> </w:t>
      </w:r>
      <w:r w:rsidR="009C25E7" w:rsidRPr="0041080F">
        <w:rPr>
          <w:sz w:val="22"/>
          <w:szCs w:val="22"/>
          <w:lang w:val="lv-LV"/>
        </w:rPr>
        <w:t>un 30</w:t>
      </w:r>
      <w:r w:rsidR="009B1CED" w:rsidRPr="0041080F">
        <w:rPr>
          <w:sz w:val="22"/>
          <w:szCs w:val="22"/>
          <w:lang w:val="lv-LV"/>
        </w:rPr>
        <w:t> </w:t>
      </w:r>
      <w:r w:rsidR="009C25E7" w:rsidRPr="0041080F">
        <w:rPr>
          <w:sz w:val="22"/>
          <w:szCs w:val="22"/>
          <w:lang w:val="lv-LV"/>
        </w:rPr>
        <w:t>mg dienas dev</w:t>
      </w:r>
      <w:r w:rsidR="00C200A7" w:rsidRPr="0041080F">
        <w:rPr>
          <w:sz w:val="22"/>
          <w:szCs w:val="22"/>
          <w:lang w:val="lv-LV"/>
        </w:rPr>
        <w:t>ā</w:t>
      </w:r>
      <w:r w:rsidR="009C25E7" w:rsidRPr="0041080F">
        <w:rPr>
          <w:sz w:val="22"/>
          <w:szCs w:val="22"/>
          <w:lang w:val="lv-LV"/>
        </w:rPr>
        <w:t xml:space="preserve"> nomāc </w:t>
      </w:r>
      <w:r w:rsidR="005E59CD" w:rsidRPr="0041080F">
        <w:rPr>
          <w:sz w:val="22"/>
          <w:szCs w:val="22"/>
          <w:lang w:val="lv-LV"/>
        </w:rPr>
        <w:t>eozinofilo</w:t>
      </w:r>
      <w:r w:rsidR="005E59CD" w:rsidRPr="00033B8B">
        <w:rPr>
          <w:sz w:val="22"/>
          <w:szCs w:val="22"/>
          <w:lang w:val="lv-LV"/>
        </w:rPr>
        <w:t xml:space="preserve"> </w:t>
      </w:r>
      <w:r w:rsidR="0099064E" w:rsidRPr="00033B8B">
        <w:rPr>
          <w:sz w:val="22"/>
          <w:szCs w:val="22"/>
          <w:lang w:val="lv-LV"/>
        </w:rPr>
        <w:t xml:space="preserve">leikocītu infiltrāciju </w:t>
      </w:r>
      <w:r w:rsidR="0009067C" w:rsidRPr="00033B8B">
        <w:rPr>
          <w:sz w:val="22"/>
          <w:szCs w:val="22"/>
          <w:lang w:val="lv-LV"/>
        </w:rPr>
        <w:t>bronhoalveolār</w:t>
      </w:r>
      <w:r w:rsidR="0099064E" w:rsidRPr="00033B8B">
        <w:rPr>
          <w:sz w:val="22"/>
          <w:szCs w:val="22"/>
          <w:lang w:val="lv-LV"/>
        </w:rPr>
        <w:t>ās</w:t>
      </w:r>
      <w:r w:rsidR="0009067C" w:rsidRPr="00033B8B">
        <w:rPr>
          <w:sz w:val="22"/>
          <w:szCs w:val="22"/>
          <w:lang w:val="lv-LV"/>
        </w:rPr>
        <w:t xml:space="preserve"> lavāžas šķidrumā bronhu spazmas vēlīnajā fāzē, ko izraisa alergēnu ieelpošana astmas pacientiem. Tas arī </w:t>
      </w:r>
      <w:r w:rsidR="0099064E" w:rsidRPr="00033B8B">
        <w:rPr>
          <w:sz w:val="22"/>
          <w:szCs w:val="22"/>
          <w:lang w:val="lv-LV"/>
        </w:rPr>
        <w:t>samazina</w:t>
      </w:r>
      <w:r w:rsidR="0009067C" w:rsidRPr="00033B8B">
        <w:rPr>
          <w:lang w:val="lv-LV"/>
        </w:rPr>
        <w:t xml:space="preserve"> </w:t>
      </w:r>
      <w:r w:rsidR="0009067C" w:rsidRPr="00033B8B">
        <w:rPr>
          <w:sz w:val="22"/>
          <w:szCs w:val="22"/>
          <w:lang w:val="lv-LV"/>
        </w:rPr>
        <w:t>adhēzijas molekulu</w:t>
      </w:r>
      <w:r w:rsidR="0099064E" w:rsidRPr="00033B8B">
        <w:rPr>
          <w:sz w:val="22"/>
          <w:szCs w:val="22"/>
          <w:lang w:val="lv-LV"/>
        </w:rPr>
        <w:t>,</w:t>
      </w:r>
      <w:r w:rsidR="0009067C" w:rsidRPr="00033B8B">
        <w:rPr>
          <w:sz w:val="22"/>
          <w:szCs w:val="22"/>
          <w:lang w:val="lv-LV"/>
        </w:rPr>
        <w:t xml:space="preserve"> </w:t>
      </w:r>
      <w:r w:rsidR="0099064E" w:rsidRPr="00033B8B">
        <w:rPr>
          <w:sz w:val="22"/>
          <w:szCs w:val="22"/>
          <w:lang w:val="lv-LV"/>
        </w:rPr>
        <w:t>tādu kā ICAM-1 un VCAM-1, ekspresiju</w:t>
      </w:r>
      <w:r w:rsidR="0009067C" w:rsidRPr="00033B8B">
        <w:rPr>
          <w:sz w:val="22"/>
          <w:szCs w:val="22"/>
          <w:lang w:val="lv-LV"/>
        </w:rPr>
        <w:t xml:space="preserve">, kas </w:t>
      </w:r>
      <w:r w:rsidR="0099064E" w:rsidRPr="00033B8B">
        <w:rPr>
          <w:sz w:val="22"/>
          <w:szCs w:val="22"/>
          <w:lang w:val="lv-LV"/>
        </w:rPr>
        <w:t>ir</w:t>
      </w:r>
      <w:r w:rsidR="0009067C" w:rsidRPr="00033B8B">
        <w:rPr>
          <w:sz w:val="22"/>
          <w:szCs w:val="22"/>
          <w:lang w:val="lv-LV"/>
        </w:rPr>
        <w:t xml:space="preserve"> alerģisk</w:t>
      </w:r>
      <w:r w:rsidR="0099064E" w:rsidRPr="00033B8B">
        <w:rPr>
          <w:sz w:val="22"/>
          <w:szCs w:val="22"/>
          <w:lang w:val="lv-LV"/>
        </w:rPr>
        <w:t>a</w:t>
      </w:r>
      <w:r w:rsidR="0009067C" w:rsidRPr="00033B8B">
        <w:rPr>
          <w:sz w:val="22"/>
          <w:szCs w:val="22"/>
          <w:lang w:val="lv-LV"/>
        </w:rPr>
        <w:t xml:space="preserve"> iekaisum</w:t>
      </w:r>
      <w:r w:rsidR="0099064E" w:rsidRPr="00033B8B">
        <w:rPr>
          <w:sz w:val="22"/>
          <w:szCs w:val="22"/>
          <w:lang w:val="lv-LV"/>
        </w:rPr>
        <w:t>a rādītāji</w:t>
      </w:r>
      <w:r w:rsidRPr="00033B8B">
        <w:rPr>
          <w:sz w:val="22"/>
          <w:szCs w:val="22"/>
          <w:lang w:val="lv-LV"/>
        </w:rPr>
        <w:t>.</w:t>
      </w:r>
    </w:p>
    <w:p w14:paraId="2DDC43F1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Pseidoefedrīns ir perorāli aktīvs simpatomimētisks amīns, kura </w:t>
      </w:r>
      <w:r w:rsidR="009C25E7" w:rsidRPr="00033B8B">
        <w:rPr>
          <w:sz w:val="22"/>
          <w:szCs w:val="22"/>
          <w:lang w:val="lv-LV"/>
        </w:rPr>
        <w:t>alfa</w:t>
      </w:r>
      <w:r w:rsidRPr="00033B8B">
        <w:rPr>
          <w:sz w:val="22"/>
          <w:szCs w:val="22"/>
          <w:lang w:val="lv-LV"/>
        </w:rPr>
        <w:t xml:space="preserve">-mimētiskā aktivitāte dominē pār </w:t>
      </w:r>
      <w:r w:rsidR="009C25E7" w:rsidRPr="00033B8B">
        <w:rPr>
          <w:sz w:val="22"/>
          <w:szCs w:val="22"/>
          <w:lang w:val="lv-LV"/>
        </w:rPr>
        <w:t>bēta</w:t>
      </w:r>
      <w:r w:rsidRPr="00033B8B">
        <w:rPr>
          <w:sz w:val="22"/>
          <w:szCs w:val="22"/>
          <w:lang w:val="lv-LV"/>
        </w:rPr>
        <w:t>-mimētisko aktivitāti. Vazokonstriktīvās darbības dēļ tam ir deguna g</w:t>
      </w:r>
      <w:r w:rsidR="00B13E6F" w:rsidRPr="00033B8B">
        <w:rPr>
          <w:sz w:val="22"/>
          <w:szCs w:val="22"/>
          <w:lang w:val="lv-LV"/>
        </w:rPr>
        <w:t>ļotādas tūsku mazinoša ietekme.</w:t>
      </w:r>
    </w:p>
    <w:p w14:paraId="7627312A" w14:textId="77777777" w:rsidR="00792656" w:rsidRPr="00033B8B" w:rsidRDefault="00792656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8961670" w14:textId="77777777" w:rsidR="005261BA" w:rsidRPr="00033B8B" w:rsidRDefault="00B13E6F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Farmakokinētiskās īpašības</w:t>
      </w:r>
    </w:p>
    <w:p w14:paraId="10E79C09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2059B47A" w14:textId="77777777" w:rsidR="003F3070" w:rsidRPr="00033B8B" w:rsidRDefault="003F3070" w:rsidP="003F307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Cetirizīna </w:t>
      </w:r>
      <w:r w:rsidR="0082608B" w:rsidRPr="00033B8B">
        <w:rPr>
          <w:sz w:val="22"/>
          <w:szCs w:val="22"/>
          <w:lang w:val="lv-LV"/>
        </w:rPr>
        <w:t>uzsūkšanās</w:t>
      </w:r>
      <w:r w:rsidRPr="00033B8B">
        <w:rPr>
          <w:sz w:val="22"/>
          <w:szCs w:val="22"/>
          <w:lang w:val="lv-LV"/>
        </w:rPr>
        <w:t xml:space="preserve"> un </w:t>
      </w:r>
      <w:r w:rsidR="0082608B" w:rsidRPr="00033B8B">
        <w:rPr>
          <w:sz w:val="22"/>
          <w:szCs w:val="22"/>
          <w:lang w:val="lv-LV"/>
        </w:rPr>
        <w:t>eliminācija</w:t>
      </w:r>
      <w:r w:rsidRPr="00033B8B">
        <w:rPr>
          <w:sz w:val="22"/>
          <w:szCs w:val="22"/>
          <w:lang w:val="lv-LV"/>
        </w:rPr>
        <w:t xml:space="preserve"> nav atkarīga no devas. Inter- un intra-individuālas variācijas ir mazas.</w:t>
      </w:r>
    </w:p>
    <w:p w14:paraId="2C6D706F" w14:textId="77777777" w:rsidR="003F3070" w:rsidRPr="00033B8B" w:rsidRDefault="003F3070" w:rsidP="003F307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pierādījumu par cetirizīna un pseidoefedrīna būtisku farmakokinētisku mijiedarbību.</w:t>
      </w:r>
    </w:p>
    <w:p w14:paraId="7D7F0A11" w14:textId="77777777" w:rsidR="003F3070" w:rsidRPr="00033B8B" w:rsidRDefault="003F3070" w:rsidP="003F3070">
      <w:pPr>
        <w:pStyle w:val="Default"/>
        <w:rPr>
          <w:sz w:val="22"/>
          <w:szCs w:val="22"/>
          <w:lang w:val="lv-LV"/>
        </w:rPr>
      </w:pPr>
    </w:p>
    <w:p w14:paraId="0DB233C7" w14:textId="77777777" w:rsidR="003F3070" w:rsidRPr="00033B8B" w:rsidRDefault="00981423" w:rsidP="003F3070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Uzsūkšanās</w:t>
      </w:r>
    </w:p>
    <w:p w14:paraId="087907AD" w14:textId="77777777" w:rsidR="003F3070" w:rsidRPr="00033B8B" w:rsidRDefault="003F3070" w:rsidP="003F307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Pēc perorālas lietošanas cetirizīns tiek ātri un gandrīz pilnīgi absorbēts. Tukšā dūšā maksimālā koncentrācija plazmā parasti tiek sasniegta 1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stundas laikā.</w:t>
      </w:r>
    </w:p>
    <w:p w14:paraId="26283C09" w14:textId="77777777" w:rsidR="003F3070" w:rsidRPr="00033B8B" w:rsidRDefault="00981423" w:rsidP="003F307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Pseidoefedrīns, kas cetirizīna-pseidoefedrīna sastāvā ir ilgstošās darbības zāļu formā, sasniedz maksimālo līmeni plazmā 2</w:t>
      </w:r>
      <w:r w:rsidR="00451789" w:rsidRPr="00033B8B">
        <w:rPr>
          <w:sz w:val="22"/>
          <w:szCs w:val="22"/>
          <w:lang w:val="lv-LV"/>
        </w:rPr>
        <w:t xml:space="preserve"> līdz </w:t>
      </w:r>
      <w:r w:rsidRPr="00033B8B">
        <w:rPr>
          <w:sz w:val="22"/>
          <w:szCs w:val="22"/>
          <w:lang w:val="lv-LV"/>
        </w:rPr>
        <w:t>6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stundas pēc daudzkārtējas lietošanas.</w:t>
      </w:r>
    </w:p>
    <w:p w14:paraId="7093E3FB" w14:textId="77777777" w:rsidR="00981423" w:rsidRPr="00033B8B" w:rsidRDefault="00981423" w:rsidP="00981423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Nav pierādīts, ka lielu daudzumu tauku saturoša maltīte maina </w:t>
      </w:r>
      <w:r w:rsidR="00451789" w:rsidRPr="00033B8B">
        <w:rPr>
          <w:sz w:val="22"/>
          <w:szCs w:val="22"/>
          <w:lang w:val="lv-LV"/>
        </w:rPr>
        <w:t xml:space="preserve">zāļu </w:t>
      </w:r>
      <w:r w:rsidRPr="00033B8B">
        <w:rPr>
          <w:sz w:val="22"/>
          <w:szCs w:val="22"/>
          <w:lang w:val="lv-LV"/>
        </w:rPr>
        <w:t>abu aktīvo vielu bioloģisko pieejamību</w:t>
      </w:r>
      <w:r w:rsidR="00451789" w:rsidRPr="00033B8B">
        <w:rPr>
          <w:sz w:val="22"/>
          <w:szCs w:val="22"/>
          <w:lang w:val="lv-LV"/>
        </w:rPr>
        <w:t>.</w:t>
      </w:r>
      <w:r w:rsidRPr="00033B8B">
        <w:rPr>
          <w:sz w:val="22"/>
          <w:szCs w:val="22"/>
          <w:lang w:val="lv-LV"/>
        </w:rPr>
        <w:t xml:space="preserve"> </w:t>
      </w:r>
      <w:r w:rsidR="00451789" w:rsidRPr="00033B8B">
        <w:rPr>
          <w:sz w:val="22"/>
          <w:szCs w:val="22"/>
          <w:lang w:val="lv-LV"/>
        </w:rPr>
        <w:t>T</w:t>
      </w:r>
      <w:r w:rsidRPr="00033B8B">
        <w:rPr>
          <w:sz w:val="22"/>
          <w:szCs w:val="22"/>
          <w:lang w:val="lv-LV"/>
        </w:rPr>
        <w:t>aču tā samazina cetirizīna maksimālo koncentrāciju plazmā un novilcina tās sasniegšanu</w:t>
      </w:r>
      <w:r w:rsidR="00451789" w:rsidRPr="00033B8B">
        <w:rPr>
          <w:sz w:val="22"/>
          <w:szCs w:val="22"/>
          <w:lang w:val="lv-LV"/>
        </w:rPr>
        <w:t>.</w:t>
      </w:r>
    </w:p>
    <w:p w14:paraId="749E15A8" w14:textId="77777777" w:rsidR="00981423" w:rsidRPr="00033B8B" w:rsidRDefault="00981423" w:rsidP="003F3070">
      <w:pPr>
        <w:pStyle w:val="Default"/>
        <w:rPr>
          <w:sz w:val="22"/>
          <w:szCs w:val="22"/>
          <w:lang w:val="lv-LV"/>
        </w:rPr>
      </w:pPr>
    </w:p>
    <w:p w14:paraId="6FB1C970" w14:textId="77777777" w:rsidR="00981423" w:rsidRPr="00033B8B" w:rsidRDefault="00981423" w:rsidP="003F3070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Izkliede</w:t>
      </w:r>
    </w:p>
    <w:p w14:paraId="1289ADD3" w14:textId="77777777" w:rsidR="00981423" w:rsidRPr="00033B8B" w:rsidRDefault="00984F10" w:rsidP="00984F1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Cetirizīns lielā mērā saistās ar plazmas proteīniem (93%). Tā izkliedes tilpums ir mazs</w:t>
      </w:r>
      <w:r w:rsidR="00451789" w:rsidRPr="00033B8B">
        <w:rPr>
          <w:sz w:val="22"/>
          <w:szCs w:val="22"/>
          <w:lang w:val="lv-LV"/>
        </w:rPr>
        <w:t>:</w:t>
      </w:r>
      <w:r w:rsidRPr="00033B8B">
        <w:rPr>
          <w:sz w:val="22"/>
          <w:szCs w:val="22"/>
          <w:lang w:val="lv-LV"/>
        </w:rPr>
        <w:t xml:space="preserve"> apmēram 0,5</w:t>
      </w:r>
      <w:r w:rsidR="009B1CED" w:rsidRPr="004E31CE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l/kg.</w:t>
      </w:r>
    </w:p>
    <w:p w14:paraId="46DE2CED" w14:textId="77777777" w:rsidR="003F3070" w:rsidRPr="00033B8B" w:rsidRDefault="003F3070" w:rsidP="003F3070">
      <w:pPr>
        <w:pStyle w:val="Default"/>
        <w:rPr>
          <w:sz w:val="22"/>
          <w:szCs w:val="22"/>
          <w:lang w:val="lv-LV"/>
        </w:rPr>
      </w:pPr>
    </w:p>
    <w:p w14:paraId="546E5F8E" w14:textId="77777777" w:rsidR="00984F10" w:rsidRPr="00033B8B" w:rsidRDefault="00984F10" w:rsidP="003F3070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Biotransformācija</w:t>
      </w:r>
    </w:p>
    <w:p w14:paraId="2954B429" w14:textId="77777777" w:rsidR="00984F10" w:rsidRPr="00033B8B" w:rsidRDefault="00984F10" w:rsidP="00984F1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Cetirizīnam nav raksturīgs ievērojams pirmā loka metabolisms.</w:t>
      </w:r>
    </w:p>
    <w:p w14:paraId="3190601D" w14:textId="77777777" w:rsidR="00984F10" w:rsidRPr="00033B8B" w:rsidRDefault="00984F10" w:rsidP="003F3070">
      <w:pPr>
        <w:pStyle w:val="Default"/>
        <w:rPr>
          <w:sz w:val="22"/>
          <w:szCs w:val="22"/>
          <w:lang w:val="lv-LV"/>
        </w:rPr>
      </w:pPr>
    </w:p>
    <w:p w14:paraId="0AC3FC80" w14:textId="77777777" w:rsidR="00984F10" w:rsidRPr="00033B8B" w:rsidRDefault="00984F10" w:rsidP="003F3070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Eliminācija</w:t>
      </w:r>
    </w:p>
    <w:p w14:paraId="1BBA6450" w14:textId="77777777" w:rsidR="00984F10" w:rsidRPr="00033B8B" w:rsidRDefault="00984F10" w:rsidP="00984F1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Pēc atkārtotas perorālas lietošanas apmēram 65% devas izdalās ar urīnu nemainītā veidā diennakts laikā.</w:t>
      </w:r>
    </w:p>
    <w:p w14:paraId="58A7122D" w14:textId="77777777" w:rsidR="00984F10" w:rsidRPr="00033B8B" w:rsidRDefault="00984F10" w:rsidP="00984F1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Cetirizīna eliminācijas pusperiods plazmā ir apmēram 9</w:t>
      </w:r>
      <w:r w:rsidR="009B1CED" w:rsidRPr="004E31CE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stundas. Pacientiem ar pavājinātu nieru funkciju šis rādītājs ir palielināts.</w:t>
      </w:r>
    </w:p>
    <w:p w14:paraId="1C711C45" w14:textId="77777777" w:rsidR="00984F10" w:rsidRPr="00033B8B" w:rsidRDefault="00984F10" w:rsidP="00984F10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Pseidoefedrīns izdalās galvenokārt nemainītā veidā ar urīnu. Izdalīšanās ar urīnu pastiprinās, ja samazinās urīna pH, un pavājinās urīna alkalizācijas rezultātā.</w:t>
      </w:r>
    </w:p>
    <w:p w14:paraId="3A564754" w14:textId="77777777" w:rsidR="00984F10" w:rsidRPr="00033B8B" w:rsidRDefault="009A7C31" w:rsidP="009A7C31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Pēc atkārtotas perorālas lietošanas (</w:t>
      </w:r>
      <w:r w:rsidR="00451789" w:rsidRPr="00033B8B">
        <w:rPr>
          <w:sz w:val="22"/>
          <w:szCs w:val="22"/>
          <w:lang w:val="lv-LV"/>
        </w:rPr>
        <w:t xml:space="preserve">katras </w:t>
      </w:r>
      <w:r w:rsidRPr="00033B8B">
        <w:rPr>
          <w:sz w:val="22"/>
          <w:szCs w:val="22"/>
          <w:lang w:val="lv-LV"/>
        </w:rPr>
        <w:t>12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stundas) stabilizētā stāvoklī šķietamais eliminācijas pusperiods ir apmēram 9</w:t>
      </w:r>
      <w:r w:rsidR="00B13E6F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stundas.</w:t>
      </w:r>
    </w:p>
    <w:p w14:paraId="1AFB2734" w14:textId="77777777" w:rsidR="00984F10" w:rsidRPr="00033B8B" w:rsidRDefault="00984F10" w:rsidP="00984F10">
      <w:pPr>
        <w:pStyle w:val="Default"/>
        <w:rPr>
          <w:sz w:val="22"/>
          <w:szCs w:val="22"/>
          <w:lang w:val="lv-LV"/>
        </w:rPr>
      </w:pPr>
    </w:p>
    <w:p w14:paraId="301BA685" w14:textId="77777777" w:rsidR="009A7C31" w:rsidRPr="00033B8B" w:rsidRDefault="000C2E4F" w:rsidP="00984F10">
      <w:pPr>
        <w:pStyle w:val="Default"/>
        <w:rPr>
          <w:sz w:val="22"/>
          <w:szCs w:val="22"/>
          <w:u w:val="single"/>
          <w:lang w:val="lv-LV"/>
        </w:rPr>
      </w:pPr>
      <w:r w:rsidRPr="00033B8B">
        <w:rPr>
          <w:sz w:val="22"/>
          <w:szCs w:val="22"/>
          <w:u w:val="single"/>
          <w:lang w:val="lv-LV"/>
        </w:rPr>
        <w:t>Īpašas pacientu grupas</w:t>
      </w:r>
    </w:p>
    <w:p w14:paraId="2FD011BC" w14:textId="77777777" w:rsidR="000C2E4F" w:rsidRPr="00033B8B" w:rsidRDefault="000C2E4F" w:rsidP="00B16149">
      <w:pPr>
        <w:numPr>
          <w:ilvl w:val="0"/>
          <w:numId w:val="7"/>
        </w:numPr>
        <w:spacing w:line="260" w:lineRule="exact"/>
        <w:ind w:left="709" w:hanging="283"/>
        <w:rPr>
          <w:bCs/>
          <w:i/>
          <w:iCs/>
          <w:noProof/>
          <w:sz w:val="22"/>
          <w:szCs w:val="22"/>
          <w:u w:val="single"/>
        </w:rPr>
      </w:pPr>
      <w:r w:rsidRPr="00033B8B">
        <w:rPr>
          <w:bCs/>
          <w:i/>
          <w:iCs/>
          <w:noProof/>
          <w:sz w:val="22"/>
          <w:szCs w:val="22"/>
          <w:u w:val="single"/>
        </w:rPr>
        <w:t>Nieru darbības traucējumi</w:t>
      </w:r>
    </w:p>
    <w:p w14:paraId="5C4535D5" w14:textId="05B05C21" w:rsidR="009A7C31" w:rsidRPr="00033B8B" w:rsidRDefault="00584FAF" w:rsidP="00B16149">
      <w:pPr>
        <w:pStyle w:val="Default"/>
        <w:ind w:left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Pacientiem ar </w:t>
      </w:r>
      <w:r w:rsidR="005E0100" w:rsidRPr="003E479E">
        <w:rPr>
          <w:sz w:val="22"/>
          <w:szCs w:val="22"/>
          <w:lang w:val="lv-LV"/>
        </w:rPr>
        <w:t>vidēji smagu</w:t>
      </w:r>
      <w:r>
        <w:rPr>
          <w:sz w:val="22"/>
          <w:szCs w:val="22"/>
          <w:lang w:val="lv-LV"/>
        </w:rPr>
        <w:t xml:space="preserve"> vai smagu nieru mazspēju ir nepieciešama devu pielāgošana (skatīt 4.2. apakšpunktu). </w:t>
      </w:r>
    </w:p>
    <w:p w14:paraId="662F12BB" w14:textId="77777777" w:rsidR="00C56B5F" w:rsidRPr="00033B8B" w:rsidRDefault="00C56B5F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36EE6E6B" w14:textId="77777777" w:rsidR="005261BA" w:rsidRPr="00033B8B" w:rsidRDefault="005261BA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Preklīniskie dati par droš</w:t>
      </w:r>
      <w:r w:rsidR="00D25250" w:rsidRPr="00033B8B">
        <w:rPr>
          <w:b/>
          <w:bCs/>
          <w:sz w:val="22"/>
          <w:szCs w:val="22"/>
          <w:lang w:val="lv-LV"/>
        </w:rPr>
        <w:t>umu</w:t>
      </w:r>
      <w:r w:rsidRPr="00033B8B">
        <w:rPr>
          <w:b/>
          <w:bCs/>
          <w:sz w:val="22"/>
          <w:szCs w:val="22"/>
          <w:lang w:val="lv-LV"/>
        </w:rPr>
        <w:t xml:space="preserve"> </w:t>
      </w:r>
    </w:p>
    <w:p w14:paraId="740EDA95" w14:textId="77777777" w:rsidR="00C56B5F" w:rsidRPr="00033B8B" w:rsidRDefault="00C56B5F" w:rsidP="005261BA">
      <w:pPr>
        <w:pStyle w:val="Default"/>
        <w:rPr>
          <w:sz w:val="22"/>
          <w:szCs w:val="22"/>
          <w:lang w:val="lv-LV"/>
        </w:rPr>
      </w:pPr>
    </w:p>
    <w:p w14:paraId="78E46C8E" w14:textId="77777777" w:rsidR="00451789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Pētījumos ar dzīvniekiem pierādīts, ka netoksiskas ietekmes līmenis ir ≥30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mg/kg dienā žurkām un 40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 xml:space="preserve">mg/kg dienā </w:t>
      </w:r>
      <w:r w:rsidRPr="00033B8B">
        <w:rPr>
          <w:i/>
          <w:iCs/>
          <w:sz w:val="22"/>
          <w:szCs w:val="22"/>
          <w:lang w:val="lv-LV"/>
        </w:rPr>
        <w:t xml:space="preserve">Cynomolgus </w:t>
      </w:r>
      <w:r w:rsidRPr="00033B8B">
        <w:rPr>
          <w:sz w:val="22"/>
          <w:szCs w:val="22"/>
          <w:lang w:val="lv-LV"/>
        </w:rPr>
        <w:t>pērtiķiem (≥8 un 11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reizes vairāk nekā ieteicamā deva cilvēkiem). Lietojot šīs devas, pērtiķiem sistēmiskā iedarbība bija lielāka, bet žurkā</w:t>
      </w:r>
      <w:r w:rsidR="00B13E6F" w:rsidRPr="00033B8B">
        <w:rPr>
          <w:sz w:val="22"/>
          <w:szCs w:val="22"/>
          <w:lang w:val="lv-LV"/>
        </w:rPr>
        <w:t>m mazāka nekā cilvēkiem.</w:t>
      </w:r>
    </w:p>
    <w:p w14:paraId="6E25691C" w14:textId="77777777" w:rsidR="00451789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Reproduk</w:t>
      </w:r>
      <w:r w:rsidR="00E4678B" w:rsidRPr="00033B8B">
        <w:rPr>
          <w:sz w:val="22"/>
          <w:szCs w:val="22"/>
          <w:lang w:val="lv-LV"/>
        </w:rPr>
        <w:t>cijas</w:t>
      </w:r>
      <w:r w:rsidRPr="00033B8B">
        <w:rPr>
          <w:sz w:val="22"/>
          <w:szCs w:val="22"/>
          <w:lang w:val="lv-LV"/>
        </w:rPr>
        <w:t xml:space="preserve"> toksicitātes pētījumos žurkām tika pierādīts, ka netoksiskas ietekmes līmenis ir 40</w:t>
      </w:r>
      <w:r w:rsidR="009B1CED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mg/kg dienā. Tā kā šīm sugām sistēmiskās iedarbības līmenis ir zems, šos rezultātus nevar uzskatīt par lietošanas droš</w:t>
      </w:r>
      <w:r w:rsidR="00D25250" w:rsidRPr="00033B8B">
        <w:rPr>
          <w:sz w:val="22"/>
          <w:szCs w:val="22"/>
          <w:lang w:val="lv-LV"/>
        </w:rPr>
        <w:t>uma</w:t>
      </w:r>
      <w:r w:rsidRPr="00033B8B">
        <w:rPr>
          <w:sz w:val="22"/>
          <w:szCs w:val="22"/>
          <w:lang w:val="lv-LV"/>
        </w:rPr>
        <w:t xml:space="preserve"> pierādījumu grūtniecēm un </w:t>
      </w:r>
      <w:r w:rsidR="00451789" w:rsidRPr="00033B8B">
        <w:rPr>
          <w:sz w:val="22"/>
          <w:szCs w:val="22"/>
          <w:lang w:val="lv-LV"/>
        </w:rPr>
        <w:t>ar krūti barojošām sievietēm</w:t>
      </w:r>
      <w:r w:rsidRPr="00033B8B">
        <w:rPr>
          <w:sz w:val="22"/>
          <w:szCs w:val="22"/>
          <w:lang w:val="lv-LV"/>
        </w:rPr>
        <w:t xml:space="preserve">. </w:t>
      </w:r>
      <w:r w:rsidR="00074BA2" w:rsidRPr="00033B8B">
        <w:rPr>
          <w:sz w:val="22"/>
          <w:szCs w:val="22"/>
          <w:lang w:val="lv-LV"/>
        </w:rPr>
        <w:t>K</w:t>
      </w:r>
      <w:r w:rsidR="009E3342" w:rsidRPr="00033B8B">
        <w:rPr>
          <w:sz w:val="22"/>
          <w:szCs w:val="22"/>
          <w:lang w:val="lv-LV"/>
        </w:rPr>
        <w:t>ancerogenitātes pētījumi ar pseidoefedrīnu kombinācijā ar cetirizīnu</w:t>
      </w:r>
      <w:r w:rsidR="00074BA2" w:rsidRPr="00033B8B">
        <w:rPr>
          <w:sz w:val="22"/>
          <w:szCs w:val="22"/>
          <w:lang w:val="lv-LV"/>
        </w:rPr>
        <w:t xml:space="preserve"> nav veikti</w:t>
      </w:r>
      <w:r w:rsidR="009E3342" w:rsidRPr="00033B8B">
        <w:rPr>
          <w:sz w:val="22"/>
          <w:szCs w:val="22"/>
          <w:lang w:val="lv-LV"/>
        </w:rPr>
        <w:t xml:space="preserve">. </w:t>
      </w:r>
      <w:r w:rsidRPr="00033B8B">
        <w:rPr>
          <w:sz w:val="22"/>
          <w:szCs w:val="22"/>
          <w:lang w:val="lv-LV"/>
        </w:rPr>
        <w:t>Cetirizīna un pseidoefedrīna kombinācija nav ne mutagēna, ne klastogēna, un tādēļ nav ticams, ka tā rada vēža risku cilvēkam.</w:t>
      </w:r>
    </w:p>
    <w:p w14:paraId="2C3E5C2C" w14:textId="77777777" w:rsidR="00E4678B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 </w:t>
      </w:r>
    </w:p>
    <w:p w14:paraId="6F62C758" w14:textId="77777777" w:rsidR="00C56B5F" w:rsidRPr="00033B8B" w:rsidRDefault="00E4678B" w:rsidP="005261BA">
      <w:pPr>
        <w:pStyle w:val="Default"/>
        <w:rPr>
          <w:bCs/>
          <w:color w:val="auto"/>
          <w:sz w:val="22"/>
          <w:szCs w:val="22"/>
          <w:lang w:val="lv-LV"/>
        </w:rPr>
      </w:pPr>
      <w:r w:rsidRPr="00033B8B">
        <w:rPr>
          <w:color w:val="auto"/>
          <w:sz w:val="22"/>
          <w:szCs w:val="22"/>
          <w:lang w:val="lv-LV"/>
        </w:rPr>
        <w:lastRenderedPageBreak/>
        <w:t xml:space="preserve">Reprodukcijas toksicitātes pētījumos fertilitāte vīrišķā un sievišķā dzimuma žurkām, ievadot zāles </w:t>
      </w:r>
      <w:r w:rsidR="00451789" w:rsidRPr="00033B8B">
        <w:rPr>
          <w:color w:val="auto"/>
          <w:sz w:val="22"/>
          <w:szCs w:val="22"/>
          <w:lang w:val="lv-LV"/>
        </w:rPr>
        <w:t>iekšķīg</w:t>
      </w:r>
      <w:r w:rsidR="009E3342" w:rsidRPr="00033B8B">
        <w:rPr>
          <w:color w:val="auto"/>
          <w:sz w:val="22"/>
          <w:szCs w:val="22"/>
          <w:lang w:val="lv-LV"/>
        </w:rPr>
        <w:t>i</w:t>
      </w:r>
      <w:r w:rsidR="00451789" w:rsidRPr="00033B8B">
        <w:rPr>
          <w:color w:val="auto"/>
          <w:sz w:val="22"/>
          <w:szCs w:val="22"/>
          <w:lang w:val="lv-LV"/>
        </w:rPr>
        <w:t xml:space="preserve"> </w:t>
      </w:r>
      <w:r w:rsidRPr="00033B8B">
        <w:rPr>
          <w:color w:val="auto"/>
          <w:sz w:val="22"/>
          <w:szCs w:val="22"/>
          <w:lang w:val="lv-LV"/>
        </w:rPr>
        <w:t>devās līdz 160</w:t>
      </w:r>
      <w:r w:rsidR="009B1CED" w:rsidRPr="00033B8B">
        <w:rPr>
          <w:color w:val="auto"/>
          <w:sz w:val="22"/>
          <w:szCs w:val="22"/>
          <w:lang w:val="lv-LV"/>
        </w:rPr>
        <w:t> </w:t>
      </w:r>
      <w:r w:rsidRPr="00033B8B">
        <w:rPr>
          <w:color w:val="auto"/>
          <w:sz w:val="22"/>
          <w:szCs w:val="22"/>
          <w:lang w:val="lv-LV"/>
        </w:rPr>
        <w:t xml:space="preserve">mg/kg/dienā (1:24), netika pavājināta; </w:t>
      </w:r>
      <w:r w:rsidR="00FB7277" w:rsidRPr="00033B8B">
        <w:rPr>
          <w:rStyle w:val="hps"/>
          <w:color w:val="auto"/>
          <w:sz w:val="22"/>
          <w:szCs w:val="22"/>
          <w:lang w:val="lv-LV"/>
        </w:rPr>
        <w:t>kas ir 2 reizes lielāka sistēmiskā</w:t>
      </w:r>
      <w:r w:rsidR="00FB7277" w:rsidRPr="00033B8B">
        <w:rPr>
          <w:color w:val="auto"/>
          <w:sz w:val="22"/>
          <w:szCs w:val="22"/>
          <w:lang w:val="lv-LV"/>
        </w:rPr>
        <w:t xml:space="preserve"> ekspozīcija nekā </w:t>
      </w:r>
      <w:r w:rsidR="00FB7277" w:rsidRPr="00033B8B">
        <w:rPr>
          <w:rStyle w:val="hps"/>
          <w:color w:val="auto"/>
          <w:sz w:val="22"/>
          <w:szCs w:val="22"/>
          <w:lang w:val="lv-LV"/>
        </w:rPr>
        <w:t>cetirizīna terapeitiskā</w:t>
      </w:r>
      <w:r w:rsidR="00FB7277" w:rsidRPr="00033B8B">
        <w:rPr>
          <w:color w:val="auto"/>
          <w:sz w:val="22"/>
          <w:szCs w:val="22"/>
          <w:lang w:val="lv-LV"/>
        </w:rPr>
        <w:t xml:space="preserve"> </w:t>
      </w:r>
      <w:r w:rsidR="00FB7277" w:rsidRPr="00033B8B">
        <w:rPr>
          <w:rStyle w:val="hps"/>
          <w:color w:val="auto"/>
          <w:sz w:val="22"/>
          <w:szCs w:val="22"/>
          <w:lang w:val="lv-LV"/>
        </w:rPr>
        <w:t>ekspozīcija</w:t>
      </w:r>
      <w:r w:rsidR="00FB7277" w:rsidRPr="00033B8B">
        <w:rPr>
          <w:color w:val="auto"/>
          <w:sz w:val="22"/>
          <w:szCs w:val="22"/>
          <w:lang w:val="lv-LV"/>
        </w:rPr>
        <w:t xml:space="preserve"> </w:t>
      </w:r>
      <w:r w:rsidR="00FB7277" w:rsidRPr="00033B8B">
        <w:rPr>
          <w:rStyle w:val="hps"/>
          <w:color w:val="auto"/>
          <w:sz w:val="22"/>
          <w:szCs w:val="22"/>
          <w:lang w:val="lv-LV"/>
        </w:rPr>
        <w:t>cilvēkiem</w:t>
      </w:r>
      <w:r w:rsidRPr="00033B8B">
        <w:rPr>
          <w:color w:val="auto"/>
          <w:sz w:val="22"/>
          <w:szCs w:val="22"/>
          <w:lang w:val="lv-LV"/>
        </w:rPr>
        <w:t>.</w:t>
      </w:r>
      <w:r w:rsidR="009E3342" w:rsidRPr="00033B8B">
        <w:rPr>
          <w:color w:val="auto"/>
          <w:sz w:val="22"/>
          <w:szCs w:val="22"/>
          <w:lang w:val="lv-LV"/>
        </w:rPr>
        <w:t xml:space="preserve"> Kopumā, cetirizīna/pseidoefedrīna kombinācija </w:t>
      </w:r>
      <w:r w:rsidR="00FB7277" w:rsidRPr="00033B8B">
        <w:rPr>
          <w:color w:val="auto"/>
          <w:sz w:val="22"/>
          <w:szCs w:val="22"/>
          <w:lang w:val="lv-LV"/>
        </w:rPr>
        <w:t>klīniski nozīmīgās devās</w:t>
      </w:r>
      <w:r w:rsidR="00FB7277" w:rsidRPr="00033B8B" w:rsidDel="00FC6A79">
        <w:rPr>
          <w:color w:val="auto"/>
          <w:sz w:val="22"/>
          <w:szCs w:val="22"/>
          <w:lang w:val="lv-LV"/>
        </w:rPr>
        <w:t xml:space="preserve"> </w:t>
      </w:r>
      <w:r w:rsidR="00FC6A79" w:rsidRPr="00033B8B">
        <w:rPr>
          <w:color w:val="auto"/>
          <w:sz w:val="22"/>
          <w:szCs w:val="22"/>
          <w:lang w:val="lv-LV"/>
        </w:rPr>
        <w:t>neuzrādīja</w:t>
      </w:r>
      <w:r w:rsidR="009E3342" w:rsidRPr="00033B8B">
        <w:rPr>
          <w:color w:val="auto"/>
          <w:sz w:val="22"/>
          <w:szCs w:val="22"/>
          <w:lang w:val="lv-LV"/>
        </w:rPr>
        <w:t xml:space="preserve"> nekādu nelabvēlīgu ietekmi uz embrija</w:t>
      </w:r>
      <w:r w:rsidR="000A77B4" w:rsidRPr="00033B8B">
        <w:rPr>
          <w:color w:val="auto"/>
          <w:sz w:val="22"/>
          <w:szCs w:val="22"/>
          <w:lang w:val="lv-LV"/>
        </w:rPr>
        <w:t>/</w:t>
      </w:r>
      <w:r w:rsidR="009E3342" w:rsidRPr="00033B8B">
        <w:rPr>
          <w:color w:val="auto"/>
          <w:sz w:val="22"/>
          <w:szCs w:val="22"/>
          <w:lang w:val="lv-LV"/>
        </w:rPr>
        <w:t>augļa dzīvotspēju un pēcnācēju attīstību.</w:t>
      </w:r>
    </w:p>
    <w:p w14:paraId="3B86601F" w14:textId="77777777" w:rsidR="009C5D3C" w:rsidRPr="00033B8B" w:rsidRDefault="009C5D3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2D22677F" w14:textId="77777777" w:rsidR="0088256B" w:rsidRPr="00033B8B" w:rsidRDefault="0088256B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1BE92BA3" w14:textId="77777777" w:rsidR="005261BA" w:rsidRPr="00033B8B" w:rsidRDefault="00B13E6F" w:rsidP="004D74A6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FARMACEITISKĀ INFORMĀCIJA</w:t>
      </w:r>
    </w:p>
    <w:p w14:paraId="5B3BBE0A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1DF67DD2" w14:textId="77777777" w:rsidR="005261BA" w:rsidRPr="00033B8B" w:rsidRDefault="005261BA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Palīgvielu saraksts</w:t>
      </w:r>
    </w:p>
    <w:p w14:paraId="1445A241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4E6E5D99" w14:textId="77777777" w:rsidR="005261BA" w:rsidRPr="00033B8B" w:rsidRDefault="00B13E6F" w:rsidP="005261BA">
      <w:pPr>
        <w:pStyle w:val="Default"/>
        <w:rPr>
          <w:i/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Kodols</w:t>
      </w:r>
    </w:p>
    <w:p w14:paraId="7B098315" w14:textId="77777777" w:rsidR="00D1452C" w:rsidRPr="00033B8B" w:rsidRDefault="006067F8" w:rsidP="00033B8B">
      <w:pPr>
        <w:pStyle w:val="Default"/>
        <w:numPr>
          <w:ilvl w:val="0"/>
          <w:numId w:val="10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H</w:t>
      </w:r>
      <w:r w:rsidR="00B13E6F" w:rsidRPr="00033B8B">
        <w:rPr>
          <w:sz w:val="22"/>
          <w:szCs w:val="22"/>
          <w:lang w:val="lv-LV"/>
        </w:rPr>
        <w:t>ipromeloze</w:t>
      </w:r>
    </w:p>
    <w:p w14:paraId="36F6A7ED" w14:textId="77777777" w:rsidR="00D1452C" w:rsidRPr="00033B8B" w:rsidRDefault="006067F8" w:rsidP="00033B8B">
      <w:pPr>
        <w:pStyle w:val="Default"/>
        <w:numPr>
          <w:ilvl w:val="0"/>
          <w:numId w:val="10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M</w:t>
      </w:r>
      <w:r w:rsidR="00B13E6F" w:rsidRPr="00033B8B">
        <w:rPr>
          <w:sz w:val="22"/>
          <w:szCs w:val="22"/>
          <w:lang w:val="lv-LV"/>
        </w:rPr>
        <w:t>ikrokristāliskā celuloze</w:t>
      </w:r>
    </w:p>
    <w:p w14:paraId="2F950D22" w14:textId="77777777" w:rsidR="00D1452C" w:rsidRPr="00033B8B" w:rsidRDefault="006067F8" w:rsidP="00033B8B">
      <w:pPr>
        <w:pStyle w:val="Default"/>
        <w:numPr>
          <w:ilvl w:val="0"/>
          <w:numId w:val="10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K</w:t>
      </w:r>
      <w:r w:rsidR="005261BA" w:rsidRPr="00033B8B">
        <w:rPr>
          <w:sz w:val="22"/>
          <w:szCs w:val="22"/>
          <w:lang w:val="lv-LV"/>
        </w:rPr>
        <w:t>oloi</w:t>
      </w:r>
      <w:r w:rsidR="00B13E6F" w:rsidRPr="00033B8B">
        <w:rPr>
          <w:sz w:val="22"/>
          <w:szCs w:val="22"/>
          <w:lang w:val="lv-LV"/>
        </w:rPr>
        <w:t>dāls bezūdens silīcija dioksīds</w:t>
      </w:r>
    </w:p>
    <w:p w14:paraId="0425A99F" w14:textId="77777777" w:rsidR="00D1452C" w:rsidRPr="00033B8B" w:rsidRDefault="006067F8" w:rsidP="00033B8B">
      <w:pPr>
        <w:pStyle w:val="Default"/>
        <w:numPr>
          <w:ilvl w:val="0"/>
          <w:numId w:val="10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M</w:t>
      </w:r>
      <w:r w:rsidR="00B13E6F" w:rsidRPr="00033B8B">
        <w:rPr>
          <w:sz w:val="22"/>
          <w:szCs w:val="22"/>
          <w:lang w:val="lv-LV"/>
        </w:rPr>
        <w:t>agnija stearāts</w:t>
      </w:r>
    </w:p>
    <w:p w14:paraId="33E8EB31" w14:textId="77777777" w:rsidR="00D1452C" w:rsidRPr="00033B8B" w:rsidRDefault="006067F8" w:rsidP="00033B8B">
      <w:pPr>
        <w:pStyle w:val="Default"/>
        <w:numPr>
          <w:ilvl w:val="0"/>
          <w:numId w:val="10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L</w:t>
      </w:r>
      <w:r w:rsidR="00B13E6F" w:rsidRPr="00033B8B">
        <w:rPr>
          <w:sz w:val="22"/>
          <w:szCs w:val="22"/>
          <w:lang w:val="lv-LV"/>
        </w:rPr>
        <w:t>aktozes monohidrāts</w:t>
      </w:r>
    </w:p>
    <w:p w14:paraId="099373A5" w14:textId="77777777" w:rsidR="005261BA" w:rsidRPr="00033B8B" w:rsidRDefault="006067F8" w:rsidP="00033B8B">
      <w:pPr>
        <w:pStyle w:val="Default"/>
        <w:numPr>
          <w:ilvl w:val="0"/>
          <w:numId w:val="10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</w:t>
      </w:r>
      <w:r w:rsidR="00B13E6F" w:rsidRPr="00033B8B">
        <w:rPr>
          <w:sz w:val="22"/>
          <w:szCs w:val="22"/>
          <w:lang w:val="lv-LV"/>
        </w:rPr>
        <w:t>ātrija kroskarmeloze</w:t>
      </w:r>
    </w:p>
    <w:p w14:paraId="78C8474C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36641DF4" w14:textId="77777777" w:rsidR="00D1452C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i/>
          <w:sz w:val="22"/>
          <w:szCs w:val="22"/>
          <w:lang w:val="lv-LV"/>
        </w:rPr>
        <w:t>Apvalks</w:t>
      </w:r>
    </w:p>
    <w:p w14:paraId="39DDF07C" w14:textId="77777777" w:rsidR="000C2E4F" w:rsidRPr="00033B8B" w:rsidRDefault="000C2E4F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Opadry Y-1-7000, kas sa</w:t>
      </w:r>
      <w:r w:rsidR="004B33E0" w:rsidRPr="00033B8B">
        <w:rPr>
          <w:sz w:val="22"/>
          <w:szCs w:val="22"/>
          <w:lang w:val="lv-LV"/>
        </w:rPr>
        <w:t>stāv no</w:t>
      </w:r>
      <w:r w:rsidRPr="00033B8B">
        <w:rPr>
          <w:sz w:val="22"/>
          <w:szCs w:val="22"/>
          <w:lang w:val="lv-LV"/>
        </w:rPr>
        <w:t>:</w:t>
      </w:r>
    </w:p>
    <w:p w14:paraId="125F8C88" w14:textId="77777777" w:rsidR="00D1452C" w:rsidRPr="00033B8B" w:rsidRDefault="00A75654" w:rsidP="00033B8B">
      <w:pPr>
        <w:pStyle w:val="Default"/>
        <w:numPr>
          <w:ilvl w:val="0"/>
          <w:numId w:val="11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H</w:t>
      </w:r>
      <w:r w:rsidR="005261BA" w:rsidRPr="00033B8B">
        <w:rPr>
          <w:sz w:val="22"/>
          <w:szCs w:val="22"/>
          <w:lang w:val="lv-LV"/>
        </w:rPr>
        <w:t>ipromeloz</w:t>
      </w:r>
      <w:r w:rsidR="004B33E0" w:rsidRPr="00033B8B">
        <w:rPr>
          <w:sz w:val="22"/>
          <w:szCs w:val="22"/>
          <w:lang w:val="lv-LV"/>
        </w:rPr>
        <w:t>es</w:t>
      </w:r>
      <w:r w:rsidR="000C2E4F" w:rsidRPr="00033B8B">
        <w:rPr>
          <w:sz w:val="22"/>
          <w:szCs w:val="22"/>
          <w:lang w:val="lv-LV"/>
        </w:rPr>
        <w:t xml:space="preserve"> (E464)</w:t>
      </w:r>
    </w:p>
    <w:p w14:paraId="769EFBD2" w14:textId="77777777" w:rsidR="00D1452C" w:rsidRPr="00033B8B" w:rsidRDefault="00A75654" w:rsidP="00033B8B">
      <w:pPr>
        <w:pStyle w:val="Default"/>
        <w:numPr>
          <w:ilvl w:val="0"/>
          <w:numId w:val="11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T</w:t>
      </w:r>
      <w:r w:rsidR="005261BA" w:rsidRPr="00033B8B">
        <w:rPr>
          <w:sz w:val="22"/>
          <w:szCs w:val="22"/>
          <w:lang w:val="lv-LV"/>
        </w:rPr>
        <w:t>itāna dioksīd</w:t>
      </w:r>
      <w:r w:rsidR="004B33E0" w:rsidRPr="00033B8B">
        <w:rPr>
          <w:sz w:val="22"/>
          <w:szCs w:val="22"/>
          <w:lang w:val="lv-LV"/>
        </w:rPr>
        <w:t>a</w:t>
      </w:r>
      <w:r w:rsidR="00B13E6F" w:rsidRPr="00033B8B">
        <w:rPr>
          <w:sz w:val="22"/>
          <w:szCs w:val="22"/>
          <w:lang w:val="lv-LV"/>
        </w:rPr>
        <w:t xml:space="preserve"> (E171)</w:t>
      </w:r>
    </w:p>
    <w:p w14:paraId="4C2F8CE4" w14:textId="77777777" w:rsidR="005261BA" w:rsidRPr="00033B8B" w:rsidRDefault="00A75654" w:rsidP="00033B8B">
      <w:pPr>
        <w:pStyle w:val="Default"/>
        <w:numPr>
          <w:ilvl w:val="0"/>
          <w:numId w:val="11"/>
        </w:numPr>
        <w:ind w:left="567" w:hanging="567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M</w:t>
      </w:r>
      <w:r w:rsidR="005261BA" w:rsidRPr="00033B8B">
        <w:rPr>
          <w:sz w:val="22"/>
          <w:szCs w:val="22"/>
          <w:lang w:val="lv-LV"/>
        </w:rPr>
        <w:t>akrogol</w:t>
      </w:r>
      <w:r w:rsidR="004B33E0" w:rsidRPr="00033B8B">
        <w:rPr>
          <w:sz w:val="22"/>
          <w:szCs w:val="22"/>
          <w:lang w:val="lv-LV"/>
        </w:rPr>
        <w:t>a</w:t>
      </w:r>
      <w:r w:rsidR="009B1CED" w:rsidRPr="00033B8B">
        <w:rPr>
          <w:sz w:val="22"/>
          <w:szCs w:val="22"/>
          <w:lang w:val="en-GB"/>
        </w:rPr>
        <w:t> </w:t>
      </w:r>
      <w:r w:rsidR="005261BA" w:rsidRPr="00033B8B">
        <w:rPr>
          <w:sz w:val="22"/>
          <w:szCs w:val="22"/>
          <w:lang w:val="lv-LV"/>
        </w:rPr>
        <w:t>400</w:t>
      </w:r>
    </w:p>
    <w:p w14:paraId="573CEC5B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7443D9E" w14:textId="77777777" w:rsidR="005261BA" w:rsidRPr="00033B8B" w:rsidRDefault="00B13E6F" w:rsidP="007C3DDD">
      <w:pPr>
        <w:pStyle w:val="Default"/>
        <w:keepNext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Nesaderība</w:t>
      </w:r>
    </w:p>
    <w:p w14:paraId="6FFCB914" w14:textId="77777777" w:rsidR="00D1452C" w:rsidRPr="00033B8B" w:rsidRDefault="00D1452C" w:rsidP="007C3DDD">
      <w:pPr>
        <w:pStyle w:val="Default"/>
        <w:keepNext/>
        <w:rPr>
          <w:sz w:val="22"/>
          <w:szCs w:val="22"/>
          <w:lang w:val="lv-LV"/>
        </w:rPr>
      </w:pPr>
    </w:p>
    <w:p w14:paraId="4D551692" w14:textId="77777777" w:rsidR="005261BA" w:rsidRPr="00033B8B" w:rsidRDefault="00B13E6F" w:rsidP="007C3DDD">
      <w:pPr>
        <w:pStyle w:val="Default"/>
        <w:keepNext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piemērojama.</w:t>
      </w:r>
    </w:p>
    <w:p w14:paraId="544FC4DE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13404CB9" w14:textId="77777777" w:rsidR="005261BA" w:rsidRPr="00033B8B" w:rsidRDefault="00B13E6F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Uzglabāšanas laiks</w:t>
      </w:r>
    </w:p>
    <w:p w14:paraId="24CC010B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4150C070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3</w:t>
      </w:r>
      <w:r w:rsidR="009B1CED" w:rsidRPr="00033B8B">
        <w:rPr>
          <w:sz w:val="22"/>
          <w:szCs w:val="22"/>
          <w:lang w:val="en-GB"/>
        </w:rPr>
        <w:t> </w:t>
      </w:r>
      <w:r w:rsidR="00B13E6F" w:rsidRPr="00033B8B">
        <w:rPr>
          <w:sz w:val="22"/>
          <w:szCs w:val="22"/>
          <w:lang w:val="lv-LV"/>
        </w:rPr>
        <w:t>gadi</w:t>
      </w:r>
    </w:p>
    <w:p w14:paraId="51F3606E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00C72A57" w14:textId="77777777" w:rsidR="005261BA" w:rsidRPr="00033B8B" w:rsidRDefault="00B13E6F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Īpaši uzglabāšanas nosacījumi</w:t>
      </w:r>
    </w:p>
    <w:p w14:paraId="73AFFEEE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41D3DA90" w14:textId="77777777" w:rsidR="005261BA" w:rsidRPr="00033B8B" w:rsidRDefault="00347503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Z</w:t>
      </w:r>
      <w:r w:rsidRPr="00033B8B">
        <w:rPr>
          <w:lang w:val="lv-LV"/>
        </w:rPr>
        <w:t>ālēm nav nepieciešami īpaši uzglabāšanas apstākļi</w:t>
      </w:r>
      <w:r w:rsidR="00B13E6F" w:rsidRPr="00033B8B">
        <w:rPr>
          <w:sz w:val="22"/>
          <w:szCs w:val="22"/>
          <w:lang w:val="lv-LV"/>
        </w:rPr>
        <w:t>.</w:t>
      </w:r>
    </w:p>
    <w:p w14:paraId="77748D1E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4D56AAB0" w14:textId="77777777" w:rsidR="005261BA" w:rsidRPr="00033B8B" w:rsidRDefault="005261BA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Iepakojuma veids un sat</w:t>
      </w:r>
      <w:r w:rsidR="00B13E6F" w:rsidRPr="00033B8B">
        <w:rPr>
          <w:b/>
          <w:bCs/>
          <w:sz w:val="22"/>
          <w:szCs w:val="22"/>
          <w:lang w:val="lv-LV"/>
        </w:rPr>
        <w:t>urs</w:t>
      </w:r>
    </w:p>
    <w:p w14:paraId="10DF0645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570040DC" w14:textId="67F9E5DB" w:rsidR="00C8249F" w:rsidRPr="00033B8B" w:rsidRDefault="005261BA" w:rsidP="00D1452C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PVH/alumīnija blister</w:t>
      </w:r>
      <w:r w:rsidR="0032653F">
        <w:rPr>
          <w:sz w:val="22"/>
          <w:szCs w:val="22"/>
          <w:lang w:val="lv-LV"/>
        </w:rPr>
        <w:t>i</w:t>
      </w:r>
      <w:r w:rsidRPr="00033B8B">
        <w:rPr>
          <w:sz w:val="22"/>
          <w:szCs w:val="22"/>
          <w:lang w:val="lv-LV"/>
        </w:rPr>
        <w:t>s; kārbiņā ir 14 vai 28</w:t>
      </w:r>
      <w:r w:rsidR="00B13E6F" w:rsidRPr="00033B8B">
        <w:rPr>
          <w:sz w:val="22"/>
          <w:szCs w:val="22"/>
          <w:lang w:val="lv-LV"/>
        </w:rPr>
        <w:t> </w:t>
      </w:r>
      <w:r w:rsidRPr="00033B8B">
        <w:rPr>
          <w:sz w:val="22"/>
          <w:szCs w:val="22"/>
          <w:lang w:val="lv-LV"/>
        </w:rPr>
        <w:t>tabletes.</w:t>
      </w:r>
    </w:p>
    <w:p w14:paraId="3FC50FD0" w14:textId="77777777" w:rsidR="009E3342" w:rsidRPr="00033B8B" w:rsidRDefault="009E3342" w:rsidP="00D1452C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Visi iepakojuma lielumi tirgū var nebūt pieejami.</w:t>
      </w:r>
    </w:p>
    <w:p w14:paraId="05FC7AE1" w14:textId="77777777" w:rsidR="00D1452C" w:rsidRPr="00033B8B" w:rsidRDefault="00D1452C" w:rsidP="00D1452C">
      <w:pPr>
        <w:pStyle w:val="Default"/>
        <w:rPr>
          <w:sz w:val="22"/>
          <w:szCs w:val="22"/>
          <w:lang w:val="lv-LV"/>
        </w:rPr>
      </w:pPr>
    </w:p>
    <w:p w14:paraId="4202B4D2" w14:textId="77777777" w:rsidR="005261BA" w:rsidRPr="00033B8B" w:rsidRDefault="005261BA" w:rsidP="004D74A6">
      <w:pPr>
        <w:pStyle w:val="Default"/>
        <w:numPr>
          <w:ilvl w:val="1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 xml:space="preserve">Īpaši norādījumi atkritumu likvidēšanai un </w:t>
      </w:r>
      <w:r w:rsidR="00A7530A" w:rsidRPr="00033B8B">
        <w:rPr>
          <w:b/>
          <w:bCs/>
          <w:sz w:val="22"/>
          <w:szCs w:val="22"/>
          <w:lang w:val="lv-LV"/>
        </w:rPr>
        <w:t xml:space="preserve">citi </w:t>
      </w:r>
      <w:r w:rsidRPr="00033B8B">
        <w:rPr>
          <w:b/>
          <w:bCs/>
          <w:sz w:val="22"/>
          <w:szCs w:val="22"/>
          <w:lang w:val="lv-LV"/>
        </w:rPr>
        <w:t xml:space="preserve">norādījumi par </w:t>
      </w:r>
      <w:r w:rsidR="00A7530A" w:rsidRPr="00033B8B">
        <w:rPr>
          <w:b/>
          <w:bCs/>
          <w:sz w:val="22"/>
          <w:szCs w:val="22"/>
          <w:lang w:val="lv-LV"/>
        </w:rPr>
        <w:t>rīkošanos</w:t>
      </w:r>
    </w:p>
    <w:p w14:paraId="7CDFC722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2FE7644E" w14:textId="77777777" w:rsidR="005261BA" w:rsidRPr="00033B8B" w:rsidRDefault="00B13E6F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Nav īpašu prasību.</w:t>
      </w:r>
    </w:p>
    <w:p w14:paraId="5AFFCF0A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22B69025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0C4A94B" w14:textId="77777777" w:rsidR="005261BA" w:rsidRPr="00033B8B" w:rsidRDefault="005261BA" w:rsidP="004D74A6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REĢ</w:t>
      </w:r>
      <w:r w:rsidR="00B13E6F" w:rsidRPr="00033B8B">
        <w:rPr>
          <w:b/>
          <w:bCs/>
          <w:sz w:val="22"/>
          <w:szCs w:val="22"/>
          <w:lang w:val="lv-LV"/>
        </w:rPr>
        <w:t>ISTRĀCIJAS APLIECĪBAS ĪPAŠNIEKS</w:t>
      </w:r>
    </w:p>
    <w:p w14:paraId="239F7186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36D2DBE6" w14:textId="77777777" w:rsidR="005261BA" w:rsidRPr="00033B8B" w:rsidRDefault="005261BA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UCB Pharma Oy Finland, </w:t>
      </w:r>
      <w:r w:rsidR="00715CC2" w:rsidRPr="00715CC2">
        <w:rPr>
          <w:sz w:val="22"/>
          <w:szCs w:val="22"/>
          <w:lang w:val="lv-LV"/>
        </w:rPr>
        <w:t>Bertel Jungin aukio 5</w:t>
      </w:r>
      <w:r w:rsidR="00B13E6F" w:rsidRPr="00033B8B">
        <w:rPr>
          <w:sz w:val="22"/>
          <w:szCs w:val="22"/>
          <w:lang w:val="lv-LV"/>
        </w:rPr>
        <w:t>, 02600 Espoo, Somija</w:t>
      </w:r>
    </w:p>
    <w:p w14:paraId="524AE590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1E55AB71" w14:textId="77777777" w:rsidR="00B93521" w:rsidRPr="00033B8B" w:rsidRDefault="00B93521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79ED7A1" w14:textId="77777777" w:rsidR="005261BA" w:rsidRPr="00033B8B" w:rsidRDefault="005261BA" w:rsidP="004D74A6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REĢISTRĀCIJAS APLIECĪBAS NUMURS</w:t>
      </w:r>
    </w:p>
    <w:p w14:paraId="03C32391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7038309D" w14:textId="77777777" w:rsidR="005261BA" w:rsidRPr="00033B8B" w:rsidRDefault="00B13E6F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04-0345</w:t>
      </w:r>
    </w:p>
    <w:p w14:paraId="36ADE70E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4885CCD7" w14:textId="77777777" w:rsidR="00D1452C" w:rsidRPr="00033B8B" w:rsidRDefault="00D1452C" w:rsidP="005261BA">
      <w:pPr>
        <w:pStyle w:val="Default"/>
        <w:rPr>
          <w:b/>
          <w:bCs/>
          <w:sz w:val="22"/>
          <w:szCs w:val="22"/>
          <w:lang w:val="lv-LV"/>
        </w:rPr>
      </w:pPr>
    </w:p>
    <w:p w14:paraId="50103C41" w14:textId="77777777" w:rsidR="005261BA" w:rsidRPr="00033B8B" w:rsidRDefault="005261BA" w:rsidP="004D74A6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PIRMĀS REĢISTRĀCIJAS</w:t>
      </w:r>
      <w:r w:rsidR="00B62447" w:rsidRPr="00033B8B">
        <w:rPr>
          <w:b/>
          <w:bCs/>
          <w:sz w:val="22"/>
          <w:szCs w:val="22"/>
          <w:lang w:val="lv-LV"/>
        </w:rPr>
        <w:t xml:space="preserve"> </w:t>
      </w:r>
      <w:r w:rsidRPr="00033B8B">
        <w:rPr>
          <w:b/>
          <w:bCs/>
          <w:sz w:val="22"/>
          <w:szCs w:val="22"/>
          <w:lang w:val="lv-LV"/>
        </w:rPr>
        <w:t>/</w:t>
      </w:r>
      <w:r w:rsidR="00D25250" w:rsidRPr="00033B8B">
        <w:rPr>
          <w:b/>
          <w:bCs/>
          <w:sz w:val="22"/>
          <w:szCs w:val="22"/>
          <w:lang w:val="lv-LV"/>
        </w:rPr>
        <w:t>PĀR</w:t>
      </w:r>
      <w:r w:rsidR="00B13E6F" w:rsidRPr="00033B8B">
        <w:rPr>
          <w:b/>
          <w:bCs/>
          <w:sz w:val="22"/>
          <w:szCs w:val="22"/>
          <w:lang w:val="lv-LV"/>
        </w:rPr>
        <w:t>REĢISTRĀCIJAS DATUMS</w:t>
      </w:r>
    </w:p>
    <w:p w14:paraId="19E475E3" w14:textId="77777777" w:rsidR="00D1452C" w:rsidRPr="00033B8B" w:rsidRDefault="00D1452C" w:rsidP="005261BA">
      <w:pPr>
        <w:pStyle w:val="Default"/>
        <w:rPr>
          <w:sz w:val="22"/>
          <w:szCs w:val="22"/>
          <w:lang w:val="lv-LV"/>
        </w:rPr>
      </w:pPr>
    </w:p>
    <w:p w14:paraId="6C8B4AFF" w14:textId="77777777" w:rsidR="00D25250" w:rsidRPr="00033B8B" w:rsidRDefault="00D25250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>Reģistrācijas datums: 2004.gada 05.jūlijs</w:t>
      </w:r>
    </w:p>
    <w:p w14:paraId="36C9080E" w14:textId="77777777" w:rsidR="005261BA" w:rsidRPr="00033B8B" w:rsidRDefault="00D25250" w:rsidP="005261BA">
      <w:pPr>
        <w:pStyle w:val="Default"/>
        <w:rPr>
          <w:sz w:val="22"/>
          <w:szCs w:val="22"/>
          <w:lang w:val="lv-LV"/>
        </w:rPr>
      </w:pPr>
      <w:r w:rsidRPr="00033B8B">
        <w:rPr>
          <w:sz w:val="22"/>
          <w:szCs w:val="22"/>
          <w:lang w:val="lv-LV"/>
        </w:rPr>
        <w:t xml:space="preserve">Pēdējās pārreģistrācijas datums: </w:t>
      </w:r>
      <w:r w:rsidR="007A0011" w:rsidRPr="00033B8B">
        <w:rPr>
          <w:sz w:val="22"/>
          <w:szCs w:val="22"/>
          <w:lang w:val="lv-LV"/>
        </w:rPr>
        <w:t>2009.gada 16.jūnijs</w:t>
      </w:r>
    </w:p>
    <w:p w14:paraId="5946DED2" w14:textId="77777777" w:rsidR="00D1452C" w:rsidRPr="00033B8B" w:rsidRDefault="00D1452C" w:rsidP="005261BA">
      <w:pPr>
        <w:rPr>
          <w:b/>
          <w:bCs/>
          <w:sz w:val="22"/>
          <w:szCs w:val="22"/>
          <w:lang w:val="lv-LV"/>
        </w:rPr>
      </w:pPr>
    </w:p>
    <w:p w14:paraId="0EDF010C" w14:textId="77777777" w:rsidR="00D1452C" w:rsidRPr="00033B8B" w:rsidRDefault="00D1452C" w:rsidP="005261BA">
      <w:pPr>
        <w:rPr>
          <w:b/>
          <w:bCs/>
          <w:sz w:val="22"/>
          <w:szCs w:val="22"/>
          <w:lang w:val="lv-LV"/>
        </w:rPr>
      </w:pPr>
    </w:p>
    <w:p w14:paraId="431FB197" w14:textId="77777777" w:rsidR="00F16F2D" w:rsidRDefault="005261BA" w:rsidP="004D74A6">
      <w:pPr>
        <w:pStyle w:val="Default"/>
        <w:numPr>
          <w:ilvl w:val="0"/>
          <w:numId w:val="6"/>
        </w:numPr>
        <w:tabs>
          <w:tab w:val="clear" w:pos="927"/>
        </w:tabs>
        <w:ind w:left="567" w:hanging="567"/>
        <w:rPr>
          <w:b/>
          <w:bCs/>
          <w:sz w:val="22"/>
          <w:szCs w:val="22"/>
          <w:lang w:val="lv-LV"/>
        </w:rPr>
      </w:pPr>
      <w:r w:rsidRPr="00033B8B">
        <w:rPr>
          <w:b/>
          <w:bCs/>
          <w:sz w:val="22"/>
          <w:szCs w:val="22"/>
          <w:lang w:val="lv-LV"/>
        </w:rPr>
        <w:t>TEKSTA PĀRSKATĪŠANAS DATUMS</w:t>
      </w:r>
      <w:r w:rsidR="0063589F">
        <w:rPr>
          <w:b/>
          <w:bCs/>
          <w:sz w:val="22"/>
          <w:szCs w:val="22"/>
          <w:lang w:val="lv-LV"/>
        </w:rPr>
        <w:t xml:space="preserve"> </w:t>
      </w:r>
    </w:p>
    <w:p w14:paraId="63BB8913" w14:textId="77777777" w:rsidR="00F16F2D" w:rsidRDefault="00F16F2D" w:rsidP="00F16F2D">
      <w:pPr>
        <w:pStyle w:val="Default"/>
        <w:rPr>
          <w:b/>
          <w:bCs/>
          <w:sz w:val="22"/>
          <w:szCs w:val="22"/>
          <w:lang w:val="lv-LV"/>
        </w:rPr>
      </w:pPr>
    </w:p>
    <w:p w14:paraId="1C37EC46" w14:textId="19AF39E2" w:rsidR="00D24211" w:rsidRPr="004E31CE" w:rsidRDefault="0063589F" w:rsidP="004E31CE">
      <w:pPr>
        <w:pStyle w:val="Default"/>
        <w:rPr>
          <w:sz w:val="22"/>
          <w:szCs w:val="22"/>
          <w:lang w:val="lv-LV"/>
        </w:rPr>
      </w:pPr>
      <w:r w:rsidRPr="004E31CE">
        <w:rPr>
          <w:sz w:val="22"/>
          <w:szCs w:val="22"/>
          <w:lang w:val="lv-LV"/>
        </w:rPr>
        <w:t>0</w:t>
      </w:r>
      <w:r w:rsidR="00F16F2D">
        <w:rPr>
          <w:sz w:val="22"/>
          <w:szCs w:val="22"/>
          <w:lang w:val="lv-LV"/>
        </w:rPr>
        <w:t>4</w:t>
      </w:r>
      <w:r w:rsidRPr="004E31CE">
        <w:rPr>
          <w:sz w:val="22"/>
          <w:szCs w:val="22"/>
          <w:lang w:val="lv-LV"/>
        </w:rPr>
        <w:t>/202</w:t>
      </w:r>
      <w:r w:rsidR="00F16F2D">
        <w:rPr>
          <w:sz w:val="22"/>
          <w:szCs w:val="22"/>
          <w:lang w:val="lv-LV"/>
        </w:rPr>
        <w:t>2</w:t>
      </w:r>
    </w:p>
    <w:p w14:paraId="286FF4C6" w14:textId="77777777" w:rsidR="00350C61" w:rsidRDefault="00350C61" w:rsidP="00350C61">
      <w:pPr>
        <w:pStyle w:val="Default"/>
        <w:ind w:left="567"/>
        <w:rPr>
          <w:b/>
          <w:bCs/>
          <w:sz w:val="22"/>
          <w:szCs w:val="22"/>
          <w:lang w:val="lv-LV"/>
        </w:rPr>
      </w:pPr>
    </w:p>
    <w:p w14:paraId="3B96458D" w14:textId="77777777" w:rsidR="00D6472C" w:rsidRPr="00033B8B" w:rsidRDefault="00D6472C" w:rsidP="00D6472C">
      <w:pPr>
        <w:pStyle w:val="Default"/>
        <w:rPr>
          <w:b/>
          <w:bCs/>
          <w:sz w:val="22"/>
          <w:szCs w:val="22"/>
          <w:lang w:val="lv-LV"/>
        </w:rPr>
      </w:pPr>
    </w:p>
    <w:p w14:paraId="0EF7016D" w14:textId="77777777" w:rsidR="00D6472C" w:rsidRPr="00D6472C" w:rsidRDefault="00D6472C" w:rsidP="00D6472C">
      <w:pPr>
        <w:pStyle w:val="Default"/>
        <w:rPr>
          <w:bCs/>
          <w:sz w:val="22"/>
          <w:szCs w:val="22"/>
          <w:lang w:val="lv-LV"/>
        </w:rPr>
      </w:pPr>
    </w:p>
    <w:sectPr w:rsidR="00D6472C" w:rsidRPr="00D6472C" w:rsidSect="00DE3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AF52" w14:textId="77777777" w:rsidR="00413631" w:rsidRDefault="00413631">
      <w:r>
        <w:separator/>
      </w:r>
    </w:p>
  </w:endnote>
  <w:endnote w:type="continuationSeparator" w:id="0">
    <w:p w14:paraId="771A852E" w14:textId="77777777" w:rsidR="00413631" w:rsidRDefault="0041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BE75" w14:textId="77777777" w:rsidR="00D27E1E" w:rsidRDefault="00B63908" w:rsidP="00216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E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A4EF1" w14:textId="77777777" w:rsidR="00D27E1E" w:rsidRDefault="00D27E1E" w:rsidP="00C56B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3909" w14:textId="73FCC33C" w:rsidR="00DB0471" w:rsidRPr="00033B8B" w:rsidRDefault="00B63908">
    <w:pPr>
      <w:pStyle w:val="Footer"/>
      <w:jc w:val="center"/>
      <w:rPr>
        <w:caps/>
        <w:noProof/>
        <w:sz w:val="22"/>
        <w:szCs w:val="22"/>
      </w:rPr>
    </w:pPr>
    <w:r w:rsidRPr="00033B8B">
      <w:rPr>
        <w:caps/>
        <w:sz w:val="22"/>
        <w:szCs w:val="22"/>
      </w:rPr>
      <w:fldChar w:fldCharType="begin"/>
    </w:r>
    <w:r w:rsidR="00DB0471" w:rsidRPr="00033B8B">
      <w:rPr>
        <w:caps/>
        <w:sz w:val="22"/>
        <w:szCs w:val="22"/>
      </w:rPr>
      <w:instrText xml:space="preserve"> PAGE   \* MERGEFORMAT </w:instrText>
    </w:r>
    <w:r w:rsidRPr="00033B8B">
      <w:rPr>
        <w:caps/>
        <w:sz w:val="22"/>
        <w:szCs w:val="22"/>
      </w:rPr>
      <w:fldChar w:fldCharType="separate"/>
    </w:r>
    <w:r w:rsidR="00C93326">
      <w:rPr>
        <w:caps/>
        <w:noProof/>
        <w:sz w:val="22"/>
        <w:szCs w:val="22"/>
      </w:rPr>
      <w:t>1</w:t>
    </w:r>
    <w:r w:rsidRPr="00033B8B">
      <w:rPr>
        <w:caps/>
        <w:noProof/>
        <w:sz w:val="22"/>
        <w:szCs w:val="22"/>
      </w:rPr>
      <w:fldChar w:fldCharType="end"/>
    </w:r>
  </w:p>
  <w:p w14:paraId="2FCFD095" w14:textId="77777777" w:rsidR="00D27E1E" w:rsidRDefault="00D27E1E" w:rsidP="00C56B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A4A2" w14:textId="77777777" w:rsidR="00950EA1" w:rsidRDefault="0095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5698" w14:textId="77777777" w:rsidR="00413631" w:rsidRDefault="00413631">
      <w:r>
        <w:separator/>
      </w:r>
    </w:p>
  </w:footnote>
  <w:footnote w:type="continuationSeparator" w:id="0">
    <w:p w14:paraId="0B23E9A6" w14:textId="77777777" w:rsidR="00413631" w:rsidRDefault="0041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A612" w14:textId="77777777" w:rsidR="00950EA1" w:rsidRDefault="00950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1E72" w14:textId="3932C138" w:rsidR="0026091C" w:rsidRDefault="00405373" w:rsidP="0026091C">
    <w:pPr>
      <w:pStyle w:val="Header"/>
      <w:jc w:val="right"/>
    </w:pPr>
    <w:r>
      <w:t xml:space="preserve">SASKAŅOTS ZVA </w:t>
    </w:r>
    <w:r w:rsidR="00950EA1">
      <w:t>03-06-2021</w:t>
    </w:r>
  </w:p>
  <w:p w14:paraId="6B2B43BA" w14:textId="7AAB10C0" w:rsidR="0092195D" w:rsidRPr="0092195D" w:rsidRDefault="0092195D" w:rsidP="0026091C">
    <w:pPr>
      <w:pStyle w:val="Header"/>
      <w:jc w:val="right"/>
      <w:rPr>
        <w:i/>
        <w:iCs/>
      </w:rPr>
    </w:pPr>
    <w:proofErr w:type="spellStart"/>
    <w:r w:rsidRPr="0092195D">
      <w:rPr>
        <w:i/>
        <w:iCs/>
      </w:rPr>
      <w:t>Papildināts</w:t>
    </w:r>
    <w:proofErr w:type="spellEnd"/>
    <w:r w:rsidRPr="0092195D">
      <w:rPr>
        <w:i/>
        <w:iCs/>
      </w:rPr>
      <w:t>/</w:t>
    </w:r>
    <w:proofErr w:type="spellStart"/>
    <w:r w:rsidRPr="0092195D">
      <w:rPr>
        <w:i/>
        <w:iCs/>
      </w:rPr>
      <w:t>labots</w:t>
    </w:r>
    <w:proofErr w:type="spellEnd"/>
    <w:r w:rsidRPr="0092195D">
      <w:rPr>
        <w:i/>
        <w:iCs/>
      </w:rPr>
      <w:t xml:space="preserve"> 19-05-2022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EC65" w14:textId="77777777" w:rsidR="00950EA1" w:rsidRDefault="00950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BD5"/>
    <w:multiLevelType w:val="hybridMultilevel"/>
    <w:tmpl w:val="46081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9B4"/>
    <w:multiLevelType w:val="hybridMultilevel"/>
    <w:tmpl w:val="CCEE7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510B"/>
    <w:multiLevelType w:val="multilevel"/>
    <w:tmpl w:val="6F187C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</w:abstractNum>
  <w:abstractNum w:abstractNumId="3" w15:restartNumberingAfterBreak="0">
    <w:nsid w:val="16112D7D"/>
    <w:multiLevelType w:val="hybridMultilevel"/>
    <w:tmpl w:val="D334EA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995"/>
    <w:multiLevelType w:val="hybridMultilevel"/>
    <w:tmpl w:val="20C2F632"/>
    <w:lvl w:ilvl="0" w:tplc="C34A8B60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5F8"/>
    <w:multiLevelType w:val="hybridMultilevel"/>
    <w:tmpl w:val="923EDEAC"/>
    <w:lvl w:ilvl="0" w:tplc="C34A8B60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6EDE"/>
    <w:multiLevelType w:val="hybridMultilevel"/>
    <w:tmpl w:val="FC168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31D2"/>
    <w:multiLevelType w:val="hybridMultilevel"/>
    <w:tmpl w:val="29D4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264D"/>
    <w:multiLevelType w:val="hybridMultilevel"/>
    <w:tmpl w:val="EFFC30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0112F"/>
    <w:multiLevelType w:val="hybridMultilevel"/>
    <w:tmpl w:val="B746714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EDD5FE0"/>
    <w:multiLevelType w:val="hybridMultilevel"/>
    <w:tmpl w:val="C1C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BA"/>
    <w:rsid w:val="000007FE"/>
    <w:rsid w:val="00001FD2"/>
    <w:rsid w:val="00004125"/>
    <w:rsid w:val="0000597A"/>
    <w:rsid w:val="00012B6A"/>
    <w:rsid w:val="00012F53"/>
    <w:rsid w:val="00013253"/>
    <w:rsid w:val="000141AB"/>
    <w:rsid w:val="00014280"/>
    <w:rsid w:val="00014B3F"/>
    <w:rsid w:val="0001522A"/>
    <w:rsid w:val="00015AEF"/>
    <w:rsid w:val="00016AEB"/>
    <w:rsid w:val="000172DF"/>
    <w:rsid w:val="00017AA4"/>
    <w:rsid w:val="00022158"/>
    <w:rsid w:val="00023393"/>
    <w:rsid w:val="00023515"/>
    <w:rsid w:val="000237F0"/>
    <w:rsid w:val="00023E04"/>
    <w:rsid w:val="00025E87"/>
    <w:rsid w:val="000266DE"/>
    <w:rsid w:val="000274B3"/>
    <w:rsid w:val="00027B76"/>
    <w:rsid w:val="00027CE5"/>
    <w:rsid w:val="0003034A"/>
    <w:rsid w:val="0003187C"/>
    <w:rsid w:val="00032BEB"/>
    <w:rsid w:val="00032C45"/>
    <w:rsid w:val="00033B8B"/>
    <w:rsid w:val="00034029"/>
    <w:rsid w:val="000341CF"/>
    <w:rsid w:val="00035B7B"/>
    <w:rsid w:val="00041214"/>
    <w:rsid w:val="000434D4"/>
    <w:rsid w:val="00044D1D"/>
    <w:rsid w:val="00045C53"/>
    <w:rsid w:val="000464CA"/>
    <w:rsid w:val="00046508"/>
    <w:rsid w:val="00050EBE"/>
    <w:rsid w:val="00052DEB"/>
    <w:rsid w:val="00053F45"/>
    <w:rsid w:val="00055220"/>
    <w:rsid w:val="0005785A"/>
    <w:rsid w:val="00057DD5"/>
    <w:rsid w:val="00060B3E"/>
    <w:rsid w:val="00061B57"/>
    <w:rsid w:val="000630E6"/>
    <w:rsid w:val="0006409F"/>
    <w:rsid w:val="0006499B"/>
    <w:rsid w:val="00064ECE"/>
    <w:rsid w:val="00065408"/>
    <w:rsid w:val="00065B98"/>
    <w:rsid w:val="000702A0"/>
    <w:rsid w:val="0007073C"/>
    <w:rsid w:val="00070C49"/>
    <w:rsid w:val="00071FCF"/>
    <w:rsid w:val="00073059"/>
    <w:rsid w:val="00073A70"/>
    <w:rsid w:val="00074031"/>
    <w:rsid w:val="00074BA2"/>
    <w:rsid w:val="0007680A"/>
    <w:rsid w:val="000777E1"/>
    <w:rsid w:val="0007782C"/>
    <w:rsid w:val="00077BB2"/>
    <w:rsid w:val="00082312"/>
    <w:rsid w:val="00082474"/>
    <w:rsid w:val="00082E65"/>
    <w:rsid w:val="00083471"/>
    <w:rsid w:val="00084102"/>
    <w:rsid w:val="0008478E"/>
    <w:rsid w:val="00084B0C"/>
    <w:rsid w:val="00085762"/>
    <w:rsid w:val="000867DE"/>
    <w:rsid w:val="0008722B"/>
    <w:rsid w:val="0008732F"/>
    <w:rsid w:val="000873E5"/>
    <w:rsid w:val="0009067C"/>
    <w:rsid w:val="00091816"/>
    <w:rsid w:val="00091884"/>
    <w:rsid w:val="00091B43"/>
    <w:rsid w:val="00092B8E"/>
    <w:rsid w:val="000937F1"/>
    <w:rsid w:val="00095E31"/>
    <w:rsid w:val="000969E5"/>
    <w:rsid w:val="0009786A"/>
    <w:rsid w:val="000A1281"/>
    <w:rsid w:val="000A401E"/>
    <w:rsid w:val="000A494A"/>
    <w:rsid w:val="000A4C55"/>
    <w:rsid w:val="000A77B4"/>
    <w:rsid w:val="000A7F93"/>
    <w:rsid w:val="000B2195"/>
    <w:rsid w:val="000B2DEC"/>
    <w:rsid w:val="000B4EEB"/>
    <w:rsid w:val="000B59D9"/>
    <w:rsid w:val="000B6D51"/>
    <w:rsid w:val="000B6D88"/>
    <w:rsid w:val="000C0936"/>
    <w:rsid w:val="000C24C2"/>
    <w:rsid w:val="000C2DA0"/>
    <w:rsid w:val="000C2E4F"/>
    <w:rsid w:val="000C3576"/>
    <w:rsid w:val="000C3746"/>
    <w:rsid w:val="000C3DE2"/>
    <w:rsid w:val="000C4EC6"/>
    <w:rsid w:val="000C5205"/>
    <w:rsid w:val="000C5F54"/>
    <w:rsid w:val="000D328F"/>
    <w:rsid w:val="000D3845"/>
    <w:rsid w:val="000D3E69"/>
    <w:rsid w:val="000D4BD4"/>
    <w:rsid w:val="000D5668"/>
    <w:rsid w:val="000D6006"/>
    <w:rsid w:val="000D7B8B"/>
    <w:rsid w:val="000E156E"/>
    <w:rsid w:val="000E50D1"/>
    <w:rsid w:val="000F08C5"/>
    <w:rsid w:val="000F1211"/>
    <w:rsid w:val="000F1DE3"/>
    <w:rsid w:val="000F1ED0"/>
    <w:rsid w:val="000F1F41"/>
    <w:rsid w:val="000F2FE7"/>
    <w:rsid w:val="000F3828"/>
    <w:rsid w:val="000F42DB"/>
    <w:rsid w:val="000F441A"/>
    <w:rsid w:val="000F4B51"/>
    <w:rsid w:val="000F710E"/>
    <w:rsid w:val="001003E5"/>
    <w:rsid w:val="00100938"/>
    <w:rsid w:val="00102550"/>
    <w:rsid w:val="001119F2"/>
    <w:rsid w:val="00113124"/>
    <w:rsid w:val="00113767"/>
    <w:rsid w:val="001144B2"/>
    <w:rsid w:val="00114A44"/>
    <w:rsid w:val="00114F9F"/>
    <w:rsid w:val="00117900"/>
    <w:rsid w:val="00117C2D"/>
    <w:rsid w:val="001239EC"/>
    <w:rsid w:val="00123E46"/>
    <w:rsid w:val="001248C9"/>
    <w:rsid w:val="0012574F"/>
    <w:rsid w:val="00125EAF"/>
    <w:rsid w:val="00126B14"/>
    <w:rsid w:val="00126C1F"/>
    <w:rsid w:val="00127A12"/>
    <w:rsid w:val="00130DCD"/>
    <w:rsid w:val="001313AF"/>
    <w:rsid w:val="00131733"/>
    <w:rsid w:val="00131ED5"/>
    <w:rsid w:val="0013227D"/>
    <w:rsid w:val="00132464"/>
    <w:rsid w:val="00132CCB"/>
    <w:rsid w:val="00137655"/>
    <w:rsid w:val="001408D4"/>
    <w:rsid w:val="001414BE"/>
    <w:rsid w:val="00143FFC"/>
    <w:rsid w:val="00144916"/>
    <w:rsid w:val="00144B79"/>
    <w:rsid w:val="00144B99"/>
    <w:rsid w:val="00147137"/>
    <w:rsid w:val="001478A3"/>
    <w:rsid w:val="00151080"/>
    <w:rsid w:val="00152264"/>
    <w:rsid w:val="001527FB"/>
    <w:rsid w:val="00154938"/>
    <w:rsid w:val="00155989"/>
    <w:rsid w:val="00156E9B"/>
    <w:rsid w:val="001571D3"/>
    <w:rsid w:val="00157C04"/>
    <w:rsid w:val="001619D6"/>
    <w:rsid w:val="00161FA1"/>
    <w:rsid w:val="0016293B"/>
    <w:rsid w:val="00163619"/>
    <w:rsid w:val="00164D57"/>
    <w:rsid w:val="00165441"/>
    <w:rsid w:val="00167C34"/>
    <w:rsid w:val="00171CF0"/>
    <w:rsid w:val="00172DE8"/>
    <w:rsid w:val="001733E5"/>
    <w:rsid w:val="001772B3"/>
    <w:rsid w:val="00181D8E"/>
    <w:rsid w:val="001831E0"/>
    <w:rsid w:val="001838EC"/>
    <w:rsid w:val="001854E2"/>
    <w:rsid w:val="00191B99"/>
    <w:rsid w:val="00193BD6"/>
    <w:rsid w:val="001975B3"/>
    <w:rsid w:val="00197C08"/>
    <w:rsid w:val="001A1356"/>
    <w:rsid w:val="001A1D29"/>
    <w:rsid w:val="001A322A"/>
    <w:rsid w:val="001A32FB"/>
    <w:rsid w:val="001A5FBA"/>
    <w:rsid w:val="001B428D"/>
    <w:rsid w:val="001B4300"/>
    <w:rsid w:val="001B4709"/>
    <w:rsid w:val="001B6949"/>
    <w:rsid w:val="001B70A0"/>
    <w:rsid w:val="001B75EE"/>
    <w:rsid w:val="001C058A"/>
    <w:rsid w:val="001C0B27"/>
    <w:rsid w:val="001C0B5A"/>
    <w:rsid w:val="001C1F96"/>
    <w:rsid w:val="001C4B34"/>
    <w:rsid w:val="001C514E"/>
    <w:rsid w:val="001C537D"/>
    <w:rsid w:val="001C5A56"/>
    <w:rsid w:val="001C6385"/>
    <w:rsid w:val="001C7412"/>
    <w:rsid w:val="001C7903"/>
    <w:rsid w:val="001D0A61"/>
    <w:rsid w:val="001D1803"/>
    <w:rsid w:val="001D2247"/>
    <w:rsid w:val="001D347D"/>
    <w:rsid w:val="001D3F63"/>
    <w:rsid w:val="001D4496"/>
    <w:rsid w:val="001D5054"/>
    <w:rsid w:val="001D7838"/>
    <w:rsid w:val="001E206D"/>
    <w:rsid w:val="001E3115"/>
    <w:rsid w:val="001E5C9F"/>
    <w:rsid w:val="001E5D3E"/>
    <w:rsid w:val="001E5D54"/>
    <w:rsid w:val="001E6372"/>
    <w:rsid w:val="001E6FB9"/>
    <w:rsid w:val="001E738A"/>
    <w:rsid w:val="001E7856"/>
    <w:rsid w:val="001F06F0"/>
    <w:rsid w:val="001F10E6"/>
    <w:rsid w:val="001F245C"/>
    <w:rsid w:val="001F2DDC"/>
    <w:rsid w:val="001F3975"/>
    <w:rsid w:val="001F411D"/>
    <w:rsid w:val="001F4705"/>
    <w:rsid w:val="001F4B58"/>
    <w:rsid w:val="001F54C8"/>
    <w:rsid w:val="001F5BEA"/>
    <w:rsid w:val="0020418F"/>
    <w:rsid w:val="00205930"/>
    <w:rsid w:val="00207154"/>
    <w:rsid w:val="00210225"/>
    <w:rsid w:val="0021163B"/>
    <w:rsid w:val="002133EC"/>
    <w:rsid w:val="002144E3"/>
    <w:rsid w:val="0021531D"/>
    <w:rsid w:val="002158AB"/>
    <w:rsid w:val="00216009"/>
    <w:rsid w:val="00216AAC"/>
    <w:rsid w:val="00216F81"/>
    <w:rsid w:val="00217F56"/>
    <w:rsid w:val="00223A08"/>
    <w:rsid w:val="00225CDC"/>
    <w:rsid w:val="0022618B"/>
    <w:rsid w:val="00227C21"/>
    <w:rsid w:val="002318BB"/>
    <w:rsid w:val="00232572"/>
    <w:rsid w:val="00234035"/>
    <w:rsid w:val="0023497B"/>
    <w:rsid w:val="00234A6A"/>
    <w:rsid w:val="00234EB3"/>
    <w:rsid w:val="00235A36"/>
    <w:rsid w:val="002368D8"/>
    <w:rsid w:val="002372EF"/>
    <w:rsid w:val="00237777"/>
    <w:rsid w:val="002411BD"/>
    <w:rsid w:val="00241C6C"/>
    <w:rsid w:val="00243866"/>
    <w:rsid w:val="00243920"/>
    <w:rsid w:val="00244A0D"/>
    <w:rsid w:val="00247BDA"/>
    <w:rsid w:val="00247D8A"/>
    <w:rsid w:val="00253C08"/>
    <w:rsid w:val="002565D3"/>
    <w:rsid w:val="002566B8"/>
    <w:rsid w:val="002604C3"/>
    <w:rsid w:val="0026091C"/>
    <w:rsid w:val="002609A2"/>
    <w:rsid w:val="0026210F"/>
    <w:rsid w:val="00263BEA"/>
    <w:rsid w:val="00265AF7"/>
    <w:rsid w:val="0026714B"/>
    <w:rsid w:val="00271827"/>
    <w:rsid w:val="00272F2F"/>
    <w:rsid w:val="00274EA5"/>
    <w:rsid w:val="002763D2"/>
    <w:rsid w:val="00281BB7"/>
    <w:rsid w:val="00283B36"/>
    <w:rsid w:val="00283CDF"/>
    <w:rsid w:val="002853EF"/>
    <w:rsid w:val="0028652A"/>
    <w:rsid w:val="00290B13"/>
    <w:rsid w:val="002941C7"/>
    <w:rsid w:val="00294D6D"/>
    <w:rsid w:val="00294E08"/>
    <w:rsid w:val="00296452"/>
    <w:rsid w:val="00296B72"/>
    <w:rsid w:val="002A037D"/>
    <w:rsid w:val="002A16B9"/>
    <w:rsid w:val="002A2CD7"/>
    <w:rsid w:val="002A3C1F"/>
    <w:rsid w:val="002A428F"/>
    <w:rsid w:val="002A7D94"/>
    <w:rsid w:val="002B2DF2"/>
    <w:rsid w:val="002B4C82"/>
    <w:rsid w:val="002B4E56"/>
    <w:rsid w:val="002B52B5"/>
    <w:rsid w:val="002B57EB"/>
    <w:rsid w:val="002B7F75"/>
    <w:rsid w:val="002C2009"/>
    <w:rsid w:val="002C23B5"/>
    <w:rsid w:val="002C2958"/>
    <w:rsid w:val="002C2CFC"/>
    <w:rsid w:val="002C4DF7"/>
    <w:rsid w:val="002C555E"/>
    <w:rsid w:val="002C7DE9"/>
    <w:rsid w:val="002D02EC"/>
    <w:rsid w:val="002D1454"/>
    <w:rsid w:val="002D34FA"/>
    <w:rsid w:val="002D431A"/>
    <w:rsid w:val="002D4C50"/>
    <w:rsid w:val="002D5F51"/>
    <w:rsid w:val="002D7579"/>
    <w:rsid w:val="002E10B0"/>
    <w:rsid w:val="002E1FC8"/>
    <w:rsid w:val="002E318A"/>
    <w:rsid w:val="002E3D3E"/>
    <w:rsid w:val="002E6FC3"/>
    <w:rsid w:val="002F03C1"/>
    <w:rsid w:val="002F1AEF"/>
    <w:rsid w:val="002F305A"/>
    <w:rsid w:val="002F515E"/>
    <w:rsid w:val="002F5A98"/>
    <w:rsid w:val="002F5D14"/>
    <w:rsid w:val="002F734D"/>
    <w:rsid w:val="00300478"/>
    <w:rsid w:val="00300BA5"/>
    <w:rsid w:val="00300DCD"/>
    <w:rsid w:val="003027CD"/>
    <w:rsid w:val="00302903"/>
    <w:rsid w:val="00302FAF"/>
    <w:rsid w:val="00303C17"/>
    <w:rsid w:val="003051A7"/>
    <w:rsid w:val="003058EC"/>
    <w:rsid w:val="00305D6D"/>
    <w:rsid w:val="00312EC3"/>
    <w:rsid w:val="003131E1"/>
    <w:rsid w:val="00317955"/>
    <w:rsid w:val="00321521"/>
    <w:rsid w:val="00322009"/>
    <w:rsid w:val="00323768"/>
    <w:rsid w:val="0032506E"/>
    <w:rsid w:val="00326365"/>
    <w:rsid w:val="003263AD"/>
    <w:rsid w:val="0032653F"/>
    <w:rsid w:val="00326586"/>
    <w:rsid w:val="00326A3B"/>
    <w:rsid w:val="0033122E"/>
    <w:rsid w:val="00332F84"/>
    <w:rsid w:val="003349A9"/>
    <w:rsid w:val="00335696"/>
    <w:rsid w:val="0033675C"/>
    <w:rsid w:val="00336B87"/>
    <w:rsid w:val="00337C0B"/>
    <w:rsid w:val="00340225"/>
    <w:rsid w:val="003442D0"/>
    <w:rsid w:val="00347503"/>
    <w:rsid w:val="00350C61"/>
    <w:rsid w:val="003527B7"/>
    <w:rsid w:val="00353792"/>
    <w:rsid w:val="003559C2"/>
    <w:rsid w:val="00357C7B"/>
    <w:rsid w:val="00360277"/>
    <w:rsid w:val="00361203"/>
    <w:rsid w:val="0036130A"/>
    <w:rsid w:val="00361A01"/>
    <w:rsid w:val="00362B0C"/>
    <w:rsid w:val="003631B9"/>
    <w:rsid w:val="00363BB3"/>
    <w:rsid w:val="003640AA"/>
    <w:rsid w:val="00364119"/>
    <w:rsid w:val="003644D0"/>
    <w:rsid w:val="003656EF"/>
    <w:rsid w:val="0036695F"/>
    <w:rsid w:val="00367648"/>
    <w:rsid w:val="00367CFA"/>
    <w:rsid w:val="00371C1A"/>
    <w:rsid w:val="0037447A"/>
    <w:rsid w:val="00374684"/>
    <w:rsid w:val="0037508B"/>
    <w:rsid w:val="003759C4"/>
    <w:rsid w:val="003779A1"/>
    <w:rsid w:val="00390E5C"/>
    <w:rsid w:val="00391594"/>
    <w:rsid w:val="00393CBB"/>
    <w:rsid w:val="0039455D"/>
    <w:rsid w:val="00395894"/>
    <w:rsid w:val="00395F2F"/>
    <w:rsid w:val="00396C18"/>
    <w:rsid w:val="003A018E"/>
    <w:rsid w:val="003A0E5E"/>
    <w:rsid w:val="003A154F"/>
    <w:rsid w:val="003A1C16"/>
    <w:rsid w:val="003A2122"/>
    <w:rsid w:val="003A3D49"/>
    <w:rsid w:val="003A51C4"/>
    <w:rsid w:val="003A5968"/>
    <w:rsid w:val="003A70A3"/>
    <w:rsid w:val="003B1682"/>
    <w:rsid w:val="003B1D00"/>
    <w:rsid w:val="003B3204"/>
    <w:rsid w:val="003B3760"/>
    <w:rsid w:val="003B53E4"/>
    <w:rsid w:val="003B5773"/>
    <w:rsid w:val="003B7051"/>
    <w:rsid w:val="003C1976"/>
    <w:rsid w:val="003C3640"/>
    <w:rsid w:val="003C3A94"/>
    <w:rsid w:val="003C487C"/>
    <w:rsid w:val="003C4D4F"/>
    <w:rsid w:val="003C7D35"/>
    <w:rsid w:val="003D17FD"/>
    <w:rsid w:val="003D23FF"/>
    <w:rsid w:val="003D56DF"/>
    <w:rsid w:val="003D5C84"/>
    <w:rsid w:val="003D5EB3"/>
    <w:rsid w:val="003E3C8B"/>
    <w:rsid w:val="003E427A"/>
    <w:rsid w:val="003E434D"/>
    <w:rsid w:val="003E479E"/>
    <w:rsid w:val="003E5010"/>
    <w:rsid w:val="003E5F33"/>
    <w:rsid w:val="003F09FC"/>
    <w:rsid w:val="003F0BC5"/>
    <w:rsid w:val="003F0FE2"/>
    <w:rsid w:val="003F1BBA"/>
    <w:rsid w:val="003F3070"/>
    <w:rsid w:val="003F4268"/>
    <w:rsid w:val="003F4F6D"/>
    <w:rsid w:val="003F5ACA"/>
    <w:rsid w:val="003F7D34"/>
    <w:rsid w:val="00401040"/>
    <w:rsid w:val="00402712"/>
    <w:rsid w:val="004035F7"/>
    <w:rsid w:val="004039A5"/>
    <w:rsid w:val="00403D00"/>
    <w:rsid w:val="0040524A"/>
    <w:rsid w:val="00405373"/>
    <w:rsid w:val="00407A40"/>
    <w:rsid w:val="0041080F"/>
    <w:rsid w:val="004133B5"/>
    <w:rsid w:val="00413631"/>
    <w:rsid w:val="004138C9"/>
    <w:rsid w:val="00414706"/>
    <w:rsid w:val="0041745D"/>
    <w:rsid w:val="00421F32"/>
    <w:rsid w:val="004238FD"/>
    <w:rsid w:val="004239D1"/>
    <w:rsid w:val="004246E8"/>
    <w:rsid w:val="00425649"/>
    <w:rsid w:val="00425C16"/>
    <w:rsid w:val="00427E40"/>
    <w:rsid w:val="00427E8C"/>
    <w:rsid w:val="00427F7A"/>
    <w:rsid w:val="00430DCF"/>
    <w:rsid w:val="00430F75"/>
    <w:rsid w:val="00433677"/>
    <w:rsid w:val="004339BE"/>
    <w:rsid w:val="0043559E"/>
    <w:rsid w:val="0043559F"/>
    <w:rsid w:val="00437335"/>
    <w:rsid w:val="00440959"/>
    <w:rsid w:val="00441B1E"/>
    <w:rsid w:val="00441E1D"/>
    <w:rsid w:val="00443217"/>
    <w:rsid w:val="00443ACB"/>
    <w:rsid w:val="00445800"/>
    <w:rsid w:val="00446C98"/>
    <w:rsid w:val="00450D48"/>
    <w:rsid w:val="00450E5A"/>
    <w:rsid w:val="00451789"/>
    <w:rsid w:val="004534EF"/>
    <w:rsid w:val="00454B59"/>
    <w:rsid w:val="00455558"/>
    <w:rsid w:val="00455826"/>
    <w:rsid w:val="00460038"/>
    <w:rsid w:val="004607B1"/>
    <w:rsid w:val="004611D5"/>
    <w:rsid w:val="0046166C"/>
    <w:rsid w:val="00461FFE"/>
    <w:rsid w:val="00462350"/>
    <w:rsid w:val="004635DE"/>
    <w:rsid w:val="004641F9"/>
    <w:rsid w:val="00466116"/>
    <w:rsid w:val="00466E64"/>
    <w:rsid w:val="00467948"/>
    <w:rsid w:val="004718E9"/>
    <w:rsid w:val="00475FEF"/>
    <w:rsid w:val="004769A8"/>
    <w:rsid w:val="004810FD"/>
    <w:rsid w:val="0048276C"/>
    <w:rsid w:val="00483180"/>
    <w:rsid w:val="0048502D"/>
    <w:rsid w:val="004869A0"/>
    <w:rsid w:val="00486F45"/>
    <w:rsid w:val="004875C2"/>
    <w:rsid w:val="00490A6E"/>
    <w:rsid w:val="00493430"/>
    <w:rsid w:val="0049343B"/>
    <w:rsid w:val="004959AA"/>
    <w:rsid w:val="004965ED"/>
    <w:rsid w:val="004A0919"/>
    <w:rsid w:val="004A1731"/>
    <w:rsid w:val="004A17B3"/>
    <w:rsid w:val="004A3CD0"/>
    <w:rsid w:val="004A6FDA"/>
    <w:rsid w:val="004B2C2B"/>
    <w:rsid w:val="004B33E0"/>
    <w:rsid w:val="004B37C7"/>
    <w:rsid w:val="004B55FA"/>
    <w:rsid w:val="004B6531"/>
    <w:rsid w:val="004C00AE"/>
    <w:rsid w:val="004C0746"/>
    <w:rsid w:val="004C22B7"/>
    <w:rsid w:val="004C2D1E"/>
    <w:rsid w:val="004C4302"/>
    <w:rsid w:val="004C43CE"/>
    <w:rsid w:val="004C50D0"/>
    <w:rsid w:val="004D0986"/>
    <w:rsid w:val="004D1252"/>
    <w:rsid w:val="004D1945"/>
    <w:rsid w:val="004D59E5"/>
    <w:rsid w:val="004D5D22"/>
    <w:rsid w:val="004D672E"/>
    <w:rsid w:val="004D74A6"/>
    <w:rsid w:val="004E1DD2"/>
    <w:rsid w:val="004E2C35"/>
    <w:rsid w:val="004E2E05"/>
    <w:rsid w:val="004E31CE"/>
    <w:rsid w:val="004E357E"/>
    <w:rsid w:val="004E3794"/>
    <w:rsid w:val="004E4F21"/>
    <w:rsid w:val="004E50B2"/>
    <w:rsid w:val="004E5849"/>
    <w:rsid w:val="004E770A"/>
    <w:rsid w:val="004F1447"/>
    <w:rsid w:val="004F2C22"/>
    <w:rsid w:val="004F4126"/>
    <w:rsid w:val="004F4207"/>
    <w:rsid w:val="004F50B5"/>
    <w:rsid w:val="004F6BA4"/>
    <w:rsid w:val="00503E6B"/>
    <w:rsid w:val="005046BE"/>
    <w:rsid w:val="005048AA"/>
    <w:rsid w:val="00504EC0"/>
    <w:rsid w:val="005054A3"/>
    <w:rsid w:val="005070F5"/>
    <w:rsid w:val="005076FA"/>
    <w:rsid w:val="005119FC"/>
    <w:rsid w:val="005131F0"/>
    <w:rsid w:val="00514B01"/>
    <w:rsid w:val="005157AD"/>
    <w:rsid w:val="00516195"/>
    <w:rsid w:val="00516481"/>
    <w:rsid w:val="00516FC0"/>
    <w:rsid w:val="00520034"/>
    <w:rsid w:val="00520EB0"/>
    <w:rsid w:val="00522011"/>
    <w:rsid w:val="00523A03"/>
    <w:rsid w:val="005261BA"/>
    <w:rsid w:val="00526454"/>
    <w:rsid w:val="00526916"/>
    <w:rsid w:val="00526F88"/>
    <w:rsid w:val="00530608"/>
    <w:rsid w:val="005312FF"/>
    <w:rsid w:val="005326AB"/>
    <w:rsid w:val="005364D7"/>
    <w:rsid w:val="005373A5"/>
    <w:rsid w:val="00537A17"/>
    <w:rsid w:val="0054103E"/>
    <w:rsid w:val="00542A82"/>
    <w:rsid w:val="0054389D"/>
    <w:rsid w:val="005448CD"/>
    <w:rsid w:val="00545A22"/>
    <w:rsid w:val="00545E51"/>
    <w:rsid w:val="005462EC"/>
    <w:rsid w:val="00546881"/>
    <w:rsid w:val="005472C3"/>
    <w:rsid w:val="0054733A"/>
    <w:rsid w:val="00553765"/>
    <w:rsid w:val="005539AD"/>
    <w:rsid w:val="00553C22"/>
    <w:rsid w:val="005561F7"/>
    <w:rsid w:val="00556457"/>
    <w:rsid w:val="0055674A"/>
    <w:rsid w:val="005577A7"/>
    <w:rsid w:val="0056078A"/>
    <w:rsid w:val="00561780"/>
    <w:rsid w:val="00561CC4"/>
    <w:rsid w:val="00562823"/>
    <w:rsid w:val="0056290B"/>
    <w:rsid w:val="005648E4"/>
    <w:rsid w:val="00564D8B"/>
    <w:rsid w:val="00566648"/>
    <w:rsid w:val="00567669"/>
    <w:rsid w:val="0057000D"/>
    <w:rsid w:val="0057177E"/>
    <w:rsid w:val="00574308"/>
    <w:rsid w:val="005756F2"/>
    <w:rsid w:val="005769A4"/>
    <w:rsid w:val="00577597"/>
    <w:rsid w:val="00577C1F"/>
    <w:rsid w:val="00580302"/>
    <w:rsid w:val="00580910"/>
    <w:rsid w:val="00580C4C"/>
    <w:rsid w:val="005812F4"/>
    <w:rsid w:val="00581B40"/>
    <w:rsid w:val="00583318"/>
    <w:rsid w:val="0058479E"/>
    <w:rsid w:val="00584FAF"/>
    <w:rsid w:val="00585051"/>
    <w:rsid w:val="005872FA"/>
    <w:rsid w:val="005915DD"/>
    <w:rsid w:val="00591A94"/>
    <w:rsid w:val="00591C74"/>
    <w:rsid w:val="005930C2"/>
    <w:rsid w:val="005937FF"/>
    <w:rsid w:val="0059668D"/>
    <w:rsid w:val="005973D5"/>
    <w:rsid w:val="005A0465"/>
    <w:rsid w:val="005A2C1D"/>
    <w:rsid w:val="005A333C"/>
    <w:rsid w:val="005A43C1"/>
    <w:rsid w:val="005A776D"/>
    <w:rsid w:val="005A780D"/>
    <w:rsid w:val="005B0037"/>
    <w:rsid w:val="005B2B2D"/>
    <w:rsid w:val="005B4151"/>
    <w:rsid w:val="005B6DBC"/>
    <w:rsid w:val="005B7111"/>
    <w:rsid w:val="005B7478"/>
    <w:rsid w:val="005C0C50"/>
    <w:rsid w:val="005C2453"/>
    <w:rsid w:val="005C3600"/>
    <w:rsid w:val="005C3E2F"/>
    <w:rsid w:val="005C3F61"/>
    <w:rsid w:val="005C58EB"/>
    <w:rsid w:val="005C5CAD"/>
    <w:rsid w:val="005C5EB0"/>
    <w:rsid w:val="005C6FFF"/>
    <w:rsid w:val="005D2CE8"/>
    <w:rsid w:val="005D43BE"/>
    <w:rsid w:val="005D5CB3"/>
    <w:rsid w:val="005D61A0"/>
    <w:rsid w:val="005E0100"/>
    <w:rsid w:val="005E3B64"/>
    <w:rsid w:val="005E4CFE"/>
    <w:rsid w:val="005E59CD"/>
    <w:rsid w:val="005E79F2"/>
    <w:rsid w:val="005F1F0D"/>
    <w:rsid w:val="005F55FD"/>
    <w:rsid w:val="005F6FFA"/>
    <w:rsid w:val="005F723C"/>
    <w:rsid w:val="005F7F67"/>
    <w:rsid w:val="00602AD4"/>
    <w:rsid w:val="006033EC"/>
    <w:rsid w:val="00603847"/>
    <w:rsid w:val="006042CA"/>
    <w:rsid w:val="006045E2"/>
    <w:rsid w:val="00605554"/>
    <w:rsid w:val="00605B08"/>
    <w:rsid w:val="006067F8"/>
    <w:rsid w:val="00606B05"/>
    <w:rsid w:val="00607459"/>
    <w:rsid w:val="0061171E"/>
    <w:rsid w:val="00611753"/>
    <w:rsid w:val="00611B05"/>
    <w:rsid w:val="00611DA6"/>
    <w:rsid w:val="00613AD6"/>
    <w:rsid w:val="006140DB"/>
    <w:rsid w:val="006160D4"/>
    <w:rsid w:val="0061773E"/>
    <w:rsid w:val="00617C81"/>
    <w:rsid w:val="006204D2"/>
    <w:rsid w:val="00621AEC"/>
    <w:rsid w:val="00622515"/>
    <w:rsid w:val="00623921"/>
    <w:rsid w:val="0062761C"/>
    <w:rsid w:val="006300EC"/>
    <w:rsid w:val="00630968"/>
    <w:rsid w:val="006316A3"/>
    <w:rsid w:val="0063535B"/>
    <w:rsid w:val="0063589F"/>
    <w:rsid w:val="006375D1"/>
    <w:rsid w:val="00637E6C"/>
    <w:rsid w:val="006401B6"/>
    <w:rsid w:val="006435E3"/>
    <w:rsid w:val="00644167"/>
    <w:rsid w:val="00645672"/>
    <w:rsid w:val="00645A65"/>
    <w:rsid w:val="0064676B"/>
    <w:rsid w:val="00646F42"/>
    <w:rsid w:val="006470EB"/>
    <w:rsid w:val="00647BD4"/>
    <w:rsid w:val="0065073F"/>
    <w:rsid w:val="0065170E"/>
    <w:rsid w:val="00653060"/>
    <w:rsid w:val="00655DCE"/>
    <w:rsid w:val="0065647B"/>
    <w:rsid w:val="00656564"/>
    <w:rsid w:val="00656C2A"/>
    <w:rsid w:val="0066065F"/>
    <w:rsid w:val="00661E1B"/>
    <w:rsid w:val="006650D9"/>
    <w:rsid w:val="006652F5"/>
    <w:rsid w:val="0066567B"/>
    <w:rsid w:val="00666FEA"/>
    <w:rsid w:val="00667173"/>
    <w:rsid w:val="00667CEA"/>
    <w:rsid w:val="00670744"/>
    <w:rsid w:val="00671572"/>
    <w:rsid w:val="00671689"/>
    <w:rsid w:val="00672E05"/>
    <w:rsid w:val="00673DDA"/>
    <w:rsid w:val="00674877"/>
    <w:rsid w:val="00674CC9"/>
    <w:rsid w:val="00681F22"/>
    <w:rsid w:val="00682549"/>
    <w:rsid w:val="00682C70"/>
    <w:rsid w:val="006849E6"/>
    <w:rsid w:val="00686793"/>
    <w:rsid w:val="006872E2"/>
    <w:rsid w:val="006900B1"/>
    <w:rsid w:val="006905A7"/>
    <w:rsid w:val="0069120C"/>
    <w:rsid w:val="006924AA"/>
    <w:rsid w:val="00693A31"/>
    <w:rsid w:val="00693C8A"/>
    <w:rsid w:val="0069442A"/>
    <w:rsid w:val="00694A9F"/>
    <w:rsid w:val="00694B87"/>
    <w:rsid w:val="00694C69"/>
    <w:rsid w:val="006950A2"/>
    <w:rsid w:val="00695AD3"/>
    <w:rsid w:val="00695C39"/>
    <w:rsid w:val="00696F8C"/>
    <w:rsid w:val="006977EC"/>
    <w:rsid w:val="006A2454"/>
    <w:rsid w:val="006A2D2C"/>
    <w:rsid w:val="006A3ACD"/>
    <w:rsid w:val="006A4F7C"/>
    <w:rsid w:val="006A513D"/>
    <w:rsid w:val="006B3477"/>
    <w:rsid w:val="006B4986"/>
    <w:rsid w:val="006B6ABF"/>
    <w:rsid w:val="006C0354"/>
    <w:rsid w:val="006C0E3B"/>
    <w:rsid w:val="006C2310"/>
    <w:rsid w:val="006C2765"/>
    <w:rsid w:val="006C78A5"/>
    <w:rsid w:val="006D0E57"/>
    <w:rsid w:val="006D0EF2"/>
    <w:rsid w:val="006D115D"/>
    <w:rsid w:val="006D3EE8"/>
    <w:rsid w:val="006D4B0D"/>
    <w:rsid w:val="006D6B08"/>
    <w:rsid w:val="006E02ED"/>
    <w:rsid w:val="006E05AC"/>
    <w:rsid w:val="006E58A0"/>
    <w:rsid w:val="006E6075"/>
    <w:rsid w:val="006E695A"/>
    <w:rsid w:val="006E6EB1"/>
    <w:rsid w:val="006F0E8B"/>
    <w:rsid w:val="006F1361"/>
    <w:rsid w:val="006F1899"/>
    <w:rsid w:val="006F2A7E"/>
    <w:rsid w:val="006F2AFD"/>
    <w:rsid w:val="006F2DE9"/>
    <w:rsid w:val="006F3AA7"/>
    <w:rsid w:val="006F42AB"/>
    <w:rsid w:val="006F47CC"/>
    <w:rsid w:val="006F48F5"/>
    <w:rsid w:val="006F6401"/>
    <w:rsid w:val="006F6CF8"/>
    <w:rsid w:val="00700C3C"/>
    <w:rsid w:val="00706FD7"/>
    <w:rsid w:val="00707065"/>
    <w:rsid w:val="00707E31"/>
    <w:rsid w:val="0071047A"/>
    <w:rsid w:val="00710BB5"/>
    <w:rsid w:val="00713762"/>
    <w:rsid w:val="007154BA"/>
    <w:rsid w:val="00715CC2"/>
    <w:rsid w:val="007176E9"/>
    <w:rsid w:val="00717D97"/>
    <w:rsid w:val="00721E29"/>
    <w:rsid w:val="0072296F"/>
    <w:rsid w:val="0072416F"/>
    <w:rsid w:val="0073199A"/>
    <w:rsid w:val="00732418"/>
    <w:rsid w:val="00735ECA"/>
    <w:rsid w:val="0073640F"/>
    <w:rsid w:val="00737653"/>
    <w:rsid w:val="0073790A"/>
    <w:rsid w:val="007411B1"/>
    <w:rsid w:val="00743563"/>
    <w:rsid w:val="007466D1"/>
    <w:rsid w:val="00746710"/>
    <w:rsid w:val="0074691D"/>
    <w:rsid w:val="0074746D"/>
    <w:rsid w:val="00747A45"/>
    <w:rsid w:val="0075200C"/>
    <w:rsid w:val="00752747"/>
    <w:rsid w:val="0075291C"/>
    <w:rsid w:val="007537FE"/>
    <w:rsid w:val="0075387F"/>
    <w:rsid w:val="00755404"/>
    <w:rsid w:val="00757029"/>
    <w:rsid w:val="00761FAE"/>
    <w:rsid w:val="00763414"/>
    <w:rsid w:val="00766016"/>
    <w:rsid w:val="00766E6B"/>
    <w:rsid w:val="00770C73"/>
    <w:rsid w:val="0077119E"/>
    <w:rsid w:val="00771301"/>
    <w:rsid w:val="00772B02"/>
    <w:rsid w:val="00772E61"/>
    <w:rsid w:val="007733B3"/>
    <w:rsid w:val="0077429A"/>
    <w:rsid w:val="00776A17"/>
    <w:rsid w:val="007772CF"/>
    <w:rsid w:val="007772D6"/>
    <w:rsid w:val="007779B5"/>
    <w:rsid w:val="00780D18"/>
    <w:rsid w:val="007822A1"/>
    <w:rsid w:val="0078332C"/>
    <w:rsid w:val="00785606"/>
    <w:rsid w:val="00786617"/>
    <w:rsid w:val="007868D0"/>
    <w:rsid w:val="00786DFB"/>
    <w:rsid w:val="00787D9E"/>
    <w:rsid w:val="00787DFD"/>
    <w:rsid w:val="00790D33"/>
    <w:rsid w:val="007910EB"/>
    <w:rsid w:val="00791572"/>
    <w:rsid w:val="00792656"/>
    <w:rsid w:val="0079317F"/>
    <w:rsid w:val="00794067"/>
    <w:rsid w:val="007962B6"/>
    <w:rsid w:val="0079771F"/>
    <w:rsid w:val="007979B8"/>
    <w:rsid w:val="007A0011"/>
    <w:rsid w:val="007A002E"/>
    <w:rsid w:val="007A2791"/>
    <w:rsid w:val="007A2D81"/>
    <w:rsid w:val="007A4806"/>
    <w:rsid w:val="007A5339"/>
    <w:rsid w:val="007A71FE"/>
    <w:rsid w:val="007B018E"/>
    <w:rsid w:val="007B2B6B"/>
    <w:rsid w:val="007B3320"/>
    <w:rsid w:val="007B44AF"/>
    <w:rsid w:val="007B56D2"/>
    <w:rsid w:val="007B5B42"/>
    <w:rsid w:val="007B6AE6"/>
    <w:rsid w:val="007B73DE"/>
    <w:rsid w:val="007C1275"/>
    <w:rsid w:val="007C21F3"/>
    <w:rsid w:val="007C3DDD"/>
    <w:rsid w:val="007C477D"/>
    <w:rsid w:val="007C4A66"/>
    <w:rsid w:val="007C5A91"/>
    <w:rsid w:val="007C67AE"/>
    <w:rsid w:val="007C67B4"/>
    <w:rsid w:val="007C75AC"/>
    <w:rsid w:val="007C7CC4"/>
    <w:rsid w:val="007D0067"/>
    <w:rsid w:val="007D0406"/>
    <w:rsid w:val="007D09E5"/>
    <w:rsid w:val="007D170E"/>
    <w:rsid w:val="007D2612"/>
    <w:rsid w:val="007D2656"/>
    <w:rsid w:val="007D2D34"/>
    <w:rsid w:val="007D456B"/>
    <w:rsid w:val="007D4885"/>
    <w:rsid w:val="007D5650"/>
    <w:rsid w:val="007D5837"/>
    <w:rsid w:val="007D5CE5"/>
    <w:rsid w:val="007D63B8"/>
    <w:rsid w:val="007D6E66"/>
    <w:rsid w:val="007E0E23"/>
    <w:rsid w:val="007E195B"/>
    <w:rsid w:val="007E1A69"/>
    <w:rsid w:val="007E1B68"/>
    <w:rsid w:val="007E335D"/>
    <w:rsid w:val="007E356C"/>
    <w:rsid w:val="007E41F7"/>
    <w:rsid w:val="007E5259"/>
    <w:rsid w:val="007E5CC9"/>
    <w:rsid w:val="007E621C"/>
    <w:rsid w:val="007F0AEC"/>
    <w:rsid w:val="007F3330"/>
    <w:rsid w:val="007F6DB9"/>
    <w:rsid w:val="007F768C"/>
    <w:rsid w:val="0080008C"/>
    <w:rsid w:val="00800225"/>
    <w:rsid w:val="00801C01"/>
    <w:rsid w:val="0080508A"/>
    <w:rsid w:val="00807559"/>
    <w:rsid w:val="008108C4"/>
    <w:rsid w:val="008116BC"/>
    <w:rsid w:val="0081186F"/>
    <w:rsid w:val="00814B11"/>
    <w:rsid w:val="0081520D"/>
    <w:rsid w:val="00815349"/>
    <w:rsid w:val="00820B83"/>
    <w:rsid w:val="00822BAF"/>
    <w:rsid w:val="00822EAA"/>
    <w:rsid w:val="008238F9"/>
    <w:rsid w:val="00825D16"/>
    <w:rsid w:val="0082608B"/>
    <w:rsid w:val="008272DC"/>
    <w:rsid w:val="0083066B"/>
    <w:rsid w:val="008310FE"/>
    <w:rsid w:val="008337FF"/>
    <w:rsid w:val="00835077"/>
    <w:rsid w:val="00835B81"/>
    <w:rsid w:val="008368EB"/>
    <w:rsid w:val="00836ED3"/>
    <w:rsid w:val="00837628"/>
    <w:rsid w:val="00840DF2"/>
    <w:rsid w:val="008435CF"/>
    <w:rsid w:val="00844E8C"/>
    <w:rsid w:val="0084557A"/>
    <w:rsid w:val="008460F5"/>
    <w:rsid w:val="00846584"/>
    <w:rsid w:val="0085026C"/>
    <w:rsid w:val="00851679"/>
    <w:rsid w:val="00851DDB"/>
    <w:rsid w:val="0085256B"/>
    <w:rsid w:val="00853357"/>
    <w:rsid w:val="00853EED"/>
    <w:rsid w:val="00856895"/>
    <w:rsid w:val="0086097F"/>
    <w:rsid w:val="00860B60"/>
    <w:rsid w:val="0086116B"/>
    <w:rsid w:val="0086150C"/>
    <w:rsid w:val="00861A58"/>
    <w:rsid w:val="00861BC7"/>
    <w:rsid w:val="00861C6E"/>
    <w:rsid w:val="00862468"/>
    <w:rsid w:val="008646FA"/>
    <w:rsid w:val="00864832"/>
    <w:rsid w:val="00867CE5"/>
    <w:rsid w:val="0087069E"/>
    <w:rsid w:val="0087467A"/>
    <w:rsid w:val="00874881"/>
    <w:rsid w:val="00874F6A"/>
    <w:rsid w:val="008760B4"/>
    <w:rsid w:val="008777BC"/>
    <w:rsid w:val="0088139D"/>
    <w:rsid w:val="0088233C"/>
    <w:rsid w:val="00882569"/>
    <w:rsid w:val="0088256B"/>
    <w:rsid w:val="00882A35"/>
    <w:rsid w:val="0088352B"/>
    <w:rsid w:val="00883643"/>
    <w:rsid w:val="00884764"/>
    <w:rsid w:val="00884AF2"/>
    <w:rsid w:val="008859EC"/>
    <w:rsid w:val="00885FFC"/>
    <w:rsid w:val="0088710C"/>
    <w:rsid w:val="00887243"/>
    <w:rsid w:val="00887A54"/>
    <w:rsid w:val="0089066A"/>
    <w:rsid w:val="008922D1"/>
    <w:rsid w:val="00892A91"/>
    <w:rsid w:val="00894266"/>
    <w:rsid w:val="008946CC"/>
    <w:rsid w:val="0089538E"/>
    <w:rsid w:val="00895C89"/>
    <w:rsid w:val="00896689"/>
    <w:rsid w:val="008977E4"/>
    <w:rsid w:val="008A1655"/>
    <w:rsid w:val="008A21F7"/>
    <w:rsid w:val="008A2FD6"/>
    <w:rsid w:val="008A3C18"/>
    <w:rsid w:val="008A4825"/>
    <w:rsid w:val="008A5A03"/>
    <w:rsid w:val="008A6F4F"/>
    <w:rsid w:val="008A76E2"/>
    <w:rsid w:val="008A79FD"/>
    <w:rsid w:val="008A7B98"/>
    <w:rsid w:val="008A7FAD"/>
    <w:rsid w:val="008B0034"/>
    <w:rsid w:val="008B01E9"/>
    <w:rsid w:val="008B0232"/>
    <w:rsid w:val="008B02A8"/>
    <w:rsid w:val="008B0B2C"/>
    <w:rsid w:val="008B26A6"/>
    <w:rsid w:val="008B333F"/>
    <w:rsid w:val="008B429C"/>
    <w:rsid w:val="008B4866"/>
    <w:rsid w:val="008B6D53"/>
    <w:rsid w:val="008B789F"/>
    <w:rsid w:val="008C1338"/>
    <w:rsid w:val="008C176F"/>
    <w:rsid w:val="008C4010"/>
    <w:rsid w:val="008C419A"/>
    <w:rsid w:val="008C6187"/>
    <w:rsid w:val="008C6787"/>
    <w:rsid w:val="008C6C16"/>
    <w:rsid w:val="008C6C85"/>
    <w:rsid w:val="008D0C95"/>
    <w:rsid w:val="008D1B85"/>
    <w:rsid w:val="008D1CBE"/>
    <w:rsid w:val="008D623F"/>
    <w:rsid w:val="008D6ACF"/>
    <w:rsid w:val="008D7DF8"/>
    <w:rsid w:val="008E3D88"/>
    <w:rsid w:val="008E5036"/>
    <w:rsid w:val="008E50A6"/>
    <w:rsid w:val="008F119A"/>
    <w:rsid w:val="008F198C"/>
    <w:rsid w:val="008F2290"/>
    <w:rsid w:val="008F3777"/>
    <w:rsid w:val="008F397B"/>
    <w:rsid w:val="008F3B9E"/>
    <w:rsid w:val="008F476A"/>
    <w:rsid w:val="008F52E4"/>
    <w:rsid w:val="008F55CD"/>
    <w:rsid w:val="008F656A"/>
    <w:rsid w:val="008F6597"/>
    <w:rsid w:val="009016C2"/>
    <w:rsid w:val="00902036"/>
    <w:rsid w:val="00902FB3"/>
    <w:rsid w:val="0090336A"/>
    <w:rsid w:val="00903CFE"/>
    <w:rsid w:val="009045A8"/>
    <w:rsid w:val="0090461D"/>
    <w:rsid w:val="00907413"/>
    <w:rsid w:val="00907785"/>
    <w:rsid w:val="0091134A"/>
    <w:rsid w:val="00912A05"/>
    <w:rsid w:val="00912CF7"/>
    <w:rsid w:val="009149E0"/>
    <w:rsid w:val="00914D8A"/>
    <w:rsid w:val="00914DE9"/>
    <w:rsid w:val="00915CDD"/>
    <w:rsid w:val="00917717"/>
    <w:rsid w:val="00917B0E"/>
    <w:rsid w:val="0092195D"/>
    <w:rsid w:val="009222DB"/>
    <w:rsid w:val="00922F02"/>
    <w:rsid w:val="00924185"/>
    <w:rsid w:val="00926037"/>
    <w:rsid w:val="009273E5"/>
    <w:rsid w:val="00927E62"/>
    <w:rsid w:val="00931609"/>
    <w:rsid w:val="00931721"/>
    <w:rsid w:val="00932A30"/>
    <w:rsid w:val="00932AAE"/>
    <w:rsid w:val="00932DE1"/>
    <w:rsid w:val="009348C6"/>
    <w:rsid w:val="009353E7"/>
    <w:rsid w:val="00935F8A"/>
    <w:rsid w:val="00936C16"/>
    <w:rsid w:val="0093711A"/>
    <w:rsid w:val="00937C95"/>
    <w:rsid w:val="00940060"/>
    <w:rsid w:val="00941B04"/>
    <w:rsid w:val="00945DD0"/>
    <w:rsid w:val="00947EA8"/>
    <w:rsid w:val="00947F18"/>
    <w:rsid w:val="0095028C"/>
    <w:rsid w:val="009504BE"/>
    <w:rsid w:val="00950509"/>
    <w:rsid w:val="00950EA1"/>
    <w:rsid w:val="009510D9"/>
    <w:rsid w:val="00951FE0"/>
    <w:rsid w:val="00952A72"/>
    <w:rsid w:val="009604FF"/>
    <w:rsid w:val="0096058E"/>
    <w:rsid w:val="009605AB"/>
    <w:rsid w:val="009608CD"/>
    <w:rsid w:val="00960CCF"/>
    <w:rsid w:val="00961582"/>
    <w:rsid w:val="00962134"/>
    <w:rsid w:val="00962D99"/>
    <w:rsid w:val="00965781"/>
    <w:rsid w:val="0096699B"/>
    <w:rsid w:val="00966A84"/>
    <w:rsid w:val="00966C32"/>
    <w:rsid w:val="009705C8"/>
    <w:rsid w:val="0097153B"/>
    <w:rsid w:val="00971A63"/>
    <w:rsid w:val="0097294C"/>
    <w:rsid w:val="00973E06"/>
    <w:rsid w:val="00974E49"/>
    <w:rsid w:val="00976252"/>
    <w:rsid w:val="00976ADC"/>
    <w:rsid w:val="00977A20"/>
    <w:rsid w:val="0098010F"/>
    <w:rsid w:val="009802B3"/>
    <w:rsid w:val="00981092"/>
    <w:rsid w:val="00981423"/>
    <w:rsid w:val="00982AF6"/>
    <w:rsid w:val="009848F8"/>
    <w:rsid w:val="00984F10"/>
    <w:rsid w:val="0098544C"/>
    <w:rsid w:val="00986ED9"/>
    <w:rsid w:val="00990615"/>
    <w:rsid w:val="0099064E"/>
    <w:rsid w:val="00990D2F"/>
    <w:rsid w:val="00991609"/>
    <w:rsid w:val="00992152"/>
    <w:rsid w:val="00992546"/>
    <w:rsid w:val="009956A9"/>
    <w:rsid w:val="009960FC"/>
    <w:rsid w:val="009A03D1"/>
    <w:rsid w:val="009A05DA"/>
    <w:rsid w:val="009A062A"/>
    <w:rsid w:val="009A08C5"/>
    <w:rsid w:val="009A1232"/>
    <w:rsid w:val="009A1CBB"/>
    <w:rsid w:val="009A355D"/>
    <w:rsid w:val="009A3942"/>
    <w:rsid w:val="009A4759"/>
    <w:rsid w:val="009A491F"/>
    <w:rsid w:val="009A7C31"/>
    <w:rsid w:val="009B08F0"/>
    <w:rsid w:val="009B1288"/>
    <w:rsid w:val="009B1CED"/>
    <w:rsid w:val="009B237C"/>
    <w:rsid w:val="009B669D"/>
    <w:rsid w:val="009B7F57"/>
    <w:rsid w:val="009C0AF3"/>
    <w:rsid w:val="009C137A"/>
    <w:rsid w:val="009C1889"/>
    <w:rsid w:val="009C1F55"/>
    <w:rsid w:val="009C2204"/>
    <w:rsid w:val="009C25E7"/>
    <w:rsid w:val="009C2AB4"/>
    <w:rsid w:val="009C4BA3"/>
    <w:rsid w:val="009C5D3C"/>
    <w:rsid w:val="009D2116"/>
    <w:rsid w:val="009D2B73"/>
    <w:rsid w:val="009D2FBC"/>
    <w:rsid w:val="009D38EE"/>
    <w:rsid w:val="009D5CAE"/>
    <w:rsid w:val="009D734C"/>
    <w:rsid w:val="009D7C7A"/>
    <w:rsid w:val="009E14A4"/>
    <w:rsid w:val="009E238B"/>
    <w:rsid w:val="009E23FA"/>
    <w:rsid w:val="009E30A7"/>
    <w:rsid w:val="009E3342"/>
    <w:rsid w:val="009E48D8"/>
    <w:rsid w:val="009F2311"/>
    <w:rsid w:val="009F4685"/>
    <w:rsid w:val="009F50D8"/>
    <w:rsid w:val="009F5202"/>
    <w:rsid w:val="009F5746"/>
    <w:rsid w:val="009F78DE"/>
    <w:rsid w:val="00A0027F"/>
    <w:rsid w:val="00A0048C"/>
    <w:rsid w:val="00A00A11"/>
    <w:rsid w:val="00A016AA"/>
    <w:rsid w:val="00A02D53"/>
    <w:rsid w:val="00A0397C"/>
    <w:rsid w:val="00A04BDD"/>
    <w:rsid w:val="00A04CF0"/>
    <w:rsid w:val="00A05CC6"/>
    <w:rsid w:val="00A07281"/>
    <w:rsid w:val="00A07D33"/>
    <w:rsid w:val="00A1046A"/>
    <w:rsid w:val="00A168C7"/>
    <w:rsid w:val="00A205E8"/>
    <w:rsid w:val="00A21E1E"/>
    <w:rsid w:val="00A22FBB"/>
    <w:rsid w:val="00A240E5"/>
    <w:rsid w:val="00A31DF6"/>
    <w:rsid w:val="00A32BF4"/>
    <w:rsid w:val="00A33424"/>
    <w:rsid w:val="00A3388D"/>
    <w:rsid w:val="00A33B95"/>
    <w:rsid w:val="00A360D5"/>
    <w:rsid w:val="00A3750F"/>
    <w:rsid w:val="00A4042C"/>
    <w:rsid w:val="00A422C6"/>
    <w:rsid w:val="00A43567"/>
    <w:rsid w:val="00A43D2B"/>
    <w:rsid w:val="00A449FC"/>
    <w:rsid w:val="00A46A47"/>
    <w:rsid w:val="00A5016D"/>
    <w:rsid w:val="00A52CDB"/>
    <w:rsid w:val="00A52D94"/>
    <w:rsid w:val="00A535D0"/>
    <w:rsid w:val="00A536A8"/>
    <w:rsid w:val="00A55356"/>
    <w:rsid w:val="00A55450"/>
    <w:rsid w:val="00A555C7"/>
    <w:rsid w:val="00A567C7"/>
    <w:rsid w:val="00A57BD1"/>
    <w:rsid w:val="00A61323"/>
    <w:rsid w:val="00A6184E"/>
    <w:rsid w:val="00A6391F"/>
    <w:rsid w:val="00A64394"/>
    <w:rsid w:val="00A64EB8"/>
    <w:rsid w:val="00A66006"/>
    <w:rsid w:val="00A670F0"/>
    <w:rsid w:val="00A70A03"/>
    <w:rsid w:val="00A72286"/>
    <w:rsid w:val="00A722D2"/>
    <w:rsid w:val="00A73602"/>
    <w:rsid w:val="00A7530A"/>
    <w:rsid w:val="00A75654"/>
    <w:rsid w:val="00A76A14"/>
    <w:rsid w:val="00A76B0C"/>
    <w:rsid w:val="00A81F15"/>
    <w:rsid w:val="00A91179"/>
    <w:rsid w:val="00A91D1E"/>
    <w:rsid w:val="00A932F1"/>
    <w:rsid w:val="00A969E7"/>
    <w:rsid w:val="00A97695"/>
    <w:rsid w:val="00AA39CF"/>
    <w:rsid w:val="00AA4DE5"/>
    <w:rsid w:val="00AA51DF"/>
    <w:rsid w:val="00AA575E"/>
    <w:rsid w:val="00AA7085"/>
    <w:rsid w:val="00AA7F96"/>
    <w:rsid w:val="00AB088B"/>
    <w:rsid w:val="00AB0D49"/>
    <w:rsid w:val="00AB12B9"/>
    <w:rsid w:val="00AB16B0"/>
    <w:rsid w:val="00AB1C4D"/>
    <w:rsid w:val="00AB3965"/>
    <w:rsid w:val="00AB3D07"/>
    <w:rsid w:val="00AB4AD7"/>
    <w:rsid w:val="00AB5970"/>
    <w:rsid w:val="00AB5AB6"/>
    <w:rsid w:val="00AB5ECC"/>
    <w:rsid w:val="00AB619A"/>
    <w:rsid w:val="00AB646C"/>
    <w:rsid w:val="00AB6D6A"/>
    <w:rsid w:val="00AB7A5B"/>
    <w:rsid w:val="00AC0CA3"/>
    <w:rsid w:val="00AC1E36"/>
    <w:rsid w:val="00AC29DC"/>
    <w:rsid w:val="00AC2BF3"/>
    <w:rsid w:val="00AC454F"/>
    <w:rsid w:val="00AC48CE"/>
    <w:rsid w:val="00AC4A6A"/>
    <w:rsid w:val="00AC4F53"/>
    <w:rsid w:val="00AC6150"/>
    <w:rsid w:val="00AC7E4A"/>
    <w:rsid w:val="00AD1048"/>
    <w:rsid w:val="00AD116F"/>
    <w:rsid w:val="00AD1614"/>
    <w:rsid w:val="00AD2330"/>
    <w:rsid w:val="00AD45D0"/>
    <w:rsid w:val="00AD4613"/>
    <w:rsid w:val="00AD5291"/>
    <w:rsid w:val="00AD7FE2"/>
    <w:rsid w:val="00AE4907"/>
    <w:rsid w:val="00AF01A1"/>
    <w:rsid w:val="00AF057A"/>
    <w:rsid w:val="00AF0CDF"/>
    <w:rsid w:val="00AF111E"/>
    <w:rsid w:val="00AF17BE"/>
    <w:rsid w:val="00AF1B28"/>
    <w:rsid w:val="00AF1E0B"/>
    <w:rsid w:val="00AF6357"/>
    <w:rsid w:val="00AF733D"/>
    <w:rsid w:val="00AF7426"/>
    <w:rsid w:val="00B000CD"/>
    <w:rsid w:val="00B0023D"/>
    <w:rsid w:val="00B00C57"/>
    <w:rsid w:val="00B030D9"/>
    <w:rsid w:val="00B04A58"/>
    <w:rsid w:val="00B069F0"/>
    <w:rsid w:val="00B06BDB"/>
    <w:rsid w:val="00B07C95"/>
    <w:rsid w:val="00B11854"/>
    <w:rsid w:val="00B11E3E"/>
    <w:rsid w:val="00B12B1B"/>
    <w:rsid w:val="00B13E6F"/>
    <w:rsid w:val="00B13ED4"/>
    <w:rsid w:val="00B14589"/>
    <w:rsid w:val="00B1460A"/>
    <w:rsid w:val="00B1491E"/>
    <w:rsid w:val="00B14BC2"/>
    <w:rsid w:val="00B15354"/>
    <w:rsid w:val="00B1597D"/>
    <w:rsid w:val="00B16149"/>
    <w:rsid w:val="00B168BD"/>
    <w:rsid w:val="00B17B84"/>
    <w:rsid w:val="00B215AE"/>
    <w:rsid w:val="00B27F36"/>
    <w:rsid w:val="00B30003"/>
    <w:rsid w:val="00B33D25"/>
    <w:rsid w:val="00B34E17"/>
    <w:rsid w:val="00B35B79"/>
    <w:rsid w:val="00B35D7D"/>
    <w:rsid w:val="00B4106A"/>
    <w:rsid w:val="00B4126C"/>
    <w:rsid w:val="00B4132D"/>
    <w:rsid w:val="00B41C13"/>
    <w:rsid w:val="00B428E4"/>
    <w:rsid w:val="00B42C6A"/>
    <w:rsid w:val="00B42D36"/>
    <w:rsid w:val="00B432DD"/>
    <w:rsid w:val="00B457D9"/>
    <w:rsid w:val="00B47FDC"/>
    <w:rsid w:val="00B518E9"/>
    <w:rsid w:val="00B51B19"/>
    <w:rsid w:val="00B51D8F"/>
    <w:rsid w:val="00B52919"/>
    <w:rsid w:val="00B54EC3"/>
    <w:rsid w:val="00B55842"/>
    <w:rsid w:val="00B55EFF"/>
    <w:rsid w:val="00B5692F"/>
    <w:rsid w:val="00B62447"/>
    <w:rsid w:val="00B62B99"/>
    <w:rsid w:val="00B6311F"/>
    <w:rsid w:val="00B63908"/>
    <w:rsid w:val="00B65415"/>
    <w:rsid w:val="00B6594A"/>
    <w:rsid w:val="00B670CC"/>
    <w:rsid w:val="00B70296"/>
    <w:rsid w:val="00B713CB"/>
    <w:rsid w:val="00B72162"/>
    <w:rsid w:val="00B739F2"/>
    <w:rsid w:val="00B76051"/>
    <w:rsid w:val="00B763B9"/>
    <w:rsid w:val="00B77DE6"/>
    <w:rsid w:val="00B80249"/>
    <w:rsid w:val="00B82E1F"/>
    <w:rsid w:val="00B835AE"/>
    <w:rsid w:val="00B83FAC"/>
    <w:rsid w:val="00B84E20"/>
    <w:rsid w:val="00B85B9E"/>
    <w:rsid w:val="00B86053"/>
    <w:rsid w:val="00B875C6"/>
    <w:rsid w:val="00B87FAD"/>
    <w:rsid w:val="00B9084F"/>
    <w:rsid w:val="00B91018"/>
    <w:rsid w:val="00B916F3"/>
    <w:rsid w:val="00B921B1"/>
    <w:rsid w:val="00B93521"/>
    <w:rsid w:val="00B936D6"/>
    <w:rsid w:val="00B95DA8"/>
    <w:rsid w:val="00BA0AA7"/>
    <w:rsid w:val="00BA242A"/>
    <w:rsid w:val="00BA42E9"/>
    <w:rsid w:val="00BA558F"/>
    <w:rsid w:val="00BA5E7E"/>
    <w:rsid w:val="00BA6EBE"/>
    <w:rsid w:val="00BB01FB"/>
    <w:rsid w:val="00BB0C31"/>
    <w:rsid w:val="00BB2413"/>
    <w:rsid w:val="00BB2819"/>
    <w:rsid w:val="00BB3242"/>
    <w:rsid w:val="00BB4F45"/>
    <w:rsid w:val="00BB6A06"/>
    <w:rsid w:val="00BB7268"/>
    <w:rsid w:val="00BC003C"/>
    <w:rsid w:val="00BC074A"/>
    <w:rsid w:val="00BC09BF"/>
    <w:rsid w:val="00BC0A7D"/>
    <w:rsid w:val="00BC25E7"/>
    <w:rsid w:val="00BC32F8"/>
    <w:rsid w:val="00BC384E"/>
    <w:rsid w:val="00BC62DD"/>
    <w:rsid w:val="00BD0B9A"/>
    <w:rsid w:val="00BD0D71"/>
    <w:rsid w:val="00BD1C94"/>
    <w:rsid w:val="00BD237A"/>
    <w:rsid w:val="00BD61DC"/>
    <w:rsid w:val="00BD6781"/>
    <w:rsid w:val="00BD6D5B"/>
    <w:rsid w:val="00BD6E18"/>
    <w:rsid w:val="00BD79EE"/>
    <w:rsid w:val="00BE0BA5"/>
    <w:rsid w:val="00BE1898"/>
    <w:rsid w:val="00BE3B03"/>
    <w:rsid w:val="00BE5E8B"/>
    <w:rsid w:val="00BF06C0"/>
    <w:rsid w:val="00BF07E4"/>
    <w:rsid w:val="00BF11D9"/>
    <w:rsid w:val="00BF1F19"/>
    <w:rsid w:val="00BF295D"/>
    <w:rsid w:val="00BF2B28"/>
    <w:rsid w:val="00BF48BF"/>
    <w:rsid w:val="00BF6FCA"/>
    <w:rsid w:val="00C0012A"/>
    <w:rsid w:val="00C00FAA"/>
    <w:rsid w:val="00C02864"/>
    <w:rsid w:val="00C049CF"/>
    <w:rsid w:val="00C04E89"/>
    <w:rsid w:val="00C0558D"/>
    <w:rsid w:val="00C05B9F"/>
    <w:rsid w:val="00C117F4"/>
    <w:rsid w:val="00C11A49"/>
    <w:rsid w:val="00C150A3"/>
    <w:rsid w:val="00C15110"/>
    <w:rsid w:val="00C1521C"/>
    <w:rsid w:val="00C16763"/>
    <w:rsid w:val="00C17632"/>
    <w:rsid w:val="00C17D71"/>
    <w:rsid w:val="00C200A7"/>
    <w:rsid w:val="00C20C26"/>
    <w:rsid w:val="00C21F09"/>
    <w:rsid w:val="00C2289E"/>
    <w:rsid w:val="00C22F41"/>
    <w:rsid w:val="00C2349F"/>
    <w:rsid w:val="00C23668"/>
    <w:rsid w:val="00C24506"/>
    <w:rsid w:val="00C24DDA"/>
    <w:rsid w:val="00C30716"/>
    <w:rsid w:val="00C309DE"/>
    <w:rsid w:val="00C326FB"/>
    <w:rsid w:val="00C32EE0"/>
    <w:rsid w:val="00C33C9B"/>
    <w:rsid w:val="00C34343"/>
    <w:rsid w:val="00C34B5E"/>
    <w:rsid w:val="00C35897"/>
    <w:rsid w:val="00C37173"/>
    <w:rsid w:val="00C3723D"/>
    <w:rsid w:val="00C40393"/>
    <w:rsid w:val="00C40696"/>
    <w:rsid w:val="00C4074F"/>
    <w:rsid w:val="00C41054"/>
    <w:rsid w:val="00C41811"/>
    <w:rsid w:val="00C4244B"/>
    <w:rsid w:val="00C42986"/>
    <w:rsid w:val="00C4346E"/>
    <w:rsid w:val="00C439AF"/>
    <w:rsid w:val="00C451A4"/>
    <w:rsid w:val="00C45E0A"/>
    <w:rsid w:val="00C45E82"/>
    <w:rsid w:val="00C472E7"/>
    <w:rsid w:val="00C50FF4"/>
    <w:rsid w:val="00C520CA"/>
    <w:rsid w:val="00C52C70"/>
    <w:rsid w:val="00C5410B"/>
    <w:rsid w:val="00C545CF"/>
    <w:rsid w:val="00C54FD6"/>
    <w:rsid w:val="00C55192"/>
    <w:rsid w:val="00C5603D"/>
    <w:rsid w:val="00C569B2"/>
    <w:rsid w:val="00C56B5F"/>
    <w:rsid w:val="00C577B2"/>
    <w:rsid w:val="00C6108D"/>
    <w:rsid w:val="00C61278"/>
    <w:rsid w:val="00C61480"/>
    <w:rsid w:val="00C627CA"/>
    <w:rsid w:val="00C65111"/>
    <w:rsid w:val="00C678F2"/>
    <w:rsid w:val="00C67F46"/>
    <w:rsid w:val="00C70A4F"/>
    <w:rsid w:val="00C7157D"/>
    <w:rsid w:val="00C727F8"/>
    <w:rsid w:val="00C74D1A"/>
    <w:rsid w:val="00C753B0"/>
    <w:rsid w:val="00C75D4C"/>
    <w:rsid w:val="00C81363"/>
    <w:rsid w:val="00C81993"/>
    <w:rsid w:val="00C8249F"/>
    <w:rsid w:val="00C82FA6"/>
    <w:rsid w:val="00C84F0F"/>
    <w:rsid w:val="00C851B4"/>
    <w:rsid w:val="00C85233"/>
    <w:rsid w:val="00C86A89"/>
    <w:rsid w:val="00C871C4"/>
    <w:rsid w:val="00C912EF"/>
    <w:rsid w:val="00C91742"/>
    <w:rsid w:val="00C93326"/>
    <w:rsid w:val="00C95339"/>
    <w:rsid w:val="00C9545F"/>
    <w:rsid w:val="00C95CF3"/>
    <w:rsid w:val="00C96298"/>
    <w:rsid w:val="00C96694"/>
    <w:rsid w:val="00C967D9"/>
    <w:rsid w:val="00C96FA3"/>
    <w:rsid w:val="00C9707C"/>
    <w:rsid w:val="00C97A0E"/>
    <w:rsid w:val="00CA13F5"/>
    <w:rsid w:val="00CA197A"/>
    <w:rsid w:val="00CA1A26"/>
    <w:rsid w:val="00CA278B"/>
    <w:rsid w:val="00CA2B9D"/>
    <w:rsid w:val="00CA4196"/>
    <w:rsid w:val="00CA5477"/>
    <w:rsid w:val="00CA77B1"/>
    <w:rsid w:val="00CB0062"/>
    <w:rsid w:val="00CB01E6"/>
    <w:rsid w:val="00CB0FC1"/>
    <w:rsid w:val="00CB1E6D"/>
    <w:rsid w:val="00CB3C29"/>
    <w:rsid w:val="00CB4E25"/>
    <w:rsid w:val="00CC08DB"/>
    <w:rsid w:val="00CC215A"/>
    <w:rsid w:val="00CC3B0B"/>
    <w:rsid w:val="00CC4093"/>
    <w:rsid w:val="00CC40E2"/>
    <w:rsid w:val="00CC5DD2"/>
    <w:rsid w:val="00CC65CD"/>
    <w:rsid w:val="00CC75F8"/>
    <w:rsid w:val="00CC7DAA"/>
    <w:rsid w:val="00CD00F4"/>
    <w:rsid w:val="00CD0F50"/>
    <w:rsid w:val="00CD26F9"/>
    <w:rsid w:val="00CD2A1A"/>
    <w:rsid w:val="00CD3B35"/>
    <w:rsid w:val="00CD46D4"/>
    <w:rsid w:val="00CD6987"/>
    <w:rsid w:val="00CD7BF2"/>
    <w:rsid w:val="00CE069D"/>
    <w:rsid w:val="00CE08F9"/>
    <w:rsid w:val="00CE1349"/>
    <w:rsid w:val="00CE2F01"/>
    <w:rsid w:val="00CE50F9"/>
    <w:rsid w:val="00CE6707"/>
    <w:rsid w:val="00CE6FCC"/>
    <w:rsid w:val="00CF05B0"/>
    <w:rsid w:val="00CF1F81"/>
    <w:rsid w:val="00D012D8"/>
    <w:rsid w:val="00D031B6"/>
    <w:rsid w:val="00D065A6"/>
    <w:rsid w:val="00D07824"/>
    <w:rsid w:val="00D07D46"/>
    <w:rsid w:val="00D10157"/>
    <w:rsid w:val="00D11B53"/>
    <w:rsid w:val="00D13425"/>
    <w:rsid w:val="00D1452C"/>
    <w:rsid w:val="00D14DAB"/>
    <w:rsid w:val="00D159C7"/>
    <w:rsid w:val="00D1712D"/>
    <w:rsid w:val="00D17884"/>
    <w:rsid w:val="00D21E1A"/>
    <w:rsid w:val="00D22639"/>
    <w:rsid w:val="00D230DF"/>
    <w:rsid w:val="00D24211"/>
    <w:rsid w:val="00D25250"/>
    <w:rsid w:val="00D252B5"/>
    <w:rsid w:val="00D26048"/>
    <w:rsid w:val="00D27E1E"/>
    <w:rsid w:val="00D3031D"/>
    <w:rsid w:val="00D304CF"/>
    <w:rsid w:val="00D311D7"/>
    <w:rsid w:val="00D31450"/>
    <w:rsid w:val="00D31870"/>
    <w:rsid w:val="00D33746"/>
    <w:rsid w:val="00D339B5"/>
    <w:rsid w:val="00D3554A"/>
    <w:rsid w:val="00D366E0"/>
    <w:rsid w:val="00D37523"/>
    <w:rsid w:val="00D407CD"/>
    <w:rsid w:val="00D415B2"/>
    <w:rsid w:val="00D41C9A"/>
    <w:rsid w:val="00D4319D"/>
    <w:rsid w:val="00D43D72"/>
    <w:rsid w:val="00D45313"/>
    <w:rsid w:val="00D46650"/>
    <w:rsid w:val="00D46FEB"/>
    <w:rsid w:val="00D474A9"/>
    <w:rsid w:val="00D47766"/>
    <w:rsid w:val="00D47AA9"/>
    <w:rsid w:val="00D5002B"/>
    <w:rsid w:val="00D500AD"/>
    <w:rsid w:val="00D5308F"/>
    <w:rsid w:val="00D60193"/>
    <w:rsid w:val="00D60492"/>
    <w:rsid w:val="00D6472C"/>
    <w:rsid w:val="00D666E1"/>
    <w:rsid w:val="00D669B2"/>
    <w:rsid w:val="00D66DAE"/>
    <w:rsid w:val="00D66E32"/>
    <w:rsid w:val="00D679C8"/>
    <w:rsid w:val="00D70966"/>
    <w:rsid w:val="00D70D83"/>
    <w:rsid w:val="00D71917"/>
    <w:rsid w:val="00D73A22"/>
    <w:rsid w:val="00D80523"/>
    <w:rsid w:val="00D80655"/>
    <w:rsid w:val="00D836CC"/>
    <w:rsid w:val="00D837FE"/>
    <w:rsid w:val="00D83F3E"/>
    <w:rsid w:val="00D84298"/>
    <w:rsid w:val="00D84D39"/>
    <w:rsid w:val="00D85098"/>
    <w:rsid w:val="00D85F8D"/>
    <w:rsid w:val="00D86068"/>
    <w:rsid w:val="00D920AB"/>
    <w:rsid w:val="00D92896"/>
    <w:rsid w:val="00D9303C"/>
    <w:rsid w:val="00D942A4"/>
    <w:rsid w:val="00D94884"/>
    <w:rsid w:val="00D95955"/>
    <w:rsid w:val="00DA1A15"/>
    <w:rsid w:val="00DA1C08"/>
    <w:rsid w:val="00DA1D1C"/>
    <w:rsid w:val="00DA1ED3"/>
    <w:rsid w:val="00DA2749"/>
    <w:rsid w:val="00DA2D76"/>
    <w:rsid w:val="00DA5839"/>
    <w:rsid w:val="00DA5F05"/>
    <w:rsid w:val="00DA6B5C"/>
    <w:rsid w:val="00DA7CB6"/>
    <w:rsid w:val="00DB0471"/>
    <w:rsid w:val="00DB09A9"/>
    <w:rsid w:val="00DB0C98"/>
    <w:rsid w:val="00DB18B8"/>
    <w:rsid w:val="00DB1FFD"/>
    <w:rsid w:val="00DB2B04"/>
    <w:rsid w:val="00DB3A92"/>
    <w:rsid w:val="00DB3F42"/>
    <w:rsid w:val="00DB41D2"/>
    <w:rsid w:val="00DB49B3"/>
    <w:rsid w:val="00DB63B9"/>
    <w:rsid w:val="00DB650E"/>
    <w:rsid w:val="00DB6DDB"/>
    <w:rsid w:val="00DB7071"/>
    <w:rsid w:val="00DB7EEE"/>
    <w:rsid w:val="00DC0018"/>
    <w:rsid w:val="00DC0B7B"/>
    <w:rsid w:val="00DC0CDF"/>
    <w:rsid w:val="00DC4510"/>
    <w:rsid w:val="00DC4719"/>
    <w:rsid w:val="00DC4866"/>
    <w:rsid w:val="00DC5853"/>
    <w:rsid w:val="00DC7528"/>
    <w:rsid w:val="00DC7B21"/>
    <w:rsid w:val="00DD1CAF"/>
    <w:rsid w:val="00DD1FF5"/>
    <w:rsid w:val="00DD28C3"/>
    <w:rsid w:val="00DD33A3"/>
    <w:rsid w:val="00DD3515"/>
    <w:rsid w:val="00DD3ADF"/>
    <w:rsid w:val="00DD4A70"/>
    <w:rsid w:val="00DD4B3C"/>
    <w:rsid w:val="00DD6001"/>
    <w:rsid w:val="00DD62DE"/>
    <w:rsid w:val="00DD6724"/>
    <w:rsid w:val="00DD7875"/>
    <w:rsid w:val="00DE0631"/>
    <w:rsid w:val="00DE20B6"/>
    <w:rsid w:val="00DE3571"/>
    <w:rsid w:val="00DE5839"/>
    <w:rsid w:val="00DE69FA"/>
    <w:rsid w:val="00DF074B"/>
    <w:rsid w:val="00DF0E38"/>
    <w:rsid w:val="00DF2F2F"/>
    <w:rsid w:val="00DF30D0"/>
    <w:rsid w:val="00DF3539"/>
    <w:rsid w:val="00DF6629"/>
    <w:rsid w:val="00DF7DFB"/>
    <w:rsid w:val="00E00BB6"/>
    <w:rsid w:val="00E00CC2"/>
    <w:rsid w:val="00E0324B"/>
    <w:rsid w:val="00E03B27"/>
    <w:rsid w:val="00E0445B"/>
    <w:rsid w:val="00E05C72"/>
    <w:rsid w:val="00E0610C"/>
    <w:rsid w:val="00E07A04"/>
    <w:rsid w:val="00E1013C"/>
    <w:rsid w:val="00E110FF"/>
    <w:rsid w:val="00E11960"/>
    <w:rsid w:val="00E119F5"/>
    <w:rsid w:val="00E135F4"/>
    <w:rsid w:val="00E151A4"/>
    <w:rsid w:val="00E15369"/>
    <w:rsid w:val="00E17676"/>
    <w:rsid w:val="00E20166"/>
    <w:rsid w:val="00E21098"/>
    <w:rsid w:val="00E2202C"/>
    <w:rsid w:val="00E22BCB"/>
    <w:rsid w:val="00E24988"/>
    <w:rsid w:val="00E2569A"/>
    <w:rsid w:val="00E26881"/>
    <w:rsid w:val="00E327C6"/>
    <w:rsid w:val="00E32D8F"/>
    <w:rsid w:val="00E358B2"/>
    <w:rsid w:val="00E359D0"/>
    <w:rsid w:val="00E37AB1"/>
    <w:rsid w:val="00E37AF8"/>
    <w:rsid w:val="00E40367"/>
    <w:rsid w:val="00E41415"/>
    <w:rsid w:val="00E43225"/>
    <w:rsid w:val="00E44172"/>
    <w:rsid w:val="00E460C8"/>
    <w:rsid w:val="00E4678B"/>
    <w:rsid w:val="00E5071A"/>
    <w:rsid w:val="00E508AC"/>
    <w:rsid w:val="00E51E41"/>
    <w:rsid w:val="00E56B30"/>
    <w:rsid w:val="00E60B05"/>
    <w:rsid w:val="00E652CB"/>
    <w:rsid w:val="00E6681B"/>
    <w:rsid w:val="00E71ABC"/>
    <w:rsid w:val="00E720B2"/>
    <w:rsid w:val="00E72889"/>
    <w:rsid w:val="00E72BB4"/>
    <w:rsid w:val="00E7301F"/>
    <w:rsid w:val="00E73C13"/>
    <w:rsid w:val="00E73D9B"/>
    <w:rsid w:val="00E754F1"/>
    <w:rsid w:val="00E75620"/>
    <w:rsid w:val="00E76491"/>
    <w:rsid w:val="00E8000D"/>
    <w:rsid w:val="00E80360"/>
    <w:rsid w:val="00E85257"/>
    <w:rsid w:val="00E87732"/>
    <w:rsid w:val="00E87A60"/>
    <w:rsid w:val="00E87B1F"/>
    <w:rsid w:val="00E90344"/>
    <w:rsid w:val="00E91749"/>
    <w:rsid w:val="00E91A17"/>
    <w:rsid w:val="00E92C4C"/>
    <w:rsid w:val="00E93833"/>
    <w:rsid w:val="00E94263"/>
    <w:rsid w:val="00E9475C"/>
    <w:rsid w:val="00E947E3"/>
    <w:rsid w:val="00E95330"/>
    <w:rsid w:val="00E96070"/>
    <w:rsid w:val="00E9627E"/>
    <w:rsid w:val="00E96D07"/>
    <w:rsid w:val="00E96D43"/>
    <w:rsid w:val="00EA01F0"/>
    <w:rsid w:val="00EA0D52"/>
    <w:rsid w:val="00EA1320"/>
    <w:rsid w:val="00EA15B6"/>
    <w:rsid w:val="00EA30AD"/>
    <w:rsid w:val="00EA4A5F"/>
    <w:rsid w:val="00EA6CD0"/>
    <w:rsid w:val="00EA7158"/>
    <w:rsid w:val="00EA753C"/>
    <w:rsid w:val="00EA7C35"/>
    <w:rsid w:val="00EB00EC"/>
    <w:rsid w:val="00EB0B10"/>
    <w:rsid w:val="00EB21A5"/>
    <w:rsid w:val="00EB2288"/>
    <w:rsid w:val="00EB24F5"/>
    <w:rsid w:val="00EB3138"/>
    <w:rsid w:val="00EB77E2"/>
    <w:rsid w:val="00EB7946"/>
    <w:rsid w:val="00EB7AB9"/>
    <w:rsid w:val="00EC035F"/>
    <w:rsid w:val="00EC0E96"/>
    <w:rsid w:val="00EC1B7F"/>
    <w:rsid w:val="00EC3C5E"/>
    <w:rsid w:val="00EC4949"/>
    <w:rsid w:val="00EC51B3"/>
    <w:rsid w:val="00EC5B25"/>
    <w:rsid w:val="00ED03C4"/>
    <w:rsid w:val="00ED187E"/>
    <w:rsid w:val="00ED19B1"/>
    <w:rsid w:val="00ED22E7"/>
    <w:rsid w:val="00ED3353"/>
    <w:rsid w:val="00ED4B40"/>
    <w:rsid w:val="00ED4C2E"/>
    <w:rsid w:val="00ED53FA"/>
    <w:rsid w:val="00ED6101"/>
    <w:rsid w:val="00ED6296"/>
    <w:rsid w:val="00ED7EEE"/>
    <w:rsid w:val="00EE16AB"/>
    <w:rsid w:val="00EE1994"/>
    <w:rsid w:val="00EE1EB3"/>
    <w:rsid w:val="00EE3633"/>
    <w:rsid w:val="00EE474B"/>
    <w:rsid w:val="00EE4C6F"/>
    <w:rsid w:val="00EE4F39"/>
    <w:rsid w:val="00EE7C00"/>
    <w:rsid w:val="00EF02D9"/>
    <w:rsid w:val="00EF0411"/>
    <w:rsid w:val="00EF1419"/>
    <w:rsid w:val="00EF192A"/>
    <w:rsid w:val="00EF1CF2"/>
    <w:rsid w:val="00EF1DEE"/>
    <w:rsid w:val="00EF2E0F"/>
    <w:rsid w:val="00EF2E2F"/>
    <w:rsid w:val="00EF400B"/>
    <w:rsid w:val="00EF5624"/>
    <w:rsid w:val="00EF65F7"/>
    <w:rsid w:val="00EF765D"/>
    <w:rsid w:val="00EF7A9B"/>
    <w:rsid w:val="00F00F22"/>
    <w:rsid w:val="00F01B89"/>
    <w:rsid w:val="00F0294B"/>
    <w:rsid w:val="00F02EE5"/>
    <w:rsid w:val="00F03D4B"/>
    <w:rsid w:val="00F03FEC"/>
    <w:rsid w:val="00F05FE5"/>
    <w:rsid w:val="00F119DD"/>
    <w:rsid w:val="00F14240"/>
    <w:rsid w:val="00F14435"/>
    <w:rsid w:val="00F14531"/>
    <w:rsid w:val="00F15409"/>
    <w:rsid w:val="00F16D22"/>
    <w:rsid w:val="00F16F2D"/>
    <w:rsid w:val="00F17AF7"/>
    <w:rsid w:val="00F17D5B"/>
    <w:rsid w:val="00F215A2"/>
    <w:rsid w:val="00F217B3"/>
    <w:rsid w:val="00F21C05"/>
    <w:rsid w:val="00F22ED5"/>
    <w:rsid w:val="00F23700"/>
    <w:rsid w:val="00F24060"/>
    <w:rsid w:val="00F2419D"/>
    <w:rsid w:val="00F266BF"/>
    <w:rsid w:val="00F30656"/>
    <w:rsid w:val="00F32A40"/>
    <w:rsid w:val="00F32FA3"/>
    <w:rsid w:val="00F345DB"/>
    <w:rsid w:val="00F362D8"/>
    <w:rsid w:val="00F36C26"/>
    <w:rsid w:val="00F37D99"/>
    <w:rsid w:val="00F37DAB"/>
    <w:rsid w:val="00F415A6"/>
    <w:rsid w:val="00F4190F"/>
    <w:rsid w:val="00F42356"/>
    <w:rsid w:val="00F4462C"/>
    <w:rsid w:val="00F44C6C"/>
    <w:rsid w:val="00F45DA0"/>
    <w:rsid w:val="00F5036E"/>
    <w:rsid w:val="00F52620"/>
    <w:rsid w:val="00F527EC"/>
    <w:rsid w:val="00F533FF"/>
    <w:rsid w:val="00F55775"/>
    <w:rsid w:val="00F55C92"/>
    <w:rsid w:val="00F56358"/>
    <w:rsid w:val="00F60C2E"/>
    <w:rsid w:val="00F61B83"/>
    <w:rsid w:val="00F63802"/>
    <w:rsid w:val="00F64AC8"/>
    <w:rsid w:val="00F64D81"/>
    <w:rsid w:val="00F66152"/>
    <w:rsid w:val="00F66350"/>
    <w:rsid w:val="00F6641C"/>
    <w:rsid w:val="00F66509"/>
    <w:rsid w:val="00F66510"/>
    <w:rsid w:val="00F6757F"/>
    <w:rsid w:val="00F676F3"/>
    <w:rsid w:val="00F70B8F"/>
    <w:rsid w:val="00F728C1"/>
    <w:rsid w:val="00F72FE6"/>
    <w:rsid w:val="00F74F31"/>
    <w:rsid w:val="00F7552E"/>
    <w:rsid w:val="00F7641A"/>
    <w:rsid w:val="00F76A57"/>
    <w:rsid w:val="00F80733"/>
    <w:rsid w:val="00F80A89"/>
    <w:rsid w:val="00F81348"/>
    <w:rsid w:val="00F8154E"/>
    <w:rsid w:val="00F81917"/>
    <w:rsid w:val="00F8193B"/>
    <w:rsid w:val="00F819C2"/>
    <w:rsid w:val="00F83600"/>
    <w:rsid w:val="00F86A7D"/>
    <w:rsid w:val="00F90287"/>
    <w:rsid w:val="00F91021"/>
    <w:rsid w:val="00F92297"/>
    <w:rsid w:val="00F9271C"/>
    <w:rsid w:val="00F93380"/>
    <w:rsid w:val="00F93CAC"/>
    <w:rsid w:val="00F953CD"/>
    <w:rsid w:val="00F95B3F"/>
    <w:rsid w:val="00F95BC4"/>
    <w:rsid w:val="00F96417"/>
    <w:rsid w:val="00F96D32"/>
    <w:rsid w:val="00F96E27"/>
    <w:rsid w:val="00FA01C9"/>
    <w:rsid w:val="00FA0AB3"/>
    <w:rsid w:val="00FA112D"/>
    <w:rsid w:val="00FA11F8"/>
    <w:rsid w:val="00FA1F31"/>
    <w:rsid w:val="00FA2102"/>
    <w:rsid w:val="00FA2C74"/>
    <w:rsid w:val="00FA3CC5"/>
    <w:rsid w:val="00FA460C"/>
    <w:rsid w:val="00FA47B0"/>
    <w:rsid w:val="00FA7796"/>
    <w:rsid w:val="00FA794E"/>
    <w:rsid w:val="00FB0A64"/>
    <w:rsid w:val="00FB26E1"/>
    <w:rsid w:val="00FB31D6"/>
    <w:rsid w:val="00FB47A7"/>
    <w:rsid w:val="00FB6781"/>
    <w:rsid w:val="00FB6798"/>
    <w:rsid w:val="00FB7277"/>
    <w:rsid w:val="00FC2010"/>
    <w:rsid w:val="00FC227C"/>
    <w:rsid w:val="00FC31B6"/>
    <w:rsid w:val="00FC4107"/>
    <w:rsid w:val="00FC5043"/>
    <w:rsid w:val="00FC6601"/>
    <w:rsid w:val="00FC6A79"/>
    <w:rsid w:val="00FC6C83"/>
    <w:rsid w:val="00FC7639"/>
    <w:rsid w:val="00FD0831"/>
    <w:rsid w:val="00FD231E"/>
    <w:rsid w:val="00FD548A"/>
    <w:rsid w:val="00FD5C35"/>
    <w:rsid w:val="00FE0967"/>
    <w:rsid w:val="00FE272E"/>
    <w:rsid w:val="00FE3C62"/>
    <w:rsid w:val="00FE478B"/>
    <w:rsid w:val="00FE51CE"/>
    <w:rsid w:val="00FF04D4"/>
    <w:rsid w:val="00FF1076"/>
    <w:rsid w:val="00FF1891"/>
    <w:rsid w:val="00FF46C0"/>
    <w:rsid w:val="00FF4D5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FABE7B1"/>
  <w15:docId w15:val="{E75D6D1D-5A99-4F7D-8DB5-51A024C1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5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6B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B5F"/>
  </w:style>
  <w:style w:type="paragraph" w:customStyle="1" w:styleId="Default">
    <w:name w:val="Default"/>
    <w:rsid w:val="005261B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85F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C22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22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22B7"/>
    <w:rPr>
      <w:b/>
      <w:bCs/>
    </w:rPr>
  </w:style>
  <w:style w:type="character" w:styleId="Hyperlink">
    <w:name w:val="Hyperlink"/>
    <w:rsid w:val="006977EC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03187C"/>
    <w:rPr>
      <w:lang w:val="en-GB" w:eastAsia="en-US"/>
    </w:rPr>
  </w:style>
  <w:style w:type="paragraph" w:styleId="Revision">
    <w:name w:val="Revision"/>
    <w:hidden/>
    <w:uiPriority w:val="99"/>
    <w:semiHidden/>
    <w:rsid w:val="007C75A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C75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C75AC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DB0471"/>
    <w:rPr>
      <w:sz w:val="24"/>
      <w:szCs w:val="24"/>
      <w:lang w:val="en-GB" w:eastAsia="en-US"/>
    </w:rPr>
  </w:style>
  <w:style w:type="character" w:customStyle="1" w:styleId="hps">
    <w:name w:val="hps"/>
    <w:rsid w:val="0088256B"/>
  </w:style>
  <w:style w:type="paragraph" w:customStyle="1" w:styleId="C-TableHeader">
    <w:name w:val="C-Table Header"/>
    <w:next w:val="C-TableText"/>
    <w:rsid w:val="009D7C7A"/>
    <w:pPr>
      <w:keepNext/>
      <w:spacing w:before="60" w:after="60"/>
    </w:pPr>
    <w:rPr>
      <w:b/>
      <w:sz w:val="22"/>
      <w:lang w:val="en-US" w:eastAsia="en-US"/>
    </w:rPr>
  </w:style>
  <w:style w:type="paragraph" w:customStyle="1" w:styleId="C-TableText">
    <w:name w:val="C-Table Text"/>
    <w:rsid w:val="009D7C7A"/>
    <w:pPr>
      <w:spacing w:before="60" w:after="60"/>
    </w:pPr>
    <w:rPr>
      <w:sz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9D7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35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338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va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53F72B363C843B89BF5F198AC8198" ma:contentTypeVersion="4" ma:contentTypeDescription="Create a new document." ma:contentTypeScope="" ma:versionID="79259334148a63e33125ff4fb39417cb">
  <xsd:schema xmlns:xsd="http://www.w3.org/2001/XMLSchema" xmlns:xs="http://www.w3.org/2001/XMLSchema" xmlns:p="http://schemas.microsoft.com/office/2006/metadata/properties" xmlns:ns2="877e007c-88fa-4f2f-ac95-f4b39dd88ef6" targetNamespace="http://schemas.microsoft.com/office/2006/metadata/properties" ma:root="true" ma:fieldsID="d45b77d9ec5b82901e17f3f0ca09f4de" ns2:_="">
    <xsd:import namespace="877e007c-88fa-4f2f-ac95-f4b39dd88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e007c-88fa-4f2f-ac95-f4b39dd88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BDC3C-7C0D-439B-ADF9-F52951512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D6781-F763-45BB-AD53-822B7995B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8A101-3D8E-40D4-BC19-96A5C867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e007c-88fa-4f2f-ac95-f4b39dd8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2689</Words>
  <Characters>19559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Saskaņots ZVA 03</vt:lpstr>
    </vt:vector>
  </TitlesOfParts>
  <Company>Medfiles</Company>
  <LinksUpToDate>false</LinksUpToDate>
  <CharactersWithSpaces>22204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 ZVA 03</dc:title>
  <dc:creator>Daina Revelina</dc:creator>
  <cp:lastModifiedBy>Skaidrīte Lapsenīte</cp:lastModifiedBy>
  <cp:revision>3</cp:revision>
  <cp:lastPrinted>2011-11-02T10:18:00Z</cp:lastPrinted>
  <dcterms:created xsi:type="dcterms:W3CDTF">2022-04-27T11:14:00Z</dcterms:created>
  <dcterms:modified xsi:type="dcterms:W3CDTF">2022-05-23T13:49:00Z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0x01010084853F72B363C843B89BF5F198AC8198</vt:lpwstr>
  </property>
</Properties>
</file>