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7C1F" w14:textId="77777777" w:rsidR="00CA7B51" w:rsidRDefault="00CA7B51" w:rsidP="00CA7B51">
      <w:pPr>
        <w:pStyle w:val="Heading2"/>
        <w:keepNext w:val="0"/>
        <w:jc w:val="center"/>
        <w:rPr>
          <w:bCs/>
          <w:i w:val="0"/>
          <w:sz w:val="22"/>
          <w:szCs w:val="22"/>
        </w:rPr>
      </w:pPr>
      <w:r w:rsidRPr="000A1BCF">
        <w:rPr>
          <w:bCs/>
          <w:i w:val="0"/>
          <w:sz w:val="22"/>
          <w:szCs w:val="22"/>
        </w:rPr>
        <w:t>ZĀĻU APRAKSTS</w:t>
      </w:r>
    </w:p>
    <w:p w14:paraId="018D8D94" w14:textId="77777777" w:rsidR="00CA7B51" w:rsidRPr="00A70354" w:rsidRDefault="00CA7B51" w:rsidP="00CA7B51">
      <w:pPr>
        <w:rPr>
          <w:lang w:val="lv-LV"/>
        </w:rPr>
      </w:pPr>
    </w:p>
    <w:p w14:paraId="2E7D11DA" w14:textId="77777777" w:rsidR="00CA7B51" w:rsidRPr="000A1BCF" w:rsidRDefault="00CA7B51" w:rsidP="00CA7B51">
      <w:pPr>
        <w:numPr>
          <w:ilvl w:val="0"/>
          <w:numId w:val="1"/>
        </w:numPr>
        <w:ind w:left="567" w:hanging="567"/>
        <w:rPr>
          <w:b/>
          <w:sz w:val="22"/>
          <w:szCs w:val="22"/>
          <w:lang w:val="lv-LV"/>
        </w:rPr>
      </w:pPr>
      <w:r w:rsidRPr="000A1BCF">
        <w:rPr>
          <w:b/>
          <w:sz w:val="22"/>
          <w:szCs w:val="22"/>
          <w:lang w:val="lv-LV"/>
        </w:rPr>
        <w:t>ZĀĻU NOSAUKUMS</w:t>
      </w:r>
    </w:p>
    <w:p w14:paraId="0F229CAF" w14:textId="77777777" w:rsidR="00CA7B51" w:rsidRPr="000A1BCF" w:rsidRDefault="00CA7B51" w:rsidP="00CA7B51">
      <w:pPr>
        <w:rPr>
          <w:sz w:val="22"/>
          <w:szCs w:val="22"/>
          <w:lang w:val="lv-LV"/>
        </w:rPr>
      </w:pPr>
    </w:p>
    <w:p w14:paraId="3DE1A54D" w14:textId="77777777" w:rsidR="00CA7B51" w:rsidRPr="000A1BCF" w:rsidRDefault="00CA7B51" w:rsidP="00CA7B51">
      <w:pPr>
        <w:pStyle w:val="Heading1"/>
        <w:keepNext w:val="0"/>
        <w:rPr>
          <w:b w:val="0"/>
          <w:sz w:val="22"/>
          <w:szCs w:val="22"/>
        </w:rPr>
      </w:pPr>
      <w:r w:rsidRPr="000A1BCF">
        <w:rPr>
          <w:b w:val="0"/>
          <w:sz w:val="22"/>
          <w:szCs w:val="22"/>
        </w:rPr>
        <w:t>Advantan Milk 1 mg/g uz ādas lietojama emulsija</w:t>
      </w:r>
    </w:p>
    <w:p w14:paraId="148F5441" w14:textId="77777777" w:rsidR="00CA7B51" w:rsidRPr="000A1BCF" w:rsidRDefault="00CA7B51" w:rsidP="00CA7B51">
      <w:pPr>
        <w:rPr>
          <w:sz w:val="22"/>
          <w:szCs w:val="22"/>
          <w:lang w:val="lv-LV"/>
        </w:rPr>
      </w:pPr>
    </w:p>
    <w:p w14:paraId="599FF22A" w14:textId="77777777" w:rsidR="00CA7B51" w:rsidRPr="000A1BCF" w:rsidRDefault="00CA7B51" w:rsidP="00CA7B51">
      <w:pPr>
        <w:rPr>
          <w:sz w:val="22"/>
          <w:szCs w:val="22"/>
          <w:lang w:val="lv-LV"/>
        </w:rPr>
      </w:pPr>
    </w:p>
    <w:p w14:paraId="681A2A12" w14:textId="77777777" w:rsidR="00CA7B51" w:rsidRPr="000A1BCF" w:rsidRDefault="00CA7B51" w:rsidP="00CA7B51">
      <w:pPr>
        <w:numPr>
          <w:ilvl w:val="0"/>
          <w:numId w:val="1"/>
        </w:numPr>
        <w:ind w:left="567" w:hanging="567"/>
        <w:rPr>
          <w:b/>
          <w:sz w:val="22"/>
          <w:szCs w:val="22"/>
          <w:lang w:val="lv-LV"/>
        </w:rPr>
      </w:pPr>
      <w:r w:rsidRPr="000A1BCF">
        <w:rPr>
          <w:b/>
          <w:sz w:val="22"/>
          <w:szCs w:val="22"/>
          <w:lang w:val="lv-LV"/>
        </w:rPr>
        <w:t>KVALITATĪVAIS UN KVANTITATĪVAIS SASTĀVS</w:t>
      </w:r>
    </w:p>
    <w:p w14:paraId="4ECCD532" w14:textId="77777777" w:rsidR="00CA7B51" w:rsidRPr="000A1BCF" w:rsidRDefault="00CA7B51" w:rsidP="00CA7B51">
      <w:pPr>
        <w:rPr>
          <w:b/>
          <w:sz w:val="22"/>
          <w:szCs w:val="22"/>
          <w:lang w:val="lv-LV"/>
        </w:rPr>
      </w:pPr>
    </w:p>
    <w:p w14:paraId="231BC525" w14:textId="77777777" w:rsidR="00CA7B51" w:rsidRPr="000A1BCF" w:rsidRDefault="00CA7B51" w:rsidP="00CA7B51">
      <w:pPr>
        <w:rPr>
          <w:sz w:val="22"/>
          <w:szCs w:val="22"/>
          <w:lang w:val="lv-LV"/>
        </w:rPr>
      </w:pPr>
      <w:r w:rsidRPr="00A13181">
        <w:rPr>
          <w:bCs/>
          <w:sz w:val="22"/>
          <w:szCs w:val="22"/>
          <w:lang w:val="lv-LV"/>
        </w:rPr>
        <w:t>1 g uz ādas lietojamas emulsijas satur</w:t>
      </w:r>
      <w:r w:rsidRPr="000A1BCF">
        <w:rPr>
          <w:sz w:val="22"/>
          <w:szCs w:val="22"/>
          <w:lang w:val="lv-LV"/>
        </w:rPr>
        <w:t xml:space="preserve"> 1 mg (0,1%) metilprednizolona aceponāta (</w:t>
      </w:r>
      <w:r>
        <w:rPr>
          <w:i/>
          <w:iCs/>
          <w:sz w:val="22"/>
          <w:szCs w:val="22"/>
          <w:lang w:val="lv-LV"/>
        </w:rPr>
        <w:t>M</w:t>
      </w:r>
      <w:r w:rsidRPr="000A1BCF">
        <w:rPr>
          <w:i/>
          <w:iCs/>
          <w:sz w:val="22"/>
          <w:szCs w:val="22"/>
          <w:lang w:val="lv-LV"/>
        </w:rPr>
        <w:t>ethylprednisoloni aceponas</w:t>
      </w:r>
      <w:r w:rsidRPr="00A13181">
        <w:rPr>
          <w:iCs/>
          <w:sz w:val="22"/>
          <w:szCs w:val="22"/>
          <w:lang w:val="lv-LV"/>
        </w:rPr>
        <w:t>)</w:t>
      </w:r>
      <w:r w:rsidRPr="000A1BCF">
        <w:rPr>
          <w:sz w:val="22"/>
          <w:szCs w:val="22"/>
          <w:lang w:val="lv-LV"/>
        </w:rPr>
        <w:t>.</w:t>
      </w:r>
    </w:p>
    <w:p w14:paraId="7B66D815" w14:textId="77777777" w:rsidR="00CA7B51" w:rsidRPr="000A1BCF" w:rsidRDefault="00CA7B51" w:rsidP="00CA7B51">
      <w:pPr>
        <w:rPr>
          <w:sz w:val="22"/>
          <w:szCs w:val="22"/>
          <w:lang w:val="lv-LV"/>
        </w:rPr>
      </w:pPr>
    </w:p>
    <w:p w14:paraId="337C8DF3" w14:textId="77777777" w:rsidR="00CA7B51" w:rsidRPr="000A1BCF" w:rsidRDefault="00CA7B51" w:rsidP="00CA7B51">
      <w:pPr>
        <w:pStyle w:val="BodyText"/>
        <w:jc w:val="left"/>
        <w:rPr>
          <w:sz w:val="22"/>
          <w:szCs w:val="22"/>
        </w:rPr>
      </w:pPr>
      <w:r w:rsidRPr="000A1BCF">
        <w:rPr>
          <w:sz w:val="22"/>
          <w:szCs w:val="22"/>
        </w:rPr>
        <w:t>Pilnu palīgvielu sarakstu skatīt 6.1</w:t>
      </w:r>
      <w:r>
        <w:rPr>
          <w:sz w:val="22"/>
          <w:szCs w:val="22"/>
        </w:rPr>
        <w:t>.</w:t>
      </w:r>
      <w:r w:rsidRPr="000A1BCF">
        <w:rPr>
          <w:sz w:val="22"/>
          <w:szCs w:val="22"/>
        </w:rPr>
        <w:t xml:space="preserve"> apakšpunktā.</w:t>
      </w:r>
    </w:p>
    <w:p w14:paraId="4C5E618B" w14:textId="77777777" w:rsidR="00CA7B51" w:rsidRPr="000A1BCF" w:rsidRDefault="00CA7B51" w:rsidP="00CA7B51">
      <w:pPr>
        <w:rPr>
          <w:b/>
          <w:sz w:val="22"/>
          <w:szCs w:val="22"/>
          <w:lang w:val="lv-LV"/>
        </w:rPr>
      </w:pPr>
    </w:p>
    <w:p w14:paraId="5BD0E929" w14:textId="77777777" w:rsidR="00CA7B51" w:rsidRPr="000A1BCF" w:rsidRDefault="00CA7B51" w:rsidP="00CA7B51">
      <w:pPr>
        <w:rPr>
          <w:b/>
          <w:sz w:val="22"/>
          <w:szCs w:val="22"/>
          <w:lang w:val="lv-LV"/>
        </w:rPr>
      </w:pPr>
    </w:p>
    <w:p w14:paraId="788DB7A9" w14:textId="77777777" w:rsidR="00CA7B51" w:rsidRPr="000A1BCF" w:rsidRDefault="00CA7B51" w:rsidP="00CA7B51">
      <w:pPr>
        <w:numPr>
          <w:ilvl w:val="0"/>
          <w:numId w:val="1"/>
        </w:numPr>
        <w:ind w:left="567" w:hanging="567"/>
        <w:rPr>
          <w:b/>
          <w:sz w:val="22"/>
          <w:szCs w:val="22"/>
          <w:lang w:val="lv-LV"/>
        </w:rPr>
      </w:pPr>
      <w:r w:rsidRPr="000A1BCF">
        <w:rPr>
          <w:b/>
          <w:sz w:val="22"/>
          <w:szCs w:val="22"/>
          <w:lang w:val="lv-LV"/>
        </w:rPr>
        <w:t>ZĀĻU FORMA</w:t>
      </w:r>
    </w:p>
    <w:p w14:paraId="6FCBD291" w14:textId="77777777" w:rsidR="00CA7B51" w:rsidRPr="000A1BCF" w:rsidRDefault="00CA7B51" w:rsidP="00CA7B51">
      <w:pPr>
        <w:rPr>
          <w:sz w:val="22"/>
          <w:szCs w:val="22"/>
          <w:lang w:val="lv-LV"/>
        </w:rPr>
      </w:pPr>
    </w:p>
    <w:p w14:paraId="7959EE65" w14:textId="77777777" w:rsidR="00CA7B51" w:rsidRPr="000A1BCF" w:rsidRDefault="00CA7B51" w:rsidP="00CA7B51">
      <w:pPr>
        <w:rPr>
          <w:sz w:val="22"/>
          <w:szCs w:val="22"/>
          <w:lang w:val="lv-LV"/>
        </w:rPr>
      </w:pPr>
      <w:r w:rsidRPr="000A1BCF">
        <w:rPr>
          <w:sz w:val="22"/>
          <w:szCs w:val="22"/>
          <w:lang w:val="lv-LV"/>
        </w:rPr>
        <w:t xml:space="preserve">Uz ādas lietojama emulsija </w:t>
      </w:r>
      <w:r w:rsidRPr="00A13181">
        <w:rPr>
          <w:sz w:val="22"/>
          <w:szCs w:val="22"/>
          <w:lang w:val="lv-LV"/>
        </w:rPr>
        <w:t>(eļļa/ūdenī emulsija, balta necaurspīdīga emulsija)</w:t>
      </w:r>
      <w:r w:rsidRPr="000A1BCF">
        <w:rPr>
          <w:sz w:val="22"/>
          <w:szCs w:val="22"/>
          <w:lang w:val="lv-LV"/>
        </w:rPr>
        <w:t>.</w:t>
      </w:r>
    </w:p>
    <w:p w14:paraId="0A1BA449" w14:textId="77777777" w:rsidR="00CA7B51" w:rsidRPr="000A1BCF" w:rsidRDefault="00CA7B51" w:rsidP="00CA7B51">
      <w:pPr>
        <w:rPr>
          <w:sz w:val="22"/>
          <w:szCs w:val="22"/>
          <w:lang w:val="lv-LV"/>
        </w:rPr>
      </w:pPr>
    </w:p>
    <w:p w14:paraId="617A4747" w14:textId="77777777" w:rsidR="00CA7B51" w:rsidRPr="000A1BCF" w:rsidRDefault="00CA7B51" w:rsidP="00CA7B51">
      <w:pPr>
        <w:rPr>
          <w:sz w:val="22"/>
          <w:szCs w:val="22"/>
          <w:lang w:val="lv-LV"/>
        </w:rPr>
      </w:pPr>
    </w:p>
    <w:p w14:paraId="2B0D68ED" w14:textId="77777777" w:rsidR="00CA7B51" w:rsidRPr="000A1BCF" w:rsidRDefault="00CA7B51" w:rsidP="00CA7B51">
      <w:pPr>
        <w:numPr>
          <w:ilvl w:val="0"/>
          <w:numId w:val="1"/>
        </w:numPr>
        <w:ind w:left="567" w:hanging="567"/>
        <w:rPr>
          <w:b/>
          <w:sz w:val="22"/>
          <w:szCs w:val="22"/>
          <w:lang w:val="lv-LV"/>
        </w:rPr>
      </w:pPr>
      <w:r w:rsidRPr="000A1BCF">
        <w:rPr>
          <w:b/>
          <w:sz w:val="22"/>
          <w:szCs w:val="22"/>
          <w:lang w:val="lv-LV"/>
        </w:rPr>
        <w:t>KLĪNISKĀ INFORMĀCIJA</w:t>
      </w:r>
    </w:p>
    <w:p w14:paraId="3C7F28C9" w14:textId="77777777" w:rsidR="00CA7B51" w:rsidRPr="000A1BCF" w:rsidRDefault="00CA7B51" w:rsidP="00CA7B51">
      <w:pPr>
        <w:rPr>
          <w:sz w:val="22"/>
          <w:szCs w:val="22"/>
          <w:lang w:val="lv-LV"/>
        </w:rPr>
      </w:pPr>
    </w:p>
    <w:p w14:paraId="754C74F1" w14:textId="77777777" w:rsidR="00CA7B51" w:rsidRPr="000A1BCF" w:rsidRDefault="00CA7B51" w:rsidP="00CA7B51">
      <w:pPr>
        <w:numPr>
          <w:ilvl w:val="1"/>
          <w:numId w:val="2"/>
        </w:numPr>
        <w:rPr>
          <w:b/>
          <w:sz w:val="22"/>
          <w:szCs w:val="22"/>
          <w:lang w:val="lv-LV"/>
        </w:rPr>
      </w:pPr>
      <w:r>
        <w:rPr>
          <w:b/>
          <w:sz w:val="22"/>
          <w:szCs w:val="22"/>
          <w:lang w:val="lv-LV"/>
        </w:rPr>
        <w:t xml:space="preserve"> </w:t>
      </w:r>
      <w:r w:rsidRPr="000A1BCF">
        <w:rPr>
          <w:b/>
          <w:sz w:val="22"/>
          <w:szCs w:val="22"/>
          <w:lang w:val="lv-LV"/>
        </w:rPr>
        <w:t>Terapeitiskās indikācijas</w:t>
      </w:r>
    </w:p>
    <w:p w14:paraId="112F3E29" w14:textId="77777777" w:rsidR="00CA7B51" w:rsidRPr="000A1BCF" w:rsidRDefault="00CA7B51" w:rsidP="00CA7B51">
      <w:pPr>
        <w:rPr>
          <w:sz w:val="22"/>
          <w:szCs w:val="22"/>
          <w:lang w:val="lv-LV"/>
        </w:rPr>
      </w:pPr>
    </w:p>
    <w:p w14:paraId="5C706111" w14:textId="77777777" w:rsidR="00CA7B51" w:rsidRPr="000A1BCF" w:rsidRDefault="00CA7B51" w:rsidP="00CA7B51">
      <w:pPr>
        <w:rPr>
          <w:sz w:val="22"/>
          <w:szCs w:val="22"/>
          <w:lang w:val="lv-LV"/>
        </w:rPr>
      </w:pPr>
      <w:r w:rsidRPr="000A1BCF">
        <w:rPr>
          <w:sz w:val="22"/>
          <w:szCs w:val="22"/>
          <w:lang w:val="lv-LV"/>
        </w:rPr>
        <w:t>Viegla un vidēji akūta eksogēna ekzēma (alerģisks kontaktdermatīts, kairinājuma kontaktdermatīts, numulāra (mikrobu) ekzēma, dishidrotiska ekzēma, vulgāra ekzēma) un endogēna ekzēma (atopisks dermatīts, neirodermīts), seborejiska ekzēma ar izteiktu iekaisumu.</w:t>
      </w:r>
    </w:p>
    <w:p w14:paraId="5E48AF87" w14:textId="77777777" w:rsidR="00CA7B51" w:rsidRPr="000A1BCF" w:rsidRDefault="00CA7B51" w:rsidP="00CA7B51">
      <w:pPr>
        <w:rPr>
          <w:sz w:val="22"/>
          <w:szCs w:val="22"/>
          <w:lang w:val="lv-LV"/>
        </w:rPr>
      </w:pPr>
    </w:p>
    <w:p w14:paraId="2582AC88" w14:textId="77777777" w:rsidR="00CA7B51" w:rsidRPr="000A1BCF" w:rsidRDefault="00CA7B51" w:rsidP="00CA7B51">
      <w:pPr>
        <w:numPr>
          <w:ilvl w:val="1"/>
          <w:numId w:val="2"/>
        </w:numPr>
        <w:rPr>
          <w:b/>
          <w:sz w:val="22"/>
          <w:szCs w:val="22"/>
          <w:lang w:val="lv-LV"/>
        </w:rPr>
      </w:pPr>
      <w:r>
        <w:rPr>
          <w:b/>
          <w:sz w:val="22"/>
          <w:szCs w:val="22"/>
          <w:lang w:val="lv-LV"/>
        </w:rPr>
        <w:t xml:space="preserve"> </w:t>
      </w:r>
      <w:r w:rsidRPr="000A1BCF">
        <w:rPr>
          <w:b/>
          <w:sz w:val="22"/>
          <w:szCs w:val="22"/>
          <w:lang w:val="lv-LV"/>
        </w:rPr>
        <w:t>Devas un lietošanas veids</w:t>
      </w:r>
    </w:p>
    <w:p w14:paraId="212192C2" w14:textId="77777777" w:rsidR="00CA7B51" w:rsidRPr="000A1BCF" w:rsidRDefault="00CA7B51" w:rsidP="00CA7B51">
      <w:pPr>
        <w:rPr>
          <w:sz w:val="22"/>
          <w:szCs w:val="22"/>
          <w:lang w:val="lv-LV"/>
        </w:rPr>
      </w:pPr>
    </w:p>
    <w:p w14:paraId="2007DC8B" w14:textId="77777777" w:rsidR="00CA7B51" w:rsidRPr="000A1BCF" w:rsidRDefault="00CA7B51" w:rsidP="00CA7B51">
      <w:pPr>
        <w:rPr>
          <w:sz w:val="22"/>
          <w:szCs w:val="22"/>
          <w:lang w:val="lv-LV"/>
        </w:rPr>
      </w:pPr>
      <w:r w:rsidRPr="00A13181">
        <w:rPr>
          <w:sz w:val="22"/>
          <w:szCs w:val="22"/>
          <w:lang w:val="lv-LV"/>
        </w:rPr>
        <w:t>Advantan Milk ir paredzēts lokālai</w:t>
      </w:r>
      <w:r w:rsidRPr="000A1BCF">
        <w:rPr>
          <w:sz w:val="22"/>
          <w:szCs w:val="22"/>
          <w:lang w:val="lv-LV"/>
        </w:rPr>
        <w:t xml:space="preserve"> lietošanai. Advantan Milk jālieto vienu reizi dienā, plānā kārtiņā uzklājot uz bojātajiem ādas laukumiem un viegli ierīvējot.</w:t>
      </w:r>
    </w:p>
    <w:p w14:paraId="68A47F95" w14:textId="77777777" w:rsidR="00CA7B51" w:rsidRPr="000A1BCF" w:rsidRDefault="00CA7B51" w:rsidP="00CA7B51">
      <w:pPr>
        <w:rPr>
          <w:sz w:val="22"/>
          <w:szCs w:val="22"/>
          <w:lang w:val="lv-LV"/>
        </w:rPr>
      </w:pPr>
    </w:p>
    <w:p w14:paraId="09BF7516" w14:textId="77777777" w:rsidR="00CA7B51" w:rsidRPr="000A1BCF" w:rsidRDefault="00CA7B51" w:rsidP="00CA7B51">
      <w:pPr>
        <w:rPr>
          <w:sz w:val="22"/>
          <w:szCs w:val="22"/>
          <w:lang w:val="lv-LV"/>
        </w:rPr>
      </w:pPr>
      <w:r w:rsidRPr="000A1BCF">
        <w:rPr>
          <w:sz w:val="22"/>
          <w:szCs w:val="22"/>
          <w:lang w:val="lv-LV"/>
        </w:rPr>
        <w:t>Pieaugušajiem parasti lietošanas ilgumam nevajadzētu pārsniegt 2 nedēļas.</w:t>
      </w:r>
    </w:p>
    <w:p w14:paraId="10FB8D6F" w14:textId="77777777" w:rsidR="00CA7B51" w:rsidRPr="000A1BCF" w:rsidRDefault="00CA7B51" w:rsidP="00CA7B51">
      <w:pPr>
        <w:rPr>
          <w:sz w:val="22"/>
          <w:szCs w:val="22"/>
          <w:lang w:val="lv-LV"/>
        </w:rPr>
      </w:pPr>
    </w:p>
    <w:p w14:paraId="1D6D96E5" w14:textId="77777777" w:rsidR="00CA7B51" w:rsidRPr="000A1BCF" w:rsidRDefault="00CA7B51" w:rsidP="00CA7B51">
      <w:pPr>
        <w:rPr>
          <w:sz w:val="22"/>
          <w:szCs w:val="22"/>
          <w:lang w:val="lv-LV"/>
        </w:rPr>
      </w:pPr>
      <w:r w:rsidRPr="000A1BCF">
        <w:rPr>
          <w:sz w:val="22"/>
          <w:szCs w:val="22"/>
          <w:lang w:val="lv-LV"/>
        </w:rPr>
        <w:t>Seborejiskas ekzēmas ar izteiktu iekaisumu gadījumā bojātos sejas rajonus nevajadzētu ārstēt ilgāk kā nedēļu.</w:t>
      </w:r>
    </w:p>
    <w:p w14:paraId="1042922E" w14:textId="77777777" w:rsidR="00CA7B51" w:rsidRPr="000A1BCF" w:rsidRDefault="00CA7B51" w:rsidP="00CA7B51">
      <w:pPr>
        <w:rPr>
          <w:sz w:val="22"/>
          <w:szCs w:val="22"/>
          <w:lang w:val="lv-LV"/>
        </w:rPr>
      </w:pPr>
    </w:p>
    <w:p w14:paraId="64EEB105" w14:textId="77777777" w:rsidR="00CA7B51" w:rsidRPr="000A1BCF" w:rsidRDefault="00CA7B51" w:rsidP="00CA7B51">
      <w:pPr>
        <w:rPr>
          <w:sz w:val="22"/>
          <w:szCs w:val="22"/>
          <w:lang w:val="lv-LV"/>
        </w:rPr>
      </w:pPr>
      <w:r w:rsidRPr="000A1BCF">
        <w:rPr>
          <w:sz w:val="22"/>
          <w:szCs w:val="22"/>
          <w:lang w:val="lv-LV"/>
        </w:rPr>
        <w:t>Gadījumā, ja Advantan Milk emulsijas lietošanas laikā āda kļūst pārāk sausa, atkarībā no individuālā ādas tipa ādas mīkstināšanai ieteicama neitrāla papildus (adjuvanta) terapija (ūdens/eļļā emulsija vai vienfāzes taukainā ziede).</w:t>
      </w:r>
    </w:p>
    <w:p w14:paraId="340A0381" w14:textId="77777777" w:rsidR="00CA7B51" w:rsidRPr="000A1BCF" w:rsidRDefault="00CA7B51" w:rsidP="00CA7B51">
      <w:pPr>
        <w:rPr>
          <w:sz w:val="22"/>
          <w:szCs w:val="22"/>
          <w:lang w:val="lv-LV"/>
        </w:rPr>
      </w:pPr>
    </w:p>
    <w:p w14:paraId="7F353AE9" w14:textId="77777777" w:rsidR="00CA7B51" w:rsidRPr="000A1BCF" w:rsidRDefault="00CA7B51" w:rsidP="00CA7B51">
      <w:pPr>
        <w:rPr>
          <w:i/>
          <w:sz w:val="22"/>
          <w:szCs w:val="22"/>
          <w:lang w:val="lv-LV"/>
        </w:rPr>
      </w:pPr>
      <w:r w:rsidRPr="000A1BCF">
        <w:rPr>
          <w:i/>
          <w:sz w:val="22"/>
          <w:szCs w:val="22"/>
          <w:lang w:val="lv-LV"/>
        </w:rPr>
        <w:t>Pediatriskā populācija</w:t>
      </w:r>
    </w:p>
    <w:p w14:paraId="3821EEB0" w14:textId="77777777" w:rsidR="00CA7B51" w:rsidRPr="000A1BCF" w:rsidRDefault="00CA7B51" w:rsidP="00CA7B51">
      <w:pPr>
        <w:rPr>
          <w:sz w:val="22"/>
          <w:szCs w:val="22"/>
          <w:lang w:val="lv-LV"/>
        </w:rPr>
      </w:pPr>
      <w:r w:rsidRPr="000A1BCF">
        <w:rPr>
          <w:sz w:val="22"/>
          <w:szCs w:val="22"/>
          <w:lang w:val="lv-LV"/>
        </w:rPr>
        <w:t>Advantan Milk droš</w:t>
      </w:r>
      <w:r>
        <w:rPr>
          <w:sz w:val="22"/>
          <w:szCs w:val="22"/>
          <w:lang w:val="lv-LV"/>
        </w:rPr>
        <w:t>ums</w:t>
      </w:r>
      <w:r w:rsidRPr="000A1BCF">
        <w:rPr>
          <w:sz w:val="22"/>
          <w:szCs w:val="22"/>
          <w:lang w:val="lv-LV"/>
        </w:rPr>
        <w:t>, lietojot bērniem vecumā līdz 4 mēnešiem, nav pierādīta. Šādi dati nav pieejami.</w:t>
      </w:r>
    </w:p>
    <w:p w14:paraId="08CE9B1A" w14:textId="77777777" w:rsidR="00CA7B51" w:rsidRPr="000A1BCF" w:rsidRDefault="00CA7B51" w:rsidP="00CA7B51">
      <w:pPr>
        <w:rPr>
          <w:sz w:val="22"/>
          <w:szCs w:val="22"/>
          <w:lang w:val="lv-LV"/>
        </w:rPr>
      </w:pPr>
      <w:r w:rsidRPr="000A1BCF">
        <w:rPr>
          <w:sz w:val="22"/>
          <w:szCs w:val="22"/>
          <w:lang w:val="lv-LV"/>
        </w:rPr>
        <w:t>Devas pielāgošana nav nepieciešama, ja Advantan Milk lieto zīdaiņiem no 4 mēnešu vecuma vai vecākiem, bērniem un pusaudžiem.</w:t>
      </w:r>
    </w:p>
    <w:p w14:paraId="7920DAA8" w14:textId="77777777" w:rsidR="00CA7B51" w:rsidRPr="000A1BCF" w:rsidRDefault="00CA7B51" w:rsidP="00CA7B51">
      <w:pPr>
        <w:rPr>
          <w:sz w:val="22"/>
          <w:szCs w:val="22"/>
          <w:lang w:val="lv-LV"/>
        </w:rPr>
      </w:pPr>
      <w:r w:rsidRPr="000A1BCF">
        <w:rPr>
          <w:sz w:val="22"/>
          <w:szCs w:val="22"/>
          <w:lang w:val="lv-LV"/>
        </w:rPr>
        <w:t>Jāievēro, ka bērniem ārstēšanas ilgumam jābūt pēc iespējas īsākam.</w:t>
      </w:r>
    </w:p>
    <w:p w14:paraId="7C71514B" w14:textId="77777777" w:rsidR="00CA7B51" w:rsidRPr="000A1BCF" w:rsidRDefault="00CA7B51" w:rsidP="00CA7B51">
      <w:pPr>
        <w:rPr>
          <w:sz w:val="22"/>
          <w:szCs w:val="22"/>
          <w:lang w:val="lv-LV"/>
        </w:rPr>
      </w:pPr>
    </w:p>
    <w:p w14:paraId="2248AA9A" w14:textId="77777777" w:rsidR="00CA7B51" w:rsidRPr="000A1BCF" w:rsidRDefault="00CA7B51" w:rsidP="00CA7B51">
      <w:pPr>
        <w:numPr>
          <w:ilvl w:val="1"/>
          <w:numId w:val="2"/>
        </w:numPr>
        <w:ind w:left="567" w:hanging="567"/>
        <w:rPr>
          <w:b/>
          <w:sz w:val="22"/>
          <w:szCs w:val="22"/>
          <w:lang w:val="lv-LV"/>
        </w:rPr>
      </w:pPr>
      <w:r w:rsidRPr="000A1BCF">
        <w:rPr>
          <w:b/>
          <w:sz w:val="22"/>
          <w:szCs w:val="22"/>
          <w:lang w:val="lv-LV"/>
        </w:rPr>
        <w:t>Kontrindikācijas</w:t>
      </w:r>
    </w:p>
    <w:p w14:paraId="58C58F44" w14:textId="77777777" w:rsidR="00CA7B51" w:rsidRPr="000A1BCF" w:rsidRDefault="00CA7B51" w:rsidP="00CA7B51">
      <w:pPr>
        <w:rPr>
          <w:sz w:val="22"/>
          <w:szCs w:val="22"/>
          <w:lang w:val="lv-LV"/>
        </w:rPr>
      </w:pPr>
    </w:p>
    <w:p w14:paraId="2E15FBD2" w14:textId="77777777" w:rsidR="00CA7B51" w:rsidRPr="000A1BCF" w:rsidRDefault="00CA7B51" w:rsidP="00CA7B51">
      <w:pPr>
        <w:pStyle w:val="BodyText"/>
        <w:jc w:val="left"/>
        <w:rPr>
          <w:sz w:val="22"/>
          <w:szCs w:val="22"/>
        </w:rPr>
      </w:pPr>
      <w:r w:rsidRPr="000A1BCF">
        <w:rPr>
          <w:sz w:val="22"/>
          <w:szCs w:val="22"/>
        </w:rPr>
        <w:t>Paaugstināta jutība pret aktīvo vielu un/vai jebkuru no 6.1</w:t>
      </w:r>
      <w:r>
        <w:rPr>
          <w:sz w:val="22"/>
          <w:szCs w:val="22"/>
        </w:rPr>
        <w:t>.</w:t>
      </w:r>
      <w:r w:rsidRPr="000A1BCF">
        <w:rPr>
          <w:sz w:val="22"/>
          <w:szCs w:val="22"/>
        </w:rPr>
        <w:t xml:space="preserve"> apakšpunktā uzskaitītajām palīgvielām.</w:t>
      </w:r>
    </w:p>
    <w:p w14:paraId="1C6A7225" w14:textId="77777777" w:rsidR="00CA7B51" w:rsidRPr="000A1BCF" w:rsidRDefault="00CA7B51" w:rsidP="00CA7B51">
      <w:pPr>
        <w:rPr>
          <w:sz w:val="22"/>
          <w:szCs w:val="22"/>
          <w:lang w:val="lv-LV"/>
        </w:rPr>
      </w:pPr>
    </w:p>
    <w:p w14:paraId="3AA9BA87" w14:textId="77777777" w:rsidR="00CA7B51" w:rsidRPr="000A1BCF" w:rsidRDefault="00CA7B51" w:rsidP="00CA7B51">
      <w:pPr>
        <w:pStyle w:val="BodyText"/>
        <w:jc w:val="left"/>
        <w:rPr>
          <w:sz w:val="22"/>
          <w:szCs w:val="22"/>
        </w:rPr>
      </w:pPr>
      <w:r w:rsidRPr="000A1BCF">
        <w:rPr>
          <w:sz w:val="22"/>
          <w:szCs w:val="22"/>
        </w:rPr>
        <w:t>Tuberkulozes vai sifilisa izpausmes, vīrusu infekcijas (piemēram, herpes vai vējbakas), rozācija (</w:t>
      </w:r>
      <w:r w:rsidRPr="00A13181">
        <w:rPr>
          <w:i/>
          <w:sz w:val="22"/>
          <w:szCs w:val="22"/>
        </w:rPr>
        <w:t>rosacea</w:t>
      </w:r>
      <w:r w:rsidRPr="000A1BCF">
        <w:rPr>
          <w:sz w:val="22"/>
          <w:szCs w:val="22"/>
        </w:rPr>
        <w:t>), periorāls dermatīts, čūla, pinnes (</w:t>
      </w:r>
      <w:r w:rsidRPr="000A1BCF">
        <w:rPr>
          <w:i/>
          <w:iCs/>
          <w:sz w:val="22"/>
          <w:szCs w:val="22"/>
        </w:rPr>
        <w:t>acne vulgaris</w:t>
      </w:r>
      <w:r w:rsidRPr="00A13181">
        <w:rPr>
          <w:iCs/>
          <w:sz w:val="22"/>
          <w:szCs w:val="22"/>
        </w:rPr>
        <w:t>)</w:t>
      </w:r>
      <w:r w:rsidRPr="000A1BCF">
        <w:rPr>
          <w:sz w:val="22"/>
          <w:szCs w:val="22"/>
        </w:rPr>
        <w:t>, atrofiskas ādas slimības un ādas reakcijas pēc vakcinācijas ārstējamā ādas rajonā.</w:t>
      </w:r>
    </w:p>
    <w:p w14:paraId="1C6592A7" w14:textId="77777777" w:rsidR="00CA7B51" w:rsidRPr="000A1BCF" w:rsidRDefault="00CA7B51" w:rsidP="00CA7B51">
      <w:pPr>
        <w:rPr>
          <w:sz w:val="22"/>
          <w:szCs w:val="22"/>
          <w:highlight w:val="yellow"/>
          <w:lang w:val="lv-LV"/>
        </w:rPr>
      </w:pPr>
    </w:p>
    <w:p w14:paraId="7FB7E0B0" w14:textId="77777777" w:rsidR="00CA7B51" w:rsidRPr="000A1BCF" w:rsidRDefault="00CA7B51" w:rsidP="00CA7B51">
      <w:pPr>
        <w:rPr>
          <w:sz w:val="22"/>
          <w:szCs w:val="22"/>
          <w:lang w:val="lv-LV"/>
        </w:rPr>
      </w:pPr>
      <w:r w:rsidRPr="000A1BCF">
        <w:rPr>
          <w:sz w:val="22"/>
          <w:szCs w:val="22"/>
          <w:lang w:val="lv-LV"/>
        </w:rPr>
        <w:lastRenderedPageBreak/>
        <w:t>Bakteriālas un sēnīšu ādas slimības (skatīt 4.4</w:t>
      </w:r>
      <w:r>
        <w:rPr>
          <w:sz w:val="22"/>
          <w:szCs w:val="22"/>
          <w:lang w:val="lv-LV"/>
        </w:rPr>
        <w:t>.</w:t>
      </w:r>
      <w:r w:rsidRPr="000A1BCF">
        <w:rPr>
          <w:sz w:val="22"/>
          <w:szCs w:val="22"/>
          <w:lang w:val="lv-LV"/>
        </w:rPr>
        <w:t xml:space="preserve"> apakšpunktā).</w:t>
      </w:r>
    </w:p>
    <w:p w14:paraId="4C33BFD7" w14:textId="77777777" w:rsidR="00CA7B51" w:rsidRPr="000A1BCF" w:rsidRDefault="00CA7B51" w:rsidP="00CA7B51">
      <w:pPr>
        <w:rPr>
          <w:sz w:val="22"/>
          <w:szCs w:val="22"/>
          <w:lang w:val="lv-LV"/>
        </w:rPr>
      </w:pPr>
    </w:p>
    <w:p w14:paraId="78537757" w14:textId="77777777" w:rsidR="00CA7B51" w:rsidRPr="000A1BCF" w:rsidRDefault="00CA7B51" w:rsidP="00CA7B51">
      <w:pPr>
        <w:keepNext/>
        <w:numPr>
          <w:ilvl w:val="1"/>
          <w:numId w:val="2"/>
        </w:numPr>
        <w:ind w:left="567" w:hanging="567"/>
        <w:rPr>
          <w:b/>
          <w:sz w:val="22"/>
          <w:szCs w:val="22"/>
          <w:lang w:val="lv-LV"/>
        </w:rPr>
      </w:pPr>
      <w:r w:rsidRPr="000A1BCF">
        <w:rPr>
          <w:b/>
          <w:sz w:val="22"/>
          <w:szCs w:val="22"/>
          <w:lang w:val="lv-LV"/>
        </w:rPr>
        <w:t>Īpaši brīdinājumi un piesardzība lietošanā</w:t>
      </w:r>
    </w:p>
    <w:p w14:paraId="35163573" w14:textId="77777777" w:rsidR="00CA7B51" w:rsidRPr="000A1BCF" w:rsidRDefault="00CA7B51" w:rsidP="00CA7B51">
      <w:pPr>
        <w:keepNext/>
        <w:rPr>
          <w:sz w:val="22"/>
          <w:szCs w:val="22"/>
          <w:lang w:val="lv-LV"/>
        </w:rPr>
      </w:pPr>
    </w:p>
    <w:p w14:paraId="300D4589" w14:textId="77777777" w:rsidR="00CA7B51" w:rsidRPr="000A1BCF" w:rsidRDefault="00CA7B51" w:rsidP="00CA7B51">
      <w:pPr>
        <w:keepNext/>
        <w:rPr>
          <w:sz w:val="22"/>
          <w:szCs w:val="22"/>
          <w:lang w:val="lv-LV"/>
        </w:rPr>
      </w:pPr>
      <w:r>
        <w:rPr>
          <w:sz w:val="22"/>
          <w:szCs w:val="22"/>
          <w:lang w:val="lv-LV"/>
        </w:rPr>
        <w:t>K</w:t>
      </w:r>
      <w:r w:rsidRPr="000A1BCF">
        <w:rPr>
          <w:sz w:val="22"/>
          <w:szCs w:val="22"/>
          <w:lang w:val="lv-LV"/>
        </w:rPr>
        <w:t>ortikosteroīdus drīkst lietot tikai vismazākajā iespējamā devā, īpaši bērniem, un tikai tik ilgu laiku, cik tas ir absolūti nepieciešams, lai sasniegtu un uzturētu vēlamo terapeitisko efektu.</w:t>
      </w:r>
    </w:p>
    <w:p w14:paraId="08315A8F" w14:textId="77777777" w:rsidR="00CA7B51" w:rsidRPr="000A1BCF" w:rsidRDefault="00CA7B51" w:rsidP="00CA7B51">
      <w:pPr>
        <w:rPr>
          <w:sz w:val="22"/>
          <w:szCs w:val="22"/>
          <w:lang w:val="lv-LV"/>
        </w:rPr>
      </w:pPr>
    </w:p>
    <w:p w14:paraId="686BE5DB" w14:textId="77777777" w:rsidR="00CA7B51" w:rsidRPr="000A1BCF" w:rsidRDefault="00CA7B51" w:rsidP="00CA7B51">
      <w:pPr>
        <w:rPr>
          <w:sz w:val="22"/>
          <w:szCs w:val="22"/>
          <w:lang w:val="lv-LV"/>
        </w:rPr>
      </w:pPr>
      <w:r w:rsidRPr="000A1BCF">
        <w:rPr>
          <w:sz w:val="22"/>
          <w:szCs w:val="22"/>
          <w:lang w:val="lv-LV"/>
        </w:rPr>
        <w:t>Ādas bakteriālo un/vai sēnīšu infekciju gadījumā nepieciešama papildus specifiska terapija.</w:t>
      </w:r>
    </w:p>
    <w:p w14:paraId="0E5DEE75" w14:textId="77777777" w:rsidR="00CA7B51" w:rsidRPr="000A1BCF" w:rsidRDefault="00CA7B51" w:rsidP="00CA7B51">
      <w:pPr>
        <w:rPr>
          <w:sz w:val="22"/>
          <w:szCs w:val="22"/>
          <w:lang w:val="lv-LV"/>
        </w:rPr>
      </w:pPr>
    </w:p>
    <w:p w14:paraId="4491C78F" w14:textId="77777777" w:rsidR="00CA7B51" w:rsidRPr="000A1BCF" w:rsidRDefault="00CA7B51" w:rsidP="00CA7B51">
      <w:pPr>
        <w:rPr>
          <w:sz w:val="22"/>
          <w:szCs w:val="22"/>
          <w:lang w:val="lv-LV"/>
        </w:rPr>
      </w:pPr>
      <w:r w:rsidRPr="000A1BCF">
        <w:rPr>
          <w:sz w:val="22"/>
          <w:szCs w:val="22"/>
          <w:lang w:val="lv-LV"/>
        </w:rPr>
        <w:t>Lokāla kortikosteroīdu lietošana var pastiprināt lokālas ādas infekcijas.</w:t>
      </w:r>
    </w:p>
    <w:p w14:paraId="27A1969D" w14:textId="77777777" w:rsidR="00CA7B51" w:rsidRPr="000A1BCF" w:rsidRDefault="00CA7B51" w:rsidP="00CA7B51">
      <w:pPr>
        <w:rPr>
          <w:sz w:val="22"/>
          <w:szCs w:val="22"/>
          <w:lang w:val="lv-LV"/>
        </w:rPr>
      </w:pPr>
    </w:p>
    <w:p w14:paraId="7D1BBA75" w14:textId="77777777" w:rsidR="00CA7B51" w:rsidRPr="000A1BCF" w:rsidRDefault="00CA7B51" w:rsidP="00CA7B51">
      <w:pPr>
        <w:rPr>
          <w:sz w:val="22"/>
          <w:szCs w:val="22"/>
          <w:lang w:val="lv-LV"/>
        </w:rPr>
      </w:pPr>
      <w:r w:rsidRPr="000A1BCF">
        <w:rPr>
          <w:sz w:val="22"/>
          <w:szCs w:val="22"/>
          <w:lang w:val="lv-LV"/>
        </w:rPr>
        <w:t>Advantan Milk terapijas laikā jāuzmanās, lai t</w:t>
      </w:r>
      <w:r>
        <w:rPr>
          <w:sz w:val="22"/>
          <w:szCs w:val="22"/>
          <w:lang w:val="lv-LV"/>
        </w:rPr>
        <w:t>a</w:t>
      </w:r>
      <w:r w:rsidRPr="000A1BCF">
        <w:rPr>
          <w:sz w:val="22"/>
          <w:szCs w:val="22"/>
          <w:lang w:val="lv-LV"/>
        </w:rPr>
        <w:t xml:space="preserve">s neiekļūst </w:t>
      </w:r>
      <w:r w:rsidRPr="00A13181">
        <w:rPr>
          <w:sz w:val="22"/>
          <w:szCs w:val="22"/>
          <w:lang w:val="lv-LV"/>
        </w:rPr>
        <w:t>acīs, vaļējās brūcēs un uz gļotādām.</w:t>
      </w:r>
    </w:p>
    <w:p w14:paraId="2BCD07E7" w14:textId="77777777" w:rsidR="00CA7B51" w:rsidRPr="000A1BCF" w:rsidRDefault="00CA7B51" w:rsidP="00CA7B51">
      <w:pPr>
        <w:rPr>
          <w:sz w:val="22"/>
          <w:szCs w:val="22"/>
          <w:lang w:val="lv-LV"/>
        </w:rPr>
      </w:pPr>
    </w:p>
    <w:p w14:paraId="73B4E3E2" w14:textId="77777777" w:rsidR="00CA7B51" w:rsidRPr="000A1BCF" w:rsidRDefault="00CA7B51" w:rsidP="00CA7B51">
      <w:pPr>
        <w:rPr>
          <w:sz w:val="22"/>
          <w:szCs w:val="22"/>
          <w:lang w:val="lv-LV"/>
        </w:rPr>
      </w:pPr>
      <w:r w:rsidRPr="000A1BCF">
        <w:rPr>
          <w:sz w:val="22"/>
          <w:szCs w:val="22"/>
          <w:lang w:val="lv-LV"/>
        </w:rPr>
        <w:t xml:space="preserve">Advantan Milk nedrīkst lietot uz lieliem ķermeņa virsmas laukumiem (vairāk nekā 40% ķermeņa virsmas). Lokālo kortikosteroīdu lietošana uz plašiem ķermeņa ādas apvidiem vai ilgstošā laika periodā, it īpaši zem noslēgta cieša pārsēja, ievērojami palielina blakusparādību risku. Ja vien nav nepieciešams, no ārstēšanas zem noslēgta cieša pārsēja jāatturas. Ievērojiet, ka autiņbiksītes, kā arī </w:t>
      </w:r>
      <w:r>
        <w:rPr>
          <w:sz w:val="22"/>
          <w:szCs w:val="22"/>
          <w:lang w:val="lv-LV"/>
        </w:rPr>
        <w:t>lietošana intertriginozā apvidū</w:t>
      </w:r>
      <w:r w:rsidRPr="000A1BCF">
        <w:rPr>
          <w:sz w:val="22"/>
          <w:szCs w:val="22"/>
          <w:lang w:val="lv-LV"/>
        </w:rPr>
        <w:t xml:space="preserve"> var radīt līdzīgus apstākļus.</w:t>
      </w:r>
    </w:p>
    <w:p w14:paraId="7D97536D" w14:textId="77777777" w:rsidR="00CA7B51" w:rsidRPr="000A1BCF" w:rsidRDefault="00CA7B51" w:rsidP="00CA7B51">
      <w:pPr>
        <w:rPr>
          <w:sz w:val="22"/>
          <w:szCs w:val="22"/>
          <w:lang w:val="lv-LV"/>
        </w:rPr>
      </w:pPr>
    </w:p>
    <w:p w14:paraId="31688664" w14:textId="77777777" w:rsidR="00CA7B51" w:rsidRPr="000A1BCF" w:rsidRDefault="00CA7B51" w:rsidP="00CA7B51">
      <w:pPr>
        <w:rPr>
          <w:sz w:val="22"/>
          <w:szCs w:val="22"/>
          <w:lang w:val="lv-LV"/>
        </w:rPr>
      </w:pPr>
      <w:r w:rsidRPr="000A1BCF">
        <w:rPr>
          <w:sz w:val="22"/>
          <w:szCs w:val="22"/>
          <w:lang w:val="lv-LV"/>
        </w:rPr>
        <w:t>Ārstējot plašus ādas laukumus</w:t>
      </w:r>
      <w:r>
        <w:rPr>
          <w:sz w:val="22"/>
          <w:szCs w:val="22"/>
          <w:lang w:val="lv-LV"/>
        </w:rPr>
        <w:t>,</w:t>
      </w:r>
      <w:r w:rsidRPr="000A1BCF">
        <w:rPr>
          <w:sz w:val="22"/>
          <w:szCs w:val="22"/>
          <w:lang w:val="lv-LV"/>
        </w:rPr>
        <w:t xml:space="preserve"> ārstēšanas ilgums jāizvēlas pēc iespējas īsāks, jo absorbcijas vai sistēmiska efekta iespējamība nevar tikt pilnībā izslēgta. </w:t>
      </w:r>
    </w:p>
    <w:p w14:paraId="11F885AB" w14:textId="77777777" w:rsidR="00CA7B51" w:rsidRPr="000A1BCF" w:rsidRDefault="00CA7B51" w:rsidP="00CA7B51">
      <w:pPr>
        <w:rPr>
          <w:sz w:val="22"/>
          <w:szCs w:val="22"/>
          <w:lang w:val="lv-LV"/>
        </w:rPr>
      </w:pPr>
    </w:p>
    <w:p w14:paraId="062CB4B6" w14:textId="77777777" w:rsidR="00CA7B51" w:rsidRPr="000A1BCF" w:rsidRDefault="00CA7B51" w:rsidP="00CA7B51">
      <w:pPr>
        <w:rPr>
          <w:sz w:val="22"/>
          <w:szCs w:val="22"/>
          <w:lang w:val="lv-LV"/>
        </w:rPr>
      </w:pPr>
      <w:r w:rsidRPr="000A1BCF">
        <w:rPr>
          <w:sz w:val="22"/>
          <w:szCs w:val="22"/>
          <w:lang w:val="lv-LV"/>
        </w:rPr>
        <w:t xml:space="preserve">Līdzīgi kā ar citiem kortikosteroīdiem, neprofesionāla šo zāļu lietošana var maskēt klīniskos simptomus. </w:t>
      </w:r>
    </w:p>
    <w:p w14:paraId="7C1D5772" w14:textId="77777777" w:rsidR="00CA7B51" w:rsidRPr="000A1BCF" w:rsidRDefault="00CA7B51" w:rsidP="00CA7B51">
      <w:pPr>
        <w:rPr>
          <w:sz w:val="22"/>
          <w:szCs w:val="22"/>
          <w:lang w:val="lv-LV"/>
        </w:rPr>
      </w:pPr>
    </w:p>
    <w:p w14:paraId="0CB0AC80" w14:textId="77777777" w:rsidR="00CA7B51" w:rsidRDefault="00CA7B51" w:rsidP="00CA7B51">
      <w:pPr>
        <w:rPr>
          <w:sz w:val="22"/>
          <w:szCs w:val="22"/>
          <w:lang w:val="lv-LV"/>
        </w:rPr>
      </w:pPr>
      <w:r w:rsidRPr="000A1BCF">
        <w:rPr>
          <w:sz w:val="22"/>
          <w:szCs w:val="22"/>
          <w:lang w:val="lv-LV"/>
        </w:rPr>
        <w:t xml:space="preserve">Tāpat kā lietojot sistēmiskas iedarbības kortikosteroīdus, arī lokālo kortikosteroīdu lietošanas rezultātā var rasties glaukoma (piemēram, pēc lielas zāļu devas vai plašas uzklāšanas ilgstošā laika periodā, cieša pārsēja gadījumā vai uzklājot ādā ap acīm). </w:t>
      </w:r>
    </w:p>
    <w:p w14:paraId="70D6562E" w14:textId="77777777" w:rsidR="00CA7B51" w:rsidRPr="009D629C" w:rsidRDefault="00CA7B51" w:rsidP="00CA7B51">
      <w:pPr>
        <w:rPr>
          <w:sz w:val="22"/>
          <w:szCs w:val="22"/>
          <w:lang w:val="lv-LV"/>
        </w:rPr>
      </w:pPr>
    </w:p>
    <w:p w14:paraId="69B51EF1" w14:textId="77777777" w:rsidR="00CA7B51" w:rsidRPr="00472743" w:rsidRDefault="00CA7B51" w:rsidP="00CA7B51">
      <w:pPr>
        <w:pStyle w:val="Para0s"/>
        <w:jc w:val="both"/>
        <w:rPr>
          <w:rFonts w:ascii="Times New Roman" w:hAnsi="Times New Roman"/>
          <w:b/>
          <w:lang w:val="lv-LV"/>
        </w:rPr>
      </w:pPr>
      <w:r w:rsidRPr="00472743">
        <w:rPr>
          <w:rFonts w:ascii="Times New Roman" w:hAnsi="Times New Roman"/>
          <w:b/>
          <w:lang w:val="lv-LV"/>
        </w:rPr>
        <w:t>Redzes traucējumi:</w:t>
      </w:r>
    </w:p>
    <w:p w14:paraId="6470E3AF" w14:textId="77777777" w:rsidR="00CA7B51" w:rsidRDefault="00CA7B51" w:rsidP="00CA7B51">
      <w:pPr>
        <w:pStyle w:val="Para0s"/>
        <w:spacing w:after="0"/>
        <w:jc w:val="both"/>
        <w:rPr>
          <w:rFonts w:ascii="Times New Roman" w:hAnsi="Times New Roman"/>
          <w:lang w:val="lv-LV"/>
        </w:rPr>
      </w:pPr>
      <w:r w:rsidRPr="00B36102">
        <w:rPr>
          <w:rFonts w:ascii="Times New Roman" w:hAnsi="Times New Roman"/>
          <w:lang w:val="lv-LV"/>
        </w:rPr>
        <w:t>Saistībā ar sistēmisku un lokālu kortikosteroīdu lietošanu var tikt ziņ</w:t>
      </w:r>
      <w:r>
        <w:rPr>
          <w:rFonts w:ascii="Times New Roman" w:hAnsi="Times New Roman"/>
          <w:lang w:val="lv-LV"/>
        </w:rPr>
        <w:t xml:space="preserve">ots par redzes traucējumiem. Ja </w:t>
      </w:r>
      <w:r w:rsidRPr="00B36102">
        <w:rPr>
          <w:rFonts w:ascii="Times New Roman" w:hAnsi="Times New Roman"/>
          <w:lang w:val="lv-LV"/>
        </w:rPr>
        <w:t>pacientam ir tādi simptomi kā neskaidra redze vai citi redzes traucējum</w:t>
      </w:r>
      <w:r>
        <w:rPr>
          <w:rFonts w:ascii="Times New Roman" w:hAnsi="Times New Roman"/>
          <w:lang w:val="lv-LV"/>
        </w:rPr>
        <w:t xml:space="preserve">i, jāapsver pacienta norīkošana </w:t>
      </w:r>
      <w:r w:rsidRPr="00B36102">
        <w:rPr>
          <w:rFonts w:ascii="Times New Roman" w:hAnsi="Times New Roman"/>
          <w:lang w:val="lv-LV"/>
        </w:rPr>
        <w:t>pie oftalmologa, lai novērtētu to iespējamos cēloņus, kas var būt, piemēram, katarakta, gl</w:t>
      </w:r>
      <w:r>
        <w:rPr>
          <w:rFonts w:ascii="Times New Roman" w:hAnsi="Times New Roman"/>
          <w:lang w:val="lv-LV"/>
        </w:rPr>
        <w:t xml:space="preserve">aukoma vai </w:t>
      </w:r>
      <w:r w:rsidRPr="00B36102">
        <w:rPr>
          <w:rFonts w:ascii="Times New Roman" w:hAnsi="Times New Roman"/>
          <w:lang w:val="lv-LV"/>
        </w:rPr>
        <w:t>tādas retas slimības kā centrāla seroza</w:t>
      </w:r>
      <w:r w:rsidRPr="000A32CF">
        <w:rPr>
          <w:lang w:val="lv-LV"/>
        </w:rPr>
        <w:t xml:space="preserve"> </w:t>
      </w:r>
      <w:r w:rsidRPr="006C700C">
        <w:rPr>
          <w:rFonts w:ascii="Times New Roman" w:hAnsi="Times New Roman"/>
          <w:lang w:val="lv-LV"/>
        </w:rPr>
        <w:t>horioretinopātija (CSHR), par k</w:t>
      </w:r>
      <w:r>
        <w:rPr>
          <w:rFonts w:ascii="Times New Roman" w:hAnsi="Times New Roman"/>
          <w:lang w:val="lv-LV"/>
        </w:rPr>
        <w:t xml:space="preserve">o ir ziņots pēc kortikosteroīdu </w:t>
      </w:r>
      <w:r w:rsidRPr="006C700C">
        <w:rPr>
          <w:rFonts w:ascii="Times New Roman" w:hAnsi="Times New Roman"/>
          <w:lang w:val="lv-LV"/>
        </w:rPr>
        <w:t>sistēmiskas un lokālas lietošanas.</w:t>
      </w:r>
    </w:p>
    <w:p w14:paraId="59DB8C23" w14:textId="77777777" w:rsidR="00CA7B51" w:rsidRDefault="00CA7B51" w:rsidP="00CA7B51">
      <w:pPr>
        <w:pStyle w:val="Para0s"/>
        <w:spacing w:after="0"/>
        <w:jc w:val="both"/>
        <w:rPr>
          <w:rFonts w:ascii="Times New Roman" w:hAnsi="Times New Roman"/>
          <w:lang w:val="lv-LV"/>
        </w:rPr>
      </w:pPr>
    </w:p>
    <w:p w14:paraId="569BF334" w14:textId="77777777" w:rsidR="00CA7B51" w:rsidRDefault="00CA7B51" w:rsidP="00CA7B51">
      <w:pPr>
        <w:rPr>
          <w:sz w:val="22"/>
          <w:szCs w:val="22"/>
          <w:lang w:val="lv-LV"/>
        </w:rPr>
      </w:pPr>
      <w:r>
        <w:rPr>
          <w:sz w:val="22"/>
          <w:szCs w:val="22"/>
          <w:lang w:val="lv-LV"/>
        </w:rPr>
        <w:t>Advantan Milk palīgvielas (k</w:t>
      </w:r>
      <w:r w:rsidRPr="00216DD1">
        <w:rPr>
          <w:sz w:val="22"/>
          <w:szCs w:val="22"/>
          <w:lang w:val="lv-LV"/>
        </w:rPr>
        <w:t>april-kaprīn-</w:t>
      </w:r>
      <w:r>
        <w:rPr>
          <w:sz w:val="22"/>
          <w:szCs w:val="22"/>
          <w:lang w:val="lv-LV"/>
        </w:rPr>
        <w:t>miristīn-</w:t>
      </w:r>
      <w:r w:rsidRPr="00216DD1">
        <w:rPr>
          <w:sz w:val="22"/>
          <w:szCs w:val="22"/>
          <w:lang w:val="lv-LV"/>
        </w:rPr>
        <w:t>stearīnskābes triglicerīdi</w:t>
      </w:r>
      <w:r>
        <w:rPr>
          <w:sz w:val="22"/>
          <w:szCs w:val="22"/>
          <w:lang w:val="lv-LV"/>
        </w:rPr>
        <w:t>) var samazināt lateksu saturošo izstrādājumu, piemēram, prezervatīvu un diafragmu, efektivitāti.</w:t>
      </w:r>
    </w:p>
    <w:p w14:paraId="37CDFF96" w14:textId="77777777" w:rsidR="00CA7B51" w:rsidRDefault="00CA7B51" w:rsidP="00CA7B51">
      <w:pPr>
        <w:rPr>
          <w:sz w:val="22"/>
          <w:szCs w:val="22"/>
          <w:lang w:val="lv-LV"/>
        </w:rPr>
      </w:pPr>
    </w:p>
    <w:p w14:paraId="74D2F455" w14:textId="77777777" w:rsidR="00CA7B51" w:rsidRDefault="00CA7B51" w:rsidP="00CA7B51">
      <w:pPr>
        <w:rPr>
          <w:sz w:val="22"/>
          <w:szCs w:val="22"/>
          <w:lang w:val="lv-LV"/>
        </w:rPr>
      </w:pPr>
      <w:r>
        <w:rPr>
          <w:sz w:val="22"/>
          <w:szCs w:val="22"/>
          <w:lang w:val="lv-LV"/>
        </w:rPr>
        <w:t>Šīs zāles satur 1,25 g benzilspirta katros 100 g emulsijas. Benzilspirts var izraisīt alerģiskas reakcijas un/vai vieglu, lokālu kairinājumu.</w:t>
      </w:r>
    </w:p>
    <w:p w14:paraId="5BF44EB9" w14:textId="77777777" w:rsidR="00CA7B51" w:rsidRPr="00D9413A" w:rsidRDefault="00CA7B51" w:rsidP="00CA7B51">
      <w:pPr>
        <w:rPr>
          <w:sz w:val="22"/>
          <w:szCs w:val="22"/>
          <w:lang w:val="lv-LV"/>
        </w:rPr>
      </w:pPr>
    </w:p>
    <w:p w14:paraId="467CF423" w14:textId="77777777" w:rsidR="00CA7B51" w:rsidRPr="000A1BCF" w:rsidRDefault="00CA7B51" w:rsidP="00CA7B51">
      <w:pPr>
        <w:rPr>
          <w:sz w:val="22"/>
          <w:szCs w:val="22"/>
          <w:u w:val="single"/>
          <w:lang w:val="lv-LV"/>
        </w:rPr>
      </w:pPr>
      <w:r w:rsidRPr="000A1BCF">
        <w:rPr>
          <w:sz w:val="22"/>
          <w:szCs w:val="22"/>
          <w:u w:val="single"/>
          <w:lang w:val="lv-LV"/>
        </w:rPr>
        <w:t>Pediatriskā populācija</w:t>
      </w:r>
    </w:p>
    <w:p w14:paraId="42AEAFE4" w14:textId="77777777" w:rsidR="00CA7B51" w:rsidRPr="000A1BCF" w:rsidRDefault="00CA7B51" w:rsidP="00CA7B51">
      <w:pPr>
        <w:rPr>
          <w:sz w:val="22"/>
          <w:szCs w:val="22"/>
          <w:lang w:val="lv-LV"/>
        </w:rPr>
      </w:pPr>
      <w:r w:rsidRPr="000A1BCF">
        <w:rPr>
          <w:sz w:val="22"/>
          <w:szCs w:val="22"/>
          <w:lang w:val="lv-LV"/>
        </w:rPr>
        <w:t>Advantan Milk nedrīkst lietot zem noslēgta cieša pārsēja. Ievērojiet, ka autiņbiksītes var radīt līdzīgus apstākļus. Tas ir īpaši svarīgi, jo Advantan Milk lietošana zīdaiņiem līdz 4 mēnešu vecumam nav ieteicama.</w:t>
      </w:r>
    </w:p>
    <w:p w14:paraId="429E9B1D" w14:textId="77777777" w:rsidR="00CA7B51" w:rsidRPr="000A1BCF" w:rsidRDefault="00CA7B51" w:rsidP="00CA7B51">
      <w:pPr>
        <w:rPr>
          <w:sz w:val="22"/>
          <w:szCs w:val="22"/>
          <w:lang w:val="lv-LV"/>
        </w:rPr>
      </w:pPr>
    </w:p>
    <w:p w14:paraId="59B186D8" w14:textId="77777777" w:rsidR="00CA7B51" w:rsidRDefault="00CA7B51" w:rsidP="00CA7B51">
      <w:pPr>
        <w:rPr>
          <w:sz w:val="22"/>
          <w:szCs w:val="22"/>
          <w:lang w:val="lv-LV"/>
        </w:rPr>
      </w:pPr>
      <w:r w:rsidRPr="000A1BCF">
        <w:rPr>
          <w:sz w:val="22"/>
          <w:szCs w:val="22"/>
          <w:lang w:val="lv-LV"/>
        </w:rPr>
        <w:t>Rūpīgi jāizvērtē ārstēšanas ieguvums un riski, lietojot Advantan bērniem vecumā no 4 mēnešiem līdz 3 gadiem.</w:t>
      </w:r>
    </w:p>
    <w:p w14:paraId="0A8EE81C" w14:textId="77777777" w:rsidR="00CA7B51" w:rsidRPr="000A1BCF" w:rsidRDefault="00CA7B51" w:rsidP="00CA7B51">
      <w:pPr>
        <w:rPr>
          <w:sz w:val="22"/>
          <w:szCs w:val="22"/>
          <w:lang w:val="lv-LV"/>
        </w:rPr>
      </w:pPr>
    </w:p>
    <w:p w14:paraId="276B3345" w14:textId="77777777" w:rsidR="00CA7B51" w:rsidRPr="000A1BCF" w:rsidRDefault="00CA7B51" w:rsidP="00CA7B51">
      <w:pPr>
        <w:numPr>
          <w:ilvl w:val="1"/>
          <w:numId w:val="2"/>
        </w:numPr>
        <w:ind w:left="567" w:hanging="567"/>
        <w:rPr>
          <w:b/>
          <w:sz w:val="22"/>
          <w:szCs w:val="22"/>
          <w:lang w:val="lv-LV"/>
        </w:rPr>
      </w:pPr>
      <w:r w:rsidRPr="000A1BCF">
        <w:rPr>
          <w:b/>
          <w:sz w:val="22"/>
          <w:szCs w:val="22"/>
          <w:lang w:val="lv-LV"/>
        </w:rPr>
        <w:t>Mijiedarbība ar citām zālēm un citi mijiedarbības veidi</w:t>
      </w:r>
    </w:p>
    <w:p w14:paraId="569AA147" w14:textId="77777777" w:rsidR="00CA7B51" w:rsidRPr="000A1BCF" w:rsidRDefault="00CA7B51" w:rsidP="00CA7B51">
      <w:pPr>
        <w:rPr>
          <w:sz w:val="22"/>
          <w:szCs w:val="22"/>
          <w:lang w:val="lv-LV"/>
        </w:rPr>
      </w:pPr>
    </w:p>
    <w:p w14:paraId="0529F803" w14:textId="77777777" w:rsidR="00CA7B51" w:rsidRPr="000A1BCF" w:rsidRDefault="00CA7B51" w:rsidP="00CA7B51">
      <w:pPr>
        <w:rPr>
          <w:sz w:val="22"/>
          <w:szCs w:val="22"/>
          <w:lang w:val="lv-LV"/>
        </w:rPr>
      </w:pPr>
      <w:r w:rsidRPr="000A1BCF">
        <w:rPr>
          <w:sz w:val="22"/>
          <w:szCs w:val="22"/>
          <w:lang w:val="lv-LV"/>
        </w:rPr>
        <w:t xml:space="preserve">Līdz šim nav zināma. </w:t>
      </w:r>
    </w:p>
    <w:p w14:paraId="361C4F0D" w14:textId="77777777" w:rsidR="00CA7B51" w:rsidRPr="000A1BCF" w:rsidRDefault="00CA7B51" w:rsidP="00CA7B51">
      <w:pPr>
        <w:keepNext/>
        <w:rPr>
          <w:sz w:val="22"/>
          <w:szCs w:val="22"/>
          <w:lang w:val="lv-LV"/>
        </w:rPr>
      </w:pPr>
    </w:p>
    <w:p w14:paraId="771175E5" w14:textId="77777777" w:rsidR="00CA7B51" w:rsidRPr="000A1BCF" w:rsidRDefault="00CA7B51" w:rsidP="00CA7B51">
      <w:pPr>
        <w:keepNext/>
        <w:numPr>
          <w:ilvl w:val="1"/>
          <w:numId w:val="2"/>
        </w:numPr>
        <w:ind w:left="567" w:hanging="567"/>
        <w:rPr>
          <w:b/>
          <w:sz w:val="22"/>
          <w:szCs w:val="22"/>
          <w:lang w:val="lv-LV"/>
        </w:rPr>
      </w:pPr>
      <w:r w:rsidRPr="000A1BCF">
        <w:rPr>
          <w:b/>
          <w:sz w:val="22"/>
          <w:szCs w:val="22"/>
          <w:lang w:val="lv-LV"/>
        </w:rPr>
        <w:t xml:space="preserve">Fertilitāte, grūtniecība un </w:t>
      </w:r>
      <w:r>
        <w:rPr>
          <w:b/>
          <w:sz w:val="22"/>
          <w:szCs w:val="22"/>
          <w:lang w:val="lv-LV"/>
        </w:rPr>
        <w:t>barošana ar krūti</w:t>
      </w:r>
    </w:p>
    <w:p w14:paraId="73E4B9AA" w14:textId="77777777" w:rsidR="00CA7B51" w:rsidRPr="000A1BCF" w:rsidRDefault="00CA7B51" w:rsidP="00CA7B51">
      <w:pPr>
        <w:keepNext/>
        <w:rPr>
          <w:sz w:val="22"/>
          <w:szCs w:val="22"/>
          <w:lang w:val="lv-LV"/>
        </w:rPr>
      </w:pPr>
    </w:p>
    <w:p w14:paraId="28B3A91E" w14:textId="77777777" w:rsidR="00CA7B51" w:rsidRPr="000A1BCF" w:rsidRDefault="00CA7B51" w:rsidP="00CA7B51">
      <w:pPr>
        <w:pStyle w:val="BodyText"/>
        <w:jc w:val="left"/>
        <w:rPr>
          <w:sz w:val="22"/>
          <w:szCs w:val="22"/>
          <w:u w:val="single"/>
        </w:rPr>
      </w:pPr>
      <w:r w:rsidRPr="000A1BCF">
        <w:rPr>
          <w:sz w:val="22"/>
          <w:szCs w:val="22"/>
          <w:u w:val="single"/>
        </w:rPr>
        <w:t>Fertilitāte</w:t>
      </w:r>
    </w:p>
    <w:p w14:paraId="0F6BAF34" w14:textId="77777777" w:rsidR="00CA7B51" w:rsidRPr="000A1BCF" w:rsidRDefault="00CA7B51" w:rsidP="00CA7B51">
      <w:pPr>
        <w:rPr>
          <w:sz w:val="22"/>
          <w:szCs w:val="22"/>
          <w:lang w:val="lv-LV"/>
        </w:rPr>
      </w:pPr>
      <w:r w:rsidRPr="000A1BCF">
        <w:rPr>
          <w:sz w:val="22"/>
          <w:szCs w:val="22"/>
          <w:lang w:val="lv-LV"/>
        </w:rPr>
        <w:t>Dati par metilprednizolona aceponāta ietekmi uz fertilitāti nav pieejami.</w:t>
      </w:r>
    </w:p>
    <w:p w14:paraId="312D266C" w14:textId="77777777" w:rsidR="00CA7B51" w:rsidRPr="000A1BCF" w:rsidRDefault="00CA7B51" w:rsidP="00CA7B51">
      <w:pPr>
        <w:rPr>
          <w:sz w:val="22"/>
          <w:szCs w:val="22"/>
          <w:lang w:val="lv-LV"/>
        </w:rPr>
      </w:pPr>
    </w:p>
    <w:p w14:paraId="2C27D07B" w14:textId="77777777" w:rsidR="00CA7B51" w:rsidRPr="000A1BCF" w:rsidRDefault="00CA7B51" w:rsidP="00CA7B51">
      <w:pPr>
        <w:rPr>
          <w:sz w:val="22"/>
          <w:szCs w:val="22"/>
          <w:lang w:val="lv-LV"/>
        </w:rPr>
      </w:pPr>
      <w:r w:rsidRPr="000A1BCF">
        <w:rPr>
          <w:sz w:val="22"/>
          <w:szCs w:val="22"/>
          <w:u w:val="single"/>
          <w:lang w:val="lv-LV"/>
        </w:rPr>
        <w:t>Grūtniecība</w:t>
      </w:r>
    </w:p>
    <w:p w14:paraId="0E75D0F5" w14:textId="77777777" w:rsidR="00CA7B51" w:rsidRPr="000A1BCF" w:rsidRDefault="00CA7B51" w:rsidP="00CA7B51">
      <w:pPr>
        <w:rPr>
          <w:sz w:val="22"/>
          <w:szCs w:val="22"/>
          <w:lang w:val="lv-LV"/>
        </w:rPr>
      </w:pPr>
      <w:r w:rsidRPr="000A1BCF">
        <w:rPr>
          <w:sz w:val="22"/>
          <w:szCs w:val="22"/>
          <w:lang w:val="lv-LV"/>
        </w:rPr>
        <w:t xml:space="preserve">Nav pietiekamu datu par metilprednizolona aceponāta lietošanu grūtniecēm. Pētījumi ar dzīvniekiem, lietojot metilprednizolona aceponātu devā, kas pārsniedz terapeitisko, </w:t>
      </w:r>
      <w:r w:rsidRPr="00A13181">
        <w:rPr>
          <w:sz w:val="22"/>
          <w:szCs w:val="22"/>
          <w:lang w:val="lv-LV"/>
        </w:rPr>
        <w:t xml:space="preserve">pierāda </w:t>
      </w:r>
      <w:r w:rsidRPr="000A1BCF">
        <w:rPr>
          <w:sz w:val="22"/>
          <w:szCs w:val="22"/>
          <w:lang w:val="lv-LV"/>
        </w:rPr>
        <w:t>embriotoksisku un/vai teratogēnu iedarbību (skatīt 5.3</w:t>
      </w:r>
      <w:r>
        <w:rPr>
          <w:sz w:val="22"/>
          <w:szCs w:val="22"/>
          <w:lang w:val="lv-LV"/>
        </w:rPr>
        <w:t>.</w:t>
      </w:r>
      <w:r w:rsidRPr="000A1BCF">
        <w:rPr>
          <w:sz w:val="22"/>
          <w:szCs w:val="22"/>
          <w:lang w:val="lv-LV"/>
        </w:rPr>
        <w:t xml:space="preserve"> apakšpunktā).</w:t>
      </w:r>
    </w:p>
    <w:p w14:paraId="58DE0B6A" w14:textId="77777777" w:rsidR="00CA7B51" w:rsidRPr="000A1BCF" w:rsidRDefault="00CA7B51" w:rsidP="00CA7B51">
      <w:pPr>
        <w:rPr>
          <w:sz w:val="22"/>
          <w:szCs w:val="22"/>
          <w:lang w:val="lv-LV"/>
        </w:rPr>
      </w:pPr>
    </w:p>
    <w:p w14:paraId="5968B520" w14:textId="77777777" w:rsidR="00CA7B51" w:rsidRPr="000A1BCF" w:rsidRDefault="00CA7B51" w:rsidP="00CA7B51">
      <w:pPr>
        <w:pStyle w:val="BodyText"/>
        <w:jc w:val="left"/>
        <w:rPr>
          <w:sz w:val="22"/>
          <w:szCs w:val="22"/>
        </w:rPr>
      </w:pPr>
      <w:r w:rsidRPr="000A1BCF">
        <w:rPr>
          <w:sz w:val="22"/>
          <w:szCs w:val="22"/>
        </w:rPr>
        <w:t>Vairāki epidemioloģiskie pētījumi liecina par iespējamu palielinātu vilkarīkles risku jaundzimušajiem, kuru mātes grūtniecības pirmā trimestra laikā ārstētas ar sistēmiskiem kortikosteroīdiem</w:t>
      </w:r>
      <w:r>
        <w:rPr>
          <w:sz w:val="22"/>
          <w:szCs w:val="22"/>
        </w:rPr>
        <w:t xml:space="preserve">. </w:t>
      </w:r>
      <w:r w:rsidRPr="00A13181">
        <w:rPr>
          <w:sz w:val="22"/>
          <w:szCs w:val="22"/>
        </w:rPr>
        <w:t>Pirms Advantan Milk lietošanas grūtniecības un zīdīšanas laikā nepieciešama rūp</w:t>
      </w:r>
      <w:r w:rsidRPr="000A1BCF">
        <w:rPr>
          <w:sz w:val="22"/>
          <w:szCs w:val="22"/>
        </w:rPr>
        <w:t>īga ieguvuma/riska izvērtēšana.</w:t>
      </w:r>
    </w:p>
    <w:p w14:paraId="20F981BD" w14:textId="77777777" w:rsidR="00CA7B51" w:rsidRPr="000A1BCF" w:rsidRDefault="00CA7B51" w:rsidP="00CA7B51">
      <w:pPr>
        <w:rPr>
          <w:sz w:val="22"/>
          <w:szCs w:val="22"/>
          <w:lang w:val="lv-LV"/>
        </w:rPr>
      </w:pPr>
    </w:p>
    <w:p w14:paraId="1EF305D4" w14:textId="77777777" w:rsidR="00CA7B51" w:rsidRPr="000A1BCF" w:rsidRDefault="00CA7B51" w:rsidP="00CA7B51">
      <w:pPr>
        <w:rPr>
          <w:sz w:val="22"/>
          <w:szCs w:val="22"/>
          <w:lang w:val="lv-LV"/>
        </w:rPr>
      </w:pPr>
      <w:r w:rsidRPr="00A13181">
        <w:rPr>
          <w:sz w:val="22"/>
          <w:szCs w:val="22"/>
          <w:lang w:val="lv-LV"/>
        </w:rPr>
        <w:t>Parasti grūtniecības pirmajā trimestrī būtu jāizvairās no lokālu preparātu lietošanas, kuri satur kortikost</w:t>
      </w:r>
      <w:r w:rsidRPr="000A1BCF">
        <w:rPr>
          <w:sz w:val="22"/>
          <w:szCs w:val="22"/>
          <w:lang w:val="lv-LV"/>
        </w:rPr>
        <w:t>e</w:t>
      </w:r>
      <w:r w:rsidRPr="00A13181">
        <w:rPr>
          <w:sz w:val="22"/>
          <w:szCs w:val="22"/>
          <w:lang w:val="lv-LV"/>
        </w:rPr>
        <w:t>roīdus. It īpaši grūtniecības vai zīdīšanas laikā, ārstējot plašus ķermeņa virsmas laukumus, būtu jāizvairās no ilgstošas lietošanas vai noslēgta cieša pārsēja lietošanas (skatīt 4.</w:t>
      </w:r>
      <w:r w:rsidRPr="000A1BCF">
        <w:rPr>
          <w:sz w:val="22"/>
          <w:szCs w:val="22"/>
          <w:lang w:val="lv-LV"/>
        </w:rPr>
        <w:t>4</w:t>
      </w:r>
      <w:r>
        <w:rPr>
          <w:sz w:val="22"/>
          <w:szCs w:val="22"/>
          <w:lang w:val="lv-LV"/>
        </w:rPr>
        <w:t>.</w:t>
      </w:r>
      <w:r w:rsidRPr="00A13181">
        <w:rPr>
          <w:sz w:val="22"/>
          <w:szCs w:val="22"/>
          <w:lang w:val="lv-LV"/>
        </w:rPr>
        <w:t xml:space="preserve"> apakšpunktā).</w:t>
      </w:r>
    </w:p>
    <w:p w14:paraId="6C336B82" w14:textId="77777777" w:rsidR="00CA7B51" w:rsidRPr="000A1BCF" w:rsidRDefault="00CA7B51" w:rsidP="00CA7B51">
      <w:pPr>
        <w:rPr>
          <w:sz w:val="22"/>
          <w:szCs w:val="22"/>
          <w:lang w:val="lv-LV"/>
        </w:rPr>
      </w:pPr>
    </w:p>
    <w:p w14:paraId="0BB03DBC" w14:textId="77777777" w:rsidR="00CA7B51" w:rsidRPr="000A1BCF" w:rsidRDefault="00CA7B51" w:rsidP="00CA7B51">
      <w:pPr>
        <w:rPr>
          <w:sz w:val="22"/>
          <w:szCs w:val="22"/>
          <w:lang w:val="lv-LV"/>
        </w:rPr>
      </w:pPr>
      <w:r w:rsidRPr="000A1BCF">
        <w:rPr>
          <w:sz w:val="22"/>
          <w:szCs w:val="22"/>
          <w:u w:val="single"/>
          <w:lang w:val="lv-LV"/>
        </w:rPr>
        <w:t>Barošana ar krūti</w:t>
      </w:r>
    </w:p>
    <w:p w14:paraId="033D112B" w14:textId="77777777" w:rsidR="00CA7B51" w:rsidRPr="000A1BCF" w:rsidRDefault="00CA7B51" w:rsidP="00CA7B51">
      <w:pPr>
        <w:rPr>
          <w:sz w:val="22"/>
          <w:szCs w:val="22"/>
          <w:lang w:val="lv-LV"/>
        </w:rPr>
      </w:pPr>
      <w:r w:rsidRPr="00A13181">
        <w:rPr>
          <w:sz w:val="22"/>
          <w:szCs w:val="22"/>
          <w:lang w:val="lv-LV"/>
        </w:rPr>
        <w:t>Žurkām metilprednizolona aceponāts praktiski neizdalījās ar pienu.</w:t>
      </w:r>
      <w:r w:rsidRPr="000A1BCF">
        <w:rPr>
          <w:sz w:val="22"/>
          <w:szCs w:val="22"/>
          <w:lang w:val="lv-LV"/>
        </w:rPr>
        <w:t xml:space="preserve"> Lai gan ir ziņots, ka sistēmiski lietotie kortikosteroīdi izdalās cilvēka pienā, nav zināms, vai metilprednizolona aceponāts izdalās cilvēka pienā. Nav zināms, vai lokālas lietošanas rezultātā notiek sistēmiska metilprednizolona aceponāta absorbcija tādā apjomā, lai tas nosakāmā daudzumā izdalītos mātes pienā. Jāievēro piesardzība, nozīmējot metilprednizolona aceponātu sievietēm zīdīšanas perioda laikā.</w:t>
      </w:r>
    </w:p>
    <w:p w14:paraId="58C8571E" w14:textId="77777777" w:rsidR="00CA7B51" w:rsidRPr="000A1BCF" w:rsidRDefault="00CA7B51" w:rsidP="00CA7B51">
      <w:pPr>
        <w:rPr>
          <w:sz w:val="22"/>
          <w:szCs w:val="22"/>
          <w:lang w:val="lv-LV"/>
        </w:rPr>
      </w:pPr>
    </w:p>
    <w:p w14:paraId="18C2F218" w14:textId="77777777" w:rsidR="00CA7B51" w:rsidRPr="000A1BCF" w:rsidRDefault="00CA7B51" w:rsidP="00CA7B51">
      <w:pPr>
        <w:rPr>
          <w:sz w:val="22"/>
          <w:szCs w:val="22"/>
          <w:lang w:val="lv-LV"/>
        </w:rPr>
      </w:pPr>
      <w:r w:rsidRPr="000A1BCF">
        <w:rPr>
          <w:sz w:val="22"/>
          <w:szCs w:val="22"/>
          <w:lang w:val="lv-LV"/>
        </w:rPr>
        <w:t xml:space="preserve">Mātēm krūts barošanas periodā zāles nedrīkst lietot krūts dziedzeru rajonā. Krūts barošanas laikā </w:t>
      </w:r>
      <w:r>
        <w:rPr>
          <w:sz w:val="22"/>
          <w:szCs w:val="22"/>
          <w:lang w:val="lv-LV"/>
        </w:rPr>
        <w:t>jāizvairās no</w:t>
      </w:r>
      <w:r w:rsidRPr="000A1BCF">
        <w:rPr>
          <w:sz w:val="22"/>
          <w:szCs w:val="22"/>
          <w:lang w:val="lv-LV"/>
        </w:rPr>
        <w:t xml:space="preserve"> plašu ķermeņa virsmas laukumu</w:t>
      </w:r>
      <w:r>
        <w:rPr>
          <w:sz w:val="22"/>
          <w:szCs w:val="22"/>
          <w:lang w:val="lv-LV"/>
        </w:rPr>
        <w:t xml:space="preserve"> ārstēšanas,</w:t>
      </w:r>
      <w:r w:rsidRPr="000A1BCF">
        <w:rPr>
          <w:sz w:val="22"/>
          <w:szCs w:val="22"/>
          <w:lang w:val="lv-LV"/>
        </w:rPr>
        <w:t xml:space="preserve"> ilgstošas Advantan lietošanas vai noslēgta cieša pārsēja lietošanas.</w:t>
      </w:r>
    </w:p>
    <w:p w14:paraId="09CE452F" w14:textId="77777777" w:rsidR="00CA7B51" w:rsidRPr="000A1BCF" w:rsidRDefault="00CA7B51" w:rsidP="00CA7B51">
      <w:pPr>
        <w:rPr>
          <w:sz w:val="22"/>
          <w:szCs w:val="22"/>
          <w:lang w:val="lv-LV"/>
        </w:rPr>
      </w:pPr>
    </w:p>
    <w:p w14:paraId="4940D3F8" w14:textId="77777777" w:rsidR="00CA7B51" w:rsidRPr="000A1BCF" w:rsidRDefault="00CA7B51" w:rsidP="00CA7B51">
      <w:pPr>
        <w:numPr>
          <w:ilvl w:val="1"/>
          <w:numId w:val="2"/>
        </w:numPr>
        <w:ind w:left="567" w:hanging="567"/>
        <w:rPr>
          <w:b/>
          <w:sz w:val="22"/>
          <w:szCs w:val="22"/>
          <w:lang w:val="lv-LV"/>
        </w:rPr>
      </w:pPr>
      <w:r w:rsidRPr="000A1BCF">
        <w:rPr>
          <w:b/>
          <w:sz w:val="22"/>
          <w:szCs w:val="22"/>
          <w:lang w:val="lv-LV"/>
        </w:rPr>
        <w:t>Ietekme uz spēju vadīt transportlīdzekļus un apkalpot mehānismus</w:t>
      </w:r>
    </w:p>
    <w:p w14:paraId="5710BE43" w14:textId="77777777" w:rsidR="00CA7B51" w:rsidRPr="000A1BCF" w:rsidRDefault="00CA7B51" w:rsidP="00CA7B51">
      <w:pPr>
        <w:rPr>
          <w:sz w:val="22"/>
          <w:szCs w:val="22"/>
          <w:lang w:val="lv-LV"/>
        </w:rPr>
      </w:pPr>
    </w:p>
    <w:p w14:paraId="38600321" w14:textId="77777777" w:rsidR="00CA7B51" w:rsidRPr="000A1BCF" w:rsidRDefault="00CA7B51" w:rsidP="00CA7B51">
      <w:pPr>
        <w:rPr>
          <w:sz w:val="22"/>
          <w:szCs w:val="22"/>
          <w:lang w:val="lv-LV"/>
        </w:rPr>
      </w:pPr>
      <w:r w:rsidRPr="000A1BCF">
        <w:rPr>
          <w:sz w:val="22"/>
          <w:szCs w:val="22"/>
          <w:lang w:val="lv-LV"/>
        </w:rPr>
        <w:t>Advantan neietekmē spēju vadīt transportlīdzekļus un apkalpot mehānismus.</w:t>
      </w:r>
    </w:p>
    <w:p w14:paraId="5664ED51" w14:textId="77777777" w:rsidR="00CA7B51" w:rsidRPr="000A1BCF" w:rsidRDefault="00CA7B51" w:rsidP="00CA7B51">
      <w:pPr>
        <w:rPr>
          <w:sz w:val="22"/>
          <w:szCs w:val="22"/>
          <w:lang w:val="lv-LV"/>
        </w:rPr>
      </w:pPr>
    </w:p>
    <w:p w14:paraId="78F11E94" w14:textId="77777777" w:rsidR="00CA7B51" w:rsidRPr="000A1BCF" w:rsidRDefault="00CA7B51" w:rsidP="00CA7B51">
      <w:pPr>
        <w:numPr>
          <w:ilvl w:val="1"/>
          <w:numId w:val="2"/>
        </w:numPr>
        <w:ind w:left="567" w:hanging="567"/>
        <w:rPr>
          <w:b/>
          <w:sz w:val="22"/>
          <w:szCs w:val="22"/>
          <w:lang w:val="lv-LV"/>
        </w:rPr>
      </w:pPr>
      <w:r w:rsidRPr="000A1BCF">
        <w:rPr>
          <w:b/>
          <w:sz w:val="22"/>
          <w:szCs w:val="22"/>
          <w:lang w:val="lv-LV"/>
        </w:rPr>
        <w:t>Nevēlamās blakusparādības</w:t>
      </w:r>
    </w:p>
    <w:p w14:paraId="552F1205" w14:textId="77777777" w:rsidR="00CA7B51" w:rsidRPr="000A1BCF" w:rsidRDefault="00CA7B51" w:rsidP="00CA7B51">
      <w:pPr>
        <w:rPr>
          <w:b/>
          <w:sz w:val="22"/>
          <w:szCs w:val="22"/>
          <w:lang w:val="lv-LV"/>
        </w:rPr>
      </w:pPr>
    </w:p>
    <w:p w14:paraId="09D32635" w14:textId="77777777" w:rsidR="00CA7B51" w:rsidRPr="000A1BCF" w:rsidRDefault="00CA7B51" w:rsidP="00CA7B51">
      <w:pPr>
        <w:rPr>
          <w:bCs/>
          <w:noProof/>
          <w:sz w:val="22"/>
          <w:szCs w:val="22"/>
          <w:lang w:val="lv-LV"/>
        </w:rPr>
      </w:pPr>
      <w:r w:rsidRPr="000A1BCF">
        <w:rPr>
          <w:sz w:val="22"/>
          <w:szCs w:val="22"/>
          <w:lang w:val="lv-LV"/>
        </w:rPr>
        <w:t xml:space="preserve">Nevēlamās blakusparādības sagrupētas ņemot vērā klīnisko pētījumu datu apkopojumu. Novērošanas biežums noteikts atbilstoši </w:t>
      </w:r>
      <w:r w:rsidRPr="000A1BCF">
        <w:rPr>
          <w:noProof/>
          <w:sz w:val="22"/>
          <w:szCs w:val="22"/>
          <w:lang w:val="lv-LV"/>
        </w:rPr>
        <w:t>MedDRA biežuma iedalījumam</w:t>
      </w:r>
      <w:r w:rsidRPr="000A1BCF">
        <w:rPr>
          <w:bCs/>
          <w:noProof/>
          <w:sz w:val="22"/>
          <w:szCs w:val="22"/>
          <w:lang w:val="lv-LV"/>
        </w:rPr>
        <w:t>.</w:t>
      </w:r>
    </w:p>
    <w:p w14:paraId="046D714F" w14:textId="77777777" w:rsidR="00CA7B51" w:rsidRPr="000A1BCF" w:rsidRDefault="00CA7B51" w:rsidP="00CA7B51">
      <w:pPr>
        <w:rPr>
          <w:bCs/>
          <w:noProof/>
          <w:sz w:val="22"/>
          <w:szCs w:val="22"/>
          <w:lang w:val="lv-LV"/>
        </w:rPr>
      </w:pPr>
      <w:r w:rsidRPr="000A1BCF">
        <w:rPr>
          <w:bCs/>
          <w:noProof/>
          <w:sz w:val="22"/>
          <w:szCs w:val="22"/>
          <w:lang w:val="lv-LV"/>
        </w:rPr>
        <w:t>Ļoti bieži (</w:t>
      </w:r>
      <w:r w:rsidRPr="000A1BCF">
        <w:rPr>
          <w:bCs/>
          <w:noProof/>
          <w:sz w:val="22"/>
          <w:szCs w:val="22"/>
          <w:lang w:val="lv-LV"/>
        </w:rPr>
        <w:sym w:font="Symbol" w:char="F0B3"/>
      </w:r>
      <w:r w:rsidRPr="000A1BCF">
        <w:rPr>
          <w:bCs/>
          <w:noProof/>
          <w:sz w:val="22"/>
          <w:szCs w:val="22"/>
          <w:lang w:val="lv-LV"/>
        </w:rPr>
        <w:t>1/10)</w:t>
      </w:r>
    </w:p>
    <w:p w14:paraId="75A0A40F" w14:textId="77777777" w:rsidR="00CA7B51" w:rsidRPr="000A1BCF" w:rsidRDefault="00CA7B51" w:rsidP="00CA7B51">
      <w:pPr>
        <w:rPr>
          <w:bCs/>
          <w:noProof/>
          <w:sz w:val="22"/>
          <w:szCs w:val="22"/>
          <w:lang w:val="lv-LV"/>
        </w:rPr>
      </w:pPr>
      <w:r w:rsidRPr="000A1BCF">
        <w:rPr>
          <w:bCs/>
          <w:noProof/>
          <w:sz w:val="22"/>
          <w:szCs w:val="22"/>
          <w:lang w:val="lv-LV"/>
        </w:rPr>
        <w:t>Bieži (</w:t>
      </w:r>
      <w:r w:rsidRPr="000A1BCF">
        <w:rPr>
          <w:bCs/>
          <w:noProof/>
          <w:sz w:val="22"/>
          <w:szCs w:val="22"/>
          <w:lang w:val="lv-LV"/>
        </w:rPr>
        <w:sym w:font="Symbol" w:char="F0B3"/>
      </w:r>
      <w:r w:rsidRPr="000A1BCF">
        <w:rPr>
          <w:bCs/>
          <w:noProof/>
          <w:sz w:val="22"/>
          <w:szCs w:val="22"/>
          <w:lang w:val="lv-LV"/>
        </w:rPr>
        <w:t>1/100 līdz &lt;1/10)</w:t>
      </w:r>
    </w:p>
    <w:p w14:paraId="2EC2D4C7" w14:textId="77777777" w:rsidR="00CA7B51" w:rsidRPr="000A1BCF" w:rsidRDefault="00CA7B51" w:rsidP="00CA7B51">
      <w:pPr>
        <w:rPr>
          <w:bCs/>
          <w:noProof/>
          <w:sz w:val="22"/>
          <w:szCs w:val="22"/>
          <w:lang w:val="lv-LV"/>
        </w:rPr>
      </w:pPr>
      <w:r w:rsidRPr="000A1BCF">
        <w:rPr>
          <w:bCs/>
          <w:noProof/>
          <w:sz w:val="22"/>
          <w:szCs w:val="22"/>
          <w:lang w:val="lv-LV"/>
        </w:rPr>
        <w:t>Retāk (</w:t>
      </w:r>
      <w:r w:rsidRPr="000A1BCF">
        <w:rPr>
          <w:bCs/>
          <w:noProof/>
          <w:sz w:val="22"/>
          <w:szCs w:val="22"/>
          <w:lang w:val="lv-LV"/>
        </w:rPr>
        <w:sym w:font="Symbol" w:char="F0B3"/>
      </w:r>
      <w:r w:rsidRPr="000A1BCF">
        <w:rPr>
          <w:bCs/>
          <w:noProof/>
          <w:sz w:val="22"/>
          <w:szCs w:val="22"/>
          <w:lang w:val="lv-LV"/>
        </w:rPr>
        <w:t>1/1 000 līdz &lt;1/100)</w:t>
      </w:r>
    </w:p>
    <w:p w14:paraId="03699D8E" w14:textId="77777777" w:rsidR="00CA7B51" w:rsidRPr="000A1BCF" w:rsidRDefault="00CA7B51" w:rsidP="00CA7B51">
      <w:pPr>
        <w:rPr>
          <w:bCs/>
          <w:noProof/>
          <w:sz w:val="22"/>
          <w:szCs w:val="22"/>
          <w:lang w:val="lv-LV"/>
        </w:rPr>
      </w:pPr>
      <w:r w:rsidRPr="000A1BCF">
        <w:rPr>
          <w:bCs/>
          <w:noProof/>
          <w:sz w:val="22"/>
          <w:szCs w:val="22"/>
          <w:lang w:val="lv-LV"/>
        </w:rPr>
        <w:t>Reti (</w:t>
      </w:r>
      <w:r w:rsidRPr="000A1BCF">
        <w:rPr>
          <w:bCs/>
          <w:noProof/>
          <w:sz w:val="22"/>
          <w:szCs w:val="22"/>
          <w:lang w:val="lv-LV"/>
        </w:rPr>
        <w:sym w:font="Symbol" w:char="F0B3"/>
      </w:r>
      <w:r w:rsidRPr="000A1BCF">
        <w:rPr>
          <w:bCs/>
          <w:noProof/>
          <w:sz w:val="22"/>
          <w:szCs w:val="22"/>
          <w:lang w:val="lv-LV"/>
        </w:rPr>
        <w:t>1/10 000 līdz &lt;1/1 000)</w:t>
      </w:r>
    </w:p>
    <w:p w14:paraId="05CDFA1A" w14:textId="77777777" w:rsidR="00CA7B51" w:rsidRPr="000A1BCF" w:rsidRDefault="00CA7B51" w:rsidP="00CA7B51">
      <w:pPr>
        <w:rPr>
          <w:bCs/>
          <w:noProof/>
          <w:sz w:val="22"/>
          <w:szCs w:val="22"/>
          <w:lang w:val="lv-LV"/>
        </w:rPr>
      </w:pPr>
      <w:r w:rsidRPr="000A1BCF">
        <w:rPr>
          <w:bCs/>
          <w:noProof/>
          <w:sz w:val="22"/>
          <w:szCs w:val="22"/>
          <w:lang w:val="lv-LV"/>
        </w:rPr>
        <w:t>Ļoti reti (&lt;1/10 000)</w:t>
      </w:r>
    </w:p>
    <w:p w14:paraId="4A005CAF" w14:textId="77777777" w:rsidR="00CA7B51" w:rsidRPr="000A1BCF" w:rsidRDefault="00CA7B51" w:rsidP="00CA7B51">
      <w:pPr>
        <w:rPr>
          <w:bCs/>
          <w:noProof/>
          <w:sz w:val="22"/>
          <w:szCs w:val="22"/>
          <w:lang w:val="lv-LV"/>
        </w:rPr>
      </w:pPr>
      <w:r w:rsidRPr="000A1BCF">
        <w:rPr>
          <w:bCs/>
          <w:noProof/>
          <w:sz w:val="22"/>
          <w:szCs w:val="22"/>
          <w:lang w:val="lv-LV"/>
        </w:rPr>
        <w:t>Nav zināmi (nevar noteikt pēc pieejamiem datiem)</w:t>
      </w:r>
    </w:p>
    <w:p w14:paraId="0AF089FB" w14:textId="77777777" w:rsidR="00CA7B51" w:rsidRPr="000A1BCF" w:rsidRDefault="00CA7B51" w:rsidP="00CA7B51">
      <w:pPr>
        <w:rPr>
          <w:sz w:val="22"/>
          <w:szCs w:val="22"/>
          <w:lang w:val="lv-LV"/>
        </w:rPr>
      </w:pPr>
    </w:p>
    <w:tbl>
      <w:tblPr>
        <w:tblW w:w="48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338"/>
        <w:gridCol w:w="2337"/>
        <w:gridCol w:w="2339"/>
      </w:tblGrid>
      <w:tr w:rsidR="00CA7B51" w:rsidRPr="000A1BCF" w14:paraId="7D9E9568" w14:textId="77777777" w:rsidTr="004806EC">
        <w:tc>
          <w:tcPr>
            <w:tcW w:w="975" w:type="pct"/>
            <w:tcBorders>
              <w:top w:val="single" w:sz="4" w:space="0" w:color="auto"/>
              <w:left w:val="single" w:sz="4" w:space="0" w:color="auto"/>
              <w:bottom w:val="single" w:sz="4" w:space="0" w:color="auto"/>
              <w:right w:val="single" w:sz="4" w:space="0" w:color="auto"/>
            </w:tcBorders>
          </w:tcPr>
          <w:p w14:paraId="48EA24F2" w14:textId="77777777" w:rsidR="00CA7B51" w:rsidRPr="000A1BCF" w:rsidRDefault="00CA7B51" w:rsidP="004806EC">
            <w:pPr>
              <w:pStyle w:val="Title"/>
              <w:ind w:right="-29"/>
              <w:jc w:val="left"/>
              <w:rPr>
                <w:b w:val="0"/>
              </w:rPr>
            </w:pPr>
            <w:r w:rsidRPr="000A1BCF">
              <w:rPr>
                <w:b w:val="0"/>
              </w:rPr>
              <w:t>Orgānu sistēmu klase</w:t>
            </w:r>
          </w:p>
        </w:tc>
        <w:tc>
          <w:tcPr>
            <w:tcW w:w="1341" w:type="pct"/>
            <w:tcBorders>
              <w:top w:val="single" w:sz="4" w:space="0" w:color="auto"/>
              <w:left w:val="single" w:sz="4" w:space="0" w:color="auto"/>
              <w:bottom w:val="single" w:sz="4" w:space="0" w:color="auto"/>
              <w:right w:val="single" w:sz="4" w:space="0" w:color="auto"/>
            </w:tcBorders>
          </w:tcPr>
          <w:p w14:paraId="59982BAF" w14:textId="77777777" w:rsidR="00CA7B51" w:rsidRPr="000A1BCF" w:rsidRDefault="00CA7B51" w:rsidP="004806EC">
            <w:pPr>
              <w:pStyle w:val="Title"/>
              <w:ind w:right="-29"/>
              <w:jc w:val="left"/>
              <w:rPr>
                <w:b w:val="0"/>
                <w:bCs w:val="0"/>
              </w:rPr>
            </w:pPr>
            <w:r w:rsidRPr="000A1BCF">
              <w:rPr>
                <w:b w:val="0"/>
                <w:bCs w:val="0"/>
              </w:rPr>
              <w:t>Bieži</w:t>
            </w:r>
          </w:p>
          <w:p w14:paraId="3DD0B543" w14:textId="77777777" w:rsidR="00CA7B51" w:rsidRPr="000A1BCF" w:rsidRDefault="00CA7B51" w:rsidP="004806EC">
            <w:pPr>
              <w:pStyle w:val="Title"/>
              <w:ind w:right="-29"/>
              <w:jc w:val="left"/>
              <w:rPr>
                <w:b w:val="0"/>
              </w:rPr>
            </w:pPr>
            <w:r w:rsidRPr="000A1BCF">
              <w:rPr>
                <w:b w:val="0"/>
                <w:bCs w:val="0"/>
              </w:rPr>
              <w:t>(</w:t>
            </w:r>
            <w:r w:rsidRPr="000A1BCF">
              <w:rPr>
                <w:b w:val="0"/>
                <w:bCs w:val="0"/>
              </w:rPr>
              <w:sym w:font="Symbol" w:char="F0B3"/>
            </w:r>
            <w:r w:rsidRPr="000A1BCF">
              <w:rPr>
                <w:b w:val="0"/>
                <w:bCs w:val="0"/>
              </w:rPr>
              <w:t>1/100 līdz &lt;1/10)</w:t>
            </w:r>
          </w:p>
        </w:tc>
        <w:tc>
          <w:tcPr>
            <w:tcW w:w="1341" w:type="pct"/>
            <w:tcBorders>
              <w:top w:val="single" w:sz="4" w:space="0" w:color="auto"/>
              <w:left w:val="single" w:sz="4" w:space="0" w:color="auto"/>
              <w:bottom w:val="single" w:sz="4" w:space="0" w:color="auto"/>
              <w:right w:val="single" w:sz="4" w:space="0" w:color="auto"/>
            </w:tcBorders>
          </w:tcPr>
          <w:p w14:paraId="0AC69945" w14:textId="77777777" w:rsidR="00CA7B51" w:rsidRPr="000A1BCF" w:rsidRDefault="00CA7B51" w:rsidP="004806EC">
            <w:pPr>
              <w:pStyle w:val="Title"/>
              <w:ind w:right="-29"/>
              <w:jc w:val="left"/>
              <w:rPr>
                <w:b w:val="0"/>
                <w:bCs w:val="0"/>
              </w:rPr>
            </w:pPr>
            <w:r w:rsidRPr="000A1BCF">
              <w:rPr>
                <w:b w:val="0"/>
                <w:bCs w:val="0"/>
              </w:rPr>
              <w:t>Retāk</w:t>
            </w:r>
          </w:p>
          <w:p w14:paraId="7FF29BF1" w14:textId="77777777" w:rsidR="00CA7B51" w:rsidRPr="000A1BCF" w:rsidRDefault="00CA7B51" w:rsidP="004806EC">
            <w:pPr>
              <w:pStyle w:val="Title"/>
              <w:ind w:right="-29"/>
              <w:jc w:val="left"/>
              <w:rPr>
                <w:b w:val="0"/>
              </w:rPr>
            </w:pPr>
            <w:r w:rsidRPr="000A1BCF">
              <w:rPr>
                <w:b w:val="0"/>
                <w:bCs w:val="0"/>
              </w:rPr>
              <w:t>(</w:t>
            </w:r>
            <w:r w:rsidRPr="000A1BCF">
              <w:rPr>
                <w:b w:val="0"/>
                <w:bCs w:val="0"/>
              </w:rPr>
              <w:sym w:font="Symbol" w:char="F0B3"/>
            </w:r>
            <w:r w:rsidRPr="000A1BCF">
              <w:rPr>
                <w:b w:val="0"/>
                <w:bCs w:val="0"/>
              </w:rPr>
              <w:t>1/1 000 līdz &lt;1/100)</w:t>
            </w:r>
          </w:p>
        </w:tc>
        <w:tc>
          <w:tcPr>
            <w:tcW w:w="1342" w:type="pct"/>
            <w:tcBorders>
              <w:top w:val="single" w:sz="4" w:space="0" w:color="auto"/>
              <w:left w:val="single" w:sz="4" w:space="0" w:color="auto"/>
              <w:bottom w:val="single" w:sz="4" w:space="0" w:color="auto"/>
              <w:right w:val="single" w:sz="4" w:space="0" w:color="auto"/>
            </w:tcBorders>
          </w:tcPr>
          <w:p w14:paraId="19556F61" w14:textId="77777777" w:rsidR="00CA7B51" w:rsidRPr="000A1BCF" w:rsidRDefault="00CA7B51" w:rsidP="004806EC">
            <w:pPr>
              <w:pStyle w:val="Title"/>
              <w:ind w:right="-29"/>
              <w:jc w:val="left"/>
              <w:rPr>
                <w:b w:val="0"/>
              </w:rPr>
            </w:pPr>
            <w:r w:rsidRPr="000A1BCF">
              <w:rPr>
                <w:b w:val="0"/>
              </w:rPr>
              <w:t>Nav zināmi*</w:t>
            </w:r>
          </w:p>
        </w:tc>
      </w:tr>
      <w:tr w:rsidR="00CA7B51" w:rsidRPr="000132D6" w14:paraId="4507E2B8" w14:textId="77777777" w:rsidTr="004806EC">
        <w:tc>
          <w:tcPr>
            <w:tcW w:w="975" w:type="pct"/>
            <w:tcBorders>
              <w:top w:val="single" w:sz="4" w:space="0" w:color="auto"/>
              <w:left w:val="single" w:sz="4" w:space="0" w:color="auto"/>
              <w:bottom w:val="single" w:sz="4" w:space="0" w:color="auto"/>
              <w:right w:val="single" w:sz="4" w:space="0" w:color="auto"/>
            </w:tcBorders>
          </w:tcPr>
          <w:p w14:paraId="47D6A753" w14:textId="77777777" w:rsidR="00CA7B51" w:rsidRPr="000A1BCF" w:rsidRDefault="00CA7B51" w:rsidP="004806EC">
            <w:pPr>
              <w:pStyle w:val="Header"/>
              <w:rPr>
                <w:bCs/>
                <w:sz w:val="22"/>
                <w:szCs w:val="22"/>
                <w:lang w:val="lv-LV"/>
              </w:rPr>
            </w:pPr>
            <w:r w:rsidRPr="000A1BCF">
              <w:rPr>
                <w:bCs/>
                <w:sz w:val="22"/>
                <w:szCs w:val="22"/>
                <w:lang w:val="lv-LV"/>
              </w:rPr>
              <w:t>Imūnās sistēmas traucējumi</w:t>
            </w:r>
          </w:p>
        </w:tc>
        <w:tc>
          <w:tcPr>
            <w:tcW w:w="1341" w:type="pct"/>
            <w:tcBorders>
              <w:top w:val="single" w:sz="4" w:space="0" w:color="auto"/>
              <w:left w:val="single" w:sz="4" w:space="0" w:color="auto"/>
              <w:bottom w:val="single" w:sz="4" w:space="0" w:color="auto"/>
              <w:right w:val="single" w:sz="4" w:space="0" w:color="auto"/>
            </w:tcBorders>
          </w:tcPr>
          <w:p w14:paraId="10DDEE67" w14:textId="77777777" w:rsidR="00CA7B51" w:rsidRPr="000A1BCF" w:rsidRDefault="00CA7B51" w:rsidP="004806EC">
            <w:pPr>
              <w:pStyle w:val="Header"/>
              <w:rPr>
                <w:sz w:val="22"/>
                <w:szCs w:val="22"/>
                <w:lang w:val="lv-LV"/>
              </w:rPr>
            </w:pPr>
          </w:p>
        </w:tc>
        <w:tc>
          <w:tcPr>
            <w:tcW w:w="1341" w:type="pct"/>
            <w:tcBorders>
              <w:top w:val="single" w:sz="4" w:space="0" w:color="auto"/>
              <w:left w:val="single" w:sz="4" w:space="0" w:color="auto"/>
              <w:bottom w:val="single" w:sz="4" w:space="0" w:color="auto"/>
              <w:right w:val="single" w:sz="4" w:space="0" w:color="auto"/>
            </w:tcBorders>
          </w:tcPr>
          <w:p w14:paraId="2D0F9154" w14:textId="77777777" w:rsidR="00CA7B51" w:rsidRPr="000A1BCF" w:rsidRDefault="00CA7B51" w:rsidP="004806EC">
            <w:pPr>
              <w:pStyle w:val="Header"/>
              <w:rPr>
                <w:sz w:val="22"/>
                <w:szCs w:val="22"/>
                <w:lang w:val="lv-LV"/>
              </w:rPr>
            </w:pPr>
          </w:p>
        </w:tc>
        <w:tc>
          <w:tcPr>
            <w:tcW w:w="1342" w:type="pct"/>
            <w:tcBorders>
              <w:top w:val="single" w:sz="4" w:space="0" w:color="auto"/>
              <w:left w:val="single" w:sz="4" w:space="0" w:color="auto"/>
              <w:bottom w:val="single" w:sz="4" w:space="0" w:color="auto"/>
              <w:right w:val="single" w:sz="4" w:space="0" w:color="auto"/>
            </w:tcBorders>
          </w:tcPr>
          <w:p w14:paraId="494707ED" w14:textId="77777777" w:rsidR="00CA7B51" w:rsidRPr="000A1BCF" w:rsidRDefault="00CA7B51" w:rsidP="004806EC">
            <w:pPr>
              <w:pStyle w:val="Header"/>
              <w:rPr>
                <w:sz w:val="22"/>
                <w:szCs w:val="22"/>
                <w:lang w:val="lv-LV"/>
              </w:rPr>
            </w:pPr>
            <w:r w:rsidRPr="000A1BCF">
              <w:rPr>
                <w:sz w:val="22"/>
                <w:szCs w:val="22"/>
                <w:lang w:val="lv-LV"/>
              </w:rPr>
              <w:t>Paaugstināta jutība pret kādu no zāļu sastāvdaļām</w:t>
            </w:r>
          </w:p>
        </w:tc>
      </w:tr>
      <w:tr w:rsidR="00CA7B51" w:rsidRPr="000132D6" w14:paraId="5EB729F5" w14:textId="77777777" w:rsidTr="004806EC">
        <w:tc>
          <w:tcPr>
            <w:tcW w:w="975" w:type="pct"/>
            <w:tcBorders>
              <w:top w:val="single" w:sz="4" w:space="0" w:color="auto"/>
              <w:left w:val="single" w:sz="4" w:space="0" w:color="auto"/>
              <w:bottom w:val="single" w:sz="4" w:space="0" w:color="auto"/>
              <w:right w:val="single" w:sz="4" w:space="0" w:color="auto"/>
            </w:tcBorders>
          </w:tcPr>
          <w:p w14:paraId="5A917B98" w14:textId="77777777" w:rsidR="00CA7B51" w:rsidRPr="000A1BCF" w:rsidRDefault="00CA7B51" w:rsidP="004806EC">
            <w:pPr>
              <w:pStyle w:val="Header"/>
              <w:rPr>
                <w:bCs/>
                <w:sz w:val="22"/>
                <w:szCs w:val="22"/>
                <w:lang w:val="lv-LV"/>
              </w:rPr>
            </w:pPr>
            <w:r>
              <w:rPr>
                <w:bCs/>
                <w:sz w:val="22"/>
                <w:szCs w:val="22"/>
                <w:lang w:val="lv-LV"/>
              </w:rPr>
              <w:t>Acu bojājumi</w:t>
            </w:r>
          </w:p>
        </w:tc>
        <w:tc>
          <w:tcPr>
            <w:tcW w:w="1341" w:type="pct"/>
            <w:tcBorders>
              <w:top w:val="single" w:sz="4" w:space="0" w:color="auto"/>
              <w:left w:val="single" w:sz="4" w:space="0" w:color="auto"/>
              <w:bottom w:val="single" w:sz="4" w:space="0" w:color="auto"/>
              <w:right w:val="single" w:sz="4" w:space="0" w:color="auto"/>
            </w:tcBorders>
          </w:tcPr>
          <w:p w14:paraId="1A3F4C64" w14:textId="77777777" w:rsidR="00CA7B51" w:rsidRPr="000A1BCF" w:rsidRDefault="00CA7B51" w:rsidP="004806EC">
            <w:pPr>
              <w:pStyle w:val="Header"/>
              <w:rPr>
                <w:sz w:val="22"/>
                <w:szCs w:val="22"/>
                <w:lang w:val="lv-LV"/>
              </w:rPr>
            </w:pPr>
          </w:p>
        </w:tc>
        <w:tc>
          <w:tcPr>
            <w:tcW w:w="1341" w:type="pct"/>
            <w:tcBorders>
              <w:top w:val="single" w:sz="4" w:space="0" w:color="auto"/>
              <w:left w:val="single" w:sz="4" w:space="0" w:color="auto"/>
              <w:bottom w:val="single" w:sz="4" w:space="0" w:color="auto"/>
              <w:right w:val="single" w:sz="4" w:space="0" w:color="auto"/>
            </w:tcBorders>
          </w:tcPr>
          <w:p w14:paraId="09624776" w14:textId="77777777" w:rsidR="00CA7B51" w:rsidRPr="000A1BCF" w:rsidRDefault="00CA7B51" w:rsidP="004806EC">
            <w:pPr>
              <w:pStyle w:val="Header"/>
              <w:rPr>
                <w:sz w:val="22"/>
                <w:szCs w:val="22"/>
                <w:lang w:val="lv-LV"/>
              </w:rPr>
            </w:pPr>
          </w:p>
        </w:tc>
        <w:tc>
          <w:tcPr>
            <w:tcW w:w="1342" w:type="pct"/>
            <w:tcBorders>
              <w:top w:val="single" w:sz="4" w:space="0" w:color="auto"/>
              <w:left w:val="single" w:sz="4" w:space="0" w:color="auto"/>
              <w:bottom w:val="single" w:sz="4" w:space="0" w:color="auto"/>
              <w:right w:val="single" w:sz="4" w:space="0" w:color="auto"/>
            </w:tcBorders>
          </w:tcPr>
          <w:p w14:paraId="1A5C3703" w14:textId="77777777" w:rsidR="00CA7B51" w:rsidRPr="000A1BCF" w:rsidRDefault="00CA7B51" w:rsidP="004806EC">
            <w:pPr>
              <w:pStyle w:val="Header"/>
              <w:rPr>
                <w:sz w:val="22"/>
                <w:szCs w:val="22"/>
                <w:lang w:val="lv-LV"/>
              </w:rPr>
            </w:pPr>
            <w:r>
              <w:rPr>
                <w:sz w:val="22"/>
                <w:szCs w:val="22"/>
                <w:lang w:val="lv-LV"/>
              </w:rPr>
              <w:t>Neskaidra redze (skatīt arī 4.4. apakšpunktā)</w:t>
            </w:r>
          </w:p>
        </w:tc>
      </w:tr>
      <w:tr w:rsidR="00CA7B51" w:rsidRPr="000132D6" w14:paraId="57D7C9C3" w14:textId="77777777" w:rsidTr="004806EC">
        <w:tc>
          <w:tcPr>
            <w:tcW w:w="975" w:type="pct"/>
            <w:tcBorders>
              <w:top w:val="single" w:sz="4" w:space="0" w:color="auto"/>
              <w:left w:val="single" w:sz="4" w:space="0" w:color="auto"/>
              <w:bottom w:val="single" w:sz="4" w:space="0" w:color="auto"/>
              <w:right w:val="single" w:sz="4" w:space="0" w:color="auto"/>
            </w:tcBorders>
          </w:tcPr>
          <w:p w14:paraId="33D17ADD" w14:textId="77777777" w:rsidR="00CA7B51" w:rsidRPr="000A1BCF" w:rsidRDefault="00CA7B51" w:rsidP="004806EC">
            <w:pPr>
              <w:pStyle w:val="Header"/>
              <w:rPr>
                <w:sz w:val="22"/>
                <w:szCs w:val="22"/>
                <w:lang w:val="lv-LV"/>
              </w:rPr>
            </w:pPr>
            <w:r w:rsidRPr="000A1BCF">
              <w:rPr>
                <w:bCs/>
                <w:sz w:val="22"/>
                <w:szCs w:val="22"/>
                <w:lang w:val="lv-LV"/>
              </w:rPr>
              <w:t xml:space="preserve">Ādas un zemādas audu bojājumi </w:t>
            </w:r>
          </w:p>
        </w:tc>
        <w:tc>
          <w:tcPr>
            <w:tcW w:w="1341" w:type="pct"/>
            <w:tcBorders>
              <w:top w:val="single" w:sz="4" w:space="0" w:color="auto"/>
              <w:left w:val="single" w:sz="4" w:space="0" w:color="auto"/>
              <w:bottom w:val="single" w:sz="4" w:space="0" w:color="auto"/>
              <w:right w:val="single" w:sz="4" w:space="0" w:color="auto"/>
            </w:tcBorders>
          </w:tcPr>
          <w:p w14:paraId="0663487B" w14:textId="77777777" w:rsidR="00CA7B51" w:rsidRPr="000A1BCF" w:rsidRDefault="00CA7B51" w:rsidP="004806EC">
            <w:pPr>
              <w:pStyle w:val="Header"/>
              <w:rPr>
                <w:sz w:val="22"/>
                <w:szCs w:val="22"/>
                <w:lang w:val="lv-LV"/>
              </w:rPr>
            </w:pPr>
          </w:p>
        </w:tc>
        <w:tc>
          <w:tcPr>
            <w:tcW w:w="1341" w:type="pct"/>
            <w:tcBorders>
              <w:top w:val="single" w:sz="4" w:space="0" w:color="auto"/>
              <w:left w:val="single" w:sz="4" w:space="0" w:color="auto"/>
              <w:bottom w:val="single" w:sz="4" w:space="0" w:color="auto"/>
              <w:right w:val="single" w:sz="4" w:space="0" w:color="auto"/>
            </w:tcBorders>
          </w:tcPr>
          <w:p w14:paraId="29E04225" w14:textId="77777777" w:rsidR="00CA7B51" w:rsidRPr="000A1BCF" w:rsidRDefault="00CA7B51" w:rsidP="004806EC">
            <w:pPr>
              <w:pStyle w:val="Header"/>
              <w:rPr>
                <w:sz w:val="22"/>
                <w:szCs w:val="22"/>
                <w:lang w:val="lv-LV"/>
              </w:rPr>
            </w:pPr>
            <w:r w:rsidRPr="000A1BCF">
              <w:rPr>
                <w:sz w:val="22"/>
                <w:szCs w:val="22"/>
                <w:lang w:val="lv-LV"/>
              </w:rPr>
              <w:t>Ekzēma, ādas zvīņošanās, ādas plaisāšana</w:t>
            </w:r>
          </w:p>
        </w:tc>
        <w:tc>
          <w:tcPr>
            <w:tcW w:w="1342" w:type="pct"/>
            <w:tcBorders>
              <w:top w:val="single" w:sz="4" w:space="0" w:color="auto"/>
              <w:left w:val="single" w:sz="4" w:space="0" w:color="auto"/>
              <w:bottom w:val="single" w:sz="4" w:space="0" w:color="auto"/>
              <w:right w:val="single" w:sz="4" w:space="0" w:color="auto"/>
            </w:tcBorders>
          </w:tcPr>
          <w:p w14:paraId="1B564668" w14:textId="77777777" w:rsidR="00CA7B51" w:rsidRPr="000A1BCF" w:rsidRDefault="00CA7B51" w:rsidP="004806EC">
            <w:pPr>
              <w:pStyle w:val="Header"/>
              <w:rPr>
                <w:sz w:val="22"/>
                <w:szCs w:val="22"/>
                <w:lang w:val="lv-LV"/>
              </w:rPr>
            </w:pPr>
            <w:r w:rsidRPr="000A1BCF">
              <w:rPr>
                <w:sz w:val="22"/>
                <w:szCs w:val="22"/>
                <w:lang w:val="lv-LV"/>
              </w:rPr>
              <w:t xml:space="preserve">Pinnes, </w:t>
            </w:r>
            <w:r w:rsidRPr="00A13181">
              <w:rPr>
                <w:sz w:val="22"/>
                <w:szCs w:val="22"/>
                <w:lang w:val="lv-LV"/>
              </w:rPr>
              <w:t>teleangiektāzijas,</w:t>
            </w:r>
            <w:r w:rsidRPr="000A1BCF">
              <w:rPr>
                <w:sz w:val="22"/>
                <w:szCs w:val="22"/>
                <w:lang w:val="lv-LV"/>
              </w:rPr>
              <w:t xml:space="preserve"> ādas atrofija, strijas, </w:t>
            </w:r>
            <w:r w:rsidRPr="000A1BCF">
              <w:rPr>
                <w:sz w:val="22"/>
                <w:szCs w:val="22"/>
                <w:lang w:val="lv-LV"/>
              </w:rPr>
              <w:lastRenderedPageBreak/>
              <w:t>periorāls dermatīts, ādas krāsas izmaiņas</w:t>
            </w:r>
          </w:p>
        </w:tc>
      </w:tr>
      <w:tr w:rsidR="00CA7B51" w:rsidRPr="000A1BCF" w14:paraId="462E82DE" w14:textId="77777777" w:rsidTr="004806EC">
        <w:tc>
          <w:tcPr>
            <w:tcW w:w="975" w:type="pct"/>
            <w:tcBorders>
              <w:top w:val="single" w:sz="4" w:space="0" w:color="auto"/>
              <w:left w:val="single" w:sz="4" w:space="0" w:color="auto"/>
              <w:bottom w:val="single" w:sz="4" w:space="0" w:color="auto"/>
              <w:right w:val="single" w:sz="4" w:space="0" w:color="auto"/>
            </w:tcBorders>
          </w:tcPr>
          <w:p w14:paraId="0C6430B5" w14:textId="77777777" w:rsidR="00CA7B51" w:rsidRPr="000A1BCF" w:rsidRDefault="00CA7B51" w:rsidP="004806EC">
            <w:pPr>
              <w:pStyle w:val="Header"/>
              <w:rPr>
                <w:sz w:val="22"/>
                <w:szCs w:val="22"/>
                <w:lang w:val="lv-LV"/>
              </w:rPr>
            </w:pPr>
            <w:r w:rsidRPr="000A1BCF">
              <w:rPr>
                <w:bCs/>
                <w:sz w:val="22"/>
                <w:szCs w:val="22"/>
                <w:lang w:val="lv-LV"/>
              </w:rPr>
              <w:lastRenderedPageBreak/>
              <w:t>Vispārēji traucējumi un reakcijas ievadīšanas vietā</w:t>
            </w:r>
            <w:r w:rsidRPr="000A1BCF">
              <w:rPr>
                <w:sz w:val="22"/>
                <w:szCs w:val="22"/>
                <w:lang w:val="lv-LV"/>
              </w:rPr>
              <w:t xml:space="preserve"> </w:t>
            </w:r>
          </w:p>
        </w:tc>
        <w:tc>
          <w:tcPr>
            <w:tcW w:w="1341" w:type="pct"/>
            <w:tcBorders>
              <w:top w:val="single" w:sz="4" w:space="0" w:color="auto"/>
              <w:left w:val="single" w:sz="4" w:space="0" w:color="auto"/>
              <w:bottom w:val="single" w:sz="4" w:space="0" w:color="auto"/>
              <w:right w:val="single" w:sz="4" w:space="0" w:color="auto"/>
            </w:tcBorders>
          </w:tcPr>
          <w:p w14:paraId="7AAD54AF" w14:textId="77777777" w:rsidR="00CA7B51" w:rsidRPr="000A1BCF" w:rsidRDefault="00CA7B51" w:rsidP="004806EC">
            <w:pPr>
              <w:pStyle w:val="Header"/>
              <w:rPr>
                <w:sz w:val="22"/>
                <w:szCs w:val="22"/>
                <w:lang w:val="lv-LV"/>
              </w:rPr>
            </w:pPr>
            <w:r>
              <w:rPr>
                <w:sz w:val="22"/>
                <w:szCs w:val="22"/>
                <w:lang w:val="lv-LV"/>
              </w:rPr>
              <w:t>D</w:t>
            </w:r>
            <w:r w:rsidRPr="000A1BCF">
              <w:rPr>
                <w:sz w:val="22"/>
                <w:szCs w:val="22"/>
                <w:lang w:val="lv-LV"/>
              </w:rPr>
              <w:t xml:space="preserve">edzināšana lietošanas vietā </w:t>
            </w:r>
          </w:p>
        </w:tc>
        <w:tc>
          <w:tcPr>
            <w:tcW w:w="1341" w:type="pct"/>
            <w:tcBorders>
              <w:top w:val="single" w:sz="4" w:space="0" w:color="auto"/>
              <w:left w:val="single" w:sz="4" w:space="0" w:color="auto"/>
              <w:bottom w:val="single" w:sz="4" w:space="0" w:color="auto"/>
              <w:right w:val="single" w:sz="4" w:space="0" w:color="auto"/>
            </w:tcBorders>
          </w:tcPr>
          <w:p w14:paraId="6696C1F8" w14:textId="77777777" w:rsidR="00CA7B51" w:rsidRPr="000A1BCF" w:rsidRDefault="00CA7B51" w:rsidP="004806EC">
            <w:pPr>
              <w:pStyle w:val="Header"/>
              <w:rPr>
                <w:sz w:val="22"/>
                <w:szCs w:val="22"/>
                <w:lang w:val="lv-LV"/>
              </w:rPr>
            </w:pPr>
            <w:r w:rsidRPr="000A1BCF">
              <w:rPr>
                <w:sz w:val="22"/>
                <w:szCs w:val="22"/>
                <w:lang w:val="lv-LV"/>
              </w:rPr>
              <w:t xml:space="preserve">Reakcijas lietošanas vietā: nieze, sāpes, pūslīšu, pustulu un </w:t>
            </w:r>
            <w:r>
              <w:rPr>
                <w:sz w:val="22"/>
                <w:szCs w:val="22"/>
                <w:lang w:val="lv-LV"/>
              </w:rPr>
              <w:t>erozijas</w:t>
            </w:r>
            <w:r w:rsidRPr="000A1BCF">
              <w:rPr>
                <w:sz w:val="22"/>
                <w:szCs w:val="22"/>
                <w:lang w:val="lv-LV"/>
              </w:rPr>
              <w:t xml:space="preserve"> veidošanās</w:t>
            </w:r>
          </w:p>
        </w:tc>
        <w:tc>
          <w:tcPr>
            <w:tcW w:w="1342" w:type="pct"/>
            <w:tcBorders>
              <w:top w:val="single" w:sz="4" w:space="0" w:color="auto"/>
              <w:left w:val="single" w:sz="4" w:space="0" w:color="auto"/>
              <w:bottom w:val="single" w:sz="4" w:space="0" w:color="auto"/>
              <w:right w:val="single" w:sz="4" w:space="0" w:color="auto"/>
            </w:tcBorders>
          </w:tcPr>
          <w:p w14:paraId="409C45CC" w14:textId="77777777" w:rsidR="00CA7B51" w:rsidRPr="000A1BCF" w:rsidRDefault="00CA7B51" w:rsidP="004806EC">
            <w:pPr>
              <w:pStyle w:val="Header"/>
              <w:rPr>
                <w:sz w:val="22"/>
                <w:szCs w:val="22"/>
                <w:lang w:val="lv-LV"/>
              </w:rPr>
            </w:pPr>
            <w:r w:rsidRPr="000A1BCF">
              <w:rPr>
                <w:sz w:val="22"/>
                <w:szCs w:val="22"/>
                <w:lang w:val="lv-LV"/>
              </w:rPr>
              <w:t>Reakcijas lietošanas vietā: sausa āda, apsārtums, folikulīts. Hipertrihoze</w:t>
            </w:r>
          </w:p>
        </w:tc>
      </w:tr>
    </w:tbl>
    <w:p w14:paraId="015F5DBD" w14:textId="77777777" w:rsidR="00CA7B51" w:rsidRPr="000A1BCF" w:rsidRDefault="00CA7B51" w:rsidP="00CA7B51">
      <w:pPr>
        <w:rPr>
          <w:sz w:val="22"/>
          <w:szCs w:val="22"/>
          <w:lang w:val="lv-LV"/>
        </w:rPr>
      </w:pPr>
      <w:r w:rsidRPr="000A1BCF">
        <w:rPr>
          <w:sz w:val="22"/>
          <w:szCs w:val="22"/>
          <w:lang w:val="lv-LV"/>
        </w:rPr>
        <w:t>* Iespējamās blakusparādības nav novērotas klīniskajos pētījumos.</w:t>
      </w:r>
    </w:p>
    <w:p w14:paraId="429BBC08" w14:textId="77777777" w:rsidR="00CA7B51" w:rsidRPr="000A1BCF" w:rsidRDefault="00CA7B51" w:rsidP="00CA7B51">
      <w:pPr>
        <w:rPr>
          <w:sz w:val="22"/>
          <w:szCs w:val="22"/>
          <w:lang w:val="lv-LV"/>
        </w:rPr>
      </w:pPr>
    </w:p>
    <w:p w14:paraId="6B89445D" w14:textId="77777777" w:rsidR="00CA7B51" w:rsidRDefault="00CA7B51" w:rsidP="00CA7B51">
      <w:pPr>
        <w:rPr>
          <w:sz w:val="22"/>
          <w:szCs w:val="22"/>
          <w:lang w:val="lv-LV"/>
        </w:rPr>
      </w:pPr>
      <w:r w:rsidRPr="000A1BCF">
        <w:rPr>
          <w:sz w:val="22"/>
          <w:szCs w:val="22"/>
          <w:lang w:val="lv-LV"/>
        </w:rPr>
        <w:t>Kortikosteroīdus saturošas zāles, kas paredzētas lokālai lietošanai var izraisīt sistēmiskus kortikosteroīdu efektus absorbcijas rezultātā.</w:t>
      </w:r>
    </w:p>
    <w:p w14:paraId="0C1097B4" w14:textId="77777777" w:rsidR="00CA7B51" w:rsidRDefault="00CA7B51" w:rsidP="00CA7B51">
      <w:pPr>
        <w:numPr>
          <w:ilvl w:val="12"/>
          <w:numId w:val="0"/>
        </w:numPr>
        <w:tabs>
          <w:tab w:val="left" w:pos="567"/>
          <w:tab w:val="left" w:pos="708"/>
        </w:tabs>
        <w:spacing w:line="260" w:lineRule="exact"/>
        <w:ind w:right="-2"/>
        <w:jc w:val="both"/>
        <w:rPr>
          <w:bCs/>
          <w:sz w:val="22"/>
          <w:szCs w:val="20"/>
          <w:u w:val="single"/>
          <w:lang w:val="lv-LV"/>
        </w:rPr>
      </w:pPr>
    </w:p>
    <w:p w14:paraId="739887DD" w14:textId="77777777" w:rsidR="00CA7B51" w:rsidRPr="00B855D0" w:rsidRDefault="00CA7B51" w:rsidP="00CA7B51">
      <w:pPr>
        <w:numPr>
          <w:ilvl w:val="12"/>
          <w:numId w:val="0"/>
        </w:numPr>
        <w:tabs>
          <w:tab w:val="left" w:pos="567"/>
          <w:tab w:val="left" w:pos="708"/>
        </w:tabs>
        <w:spacing w:line="260" w:lineRule="exact"/>
        <w:ind w:right="-2"/>
        <w:jc w:val="both"/>
        <w:rPr>
          <w:bCs/>
          <w:sz w:val="22"/>
          <w:szCs w:val="20"/>
          <w:u w:val="single"/>
          <w:lang w:val="lv-LV"/>
        </w:rPr>
      </w:pPr>
      <w:r w:rsidRPr="00B855D0">
        <w:rPr>
          <w:bCs/>
          <w:sz w:val="22"/>
          <w:szCs w:val="20"/>
          <w:u w:val="single"/>
          <w:lang w:val="lv-LV"/>
        </w:rPr>
        <w:t>Ziņošana par iespējamām nevēlamām blakusparādībām</w:t>
      </w:r>
    </w:p>
    <w:p w14:paraId="3DA12152" w14:textId="77777777" w:rsidR="00CA7B51" w:rsidRPr="00B855D0" w:rsidRDefault="00CA7B51" w:rsidP="00CA7B51">
      <w:pPr>
        <w:numPr>
          <w:ilvl w:val="12"/>
          <w:numId w:val="0"/>
        </w:numPr>
        <w:tabs>
          <w:tab w:val="left" w:pos="567"/>
          <w:tab w:val="left" w:pos="708"/>
        </w:tabs>
        <w:spacing w:line="260" w:lineRule="exact"/>
        <w:ind w:right="-2"/>
        <w:jc w:val="both"/>
        <w:rPr>
          <w:rFonts w:eastAsia="Calibri"/>
          <w:sz w:val="22"/>
          <w:szCs w:val="22"/>
          <w:lang w:val="lv-LV" w:eastAsia="zh-CN"/>
        </w:rPr>
      </w:pPr>
      <w:r w:rsidRPr="00B855D0">
        <w:rPr>
          <w:bCs/>
          <w:sz w:val="22"/>
          <w:szCs w:val="20"/>
          <w:lang w:val="lv-LV"/>
        </w:rPr>
        <w:t>Ir svarīgi ziņot par iespējamām nevēlamām blakusparādībām</w:t>
      </w:r>
      <w:r w:rsidRPr="00B855D0">
        <w:rPr>
          <w:rFonts w:eastAsia="Calibri"/>
          <w:noProof/>
          <w:sz w:val="22"/>
          <w:szCs w:val="22"/>
          <w:lang w:val="lv-LV" w:eastAsia="zh-CN"/>
        </w:rPr>
        <w:t xml:space="preserve"> pēc zāļu reģistrācijas. Tādējādi zāļu ieguvumu/riska attiecība tiek nepārtraukti uzraudzīta. Veselības aprūpes speciālisti tiek lūgti ziņot par jebkādām iespējamām nevēlamām blakusparādībām</w:t>
      </w:r>
      <w:r>
        <w:rPr>
          <w:rFonts w:eastAsia="Calibri"/>
          <w:noProof/>
          <w:sz w:val="22"/>
          <w:szCs w:val="22"/>
          <w:lang w:val="lv-LV" w:eastAsia="zh-CN"/>
        </w:rPr>
        <w:t xml:space="preserve"> </w:t>
      </w:r>
      <w:r w:rsidRPr="00B855D0">
        <w:rPr>
          <w:rFonts w:eastAsia="Calibri"/>
          <w:noProof/>
          <w:sz w:val="22"/>
          <w:szCs w:val="22"/>
          <w:lang w:val="lv-LV" w:eastAsia="zh-CN"/>
        </w:rPr>
        <w:t>Zāļu valsts aģentūra</w:t>
      </w:r>
      <w:r>
        <w:rPr>
          <w:rFonts w:eastAsia="Calibri"/>
          <w:noProof/>
          <w:sz w:val="22"/>
          <w:szCs w:val="22"/>
          <w:lang w:val="lv-LV" w:eastAsia="zh-CN"/>
        </w:rPr>
        <w:t>i</w:t>
      </w:r>
      <w:r>
        <w:rPr>
          <w:rFonts w:eastAsia="Calibri"/>
          <w:sz w:val="22"/>
          <w:szCs w:val="22"/>
          <w:lang w:val="lv-LV" w:eastAsia="zh-CN"/>
        </w:rPr>
        <w:t xml:space="preserve">, </w:t>
      </w:r>
      <w:r w:rsidRPr="00B855D0">
        <w:rPr>
          <w:rFonts w:eastAsia="Calibri"/>
          <w:sz w:val="22"/>
          <w:szCs w:val="22"/>
          <w:lang w:val="lv-LV" w:eastAsia="zh-CN"/>
        </w:rPr>
        <w:t>Jersikas iel</w:t>
      </w:r>
      <w:r>
        <w:rPr>
          <w:rFonts w:eastAsia="Calibri"/>
          <w:sz w:val="22"/>
          <w:szCs w:val="22"/>
          <w:lang w:val="lv-LV" w:eastAsia="zh-CN"/>
        </w:rPr>
        <w:t>a</w:t>
      </w:r>
      <w:r w:rsidRPr="00B855D0">
        <w:rPr>
          <w:rFonts w:eastAsia="Calibri"/>
          <w:sz w:val="22"/>
          <w:szCs w:val="22"/>
          <w:lang w:val="lv-LV" w:eastAsia="zh-CN"/>
        </w:rPr>
        <w:t xml:space="preserve"> 15</w:t>
      </w:r>
      <w:r>
        <w:rPr>
          <w:rFonts w:eastAsia="Calibri"/>
          <w:sz w:val="22"/>
          <w:szCs w:val="22"/>
          <w:lang w:val="lv-LV" w:eastAsia="zh-CN"/>
        </w:rPr>
        <w:t xml:space="preserve">, </w:t>
      </w:r>
      <w:r w:rsidRPr="00B855D0">
        <w:rPr>
          <w:rFonts w:eastAsia="Calibri"/>
          <w:sz w:val="22"/>
          <w:szCs w:val="22"/>
          <w:lang w:val="lv-LV" w:eastAsia="zh-CN"/>
        </w:rPr>
        <w:t>Rīga, LV 1003</w:t>
      </w:r>
      <w:r w:rsidRPr="00B01FB1">
        <w:rPr>
          <w:rFonts w:eastAsia="Calibri"/>
          <w:noProof/>
          <w:sz w:val="22"/>
          <w:szCs w:val="22"/>
          <w:lang w:val="lv-LV" w:eastAsia="zh-CN"/>
        </w:rPr>
        <w:t xml:space="preserve">. </w:t>
      </w:r>
      <w:r w:rsidRPr="00B855D0">
        <w:rPr>
          <w:rFonts w:eastAsia="Calibri"/>
          <w:sz w:val="22"/>
          <w:szCs w:val="22"/>
          <w:lang w:val="lv-LV" w:eastAsia="zh-CN"/>
        </w:rPr>
        <w:t xml:space="preserve">Tīmekļa vietne: </w:t>
      </w:r>
      <w:hyperlink r:id="rId7" w:history="1">
        <w:r w:rsidRPr="00B855D0">
          <w:rPr>
            <w:rFonts w:eastAsia="Calibri"/>
            <w:color w:val="0000FF"/>
            <w:sz w:val="22"/>
            <w:szCs w:val="22"/>
            <w:u w:val="single"/>
            <w:lang w:val="lv-LV" w:eastAsia="zh-CN"/>
          </w:rPr>
          <w:t>www.zva.gov.lv</w:t>
        </w:r>
      </w:hyperlink>
    </w:p>
    <w:p w14:paraId="69882053" w14:textId="77777777" w:rsidR="00CA7B51" w:rsidRPr="000A1BCF" w:rsidRDefault="00CA7B51" w:rsidP="00CA7B51">
      <w:pPr>
        <w:rPr>
          <w:b/>
          <w:sz w:val="22"/>
          <w:szCs w:val="22"/>
          <w:lang w:val="lv-LV"/>
        </w:rPr>
      </w:pPr>
    </w:p>
    <w:p w14:paraId="264D12AE" w14:textId="77777777" w:rsidR="00CA7B51" w:rsidRPr="000A1BCF" w:rsidRDefault="00CA7B51" w:rsidP="00CA7B51">
      <w:pPr>
        <w:keepNext/>
        <w:numPr>
          <w:ilvl w:val="1"/>
          <w:numId w:val="2"/>
        </w:numPr>
        <w:ind w:left="567" w:hanging="567"/>
        <w:rPr>
          <w:b/>
          <w:sz w:val="22"/>
          <w:szCs w:val="22"/>
          <w:lang w:val="lv-LV"/>
        </w:rPr>
      </w:pPr>
      <w:r w:rsidRPr="000A1BCF">
        <w:rPr>
          <w:b/>
          <w:sz w:val="22"/>
          <w:szCs w:val="22"/>
          <w:lang w:val="lv-LV"/>
        </w:rPr>
        <w:t>Pārdozēšana</w:t>
      </w:r>
    </w:p>
    <w:p w14:paraId="75D260B8" w14:textId="77777777" w:rsidR="00CA7B51" w:rsidRPr="000A1BCF" w:rsidRDefault="00CA7B51" w:rsidP="00CA7B51">
      <w:pPr>
        <w:keepNext/>
        <w:rPr>
          <w:sz w:val="22"/>
          <w:szCs w:val="22"/>
          <w:lang w:val="lv-LV"/>
        </w:rPr>
      </w:pPr>
    </w:p>
    <w:p w14:paraId="22D565F0" w14:textId="77777777" w:rsidR="00CA7B51" w:rsidRPr="000A1BCF" w:rsidRDefault="00CA7B51" w:rsidP="00CA7B51">
      <w:pPr>
        <w:keepNext/>
        <w:rPr>
          <w:sz w:val="22"/>
          <w:szCs w:val="22"/>
          <w:lang w:val="lv-LV"/>
        </w:rPr>
      </w:pPr>
      <w:r w:rsidRPr="000A1BCF">
        <w:rPr>
          <w:sz w:val="22"/>
          <w:szCs w:val="22"/>
          <w:lang w:val="lv-LV"/>
        </w:rPr>
        <w:t xml:space="preserve">Akūtas toksicitātes pētījumu rezultāti nenorādīja uz jebkādu sagaidāmu akūtas intoksikācijas risku pēc vienreizējas palielinātas devas dermālas (uz ādas) lietošanas (uz liela ādas laukuma absorbciju veicinošos apstākļos) vai pēc nejaušas iekšķīgas lietošanas. </w:t>
      </w:r>
    </w:p>
    <w:p w14:paraId="6FB45BA9" w14:textId="77777777" w:rsidR="00CA7B51" w:rsidRPr="000A1BCF" w:rsidRDefault="00CA7B51" w:rsidP="00CA7B51">
      <w:pPr>
        <w:rPr>
          <w:sz w:val="22"/>
          <w:szCs w:val="22"/>
          <w:lang w:val="lv-LV"/>
        </w:rPr>
      </w:pPr>
    </w:p>
    <w:p w14:paraId="752D5A6D" w14:textId="77777777" w:rsidR="00CA7B51" w:rsidRPr="000A1BCF" w:rsidRDefault="00CA7B51" w:rsidP="00CA7B51">
      <w:pPr>
        <w:rPr>
          <w:sz w:val="22"/>
          <w:szCs w:val="22"/>
          <w:lang w:val="lv-LV"/>
        </w:rPr>
      </w:pPr>
    </w:p>
    <w:p w14:paraId="67F30780" w14:textId="77777777" w:rsidR="00CA7B51" w:rsidRPr="000A1BCF" w:rsidRDefault="00CA7B51" w:rsidP="00CA7B51">
      <w:pPr>
        <w:numPr>
          <w:ilvl w:val="0"/>
          <w:numId w:val="1"/>
        </w:numPr>
        <w:ind w:left="567" w:hanging="567"/>
        <w:rPr>
          <w:b/>
          <w:sz w:val="22"/>
          <w:szCs w:val="22"/>
          <w:lang w:val="lv-LV"/>
        </w:rPr>
      </w:pPr>
      <w:r w:rsidRPr="000A1BCF">
        <w:rPr>
          <w:b/>
          <w:sz w:val="22"/>
          <w:szCs w:val="22"/>
          <w:lang w:val="lv-LV"/>
        </w:rPr>
        <w:t>FARMAKOLOĢISKĀS ĪPAŠĪBAS</w:t>
      </w:r>
    </w:p>
    <w:p w14:paraId="717395BC" w14:textId="77777777" w:rsidR="00CA7B51" w:rsidRPr="000A1BCF" w:rsidRDefault="00CA7B51" w:rsidP="00CA7B51">
      <w:pPr>
        <w:rPr>
          <w:sz w:val="22"/>
          <w:szCs w:val="22"/>
          <w:lang w:val="lv-LV"/>
        </w:rPr>
      </w:pPr>
    </w:p>
    <w:p w14:paraId="7A443E23" w14:textId="77777777" w:rsidR="00CA7B51" w:rsidRPr="000A1BCF" w:rsidRDefault="00CA7B51" w:rsidP="00CA7B51">
      <w:pPr>
        <w:numPr>
          <w:ilvl w:val="1"/>
          <w:numId w:val="3"/>
        </w:numPr>
        <w:rPr>
          <w:b/>
          <w:sz w:val="22"/>
          <w:szCs w:val="22"/>
          <w:lang w:val="lv-LV"/>
        </w:rPr>
      </w:pPr>
      <w:r>
        <w:rPr>
          <w:b/>
          <w:sz w:val="22"/>
          <w:szCs w:val="22"/>
          <w:lang w:val="lv-LV"/>
        </w:rPr>
        <w:t xml:space="preserve"> </w:t>
      </w:r>
      <w:r w:rsidRPr="000A1BCF">
        <w:rPr>
          <w:b/>
          <w:sz w:val="22"/>
          <w:szCs w:val="22"/>
          <w:lang w:val="lv-LV"/>
        </w:rPr>
        <w:t>Farmakodinamiskās īpašības</w:t>
      </w:r>
    </w:p>
    <w:p w14:paraId="2710B3D6" w14:textId="77777777" w:rsidR="00CA7B51" w:rsidRPr="000A1BCF" w:rsidRDefault="00CA7B51" w:rsidP="00CA7B51">
      <w:pPr>
        <w:rPr>
          <w:b/>
          <w:sz w:val="22"/>
          <w:szCs w:val="22"/>
          <w:lang w:val="lv-LV"/>
        </w:rPr>
      </w:pPr>
    </w:p>
    <w:p w14:paraId="46CFDA9B" w14:textId="77777777" w:rsidR="00CA7B51" w:rsidRPr="000A1BCF" w:rsidRDefault="00CA7B51" w:rsidP="00CA7B51">
      <w:pPr>
        <w:rPr>
          <w:sz w:val="22"/>
          <w:szCs w:val="22"/>
          <w:lang w:val="lv-LV"/>
        </w:rPr>
      </w:pPr>
      <w:r w:rsidRPr="000A1BCF">
        <w:rPr>
          <w:sz w:val="22"/>
          <w:szCs w:val="22"/>
          <w:lang w:val="lv-LV"/>
        </w:rPr>
        <w:t>Farmakoterapeitiskā grupa: dermatoloģisks līdzeklis, kortikosteroīds, ATĶ kods D07AC14</w:t>
      </w:r>
    </w:p>
    <w:p w14:paraId="2F023930" w14:textId="77777777" w:rsidR="00CA7B51" w:rsidRPr="000A1BCF" w:rsidRDefault="00CA7B51" w:rsidP="00CA7B51">
      <w:pPr>
        <w:rPr>
          <w:sz w:val="22"/>
          <w:szCs w:val="22"/>
          <w:lang w:val="lv-LV"/>
        </w:rPr>
      </w:pPr>
    </w:p>
    <w:p w14:paraId="0358A7DB" w14:textId="77777777" w:rsidR="00CA7B51" w:rsidRPr="000A1BCF" w:rsidRDefault="00CA7B51" w:rsidP="00CA7B51">
      <w:pPr>
        <w:rPr>
          <w:sz w:val="22"/>
          <w:szCs w:val="22"/>
          <w:lang w:val="lv-LV"/>
        </w:rPr>
      </w:pPr>
      <w:r w:rsidRPr="000A1BCF">
        <w:rPr>
          <w:sz w:val="22"/>
          <w:szCs w:val="22"/>
          <w:lang w:val="lv-LV"/>
        </w:rPr>
        <w:t>Lietojot lokāli,</w:t>
      </w:r>
      <w:r w:rsidRPr="000A1BCF">
        <w:rPr>
          <w:b/>
          <w:sz w:val="22"/>
          <w:szCs w:val="22"/>
          <w:lang w:val="lv-LV"/>
        </w:rPr>
        <w:t xml:space="preserve"> </w:t>
      </w:r>
      <w:r w:rsidRPr="000A1BCF">
        <w:rPr>
          <w:sz w:val="22"/>
          <w:szCs w:val="22"/>
          <w:lang w:val="lv-LV"/>
        </w:rPr>
        <w:t>Advantan Milk nomāc ādas iekaisuma un alerģiskas reakcijas, kā arī reakcijas, kas saistītas ar hiperproliferāciju, tādējādi mazinot objektīvos simptomus (apsārtumu, tūsku, mitrošanu) un subjektīvās sūdzības (niezi, dedzināšanu, sāpes).</w:t>
      </w:r>
    </w:p>
    <w:p w14:paraId="7B2C1F9F" w14:textId="77777777" w:rsidR="00CA7B51" w:rsidRPr="000A1BCF" w:rsidRDefault="00CA7B51" w:rsidP="00CA7B51">
      <w:pPr>
        <w:rPr>
          <w:sz w:val="22"/>
          <w:szCs w:val="22"/>
          <w:lang w:val="lv-LV"/>
        </w:rPr>
      </w:pPr>
    </w:p>
    <w:p w14:paraId="66C61743" w14:textId="77777777" w:rsidR="00CA7B51" w:rsidRPr="000A1BCF" w:rsidRDefault="00CA7B51" w:rsidP="00CA7B51">
      <w:pPr>
        <w:rPr>
          <w:sz w:val="22"/>
          <w:szCs w:val="22"/>
          <w:lang w:val="lv-LV"/>
        </w:rPr>
      </w:pPr>
      <w:r w:rsidRPr="000A1BCF">
        <w:rPr>
          <w:sz w:val="22"/>
          <w:szCs w:val="22"/>
          <w:lang w:val="lv-LV"/>
        </w:rPr>
        <w:t>Tāpat kā visiem citiem kortikosteroīdiem, arī metilprednizolona aceponāta darbības mehānisms līdz šim nav pilnīgi skaidrs. Ir zināms, ka metilprednizolona aceponāts pats saistās ar intracelulāriem kortiko</w:t>
      </w:r>
      <w:r>
        <w:rPr>
          <w:sz w:val="22"/>
          <w:szCs w:val="22"/>
          <w:lang w:val="lv-LV"/>
        </w:rPr>
        <w:t>stero</w:t>
      </w:r>
      <w:r w:rsidRPr="000A1BCF">
        <w:rPr>
          <w:sz w:val="22"/>
          <w:szCs w:val="22"/>
          <w:lang w:val="lv-LV"/>
        </w:rPr>
        <w:t xml:space="preserve">īdu receptoriem, un tas īpaši attiecināms uz galveno metabolītu </w:t>
      </w:r>
      <w:r w:rsidRPr="00A13181">
        <w:rPr>
          <w:sz w:val="22"/>
          <w:szCs w:val="22"/>
          <w:lang w:val="lv-LV"/>
        </w:rPr>
        <w:t>metilprednizolona-17-</w:t>
      </w:r>
      <w:r w:rsidRPr="000A1BCF">
        <w:rPr>
          <w:sz w:val="22"/>
          <w:szCs w:val="22"/>
          <w:lang w:val="lv-LV"/>
        </w:rPr>
        <w:t>propionātu, kas veidojas pēc sašķelšanās ādā.</w:t>
      </w:r>
    </w:p>
    <w:p w14:paraId="587752F5" w14:textId="77777777" w:rsidR="00CA7B51" w:rsidRPr="000A1BCF" w:rsidRDefault="00CA7B51" w:rsidP="00CA7B51">
      <w:pPr>
        <w:rPr>
          <w:sz w:val="22"/>
          <w:szCs w:val="22"/>
          <w:lang w:val="lv-LV"/>
        </w:rPr>
      </w:pPr>
    </w:p>
    <w:p w14:paraId="74B6773D" w14:textId="77777777" w:rsidR="00CA7B51" w:rsidRPr="000A1BCF" w:rsidRDefault="00CA7B51" w:rsidP="00CA7B51">
      <w:pPr>
        <w:rPr>
          <w:sz w:val="22"/>
          <w:szCs w:val="22"/>
          <w:lang w:val="lv-LV"/>
        </w:rPr>
      </w:pPr>
      <w:r w:rsidRPr="000A1BCF">
        <w:rPr>
          <w:sz w:val="22"/>
          <w:szCs w:val="22"/>
          <w:lang w:val="lv-LV"/>
        </w:rPr>
        <w:t>Steroīdu receptoru komplekss saistās ar noteiktiem DNS reģioniem, tādējādi izraisot dažādus bioloģiskus efektus.</w:t>
      </w:r>
    </w:p>
    <w:p w14:paraId="17095121" w14:textId="77777777" w:rsidR="00CA7B51" w:rsidRPr="000A1BCF" w:rsidRDefault="00CA7B51" w:rsidP="00CA7B51">
      <w:pPr>
        <w:rPr>
          <w:sz w:val="22"/>
          <w:szCs w:val="22"/>
          <w:lang w:val="lv-LV"/>
        </w:rPr>
      </w:pPr>
    </w:p>
    <w:p w14:paraId="5B7A1D1A" w14:textId="77777777" w:rsidR="00CA7B51" w:rsidRPr="000A1BCF" w:rsidRDefault="00CA7B51" w:rsidP="00CA7B51">
      <w:pPr>
        <w:rPr>
          <w:sz w:val="22"/>
          <w:szCs w:val="22"/>
          <w:lang w:val="lv-LV"/>
        </w:rPr>
      </w:pPr>
      <w:r w:rsidRPr="000A1BCF">
        <w:rPr>
          <w:sz w:val="22"/>
          <w:szCs w:val="22"/>
          <w:lang w:val="lv-LV"/>
        </w:rPr>
        <w:t>Zināšanas par pretiekaisuma darbības mehānismu ir pilnīgākas. Steroīdu receptoru kompleksa saistīšanās rezultātā tiek ierosināta makrokortīna sintēze. Makrokortīns kavē arahidonskābes atbrīvošanos un dažādu iekaisuma mediatoru, piemēram, prostaglandīnu un leikotriēnu, veidošanos.</w:t>
      </w:r>
    </w:p>
    <w:p w14:paraId="76BB5E89" w14:textId="77777777" w:rsidR="00CA7B51" w:rsidRPr="000A1BCF" w:rsidRDefault="00CA7B51" w:rsidP="00CA7B51">
      <w:pPr>
        <w:rPr>
          <w:sz w:val="22"/>
          <w:szCs w:val="22"/>
          <w:lang w:val="lv-LV"/>
        </w:rPr>
      </w:pPr>
    </w:p>
    <w:p w14:paraId="0D26A3C9" w14:textId="77777777" w:rsidR="00CA7B51" w:rsidRPr="000A1BCF" w:rsidRDefault="00CA7B51" w:rsidP="00CA7B51">
      <w:pPr>
        <w:rPr>
          <w:sz w:val="22"/>
          <w:szCs w:val="22"/>
          <w:lang w:val="lv-LV"/>
        </w:rPr>
      </w:pPr>
      <w:r w:rsidRPr="000A1BCF">
        <w:rPr>
          <w:sz w:val="22"/>
          <w:szCs w:val="22"/>
          <w:lang w:val="lv-LV"/>
        </w:rPr>
        <w:t>Kortikosteroīdu imūnsupresīvo iedarbību var izskaidrot ar citokīnu sintēzes kavēšanu un antimitotisko iedarbību, kas līdz šim nav pilnīgi skaidra.</w:t>
      </w:r>
    </w:p>
    <w:p w14:paraId="1E660CCB" w14:textId="77777777" w:rsidR="00CA7B51" w:rsidRPr="000A1BCF" w:rsidRDefault="00CA7B51" w:rsidP="00CA7B51">
      <w:pPr>
        <w:rPr>
          <w:sz w:val="22"/>
          <w:szCs w:val="22"/>
          <w:lang w:val="lv-LV"/>
        </w:rPr>
      </w:pPr>
    </w:p>
    <w:p w14:paraId="4C05991E" w14:textId="77777777" w:rsidR="00CA7B51" w:rsidRPr="000A1BCF" w:rsidRDefault="00CA7B51" w:rsidP="00CA7B51">
      <w:pPr>
        <w:rPr>
          <w:sz w:val="22"/>
          <w:szCs w:val="22"/>
          <w:lang w:val="lv-LV"/>
        </w:rPr>
      </w:pPr>
      <w:r w:rsidRPr="000A1BCF">
        <w:rPr>
          <w:sz w:val="22"/>
          <w:szCs w:val="22"/>
          <w:lang w:val="lv-LV"/>
        </w:rPr>
        <w:t>Vazodilatējošo prostaglandīnu sintēzes kavēšanas vai adrenalīna vazokonstriktīvā efekta potencēšanas rezultāts nosaka kortikosteroīdu vazokonstriktīvo aktivitāti.</w:t>
      </w:r>
    </w:p>
    <w:p w14:paraId="0DCFF7C8" w14:textId="77777777" w:rsidR="00CA7B51" w:rsidRPr="000A1BCF" w:rsidRDefault="00CA7B51" w:rsidP="00CA7B51">
      <w:pPr>
        <w:rPr>
          <w:sz w:val="22"/>
          <w:szCs w:val="22"/>
          <w:lang w:val="lv-LV"/>
        </w:rPr>
      </w:pPr>
    </w:p>
    <w:p w14:paraId="7E616C00" w14:textId="77777777" w:rsidR="00CA7B51" w:rsidRPr="000A1BCF" w:rsidRDefault="00CA7B51" w:rsidP="00CA7B51">
      <w:pPr>
        <w:numPr>
          <w:ilvl w:val="1"/>
          <w:numId w:val="3"/>
        </w:numPr>
        <w:rPr>
          <w:b/>
          <w:sz w:val="22"/>
          <w:szCs w:val="22"/>
          <w:lang w:val="lv-LV"/>
        </w:rPr>
      </w:pPr>
      <w:r>
        <w:rPr>
          <w:b/>
          <w:sz w:val="22"/>
          <w:szCs w:val="22"/>
          <w:lang w:val="lv-LV"/>
        </w:rPr>
        <w:t xml:space="preserve"> </w:t>
      </w:r>
      <w:r w:rsidRPr="000A1BCF">
        <w:rPr>
          <w:b/>
          <w:sz w:val="22"/>
          <w:szCs w:val="22"/>
          <w:lang w:val="lv-LV"/>
        </w:rPr>
        <w:t>Farmakokinētiskās īpašības</w:t>
      </w:r>
    </w:p>
    <w:p w14:paraId="7A792C9D" w14:textId="77777777" w:rsidR="00CA7B51" w:rsidRPr="000A1BCF" w:rsidRDefault="00CA7B51" w:rsidP="00CA7B51">
      <w:pPr>
        <w:rPr>
          <w:sz w:val="22"/>
          <w:szCs w:val="22"/>
          <w:lang w:val="lv-LV"/>
        </w:rPr>
      </w:pPr>
    </w:p>
    <w:p w14:paraId="15B1838A" w14:textId="77777777" w:rsidR="00CA7B51" w:rsidRPr="000A1BCF" w:rsidRDefault="00CA7B51" w:rsidP="00CA7B51">
      <w:pPr>
        <w:rPr>
          <w:sz w:val="22"/>
          <w:szCs w:val="22"/>
          <w:lang w:val="lv-LV"/>
        </w:rPr>
      </w:pPr>
      <w:r w:rsidRPr="000A1BCF">
        <w:rPr>
          <w:sz w:val="22"/>
          <w:szCs w:val="22"/>
          <w:lang w:val="lv-LV"/>
        </w:rPr>
        <w:t>Metilprednizolona aceponāts (MPA) no preparāta bāzes sastāva nokļūst ādā.</w:t>
      </w:r>
      <w:r w:rsidRPr="000A1BCF">
        <w:rPr>
          <w:b/>
          <w:bCs/>
          <w:color w:val="FF0000"/>
          <w:sz w:val="22"/>
          <w:szCs w:val="22"/>
          <w:lang w:val="lv-LV"/>
        </w:rPr>
        <w:t xml:space="preserve"> </w:t>
      </w:r>
      <w:r w:rsidRPr="000A1BCF">
        <w:rPr>
          <w:sz w:val="22"/>
          <w:szCs w:val="22"/>
          <w:lang w:val="lv-LV"/>
        </w:rPr>
        <w:t>Koncentrācija raga slānī (</w:t>
      </w:r>
      <w:r w:rsidRPr="000A1BCF">
        <w:rPr>
          <w:i/>
          <w:sz w:val="22"/>
          <w:szCs w:val="22"/>
          <w:lang w:val="lv-LV"/>
        </w:rPr>
        <w:t>stratum corneum)</w:t>
      </w:r>
      <w:r w:rsidRPr="000A1BCF">
        <w:rPr>
          <w:sz w:val="22"/>
          <w:szCs w:val="22"/>
          <w:lang w:val="lv-LV"/>
        </w:rPr>
        <w:t xml:space="preserve"> un dzīvajā ādas slānī samazinās virzienā no ārpuses uz iekšpusi.</w:t>
      </w:r>
    </w:p>
    <w:p w14:paraId="56100C63" w14:textId="77777777" w:rsidR="00CA7B51" w:rsidRPr="000A1BCF" w:rsidRDefault="00CA7B51" w:rsidP="00CA7B51">
      <w:pPr>
        <w:rPr>
          <w:sz w:val="22"/>
          <w:szCs w:val="22"/>
          <w:lang w:val="lv-LV"/>
        </w:rPr>
      </w:pPr>
    </w:p>
    <w:p w14:paraId="40B82834" w14:textId="77777777" w:rsidR="00CA7B51" w:rsidRPr="00A13181" w:rsidRDefault="00CA7B51" w:rsidP="00CA7B51">
      <w:pPr>
        <w:rPr>
          <w:sz w:val="22"/>
          <w:szCs w:val="22"/>
          <w:lang w:val="lv-LV"/>
        </w:rPr>
      </w:pPr>
      <w:r w:rsidRPr="000A1BCF">
        <w:rPr>
          <w:sz w:val="22"/>
          <w:szCs w:val="22"/>
          <w:lang w:val="lv-LV"/>
        </w:rPr>
        <w:t>Metilprednizolona aceponāts epidermā un dermā hidrolizējas par galveno metabolītu metilprednizolona-17-propionātu, kas vēl ciešāk saistās ar kortikosteroīdu receptoriem, kas norāda uz ādas “bioaktivāciju”.</w:t>
      </w:r>
    </w:p>
    <w:p w14:paraId="73EB1E7E" w14:textId="77777777" w:rsidR="00CA7B51" w:rsidRPr="000A1BCF" w:rsidRDefault="00CA7B51" w:rsidP="00CA7B51">
      <w:pPr>
        <w:rPr>
          <w:sz w:val="22"/>
          <w:szCs w:val="22"/>
          <w:vertAlign w:val="superscript"/>
          <w:lang w:val="lv-LV"/>
        </w:rPr>
      </w:pPr>
    </w:p>
    <w:p w14:paraId="1DFDAC2E" w14:textId="77777777" w:rsidR="00CA7B51" w:rsidRPr="000A1BCF" w:rsidRDefault="00CA7B51" w:rsidP="00CA7B51">
      <w:pPr>
        <w:rPr>
          <w:sz w:val="22"/>
          <w:szCs w:val="22"/>
          <w:lang w:val="lv-LV"/>
        </w:rPr>
      </w:pPr>
      <w:r w:rsidRPr="000A1BCF">
        <w:rPr>
          <w:sz w:val="22"/>
          <w:szCs w:val="22"/>
          <w:lang w:val="lv-LV"/>
        </w:rPr>
        <w:t>Lokālo kortikoīdu perkutānās uzsūkšanās ātrums un apjoms atkarīgs no dažādiem faktoriem: savienojuma ķīmiskās struktūras, pārnesējmehānisma sastāva, savienojuma koncentrācijas pārnesējmehānismā, ekspozīcijas apstākļiem (apstrādātais laukums, ekspozīcijas ilgums, atklāti vai zem pārsēja) un ādas stāvokļa (ādas slimības veids un smaguma pakāpe, anatomiskā vieta utt.).</w:t>
      </w:r>
    </w:p>
    <w:p w14:paraId="27C32379" w14:textId="77777777" w:rsidR="00CA7B51" w:rsidRPr="000A1BCF" w:rsidRDefault="00CA7B51" w:rsidP="00CA7B51">
      <w:pPr>
        <w:rPr>
          <w:sz w:val="22"/>
          <w:szCs w:val="22"/>
          <w:lang w:val="lv-LV"/>
        </w:rPr>
      </w:pPr>
    </w:p>
    <w:p w14:paraId="0434ACBB" w14:textId="77777777" w:rsidR="00CA7B51" w:rsidRPr="000A1BCF" w:rsidRDefault="00CA7B51" w:rsidP="00CA7B51">
      <w:pPr>
        <w:rPr>
          <w:sz w:val="22"/>
          <w:szCs w:val="22"/>
          <w:lang w:val="lv-LV"/>
        </w:rPr>
      </w:pPr>
      <w:r w:rsidRPr="000A1BCF">
        <w:rPr>
          <w:sz w:val="22"/>
          <w:szCs w:val="22"/>
          <w:lang w:val="lv-LV"/>
        </w:rPr>
        <w:t>Lai pētītu metilprednizolona aceponāta perkutāno absorbciju no zālēm, mākslīgi tika izmainīts ādas stāvoklis. Vesela āda tika salīdzināta ar ādu, kurā mākslīgi bija radīts iekaisums (UV-B eritēma) un bojājums (raga slāņa noņemšana). Absorbcija mākslīgi radītā iekaisušā ādā bija ļoti zema (0,27% no devas) un tikai nenozīmīgi</w:t>
      </w:r>
      <w:r w:rsidRPr="000A1BCF">
        <w:rPr>
          <w:b/>
          <w:bCs/>
          <w:color w:val="FF0000"/>
          <w:sz w:val="22"/>
          <w:szCs w:val="22"/>
          <w:lang w:val="lv-LV"/>
        </w:rPr>
        <w:t xml:space="preserve"> </w:t>
      </w:r>
      <w:r w:rsidRPr="000A1BCF">
        <w:rPr>
          <w:sz w:val="22"/>
          <w:szCs w:val="22"/>
          <w:lang w:val="lv-LV"/>
        </w:rPr>
        <w:t>augstāka nekā absorbcija veselā ādā (0,17% no devas). Ievērojami augstāki perkutānas metilprednizolona aceponāta absorbcijas rādītāji (15% no devas) tika iegūti ādā, kurā bija radīts bojājums ieskrāpējumu veidā. Pamatojoties uz šiem skaitļiem sistēmas slodze pēc visas ķermeņa ārstēšanas (piemēram, saules apdeguma) var sasniegt pat apmēram 4 μg MPA uz kg ķermeņa svara un dienā, kas izslēdz sistēmisku efektu.</w:t>
      </w:r>
    </w:p>
    <w:p w14:paraId="73D33841" w14:textId="77777777" w:rsidR="00CA7B51" w:rsidRPr="000A1BCF" w:rsidRDefault="00CA7B51" w:rsidP="00CA7B51">
      <w:pPr>
        <w:rPr>
          <w:sz w:val="22"/>
          <w:szCs w:val="22"/>
          <w:vertAlign w:val="superscript"/>
          <w:lang w:val="lv-LV"/>
        </w:rPr>
      </w:pPr>
    </w:p>
    <w:p w14:paraId="092209E8" w14:textId="77777777" w:rsidR="00CA7B51" w:rsidRPr="00A13181" w:rsidRDefault="00CA7B51" w:rsidP="00CA7B51">
      <w:pPr>
        <w:rPr>
          <w:sz w:val="22"/>
          <w:szCs w:val="22"/>
          <w:lang w:val="lv-LV"/>
        </w:rPr>
      </w:pPr>
      <w:r w:rsidRPr="000A1BCF">
        <w:rPr>
          <w:sz w:val="22"/>
          <w:szCs w:val="22"/>
          <w:lang w:val="lv-LV"/>
        </w:rPr>
        <w:t>Sasniedzot sistēmisko cirkulāciju, primārais MPA hidrolīzes produkts 6α- metilprednizolona-17-propionāts ātri konjugējas ar glikuronskābi un rezultātā inaktivējas.</w:t>
      </w:r>
    </w:p>
    <w:p w14:paraId="79E2B928" w14:textId="77777777" w:rsidR="00CA7B51" w:rsidRPr="000A1BCF" w:rsidRDefault="00CA7B51" w:rsidP="00CA7B51">
      <w:pPr>
        <w:rPr>
          <w:sz w:val="22"/>
          <w:szCs w:val="22"/>
          <w:lang w:val="lv-LV"/>
        </w:rPr>
      </w:pPr>
    </w:p>
    <w:p w14:paraId="09E6365C" w14:textId="77777777" w:rsidR="00CA7B51" w:rsidRPr="000A1BCF" w:rsidRDefault="00CA7B51" w:rsidP="00CA7B51">
      <w:pPr>
        <w:rPr>
          <w:sz w:val="22"/>
          <w:szCs w:val="22"/>
          <w:lang w:val="lv-LV"/>
        </w:rPr>
      </w:pPr>
      <w:r w:rsidRPr="000A1BCF">
        <w:rPr>
          <w:sz w:val="22"/>
          <w:szCs w:val="22"/>
          <w:lang w:val="lv-LV"/>
        </w:rPr>
        <w:t>Metilprednizolona aceponāta metabolīti (galvenais metabolīts: 6α-metilprednizolona-17-propionāta-21-glikuronīds) tiek izvadīti galvenokārt caur nierēm</w:t>
      </w:r>
      <w:r>
        <w:rPr>
          <w:sz w:val="22"/>
          <w:szCs w:val="22"/>
          <w:lang w:val="lv-LV"/>
        </w:rPr>
        <w:t>, eliminācijas pusperiods ir</w:t>
      </w:r>
      <w:r w:rsidRPr="000A1BCF">
        <w:rPr>
          <w:sz w:val="22"/>
          <w:szCs w:val="22"/>
          <w:lang w:val="lv-LV"/>
        </w:rPr>
        <w:t xml:space="preserve"> apmēram 16 stundas. Pēc intravenozas ievadīšanas </w:t>
      </w:r>
      <w:r w:rsidRPr="000A1BCF">
        <w:rPr>
          <w:sz w:val="22"/>
          <w:szCs w:val="22"/>
          <w:vertAlign w:val="superscript"/>
          <w:lang w:val="lv-LV"/>
        </w:rPr>
        <w:t>14</w:t>
      </w:r>
      <w:r w:rsidRPr="000A1BCF">
        <w:rPr>
          <w:sz w:val="22"/>
          <w:szCs w:val="22"/>
          <w:lang w:val="lv-LV"/>
        </w:rPr>
        <w:t>C-iezīmētā substance ar urīnu un izkārnījumiem pilnībā tika izvadīta 7 dienās.</w:t>
      </w:r>
      <w:r w:rsidRPr="000A1BCF">
        <w:rPr>
          <w:sz w:val="22"/>
          <w:szCs w:val="22"/>
          <w:vertAlign w:val="superscript"/>
          <w:lang w:val="lv-LV"/>
        </w:rPr>
        <w:t xml:space="preserve"> </w:t>
      </w:r>
      <w:r w:rsidRPr="000A1BCF">
        <w:rPr>
          <w:sz w:val="22"/>
          <w:szCs w:val="22"/>
          <w:lang w:val="lv-LV"/>
        </w:rPr>
        <w:t>Substances vai metabolītu uzkrāšanās organismā netika novērota.</w:t>
      </w:r>
    </w:p>
    <w:p w14:paraId="5FC02097" w14:textId="77777777" w:rsidR="00CA7B51" w:rsidRPr="000A1BCF" w:rsidRDefault="00CA7B51" w:rsidP="00CA7B51">
      <w:pPr>
        <w:rPr>
          <w:sz w:val="22"/>
          <w:szCs w:val="22"/>
          <w:lang w:val="lv-LV"/>
        </w:rPr>
      </w:pPr>
    </w:p>
    <w:p w14:paraId="68AF3165" w14:textId="77777777" w:rsidR="00CA7B51" w:rsidRPr="000A1BCF" w:rsidRDefault="00CA7B51" w:rsidP="00CA7B51">
      <w:pPr>
        <w:numPr>
          <w:ilvl w:val="1"/>
          <w:numId w:val="4"/>
        </w:numPr>
        <w:rPr>
          <w:b/>
          <w:sz w:val="22"/>
          <w:szCs w:val="22"/>
          <w:lang w:val="lv-LV"/>
        </w:rPr>
      </w:pPr>
      <w:r>
        <w:rPr>
          <w:b/>
          <w:sz w:val="22"/>
          <w:szCs w:val="22"/>
          <w:lang w:val="lv-LV"/>
        </w:rPr>
        <w:t xml:space="preserve"> </w:t>
      </w:r>
      <w:r w:rsidRPr="000A1BCF">
        <w:rPr>
          <w:b/>
          <w:sz w:val="22"/>
          <w:szCs w:val="22"/>
          <w:lang w:val="lv-LV"/>
        </w:rPr>
        <w:t>Preklīniskie dati par drošumu</w:t>
      </w:r>
    </w:p>
    <w:p w14:paraId="2406E927" w14:textId="77777777" w:rsidR="00CA7B51" w:rsidRPr="000A1BCF" w:rsidRDefault="00CA7B51" w:rsidP="00CA7B51">
      <w:pPr>
        <w:rPr>
          <w:sz w:val="22"/>
          <w:szCs w:val="22"/>
          <w:lang w:val="lv-LV"/>
        </w:rPr>
      </w:pPr>
    </w:p>
    <w:p w14:paraId="382B4181" w14:textId="77777777" w:rsidR="00CA7B51" w:rsidRPr="000A1BCF" w:rsidRDefault="00CA7B51" w:rsidP="00CA7B51">
      <w:pPr>
        <w:pStyle w:val="Heading3"/>
        <w:keepNext w:val="0"/>
        <w:jc w:val="left"/>
        <w:rPr>
          <w:sz w:val="22"/>
          <w:szCs w:val="22"/>
        </w:rPr>
      </w:pPr>
      <w:r w:rsidRPr="000A1BCF">
        <w:rPr>
          <w:sz w:val="22"/>
          <w:szCs w:val="22"/>
        </w:rPr>
        <w:t>Akūta toksicitāte</w:t>
      </w:r>
    </w:p>
    <w:p w14:paraId="6E7CBE83" w14:textId="77777777" w:rsidR="00CA7B51" w:rsidRPr="000A1BCF" w:rsidRDefault="00CA7B51" w:rsidP="00CA7B51">
      <w:pPr>
        <w:rPr>
          <w:sz w:val="22"/>
          <w:szCs w:val="22"/>
          <w:lang w:val="lv-LV"/>
        </w:rPr>
      </w:pPr>
    </w:p>
    <w:p w14:paraId="42A5A0D3" w14:textId="77777777" w:rsidR="00CA7B51" w:rsidRPr="000A1BCF" w:rsidRDefault="00CA7B51" w:rsidP="00CA7B51">
      <w:pPr>
        <w:rPr>
          <w:sz w:val="22"/>
          <w:szCs w:val="22"/>
          <w:lang w:val="lv-LV"/>
        </w:rPr>
      </w:pPr>
      <w:r w:rsidRPr="000A1BCF">
        <w:rPr>
          <w:sz w:val="22"/>
          <w:szCs w:val="22"/>
          <w:lang w:val="lv-LV"/>
        </w:rPr>
        <w:t xml:space="preserve">Pamatojoties uz parasto akūtās toksicitātes pētījumu rezultātiem, lietojot terapeitiskās devās, cilvēkiem nav sagaidāms īpašs risks. </w:t>
      </w:r>
    </w:p>
    <w:p w14:paraId="67179498" w14:textId="77777777" w:rsidR="00CA7B51" w:rsidRPr="000A1BCF" w:rsidRDefault="00CA7B51" w:rsidP="00CA7B51">
      <w:pPr>
        <w:rPr>
          <w:sz w:val="22"/>
          <w:szCs w:val="22"/>
          <w:lang w:val="lv-LV"/>
        </w:rPr>
      </w:pPr>
    </w:p>
    <w:p w14:paraId="0EAC722C" w14:textId="77777777" w:rsidR="00CA7B51" w:rsidRPr="000A1BCF" w:rsidRDefault="00CA7B51" w:rsidP="00CA7B51">
      <w:pPr>
        <w:pStyle w:val="Heading3"/>
        <w:keepNext w:val="0"/>
        <w:jc w:val="left"/>
        <w:rPr>
          <w:sz w:val="22"/>
          <w:szCs w:val="22"/>
        </w:rPr>
      </w:pPr>
      <w:r w:rsidRPr="000A1BCF">
        <w:rPr>
          <w:sz w:val="22"/>
          <w:szCs w:val="22"/>
        </w:rPr>
        <w:t>Subhroniska/hroniska toksicitāte</w:t>
      </w:r>
    </w:p>
    <w:p w14:paraId="08A4CB7E" w14:textId="77777777" w:rsidR="00CA7B51" w:rsidRPr="000A1BCF" w:rsidRDefault="00CA7B51" w:rsidP="00CA7B51">
      <w:pPr>
        <w:rPr>
          <w:sz w:val="22"/>
          <w:szCs w:val="22"/>
          <w:lang w:val="lv-LV"/>
        </w:rPr>
      </w:pPr>
    </w:p>
    <w:p w14:paraId="351F5B85" w14:textId="77777777" w:rsidR="00CA7B51" w:rsidRPr="000A1BCF" w:rsidRDefault="00CA7B51" w:rsidP="00CA7B51">
      <w:pPr>
        <w:rPr>
          <w:sz w:val="22"/>
          <w:szCs w:val="22"/>
          <w:lang w:val="lv-LV"/>
        </w:rPr>
      </w:pPr>
      <w:r w:rsidRPr="000A1BCF">
        <w:rPr>
          <w:sz w:val="22"/>
          <w:szCs w:val="22"/>
          <w:lang w:val="lv-LV"/>
        </w:rPr>
        <w:t xml:space="preserve">Subhroniskas un hroniskas toksicitātes pētījumi parādīja tipiskas kortikoīdu pārdozēšanas pazīmes. Pamatojoties uz šiem rezultātiem, Advantan Milk lietošana terapeitiskās devās nerada blakusparādības, kas atšķirtos no tipiskām kortikosteroīdu blakusparādībām. </w:t>
      </w:r>
    </w:p>
    <w:p w14:paraId="0F06C061" w14:textId="77777777" w:rsidR="00CA7B51" w:rsidRPr="000A1BCF" w:rsidRDefault="00CA7B51" w:rsidP="00CA7B51">
      <w:pPr>
        <w:rPr>
          <w:sz w:val="22"/>
          <w:szCs w:val="22"/>
          <w:lang w:val="lv-LV"/>
        </w:rPr>
      </w:pPr>
    </w:p>
    <w:p w14:paraId="110F1285" w14:textId="77777777" w:rsidR="00CA7B51" w:rsidRPr="000A1BCF" w:rsidRDefault="00CA7B51" w:rsidP="00CA7B51">
      <w:pPr>
        <w:pStyle w:val="Heading3"/>
        <w:keepNext w:val="0"/>
        <w:jc w:val="left"/>
        <w:rPr>
          <w:sz w:val="22"/>
          <w:szCs w:val="22"/>
        </w:rPr>
      </w:pPr>
      <w:r w:rsidRPr="000A1BCF">
        <w:rPr>
          <w:sz w:val="22"/>
          <w:szCs w:val="22"/>
        </w:rPr>
        <w:t>Reproduktīvā toksicitāte</w:t>
      </w:r>
    </w:p>
    <w:p w14:paraId="0A464486" w14:textId="77777777" w:rsidR="00CA7B51" w:rsidRPr="000A1BCF" w:rsidRDefault="00CA7B51" w:rsidP="00CA7B51">
      <w:pPr>
        <w:rPr>
          <w:sz w:val="22"/>
          <w:szCs w:val="22"/>
          <w:lang w:val="lv-LV"/>
        </w:rPr>
      </w:pPr>
    </w:p>
    <w:p w14:paraId="44BF71BE" w14:textId="77777777" w:rsidR="00CA7B51" w:rsidRPr="000A1BCF" w:rsidRDefault="00CA7B51" w:rsidP="00CA7B51">
      <w:pPr>
        <w:rPr>
          <w:sz w:val="22"/>
          <w:szCs w:val="22"/>
          <w:lang w:val="lv-LV"/>
        </w:rPr>
      </w:pPr>
      <w:r w:rsidRPr="000A1BCF">
        <w:rPr>
          <w:sz w:val="22"/>
          <w:szCs w:val="22"/>
          <w:lang w:val="lv-LV"/>
        </w:rPr>
        <w:t>Metilprednizolona aceponāts neietekmēja žurku tēviņu un mātīšu fertilitāti, kā arī neizrādīja nekādu efektu uz peri-/vai postnatālo attīstību žurkām devās, kas pārsniedza terapeitiskās.</w:t>
      </w:r>
    </w:p>
    <w:p w14:paraId="7F7B4E2D" w14:textId="77777777" w:rsidR="00CA7B51" w:rsidRPr="000A1BCF" w:rsidRDefault="00CA7B51" w:rsidP="00CA7B51">
      <w:pPr>
        <w:rPr>
          <w:sz w:val="22"/>
          <w:szCs w:val="22"/>
          <w:lang w:val="lv-LV"/>
        </w:rPr>
      </w:pPr>
    </w:p>
    <w:p w14:paraId="3873117B" w14:textId="77777777" w:rsidR="00CA7B51" w:rsidRPr="000A1BCF" w:rsidRDefault="00CA7B51" w:rsidP="00CA7B51">
      <w:pPr>
        <w:rPr>
          <w:sz w:val="22"/>
          <w:szCs w:val="22"/>
          <w:lang w:val="lv-LV"/>
        </w:rPr>
      </w:pPr>
      <w:r w:rsidRPr="000A1BCF">
        <w:rPr>
          <w:sz w:val="22"/>
          <w:szCs w:val="22"/>
          <w:lang w:val="lv-LV"/>
        </w:rPr>
        <w:t xml:space="preserve">Embriotoksicitātes pētījumos, iedarbojoties ar ievērojami lielākām devām, tika iegūts kortikoīdiem raksturīgs rezultāts, piemēram, embriotoksisks (intrauterīnas augšanas patoloģija un embrioletalitāte) kā arī teratogēns efekts (auksleju šķeltne, skeleta anomālijas un kambaru starpsienas defektus).  </w:t>
      </w:r>
    </w:p>
    <w:p w14:paraId="31725C59" w14:textId="77777777" w:rsidR="00CA7B51" w:rsidRPr="000A1BCF" w:rsidRDefault="00CA7B51" w:rsidP="00CA7B51">
      <w:pPr>
        <w:rPr>
          <w:sz w:val="22"/>
          <w:szCs w:val="22"/>
          <w:lang w:val="lv-LV"/>
        </w:rPr>
      </w:pPr>
    </w:p>
    <w:p w14:paraId="0B4D92CF" w14:textId="77777777" w:rsidR="00CA7B51" w:rsidRPr="000A1BCF" w:rsidRDefault="00CA7B51" w:rsidP="00CA7B51">
      <w:pPr>
        <w:pStyle w:val="Heading3"/>
        <w:keepNext w:val="0"/>
        <w:jc w:val="left"/>
        <w:rPr>
          <w:sz w:val="22"/>
          <w:szCs w:val="22"/>
        </w:rPr>
      </w:pPr>
      <w:r w:rsidRPr="000A1BCF">
        <w:rPr>
          <w:sz w:val="22"/>
          <w:szCs w:val="22"/>
        </w:rPr>
        <w:t>Mutagenitāte un kancerogenitāte</w:t>
      </w:r>
    </w:p>
    <w:p w14:paraId="3A05C5D3" w14:textId="77777777" w:rsidR="00CA7B51" w:rsidRPr="000A1BCF" w:rsidRDefault="00CA7B51" w:rsidP="00CA7B51">
      <w:pPr>
        <w:rPr>
          <w:sz w:val="22"/>
          <w:szCs w:val="22"/>
          <w:lang w:val="lv-LV"/>
        </w:rPr>
      </w:pPr>
    </w:p>
    <w:p w14:paraId="0A82F317" w14:textId="77777777" w:rsidR="00CA7B51" w:rsidRPr="000A1BCF" w:rsidRDefault="00CA7B51" w:rsidP="00CA7B51">
      <w:pPr>
        <w:rPr>
          <w:sz w:val="22"/>
          <w:szCs w:val="22"/>
          <w:lang w:val="lv-LV"/>
        </w:rPr>
      </w:pPr>
      <w:r w:rsidRPr="000A1BCF">
        <w:rPr>
          <w:sz w:val="22"/>
          <w:szCs w:val="22"/>
          <w:lang w:val="lv-LV"/>
        </w:rPr>
        <w:t xml:space="preserve">Pētījumos </w:t>
      </w:r>
      <w:r w:rsidRPr="000A1BCF">
        <w:rPr>
          <w:i/>
          <w:iCs/>
          <w:sz w:val="22"/>
          <w:szCs w:val="22"/>
          <w:lang w:val="lv-LV"/>
        </w:rPr>
        <w:t xml:space="preserve">in vitro </w:t>
      </w:r>
      <w:r w:rsidRPr="000A1BCF">
        <w:rPr>
          <w:sz w:val="22"/>
          <w:szCs w:val="22"/>
          <w:lang w:val="lv-LV"/>
        </w:rPr>
        <w:t xml:space="preserve">un </w:t>
      </w:r>
      <w:r w:rsidRPr="000A1BCF">
        <w:rPr>
          <w:i/>
          <w:iCs/>
          <w:sz w:val="22"/>
          <w:szCs w:val="22"/>
          <w:lang w:val="lv-LV"/>
        </w:rPr>
        <w:t>in vivo</w:t>
      </w:r>
      <w:r w:rsidRPr="000A1BCF">
        <w:rPr>
          <w:sz w:val="22"/>
          <w:szCs w:val="22"/>
          <w:lang w:val="lv-LV"/>
        </w:rPr>
        <w:t xml:space="preserve"> netika iegūti pierādījumi par genotoksisku potenciālu.</w:t>
      </w:r>
    </w:p>
    <w:p w14:paraId="5CB47F1D" w14:textId="77777777" w:rsidR="00CA7B51" w:rsidRPr="000A1BCF" w:rsidRDefault="00CA7B51" w:rsidP="00CA7B51">
      <w:pPr>
        <w:rPr>
          <w:sz w:val="22"/>
          <w:szCs w:val="22"/>
          <w:lang w:val="lv-LV"/>
        </w:rPr>
      </w:pPr>
    </w:p>
    <w:p w14:paraId="137D5980" w14:textId="77777777" w:rsidR="00CA7B51" w:rsidRPr="000A1BCF" w:rsidRDefault="00CA7B51" w:rsidP="00CA7B51">
      <w:pPr>
        <w:rPr>
          <w:sz w:val="22"/>
          <w:szCs w:val="22"/>
          <w:lang w:val="lv-LV"/>
        </w:rPr>
      </w:pPr>
      <w:r w:rsidRPr="000A1BCF">
        <w:rPr>
          <w:sz w:val="22"/>
          <w:szCs w:val="22"/>
          <w:lang w:val="lv-LV"/>
        </w:rPr>
        <w:t xml:space="preserve">Kancerogenitātes pētījumi netika veikti. Pamatojoties uz struktūru, farmakoloģisko darbības mehānismu, sistēmiskās tolerances pētījumiem ar ilgstošu lietošanu un, ņemot vērā paredzēto terapeitisko lietošanu, cilvēkiem nav sagaidāma kancerogēna iedarbība.  </w:t>
      </w:r>
    </w:p>
    <w:p w14:paraId="4ADF2E6F" w14:textId="77777777" w:rsidR="00CA7B51" w:rsidRPr="000A1BCF" w:rsidRDefault="00CA7B51" w:rsidP="00CA7B51">
      <w:pPr>
        <w:rPr>
          <w:i/>
          <w:iCs/>
          <w:sz w:val="22"/>
          <w:szCs w:val="22"/>
          <w:lang w:val="lv-LV"/>
        </w:rPr>
      </w:pPr>
    </w:p>
    <w:p w14:paraId="6F05353C" w14:textId="77777777" w:rsidR="00CA7B51" w:rsidRPr="000A1BCF" w:rsidRDefault="00CA7B51" w:rsidP="00CA7B51">
      <w:pPr>
        <w:pStyle w:val="Heading3"/>
        <w:keepNext w:val="0"/>
        <w:jc w:val="left"/>
        <w:rPr>
          <w:sz w:val="22"/>
          <w:szCs w:val="22"/>
        </w:rPr>
      </w:pPr>
      <w:r w:rsidRPr="000A1BCF">
        <w:rPr>
          <w:sz w:val="22"/>
          <w:szCs w:val="22"/>
        </w:rPr>
        <w:lastRenderedPageBreak/>
        <w:t>Lokāla tolerance</w:t>
      </w:r>
    </w:p>
    <w:p w14:paraId="35D821A1" w14:textId="77777777" w:rsidR="00CA7B51" w:rsidRPr="000A1BCF" w:rsidRDefault="00CA7B51" w:rsidP="00CA7B51">
      <w:pPr>
        <w:rPr>
          <w:sz w:val="22"/>
          <w:szCs w:val="22"/>
          <w:lang w:val="lv-LV"/>
        </w:rPr>
      </w:pPr>
    </w:p>
    <w:p w14:paraId="3F8EE771" w14:textId="77777777" w:rsidR="00CA7B51" w:rsidRPr="000A1BCF" w:rsidRDefault="00CA7B51" w:rsidP="00CA7B51">
      <w:pPr>
        <w:rPr>
          <w:sz w:val="22"/>
          <w:szCs w:val="22"/>
          <w:lang w:val="lv-LV"/>
        </w:rPr>
      </w:pPr>
      <w:r w:rsidRPr="000A1BCF">
        <w:rPr>
          <w:sz w:val="22"/>
          <w:szCs w:val="22"/>
          <w:lang w:val="lv-LV"/>
        </w:rPr>
        <w:t>Metilprednizolona aceponāta un Advantan Milk preparātu lokālas tolerances pētījumos uz ādu un gļotādu nekonstatēja jebkādas citas lokālas blakusparādības, kas nebūtu tipiskas kortikosteroīdiem.</w:t>
      </w:r>
    </w:p>
    <w:p w14:paraId="6851BE9A" w14:textId="77777777" w:rsidR="00CA7B51" w:rsidRPr="000A1BCF" w:rsidRDefault="00CA7B51" w:rsidP="00CA7B51">
      <w:pPr>
        <w:rPr>
          <w:sz w:val="22"/>
          <w:szCs w:val="22"/>
          <w:vertAlign w:val="superscript"/>
          <w:lang w:val="lv-LV"/>
        </w:rPr>
      </w:pPr>
    </w:p>
    <w:p w14:paraId="230A1102" w14:textId="77777777" w:rsidR="00CA7B51" w:rsidRPr="000A1BCF" w:rsidRDefault="00CA7B51" w:rsidP="00CA7B51">
      <w:pPr>
        <w:pStyle w:val="BodyText"/>
        <w:ind w:left="510" w:hanging="510"/>
        <w:jc w:val="left"/>
        <w:rPr>
          <w:sz w:val="22"/>
          <w:szCs w:val="22"/>
          <w:vertAlign w:val="superscript"/>
        </w:rPr>
      </w:pPr>
    </w:p>
    <w:p w14:paraId="543B4541" w14:textId="77777777" w:rsidR="00CA7B51" w:rsidRPr="000A1BCF" w:rsidRDefault="00CA7B51" w:rsidP="00CA7B51">
      <w:pPr>
        <w:pStyle w:val="BodyText"/>
        <w:numPr>
          <w:ilvl w:val="0"/>
          <w:numId w:val="1"/>
        </w:numPr>
        <w:ind w:left="510" w:hanging="510"/>
        <w:jc w:val="left"/>
        <w:rPr>
          <w:b/>
          <w:sz w:val="22"/>
          <w:szCs w:val="22"/>
        </w:rPr>
      </w:pPr>
      <w:r w:rsidRPr="000A1BCF">
        <w:rPr>
          <w:b/>
          <w:sz w:val="22"/>
          <w:szCs w:val="22"/>
        </w:rPr>
        <w:t>FARMACEITISKĀ INFORMĀCIJA</w:t>
      </w:r>
    </w:p>
    <w:p w14:paraId="00DCAC0E" w14:textId="77777777" w:rsidR="00CA7B51" w:rsidRPr="000A1BCF" w:rsidRDefault="00CA7B51" w:rsidP="00CA7B51">
      <w:pPr>
        <w:pStyle w:val="BodyText"/>
        <w:jc w:val="left"/>
        <w:rPr>
          <w:b/>
          <w:sz w:val="22"/>
          <w:szCs w:val="22"/>
        </w:rPr>
      </w:pPr>
    </w:p>
    <w:p w14:paraId="2CC1359B" w14:textId="77777777" w:rsidR="00CA7B51" w:rsidRPr="000A1BCF" w:rsidRDefault="00CA7B51" w:rsidP="00CA7B51">
      <w:pPr>
        <w:pStyle w:val="BodyText"/>
        <w:numPr>
          <w:ilvl w:val="1"/>
          <w:numId w:val="5"/>
        </w:numPr>
        <w:jc w:val="left"/>
        <w:rPr>
          <w:b/>
          <w:sz w:val="22"/>
          <w:szCs w:val="22"/>
        </w:rPr>
      </w:pPr>
      <w:r>
        <w:rPr>
          <w:b/>
          <w:sz w:val="22"/>
          <w:szCs w:val="22"/>
        </w:rPr>
        <w:t xml:space="preserve"> </w:t>
      </w:r>
      <w:r w:rsidRPr="000A1BCF">
        <w:rPr>
          <w:b/>
          <w:sz w:val="22"/>
          <w:szCs w:val="22"/>
        </w:rPr>
        <w:t>Palīgvielu saraksts</w:t>
      </w:r>
    </w:p>
    <w:p w14:paraId="0B324EB5" w14:textId="77777777" w:rsidR="00CA7B51" w:rsidRPr="000A1BCF" w:rsidRDefault="00CA7B51" w:rsidP="00CA7B51">
      <w:pPr>
        <w:pStyle w:val="BodyText"/>
        <w:jc w:val="left"/>
        <w:rPr>
          <w:sz w:val="22"/>
          <w:szCs w:val="22"/>
        </w:rPr>
      </w:pPr>
    </w:p>
    <w:p w14:paraId="24023B1A" w14:textId="77777777" w:rsidR="00CA7B51" w:rsidRPr="000A1BCF" w:rsidRDefault="00CA7B51" w:rsidP="00CA7B51">
      <w:pPr>
        <w:pStyle w:val="BodyText"/>
        <w:jc w:val="left"/>
        <w:rPr>
          <w:sz w:val="22"/>
          <w:szCs w:val="22"/>
        </w:rPr>
      </w:pPr>
      <w:r w:rsidRPr="000A1BCF">
        <w:rPr>
          <w:sz w:val="22"/>
          <w:szCs w:val="22"/>
        </w:rPr>
        <w:t>Vidējo ķēžu triglicerīdi</w:t>
      </w:r>
    </w:p>
    <w:p w14:paraId="04A21F44" w14:textId="77777777" w:rsidR="00CA7B51" w:rsidRDefault="00CA7B51" w:rsidP="00CA7B51">
      <w:pPr>
        <w:pStyle w:val="BodyText"/>
        <w:jc w:val="left"/>
        <w:rPr>
          <w:sz w:val="22"/>
          <w:szCs w:val="22"/>
        </w:rPr>
      </w:pPr>
      <w:r>
        <w:rPr>
          <w:sz w:val="22"/>
          <w:szCs w:val="22"/>
        </w:rPr>
        <w:t>K</w:t>
      </w:r>
      <w:r w:rsidRPr="00753E07">
        <w:rPr>
          <w:sz w:val="22"/>
          <w:szCs w:val="22"/>
        </w:rPr>
        <w:t>april-kaprīn-miristīn-stearīnskābes triglicerīdi</w:t>
      </w:r>
      <w:r w:rsidRPr="00753E07" w:rsidDel="00753E07">
        <w:rPr>
          <w:sz w:val="22"/>
          <w:szCs w:val="22"/>
        </w:rPr>
        <w:t xml:space="preserve"> </w:t>
      </w:r>
    </w:p>
    <w:p w14:paraId="5A96221F" w14:textId="77777777" w:rsidR="00CA7B51" w:rsidRPr="000A1BCF" w:rsidRDefault="00CA7B51" w:rsidP="00CA7B51">
      <w:pPr>
        <w:pStyle w:val="BodyText"/>
        <w:jc w:val="left"/>
        <w:rPr>
          <w:sz w:val="22"/>
          <w:szCs w:val="22"/>
        </w:rPr>
      </w:pPr>
      <w:r w:rsidRPr="000A1BCF">
        <w:rPr>
          <w:sz w:val="22"/>
          <w:szCs w:val="22"/>
        </w:rPr>
        <w:t>Makrogola-2-stearilēteris</w:t>
      </w:r>
    </w:p>
    <w:p w14:paraId="4CA7DA1D" w14:textId="77777777" w:rsidR="00CA7B51" w:rsidRPr="000A1BCF" w:rsidRDefault="00CA7B51" w:rsidP="00CA7B51">
      <w:pPr>
        <w:pStyle w:val="BodyText"/>
        <w:jc w:val="left"/>
        <w:rPr>
          <w:sz w:val="22"/>
          <w:szCs w:val="22"/>
        </w:rPr>
      </w:pPr>
      <w:r w:rsidRPr="000A1BCF">
        <w:rPr>
          <w:sz w:val="22"/>
          <w:szCs w:val="22"/>
        </w:rPr>
        <w:t>Makrogola-21-stearilēteris</w:t>
      </w:r>
    </w:p>
    <w:p w14:paraId="5E675A68" w14:textId="77777777" w:rsidR="00CA7B51" w:rsidRPr="000A1BCF" w:rsidRDefault="00CA7B51" w:rsidP="00CA7B51">
      <w:pPr>
        <w:pStyle w:val="BodyText"/>
        <w:jc w:val="left"/>
        <w:rPr>
          <w:sz w:val="22"/>
          <w:szCs w:val="22"/>
        </w:rPr>
      </w:pPr>
      <w:r w:rsidRPr="000A1BCF">
        <w:rPr>
          <w:sz w:val="22"/>
          <w:szCs w:val="22"/>
        </w:rPr>
        <w:t xml:space="preserve">Benzilspirts </w:t>
      </w:r>
    </w:p>
    <w:p w14:paraId="3E0439BF" w14:textId="77777777" w:rsidR="00CA7B51" w:rsidRPr="000A1BCF" w:rsidRDefault="00CA7B51" w:rsidP="00CA7B51">
      <w:pPr>
        <w:pStyle w:val="BodyText"/>
        <w:jc w:val="left"/>
        <w:rPr>
          <w:sz w:val="22"/>
          <w:szCs w:val="22"/>
        </w:rPr>
      </w:pPr>
      <w:r w:rsidRPr="000A1BCF">
        <w:rPr>
          <w:sz w:val="22"/>
          <w:szCs w:val="22"/>
        </w:rPr>
        <w:t>Dinātrija edetāts</w:t>
      </w:r>
    </w:p>
    <w:p w14:paraId="432838CA" w14:textId="77777777" w:rsidR="00CA7B51" w:rsidRPr="000A1BCF" w:rsidRDefault="00CA7B51" w:rsidP="00CA7B51">
      <w:pPr>
        <w:pStyle w:val="BodyText"/>
        <w:jc w:val="left"/>
        <w:rPr>
          <w:sz w:val="22"/>
          <w:szCs w:val="22"/>
        </w:rPr>
      </w:pPr>
      <w:r w:rsidRPr="000A1BCF">
        <w:rPr>
          <w:sz w:val="22"/>
          <w:szCs w:val="22"/>
        </w:rPr>
        <w:t>Glicerīns 85%</w:t>
      </w:r>
    </w:p>
    <w:p w14:paraId="79178681" w14:textId="77777777" w:rsidR="00CA7B51" w:rsidRPr="000A1BCF" w:rsidRDefault="00CA7B51" w:rsidP="00CA7B51">
      <w:pPr>
        <w:pStyle w:val="BodyText"/>
        <w:jc w:val="left"/>
        <w:rPr>
          <w:sz w:val="22"/>
          <w:szCs w:val="22"/>
        </w:rPr>
      </w:pPr>
      <w:r w:rsidRPr="000A1BCF">
        <w:rPr>
          <w:sz w:val="22"/>
          <w:szCs w:val="22"/>
        </w:rPr>
        <w:t>Attīrīts ūdens</w:t>
      </w:r>
    </w:p>
    <w:p w14:paraId="168FFD00" w14:textId="77777777" w:rsidR="00CA7B51" w:rsidRPr="000A1BCF" w:rsidRDefault="00CA7B51" w:rsidP="00CA7B51">
      <w:pPr>
        <w:pStyle w:val="BodyText"/>
        <w:jc w:val="left"/>
        <w:rPr>
          <w:sz w:val="22"/>
          <w:szCs w:val="22"/>
        </w:rPr>
      </w:pPr>
    </w:p>
    <w:p w14:paraId="2CE99F79" w14:textId="77777777" w:rsidR="00CA7B51" w:rsidRPr="000A1BCF" w:rsidRDefault="00CA7B51" w:rsidP="00CA7B51">
      <w:pPr>
        <w:pStyle w:val="BodyText"/>
        <w:numPr>
          <w:ilvl w:val="1"/>
          <w:numId w:val="5"/>
        </w:numPr>
        <w:jc w:val="left"/>
        <w:rPr>
          <w:b/>
          <w:sz w:val="22"/>
          <w:szCs w:val="22"/>
        </w:rPr>
      </w:pPr>
      <w:r>
        <w:rPr>
          <w:b/>
          <w:sz w:val="22"/>
          <w:szCs w:val="22"/>
        </w:rPr>
        <w:t xml:space="preserve">  </w:t>
      </w:r>
      <w:r w:rsidRPr="000A1BCF">
        <w:rPr>
          <w:b/>
          <w:sz w:val="22"/>
          <w:szCs w:val="22"/>
        </w:rPr>
        <w:t>Nesaderība</w:t>
      </w:r>
    </w:p>
    <w:p w14:paraId="1997C0D2" w14:textId="77777777" w:rsidR="00CA7B51" w:rsidRPr="000A1BCF" w:rsidRDefault="00CA7B51" w:rsidP="00CA7B51">
      <w:pPr>
        <w:pStyle w:val="BodyText"/>
        <w:jc w:val="left"/>
        <w:rPr>
          <w:sz w:val="22"/>
          <w:szCs w:val="22"/>
        </w:rPr>
      </w:pPr>
    </w:p>
    <w:p w14:paraId="6DCD0649" w14:textId="77777777" w:rsidR="00CA7B51" w:rsidRPr="000A1BCF" w:rsidRDefault="00CA7B51" w:rsidP="00CA7B51">
      <w:pPr>
        <w:pStyle w:val="BodyText"/>
        <w:jc w:val="left"/>
        <w:rPr>
          <w:sz w:val="22"/>
          <w:szCs w:val="22"/>
        </w:rPr>
      </w:pPr>
      <w:r w:rsidRPr="000A1BCF">
        <w:rPr>
          <w:sz w:val="22"/>
          <w:szCs w:val="22"/>
        </w:rPr>
        <w:t>Nav piemērojama.</w:t>
      </w:r>
    </w:p>
    <w:p w14:paraId="6D772217" w14:textId="77777777" w:rsidR="00CA7B51" w:rsidRPr="000A1BCF" w:rsidRDefault="00CA7B51" w:rsidP="00CA7B51">
      <w:pPr>
        <w:pStyle w:val="BodyText"/>
        <w:jc w:val="left"/>
        <w:rPr>
          <w:sz w:val="22"/>
          <w:szCs w:val="22"/>
        </w:rPr>
      </w:pPr>
    </w:p>
    <w:p w14:paraId="0E63CB10" w14:textId="77777777" w:rsidR="00CA7B51" w:rsidRPr="000A1BCF" w:rsidRDefault="00CA7B51" w:rsidP="00CA7B51">
      <w:pPr>
        <w:pStyle w:val="BodyText"/>
        <w:numPr>
          <w:ilvl w:val="1"/>
          <w:numId w:val="5"/>
        </w:numPr>
        <w:ind w:left="567" w:hanging="567"/>
        <w:jc w:val="left"/>
        <w:rPr>
          <w:b/>
          <w:sz w:val="22"/>
          <w:szCs w:val="22"/>
        </w:rPr>
      </w:pPr>
      <w:r w:rsidRPr="000A1BCF">
        <w:rPr>
          <w:b/>
          <w:sz w:val="22"/>
          <w:szCs w:val="22"/>
        </w:rPr>
        <w:t>Uzglabāšanas laiks</w:t>
      </w:r>
    </w:p>
    <w:p w14:paraId="2571DE49" w14:textId="77777777" w:rsidR="00CA7B51" w:rsidRPr="000A1BCF" w:rsidRDefault="00CA7B51" w:rsidP="00CA7B51">
      <w:pPr>
        <w:pStyle w:val="BodyText"/>
        <w:jc w:val="left"/>
        <w:rPr>
          <w:sz w:val="22"/>
          <w:szCs w:val="22"/>
        </w:rPr>
      </w:pPr>
    </w:p>
    <w:p w14:paraId="1C695636" w14:textId="77777777" w:rsidR="00CA7B51" w:rsidRPr="000A1BCF" w:rsidRDefault="00CA7B51" w:rsidP="00CA7B51">
      <w:pPr>
        <w:pStyle w:val="BodyText"/>
        <w:jc w:val="left"/>
        <w:rPr>
          <w:sz w:val="22"/>
          <w:szCs w:val="22"/>
          <w:vertAlign w:val="superscript"/>
        </w:rPr>
      </w:pPr>
      <w:r w:rsidRPr="000A1BCF">
        <w:rPr>
          <w:sz w:val="22"/>
          <w:szCs w:val="22"/>
        </w:rPr>
        <w:t>3 gadi</w:t>
      </w:r>
    </w:p>
    <w:p w14:paraId="101D183B" w14:textId="77777777" w:rsidR="00CA7B51" w:rsidRPr="000A1BCF" w:rsidRDefault="00CA7B51" w:rsidP="00CA7B51">
      <w:pPr>
        <w:pStyle w:val="BodyText"/>
        <w:jc w:val="left"/>
        <w:rPr>
          <w:b/>
          <w:sz w:val="22"/>
          <w:szCs w:val="22"/>
        </w:rPr>
      </w:pPr>
    </w:p>
    <w:p w14:paraId="47375544" w14:textId="77777777" w:rsidR="00CA7B51" w:rsidRPr="000A1BCF" w:rsidRDefault="00CA7B51" w:rsidP="00CA7B51">
      <w:pPr>
        <w:pStyle w:val="BodyText"/>
        <w:numPr>
          <w:ilvl w:val="1"/>
          <w:numId w:val="5"/>
        </w:numPr>
        <w:ind w:left="567" w:hanging="567"/>
        <w:jc w:val="left"/>
        <w:rPr>
          <w:b/>
          <w:sz w:val="22"/>
          <w:szCs w:val="22"/>
        </w:rPr>
      </w:pPr>
      <w:r w:rsidRPr="000A1BCF">
        <w:rPr>
          <w:b/>
          <w:sz w:val="22"/>
          <w:szCs w:val="22"/>
        </w:rPr>
        <w:t>Īpaši uzglabāšanas nosacījumi</w:t>
      </w:r>
    </w:p>
    <w:p w14:paraId="30CEF6A2" w14:textId="77777777" w:rsidR="00CA7B51" w:rsidRPr="000A1BCF" w:rsidRDefault="00CA7B51" w:rsidP="00CA7B51">
      <w:pPr>
        <w:pStyle w:val="BodyText"/>
        <w:jc w:val="left"/>
        <w:rPr>
          <w:sz w:val="22"/>
          <w:szCs w:val="22"/>
        </w:rPr>
      </w:pPr>
    </w:p>
    <w:p w14:paraId="0ED87208" w14:textId="77777777" w:rsidR="00CA7B51" w:rsidRPr="000A1BCF" w:rsidRDefault="00CA7B51" w:rsidP="00CA7B51">
      <w:pPr>
        <w:pStyle w:val="BodyText"/>
        <w:jc w:val="left"/>
        <w:rPr>
          <w:sz w:val="22"/>
          <w:szCs w:val="22"/>
        </w:rPr>
      </w:pPr>
      <w:r w:rsidRPr="000A1BCF">
        <w:rPr>
          <w:sz w:val="22"/>
          <w:szCs w:val="22"/>
        </w:rPr>
        <w:t>Uzlabāt temperatūrā līdz 30 </w:t>
      </w:r>
      <w:r w:rsidRPr="00A13181">
        <w:rPr>
          <w:sz w:val="22"/>
          <w:szCs w:val="22"/>
        </w:rPr>
        <w:t>°</w:t>
      </w:r>
      <w:r w:rsidRPr="000A1BCF">
        <w:rPr>
          <w:sz w:val="22"/>
          <w:szCs w:val="22"/>
        </w:rPr>
        <w:t>C.</w:t>
      </w:r>
      <w:r>
        <w:rPr>
          <w:sz w:val="22"/>
          <w:szCs w:val="22"/>
        </w:rPr>
        <w:t xml:space="preserve"> Pēc tūbiņas pirmās atvēršanas var lietot 3 mēnešus.</w:t>
      </w:r>
    </w:p>
    <w:p w14:paraId="209B53D5" w14:textId="77777777" w:rsidR="00CA7B51" w:rsidRPr="000A1BCF" w:rsidRDefault="00CA7B51" w:rsidP="00CA7B51">
      <w:pPr>
        <w:pStyle w:val="BodyText"/>
        <w:jc w:val="left"/>
        <w:rPr>
          <w:sz w:val="22"/>
          <w:szCs w:val="22"/>
        </w:rPr>
      </w:pPr>
    </w:p>
    <w:p w14:paraId="01EBCB54" w14:textId="77777777" w:rsidR="00CA7B51" w:rsidRPr="000A1BCF" w:rsidRDefault="00CA7B51" w:rsidP="00CA7B51">
      <w:pPr>
        <w:pStyle w:val="BodyText"/>
        <w:numPr>
          <w:ilvl w:val="1"/>
          <w:numId w:val="5"/>
        </w:numPr>
        <w:ind w:left="567" w:hanging="567"/>
        <w:jc w:val="left"/>
        <w:rPr>
          <w:b/>
          <w:sz w:val="22"/>
          <w:szCs w:val="22"/>
        </w:rPr>
      </w:pPr>
      <w:r w:rsidRPr="000A1BCF">
        <w:rPr>
          <w:b/>
          <w:sz w:val="22"/>
          <w:szCs w:val="22"/>
        </w:rPr>
        <w:t>Iepakojuma veids un saturs</w:t>
      </w:r>
    </w:p>
    <w:p w14:paraId="4DE40ACA" w14:textId="77777777" w:rsidR="00CA7B51" w:rsidRPr="000A1BCF" w:rsidRDefault="00CA7B51" w:rsidP="00CA7B51">
      <w:pPr>
        <w:pStyle w:val="BodyText"/>
        <w:jc w:val="left"/>
        <w:rPr>
          <w:sz w:val="22"/>
          <w:szCs w:val="22"/>
        </w:rPr>
      </w:pPr>
    </w:p>
    <w:p w14:paraId="407EC6D8" w14:textId="77777777" w:rsidR="00CA7B51" w:rsidRDefault="00CA7B51" w:rsidP="00CA7B51">
      <w:pPr>
        <w:pStyle w:val="BodyText"/>
        <w:jc w:val="left"/>
        <w:rPr>
          <w:sz w:val="22"/>
          <w:szCs w:val="22"/>
        </w:rPr>
      </w:pPr>
      <w:r>
        <w:rPr>
          <w:sz w:val="22"/>
          <w:szCs w:val="22"/>
        </w:rPr>
        <w:t>Balta, l</w:t>
      </w:r>
      <w:r w:rsidRPr="000A1BCF">
        <w:rPr>
          <w:sz w:val="22"/>
          <w:szCs w:val="22"/>
        </w:rPr>
        <w:t>aminēta alumīnija tūbiņa, iekšējā virsma izgatavota no polietilēna, un balts skrūvējams polipropilēna korķis.</w:t>
      </w:r>
      <w:r>
        <w:rPr>
          <w:sz w:val="22"/>
          <w:szCs w:val="22"/>
        </w:rPr>
        <w:t xml:space="preserve"> Tūbiņai ir noplēšama membrāna.</w:t>
      </w:r>
    </w:p>
    <w:p w14:paraId="5A9F26AE" w14:textId="77777777" w:rsidR="00CA7B51" w:rsidRDefault="00CA7B51" w:rsidP="00CA7B51">
      <w:pPr>
        <w:pStyle w:val="BodyText"/>
        <w:jc w:val="left"/>
        <w:rPr>
          <w:sz w:val="22"/>
          <w:szCs w:val="22"/>
        </w:rPr>
      </w:pPr>
    </w:p>
    <w:p w14:paraId="269BD5BA" w14:textId="77777777" w:rsidR="00CA7B51" w:rsidRPr="000A1BCF" w:rsidRDefault="00CA7B51" w:rsidP="00CA7B51">
      <w:pPr>
        <w:pStyle w:val="BodyText"/>
        <w:jc w:val="left"/>
        <w:rPr>
          <w:sz w:val="22"/>
          <w:szCs w:val="22"/>
        </w:rPr>
      </w:pPr>
      <w:r w:rsidRPr="000A1BCF">
        <w:rPr>
          <w:sz w:val="22"/>
          <w:szCs w:val="22"/>
        </w:rPr>
        <w:t>Iepakojumi: tūbiņas pa 20 g un 50 g.</w:t>
      </w:r>
    </w:p>
    <w:p w14:paraId="4363055B" w14:textId="77777777" w:rsidR="00CA7B51" w:rsidRPr="000A1BCF" w:rsidRDefault="00CA7B51" w:rsidP="00CA7B51">
      <w:pPr>
        <w:pStyle w:val="BodyText"/>
        <w:jc w:val="left"/>
        <w:rPr>
          <w:sz w:val="22"/>
          <w:szCs w:val="22"/>
        </w:rPr>
      </w:pPr>
    </w:p>
    <w:p w14:paraId="48D14428" w14:textId="77777777" w:rsidR="00CA7B51" w:rsidRPr="000A1BCF" w:rsidRDefault="00CA7B51" w:rsidP="00CA7B51">
      <w:pPr>
        <w:pStyle w:val="BodyText"/>
        <w:jc w:val="left"/>
        <w:rPr>
          <w:sz w:val="22"/>
          <w:szCs w:val="22"/>
        </w:rPr>
      </w:pPr>
      <w:r w:rsidRPr="000A1BCF">
        <w:rPr>
          <w:sz w:val="22"/>
          <w:szCs w:val="22"/>
        </w:rPr>
        <w:t>Visi iepakojuma lielumi tirgū var nebūt pieejami.</w:t>
      </w:r>
    </w:p>
    <w:p w14:paraId="1F30930B" w14:textId="77777777" w:rsidR="00CA7B51" w:rsidRPr="000A1BCF" w:rsidRDefault="00CA7B51" w:rsidP="00CA7B51">
      <w:pPr>
        <w:pStyle w:val="BodyText"/>
        <w:jc w:val="left"/>
        <w:rPr>
          <w:sz w:val="22"/>
          <w:szCs w:val="22"/>
        </w:rPr>
      </w:pPr>
    </w:p>
    <w:p w14:paraId="2585BEAD" w14:textId="77777777" w:rsidR="00CA7B51" w:rsidRPr="000A1BCF" w:rsidRDefault="00CA7B51" w:rsidP="00CA7B51">
      <w:pPr>
        <w:pStyle w:val="BodyText"/>
        <w:numPr>
          <w:ilvl w:val="1"/>
          <w:numId w:val="5"/>
        </w:numPr>
        <w:ind w:left="567" w:hanging="567"/>
        <w:jc w:val="left"/>
        <w:rPr>
          <w:b/>
          <w:sz w:val="22"/>
          <w:szCs w:val="22"/>
        </w:rPr>
      </w:pPr>
      <w:r w:rsidRPr="000A1BCF">
        <w:rPr>
          <w:b/>
          <w:sz w:val="22"/>
          <w:szCs w:val="22"/>
        </w:rPr>
        <w:t>Īpaši norādījumi atkritumu likvidēšanai un citi norādījumi par rīkošanos</w:t>
      </w:r>
    </w:p>
    <w:p w14:paraId="16F0B6BC" w14:textId="77777777" w:rsidR="00CA7B51" w:rsidRPr="000A1BCF" w:rsidRDefault="00CA7B51" w:rsidP="00CA7B51">
      <w:pPr>
        <w:pStyle w:val="BodyText"/>
        <w:jc w:val="left"/>
        <w:rPr>
          <w:sz w:val="22"/>
          <w:szCs w:val="22"/>
        </w:rPr>
      </w:pPr>
    </w:p>
    <w:p w14:paraId="2B9F1381" w14:textId="77777777" w:rsidR="00CA7B51" w:rsidRPr="000A1BCF" w:rsidRDefault="00CA7B51" w:rsidP="00CA7B51">
      <w:pPr>
        <w:pStyle w:val="BodyText"/>
        <w:jc w:val="left"/>
        <w:rPr>
          <w:sz w:val="22"/>
          <w:szCs w:val="22"/>
        </w:rPr>
      </w:pPr>
      <w:r w:rsidRPr="000A1BCF">
        <w:rPr>
          <w:sz w:val="22"/>
          <w:szCs w:val="22"/>
        </w:rPr>
        <w:t>Nav īpašu prasību.</w:t>
      </w:r>
    </w:p>
    <w:p w14:paraId="10BC011A" w14:textId="77777777" w:rsidR="00CA7B51" w:rsidRPr="000A1BCF" w:rsidRDefault="00CA7B51" w:rsidP="00CA7B51">
      <w:pPr>
        <w:pStyle w:val="BodyText"/>
        <w:jc w:val="left"/>
        <w:rPr>
          <w:sz w:val="22"/>
          <w:szCs w:val="22"/>
        </w:rPr>
      </w:pPr>
      <w:r w:rsidRPr="000A1BCF">
        <w:rPr>
          <w:sz w:val="22"/>
          <w:szCs w:val="22"/>
        </w:rPr>
        <w:t>Neizlietotās zāles vai izlietotie materiāli jāiznīcina atbilstoši vietējām prasībām.</w:t>
      </w:r>
    </w:p>
    <w:p w14:paraId="1782EFA1" w14:textId="77777777" w:rsidR="00CA7B51" w:rsidRPr="000A1BCF" w:rsidRDefault="00CA7B51" w:rsidP="00CA7B51">
      <w:pPr>
        <w:pStyle w:val="BodyText"/>
        <w:jc w:val="left"/>
        <w:rPr>
          <w:sz w:val="22"/>
          <w:szCs w:val="22"/>
        </w:rPr>
      </w:pPr>
    </w:p>
    <w:p w14:paraId="152FBB46" w14:textId="77777777" w:rsidR="00CA7B51" w:rsidRPr="000A1BCF" w:rsidRDefault="00CA7B51" w:rsidP="00CA7B51">
      <w:pPr>
        <w:pStyle w:val="BodyText"/>
        <w:jc w:val="left"/>
        <w:rPr>
          <w:sz w:val="22"/>
          <w:szCs w:val="22"/>
        </w:rPr>
      </w:pPr>
    </w:p>
    <w:p w14:paraId="6330205A" w14:textId="77777777" w:rsidR="00CA7B51" w:rsidRPr="000A1BCF" w:rsidRDefault="00CA7B51" w:rsidP="00CA7B51">
      <w:pPr>
        <w:pStyle w:val="BodyText"/>
        <w:numPr>
          <w:ilvl w:val="0"/>
          <w:numId w:val="1"/>
        </w:numPr>
        <w:ind w:left="510" w:hanging="510"/>
        <w:jc w:val="left"/>
        <w:rPr>
          <w:b/>
          <w:sz w:val="22"/>
          <w:szCs w:val="22"/>
        </w:rPr>
      </w:pPr>
      <w:r w:rsidRPr="000A1BCF">
        <w:rPr>
          <w:b/>
          <w:sz w:val="22"/>
          <w:szCs w:val="22"/>
        </w:rPr>
        <w:t>REĢISTRĀCIJAS APLIECĪBAS ĪPAŠNIEKS</w:t>
      </w:r>
    </w:p>
    <w:p w14:paraId="4856182D" w14:textId="77777777" w:rsidR="00CA7B51" w:rsidRPr="000A1BCF" w:rsidRDefault="00CA7B51" w:rsidP="00CA7B51">
      <w:pPr>
        <w:rPr>
          <w:b/>
          <w:sz w:val="22"/>
          <w:szCs w:val="22"/>
          <w:lang w:val="lv-LV"/>
        </w:rPr>
      </w:pPr>
    </w:p>
    <w:p w14:paraId="29EA5D60" w14:textId="77777777" w:rsidR="00CA7B51" w:rsidRPr="00070256" w:rsidRDefault="00CA7B51" w:rsidP="00CA7B51">
      <w:pPr>
        <w:widowControl w:val="0"/>
        <w:spacing w:line="242" w:lineRule="auto"/>
        <w:ind w:right="5794"/>
        <w:rPr>
          <w:sz w:val="22"/>
          <w:szCs w:val="22"/>
          <w:lang w:val="lv-LV"/>
        </w:rPr>
      </w:pPr>
      <w:r w:rsidRPr="00AD4973">
        <w:rPr>
          <w:sz w:val="22"/>
          <w:szCs w:val="22"/>
        </w:rPr>
        <w:t>L</w:t>
      </w:r>
      <w:r w:rsidRPr="00AD4973">
        <w:rPr>
          <w:spacing w:val="1"/>
          <w:sz w:val="22"/>
          <w:szCs w:val="22"/>
        </w:rPr>
        <w:t>E</w:t>
      </w:r>
      <w:r w:rsidRPr="00AD4973">
        <w:rPr>
          <w:sz w:val="22"/>
          <w:szCs w:val="22"/>
        </w:rPr>
        <w:t>O</w:t>
      </w:r>
      <w:r w:rsidRPr="00070256">
        <w:rPr>
          <w:spacing w:val="13"/>
          <w:sz w:val="22"/>
          <w:szCs w:val="22"/>
        </w:rPr>
        <w:t xml:space="preserve"> </w:t>
      </w:r>
      <w:r w:rsidRPr="00070256">
        <w:rPr>
          <w:sz w:val="22"/>
          <w:szCs w:val="22"/>
        </w:rPr>
        <w:t>Phar</w:t>
      </w:r>
      <w:r w:rsidRPr="00070256">
        <w:rPr>
          <w:spacing w:val="-2"/>
          <w:sz w:val="22"/>
          <w:szCs w:val="22"/>
        </w:rPr>
        <w:t>m</w:t>
      </w:r>
      <w:r w:rsidRPr="00070256">
        <w:rPr>
          <w:sz w:val="22"/>
          <w:szCs w:val="22"/>
        </w:rPr>
        <w:t>a</w:t>
      </w:r>
      <w:r w:rsidRPr="00070256">
        <w:rPr>
          <w:spacing w:val="20"/>
          <w:sz w:val="22"/>
          <w:szCs w:val="22"/>
        </w:rPr>
        <w:t xml:space="preserve"> </w:t>
      </w:r>
      <w:r w:rsidRPr="00070256">
        <w:rPr>
          <w:w w:val="103"/>
          <w:sz w:val="22"/>
          <w:szCs w:val="22"/>
        </w:rPr>
        <w:t>A/S</w:t>
      </w:r>
    </w:p>
    <w:p w14:paraId="1F0CFC5A" w14:textId="77777777" w:rsidR="00CA7B51" w:rsidRPr="00070256" w:rsidRDefault="00CA7B51" w:rsidP="00CA7B51">
      <w:pPr>
        <w:widowControl w:val="0"/>
        <w:spacing w:before="1"/>
        <w:ind w:right="-20"/>
        <w:rPr>
          <w:sz w:val="22"/>
          <w:szCs w:val="22"/>
        </w:rPr>
      </w:pPr>
      <w:r w:rsidRPr="00070256">
        <w:rPr>
          <w:sz w:val="22"/>
          <w:szCs w:val="22"/>
        </w:rPr>
        <w:t>Ind</w:t>
      </w:r>
      <w:r w:rsidRPr="00070256">
        <w:rPr>
          <w:spacing w:val="-1"/>
          <w:sz w:val="22"/>
          <w:szCs w:val="22"/>
        </w:rPr>
        <w:t>u</w:t>
      </w:r>
      <w:r w:rsidRPr="00070256">
        <w:rPr>
          <w:sz w:val="22"/>
          <w:szCs w:val="22"/>
        </w:rPr>
        <w:t>stripar</w:t>
      </w:r>
      <w:r w:rsidRPr="00070256">
        <w:rPr>
          <w:spacing w:val="-1"/>
          <w:sz w:val="22"/>
          <w:szCs w:val="22"/>
        </w:rPr>
        <w:t>k</w:t>
      </w:r>
      <w:r w:rsidRPr="00070256">
        <w:rPr>
          <w:sz w:val="22"/>
          <w:szCs w:val="22"/>
        </w:rPr>
        <w:t>en</w:t>
      </w:r>
      <w:r w:rsidRPr="00070256">
        <w:rPr>
          <w:spacing w:val="35"/>
          <w:sz w:val="22"/>
          <w:szCs w:val="22"/>
        </w:rPr>
        <w:t xml:space="preserve"> </w:t>
      </w:r>
      <w:r w:rsidRPr="00070256">
        <w:rPr>
          <w:w w:val="103"/>
          <w:sz w:val="22"/>
          <w:szCs w:val="22"/>
        </w:rPr>
        <w:t>55</w:t>
      </w:r>
    </w:p>
    <w:p w14:paraId="5039BF51" w14:textId="77777777" w:rsidR="00CA7B51" w:rsidRPr="00070256" w:rsidRDefault="00CA7B51" w:rsidP="00CA7B51">
      <w:pPr>
        <w:widowControl w:val="0"/>
        <w:spacing w:before="9"/>
        <w:ind w:right="-20"/>
        <w:rPr>
          <w:sz w:val="22"/>
          <w:szCs w:val="22"/>
          <w:lang w:val="lv-LV"/>
        </w:rPr>
      </w:pPr>
      <w:r w:rsidRPr="00070256">
        <w:rPr>
          <w:spacing w:val="-1"/>
          <w:sz w:val="22"/>
          <w:szCs w:val="22"/>
        </w:rPr>
        <w:t>DK</w:t>
      </w:r>
      <w:r w:rsidRPr="00070256">
        <w:rPr>
          <w:spacing w:val="1"/>
          <w:sz w:val="22"/>
          <w:szCs w:val="22"/>
        </w:rPr>
        <w:t>-</w:t>
      </w:r>
      <w:r w:rsidRPr="00070256">
        <w:rPr>
          <w:spacing w:val="-1"/>
          <w:sz w:val="22"/>
          <w:szCs w:val="22"/>
        </w:rPr>
        <w:t>275</w:t>
      </w:r>
      <w:r w:rsidRPr="00070256">
        <w:rPr>
          <w:sz w:val="22"/>
          <w:szCs w:val="22"/>
        </w:rPr>
        <w:t>0</w:t>
      </w:r>
      <w:r w:rsidRPr="00070256">
        <w:rPr>
          <w:spacing w:val="25"/>
          <w:sz w:val="22"/>
          <w:szCs w:val="22"/>
        </w:rPr>
        <w:t xml:space="preserve"> </w:t>
      </w:r>
      <w:r w:rsidRPr="00070256">
        <w:rPr>
          <w:spacing w:val="-1"/>
          <w:w w:val="103"/>
          <w:sz w:val="22"/>
          <w:szCs w:val="22"/>
        </w:rPr>
        <w:t>B</w:t>
      </w:r>
      <w:r w:rsidRPr="00070256">
        <w:rPr>
          <w:spacing w:val="1"/>
          <w:w w:val="103"/>
          <w:sz w:val="22"/>
          <w:szCs w:val="22"/>
        </w:rPr>
        <w:t>a</w:t>
      </w:r>
      <w:r w:rsidRPr="00070256">
        <w:rPr>
          <w:spacing w:val="-1"/>
          <w:w w:val="103"/>
          <w:sz w:val="22"/>
          <w:szCs w:val="22"/>
        </w:rPr>
        <w:t>llerup</w:t>
      </w:r>
    </w:p>
    <w:p w14:paraId="526D7039" w14:textId="77777777" w:rsidR="00CA7B51" w:rsidRPr="00B23C8B" w:rsidRDefault="00CA7B51" w:rsidP="00CA7B51">
      <w:pPr>
        <w:pStyle w:val="Heading1"/>
        <w:rPr>
          <w:b w:val="0"/>
          <w:bCs w:val="0"/>
          <w:sz w:val="22"/>
          <w:szCs w:val="22"/>
        </w:rPr>
      </w:pPr>
      <w:r w:rsidRPr="00B23C8B">
        <w:rPr>
          <w:b w:val="0"/>
          <w:bCs w:val="0"/>
          <w:w w:val="103"/>
          <w:sz w:val="22"/>
          <w:szCs w:val="22"/>
        </w:rPr>
        <w:t>Dānija</w:t>
      </w:r>
    </w:p>
    <w:p w14:paraId="4B7726D4" w14:textId="77777777" w:rsidR="00CA7B51" w:rsidRPr="000A1BCF" w:rsidRDefault="00CA7B51" w:rsidP="00CA7B51">
      <w:pPr>
        <w:pStyle w:val="Text"/>
        <w:widowControl/>
        <w:overflowPunct/>
        <w:autoSpaceDE/>
        <w:autoSpaceDN/>
        <w:adjustRightInd/>
        <w:rPr>
          <w:b/>
          <w:sz w:val="22"/>
          <w:szCs w:val="22"/>
          <w:lang w:val="lv-LV"/>
        </w:rPr>
      </w:pPr>
    </w:p>
    <w:p w14:paraId="351970FA" w14:textId="77777777" w:rsidR="00CA7B51" w:rsidRPr="000A1BCF" w:rsidRDefault="00CA7B51" w:rsidP="00CA7B51">
      <w:pPr>
        <w:rPr>
          <w:b/>
          <w:sz w:val="22"/>
          <w:szCs w:val="22"/>
          <w:lang w:val="lv-LV"/>
        </w:rPr>
      </w:pPr>
    </w:p>
    <w:p w14:paraId="2C0FF81E" w14:textId="77777777" w:rsidR="00CA7B51" w:rsidRPr="000A1BCF" w:rsidRDefault="00CA7B51" w:rsidP="00CA7B51">
      <w:pPr>
        <w:pStyle w:val="BodyText"/>
        <w:numPr>
          <w:ilvl w:val="0"/>
          <w:numId w:val="1"/>
        </w:numPr>
        <w:ind w:left="510" w:hanging="510"/>
        <w:jc w:val="left"/>
        <w:rPr>
          <w:b/>
          <w:sz w:val="22"/>
          <w:szCs w:val="22"/>
        </w:rPr>
      </w:pPr>
      <w:r w:rsidRPr="000A1BCF">
        <w:rPr>
          <w:b/>
          <w:sz w:val="22"/>
          <w:szCs w:val="22"/>
        </w:rPr>
        <w:t>REĢISTRĀCIJAS APLIECĪBAS NUMURS</w:t>
      </w:r>
    </w:p>
    <w:p w14:paraId="7BAE73CE" w14:textId="77777777" w:rsidR="00CA7B51" w:rsidRPr="000A1BCF" w:rsidRDefault="00CA7B51" w:rsidP="00CA7B51">
      <w:pPr>
        <w:rPr>
          <w:b/>
          <w:sz w:val="22"/>
          <w:szCs w:val="22"/>
          <w:lang w:val="lv-LV"/>
        </w:rPr>
      </w:pPr>
    </w:p>
    <w:p w14:paraId="6E9DAF07" w14:textId="77777777" w:rsidR="00CA7B51" w:rsidRPr="000A1BCF" w:rsidRDefault="00CA7B51" w:rsidP="00CA7B51">
      <w:pPr>
        <w:rPr>
          <w:sz w:val="22"/>
          <w:szCs w:val="22"/>
          <w:lang w:val="lv-LV"/>
        </w:rPr>
      </w:pPr>
      <w:r w:rsidRPr="000A1BCF">
        <w:rPr>
          <w:sz w:val="22"/>
          <w:szCs w:val="22"/>
          <w:lang w:val="lv-LV"/>
        </w:rPr>
        <w:t>04-0250</w:t>
      </w:r>
    </w:p>
    <w:p w14:paraId="32508FDD" w14:textId="77777777" w:rsidR="00CA7B51" w:rsidRPr="000A1BCF" w:rsidRDefault="00CA7B51" w:rsidP="00CA7B51">
      <w:pPr>
        <w:rPr>
          <w:b/>
          <w:sz w:val="22"/>
          <w:szCs w:val="22"/>
          <w:lang w:val="lv-LV"/>
        </w:rPr>
      </w:pPr>
    </w:p>
    <w:p w14:paraId="57ABCF8D" w14:textId="77777777" w:rsidR="00CA7B51" w:rsidRPr="000A1BCF" w:rsidRDefault="00CA7B51" w:rsidP="00CA7B51">
      <w:pPr>
        <w:rPr>
          <w:b/>
          <w:sz w:val="22"/>
          <w:szCs w:val="22"/>
          <w:lang w:val="lv-LV"/>
        </w:rPr>
      </w:pPr>
    </w:p>
    <w:p w14:paraId="75462BE3" w14:textId="77777777" w:rsidR="00CA7B51" w:rsidRPr="000A1BCF" w:rsidRDefault="00CA7B51" w:rsidP="00CA7B51">
      <w:pPr>
        <w:pStyle w:val="BodyText"/>
        <w:numPr>
          <w:ilvl w:val="0"/>
          <w:numId w:val="1"/>
        </w:numPr>
        <w:ind w:left="510" w:hanging="510"/>
        <w:jc w:val="left"/>
        <w:rPr>
          <w:b/>
          <w:sz w:val="22"/>
          <w:szCs w:val="22"/>
        </w:rPr>
      </w:pPr>
      <w:r>
        <w:rPr>
          <w:b/>
          <w:sz w:val="22"/>
          <w:szCs w:val="22"/>
        </w:rPr>
        <w:t xml:space="preserve">PIRMĀS </w:t>
      </w:r>
      <w:r w:rsidRPr="000A1BCF">
        <w:rPr>
          <w:b/>
          <w:sz w:val="22"/>
          <w:szCs w:val="22"/>
        </w:rPr>
        <w:t>REĢISTRĀCIJAS / PĀRREĢISTRĀCIJAS DATUMS</w:t>
      </w:r>
    </w:p>
    <w:p w14:paraId="200E913D" w14:textId="77777777" w:rsidR="00CA7B51" w:rsidRPr="000A1BCF" w:rsidRDefault="00CA7B51" w:rsidP="00CA7B51">
      <w:pPr>
        <w:rPr>
          <w:b/>
          <w:sz w:val="22"/>
          <w:szCs w:val="22"/>
          <w:lang w:val="lv-LV"/>
        </w:rPr>
      </w:pPr>
    </w:p>
    <w:p w14:paraId="69E688AE" w14:textId="77777777" w:rsidR="00CA7B51" w:rsidRPr="000A1BCF" w:rsidRDefault="00CA7B51" w:rsidP="00CA7B51">
      <w:pPr>
        <w:rPr>
          <w:sz w:val="22"/>
          <w:szCs w:val="22"/>
          <w:lang w:val="lv-LV"/>
        </w:rPr>
      </w:pPr>
      <w:r w:rsidRPr="000A1BCF">
        <w:rPr>
          <w:sz w:val="22"/>
          <w:szCs w:val="22"/>
          <w:lang w:val="lv-LV"/>
        </w:rPr>
        <w:t>Reģistrācijas datums:</w:t>
      </w:r>
      <w:r w:rsidRPr="000A1BCF">
        <w:rPr>
          <w:bCs/>
          <w:sz w:val="22"/>
          <w:szCs w:val="22"/>
          <w:lang w:val="lv-LV"/>
        </w:rPr>
        <w:t xml:space="preserve"> </w:t>
      </w:r>
      <w:r>
        <w:rPr>
          <w:bCs/>
          <w:sz w:val="22"/>
          <w:szCs w:val="22"/>
          <w:lang w:val="lv-LV"/>
        </w:rPr>
        <w:t xml:space="preserve">2004. gada </w:t>
      </w:r>
      <w:r w:rsidRPr="000A1BCF">
        <w:rPr>
          <w:sz w:val="22"/>
          <w:szCs w:val="22"/>
          <w:lang w:val="lv-LV"/>
        </w:rPr>
        <w:t>29. aprīlis.</w:t>
      </w:r>
    </w:p>
    <w:p w14:paraId="4C166BE7" w14:textId="77777777" w:rsidR="00CA7B51" w:rsidRPr="000A1BCF" w:rsidRDefault="00CA7B51" w:rsidP="00CA7B51">
      <w:pPr>
        <w:rPr>
          <w:b/>
          <w:sz w:val="22"/>
          <w:szCs w:val="22"/>
          <w:lang w:val="lv-LV"/>
        </w:rPr>
      </w:pPr>
      <w:r w:rsidRPr="000A1BCF">
        <w:rPr>
          <w:sz w:val="22"/>
          <w:szCs w:val="22"/>
          <w:lang w:val="lv-LV"/>
        </w:rPr>
        <w:t>Pēdējās pārreģistrācijas datums</w:t>
      </w:r>
      <w:r w:rsidRPr="00A13181">
        <w:rPr>
          <w:sz w:val="22"/>
          <w:szCs w:val="22"/>
          <w:lang w:val="lv-LV"/>
        </w:rPr>
        <w:t xml:space="preserve">: </w:t>
      </w:r>
      <w:r>
        <w:rPr>
          <w:sz w:val="22"/>
          <w:szCs w:val="22"/>
          <w:lang w:val="lv-LV"/>
        </w:rPr>
        <w:t xml:space="preserve">2009. gada </w:t>
      </w:r>
      <w:r w:rsidRPr="00A13181">
        <w:rPr>
          <w:sz w:val="22"/>
          <w:szCs w:val="22"/>
          <w:lang w:val="lv-LV"/>
        </w:rPr>
        <w:t>28.</w:t>
      </w:r>
      <w:r w:rsidRPr="000A1BCF">
        <w:rPr>
          <w:sz w:val="22"/>
          <w:szCs w:val="22"/>
          <w:lang w:val="lv-LV"/>
        </w:rPr>
        <w:t xml:space="preserve"> </w:t>
      </w:r>
      <w:r>
        <w:rPr>
          <w:sz w:val="22"/>
          <w:szCs w:val="22"/>
          <w:lang w:val="lv-LV"/>
        </w:rPr>
        <w:t>m</w:t>
      </w:r>
      <w:r w:rsidRPr="000A1BCF">
        <w:rPr>
          <w:sz w:val="22"/>
          <w:szCs w:val="22"/>
          <w:lang w:val="lv-LV"/>
        </w:rPr>
        <w:t>aijs</w:t>
      </w:r>
      <w:r>
        <w:rPr>
          <w:sz w:val="22"/>
          <w:szCs w:val="22"/>
          <w:lang w:val="lv-LV"/>
        </w:rPr>
        <w:t>.</w:t>
      </w:r>
    </w:p>
    <w:p w14:paraId="13365DF4" w14:textId="77777777" w:rsidR="00CA7B51" w:rsidRPr="000A1BCF" w:rsidRDefault="00CA7B51" w:rsidP="00CA7B51">
      <w:pPr>
        <w:rPr>
          <w:b/>
          <w:sz w:val="22"/>
          <w:szCs w:val="22"/>
          <w:lang w:val="lv-LV"/>
        </w:rPr>
      </w:pPr>
    </w:p>
    <w:p w14:paraId="27BF15BC" w14:textId="77777777" w:rsidR="00CA7B51" w:rsidRPr="000A1BCF" w:rsidRDefault="00CA7B51" w:rsidP="00CA7B51">
      <w:pPr>
        <w:rPr>
          <w:b/>
          <w:sz w:val="22"/>
          <w:szCs w:val="22"/>
          <w:lang w:val="lv-LV"/>
        </w:rPr>
      </w:pPr>
    </w:p>
    <w:p w14:paraId="68B19AB2" w14:textId="77777777" w:rsidR="00CA7B51" w:rsidRPr="00A13181" w:rsidRDefault="00CA7B51" w:rsidP="00CA7B51">
      <w:pPr>
        <w:pStyle w:val="BodyText"/>
        <w:numPr>
          <w:ilvl w:val="0"/>
          <w:numId w:val="1"/>
        </w:numPr>
        <w:ind w:left="510" w:hanging="510"/>
        <w:jc w:val="left"/>
        <w:rPr>
          <w:b/>
          <w:sz w:val="22"/>
          <w:szCs w:val="22"/>
        </w:rPr>
      </w:pPr>
      <w:r w:rsidRPr="000A1BCF">
        <w:rPr>
          <w:b/>
          <w:sz w:val="22"/>
          <w:szCs w:val="22"/>
        </w:rPr>
        <w:t>TEKSTA PĀRSKATĪŠANAS DATUMS</w:t>
      </w:r>
    </w:p>
    <w:p w14:paraId="008890DC" w14:textId="77777777" w:rsidR="00CA7B51" w:rsidRDefault="00CA7B51" w:rsidP="00CA7B51">
      <w:pPr>
        <w:pStyle w:val="BodyText"/>
        <w:jc w:val="left"/>
        <w:rPr>
          <w:b/>
          <w:sz w:val="22"/>
          <w:szCs w:val="22"/>
        </w:rPr>
      </w:pPr>
    </w:p>
    <w:p w14:paraId="1229F482" w14:textId="77777777" w:rsidR="00CA7B51" w:rsidRPr="00A13181" w:rsidRDefault="00CA7B51" w:rsidP="00CA7B51">
      <w:pPr>
        <w:pStyle w:val="BodyText"/>
        <w:jc w:val="left"/>
        <w:rPr>
          <w:sz w:val="22"/>
          <w:szCs w:val="22"/>
        </w:rPr>
      </w:pPr>
      <w:r>
        <w:rPr>
          <w:sz w:val="22"/>
          <w:szCs w:val="22"/>
        </w:rPr>
        <w:t>06/2022</w:t>
      </w:r>
    </w:p>
    <w:p w14:paraId="6E95D5A0" w14:textId="77777777" w:rsidR="00CA7B51" w:rsidRDefault="00CA7B51" w:rsidP="00CA7B51"/>
    <w:p w14:paraId="05313B86" w14:textId="77777777" w:rsidR="00CA7B51" w:rsidRDefault="00CA7B51" w:rsidP="00CA7B51"/>
    <w:p w14:paraId="4CC53E33" w14:textId="77777777" w:rsidR="00CA7B51" w:rsidRDefault="00CA7B51" w:rsidP="00CA7B51"/>
    <w:p w14:paraId="07E05C44" w14:textId="77777777" w:rsidR="00E35995" w:rsidRDefault="00E35995"/>
    <w:sectPr w:rsidR="00E35995">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9823" w14:textId="77777777" w:rsidR="00000000" w:rsidRDefault="001A4EAF">
      <w:r>
        <w:separator/>
      </w:r>
    </w:p>
  </w:endnote>
  <w:endnote w:type="continuationSeparator" w:id="0">
    <w:p w14:paraId="589604D8" w14:textId="77777777" w:rsidR="00000000" w:rsidRDefault="001A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ltHelvetica">
    <w:altName w:val="Times New Roman"/>
    <w:charset w:val="00"/>
    <w:family w:val="auto"/>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EF6B" w14:textId="77777777" w:rsidR="00D55573" w:rsidRDefault="00CA7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89379" w14:textId="77777777" w:rsidR="00D55573" w:rsidRDefault="001A4E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8EBC" w14:textId="77777777" w:rsidR="00D55573" w:rsidRDefault="00CA7B51" w:rsidP="00D55573">
    <w:pPr>
      <w:pStyle w:val="Footer"/>
      <w:rPr>
        <w:sz w:val="22"/>
        <w:szCs w:val="22"/>
      </w:rPr>
    </w:pPr>
    <w:r w:rsidRPr="00383A21">
      <w:rPr>
        <w:sz w:val="22"/>
        <w:szCs w:val="22"/>
      </w:rPr>
      <w:t>DE/H/xxxx/WS/1050</w:t>
    </w:r>
    <w:r>
      <w:rPr>
        <w:sz w:val="22"/>
        <w:szCs w:val="22"/>
      </w:rPr>
      <w:tab/>
    </w:r>
    <w:r>
      <w:rPr>
        <w:sz w:val="22"/>
        <w:szCs w:val="22"/>
      </w:rPr>
      <w:tab/>
    </w: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1</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435E" w14:textId="77777777" w:rsidR="000132D6" w:rsidRDefault="00013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6F4B" w14:textId="77777777" w:rsidR="00000000" w:rsidRDefault="001A4EAF">
      <w:r>
        <w:separator/>
      </w:r>
    </w:p>
  </w:footnote>
  <w:footnote w:type="continuationSeparator" w:id="0">
    <w:p w14:paraId="3C806352" w14:textId="77777777" w:rsidR="00000000" w:rsidRDefault="001A4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C451" w14:textId="77777777" w:rsidR="000132D6" w:rsidRDefault="00013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F459" w14:textId="59DD0C0F" w:rsidR="000959DB" w:rsidRDefault="00CA7B51" w:rsidP="000959DB">
    <w:pPr>
      <w:pStyle w:val="Header"/>
      <w:jc w:val="right"/>
    </w:pPr>
    <w:r>
      <w:t>SASKAŅOTS ZVA</w:t>
    </w:r>
    <w:r w:rsidR="000132D6">
      <w:t xml:space="preserve"> 14-06-2022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0441" w14:textId="77777777" w:rsidR="000132D6" w:rsidRDefault="00013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5DD"/>
    <w:multiLevelType w:val="multilevel"/>
    <w:tmpl w:val="A650E80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B07BD1"/>
    <w:multiLevelType w:val="multilevel"/>
    <w:tmpl w:val="89D66AFA"/>
    <w:lvl w:ilvl="0">
      <w:start w:val="1"/>
      <w:numFmt w:val="decimal"/>
      <w:lvlText w:val="%1."/>
      <w:lvlJc w:val="left"/>
      <w:pPr>
        <w:ind w:left="644" w:hanging="360"/>
      </w:pPr>
      <w:rPr>
        <w:rFonts w:hint="default"/>
      </w:rPr>
    </w:lvl>
    <w:lvl w:ilvl="1">
      <w:start w:val="1"/>
      <w:numFmt w:val="decimal"/>
      <w:lvlText w:val="%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26F6D8A"/>
    <w:multiLevelType w:val="multilevel"/>
    <w:tmpl w:val="5074EA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CF6782"/>
    <w:multiLevelType w:val="multilevel"/>
    <w:tmpl w:val="4F0004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3D0A13"/>
    <w:multiLevelType w:val="multilevel"/>
    <w:tmpl w:val="76FC18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55781734">
    <w:abstractNumId w:val="1"/>
  </w:num>
  <w:num w:numId="2" w16cid:durableId="620308330">
    <w:abstractNumId w:val="2"/>
  </w:num>
  <w:num w:numId="3" w16cid:durableId="1237744378">
    <w:abstractNumId w:val="4"/>
  </w:num>
  <w:num w:numId="4" w16cid:durableId="403451985">
    <w:abstractNumId w:val="0"/>
  </w:num>
  <w:num w:numId="5" w16cid:durableId="1090585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51"/>
    <w:rsid w:val="000132D6"/>
    <w:rsid w:val="001A4EAF"/>
    <w:rsid w:val="007500E1"/>
    <w:rsid w:val="00CA7B51"/>
    <w:rsid w:val="00E3599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3D97"/>
  <w15:chartTrackingRefBased/>
  <w15:docId w15:val="{A57D7F67-5E9E-470F-9742-47B1561A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B5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A7B51"/>
    <w:pPr>
      <w:keepNext/>
      <w:outlineLvl w:val="0"/>
    </w:pPr>
    <w:rPr>
      <w:b/>
      <w:bCs/>
      <w:sz w:val="32"/>
      <w:lang w:val="lv-LV"/>
    </w:rPr>
  </w:style>
  <w:style w:type="paragraph" w:styleId="Heading2">
    <w:name w:val="heading 2"/>
    <w:basedOn w:val="Normal"/>
    <w:next w:val="Normal"/>
    <w:link w:val="Heading2Char"/>
    <w:qFormat/>
    <w:rsid w:val="00CA7B51"/>
    <w:pPr>
      <w:keepNext/>
      <w:jc w:val="right"/>
      <w:outlineLvl w:val="1"/>
    </w:pPr>
    <w:rPr>
      <w:b/>
      <w:i/>
      <w:iCs/>
      <w:lang w:val="lv-LV"/>
    </w:rPr>
  </w:style>
  <w:style w:type="paragraph" w:styleId="Heading3">
    <w:name w:val="heading 3"/>
    <w:basedOn w:val="Normal"/>
    <w:next w:val="Normal"/>
    <w:link w:val="Heading3Char"/>
    <w:qFormat/>
    <w:rsid w:val="00CA7B51"/>
    <w:pPr>
      <w:keepNext/>
      <w:jc w:val="both"/>
      <w:outlineLvl w:val="2"/>
    </w:pPr>
    <w:rPr>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B51"/>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CA7B51"/>
    <w:rPr>
      <w:rFonts w:ascii="Times New Roman" w:eastAsia="Times New Roman" w:hAnsi="Times New Roman" w:cs="Times New Roman"/>
      <w:b/>
      <w:i/>
      <w:iCs/>
      <w:sz w:val="24"/>
      <w:szCs w:val="24"/>
    </w:rPr>
  </w:style>
  <w:style w:type="character" w:customStyle="1" w:styleId="Heading3Char">
    <w:name w:val="Heading 3 Char"/>
    <w:basedOn w:val="DefaultParagraphFont"/>
    <w:link w:val="Heading3"/>
    <w:rsid w:val="00CA7B51"/>
    <w:rPr>
      <w:rFonts w:ascii="Times New Roman" w:eastAsia="Times New Roman" w:hAnsi="Times New Roman" w:cs="Times New Roman"/>
      <w:sz w:val="24"/>
      <w:szCs w:val="24"/>
      <w:u w:val="single"/>
    </w:rPr>
  </w:style>
  <w:style w:type="paragraph" w:styleId="BodyText">
    <w:name w:val="Body Text"/>
    <w:basedOn w:val="Normal"/>
    <w:link w:val="BodyTextChar"/>
    <w:rsid w:val="00CA7B51"/>
    <w:pPr>
      <w:jc w:val="both"/>
    </w:pPr>
    <w:rPr>
      <w:lang w:val="lv-LV"/>
    </w:rPr>
  </w:style>
  <w:style w:type="character" w:customStyle="1" w:styleId="BodyTextChar">
    <w:name w:val="Body Text Char"/>
    <w:basedOn w:val="DefaultParagraphFont"/>
    <w:link w:val="BodyText"/>
    <w:rsid w:val="00CA7B51"/>
    <w:rPr>
      <w:rFonts w:ascii="Times New Roman" w:eastAsia="Times New Roman" w:hAnsi="Times New Roman" w:cs="Times New Roman"/>
      <w:sz w:val="24"/>
      <w:szCs w:val="24"/>
    </w:rPr>
  </w:style>
  <w:style w:type="paragraph" w:styleId="Footer">
    <w:name w:val="footer"/>
    <w:basedOn w:val="Normal"/>
    <w:link w:val="FooterChar"/>
    <w:uiPriority w:val="99"/>
    <w:rsid w:val="00CA7B51"/>
    <w:pPr>
      <w:tabs>
        <w:tab w:val="center" w:pos="4153"/>
        <w:tab w:val="right" w:pos="8306"/>
      </w:tabs>
    </w:pPr>
  </w:style>
  <w:style w:type="character" w:customStyle="1" w:styleId="FooterChar">
    <w:name w:val="Footer Char"/>
    <w:basedOn w:val="DefaultParagraphFont"/>
    <w:link w:val="Footer"/>
    <w:uiPriority w:val="99"/>
    <w:rsid w:val="00CA7B51"/>
    <w:rPr>
      <w:rFonts w:ascii="Times New Roman" w:eastAsia="Times New Roman" w:hAnsi="Times New Roman" w:cs="Times New Roman"/>
      <w:sz w:val="24"/>
      <w:szCs w:val="24"/>
      <w:lang w:val="en-GB"/>
    </w:rPr>
  </w:style>
  <w:style w:type="character" w:styleId="PageNumber">
    <w:name w:val="page number"/>
    <w:rsid w:val="00CA7B51"/>
  </w:style>
  <w:style w:type="paragraph" w:styleId="Header">
    <w:name w:val="header"/>
    <w:basedOn w:val="Normal"/>
    <w:link w:val="HeaderChar"/>
    <w:rsid w:val="00CA7B51"/>
    <w:pPr>
      <w:tabs>
        <w:tab w:val="center" w:pos="4320"/>
        <w:tab w:val="right" w:pos="8640"/>
      </w:tabs>
    </w:pPr>
  </w:style>
  <w:style w:type="character" w:customStyle="1" w:styleId="HeaderChar">
    <w:name w:val="Header Char"/>
    <w:basedOn w:val="DefaultParagraphFont"/>
    <w:link w:val="Header"/>
    <w:rsid w:val="00CA7B51"/>
    <w:rPr>
      <w:rFonts w:ascii="Times New Roman" w:eastAsia="Times New Roman" w:hAnsi="Times New Roman" w:cs="Times New Roman"/>
      <w:sz w:val="24"/>
      <w:szCs w:val="24"/>
      <w:lang w:val="en-GB"/>
    </w:rPr>
  </w:style>
  <w:style w:type="paragraph" w:styleId="Title">
    <w:name w:val="Title"/>
    <w:basedOn w:val="Normal"/>
    <w:link w:val="TitleChar"/>
    <w:qFormat/>
    <w:rsid w:val="00CA7B51"/>
    <w:pPr>
      <w:jc w:val="center"/>
    </w:pPr>
    <w:rPr>
      <w:b/>
      <w:bCs/>
      <w:noProof/>
      <w:snapToGrid w:val="0"/>
      <w:sz w:val="22"/>
      <w:szCs w:val="22"/>
      <w:lang w:val="lv-LV" w:eastAsia="lv-LV"/>
    </w:rPr>
  </w:style>
  <w:style w:type="character" w:customStyle="1" w:styleId="TitleChar">
    <w:name w:val="Title Char"/>
    <w:basedOn w:val="DefaultParagraphFont"/>
    <w:link w:val="Title"/>
    <w:rsid w:val="00CA7B51"/>
    <w:rPr>
      <w:rFonts w:ascii="Times New Roman" w:eastAsia="Times New Roman" w:hAnsi="Times New Roman" w:cs="Times New Roman"/>
      <w:b/>
      <w:bCs/>
      <w:noProof/>
      <w:snapToGrid w:val="0"/>
      <w:lang w:eastAsia="lv-LV"/>
    </w:rPr>
  </w:style>
  <w:style w:type="paragraph" w:customStyle="1" w:styleId="Text">
    <w:name w:val="Text"/>
    <w:rsid w:val="00CA7B51"/>
    <w:pPr>
      <w:widowControl w:val="0"/>
      <w:overflowPunct w:val="0"/>
      <w:autoSpaceDE w:val="0"/>
      <w:autoSpaceDN w:val="0"/>
      <w:adjustRightInd w:val="0"/>
      <w:spacing w:after="0" w:line="240" w:lineRule="auto"/>
      <w:jc w:val="both"/>
    </w:pPr>
    <w:rPr>
      <w:rFonts w:ascii="BaltHelvetica" w:eastAsia="Times New Roman" w:hAnsi="BaltHelvetica" w:cs="Times New Roman"/>
      <w:sz w:val="24"/>
      <w:szCs w:val="20"/>
      <w:lang w:val="en-GB"/>
    </w:rPr>
  </w:style>
  <w:style w:type="paragraph" w:customStyle="1" w:styleId="Para0s">
    <w:name w:val="Para:0:s"/>
    <w:basedOn w:val="Normal"/>
    <w:rsid w:val="00CA7B51"/>
    <w:pPr>
      <w:spacing w:after="220"/>
    </w:pPr>
    <w:rPr>
      <w:rFonts w:ascii="Helvetica" w:hAnsi="Helvetica"/>
      <w:sz w:val="22"/>
      <w:szCs w:val="20"/>
      <w:lang w:val="en-US" w:eastAsia="de-DE"/>
    </w:rPr>
  </w:style>
  <w:style w:type="character" w:styleId="CommentReference">
    <w:name w:val="annotation reference"/>
    <w:basedOn w:val="DefaultParagraphFont"/>
    <w:uiPriority w:val="99"/>
    <w:semiHidden/>
    <w:unhideWhenUsed/>
    <w:rsid w:val="00CA7B51"/>
    <w:rPr>
      <w:sz w:val="16"/>
      <w:szCs w:val="16"/>
    </w:rPr>
  </w:style>
  <w:style w:type="paragraph" w:styleId="CommentText">
    <w:name w:val="annotation text"/>
    <w:basedOn w:val="Normal"/>
    <w:link w:val="CommentTextChar"/>
    <w:uiPriority w:val="99"/>
    <w:unhideWhenUsed/>
    <w:rsid w:val="00CA7B51"/>
    <w:rPr>
      <w:sz w:val="20"/>
      <w:szCs w:val="20"/>
    </w:rPr>
  </w:style>
  <w:style w:type="character" w:customStyle="1" w:styleId="CommentTextChar">
    <w:name w:val="Comment Text Char"/>
    <w:basedOn w:val="DefaultParagraphFont"/>
    <w:link w:val="CommentText"/>
    <w:uiPriority w:val="99"/>
    <w:rsid w:val="00CA7B51"/>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CA7B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9424</Words>
  <Characters>5372</Characters>
  <Application>Microsoft Office Word</Application>
  <DocSecurity>0</DocSecurity>
  <Lines>44</Lines>
  <Paragraphs>29</Paragraphs>
  <ScaleCrop>false</ScaleCrop>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Kalagina</dc:creator>
  <cp:keywords/>
  <dc:description/>
  <cp:lastModifiedBy>Marita Laviceviča</cp:lastModifiedBy>
  <cp:revision>3</cp:revision>
  <dcterms:created xsi:type="dcterms:W3CDTF">2022-06-13T07:48:00Z</dcterms:created>
  <dcterms:modified xsi:type="dcterms:W3CDTF">2022-06-13T08:57:00Z</dcterms:modified>
</cp:coreProperties>
</file>