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2367" w14:textId="77777777" w:rsidR="00C41387" w:rsidRPr="006405A4" w:rsidRDefault="00C41387" w:rsidP="006405A4">
      <w:pPr>
        <w:pStyle w:val="Title"/>
        <w:rPr>
          <w:rFonts w:ascii="Times New Roman" w:hAnsi="Times New Roman"/>
          <w:sz w:val="22"/>
          <w:szCs w:val="22"/>
        </w:rPr>
      </w:pPr>
      <w:r w:rsidRPr="006405A4">
        <w:rPr>
          <w:rFonts w:ascii="Times New Roman" w:hAnsi="Times New Roman"/>
          <w:sz w:val="22"/>
          <w:szCs w:val="22"/>
        </w:rPr>
        <w:t>ZĀĻU APRAKSTS</w:t>
      </w:r>
    </w:p>
    <w:p w14:paraId="777425A5"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3DD51544"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329DA1F4" w14:textId="77777777" w:rsidR="00C41387" w:rsidRPr="006405A4" w:rsidRDefault="00C41387" w:rsidP="006405A4">
      <w:pPr>
        <w:numPr>
          <w:ilvl w:val="0"/>
          <w:numId w:val="7"/>
        </w:numPr>
        <w:tabs>
          <w:tab w:val="clear" w:pos="360"/>
          <w:tab w:val="num" w:pos="567"/>
        </w:tabs>
        <w:ind w:left="567" w:hanging="567"/>
        <w:rPr>
          <w:rFonts w:ascii="Times New Roman" w:hAnsi="Times New Roman"/>
          <w:sz w:val="22"/>
          <w:szCs w:val="22"/>
          <w:lang w:val="lv-LV"/>
        </w:rPr>
      </w:pPr>
      <w:r w:rsidRPr="006405A4">
        <w:rPr>
          <w:rFonts w:ascii="Times New Roman" w:hAnsi="Times New Roman"/>
          <w:b/>
          <w:sz w:val="22"/>
          <w:szCs w:val="22"/>
          <w:lang w:val="lv-LV"/>
        </w:rPr>
        <w:t>ZĀĻU NOSAUKUMS</w:t>
      </w:r>
    </w:p>
    <w:p w14:paraId="645AD5B8"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0BC5EA02" w14:textId="26A95528" w:rsidR="00C41387" w:rsidRPr="006405A4" w:rsidRDefault="004315E1" w:rsidP="006405A4">
      <w:pPr>
        <w:numPr>
          <w:ilvl w:val="12"/>
          <w:numId w:val="0"/>
        </w:numPr>
        <w:ind w:left="576" w:hanging="576"/>
        <w:rPr>
          <w:rFonts w:ascii="Times New Roman" w:hAnsi="Times New Roman"/>
          <w:sz w:val="22"/>
          <w:szCs w:val="22"/>
          <w:lang w:val="lv-LV"/>
        </w:rPr>
      </w:pPr>
      <w:r w:rsidRPr="004315E1">
        <w:rPr>
          <w:rFonts w:ascii="Times New Roman" w:hAnsi="Times New Roman"/>
          <w:sz w:val="22"/>
          <w:szCs w:val="22"/>
          <w:lang w:val="lv-LV"/>
        </w:rPr>
        <w:t xml:space="preserve">Faringodol </w:t>
      </w:r>
      <w:r w:rsidR="00C41387" w:rsidRPr="006405A4">
        <w:rPr>
          <w:rFonts w:ascii="Times New Roman" w:hAnsi="Times New Roman"/>
          <w:sz w:val="22"/>
          <w:szCs w:val="22"/>
          <w:lang w:val="lv-LV"/>
        </w:rPr>
        <w:t>150 mg sūkājamās tabletes</w:t>
      </w:r>
    </w:p>
    <w:p w14:paraId="42AF135C" w14:textId="77777777" w:rsidR="00C41387" w:rsidRPr="006405A4" w:rsidRDefault="00C41387" w:rsidP="006405A4">
      <w:pPr>
        <w:numPr>
          <w:ilvl w:val="12"/>
          <w:numId w:val="0"/>
        </w:numPr>
        <w:rPr>
          <w:rFonts w:ascii="Times New Roman" w:hAnsi="Times New Roman"/>
          <w:sz w:val="22"/>
          <w:szCs w:val="22"/>
          <w:lang w:val="lv-LV"/>
        </w:rPr>
      </w:pPr>
    </w:p>
    <w:p w14:paraId="518698F2" w14:textId="77777777" w:rsidR="00C41387" w:rsidRPr="006405A4" w:rsidRDefault="00C41387" w:rsidP="006405A4">
      <w:pPr>
        <w:numPr>
          <w:ilvl w:val="12"/>
          <w:numId w:val="0"/>
        </w:numPr>
        <w:rPr>
          <w:rFonts w:ascii="Times New Roman" w:hAnsi="Times New Roman"/>
          <w:sz w:val="22"/>
          <w:szCs w:val="22"/>
          <w:lang w:val="lv-LV"/>
        </w:rPr>
      </w:pPr>
    </w:p>
    <w:p w14:paraId="33A664AA" w14:textId="77777777" w:rsidR="00C41387" w:rsidRPr="006405A4" w:rsidRDefault="00C41387" w:rsidP="006405A4">
      <w:pPr>
        <w:numPr>
          <w:ilvl w:val="0"/>
          <w:numId w:val="7"/>
        </w:numPr>
        <w:tabs>
          <w:tab w:val="clear" w:pos="360"/>
          <w:tab w:val="num" w:pos="567"/>
        </w:tabs>
        <w:ind w:left="567" w:hanging="567"/>
        <w:rPr>
          <w:rFonts w:ascii="Times New Roman" w:hAnsi="Times New Roman"/>
          <w:sz w:val="22"/>
          <w:szCs w:val="22"/>
          <w:lang w:val="lv-LV"/>
        </w:rPr>
      </w:pPr>
      <w:r w:rsidRPr="006405A4">
        <w:rPr>
          <w:rFonts w:ascii="Times New Roman" w:hAnsi="Times New Roman"/>
          <w:b/>
          <w:sz w:val="22"/>
          <w:szCs w:val="22"/>
          <w:lang w:val="lv-LV"/>
        </w:rPr>
        <w:t>KVALITATĪVAIS UN KVANTITATĪVAIS SASTĀVS</w:t>
      </w:r>
    </w:p>
    <w:p w14:paraId="1170A50D"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978AEA7" w14:textId="7DE3713E" w:rsidR="00C41387" w:rsidRPr="006405A4" w:rsidRDefault="00C41387" w:rsidP="006405A4">
      <w:pPr>
        <w:numPr>
          <w:ilvl w:val="12"/>
          <w:numId w:val="0"/>
        </w:numPr>
        <w:ind w:left="576" w:hanging="576"/>
        <w:rPr>
          <w:rFonts w:ascii="Times New Roman" w:hAnsi="Times New Roman"/>
          <w:sz w:val="22"/>
          <w:szCs w:val="22"/>
          <w:lang w:val="lv-LV"/>
        </w:rPr>
      </w:pPr>
      <w:r w:rsidRPr="006405A4">
        <w:rPr>
          <w:rFonts w:ascii="Times New Roman" w:hAnsi="Times New Roman"/>
          <w:sz w:val="22"/>
          <w:szCs w:val="22"/>
          <w:lang w:val="lv-LV"/>
        </w:rPr>
        <w:t>Katra sūkājamā tablete satur 150 mg holīna salicilāta (</w:t>
      </w:r>
      <w:r w:rsidR="00ED63D4">
        <w:rPr>
          <w:rFonts w:ascii="Times New Roman" w:hAnsi="Times New Roman"/>
          <w:i/>
          <w:sz w:val="22"/>
          <w:szCs w:val="22"/>
          <w:lang w:val="lv-LV"/>
        </w:rPr>
        <w:t>c</w:t>
      </w:r>
      <w:r w:rsidRPr="006405A4">
        <w:rPr>
          <w:rFonts w:ascii="Times New Roman" w:hAnsi="Times New Roman"/>
          <w:i/>
          <w:sz w:val="22"/>
          <w:szCs w:val="22"/>
          <w:lang w:val="lv-LV"/>
        </w:rPr>
        <w:t>holini salicylas</w:t>
      </w:r>
      <w:r w:rsidRPr="006405A4">
        <w:rPr>
          <w:rFonts w:ascii="Times New Roman" w:hAnsi="Times New Roman"/>
          <w:sz w:val="22"/>
          <w:szCs w:val="22"/>
          <w:lang w:val="lv-LV"/>
        </w:rPr>
        <w:t>).</w:t>
      </w:r>
    </w:p>
    <w:p w14:paraId="15D108B9" w14:textId="77777777" w:rsidR="004A4FCA" w:rsidRDefault="004A4FCA" w:rsidP="006405A4">
      <w:pPr>
        <w:numPr>
          <w:ilvl w:val="12"/>
          <w:numId w:val="0"/>
        </w:numPr>
        <w:ind w:left="576" w:hanging="576"/>
        <w:rPr>
          <w:rFonts w:ascii="Times New Roman" w:hAnsi="Times New Roman"/>
          <w:sz w:val="22"/>
          <w:szCs w:val="22"/>
          <w:u w:val="single"/>
          <w:lang w:val="lv-LV"/>
        </w:rPr>
      </w:pPr>
    </w:p>
    <w:p w14:paraId="197BC3AD" w14:textId="197C4DD7" w:rsidR="00CB4BD7" w:rsidRDefault="00C41387" w:rsidP="006405A4">
      <w:pPr>
        <w:numPr>
          <w:ilvl w:val="12"/>
          <w:numId w:val="0"/>
        </w:numPr>
        <w:ind w:left="576" w:hanging="576"/>
        <w:rPr>
          <w:rFonts w:ascii="Times New Roman" w:hAnsi="Times New Roman"/>
          <w:sz w:val="22"/>
          <w:szCs w:val="22"/>
          <w:lang w:val="lv-LV"/>
        </w:rPr>
      </w:pPr>
      <w:r w:rsidRPr="00DD4EE9">
        <w:rPr>
          <w:rFonts w:ascii="Times New Roman" w:hAnsi="Times New Roman"/>
          <w:sz w:val="22"/>
          <w:szCs w:val="22"/>
          <w:u w:val="single"/>
          <w:lang w:val="lv-LV"/>
        </w:rPr>
        <w:t>Palīgvielas</w:t>
      </w:r>
      <w:r w:rsidR="004315E1" w:rsidRPr="00DD4EE9">
        <w:rPr>
          <w:rFonts w:ascii="Times New Roman" w:hAnsi="Times New Roman"/>
          <w:sz w:val="22"/>
          <w:szCs w:val="22"/>
          <w:u w:val="single"/>
          <w:lang w:val="lv-LV"/>
        </w:rPr>
        <w:t xml:space="preserve"> ar zināmu iedarbību</w:t>
      </w:r>
      <w:r w:rsidRPr="006405A4">
        <w:rPr>
          <w:rFonts w:ascii="Times New Roman" w:hAnsi="Times New Roman"/>
          <w:sz w:val="22"/>
          <w:szCs w:val="22"/>
          <w:lang w:val="lv-LV"/>
        </w:rPr>
        <w:t xml:space="preserve"> </w:t>
      </w:r>
    </w:p>
    <w:p w14:paraId="6310C96E" w14:textId="52381BEB" w:rsidR="004217EC" w:rsidRDefault="00CB4BD7" w:rsidP="00ED63D4">
      <w:pPr>
        <w:numPr>
          <w:ilvl w:val="12"/>
          <w:numId w:val="0"/>
        </w:numPr>
        <w:ind w:left="576" w:hanging="576"/>
        <w:rPr>
          <w:rFonts w:ascii="Times New Roman" w:hAnsi="Times New Roman"/>
          <w:sz w:val="22"/>
          <w:szCs w:val="22"/>
          <w:lang w:val="lv-LV"/>
        </w:rPr>
      </w:pPr>
      <w:r>
        <w:rPr>
          <w:rFonts w:ascii="Times New Roman" w:hAnsi="Times New Roman"/>
          <w:sz w:val="22"/>
          <w:szCs w:val="22"/>
          <w:lang w:val="lv-LV"/>
        </w:rPr>
        <w:t>Katra sūkājamā tablete satur</w:t>
      </w:r>
      <w:r w:rsidR="00ED63D4">
        <w:rPr>
          <w:rFonts w:ascii="Times New Roman" w:hAnsi="Times New Roman"/>
          <w:sz w:val="22"/>
          <w:szCs w:val="22"/>
          <w:lang w:val="lv-LV"/>
        </w:rPr>
        <w:t xml:space="preserve"> 2,67 g izomalta,</w:t>
      </w:r>
      <w:r>
        <w:rPr>
          <w:rFonts w:ascii="Times New Roman" w:hAnsi="Times New Roman"/>
          <w:sz w:val="22"/>
          <w:szCs w:val="22"/>
          <w:lang w:val="lv-LV"/>
        </w:rPr>
        <w:t xml:space="preserve"> </w:t>
      </w:r>
      <w:r w:rsidR="00C41387" w:rsidRPr="006405A4">
        <w:rPr>
          <w:rFonts w:ascii="Times New Roman" w:hAnsi="Times New Roman"/>
          <w:sz w:val="22"/>
          <w:szCs w:val="22"/>
          <w:lang w:val="lv-LV"/>
        </w:rPr>
        <w:t>1,75 mg aspartām</w:t>
      </w:r>
      <w:r>
        <w:rPr>
          <w:rFonts w:ascii="Times New Roman" w:hAnsi="Times New Roman"/>
          <w:sz w:val="22"/>
          <w:szCs w:val="22"/>
          <w:lang w:val="lv-LV"/>
        </w:rPr>
        <w:t>a</w:t>
      </w:r>
      <w:r w:rsidR="00C41387" w:rsidRPr="006405A4">
        <w:rPr>
          <w:rFonts w:ascii="Times New Roman" w:hAnsi="Times New Roman"/>
          <w:sz w:val="22"/>
          <w:szCs w:val="22"/>
          <w:lang w:val="lv-LV"/>
        </w:rPr>
        <w:t xml:space="preserve"> </w:t>
      </w:r>
      <w:r>
        <w:rPr>
          <w:rFonts w:ascii="Times New Roman" w:hAnsi="Times New Roman"/>
          <w:sz w:val="22"/>
          <w:szCs w:val="22"/>
          <w:lang w:val="lv-LV"/>
        </w:rPr>
        <w:t xml:space="preserve"> un </w:t>
      </w:r>
      <w:r w:rsidR="00C41387" w:rsidRPr="006405A4">
        <w:rPr>
          <w:rFonts w:ascii="Times New Roman" w:hAnsi="Times New Roman"/>
          <w:sz w:val="22"/>
          <w:szCs w:val="22"/>
          <w:lang w:val="lv-LV"/>
        </w:rPr>
        <w:t>667,83 mg maltīta šķ</w:t>
      </w:r>
      <w:r w:rsidR="00B60BB2">
        <w:rPr>
          <w:rFonts w:ascii="Times New Roman" w:hAnsi="Times New Roman"/>
          <w:sz w:val="22"/>
          <w:szCs w:val="22"/>
          <w:lang w:val="lv-LV"/>
        </w:rPr>
        <w:t>ī</w:t>
      </w:r>
      <w:r w:rsidR="00C41387" w:rsidRPr="006405A4">
        <w:rPr>
          <w:rFonts w:ascii="Times New Roman" w:hAnsi="Times New Roman"/>
          <w:sz w:val="22"/>
          <w:szCs w:val="22"/>
          <w:lang w:val="lv-LV"/>
        </w:rPr>
        <w:t>dum</w:t>
      </w:r>
      <w:r>
        <w:rPr>
          <w:rFonts w:ascii="Times New Roman" w:hAnsi="Times New Roman"/>
          <w:sz w:val="22"/>
          <w:szCs w:val="22"/>
          <w:lang w:val="lv-LV"/>
        </w:rPr>
        <w:t>a</w:t>
      </w:r>
      <w:r w:rsidR="00C41387" w:rsidRPr="006405A4">
        <w:rPr>
          <w:rFonts w:ascii="Times New Roman" w:hAnsi="Times New Roman"/>
          <w:sz w:val="22"/>
          <w:szCs w:val="22"/>
          <w:lang w:val="lv-LV"/>
        </w:rPr>
        <w:t>.</w:t>
      </w:r>
    </w:p>
    <w:p w14:paraId="6BBEA38E" w14:textId="77777777" w:rsidR="00BA63F5" w:rsidRPr="006405A4" w:rsidRDefault="00BA63F5" w:rsidP="006405A4">
      <w:pPr>
        <w:numPr>
          <w:ilvl w:val="12"/>
          <w:numId w:val="0"/>
        </w:numPr>
        <w:ind w:left="576" w:hanging="576"/>
        <w:rPr>
          <w:rFonts w:ascii="Times New Roman" w:hAnsi="Times New Roman"/>
          <w:sz w:val="22"/>
          <w:szCs w:val="22"/>
          <w:lang w:val="lv-LV"/>
        </w:rPr>
      </w:pPr>
    </w:p>
    <w:p w14:paraId="66FF170F" w14:textId="66D00736" w:rsidR="00C41387" w:rsidRPr="006405A4" w:rsidRDefault="00C41387" w:rsidP="006405A4">
      <w:pPr>
        <w:numPr>
          <w:ilvl w:val="12"/>
          <w:numId w:val="0"/>
        </w:numPr>
        <w:ind w:left="576" w:hanging="576"/>
        <w:rPr>
          <w:rFonts w:ascii="Times New Roman" w:hAnsi="Times New Roman"/>
          <w:sz w:val="22"/>
          <w:szCs w:val="22"/>
          <w:lang w:val="lv-LV"/>
        </w:rPr>
      </w:pPr>
      <w:r w:rsidRPr="006405A4">
        <w:rPr>
          <w:rFonts w:ascii="Times New Roman" w:hAnsi="Times New Roman"/>
          <w:sz w:val="22"/>
          <w:szCs w:val="22"/>
          <w:lang w:val="lv-LV"/>
        </w:rPr>
        <w:t>Pilnu palīgvielu sarakstu skatīt 6.1.</w:t>
      </w:r>
      <w:r w:rsidR="004315E1">
        <w:rPr>
          <w:rFonts w:ascii="Times New Roman" w:hAnsi="Times New Roman"/>
          <w:sz w:val="22"/>
          <w:szCs w:val="22"/>
          <w:lang w:val="lv-LV"/>
        </w:rPr>
        <w:t xml:space="preserve"> </w:t>
      </w:r>
      <w:r w:rsidR="004315E1" w:rsidRPr="006405A4">
        <w:rPr>
          <w:rFonts w:ascii="Times New Roman" w:hAnsi="Times New Roman"/>
          <w:sz w:val="22"/>
          <w:szCs w:val="22"/>
          <w:lang w:val="lv-LV"/>
        </w:rPr>
        <w:t>apakšpunktā</w:t>
      </w:r>
      <w:r w:rsidR="004315E1">
        <w:rPr>
          <w:rFonts w:ascii="Times New Roman" w:hAnsi="Times New Roman"/>
          <w:sz w:val="22"/>
          <w:szCs w:val="22"/>
          <w:lang w:val="lv-LV"/>
        </w:rPr>
        <w:t>.</w:t>
      </w:r>
    </w:p>
    <w:p w14:paraId="632496D4"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0DBB30F0"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61512C92" w14:textId="77777777" w:rsidR="00C41387" w:rsidRPr="006405A4" w:rsidRDefault="00C41387" w:rsidP="004315E1">
      <w:pPr>
        <w:numPr>
          <w:ilvl w:val="0"/>
          <w:numId w:val="7"/>
        </w:numPr>
        <w:tabs>
          <w:tab w:val="clear" w:pos="360"/>
          <w:tab w:val="num" w:pos="567"/>
        </w:tabs>
        <w:ind w:left="567" w:hanging="567"/>
        <w:rPr>
          <w:rFonts w:ascii="Times New Roman" w:hAnsi="Times New Roman"/>
          <w:sz w:val="22"/>
          <w:szCs w:val="22"/>
          <w:lang w:val="lv-LV"/>
        </w:rPr>
      </w:pPr>
      <w:r w:rsidRPr="006405A4">
        <w:rPr>
          <w:rFonts w:ascii="Times New Roman" w:hAnsi="Times New Roman"/>
          <w:b/>
          <w:sz w:val="22"/>
          <w:szCs w:val="22"/>
          <w:lang w:val="lv-LV"/>
        </w:rPr>
        <w:t>ZĀĻU FORMA</w:t>
      </w:r>
    </w:p>
    <w:p w14:paraId="0227BE86"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49C4DA38" w14:textId="3932B8A2" w:rsidR="00C41387" w:rsidRDefault="00C41387" w:rsidP="006405A4">
      <w:pPr>
        <w:numPr>
          <w:ilvl w:val="12"/>
          <w:numId w:val="0"/>
        </w:numPr>
        <w:ind w:left="576" w:hanging="576"/>
        <w:rPr>
          <w:rFonts w:ascii="Times New Roman" w:hAnsi="Times New Roman"/>
          <w:sz w:val="22"/>
          <w:szCs w:val="22"/>
          <w:lang w:val="lv-LV"/>
        </w:rPr>
      </w:pPr>
      <w:r w:rsidRPr="006405A4">
        <w:rPr>
          <w:rFonts w:ascii="Times New Roman" w:hAnsi="Times New Roman"/>
          <w:sz w:val="22"/>
          <w:szCs w:val="22"/>
          <w:lang w:val="lv-LV"/>
        </w:rPr>
        <w:t>Sūkājamās tabletes</w:t>
      </w:r>
    </w:p>
    <w:p w14:paraId="6EFEBA9D" w14:textId="3D4A09CD" w:rsidR="00ED63D4" w:rsidRPr="00ED63D4" w:rsidRDefault="00ED63D4" w:rsidP="00ED63D4">
      <w:pPr>
        <w:numPr>
          <w:ilvl w:val="12"/>
          <w:numId w:val="0"/>
        </w:numPr>
        <w:ind w:left="576" w:hanging="576"/>
        <w:rPr>
          <w:rFonts w:ascii="Times New Roman" w:hAnsi="Times New Roman"/>
          <w:sz w:val="22"/>
          <w:szCs w:val="22"/>
          <w:lang w:val="lv-LV"/>
        </w:rPr>
      </w:pPr>
      <w:r w:rsidRPr="00ED63D4">
        <w:rPr>
          <w:rFonts w:ascii="Times New Roman" w:hAnsi="Times New Roman"/>
          <w:sz w:val="22"/>
          <w:szCs w:val="22"/>
          <w:lang w:val="lv-LV"/>
        </w:rPr>
        <w:t>Baltas l</w:t>
      </w:r>
      <w:r w:rsidRPr="00ED63D4">
        <w:rPr>
          <w:rFonts w:ascii="Times New Roman" w:hAnsi="Times New Roman" w:hint="eastAsia"/>
          <w:sz w:val="22"/>
          <w:szCs w:val="22"/>
          <w:lang w:val="lv-LV"/>
        </w:rPr>
        <w:t>ī</w:t>
      </w:r>
      <w:r w:rsidRPr="00ED63D4">
        <w:rPr>
          <w:rFonts w:ascii="Times New Roman" w:hAnsi="Times New Roman"/>
          <w:sz w:val="22"/>
          <w:szCs w:val="22"/>
          <w:lang w:val="lv-LV"/>
        </w:rPr>
        <w:t>dz gaiši dzeltenas cilindriskas formas, nedaudz izliektas s</w:t>
      </w:r>
      <w:r w:rsidRPr="00ED63D4">
        <w:rPr>
          <w:rFonts w:ascii="Times New Roman" w:hAnsi="Times New Roman" w:hint="eastAsia"/>
          <w:sz w:val="22"/>
          <w:szCs w:val="22"/>
          <w:lang w:val="lv-LV"/>
        </w:rPr>
        <w:t>ū</w:t>
      </w:r>
      <w:r w:rsidRPr="00ED63D4">
        <w:rPr>
          <w:rFonts w:ascii="Times New Roman" w:hAnsi="Times New Roman"/>
          <w:sz w:val="22"/>
          <w:szCs w:val="22"/>
          <w:lang w:val="lv-LV"/>
        </w:rPr>
        <w:t>k</w:t>
      </w:r>
      <w:r w:rsidRPr="00ED63D4">
        <w:rPr>
          <w:rFonts w:ascii="Times New Roman" w:hAnsi="Times New Roman" w:hint="eastAsia"/>
          <w:sz w:val="22"/>
          <w:szCs w:val="22"/>
          <w:lang w:val="lv-LV"/>
        </w:rPr>
        <w:t>ā</w:t>
      </w:r>
      <w:r w:rsidRPr="00ED63D4">
        <w:rPr>
          <w:rFonts w:ascii="Times New Roman" w:hAnsi="Times New Roman"/>
          <w:sz w:val="22"/>
          <w:szCs w:val="22"/>
          <w:lang w:val="lv-LV"/>
        </w:rPr>
        <w:t>jam</w:t>
      </w:r>
      <w:r w:rsidRPr="00ED63D4">
        <w:rPr>
          <w:rFonts w:ascii="Times New Roman" w:hAnsi="Times New Roman" w:hint="eastAsia"/>
          <w:sz w:val="22"/>
          <w:szCs w:val="22"/>
          <w:lang w:val="lv-LV"/>
        </w:rPr>
        <w:t>ā</w:t>
      </w:r>
      <w:r w:rsidRPr="00ED63D4">
        <w:rPr>
          <w:rFonts w:ascii="Times New Roman" w:hAnsi="Times New Roman"/>
          <w:sz w:val="22"/>
          <w:szCs w:val="22"/>
          <w:lang w:val="lv-LV"/>
        </w:rPr>
        <w:t>s tabletes</w:t>
      </w:r>
      <w:r>
        <w:rPr>
          <w:rFonts w:ascii="Times New Roman" w:hAnsi="Times New Roman"/>
          <w:sz w:val="22"/>
          <w:szCs w:val="22"/>
          <w:lang w:val="lv-LV"/>
        </w:rPr>
        <w:t>.</w:t>
      </w:r>
    </w:p>
    <w:p w14:paraId="69E1F82A" w14:textId="77777777" w:rsidR="00ED63D4" w:rsidRPr="006405A4" w:rsidRDefault="00ED63D4" w:rsidP="006405A4">
      <w:pPr>
        <w:numPr>
          <w:ilvl w:val="12"/>
          <w:numId w:val="0"/>
        </w:numPr>
        <w:ind w:left="576" w:hanging="576"/>
        <w:rPr>
          <w:rFonts w:ascii="Times New Roman" w:hAnsi="Times New Roman"/>
          <w:sz w:val="22"/>
          <w:szCs w:val="22"/>
          <w:lang w:val="lv-LV"/>
        </w:rPr>
      </w:pPr>
    </w:p>
    <w:p w14:paraId="1FF47163"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697D6B52" w14:textId="77777777" w:rsidR="00C41387" w:rsidRPr="006405A4" w:rsidRDefault="00C41387" w:rsidP="006405A4">
      <w:pPr>
        <w:numPr>
          <w:ilvl w:val="0"/>
          <w:numId w:val="7"/>
        </w:numPr>
        <w:tabs>
          <w:tab w:val="clear" w:pos="360"/>
          <w:tab w:val="num" w:pos="567"/>
        </w:tabs>
        <w:ind w:left="567" w:hanging="567"/>
        <w:rPr>
          <w:rFonts w:ascii="Times New Roman" w:hAnsi="Times New Roman"/>
          <w:sz w:val="22"/>
          <w:szCs w:val="22"/>
          <w:lang w:val="lv-LV"/>
        </w:rPr>
      </w:pPr>
      <w:r w:rsidRPr="006405A4">
        <w:rPr>
          <w:rFonts w:ascii="Times New Roman" w:hAnsi="Times New Roman"/>
          <w:b/>
          <w:sz w:val="22"/>
          <w:szCs w:val="22"/>
          <w:lang w:val="lv-LV"/>
        </w:rPr>
        <w:t>KLĪNISKĀ INFORMĀCIJA</w:t>
      </w:r>
    </w:p>
    <w:p w14:paraId="0B8B2433"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73F87238" w14:textId="77777777" w:rsidR="00C41387" w:rsidRPr="00DD4EE9" w:rsidRDefault="00C41387" w:rsidP="00DD4EE9">
      <w:pPr>
        <w:pStyle w:val="ListParagraph"/>
        <w:numPr>
          <w:ilvl w:val="1"/>
          <w:numId w:val="7"/>
        </w:numPr>
        <w:ind w:left="567" w:hanging="567"/>
        <w:rPr>
          <w:rFonts w:ascii="Times New Roman" w:hAnsi="Times New Roman"/>
          <w:sz w:val="22"/>
          <w:szCs w:val="22"/>
          <w:lang w:val="lv-LV"/>
        </w:rPr>
      </w:pPr>
      <w:r w:rsidRPr="00DD4EE9">
        <w:rPr>
          <w:rFonts w:ascii="Times New Roman" w:hAnsi="Times New Roman"/>
          <w:b/>
          <w:sz w:val="22"/>
          <w:szCs w:val="22"/>
          <w:lang w:val="lv-LV"/>
        </w:rPr>
        <w:t>Terapeitisk</w:t>
      </w:r>
      <w:r w:rsidRPr="00DD4EE9">
        <w:rPr>
          <w:rFonts w:ascii="Times New Roman" w:hAnsi="Times New Roman" w:hint="eastAsia"/>
          <w:b/>
          <w:sz w:val="22"/>
          <w:szCs w:val="22"/>
          <w:lang w:val="lv-LV"/>
        </w:rPr>
        <w:t>ā</w:t>
      </w:r>
      <w:r w:rsidRPr="00DD4EE9">
        <w:rPr>
          <w:rFonts w:ascii="Times New Roman" w:hAnsi="Times New Roman"/>
          <w:b/>
          <w:sz w:val="22"/>
          <w:szCs w:val="22"/>
          <w:lang w:val="lv-LV"/>
        </w:rPr>
        <w:t>s indik</w:t>
      </w:r>
      <w:r w:rsidRPr="00DD4EE9">
        <w:rPr>
          <w:rFonts w:ascii="Times New Roman" w:hAnsi="Times New Roman" w:hint="eastAsia"/>
          <w:b/>
          <w:sz w:val="22"/>
          <w:szCs w:val="22"/>
          <w:lang w:val="lv-LV"/>
        </w:rPr>
        <w:t>ā</w:t>
      </w:r>
      <w:r w:rsidRPr="00DD4EE9">
        <w:rPr>
          <w:rFonts w:ascii="Times New Roman" w:hAnsi="Times New Roman"/>
          <w:b/>
          <w:sz w:val="22"/>
          <w:szCs w:val="22"/>
          <w:lang w:val="lv-LV"/>
        </w:rPr>
        <w:t>cijas</w:t>
      </w:r>
    </w:p>
    <w:p w14:paraId="1D42C94E"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6316BA9" w14:textId="77777777" w:rsidR="00C41387" w:rsidRPr="006405A4" w:rsidRDefault="00C41387" w:rsidP="006405A4">
      <w:pPr>
        <w:numPr>
          <w:ilvl w:val="0"/>
          <w:numId w:val="13"/>
        </w:numPr>
        <w:tabs>
          <w:tab w:val="clear" w:pos="720"/>
          <w:tab w:val="left" w:pos="567"/>
        </w:tabs>
        <w:ind w:left="567" w:hanging="567"/>
        <w:rPr>
          <w:rFonts w:ascii="Times New Roman" w:hAnsi="Times New Roman"/>
          <w:sz w:val="22"/>
          <w:szCs w:val="22"/>
          <w:lang w:val="lv-LV"/>
        </w:rPr>
      </w:pPr>
      <w:r w:rsidRPr="006405A4">
        <w:rPr>
          <w:rFonts w:ascii="Times New Roman" w:hAnsi="Times New Roman"/>
          <w:sz w:val="22"/>
          <w:szCs w:val="22"/>
          <w:lang w:val="lv-LV"/>
        </w:rPr>
        <w:t>Stomatīts un faringīts.</w:t>
      </w:r>
    </w:p>
    <w:p w14:paraId="50FC0052" w14:textId="77777777" w:rsidR="00C41387" w:rsidRPr="006405A4" w:rsidRDefault="00C41387" w:rsidP="006405A4">
      <w:pPr>
        <w:numPr>
          <w:ilvl w:val="0"/>
          <w:numId w:val="13"/>
        </w:numPr>
        <w:tabs>
          <w:tab w:val="clear" w:pos="720"/>
          <w:tab w:val="left" w:pos="567"/>
        </w:tabs>
        <w:ind w:left="567" w:hanging="567"/>
        <w:rPr>
          <w:rFonts w:ascii="Times New Roman" w:hAnsi="Times New Roman"/>
          <w:sz w:val="22"/>
          <w:szCs w:val="22"/>
          <w:lang w:val="lv-LV"/>
        </w:rPr>
      </w:pPr>
      <w:r w:rsidRPr="006405A4">
        <w:rPr>
          <w:rFonts w:ascii="Times New Roman" w:hAnsi="Times New Roman"/>
          <w:sz w:val="22"/>
          <w:szCs w:val="22"/>
          <w:lang w:val="lv-LV"/>
        </w:rPr>
        <w:t>Iekaisuma izraisītas kakla sāpes un rīkles gļotādas pietūkums.</w:t>
      </w:r>
    </w:p>
    <w:p w14:paraId="6EA52007" w14:textId="77777777" w:rsidR="00C41387" w:rsidRPr="006405A4" w:rsidRDefault="00C41387" w:rsidP="006405A4">
      <w:pPr>
        <w:numPr>
          <w:ilvl w:val="0"/>
          <w:numId w:val="13"/>
        </w:numPr>
        <w:tabs>
          <w:tab w:val="clear" w:pos="720"/>
          <w:tab w:val="left" w:pos="567"/>
        </w:tabs>
        <w:ind w:left="567" w:hanging="567"/>
        <w:rPr>
          <w:rFonts w:ascii="Times New Roman" w:hAnsi="Times New Roman"/>
          <w:sz w:val="22"/>
          <w:szCs w:val="22"/>
          <w:lang w:val="lv-LV"/>
        </w:rPr>
      </w:pPr>
      <w:r w:rsidRPr="006405A4">
        <w:rPr>
          <w:rFonts w:ascii="Times New Roman" w:hAnsi="Times New Roman"/>
          <w:sz w:val="22"/>
          <w:szCs w:val="22"/>
          <w:lang w:val="lv-LV"/>
        </w:rPr>
        <w:t>Papildlīdzeklis antibiotiku terapijai dažu mutes dobuma un rīkles gļotādas bakteriālu infekciju gadījumā.</w:t>
      </w:r>
    </w:p>
    <w:p w14:paraId="4FCAAF5E" w14:textId="77777777" w:rsidR="00C41387" w:rsidRPr="006405A4" w:rsidRDefault="00C41387" w:rsidP="006405A4">
      <w:pPr>
        <w:numPr>
          <w:ilvl w:val="0"/>
          <w:numId w:val="13"/>
        </w:numPr>
        <w:tabs>
          <w:tab w:val="clear" w:pos="720"/>
          <w:tab w:val="left" w:pos="567"/>
        </w:tabs>
        <w:ind w:left="567" w:hanging="567"/>
        <w:rPr>
          <w:rFonts w:ascii="Times New Roman" w:hAnsi="Times New Roman"/>
          <w:sz w:val="22"/>
          <w:szCs w:val="22"/>
          <w:lang w:val="lv-LV"/>
        </w:rPr>
      </w:pPr>
      <w:r w:rsidRPr="006405A4">
        <w:rPr>
          <w:rFonts w:ascii="Times New Roman" w:hAnsi="Times New Roman"/>
          <w:sz w:val="22"/>
          <w:szCs w:val="22"/>
          <w:lang w:val="lv-LV"/>
        </w:rPr>
        <w:t>Gingivīta un periodontīta ārstēšana stomatoloģijā.</w:t>
      </w:r>
    </w:p>
    <w:p w14:paraId="2DB688AF"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4EA66BC1" w14:textId="77777777" w:rsidR="00C41387" w:rsidRPr="00DD4EE9" w:rsidRDefault="00C41387" w:rsidP="00DD4EE9">
      <w:pPr>
        <w:pStyle w:val="ListParagraph"/>
        <w:numPr>
          <w:ilvl w:val="1"/>
          <w:numId w:val="7"/>
        </w:numPr>
        <w:ind w:left="567" w:hanging="567"/>
        <w:rPr>
          <w:rFonts w:ascii="Times New Roman" w:hAnsi="Times New Roman"/>
          <w:sz w:val="22"/>
          <w:szCs w:val="22"/>
          <w:lang w:val="lv-LV"/>
        </w:rPr>
      </w:pPr>
      <w:r w:rsidRPr="00DD4EE9">
        <w:rPr>
          <w:rFonts w:ascii="Times New Roman" w:hAnsi="Times New Roman"/>
          <w:b/>
          <w:sz w:val="22"/>
          <w:szCs w:val="22"/>
          <w:lang w:val="lv-LV"/>
        </w:rPr>
        <w:t>Devas un lietošanas veids</w:t>
      </w:r>
    </w:p>
    <w:p w14:paraId="61809E35"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1E4241F4" w14:textId="77777777" w:rsidR="005E54EE" w:rsidRPr="00DD4EE9" w:rsidRDefault="005E54EE" w:rsidP="00DD4EE9">
      <w:pPr>
        <w:rPr>
          <w:rFonts w:ascii="Times New Roman" w:hAnsi="Times New Roman"/>
          <w:snapToGrid w:val="0"/>
          <w:sz w:val="22"/>
          <w:u w:val="single"/>
          <w:lang w:val="lv-LV" w:eastAsia="zh-CN"/>
        </w:rPr>
      </w:pPr>
      <w:r w:rsidRPr="005E54EE">
        <w:rPr>
          <w:rFonts w:ascii="Times New Roman" w:hAnsi="Times New Roman"/>
          <w:snapToGrid w:val="0"/>
          <w:sz w:val="22"/>
          <w:u w:val="single"/>
          <w:lang w:val="lv-LV" w:eastAsia="zh-CN"/>
        </w:rPr>
        <w:t xml:space="preserve">Devas </w:t>
      </w:r>
    </w:p>
    <w:p w14:paraId="6EE8FA4A"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Pieaugušie un bērni no 12 gadu vecuma: parasti iesaka sūkāt pa vienai tabletei 4 – 6 reizes dienā. </w:t>
      </w:r>
    </w:p>
    <w:p w14:paraId="7AD6E21D" w14:textId="5397FC74" w:rsidR="00C41387"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Ja kakla sāpju simptomi pēc 1 – 2 dienām nemazinās, jānodrošina medicīniska </w:t>
      </w:r>
      <w:r w:rsidR="005E54EE">
        <w:rPr>
          <w:rFonts w:ascii="Times New Roman" w:hAnsi="Times New Roman"/>
          <w:sz w:val="22"/>
          <w:szCs w:val="22"/>
          <w:lang w:val="lv-LV"/>
        </w:rPr>
        <w:t>uzraudzība</w:t>
      </w:r>
      <w:r w:rsidRPr="006405A4">
        <w:rPr>
          <w:rFonts w:ascii="Times New Roman" w:hAnsi="Times New Roman"/>
          <w:sz w:val="22"/>
          <w:szCs w:val="22"/>
          <w:lang w:val="lv-LV"/>
        </w:rPr>
        <w:t>.</w:t>
      </w:r>
    </w:p>
    <w:p w14:paraId="08BCD82B" w14:textId="77777777" w:rsidR="00540B6F" w:rsidRPr="006405A4" w:rsidRDefault="00540B6F" w:rsidP="006405A4">
      <w:pPr>
        <w:numPr>
          <w:ilvl w:val="12"/>
          <w:numId w:val="0"/>
        </w:numPr>
        <w:rPr>
          <w:rFonts w:ascii="Times New Roman" w:hAnsi="Times New Roman"/>
          <w:sz w:val="22"/>
          <w:szCs w:val="22"/>
          <w:lang w:val="lv-LV"/>
        </w:rPr>
      </w:pPr>
    </w:p>
    <w:p w14:paraId="20AD6ED8" w14:textId="3019041E" w:rsidR="00C41387" w:rsidRPr="002879B6" w:rsidRDefault="00540B6F" w:rsidP="006405A4">
      <w:pPr>
        <w:numPr>
          <w:ilvl w:val="12"/>
          <w:numId w:val="0"/>
        </w:numPr>
        <w:rPr>
          <w:bCs/>
          <w:i/>
          <w:iCs/>
          <w:szCs w:val="22"/>
          <w:lang w:val="lv-LV"/>
        </w:rPr>
      </w:pPr>
      <w:r w:rsidRPr="002879B6">
        <w:rPr>
          <w:bCs/>
          <w:i/>
          <w:iCs/>
          <w:szCs w:val="22"/>
          <w:lang w:val="lv-LV"/>
        </w:rPr>
        <w:t>Pediatrisk</w:t>
      </w:r>
      <w:r w:rsidRPr="002879B6">
        <w:rPr>
          <w:rFonts w:hint="eastAsia"/>
          <w:bCs/>
          <w:i/>
          <w:iCs/>
          <w:szCs w:val="22"/>
          <w:lang w:val="lv-LV"/>
        </w:rPr>
        <w:t>ā</w:t>
      </w:r>
      <w:r w:rsidRPr="002879B6">
        <w:rPr>
          <w:bCs/>
          <w:i/>
          <w:iCs/>
          <w:szCs w:val="22"/>
          <w:lang w:val="lv-LV"/>
        </w:rPr>
        <w:t xml:space="preserve"> popul</w:t>
      </w:r>
      <w:r w:rsidRPr="002879B6">
        <w:rPr>
          <w:rFonts w:hint="eastAsia"/>
          <w:bCs/>
          <w:i/>
          <w:iCs/>
          <w:szCs w:val="22"/>
          <w:lang w:val="lv-LV"/>
        </w:rPr>
        <w:t>ā</w:t>
      </w:r>
      <w:r w:rsidRPr="002879B6">
        <w:rPr>
          <w:bCs/>
          <w:i/>
          <w:iCs/>
          <w:szCs w:val="22"/>
          <w:lang w:val="lv-LV"/>
        </w:rPr>
        <w:t>cija</w:t>
      </w:r>
    </w:p>
    <w:p w14:paraId="4ABFACBE" w14:textId="7DC7647D" w:rsidR="00540B6F" w:rsidRDefault="00540B6F" w:rsidP="006405A4">
      <w:pPr>
        <w:numPr>
          <w:ilvl w:val="12"/>
          <w:numId w:val="0"/>
        </w:numPr>
        <w:rPr>
          <w:rFonts w:ascii="Times New Roman" w:hAnsi="Times New Roman"/>
          <w:sz w:val="22"/>
          <w:szCs w:val="22"/>
          <w:lang w:val="lv-LV"/>
        </w:rPr>
      </w:pPr>
      <w:r>
        <w:rPr>
          <w:rFonts w:ascii="Times New Roman" w:hAnsi="Times New Roman"/>
          <w:sz w:val="22"/>
          <w:szCs w:val="22"/>
          <w:lang w:val="lv-LV"/>
        </w:rPr>
        <w:t>Nav ieteicams bērniem līdz 12 gadu vecumam.</w:t>
      </w:r>
    </w:p>
    <w:p w14:paraId="65670D96" w14:textId="57BD3B42" w:rsidR="00540B6F" w:rsidRDefault="00540B6F" w:rsidP="006405A4">
      <w:pPr>
        <w:numPr>
          <w:ilvl w:val="12"/>
          <w:numId w:val="0"/>
        </w:numPr>
        <w:rPr>
          <w:rFonts w:ascii="Times New Roman" w:hAnsi="Times New Roman"/>
          <w:sz w:val="22"/>
          <w:szCs w:val="22"/>
          <w:lang w:val="lv-LV"/>
        </w:rPr>
      </w:pPr>
    </w:p>
    <w:p w14:paraId="38821522" w14:textId="77777777" w:rsidR="00C41387" w:rsidRPr="006405A4" w:rsidRDefault="006405A4" w:rsidP="006405A4">
      <w:pPr>
        <w:ind w:left="567" w:hanging="567"/>
        <w:rPr>
          <w:rFonts w:ascii="Times New Roman" w:hAnsi="Times New Roman"/>
          <w:sz w:val="22"/>
          <w:szCs w:val="22"/>
          <w:lang w:val="lv-LV"/>
        </w:rPr>
      </w:pPr>
      <w:r>
        <w:rPr>
          <w:rFonts w:ascii="Times New Roman" w:hAnsi="Times New Roman"/>
          <w:b/>
          <w:sz w:val="22"/>
          <w:szCs w:val="22"/>
          <w:lang w:val="lv-LV"/>
        </w:rPr>
        <w:t>4.3</w:t>
      </w:r>
      <w:r w:rsidR="005E54EE">
        <w:rPr>
          <w:rFonts w:ascii="Times New Roman" w:hAnsi="Times New Roman"/>
          <w:b/>
          <w:sz w:val="22"/>
          <w:szCs w:val="22"/>
          <w:lang w:val="lv-LV"/>
        </w:rPr>
        <w:t>.</w:t>
      </w:r>
      <w:r w:rsidR="00C41387" w:rsidRPr="006405A4">
        <w:rPr>
          <w:rFonts w:ascii="Times New Roman" w:hAnsi="Times New Roman"/>
          <w:b/>
          <w:sz w:val="22"/>
          <w:szCs w:val="22"/>
          <w:lang w:val="lv-LV"/>
        </w:rPr>
        <w:tab/>
        <w:t>Kontrindikācijas</w:t>
      </w:r>
    </w:p>
    <w:p w14:paraId="717189D2"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BC140A4" w14:textId="77777777" w:rsidR="00C41387" w:rsidRPr="006405A4" w:rsidRDefault="00C41387" w:rsidP="005E54EE">
      <w:pPr>
        <w:numPr>
          <w:ilvl w:val="12"/>
          <w:numId w:val="0"/>
        </w:numPr>
        <w:rPr>
          <w:rFonts w:ascii="Times New Roman" w:hAnsi="Times New Roman"/>
          <w:sz w:val="22"/>
          <w:szCs w:val="22"/>
          <w:lang w:val="lv-LV"/>
        </w:rPr>
      </w:pPr>
      <w:r w:rsidRPr="006405A4">
        <w:rPr>
          <w:rFonts w:ascii="Times New Roman" w:hAnsi="Times New Roman"/>
          <w:sz w:val="22"/>
          <w:szCs w:val="22"/>
          <w:lang w:val="lv-LV"/>
        </w:rPr>
        <w:t>Paaugstināta jutība pret</w:t>
      </w:r>
      <w:r w:rsidR="005E54EE" w:rsidRPr="00DD4EE9">
        <w:rPr>
          <w:lang w:val="lv-LV"/>
        </w:rPr>
        <w:t xml:space="preserve"> </w:t>
      </w:r>
      <w:r w:rsidR="005E54EE" w:rsidRPr="005E54EE">
        <w:rPr>
          <w:rFonts w:ascii="Times New Roman" w:hAnsi="Times New Roman"/>
          <w:sz w:val="22"/>
          <w:szCs w:val="22"/>
          <w:lang w:val="lv-LV"/>
        </w:rPr>
        <w:t>hol</w:t>
      </w:r>
      <w:r w:rsidR="005E54EE" w:rsidRPr="005E54EE">
        <w:rPr>
          <w:rFonts w:ascii="Times New Roman" w:hAnsi="Times New Roman" w:hint="eastAsia"/>
          <w:sz w:val="22"/>
          <w:szCs w:val="22"/>
          <w:lang w:val="lv-LV"/>
        </w:rPr>
        <w:t>ī</w:t>
      </w:r>
      <w:r w:rsidR="005E54EE" w:rsidRPr="005E54EE">
        <w:rPr>
          <w:rFonts w:ascii="Times New Roman" w:hAnsi="Times New Roman"/>
          <w:sz w:val="22"/>
          <w:szCs w:val="22"/>
          <w:lang w:val="lv-LV"/>
        </w:rPr>
        <w:t>na salicil</w:t>
      </w:r>
      <w:r w:rsidR="005E54EE" w:rsidRPr="005E54EE">
        <w:rPr>
          <w:rFonts w:ascii="Times New Roman" w:hAnsi="Times New Roman" w:hint="eastAsia"/>
          <w:sz w:val="22"/>
          <w:szCs w:val="22"/>
          <w:lang w:val="lv-LV"/>
        </w:rPr>
        <w:t>ā</w:t>
      </w:r>
      <w:r w:rsidR="005E54EE" w:rsidRPr="005E54EE">
        <w:rPr>
          <w:rFonts w:ascii="Times New Roman" w:hAnsi="Times New Roman"/>
          <w:sz w:val="22"/>
          <w:szCs w:val="22"/>
          <w:lang w:val="lv-LV"/>
        </w:rPr>
        <w:t>t</w:t>
      </w:r>
      <w:r w:rsidR="005E54EE">
        <w:rPr>
          <w:rFonts w:ascii="Times New Roman" w:hAnsi="Times New Roman"/>
          <w:sz w:val="22"/>
          <w:szCs w:val="22"/>
          <w:lang w:val="lv-LV"/>
        </w:rPr>
        <w:t>u vai jebkuru no 6.1. apakšpunktā uzskaitītajām palīgvielām, kā arī pret</w:t>
      </w:r>
      <w:r w:rsidRPr="006405A4">
        <w:rPr>
          <w:rFonts w:ascii="Times New Roman" w:hAnsi="Times New Roman"/>
          <w:sz w:val="22"/>
          <w:szCs w:val="22"/>
          <w:lang w:val="lv-LV"/>
        </w:rPr>
        <w:t>:</w:t>
      </w:r>
    </w:p>
    <w:p w14:paraId="49861A15" w14:textId="51251584" w:rsidR="005E54EE" w:rsidRPr="00DD4EE9" w:rsidRDefault="00C41387" w:rsidP="00DD4EE9">
      <w:pPr>
        <w:pStyle w:val="ListParagraph"/>
        <w:numPr>
          <w:ilvl w:val="1"/>
          <w:numId w:val="18"/>
        </w:numPr>
        <w:tabs>
          <w:tab w:val="left" w:pos="567"/>
        </w:tabs>
        <w:ind w:left="567" w:hanging="567"/>
        <w:rPr>
          <w:rFonts w:ascii="Times New Roman" w:hAnsi="Times New Roman"/>
          <w:sz w:val="22"/>
          <w:szCs w:val="22"/>
          <w:lang w:val="lv-LV"/>
        </w:rPr>
      </w:pPr>
      <w:r w:rsidRPr="00DD4EE9">
        <w:rPr>
          <w:rFonts w:ascii="Times New Roman" w:hAnsi="Times New Roman"/>
          <w:sz w:val="22"/>
          <w:szCs w:val="22"/>
          <w:lang w:val="lv-LV"/>
        </w:rPr>
        <w:t>salicil</w:t>
      </w:r>
      <w:r w:rsidRPr="00DD4EE9">
        <w:rPr>
          <w:rFonts w:ascii="Times New Roman" w:hAnsi="Times New Roman" w:hint="eastAsia"/>
          <w:sz w:val="22"/>
          <w:szCs w:val="22"/>
          <w:lang w:val="lv-LV"/>
        </w:rPr>
        <w:t>ā</w:t>
      </w:r>
      <w:r w:rsidRPr="00DD4EE9">
        <w:rPr>
          <w:rFonts w:ascii="Times New Roman" w:hAnsi="Times New Roman"/>
          <w:sz w:val="22"/>
          <w:szCs w:val="22"/>
          <w:lang w:val="lv-LV"/>
        </w:rPr>
        <w:t>tiem,</w:t>
      </w:r>
    </w:p>
    <w:p w14:paraId="7144DA43" w14:textId="4BC425A3" w:rsidR="005E54EE" w:rsidRPr="00DD4EE9" w:rsidRDefault="00C41387" w:rsidP="00DD4EE9">
      <w:pPr>
        <w:pStyle w:val="ListParagraph"/>
        <w:numPr>
          <w:ilvl w:val="1"/>
          <w:numId w:val="18"/>
        </w:numPr>
        <w:tabs>
          <w:tab w:val="left" w:pos="567"/>
        </w:tabs>
        <w:ind w:left="567" w:hanging="567"/>
        <w:rPr>
          <w:rFonts w:ascii="Times New Roman" w:hAnsi="Times New Roman"/>
          <w:sz w:val="22"/>
          <w:szCs w:val="22"/>
          <w:lang w:val="lv-LV"/>
        </w:rPr>
      </w:pPr>
      <w:r w:rsidRPr="00DD4EE9">
        <w:rPr>
          <w:rFonts w:ascii="Times New Roman" w:hAnsi="Times New Roman"/>
          <w:sz w:val="22"/>
          <w:szCs w:val="22"/>
          <w:lang w:val="lv-LV"/>
        </w:rPr>
        <w:t>citiem nestero</w:t>
      </w:r>
      <w:r w:rsidRPr="00DD4EE9">
        <w:rPr>
          <w:rFonts w:ascii="Times New Roman" w:hAnsi="Times New Roman" w:hint="eastAsia"/>
          <w:sz w:val="22"/>
          <w:szCs w:val="22"/>
          <w:lang w:val="lv-LV"/>
        </w:rPr>
        <w:t>ī</w:t>
      </w:r>
      <w:r w:rsidRPr="00DD4EE9">
        <w:rPr>
          <w:rFonts w:ascii="Times New Roman" w:hAnsi="Times New Roman"/>
          <w:sz w:val="22"/>
          <w:szCs w:val="22"/>
          <w:lang w:val="lv-LV"/>
        </w:rPr>
        <w:t>dajiem pretiekaisuma l</w:t>
      </w:r>
      <w:r w:rsidRPr="00DD4EE9">
        <w:rPr>
          <w:rFonts w:ascii="Times New Roman" w:hAnsi="Times New Roman" w:hint="eastAsia"/>
          <w:sz w:val="22"/>
          <w:szCs w:val="22"/>
          <w:lang w:val="lv-LV"/>
        </w:rPr>
        <w:t>ī</w:t>
      </w:r>
      <w:r w:rsidRPr="00DD4EE9">
        <w:rPr>
          <w:rFonts w:ascii="Times New Roman" w:hAnsi="Times New Roman"/>
          <w:sz w:val="22"/>
          <w:szCs w:val="22"/>
          <w:lang w:val="lv-LV"/>
        </w:rPr>
        <w:t>dzek</w:t>
      </w:r>
      <w:r w:rsidRPr="00DD4EE9">
        <w:rPr>
          <w:rFonts w:ascii="Times New Roman" w:hAnsi="Times New Roman" w:hint="eastAsia"/>
          <w:sz w:val="22"/>
          <w:szCs w:val="22"/>
          <w:lang w:val="lv-LV"/>
        </w:rPr>
        <w:t>ļ</w:t>
      </w:r>
      <w:r w:rsidRPr="00DD4EE9">
        <w:rPr>
          <w:rFonts w:ascii="Times New Roman" w:hAnsi="Times New Roman"/>
          <w:sz w:val="22"/>
          <w:szCs w:val="22"/>
          <w:lang w:val="lv-LV"/>
        </w:rPr>
        <w:t>iem</w:t>
      </w:r>
      <w:r w:rsidR="006A740A">
        <w:rPr>
          <w:rFonts w:ascii="Times New Roman" w:hAnsi="Times New Roman"/>
          <w:sz w:val="22"/>
          <w:szCs w:val="22"/>
          <w:lang w:val="lv-LV"/>
        </w:rPr>
        <w:t>.</w:t>
      </w:r>
    </w:p>
    <w:p w14:paraId="47EC3305" w14:textId="77777777" w:rsidR="00C41387" w:rsidRPr="006405A4" w:rsidRDefault="00C41387" w:rsidP="006405A4">
      <w:pPr>
        <w:rPr>
          <w:rFonts w:ascii="Times New Roman" w:hAnsi="Times New Roman"/>
          <w:sz w:val="22"/>
          <w:szCs w:val="22"/>
          <w:lang w:val="lv-LV"/>
        </w:rPr>
      </w:pPr>
      <w:r w:rsidRPr="006405A4">
        <w:rPr>
          <w:rFonts w:ascii="Times New Roman" w:hAnsi="Times New Roman"/>
          <w:sz w:val="22"/>
          <w:szCs w:val="22"/>
          <w:lang w:val="lv-LV"/>
        </w:rPr>
        <w:t>Šīs zāles nedrīkst lietot pacienti ar barības vada vēnu varikozi, jo pastāv asiņošanas risks.</w:t>
      </w:r>
    </w:p>
    <w:p w14:paraId="4B6E199D"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59D96ADC" w14:textId="77777777" w:rsidR="00C41387" w:rsidRPr="006405A4" w:rsidRDefault="005E54EE" w:rsidP="00DD4EE9">
      <w:pPr>
        <w:rPr>
          <w:rFonts w:ascii="Times New Roman" w:hAnsi="Times New Roman"/>
          <w:sz w:val="22"/>
          <w:szCs w:val="22"/>
          <w:lang w:val="lv-LV"/>
        </w:rPr>
      </w:pPr>
      <w:r>
        <w:rPr>
          <w:rFonts w:ascii="Times New Roman" w:hAnsi="Times New Roman"/>
          <w:b/>
          <w:sz w:val="22"/>
          <w:szCs w:val="22"/>
          <w:lang w:val="lv-LV"/>
        </w:rPr>
        <w:t>4.4.</w:t>
      </w:r>
      <w:r>
        <w:rPr>
          <w:rFonts w:ascii="Times New Roman" w:hAnsi="Times New Roman"/>
          <w:b/>
          <w:sz w:val="22"/>
          <w:szCs w:val="22"/>
          <w:lang w:val="lv-LV"/>
        </w:rPr>
        <w:tab/>
      </w:r>
      <w:r w:rsidR="00C41387" w:rsidRPr="006405A4">
        <w:rPr>
          <w:rFonts w:ascii="Times New Roman" w:hAnsi="Times New Roman"/>
          <w:b/>
          <w:sz w:val="22"/>
          <w:szCs w:val="22"/>
          <w:lang w:val="lv-LV"/>
        </w:rPr>
        <w:t>Īpaši brīdinājumi un piesardzība lietošanā</w:t>
      </w:r>
    </w:p>
    <w:p w14:paraId="04E55710"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6D49ABD2" w14:textId="1126EC15"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Bez medicīniskas </w:t>
      </w:r>
      <w:r w:rsidR="005E54EE">
        <w:rPr>
          <w:rFonts w:ascii="Times New Roman" w:hAnsi="Times New Roman"/>
          <w:sz w:val="22"/>
          <w:szCs w:val="22"/>
          <w:lang w:val="lv-LV"/>
        </w:rPr>
        <w:t>uzraudzības</w:t>
      </w:r>
      <w:r w:rsidR="005E54EE" w:rsidRPr="006405A4">
        <w:rPr>
          <w:rFonts w:ascii="Times New Roman" w:hAnsi="Times New Roman"/>
          <w:sz w:val="22"/>
          <w:szCs w:val="22"/>
          <w:lang w:val="lv-LV"/>
        </w:rPr>
        <w:t xml:space="preserve"> </w:t>
      </w:r>
      <w:r w:rsidRPr="006405A4">
        <w:rPr>
          <w:rFonts w:ascii="Times New Roman" w:hAnsi="Times New Roman"/>
          <w:sz w:val="22"/>
          <w:szCs w:val="22"/>
          <w:lang w:val="lv-LV"/>
        </w:rPr>
        <w:t xml:space="preserve">šīs zāles nedrīkst lietot grūtniecības un </w:t>
      </w:r>
      <w:r w:rsidR="005E54EE">
        <w:rPr>
          <w:rFonts w:ascii="Times New Roman" w:hAnsi="Times New Roman"/>
          <w:sz w:val="22"/>
          <w:szCs w:val="22"/>
          <w:lang w:val="lv-LV"/>
        </w:rPr>
        <w:t>barošanas ar krūti</w:t>
      </w:r>
      <w:r w:rsidRPr="006405A4">
        <w:rPr>
          <w:rFonts w:ascii="Times New Roman" w:hAnsi="Times New Roman"/>
          <w:sz w:val="22"/>
          <w:szCs w:val="22"/>
          <w:lang w:val="lv-LV"/>
        </w:rPr>
        <w:t xml:space="preserve"> laikā. Pacientiem ar kuņģa-zarnu trakta </w:t>
      </w:r>
      <w:r w:rsidR="005E54EE">
        <w:rPr>
          <w:rFonts w:ascii="Times New Roman" w:hAnsi="Times New Roman"/>
          <w:sz w:val="22"/>
          <w:szCs w:val="22"/>
          <w:lang w:val="lv-LV"/>
        </w:rPr>
        <w:t>slimībām</w:t>
      </w:r>
      <w:r w:rsidRPr="006405A4">
        <w:rPr>
          <w:rFonts w:ascii="Times New Roman" w:hAnsi="Times New Roman"/>
          <w:sz w:val="22"/>
          <w:szCs w:val="22"/>
          <w:lang w:val="lv-LV"/>
        </w:rPr>
        <w:t xml:space="preserve">, peptisku čūlas slimību vai bronhiālo astmu jānodrošina medicīniska </w:t>
      </w:r>
      <w:r w:rsidR="005E54EE">
        <w:rPr>
          <w:rFonts w:ascii="Times New Roman" w:hAnsi="Times New Roman"/>
          <w:sz w:val="22"/>
          <w:szCs w:val="22"/>
          <w:lang w:val="lv-LV"/>
        </w:rPr>
        <w:t>uzraudzība</w:t>
      </w:r>
      <w:r w:rsidRPr="006405A4">
        <w:rPr>
          <w:rFonts w:ascii="Times New Roman" w:hAnsi="Times New Roman"/>
          <w:sz w:val="22"/>
          <w:szCs w:val="22"/>
          <w:lang w:val="lv-LV"/>
        </w:rPr>
        <w:t>.</w:t>
      </w:r>
    </w:p>
    <w:p w14:paraId="3E517B2B"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lastRenderedPageBreak/>
        <w:t>Šīs zāles satur maltītu un izomaltu, tādēļ tās nevajadzētu lietot pacientiem ar retu iedzimtu fruktozes nepanesību.</w:t>
      </w:r>
    </w:p>
    <w:p w14:paraId="56EEFF68" w14:textId="51BABBCA" w:rsidR="00C41387" w:rsidRPr="0023288B" w:rsidRDefault="002C4B47" w:rsidP="002879B6">
      <w:pPr>
        <w:autoSpaceDE w:val="0"/>
        <w:autoSpaceDN w:val="0"/>
        <w:adjustRightInd w:val="0"/>
        <w:rPr>
          <w:rFonts w:ascii="Times New Roman" w:hAnsi="Times New Roman"/>
          <w:sz w:val="22"/>
          <w:szCs w:val="22"/>
          <w:lang w:val="lv-LV"/>
        </w:rPr>
      </w:pPr>
      <w:r w:rsidRPr="0023288B">
        <w:rPr>
          <w:rFonts w:ascii="Times New Roman" w:hAnsi="Times New Roman"/>
          <w:sz w:val="22"/>
          <w:szCs w:val="22"/>
          <w:lang w:val="lv-LV"/>
        </w:rPr>
        <w:t>Š</w:t>
      </w:r>
      <w:r w:rsidR="00C41387" w:rsidRPr="0023288B">
        <w:rPr>
          <w:rFonts w:ascii="Times New Roman" w:hAnsi="Times New Roman"/>
          <w:sz w:val="22"/>
          <w:szCs w:val="22"/>
          <w:lang w:val="lv-LV"/>
        </w:rPr>
        <w:t>īs zāles satur aspartāmu</w:t>
      </w:r>
      <w:r w:rsidR="0023288B" w:rsidRPr="0023288B">
        <w:rPr>
          <w:rFonts w:ascii="Times New Roman" w:hAnsi="Times New Roman"/>
          <w:sz w:val="22"/>
          <w:szCs w:val="22"/>
          <w:lang w:val="lv-LV"/>
        </w:rPr>
        <w:t xml:space="preserve">. </w:t>
      </w:r>
      <w:r w:rsidR="0023288B" w:rsidRPr="002879B6">
        <w:rPr>
          <w:rFonts w:ascii="Times New Roman" w:hAnsi="Times New Roman"/>
          <w:sz w:val="22"/>
          <w:szCs w:val="22"/>
          <w:lang w:val="lv-LV" w:eastAsia="en-US"/>
        </w:rPr>
        <w:t>Aspartāms tiek hidrolizēts kuņģa-zarnu traktā, kad tiek lietots iekšķīgi. Viens no galvenajiem hidrolīzes produktiem ir fenilalanīns.</w:t>
      </w:r>
    </w:p>
    <w:p w14:paraId="29C90A01" w14:textId="77777777" w:rsidR="005E54EE" w:rsidRDefault="005E54EE" w:rsidP="006405A4">
      <w:pPr>
        <w:numPr>
          <w:ilvl w:val="12"/>
          <w:numId w:val="0"/>
        </w:numPr>
        <w:rPr>
          <w:rFonts w:ascii="Times New Roman" w:hAnsi="Times New Roman"/>
          <w:sz w:val="22"/>
          <w:szCs w:val="22"/>
          <w:lang w:val="lv-LV"/>
        </w:rPr>
      </w:pPr>
    </w:p>
    <w:p w14:paraId="20919E4F" w14:textId="77777777" w:rsidR="005E54EE" w:rsidRPr="00DD4EE9" w:rsidRDefault="005E54EE" w:rsidP="006405A4">
      <w:pPr>
        <w:numPr>
          <w:ilvl w:val="12"/>
          <w:numId w:val="0"/>
        </w:numPr>
        <w:rPr>
          <w:rFonts w:ascii="Times New Roman" w:hAnsi="Times New Roman"/>
          <w:sz w:val="22"/>
          <w:szCs w:val="22"/>
          <w:u w:val="single"/>
          <w:lang w:val="lv-LV"/>
        </w:rPr>
      </w:pPr>
      <w:r w:rsidRPr="00DD4EE9">
        <w:rPr>
          <w:rFonts w:ascii="Times New Roman" w:hAnsi="Times New Roman"/>
          <w:sz w:val="22"/>
          <w:szCs w:val="22"/>
          <w:u w:val="single"/>
          <w:lang w:val="lv-LV"/>
        </w:rPr>
        <w:t>Pediatrisk</w:t>
      </w:r>
      <w:r w:rsidRPr="00DD4EE9">
        <w:rPr>
          <w:rFonts w:ascii="Times New Roman" w:hAnsi="Times New Roman" w:hint="eastAsia"/>
          <w:sz w:val="22"/>
          <w:szCs w:val="22"/>
          <w:u w:val="single"/>
          <w:lang w:val="lv-LV"/>
        </w:rPr>
        <w:t>ā</w:t>
      </w:r>
      <w:r w:rsidRPr="00DD4EE9">
        <w:rPr>
          <w:rFonts w:ascii="Times New Roman" w:hAnsi="Times New Roman"/>
          <w:sz w:val="22"/>
          <w:szCs w:val="22"/>
          <w:u w:val="single"/>
          <w:lang w:val="lv-LV"/>
        </w:rPr>
        <w:t xml:space="preserve"> popul</w:t>
      </w:r>
      <w:r w:rsidRPr="00DD4EE9">
        <w:rPr>
          <w:rFonts w:ascii="Times New Roman" w:hAnsi="Times New Roman" w:hint="eastAsia"/>
          <w:sz w:val="22"/>
          <w:szCs w:val="22"/>
          <w:u w:val="single"/>
          <w:lang w:val="lv-LV"/>
        </w:rPr>
        <w:t>ā</w:t>
      </w:r>
      <w:r w:rsidRPr="00DD4EE9">
        <w:rPr>
          <w:rFonts w:ascii="Times New Roman" w:hAnsi="Times New Roman"/>
          <w:sz w:val="22"/>
          <w:szCs w:val="22"/>
          <w:u w:val="single"/>
          <w:lang w:val="lv-LV"/>
        </w:rPr>
        <w:t>cija</w:t>
      </w:r>
    </w:p>
    <w:p w14:paraId="0D72FD4A" w14:textId="2A950E1A"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Ņemot vērā Reja</w:t>
      </w:r>
      <w:r w:rsidRPr="006405A4">
        <w:rPr>
          <w:rFonts w:ascii="Times New Roman" w:hAnsi="Times New Roman"/>
          <w:i/>
          <w:sz w:val="22"/>
          <w:szCs w:val="22"/>
          <w:lang w:val="lv-LV"/>
        </w:rPr>
        <w:t xml:space="preserve"> </w:t>
      </w:r>
      <w:r w:rsidRPr="006405A4">
        <w:rPr>
          <w:rFonts w:ascii="Times New Roman" w:hAnsi="Times New Roman"/>
          <w:sz w:val="22"/>
          <w:szCs w:val="22"/>
          <w:lang w:val="lv-LV"/>
        </w:rPr>
        <w:t xml:space="preserve">sindroma rašanās risku, </w:t>
      </w:r>
      <w:r w:rsidR="006C179F">
        <w:rPr>
          <w:rFonts w:ascii="Times New Roman" w:hAnsi="Times New Roman"/>
          <w:sz w:val="22"/>
          <w:szCs w:val="22"/>
          <w:lang w:val="lv-LV"/>
        </w:rPr>
        <w:t>jāizvērtē</w:t>
      </w:r>
      <w:r w:rsidR="006C179F" w:rsidRPr="006405A4">
        <w:rPr>
          <w:rFonts w:ascii="Times New Roman" w:hAnsi="Times New Roman"/>
          <w:sz w:val="22"/>
          <w:szCs w:val="22"/>
          <w:lang w:val="lv-LV"/>
        </w:rPr>
        <w:t xml:space="preserve"> </w:t>
      </w:r>
      <w:r w:rsidRPr="006405A4">
        <w:rPr>
          <w:rFonts w:ascii="Times New Roman" w:hAnsi="Times New Roman"/>
          <w:sz w:val="22"/>
          <w:szCs w:val="22"/>
          <w:lang w:val="lv-LV"/>
        </w:rPr>
        <w:t>medicīniskās indikācijas salicilātu lietošanai bērniem līdz 12 gadu vecumam.</w:t>
      </w:r>
    </w:p>
    <w:p w14:paraId="0F6BC964" w14:textId="77777777" w:rsidR="00C41387" w:rsidRPr="006405A4" w:rsidRDefault="00C41387" w:rsidP="006405A4">
      <w:pPr>
        <w:numPr>
          <w:ilvl w:val="12"/>
          <w:numId w:val="0"/>
        </w:numPr>
        <w:rPr>
          <w:rFonts w:ascii="Times New Roman" w:hAnsi="Times New Roman"/>
          <w:sz w:val="22"/>
          <w:szCs w:val="22"/>
          <w:lang w:val="lv-LV"/>
        </w:rPr>
      </w:pPr>
    </w:p>
    <w:p w14:paraId="3519BC13" w14:textId="77777777" w:rsidR="00C41387" w:rsidRPr="00DD4EE9" w:rsidRDefault="00C41387" w:rsidP="00DD4EE9">
      <w:pPr>
        <w:pStyle w:val="ListParagraph"/>
        <w:numPr>
          <w:ilvl w:val="1"/>
          <w:numId w:val="19"/>
        </w:numPr>
        <w:ind w:left="567" w:hanging="567"/>
        <w:rPr>
          <w:rFonts w:ascii="Times New Roman" w:hAnsi="Times New Roman"/>
          <w:sz w:val="22"/>
          <w:szCs w:val="22"/>
          <w:lang w:val="lv-LV"/>
        </w:rPr>
      </w:pPr>
      <w:r w:rsidRPr="00DD4EE9">
        <w:rPr>
          <w:rFonts w:ascii="Times New Roman" w:hAnsi="Times New Roman"/>
          <w:b/>
          <w:sz w:val="22"/>
          <w:szCs w:val="22"/>
          <w:lang w:val="lv-LV"/>
        </w:rPr>
        <w:t>Mijiedarb</w:t>
      </w:r>
      <w:r w:rsidRPr="00DD4EE9">
        <w:rPr>
          <w:rFonts w:ascii="Times New Roman" w:hAnsi="Times New Roman" w:hint="eastAsia"/>
          <w:b/>
          <w:sz w:val="22"/>
          <w:szCs w:val="22"/>
          <w:lang w:val="lv-LV"/>
        </w:rPr>
        <w:t>ī</w:t>
      </w:r>
      <w:r w:rsidRPr="00DD4EE9">
        <w:rPr>
          <w:rFonts w:ascii="Times New Roman" w:hAnsi="Times New Roman"/>
          <w:b/>
          <w:sz w:val="22"/>
          <w:szCs w:val="22"/>
          <w:lang w:val="lv-LV"/>
        </w:rPr>
        <w:t>ba ar cit</w:t>
      </w:r>
      <w:r w:rsidRPr="00DD4EE9">
        <w:rPr>
          <w:rFonts w:ascii="Times New Roman" w:hAnsi="Times New Roman" w:hint="eastAsia"/>
          <w:b/>
          <w:sz w:val="22"/>
          <w:szCs w:val="22"/>
          <w:lang w:val="lv-LV"/>
        </w:rPr>
        <w:t>ā</w:t>
      </w:r>
      <w:r w:rsidRPr="00DD4EE9">
        <w:rPr>
          <w:rFonts w:ascii="Times New Roman" w:hAnsi="Times New Roman"/>
          <w:b/>
          <w:sz w:val="22"/>
          <w:szCs w:val="22"/>
          <w:lang w:val="lv-LV"/>
        </w:rPr>
        <w:t>m z</w:t>
      </w:r>
      <w:r w:rsidRPr="00DD4EE9">
        <w:rPr>
          <w:rFonts w:ascii="Times New Roman" w:hAnsi="Times New Roman" w:hint="eastAsia"/>
          <w:b/>
          <w:sz w:val="22"/>
          <w:szCs w:val="22"/>
          <w:lang w:val="lv-LV"/>
        </w:rPr>
        <w:t>ā</w:t>
      </w:r>
      <w:r w:rsidRPr="00DD4EE9">
        <w:rPr>
          <w:rFonts w:ascii="Times New Roman" w:hAnsi="Times New Roman"/>
          <w:b/>
          <w:sz w:val="22"/>
          <w:szCs w:val="22"/>
          <w:lang w:val="lv-LV"/>
        </w:rPr>
        <w:t>l</w:t>
      </w:r>
      <w:r w:rsidRPr="00DD4EE9">
        <w:rPr>
          <w:rFonts w:ascii="Times New Roman" w:hAnsi="Times New Roman" w:hint="eastAsia"/>
          <w:b/>
          <w:sz w:val="22"/>
          <w:szCs w:val="22"/>
          <w:lang w:val="lv-LV"/>
        </w:rPr>
        <w:t>ē</w:t>
      </w:r>
      <w:r w:rsidRPr="00DD4EE9">
        <w:rPr>
          <w:rFonts w:ascii="Times New Roman" w:hAnsi="Times New Roman"/>
          <w:b/>
          <w:sz w:val="22"/>
          <w:szCs w:val="22"/>
          <w:lang w:val="lv-LV"/>
        </w:rPr>
        <w:t>m un citi mijiedarb</w:t>
      </w:r>
      <w:r w:rsidRPr="00DD4EE9">
        <w:rPr>
          <w:rFonts w:ascii="Times New Roman" w:hAnsi="Times New Roman" w:hint="eastAsia"/>
          <w:b/>
          <w:sz w:val="22"/>
          <w:szCs w:val="22"/>
          <w:lang w:val="lv-LV"/>
        </w:rPr>
        <w:t>ī</w:t>
      </w:r>
      <w:r w:rsidRPr="00DD4EE9">
        <w:rPr>
          <w:rFonts w:ascii="Times New Roman" w:hAnsi="Times New Roman"/>
          <w:b/>
          <w:sz w:val="22"/>
          <w:szCs w:val="22"/>
          <w:lang w:val="lv-LV"/>
        </w:rPr>
        <w:t>bas veidi</w:t>
      </w:r>
    </w:p>
    <w:p w14:paraId="3750E7F7"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35DFB803" w14:textId="77777777" w:rsidR="00C41387" w:rsidRPr="006405A4" w:rsidRDefault="00C41387" w:rsidP="006405A4">
      <w:pPr>
        <w:pStyle w:val="BodyTextIndent"/>
        <w:ind w:left="0" w:firstLine="0"/>
        <w:rPr>
          <w:rFonts w:ascii="Times New Roman" w:hAnsi="Times New Roman"/>
          <w:sz w:val="22"/>
          <w:szCs w:val="22"/>
        </w:rPr>
      </w:pPr>
      <w:r w:rsidRPr="006405A4">
        <w:rPr>
          <w:rFonts w:ascii="Times New Roman" w:hAnsi="Times New Roman"/>
          <w:noProof/>
          <w:sz w:val="22"/>
          <w:szCs w:val="22"/>
        </w:rPr>
        <w:t>Iespēja, ka pēc holīna salicilāta lietošanas sūkājamo tablešu formā varētu novērot tālāk aprakstīto mijiedarbību, ir ļoti maza.</w:t>
      </w:r>
    </w:p>
    <w:p w14:paraId="62A3174A"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Vienlaikus lietoti salicilāti vājina nesteroīdo pretiekaisuma līdzekļu darbību un pastiprina sedatīvo, miega, hipoglikemizējošo līdzekļu un antikoagulantu darbību.</w:t>
      </w:r>
    </w:p>
    <w:p w14:paraId="25C167AC"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Gan steroīdie, gan nesteroīdie pretiekaisuma līdzekļi, kā arī antikoagulanti, fibrinolītiskie līdzekļi un antiagreganti var palielināt kuņģa asiņošanas risku, ja tos lieto vienlaicīgi ar salicilātiem. </w:t>
      </w:r>
    </w:p>
    <w:p w14:paraId="07B2F9A5" w14:textId="77777777" w:rsidR="00C41387" w:rsidRPr="006405A4" w:rsidRDefault="00C41387" w:rsidP="006405A4">
      <w:pPr>
        <w:numPr>
          <w:ilvl w:val="12"/>
          <w:numId w:val="0"/>
        </w:numPr>
        <w:rPr>
          <w:rFonts w:ascii="Times New Roman" w:hAnsi="Times New Roman"/>
          <w:sz w:val="22"/>
          <w:szCs w:val="22"/>
          <w:lang w:val="lv-LV"/>
        </w:rPr>
      </w:pPr>
    </w:p>
    <w:p w14:paraId="781FDF58" w14:textId="429A7014" w:rsidR="00C41387" w:rsidRPr="00DD4EE9" w:rsidRDefault="00C41387" w:rsidP="00DD4EE9">
      <w:pPr>
        <w:pStyle w:val="ListParagraph"/>
        <w:numPr>
          <w:ilvl w:val="1"/>
          <w:numId w:val="19"/>
        </w:numPr>
        <w:ind w:left="567" w:hanging="567"/>
        <w:rPr>
          <w:rFonts w:ascii="Times New Roman" w:hAnsi="Times New Roman"/>
          <w:sz w:val="22"/>
          <w:szCs w:val="22"/>
          <w:lang w:val="lv-LV"/>
        </w:rPr>
      </w:pPr>
      <w:r w:rsidRPr="00DD4EE9">
        <w:rPr>
          <w:rFonts w:ascii="Times New Roman" w:hAnsi="Times New Roman"/>
          <w:b/>
          <w:sz w:val="22"/>
          <w:szCs w:val="22"/>
          <w:lang w:val="lv-LV"/>
        </w:rPr>
        <w:t>Gr</w:t>
      </w:r>
      <w:r w:rsidRPr="00DD4EE9">
        <w:rPr>
          <w:rFonts w:ascii="Times New Roman" w:hAnsi="Times New Roman" w:hint="eastAsia"/>
          <w:b/>
          <w:sz w:val="22"/>
          <w:szCs w:val="22"/>
          <w:lang w:val="lv-LV"/>
        </w:rPr>
        <w:t>ū</w:t>
      </w:r>
      <w:r w:rsidRPr="00DD4EE9">
        <w:rPr>
          <w:rFonts w:ascii="Times New Roman" w:hAnsi="Times New Roman"/>
          <w:b/>
          <w:sz w:val="22"/>
          <w:szCs w:val="22"/>
          <w:lang w:val="lv-LV"/>
        </w:rPr>
        <w:t>tniec</w:t>
      </w:r>
      <w:r w:rsidRPr="00DD4EE9">
        <w:rPr>
          <w:rFonts w:ascii="Times New Roman" w:hAnsi="Times New Roman" w:hint="eastAsia"/>
          <w:b/>
          <w:sz w:val="22"/>
          <w:szCs w:val="22"/>
          <w:lang w:val="lv-LV"/>
        </w:rPr>
        <w:t>ī</w:t>
      </w:r>
      <w:r w:rsidRPr="00DD4EE9">
        <w:rPr>
          <w:rFonts w:ascii="Times New Roman" w:hAnsi="Times New Roman"/>
          <w:b/>
          <w:sz w:val="22"/>
          <w:szCs w:val="22"/>
          <w:lang w:val="lv-LV"/>
        </w:rPr>
        <w:t xml:space="preserve">ba un </w:t>
      </w:r>
      <w:r w:rsidR="005E54EE">
        <w:rPr>
          <w:rFonts w:ascii="Times New Roman" w:hAnsi="Times New Roman"/>
          <w:b/>
          <w:sz w:val="22"/>
          <w:szCs w:val="22"/>
          <w:lang w:val="lv-LV"/>
        </w:rPr>
        <w:t>barošana ar krūti</w:t>
      </w:r>
    </w:p>
    <w:p w14:paraId="79C819D8" w14:textId="77777777" w:rsidR="00C41387" w:rsidRPr="006405A4" w:rsidRDefault="00C41387" w:rsidP="006405A4">
      <w:pPr>
        <w:rPr>
          <w:rFonts w:ascii="Times New Roman" w:hAnsi="Times New Roman"/>
          <w:sz w:val="22"/>
          <w:szCs w:val="22"/>
          <w:lang w:val="lv-LV"/>
        </w:rPr>
      </w:pPr>
    </w:p>
    <w:p w14:paraId="0C945C72" w14:textId="77777777" w:rsidR="005E54EE" w:rsidRDefault="005E54EE" w:rsidP="006405A4">
      <w:pPr>
        <w:numPr>
          <w:ilvl w:val="12"/>
          <w:numId w:val="0"/>
        </w:numPr>
        <w:rPr>
          <w:rFonts w:ascii="Times New Roman" w:hAnsi="Times New Roman"/>
          <w:i/>
          <w:sz w:val="22"/>
          <w:szCs w:val="22"/>
          <w:lang w:val="lv-LV"/>
        </w:rPr>
      </w:pPr>
      <w:r w:rsidRPr="005E54EE">
        <w:rPr>
          <w:rFonts w:ascii="Times New Roman" w:hAnsi="Times New Roman"/>
          <w:snapToGrid w:val="0"/>
          <w:sz w:val="22"/>
          <w:u w:val="single"/>
          <w:lang w:val="lv-LV" w:eastAsia="zh-CN"/>
        </w:rPr>
        <w:t>Grūtniecība</w:t>
      </w:r>
      <w:r w:rsidRPr="006405A4" w:rsidDel="005E54EE">
        <w:rPr>
          <w:rFonts w:ascii="Times New Roman" w:hAnsi="Times New Roman"/>
          <w:i/>
          <w:sz w:val="22"/>
          <w:szCs w:val="22"/>
          <w:lang w:val="lv-LV"/>
        </w:rPr>
        <w:t xml:space="preserve"> </w:t>
      </w:r>
    </w:p>
    <w:p w14:paraId="661328FE" w14:textId="6593D53C" w:rsidR="00C41387" w:rsidRPr="006405A4" w:rsidRDefault="006C179F" w:rsidP="006405A4">
      <w:pPr>
        <w:numPr>
          <w:ilvl w:val="12"/>
          <w:numId w:val="0"/>
        </w:numPr>
        <w:rPr>
          <w:rFonts w:ascii="Times New Roman" w:hAnsi="Times New Roman"/>
          <w:sz w:val="22"/>
          <w:szCs w:val="22"/>
          <w:lang w:val="lv-LV"/>
        </w:rPr>
      </w:pPr>
      <w:r w:rsidRPr="00DD4EE9">
        <w:rPr>
          <w:rFonts w:ascii="Times New Roman" w:hAnsi="Times New Roman"/>
          <w:sz w:val="22"/>
          <w:szCs w:val="22"/>
          <w:lang w:val="lv-LV"/>
        </w:rPr>
        <w:t>Ņemot vērā, ka dati par drošu lietošanu grūtniecības laikā nav pieejami</w:t>
      </w:r>
      <w:r w:rsidR="00C41387" w:rsidRPr="0076650C">
        <w:rPr>
          <w:rFonts w:ascii="Times New Roman" w:hAnsi="Times New Roman"/>
          <w:sz w:val="22"/>
          <w:szCs w:val="22"/>
          <w:lang w:val="lv-LV"/>
        </w:rPr>
        <w:t>,</w:t>
      </w:r>
      <w:r w:rsidR="00C41387" w:rsidRPr="006405A4">
        <w:rPr>
          <w:rFonts w:ascii="Times New Roman" w:hAnsi="Times New Roman"/>
          <w:sz w:val="22"/>
          <w:szCs w:val="22"/>
          <w:lang w:val="lv-LV"/>
        </w:rPr>
        <w:t xml:space="preserve"> </w:t>
      </w:r>
      <w:r w:rsidRPr="006C179F">
        <w:rPr>
          <w:rFonts w:ascii="Times New Roman" w:hAnsi="Times New Roman"/>
          <w:sz w:val="22"/>
          <w:szCs w:val="22"/>
          <w:lang w:val="lv-LV"/>
        </w:rPr>
        <w:t xml:space="preserve">Faringodol </w:t>
      </w:r>
      <w:r w:rsidR="00C41387" w:rsidRPr="006405A4">
        <w:rPr>
          <w:rFonts w:ascii="Times New Roman" w:hAnsi="Times New Roman"/>
          <w:sz w:val="22"/>
          <w:szCs w:val="22"/>
          <w:lang w:val="lv-LV"/>
        </w:rPr>
        <w:t>grūtniecības laikā ir kontrindicēts.</w:t>
      </w:r>
    </w:p>
    <w:p w14:paraId="08187603" w14:textId="77777777" w:rsidR="00C41387" w:rsidRPr="006405A4" w:rsidRDefault="00C41387" w:rsidP="006405A4">
      <w:pPr>
        <w:numPr>
          <w:ilvl w:val="12"/>
          <w:numId w:val="0"/>
        </w:numPr>
        <w:rPr>
          <w:rFonts w:ascii="Times New Roman" w:hAnsi="Times New Roman"/>
          <w:sz w:val="22"/>
          <w:szCs w:val="22"/>
          <w:lang w:val="lv-LV"/>
        </w:rPr>
      </w:pPr>
    </w:p>
    <w:p w14:paraId="2D740D7C" w14:textId="77777777" w:rsidR="006C179F" w:rsidRDefault="006C179F" w:rsidP="006405A4">
      <w:pPr>
        <w:numPr>
          <w:ilvl w:val="12"/>
          <w:numId w:val="0"/>
        </w:numPr>
        <w:rPr>
          <w:rFonts w:ascii="Times New Roman" w:hAnsi="Times New Roman"/>
          <w:i/>
          <w:sz w:val="22"/>
          <w:szCs w:val="22"/>
          <w:lang w:val="lv-LV"/>
        </w:rPr>
      </w:pPr>
      <w:r w:rsidRPr="006C179F">
        <w:rPr>
          <w:rFonts w:ascii="Times New Roman" w:hAnsi="Times New Roman"/>
          <w:snapToGrid w:val="0"/>
          <w:sz w:val="22"/>
          <w:u w:val="single"/>
          <w:lang w:val="lv-LV" w:eastAsia="zh-CN"/>
        </w:rPr>
        <w:t>Barošana ar krūti</w:t>
      </w:r>
      <w:r w:rsidRPr="006405A4" w:rsidDel="006C179F">
        <w:rPr>
          <w:rFonts w:ascii="Times New Roman" w:hAnsi="Times New Roman"/>
          <w:i/>
          <w:sz w:val="22"/>
          <w:szCs w:val="22"/>
          <w:lang w:val="lv-LV"/>
        </w:rPr>
        <w:t xml:space="preserve"> </w:t>
      </w:r>
    </w:p>
    <w:p w14:paraId="74FEE28F" w14:textId="0E113D2D"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Salicilāti </w:t>
      </w:r>
      <w:r w:rsidR="006C179F">
        <w:rPr>
          <w:rFonts w:ascii="Times New Roman" w:hAnsi="Times New Roman"/>
          <w:sz w:val="22"/>
          <w:szCs w:val="22"/>
          <w:lang w:val="lv-LV"/>
        </w:rPr>
        <w:t>izdalās</w:t>
      </w:r>
      <w:r w:rsidR="006C179F" w:rsidRPr="006405A4">
        <w:rPr>
          <w:rFonts w:ascii="Times New Roman" w:hAnsi="Times New Roman"/>
          <w:sz w:val="22"/>
          <w:szCs w:val="22"/>
          <w:lang w:val="lv-LV"/>
        </w:rPr>
        <w:t xml:space="preserve"> </w:t>
      </w:r>
      <w:r w:rsidRPr="006405A4">
        <w:rPr>
          <w:rFonts w:ascii="Times New Roman" w:hAnsi="Times New Roman"/>
          <w:sz w:val="22"/>
          <w:szCs w:val="22"/>
          <w:lang w:val="lv-LV"/>
        </w:rPr>
        <w:t xml:space="preserve">mātes pienā. </w:t>
      </w:r>
      <w:r w:rsidR="006C179F">
        <w:rPr>
          <w:rFonts w:ascii="Times New Roman" w:hAnsi="Times New Roman"/>
          <w:sz w:val="22"/>
          <w:szCs w:val="22"/>
          <w:lang w:val="lv-LV"/>
        </w:rPr>
        <w:t>Jāizvērtē</w:t>
      </w:r>
      <w:r w:rsidR="006C179F" w:rsidRPr="006405A4">
        <w:rPr>
          <w:rFonts w:ascii="Times New Roman" w:hAnsi="Times New Roman"/>
          <w:sz w:val="22"/>
          <w:szCs w:val="22"/>
          <w:lang w:val="lv-LV"/>
        </w:rPr>
        <w:t xml:space="preserve"> </w:t>
      </w:r>
      <w:r w:rsidRPr="006405A4">
        <w:rPr>
          <w:rFonts w:ascii="Times New Roman" w:hAnsi="Times New Roman"/>
          <w:sz w:val="22"/>
          <w:szCs w:val="22"/>
          <w:lang w:val="lv-LV"/>
        </w:rPr>
        <w:t xml:space="preserve">medicīniskās indikācijas </w:t>
      </w:r>
      <w:r w:rsidR="006C179F" w:rsidRPr="006C179F">
        <w:rPr>
          <w:rFonts w:ascii="Times New Roman" w:hAnsi="Times New Roman"/>
          <w:sz w:val="22"/>
          <w:szCs w:val="22"/>
          <w:lang w:val="lv-LV"/>
        </w:rPr>
        <w:t xml:space="preserve">Faringodol </w:t>
      </w:r>
      <w:r w:rsidRPr="006405A4">
        <w:rPr>
          <w:rFonts w:ascii="Times New Roman" w:hAnsi="Times New Roman"/>
          <w:noProof/>
          <w:sz w:val="22"/>
          <w:szCs w:val="22"/>
          <w:lang w:val="lv-LV"/>
        </w:rPr>
        <w:t xml:space="preserve">lietošanai </w:t>
      </w:r>
      <w:r w:rsidR="006C179F">
        <w:rPr>
          <w:rFonts w:ascii="Times New Roman" w:hAnsi="Times New Roman"/>
          <w:noProof/>
          <w:sz w:val="22"/>
          <w:szCs w:val="22"/>
          <w:lang w:val="lv-LV"/>
        </w:rPr>
        <w:t>barošanas ar krūti</w:t>
      </w:r>
      <w:r w:rsidR="006C179F" w:rsidRPr="006405A4">
        <w:rPr>
          <w:rFonts w:ascii="Times New Roman" w:hAnsi="Times New Roman"/>
          <w:noProof/>
          <w:sz w:val="22"/>
          <w:szCs w:val="22"/>
          <w:lang w:val="lv-LV"/>
        </w:rPr>
        <w:t xml:space="preserve"> </w:t>
      </w:r>
      <w:r w:rsidRPr="006405A4">
        <w:rPr>
          <w:rFonts w:ascii="Times New Roman" w:hAnsi="Times New Roman"/>
          <w:noProof/>
          <w:sz w:val="22"/>
          <w:szCs w:val="22"/>
          <w:lang w:val="lv-LV"/>
        </w:rPr>
        <w:t xml:space="preserve">periodā. </w:t>
      </w:r>
    </w:p>
    <w:p w14:paraId="71467CFC"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3835C543" w14:textId="77777777" w:rsidR="00C41387" w:rsidRPr="006405A4" w:rsidRDefault="00C41387" w:rsidP="00DD4EE9">
      <w:pPr>
        <w:numPr>
          <w:ilvl w:val="1"/>
          <w:numId w:val="19"/>
        </w:numPr>
        <w:ind w:left="567" w:hanging="567"/>
        <w:rPr>
          <w:rFonts w:ascii="Times New Roman" w:hAnsi="Times New Roman"/>
          <w:sz w:val="22"/>
          <w:szCs w:val="22"/>
          <w:lang w:val="lv-LV"/>
        </w:rPr>
      </w:pPr>
      <w:r w:rsidRPr="006405A4">
        <w:rPr>
          <w:rFonts w:ascii="Times New Roman" w:hAnsi="Times New Roman"/>
          <w:b/>
          <w:sz w:val="22"/>
          <w:szCs w:val="22"/>
          <w:lang w:val="lv-LV"/>
        </w:rPr>
        <w:t>Ietekme uz spēju vadīt transportlīdzekļus un apkalpot mehānismus</w:t>
      </w:r>
    </w:p>
    <w:p w14:paraId="01DD5C9B"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43661CE" w14:textId="1D6E0CED" w:rsidR="00C41387" w:rsidRPr="006405A4" w:rsidRDefault="006C179F" w:rsidP="006405A4">
      <w:pPr>
        <w:numPr>
          <w:ilvl w:val="12"/>
          <w:numId w:val="0"/>
        </w:numPr>
        <w:rPr>
          <w:rFonts w:ascii="Times New Roman" w:hAnsi="Times New Roman"/>
          <w:sz w:val="22"/>
          <w:szCs w:val="22"/>
          <w:lang w:val="lv-LV"/>
        </w:rPr>
      </w:pPr>
      <w:r w:rsidRPr="006C179F">
        <w:rPr>
          <w:rFonts w:ascii="Times New Roman" w:hAnsi="Times New Roman"/>
          <w:noProof/>
          <w:sz w:val="22"/>
          <w:szCs w:val="22"/>
          <w:lang w:val="lv-LV"/>
        </w:rPr>
        <w:t>Faringodol neietekm</w:t>
      </w:r>
      <w:r w:rsidRPr="006C179F">
        <w:rPr>
          <w:rFonts w:ascii="Times New Roman" w:hAnsi="Times New Roman" w:hint="eastAsia"/>
          <w:noProof/>
          <w:sz w:val="22"/>
          <w:szCs w:val="22"/>
          <w:lang w:val="lv-LV"/>
        </w:rPr>
        <w:t>ē</w:t>
      </w:r>
      <w:r w:rsidRPr="006C179F">
        <w:rPr>
          <w:rFonts w:ascii="Times New Roman" w:hAnsi="Times New Roman"/>
          <w:noProof/>
          <w:sz w:val="22"/>
          <w:szCs w:val="22"/>
          <w:lang w:val="lv-LV"/>
        </w:rPr>
        <w:t xml:space="preserve"> sp</w:t>
      </w:r>
      <w:r w:rsidRPr="006C179F">
        <w:rPr>
          <w:rFonts w:ascii="Times New Roman" w:hAnsi="Times New Roman" w:hint="eastAsia"/>
          <w:noProof/>
          <w:sz w:val="22"/>
          <w:szCs w:val="22"/>
          <w:lang w:val="lv-LV"/>
        </w:rPr>
        <w:t>ē</w:t>
      </w:r>
      <w:r w:rsidRPr="006C179F">
        <w:rPr>
          <w:rFonts w:ascii="Times New Roman" w:hAnsi="Times New Roman"/>
          <w:noProof/>
          <w:sz w:val="22"/>
          <w:szCs w:val="22"/>
          <w:lang w:val="lv-LV"/>
        </w:rPr>
        <w:t>ju vad</w:t>
      </w:r>
      <w:r w:rsidRPr="006C179F">
        <w:rPr>
          <w:rFonts w:ascii="Times New Roman" w:hAnsi="Times New Roman" w:hint="eastAsia"/>
          <w:noProof/>
          <w:sz w:val="22"/>
          <w:szCs w:val="22"/>
          <w:lang w:val="lv-LV"/>
        </w:rPr>
        <w:t>ī</w:t>
      </w:r>
      <w:r w:rsidRPr="006C179F">
        <w:rPr>
          <w:rFonts w:ascii="Times New Roman" w:hAnsi="Times New Roman"/>
          <w:noProof/>
          <w:sz w:val="22"/>
          <w:szCs w:val="22"/>
          <w:lang w:val="lv-LV"/>
        </w:rPr>
        <w:t>t transportl</w:t>
      </w:r>
      <w:r w:rsidRPr="006C179F">
        <w:rPr>
          <w:rFonts w:ascii="Times New Roman" w:hAnsi="Times New Roman" w:hint="eastAsia"/>
          <w:noProof/>
          <w:sz w:val="22"/>
          <w:szCs w:val="22"/>
          <w:lang w:val="lv-LV"/>
        </w:rPr>
        <w:t>ī</w:t>
      </w:r>
      <w:r w:rsidRPr="006C179F">
        <w:rPr>
          <w:rFonts w:ascii="Times New Roman" w:hAnsi="Times New Roman"/>
          <w:noProof/>
          <w:sz w:val="22"/>
          <w:szCs w:val="22"/>
          <w:lang w:val="lv-LV"/>
        </w:rPr>
        <w:t>dzek</w:t>
      </w:r>
      <w:r w:rsidRPr="006C179F">
        <w:rPr>
          <w:rFonts w:ascii="Times New Roman" w:hAnsi="Times New Roman" w:hint="eastAsia"/>
          <w:noProof/>
          <w:sz w:val="22"/>
          <w:szCs w:val="22"/>
          <w:lang w:val="lv-LV"/>
        </w:rPr>
        <w:t>ļ</w:t>
      </w:r>
      <w:r w:rsidRPr="006C179F">
        <w:rPr>
          <w:rFonts w:ascii="Times New Roman" w:hAnsi="Times New Roman"/>
          <w:noProof/>
          <w:sz w:val="22"/>
          <w:szCs w:val="22"/>
          <w:lang w:val="lv-LV"/>
        </w:rPr>
        <w:t>us un apkalpot meh</w:t>
      </w:r>
      <w:r w:rsidRPr="006C179F">
        <w:rPr>
          <w:rFonts w:ascii="Times New Roman" w:hAnsi="Times New Roman" w:hint="eastAsia"/>
          <w:noProof/>
          <w:sz w:val="22"/>
          <w:szCs w:val="22"/>
          <w:lang w:val="lv-LV"/>
        </w:rPr>
        <w:t>ā</w:t>
      </w:r>
      <w:r w:rsidRPr="006C179F">
        <w:rPr>
          <w:rFonts w:ascii="Times New Roman" w:hAnsi="Times New Roman"/>
          <w:noProof/>
          <w:sz w:val="22"/>
          <w:szCs w:val="22"/>
          <w:lang w:val="lv-LV"/>
        </w:rPr>
        <w:t>nismus</w:t>
      </w:r>
      <w:r w:rsidR="00C41387" w:rsidRPr="006405A4">
        <w:rPr>
          <w:rFonts w:ascii="Times New Roman" w:hAnsi="Times New Roman"/>
          <w:sz w:val="22"/>
          <w:szCs w:val="22"/>
          <w:lang w:val="lv-LV"/>
        </w:rPr>
        <w:t>.</w:t>
      </w:r>
    </w:p>
    <w:p w14:paraId="5552D7DB"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662FC9FE" w14:textId="77777777" w:rsidR="00C41387" w:rsidRPr="006405A4" w:rsidRDefault="00C41387" w:rsidP="00DD4EE9">
      <w:pPr>
        <w:numPr>
          <w:ilvl w:val="1"/>
          <w:numId w:val="19"/>
        </w:numPr>
        <w:ind w:left="567" w:hanging="567"/>
        <w:rPr>
          <w:rFonts w:ascii="Times New Roman" w:hAnsi="Times New Roman"/>
          <w:sz w:val="22"/>
          <w:szCs w:val="22"/>
          <w:lang w:val="lv-LV"/>
        </w:rPr>
      </w:pPr>
      <w:r w:rsidRPr="006405A4">
        <w:rPr>
          <w:rFonts w:ascii="Times New Roman" w:hAnsi="Times New Roman"/>
          <w:b/>
          <w:sz w:val="22"/>
          <w:szCs w:val="22"/>
          <w:lang w:val="lv-LV"/>
        </w:rPr>
        <w:t>Nevēlamās blakusparādības</w:t>
      </w:r>
    </w:p>
    <w:p w14:paraId="52650285"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147CD554" w14:textId="7FC2CB84"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Nevēlam</w:t>
      </w:r>
      <w:r w:rsidR="006C179F">
        <w:rPr>
          <w:rFonts w:ascii="Times New Roman" w:hAnsi="Times New Roman"/>
          <w:sz w:val="22"/>
          <w:szCs w:val="22"/>
          <w:lang w:val="lv-LV"/>
        </w:rPr>
        <w:t>ās blakusparādības ir uzskaitītas tabulā zemāk saskaņā ar orgānu sistēmas klasifikāciju un šād</w:t>
      </w:r>
      <w:r w:rsidR="00063C58">
        <w:rPr>
          <w:rFonts w:ascii="Times New Roman" w:hAnsi="Times New Roman"/>
          <w:sz w:val="22"/>
          <w:szCs w:val="22"/>
          <w:lang w:val="lv-LV"/>
        </w:rPr>
        <w:t>u</w:t>
      </w:r>
      <w:r w:rsidR="006C179F">
        <w:rPr>
          <w:rFonts w:ascii="Times New Roman" w:hAnsi="Times New Roman"/>
          <w:sz w:val="22"/>
          <w:szCs w:val="22"/>
          <w:lang w:val="lv-LV"/>
        </w:rPr>
        <w:t xml:space="preserve"> biežuma iedalījum</w:t>
      </w:r>
      <w:r w:rsidR="00063C58">
        <w:rPr>
          <w:rFonts w:ascii="Times New Roman" w:hAnsi="Times New Roman"/>
          <w:sz w:val="22"/>
          <w:szCs w:val="22"/>
          <w:lang w:val="lv-LV"/>
        </w:rPr>
        <w:t>u</w:t>
      </w:r>
      <w:r w:rsidR="006C179F">
        <w:rPr>
          <w:rFonts w:ascii="Times New Roman" w:hAnsi="Times New Roman"/>
          <w:sz w:val="22"/>
          <w:szCs w:val="22"/>
          <w:lang w:val="lv-LV"/>
        </w:rPr>
        <w:t>:</w:t>
      </w:r>
      <w:r w:rsidRPr="006405A4">
        <w:rPr>
          <w:rFonts w:ascii="Times New Roman" w:hAnsi="Times New Roman"/>
          <w:sz w:val="22"/>
          <w:szCs w:val="22"/>
          <w:lang w:val="lv-LV"/>
        </w:rPr>
        <w:t xml:space="preserve"> ļoti bieži (</w:t>
      </w:r>
      <w:r w:rsidR="006C179F" w:rsidRPr="00DD4EE9">
        <w:rPr>
          <w:rFonts w:ascii="Times New Roman" w:hAnsi="Times New Roman"/>
          <w:lang w:val="lv-LV"/>
        </w:rPr>
        <w:t>≥</w:t>
      </w:r>
      <w:r w:rsidRPr="006405A4">
        <w:rPr>
          <w:rFonts w:ascii="Times New Roman" w:hAnsi="Times New Roman"/>
          <w:sz w:val="22"/>
          <w:szCs w:val="22"/>
          <w:lang w:val="lv-LV"/>
        </w:rPr>
        <w:t>1/10); bieži (≥1/100 līdz &lt;1/10); retāk (≥1/1</w:t>
      </w:r>
      <w:r w:rsidR="006C179F">
        <w:rPr>
          <w:rFonts w:ascii="Times New Roman" w:hAnsi="Times New Roman"/>
          <w:sz w:val="22"/>
          <w:szCs w:val="22"/>
          <w:lang w:val="lv-LV"/>
        </w:rPr>
        <w:t> </w:t>
      </w:r>
      <w:r w:rsidRPr="006405A4">
        <w:rPr>
          <w:rFonts w:ascii="Times New Roman" w:hAnsi="Times New Roman"/>
          <w:sz w:val="22"/>
          <w:szCs w:val="22"/>
          <w:lang w:val="lv-LV"/>
        </w:rPr>
        <w:t>000 līdz &lt;1/100); reti (≥1/10 000 līdz &lt;1/1000); ļoti reti (&lt;1/10 000, ieskaitot atsevišķus gadījumus).</w:t>
      </w:r>
    </w:p>
    <w:p w14:paraId="1410B3B0" w14:textId="77777777" w:rsidR="00C41387" w:rsidRPr="006405A4" w:rsidRDefault="00C41387" w:rsidP="006405A4">
      <w:pPr>
        <w:numPr>
          <w:ilvl w:val="12"/>
          <w:numId w:val="0"/>
        </w:numPr>
        <w:rPr>
          <w:rFonts w:ascii="Times New Roman" w:hAnsi="Times New Roman"/>
          <w:sz w:val="22"/>
          <w:szCs w:val="22"/>
          <w:lang w:val="lv-LV"/>
        </w:rPr>
      </w:pPr>
    </w:p>
    <w:p w14:paraId="5FCA14F1" w14:textId="6F068308"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Salicilātu </w:t>
      </w:r>
      <w:r w:rsidR="006C179F">
        <w:rPr>
          <w:rFonts w:ascii="Times New Roman" w:hAnsi="Times New Roman"/>
          <w:sz w:val="22"/>
          <w:szCs w:val="22"/>
          <w:lang w:val="lv-LV"/>
        </w:rPr>
        <w:t>iekšķīgas</w:t>
      </w:r>
      <w:r w:rsidR="006C179F" w:rsidRPr="006405A4">
        <w:rPr>
          <w:rFonts w:ascii="Times New Roman" w:hAnsi="Times New Roman"/>
          <w:sz w:val="22"/>
          <w:szCs w:val="22"/>
          <w:lang w:val="lv-LV"/>
        </w:rPr>
        <w:t xml:space="preserve"> </w:t>
      </w:r>
      <w:r w:rsidRPr="006405A4">
        <w:rPr>
          <w:rFonts w:ascii="Times New Roman" w:hAnsi="Times New Roman"/>
          <w:sz w:val="22"/>
          <w:szCs w:val="22"/>
          <w:lang w:val="lv-LV"/>
        </w:rPr>
        <w:t>lietošanas gadījumā var rasties šādas nevēlamās blakusparādības: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729"/>
      </w:tblGrid>
      <w:tr w:rsidR="006C179F" w:rsidRPr="006C179F" w14:paraId="665DB0DE" w14:textId="77777777" w:rsidTr="006C179F">
        <w:tc>
          <w:tcPr>
            <w:tcW w:w="2376" w:type="dxa"/>
            <w:tcBorders>
              <w:top w:val="single" w:sz="4" w:space="0" w:color="auto"/>
              <w:left w:val="single" w:sz="4" w:space="0" w:color="auto"/>
              <w:bottom w:val="single" w:sz="4" w:space="0" w:color="auto"/>
              <w:right w:val="single" w:sz="4" w:space="0" w:color="auto"/>
            </w:tcBorders>
            <w:hideMark/>
          </w:tcPr>
          <w:p w14:paraId="66924F9E" w14:textId="77777777" w:rsidR="006C179F" w:rsidRPr="006C179F" w:rsidRDefault="006C179F" w:rsidP="006C179F">
            <w:pPr>
              <w:autoSpaceDE w:val="0"/>
              <w:autoSpaceDN w:val="0"/>
              <w:adjustRightInd w:val="0"/>
              <w:rPr>
                <w:rFonts w:ascii="Times New Roman" w:eastAsia="Calibri" w:hAnsi="Times New Roman"/>
                <w:b/>
                <w:sz w:val="22"/>
                <w:szCs w:val="22"/>
                <w:lang w:val="lv-LV"/>
              </w:rPr>
            </w:pPr>
            <w:r w:rsidRPr="006C179F">
              <w:rPr>
                <w:rFonts w:ascii="Times New Roman" w:eastAsia="Calibri" w:hAnsi="Times New Roman"/>
                <w:b/>
                <w:sz w:val="22"/>
                <w:szCs w:val="22"/>
                <w:lang w:val="lv-LV"/>
              </w:rPr>
              <w:t>Orgānu sistēmu klase</w:t>
            </w:r>
          </w:p>
        </w:tc>
        <w:tc>
          <w:tcPr>
            <w:tcW w:w="6910" w:type="dxa"/>
            <w:tcBorders>
              <w:top w:val="single" w:sz="4" w:space="0" w:color="auto"/>
              <w:left w:val="single" w:sz="4" w:space="0" w:color="auto"/>
              <w:bottom w:val="single" w:sz="4" w:space="0" w:color="auto"/>
              <w:right w:val="single" w:sz="4" w:space="0" w:color="auto"/>
            </w:tcBorders>
            <w:hideMark/>
          </w:tcPr>
          <w:p w14:paraId="16055A16" w14:textId="77777777" w:rsidR="006C179F" w:rsidRPr="006C179F" w:rsidRDefault="006C179F" w:rsidP="006C179F">
            <w:pPr>
              <w:autoSpaceDE w:val="0"/>
              <w:autoSpaceDN w:val="0"/>
              <w:adjustRightInd w:val="0"/>
              <w:rPr>
                <w:rFonts w:ascii="Times New Roman" w:eastAsia="Calibri" w:hAnsi="Times New Roman"/>
                <w:sz w:val="22"/>
                <w:szCs w:val="22"/>
                <w:lang w:val="lv-LV"/>
              </w:rPr>
            </w:pPr>
            <w:r w:rsidRPr="006C179F">
              <w:rPr>
                <w:rFonts w:ascii="Times New Roman" w:eastAsia="Calibri" w:hAnsi="Times New Roman"/>
                <w:b/>
                <w:sz w:val="22"/>
                <w:szCs w:val="22"/>
                <w:lang w:val="lv-LV"/>
              </w:rPr>
              <w:t>Biežums: nevēlamā blakusparādība</w:t>
            </w:r>
          </w:p>
        </w:tc>
      </w:tr>
      <w:tr w:rsidR="006C179F" w:rsidRPr="002879B6" w14:paraId="542CF152" w14:textId="77777777" w:rsidTr="006C179F">
        <w:tc>
          <w:tcPr>
            <w:tcW w:w="2376" w:type="dxa"/>
            <w:tcBorders>
              <w:top w:val="single" w:sz="4" w:space="0" w:color="auto"/>
              <w:left w:val="single" w:sz="4" w:space="0" w:color="auto"/>
              <w:bottom w:val="single" w:sz="4" w:space="0" w:color="auto"/>
              <w:right w:val="single" w:sz="4" w:space="0" w:color="auto"/>
            </w:tcBorders>
            <w:hideMark/>
          </w:tcPr>
          <w:p w14:paraId="33571B4D" w14:textId="77777777" w:rsidR="006C179F" w:rsidRPr="006C179F" w:rsidRDefault="006C179F" w:rsidP="006C179F">
            <w:pPr>
              <w:autoSpaceDE w:val="0"/>
              <w:autoSpaceDN w:val="0"/>
              <w:adjustRightInd w:val="0"/>
              <w:rPr>
                <w:rFonts w:ascii="Times New Roman" w:eastAsia="Calibri" w:hAnsi="Times New Roman"/>
                <w:sz w:val="22"/>
                <w:szCs w:val="22"/>
                <w:lang w:val="lv-LV"/>
              </w:rPr>
            </w:pPr>
            <w:r w:rsidRPr="006C179F">
              <w:rPr>
                <w:rFonts w:ascii="Times New Roman" w:eastAsia="Calibri" w:hAnsi="Times New Roman"/>
                <w:sz w:val="22"/>
                <w:szCs w:val="22"/>
                <w:lang w:val="lv-LV"/>
              </w:rPr>
              <w:t>Imūnās sistēmas traucējumi</w:t>
            </w:r>
          </w:p>
        </w:tc>
        <w:tc>
          <w:tcPr>
            <w:tcW w:w="6910" w:type="dxa"/>
            <w:tcBorders>
              <w:top w:val="single" w:sz="4" w:space="0" w:color="auto"/>
              <w:left w:val="single" w:sz="4" w:space="0" w:color="auto"/>
              <w:bottom w:val="single" w:sz="4" w:space="0" w:color="auto"/>
              <w:right w:val="single" w:sz="4" w:space="0" w:color="auto"/>
            </w:tcBorders>
            <w:hideMark/>
          </w:tcPr>
          <w:p w14:paraId="2FBF2CF8" w14:textId="77777777" w:rsidR="006C179F" w:rsidRPr="006C179F" w:rsidRDefault="006C179F" w:rsidP="006C179F">
            <w:pPr>
              <w:autoSpaceDE w:val="0"/>
              <w:autoSpaceDN w:val="0"/>
              <w:adjustRightInd w:val="0"/>
              <w:rPr>
                <w:rFonts w:ascii="Times New Roman" w:eastAsia="Calibri" w:hAnsi="Times New Roman"/>
                <w:sz w:val="22"/>
                <w:szCs w:val="22"/>
                <w:lang w:val="lv-LV"/>
              </w:rPr>
            </w:pPr>
            <w:r w:rsidRPr="006C179F">
              <w:rPr>
                <w:rFonts w:ascii="Times New Roman" w:eastAsia="Calibri" w:hAnsi="Times New Roman"/>
                <w:sz w:val="22"/>
                <w:szCs w:val="22"/>
                <w:lang w:val="lv-LV"/>
              </w:rPr>
              <w:t>Ret</w:t>
            </w:r>
            <w:r>
              <w:rPr>
                <w:rFonts w:ascii="Times New Roman" w:eastAsia="Calibri" w:hAnsi="Times New Roman"/>
                <w:sz w:val="22"/>
                <w:szCs w:val="22"/>
                <w:lang w:val="lv-LV"/>
              </w:rPr>
              <w:t>i</w:t>
            </w:r>
            <w:r w:rsidRPr="006C179F">
              <w:rPr>
                <w:rFonts w:ascii="Times New Roman" w:eastAsia="Calibri" w:hAnsi="Times New Roman"/>
                <w:sz w:val="22"/>
                <w:szCs w:val="22"/>
                <w:lang w:val="lv-LV"/>
              </w:rPr>
              <w:t>: aler</w:t>
            </w:r>
            <w:r w:rsidRPr="006C179F">
              <w:rPr>
                <w:rFonts w:ascii="Times New Roman" w:eastAsia="Calibri" w:hAnsi="Times New Roman" w:hint="eastAsia"/>
                <w:sz w:val="22"/>
                <w:szCs w:val="22"/>
                <w:lang w:val="lv-LV"/>
              </w:rPr>
              <w:t>ģ</w:t>
            </w:r>
            <w:r w:rsidRPr="006C179F">
              <w:rPr>
                <w:rFonts w:ascii="Times New Roman" w:eastAsia="Calibri" w:hAnsi="Times New Roman"/>
                <w:sz w:val="22"/>
                <w:szCs w:val="22"/>
                <w:lang w:val="lv-LV"/>
              </w:rPr>
              <w:t>iskas reakcijas (</w:t>
            </w:r>
            <w:r w:rsidRPr="006C179F">
              <w:rPr>
                <w:rFonts w:ascii="Times New Roman" w:eastAsia="Calibri" w:hAnsi="Times New Roman" w:hint="eastAsia"/>
                <w:sz w:val="22"/>
                <w:szCs w:val="22"/>
                <w:lang w:val="lv-LV"/>
              </w:rPr>
              <w:t>ā</w:t>
            </w:r>
            <w:r w:rsidRPr="006C179F">
              <w:rPr>
                <w:rFonts w:ascii="Times New Roman" w:eastAsia="Calibri" w:hAnsi="Times New Roman"/>
                <w:sz w:val="22"/>
                <w:szCs w:val="22"/>
                <w:lang w:val="lv-LV"/>
              </w:rPr>
              <w:t>das aps</w:t>
            </w:r>
            <w:r w:rsidRPr="006C179F">
              <w:rPr>
                <w:rFonts w:ascii="Times New Roman" w:eastAsia="Calibri" w:hAnsi="Times New Roman" w:hint="eastAsia"/>
                <w:sz w:val="22"/>
                <w:szCs w:val="22"/>
                <w:lang w:val="lv-LV"/>
              </w:rPr>
              <w:t>ā</w:t>
            </w:r>
            <w:r w:rsidRPr="006C179F">
              <w:rPr>
                <w:rFonts w:ascii="Times New Roman" w:eastAsia="Calibri" w:hAnsi="Times New Roman"/>
                <w:sz w:val="22"/>
                <w:szCs w:val="22"/>
                <w:lang w:val="lv-LV"/>
              </w:rPr>
              <w:t>rtums vai izsitumi, klepus, aizlikts deguns, sejas, m</w:t>
            </w:r>
            <w:r w:rsidRPr="006C179F">
              <w:rPr>
                <w:rFonts w:ascii="Times New Roman" w:eastAsia="Calibri" w:hAnsi="Times New Roman" w:hint="eastAsia"/>
                <w:sz w:val="22"/>
                <w:szCs w:val="22"/>
                <w:lang w:val="lv-LV"/>
              </w:rPr>
              <w:t>ē</w:t>
            </w:r>
            <w:r w:rsidRPr="006C179F">
              <w:rPr>
                <w:rFonts w:ascii="Times New Roman" w:eastAsia="Calibri" w:hAnsi="Times New Roman"/>
                <w:sz w:val="22"/>
                <w:szCs w:val="22"/>
                <w:lang w:val="lv-LV"/>
              </w:rPr>
              <w:t>les un l</w:t>
            </w:r>
            <w:r w:rsidRPr="006C179F">
              <w:rPr>
                <w:rFonts w:ascii="Times New Roman" w:eastAsia="Calibri" w:hAnsi="Times New Roman" w:hint="eastAsia"/>
                <w:sz w:val="22"/>
                <w:szCs w:val="22"/>
                <w:lang w:val="lv-LV"/>
              </w:rPr>
              <w:t>ū</w:t>
            </w:r>
            <w:r w:rsidRPr="006C179F">
              <w:rPr>
                <w:rFonts w:ascii="Times New Roman" w:eastAsia="Calibri" w:hAnsi="Times New Roman"/>
                <w:sz w:val="22"/>
                <w:szCs w:val="22"/>
                <w:lang w:val="lv-LV"/>
              </w:rPr>
              <w:t>pu piet</w:t>
            </w:r>
            <w:r w:rsidRPr="006C179F">
              <w:rPr>
                <w:rFonts w:ascii="Times New Roman" w:eastAsia="Calibri" w:hAnsi="Times New Roman" w:hint="eastAsia"/>
                <w:sz w:val="22"/>
                <w:szCs w:val="22"/>
                <w:lang w:val="lv-LV"/>
              </w:rPr>
              <w:t>ū</w:t>
            </w:r>
            <w:r w:rsidRPr="006C179F">
              <w:rPr>
                <w:rFonts w:ascii="Times New Roman" w:eastAsia="Calibri" w:hAnsi="Times New Roman"/>
                <w:sz w:val="22"/>
                <w:szCs w:val="22"/>
                <w:lang w:val="lv-LV"/>
              </w:rPr>
              <w:t>kums, apgr</w:t>
            </w:r>
            <w:r w:rsidRPr="006C179F">
              <w:rPr>
                <w:rFonts w:ascii="Times New Roman" w:eastAsia="Calibri" w:hAnsi="Times New Roman" w:hint="eastAsia"/>
                <w:sz w:val="22"/>
                <w:szCs w:val="22"/>
                <w:lang w:val="lv-LV"/>
              </w:rPr>
              <w:t>ū</w:t>
            </w:r>
            <w:r w:rsidRPr="006C179F">
              <w:rPr>
                <w:rFonts w:ascii="Times New Roman" w:eastAsia="Calibri" w:hAnsi="Times New Roman"/>
                <w:sz w:val="22"/>
                <w:szCs w:val="22"/>
                <w:lang w:val="lv-LV"/>
              </w:rPr>
              <w:t>tin</w:t>
            </w:r>
            <w:r w:rsidRPr="006C179F">
              <w:rPr>
                <w:rFonts w:ascii="Times New Roman" w:eastAsia="Calibri" w:hAnsi="Times New Roman" w:hint="eastAsia"/>
                <w:sz w:val="22"/>
                <w:szCs w:val="22"/>
                <w:lang w:val="lv-LV"/>
              </w:rPr>
              <w:t>ā</w:t>
            </w:r>
            <w:r w:rsidRPr="006C179F">
              <w:rPr>
                <w:rFonts w:ascii="Times New Roman" w:eastAsia="Calibri" w:hAnsi="Times New Roman"/>
                <w:sz w:val="22"/>
                <w:szCs w:val="22"/>
                <w:lang w:val="lv-LV"/>
              </w:rPr>
              <w:t>ta elpošana un r</w:t>
            </w:r>
            <w:r w:rsidRPr="006C179F">
              <w:rPr>
                <w:rFonts w:ascii="Times New Roman" w:eastAsia="Calibri" w:hAnsi="Times New Roman" w:hint="eastAsia"/>
                <w:sz w:val="22"/>
                <w:szCs w:val="22"/>
                <w:lang w:val="lv-LV"/>
              </w:rPr>
              <w:t>īš</w:t>
            </w:r>
            <w:r w:rsidRPr="006C179F">
              <w:rPr>
                <w:rFonts w:ascii="Times New Roman" w:eastAsia="Calibri" w:hAnsi="Times New Roman"/>
                <w:sz w:val="22"/>
                <w:szCs w:val="22"/>
                <w:lang w:val="lv-LV"/>
              </w:rPr>
              <w:t>ana)</w:t>
            </w:r>
            <w:r w:rsidR="004A4FCA">
              <w:rPr>
                <w:rFonts w:ascii="Times New Roman" w:eastAsia="Calibri" w:hAnsi="Times New Roman"/>
                <w:sz w:val="22"/>
                <w:szCs w:val="22"/>
                <w:lang w:val="lv-LV"/>
              </w:rPr>
              <w:t>.</w:t>
            </w:r>
          </w:p>
        </w:tc>
      </w:tr>
      <w:tr w:rsidR="006C179F" w:rsidRPr="002879B6" w14:paraId="45DCDBBB" w14:textId="77777777" w:rsidTr="006C179F">
        <w:tc>
          <w:tcPr>
            <w:tcW w:w="2376" w:type="dxa"/>
            <w:tcBorders>
              <w:top w:val="single" w:sz="4" w:space="0" w:color="auto"/>
              <w:left w:val="single" w:sz="4" w:space="0" w:color="auto"/>
              <w:bottom w:val="single" w:sz="4" w:space="0" w:color="auto"/>
              <w:right w:val="single" w:sz="4" w:space="0" w:color="auto"/>
            </w:tcBorders>
            <w:hideMark/>
          </w:tcPr>
          <w:p w14:paraId="5B32BEB7" w14:textId="77777777" w:rsidR="006C179F" w:rsidRPr="006C179F" w:rsidRDefault="004A4FCA" w:rsidP="006C179F">
            <w:pPr>
              <w:autoSpaceDE w:val="0"/>
              <w:autoSpaceDN w:val="0"/>
              <w:adjustRightInd w:val="0"/>
              <w:rPr>
                <w:rFonts w:ascii="Times New Roman" w:eastAsia="Calibri" w:hAnsi="Times New Roman"/>
                <w:sz w:val="22"/>
                <w:szCs w:val="22"/>
                <w:lang w:val="lv-LV"/>
              </w:rPr>
            </w:pPr>
            <w:r w:rsidRPr="004A4FCA">
              <w:rPr>
                <w:rFonts w:ascii="Times New Roman" w:eastAsia="Calibri" w:hAnsi="Times New Roman"/>
                <w:sz w:val="22"/>
                <w:szCs w:val="22"/>
                <w:lang w:val="lv-LV"/>
              </w:rPr>
              <w:t>Ku</w:t>
            </w:r>
            <w:r w:rsidRPr="004A4FCA">
              <w:rPr>
                <w:rFonts w:ascii="Times New Roman" w:eastAsia="Calibri" w:hAnsi="Times New Roman" w:hint="eastAsia"/>
                <w:sz w:val="22"/>
                <w:szCs w:val="22"/>
                <w:lang w:val="lv-LV"/>
              </w:rPr>
              <w:t>ņģ</w:t>
            </w:r>
            <w:r w:rsidRPr="004A4FCA">
              <w:rPr>
                <w:rFonts w:ascii="Times New Roman" w:eastAsia="Calibri" w:hAnsi="Times New Roman"/>
                <w:sz w:val="22"/>
                <w:szCs w:val="22"/>
                <w:lang w:val="lv-LV"/>
              </w:rPr>
              <w:t>a-zarnu trakta trauc</w:t>
            </w:r>
            <w:r w:rsidRPr="004A4FCA">
              <w:rPr>
                <w:rFonts w:ascii="Times New Roman" w:eastAsia="Calibri" w:hAnsi="Times New Roman" w:hint="eastAsia"/>
                <w:sz w:val="22"/>
                <w:szCs w:val="22"/>
                <w:lang w:val="lv-LV"/>
              </w:rPr>
              <w:t>ē</w:t>
            </w:r>
            <w:r w:rsidRPr="004A4FCA">
              <w:rPr>
                <w:rFonts w:ascii="Times New Roman" w:eastAsia="Calibri" w:hAnsi="Times New Roman"/>
                <w:sz w:val="22"/>
                <w:szCs w:val="22"/>
                <w:lang w:val="lv-LV"/>
              </w:rPr>
              <w:t>jumi</w:t>
            </w:r>
          </w:p>
        </w:tc>
        <w:tc>
          <w:tcPr>
            <w:tcW w:w="6910" w:type="dxa"/>
            <w:tcBorders>
              <w:top w:val="single" w:sz="4" w:space="0" w:color="auto"/>
              <w:left w:val="single" w:sz="4" w:space="0" w:color="auto"/>
              <w:bottom w:val="single" w:sz="4" w:space="0" w:color="auto"/>
              <w:right w:val="single" w:sz="4" w:space="0" w:color="auto"/>
            </w:tcBorders>
            <w:hideMark/>
          </w:tcPr>
          <w:p w14:paraId="44CB49D9" w14:textId="77777777" w:rsidR="006C179F" w:rsidRPr="006C179F" w:rsidRDefault="004A4FCA" w:rsidP="006C179F">
            <w:pPr>
              <w:autoSpaceDE w:val="0"/>
              <w:autoSpaceDN w:val="0"/>
              <w:adjustRightInd w:val="0"/>
              <w:rPr>
                <w:rFonts w:ascii="Times New Roman" w:eastAsia="Calibri" w:hAnsi="Times New Roman"/>
                <w:sz w:val="22"/>
                <w:szCs w:val="22"/>
                <w:lang w:val="lv-LV"/>
              </w:rPr>
            </w:pPr>
            <w:r>
              <w:rPr>
                <w:rFonts w:ascii="Times New Roman" w:eastAsia="Calibri" w:hAnsi="Times New Roman"/>
                <w:sz w:val="22"/>
                <w:szCs w:val="22"/>
                <w:lang w:val="lv-LV"/>
              </w:rPr>
              <w:t>R</w:t>
            </w:r>
            <w:r w:rsidR="006C179F" w:rsidRPr="006C179F">
              <w:rPr>
                <w:rFonts w:ascii="Times New Roman" w:eastAsia="Calibri" w:hAnsi="Times New Roman"/>
                <w:sz w:val="22"/>
                <w:szCs w:val="22"/>
                <w:lang w:val="lv-LV"/>
              </w:rPr>
              <w:t xml:space="preserve">eti: </w:t>
            </w:r>
            <w:r w:rsidRPr="004A4FCA">
              <w:rPr>
                <w:rFonts w:ascii="Times New Roman" w:eastAsia="Calibri" w:hAnsi="Times New Roman"/>
                <w:sz w:val="22"/>
                <w:szCs w:val="22"/>
                <w:lang w:val="lv-LV"/>
              </w:rPr>
              <w:t>ku</w:t>
            </w:r>
            <w:r w:rsidRPr="004A4FCA">
              <w:rPr>
                <w:rFonts w:ascii="Times New Roman" w:eastAsia="Calibri" w:hAnsi="Times New Roman" w:hint="eastAsia"/>
                <w:sz w:val="22"/>
                <w:szCs w:val="22"/>
                <w:lang w:val="lv-LV"/>
              </w:rPr>
              <w:t>ņģ</w:t>
            </w:r>
            <w:r w:rsidRPr="004A4FCA">
              <w:rPr>
                <w:rFonts w:ascii="Times New Roman" w:eastAsia="Calibri" w:hAnsi="Times New Roman"/>
                <w:sz w:val="22"/>
                <w:szCs w:val="22"/>
                <w:lang w:val="lv-LV"/>
              </w:rPr>
              <w:t>a-zarnu trakta g</w:t>
            </w:r>
            <w:r w:rsidRPr="004A4FCA">
              <w:rPr>
                <w:rFonts w:ascii="Times New Roman" w:eastAsia="Calibri" w:hAnsi="Times New Roman" w:hint="eastAsia"/>
                <w:sz w:val="22"/>
                <w:szCs w:val="22"/>
                <w:lang w:val="lv-LV"/>
              </w:rPr>
              <w:t>ļ</w:t>
            </w:r>
            <w:r w:rsidRPr="004A4FCA">
              <w:rPr>
                <w:rFonts w:ascii="Times New Roman" w:eastAsia="Calibri" w:hAnsi="Times New Roman"/>
                <w:sz w:val="22"/>
                <w:szCs w:val="22"/>
                <w:lang w:val="lv-LV"/>
              </w:rPr>
              <w:t>ot</w:t>
            </w:r>
            <w:r w:rsidRPr="004A4FCA">
              <w:rPr>
                <w:rFonts w:ascii="Times New Roman" w:eastAsia="Calibri" w:hAnsi="Times New Roman" w:hint="eastAsia"/>
                <w:sz w:val="22"/>
                <w:szCs w:val="22"/>
                <w:lang w:val="lv-LV"/>
              </w:rPr>
              <w:t>ā</w:t>
            </w:r>
            <w:r w:rsidRPr="004A4FCA">
              <w:rPr>
                <w:rFonts w:ascii="Times New Roman" w:eastAsia="Calibri" w:hAnsi="Times New Roman"/>
                <w:sz w:val="22"/>
                <w:szCs w:val="22"/>
                <w:lang w:val="lv-LV"/>
              </w:rPr>
              <w:t>das boj</w:t>
            </w:r>
            <w:r w:rsidRPr="004A4FCA">
              <w:rPr>
                <w:rFonts w:ascii="Times New Roman" w:eastAsia="Calibri" w:hAnsi="Times New Roman" w:hint="eastAsia"/>
                <w:sz w:val="22"/>
                <w:szCs w:val="22"/>
                <w:lang w:val="lv-LV"/>
              </w:rPr>
              <w:t>ā</w:t>
            </w:r>
            <w:r w:rsidRPr="004A4FCA">
              <w:rPr>
                <w:rFonts w:ascii="Times New Roman" w:eastAsia="Calibri" w:hAnsi="Times New Roman"/>
                <w:sz w:val="22"/>
                <w:szCs w:val="22"/>
                <w:lang w:val="lv-LV"/>
              </w:rPr>
              <w:t>jums (v</w:t>
            </w:r>
            <w:r w:rsidRPr="004A4FCA">
              <w:rPr>
                <w:rFonts w:ascii="Times New Roman" w:eastAsia="Calibri" w:hAnsi="Times New Roman" w:hint="eastAsia"/>
                <w:sz w:val="22"/>
                <w:szCs w:val="22"/>
                <w:lang w:val="lv-LV"/>
              </w:rPr>
              <w:t>ē</w:t>
            </w:r>
            <w:r w:rsidRPr="004A4FCA">
              <w:rPr>
                <w:rFonts w:ascii="Times New Roman" w:eastAsia="Calibri" w:hAnsi="Times New Roman"/>
                <w:sz w:val="22"/>
                <w:szCs w:val="22"/>
                <w:lang w:val="lv-LV"/>
              </w:rPr>
              <w:t>ders</w:t>
            </w:r>
            <w:r w:rsidRPr="004A4FCA">
              <w:rPr>
                <w:rFonts w:ascii="Times New Roman" w:eastAsia="Calibri" w:hAnsi="Times New Roman" w:hint="eastAsia"/>
                <w:sz w:val="22"/>
                <w:szCs w:val="22"/>
                <w:lang w:val="lv-LV"/>
              </w:rPr>
              <w:t>ā</w:t>
            </w:r>
            <w:r w:rsidRPr="004A4FCA">
              <w:rPr>
                <w:rFonts w:ascii="Times New Roman" w:eastAsia="Calibri" w:hAnsi="Times New Roman"/>
                <w:sz w:val="22"/>
                <w:szCs w:val="22"/>
                <w:lang w:val="lv-LV"/>
              </w:rPr>
              <w:t>pes, vemšana, asi</w:t>
            </w:r>
            <w:r w:rsidRPr="004A4FCA">
              <w:rPr>
                <w:rFonts w:ascii="Times New Roman" w:eastAsia="Calibri" w:hAnsi="Times New Roman" w:hint="eastAsia"/>
                <w:sz w:val="22"/>
                <w:szCs w:val="22"/>
                <w:lang w:val="lv-LV"/>
              </w:rPr>
              <w:t>ņ</w:t>
            </w:r>
            <w:r w:rsidRPr="004A4FCA">
              <w:rPr>
                <w:rFonts w:ascii="Times New Roman" w:eastAsia="Calibri" w:hAnsi="Times New Roman"/>
                <w:sz w:val="22"/>
                <w:szCs w:val="22"/>
                <w:lang w:val="lv-LV"/>
              </w:rPr>
              <w:t>ošana).</w:t>
            </w:r>
          </w:p>
        </w:tc>
      </w:tr>
      <w:tr w:rsidR="006C179F" w:rsidRPr="002879B6" w14:paraId="1E86D878" w14:textId="77777777" w:rsidTr="006C179F">
        <w:tc>
          <w:tcPr>
            <w:tcW w:w="2376" w:type="dxa"/>
            <w:tcBorders>
              <w:top w:val="single" w:sz="4" w:space="0" w:color="auto"/>
              <w:left w:val="single" w:sz="4" w:space="0" w:color="auto"/>
              <w:bottom w:val="single" w:sz="4" w:space="0" w:color="auto"/>
              <w:right w:val="single" w:sz="4" w:space="0" w:color="auto"/>
            </w:tcBorders>
            <w:hideMark/>
          </w:tcPr>
          <w:p w14:paraId="44E65CDD" w14:textId="77777777" w:rsidR="006C179F" w:rsidRPr="006C179F" w:rsidRDefault="004A4FCA" w:rsidP="006C179F">
            <w:pPr>
              <w:autoSpaceDE w:val="0"/>
              <w:autoSpaceDN w:val="0"/>
              <w:adjustRightInd w:val="0"/>
              <w:rPr>
                <w:rFonts w:ascii="Times New Roman" w:eastAsia="Calibri" w:hAnsi="Times New Roman"/>
                <w:sz w:val="22"/>
                <w:szCs w:val="22"/>
                <w:lang w:val="lv-LV"/>
              </w:rPr>
            </w:pPr>
            <w:r w:rsidRPr="004A4FCA">
              <w:rPr>
                <w:rFonts w:ascii="Times New Roman" w:eastAsia="Calibri" w:hAnsi="Times New Roman"/>
                <w:sz w:val="22"/>
                <w:szCs w:val="22"/>
                <w:lang w:val="lv-LV"/>
              </w:rPr>
              <w:t>Aknu un/vai žults izvades sist</w:t>
            </w:r>
            <w:r w:rsidRPr="004A4FCA">
              <w:rPr>
                <w:rFonts w:ascii="Times New Roman" w:eastAsia="Calibri" w:hAnsi="Times New Roman" w:hint="eastAsia"/>
                <w:sz w:val="22"/>
                <w:szCs w:val="22"/>
                <w:lang w:val="lv-LV"/>
              </w:rPr>
              <w:t>ē</w:t>
            </w:r>
            <w:r w:rsidRPr="004A4FCA">
              <w:rPr>
                <w:rFonts w:ascii="Times New Roman" w:eastAsia="Calibri" w:hAnsi="Times New Roman"/>
                <w:sz w:val="22"/>
                <w:szCs w:val="22"/>
                <w:lang w:val="lv-LV"/>
              </w:rPr>
              <w:t>mas trauc</w:t>
            </w:r>
            <w:r w:rsidRPr="004A4FCA">
              <w:rPr>
                <w:rFonts w:ascii="Times New Roman" w:eastAsia="Calibri" w:hAnsi="Times New Roman" w:hint="eastAsia"/>
                <w:sz w:val="22"/>
                <w:szCs w:val="22"/>
                <w:lang w:val="lv-LV"/>
              </w:rPr>
              <w:t>ē</w:t>
            </w:r>
            <w:r w:rsidRPr="004A4FCA">
              <w:rPr>
                <w:rFonts w:ascii="Times New Roman" w:eastAsia="Calibri" w:hAnsi="Times New Roman"/>
                <w:sz w:val="22"/>
                <w:szCs w:val="22"/>
                <w:lang w:val="lv-LV"/>
              </w:rPr>
              <w:t>jumi</w:t>
            </w:r>
          </w:p>
        </w:tc>
        <w:tc>
          <w:tcPr>
            <w:tcW w:w="6910" w:type="dxa"/>
            <w:tcBorders>
              <w:top w:val="single" w:sz="4" w:space="0" w:color="auto"/>
              <w:left w:val="single" w:sz="4" w:space="0" w:color="auto"/>
              <w:bottom w:val="single" w:sz="4" w:space="0" w:color="auto"/>
              <w:right w:val="single" w:sz="4" w:space="0" w:color="auto"/>
            </w:tcBorders>
            <w:hideMark/>
          </w:tcPr>
          <w:p w14:paraId="54857282" w14:textId="77777777" w:rsidR="006C179F" w:rsidRPr="006C179F" w:rsidRDefault="006C179F" w:rsidP="006C179F">
            <w:pPr>
              <w:autoSpaceDE w:val="0"/>
              <w:autoSpaceDN w:val="0"/>
              <w:adjustRightInd w:val="0"/>
              <w:rPr>
                <w:rFonts w:ascii="Times New Roman" w:eastAsia="Calibri" w:hAnsi="Times New Roman"/>
                <w:sz w:val="22"/>
                <w:szCs w:val="22"/>
                <w:lang w:val="lv-LV"/>
              </w:rPr>
            </w:pPr>
            <w:r w:rsidRPr="006C179F">
              <w:rPr>
                <w:rFonts w:ascii="Times New Roman" w:eastAsia="Calibri" w:hAnsi="Times New Roman"/>
                <w:sz w:val="22"/>
                <w:szCs w:val="22"/>
                <w:lang w:val="lv-LV"/>
              </w:rPr>
              <w:t xml:space="preserve">Reti: </w:t>
            </w:r>
            <w:r w:rsidR="004A4FCA" w:rsidRPr="004A4FCA">
              <w:rPr>
                <w:rFonts w:ascii="Times New Roman" w:eastAsia="Calibri" w:hAnsi="Times New Roman"/>
                <w:sz w:val="22"/>
                <w:szCs w:val="22"/>
                <w:lang w:val="lv-LV"/>
              </w:rPr>
              <w:t>salicil</w:t>
            </w:r>
            <w:r w:rsidR="004A4FCA" w:rsidRPr="004A4FCA">
              <w:rPr>
                <w:rFonts w:ascii="Times New Roman" w:eastAsia="Calibri" w:hAnsi="Times New Roman" w:hint="eastAsia"/>
                <w:sz w:val="22"/>
                <w:szCs w:val="22"/>
                <w:lang w:val="lv-LV"/>
              </w:rPr>
              <w:t>ā</w:t>
            </w:r>
            <w:r w:rsidR="004A4FCA" w:rsidRPr="004A4FCA">
              <w:rPr>
                <w:rFonts w:ascii="Times New Roman" w:eastAsia="Calibri" w:hAnsi="Times New Roman"/>
                <w:sz w:val="22"/>
                <w:szCs w:val="22"/>
                <w:lang w:val="lv-LV"/>
              </w:rPr>
              <w:t xml:space="preserve">tu </w:t>
            </w:r>
            <w:r w:rsidR="004A4FCA">
              <w:rPr>
                <w:rFonts w:ascii="Times New Roman" w:eastAsia="Calibri" w:hAnsi="Times New Roman"/>
                <w:sz w:val="22"/>
                <w:szCs w:val="22"/>
                <w:lang w:val="lv-LV"/>
              </w:rPr>
              <w:t>iekšķīga</w:t>
            </w:r>
            <w:r w:rsidR="004A4FCA" w:rsidRPr="004A4FCA">
              <w:rPr>
                <w:rFonts w:ascii="Times New Roman" w:eastAsia="Calibri" w:hAnsi="Times New Roman"/>
                <w:sz w:val="22"/>
                <w:szCs w:val="22"/>
                <w:lang w:val="lv-LV"/>
              </w:rPr>
              <w:t xml:space="preserve"> lietošana b</w:t>
            </w:r>
            <w:r w:rsidR="004A4FCA" w:rsidRPr="004A4FCA">
              <w:rPr>
                <w:rFonts w:ascii="Times New Roman" w:eastAsia="Calibri" w:hAnsi="Times New Roman" w:hint="eastAsia"/>
                <w:sz w:val="22"/>
                <w:szCs w:val="22"/>
                <w:lang w:val="lv-LV"/>
              </w:rPr>
              <w:t>ē</w:t>
            </w:r>
            <w:r w:rsidR="004A4FCA" w:rsidRPr="004A4FCA">
              <w:rPr>
                <w:rFonts w:ascii="Times New Roman" w:eastAsia="Calibri" w:hAnsi="Times New Roman"/>
                <w:sz w:val="22"/>
                <w:szCs w:val="22"/>
                <w:lang w:val="lv-LV"/>
              </w:rPr>
              <w:t>rniem l</w:t>
            </w:r>
            <w:r w:rsidR="004A4FCA" w:rsidRPr="004A4FCA">
              <w:rPr>
                <w:rFonts w:ascii="Times New Roman" w:eastAsia="Calibri" w:hAnsi="Times New Roman" w:hint="eastAsia"/>
                <w:sz w:val="22"/>
                <w:szCs w:val="22"/>
                <w:lang w:val="lv-LV"/>
              </w:rPr>
              <w:t>ī</w:t>
            </w:r>
            <w:r w:rsidR="004A4FCA" w:rsidRPr="004A4FCA">
              <w:rPr>
                <w:rFonts w:ascii="Times New Roman" w:eastAsia="Calibri" w:hAnsi="Times New Roman"/>
                <w:sz w:val="22"/>
                <w:szCs w:val="22"/>
                <w:lang w:val="lv-LV"/>
              </w:rPr>
              <w:t>dz 12 gadu vecumam var izrais</w:t>
            </w:r>
            <w:r w:rsidR="004A4FCA" w:rsidRPr="004A4FCA">
              <w:rPr>
                <w:rFonts w:ascii="Times New Roman" w:eastAsia="Calibri" w:hAnsi="Times New Roman" w:hint="eastAsia"/>
                <w:sz w:val="22"/>
                <w:szCs w:val="22"/>
                <w:lang w:val="lv-LV"/>
              </w:rPr>
              <w:t>ī</w:t>
            </w:r>
            <w:r w:rsidR="004A4FCA" w:rsidRPr="004A4FCA">
              <w:rPr>
                <w:rFonts w:ascii="Times New Roman" w:eastAsia="Calibri" w:hAnsi="Times New Roman"/>
                <w:sz w:val="22"/>
                <w:szCs w:val="22"/>
                <w:lang w:val="lv-LV"/>
              </w:rPr>
              <w:t>t Reja sindromu</w:t>
            </w:r>
            <w:r w:rsidR="004A4FCA">
              <w:rPr>
                <w:rFonts w:ascii="Times New Roman" w:eastAsia="Calibri" w:hAnsi="Times New Roman"/>
                <w:sz w:val="22"/>
                <w:szCs w:val="22"/>
                <w:lang w:val="lv-LV"/>
              </w:rPr>
              <w:t>.</w:t>
            </w:r>
          </w:p>
        </w:tc>
      </w:tr>
    </w:tbl>
    <w:p w14:paraId="362B3502" w14:textId="77777777" w:rsidR="00C41387" w:rsidRPr="006405A4" w:rsidRDefault="00C41387" w:rsidP="006405A4">
      <w:pPr>
        <w:numPr>
          <w:ilvl w:val="12"/>
          <w:numId w:val="0"/>
        </w:numPr>
        <w:rPr>
          <w:rFonts w:ascii="Times New Roman" w:hAnsi="Times New Roman"/>
          <w:sz w:val="22"/>
          <w:szCs w:val="22"/>
          <w:lang w:val="lv-LV"/>
        </w:rPr>
      </w:pPr>
    </w:p>
    <w:p w14:paraId="39A212C8" w14:textId="77777777" w:rsidR="006C179F" w:rsidRPr="006C179F" w:rsidRDefault="006C179F" w:rsidP="006C179F">
      <w:pPr>
        <w:autoSpaceDE w:val="0"/>
        <w:autoSpaceDN w:val="0"/>
        <w:adjustRightInd w:val="0"/>
        <w:rPr>
          <w:rFonts w:ascii="Times New Roman" w:eastAsia="Calibri" w:hAnsi="Times New Roman"/>
          <w:sz w:val="22"/>
          <w:szCs w:val="22"/>
          <w:u w:val="single"/>
          <w:lang w:val="lv-LV"/>
        </w:rPr>
      </w:pPr>
      <w:r w:rsidRPr="006C179F">
        <w:rPr>
          <w:rFonts w:ascii="Times New Roman" w:eastAsia="Calibri" w:hAnsi="Times New Roman"/>
          <w:sz w:val="22"/>
          <w:szCs w:val="22"/>
          <w:u w:val="single"/>
          <w:lang w:val="lv-LV"/>
        </w:rPr>
        <w:t>Ziņošana par iespējamām nevēlamām blakusparādībām</w:t>
      </w:r>
    </w:p>
    <w:p w14:paraId="19B76291" w14:textId="77777777" w:rsidR="006C179F" w:rsidRPr="006C179F" w:rsidRDefault="006C179F" w:rsidP="006C179F">
      <w:pPr>
        <w:rPr>
          <w:rFonts w:ascii="Times New Roman" w:eastAsia="Calibri" w:hAnsi="Times New Roman"/>
          <w:sz w:val="22"/>
          <w:szCs w:val="22"/>
          <w:lang w:val="lv-LV"/>
        </w:rPr>
      </w:pPr>
      <w:r w:rsidRPr="006C179F">
        <w:rPr>
          <w:rFonts w:ascii="Times New Roman" w:eastAsia="Calibri" w:hAnsi="Times New Roman"/>
          <w:sz w:val="22"/>
          <w:szCs w:val="22"/>
          <w:lang w:val="lv-LV"/>
        </w:rPr>
        <w:t xml:space="preserve">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 Zāļu valsts aģentūrai, Jersikas iela 15, Rīga, LV 1003. Tīmekļa vietne: </w:t>
      </w:r>
      <w:hyperlink r:id="rId7" w:history="1">
        <w:r w:rsidRPr="006C179F">
          <w:rPr>
            <w:rFonts w:ascii="Times New Roman" w:eastAsia="Calibri" w:hAnsi="Times New Roman"/>
            <w:color w:val="0000FF"/>
            <w:sz w:val="22"/>
            <w:szCs w:val="22"/>
            <w:u w:val="single"/>
            <w:lang w:val="lv-LV"/>
          </w:rPr>
          <w:t>www.zva.gov.lv</w:t>
        </w:r>
      </w:hyperlink>
      <w:r w:rsidRPr="006C179F">
        <w:rPr>
          <w:rFonts w:ascii="Times New Roman" w:eastAsia="Calibri" w:hAnsi="Times New Roman"/>
          <w:sz w:val="22"/>
          <w:szCs w:val="22"/>
          <w:lang w:val="lv-LV"/>
        </w:rPr>
        <w:t>.</w:t>
      </w:r>
    </w:p>
    <w:p w14:paraId="2B4D1B56" w14:textId="77777777" w:rsidR="00C41387" w:rsidRPr="006405A4" w:rsidRDefault="00C41387" w:rsidP="006405A4">
      <w:pPr>
        <w:numPr>
          <w:ilvl w:val="12"/>
          <w:numId w:val="0"/>
        </w:numPr>
        <w:rPr>
          <w:rFonts w:ascii="Times New Roman" w:hAnsi="Times New Roman"/>
          <w:sz w:val="22"/>
          <w:szCs w:val="22"/>
          <w:lang w:val="lv-LV"/>
        </w:rPr>
      </w:pPr>
    </w:p>
    <w:p w14:paraId="481E70BB" w14:textId="77777777" w:rsidR="00C41387" w:rsidRPr="006405A4" w:rsidRDefault="00C41387" w:rsidP="00DD4EE9">
      <w:pPr>
        <w:numPr>
          <w:ilvl w:val="1"/>
          <w:numId w:val="19"/>
        </w:numPr>
        <w:ind w:left="567" w:hanging="567"/>
        <w:rPr>
          <w:rFonts w:ascii="Times New Roman" w:hAnsi="Times New Roman"/>
          <w:sz w:val="22"/>
          <w:szCs w:val="22"/>
          <w:lang w:val="lv-LV"/>
        </w:rPr>
      </w:pPr>
      <w:r w:rsidRPr="006405A4">
        <w:rPr>
          <w:rFonts w:ascii="Times New Roman" w:hAnsi="Times New Roman"/>
          <w:b/>
          <w:sz w:val="22"/>
          <w:szCs w:val="22"/>
          <w:lang w:val="lv-LV"/>
        </w:rPr>
        <w:t>Pārdozēšana</w:t>
      </w:r>
    </w:p>
    <w:p w14:paraId="52D7A281" w14:textId="77777777" w:rsidR="00C41387" w:rsidRPr="006405A4" w:rsidRDefault="00C41387" w:rsidP="006405A4">
      <w:pPr>
        <w:numPr>
          <w:ilvl w:val="12"/>
          <w:numId w:val="0"/>
        </w:numPr>
        <w:rPr>
          <w:rFonts w:ascii="Times New Roman" w:hAnsi="Times New Roman"/>
          <w:sz w:val="22"/>
          <w:szCs w:val="22"/>
          <w:lang w:val="lv-LV"/>
        </w:rPr>
      </w:pPr>
    </w:p>
    <w:p w14:paraId="35821045" w14:textId="5E661BBE" w:rsidR="00C41387" w:rsidRPr="006405A4" w:rsidRDefault="00C41387" w:rsidP="006405A4">
      <w:pPr>
        <w:pStyle w:val="BodyTextIndent"/>
        <w:ind w:left="0" w:firstLine="0"/>
        <w:rPr>
          <w:rFonts w:ascii="Times New Roman" w:hAnsi="Times New Roman"/>
          <w:sz w:val="22"/>
          <w:szCs w:val="22"/>
        </w:rPr>
      </w:pPr>
      <w:r w:rsidRPr="006405A4">
        <w:rPr>
          <w:rFonts w:ascii="Times New Roman" w:hAnsi="Times New Roman"/>
          <w:sz w:val="22"/>
          <w:szCs w:val="22"/>
        </w:rPr>
        <w:t xml:space="preserve">Salicilātu pārdozēšana parasti ir saistīta ar koncentrāciju virs 350 mg/l (2,5 mmol/l). Lielākā daļa gadījumu ar letālu iznākumu pieaugušajiem bija saistīta ar koncentrāciju virs 700 mg/l (5,1 mmol/l). Nopietna intoksikācija, ko būtu izraisījušas vienreizējas salicilātu devas līdz 100 mg/kg, ir maz </w:t>
      </w:r>
      <w:r w:rsidR="004A4FCA">
        <w:rPr>
          <w:rFonts w:ascii="Times New Roman" w:hAnsi="Times New Roman"/>
          <w:sz w:val="22"/>
          <w:szCs w:val="22"/>
        </w:rPr>
        <w:t>iespējama</w:t>
      </w:r>
      <w:r w:rsidRPr="006405A4">
        <w:rPr>
          <w:rFonts w:ascii="Times New Roman" w:hAnsi="Times New Roman"/>
          <w:sz w:val="22"/>
          <w:szCs w:val="22"/>
        </w:rPr>
        <w:t>.</w:t>
      </w:r>
    </w:p>
    <w:p w14:paraId="59B70600" w14:textId="77777777" w:rsidR="00C41387" w:rsidRPr="006405A4" w:rsidRDefault="00C41387" w:rsidP="006405A4">
      <w:pPr>
        <w:pStyle w:val="BodyTextIndent"/>
        <w:ind w:left="0" w:firstLine="0"/>
        <w:rPr>
          <w:rFonts w:ascii="Times New Roman" w:hAnsi="Times New Roman"/>
          <w:sz w:val="22"/>
          <w:szCs w:val="22"/>
        </w:rPr>
      </w:pPr>
    </w:p>
    <w:p w14:paraId="5D6E0D28" w14:textId="77777777" w:rsidR="00C41387" w:rsidRPr="006405A4" w:rsidRDefault="00C41387" w:rsidP="006405A4">
      <w:pPr>
        <w:pStyle w:val="BodyTextIndent"/>
        <w:ind w:left="0" w:firstLine="0"/>
        <w:rPr>
          <w:rFonts w:ascii="Times New Roman" w:hAnsi="Times New Roman"/>
          <w:sz w:val="22"/>
          <w:szCs w:val="22"/>
          <w:u w:val="single"/>
        </w:rPr>
      </w:pPr>
      <w:r w:rsidRPr="006405A4">
        <w:rPr>
          <w:rFonts w:ascii="Times New Roman" w:hAnsi="Times New Roman"/>
          <w:sz w:val="22"/>
          <w:szCs w:val="22"/>
          <w:u w:val="single"/>
        </w:rPr>
        <w:t>Pārdozēšanas simptomi</w:t>
      </w:r>
    </w:p>
    <w:p w14:paraId="61FBAB98" w14:textId="77777777" w:rsidR="00C41387" w:rsidRPr="006405A4" w:rsidRDefault="00C41387" w:rsidP="006405A4">
      <w:pPr>
        <w:pStyle w:val="BodyTextIndent"/>
        <w:ind w:left="0" w:firstLine="0"/>
        <w:rPr>
          <w:rFonts w:ascii="Times New Roman" w:hAnsi="Times New Roman"/>
          <w:sz w:val="22"/>
          <w:szCs w:val="22"/>
        </w:rPr>
      </w:pPr>
      <w:r w:rsidRPr="00DD4EE9">
        <w:rPr>
          <w:rFonts w:ascii="Times New Roman" w:hAnsi="Times New Roman"/>
          <w:i/>
          <w:sz w:val="22"/>
          <w:szCs w:val="22"/>
        </w:rPr>
        <w:t>Bieži:</w:t>
      </w:r>
      <w:r w:rsidRPr="006405A4">
        <w:rPr>
          <w:rFonts w:ascii="Times New Roman" w:hAnsi="Times New Roman"/>
          <w:sz w:val="22"/>
          <w:szCs w:val="22"/>
        </w:rPr>
        <w:t xml:space="preserve"> vemšana, dehidratācija, troksnis ausīs, vertigo, dzirdes traucējumi, pastiprināta svīšana, karstuma sajūta apakšējās ekstremitātēs, paātrināta elpošana un hiperventilācija. Vairumā gadījumu novēro skābju-bāzu līdzsvara traucējumus.</w:t>
      </w:r>
    </w:p>
    <w:p w14:paraId="0EF2CDEC" w14:textId="77777777" w:rsidR="00C41387" w:rsidRPr="006405A4" w:rsidRDefault="00C41387" w:rsidP="006405A4">
      <w:pPr>
        <w:pStyle w:val="BodyTextIndent"/>
        <w:ind w:left="0" w:firstLine="0"/>
        <w:rPr>
          <w:rFonts w:ascii="Times New Roman" w:hAnsi="Times New Roman"/>
          <w:sz w:val="22"/>
          <w:szCs w:val="22"/>
        </w:rPr>
      </w:pPr>
      <w:r w:rsidRPr="006405A4">
        <w:rPr>
          <w:rFonts w:ascii="Times New Roman" w:hAnsi="Times New Roman"/>
          <w:sz w:val="22"/>
          <w:szCs w:val="22"/>
        </w:rPr>
        <w:t>Pieaugušajiem un bērniem no 10 gadu vecuma parasti ir jaukta respiratora alkaloze un metaboliska acidoze ar normai atbilstošu vai augstu arteriālo asiņu pH vērtību. Metaboliskā acidoze ar zemu arteriālo asiņu pH vērtību parasti novērojama bērniem līdz 4 gadu vecumam. Acidoze var palielināt salicilātu spēju šķērsot hematoencefālisko barjeru.</w:t>
      </w:r>
    </w:p>
    <w:p w14:paraId="13D29933" w14:textId="77777777" w:rsidR="00C41387" w:rsidRPr="006405A4" w:rsidRDefault="00C41387" w:rsidP="006405A4">
      <w:pPr>
        <w:pStyle w:val="BodyTextIndent"/>
        <w:ind w:left="0" w:firstLine="0"/>
        <w:rPr>
          <w:rFonts w:ascii="Times New Roman" w:hAnsi="Times New Roman"/>
          <w:sz w:val="22"/>
          <w:szCs w:val="22"/>
        </w:rPr>
      </w:pPr>
    </w:p>
    <w:p w14:paraId="114BF16D" w14:textId="0E4332CD" w:rsidR="00C41387" w:rsidRPr="006405A4" w:rsidRDefault="00C41387" w:rsidP="006405A4">
      <w:pPr>
        <w:pStyle w:val="BodyTextIndent"/>
        <w:ind w:left="0" w:firstLine="0"/>
        <w:rPr>
          <w:rFonts w:ascii="Times New Roman" w:hAnsi="Times New Roman"/>
          <w:sz w:val="22"/>
          <w:szCs w:val="22"/>
        </w:rPr>
      </w:pPr>
      <w:r w:rsidRPr="00DD4EE9">
        <w:rPr>
          <w:rFonts w:ascii="Times New Roman" w:hAnsi="Times New Roman"/>
          <w:i/>
          <w:sz w:val="22"/>
          <w:szCs w:val="22"/>
        </w:rPr>
        <w:t>Retāk:</w:t>
      </w:r>
      <w:r w:rsidRPr="006405A4">
        <w:rPr>
          <w:rFonts w:ascii="Times New Roman" w:hAnsi="Times New Roman"/>
          <w:sz w:val="22"/>
          <w:szCs w:val="22"/>
        </w:rPr>
        <w:t xml:space="preserve"> asiņu vemšana, ļoti augsta temperatūra, hipoglikēmija, hipokaliēmija, trombocitopēnija, palielinātas INR/</w:t>
      </w:r>
      <w:smartTag w:uri="urn:schemas-microsoft-com:office:smarttags" w:element="stockticker">
        <w:r w:rsidRPr="006405A4">
          <w:rPr>
            <w:rFonts w:ascii="Times New Roman" w:hAnsi="Times New Roman"/>
            <w:sz w:val="22"/>
            <w:szCs w:val="22"/>
          </w:rPr>
          <w:t>PTR</w:t>
        </w:r>
      </w:smartTag>
      <w:r w:rsidRPr="006405A4">
        <w:rPr>
          <w:rFonts w:ascii="Times New Roman" w:hAnsi="Times New Roman"/>
          <w:sz w:val="22"/>
          <w:szCs w:val="22"/>
        </w:rPr>
        <w:t xml:space="preserve"> (</w:t>
      </w:r>
      <w:r w:rsidRPr="006405A4">
        <w:rPr>
          <w:rFonts w:ascii="Times New Roman" w:hAnsi="Times New Roman"/>
          <w:i/>
          <w:sz w:val="22"/>
          <w:szCs w:val="22"/>
        </w:rPr>
        <w:t>International Normalized Ratio/Prothrombin Time Ratio</w:t>
      </w:r>
      <w:r w:rsidRPr="006405A4">
        <w:rPr>
          <w:rFonts w:ascii="Times New Roman" w:hAnsi="Times New Roman"/>
          <w:sz w:val="22"/>
          <w:szCs w:val="22"/>
        </w:rPr>
        <w:t>) vērtības, intravaskulāra koagulācija, nieru mazspēja un nekardiogēna plaušu tūska.</w:t>
      </w:r>
    </w:p>
    <w:p w14:paraId="2979A968" w14:textId="77777777" w:rsidR="00C41387" w:rsidRPr="006405A4" w:rsidRDefault="00C41387" w:rsidP="006405A4">
      <w:pPr>
        <w:pStyle w:val="BodyTextIndent"/>
        <w:ind w:left="0" w:firstLine="0"/>
        <w:rPr>
          <w:rFonts w:ascii="Times New Roman" w:hAnsi="Times New Roman"/>
          <w:sz w:val="22"/>
          <w:szCs w:val="22"/>
        </w:rPr>
      </w:pPr>
      <w:r w:rsidRPr="006405A4">
        <w:rPr>
          <w:rFonts w:ascii="Times New Roman" w:hAnsi="Times New Roman"/>
          <w:sz w:val="22"/>
          <w:szCs w:val="22"/>
        </w:rPr>
        <w:t>CNS simptomus, piemēram, apmulsumu, orientācijas traucējumus, komu un krampjus, bērniem novēro biežāk nekā pieaugušajiem.</w:t>
      </w:r>
    </w:p>
    <w:p w14:paraId="3B64C735" w14:textId="77777777" w:rsidR="00C41387" w:rsidRPr="006405A4" w:rsidRDefault="00C41387" w:rsidP="006405A4">
      <w:pPr>
        <w:pStyle w:val="BodyTextIndent"/>
        <w:ind w:left="0" w:firstLine="0"/>
        <w:rPr>
          <w:rFonts w:ascii="Times New Roman" w:hAnsi="Times New Roman"/>
          <w:sz w:val="22"/>
          <w:szCs w:val="22"/>
        </w:rPr>
      </w:pPr>
    </w:p>
    <w:p w14:paraId="243B2096" w14:textId="43008FBB" w:rsidR="00C41387" w:rsidRPr="006405A4" w:rsidRDefault="00C41387" w:rsidP="006405A4">
      <w:pPr>
        <w:pStyle w:val="BodyTextIndent"/>
        <w:ind w:left="0" w:firstLine="0"/>
        <w:rPr>
          <w:rFonts w:ascii="Times New Roman" w:hAnsi="Times New Roman"/>
          <w:sz w:val="22"/>
          <w:szCs w:val="22"/>
          <w:u w:val="single"/>
        </w:rPr>
      </w:pPr>
      <w:r w:rsidRPr="006405A4">
        <w:rPr>
          <w:rFonts w:ascii="Times New Roman" w:hAnsi="Times New Roman"/>
          <w:sz w:val="22"/>
          <w:szCs w:val="22"/>
          <w:u w:val="single"/>
        </w:rPr>
        <w:t>Rīcība</w:t>
      </w:r>
      <w:r w:rsidRPr="006405A4">
        <w:rPr>
          <w:rFonts w:ascii="Times New Roman" w:hAnsi="Times New Roman"/>
          <w:sz w:val="22"/>
          <w:szCs w:val="22"/>
        </w:rPr>
        <w:t xml:space="preserve"> </w:t>
      </w:r>
    </w:p>
    <w:p w14:paraId="0B5DD64A" w14:textId="69DDAB75" w:rsidR="00C41387" w:rsidRPr="006405A4" w:rsidRDefault="004A4FCA" w:rsidP="006405A4">
      <w:pPr>
        <w:pStyle w:val="BodyTextIndent"/>
        <w:ind w:left="0" w:firstLine="0"/>
        <w:rPr>
          <w:rFonts w:ascii="Times New Roman" w:hAnsi="Times New Roman"/>
          <w:sz w:val="22"/>
          <w:szCs w:val="22"/>
        </w:rPr>
      </w:pPr>
      <w:r>
        <w:rPr>
          <w:rFonts w:ascii="Times New Roman" w:hAnsi="Times New Roman"/>
          <w:sz w:val="22"/>
          <w:szCs w:val="22"/>
        </w:rPr>
        <w:t>P</w:t>
      </w:r>
      <w:r w:rsidR="00C41387" w:rsidRPr="006405A4">
        <w:rPr>
          <w:rFonts w:ascii="Times New Roman" w:hAnsi="Times New Roman"/>
          <w:sz w:val="22"/>
          <w:szCs w:val="22"/>
        </w:rPr>
        <w:t>ēc dzīvībai bīstamu salicilātu devu ieņemšanas pēc iespējas ātrāk (stundas laikā) jāveic kuņģa</w:t>
      </w:r>
      <w:r>
        <w:rPr>
          <w:rFonts w:ascii="Times New Roman" w:hAnsi="Times New Roman"/>
          <w:sz w:val="22"/>
          <w:szCs w:val="22"/>
        </w:rPr>
        <w:t>-zarnu trakta</w:t>
      </w:r>
      <w:r w:rsidR="00C41387" w:rsidRPr="006405A4">
        <w:rPr>
          <w:rFonts w:ascii="Times New Roman" w:hAnsi="Times New Roman"/>
          <w:sz w:val="22"/>
          <w:szCs w:val="22"/>
        </w:rPr>
        <w:t xml:space="preserve"> skalošana. Ieteicama arī aktivētā ogle, kuras deva atkarīga no pacienta vecuma. Lai novērtētu saindēšanās smaguma pakāpi, bez salicilātu koncentrācijas asinīs noteikšanas</w:t>
      </w:r>
      <w:r>
        <w:rPr>
          <w:rFonts w:ascii="Times New Roman" w:hAnsi="Times New Roman"/>
          <w:sz w:val="22"/>
          <w:szCs w:val="22"/>
        </w:rPr>
        <w:t>,</w:t>
      </w:r>
      <w:r w:rsidR="00C41387" w:rsidRPr="006405A4">
        <w:rPr>
          <w:rFonts w:ascii="Times New Roman" w:hAnsi="Times New Roman"/>
          <w:sz w:val="22"/>
          <w:szCs w:val="22"/>
        </w:rPr>
        <w:t xml:space="preserve"> jāņem vērā arī klīniskie simptomi un bioķīmiskie parametri. Jākontrolē urīna pH vērtība; jāpanāk, lai urīns kļūtu sārmaināks, un jākompensē metaboliskā acidoze, intravenozi ievadot 8,4% nātrija hidroksīdu (iepriekš </w:t>
      </w:r>
      <w:r>
        <w:rPr>
          <w:rFonts w:ascii="Times New Roman" w:hAnsi="Times New Roman"/>
          <w:sz w:val="22"/>
          <w:szCs w:val="22"/>
        </w:rPr>
        <w:t>nosakot</w:t>
      </w:r>
      <w:r w:rsidRPr="006405A4">
        <w:rPr>
          <w:rFonts w:ascii="Times New Roman" w:hAnsi="Times New Roman"/>
          <w:sz w:val="22"/>
          <w:szCs w:val="22"/>
        </w:rPr>
        <w:t xml:space="preserve"> </w:t>
      </w:r>
      <w:r w:rsidR="00C41387" w:rsidRPr="006405A4">
        <w:rPr>
          <w:rFonts w:ascii="Times New Roman" w:hAnsi="Times New Roman"/>
          <w:sz w:val="22"/>
          <w:szCs w:val="22"/>
        </w:rPr>
        <w:t>kālija koncentrācij</w:t>
      </w:r>
      <w:r>
        <w:rPr>
          <w:rFonts w:ascii="Times New Roman" w:hAnsi="Times New Roman"/>
          <w:sz w:val="22"/>
          <w:szCs w:val="22"/>
        </w:rPr>
        <w:t>u</w:t>
      </w:r>
      <w:r w:rsidR="00C41387" w:rsidRPr="006405A4">
        <w:rPr>
          <w:rFonts w:ascii="Times New Roman" w:hAnsi="Times New Roman"/>
          <w:sz w:val="22"/>
          <w:szCs w:val="22"/>
        </w:rPr>
        <w:t>). Nedrīkst izmantot forsētu diurēzi, jo tā neveicina salicilātu izdalīšanos un var izraisīt plaušu tūsku.</w:t>
      </w:r>
    </w:p>
    <w:p w14:paraId="29F28669" w14:textId="77777777" w:rsidR="00C41387" w:rsidRPr="006405A4" w:rsidRDefault="00C41387" w:rsidP="006405A4">
      <w:pPr>
        <w:pStyle w:val="BodyTextIndent"/>
        <w:ind w:left="0" w:firstLine="0"/>
        <w:rPr>
          <w:rFonts w:ascii="Times New Roman" w:hAnsi="Times New Roman"/>
          <w:sz w:val="22"/>
          <w:szCs w:val="22"/>
        </w:rPr>
      </w:pPr>
      <w:r w:rsidRPr="006405A4">
        <w:rPr>
          <w:rFonts w:ascii="Times New Roman" w:hAnsi="Times New Roman"/>
          <w:sz w:val="22"/>
          <w:szCs w:val="22"/>
        </w:rPr>
        <w:t>Ja ir stipra saindēšanās ar salicilātiem, galvenā terapija ir hemodialīze, un tā jāveic pacientiem, kuru organismā salicilātu koncentrācija ir virs 700 mg/l (5,1 mmol/l) vai arī zemāka, bet saistīta ar smagiem klīniskiem vai metaboliskiem simptomiem. Pacienti, kas jaunāki par 10 gadiem un vecāki par 70 gadiem, ir jutīgāki pret salicilātu toksicitāti, un viņiem dialīze var būt nepieciešama arī agrākā stadijā.</w:t>
      </w:r>
    </w:p>
    <w:p w14:paraId="581B4674"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96AC7F4"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0085A021" w14:textId="77777777" w:rsidR="00C41387" w:rsidRPr="006405A4" w:rsidRDefault="00C41387" w:rsidP="00DD4EE9">
      <w:pPr>
        <w:numPr>
          <w:ilvl w:val="0"/>
          <w:numId w:val="19"/>
        </w:numPr>
        <w:ind w:left="567" w:hanging="567"/>
        <w:rPr>
          <w:rFonts w:ascii="Times New Roman" w:hAnsi="Times New Roman"/>
          <w:sz w:val="22"/>
          <w:szCs w:val="22"/>
          <w:lang w:val="lv-LV"/>
        </w:rPr>
      </w:pPr>
      <w:r w:rsidRPr="006405A4">
        <w:rPr>
          <w:rFonts w:ascii="Times New Roman" w:hAnsi="Times New Roman"/>
          <w:b/>
          <w:sz w:val="22"/>
          <w:szCs w:val="22"/>
          <w:lang w:val="lv-LV"/>
        </w:rPr>
        <w:t>FARMAKOLOĢISKĀS ĪPAŠĪBAS</w:t>
      </w:r>
    </w:p>
    <w:p w14:paraId="215CC637"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7F2CF69B" w14:textId="77777777" w:rsidR="00C41387" w:rsidRPr="00DD4EE9" w:rsidRDefault="00C41387" w:rsidP="00DD4EE9">
      <w:pPr>
        <w:pStyle w:val="ListParagraph"/>
        <w:numPr>
          <w:ilvl w:val="1"/>
          <w:numId w:val="20"/>
        </w:numPr>
        <w:ind w:left="567" w:hanging="567"/>
        <w:rPr>
          <w:rFonts w:ascii="Times New Roman" w:hAnsi="Times New Roman"/>
          <w:sz w:val="22"/>
          <w:szCs w:val="22"/>
          <w:lang w:val="lv-LV"/>
        </w:rPr>
      </w:pPr>
      <w:r w:rsidRPr="00DD4EE9">
        <w:rPr>
          <w:rFonts w:ascii="Times New Roman" w:hAnsi="Times New Roman"/>
          <w:b/>
          <w:sz w:val="22"/>
          <w:szCs w:val="22"/>
          <w:lang w:val="lv-LV"/>
        </w:rPr>
        <w:t>Farmakodinamisk</w:t>
      </w:r>
      <w:r w:rsidRPr="00DD4EE9">
        <w:rPr>
          <w:rFonts w:ascii="Times New Roman" w:hAnsi="Times New Roman" w:hint="eastAsia"/>
          <w:b/>
          <w:sz w:val="22"/>
          <w:szCs w:val="22"/>
          <w:lang w:val="lv-LV"/>
        </w:rPr>
        <w:t>ā</w:t>
      </w:r>
      <w:r w:rsidRPr="00DD4EE9">
        <w:rPr>
          <w:rFonts w:ascii="Times New Roman" w:hAnsi="Times New Roman"/>
          <w:b/>
          <w:sz w:val="22"/>
          <w:szCs w:val="22"/>
          <w:lang w:val="lv-LV"/>
        </w:rPr>
        <w:t xml:space="preserve">s </w:t>
      </w:r>
      <w:r w:rsidRPr="00DD4EE9">
        <w:rPr>
          <w:rFonts w:ascii="Times New Roman" w:hAnsi="Times New Roman" w:hint="eastAsia"/>
          <w:b/>
          <w:sz w:val="22"/>
          <w:szCs w:val="22"/>
          <w:lang w:val="lv-LV"/>
        </w:rPr>
        <w:t>ī</w:t>
      </w:r>
      <w:r w:rsidRPr="00DD4EE9">
        <w:rPr>
          <w:rFonts w:ascii="Times New Roman" w:hAnsi="Times New Roman"/>
          <w:b/>
          <w:sz w:val="22"/>
          <w:szCs w:val="22"/>
          <w:lang w:val="lv-LV"/>
        </w:rPr>
        <w:t>paš</w:t>
      </w:r>
      <w:r w:rsidRPr="00DD4EE9">
        <w:rPr>
          <w:rFonts w:ascii="Times New Roman" w:hAnsi="Times New Roman" w:hint="eastAsia"/>
          <w:b/>
          <w:sz w:val="22"/>
          <w:szCs w:val="22"/>
          <w:lang w:val="lv-LV"/>
        </w:rPr>
        <w:t>ī</w:t>
      </w:r>
      <w:r w:rsidRPr="00DD4EE9">
        <w:rPr>
          <w:rFonts w:ascii="Times New Roman" w:hAnsi="Times New Roman"/>
          <w:b/>
          <w:sz w:val="22"/>
          <w:szCs w:val="22"/>
          <w:lang w:val="lv-LV"/>
        </w:rPr>
        <w:t>bas</w:t>
      </w:r>
    </w:p>
    <w:p w14:paraId="7AFDA0B6"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4699DA4" w14:textId="780789BB" w:rsidR="00487489"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Farmakoterapeitiskā</w:t>
      </w:r>
      <w:r w:rsidR="00487489">
        <w:rPr>
          <w:rFonts w:ascii="Times New Roman" w:hAnsi="Times New Roman"/>
          <w:sz w:val="22"/>
          <w:szCs w:val="22"/>
          <w:lang w:val="lv-LV"/>
        </w:rPr>
        <w:t>s</w:t>
      </w:r>
      <w:r w:rsidRPr="006405A4">
        <w:rPr>
          <w:rFonts w:ascii="Times New Roman" w:hAnsi="Times New Roman"/>
          <w:sz w:val="22"/>
          <w:szCs w:val="22"/>
          <w:lang w:val="lv-LV"/>
        </w:rPr>
        <w:t xml:space="preserve"> grupa</w:t>
      </w:r>
      <w:r w:rsidR="00487489">
        <w:rPr>
          <w:rFonts w:ascii="Times New Roman" w:hAnsi="Times New Roman"/>
          <w:sz w:val="22"/>
          <w:szCs w:val="22"/>
          <w:lang w:val="lv-LV"/>
        </w:rPr>
        <w:t>s</w:t>
      </w:r>
      <w:r w:rsidR="004A4FCA">
        <w:rPr>
          <w:rFonts w:ascii="Times New Roman" w:hAnsi="Times New Roman"/>
          <w:sz w:val="22"/>
          <w:szCs w:val="22"/>
          <w:lang w:val="lv-LV"/>
        </w:rPr>
        <w:t xml:space="preserve">: </w:t>
      </w:r>
    </w:p>
    <w:p w14:paraId="02D15B26" w14:textId="7D6A5CA6" w:rsidR="00C41387" w:rsidRPr="00DD4EE9" w:rsidRDefault="00487489" w:rsidP="00DD4EE9">
      <w:pPr>
        <w:pStyle w:val="ListParagraph"/>
        <w:numPr>
          <w:ilvl w:val="0"/>
          <w:numId w:val="21"/>
        </w:numPr>
        <w:ind w:left="567" w:hanging="567"/>
        <w:rPr>
          <w:rFonts w:ascii="Times New Roman" w:hAnsi="Times New Roman"/>
          <w:sz w:val="22"/>
          <w:szCs w:val="22"/>
          <w:lang w:val="lv-LV"/>
        </w:rPr>
      </w:pPr>
      <w:r w:rsidRPr="00DD4EE9">
        <w:rPr>
          <w:rFonts w:ascii="Times New Roman" w:hAnsi="Times New Roman"/>
          <w:sz w:val="22"/>
          <w:szCs w:val="22"/>
          <w:lang w:val="lv-LV"/>
        </w:rPr>
        <w:t>l</w:t>
      </w:r>
      <w:r w:rsidR="00C41387" w:rsidRPr="00DD4EE9">
        <w:rPr>
          <w:rFonts w:ascii="Times New Roman" w:hAnsi="Times New Roman" w:hint="eastAsia"/>
          <w:sz w:val="22"/>
          <w:szCs w:val="22"/>
          <w:lang w:val="lv-LV"/>
        </w:rPr>
        <w:t>ī</w:t>
      </w:r>
      <w:r w:rsidR="00C41387" w:rsidRPr="00DD4EE9">
        <w:rPr>
          <w:rFonts w:ascii="Times New Roman" w:hAnsi="Times New Roman"/>
          <w:sz w:val="22"/>
          <w:szCs w:val="22"/>
          <w:lang w:val="lv-LV"/>
        </w:rPr>
        <w:t>dzek</w:t>
      </w:r>
      <w:r w:rsidR="00C41387" w:rsidRPr="00DD4EE9">
        <w:rPr>
          <w:rFonts w:ascii="Times New Roman" w:hAnsi="Times New Roman" w:hint="eastAsia"/>
          <w:sz w:val="22"/>
          <w:szCs w:val="22"/>
          <w:lang w:val="lv-LV"/>
        </w:rPr>
        <w:t>ļ</w:t>
      </w:r>
      <w:r w:rsidR="00C41387" w:rsidRPr="00DD4EE9">
        <w:rPr>
          <w:rFonts w:ascii="Times New Roman" w:hAnsi="Times New Roman"/>
          <w:sz w:val="22"/>
          <w:szCs w:val="22"/>
          <w:lang w:val="lv-LV"/>
        </w:rPr>
        <w:t>i r</w:t>
      </w:r>
      <w:r w:rsidR="00C41387" w:rsidRPr="00DD4EE9">
        <w:rPr>
          <w:rFonts w:ascii="Times New Roman" w:hAnsi="Times New Roman" w:hint="eastAsia"/>
          <w:sz w:val="22"/>
          <w:szCs w:val="22"/>
          <w:lang w:val="lv-LV"/>
        </w:rPr>
        <w:t>ī</w:t>
      </w:r>
      <w:r w:rsidR="00C41387" w:rsidRPr="00DD4EE9">
        <w:rPr>
          <w:rFonts w:ascii="Times New Roman" w:hAnsi="Times New Roman"/>
          <w:sz w:val="22"/>
          <w:szCs w:val="22"/>
          <w:lang w:val="lv-LV"/>
        </w:rPr>
        <w:t>kles un balsenes slim</w:t>
      </w:r>
      <w:r w:rsidR="00C41387" w:rsidRPr="00DD4EE9">
        <w:rPr>
          <w:rFonts w:ascii="Times New Roman" w:hAnsi="Times New Roman" w:hint="eastAsia"/>
          <w:sz w:val="22"/>
          <w:szCs w:val="22"/>
          <w:lang w:val="lv-LV"/>
        </w:rPr>
        <w:t>ī</w:t>
      </w:r>
      <w:r w:rsidR="00C41387" w:rsidRPr="00DD4EE9">
        <w:rPr>
          <w:rFonts w:ascii="Times New Roman" w:hAnsi="Times New Roman"/>
          <w:sz w:val="22"/>
          <w:szCs w:val="22"/>
          <w:lang w:val="lv-LV"/>
        </w:rPr>
        <w:t xml:space="preserve">bu </w:t>
      </w:r>
      <w:r w:rsidR="00C41387" w:rsidRPr="00DD4EE9">
        <w:rPr>
          <w:rFonts w:ascii="Times New Roman" w:hAnsi="Times New Roman" w:hint="eastAsia"/>
          <w:sz w:val="22"/>
          <w:szCs w:val="22"/>
          <w:lang w:val="lv-LV"/>
        </w:rPr>
        <w:t>ā</w:t>
      </w:r>
      <w:r w:rsidR="00C41387" w:rsidRPr="00DD4EE9">
        <w:rPr>
          <w:rFonts w:ascii="Times New Roman" w:hAnsi="Times New Roman"/>
          <w:sz w:val="22"/>
          <w:szCs w:val="22"/>
          <w:lang w:val="lv-LV"/>
        </w:rPr>
        <w:t>rst</w:t>
      </w:r>
      <w:r w:rsidR="00C41387" w:rsidRPr="00DD4EE9">
        <w:rPr>
          <w:rFonts w:ascii="Times New Roman" w:hAnsi="Times New Roman" w:hint="eastAsia"/>
          <w:sz w:val="22"/>
          <w:szCs w:val="22"/>
          <w:lang w:val="lv-LV"/>
        </w:rPr>
        <w:t>ēš</w:t>
      </w:r>
      <w:r w:rsidR="00C41387" w:rsidRPr="00DD4EE9">
        <w:rPr>
          <w:rFonts w:ascii="Times New Roman" w:hAnsi="Times New Roman"/>
          <w:sz w:val="22"/>
          <w:szCs w:val="22"/>
          <w:lang w:val="lv-LV"/>
        </w:rPr>
        <w:t>anai; antiseptiski l</w:t>
      </w:r>
      <w:r w:rsidR="00C41387" w:rsidRPr="00DD4EE9">
        <w:rPr>
          <w:rFonts w:ascii="Times New Roman" w:hAnsi="Times New Roman" w:hint="eastAsia"/>
          <w:sz w:val="22"/>
          <w:szCs w:val="22"/>
          <w:lang w:val="lv-LV"/>
        </w:rPr>
        <w:t>ī</w:t>
      </w:r>
      <w:r w:rsidR="00C41387" w:rsidRPr="00DD4EE9">
        <w:rPr>
          <w:rFonts w:ascii="Times New Roman" w:hAnsi="Times New Roman"/>
          <w:sz w:val="22"/>
          <w:szCs w:val="22"/>
          <w:lang w:val="lv-LV"/>
        </w:rPr>
        <w:t>dzek</w:t>
      </w:r>
      <w:r w:rsidR="00C41387" w:rsidRPr="00DD4EE9">
        <w:rPr>
          <w:rFonts w:ascii="Times New Roman" w:hAnsi="Times New Roman" w:hint="eastAsia"/>
          <w:sz w:val="22"/>
          <w:szCs w:val="22"/>
          <w:lang w:val="lv-LV"/>
        </w:rPr>
        <w:t>ļ</w:t>
      </w:r>
      <w:r w:rsidR="00C41387" w:rsidRPr="00DD4EE9">
        <w:rPr>
          <w:rFonts w:ascii="Times New Roman" w:hAnsi="Times New Roman"/>
          <w:sz w:val="22"/>
          <w:szCs w:val="22"/>
          <w:lang w:val="lv-LV"/>
        </w:rPr>
        <w:t>i; daž</w:t>
      </w:r>
      <w:r w:rsidR="00C41387" w:rsidRPr="00DD4EE9">
        <w:rPr>
          <w:rFonts w:ascii="Times New Roman" w:hAnsi="Times New Roman" w:hint="eastAsia"/>
          <w:sz w:val="22"/>
          <w:szCs w:val="22"/>
          <w:lang w:val="lv-LV"/>
        </w:rPr>
        <w:t>ā</w:t>
      </w:r>
      <w:r w:rsidR="00C41387" w:rsidRPr="00DD4EE9">
        <w:rPr>
          <w:rFonts w:ascii="Times New Roman" w:hAnsi="Times New Roman"/>
          <w:sz w:val="22"/>
          <w:szCs w:val="22"/>
          <w:lang w:val="lv-LV"/>
        </w:rPr>
        <w:t>di</w:t>
      </w:r>
      <w:r w:rsidRPr="00A15B2E">
        <w:rPr>
          <w:rFonts w:ascii="Times New Roman" w:hAnsi="Times New Roman"/>
          <w:sz w:val="22"/>
          <w:szCs w:val="22"/>
          <w:lang w:val="lv-LV"/>
        </w:rPr>
        <w:t xml:space="preserve">, </w:t>
      </w:r>
      <w:r w:rsidR="00C41387" w:rsidRPr="00DD4EE9">
        <w:rPr>
          <w:rFonts w:ascii="Times New Roman" w:hAnsi="Times New Roman"/>
          <w:sz w:val="22"/>
          <w:szCs w:val="22"/>
          <w:lang w:val="lv-LV"/>
        </w:rPr>
        <w:t>AT</w:t>
      </w:r>
      <w:r w:rsidR="00C41387" w:rsidRPr="00DD4EE9">
        <w:rPr>
          <w:rFonts w:ascii="Times New Roman" w:hAnsi="Times New Roman" w:hint="eastAsia"/>
          <w:sz w:val="22"/>
          <w:szCs w:val="22"/>
          <w:lang w:val="lv-LV"/>
        </w:rPr>
        <w:t>Ķ</w:t>
      </w:r>
      <w:r w:rsidR="00C41387" w:rsidRPr="00DD4EE9">
        <w:rPr>
          <w:rFonts w:ascii="Times New Roman" w:hAnsi="Times New Roman"/>
          <w:sz w:val="22"/>
          <w:szCs w:val="22"/>
          <w:lang w:val="lv-LV"/>
        </w:rPr>
        <w:t xml:space="preserve"> kods: R02</w:t>
      </w:r>
      <w:r w:rsidRPr="00A15B2E">
        <w:rPr>
          <w:rFonts w:ascii="Times New Roman" w:hAnsi="Times New Roman"/>
          <w:sz w:val="22"/>
          <w:szCs w:val="22"/>
          <w:lang w:val="lv-LV"/>
        </w:rPr>
        <w:t> </w:t>
      </w:r>
      <w:r w:rsidR="00C41387" w:rsidRPr="00DD4EE9">
        <w:rPr>
          <w:rFonts w:ascii="Times New Roman" w:hAnsi="Times New Roman"/>
          <w:sz w:val="22"/>
          <w:szCs w:val="22"/>
          <w:lang w:val="lv-LV"/>
        </w:rPr>
        <w:t>AA</w:t>
      </w:r>
      <w:r w:rsidRPr="00A15B2E">
        <w:rPr>
          <w:rFonts w:ascii="Times New Roman" w:hAnsi="Times New Roman"/>
          <w:sz w:val="22"/>
          <w:szCs w:val="22"/>
          <w:lang w:val="lv-LV"/>
        </w:rPr>
        <w:t> </w:t>
      </w:r>
      <w:r w:rsidR="00C41387" w:rsidRPr="00DD4EE9">
        <w:rPr>
          <w:rFonts w:ascii="Times New Roman" w:hAnsi="Times New Roman"/>
          <w:sz w:val="22"/>
          <w:szCs w:val="22"/>
          <w:lang w:val="lv-LV"/>
        </w:rPr>
        <w:t>20.</w:t>
      </w:r>
    </w:p>
    <w:p w14:paraId="34A2679E" w14:textId="41C0C68F" w:rsidR="00C41387" w:rsidRPr="00DD4EE9" w:rsidRDefault="00487489" w:rsidP="00DD4EE9">
      <w:pPr>
        <w:pStyle w:val="ListParagraph"/>
        <w:numPr>
          <w:ilvl w:val="0"/>
          <w:numId w:val="21"/>
        </w:numPr>
        <w:ind w:left="567" w:hanging="567"/>
        <w:rPr>
          <w:rFonts w:ascii="Times New Roman" w:hAnsi="Times New Roman"/>
          <w:sz w:val="22"/>
          <w:szCs w:val="22"/>
          <w:lang w:val="lv-LV"/>
        </w:rPr>
      </w:pPr>
      <w:r w:rsidRPr="00A15B2E">
        <w:rPr>
          <w:rFonts w:ascii="Times New Roman" w:hAnsi="Times New Roman"/>
          <w:sz w:val="22"/>
          <w:szCs w:val="22"/>
          <w:lang w:val="lv-LV"/>
        </w:rPr>
        <w:t>stomatolo</w:t>
      </w:r>
      <w:r w:rsidRPr="00A15B2E">
        <w:rPr>
          <w:rFonts w:ascii="Times New Roman" w:hAnsi="Times New Roman" w:hint="eastAsia"/>
          <w:sz w:val="22"/>
          <w:szCs w:val="22"/>
          <w:lang w:val="lv-LV"/>
        </w:rPr>
        <w:t>ģ</w:t>
      </w:r>
      <w:r w:rsidRPr="00A15B2E">
        <w:rPr>
          <w:rFonts w:ascii="Times New Roman" w:hAnsi="Times New Roman"/>
          <w:sz w:val="22"/>
          <w:szCs w:val="22"/>
          <w:lang w:val="lv-LV"/>
        </w:rPr>
        <w:t>iskie l</w:t>
      </w:r>
      <w:r w:rsidRPr="00A15B2E">
        <w:rPr>
          <w:rFonts w:ascii="Times New Roman" w:hAnsi="Times New Roman" w:hint="eastAsia"/>
          <w:sz w:val="22"/>
          <w:szCs w:val="22"/>
          <w:lang w:val="lv-LV"/>
        </w:rPr>
        <w:t>ī</w:t>
      </w:r>
      <w:r w:rsidRPr="00A15B2E">
        <w:rPr>
          <w:rFonts w:ascii="Times New Roman" w:hAnsi="Times New Roman"/>
          <w:sz w:val="22"/>
          <w:szCs w:val="22"/>
          <w:lang w:val="lv-LV"/>
        </w:rPr>
        <w:t>dzek</w:t>
      </w:r>
      <w:r w:rsidRPr="00A15B2E">
        <w:rPr>
          <w:rFonts w:ascii="Times New Roman" w:hAnsi="Times New Roman" w:hint="eastAsia"/>
          <w:sz w:val="22"/>
          <w:szCs w:val="22"/>
          <w:lang w:val="lv-LV"/>
        </w:rPr>
        <w:t>ļ</w:t>
      </w:r>
      <w:r w:rsidRPr="00A15B2E">
        <w:rPr>
          <w:rFonts w:ascii="Times New Roman" w:hAnsi="Times New Roman"/>
          <w:sz w:val="22"/>
          <w:szCs w:val="22"/>
          <w:lang w:val="lv-LV"/>
        </w:rPr>
        <w:t xml:space="preserve">i, </w:t>
      </w:r>
      <w:r w:rsidR="00C41387" w:rsidRPr="00DD4EE9">
        <w:rPr>
          <w:rFonts w:ascii="Times New Roman" w:hAnsi="Times New Roman"/>
          <w:sz w:val="22"/>
          <w:szCs w:val="22"/>
          <w:lang w:val="lv-LV"/>
        </w:rPr>
        <w:t>AT</w:t>
      </w:r>
      <w:r w:rsidR="00C41387" w:rsidRPr="00DD4EE9">
        <w:rPr>
          <w:rFonts w:ascii="Times New Roman" w:hAnsi="Times New Roman" w:hint="eastAsia"/>
          <w:sz w:val="22"/>
          <w:szCs w:val="22"/>
          <w:lang w:val="lv-LV"/>
        </w:rPr>
        <w:t>Ķ</w:t>
      </w:r>
      <w:r w:rsidR="00C41387" w:rsidRPr="00DD4EE9">
        <w:rPr>
          <w:rFonts w:ascii="Times New Roman" w:hAnsi="Times New Roman"/>
          <w:sz w:val="22"/>
          <w:szCs w:val="22"/>
          <w:lang w:val="lv-LV"/>
        </w:rPr>
        <w:t xml:space="preserve"> kods: A01 AD 11.</w:t>
      </w:r>
    </w:p>
    <w:p w14:paraId="556DF5AF" w14:textId="77777777" w:rsidR="00C41387" w:rsidRPr="006405A4" w:rsidRDefault="00C41387" w:rsidP="006405A4">
      <w:pPr>
        <w:numPr>
          <w:ilvl w:val="12"/>
          <w:numId w:val="0"/>
        </w:numPr>
        <w:rPr>
          <w:rFonts w:ascii="Times New Roman" w:hAnsi="Times New Roman"/>
          <w:sz w:val="22"/>
          <w:szCs w:val="22"/>
          <w:lang w:val="lv-LV"/>
        </w:rPr>
      </w:pPr>
    </w:p>
    <w:p w14:paraId="767730E2"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Holīna salicilāts ir salicilskābes atvasinājums. Salicilāti ir nesteroīdi pretiekaisuma līdzekļi ar pretdrudža un pretsāpju iedarbību.</w:t>
      </w:r>
    </w:p>
    <w:p w14:paraId="559B4709"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Salicilātu pretiekaisuma darbība galvenokārt ir atkarīga no ciklooksigenāzes inhibēšanas, kā rezultātā mazinās ciklisko supraoksīdu un iekaisuma mediatoru (tromboksānu, prostaglandīnu un prostaciklīnu) sintēze.</w:t>
      </w:r>
    </w:p>
    <w:p w14:paraId="410104B4"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Salicilāti ir viegli pretsāpju līdzekļi, un to pretsāpju darbība ir atkarīga no prostaglandīnu, kuri ir iesaistīti sāpju reakcijās, sintēzes inhibīcijas.</w:t>
      </w:r>
    </w:p>
    <w:p w14:paraId="5F1E3E76" w14:textId="3BFCBDAC"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Salicilātu pretsāpju darbība tiek realizēta gan centrāli</w:t>
      </w:r>
      <w:r w:rsidR="004D0A08">
        <w:rPr>
          <w:rFonts w:ascii="Times New Roman" w:hAnsi="Times New Roman"/>
          <w:sz w:val="22"/>
          <w:szCs w:val="22"/>
          <w:lang w:val="lv-LV"/>
        </w:rPr>
        <w:t xml:space="preserve"> – </w:t>
      </w:r>
      <w:r w:rsidRPr="006405A4">
        <w:rPr>
          <w:rFonts w:ascii="Times New Roman" w:hAnsi="Times New Roman"/>
          <w:sz w:val="22"/>
          <w:szCs w:val="22"/>
          <w:lang w:val="lv-LV"/>
        </w:rPr>
        <w:t>inhibējoši iedarbojoties uz zemgarozas slāni, gan perifēri</w:t>
      </w:r>
      <w:r w:rsidR="004D0A08">
        <w:rPr>
          <w:rFonts w:ascii="Times New Roman" w:hAnsi="Times New Roman"/>
          <w:sz w:val="22"/>
          <w:szCs w:val="22"/>
          <w:lang w:val="lv-LV"/>
        </w:rPr>
        <w:t xml:space="preserve"> – </w:t>
      </w:r>
      <w:r w:rsidRPr="006405A4">
        <w:rPr>
          <w:rFonts w:ascii="Times New Roman" w:hAnsi="Times New Roman"/>
          <w:sz w:val="22"/>
          <w:szCs w:val="22"/>
          <w:lang w:val="lv-LV"/>
        </w:rPr>
        <w:t>samazinot jušanas nervgaļu jutību pret sāpēm.</w:t>
      </w:r>
    </w:p>
    <w:p w14:paraId="264F233D" w14:textId="6A054C2B"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Salicilātu pretdrudža iedarbību var novērot tikai cilvēkiem, </w:t>
      </w:r>
      <w:r w:rsidR="004D0A08">
        <w:rPr>
          <w:rFonts w:ascii="Times New Roman" w:hAnsi="Times New Roman"/>
          <w:sz w:val="22"/>
          <w:szCs w:val="22"/>
          <w:lang w:val="lv-LV"/>
        </w:rPr>
        <w:t>kuriem</w:t>
      </w:r>
      <w:r w:rsidR="004D0A08" w:rsidRPr="006405A4">
        <w:rPr>
          <w:rFonts w:ascii="Times New Roman" w:hAnsi="Times New Roman"/>
          <w:sz w:val="22"/>
          <w:szCs w:val="22"/>
          <w:lang w:val="lv-LV"/>
        </w:rPr>
        <w:t xml:space="preserve"> </w:t>
      </w:r>
      <w:r w:rsidRPr="006405A4">
        <w:rPr>
          <w:rFonts w:ascii="Times New Roman" w:hAnsi="Times New Roman"/>
          <w:sz w:val="22"/>
          <w:szCs w:val="22"/>
          <w:lang w:val="lv-LV"/>
        </w:rPr>
        <w:t xml:space="preserve">ir drudzis, un arī tās pamatā ir prostaglandīnu sintēzes inhibēšana. </w:t>
      </w:r>
    </w:p>
    <w:p w14:paraId="4507A3FE"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Holīna pievienošana palielina siekalu izdalīšanos, kas papildina šo zāļu pretiekaisuma iedarbību.</w:t>
      </w:r>
    </w:p>
    <w:p w14:paraId="512B1007" w14:textId="531E2738"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Uzņēmuma ietvaros veiktos pētījumos ir pierādīti relatīvi augsti </w:t>
      </w:r>
      <w:r w:rsidRPr="006405A4">
        <w:rPr>
          <w:rFonts w:ascii="Times New Roman" w:hAnsi="Times New Roman"/>
          <w:i/>
          <w:sz w:val="22"/>
          <w:szCs w:val="22"/>
          <w:lang w:val="lv-LV"/>
        </w:rPr>
        <w:t>Streptococcus pyogenes</w:t>
      </w:r>
      <w:r w:rsidRPr="006405A4">
        <w:rPr>
          <w:rFonts w:ascii="Times New Roman" w:hAnsi="Times New Roman"/>
          <w:sz w:val="22"/>
          <w:szCs w:val="22"/>
          <w:lang w:val="lv-LV"/>
        </w:rPr>
        <w:t xml:space="preserve">, </w:t>
      </w:r>
      <w:r w:rsidRPr="006405A4">
        <w:rPr>
          <w:rFonts w:ascii="Times New Roman" w:hAnsi="Times New Roman"/>
          <w:i/>
          <w:sz w:val="22"/>
          <w:szCs w:val="22"/>
          <w:lang w:val="lv-LV"/>
        </w:rPr>
        <w:t>Str.</w:t>
      </w:r>
      <w:r w:rsidR="004D0A08">
        <w:rPr>
          <w:rFonts w:ascii="Times New Roman" w:hAnsi="Times New Roman"/>
          <w:i/>
          <w:sz w:val="22"/>
          <w:szCs w:val="22"/>
          <w:lang w:val="lv-LV"/>
        </w:rPr>
        <w:t> </w:t>
      </w:r>
      <w:r w:rsidRPr="006405A4">
        <w:rPr>
          <w:rFonts w:ascii="Times New Roman" w:hAnsi="Times New Roman"/>
          <w:i/>
          <w:sz w:val="22"/>
          <w:szCs w:val="22"/>
          <w:lang w:val="lv-LV"/>
        </w:rPr>
        <w:t>anginosus</w:t>
      </w:r>
      <w:r w:rsidRPr="006405A4">
        <w:rPr>
          <w:rFonts w:ascii="Times New Roman" w:hAnsi="Times New Roman"/>
          <w:sz w:val="22"/>
          <w:szCs w:val="22"/>
          <w:lang w:val="lv-LV"/>
        </w:rPr>
        <w:t xml:space="preserve"> un </w:t>
      </w:r>
      <w:r w:rsidRPr="006405A4">
        <w:rPr>
          <w:rFonts w:ascii="Times New Roman" w:hAnsi="Times New Roman"/>
          <w:i/>
          <w:sz w:val="22"/>
          <w:szCs w:val="22"/>
          <w:lang w:val="lv-LV"/>
        </w:rPr>
        <w:t>H. influenzae</w:t>
      </w:r>
      <w:r w:rsidRPr="006405A4">
        <w:rPr>
          <w:rFonts w:ascii="Times New Roman" w:hAnsi="Times New Roman"/>
          <w:sz w:val="22"/>
          <w:szCs w:val="22"/>
          <w:lang w:val="lv-LV"/>
        </w:rPr>
        <w:t xml:space="preserve"> celmu samazinājuma faktori (RF&gt;1000, PR&gt;99,9), kas liecina, ka </w:t>
      </w:r>
      <w:r w:rsidR="004D0A08" w:rsidRPr="004D0A08">
        <w:rPr>
          <w:rFonts w:ascii="Times New Roman" w:hAnsi="Times New Roman"/>
          <w:sz w:val="22"/>
          <w:szCs w:val="22"/>
          <w:lang w:val="lv-LV"/>
        </w:rPr>
        <w:t xml:space="preserve">Faringodol </w:t>
      </w:r>
      <w:r w:rsidRPr="006405A4">
        <w:rPr>
          <w:rFonts w:ascii="Times New Roman" w:hAnsi="Times New Roman"/>
          <w:sz w:val="22"/>
          <w:szCs w:val="22"/>
          <w:lang w:val="lv-LV"/>
        </w:rPr>
        <w:t xml:space="preserve"> lietošanai vajadzētu sekmēt antibiotiku terapeitisko darbību, likvidējot infekcijas izraisītāju.</w:t>
      </w:r>
    </w:p>
    <w:p w14:paraId="7C12C4B1" w14:textId="77777777" w:rsidR="00C41387" w:rsidRPr="006405A4" w:rsidRDefault="00C41387" w:rsidP="006405A4">
      <w:pPr>
        <w:numPr>
          <w:ilvl w:val="12"/>
          <w:numId w:val="0"/>
        </w:numPr>
        <w:rPr>
          <w:rFonts w:ascii="Times New Roman" w:hAnsi="Times New Roman"/>
          <w:sz w:val="22"/>
          <w:szCs w:val="22"/>
          <w:lang w:val="lv-LV"/>
        </w:rPr>
      </w:pPr>
    </w:p>
    <w:p w14:paraId="7710A692" w14:textId="77777777" w:rsidR="00C41387" w:rsidRPr="00DD4EE9" w:rsidRDefault="00C41387" w:rsidP="00DD4EE9">
      <w:pPr>
        <w:pStyle w:val="ListParagraph"/>
        <w:numPr>
          <w:ilvl w:val="1"/>
          <w:numId w:val="20"/>
        </w:numPr>
        <w:ind w:left="567" w:hanging="567"/>
        <w:rPr>
          <w:rFonts w:ascii="Times New Roman" w:hAnsi="Times New Roman"/>
          <w:sz w:val="22"/>
          <w:szCs w:val="22"/>
          <w:lang w:val="lv-LV"/>
        </w:rPr>
      </w:pPr>
      <w:r w:rsidRPr="00DD4EE9">
        <w:rPr>
          <w:rFonts w:ascii="Times New Roman" w:hAnsi="Times New Roman"/>
          <w:b/>
          <w:sz w:val="22"/>
          <w:szCs w:val="22"/>
          <w:lang w:val="lv-LV"/>
        </w:rPr>
        <w:t>Farmakokin</w:t>
      </w:r>
      <w:r w:rsidRPr="00DD4EE9">
        <w:rPr>
          <w:rFonts w:ascii="Times New Roman" w:hAnsi="Times New Roman" w:hint="eastAsia"/>
          <w:b/>
          <w:sz w:val="22"/>
          <w:szCs w:val="22"/>
          <w:lang w:val="lv-LV"/>
        </w:rPr>
        <w:t>ē</w:t>
      </w:r>
      <w:r w:rsidRPr="00DD4EE9">
        <w:rPr>
          <w:rFonts w:ascii="Times New Roman" w:hAnsi="Times New Roman"/>
          <w:b/>
          <w:sz w:val="22"/>
          <w:szCs w:val="22"/>
          <w:lang w:val="lv-LV"/>
        </w:rPr>
        <w:t>tisk</w:t>
      </w:r>
      <w:r w:rsidRPr="00DD4EE9">
        <w:rPr>
          <w:rFonts w:ascii="Times New Roman" w:hAnsi="Times New Roman" w:hint="eastAsia"/>
          <w:b/>
          <w:sz w:val="22"/>
          <w:szCs w:val="22"/>
          <w:lang w:val="lv-LV"/>
        </w:rPr>
        <w:t>ā</w:t>
      </w:r>
      <w:r w:rsidRPr="00DD4EE9">
        <w:rPr>
          <w:rFonts w:ascii="Times New Roman" w:hAnsi="Times New Roman"/>
          <w:b/>
          <w:sz w:val="22"/>
          <w:szCs w:val="22"/>
          <w:lang w:val="lv-LV"/>
        </w:rPr>
        <w:t xml:space="preserve">s </w:t>
      </w:r>
      <w:r w:rsidRPr="00DD4EE9">
        <w:rPr>
          <w:rFonts w:ascii="Times New Roman" w:hAnsi="Times New Roman" w:hint="eastAsia"/>
          <w:b/>
          <w:sz w:val="22"/>
          <w:szCs w:val="22"/>
          <w:lang w:val="lv-LV"/>
        </w:rPr>
        <w:t>ī</w:t>
      </w:r>
      <w:r w:rsidRPr="00DD4EE9">
        <w:rPr>
          <w:rFonts w:ascii="Times New Roman" w:hAnsi="Times New Roman"/>
          <w:b/>
          <w:sz w:val="22"/>
          <w:szCs w:val="22"/>
          <w:lang w:val="lv-LV"/>
        </w:rPr>
        <w:t>paš</w:t>
      </w:r>
      <w:r w:rsidRPr="00DD4EE9">
        <w:rPr>
          <w:rFonts w:ascii="Times New Roman" w:hAnsi="Times New Roman" w:hint="eastAsia"/>
          <w:b/>
          <w:sz w:val="22"/>
          <w:szCs w:val="22"/>
          <w:lang w:val="lv-LV"/>
        </w:rPr>
        <w:t>ī</w:t>
      </w:r>
      <w:r w:rsidRPr="00DD4EE9">
        <w:rPr>
          <w:rFonts w:ascii="Times New Roman" w:hAnsi="Times New Roman"/>
          <w:b/>
          <w:sz w:val="22"/>
          <w:szCs w:val="22"/>
          <w:lang w:val="lv-LV"/>
        </w:rPr>
        <w:t>bas</w:t>
      </w:r>
    </w:p>
    <w:p w14:paraId="54D31B03" w14:textId="77777777" w:rsidR="00C41387" w:rsidRPr="006405A4" w:rsidRDefault="00C41387" w:rsidP="006405A4">
      <w:pPr>
        <w:numPr>
          <w:ilvl w:val="12"/>
          <w:numId w:val="0"/>
        </w:numPr>
        <w:rPr>
          <w:rFonts w:ascii="Times New Roman" w:hAnsi="Times New Roman"/>
          <w:sz w:val="22"/>
          <w:szCs w:val="22"/>
          <w:lang w:val="lv-LV"/>
        </w:rPr>
      </w:pPr>
    </w:p>
    <w:p w14:paraId="41C01230" w14:textId="39E105F1"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Tā kā </w:t>
      </w:r>
      <w:r w:rsidR="004D0A08" w:rsidRPr="004D0A08">
        <w:rPr>
          <w:rFonts w:ascii="Times New Roman" w:hAnsi="Times New Roman"/>
          <w:sz w:val="22"/>
          <w:szCs w:val="22"/>
          <w:lang w:val="lv-LV"/>
        </w:rPr>
        <w:t xml:space="preserve">Faringodol </w:t>
      </w:r>
      <w:r w:rsidRPr="006405A4">
        <w:rPr>
          <w:rFonts w:ascii="Times New Roman" w:hAnsi="Times New Roman"/>
          <w:sz w:val="22"/>
          <w:szCs w:val="22"/>
          <w:lang w:val="lv-LV"/>
        </w:rPr>
        <w:t xml:space="preserve">150 mg ir sūkājamo tablešu formā, </w:t>
      </w:r>
      <w:r w:rsidR="004D0A08">
        <w:rPr>
          <w:rFonts w:ascii="Times New Roman" w:hAnsi="Times New Roman"/>
          <w:sz w:val="22"/>
          <w:szCs w:val="22"/>
          <w:lang w:val="lv-LV"/>
        </w:rPr>
        <w:t xml:space="preserve">dati par </w:t>
      </w:r>
      <w:r w:rsidRPr="006405A4">
        <w:rPr>
          <w:rFonts w:ascii="Times New Roman" w:hAnsi="Times New Roman"/>
          <w:sz w:val="22"/>
          <w:szCs w:val="22"/>
          <w:lang w:val="lv-LV"/>
        </w:rPr>
        <w:t>farmakokinētik</w:t>
      </w:r>
      <w:r w:rsidR="004D0A08">
        <w:rPr>
          <w:rFonts w:ascii="Times New Roman" w:hAnsi="Times New Roman"/>
          <w:sz w:val="22"/>
          <w:szCs w:val="22"/>
          <w:lang w:val="lv-LV"/>
        </w:rPr>
        <w:t>u nav pieejami</w:t>
      </w:r>
      <w:r w:rsidRPr="006405A4">
        <w:rPr>
          <w:rFonts w:ascii="Times New Roman" w:hAnsi="Times New Roman"/>
          <w:sz w:val="22"/>
          <w:szCs w:val="22"/>
          <w:lang w:val="lv-LV"/>
        </w:rPr>
        <w:t>.</w:t>
      </w:r>
    </w:p>
    <w:p w14:paraId="00869BF3" w14:textId="77777777" w:rsidR="00C41387" w:rsidRPr="006405A4" w:rsidRDefault="00C41387" w:rsidP="006405A4">
      <w:pPr>
        <w:numPr>
          <w:ilvl w:val="12"/>
          <w:numId w:val="0"/>
        </w:numPr>
        <w:rPr>
          <w:rFonts w:ascii="Times New Roman" w:hAnsi="Times New Roman"/>
          <w:sz w:val="22"/>
          <w:szCs w:val="22"/>
          <w:lang w:val="lv-LV"/>
        </w:rPr>
      </w:pPr>
    </w:p>
    <w:p w14:paraId="47196AF4" w14:textId="08ADC446" w:rsidR="00C41387" w:rsidRPr="00DD4EE9" w:rsidRDefault="004D0A08" w:rsidP="0076650C">
      <w:pPr>
        <w:numPr>
          <w:ilvl w:val="12"/>
          <w:numId w:val="0"/>
        </w:numPr>
        <w:rPr>
          <w:rFonts w:ascii="Times New Roman" w:hAnsi="Times New Roman"/>
          <w:sz w:val="22"/>
          <w:szCs w:val="22"/>
          <w:u w:val="single"/>
          <w:lang w:val="lv-LV"/>
        </w:rPr>
      </w:pPr>
      <w:r w:rsidRPr="00DD4EE9">
        <w:rPr>
          <w:rFonts w:ascii="Times New Roman" w:hAnsi="Times New Roman"/>
          <w:sz w:val="22"/>
          <w:szCs w:val="22"/>
          <w:u w:val="single"/>
          <w:lang w:val="lv-LV"/>
        </w:rPr>
        <w:t>Uzs</w:t>
      </w:r>
      <w:r w:rsidRPr="00DD4EE9">
        <w:rPr>
          <w:rFonts w:ascii="Times New Roman" w:hAnsi="Times New Roman" w:hint="eastAsia"/>
          <w:sz w:val="22"/>
          <w:szCs w:val="22"/>
          <w:u w:val="single"/>
          <w:lang w:val="lv-LV"/>
        </w:rPr>
        <w:t>ū</w:t>
      </w:r>
      <w:r w:rsidRPr="00DD4EE9">
        <w:rPr>
          <w:rFonts w:ascii="Times New Roman" w:hAnsi="Times New Roman"/>
          <w:sz w:val="22"/>
          <w:szCs w:val="22"/>
          <w:u w:val="single"/>
          <w:lang w:val="lv-LV"/>
        </w:rPr>
        <w:t>kšan</w:t>
      </w:r>
      <w:r w:rsidRPr="00DD4EE9">
        <w:rPr>
          <w:rFonts w:ascii="Times New Roman" w:hAnsi="Times New Roman" w:hint="eastAsia"/>
          <w:sz w:val="22"/>
          <w:szCs w:val="22"/>
          <w:u w:val="single"/>
          <w:lang w:val="lv-LV"/>
        </w:rPr>
        <w:t>ā</w:t>
      </w:r>
      <w:r w:rsidRPr="00DD4EE9">
        <w:rPr>
          <w:rFonts w:ascii="Times New Roman" w:hAnsi="Times New Roman"/>
          <w:sz w:val="22"/>
          <w:szCs w:val="22"/>
          <w:u w:val="single"/>
          <w:lang w:val="lv-LV"/>
        </w:rPr>
        <w:t>s</w:t>
      </w:r>
      <w:r w:rsidRPr="00DD4EE9" w:rsidDel="004D0A08">
        <w:rPr>
          <w:rFonts w:ascii="Times New Roman" w:hAnsi="Times New Roman"/>
          <w:sz w:val="22"/>
          <w:szCs w:val="22"/>
          <w:u w:val="single"/>
          <w:lang w:val="lv-LV"/>
        </w:rPr>
        <w:t xml:space="preserve"> </w:t>
      </w:r>
    </w:p>
    <w:p w14:paraId="3528FCE4" w14:textId="38B3F767" w:rsidR="00C41387" w:rsidRPr="006405A4" w:rsidRDefault="00C41387">
      <w:pPr>
        <w:numPr>
          <w:ilvl w:val="12"/>
          <w:numId w:val="0"/>
        </w:numPr>
        <w:rPr>
          <w:rFonts w:ascii="Times New Roman" w:hAnsi="Times New Roman"/>
          <w:sz w:val="22"/>
          <w:szCs w:val="22"/>
          <w:lang w:val="lv-LV"/>
        </w:rPr>
      </w:pPr>
      <w:r w:rsidRPr="006405A4">
        <w:rPr>
          <w:rFonts w:ascii="Times New Roman" w:hAnsi="Times New Roman"/>
          <w:sz w:val="22"/>
          <w:szCs w:val="22"/>
          <w:lang w:val="lv-LV"/>
        </w:rPr>
        <w:t>Pēc pieejam</w:t>
      </w:r>
      <w:r w:rsidR="004D0A08">
        <w:rPr>
          <w:rFonts w:ascii="Times New Roman" w:hAnsi="Times New Roman"/>
          <w:sz w:val="22"/>
          <w:szCs w:val="22"/>
          <w:lang w:val="lv-LV"/>
        </w:rPr>
        <w:t>ajiem datiem</w:t>
      </w:r>
      <w:r w:rsidRPr="006405A4">
        <w:rPr>
          <w:rFonts w:ascii="Times New Roman" w:hAnsi="Times New Roman"/>
          <w:sz w:val="22"/>
          <w:szCs w:val="22"/>
          <w:lang w:val="lv-LV"/>
        </w:rPr>
        <w:t xml:space="preserve"> nevar noteikt zāļu daudzumu, kas ar siekalām nonāk kuņģa-zarnu traktā, un daudzumu, kas uzsūcas caur mutes dobuma gļotādu.</w:t>
      </w:r>
    </w:p>
    <w:p w14:paraId="007A8B80" w14:textId="77777777" w:rsidR="00C41387" w:rsidRPr="006405A4" w:rsidRDefault="00C41387">
      <w:pPr>
        <w:numPr>
          <w:ilvl w:val="12"/>
          <w:numId w:val="0"/>
        </w:numPr>
        <w:rPr>
          <w:rFonts w:ascii="Times New Roman" w:hAnsi="Times New Roman"/>
          <w:sz w:val="22"/>
          <w:szCs w:val="22"/>
          <w:lang w:val="lv-LV"/>
        </w:rPr>
      </w:pPr>
    </w:p>
    <w:p w14:paraId="78466AB7" w14:textId="77777777" w:rsidR="00C41387" w:rsidRPr="00DD4EE9" w:rsidRDefault="00C41387">
      <w:pPr>
        <w:numPr>
          <w:ilvl w:val="12"/>
          <w:numId w:val="0"/>
        </w:numPr>
        <w:rPr>
          <w:rFonts w:ascii="Times New Roman" w:hAnsi="Times New Roman"/>
          <w:sz w:val="22"/>
          <w:szCs w:val="22"/>
          <w:u w:val="single"/>
          <w:lang w:val="lv-LV"/>
        </w:rPr>
      </w:pPr>
      <w:r w:rsidRPr="00DD4EE9">
        <w:rPr>
          <w:rFonts w:ascii="Times New Roman" w:hAnsi="Times New Roman"/>
          <w:sz w:val="22"/>
          <w:szCs w:val="22"/>
          <w:u w:val="single"/>
          <w:lang w:val="lv-LV"/>
        </w:rPr>
        <w:t>Metabolisms</w:t>
      </w:r>
    </w:p>
    <w:p w14:paraId="4078D7AE" w14:textId="6B270A66" w:rsidR="00C41387" w:rsidRPr="006405A4" w:rsidRDefault="00C41387">
      <w:pPr>
        <w:numPr>
          <w:ilvl w:val="12"/>
          <w:numId w:val="0"/>
        </w:numPr>
        <w:rPr>
          <w:rFonts w:ascii="Times New Roman" w:hAnsi="Times New Roman"/>
          <w:sz w:val="22"/>
          <w:szCs w:val="22"/>
          <w:lang w:val="lv-LV"/>
        </w:rPr>
      </w:pPr>
      <w:r w:rsidRPr="006405A4">
        <w:rPr>
          <w:rFonts w:ascii="Times New Roman" w:hAnsi="Times New Roman"/>
          <w:sz w:val="22"/>
          <w:szCs w:val="22"/>
          <w:lang w:val="lv-LV"/>
        </w:rPr>
        <w:t>Salicilskābes atvasinājumu saistīšanās ar proteīniem ir 70</w:t>
      </w:r>
      <w:r w:rsidR="002F18D1">
        <w:rPr>
          <w:rFonts w:ascii="Times New Roman" w:hAnsi="Times New Roman"/>
          <w:sz w:val="22"/>
          <w:szCs w:val="22"/>
          <w:lang w:val="lv-LV"/>
        </w:rPr>
        <w:t xml:space="preserve"> – </w:t>
      </w:r>
      <w:r w:rsidRPr="006405A4">
        <w:rPr>
          <w:rFonts w:ascii="Times New Roman" w:hAnsi="Times New Roman"/>
          <w:sz w:val="22"/>
          <w:szCs w:val="22"/>
          <w:lang w:val="lv-LV"/>
        </w:rPr>
        <w:t xml:space="preserve">90%. Bioloģiskais eliminācijas pusperiods svārstās no 2 līdz 4 stundām. </w:t>
      </w:r>
    </w:p>
    <w:p w14:paraId="76F7147C" w14:textId="53C6DF0B" w:rsidR="00C41387" w:rsidRPr="006405A4" w:rsidRDefault="00C41387">
      <w:pPr>
        <w:numPr>
          <w:ilvl w:val="12"/>
          <w:numId w:val="0"/>
        </w:numPr>
        <w:rPr>
          <w:rFonts w:ascii="Times New Roman" w:hAnsi="Times New Roman"/>
          <w:sz w:val="22"/>
          <w:szCs w:val="22"/>
          <w:lang w:val="lv-LV"/>
        </w:rPr>
      </w:pPr>
      <w:r w:rsidRPr="006405A4">
        <w:rPr>
          <w:rFonts w:ascii="Times New Roman" w:hAnsi="Times New Roman"/>
          <w:sz w:val="22"/>
          <w:szCs w:val="22"/>
          <w:lang w:val="lv-LV"/>
        </w:rPr>
        <w:t>Izkliedes tilpums ir atkarīgs no salicilātu koncentrācijas asinīs un svārstās no 0,1 l/kg līdz 0,35 l/kg. Kopējais klīrenss ir atkarīgs no urīna pH un no salicilātu koncentrācijas serumā, un tas ir 7,3</w:t>
      </w:r>
      <w:r w:rsidR="002F18D1">
        <w:rPr>
          <w:rFonts w:ascii="Times New Roman" w:hAnsi="Times New Roman"/>
          <w:sz w:val="22"/>
          <w:szCs w:val="22"/>
          <w:lang w:val="lv-LV"/>
        </w:rPr>
        <w:t> – </w:t>
      </w:r>
      <w:r w:rsidRPr="006405A4">
        <w:rPr>
          <w:rFonts w:ascii="Times New Roman" w:hAnsi="Times New Roman"/>
          <w:sz w:val="22"/>
          <w:szCs w:val="22"/>
          <w:lang w:val="lv-LV"/>
        </w:rPr>
        <w:t>21 ml/kg/h.</w:t>
      </w:r>
    </w:p>
    <w:p w14:paraId="7FD9D6EC" w14:textId="77777777" w:rsidR="00C41387" w:rsidRPr="006405A4" w:rsidRDefault="00C41387">
      <w:pPr>
        <w:pStyle w:val="BodyText"/>
        <w:jc w:val="left"/>
        <w:rPr>
          <w:rFonts w:ascii="Times New Roman" w:hAnsi="Times New Roman"/>
          <w:sz w:val="22"/>
          <w:szCs w:val="22"/>
        </w:rPr>
      </w:pPr>
      <w:r w:rsidRPr="006405A4">
        <w:rPr>
          <w:rFonts w:ascii="Times New Roman" w:hAnsi="Times New Roman"/>
          <w:sz w:val="22"/>
          <w:szCs w:val="22"/>
        </w:rPr>
        <w:t>Salicilāti tiek metabolizēti par salicilurīnskābi un gentizīnskābi, kas pēc tam tiek konjugētas ar glikuronskābi un izvadītas ar urīnu.</w:t>
      </w:r>
    </w:p>
    <w:p w14:paraId="631721EE" w14:textId="77777777" w:rsidR="00C41387" w:rsidRPr="006405A4" w:rsidRDefault="00C41387">
      <w:pPr>
        <w:pStyle w:val="BodyText"/>
        <w:jc w:val="left"/>
        <w:rPr>
          <w:rFonts w:ascii="Times New Roman" w:hAnsi="Times New Roman"/>
          <w:sz w:val="22"/>
          <w:szCs w:val="22"/>
        </w:rPr>
      </w:pPr>
      <w:r w:rsidRPr="006405A4">
        <w:rPr>
          <w:rFonts w:ascii="Times New Roman" w:hAnsi="Times New Roman"/>
          <w:sz w:val="22"/>
          <w:szCs w:val="22"/>
        </w:rPr>
        <w:t>Parasti aptuveni 10% salicilātu izdalās ar urīnu nemainītā veidā.</w:t>
      </w:r>
    </w:p>
    <w:p w14:paraId="097D8D98" w14:textId="77777777" w:rsidR="00C41387" w:rsidRPr="006405A4" w:rsidRDefault="00C41387">
      <w:pPr>
        <w:numPr>
          <w:ilvl w:val="12"/>
          <w:numId w:val="0"/>
        </w:numPr>
        <w:rPr>
          <w:rFonts w:ascii="Times New Roman" w:hAnsi="Times New Roman"/>
          <w:sz w:val="22"/>
          <w:szCs w:val="22"/>
          <w:lang w:val="lv-LV"/>
        </w:rPr>
      </w:pPr>
    </w:p>
    <w:p w14:paraId="30ADA370" w14:textId="0F6789BB" w:rsidR="00C41387" w:rsidRPr="006405A4" w:rsidRDefault="00C41387" w:rsidP="00DD4EE9">
      <w:pPr>
        <w:widowControl w:val="0"/>
        <w:numPr>
          <w:ilvl w:val="1"/>
          <w:numId w:val="20"/>
        </w:numPr>
        <w:ind w:left="567" w:hanging="567"/>
        <w:rPr>
          <w:rFonts w:ascii="Times New Roman" w:hAnsi="Times New Roman"/>
          <w:sz w:val="22"/>
          <w:szCs w:val="22"/>
          <w:lang w:val="lv-LV"/>
        </w:rPr>
      </w:pPr>
      <w:r w:rsidRPr="006405A4">
        <w:rPr>
          <w:rFonts w:ascii="Times New Roman" w:hAnsi="Times New Roman"/>
          <w:b/>
          <w:sz w:val="22"/>
          <w:szCs w:val="22"/>
          <w:lang w:val="lv-LV"/>
        </w:rPr>
        <w:t xml:space="preserve">Preklīniskie dati par </w:t>
      </w:r>
      <w:r w:rsidR="002F18D1">
        <w:rPr>
          <w:rFonts w:ascii="Times New Roman" w:hAnsi="Times New Roman"/>
          <w:b/>
          <w:sz w:val="22"/>
          <w:szCs w:val="22"/>
          <w:lang w:val="lv-LV"/>
        </w:rPr>
        <w:t>drošumu</w:t>
      </w:r>
    </w:p>
    <w:p w14:paraId="1063C167" w14:textId="77777777" w:rsidR="00C41387" w:rsidRPr="006405A4" w:rsidRDefault="00C41387" w:rsidP="006405A4">
      <w:pPr>
        <w:widowControl w:val="0"/>
        <w:numPr>
          <w:ilvl w:val="12"/>
          <w:numId w:val="0"/>
        </w:numPr>
        <w:rPr>
          <w:rFonts w:ascii="Times New Roman" w:hAnsi="Times New Roman"/>
          <w:sz w:val="22"/>
          <w:szCs w:val="22"/>
          <w:lang w:val="lv-LV"/>
        </w:rPr>
      </w:pPr>
    </w:p>
    <w:p w14:paraId="5DFF4B5B" w14:textId="77777777" w:rsidR="00C41387" w:rsidRPr="006405A4" w:rsidRDefault="00C41387" w:rsidP="006405A4">
      <w:pPr>
        <w:widowControl w:val="0"/>
        <w:numPr>
          <w:ilvl w:val="12"/>
          <w:numId w:val="0"/>
        </w:numPr>
        <w:rPr>
          <w:rFonts w:ascii="Times New Roman" w:hAnsi="Times New Roman"/>
          <w:sz w:val="22"/>
          <w:szCs w:val="22"/>
          <w:lang w:val="lv-LV"/>
        </w:rPr>
      </w:pPr>
      <w:r w:rsidRPr="006405A4">
        <w:rPr>
          <w:rFonts w:ascii="Times New Roman" w:hAnsi="Times New Roman"/>
          <w:sz w:val="22"/>
          <w:szCs w:val="22"/>
          <w:lang w:val="lv-LV"/>
        </w:rPr>
        <w:t>Literatūrā pieejamie dati par sastāvdaļu drošumu nesatur informāciju, kas būtu piemērojama ieteiktajām devām un šo zāļu lietošanas veidam.</w:t>
      </w:r>
    </w:p>
    <w:p w14:paraId="25FAD214"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25A11F3"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746F5218" w14:textId="77777777"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6.</w:t>
      </w:r>
      <w:r w:rsidRPr="006405A4">
        <w:rPr>
          <w:rFonts w:ascii="Times New Roman" w:hAnsi="Times New Roman"/>
          <w:b/>
          <w:sz w:val="22"/>
          <w:szCs w:val="22"/>
          <w:lang w:val="lv-LV"/>
        </w:rPr>
        <w:tab/>
        <w:t>FARMACEITISKĀ INFORMĀCIJA</w:t>
      </w:r>
    </w:p>
    <w:p w14:paraId="6DAD531C"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D5A44B2" w14:textId="77777777"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6.1</w:t>
      </w:r>
      <w:r w:rsidR="00AC3142">
        <w:rPr>
          <w:rFonts w:ascii="Times New Roman" w:hAnsi="Times New Roman"/>
          <w:b/>
          <w:sz w:val="22"/>
          <w:szCs w:val="22"/>
          <w:lang w:val="lv-LV"/>
        </w:rPr>
        <w:t>.</w:t>
      </w:r>
      <w:r w:rsidRPr="006405A4">
        <w:rPr>
          <w:rFonts w:ascii="Times New Roman" w:hAnsi="Times New Roman"/>
          <w:b/>
          <w:sz w:val="22"/>
          <w:szCs w:val="22"/>
          <w:lang w:val="lv-LV"/>
        </w:rPr>
        <w:tab/>
        <w:t>Palīgvielu saraksts</w:t>
      </w:r>
    </w:p>
    <w:p w14:paraId="7B0A2D50" w14:textId="77777777" w:rsidR="00C41387" w:rsidRPr="006405A4" w:rsidRDefault="00C41387" w:rsidP="006405A4">
      <w:pPr>
        <w:numPr>
          <w:ilvl w:val="12"/>
          <w:numId w:val="0"/>
        </w:numPr>
        <w:tabs>
          <w:tab w:val="center" w:pos="5760"/>
        </w:tabs>
        <w:ind w:left="576" w:hanging="576"/>
        <w:rPr>
          <w:rFonts w:ascii="Times New Roman" w:hAnsi="Times New Roman"/>
          <w:sz w:val="22"/>
          <w:szCs w:val="22"/>
          <w:lang w:val="lv-LV"/>
        </w:rPr>
      </w:pPr>
    </w:p>
    <w:p w14:paraId="50794F4C" w14:textId="77777777" w:rsidR="00C41387" w:rsidRPr="006405A4" w:rsidRDefault="00C41387" w:rsidP="006405A4">
      <w:pPr>
        <w:numPr>
          <w:ilvl w:val="12"/>
          <w:numId w:val="0"/>
        </w:numPr>
        <w:tabs>
          <w:tab w:val="center" w:pos="5760"/>
        </w:tabs>
        <w:ind w:left="576" w:hanging="576"/>
        <w:rPr>
          <w:rFonts w:ascii="Times New Roman" w:hAnsi="Times New Roman"/>
          <w:sz w:val="22"/>
          <w:szCs w:val="22"/>
          <w:lang w:val="lv-LV"/>
        </w:rPr>
      </w:pPr>
      <w:r w:rsidRPr="006405A4">
        <w:rPr>
          <w:rFonts w:ascii="Times New Roman" w:hAnsi="Times New Roman"/>
          <w:sz w:val="22"/>
          <w:szCs w:val="22"/>
          <w:lang w:val="lv-LV"/>
        </w:rPr>
        <w:t>Izomalts</w:t>
      </w:r>
      <w:r w:rsidR="000F5EF3" w:rsidRPr="00DD4EE9">
        <w:rPr>
          <w:lang w:val="lv-LV"/>
        </w:rPr>
        <w:t xml:space="preserve"> </w:t>
      </w:r>
      <w:r w:rsidR="000F5EF3" w:rsidRPr="000F5EF3">
        <w:rPr>
          <w:rFonts w:ascii="Times New Roman" w:hAnsi="Times New Roman"/>
          <w:sz w:val="22"/>
          <w:szCs w:val="22"/>
          <w:lang w:val="lv-LV"/>
        </w:rPr>
        <w:t>(E953)</w:t>
      </w:r>
    </w:p>
    <w:p w14:paraId="58E3EC8D" w14:textId="4D90CEEA" w:rsidR="00C41387" w:rsidRPr="006405A4" w:rsidRDefault="00C41387" w:rsidP="006405A4">
      <w:pPr>
        <w:numPr>
          <w:ilvl w:val="12"/>
          <w:numId w:val="0"/>
        </w:numPr>
        <w:tabs>
          <w:tab w:val="center" w:pos="5760"/>
        </w:tabs>
        <w:ind w:left="576" w:hanging="576"/>
        <w:rPr>
          <w:rFonts w:ascii="Times New Roman" w:hAnsi="Times New Roman"/>
          <w:sz w:val="22"/>
          <w:szCs w:val="22"/>
          <w:lang w:val="lv-LV"/>
        </w:rPr>
      </w:pPr>
      <w:r w:rsidRPr="006405A4">
        <w:rPr>
          <w:rFonts w:ascii="Times New Roman" w:hAnsi="Times New Roman"/>
          <w:sz w:val="22"/>
          <w:szCs w:val="22"/>
          <w:lang w:val="lv-LV"/>
        </w:rPr>
        <w:t>Maltīta šķ</w:t>
      </w:r>
      <w:r w:rsidR="00EA006D">
        <w:rPr>
          <w:rFonts w:ascii="Times New Roman" w:hAnsi="Times New Roman"/>
          <w:sz w:val="22"/>
          <w:szCs w:val="22"/>
          <w:lang w:val="lv-LV"/>
        </w:rPr>
        <w:t>ī</w:t>
      </w:r>
      <w:r w:rsidRPr="006405A4">
        <w:rPr>
          <w:rFonts w:ascii="Times New Roman" w:hAnsi="Times New Roman"/>
          <w:sz w:val="22"/>
          <w:szCs w:val="22"/>
          <w:lang w:val="lv-LV"/>
        </w:rPr>
        <w:t>dums</w:t>
      </w:r>
      <w:r w:rsidR="000F5EF3" w:rsidRPr="00DD4EE9">
        <w:rPr>
          <w:lang w:val="lv-LV"/>
        </w:rPr>
        <w:t xml:space="preserve"> </w:t>
      </w:r>
    </w:p>
    <w:p w14:paraId="3AF6C42D" w14:textId="77777777" w:rsidR="00C41387" w:rsidRPr="006405A4" w:rsidRDefault="00C41387" w:rsidP="006405A4">
      <w:pPr>
        <w:numPr>
          <w:ilvl w:val="12"/>
          <w:numId w:val="0"/>
        </w:numPr>
        <w:tabs>
          <w:tab w:val="center" w:pos="5760"/>
        </w:tabs>
        <w:ind w:left="576" w:hanging="576"/>
        <w:rPr>
          <w:rFonts w:ascii="Times New Roman" w:hAnsi="Times New Roman"/>
          <w:sz w:val="22"/>
          <w:szCs w:val="22"/>
          <w:lang w:val="lv-LV"/>
        </w:rPr>
      </w:pPr>
      <w:r w:rsidRPr="006405A4">
        <w:rPr>
          <w:rFonts w:ascii="Times New Roman" w:hAnsi="Times New Roman"/>
          <w:sz w:val="22"/>
          <w:szCs w:val="22"/>
          <w:lang w:val="lv-LV"/>
        </w:rPr>
        <w:t>Aspartāms (E951)</w:t>
      </w:r>
    </w:p>
    <w:p w14:paraId="27D0BBDB" w14:textId="1AB703E2" w:rsidR="00C41387" w:rsidRPr="006405A4" w:rsidRDefault="00C41387" w:rsidP="006405A4">
      <w:pPr>
        <w:numPr>
          <w:ilvl w:val="12"/>
          <w:numId w:val="0"/>
        </w:numPr>
        <w:tabs>
          <w:tab w:val="center" w:pos="5760"/>
        </w:tabs>
        <w:ind w:left="576" w:hanging="576"/>
        <w:rPr>
          <w:rFonts w:ascii="Times New Roman" w:hAnsi="Times New Roman"/>
          <w:sz w:val="22"/>
          <w:szCs w:val="22"/>
          <w:lang w:val="lv-LV"/>
        </w:rPr>
      </w:pPr>
      <w:r w:rsidRPr="006405A4">
        <w:rPr>
          <w:rFonts w:ascii="Times New Roman" w:hAnsi="Times New Roman"/>
          <w:sz w:val="22"/>
          <w:szCs w:val="22"/>
          <w:lang w:val="lv-LV"/>
        </w:rPr>
        <w:t>Acesulfām</w:t>
      </w:r>
      <w:r w:rsidR="006D4B9F">
        <w:rPr>
          <w:rFonts w:ascii="Times New Roman" w:hAnsi="Times New Roman"/>
          <w:sz w:val="22"/>
          <w:szCs w:val="22"/>
          <w:lang w:val="lv-LV"/>
        </w:rPr>
        <w:t xml:space="preserve">a kālija sāls </w:t>
      </w:r>
      <w:r w:rsidR="000F5EF3" w:rsidRPr="000F5EF3">
        <w:rPr>
          <w:rFonts w:ascii="Times New Roman" w:hAnsi="Times New Roman"/>
          <w:sz w:val="22"/>
          <w:szCs w:val="22"/>
          <w:lang w:val="lv-LV"/>
        </w:rPr>
        <w:t>(E950)</w:t>
      </w:r>
    </w:p>
    <w:p w14:paraId="0DC37B4E" w14:textId="4D40FB08" w:rsidR="00C41387" w:rsidRPr="006405A4" w:rsidRDefault="00C41387" w:rsidP="006405A4">
      <w:pPr>
        <w:numPr>
          <w:ilvl w:val="12"/>
          <w:numId w:val="0"/>
        </w:numPr>
        <w:tabs>
          <w:tab w:val="center" w:pos="5760"/>
        </w:tabs>
        <w:rPr>
          <w:rFonts w:ascii="Times New Roman" w:hAnsi="Times New Roman"/>
          <w:sz w:val="22"/>
          <w:szCs w:val="22"/>
          <w:lang w:val="lv-LV"/>
        </w:rPr>
      </w:pPr>
      <w:r w:rsidRPr="006405A4">
        <w:rPr>
          <w:rFonts w:ascii="Times New Roman" w:hAnsi="Times New Roman"/>
          <w:sz w:val="22"/>
          <w:szCs w:val="22"/>
          <w:lang w:val="lv-LV"/>
        </w:rPr>
        <w:t xml:space="preserve">Tīruma mētru </w:t>
      </w:r>
      <w:r w:rsidR="006D4B9F">
        <w:rPr>
          <w:rFonts w:ascii="Times New Roman" w:hAnsi="Times New Roman"/>
          <w:sz w:val="22"/>
          <w:szCs w:val="22"/>
          <w:lang w:val="lv-LV"/>
        </w:rPr>
        <w:t xml:space="preserve">ēteriskā </w:t>
      </w:r>
      <w:r w:rsidRPr="006405A4">
        <w:rPr>
          <w:rFonts w:ascii="Times New Roman" w:hAnsi="Times New Roman"/>
          <w:sz w:val="22"/>
          <w:szCs w:val="22"/>
          <w:lang w:val="lv-LV"/>
        </w:rPr>
        <w:t xml:space="preserve">eļļa </w:t>
      </w:r>
    </w:p>
    <w:p w14:paraId="1F5E2266" w14:textId="77777777" w:rsidR="00C41387" w:rsidRPr="006405A4" w:rsidRDefault="00C41387" w:rsidP="006405A4">
      <w:pPr>
        <w:numPr>
          <w:ilvl w:val="12"/>
          <w:numId w:val="0"/>
        </w:numPr>
        <w:tabs>
          <w:tab w:val="center" w:pos="5760"/>
        </w:tabs>
        <w:ind w:left="576" w:hanging="576"/>
        <w:rPr>
          <w:rFonts w:ascii="Times New Roman" w:hAnsi="Times New Roman"/>
          <w:sz w:val="22"/>
          <w:szCs w:val="22"/>
          <w:lang w:val="lv-LV"/>
        </w:rPr>
      </w:pPr>
    </w:p>
    <w:p w14:paraId="795A6C55" w14:textId="77777777"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6.2</w:t>
      </w:r>
      <w:r w:rsidR="00BC1238">
        <w:rPr>
          <w:rFonts w:ascii="Times New Roman" w:hAnsi="Times New Roman"/>
          <w:b/>
          <w:sz w:val="22"/>
          <w:szCs w:val="22"/>
          <w:lang w:val="lv-LV"/>
        </w:rPr>
        <w:t>.</w:t>
      </w:r>
      <w:r w:rsidRPr="006405A4">
        <w:rPr>
          <w:rFonts w:ascii="Times New Roman" w:hAnsi="Times New Roman"/>
          <w:b/>
          <w:sz w:val="22"/>
          <w:szCs w:val="22"/>
          <w:lang w:val="lv-LV"/>
        </w:rPr>
        <w:tab/>
        <w:t>Nesaderība</w:t>
      </w:r>
    </w:p>
    <w:p w14:paraId="1CFAEB72"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612743E9" w14:textId="77777777" w:rsidR="00C41387" w:rsidRPr="006405A4" w:rsidRDefault="00C41387" w:rsidP="006405A4">
      <w:pPr>
        <w:numPr>
          <w:ilvl w:val="12"/>
          <w:numId w:val="0"/>
        </w:numPr>
        <w:ind w:left="576" w:hanging="576"/>
        <w:rPr>
          <w:rFonts w:ascii="Times New Roman" w:hAnsi="Times New Roman"/>
          <w:sz w:val="22"/>
          <w:szCs w:val="22"/>
          <w:lang w:val="lv-LV"/>
        </w:rPr>
      </w:pPr>
      <w:r w:rsidRPr="006405A4">
        <w:rPr>
          <w:rFonts w:ascii="Times New Roman" w:hAnsi="Times New Roman"/>
          <w:sz w:val="22"/>
          <w:szCs w:val="22"/>
          <w:lang w:val="lv-LV"/>
        </w:rPr>
        <w:t>Nav piemērojama.</w:t>
      </w:r>
    </w:p>
    <w:p w14:paraId="3A653722"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5800E5FF" w14:textId="77777777"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6.3</w:t>
      </w:r>
      <w:r w:rsidR="00BC1238">
        <w:rPr>
          <w:rFonts w:ascii="Times New Roman" w:hAnsi="Times New Roman"/>
          <w:b/>
          <w:sz w:val="22"/>
          <w:szCs w:val="22"/>
          <w:lang w:val="lv-LV"/>
        </w:rPr>
        <w:t>.</w:t>
      </w:r>
      <w:r w:rsidRPr="006405A4">
        <w:rPr>
          <w:rFonts w:ascii="Times New Roman" w:hAnsi="Times New Roman"/>
          <w:b/>
          <w:sz w:val="22"/>
          <w:szCs w:val="22"/>
          <w:lang w:val="lv-LV"/>
        </w:rPr>
        <w:tab/>
        <w:t>Uzglabāšanas laiks</w:t>
      </w:r>
    </w:p>
    <w:p w14:paraId="35844EE4"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FD33FD8" w14:textId="121B9185" w:rsidR="00C41387" w:rsidRPr="006405A4" w:rsidRDefault="00C41387" w:rsidP="006405A4">
      <w:pPr>
        <w:numPr>
          <w:ilvl w:val="12"/>
          <w:numId w:val="0"/>
        </w:numPr>
        <w:ind w:left="576" w:hanging="576"/>
        <w:rPr>
          <w:rFonts w:ascii="Times New Roman" w:hAnsi="Times New Roman"/>
          <w:sz w:val="22"/>
          <w:szCs w:val="22"/>
          <w:lang w:val="lv-LV"/>
        </w:rPr>
      </w:pPr>
      <w:r w:rsidRPr="006405A4">
        <w:rPr>
          <w:rFonts w:ascii="Times New Roman" w:hAnsi="Times New Roman"/>
          <w:sz w:val="22"/>
          <w:szCs w:val="22"/>
          <w:lang w:val="lv-LV"/>
        </w:rPr>
        <w:t>2 gadi</w:t>
      </w:r>
    </w:p>
    <w:p w14:paraId="56451217"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32D3E747" w14:textId="77777777"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6.4</w:t>
      </w:r>
      <w:r w:rsidR="00BC1238">
        <w:rPr>
          <w:rFonts w:ascii="Times New Roman" w:hAnsi="Times New Roman"/>
          <w:b/>
          <w:sz w:val="22"/>
          <w:szCs w:val="22"/>
          <w:lang w:val="lv-LV"/>
        </w:rPr>
        <w:t>.</w:t>
      </w:r>
      <w:r w:rsidRPr="006405A4">
        <w:rPr>
          <w:rFonts w:ascii="Times New Roman" w:hAnsi="Times New Roman"/>
          <w:b/>
          <w:sz w:val="22"/>
          <w:szCs w:val="22"/>
          <w:lang w:val="lv-LV"/>
        </w:rPr>
        <w:tab/>
        <w:t>Īpaši uzglabāšanas nosacījumi</w:t>
      </w:r>
    </w:p>
    <w:p w14:paraId="065C705A" w14:textId="77777777" w:rsidR="00C41387" w:rsidRPr="006405A4" w:rsidRDefault="00C41387" w:rsidP="006405A4">
      <w:pPr>
        <w:rPr>
          <w:rFonts w:ascii="Times New Roman" w:hAnsi="Times New Roman"/>
          <w:bCs/>
          <w:sz w:val="22"/>
          <w:szCs w:val="22"/>
          <w:lang w:val="lv-LV"/>
        </w:rPr>
      </w:pPr>
    </w:p>
    <w:p w14:paraId="26D4E8CF" w14:textId="7A1CBC81"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Uzglabāt temperatūrā līdz 25°C. </w:t>
      </w:r>
    </w:p>
    <w:p w14:paraId="50F41BA6" w14:textId="21F49B32" w:rsidR="00C41387" w:rsidRPr="006405A4" w:rsidRDefault="00C41387" w:rsidP="006405A4">
      <w:pPr>
        <w:numPr>
          <w:ilvl w:val="12"/>
          <w:numId w:val="0"/>
        </w:numPr>
        <w:rPr>
          <w:rFonts w:ascii="Times New Roman" w:hAnsi="Times New Roman"/>
          <w:sz w:val="22"/>
          <w:szCs w:val="22"/>
          <w:lang w:val="lv-LV"/>
        </w:rPr>
      </w:pPr>
      <w:r w:rsidRPr="00A63CE9">
        <w:rPr>
          <w:rFonts w:ascii="Times New Roman" w:hAnsi="Times New Roman"/>
          <w:sz w:val="22"/>
          <w:szCs w:val="22"/>
          <w:lang w:val="lv-LV"/>
        </w:rPr>
        <w:t>Uzglabāt oriģinālā iepakojumā</w:t>
      </w:r>
      <w:r w:rsidR="00C705DB">
        <w:rPr>
          <w:rFonts w:ascii="Times New Roman" w:hAnsi="Times New Roman"/>
          <w:sz w:val="22"/>
          <w:szCs w:val="22"/>
          <w:lang w:val="lv-LV"/>
        </w:rPr>
        <w:t>, lai pasargātu no mitruma</w:t>
      </w:r>
      <w:r w:rsidRPr="00A63CE9">
        <w:rPr>
          <w:rFonts w:ascii="Times New Roman" w:hAnsi="Times New Roman"/>
          <w:sz w:val="22"/>
          <w:szCs w:val="22"/>
          <w:lang w:val="lv-LV"/>
        </w:rPr>
        <w:t>.</w:t>
      </w:r>
    </w:p>
    <w:p w14:paraId="3FD58FF6"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7F00B657" w14:textId="77777777"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6.5</w:t>
      </w:r>
      <w:r w:rsidR="00BC1238">
        <w:rPr>
          <w:rFonts w:ascii="Times New Roman" w:hAnsi="Times New Roman"/>
          <w:b/>
          <w:sz w:val="22"/>
          <w:szCs w:val="22"/>
          <w:lang w:val="lv-LV"/>
        </w:rPr>
        <w:t>.</w:t>
      </w:r>
      <w:r w:rsidRPr="006405A4">
        <w:rPr>
          <w:rFonts w:ascii="Times New Roman" w:hAnsi="Times New Roman"/>
          <w:b/>
          <w:sz w:val="22"/>
          <w:szCs w:val="22"/>
          <w:lang w:val="lv-LV"/>
        </w:rPr>
        <w:tab/>
        <w:t>Iepakojuma veids un saturs</w:t>
      </w:r>
    </w:p>
    <w:p w14:paraId="59602FF9" w14:textId="77777777" w:rsidR="00C41387" w:rsidRPr="006405A4" w:rsidRDefault="00C41387" w:rsidP="006405A4">
      <w:pPr>
        <w:numPr>
          <w:ilvl w:val="12"/>
          <w:numId w:val="0"/>
        </w:numPr>
        <w:rPr>
          <w:rFonts w:ascii="Times New Roman" w:hAnsi="Times New Roman"/>
          <w:sz w:val="22"/>
          <w:szCs w:val="22"/>
          <w:lang w:val="lv-LV"/>
        </w:rPr>
      </w:pPr>
    </w:p>
    <w:p w14:paraId="5A1D53C6"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PVH/PVDH/Al folijas blisteri kartona kastītē.</w:t>
      </w:r>
    </w:p>
    <w:p w14:paraId="3223B77C" w14:textId="77777777" w:rsidR="00C41387" w:rsidRPr="006405A4" w:rsidRDefault="00C41387" w:rsidP="006405A4">
      <w:pPr>
        <w:numPr>
          <w:ilvl w:val="12"/>
          <w:numId w:val="0"/>
        </w:numPr>
        <w:rPr>
          <w:rFonts w:ascii="Times New Roman" w:hAnsi="Times New Roman"/>
          <w:sz w:val="22"/>
          <w:szCs w:val="22"/>
          <w:lang w:val="lv-LV"/>
        </w:rPr>
      </w:pPr>
      <w:r w:rsidRPr="006405A4">
        <w:rPr>
          <w:rFonts w:ascii="Times New Roman" w:hAnsi="Times New Roman"/>
          <w:sz w:val="22"/>
          <w:szCs w:val="22"/>
          <w:lang w:val="lv-LV"/>
        </w:rPr>
        <w:t xml:space="preserve">8 sūkājamās tabletes (1 blisteris pa 8 vienībām). </w:t>
      </w:r>
    </w:p>
    <w:p w14:paraId="1F42E0BF" w14:textId="77777777" w:rsidR="00C41387" w:rsidRPr="006405A4" w:rsidRDefault="00C41387" w:rsidP="006405A4">
      <w:pPr>
        <w:numPr>
          <w:ilvl w:val="12"/>
          <w:numId w:val="0"/>
        </w:numPr>
        <w:ind w:left="576" w:hanging="576"/>
        <w:rPr>
          <w:rFonts w:ascii="Times New Roman" w:hAnsi="Times New Roman"/>
          <w:sz w:val="22"/>
          <w:szCs w:val="22"/>
          <w:lang w:val="lv-LV"/>
        </w:rPr>
      </w:pPr>
      <w:r w:rsidRPr="006405A4">
        <w:rPr>
          <w:rFonts w:ascii="Times New Roman" w:hAnsi="Times New Roman"/>
          <w:sz w:val="22"/>
          <w:szCs w:val="22"/>
          <w:lang w:val="lv-LV"/>
        </w:rPr>
        <w:t>16 sūkājamās tabletes (2 blisteri pa 8 vienībām).</w:t>
      </w:r>
    </w:p>
    <w:p w14:paraId="63B4CAEA" w14:textId="77777777" w:rsidR="00C41387" w:rsidRPr="006405A4" w:rsidRDefault="00C41387" w:rsidP="006405A4">
      <w:pPr>
        <w:numPr>
          <w:ilvl w:val="12"/>
          <w:numId w:val="0"/>
        </w:numPr>
        <w:ind w:left="576" w:hanging="576"/>
        <w:rPr>
          <w:rFonts w:ascii="Times New Roman" w:hAnsi="Times New Roman"/>
          <w:sz w:val="22"/>
          <w:szCs w:val="22"/>
          <w:lang w:val="lv-LV"/>
        </w:rPr>
      </w:pPr>
      <w:r w:rsidRPr="006405A4">
        <w:rPr>
          <w:rFonts w:ascii="Times New Roman" w:hAnsi="Times New Roman"/>
          <w:sz w:val="22"/>
          <w:szCs w:val="22"/>
          <w:lang w:val="lv-LV"/>
        </w:rPr>
        <w:t>Visi iepakojuma lielumi tirgū var nebūt pieejami.</w:t>
      </w:r>
    </w:p>
    <w:p w14:paraId="29D95072"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10EFEC4D" w14:textId="0F38CC70"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6.6</w:t>
      </w:r>
      <w:r w:rsidR="00BC1238">
        <w:rPr>
          <w:rFonts w:ascii="Times New Roman" w:hAnsi="Times New Roman"/>
          <w:b/>
          <w:sz w:val="22"/>
          <w:szCs w:val="22"/>
          <w:lang w:val="lv-LV"/>
        </w:rPr>
        <w:t>.</w:t>
      </w:r>
      <w:r w:rsidRPr="006405A4">
        <w:rPr>
          <w:rFonts w:ascii="Times New Roman" w:hAnsi="Times New Roman"/>
          <w:b/>
          <w:sz w:val="22"/>
          <w:szCs w:val="22"/>
          <w:lang w:val="lv-LV"/>
        </w:rPr>
        <w:tab/>
        <w:t xml:space="preserve">Īpaši norādījumi atkritumu likvidēšanai un </w:t>
      </w:r>
      <w:r w:rsidR="00BC1238">
        <w:rPr>
          <w:rFonts w:ascii="Times New Roman" w:hAnsi="Times New Roman"/>
          <w:b/>
          <w:sz w:val="22"/>
          <w:szCs w:val="22"/>
          <w:lang w:val="lv-LV"/>
        </w:rPr>
        <w:t xml:space="preserve">citi </w:t>
      </w:r>
      <w:r w:rsidRPr="006405A4">
        <w:rPr>
          <w:rFonts w:ascii="Times New Roman" w:hAnsi="Times New Roman"/>
          <w:b/>
          <w:sz w:val="22"/>
          <w:szCs w:val="22"/>
          <w:lang w:val="lv-LV"/>
        </w:rPr>
        <w:t xml:space="preserve">norādījumi par </w:t>
      </w:r>
      <w:r w:rsidR="00BC1238">
        <w:rPr>
          <w:rFonts w:ascii="Times New Roman" w:hAnsi="Times New Roman"/>
          <w:b/>
          <w:sz w:val="22"/>
          <w:szCs w:val="22"/>
          <w:lang w:val="lv-LV"/>
        </w:rPr>
        <w:t>rīkošanos</w:t>
      </w:r>
    </w:p>
    <w:p w14:paraId="5F48F301"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0C9F4D93" w14:textId="77777777" w:rsidR="00C41387" w:rsidRPr="006405A4" w:rsidRDefault="00C41387" w:rsidP="006405A4">
      <w:pPr>
        <w:numPr>
          <w:ilvl w:val="12"/>
          <w:numId w:val="0"/>
        </w:numPr>
        <w:ind w:left="576" w:hanging="576"/>
        <w:rPr>
          <w:rFonts w:ascii="Times New Roman" w:hAnsi="Times New Roman"/>
          <w:sz w:val="22"/>
          <w:szCs w:val="22"/>
          <w:lang w:val="lv-LV"/>
        </w:rPr>
      </w:pPr>
      <w:r w:rsidRPr="006405A4">
        <w:rPr>
          <w:rFonts w:ascii="Times New Roman" w:hAnsi="Times New Roman"/>
          <w:sz w:val="22"/>
          <w:szCs w:val="22"/>
          <w:lang w:val="lv-LV"/>
        </w:rPr>
        <w:t>Nav īpašu prasību.</w:t>
      </w:r>
    </w:p>
    <w:p w14:paraId="566FBC92"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17A20169"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3D1CE0DA" w14:textId="77777777"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7.</w:t>
      </w:r>
      <w:r w:rsidRPr="006405A4">
        <w:rPr>
          <w:rFonts w:ascii="Times New Roman" w:hAnsi="Times New Roman"/>
          <w:b/>
          <w:sz w:val="22"/>
          <w:szCs w:val="22"/>
          <w:lang w:val="lv-LV"/>
        </w:rPr>
        <w:tab/>
        <w:t>REĢISTRĀCIJAS APLIECĪBAS ĪPAŠNIEKS</w:t>
      </w:r>
    </w:p>
    <w:p w14:paraId="17EADE85"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28674732" w14:textId="77777777" w:rsidR="006405A4" w:rsidRPr="002B6924" w:rsidRDefault="006405A4" w:rsidP="006405A4">
      <w:pPr>
        <w:numPr>
          <w:ilvl w:val="12"/>
          <w:numId w:val="0"/>
        </w:numPr>
        <w:tabs>
          <w:tab w:val="left" w:pos="720"/>
        </w:tabs>
        <w:ind w:right="-2"/>
        <w:rPr>
          <w:sz w:val="22"/>
          <w:szCs w:val="22"/>
          <w:lang w:eastAsia="en-US"/>
        </w:rPr>
      </w:pPr>
      <w:r w:rsidRPr="002B6924">
        <w:rPr>
          <w:sz w:val="22"/>
          <w:szCs w:val="22"/>
          <w:lang w:eastAsia="en-US"/>
        </w:rPr>
        <w:t>Richard Bittner AG</w:t>
      </w:r>
    </w:p>
    <w:p w14:paraId="1D230974" w14:textId="77777777" w:rsidR="006405A4" w:rsidRPr="002B6924" w:rsidRDefault="006405A4" w:rsidP="006405A4">
      <w:pPr>
        <w:numPr>
          <w:ilvl w:val="12"/>
          <w:numId w:val="0"/>
        </w:numPr>
        <w:tabs>
          <w:tab w:val="left" w:pos="720"/>
        </w:tabs>
        <w:ind w:right="-2"/>
        <w:rPr>
          <w:color w:val="000000"/>
          <w:sz w:val="22"/>
          <w:szCs w:val="22"/>
          <w:lang w:val="en-US"/>
        </w:rPr>
      </w:pPr>
      <w:proofErr w:type="spellStart"/>
      <w:r w:rsidRPr="002B6924">
        <w:rPr>
          <w:color w:val="000000"/>
          <w:sz w:val="22"/>
          <w:szCs w:val="22"/>
          <w:lang w:val="en-US"/>
        </w:rPr>
        <w:t>Reisnerstraße</w:t>
      </w:r>
      <w:proofErr w:type="spellEnd"/>
      <w:r w:rsidRPr="002B6924">
        <w:rPr>
          <w:color w:val="000000"/>
          <w:sz w:val="22"/>
          <w:szCs w:val="22"/>
          <w:lang w:val="en-US"/>
        </w:rPr>
        <w:t xml:space="preserve"> 55-57</w:t>
      </w:r>
    </w:p>
    <w:p w14:paraId="642E7B22" w14:textId="77777777" w:rsidR="006405A4" w:rsidRPr="002B6924" w:rsidRDefault="006405A4" w:rsidP="006405A4">
      <w:pPr>
        <w:numPr>
          <w:ilvl w:val="12"/>
          <w:numId w:val="0"/>
        </w:numPr>
        <w:tabs>
          <w:tab w:val="left" w:pos="720"/>
        </w:tabs>
        <w:ind w:right="-2"/>
        <w:rPr>
          <w:color w:val="000000"/>
          <w:sz w:val="22"/>
          <w:szCs w:val="22"/>
          <w:lang w:val="en-US"/>
        </w:rPr>
      </w:pPr>
      <w:r w:rsidRPr="002B6924">
        <w:rPr>
          <w:color w:val="000000"/>
          <w:sz w:val="22"/>
          <w:szCs w:val="22"/>
          <w:lang w:val="en-US"/>
        </w:rPr>
        <w:t>A-1030 Wien</w:t>
      </w:r>
    </w:p>
    <w:p w14:paraId="6636B8F1" w14:textId="77777777" w:rsidR="00C41387" w:rsidRPr="006405A4" w:rsidRDefault="006405A4" w:rsidP="00167AAE">
      <w:pPr>
        <w:numPr>
          <w:ilvl w:val="12"/>
          <w:numId w:val="0"/>
        </w:numPr>
        <w:rPr>
          <w:color w:val="6E6E6E"/>
          <w:sz w:val="22"/>
          <w:szCs w:val="22"/>
        </w:rPr>
      </w:pPr>
      <w:proofErr w:type="spellStart"/>
      <w:r w:rsidRPr="002B6924">
        <w:rPr>
          <w:color w:val="000000"/>
          <w:sz w:val="22"/>
          <w:szCs w:val="22"/>
          <w:lang w:val="en-US"/>
        </w:rPr>
        <w:t>Austri</w:t>
      </w:r>
      <w:r>
        <w:rPr>
          <w:color w:val="000000"/>
          <w:sz w:val="22"/>
          <w:szCs w:val="22"/>
          <w:lang w:val="en-US"/>
        </w:rPr>
        <w:t>j</w:t>
      </w:r>
      <w:r w:rsidRPr="002B6924">
        <w:rPr>
          <w:color w:val="000000"/>
          <w:sz w:val="22"/>
          <w:szCs w:val="22"/>
          <w:lang w:val="en-US"/>
        </w:rPr>
        <w:t>a</w:t>
      </w:r>
      <w:proofErr w:type="spellEnd"/>
    </w:p>
    <w:p w14:paraId="5C61DD7A" w14:textId="77777777" w:rsidR="00C41387" w:rsidRPr="006405A4" w:rsidRDefault="00C41387" w:rsidP="006405A4">
      <w:pPr>
        <w:numPr>
          <w:ilvl w:val="12"/>
          <w:numId w:val="0"/>
        </w:numPr>
        <w:rPr>
          <w:rFonts w:ascii="Times New Roman" w:hAnsi="Times New Roman"/>
          <w:sz w:val="22"/>
          <w:szCs w:val="22"/>
        </w:rPr>
      </w:pPr>
    </w:p>
    <w:p w14:paraId="317A68B0" w14:textId="77777777" w:rsidR="00C41387" w:rsidRPr="006405A4" w:rsidRDefault="00C41387" w:rsidP="006405A4">
      <w:pPr>
        <w:numPr>
          <w:ilvl w:val="12"/>
          <w:numId w:val="0"/>
        </w:numPr>
        <w:rPr>
          <w:rFonts w:ascii="Times New Roman" w:hAnsi="Times New Roman"/>
          <w:sz w:val="22"/>
          <w:szCs w:val="22"/>
          <w:lang w:val="lv-LV"/>
        </w:rPr>
      </w:pPr>
    </w:p>
    <w:p w14:paraId="400EF9D6" w14:textId="11079F5C"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8.</w:t>
      </w:r>
      <w:r w:rsidRPr="006405A4">
        <w:rPr>
          <w:rFonts w:ascii="Times New Roman" w:hAnsi="Times New Roman"/>
          <w:b/>
          <w:sz w:val="22"/>
          <w:szCs w:val="22"/>
          <w:lang w:val="lv-LV"/>
        </w:rPr>
        <w:tab/>
        <w:t xml:space="preserve">REĢISTRĀCIJAS </w:t>
      </w:r>
      <w:r w:rsidR="00BC1238">
        <w:rPr>
          <w:rFonts w:ascii="Times New Roman" w:hAnsi="Times New Roman"/>
          <w:b/>
          <w:sz w:val="22"/>
          <w:szCs w:val="22"/>
          <w:lang w:val="lv-LV"/>
        </w:rPr>
        <w:t xml:space="preserve">APLIECĪBAS </w:t>
      </w:r>
      <w:r w:rsidRPr="006405A4">
        <w:rPr>
          <w:rFonts w:ascii="Times New Roman" w:hAnsi="Times New Roman"/>
          <w:b/>
          <w:sz w:val="22"/>
          <w:szCs w:val="22"/>
          <w:lang w:val="lv-LV"/>
        </w:rPr>
        <w:t>NUMURS</w:t>
      </w:r>
    </w:p>
    <w:p w14:paraId="19934EAD" w14:textId="77777777" w:rsidR="00C41387" w:rsidRPr="006405A4" w:rsidRDefault="00C41387" w:rsidP="006405A4">
      <w:pPr>
        <w:numPr>
          <w:ilvl w:val="12"/>
          <w:numId w:val="0"/>
        </w:numPr>
        <w:rPr>
          <w:rFonts w:ascii="Times New Roman" w:hAnsi="Times New Roman"/>
          <w:sz w:val="22"/>
          <w:szCs w:val="22"/>
          <w:lang w:val="lv-LV"/>
        </w:rPr>
      </w:pPr>
    </w:p>
    <w:p w14:paraId="433E04B6" w14:textId="77777777" w:rsidR="00C41387" w:rsidRPr="006405A4" w:rsidRDefault="00C41387" w:rsidP="006405A4">
      <w:pPr>
        <w:numPr>
          <w:ilvl w:val="12"/>
          <w:numId w:val="0"/>
        </w:numPr>
        <w:ind w:left="576" w:hanging="576"/>
        <w:rPr>
          <w:rFonts w:ascii="Times New Roman" w:hAnsi="Times New Roman"/>
          <w:sz w:val="22"/>
          <w:szCs w:val="22"/>
          <w:lang w:val="lv-LV"/>
        </w:rPr>
      </w:pPr>
      <w:r w:rsidRPr="006405A4">
        <w:rPr>
          <w:rFonts w:ascii="Times New Roman" w:hAnsi="Times New Roman"/>
          <w:sz w:val="22"/>
          <w:szCs w:val="22"/>
          <w:lang w:val="lv-LV"/>
        </w:rPr>
        <w:t>04-0153</w:t>
      </w:r>
    </w:p>
    <w:p w14:paraId="3D4786FE"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7C12A60C"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72790A26" w14:textId="03DFBD5C"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9.</w:t>
      </w:r>
      <w:r w:rsidRPr="006405A4">
        <w:rPr>
          <w:rFonts w:ascii="Times New Roman" w:hAnsi="Times New Roman"/>
          <w:b/>
          <w:sz w:val="22"/>
          <w:szCs w:val="22"/>
          <w:lang w:val="lv-LV"/>
        </w:rPr>
        <w:tab/>
      </w:r>
      <w:r w:rsidR="00BC1238">
        <w:rPr>
          <w:rFonts w:ascii="Times New Roman" w:hAnsi="Times New Roman"/>
          <w:b/>
          <w:sz w:val="22"/>
          <w:szCs w:val="22"/>
          <w:lang w:val="lv-LV"/>
        </w:rPr>
        <w:t xml:space="preserve">PIRMĀS </w:t>
      </w:r>
      <w:r w:rsidRPr="006405A4">
        <w:rPr>
          <w:rFonts w:ascii="Times New Roman" w:hAnsi="Times New Roman"/>
          <w:b/>
          <w:sz w:val="22"/>
          <w:szCs w:val="22"/>
          <w:lang w:val="lv-LV"/>
        </w:rPr>
        <w:t>REĢISTRĀCIJAS/PĀRREĢISTRĀCIJAS DATUMS</w:t>
      </w:r>
    </w:p>
    <w:p w14:paraId="2887544F"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6ABA21F4" w14:textId="77777777" w:rsidR="00BC1238" w:rsidRDefault="00BC1238" w:rsidP="006405A4">
      <w:pPr>
        <w:numPr>
          <w:ilvl w:val="12"/>
          <w:numId w:val="0"/>
        </w:numPr>
        <w:ind w:left="576" w:hanging="576"/>
        <w:rPr>
          <w:rFonts w:ascii="Times New Roman" w:hAnsi="Times New Roman"/>
          <w:sz w:val="22"/>
          <w:szCs w:val="22"/>
          <w:lang w:val="lv-LV"/>
        </w:rPr>
      </w:pPr>
      <w:r>
        <w:rPr>
          <w:rFonts w:ascii="Times New Roman" w:hAnsi="Times New Roman"/>
          <w:sz w:val="22"/>
          <w:szCs w:val="22"/>
          <w:lang w:val="lv-LV"/>
        </w:rPr>
        <w:t>Reģistrācijas datums: 2004.gada 20.aprīlis</w:t>
      </w:r>
    </w:p>
    <w:p w14:paraId="01B583E2" w14:textId="397017F6" w:rsidR="00C41387" w:rsidRPr="006405A4" w:rsidRDefault="00BC1238" w:rsidP="006405A4">
      <w:pPr>
        <w:numPr>
          <w:ilvl w:val="12"/>
          <w:numId w:val="0"/>
        </w:numPr>
        <w:ind w:left="576" w:hanging="576"/>
        <w:rPr>
          <w:rFonts w:ascii="Times New Roman" w:hAnsi="Times New Roman"/>
          <w:sz w:val="22"/>
          <w:szCs w:val="22"/>
          <w:lang w:val="lv-LV"/>
        </w:rPr>
      </w:pPr>
      <w:r w:rsidRPr="00BC1238">
        <w:rPr>
          <w:rFonts w:ascii="Times New Roman" w:hAnsi="Times New Roman"/>
          <w:sz w:val="22"/>
          <w:szCs w:val="22"/>
          <w:lang w:val="lv-LV"/>
        </w:rPr>
        <w:t>P</w:t>
      </w:r>
      <w:r w:rsidRPr="00BC1238">
        <w:rPr>
          <w:rFonts w:ascii="Times New Roman" w:hAnsi="Times New Roman" w:hint="eastAsia"/>
          <w:sz w:val="22"/>
          <w:szCs w:val="22"/>
          <w:lang w:val="lv-LV"/>
        </w:rPr>
        <w:t>ē</w:t>
      </w:r>
      <w:r w:rsidRPr="00BC1238">
        <w:rPr>
          <w:rFonts w:ascii="Times New Roman" w:hAnsi="Times New Roman"/>
          <w:sz w:val="22"/>
          <w:szCs w:val="22"/>
          <w:lang w:val="lv-LV"/>
        </w:rPr>
        <w:t>d</w:t>
      </w:r>
      <w:r w:rsidRPr="00BC1238">
        <w:rPr>
          <w:rFonts w:ascii="Times New Roman" w:hAnsi="Times New Roman" w:hint="eastAsia"/>
          <w:sz w:val="22"/>
          <w:szCs w:val="22"/>
          <w:lang w:val="lv-LV"/>
        </w:rPr>
        <w:t>ē</w:t>
      </w:r>
      <w:r w:rsidRPr="00BC1238">
        <w:rPr>
          <w:rFonts w:ascii="Times New Roman" w:hAnsi="Times New Roman"/>
          <w:sz w:val="22"/>
          <w:szCs w:val="22"/>
          <w:lang w:val="lv-LV"/>
        </w:rPr>
        <w:t>j</w:t>
      </w:r>
      <w:r w:rsidRPr="00BC1238">
        <w:rPr>
          <w:rFonts w:ascii="Times New Roman" w:hAnsi="Times New Roman" w:hint="eastAsia"/>
          <w:sz w:val="22"/>
          <w:szCs w:val="22"/>
          <w:lang w:val="lv-LV"/>
        </w:rPr>
        <w:t>ā</w:t>
      </w:r>
      <w:r w:rsidRPr="00BC1238">
        <w:rPr>
          <w:rFonts w:ascii="Times New Roman" w:hAnsi="Times New Roman"/>
          <w:sz w:val="22"/>
          <w:szCs w:val="22"/>
          <w:lang w:val="lv-LV"/>
        </w:rPr>
        <w:t>s p</w:t>
      </w:r>
      <w:r w:rsidRPr="00BC1238">
        <w:rPr>
          <w:rFonts w:ascii="Times New Roman" w:hAnsi="Times New Roman" w:hint="eastAsia"/>
          <w:sz w:val="22"/>
          <w:szCs w:val="22"/>
          <w:lang w:val="lv-LV"/>
        </w:rPr>
        <w:t>ā</w:t>
      </w:r>
      <w:r w:rsidRPr="00BC1238">
        <w:rPr>
          <w:rFonts w:ascii="Times New Roman" w:hAnsi="Times New Roman"/>
          <w:sz w:val="22"/>
          <w:szCs w:val="22"/>
          <w:lang w:val="lv-LV"/>
        </w:rPr>
        <w:t>rre</w:t>
      </w:r>
      <w:r w:rsidRPr="00BC1238">
        <w:rPr>
          <w:rFonts w:ascii="Times New Roman" w:hAnsi="Times New Roman" w:hint="eastAsia"/>
          <w:sz w:val="22"/>
          <w:szCs w:val="22"/>
          <w:lang w:val="lv-LV"/>
        </w:rPr>
        <w:t>ģ</w:t>
      </w:r>
      <w:r w:rsidRPr="00BC1238">
        <w:rPr>
          <w:rFonts w:ascii="Times New Roman" w:hAnsi="Times New Roman"/>
          <w:sz w:val="22"/>
          <w:szCs w:val="22"/>
          <w:lang w:val="lv-LV"/>
        </w:rPr>
        <w:t>istr</w:t>
      </w:r>
      <w:r w:rsidRPr="00BC1238">
        <w:rPr>
          <w:rFonts w:ascii="Times New Roman" w:hAnsi="Times New Roman" w:hint="eastAsia"/>
          <w:sz w:val="22"/>
          <w:szCs w:val="22"/>
          <w:lang w:val="lv-LV"/>
        </w:rPr>
        <w:t>ā</w:t>
      </w:r>
      <w:r w:rsidRPr="00BC1238">
        <w:rPr>
          <w:rFonts w:ascii="Times New Roman" w:hAnsi="Times New Roman"/>
          <w:sz w:val="22"/>
          <w:szCs w:val="22"/>
          <w:lang w:val="lv-LV"/>
        </w:rPr>
        <w:t>cijas datums:</w:t>
      </w:r>
      <w:r>
        <w:rPr>
          <w:rFonts w:ascii="Times New Roman" w:hAnsi="Times New Roman"/>
          <w:sz w:val="22"/>
          <w:szCs w:val="22"/>
          <w:lang w:val="lv-LV"/>
        </w:rPr>
        <w:t xml:space="preserve"> 2009.gada 28.maijs</w:t>
      </w:r>
    </w:p>
    <w:p w14:paraId="2B911A58"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78AC6002" w14:textId="77777777" w:rsidR="00C41387" w:rsidRPr="006405A4" w:rsidRDefault="00C41387" w:rsidP="006405A4">
      <w:pPr>
        <w:numPr>
          <w:ilvl w:val="12"/>
          <w:numId w:val="0"/>
        </w:numPr>
        <w:ind w:left="576" w:hanging="576"/>
        <w:rPr>
          <w:rFonts w:ascii="Times New Roman" w:hAnsi="Times New Roman"/>
          <w:sz w:val="22"/>
          <w:szCs w:val="22"/>
          <w:lang w:val="lv-LV"/>
        </w:rPr>
      </w:pPr>
    </w:p>
    <w:p w14:paraId="07EC2CDC" w14:textId="1C541249" w:rsidR="00C41387" w:rsidRPr="006405A4" w:rsidRDefault="00C41387" w:rsidP="006405A4">
      <w:pPr>
        <w:ind w:left="567" w:hanging="567"/>
        <w:rPr>
          <w:rFonts w:ascii="Times New Roman" w:hAnsi="Times New Roman"/>
          <w:sz w:val="22"/>
          <w:szCs w:val="22"/>
          <w:lang w:val="lv-LV"/>
        </w:rPr>
      </w:pPr>
      <w:r w:rsidRPr="006405A4">
        <w:rPr>
          <w:rFonts w:ascii="Times New Roman" w:hAnsi="Times New Roman"/>
          <w:b/>
          <w:sz w:val="22"/>
          <w:szCs w:val="22"/>
          <w:lang w:val="lv-LV"/>
        </w:rPr>
        <w:t>10.</w:t>
      </w:r>
      <w:r w:rsidRPr="006405A4">
        <w:rPr>
          <w:rFonts w:ascii="Times New Roman" w:hAnsi="Times New Roman"/>
          <w:b/>
          <w:sz w:val="22"/>
          <w:szCs w:val="22"/>
          <w:lang w:val="lv-LV"/>
        </w:rPr>
        <w:tab/>
        <w:t>TEKSTA PĀRSKATĪŠANAS DATUMS</w:t>
      </w:r>
    </w:p>
    <w:p w14:paraId="0A81986A" w14:textId="77777777" w:rsidR="00C41387" w:rsidRPr="006405A4" w:rsidRDefault="00C41387" w:rsidP="006405A4">
      <w:pPr>
        <w:rPr>
          <w:rFonts w:ascii="Times New Roman" w:hAnsi="Times New Roman"/>
          <w:sz w:val="22"/>
          <w:szCs w:val="22"/>
          <w:lang w:val="lv-LV"/>
        </w:rPr>
      </w:pPr>
    </w:p>
    <w:p w14:paraId="28C0DF98" w14:textId="3B78A50A" w:rsidR="00C41387" w:rsidRPr="006405A4" w:rsidRDefault="00BC1238" w:rsidP="006405A4">
      <w:pPr>
        <w:rPr>
          <w:rFonts w:ascii="Times New Roman" w:hAnsi="Times New Roman"/>
          <w:sz w:val="22"/>
          <w:szCs w:val="22"/>
          <w:lang w:val="lv-LV"/>
        </w:rPr>
      </w:pPr>
      <w:r>
        <w:rPr>
          <w:rFonts w:ascii="Times New Roman" w:hAnsi="Times New Roman"/>
          <w:sz w:val="22"/>
          <w:szCs w:val="22"/>
          <w:lang w:val="lv-LV"/>
        </w:rPr>
        <w:t>0</w:t>
      </w:r>
      <w:r w:rsidR="00352CFE">
        <w:rPr>
          <w:rFonts w:ascii="Times New Roman" w:hAnsi="Times New Roman"/>
          <w:sz w:val="22"/>
          <w:szCs w:val="22"/>
          <w:lang w:val="lv-LV"/>
        </w:rPr>
        <w:t>6</w:t>
      </w:r>
      <w:r w:rsidR="00314E6E">
        <w:rPr>
          <w:rFonts w:ascii="Times New Roman" w:hAnsi="Times New Roman"/>
          <w:sz w:val="22"/>
          <w:szCs w:val="22"/>
          <w:lang w:val="lv-LV"/>
        </w:rPr>
        <w:t>/201</w:t>
      </w:r>
      <w:r>
        <w:rPr>
          <w:rFonts w:ascii="Times New Roman" w:hAnsi="Times New Roman"/>
          <w:sz w:val="22"/>
          <w:szCs w:val="22"/>
          <w:lang w:val="lv-LV"/>
        </w:rPr>
        <w:t>8</w:t>
      </w:r>
    </w:p>
    <w:sectPr w:rsidR="00C41387" w:rsidRPr="006405A4" w:rsidSect="004315E1">
      <w:headerReference w:type="even" r:id="rId8"/>
      <w:headerReference w:type="default" r:id="rId9"/>
      <w:footerReference w:type="even" r:id="rId10"/>
      <w:footerReference w:type="default" r:id="rId11"/>
      <w:headerReference w:type="first" r:id="rId12"/>
      <w:footerReference w:type="first" r:id="rId13"/>
      <w:pgSz w:w="11909" w:h="16834"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FAC71" w14:textId="77777777" w:rsidR="00BD017A" w:rsidRDefault="00BD017A">
      <w:r>
        <w:separator/>
      </w:r>
    </w:p>
  </w:endnote>
  <w:endnote w:type="continuationSeparator" w:id="0">
    <w:p w14:paraId="27E06404" w14:textId="77777777" w:rsidR="00BD017A" w:rsidRDefault="00BD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1277" w14:textId="77777777" w:rsidR="002F18D1" w:rsidRDefault="002F1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C60C0A" w14:textId="77777777" w:rsidR="002F18D1" w:rsidRDefault="002F18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0DB9" w14:textId="68D3E8E8" w:rsidR="002F18D1" w:rsidRPr="004315E1" w:rsidRDefault="002F18D1">
    <w:pPr>
      <w:pStyle w:val="Footer"/>
      <w:framePr w:wrap="around" w:vAnchor="text" w:hAnchor="margin" w:xAlign="center" w:y="1"/>
      <w:rPr>
        <w:rStyle w:val="PageNumber"/>
        <w:rFonts w:ascii="Times New Roman" w:hAnsi="Times New Roman"/>
        <w:sz w:val="22"/>
        <w:szCs w:val="22"/>
      </w:rPr>
    </w:pPr>
    <w:r w:rsidRPr="004315E1">
      <w:rPr>
        <w:rStyle w:val="PageNumber"/>
        <w:rFonts w:ascii="Times New Roman" w:hAnsi="Times New Roman"/>
        <w:sz w:val="22"/>
        <w:szCs w:val="22"/>
      </w:rPr>
      <w:fldChar w:fldCharType="begin"/>
    </w:r>
    <w:r w:rsidRPr="004315E1">
      <w:rPr>
        <w:rStyle w:val="PageNumber"/>
        <w:rFonts w:ascii="Times New Roman" w:hAnsi="Times New Roman"/>
        <w:sz w:val="22"/>
        <w:szCs w:val="22"/>
      </w:rPr>
      <w:instrText xml:space="preserve">PAGE  </w:instrText>
    </w:r>
    <w:r w:rsidRPr="004315E1">
      <w:rPr>
        <w:rStyle w:val="PageNumber"/>
        <w:rFonts w:ascii="Times New Roman" w:hAnsi="Times New Roman"/>
        <w:sz w:val="22"/>
        <w:szCs w:val="22"/>
      </w:rPr>
      <w:fldChar w:fldCharType="separate"/>
    </w:r>
    <w:r w:rsidR="009C712A">
      <w:rPr>
        <w:rStyle w:val="PageNumber"/>
        <w:rFonts w:ascii="Times New Roman" w:hAnsi="Times New Roman"/>
        <w:noProof/>
        <w:sz w:val="22"/>
        <w:szCs w:val="22"/>
      </w:rPr>
      <w:t>1</w:t>
    </w:r>
    <w:r w:rsidRPr="004315E1">
      <w:rPr>
        <w:rStyle w:val="PageNumber"/>
        <w:rFonts w:ascii="Times New Roman" w:hAnsi="Times New Roman"/>
        <w:sz w:val="22"/>
        <w:szCs w:val="22"/>
      </w:rPr>
      <w:fldChar w:fldCharType="end"/>
    </w:r>
  </w:p>
  <w:p w14:paraId="10501F18" w14:textId="77777777" w:rsidR="002F18D1" w:rsidRPr="004315E1" w:rsidRDefault="002F18D1">
    <w:pPr>
      <w:pStyle w:val="Footer"/>
      <w:ind w:right="360"/>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37F1" w14:textId="77777777" w:rsidR="009C712A" w:rsidRDefault="009C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89941" w14:textId="77777777" w:rsidR="00BD017A" w:rsidRDefault="00BD017A">
      <w:r>
        <w:separator/>
      </w:r>
    </w:p>
  </w:footnote>
  <w:footnote w:type="continuationSeparator" w:id="0">
    <w:p w14:paraId="47835F8B" w14:textId="77777777" w:rsidR="00BD017A" w:rsidRDefault="00BD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F968" w14:textId="77777777" w:rsidR="009C712A" w:rsidRDefault="009C7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5CC52" w14:textId="38B91126" w:rsidR="009C712A" w:rsidRDefault="009C712A" w:rsidP="009C712A">
    <w:pPr>
      <w:pStyle w:val="Header"/>
      <w:jc w:val="right"/>
    </w:pPr>
    <w:r>
      <w:t xml:space="preserve">SASKAŅOTS ZVA </w:t>
    </w:r>
    <w:r>
      <w:t>19-07-20</w:t>
    </w:r>
    <w:bookmarkStart w:id="0" w:name="_GoBack"/>
    <w:bookmarkEnd w:id="0"/>
    <w:r>
      <w:t>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2D19" w14:textId="77777777" w:rsidR="009C712A" w:rsidRDefault="009C7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A00"/>
    <w:multiLevelType w:val="multilevel"/>
    <w:tmpl w:val="DBEECE1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8DB69A4"/>
    <w:multiLevelType w:val="hybridMultilevel"/>
    <w:tmpl w:val="2E803284"/>
    <w:lvl w:ilvl="0" w:tplc="E4CA9AEA">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52597"/>
    <w:multiLevelType w:val="hybridMultilevel"/>
    <w:tmpl w:val="D3BA2994"/>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C541B3"/>
    <w:multiLevelType w:val="hybridMultilevel"/>
    <w:tmpl w:val="D9900E32"/>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971AE6"/>
    <w:multiLevelType w:val="hybridMultilevel"/>
    <w:tmpl w:val="1E0E542C"/>
    <w:lvl w:ilvl="0" w:tplc="0409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035569"/>
    <w:multiLevelType w:val="hybridMultilevel"/>
    <w:tmpl w:val="B3CC212C"/>
    <w:lvl w:ilvl="0" w:tplc="E4CA9AEA">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05401"/>
    <w:multiLevelType w:val="multilevel"/>
    <w:tmpl w:val="DD0462A2"/>
    <w:lvl w:ilvl="0">
      <w:start w:val="1"/>
      <w:numFmt w:val="decimal"/>
      <w:lvlText w:val="%1."/>
      <w:legacy w:legacy="1" w:legacySpace="0" w:legacyIndent="576"/>
      <w:lvlJc w:val="left"/>
      <w:pPr>
        <w:ind w:left="576" w:hanging="576"/>
      </w:pPr>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7" w15:restartNumberingAfterBreak="0">
    <w:nsid w:val="289B7D2C"/>
    <w:multiLevelType w:val="multilevel"/>
    <w:tmpl w:val="CDA25EDC"/>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F563C16"/>
    <w:multiLevelType w:val="multilevel"/>
    <w:tmpl w:val="DBEECE1E"/>
    <w:lvl w:ilvl="0">
      <w:start w:val="4"/>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315960CC"/>
    <w:multiLevelType w:val="hybridMultilevel"/>
    <w:tmpl w:val="8B12D2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B49B0"/>
    <w:multiLevelType w:val="hybridMultilevel"/>
    <w:tmpl w:val="3C68EC2C"/>
    <w:lvl w:ilvl="0" w:tplc="E4CA9AEA">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1766CC"/>
    <w:multiLevelType w:val="multilevel"/>
    <w:tmpl w:val="8B12D2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F7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1010CA"/>
    <w:multiLevelType w:val="singleLevel"/>
    <w:tmpl w:val="E4C60426"/>
    <w:lvl w:ilvl="0">
      <w:numFmt w:val="bullet"/>
      <w:lvlText w:val="-"/>
      <w:lvlJc w:val="left"/>
      <w:pPr>
        <w:tabs>
          <w:tab w:val="num" w:pos="360"/>
        </w:tabs>
        <w:ind w:left="360" w:hanging="360"/>
      </w:pPr>
      <w:rPr>
        <w:rFonts w:hint="default"/>
      </w:rPr>
    </w:lvl>
  </w:abstractNum>
  <w:abstractNum w:abstractNumId="14" w15:restartNumberingAfterBreak="0">
    <w:nsid w:val="57D674C8"/>
    <w:multiLevelType w:val="multilevel"/>
    <w:tmpl w:val="DBEECE1E"/>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5C2B199E"/>
    <w:multiLevelType w:val="multilevel"/>
    <w:tmpl w:val="7BEEBC7E"/>
    <w:lvl w:ilvl="0">
      <w:start w:val="1"/>
      <w:numFmt w:val="decimal"/>
      <w:lvlText w:val="%1."/>
      <w:lvlJc w:val="left"/>
      <w:pPr>
        <w:tabs>
          <w:tab w:val="num" w:pos="360"/>
        </w:tabs>
        <w:ind w:left="360" w:hanging="360"/>
      </w:pPr>
      <w:rPr>
        <w:rFonts w:cs="Times New Roman" w:hint="default"/>
        <w:b/>
      </w:rPr>
    </w:lvl>
    <w:lvl w:ilvl="1">
      <w:start w:val="1"/>
      <w:numFmt w:val="decimal"/>
      <w:lvlText w:val="%1.%2."/>
      <w:legacy w:legacy="1" w:legacySpace="0" w:legacyIndent="0"/>
      <w:lvlJc w:val="left"/>
      <w:rPr>
        <w:rFonts w:cs="Times New Roman"/>
        <w:b/>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6" w15:restartNumberingAfterBreak="0">
    <w:nsid w:val="664770B4"/>
    <w:multiLevelType w:val="multilevel"/>
    <w:tmpl w:val="DBEECE1E"/>
    <w:lvl w:ilvl="0">
      <w:start w:val="4"/>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6A285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9E5876"/>
    <w:multiLevelType w:val="multilevel"/>
    <w:tmpl w:val="E6306F5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9C13D29"/>
    <w:multiLevelType w:val="hybridMultilevel"/>
    <w:tmpl w:val="9D16F740"/>
    <w:lvl w:ilvl="0" w:tplc="FFFFFFFF">
      <w:start w:val="1"/>
      <w:numFmt w:val="bullet"/>
      <w:lvlText w:val="-"/>
      <w:lvlJc w:val="left"/>
      <w:pPr>
        <w:tabs>
          <w:tab w:val="num" w:pos="720"/>
        </w:tabs>
        <w:ind w:left="720" w:hanging="360"/>
      </w:pPr>
      <w:rPr>
        <w:rFonts w:hint="default"/>
      </w:rPr>
    </w:lvl>
    <w:lvl w:ilvl="1" w:tplc="E1FAD6A8">
      <w:numFmt w:val="bullet"/>
      <w:lvlText w:val=""/>
      <w:lvlJc w:val="left"/>
      <w:pPr>
        <w:ind w:left="1650" w:hanging="570"/>
      </w:pPr>
      <w:rPr>
        <w:rFonts w:ascii="Symbol" w:eastAsia="Times New Roman" w:hAnsi="Symbol"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C27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13"/>
  </w:num>
  <w:num w:numId="4">
    <w:abstractNumId w:val="16"/>
  </w:num>
  <w:num w:numId="5">
    <w:abstractNumId w:val="20"/>
  </w:num>
  <w:num w:numId="6">
    <w:abstractNumId w:val="8"/>
  </w:num>
  <w:num w:numId="7">
    <w:abstractNumId w:val="15"/>
  </w:num>
  <w:num w:numId="8">
    <w:abstractNumId w:val="0"/>
  </w:num>
  <w:num w:numId="9">
    <w:abstractNumId w:val="14"/>
  </w:num>
  <w:num w:numId="10">
    <w:abstractNumId w:val="17"/>
  </w:num>
  <w:num w:numId="11">
    <w:abstractNumId w:val="9"/>
  </w:num>
  <w:num w:numId="12">
    <w:abstractNumId w:val="11"/>
  </w:num>
  <w:num w:numId="13">
    <w:abstractNumId w:val="19"/>
  </w:num>
  <w:num w:numId="14">
    <w:abstractNumId w:val="10"/>
  </w:num>
  <w:num w:numId="15">
    <w:abstractNumId w:val="1"/>
  </w:num>
  <w:num w:numId="16">
    <w:abstractNumId w:val="5"/>
  </w:num>
  <w:num w:numId="17">
    <w:abstractNumId w:val="4"/>
  </w:num>
  <w:num w:numId="18">
    <w:abstractNumId w:val="2"/>
  </w:num>
  <w:num w:numId="19">
    <w:abstractNumId w:val="7"/>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87"/>
    <w:rsid w:val="00063C58"/>
    <w:rsid w:val="000B6AB3"/>
    <w:rsid w:val="000F5EF3"/>
    <w:rsid w:val="00167AAE"/>
    <w:rsid w:val="001A16F8"/>
    <w:rsid w:val="00206CCB"/>
    <w:rsid w:val="00213B05"/>
    <w:rsid w:val="00225B37"/>
    <w:rsid w:val="0023288B"/>
    <w:rsid w:val="002471EF"/>
    <w:rsid w:val="002879B6"/>
    <w:rsid w:val="002C4B47"/>
    <w:rsid w:val="002F18D1"/>
    <w:rsid w:val="00314E6E"/>
    <w:rsid w:val="00352CFE"/>
    <w:rsid w:val="004217EC"/>
    <w:rsid w:val="0042258B"/>
    <w:rsid w:val="004315E1"/>
    <w:rsid w:val="00487489"/>
    <w:rsid w:val="004A4FCA"/>
    <w:rsid w:val="004B7662"/>
    <w:rsid w:val="004D0A08"/>
    <w:rsid w:val="005227AC"/>
    <w:rsid w:val="00540B6F"/>
    <w:rsid w:val="005E54EE"/>
    <w:rsid w:val="006405A4"/>
    <w:rsid w:val="006A740A"/>
    <w:rsid w:val="006C179F"/>
    <w:rsid w:val="006D4B9F"/>
    <w:rsid w:val="00734988"/>
    <w:rsid w:val="007649F6"/>
    <w:rsid w:val="0076650C"/>
    <w:rsid w:val="00767979"/>
    <w:rsid w:val="00825D0F"/>
    <w:rsid w:val="009244F6"/>
    <w:rsid w:val="00933B88"/>
    <w:rsid w:val="009C712A"/>
    <w:rsid w:val="00A15B2E"/>
    <w:rsid w:val="00A44901"/>
    <w:rsid w:val="00A63CE9"/>
    <w:rsid w:val="00A92AC3"/>
    <w:rsid w:val="00AC3142"/>
    <w:rsid w:val="00AE701D"/>
    <w:rsid w:val="00B041E8"/>
    <w:rsid w:val="00B50C5F"/>
    <w:rsid w:val="00B5582E"/>
    <w:rsid w:val="00B60BB2"/>
    <w:rsid w:val="00B64351"/>
    <w:rsid w:val="00BA63F5"/>
    <w:rsid w:val="00BC1238"/>
    <w:rsid w:val="00BD017A"/>
    <w:rsid w:val="00C14CA8"/>
    <w:rsid w:val="00C41387"/>
    <w:rsid w:val="00C46C7C"/>
    <w:rsid w:val="00C705DB"/>
    <w:rsid w:val="00CA7FFE"/>
    <w:rsid w:val="00CB4BD7"/>
    <w:rsid w:val="00D562BE"/>
    <w:rsid w:val="00D56CC0"/>
    <w:rsid w:val="00DC614B"/>
    <w:rsid w:val="00DD3660"/>
    <w:rsid w:val="00DD4D1B"/>
    <w:rsid w:val="00DD4EE9"/>
    <w:rsid w:val="00E05189"/>
    <w:rsid w:val="00EA006D"/>
    <w:rsid w:val="00ED63D4"/>
    <w:rsid w:val="00F91887"/>
    <w:rsid w:val="00FB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D736F9C"/>
  <w15:docId w15:val="{8E8B866F-C376-4E19-9872-33D030BC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imTimes" w:hAnsi="RimTimes"/>
      <w:sz w:val="24"/>
      <w:szCs w:val="20"/>
      <w:lang w:val="en-GB" w:eastAsia="lv-LV"/>
    </w:rPr>
  </w:style>
  <w:style w:type="paragraph" w:styleId="Heading1">
    <w:name w:val="heading 1"/>
    <w:basedOn w:val="Normal"/>
    <w:next w:val="Normal"/>
    <w:link w:val="Heading1Char"/>
    <w:uiPriority w:val="99"/>
    <w:qFormat/>
    <w:pPr>
      <w:keepNext/>
      <w:numPr>
        <w:ilvl w:val="12"/>
      </w:numPr>
      <w:ind w:left="576" w:hanging="576"/>
      <w:outlineLvl w:val="0"/>
    </w:pPr>
    <w:rPr>
      <w:rFonts w:ascii="Arial" w:hAnsi="Arial"/>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87"/>
    <w:rPr>
      <w:rFonts w:asciiTheme="majorHAnsi" w:eastAsiaTheme="majorEastAsia" w:hAnsiTheme="majorHAnsi" w:cstheme="majorBidi"/>
      <w:b/>
      <w:bCs/>
      <w:kern w:val="32"/>
      <w:sz w:val="32"/>
      <w:szCs w:val="32"/>
      <w:lang w:val="en-GB" w:eastAsia="lv-LV"/>
    </w:rPr>
  </w:style>
  <w:style w:type="paragraph" w:styleId="Title">
    <w:name w:val="Title"/>
    <w:basedOn w:val="Normal"/>
    <w:link w:val="TitleChar"/>
    <w:uiPriority w:val="99"/>
    <w:qFormat/>
    <w:pPr>
      <w:jc w:val="center"/>
    </w:pPr>
    <w:rPr>
      <w:rFonts w:ascii="Arial" w:hAnsi="Arial"/>
      <w:b/>
      <w:sz w:val="28"/>
      <w:lang w:val="lv-LV"/>
    </w:rPr>
  </w:style>
  <w:style w:type="character" w:customStyle="1" w:styleId="TitleChar">
    <w:name w:val="Title Char"/>
    <w:basedOn w:val="DefaultParagraphFont"/>
    <w:link w:val="Title"/>
    <w:uiPriority w:val="10"/>
    <w:rsid w:val="00C41387"/>
    <w:rPr>
      <w:rFonts w:asciiTheme="majorHAnsi" w:eastAsiaTheme="majorEastAsia" w:hAnsiTheme="majorHAnsi" w:cstheme="majorBidi"/>
      <w:b/>
      <w:bCs/>
      <w:kern w:val="28"/>
      <w:sz w:val="32"/>
      <w:szCs w:val="32"/>
      <w:lang w:val="en-GB" w:eastAsia="lv-LV"/>
    </w:rPr>
  </w:style>
  <w:style w:type="paragraph" w:styleId="BodyTextIndent">
    <w:name w:val="Body Text Indent"/>
    <w:basedOn w:val="Normal"/>
    <w:link w:val="BodyTextIndentChar"/>
    <w:uiPriority w:val="99"/>
    <w:pPr>
      <w:numPr>
        <w:ilvl w:val="12"/>
      </w:numPr>
      <w:ind w:left="576" w:hanging="576"/>
    </w:pPr>
    <w:rPr>
      <w:rFonts w:ascii="Arial" w:hAnsi="Arial"/>
      <w:lang w:val="lv-LV"/>
    </w:rPr>
  </w:style>
  <w:style w:type="character" w:customStyle="1" w:styleId="BodyTextIndentChar">
    <w:name w:val="Body Text Indent Char"/>
    <w:basedOn w:val="DefaultParagraphFont"/>
    <w:link w:val="BodyTextIndent"/>
    <w:uiPriority w:val="99"/>
    <w:semiHidden/>
    <w:rsid w:val="00C41387"/>
    <w:rPr>
      <w:rFonts w:ascii="RimTimes" w:hAnsi="RimTimes"/>
      <w:sz w:val="24"/>
      <w:szCs w:val="20"/>
      <w:lang w:val="en-GB" w:eastAsia="lv-LV"/>
    </w:rPr>
  </w:style>
  <w:style w:type="paragraph" w:styleId="BodyTextIndent2">
    <w:name w:val="Body Text Indent 2"/>
    <w:basedOn w:val="Normal"/>
    <w:link w:val="BodyTextIndent2Char"/>
    <w:uiPriority w:val="99"/>
    <w:pPr>
      <w:numPr>
        <w:ilvl w:val="12"/>
      </w:numPr>
      <w:ind w:left="576" w:hanging="576"/>
    </w:pPr>
    <w:rPr>
      <w:rFonts w:ascii="Arial" w:hAnsi="Arial"/>
      <w:color w:val="0000FF"/>
      <w:lang w:val="lv-LV"/>
    </w:rPr>
  </w:style>
  <w:style w:type="character" w:customStyle="1" w:styleId="BodyTextIndent2Char">
    <w:name w:val="Body Text Indent 2 Char"/>
    <w:basedOn w:val="DefaultParagraphFont"/>
    <w:link w:val="BodyTextIndent2"/>
    <w:uiPriority w:val="99"/>
    <w:semiHidden/>
    <w:rsid w:val="00C41387"/>
    <w:rPr>
      <w:rFonts w:ascii="RimTimes" w:hAnsi="RimTimes"/>
      <w:sz w:val="24"/>
      <w:szCs w:val="20"/>
      <w:lang w:val="en-GB"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C41387"/>
    <w:rPr>
      <w:rFonts w:ascii="RimTimes" w:hAnsi="RimTimes"/>
      <w:sz w:val="24"/>
      <w:szCs w:val="20"/>
      <w:lang w:val="en-GB" w:eastAsia="lv-LV"/>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numPr>
        <w:ilvl w:val="12"/>
      </w:numPr>
      <w:jc w:val="both"/>
    </w:pPr>
    <w:rPr>
      <w:rFonts w:ascii="Arial" w:hAnsi="Arial"/>
      <w:lang w:val="lv-LV"/>
    </w:rPr>
  </w:style>
  <w:style w:type="character" w:customStyle="1" w:styleId="BodyTextChar">
    <w:name w:val="Body Text Char"/>
    <w:basedOn w:val="DefaultParagraphFont"/>
    <w:link w:val="BodyText"/>
    <w:uiPriority w:val="99"/>
    <w:semiHidden/>
    <w:rsid w:val="00C41387"/>
    <w:rPr>
      <w:rFonts w:ascii="RimTimes" w:hAnsi="RimTimes"/>
      <w:sz w:val="24"/>
      <w:szCs w:val="20"/>
      <w:lang w:val="en-GB"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41387"/>
    <w:rPr>
      <w:sz w:val="0"/>
      <w:szCs w:val="0"/>
      <w:lang w:val="en-GB" w:eastAsia="lv-LV"/>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C41387"/>
    <w:rPr>
      <w:rFonts w:ascii="RimTimes" w:hAnsi="RimTimes"/>
      <w:sz w:val="24"/>
      <w:szCs w:val="20"/>
      <w:lang w:val="en-GB" w:eastAsia="lv-LV"/>
    </w:rPr>
  </w:style>
  <w:style w:type="character" w:styleId="Hyperlink">
    <w:name w:val="Hyperlink"/>
    <w:basedOn w:val="DefaultParagraphFont"/>
    <w:uiPriority w:val="99"/>
    <w:semiHidden/>
    <w:rPr>
      <w:rFonts w:cs="Times New Roman"/>
      <w:color w:val="465363"/>
      <w:u w:val="none"/>
      <w:effect w:val="none"/>
    </w:rPr>
  </w:style>
  <w:style w:type="paragraph" w:styleId="NormalWeb">
    <w:name w:val="Normal (Web)"/>
    <w:basedOn w:val="Normal"/>
    <w:uiPriority w:val="99"/>
    <w:semiHidden/>
    <w:pPr>
      <w:spacing w:before="100" w:beforeAutospacing="1" w:after="100" w:afterAutospacing="1"/>
    </w:pPr>
    <w:rPr>
      <w:rFonts w:ascii="Times New Roman" w:hAnsi="Times New Roman"/>
      <w:szCs w:val="24"/>
      <w:lang w:val="lv-LV"/>
    </w:rPr>
  </w:style>
  <w:style w:type="paragraph" w:styleId="ListParagraph">
    <w:name w:val="List Paragraph"/>
    <w:basedOn w:val="Normal"/>
    <w:uiPriority w:val="34"/>
    <w:qFormat/>
    <w:rsid w:val="004315E1"/>
    <w:pPr>
      <w:ind w:left="720"/>
      <w:contextualSpacing/>
    </w:pPr>
  </w:style>
  <w:style w:type="character" w:styleId="CommentReference">
    <w:name w:val="annotation reference"/>
    <w:basedOn w:val="DefaultParagraphFont"/>
    <w:uiPriority w:val="99"/>
    <w:semiHidden/>
    <w:unhideWhenUsed/>
    <w:rsid w:val="00AE701D"/>
    <w:rPr>
      <w:sz w:val="16"/>
      <w:szCs w:val="16"/>
    </w:rPr>
  </w:style>
  <w:style w:type="paragraph" w:styleId="CommentText">
    <w:name w:val="annotation text"/>
    <w:basedOn w:val="Normal"/>
    <w:link w:val="CommentTextChar"/>
    <w:uiPriority w:val="99"/>
    <w:semiHidden/>
    <w:unhideWhenUsed/>
    <w:rsid w:val="00AE701D"/>
    <w:rPr>
      <w:sz w:val="20"/>
    </w:rPr>
  </w:style>
  <w:style w:type="character" w:customStyle="1" w:styleId="CommentTextChar">
    <w:name w:val="Comment Text Char"/>
    <w:basedOn w:val="DefaultParagraphFont"/>
    <w:link w:val="CommentText"/>
    <w:uiPriority w:val="99"/>
    <w:semiHidden/>
    <w:rsid w:val="00AE701D"/>
    <w:rPr>
      <w:rFonts w:ascii="RimTimes" w:hAnsi="RimTimes"/>
      <w:sz w:val="20"/>
      <w:szCs w:val="20"/>
      <w:lang w:val="en-GB" w:eastAsia="lv-LV"/>
    </w:rPr>
  </w:style>
  <w:style w:type="paragraph" w:styleId="CommentSubject">
    <w:name w:val="annotation subject"/>
    <w:basedOn w:val="CommentText"/>
    <w:next w:val="CommentText"/>
    <w:link w:val="CommentSubjectChar"/>
    <w:uiPriority w:val="99"/>
    <w:semiHidden/>
    <w:unhideWhenUsed/>
    <w:rsid w:val="00AE701D"/>
    <w:rPr>
      <w:b/>
      <w:bCs/>
    </w:rPr>
  </w:style>
  <w:style w:type="character" w:customStyle="1" w:styleId="CommentSubjectChar">
    <w:name w:val="Comment Subject Char"/>
    <w:basedOn w:val="CommentTextChar"/>
    <w:link w:val="CommentSubject"/>
    <w:uiPriority w:val="99"/>
    <w:semiHidden/>
    <w:rsid w:val="00AE701D"/>
    <w:rPr>
      <w:rFonts w:ascii="RimTimes" w:hAnsi="RimTimes"/>
      <w:b/>
      <w:bCs/>
      <w:sz w:val="20"/>
      <w:szCs w:val="20"/>
      <w:lang w:val="en-GB" w:eastAsia="lv-LV"/>
    </w:rPr>
  </w:style>
  <w:style w:type="paragraph" w:styleId="Revision">
    <w:name w:val="Revision"/>
    <w:hidden/>
    <w:uiPriority w:val="99"/>
    <w:semiHidden/>
    <w:rsid w:val="00AE701D"/>
    <w:rPr>
      <w:rFonts w:ascii="RimTimes" w:hAnsi="RimTimes"/>
      <w:sz w:val="24"/>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5199">
      <w:marLeft w:val="0"/>
      <w:marRight w:val="0"/>
      <w:marTop w:val="0"/>
      <w:marBottom w:val="0"/>
      <w:divBdr>
        <w:top w:val="none" w:sz="0" w:space="0" w:color="auto"/>
        <w:left w:val="none" w:sz="0" w:space="0" w:color="auto"/>
        <w:bottom w:val="none" w:sz="0" w:space="0" w:color="auto"/>
        <w:right w:val="none" w:sz="0" w:space="0" w:color="auto"/>
      </w:divBdr>
      <w:divsChild>
        <w:div w:id="1167595203">
          <w:marLeft w:val="0"/>
          <w:marRight w:val="0"/>
          <w:marTop w:val="0"/>
          <w:marBottom w:val="0"/>
          <w:divBdr>
            <w:top w:val="none" w:sz="0" w:space="0" w:color="auto"/>
            <w:left w:val="none" w:sz="0" w:space="0" w:color="auto"/>
            <w:bottom w:val="none" w:sz="0" w:space="0" w:color="auto"/>
            <w:right w:val="none" w:sz="0" w:space="0" w:color="auto"/>
          </w:divBdr>
          <w:divsChild>
            <w:div w:id="1167595198">
              <w:marLeft w:val="0"/>
              <w:marRight w:val="0"/>
              <w:marTop w:val="0"/>
              <w:marBottom w:val="0"/>
              <w:divBdr>
                <w:top w:val="none" w:sz="0" w:space="0" w:color="auto"/>
                <w:left w:val="none" w:sz="0" w:space="0" w:color="auto"/>
                <w:bottom w:val="none" w:sz="0" w:space="0" w:color="auto"/>
                <w:right w:val="none" w:sz="0" w:space="0" w:color="auto"/>
              </w:divBdr>
              <w:divsChild>
                <w:div w:id="1167595202">
                  <w:marLeft w:val="0"/>
                  <w:marRight w:val="0"/>
                  <w:marTop w:val="100"/>
                  <w:marBottom w:val="100"/>
                  <w:divBdr>
                    <w:top w:val="none" w:sz="0" w:space="0" w:color="auto"/>
                    <w:left w:val="none" w:sz="0" w:space="0" w:color="auto"/>
                    <w:bottom w:val="none" w:sz="0" w:space="0" w:color="auto"/>
                    <w:right w:val="none" w:sz="0" w:space="0" w:color="auto"/>
                  </w:divBdr>
                  <w:divsChild>
                    <w:div w:id="1167595197">
                      <w:marLeft w:val="0"/>
                      <w:marRight w:val="0"/>
                      <w:marTop w:val="0"/>
                      <w:marBottom w:val="0"/>
                      <w:divBdr>
                        <w:top w:val="none" w:sz="0" w:space="0" w:color="auto"/>
                        <w:left w:val="none" w:sz="0" w:space="0" w:color="auto"/>
                        <w:bottom w:val="none" w:sz="0" w:space="0" w:color="auto"/>
                        <w:right w:val="none" w:sz="0" w:space="0" w:color="auto"/>
                      </w:divBdr>
                      <w:divsChild>
                        <w:div w:id="1167595201">
                          <w:marLeft w:val="0"/>
                          <w:marRight w:val="0"/>
                          <w:marTop w:val="100"/>
                          <w:marBottom w:val="100"/>
                          <w:divBdr>
                            <w:top w:val="none" w:sz="0" w:space="0" w:color="auto"/>
                            <w:left w:val="none" w:sz="0" w:space="0" w:color="auto"/>
                            <w:bottom w:val="none" w:sz="0" w:space="0" w:color="auto"/>
                            <w:right w:val="none" w:sz="0" w:space="0" w:color="auto"/>
                          </w:divBdr>
                          <w:divsChild>
                            <w:div w:id="1167595200">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 w:id="1586188162">
      <w:bodyDiv w:val="1"/>
      <w:marLeft w:val="0"/>
      <w:marRight w:val="0"/>
      <w:marTop w:val="0"/>
      <w:marBottom w:val="0"/>
      <w:divBdr>
        <w:top w:val="none" w:sz="0" w:space="0" w:color="auto"/>
        <w:left w:val="none" w:sz="0" w:space="0" w:color="auto"/>
        <w:bottom w:val="none" w:sz="0" w:space="0" w:color="auto"/>
        <w:right w:val="none" w:sz="0" w:space="0" w:color="auto"/>
      </w:divBdr>
    </w:div>
    <w:div w:id="20496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Produkta raksturojuma kopsavilkums</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Produkta raksturojuma kopsavilkums</dc:title>
  <dc:subject/>
  <dc:creator>7</dc:creator>
  <cp:keywords/>
  <dc:description/>
  <cp:lastModifiedBy>Skaidrīte Lapsenīte</cp:lastModifiedBy>
  <cp:revision>4</cp:revision>
  <cp:lastPrinted>2009-04-20T11:14:00Z</cp:lastPrinted>
  <dcterms:created xsi:type="dcterms:W3CDTF">2018-06-20T12:33:00Z</dcterms:created>
  <dcterms:modified xsi:type="dcterms:W3CDTF">2018-07-19T06:47:00Z</dcterms:modified>
</cp:coreProperties>
</file>