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D112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3AFD6FA3" w14:textId="77777777" w:rsidR="00FB2F25" w:rsidRDefault="00FB2F25" w:rsidP="000D5257">
      <w:pPr>
        <w:jc w:val="center"/>
        <w:rPr>
          <w:b/>
          <w:noProof/>
          <w:sz w:val="22"/>
          <w:szCs w:val="22"/>
          <w:lang w:val="lv-LV"/>
        </w:rPr>
      </w:pPr>
      <w:r w:rsidRPr="00FB2F25">
        <w:rPr>
          <w:b/>
          <w:noProof/>
          <w:sz w:val="22"/>
          <w:szCs w:val="22"/>
          <w:lang w:val="lv-LV"/>
        </w:rPr>
        <w:t>Lietošanas instrukcija: informācija</w:t>
      </w:r>
      <w:r>
        <w:rPr>
          <w:b/>
          <w:noProof/>
          <w:sz w:val="22"/>
          <w:szCs w:val="22"/>
          <w:lang w:val="lv-LV"/>
        </w:rPr>
        <w:t xml:space="preserve"> </w:t>
      </w:r>
      <w:r w:rsidRPr="00FB2F25">
        <w:rPr>
          <w:b/>
          <w:noProof/>
          <w:sz w:val="22"/>
          <w:szCs w:val="22"/>
          <w:lang w:val="lv-LV"/>
        </w:rPr>
        <w:t>lietotājam</w:t>
      </w:r>
      <w:r w:rsidRPr="00FB2F25" w:rsidDel="00FB2F25">
        <w:rPr>
          <w:b/>
          <w:noProof/>
          <w:sz w:val="22"/>
          <w:szCs w:val="22"/>
          <w:lang w:val="lv-LV"/>
        </w:rPr>
        <w:t xml:space="preserve"> </w:t>
      </w:r>
    </w:p>
    <w:p w14:paraId="27B0A0B9" w14:textId="77777777" w:rsidR="009A28EB" w:rsidRPr="000D5257" w:rsidRDefault="009A28EB" w:rsidP="000D5257">
      <w:pPr>
        <w:jc w:val="center"/>
        <w:rPr>
          <w:noProof/>
          <w:sz w:val="22"/>
          <w:szCs w:val="22"/>
          <w:lang w:val="lv-LV"/>
        </w:rPr>
      </w:pPr>
    </w:p>
    <w:p w14:paraId="3E12B140" w14:textId="77777777" w:rsidR="009A28EB" w:rsidRPr="000D5257" w:rsidRDefault="00FB2F25" w:rsidP="00992EC1">
      <w:pPr>
        <w:numPr>
          <w:ilvl w:val="12"/>
          <w:numId w:val="0"/>
        </w:numPr>
        <w:ind w:left="567" w:hanging="567"/>
        <w:jc w:val="center"/>
        <w:rPr>
          <w:lang w:val="lv-LV"/>
        </w:rPr>
      </w:pPr>
      <w:r w:rsidRPr="00FB2F25">
        <w:rPr>
          <w:b/>
          <w:sz w:val="22"/>
          <w:szCs w:val="22"/>
          <w:lang w:val="lv-LV"/>
        </w:rPr>
        <w:t xml:space="preserve">Faringodol </w:t>
      </w:r>
      <w:r w:rsidR="009A28EB" w:rsidRPr="00992EC1">
        <w:rPr>
          <w:b/>
          <w:sz w:val="22"/>
          <w:szCs w:val="22"/>
          <w:lang w:val="lv-LV"/>
        </w:rPr>
        <w:t>150 mg sūkājamās tabletes</w:t>
      </w:r>
    </w:p>
    <w:p w14:paraId="6E26A822" w14:textId="751130A7" w:rsidR="009A28EB" w:rsidRPr="00992EC1" w:rsidRDefault="00D56A8C" w:rsidP="000D5257">
      <w:pPr>
        <w:pStyle w:val="Heading1"/>
        <w:keepNext w:val="0"/>
        <w:rPr>
          <w:rFonts w:ascii="Times New Roman" w:hAnsi="Times New Roman"/>
          <w:b w:val="0"/>
          <w:i w:val="0"/>
          <w:sz w:val="22"/>
          <w:szCs w:val="22"/>
          <w:lang w:val="lv-LV"/>
        </w:rPr>
      </w:pPr>
      <w:r>
        <w:rPr>
          <w:rFonts w:ascii="Times New Roman" w:hAnsi="Times New Roman"/>
          <w:b w:val="0"/>
          <w:i w:val="0"/>
          <w:sz w:val="22"/>
          <w:szCs w:val="22"/>
          <w:lang w:val="lv-LV"/>
        </w:rPr>
        <w:t>c</w:t>
      </w:r>
      <w:r w:rsidR="009A28EB" w:rsidRPr="00992EC1">
        <w:rPr>
          <w:rFonts w:ascii="Times New Roman" w:hAnsi="Times New Roman"/>
          <w:b w:val="0"/>
          <w:i w:val="0"/>
          <w:sz w:val="22"/>
          <w:szCs w:val="22"/>
          <w:lang w:val="lv-LV"/>
        </w:rPr>
        <w:t>holini salicylas</w:t>
      </w:r>
    </w:p>
    <w:p w14:paraId="5C0D0FEB" w14:textId="77777777" w:rsidR="00FB2F25" w:rsidRDefault="00FB2F25" w:rsidP="00FB2F25">
      <w:pPr>
        <w:numPr>
          <w:ilvl w:val="12"/>
          <w:numId w:val="0"/>
        </w:numPr>
        <w:ind w:left="567" w:hanging="567"/>
        <w:rPr>
          <w:b/>
          <w:snapToGrid w:val="0"/>
          <w:sz w:val="22"/>
          <w:lang w:val="lv-LV" w:eastAsia="zh-CN"/>
        </w:rPr>
      </w:pPr>
    </w:p>
    <w:p w14:paraId="7C28960A" w14:textId="77777777" w:rsidR="00FB2F25" w:rsidRPr="00FB2F25" w:rsidRDefault="00FB2F25" w:rsidP="00FB2F25">
      <w:pPr>
        <w:numPr>
          <w:ilvl w:val="12"/>
          <w:numId w:val="0"/>
        </w:numPr>
        <w:ind w:left="567" w:hanging="567"/>
        <w:rPr>
          <w:snapToGrid w:val="0"/>
          <w:sz w:val="22"/>
          <w:lang w:val="lv-LV" w:eastAsia="zh-CN"/>
        </w:rPr>
      </w:pPr>
      <w:r w:rsidRPr="00FB2F25">
        <w:rPr>
          <w:b/>
          <w:snapToGrid w:val="0"/>
          <w:sz w:val="22"/>
          <w:lang w:val="lv-LV" w:eastAsia="zh-CN"/>
        </w:rPr>
        <w:t xml:space="preserve">Pirms šo zāļu lietošanas </w:t>
      </w:r>
      <w:r w:rsidRPr="001275F8">
        <w:rPr>
          <w:b/>
          <w:snapToGrid w:val="0"/>
          <w:sz w:val="22"/>
          <w:lang w:val="lv-LV" w:eastAsia="zh-CN"/>
        </w:rPr>
        <w:t>u</w:t>
      </w:r>
      <w:r w:rsidRPr="00FB2F25">
        <w:rPr>
          <w:b/>
          <w:snapToGrid w:val="0"/>
          <w:sz w:val="22"/>
          <w:lang w:val="lv-LV" w:eastAsia="zh-CN"/>
        </w:rPr>
        <w:t>zmanīgi izlasiet visu instrukciju, jo tā satur Jums svarīgu informāciju.</w:t>
      </w:r>
    </w:p>
    <w:p w14:paraId="7300AB3F" w14:textId="77777777" w:rsidR="00FB2F25" w:rsidRPr="00FB2F25" w:rsidRDefault="00FB2F25" w:rsidP="001275F8">
      <w:pPr>
        <w:numPr>
          <w:ilvl w:val="12"/>
          <w:numId w:val="0"/>
        </w:numPr>
        <w:rPr>
          <w:snapToGrid w:val="0"/>
          <w:sz w:val="22"/>
          <w:lang w:val="lv-LV" w:eastAsia="zh-CN"/>
        </w:rPr>
      </w:pPr>
      <w:r w:rsidRPr="00FB2F25">
        <w:rPr>
          <w:snapToGrid w:val="0"/>
          <w:sz w:val="22"/>
          <w:szCs w:val="22"/>
          <w:lang w:val="lv-LV" w:eastAsia="zh-CN"/>
        </w:rPr>
        <w:t>Vienmēr lietojiet šīs</w:t>
      </w:r>
      <w:r w:rsidRPr="00FB2F25">
        <w:rPr>
          <w:snapToGrid w:val="0"/>
          <w:sz w:val="22"/>
          <w:lang w:val="lv-LV" w:eastAsia="zh-CN"/>
        </w:rPr>
        <w:t xml:space="preserve"> zāles tieši tā, kā </w:t>
      </w:r>
      <w:r w:rsidRPr="00FB2F25">
        <w:rPr>
          <w:snapToGrid w:val="0"/>
          <w:sz w:val="22"/>
          <w:szCs w:val="22"/>
          <w:lang w:val="lv-LV" w:eastAsia="zh-CN"/>
        </w:rPr>
        <w:t>aprakstīts</w:t>
      </w:r>
      <w:r w:rsidRPr="00FB2F25">
        <w:rPr>
          <w:snapToGrid w:val="0"/>
          <w:sz w:val="22"/>
          <w:lang w:val="lv-LV" w:eastAsia="zh-CN"/>
        </w:rPr>
        <w:t xml:space="preserve"> šajā instrukcijā vai </w:t>
      </w:r>
      <w:r w:rsidR="00AB6D64">
        <w:rPr>
          <w:snapToGrid w:val="0"/>
          <w:sz w:val="22"/>
          <w:lang w:val="lv-LV" w:eastAsia="zh-CN"/>
        </w:rPr>
        <w:t xml:space="preserve">arī tā, </w:t>
      </w:r>
      <w:r w:rsidRPr="00FB2F25">
        <w:rPr>
          <w:snapToGrid w:val="0"/>
          <w:sz w:val="22"/>
          <w:lang w:val="lv-LV" w:eastAsia="zh-CN"/>
        </w:rPr>
        <w:t>kā ārsts</w:t>
      </w:r>
      <w:r>
        <w:rPr>
          <w:snapToGrid w:val="0"/>
          <w:sz w:val="22"/>
          <w:lang w:val="lv-LV" w:eastAsia="zh-CN"/>
        </w:rPr>
        <w:t xml:space="preserve"> </w:t>
      </w:r>
      <w:r w:rsidRPr="00FB2F25">
        <w:rPr>
          <w:snapToGrid w:val="0"/>
          <w:sz w:val="22"/>
          <w:lang w:val="lv-LV" w:eastAsia="zh-CN"/>
        </w:rPr>
        <w:t>vai</w:t>
      </w:r>
      <w:r>
        <w:rPr>
          <w:snapToGrid w:val="0"/>
          <w:sz w:val="22"/>
          <w:lang w:val="lv-LV" w:eastAsia="zh-CN"/>
        </w:rPr>
        <w:t xml:space="preserve"> </w:t>
      </w:r>
      <w:r w:rsidRPr="00FB2F25">
        <w:rPr>
          <w:snapToGrid w:val="0"/>
          <w:sz w:val="22"/>
          <w:lang w:val="lv-LV" w:eastAsia="zh-CN"/>
        </w:rPr>
        <w:t>farmaceits</w:t>
      </w:r>
      <w:r>
        <w:rPr>
          <w:snapToGrid w:val="0"/>
          <w:sz w:val="22"/>
          <w:lang w:val="lv-LV" w:eastAsia="zh-CN"/>
        </w:rPr>
        <w:t xml:space="preserve"> </w:t>
      </w:r>
      <w:r w:rsidRPr="00FB2F25">
        <w:rPr>
          <w:snapToGrid w:val="0"/>
          <w:sz w:val="22"/>
          <w:szCs w:val="22"/>
          <w:lang w:val="lv-LV" w:eastAsia="zh-CN"/>
        </w:rPr>
        <w:t>Jums teicis</w:t>
      </w:r>
      <w:r w:rsidRPr="00FB2F25">
        <w:rPr>
          <w:snapToGrid w:val="0"/>
          <w:sz w:val="22"/>
          <w:lang w:val="lv-LV" w:eastAsia="zh-CN"/>
        </w:rPr>
        <w:t>.</w:t>
      </w:r>
    </w:p>
    <w:p w14:paraId="7BB690E9" w14:textId="77777777" w:rsidR="00FB2F25" w:rsidRPr="00FB2F25" w:rsidRDefault="00FB2F25" w:rsidP="00FB2F25">
      <w:pPr>
        <w:ind w:left="567" w:hanging="567"/>
        <w:rPr>
          <w:snapToGrid w:val="0"/>
          <w:sz w:val="22"/>
          <w:lang w:val="lv-LV" w:eastAsia="zh-CN"/>
        </w:rPr>
      </w:pPr>
      <w:r w:rsidRPr="00FB2F25">
        <w:rPr>
          <w:snapToGrid w:val="0"/>
          <w:sz w:val="22"/>
          <w:lang w:val="lv-LV" w:eastAsia="zh-CN"/>
        </w:rPr>
        <w:t>-</w:t>
      </w:r>
      <w:r w:rsidRPr="00FB2F25">
        <w:rPr>
          <w:snapToGrid w:val="0"/>
          <w:sz w:val="22"/>
          <w:lang w:val="lv-LV" w:eastAsia="zh-CN"/>
        </w:rPr>
        <w:tab/>
        <w:t>Saglabājiet šo instrukciju! Iespējams, ka vēlāk to vajadzēs pārlasīt.</w:t>
      </w:r>
    </w:p>
    <w:p w14:paraId="25E232C2" w14:textId="77777777" w:rsidR="00FB2F25" w:rsidRPr="00FB2F25" w:rsidRDefault="00FB2F25" w:rsidP="00FB2F25">
      <w:pPr>
        <w:numPr>
          <w:ilvl w:val="0"/>
          <w:numId w:val="11"/>
        </w:numPr>
        <w:tabs>
          <w:tab w:val="left" w:pos="567"/>
        </w:tabs>
        <w:spacing w:line="260" w:lineRule="exact"/>
        <w:ind w:left="567" w:hanging="567"/>
        <w:rPr>
          <w:snapToGrid w:val="0"/>
          <w:sz w:val="22"/>
          <w:lang w:val="lv-LV" w:eastAsia="zh-CN"/>
        </w:rPr>
      </w:pPr>
      <w:r w:rsidRPr="00FB2F25">
        <w:rPr>
          <w:snapToGrid w:val="0"/>
          <w:sz w:val="22"/>
          <w:lang w:val="lv-LV" w:eastAsia="zh-CN"/>
        </w:rPr>
        <w:t>Ja Jums nepieciešama papildu informācija vai padoms, vaicājiet farmaceitam.</w:t>
      </w:r>
    </w:p>
    <w:p w14:paraId="71C1F68B" w14:textId="77777777" w:rsidR="00FB2F25" w:rsidRPr="00FB2F25" w:rsidRDefault="00FB2F25" w:rsidP="00FB2F25">
      <w:pPr>
        <w:numPr>
          <w:ilvl w:val="0"/>
          <w:numId w:val="11"/>
        </w:numPr>
        <w:tabs>
          <w:tab w:val="left" w:pos="567"/>
        </w:tabs>
        <w:spacing w:line="260" w:lineRule="exact"/>
        <w:ind w:left="567" w:hanging="567"/>
        <w:rPr>
          <w:snapToGrid w:val="0"/>
          <w:sz w:val="22"/>
          <w:lang w:val="lv-LV" w:eastAsia="zh-CN"/>
        </w:rPr>
      </w:pPr>
      <w:r w:rsidRPr="00FB2F25">
        <w:rPr>
          <w:snapToGrid w:val="0"/>
          <w:sz w:val="22"/>
          <w:lang w:val="lv-LV" w:eastAsia="zh-CN"/>
        </w:rPr>
        <w:t xml:space="preserve">Ja Jums </w:t>
      </w:r>
      <w:r w:rsidRPr="00FB2F25">
        <w:rPr>
          <w:snapToGrid w:val="0"/>
          <w:sz w:val="22"/>
          <w:szCs w:val="22"/>
          <w:lang w:val="lv-LV" w:eastAsia="zh-CN"/>
        </w:rPr>
        <w:t>rodas</w:t>
      </w:r>
      <w:r w:rsidRPr="00FB2F25">
        <w:rPr>
          <w:snapToGrid w:val="0"/>
          <w:sz w:val="22"/>
          <w:lang w:val="lv-LV" w:eastAsia="zh-CN"/>
        </w:rPr>
        <w:t xml:space="preserve"> jebkādas blakusparādības, konsultējieties ar ārstu</w:t>
      </w:r>
      <w:r>
        <w:rPr>
          <w:snapToGrid w:val="0"/>
          <w:sz w:val="22"/>
          <w:lang w:val="lv-LV" w:eastAsia="zh-CN"/>
        </w:rPr>
        <w:t xml:space="preserve"> </w:t>
      </w:r>
      <w:r w:rsidRPr="00FB2F25">
        <w:rPr>
          <w:snapToGrid w:val="0"/>
          <w:sz w:val="22"/>
          <w:lang w:val="lv-LV" w:eastAsia="zh-CN"/>
        </w:rPr>
        <w:t>vai</w:t>
      </w:r>
      <w:r>
        <w:rPr>
          <w:snapToGrid w:val="0"/>
          <w:sz w:val="22"/>
          <w:lang w:val="lv-LV" w:eastAsia="zh-CN"/>
        </w:rPr>
        <w:t xml:space="preserve"> </w:t>
      </w:r>
      <w:r w:rsidRPr="00FB2F25">
        <w:rPr>
          <w:snapToGrid w:val="0"/>
          <w:sz w:val="22"/>
          <w:lang w:val="lv-LV" w:eastAsia="zh-CN"/>
        </w:rPr>
        <w:t xml:space="preserve">farmaceitu. Tas attiecas arī uz iespējamām blakusparādībām, kas </w:t>
      </w:r>
      <w:r w:rsidRPr="00FB2F25">
        <w:rPr>
          <w:snapToGrid w:val="0"/>
          <w:sz w:val="22"/>
          <w:szCs w:val="22"/>
          <w:lang w:val="lv-LV" w:eastAsia="zh-CN"/>
        </w:rPr>
        <w:t xml:space="preserve">nav minētas </w:t>
      </w:r>
      <w:r w:rsidRPr="00FB2F25">
        <w:rPr>
          <w:snapToGrid w:val="0"/>
          <w:sz w:val="22"/>
          <w:lang w:val="lv-LV" w:eastAsia="zh-CN"/>
        </w:rPr>
        <w:t>šajā instrukcijā</w:t>
      </w:r>
      <w:r w:rsidRPr="00FB2F25">
        <w:rPr>
          <w:snapToGrid w:val="0"/>
          <w:sz w:val="22"/>
          <w:szCs w:val="22"/>
          <w:lang w:val="lv-LV" w:eastAsia="zh-CN"/>
        </w:rPr>
        <w:t>. Skatīt 4. punktu</w:t>
      </w:r>
      <w:r w:rsidRPr="00FB2F25">
        <w:rPr>
          <w:snapToGrid w:val="0"/>
          <w:sz w:val="22"/>
          <w:lang w:val="lv-LV" w:eastAsia="zh-CN"/>
        </w:rPr>
        <w:t>.</w:t>
      </w:r>
    </w:p>
    <w:p w14:paraId="391C29EF" w14:textId="77777777" w:rsidR="00FB2F25" w:rsidRPr="00FB2F25" w:rsidRDefault="00FB2F25" w:rsidP="00FB2F25">
      <w:pPr>
        <w:numPr>
          <w:ilvl w:val="0"/>
          <w:numId w:val="11"/>
        </w:numPr>
        <w:tabs>
          <w:tab w:val="left" w:pos="567"/>
        </w:tabs>
        <w:spacing w:line="260" w:lineRule="exact"/>
        <w:ind w:left="567" w:hanging="567"/>
        <w:rPr>
          <w:snapToGrid w:val="0"/>
          <w:sz w:val="22"/>
          <w:lang w:val="lv-LV" w:eastAsia="zh-CN"/>
        </w:rPr>
      </w:pPr>
      <w:r w:rsidRPr="00FB2F25">
        <w:rPr>
          <w:snapToGrid w:val="0"/>
          <w:sz w:val="22"/>
          <w:lang w:val="lv-LV" w:eastAsia="zh-CN"/>
        </w:rPr>
        <w:t>Ja</w:t>
      </w:r>
      <w:r w:rsidR="00D86E5B">
        <w:rPr>
          <w:snapToGrid w:val="0"/>
          <w:sz w:val="22"/>
          <w:lang w:val="lv-LV" w:eastAsia="zh-CN"/>
        </w:rPr>
        <w:t xml:space="preserve"> pēc</w:t>
      </w:r>
      <w:r w:rsidRPr="00FB2F25">
        <w:rPr>
          <w:snapToGrid w:val="0"/>
          <w:sz w:val="22"/>
          <w:lang w:val="lv-LV" w:eastAsia="zh-CN"/>
        </w:rPr>
        <w:t xml:space="preserve"> </w:t>
      </w:r>
      <w:r w:rsidRPr="00E62D61">
        <w:rPr>
          <w:snapToGrid w:val="0"/>
          <w:sz w:val="22"/>
          <w:lang w:val="lv-LV" w:eastAsia="zh-CN"/>
        </w:rPr>
        <w:t>1 līdz 2 dienām</w:t>
      </w:r>
      <w:r w:rsidRPr="00FB2F25">
        <w:rPr>
          <w:snapToGrid w:val="0"/>
          <w:sz w:val="22"/>
          <w:lang w:val="lv-LV" w:eastAsia="zh-CN"/>
        </w:rPr>
        <w:t xml:space="preserve"> nejūtaties labāk vai jūtaties </w:t>
      </w:r>
      <w:r w:rsidRPr="00E62D61">
        <w:rPr>
          <w:snapToGrid w:val="0"/>
          <w:sz w:val="22"/>
          <w:lang w:val="lv-LV" w:eastAsia="zh-CN"/>
        </w:rPr>
        <w:t>sliktāk</w:t>
      </w:r>
      <w:r w:rsidRPr="00FB2F25">
        <w:rPr>
          <w:snapToGrid w:val="0"/>
          <w:sz w:val="22"/>
          <w:lang w:val="lv-LV" w:eastAsia="zh-CN"/>
        </w:rPr>
        <w:t>, Jums jākonsultējas ar ārstu.</w:t>
      </w:r>
    </w:p>
    <w:p w14:paraId="08817DFC" w14:textId="77777777" w:rsidR="00FB2F25" w:rsidRPr="000D5257" w:rsidRDefault="00FB2F25" w:rsidP="000D5257">
      <w:pPr>
        <w:rPr>
          <w:b/>
          <w:noProof/>
          <w:sz w:val="22"/>
          <w:szCs w:val="22"/>
          <w:lang w:val="lv-LV"/>
        </w:rPr>
      </w:pPr>
    </w:p>
    <w:p w14:paraId="6ACADCF3" w14:textId="77777777" w:rsidR="009A28EB" w:rsidRPr="000D5257" w:rsidRDefault="009A28EB" w:rsidP="00FB2F25">
      <w:pPr>
        <w:numPr>
          <w:ilvl w:val="12"/>
          <w:numId w:val="0"/>
        </w:numPr>
        <w:ind w:left="567" w:hanging="567"/>
        <w:rPr>
          <w:noProof/>
          <w:sz w:val="22"/>
          <w:szCs w:val="22"/>
          <w:lang w:val="lv-LV"/>
        </w:rPr>
      </w:pPr>
      <w:r w:rsidRPr="00992EC1">
        <w:rPr>
          <w:b/>
          <w:noProof/>
          <w:sz w:val="22"/>
          <w:szCs w:val="22"/>
          <w:lang w:val="lv-LV"/>
        </w:rPr>
        <w:t xml:space="preserve">Šajā </w:t>
      </w:r>
      <w:smartTag w:uri="schemas-tilde-lv/tildestengine" w:element="veidnes">
        <w:smartTagPr>
          <w:attr w:name="baseform" w:val="instrukcij|a"/>
          <w:attr w:name="id" w:val="-1"/>
          <w:attr w:name="text" w:val="instrukcijā"/>
        </w:smartTagPr>
        <w:r w:rsidRPr="00992EC1">
          <w:rPr>
            <w:b/>
            <w:noProof/>
            <w:sz w:val="22"/>
            <w:szCs w:val="22"/>
            <w:lang w:val="lv-LV"/>
          </w:rPr>
          <w:t>instrukcijā</w:t>
        </w:r>
      </w:smartTag>
      <w:r w:rsidRPr="00992EC1">
        <w:rPr>
          <w:b/>
          <w:noProof/>
          <w:sz w:val="22"/>
          <w:szCs w:val="22"/>
          <w:lang w:val="lv-LV"/>
        </w:rPr>
        <w:t xml:space="preserve"> varat uzzināt</w:t>
      </w:r>
      <w:r w:rsidRPr="00992EC1">
        <w:rPr>
          <w:noProof/>
          <w:sz w:val="22"/>
          <w:szCs w:val="22"/>
          <w:lang w:val="lv-LV"/>
        </w:rPr>
        <w:t xml:space="preserve">: </w:t>
      </w:r>
    </w:p>
    <w:p w14:paraId="038B3D28" w14:textId="77777777" w:rsidR="009A28EB" w:rsidRPr="00992EC1" w:rsidRDefault="009A28EB" w:rsidP="000D5257">
      <w:p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1</w:t>
      </w:r>
      <w:r w:rsidRPr="000D5257">
        <w:rPr>
          <w:i/>
          <w:noProof/>
          <w:sz w:val="22"/>
          <w:szCs w:val="22"/>
          <w:lang w:val="lv-LV"/>
        </w:rPr>
        <w:t>.</w:t>
      </w:r>
      <w:r w:rsidRPr="000D5257">
        <w:rPr>
          <w:i/>
          <w:noProof/>
          <w:sz w:val="22"/>
          <w:szCs w:val="22"/>
          <w:lang w:val="lv-LV"/>
        </w:rPr>
        <w:tab/>
      </w:r>
      <w:r w:rsidRPr="00992EC1">
        <w:rPr>
          <w:noProof/>
          <w:sz w:val="22"/>
          <w:szCs w:val="22"/>
          <w:lang w:val="lv-LV"/>
        </w:rPr>
        <w:t xml:space="preserve">Kas ir </w:t>
      </w:r>
      <w:r w:rsidR="00FB2F25" w:rsidRPr="00FB2F25">
        <w:rPr>
          <w:noProof/>
          <w:sz w:val="22"/>
          <w:szCs w:val="22"/>
          <w:lang w:val="lv-LV"/>
        </w:rPr>
        <w:t xml:space="preserve">Faringodol </w:t>
      </w:r>
      <w:r w:rsidRPr="00992EC1">
        <w:rPr>
          <w:noProof/>
          <w:sz w:val="22"/>
          <w:szCs w:val="22"/>
          <w:lang w:val="lv-LV"/>
        </w:rPr>
        <w:t>un kādam nolūkam to lieto</w:t>
      </w:r>
    </w:p>
    <w:p w14:paraId="0FB5EA25" w14:textId="77777777" w:rsidR="009A28EB" w:rsidRPr="00992EC1" w:rsidRDefault="009A28EB" w:rsidP="000D5257">
      <w:p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2.</w:t>
      </w:r>
      <w:r w:rsidRPr="00992EC1">
        <w:rPr>
          <w:noProof/>
          <w:sz w:val="22"/>
          <w:szCs w:val="22"/>
          <w:lang w:val="lv-LV"/>
        </w:rPr>
        <w:tab/>
      </w:r>
      <w:r w:rsidR="00D86E5B">
        <w:rPr>
          <w:noProof/>
          <w:sz w:val="22"/>
          <w:szCs w:val="22"/>
          <w:lang w:val="lv-LV"/>
        </w:rPr>
        <w:t>Kas Jums jāzina p</w:t>
      </w:r>
      <w:r w:rsidRPr="00992EC1">
        <w:rPr>
          <w:noProof/>
          <w:sz w:val="22"/>
          <w:szCs w:val="22"/>
          <w:lang w:val="lv-LV"/>
        </w:rPr>
        <w:t xml:space="preserve">irms </w:t>
      </w:r>
      <w:r w:rsidR="00FB2F25" w:rsidRPr="00FB2F25">
        <w:rPr>
          <w:noProof/>
          <w:sz w:val="22"/>
          <w:szCs w:val="22"/>
          <w:lang w:val="lv-LV"/>
        </w:rPr>
        <w:t xml:space="preserve">Faringodol </w:t>
      </w:r>
      <w:r w:rsidRPr="00992EC1">
        <w:rPr>
          <w:noProof/>
          <w:sz w:val="22"/>
          <w:szCs w:val="22"/>
          <w:lang w:val="lv-LV"/>
        </w:rPr>
        <w:t>lietošanas</w:t>
      </w:r>
    </w:p>
    <w:p w14:paraId="50E45346" w14:textId="77777777" w:rsidR="009A28EB" w:rsidRPr="00992EC1" w:rsidRDefault="009A28EB" w:rsidP="000D5257">
      <w:p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3.</w:t>
      </w:r>
      <w:r w:rsidRPr="00992EC1">
        <w:rPr>
          <w:noProof/>
          <w:sz w:val="22"/>
          <w:szCs w:val="22"/>
          <w:lang w:val="lv-LV"/>
        </w:rPr>
        <w:tab/>
        <w:t xml:space="preserve">Kā lietot </w:t>
      </w:r>
      <w:r w:rsidR="00D86E5B" w:rsidRPr="00D86E5B">
        <w:rPr>
          <w:noProof/>
          <w:sz w:val="22"/>
          <w:szCs w:val="22"/>
          <w:lang w:val="lv-LV"/>
        </w:rPr>
        <w:t xml:space="preserve">Faringodol </w:t>
      </w:r>
    </w:p>
    <w:p w14:paraId="625B895B" w14:textId="77777777" w:rsidR="009A28EB" w:rsidRPr="00992EC1" w:rsidRDefault="009A28EB" w:rsidP="000D5257">
      <w:p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4.</w:t>
      </w:r>
      <w:r w:rsidRPr="00992EC1">
        <w:rPr>
          <w:noProof/>
          <w:sz w:val="22"/>
          <w:szCs w:val="22"/>
          <w:lang w:val="lv-LV"/>
        </w:rPr>
        <w:tab/>
        <w:t>Iespējamās blakusparādības</w:t>
      </w:r>
    </w:p>
    <w:p w14:paraId="6CB15B98" w14:textId="77777777" w:rsidR="009A28EB" w:rsidRPr="00992EC1" w:rsidRDefault="009A28EB" w:rsidP="000D5257">
      <w:p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5.</w:t>
      </w:r>
      <w:r w:rsidRPr="00992EC1">
        <w:rPr>
          <w:noProof/>
          <w:sz w:val="22"/>
          <w:szCs w:val="22"/>
          <w:lang w:val="lv-LV"/>
        </w:rPr>
        <w:tab/>
      </w:r>
      <w:r w:rsidR="00D86E5B">
        <w:rPr>
          <w:sz w:val="22"/>
          <w:szCs w:val="22"/>
          <w:lang w:val="lv-LV"/>
        </w:rPr>
        <w:t xml:space="preserve">Kā uzglabāt </w:t>
      </w:r>
      <w:r w:rsidR="00D86E5B" w:rsidRPr="00D86E5B">
        <w:rPr>
          <w:sz w:val="22"/>
          <w:szCs w:val="22"/>
          <w:lang w:val="lv-LV"/>
        </w:rPr>
        <w:t xml:space="preserve">Faringodol </w:t>
      </w:r>
    </w:p>
    <w:p w14:paraId="6B13D9DE" w14:textId="77777777" w:rsidR="009A28EB" w:rsidRPr="00992EC1" w:rsidRDefault="009A28EB" w:rsidP="000D5257">
      <w:p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6.</w:t>
      </w:r>
      <w:r w:rsidRPr="00992EC1">
        <w:rPr>
          <w:noProof/>
          <w:sz w:val="22"/>
          <w:szCs w:val="22"/>
          <w:lang w:val="lv-LV"/>
        </w:rPr>
        <w:tab/>
      </w:r>
      <w:r w:rsidR="00D86E5B" w:rsidRPr="00D86E5B">
        <w:rPr>
          <w:noProof/>
          <w:sz w:val="22"/>
          <w:szCs w:val="22"/>
          <w:lang w:val="lv-LV"/>
        </w:rPr>
        <w:t>Iepakojuma saturs un cita informācija</w:t>
      </w:r>
      <w:r w:rsidR="00D86E5B" w:rsidRPr="00D86E5B" w:rsidDel="00D86E5B">
        <w:rPr>
          <w:noProof/>
          <w:sz w:val="22"/>
          <w:szCs w:val="22"/>
          <w:lang w:val="lv-LV"/>
        </w:rPr>
        <w:t xml:space="preserve"> </w:t>
      </w:r>
    </w:p>
    <w:p w14:paraId="7399F908" w14:textId="77777777" w:rsidR="009A28EB" w:rsidRPr="000D5257" w:rsidRDefault="009A28EB" w:rsidP="000D5257">
      <w:pPr>
        <w:pStyle w:val="Heading3"/>
        <w:keepNext w:val="0"/>
        <w:jc w:val="left"/>
        <w:rPr>
          <w:rFonts w:ascii="Times New Roman" w:hAnsi="Times New Roman"/>
          <w:sz w:val="22"/>
          <w:szCs w:val="22"/>
          <w:lang w:val="lv-LV"/>
        </w:rPr>
      </w:pPr>
    </w:p>
    <w:p w14:paraId="74F38A95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3E187EE0" w14:textId="77777777" w:rsidR="00D86E5B" w:rsidRDefault="00D86E5B" w:rsidP="00992EC1">
      <w:pPr>
        <w:pStyle w:val="Heading3"/>
        <w:keepNext w:val="0"/>
        <w:numPr>
          <w:ilvl w:val="0"/>
          <w:numId w:val="12"/>
        </w:numPr>
        <w:tabs>
          <w:tab w:val="left" w:pos="567"/>
        </w:tabs>
        <w:ind w:left="567" w:hanging="567"/>
        <w:jc w:val="left"/>
        <w:rPr>
          <w:rFonts w:ascii="Times New Roman" w:hAnsi="Times New Roman"/>
          <w:sz w:val="22"/>
          <w:szCs w:val="22"/>
          <w:lang w:val="lv-LV"/>
        </w:rPr>
      </w:pPr>
      <w:r w:rsidRPr="00D86E5B">
        <w:rPr>
          <w:rFonts w:ascii="Times New Roman" w:hAnsi="Times New Roman"/>
          <w:sz w:val="22"/>
          <w:szCs w:val="22"/>
          <w:lang w:val="lv-LV"/>
        </w:rPr>
        <w:t>Kas ir Faringodol un kādam nolūkam to lieto</w:t>
      </w:r>
      <w:r w:rsidRPr="00D86E5B" w:rsidDel="00D86E5B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4CC81DE2" w14:textId="77777777" w:rsidR="009A28EB" w:rsidRPr="000D5257" w:rsidRDefault="009A28EB">
      <w:pPr>
        <w:pStyle w:val="Heading3"/>
        <w:keepNext w:val="0"/>
        <w:tabs>
          <w:tab w:val="left" w:pos="567"/>
        </w:tabs>
        <w:jc w:val="left"/>
        <w:rPr>
          <w:rFonts w:ascii="Times New Roman" w:hAnsi="Times New Roman"/>
          <w:sz w:val="22"/>
          <w:szCs w:val="22"/>
          <w:lang w:val="lv-LV"/>
        </w:rPr>
      </w:pPr>
    </w:p>
    <w:p w14:paraId="342F3E05" w14:textId="77777777" w:rsidR="009A28EB" w:rsidRPr="005C02E6" w:rsidRDefault="00D86E5B" w:rsidP="00992EC1">
      <w:pPr>
        <w:rPr>
          <w:noProof/>
          <w:sz w:val="22"/>
          <w:szCs w:val="22"/>
          <w:lang w:val="lv-LV"/>
        </w:rPr>
      </w:pPr>
      <w:r w:rsidRPr="005C02E6">
        <w:rPr>
          <w:noProof/>
          <w:sz w:val="22"/>
          <w:szCs w:val="22"/>
          <w:lang w:val="lv-LV"/>
        </w:rPr>
        <w:t xml:space="preserve">Faringodol </w:t>
      </w:r>
      <w:r w:rsidR="009A28EB" w:rsidRPr="00DB582E">
        <w:rPr>
          <w:noProof/>
          <w:sz w:val="22"/>
          <w:szCs w:val="22"/>
          <w:lang w:val="lv-LV"/>
        </w:rPr>
        <w:t>aktīvajai vielai holīna salicilātam piemīt šāda vietēja iedarbība:</w:t>
      </w:r>
      <w:r w:rsidR="005C02E6">
        <w:rPr>
          <w:noProof/>
          <w:sz w:val="22"/>
          <w:szCs w:val="22"/>
          <w:lang w:val="lv-LV"/>
        </w:rPr>
        <w:t xml:space="preserve"> novērš iekaisumu; mazina sāpes; </w:t>
      </w:r>
      <w:r w:rsidR="005C02E6" w:rsidRPr="005C02E6">
        <w:rPr>
          <w:noProof/>
          <w:sz w:val="22"/>
          <w:szCs w:val="22"/>
          <w:lang w:val="lv-LV"/>
        </w:rPr>
        <w:t>darbojas kā antibakteriāls līdzeklis</w:t>
      </w:r>
      <w:r w:rsidR="005C02E6">
        <w:rPr>
          <w:noProof/>
          <w:sz w:val="22"/>
          <w:szCs w:val="22"/>
          <w:lang w:val="lv-LV"/>
        </w:rPr>
        <w:t>;</w:t>
      </w:r>
      <w:r w:rsidR="005C02E6" w:rsidRPr="005C02E6">
        <w:rPr>
          <w:noProof/>
          <w:sz w:val="22"/>
          <w:szCs w:val="22"/>
          <w:lang w:val="lv-LV"/>
        </w:rPr>
        <w:t xml:space="preserve"> samazina mutes</w:t>
      </w:r>
      <w:r w:rsidR="005C02E6">
        <w:rPr>
          <w:noProof/>
          <w:sz w:val="22"/>
          <w:szCs w:val="22"/>
          <w:lang w:val="lv-LV"/>
        </w:rPr>
        <w:t xml:space="preserve"> dobuma</w:t>
      </w:r>
      <w:r w:rsidR="005C02E6" w:rsidRPr="005C02E6">
        <w:rPr>
          <w:noProof/>
          <w:sz w:val="22"/>
          <w:szCs w:val="22"/>
          <w:lang w:val="lv-LV"/>
        </w:rPr>
        <w:t xml:space="preserve"> un rīkles gļotādas pietūkumu</w:t>
      </w:r>
      <w:r w:rsidR="005C02E6">
        <w:rPr>
          <w:noProof/>
          <w:sz w:val="22"/>
          <w:szCs w:val="22"/>
          <w:lang w:val="lv-LV"/>
        </w:rPr>
        <w:t>,</w:t>
      </w:r>
      <w:r w:rsidR="005C02E6" w:rsidRPr="005C02E6">
        <w:rPr>
          <w:noProof/>
          <w:sz w:val="22"/>
          <w:szCs w:val="22"/>
          <w:lang w:val="lv-LV"/>
        </w:rPr>
        <w:t xml:space="preserve"> un apsārtumu</w:t>
      </w:r>
      <w:r w:rsidR="005C02E6">
        <w:rPr>
          <w:noProof/>
          <w:sz w:val="22"/>
          <w:szCs w:val="22"/>
          <w:lang w:val="lv-LV"/>
        </w:rPr>
        <w:t>;</w:t>
      </w:r>
      <w:r w:rsidR="005C02E6" w:rsidRPr="005C02E6">
        <w:rPr>
          <w:noProof/>
          <w:sz w:val="22"/>
          <w:szCs w:val="22"/>
          <w:lang w:val="lv-LV"/>
        </w:rPr>
        <w:t xml:space="preserve"> </w:t>
      </w:r>
      <w:r w:rsidR="005C02E6" w:rsidRPr="00410F4A">
        <w:rPr>
          <w:noProof/>
          <w:sz w:val="22"/>
          <w:szCs w:val="22"/>
          <w:lang w:val="lv-LV"/>
        </w:rPr>
        <w:t>siekalu izdalīšanos stimulējoša iedarbība, kas papildina pretiekaisuma darbību</w:t>
      </w:r>
      <w:r w:rsidR="005C02E6">
        <w:rPr>
          <w:noProof/>
          <w:sz w:val="22"/>
          <w:szCs w:val="22"/>
          <w:lang w:val="lv-LV"/>
        </w:rPr>
        <w:t>.</w:t>
      </w:r>
    </w:p>
    <w:p w14:paraId="136B1445" w14:textId="77777777" w:rsidR="009A28EB" w:rsidRPr="005C02E6" w:rsidRDefault="009A28EB" w:rsidP="000D5257">
      <w:pPr>
        <w:rPr>
          <w:noProof/>
          <w:sz w:val="22"/>
          <w:szCs w:val="22"/>
          <w:lang w:val="lv-LV"/>
        </w:rPr>
      </w:pPr>
    </w:p>
    <w:p w14:paraId="0DF5555D" w14:textId="77777777" w:rsidR="009A28EB" w:rsidRPr="00DB582E" w:rsidRDefault="005C02E6" w:rsidP="00992EC1">
      <w:pPr>
        <w:rPr>
          <w:noProof/>
          <w:sz w:val="22"/>
          <w:szCs w:val="22"/>
          <w:lang w:val="lv-LV"/>
        </w:rPr>
      </w:pPr>
      <w:r w:rsidRPr="005C02E6">
        <w:rPr>
          <w:sz w:val="22"/>
          <w:szCs w:val="22"/>
          <w:lang w:val="lv-LV"/>
        </w:rPr>
        <w:t xml:space="preserve">Šīs zāles lieto, lai mazinātu sāpes un </w:t>
      </w:r>
      <w:r w:rsidR="002634CF">
        <w:rPr>
          <w:sz w:val="22"/>
          <w:szCs w:val="22"/>
          <w:lang w:val="lv-LV"/>
        </w:rPr>
        <w:t>novērstu</w:t>
      </w:r>
      <w:r w:rsidRPr="005C02E6">
        <w:rPr>
          <w:sz w:val="22"/>
          <w:szCs w:val="22"/>
          <w:lang w:val="lv-LV"/>
        </w:rPr>
        <w:t xml:space="preserve"> mutes iekaisum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 xml:space="preserve"> (stomatīt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 xml:space="preserve">), </w:t>
      </w:r>
      <w:r w:rsidR="002634CF">
        <w:rPr>
          <w:sz w:val="22"/>
          <w:szCs w:val="22"/>
          <w:lang w:val="lv-LV"/>
        </w:rPr>
        <w:t>rīkles</w:t>
      </w:r>
      <w:r w:rsidRPr="005C02E6">
        <w:rPr>
          <w:sz w:val="22"/>
          <w:szCs w:val="22"/>
          <w:lang w:val="lv-LV"/>
        </w:rPr>
        <w:t xml:space="preserve"> gļotādas iekaisum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 xml:space="preserve"> (faringīt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>), smaganu iekaisum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 xml:space="preserve"> (gingivīt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 xml:space="preserve">) un </w:t>
      </w:r>
      <w:r>
        <w:rPr>
          <w:sz w:val="22"/>
          <w:szCs w:val="22"/>
          <w:lang w:val="lv-LV"/>
        </w:rPr>
        <w:t>baktēriju izraisīt</w:t>
      </w:r>
      <w:r w:rsidR="00E422C5">
        <w:rPr>
          <w:sz w:val="22"/>
          <w:szCs w:val="22"/>
          <w:lang w:val="lv-LV"/>
        </w:rPr>
        <w:t>u</w:t>
      </w:r>
      <w:r>
        <w:rPr>
          <w:sz w:val="22"/>
          <w:szCs w:val="22"/>
          <w:lang w:val="lv-LV"/>
        </w:rPr>
        <w:t xml:space="preserve"> iekaisum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 xml:space="preserve"> (periodon</w:t>
      </w:r>
      <w:r w:rsidR="00E422C5">
        <w:rPr>
          <w:sz w:val="22"/>
          <w:szCs w:val="22"/>
          <w:lang w:val="lv-LV"/>
        </w:rPr>
        <w:t>t</w:t>
      </w:r>
      <w:r w:rsidRPr="005C02E6">
        <w:rPr>
          <w:sz w:val="22"/>
          <w:szCs w:val="22"/>
          <w:lang w:val="lv-LV"/>
        </w:rPr>
        <w:t>īt</w:t>
      </w:r>
      <w:r w:rsidR="002634CF">
        <w:rPr>
          <w:sz w:val="22"/>
          <w:szCs w:val="22"/>
          <w:lang w:val="lv-LV"/>
        </w:rPr>
        <w:t>u</w:t>
      </w:r>
      <w:r w:rsidRPr="005C02E6">
        <w:rPr>
          <w:sz w:val="22"/>
          <w:szCs w:val="22"/>
          <w:lang w:val="lv-LV"/>
        </w:rPr>
        <w:t>).</w:t>
      </w:r>
    </w:p>
    <w:p w14:paraId="17D89067" w14:textId="77777777" w:rsidR="00D86E5B" w:rsidRDefault="00D86E5B" w:rsidP="000D5257">
      <w:pPr>
        <w:rPr>
          <w:noProof/>
          <w:sz w:val="22"/>
          <w:szCs w:val="22"/>
          <w:lang w:val="lv-LV"/>
        </w:rPr>
      </w:pPr>
    </w:p>
    <w:p w14:paraId="6A287B0F" w14:textId="77777777" w:rsidR="009A28EB" w:rsidRPr="000D5257" w:rsidRDefault="00D86E5B" w:rsidP="000D5257">
      <w:pPr>
        <w:rPr>
          <w:noProof/>
          <w:sz w:val="22"/>
          <w:szCs w:val="22"/>
          <w:lang w:val="lv-LV"/>
        </w:rPr>
      </w:pPr>
      <w:r w:rsidRPr="00D86E5B">
        <w:rPr>
          <w:noProof/>
          <w:sz w:val="22"/>
          <w:szCs w:val="22"/>
          <w:lang w:val="lv-LV"/>
        </w:rPr>
        <w:t xml:space="preserve">Ja pēc </w:t>
      </w:r>
      <w:r w:rsidRPr="00E62D61">
        <w:rPr>
          <w:noProof/>
          <w:sz w:val="22"/>
          <w:szCs w:val="22"/>
          <w:lang w:val="lv-LV"/>
        </w:rPr>
        <w:t>1 līdz 2 dienām</w:t>
      </w:r>
      <w:r w:rsidRPr="00D86E5B">
        <w:rPr>
          <w:noProof/>
          <w:sz w:val="22"/>
          <w:szCs w:val="22"/>
          <w:lang w:val="lv-LV"/>
        </w:rPr>
        <w:t xml:space="preserve"> nejūtaties labāk vai jūtaties </w:t>
      </w:r>
      <w:r w:rsidRPr="00E62D61">
        <w:rPr>
          <w:noProof/>
          <w:sz w:val="22"/>
          <w:szCs w:val="22"/>
          <w:lang w:val="lv-LV"/>
        </w:rPr>
        <w:t>sliktāk</w:t>
      </w:r>
      <w:r w:rsidRPr="00D86E5B">
        <w:rPr>
          <w:noProof/>
          <w:sz w:val="22"/>
          <w:szCs w:val="22"/>
          <w:lang w:val="lv-LV"/>
        </w:rPr>
        <w:t>, Jums jākonsultējas ar ārstu</w:t>
      </w:r>
      <w:r w:rsidR="008C6489">
        <w:rPr>
          <w:noProof/>
          <w:sz w:val="22"/>
          <w:szCs w:val="22"/>
          <w:lang w:val="lv-LV"/>
        </w:rPr>
        <w:t>.</w:t>
      </w:r>
    </w:p>
    <w:p w14:paraId="2E05DEC5" w14:textId="77777777" w:rsidR="009A28EB" w:rsidRDefault="009A28EB" w:rsidP="000D5257">
      <w:pPr>
        <w:rPr>
          <w:noProof/>
          <w:sz w:val="22"/>
          <w:szCs w:val="22"/>
          <w:lang w:val="lv-LV"/>
        </w:rPr>
      </w:pPr>
    </w:p>
    <w:p w14:paraId="323FE9C2" w14:textId="77777777" w:rsidR="00231E7C" w:rsidRPr="000D5257" w:rsidRDefault="00231E7C" w:rsidP="000D5257">
      <w:pPr>
        <w:rPr>
          <w:noProof/>
          <w:sz w:val="22"/>
          <w:szCs w:val="22"/>
          <w:lang w:val="lv-LV"/>
        </w:rPr>
      </w:pPr>
    </w:p>
    <w:p w14:paraId="58F7882C" w14:textId="77777777" w:rsidR="009A28EB" w:rsidRPr="000D5257" w:rsidRDefault="009A28EB" w:rsidP="000D5257">
      <w:pPr>
        <w:ind w:left="567" w:hanging="567"/>
        <w:rPr>
          <w:b/>
          <w:sz w:val="22"/>
          <w:szCs w:val="22"/>
          <w:lang w:val="lv-LV"/>
        </w:rPr>
      </w:pPr>
      <w:r w:rsidRPr="000D5257">
        <w:rPr>
          <w:b/>
          <w:noProof/>
          <w:sz w:val="22"/>
          <w:szCs w:val="22"/>
          <w:lang w:val="lv-LV"/>
        </w:rPr>
        <w:t>2.</w:t>
      </w:r>
      <w:r w:rsidR="000D5257">
        <w:rPr>
          <w:b/>
          <w:noProof/>
          <w:sz w:val="22"/>
          <w:szCs w:val="22"/>
          <w:lang w:val="lv-LV"/>
        </w:rPr>
        <w:tab/>
      </w:r>
      <w:r w:rsidR="00D86E5B" w:rsidRPr="00D86E5B">
        <w:rPr>
          <w:b/>
          <w:noProof/>
          <w:sz w:val="22"/>
          <w:szCs w:val="22"/>
          <w:lang w:val="lv-LV"/>
        </w:rPr>
        <w:t>Kas Jums jāzina pirms Faringodol lietošanas</w:t>
      </w:r>
    </w:p>
    <w:p w14:paraId="2B2FF1E1" w14:textId="77777777" w:rsidR="009A28EB" w:rsidRPr="000D5257" w:rsidRDefault="009A28EB" w:rsidP="000D5257">
      <w:pPr>
        <w:rPr>
          <w:b/>
          <w:noProof/>
          <w:sz w:val="22"/>
          <w:szCs w:val="22"/>
          <w:lang w:val="lv-LV"/>
        </w:rPr>
      </w:pPr>
    </w:p>
    <w:p w14:paraId="695EFBCF" w14:textId="77777777" w:rsidR="009A28EB" w:rsidRPr="00992EC1" w:rsidRDefault="009A28EB" w:rsidP="000D5257">
      <w:pPr>
        <w:pStyle w:val="Heading3"/>
        <w:keepNext w:val="0"/>
        <w:jc w:val="left"/>
        <w:rPr>
          <w:rFonts w:ascii="Times New Roman" w:hAnsi="Times New Roman"/>
          <w:sz w:val="22"/>
          <w:szCs w:val="22"/>
          <w:lang w:val="lv-LV"/>
        </w:rPr>
      </w:pPr>
      <w:r w:rsidRPr="00992EC1">
        <w:rPr>
          <w:rFonts w:ascii="Times New Roman" w:hAnsi="Times New Roman"/>
          <w:sz w:val="22"/>
          <w:szCs w:val="22"/>
          <w:lang w:val="lv-LV"/>
        </w:rPr>
        <w:t xml:space="preserve">Nelietojiet </w:t>
      </w:r>
      <w:r w:rsidR="00D86E5B" w:rsidRPr="00992EC1">
        <w:rPr>
          <w:rFonts w:ascii="Times New Roman" w:hAnsi="Times New Roman"/>
          <w:sz w:val="22"/>
          <w:szCs w:val="22"/>
          <w:lang w:val="lv-LV"/>
        </w:rPr>
        <w:t xml:space="preserve">Faringodol </w:t>
      </w:r>
      <w:r w:rsidRPr="00992EC1">
        <w:rPr>
          <w:rFonts w:ascii="Times New Roman" w:hAnsi="Times New Roman"/>
          <w:sz w:val="22"/>
          <w:szCs w:val="22"/>
          <w:lang w:val="lv-LV"/>
        </w:rPr>
        <w:t>šādos gadījumos</w:t>
      </w:r>
      <w:r w:rsidR="00D86E5B">
        <w:rPr>
          <w:rFonts w:ascii="Times New Roman" w:hAnsi="Times New Roman"/>
          <w:sz w:val="22"/>
          <w:szCs w:val="22"/>
          <w:lang w:val="lv-LV"/>
        </w:rPr>
        <w:t>:</w:t>
      </w:r>
    </w:p>
    <w:p w14:paraId="7BEF2171" w14:textId="77777777" w:rsidR="009A28EB" w:rsidRPr="00992EC1" w:rsidRDefault="009A28EB" w:rsidP="00992EC1">
      <w:pPr>
        <w:pStyle w:val="ListParagraph"/>
        <w:numPr>
          <w:ilvl w:val="0"/>
          <w:numId w:val="9"/>
        </w:numPr>
        <w:rPr>
          <w:sz w:val="22"/>
          <w:szCs w:val="22"/>
          <w:lang w:val="lv-LV"/>
        </w:rPr>
      </w:pPr>
      <w:r w:rsidRPr="00992EC1">
        <w:rPr>
          <w:sz w:val="22"/>
          <w:szCs w:val="22"/>
          <w:lang w:val="lv-LV"/>
        </w:rPr>
        <w:t xml:space="preserve">ja Jums ir paaugstināta jutība pret </w:t>
      </w:r>
      <w:r w:rsidR="00D86E5B" w:rsidRPr="00D86E5B">
        <w:rPr>
          <w:sz w:val="22"/>
          <w:szCs w:val="22"/>
          <w:lang w:val="lv-LV"/>
        </w:rPr>
        <w:t>holīna salicilāt</w:t>
      </w:r>
      <w:r w:rsidR="00D86E5B">
        <w:rPr>
          <w:sz w:val="22"/>
          <w:szCs w:val="22"/>
          <w:lang w:val="lv-LV"/>
        </w:rPr>
        <w:t>u,</w:t>
      </w:r>
      <w:r w:rsidR="00D86E5B" w:rsidRPr="00D86E5B">
        <w:rPr>
          <w:sz w:val="22"/>
          <w:szCs w:val="22"/>
          <w:lang w:val="lv-LV"/>
        </w:rPr>
        <w:t xml:space="preserve"> </w:t>
      </w:r>
      <w:r w:rsidRPr="00992EC1">
        <w:rPr>
          <w:sz w:val="22"/>
          <w:szCs w:val="22"/>
          <w:lang w:val="lv-LV"/>
        </w:rPr>
        <w:t xml:space="preserve">salicilātiem, citiem nesteroīdajiem pretiekaisuma līdzekļiem vai kādu </w:t>
      </w:r>
      <w:r w:rsidR="00D86E5B">
        <w:rPr>
          <w:sz w:val="22"/>
          <w:szCs w:val="22"/>
          <w:lang w:val="lv-LV"/>
        </w:rPr>
        <w:t>citu (6. punktā minēto) šo zāļu sastāvdaļu</w:t>
      </w:r>
      <w:r w:rsidRPr="00992EC1">
        <w:rPr>
          <w:sz w:val="22"/>
          <w:szCs w:val="22"/>
          <w:lang w:val="lv-LV"/>
        </w:rPr>
        <w:t>.</w:t>
      </w:r>
    </w:p>
    <w:p w14:paraId="1FE2E5D0" w14:textId="77777777" w:rsidR="009A28EB" w:rsidRPr="000D5257" w:rsidRDefault="009A28EB" w:rsidP="000D5257">
      <w:pPr>
        <w:pStyle w:val="BodyText"/>
        <w:rPr>
          <w:rFonts w:ascii="Times New Roman" w:hAnsi="Times New Roman"/>
          <w:sz w:val="22"/>
          <w:szCs w:val="22"/>
        </w:rPr>
      </w:pPr>
      <w:r w:rsidRPr="000D5257">
        <w:rPr>
          <w:rFonts w:ascii="Times New Roman" w:hAnsi="Times New Roman"/>
          <w:sz w:val="22"/>
          <w:szCs w:val="22"/>
        </w:rPr>
        <w:t>Šīs zāles nedrīkst lietot pacienti ar barības vada vēnu varikozi (paplašinājumu), jo pastāv asiņošanas risks.</w:t>
      </w:r>
    </w:p>
    <w:p w14:paraId="5E97167B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6546562E" w14:textId="77777777" w:rsidR="00D86E5B" w:rsidRPr="00D86E5B" w:rsidRDefault="00D86E5B" w:rsidP="00D86E5B">
      <w:pPr>
        <w:numPr>
          <w:ilvl w:val="12"/>
          <w:numId w:val="0"/>
        </w:numPr>
        <w:ind w:left="567" w:hanging="567"/>
        <w:rPr>
          <w:b/>
          <w:snapToGrid w:val="0"/>
          <w:sz w:val="22"/>
          <w:lang w:val="lv-LV" w:eastAsia="zh-CN"/>
        </w:rPr>
      </w:pPr>
      <w:r w:rsidRPr="00D86E5B">
        <w:rPr>
          <w:b/>
          <w:snapToGrid w:val="0"/>
          <w:sz w:val="22"/>
          <w:lang w:val="lv-LV" w:eastAsia="zh-CN"/>
        </w:rPr>
        <w:t>Brīdinājumi un piesardzība lietošanā</w:t>
      </w:r>
    </w:p>
    <w:p w14:paraId="56651952" w14:textId="77777777" w:rsidR="00D86E5B" w:rsidRDefault="00D86E5B" w:rsidP="000D5257">
      <w:pPr>
        <w:rPr>
          <w:snapToGrid w:val="0"/>
          <w:sz w:val="22"/>
          <w:lang w:val="lv-LV" w:eastAsia="zh-CN"/>
        </w:rPr>
      </w:pPr>
      <w:r w:rsidRPr="00D86E5B">
        <w:rPr>
          <w:snapToGrid w:val="0"/>
          <w:sz w:val="22"/>
          <w:lang w:val="lv-LV" w:eastAsia="zh-CN"/>
        </w:rPr>
        <w:t>Pirms Faringodol lietošanas konsultējieties ar ārstu vai</w:t>
      </w:r>
      <w:r>
        <w:rPr>
          <w:snapToGrid w:val="0"/>
          <w:sz w:val="22"/>
          <w:lang w:val="lv-LV" w:eastAsia="zh-CN"/>
        </w:rPr>
        <w:t xml:space="preserve"> </w:t>
      </w:r>
      <w:r w:rsidRPr="00D86E5B">
        <w:rPr>
          <w:snapToGrid w:val="0"/>
          <w:sz w:val="22"/>
          <w:lang w:val="lv-LV" w:eastAsia="zh-CN"/>
        </w:rPr>
        <w:t>farmaceitu</w:t>
      </w:r>
      <w:r>
        <w:rPr>
          <w:snapToGrid w:val="0"/>
          <w:sz w:val="22"/>
          <w:lang w:val="lv-LV" w:eastAsia="zh-CN"/>
        </w:rPr>
        <w:t>.</w:t>
      </w:r>
    </w:p>
    <w:p w14:paraId="7F894D3B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noProof/>
          <w:sz w:val="22"/>
          <w:szCs w:val="22"/>
          <w:lang w:val="lv-LV"/>
        </w:rPr>
        <w:t xml:space="preserve">Līdzīgi kā lietojot citus salicilātus, pacientiem ar kuņģa-zarnu trakta </w:t>
      </w:r>
      <w:r w:rsidR="00D86E5B">
        <w:rPr>
          <w:noProof/>
          <w:sz w:val="22"/>
          <w:szCs w:val="22"/>
          <w:lang w:val="lv-LV"/>
        </w:rPr>
        <w:t>slimībām</w:t>
      </w:r>
      <w:r w:rsidRPr="000D5257">
        <w:rPr>
          <w:noProof/>
          <w:sz w:val="22"/>
          <w:szCs w:val="22"/>
          <w:lang w:val="lv-LV"/>
        </w:rPr>
        <w:t>, peptisku čūlas slimību vai bronhiālo astmu pirms šo zāļu lietošanas jākonsultējas ar ārstu.</w:t>
      </w:r>
    </w:p>
    <w:p w14:paraId="5164C698" w14:textId="77777777" w:rsidR="008828EC" w:rsidRDefault="008828EC" w:rsidP="000D5257">
      <w:pPr>
        <w:rPr>
          <w:noProof/>
          <w:sz w:val="22"/>
          <w:szCs w:val="22"/>
          <w:lang w:val="lv-LV"/>
        </w:rPr>
      </w:pPr>
    </w:p>
    <w:p w14:paraId="2223A04B" w14:textId="77777777" w:rsidR="008828EC" w:rsidRPr="00992EC1" w:rsidRDefault="008828EC" w:rsidP="000D5257">
      <w:pPr>
        <w:rPr>
          <w:b/>
          <w:noProof/>
          <w:sz w:val="22"/>
          <w:szCs w:val="22"/>
          <w:lang w:val="lv-LV"/>
        </w:rPr>
      </w:pPr>
      <w:r w:rsidRPr="00992EC1">
        <w:rPr>
          <w:b/>
          <w:noProof/>
          <w:sz w:val="22"/>
          <w:szCs w:val="22"/>
          <w:lang w:val="lv-LV"/>
        </w:rPr>
        <w:t>Bērni</w:t>
      </w:r>
      <w:r w:rsidR="00BA2347">
        <w:rPr>
          <w:b/>
          <w:noProof/>
          <w:sz w:val="22"/>
          <w:szCs w:val="22"/>
          <w:lang w:val="lv-LV"/>
        </w:rPr>
        <w:t xml:space="preserve"> un pusaudži</w:t>
      </w:r>
    </w:p>
    <w:p w14:paraId="4BC92660" w14:textId="77777777" w:rsidR="009A28EB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sz w:val="22"/>
          <w:szCs w:val="22"/>
          <w:lang w:val="lv-LV"/>
        </w:rPr>
        <w:t xml:space="preserve">Tā kā pastāv Reja sindroma rašanās risks, par salicilātu lietošanu bērniem, </w:t>
      </w:r>
      <w:r w:rsidR="008828EC">
        <w:rPr>
          <w:sz w:val="22"/>
          <w:szCs w:val="22"/>
          <w:lang w:val="lv-LV"/>
        </w:rPr>
        <w:t>kuri</w:t>
      </w:r>
      <w:r w:rsidR="008828EC" w:rsidRPr="000D5257">
        <w:rPr>
          <w:sz w:val="22"/>
          <w:szCs w:val="22"/>
          <w:lang w:val="lv-LV"/>
        </w:rPr>
        <w:t xml:space="preserve"> </w:t>
      </w:r>
      <w:r w:rsidRPr="000D5257">
        <w:rPr>
          <w:sz w:val="22"/>
          <w:szCs w:val="22"/>
          <w:lang w:val="lv-LV"/>
        </w:rPr>
        <w:t xml:space="preserve">jaunāki par 12 gadiem, jākonsultējas ar ārstu. </w:t>
      </w:r>
      <w:r w:rsidRPr="000D5257">
        <w:rPr>
          <w:noProof/>
          <w:sz w:val="22"/>
          <w:szCs w:val="22"/>
          <w:lang w:val="lv-LV"/>
        </w:rPr>
        <w:t xml:space="preserve"> </w:t>
      </w:r>
    </w:p>
    <w:p w14:paraId="7ED21580" w14:textId="77777777" w:rsidR="00BA2347" w:rsidRPr="000D5257" w:rsidRDefault="00BA2347" w:rsidP="000D5257">
      <w:pPr>
        <w:rPr>
          <w:noProof/>
          <w:sz w:val="22"/>
          <w:szCs w:val="22"/>
          <w:lang w:val="lv-LV"/>
        </w:rPr>
      </w:pPr>
    </w:p>
    <w:p w14:paraId="5C8FCD87" w14:textId="77777777" w:rsidR="008828EC" w:rsidRDefault="00BA2347" w:rsidP="000D52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A2347">
        <w:rPr>
          <w:b/>
          <w:snapToGrid w:val="0"/>
          <w:sz w:val="22"/>
          <w:lang w:val="lv-LV" w:eastAsia="zh-CN"/>
        </w:rPr>
        <w:t>Citas zāles un</w:t>
      </w:r>
      <w:r>
        <w:rPr>
          <w:b/>
          <w:snapToGrid w:val="0"/>
          <w:sz w:val="22"/>
          <w:lang w:val="lv-LV" w:eastAsia="zh-CN"/>
        </w:rPr>
        <w:t xml:space="preserve"> </w:t>
      </w:r>
      <w:r w:rsidRPr="00BA2347">
        <w:rPr>
          <w:b/>
          <w:snapToGrid w:val="0"/>
          <w:sz w:val="22"/>
          <w:lang w:val="lv-LV" w:eastAsia="zh-CN"/>
        </w:rPr>
        <w:t xml:space="preserve">Faringodol </w:t>
      </w:r>
    </w:p>
    <w:p w14:paraId="13CCA1F7" w14:textId="77777777" w:rsidR="00BA2347" w:rsidRDefault="00BA2347" w:rsidP="000D52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A2347">
        <w:rPr>
          <w:sz w:val="22"/>
          <w:szCs w:val="22"/>
          <w:lang w:val="lv-LV"/>
        </w:rPr>
        <w:t>Pastāstiet ārstam</w:t>
      </w:r>
      <w:r>
        <w:rPr>
          <w:sz w:val="22"/>
          <w:szCs w:val="22"/>
          <w:lang w:val="lv-LV"/>
        </w:rPr>
        <w:t xml:space="preserve"> </w:t>
      </w:r>
      <w:r w:rsidRPr="00BA2347">
        <w:rPr>
          <w:sz w:val="22"/>
          <w:szCs w:val="22"/>
          <w:lang w:val="lv-LV"/>
        </w:rPr>
        <w:t>vai</w:t>
      </w:r>
      <w:r>
        <w:rPr>
          <w:sz w:val="22"/>
          <w:szCs w:val="22"/>
          <w:lang w:val="lv-LV"/>
        </w:rPr>
        <w:t xml:space="preserve"> </w:t>
      </w:r>
      <w:r w:rsidRPr="00BA2347">
        <w:rPr>
          <w:sz w:val="22"/>
          <w:szCs w:val="22"/>
          <w:lang w:val="lv-LV"/>
        </w:rPr>
        <w:t>farmaceitam</w:t>
      </w:r>
      <w:r>
        <w:rPr>
          <w:sz w:val="22"/>
          <w:szCs w:val="22"/>
          <w:lang w:val="lv-LV"/>
        </w:rPr>
        <w:t xml:space="preserve"> </w:t>
      </w:r>
      <w:r w:rsidRPr="00BA2347">
        <w:rPr>
          <w:sz w:val="22"/>
          <w:szCs w:val="22"/>
          <w:lang w:val="lv-LV"/>
        </w:rPr>
        <w:t>par visām zālēm, kuras lietojat, pēdējā laikā esat lietojis vai varētu lietot</w:t>
      </w:r>
      <w:r>
        <w:rPr>
          <w:sz w:val="22"/>
          <w:szCs w:val="22"/>
          <w:lang w:val="lv-LV"/>
        </w:rPr>
        <w:t>, ieskaitot zāles, ko var iegādāties bez receptes.</w:t>
      </w:r>
    </w:p>
    <w:p w14:paraId="2C6E461E" w14:textId="77777777" w:rsidR="00BA2347" w:rsidRPr="00BA2347" w:rsidRDefault="00BA2347" w:rsidP="00BA234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A2347">
        <w:rPr>
          <w:sz w:val="22"/>
          <w:szCs w:val="22"/>
          <w:lang w:val="lv-LV"/>
        </w:rPr>
        <w:lastRenderedPageBreak/>
        <w:t>Iespēja, ka pēc holīna salicilāta lietošanas sūkājamo zāļu formā varētu novērot tālāk aprakstīto mijiedarbību, ir ļoti maza.</w:t>
      </w:r>
    </w:p>
    <w:p w14:paraId="1D84A805" w14:textId="0946741E" w:rsidR="00BA2347" w:rsidRPr="00BA2347" w:rsidRDefault="00BA2347" w:rsidP="00BA234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A2347">
        <w:rPr>
          <w:sz w:val="22"/>
          <w:szCs w:val="22"/>
          <w:lang w:val="lv-LV"/>
        </w:rPr>
        <w:t xml:space="preserve">Salicilāti vājina vienlaikus lietotu nesteroīdo pretiekaisuma līdzekļu darbību un pastiprina sedatīvo (nomierinošo), miega, hipoglikemizējošo (cukuru pazeminošo) līdzekļu un antikoagulantu (zāļu, kas samazina vai novērš asins recekļu </w:t>
      </w:r>
      <w:r w:rsidR="00970B08">
        <w:rPr>
          <w:sz w:val="22"/>
          <w:szCs w:val="22"/>
          <w:lang w:val="lv-LV"/>
        </w:rPr>
        <w:t xml:space="preserve">– </w:t>
      </w:r>
      <w:r w:rsidRPr="00BA2347">
        <w:rPr>
          <w:sz w:val="22"/>
          <w:szCs w:val="22"/>
          <w:lang w:val="lv-LV"/>
        </w:rPr>
        <w:t>trombu</w:t>
      </w:r>
      <w:r w:rsidR="00970B08">
        <w:rPr>
          <w:sz w:val="22"/>
          <w:szCs w:val="22"/>
          <w:lang w:val="lv-LV"/>
        </w:rPr>
        <w:t xml:space="preserve"> – </w:t>
      </w:r>
      <w:r w:rsidRPr="00BA2347">
        <w:rPr>
          <w:sz w:val="22"/>
          <w:szCs w:val="22"/>
          <w:lang w:val="lv-LV"/>
        </w:rPr>
        <w:t>veidošanos) darbību.</w:t>
      </w:r>
    </w:p>
    <w:p w14:paraId="052E875C" w14:textId="6EE15BB1" w:rsidR="00BA2347" w:rsidRDefault="005971C8" w:rsidP="00BA2347">
      <w:pPr>
        <w:numPr>
          <w:ilvl w:val="12"/>
          <w:numId w:val="0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Steroīdie un n</w:t>
      </w:r>
      <w:r w:rsidR="00BA2347" w:rsidRPr="00BA2347">
        <w:rPr>
          <w:sz w:val="22"/>
          <w:szCs w:val="22"/>
          <w:lang w:val="lv-LV"/>
        </w:rPr>
        <w:t>esteroīdie pretiekaisuma līdzekļi, antikoagulanti, fibrinolītiskie līdzekļi (zāles, kas šķīdina trombus) un antiagreganti (zāles, kas aizkavē trombu veidošanos) var palielināt kuņģa asiņošanas risku, lietojot tos vienlaicīgi ar salicilātiem.</w:t>
      </w:r>
    </w:p>
    <w:p w14:paraId="650B8918" w14:textId="77777777" w:rsidR="00C55FC0" w:rsidRDefault="00C55FC0" w:rsidP="00BA2347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06975229" w14:textId="78C094F6" w:rsidR="009A28EB" w:rsidRDefault="00446437" w:rsidP="000D5257">
      <w:pPr>
        <w:rPr>
          <w:b/>
          <w:snapToGrid w:val="0"/>
          <w:sz w:val="22"/>
          <w:lang w:val="lv-LV" w:eastAsia="zh-CN"/>
        </w:rPr>
      </w:pPr>
      <w:r w:rsidRPr="00992EC1">
        <w:rPr>
          <w:b/>
          <w:noProof/>
          <w:sz w:val="22"/>
          <w:szCs w:val="22"/>
          <w:lang w:val="lv-LV"/>
        </w:rPr>
        <w:t>Faringodol</w:t>
      </w:r>
      <w:r w:rsidRPr="00A27D50">
        <w:rPr>
          <w:noProof/>
          <w:sz w:val="22"/>
          <w:szCs w:val="22"/>
          <w:lang w:val="lv-LV"/>
        </w:rPr>
        <w:t xml:space="preserve"> </w:t>
      </w:r>
      <w:r w:rsidR="00C55FC0" w:rsidRPr="00C55FC0">
        <w:rPr>
          <w:b/>
          <w:snapToGrid w:val="0"/>
          <w:sz w:val="22"/>
          <w:lang w:val="lv-LV" w:eastAsia="zh-CN"/>
        </w:rPr>
        <w:t>kopā ar uzturu</w:t>
      </w:r>
      <w:r>
        <w:rPr>
          <w:b/>
          <w:snapToGrid w:val="0"/>
          <w:sz w:val="22"/>
          <w:lang w:val="lv-LV" w:eastAsia="zh-CN"/>
        </w:rPr>
        <w:t xml:space="preserve"> </w:t>
      </w:r>
      <w:r w:rsidR="00C55FC0" w:rsidRPr="00C55FC0">
        <w:rPr>
          <w:b/>
          <w:snapToGrid w:val="0"/>
          <w:sz w:val="22"/>
          <w:lang w:val="lv-LV" w:eastAsia="zh-CN"/>
        </w:rPr>
        <w:t>un</w:t>
      </w:r>
      <w:r>
        <w:rPr>
          <w:b/>
          <w:snapToGrid w:val="0"/>
          <w:sz w:val="22"/>
          <w:lang w:val="lv-LV" w:eastAsia="zh-CN"/>
        </w:rPr>
        <w:t xml:space="preserve"> </w:t>
      </w:r>
      <w:r w:rsidR="00C55FC0" w:rsidRPr="00C55FC0">
        <w:rPr>
          <w:b/>
          <w:snapToGrid w:val="0"/>
          <w:sz w:val="22"/>
          <w:lang w:val="lv-LV" w:eastAsia="zh-CN"/>
        </w:rPr>
        <w:t>dzērienu</w:t>
      </w:r>
    </w:p>
    <w:p w14:paraId="2E47E51F" w14:textId="4F739D4C" w:rsidR="00063663" w:rsidRDefault="00790A23" w:rsidP="000D5257">
      <w:pPr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Faringodol var lietot neatkarīgi no ēdienreizēm.</w:t>
      </w:r>
    </w:p>
    <w:p w14:paraId="0F1F9343" w14:textId="21663A2A" w:rsidR="00063663" w:rsidRDefault="00063663" w:rsidP="000D5257">
      <w:pPr>
        <w:rPr>
          <w:noProof/>
          <w:sz w:val="22"/>
          <w:szCs w:val="22"/>
          <w:lang w:val="lv-LV"/>
        </w:rPr>
      </w:pPr>
      <w:r w:rsidRPr="00063663">
        <w:rPr>
          <w:noProof/>
          <w:sz w:val="22"/>
          <w:szCs w:val="22"/>
          <w:lang w:val="lv-LV"/>
        </w:rPr>
        <w:t>Faringodol sūkājamās tabletes nesatur cukuru, tāpēc tās droši var lietot diabēta slimnieki un pacienti ar augstu kariesa risku.</w:t>
      </w:r>
    </w:p>
    <w:p w14:paraId="69D210A8" w14:textId="77777777" w:rsidR="00790A23" w:rsidRPr="000D5257" w:rsidRDefault="00790A23" w:rsidP="000D5257">
      <w:pPr>
        <w:rPr>
          <w:noProof/>
          <w:sz w:val="22"/>
          <w:szCs w:val="22"/>
          <w:lang w:val="lv-LV"/>
        </w:rPr>
      </w:pPr>
    </w:p>
    <w:p w14:paraId="7637ACB5" w14:textId="77777777" w:rsidR="00BA2347" w:rsidRPr="00992EC1" w:rsidRDefault="00BA2347" w:rsidP="000D5257">
      <w:pPr>
        <w:rPr>
          <w:b/>
          <w:sz w:val="22"/>
          <w:szCs w:val="22"/>
          <w:lang w:val="lv-LV"/>
        </w:rPr>
      </w:pPr>
      <w:r w:rsidRPr="00992EC1">
        <w:rPr>
          <w:b/>
          <w:sz w:val="22"/>
          <w:szCs w:val="22"/>
          <w:lang w:val="lv-LV"/>
        </w:rPr>
        <w:t xml:space="preserve">Grūtniecība un barošana ar krūti </w:t>
      </w:r>
    </w:p>
    <w:p w14:paraId="50E99656" w14:textId="77777777" w:rsidR="00BA2347" w:rsidRPr="00992EC1" w:rsidRDefault="00BA2347" w:rsidP="000D5257">
      <w:pPr>
        <w:rPr>
          <w:sz w:val="22"/>
          <w:szCs w:val="22"/>
          <w:lang w:val="lv-LV"/>
        </w:rPr>
      </w:pPr>
      <w:r w:rsidRPr="00992EC1">
        <w:rPr>
          <w:sz w:val="22"/>
          <w:szCs w:val="22"/>
          <w:lang w:val="lv-LV"/>
        </w:rPr>
        <w:t>Ja Jūs esat grūtniece vai barojat bērnu ar krūti, ja domājat, ka Jums varētu būt grūtniecība, vai plānojat grūtniecību, pirms šo zāļu lietošanas konsultējieties ar ārstu vai farmaceitu.</w:t>
      </w:r>
    </w:p>
    <w:p w14:paraId="2C394160" w14:textId="77777777" w:rsidR="009A28EB" w:rsidRPr="00BA2347" w:rsidRDefault="00BA2347" w:rsidP="000D5257">
      <w:pPr>
        <w:rPr>
          <w:noProof/>
          <w:sz w:val="22"/>
          <w:szCs w:val="22"/>
          <w:lang w:val="lv-LV"/>
        </w:rPr>
      </w:pPr>
      <w:bookmarkStart w:id="0" w:name="_Hlk507750105"/>
      <w:r w:rsidRPr="00992EC1">
        <w:rPr>
          <w:noProof/>
          <w:sz w:val="22"/>
          <w:szCs w:val="22"/>
          <w:lang w:val="lv-LV"/>
        </w:rPr>
        <w:t xml:space="preserve">Faringodol </w:t>
      </w:r>
      <w:bookmarkEnd w:id="0"/>
      <w:r w:rsidR="009A28EB" w:rsidRPr="00BA2347">
        <w:rPr>
          <w:noProof/>
          <w:sz w:val="22"/>
          <w:szCs w:val="22"/>
          <w:lang w:val="lv-LV"/>
        </w:rPr>
        <w:t>grūtniecības laikā lietot nedrīkst.</w:t>
      </w:r>
      <w:r w:rsidR="00446437" w:rsidRPr="00446437">
        <w:rPr>
          <w:noProof/>
          <w:sz w:val="22"/>
          <w:szCs w:val="22"/>
          <w:lang w:val="lv-LV"/>
        </w:rPr>
        <w:t xml:space="preserve"> </w:t>
      </w:r>
      <w:r w:rsidR="00446437" w:rsidRPr="000D5257">
        <w:rPr>
          <w:noProof/>
          <w:sz w:val="22"/>
          <w:szCs w:val="22"/>
          <w:lang w:val="lv-LV"/>
        </w:rPr>
        <w:t xml:space="preserve">Par </w:t>
      </w:r>
      <w:r w:rsidR="00446437" w:rsidRPr="00BA2347">
        <w:rPr>
          <w:noProof/>
          <w:sz w:val="22"/>
          <w:szCs w:val="22"/>
          <w:lang w:val="lv-LV"/>
        </w:rPr>
        <w:t xml:space="preserve">Faringodol </w:t>
      </w:r>
      <w:r w:rsidR="00446437" w:rsidRPr="000D5257">
        <w:rPr>
          <w:noProof/>
          <w:sz w:val="22"/>
          <w:szCs w:val="22"/>
          <w:lang w:val="lv-LV"/>
        </w:rPr>
        <w:t xml:space="preserve">lietošanu </w:t>
      </w:r>
      <w:r w:rsidR="00446437">
        <w:rPr>
          <w:noProof/>
          <w:sz w:val="22"/>
          <w:szCs w:val="22"/>
          <w:lang w:val="lv-LV"/>
        </w:rPr>
        <w:t>barošanas ar krūti</w:t>
      </w:r>
      <w:r w:rsidR="00446437" w:rsidRPr="000D5257">
        <w:rPr>
          <w:noProof/>
          <w:sz w:val="22"/>
          <w:szCs w:val="22"/>
          <w:lang w:val="lv-LV"/>
        </w:rPr>
        <w:t xml:space="preserve"> periodā jākonsultējas ar ārstu.</w:t>
      </w:r>
    </w:p>
    <w:p w14:paraId="2B8DDB70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7C28302D" w14:textId="77777777" w:rsidR="009A28EB" w:rsidRPr="00992EC1" w:rsidRDefault="009A28EB" w:rsidP="000D5257">
      <w:pPr>
        <w:rPr>
          <w:b/>
          <w:sz w:val="22"/>
          <w:szCs w:val="22"/>
          <w:lang w:val="lv-LV"/>
        </w:rPr>
      </w:pPr>
      <w:r w:rsidRPr="00992EC1">
        <w:rPr>
          <w:b/>
          <w:sz w:val="22"/>
          <w:szCs w:val="22"/>
          <w:lang w:val="lv-LV"/>
        </w:rPr>
        <w:t>Transportlīdzekļu vadīšana un mehānismu apkalpošana</w:t>
      </w:r>
    </w:p>
    <w:p w14:paraId="2CCD1C0B" w14:textId="77777777" w:rsidR="009A28EB" w:rsidRPr="000D5257" w:rsidRDefault="00BA2347" w:rsidP="000D525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BA2347">
        <w:rPr>
          <w:sz w:val="22"/>
          <w:szCs w:val="22"/>
          <w:lang w:val="lv-LV"/>
        </w:rPr>
        <w:t>Faringodol neietekmē spēju vadīt transportlīdzekļus un apkalpot mehānismus</w:t>
      </w:r>
      <w:r w:rsidR="009A28EB" w:rsidRPr="000D5257">
        <w:rPr>
          <w:sz w:val="22"/>
          <w:szCs w:val="22"/>
          <w:lang w:val="lv-LV"/>
        </w:rPr>
        <w:t>.</w:t>
      </w:r>
    </w:p>
    <w:p w14:paraId="53B9A8D6" w14:textId="77777777" w:rsidR="00BA2347" w:rsidRDefault="00BA2347" w:rsidP="000D5257">
      <w:pPr>
        <w:rPr>
          <w:b/>
          <w:sz w:val="22"/>
          <w:szCs w:val="22"/>
          <w:lang w:val="lv-LV"/>
        </w:rPr>
      </w:pPr>
    </w:p>
    <w:p w14:paraId="148F0797" w14:textId="1F4499F5" w:rsidR="00BA2347" w:rsidRPr="00992EC1" w:rsidRDefault="001C0F5F">
      <w:pPr>
        <w:rPr>
          <w:b/>
          <w:noProof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Šīs zāles </w:t>
      </w:r>
      <w:r w:rsidR="00BA2347" w:rsidRPr="00992EC1">
        <w:rPr>
          <w:b/>
          <w:noProof/>
          <w:sz w:val="22"/>
          <w:szCs w:val="22"/>
          <w:lang w:val="lv-LV"/>
        </w:rPr>
        <w:t>satur izomalt</w:t>
      </w:r>
      <w:r w:rsidR="00730E55">
        <w:rPr>
          <w:b/>
          <w:noProof/>
          <w:sz w:val="22"/>
          <w:szCs w:val="22"/>
          <w:lang w:val="lv-LV"/>
        </w:rPr>
        <w:t>u (E953)</w:t>
      </w:r>
      <w:r>
        <w:rPr>
          <w:b/>
          <w:noProof/>
          <w:sz w:val="22"/>
          <w:szCs w:val="22"/>
          <w:lang w:val="lv-LV"/>
        </w:rPr>
        <w:t xml:space="preserve"> un</w:t>
      </w:r>
      <w:r w:rsidR="00730E55">
        <w:rPr>
          <w:b/>
          <w:noProof/>
          <w:sz w:val="22"/>
          <w:szCs w:val="22"/>
          <w:lang w:val="lv-LV"/>
        </w:rPr>
        <w:t xml:space="preserve"> </w:t>
      </w:r>
      <w:r w:rsidR="005E579C" w:rsidRPr="00992EC1">
        <w:rPr>
          <w:b/>
          <w:noProof/>
          <w:sz w:val="22"/>
          <w:szCs w:val="22"/>
          <w:lang w:val="lv-LV"/>
        </w:rPr>
        <w:t>maltīt</w:t>
      </w:r>
      <w:r w:rsidR="00E13F3C">
        <w:rPr>
          <w:b/>
          <w:noProof/>
          <w:sz w:val="22"/>
          <w:szCs w:val="22"/>
          <w:lang w:val="lv-LV"/>
        </w:rPr>
        <w:t>a š</w:t>
      </w:r>
      <w:r w:rsidR="00B2258C">
        <w:rPr>
          <w:b/>
          <w:noProof/>
          <w:sz w:val="22"/>
          <w:szCs w:val="22"/>
          <w:lang w:val="lv-LV"/>
        </w:rPr>
        <w:t>ķ</w:t>
      </w:r>
      <w:r w:rsidR="00E13F3C">
        <w:rPr>
          <w:b/>
          <w:noProof/>
          <w:sz w:val="22"/>
          <w:szCs w:val="22"/>
          <w:lang w:val="lv-LV"/>
        </w:rPr>
        <w:t>īdumu</w:t>
      </w:r>
      <w:r w:rsidR="005E579C" w:rsidRPr="00992EC1">
        <w:rPr>
          <w:b/>
          <w:noProof/>
          <w:sz w:val="22"/>
          <w:szCs w:val="22"/>
          <w:lang w:val="lv-LV"/>
        </w:rPr>
        <w:t xml:space="preserve"> </w:t>
      </w:r>
    </w:p>
    <w:p w14:paraId="4E22EA45" w14:textId="77777777" w:rsidR="009A28EB" w:rsidRDefault="00BA2347" w:rsidP="000D5257">
      <w:pPr>
        <w:rPr>
          <w:noProof/>
          <w:sz w:val="22"/>
          <w:szCs w:val="22"/>
          <w:lang w:val="lv-LV"/>
        </w:rPr>
      </w:pPr>
      <w:r w:rsidRPr="00BA2347">
        <w:rPr>
          <w:noProof/>
          <w:sz w:val="22"/>
          <w:szCs w:val="22"/>
          <w:lang w:val="lv-LV"/>
        </w:rPr>
        <w:t>Ja ārsts ir teicis, ka Jums ir kāda cukura nepanesība, pirms lietojat šīs zāles, konsultējieties ar ārstu.</w:t>
      </w:r>
    </w:p>
    <w:p w14:paraId="22B1D847" w14:textId="77777777" w:rsidR="000D1D07" w:rsidRDefault="000D1D07" w:rsidP="000D5257">
      <w:pPr>
        <w:rPr>
          <w:b/>
          <w:noProof/>
          <w:sz w:val="22"/>
          <w:szCs w:val="22"/>
          <w:lang w:val="lv-LV"/>
        </w:rPr>
      </w:pPr>
    </w:p>
    <w:p w14:paraId="494A45DC" w14:textId="1D1C2243" w:rsidR="00AB5EAD" w:rsidRPr="001275F8" w:rsidRDefault="00B2258C" w:rsidP="00AB5EAD">
      <w:pPr>
        <w:rPr>
          <w:noProof/>
          <w:sz w:val="22"/>
          <w:szCs w:val="22"/>
          <w:lang w:val="lv-LV"/>
        </w:rPr>
      </w:pPr>
      <w:r w:rsidRPr="00B2258C">
        <w:rPr>
          <w:b/>
          <w:noProof/>
          <w:sz w:val="22"/>
          <w:szCs w:val="22"/>
          <w:lang w:val="lv-LV"/>
        </w:rPr>
        <w:t xml:space="preserve">Šīs zāles satur </w:t>
      </w:r>
      <w:r>
        <w:rPr>
          <w:b/>
          <w:noProof/>
          <w:sz w:val="22"/>
          <w:szCs w:val="22"/>
          <w:lang w:val="lv-LV"/>
        </w:rPr>
        <w:t>1,75</w:t>
      </w:r>
      <w:r w:rsidRPr="00B2258C">
        <w:rPr>
          <w:b/>
          <w:noProof/>
          <w:sz w:val="22"/>
          <w:szCs w:val="22"/>
          <w:lang w:val="lv-LV"/>
        </w:rPr>
        <w:t xml:space="preserve"> mg aspartāma</w:t>
      </w:r>
      <w:r>
        <w:rPr>
          <w:b/>
          <w:noProof/>
          <w:sz w:val="22"/>
          <w:szCs w:val="22"/>
          <w:lang w:val="lv-LV"/>
        </w:rPr>
        <w:t xml:space="preserve"> (E951)</w:t>
      </w:r>
      <w:r w:rsidRPr="00B2258C">
        <w:rPr>
          <w:b/>
          <w:noProof/>
          <w:sz w:val="22"/>
          <w:szCs w:val="22"/>
          <w:lang w:val="lv-LV"/>
        </w:rPr>
        <w:t xml:space="preserve"> katrā</w:t>
      </w:r>
      <w:r>
        <w:rPr>
          <w:b/>
          <w:noProof/>
          <w:sz w:val="22"/>
          <w:szCs w:val="22"/>
          <w:lang w:val="lv-LV"/>
        </w:rPr>
        <w:t xml:space="preserve"> </w:t>
      </w:r>
      <w:r w:rsidRPr="00B2258C">
        <w:rPr>
          <w:b/>
          <w:noProof/>
          <w:sz w:val="22"/>
          <w:szCs w:val="22"/>
          <w:lang w:val="lv-LV"/>
        </w:rPr>
        <w:t>dev</w:t>
      </w:r>
      <w:r>
        <w:rPr>
          <w:b/>
          <w:noProof/>
          <w:sz w:val="22"/>
          <w:szCs w:val="22"/>
          <w:lang w:val="lv-LV"/>
        </w:rPr>
        <w:t>ā</w:t>
      </w:r>
      <w:r w:rsidRPr="00B2258C">
        <w:rPr>
          <w:b/>
          <w:noProof/>
          <w:sz w:val="22"/>
          <w:szCs w:val="22"/>
          <w:lang w:val="lv-LV"/>
        </w:rPr>
        <w:t>.</w:t>
      </w:r>
      <w:r w:rsidR="00AB5EAD">
        <w:rPr>
          <w:b/>
          <w:noProof/>
          <w:sz w:val="22"/>
          <w:szCs w:val="22"/>
          <w:lang w:val="lv-LV"/>
        </w:rPr>
        <w:t xml:space="preserve"> </w:t>
      </w:r>
      <w:r w:rsidR="00AB5EAD" w:rsidRPr="001275F8">
        <w:rPr>
          <w:noProof/>
          <w:sz w:val="22"/>
          <w:szCs w:val="22"/>
          <w:lang w:val="lv-LV"/>
        </w:rPr>
        <w:t xml:space="preserve">Aspartāms ir fenilalanīna avots. Tas var būt kaitīgs, ja Jums ir fenilketonūrija (FKU), kas ir reta ģenētiska slimība, kuras gadījumā fenilalanīns uzkrājas, jo organisms nevar to pareizi izvadīt. </w:t>
      </w:r>
    </w:p>
    <w:p w14:paraId="2C823EAC" w14:textId="3893E43B" w:rsidR="00652DC7" w:rsidRPr="00AB5EAD" w:rsidRDefault="00652DC7" w:rsidP="00AB5EAD">
      <w:pPr>
        <w:rPr>
          <w:noProof/>
          <w:sz w:val="22"/>
          <w:szCs w:val="22"/>
          <w:lang w:val="lv-LV"/>
        </w:rPr>
      </w:pPr>
    </w:p>
    <w:p w14:paraId="1BAB0BA7" w14:textId="77777777" w:rsidR="00BC1C78" w:rsidRDefault="00BC1C78" w:rsidP="000D5257">
      <w:pPr>
        <w:rPr>
          <w:noProof/>
          <w:sz w:val="22"/>
          <w:szCs w:val="22"/>
          <w:lang w:val="lv-LV"/>
        </w:rPr>
      </w:pPr>
    </w:p>
    <w:p w14:paraId="0BEABDDE" w14:textId="77777777" w:rsidR="00652DC7" w:rsidRPr="000D5257" w:rsidRDefault="00652DC7" w:rsidP="000D5257">
      <w:pPr>
        <w:rPr>
          <w:noProof/>
          <w:sz w:val="22"/>
          <w:szCs w:val="22"/>
          <w:lang w:val="lv-LV"/>
        </w:rPr>
      </w:pPr>
    </w:p>
    <w:p w14:paraId="4782A9F7" w14:textId="77777777" w:rsidR="009A28EB" w:rsidRPr="000D5257" w:rsidRDefault="009A28EB" w:rsidP="000D5257">
      <w:pPr>
        <w:ind w:left="567" w:hanging="567"/>
        <w:rPr>
          <w:b/>
          <w:noProof/>
          <w:sz w:val="22"/>
          <w:szCs w:val="22"/>
          <w:lang w:val="lv-LV"/>
        </w:rPr>
      </w:pPr>
      <w:r w:rsidRPr="000D5257">
        <w:rPr>
          <w:b/>
          <w:noProof/>
          <w:sz w:val="22"/>
          <w:szCs w:val="22"/>
          <w:lang w:val="lv-LV"/>
        </w:rPr>
        <w:t>3.</w:t>
      </w:r>
      <w:r w:rsidRPr="000D5257">
        <w:rPr>
          <w:b/>
          <w:noProof/>
          <w:sz w:val="22"/>
          <w:szCs w:val="22"/>
          <w:lang w:val="lv-LV"/>
        </w:rPr>
        <w:tab/>
      </w:r>
      <w:r w:rsidR="00652DC7" w:rsidRPr="00652DC7">
        <w:rPr>
          <w:b/>
          <w:noProof/>
          <w:sz w:val="22"/>
          <w:szCs w:val="22"/>
          <w:lang w:val="lv-LV"/>
        </w:rPr>
        <w:t xml:space="preserve">Kā lietot Faringodol </w:t>
      </w:r>
    </w:p>
    <w:p w14:paraId="7ABF4B08" w14:textId="77777777" w:rsidR="009A28EB" w:rsidRPr="000D5257" w:rsidRDefault="009A28EB" w:rsidP="000D5257">
      <w:pPr>
        <w:rPr>
          <w:b/>
          <w:noProof/>
          <w:sz w:val="22"/>
          <w:szCs w:val="22"/>
          <w:lang w:val="lv-LV"/>
        </w:rPr>
      </w:pPr>
    </w:p>
    <w:p w14:paraId="17AE7E1A" w14:textId="77777777" w:rsidR="00652DC7" w:rsidRPr="00652DC7" w:rsidRDefault="00652DC7" w:rsidP="00652DC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652DC7">
        <w:rPr>
          <w:sz w:val="22"/>
          <w:szCs w:val="22"/>
          <w:lang w:val="lv-LV"/>
        </w:rPr>
        <w:t>Vienmēr lietojiet šīs zāles tieši tā, kā aprakstīts šajā instrukcijā vai kā ārsts</w:t>
      </w:r>
      <w:r>
        <w:rPr>
          <w:sz w:val="22"/>
          <w:szCs w:val="22"/>
          <w:lang w:val="lv-LV"/>
        </w:rPr>
        <w:t xml:space="preserve"> </w:t>
      </w:r>
      <w:r w:rsidRPr="00652DC7">
        <w:rPr>
          <w:sz w:val="22"/>
          <w:szCs w:val="22"/>
          <w:lang w:val="lv-LV"/>
        </w:rPr>
        <w:t>va</w:t>
      </w:r>
      <w:r>
        <w:rPr>
          <w:sz w:val="22"/>
          <w:szCs w:val="22"/>
          <w:lang w:val="lv-LV"/>
        </w:rPr>
        <w:t xml:space="preserve">i </w:t>
      </w:r>
      <w:r w:rsidRPr="00652DC7">
        <w:rPr>
          <w:sz w:val="22"/>
          <w:szCs w:val="22"/>
          <w:lang w:val="lv-LV"/>
        </w:rPr>
        <w:t>farmaceits</w:t>
      </w:r>
      <w:r>
        <w:rPr>
          <w:sz w:val="22"/>
          <w:szCs w:val="22"/>
          <w:lang w:val="lv-LV"/>
        </w:rPr>
        <w:t xml:space="preserve"> </w:t>
      </w:r>
      <w:r w:rsidRPr="00652DC7">
        <w:rPr>
          <w:sz w:val="22"/>
          <w:szCs w:val="22"/>
          <w:lang w:val="lv-LV"/>
        </w:rPr>
        <w:t>Jums teicis. Neskaidrību gadījumā vaicājiet ārstam</w:t>
      </w:r>
      <w:r>
        <w:rPr>
          <w:sz w:val="22"/>
          <w:szCs w:val="22"/>
          <w:lang w:val="lv-LV"/>
        </w:rPr>
        <w:t xml:space="preserve"> </w:t>
      </w:r>
      <w:r w:rsidRPr="00652DC7">
        <w:rPr>
          <w:sz w:val="22"/>
          <w:szCs w:val="22"/>
          <w:lang w:val="lv-LV"/>
        </w:rPr>
        <w:t>vai</w:t>
      </w:r>
      <w:r>
        <w:rPr>
          <w:sz w:val="22"/>
          <w:szCs w:val="22"/>
          <w:lang w:val="lv-LV"/>
        </w:rPr>
        <w:t xml:space="preserve"> </w:t>
      </w:r>
      <w:r w:rsidRPr="00652DC7">
        <w:rPr>
          <w:sz w:val="22"/>
          <w:szCs w:val="22"/>
          <w:lang w:val="lv-LV"/>
        </w:rPr>
        <w:t xml:space="preserve">farmaceitam. </w:t>
      </w:r>
    </w:p>
    <w:p w14:paraId="1C28593B" w14:textId="77777777" w:rsidR="00652DC7" w:rsidRPr="00652DC7" w:rsidRDefault="00652DC7" w:rsidP="00652DC7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652DC7">
        <w:rPr>
          <w:sz w:val="22"/>
          <w:szCs w:val="22"/>
          <w:lang w:val="lv-LV"/>
        </w:rPr>
        <w:tab/>
      </w:r>
    </w:p>
    <w:p w14:paraId="52F3DF3C" w14:textId="77777777" w:rsidR="006D3181" w:rsidRPr="000D5257" w:rsidRDefault="00652DC7" w:rsidP="000D5257">
      <w:pPr>
        <w:numPr>
          <w:ilvl w:val="12"/>
          <w:numId w:val="0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</w:t>
      </w:r>
      <w:r w:rsidRPr="00652DC7">
        <w:rPr>
          <w:sz w:val="22"/>
          <w:szCs w:val="22"/>
          <w:lang w:val="lv-LV"/>
        </w:rPr>
        <w:t xml:space="preserve">eteicamā deva </w:t>
      </w:r>
      <w:r>
        <w:rPr>
          <w:sz w:val="22"/>
          <w:szCs w:val="22"/>
          <w:lang w:val="lv-LV"/>
        </w:rPr>
        <w:t>p</w:t>
      </w:r>
      <w:r w:rsidR="009A28EB" w:rsidRPr="000D5257">
        <w:rPr>
          <w:sz w:val="22"/>
          <w:szCs w:val="22"/>
          <w:lang w:val="lv-LV"/>
        </w:rPr>
        <w:t xml:space="preserve">ieaugušajiem un bērniem no 12 gadu vecuma: sūkāt pa vienai tabletei 4 - 6 reizes dienā. </w:t>
      </w:r>
      <w:r w:rsidR="006D3181">
        <w:rPr>
          <w:sz w:val="22"/>
          <w:szCs w:val="22"/>
          <w:lang w:val="lv-LV"/>
        </w:rPr>
        <w:t>Nepārsniegt ietei</w:t>
      </w:r>
      <w:r w:rsidR="007B66D3">
        <w:rPr>
          <w:sz w:val="22"/>
          <w:szCs w:val="22"/>
          <w:lang w:val="lv-LV"/>
        </w:rPr>
        <w:t>ktās</w:t>
      </w:r>
      <w:r w:rsidR="006D3181">
        <w:rPr>
          <w:sz w:val="22"/>
          <w:szCs w:val="22"/>
          <w:lang w:val="lv-LV"/>
        </w:rPr>
        <w:t xml:space="preserve"> devas.</w:t>
      </w:r>
    </w:p>
    <w:p w14:paraId="70C7E07A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3EFBA6CD" w14:textId="77777777" w:rsidR="006D3181" w:rsidRPr="000D5257" w:rsidRDefault="0073335D" w:rsidP="006D3181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1C0F5F">
        <w:rPr>
          <w:snapToGrid w:val="0"/>
          <w:sz w:val="22"/>
          <w:lang w:val="lv-LV" w:eastAsia="zh-CN"/>
        </w:rPr>
        <w:t>Ja pēc 1 līdz 2 dienām nejūtaties labāk vai jūtaties sliktāk</w:t>
      </w:r>
      <w:r w:rsidR="006D3181" w:rsidRPr="00DF2CB5">
        <w:rPr>
          <w:sz w:val="22"/>
          <w:szCs w:val="22"/>
          <w:lang w:val="lv-LV"/>
        </w:rPr>
        <w:t xml:space="preserve">, </w:t>
      </w:r>
      <w:r w:rsidR="001C0F5F" w:rsidRPr="00992EC1">
        <w:rPr>
          <w:sz w:val="22"/>
          <w:szCs w:val="22"/>
          <w:lang w:val="lv-LV"/>
        </w:rPr>
        <w:t>konsultējieties</w:t>
      </w:r>
      <w:r w:rsidR="006D3181" w:rsidRPr="001C0F5F">
        <w:rPr>
          <w:sz w:val="22"/>
          <w:szCs w:val="22"/>
          <w:lang w:val="lv-LV"/>
        </w:rPr>
        <w:t xml:space="preserve"> ar ārstu.</w:t>
      </w:r>
    </w:p>
    <w:p w14:paraId="573AD153" w14:textId="77777777" w:rsidR="006D3181" w:rsidRDefault="006D3181" w:rsidP="000D5257">
      <w:pPr>
        <w:rPr>
          <w:noProof/>
          <w:sz w:val="22"/>
          <w:szCs w:val="22"/>
          <w:lang w:val="lv-LV"/>
        </w:rPr>
      </w:pPr>
    </w:p>
    <w:p w14:paraId="067D489A" w14:textId="77777777" w:rsidR="009A28EB" w:rsidRPr="00992EC1" w:rsidRDefault="009A28EB" w:rsidP="000D5257">
      <w:pPr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 xml:space="preserve">Ja šķiet, ka </w:t>
      </w:r>
      <w:r w:rsidR="00652DC7" w:rsidRPr="00992EC1">
        <w:rPr>
          <w:noProof/>
          <w:sz w:val="22"/>
          <w:szCs w:val="22"/>
          <w:lang w:val="lv-LV"/>
        </w:rPr>
        <w:t xml:space="preserve">Faringodol </w:t>
      </w:r>
      <w:r w:rsidRPr="00992EC1">
        <w:rPr>
          <w:noProof/>
          <w:sz w:val="22"/>
          <w:szCs w:val="22"/>
          <w:lang w:val="lv-LV"/>
        </w:rPr>
        <w:t>iedarbība ir pārāk vāja vai pārāk stipra, Jums jāsazinās ar ārstu.</w:t>
      </w:r>
    </w:p>
    <w:p w14:paraId="0F57018F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17E3749D" w14:textId="77777777" w:rsidR="009A28EB" w:rsidRPr="00992EC1" w:rsidRDefault="009A28EB" w:rsidP="000D5257">
      <w:pPr>
        <w:rPr>
          <w:b/>
          <w:noProof/>
          <w:sz w:val="22"/>
          <w:szCs w:val="22"/>
          <w:lang w:val="lv-LV"/>
        </w:rPr>
      </w:pPr>
      <w:r w:rsidRPr="00992EC1">
        <w:rPr>
          <w:b/>
          <w:noProof/>
          <w:sz w:val="22"/>
          <w:szCs w:val="22"/>
          <w:lang w:val="lv-LV"/>
        </w:rPr>
        <w:t xml:space="preserve">Ja esat lietojis </w:t>
      </w:r>
      <w:r w:rsidR="00652DC7" w:rsidRPr="00992EC1">
        <w:rPr>
          <w:b/>
          <w:noProof/>
          <w:sz w:val="22"/>
          <w:szCs w:val="22"/>
          <w:lang w:val="lv-LV"/>
        </w:rPr>
        <w:t xml:space="preserve">Faringodol </w:t>
      </w:r>
      <w:r w:rsidRPr="00992EC1">
        <w:rPr>
          <w:b/>
          <w:sz w:val="22"/>
          <w:szCs w:val="22"/>
          <w:lang w:val="lv-LV"/>
        </w:rPr>
        <w:t>vairāk nekā noteikts</w:t>
      </w:r>
    </w:p>
    <w:p w14:paraId="0BFD5E37" w14:textId="77777777" w:rsidR="009A28EB" w:rsidRPr="00992EC1" w:rsidRDefault="009A28EB" w:rsidP="000D5257">
      <w:pPr>
        <w:rPr>
          <w:noProof/>
          <w:sz w:val="22"/>
          <w:szCs w:val="22"/>
          <w:lang w:val="lv-LV"/>
        </w:rPr>
      </w:pPr>
      <w:r w:rsidRPr="00992EC1">
        <w:rPr>
          <w:sz w:val="22"/>
          <w:szCs w:val="22"/>
          <w:lang w:val="lv-LV"/>
        </w:rPr>
        <w:t>J</w:t>
      </w:r>
      <w:r w:rsidRPr="00992EC1">
        <w:rPr>
          <w:noProof/>
          <w:sz w:val="22"/>
          <w:szCs w:val="22"/>
          <w:lang w:val="lv-LV"/>
        </w:rPr>
        <w:t>a esat lietojis šīs zāles vairāk nekā noteikts, nekavējoties konsultējieties ar ārstu vai farmaceitu.</w:t>
      </w:r>
    </w:p>
    <w:p w14:paraId="121419C8" w14:textId="77777777" w:rsidR="009A28EB" w:rsidRPr="000D5257" w:rsidRDefault="009A28EB" w:rsidP="000D5257">
      <w:pPr>
        <w:pStyle w:val="Heading3"/>
        <w:keepNext w:val="0"/>
        <w:jc w:val="left"/>
        <w:rPr>
          <w:rFonts w:ascii="Times New Roman" w:hAnsi="Times New Roman"/>
          <w:sz w:val="22"/>
          <w:szCs w:val="22"/>
          <w:lang w:val="lv-LV"/>
        </w:rPr>
      </w:pPr>
    </w:p>
    <w:p w14:paraId="282DD12B" w14:textId="77777777" w:rsidR="009A28EB" w:rsidRPr="00652DC7" w:rsidRDefault="009A28EB" w:rsidP="000D5257">
      <w:pPr>
        <w:pStyle w:val="Heading3"/>
        <w:keepNext w:val="0"/>
        <w:jc w:val="left"/>
        <w:rPr>
          <w:rFonts w:ascii="Times New Roman" w:hAnsi="Times New Roman"/>
          <w:sz w:val="22"/>
          <w:szCs w:val="22"/>
          <w:lang w:val="lv-LV"/>
        </w:rPr>
      </w:pPr>
      <w:r w:rsidRPr="00992EC1">
        <w:rPr>
          <w:rFonts w:ascii="Times New Roman" w:hAnsi="Times New Roman"/>
          <w:sz w:val="22"/>
          <w:szCs w:val="22"/>
          <w:lang w:val="lv-LV"/>
        </w:rPr>
        <w:t>Ja esat aizmirsis lietot</w:t>
      </w:r>
      <w:r w:rsidRPr="00652DC7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652DC7" w:rsidRPr="00652DC7">
        <w:rPr>
          <w:rFonts w:ascii="Times New Roman" w:hAnsi="Times New Roman"/>
          <w:sz w:val="22"/>
          <w:szCs w:val="22"/>
          <w:lang w:val="lv-LV"/>
        </w:rPr>
        <w:t xml:space="preserve">Faringodol </w:t>
      </w:r>
    </w:p>
    <w:p w14:paraId="00BE2B5A" w14:textId="77777777" w:rsidR="009A28EB" w:rsidRPr="000D5257" w:rsidRDefault="009A28EB" w:rsidP="000D5257">
      <w:pPr>
        <w:rPr>
          <w:sz w:val="22"/>
          <w:szCs w:val="22"/>
          <w:lang w:val="lv-LV"/>
        </w:rPr>
      </w:pPr>
      <w:r w:rsidRPr="000D5257">
        <w:rPr>
          <w:sz w:val="22"/>
          <w:szCs w:val="22"/>
          <w:lang w:val="lv-LV"/>
        </w:rPr>
        <w:t xml:space="preserve">Turpiniet </w:t>
      </w:r>
      <w:r w:rsidR="00652DC7">
        <w:rPr>
          <w:sz w:val="22"/>
          <w:szCs w:val="22"/>
          <w:lang w:val="lv-LV"/>
        </w:rPr>
        <w:t>ārstēšanu</w:t>
      </w:r>
      <w:r w:rsidRPr="000D5257">
        <w:rPr>
          <w:sz w:val="22"/>
          <w:szCs w:val="22"/>
          <w:lang w:val="lv-LV"/>
        </w:rPr>
        <w:t>, nelietojot dubultu devu.</w:t>
      </w:r>
    </w:p>
    <w:p w14:paraId="1A91CF2C" w14:textId="77777777" w:rsidR="009A28EB" w:rsidRPr="00992EC1" w:rsidRDefault="009A28EB" w:rsidP="000D5257">
      <w:pPr>
        <w:rPr>
          <w:sz w:val="22"/>
          <w:szCs w:val="22"/>
          <w:lang w:val="lv-LV"/>
        </w:rPr>
      </w:pPr>
      <w:r w:rsidRPr="00992EC1">
        <w:rPr>
          <w:sz w:val="22"/>
          <w:szCs w:val="22"/>
          <w:lang w:val="lv-LV"/>
        </w:rPr>
        <w:t xml:space="preserve">Nelietojiet dubultu devu, lai aizvietotu aizmirsto </w:t>
      </w:r>
      <w:r w:rsidR="00652DC7" w:rsidRPr="00992EC1">
        <w:rPr>
          <w:sz w:val="22"/>
          <w:szCs w:val="22"/>
          <w:lang w:val="lv-LV"/>
        </w:rPr>
        <w:t>tableti</w:t>
      </w:r>
      <w:r w:rsidRPr="00992EC1">
        <w:rPr>
          <w:sz w:val="22"/>
          <w:szCs w:val="22"/>
          <w:lang w:val="lv-LV"/>
        </w:rPr>
        <w:t>.</w:t>
      </w:r>
    </w:p>
    <w:p w14:paraId="66C59CA8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4617BDEC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17DDE3A6" w14:textId="77777777" w:rsidR="009A28EB" w:rsidRPr="000D5257" w:rsidRDefault="009A28EB" w:rsidP="000D5257">
      <w:pPr>
        <w:ind w:left="567" w:hanging="567"/>
        <w:rPr>
          <w:b/>
          <w:i/>
          <w:sz w:val="22"/>
          <w:szCs w:val="22"/>
          <w:lang w:val="lv-LV"/>
        </w:rPr>
      </w:pPr>
      <w:r w:rsidRPr="000D5257">
        <w:rPr>
          <w:b/>
          <w:sz w:val="22"/>
          <w:szCs w:val="22"/>
          <w:lang w:val="lv-LV"/>
        </w:rPr>
        <w:t>4.</w:t>
      </w:r>
      <w:r w:rsidRPr="000D5257">
        <w:rPr>
          <w:b/>
          <w:i/>
          <w:sz w:val="22"/>
          <w:szCs w:val="22"/>
          <w:lang w:val="lv-LV"/>
        </w:rPr>
        <w:tab/>
      </w:r>
      <w:r w:rsidR="00652DC7" w:rsidRPr="00992EC1">
        <w:rPr>
          <w:b/>
          <w:sz w:val="22"/>
          <w:szCs w:val="22"/>
          <w:lang w:val="lv-LV"/>
        </w:rPr>
        <w:t>Iespējamās blakusparādības</w:t>
      </w:r>
      <w:r w:rsidR="00652DC7" w:rsidRPr="00652DC7" w:rsidDel="00652DC7">
        <w:rPr>
          <w:b/>
          <w:i/>
          <w:sz w:val="22"/>
          <w:szCs w:val="22"/>
          <w:lang w:val="lv-LV"/>
        </w:rPr>
        <w:t xml:space="preserve"> </w:t>
      </w:r>
    </w:p>
    <w:p w14:paraId="367313C6" w14:textId="77777777" w:rsidR="009A28EB" w:rsidRPr="000D5257" w:rsidRDefault="009A28EB" w:rsidP="000D5257">
      <w:pPr>
        <w:rPr>
          <w:b/>
          <w:sz w:val="22"/>
          <w:szCs w:val="22"/>
          <w:lang w:val="lv-LV"/>
        </w:rPr>
      </w:pPr>
    </w:p>
    <w:p w14:paraId="77CA5CCE" w14:textId="77777777" w:rsidR="009A28EB" w:rsidRPr="00992EC1" w:rsidRDefault="00652DC7" w:rsidP="000D5257">
      <w:pPr>
        <w:rPr>
          <w:sz w:val="22"/>
          <w:szCs w:val="22"/>
          <w:lang w:val="lv-LV"/>
        </w:rPr>
      </w:pPr>
      <w:r w:rsidRPr="00992EC1">
        <w:rPr>
          <w:sz w:val="22"/>
          <w:szCs w:val="22"/>
          <w:lang w:val="lv-LV"/>
        </w:rPr>
        <w:t>Tāpat kā visas zāles, šīs zāles var izraisīt blakusparādības, kaut arī ne visiem tās izpaužas.</w:t>
      </w:r>
    </w:p>
    <w:p w14:paraId="29574EC9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157649EB" w14:textId="77777777" w:rsidR="00FF040D" w:rsidRPr="00992EC1" w:rsidRDefault="003A553F" w:rsidP="000D5257">
      <w:pPr>
        <w:numPr>
          <w:ilvl w:val="12"/>
          <w:numId w:val="0"/>
        </w:numPr>
        <w:rPr>
          <w:sz w:val="22"/>
          <w:szCs w:val="22"/>
          <w:highlight w:val="yellow"/>
          <w:lang w:val="lv-LV"/>
        </w:rPr>
      </w:pPr>
      <w:r>
        <w:rPr>
          <w:sz w:val="22"/>
          <w:szCs w:val="22"/>
          <w:lang w:val="lv-LV"/>
        </w:rPr>
        <w:t>Faringodol</w:t>
      </w:r>
      <w:r w:rsidR="009A28EB" w:rsidRPr="00153CCA">
        <w:rPr>
          <w:sz w:val="22"/>
          <w:szCs w:val="22"/>
          <w:lang w:val="lv-LV"/>
        </w:rPr>
        <w:t xml:space="preserve"> lietošana var izraisīt šādas blakusparādības</w:t>
      </w:r>
      <w:r w:rsidR="00652DC7" w:rsidRPr="00153CCA">
        <w:rPr>
          <w:sz w:val="22"/>
          <w:szCs w:val="22"/>
          <w:lang w:val="lv-LV"/>
        </w:rPr>
        <w:t>:</w:t>
      </w:r>
    </w:p>
    <w:p w14:paraId="75FE6820" w14:textId="77777777" w:rsidR="009A28EB" w:rsidRPr="00992EC1" w:rsidRDefault="009A28EB" w:rsidP="000D5257">
      <w:pPr>
        <w:numPr>
          <w:ilvl w:val="12"/>
          <w:numId w:val="0"/>
        </w:numPr>
        <w:rPr>
          <w:sz w:val="22"/>
          <w:szCs w:val="22"/>
          <w:highlight w:val="yellow"/>
          <w:lang w:val="lv-LV"/>
        </w:rPr>
      </w:pPr>
    </w:p>
    <w:p w14:paraId="3BED96D3" w14:textId="77777777" w:rsidR="00960F74" w:rsidRPr="00992EC1" w:rsidRDefault="00960F74" w:rsidP="00960F74">
      <w:pPr>
        <w:numPr>
          <w:ilvl w:val="12"/>
          <w:numId w:val="0"/>
        </w:numPr>
        <w:rPr>
          <w:i/>
          <w:sz w:val="22"/>
          <w:szCs w:val="22"/>
          <w:lang w:val="lv-LV"/>
        </w:rPr>
      </w:pPr>
      <w:r w:rsidRPr="00992EC1">
        <w:rPr>
          <w:i/>
          <w:sz w:val="22"/>
          <w:szCs w:val="22"/>
          <w:lang w:val="lv-LV"/>
        </w:rPr>
        <w:t>Imūnās sistēmas traucējumi</w:t>
      </w:r>
    </w:p>
    <w:p w14:paraId="24BFF897" w14:textId="77777777" w:rsidR="00960F74" w:rsidRPr="00960F74" w:rsidRDefault="00960F74" w:rsidP="00960F74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960F74">
        <w:rPr>
          <w:sz w:val="22"/>
          <w:szCs w:val="22"/>
          <w:lang w:val="lv-LV"/>
        </w:rPr>
        <w:t>Reti: alerģiskas reakcijas (ādas apsārtums vai izsitumi, klepus, aizlikts deguns, sejas, mēles un lūpu pietūkums, apgrūtināta elpošana un rīšana).</w:t>
      </w:r>
    </w:p>
    <w:p w14:paraId="73B08DD2" w14:textId="77777777" w:rsidR="00960F74" w:rsidRPr="00960F74" w:rsidRDefault="00960F74" w:rsidP="00960F74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573DB0BE" w14:textId="77777777" w:rsidR="00960F74" w:rsidRPr="00992EC1" w:rsidRDefault="00960F74" w:rsidP="00960F74">
      <w:pPr>
        <w:numPr>
          <w:ilvl w:val="12"/>
          <w:numId w:val="0"/>
        </w:numPr>
        <w:rPr>
          <w:i/>
          <w:sz w:val="22"/>
          <w:szCs w:val="22"/>
          <w:lang w:val="lv-LV"/>
        </w:rPr>
      </w:pPr>
      <w:r w:rsidRPr="00992EC1">
        <w:rPr>
          <w:i/>
          <w:sz w:val="22"/>
          <w:szCs w:val="22"/>
          <w:lang w:val="lv-LV"/>
        </w:rPr>
        <w:t>Kuņģa-zarnu trakta traucējumi</w:t>
      </w:r>
    </w:p>
    <w:p w14:paraId="74B241D0" w14:textId="77777777" w:rsidR="00960F74" w:rsidRPr="00960F74" w:rsidRDefault="00960F74" w:rsidP="00960F74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960F74">
        <w:rPr>
          <w:sz w:val="22"/>
          <w:szCs w:val="22"/>
          <w:lang w:val="lv-LV"/>
        </w:rPr>
        <w:t>Reti: kuņģa-zarnu trakta gļotādas bojājums (vēdersāpes, vemšana, asiņošana).</w:t>
      </w:r>
    </w:p>
    <w:p w14:paraId="7593ABC4" w14:textId="77777777" w:rsidR="00960F74" w:rsidRPr="00960F74" w:rsidRDefault="00960F74" w:rsidP="00960F74">
      <w:pPr>
        <w:numPr>
          <w:ilvl w:val="12"/>
          <w:numId w:val="0"/>
        </w:numPr>
        <w:rPr>
          <w:sz w:val="22"/>
          <w:szCs w:val="22"/>
          <w:lang w:val="lv-LV"/>
        </w:rPr>
      </w:pPr>
    </w:p>
    <w:p w14:paraId="3D316AED" w14:textId="77777777" w:rsidR="00960F74" w:rsidRPr="00992EC1" w:rsidRDefault="00960F74" w:rsidP="00960F74">
      <w:pPr>
        <w:numPr>
          <w:ilvl w:val="12"/>
          <w:numId w:val="0"/>
        </w:numPr>
        <w:rPr>
          <w:i/>
          <w:sz w:val="22"/>
          <w:szCs w:val="22"/>
          <w:lang w:val="lv-LV"/>
        </w:rPr>
      </w:pPr>
      <w:r w:rsidRPr="00992EC1">
        <w:rPr>
          <w:i/>
          <w:sz w:val="22"/>
          <w:szCs w:val="22"/>
          <w:lang w:val="lv-LV"/>
        </w:rPr>
        <w:t>Aknu un/vai žults izvades sistēmas traucējumi</w:t>
      </w:r>
    </w:p>
    <w:p w14:paraId="2BDFCF28" w14:textId="77777777" w:rsidR="00960F74" w:rsidRPr="00960F74" w:rsidRDefault="00960F74" w:rsidP="00960F74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960F74">
        <w:rPr>
          <w:sz w:val="22"/>
          <w:szCs w:val="22"/>
          <w:lang w:val="lv-LV"/>
        </w:rPr>
        <w:t>Ļoti reti: salicilātu perorāla lietošana bērniem līdz 12 gadu vecumam var izraisīt Reja sindromu.</w:t>
      </w:r>
    </w:p>
    <w:p w14:paraId="441AE8D4" w14:textId="77777777" w:rsidR="00153CCA" w:rsidRDefault="00153CCA" w:rsidP="000D5257">
      <w:pPr>
        <w:rPr>
          <w:sz w:val="22"/>
          <w:szCs w:val="22"/>
          <w:lang w:val="lv-LV"/>
        </w:rPr>
      </w:pPr>
    </w:p>
    <w:p w14:paraId="5762E8CD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  <w:r w:rsidRPr="00153CCA">
        <w:rPr>
          <w:sz w:val="22"/>
          <w:szCs w:val="22"/>
          <w:lang w:val="lv-LV"/>
        </w:rPr>
        <w:t xml:space="preserve">Ja rodas kāds no iepriekš minētajiem simptomiem vai citi simptomi, ārstēšana ar </w:t>
      </w:r>
      <w:r w:rsidR="00652DC7" w:rsidRPr="00153CCA">
        <w:rPr>
          <w:sz w:val="22"/>
          <w:szCs w:val="22"/>
          <w:lang w:val="lv-LV"/>
        </w:rPr>
        <w:t xml:space="preserve">Faringodol </w:t>
      </w:r>
      <w:r w:rsidRPr="00153CCA">
        <w:rPr>
          <w:sz w:val="22"/>
          <w:szCs w:val="22"/>
          <w:lang w:val="lv-LV"/>
        </w:rPr>
        <w:t>jāp</w:t>
      </w:r>
      <w:r w:rsidR="000D5257" w:rsidRPr="00672682">
        <w:rPr>
          <w:sz w:val="22"/>
          <w:szCs w:val="22"/>
          <w:lang w:val="lv-LV"/>
        </w:rPr>
        <w:t>ārtrauc un jāvēršas pie ārsta.</w:t>
      </w:r>
    </w:p>
    <w:p w14:paraId="0889EDDF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2E773EFB" w14:textId="77777777" w:rsidR="009A28EB" w:rsidRPr="00992EC1" w:rsidRDefault="009A28EB" w:rsidP="000D5257">
      <w:pPr>
        <w:rPr>
          <w:sz w:val="22"/>
          <w:szCs w:val="22"/>
          <w:lang w:val="lv-LV"/>
        </w:rPr>
      </w:pPr>
      <w:r w:rsidRPr="00992EC1">
        <w:rPr>
          <w:sz w:val="22"/>
          <w:szCs w:val="22"/>
          <w:lang w:val="lv-LV"/>
        </w:rPr>
        <w:t xml:space="preserve">Ja novērojat jebkādas blakusparādības, kas šajā instrukcijā nav minētas, </w:t>
      </w:r>
      <w:r w:rsidR="00652DC7">
        <w:rPr>
          <w:sz w:val="22"/>
          <w:szCs w:val="22"/>
          <w:lang w:val="lv-LV"/>
        </w:rPr>
        <w:t>konsultējieties ar ārstu vai farmaceitu</w:t>
      </w:r>
      <w:r w:rsidRPr="00992EC1">
        <w:rPr>
          <w:sz w:val="22"/>
          <w:szCs w:val="22"/>
          <w:lang w:val="lv-LV"/>
        </w:rPr>
        <w:t>.</w:t>
      </w:r>
    </w:p>
    <w:p w14:paraId="2FB7FB27" w14:textId="77777777" w:rsidR="00652DC7" w:rsidRDefault="00652DC7" w:rsidP="00652DC7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</w:p>
    <w:p w14:paraId="402AC416" w14:textId="77777777" w:rsidR="00652DC7" w:rsidRPr="00652DC7" w:rsidRDefault="00652DC7" w:rsidP="00652DC7">
      <w:pPr>
        <w:autoSpaceDE w:val="0"/>
        <w:autoSpaceDN w:val="0"/>
        <w:adjustRightInd w:val="0"/>
        <w:rPr>
          <w:rFonts w:eastAsia="SimSun"/>
          <w:b/>
          <w:bCs/>
          <w:sz w:val="22"/>
          <w:szCs w:val="22"/>
          <w:lang w:val="lv-LV"/>
        </w:rPr>
      </w:pPr>
      <w:r w:rsidRPr="00652DC7">
        <w:rPr>
          <w:b/>
          <w:sz w:val="22"/>
          <w:szCs w:val="22"/>
          <w:lang w:val="lv-LV"/>
        </w:rPr>
        <w:t>Ziņošana par blakusparādībām</w:t>
      </w:r>
    </w:p>
    <w:p w14:paraId="43B14D51" w14:textId="77777777" w:rsidR="00652DC7" w:rsidRPr="00652DC7" w:rsidRDefault="00652DC7" w:rsidP="00652DC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652DC7">
        <w:rPr>
          <w:sz w:val="22"/>
          <w:szCs w:val="22"/>
          <w:lang w:val="lv-LV"/>
        </w:rPr>
        <w:t xml:space="preserve">Ja Jums rodas jebkuras blakusparādības, konsultējieties ar ārstu vai </w:t>
      </w:r>
      <w:r w:rsidR="00582382">
        <w:rPr>
          <w:sz w:val="22"/>
          <w:szCs w:val="22"/>
          <w:lang w:val="lv-LV"/>
        </w:rPr>
        <w:t>farmaceitu</w:t>
      </w:r>
      <w:r w:rsidRPr="00652DC7">
        <w:rPr>
          <w:sz w:val="22"/>
          <w:szCs w:val="22"/>
          <w:lang w:val="lv-LV"/>
        </w:rPr>
        <w:t xml:space="preserve">. Tas attiecas arī uz iespējamām blakusparādībām, kas nav minētas šajā instrukcijā. Jūs varat ziņot par blakusparādībām arī tieši Zāļu valsts aģentūrai, Jersikas iela 15, Rīgā, LV 1003. Tīmekļa vietne: </w:t>
      </w:r>
      <w:hyperlink r:id="rId7" w:history="1">
        <w:r w:rsidRPr="00652DC7">
          <w:rPr>
            <w:color w:val="0000FF"/>
            <w:sz w:val="22"/>
            <w:szCs w:val="22"/>
            <w:u w:val="single"/>
            <w:lang w:val="lv-LV"/>
          </w:rPr>
          <w:t>www.zva.gov.lv</w:t>
        </w:r>
      </w:hyperlink>
      <w:r w:rsidRPr="00652DC7">
        <w:rPr>
          <w:sz w:val="22"/>
          <w:szCs w:val="22"/>
          <w:lang w:val="lv-LV"/>
        </w:rPr>
        <w:t>. Ziņojot par blakusparādībām, Jūs varat palīdzēt nodrošināt daudz plašāku informāciju par šo zāļu drošumu.</w:t>
      </w:r>
    </w:p>
    <w:p w14:paraId="03F007A7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2A62425F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169912E7" w14:textId="77777777" w:rsidR="009A28EB" w:rsidRPr="000D5257" w:rsidRDefault="009A28EB" w:rsidP="000D5257">
      <w:pPr>
        <w:ind w:left="567" w:hanging="567"/>
        <w:rPr>
          <w:b/>
          <w:i/>
          <w:sz w:val="22"/>
          <w:szCs w:val="22"/>
          <w:lang w:val="lv-LV"/>
        </w:rPr>
      </w:pPr>
      <w:r w:rsidRPr="000D5257">
        <w:rPr>
          <w:b/>
          <w:sz w:val="22"/>
          <w:szCs w:val="22"/>
          <w:lang w:val="lv-LV"/>
        </w:rPr>
        <w:t>5.</w:t>
      </w:r>
      <w:r w:rsidRPr="000D5257">
        <w:rPr>
          <w:b/>
          <w:i/>
          <w:sz w:val="22"/>
          <w:szCs w:val="22"/>
          <w:lang w:val="lv-LV"/>
        </w:rPr>
        <w:tab/>
      </w:r>
      <w:r w:rsidR="00652DC7" w:rsidRPr="00992EC1">
        <w:rPr>
          <w:b/>
          <w:sz w:val="22"/>
          <w:szCs w:val="22"/>
          <w:lang w:val="lv-LV"/>
        </w:rPr>
        <w:t xml:space="preserve">Kā uzglabāt Faringodol </w:t>
      </w:r>
    </w:p>
    <w:p w14:paraId="0976D9F9" w14:textId="77777777" w:rsidR="009A28EB" w:rsidRPr="000D5257" w:rsidRDefault="009A28EB" w:rsidP="000D5257">
      <w:pPr>
        <w:rPr>
          <w:bCs/>
          <w:sz w:val="22"/>
          <w:szCs w:val="22"/>
          <w:lang w:val="lv-LV"/>
        </w:rPr>
      </w:pPr>
    </w:p>
    <w:p w14:paraId="2F94E5D2" w14:textId="77777777" w:rsidR="009A28EB" w:rsidRPr="000D5257" w:rsidRDefault="00652DC7" w:rsidP="000D5257">
      <w:pPr>
        <w:rPr>
          <w:bCs/>
          <w:i/>
          <w:sz w:val="22"/>
          <w:szCs w:val="22"/>
          <w:lang w:val="lv-LV"/>
        </w:rPr>
      </w:pPr>
      <w:r w:rsidRPr="00992EC1">
        <w:rPr>
          <w:bCs/>
          <w:sz w:val="22"/>
          <w:szCs w:val="22"/>
          <w:lang w:val="lv-LV"/>
        </w:rPr>
        <w:t>Uzglabāt bērniem neredzamā un nepieejamā vietā.</w:t>
      </w:r>
    </w:p>
    <w:p w14:paraId="7E418440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327B78B9" w14:textId="5E1E893A" w:rsidR="00BF4107" w:rsidRPr="000D5257" w:rsidRDefault="009A28EB" w:rsidP="000D525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0D5257">
        <w:rPr>
          <w:sz w:val="22"/>
          <w:szCs w:val="22"/>
          <w:lang w:val="lv-LV"/>
        </w:rPr>
        <w:t>Uzglabāt temperatūrā līdz 25°C.</w:t>
      </w:r>
      <w:r w:rsidR="004F5209">
        <w:rPr>
          <w:sz w:val="22"/>
          <w:szCs w:val="22"/>
          <w:lang w:val="lv-LV"/>
        </w:rPr>
        <w:t xml:space="preserve"> </w:t>
      </w:r>
    </w:p>
    <w:p w14:paraId="45D31338" w14:textId="77777777" w:rsidR="009A28EB" w:rsidRDefault="009A28EB" w:rsidP="000D5257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EA12FC">
        <w:rPr>
          <w:sz w:val="22"/>
          <w:szCs w:val="22"/>
          <w:lang w:val="lv-LV"/>
        </w:rPr>
        <w:t>Uzglabāt oriģinālā iepakojumā</w:t>
      </w:r>
      <w:r w:rsidR="00D56A8C">
        <w:rPr>
          <w:sz w:val="22"/>
          <w:szCs w:val="22"/>
          <w:lang w:val="lv-LV"/>
        </w:rPr>
        <w:t>, lai pasargātu no mitruma</w:t>
      </w:r>
      <w:r w:rsidRPr="00EA12FC">
        <w:rPr>
          <w:sz w:val="22"/>
          <w:szCs w:val="22"/>
          <w:lang w:val="lv-LV"/>
        </w:rPr>
        <w:t>.</w:t>
      </w:r>
    </w:p>
    <w:p w14:paraId="4D952628" w14:textId="77777777" w:rsidR="006A565C" w:rsidRPr="000D5257" w:rsidRDefault="006A565C" w:rsidP="000D5257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DE5AC10" w14:textId="0951F6C8" w:rsidR="006A565C" w:rsidRPr="00291816" w:rsidRDefault="006A565C" w:rsidP="006A565C">
      <w:pPr>
        <w:rPr>
          <w:noProof/>
          <w:sz w:val="22"/>
          <w:szCs w:val="22"/>
          <w:lang w:val="lv-LV"/>
        </w:rPr>
      </w:pPr>
      <w:r w:rsidRPr="00291816">
        <w:rPr>
          <w:noProof/>
          <w:sz w:val="22"/>
          <w:szCs w:val="22"/>
          <w:lang w:val="lv-LV"/>
        </w:rPr>
        <w:t>Nelietot šīs zāles pēc derīguma termiņa beigām, kas norādīts uz kastītes un blistera. Derīguma termiņš attiecas uz norādītā mēneša pēdējo dienu.</w:t>
      </w:r>
    </w:p>
    <w:p w14:paraId="1F06D25B" w14:textId="77777777" w:rsidR="009A28EB" w:rsidRDefault="009A28EB" w:rsidP="000D5257">
      <w:pPr>
        <w:rPr>
          <w:bCs/>
          <w:sz w:val="22"/>
          <w:szCs w:val="22"/>
          <w:lang w:val="lv-LV"/>
        </w:rPr>
      </w:pPr>
    </w:p>
    <w:p w14:paraId="63C0C04D" w14:textId="77777777" w:rsidR="00292ED4" w:rsidRPr="000D5257" w:rsidRDefault="00292ED4" w:rsidP="000D5257">
      <w:pPr>
        <w:rPr>
          <w:bCs/>
          <w:sz w:val="22"/>
          <w:szCs w:val="22"/>
          <w:lang w:val="lv-LV"/>
        </w:rPr>
      </w:pPr>
      <w:r w:rsidRPr="00292ED4">
        <w:rPr>
          <w:bCs/>
          <w:sz w:val="22"/>
          <w:szCs w:val="22"/>
          <w:lang w:val="lv-LV"/>
        </w:rPr>
        <w:t>Neizmetiet zāles kanalizācijā vai sadzīves atkritumos. Vaicājiet farmaceitam, kā izmest zāles, kuras vairs nelietojat. Šie pasākumi palīdzēs aizsargāt apkārtējo vidi.</w:t>
      </w:r>
    </w:p>
    <w:p w14:paraId="749E429B" w14:textId="77777777" w:rsidR="009A28EB" w:rsidRDefault="009A28EB" w:rsidP="000D5257">
      <w:pPr>
        <w:rPr>
          <w:b/>
          <w:noProof/>
          <w:sz w:val="22"/>
          <w:szCs w:val="22"/>
          <w:lang w:val="lv-LV"/>
        </w:rPr>
      </w:pPr>
    </w:p>
    <w:p w14:paraId="766E1F14" w14:textId="77777777" w:rsidR="00292ED4" w:rsidRPr="000D5257" w:rsidRDefault="00292ED4" w:rsidP="000D5257">
      <w:pPr>
        <w:rPr>
          <w:b/>
          <w:noProof/>
          <w:sz w:val="22"/>
          <w:szCs w:val="22"/>
          <w:lang w:val="lv-LV"/>
        </w:rPr>
      </w:pPr>
    </w:p>
    <w:p w14:paraId="79AB3C52" w14:textId="77777777" w:rsidR="009A28EB" w:rsidRPr="000D5257" w:rsidRDefault="009A28EB" w:rsidP="000D5257">
      <w:pPr>
        <w:pStyle w:val="Heading3"/>
        <w:keepNext w:val="0"/>
        <w:ind w:left="567" w:hanging="567"/>
        <w:jc w:val="left"/>
        <w:rPr>
          <w:rFonts w:ascii="Times New Roman" w:hAnsi="Times New Roman"/>
          <w:sz w:val="22"/>
          <w:szCs w:val="22"/>
          <w:lang w:val="lv-LV"/>
        </w:rPr>
      </w:pPr>
      <w:r w:rsidRPr="000D5257">
        <w:rPr>
          <w:rFonts w:ascii="Times New Roman" w:hAnsi="Times New Roman"/>
          <w:sz w:val="22"/>
          <w:szCs w:val="22"/>
          <w:lang w:val="lv-LV"/>
        </w:rPr>
        <w:t>6.</w:t>
      </w:r>
      <w:r w:rsidRPr="000D5257">
        <w:rPr>
          <w:rFonts w:ascii="Times New Roman" w:hAnsi="Times New Roman"/>
          <w:sz w:val="22"/>
          <w:szCs w:val="22"/>
          <w:lang w:val="lv-LV"/>
        </w:rPr>
        <w:tab/>
      </w:r>
      <w:r w:rsidR="00292ED4" w:rsidRPr="00292ED4">
        <w:rPr>
          <w:rFonts w:ascii="Times New Roman" w:hAnsi="Times New Roman"/>
          <w:noProof w:val="0"/>
          <w:snapToGrid w:val="0"/>
          <w:sz w:val="22"/>
          <w:lang w:val="lv-LV" w:eastAsia="zh-CN"/>
        </w:rPr>
        <w:t>Iepakojuma saturs un cita informācija</w:t>
      </w:r>
      <w:r w:rsidR="00292ED4" w:rsidRPr="000D5257" w:rsidDel="00292ED4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393611F2" w14:textId="77777777" w:rsidR="009A28EB" w:rsidRPr="000D5257" w:rsidRDefault="009A28EB" w:rsidP="000D5257">
      <w:pPr>
        <w:pStyle w:val="Heading3"/>
        <w:keepNext w:val="0"/>
        <w:jc w:val="left"/>
        <w:rPr>
          <w:rFonts w:ascii="Times New Roman" w:hAnsi="Times New Roman"/>
          <w:sz w:val="22"/>
          <w:szCs w:val="22"/>
          <w:lang w:val="lv-LV"/>
        </w:rPr>
      </w:pPr>
    </w:p>
    <w:p w14:paraId="6A5B4A00" w14:textId="77777777" w:rsidR="009A28EB" w:rsidRPr="000D5257" w:rsidRDefault="009A28EB" w:rsidP="000D5257">
      <w:pPr>
        <w:rPr>
          <w:b/>
          <w:sz w:val="22"/>
          <w:szCs w:val="22"/>
          <w:lang w:val="lv-LV"/>
        </w:rPr>
      </w:pPr>
      <w:r w:rsidRPr="000D5257">
        <w:rPr>
          <w:b/>
          <w:sz w:val="22"/>
          <w:szCs w:val="22"/>
          <w:lang w:val="lv-LV"/>
        </w:rPr>
        <w:t xml:space="preserve">Ko </w:t>
      </w:r>
      <w:r w:rsidR="00292ED4" w:rsidRPr="00631658">
        <w:rPr>
          <w:b/>
          <w:sz w:val="22"/>
          <w:szCs w:val="22"/>
          <w:lang w:val="lv-LV"/>
        </w:rPr>
        <w:t xml:space="preserve">Faringodol </w:t>
      </w:r>
      <w:r w:rsidRPr="000D5257">
        <w:rPr>
          <w:b/>
          <w:sz w:val="22"/>
          <w:szCs w:val="22"/>
          <w:lang w:val="lv-LV"/>
        </w:rPr>
        <w:t>satur</w:t>
      </w:r>
    </w:p>
    <w:p w14:paraId="4B32E114" w14:textId="0BABBF82" w:rsidR="00292ED4" w:rsidRPr="00992EC1" w:rsidRDefault="009A28EB" w:rsidP="00992EC1">
      <w:pPr>
        <w:pStyle w:val="ListParagraph"/>
        <w:numPr>
          <w:ilvl w:val="0"/>
          <w:numId w:val="13"/>
        </w:numPr>
        <w:ind w:left="567" w:hanging="567"/>
        <w:rPr>
          <w:i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Aktīvā  viela ir holīna salicilāts. Katra sūkājamā tablete satur 150 mg holīna salicilāta.</w:t>
      </w:r>
    </w:p>
    <w:p w14:paraId="79F19880" w14:textId="1AA1E210" w:rsidR="009A28EB" w:rsidRPr="00992EC1" w:rsidRDefault="009A28EB" w:rsidP="00992EC1">
      <w:pPr>
        <w:pStyle w:val="ListParagraph"/>
        <w:numPr>
          <w:ilvl w:val="0"/>
          <w:numId w:val="13"/>
        </w:numPr>
        <w:ind w:left="567" w:hanging="567"/>
        <w:rPr>
          <w:noProof/>
          <w:sz w:val="22"/>
          <w:szCs w:val="22"/>
          <w:lang w:val="lv-LV"/>
        </w:rPr>
      </w:pPr>
      <w:r w:rsidRPr="00992EC1">
        <w:rPr>
          <w:noProof/>
          <w:sz w:val="22"/>
          <w:szCs w:val="22"/>
          <w:lang w:val="lv-LV"/>
        </w:rPr>
        <w:t>Citas sastāvdaļas</w:t>
      </w:r>
      <w:r w:rsidR="00292ED4">
        <w:rPr>
          <w:noProof/>
          <w:sz w:val="22"/>
          <w:szCs w:val="22"/>
          <w:lang w:val="lv-LV"/>
        </w:rPr>
        <w:t xml:space="preserve"> ir</w:t>
      </w:r>
      <w:r w:rsidRPr="00992EC1">
        <w:rPr>
          <w:noProof/>
          <w:sz w:val="22"/>
          <w:szCs w:val="22"/>
          <w:lang w:val="lv-LV"/>
        </w:rPr>
        <w:t xml:space="preserve"> izomalts</w:t>
      </w:r>
      <w:r w:rsidR="00292ED4">
        <w:rPr>
          <w:noProof/>
          <w:sz w:val="22"/>
          <w:szCs w:val="22"/>
          <w:lang w:val="lv-LV"/>
        </w:rPr>
        <w:t xml:space="preserve"> </w:t>
      </w:r>
      <w:r w:rsidR="00292ED4" w:rsidRPr="00292ED4">
        <w:rPr>
          <w:noProof/>
          <w:sz w:val="22"/>
          <w:szCs w:val="22"/>
          <w:lang w:val="lv-LV"/>
        </w:rPr>
        <w:t>(E953)</w:t>
      </w:r>
      <w:r w:rsidRPr="00992EC1">
        <w:rPr>
          <w:noProof/>
          <w:sz w:val="22"/>
          <w:szCs w:val="22"/>
          <w:lang w:val="lv-LV"/>
        </w:rPr>
        <w:t>, maltīta šķ</w:t>
      </w:r>
      <w:r w:rsidR="005E579C">
        <w:rPr>
          <w:noProof/>
          <w:sz w:val="22"/>
          <w:szCs w:val="22"/>
          <w:lang w:val="lv-LV"/>
        </w:rPr>
        <w:t>ī</w:t>
      </w:r>
      <w:r w:rsidRPr="00992EC1">
        <w:rPr>
          <w:noProof/>
          <w:sz w:val="22"/>
          <w:szCs w:val="22"/>
          <w:lang w:val="lv-LV"/>
        </w:rPr>
        <w:t xml:space="preserve">dums, </w:t>
      </w:r>
      <w:r w:rsidR="00F31C1B" w:rsidRPr="00ED0C01">
        <w:rPr>
          <w:noProof/>
          <w:sz w:val="22"/>
          <w:szCs w:val="22"/>
          <w:lang w:val="lv-LV"/>
        </w:rPr>
        <w:t>aspartāms (E951)</w:t>
      </w:r>
      <w:r w:rsidRPr="00992EC1">
        <w:rPr>
          <w:noProof/>
          <w:sz w:val="22"/>
          <w:szCs w:val="22"/>
          <w:lang w:val="lv-LV"/>
        </w:rPr>
        <w:t>, acesulfām</w:t>
      </w:r>
      <w:r w:rsidR="007832B4">
        <w:rPr>
          <w:noProof/>
          <w:sz w:val="22"/>
          <w:szCs w:val="22"/>
          <w:lang w:val="lv-LV"/>
        </w:rPr>
        <w:t>a</w:t>
      </w:r>
      <w:r w:rsidRPr="00992EC1">
        <w:rPr>
          <w:noProof/>
          <w:sz w:val="22"/>
          <w:szCs w:val="22"/>
          <w:lang w:val="lv-LV"/>
        </w:rPr>
        <w:t xml:space="preserve"> </w:t>
      </w:r>
      <w:r w:rsidR="007832B4">
        <w:rPr>
          <w:noProof/>
          <w:sz w:val="22"/>
          <w:szCs w:val="22"/>
          <w:lang w:val="lv-LV"/>
        </w:rPr>
        <w:t>kālija sāls</w:t>
      </w:r>
      <w:r w:rsidR="00292ED4">
        <w:rPr>
          <w:noProof/>
          <w:sz w:val="22"/>
          <w:szCs w:val="22"/>
          <w:lang w:val="lv-LV"/>
        </w:rPr>
        <w:t xml:space="preserve"> </w:t>
      </w:r>
      <w:r w:rsidR="00292ED4" w:rsidRPr="00292ED4">
        <w:rPr>
          <w:noProof/>
          <w:sz w:val="22"/>
          <w:szCs w:val="22"/>
          <w:lang w:val="lv-LV"/>
        </w:rPr>
        <w:t>(E950)</w:t>
      </w:r>
      <w:r w:rsidRPr="00992EC1">
        <w:rPr>
          <w:noProof/>
          <w:sz w:val="22"/>
          <w:szCs w:val="22"/>
          <w:lang w:val="lv-LV"/>
        </w:rPr>
        <w:t>,</w:t>
      </w:r>
      <w:r w:rsidR="00F31C1B">
        <w:rPr>
          <w:noProof/>
          <w:sz w:val="22"/>
          <w:szCs w:val="22"/>
          <w:lang w:val="lv-LV"/>
        </w:rPr>
        <w:t xml:space="preserve"> </w:t>
      </w:r>
      <w:r w:rsidR="00F31C1B" w:rsidRPr="00B72762">
        <w:rPr>
          <w:noProof/>
          <w:sz w:val="22"/>
          <w:szCs w:val="22"/>
          <w:lang w:val="lv-LV"/>
        </w:rPr>
        <w:t xml:space="preserve">tīruma mētru </w:t>
      </w:r>
      <w:r w:rsidR="007832B4">
        <w:rPr>
          <w:sz w:val="22"/>
          <w:szCs w:val="22"/>
          <w:lang w:val="lv-LV"/>
        </w:rPr>
        <w:t>ēteriskā</w:t>
      </w:r>
      <w:r w:rsidR="007832B4" w:rsidRPr="00B72762">
        <w:rPr>
          <w:noProof/>
          <w:sz w:val="22"/>
          <w:szCs w:val="22"/>
          <w:lang w:val="lv-LV"/>
        </w:rPr>
        <w:t xml:space="preserve"> </w:t>
      </w:r>
      <w:r w:rsidR="00F31C1B" w:rsidRPr="00B72762">
        <w:rPr>
          <w:noProof/>
          <w:sz w:val="22"/>
          <w:szCs w:val="22"/>
          <w:lang w:val="lv-LV"/>
        </w:rPr>
        <w:t>eļļa</w:t>
      </w:r>
      <w:r w:rsidR="00F31C1B">
        <w:rPr>
          <w:noProof/>
          <w:sz w:val="22"/>
          <w:szCs w:val="22"/>
          <w:lang w:val="lv-LV"/>
        </w:rPr>
        <w:t>.</w:t>
      </w:r>
      <w:r w:rsidR="000F5276">
        <w:rPr>
          <w:noProof/>
          <w:sz w:val="22"/>
          <w:szCs w:val="22"/>
          <w:lang w:val="lv-LV"/>
        </w:rPr>
        <w:t xml:space="preserve"> </w:t>
      </w:r>
    </w:p>
    <w:p w14:paraId="44745758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3E4793B9" w14:textId="77777777" w:rsidR="009A28EB" w:rsidRDefault="00292ED4" w:rsidP="000D5257">
      <w:pPr>
        <w:rPr>
          <w:b/>
          <w:sz w:val="22"/>
          <w:szCs w:val="22"/>
          <w:lang w:val="lv-LV"/>
        </w:rPr>
      </w:pPr>
      <w:r w:rsidRPr="00292ED4">
        <w:rPr>
          <w:b/>
          <w:sz w:val="22"/>
          <w:szCs w:val="22"/>
          <w:lang w:val="lv-LV"/>
        </w:rPr>
        <w:t xml:space="preserve">Faringodol </w:t>
      </w:r>
      <w:r w:rsidR="009A28EB" w:rsidRPr="000D5257">
        <w:rPr>
          <w:b/>
          <w:sz w:val="22"/>
          <w:szCs w:val="22"/>
          <w:lang w:val="lv-LV"/>
        </w:rPr>
        <w:t>ārējais izskats un iepakojums</w:t>
      </w:r>
    </w:p>
    <w:p w14:paraId="4B759569" w14:textId="77777777" w:rsidR="00970B08" w:rsidRDefault="00970B08" w:rsidP="000D5257">
      <w:pPr>
        <w:rPr>
          <w:noProof/>
          <w:sz w:val="22"/>
          <w:szCs w:val="22"/>
          <w:lang w:val="lv-LV"/>
        </w:rPr>
      </w:pPr>
      <w:r w:rsidRPr="00970B08">
        <w:rPr>
          <w:noProof/>
          <w:sz w:val="22"/>
          <w:szCs w:val="22"/>
          <w:lang w:val="lv-LV"/>
        </w:rPr>
        <w:t>Baltas līdz gaiši dzeltenas cilindriskas formas, nedaudz izliektas sūkājamās tabletes.</w:t>
      </w:r>
    </w:p>
    <w:p w14:paraId="6B7C7754" w14:textId="66FB22DE" w:rsidR="009A28EB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noProof/>
          <w:sz w:val="22"/>
          <w:szCs w:val="22"/>
          <w:lang w:val="lv-LV"/>
        </w:rPr>
        <w:t>8 vai 16</w:t>
      </w:r>
      <w:r w:rsidR="0036504D">
        <w:rPr>
          <w:noProof/>
          <w:sz w:val="22"/>
          <w:szCs w:val="22"/>
          <w:lang w:val="lv-LV"/>
        </w:rPr>
        <w:t xml:space="preserve"> sūkājamās</w:t>
      </w:r>
      <w:r w:rsidRPr="000D5257">
        <w:rPr>
          <w:noProof/>
          <w:sz w:val="22"/>
          <w:szCs w:val="22"/>
          <w:lang w:val="lv-LV"/>
        </w:rPr>
        <w:t xml:space="preserve"> tabletes (</w:t>
      </w:r>
      <w:smartTag w:uri="urn:schemas-microsoft-com:office:smarttags" w:element="stockticker">
        <w:r w:rsidRPr="000D5257">
          <w:rPr>
            <w:noProof/>
            <w:sz w:val="22"/>
            <w:szCs w:val="22"/>
            <w:lang w:val="lv-LV"/>
          </w:rPr>
          <w:t>PVH</w:t>
        </w:r>
      </w:smartTag>
      <w:r w:rsidRPr="000D5257">
        <w:rPr>
          <w:noProof/>
          <w:sz w:val="22"/>
          <w:szCs w:val="22"/>
          <w:lang w:val="lv-LV"/>
        </w:rPr>
        <w:t>/PVDH/Alumīnija folijas blisteri pa 8 tabletēm katrā) iepakotas kartona kastītē.</w:t>
      </w:r>
    </w:p>
    <w:p w14:paraId="4E415490" w14:textId="77777777" w:rsidR="009A28EB" w:rsidRPr="001275F8" w:rsidRDefault="000F5276" w:rsidP="000D5257">
      <w:pPr>
        <w:rPr>
          <w:noProof/>
          <w:snapToGrid w:val="0"/>
          <w:sz w:val="22"/>
          <w:szCs w:val="22"/>
          <w:lang w:val="fi-FI" w:eastAsia="zh-CN"/>
        </w:rPr>
      </w:pPr>
      <w:r w:rsidRPr="001275F8">
        <w:rPr>
          <w:noProof/>
          <w:snapToGrid w:val="0"/>
          <w:sz w:val="22"/>
          <w:szCs w:val="22"/>
          <w:lang w:val="fi-FI" w:eastAsia="zh-CN"/>
        </w:rPr>
        <w:t>Visi iepakojuma lielumi tirgū var nebūt pieejami.</w:t>
      </w:r>
    </w:p>
    <w:p w14:paraId="3B55F5F9" w14:textId="77777777" w:rsidR="000F5276" w:rsidRPr="000D5257" w:rsidRDefault="000F5276" w:rsidP="000D5257">
      <w:pPr>
        <w:rPr>
          <w:noProof/>
          <w:sz w:val="22"/>
          <w:szCs w:val="22"/>
          <w:u w:val="single"/>
          <w:lang w:val="lv-LV"/>
        </w:rPr>
      </w:pPr>
    </w:p>
    <w:p w14:paraId="6BCA2D3E" w14:textId="77777777" w:rsidR="009A28EB" w:rsidRPr="000D5257" w:rsidRDefault="009A28EB" w:rsidP="000D5257">
      <w:pPr>
        <w:rPr>
          <w:b/>
          <w:sz w:val="22"/>
          <w:szCs w:val="22"/>
          <w:lang w:val="lv-LV"/>
        </w:rPr>
      </w:pPr>
      <w:r w:rsidRPr="000D5257">
        <w:rPr>
          <w:b/>
          <w:sz w:val="22"/>
          <w:szCs w:val="22"/>
          <w:lang w:val="lv-LV"/>
        </w:rPr>
        <w:t>Reģistrācijas apliecības īpašnieks</w:t>
      </w:r>
    </w:p>
    <w:p w14:paraId="463690EB" w14:textId="77777777" w:rsidR="000D5257" w:rsidRPr="002B6924" w:rsidRDefault="000D5257" w:rsidP="000D5257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  <w:lang w:val="en-GB" w:eastAsia="en-US"/>
        </w:rPr>
      </w:pPr>
      <w:r w:rsidRPr="002B6924">
        <w:rPr>
          <w:sz w:val="22"/>
          <w:szCs w:val="22"/>
          <w:lang w:val="en-GB" w:eastAsia="en-US"/>
        </w:rPr>
        <w:t>Richard Bittner AG</w:t>
      </w:r>
    </w:p>
    <w:p w14:paraId="366268B4" w14:textId="77777777" w:rsidR="000D5257" w:rsidRPr="002B6924" w:rsidRDefault="000D5257" w:rsidP="000D5257">
      <w:pPr>
        <w:numPr>
          <w:ilvl w:val="12"/>
          <w:numId w:val="0"/>
        </w:numPr>
        <w:tabs>
          <w:tab w:val="left" w:pos="720"/>
        </w:tabs>
        <w:ind w:right="-2"/>
        <w:rPr>
          <w:color w:val="000000"/>
          <w:sz w:val="22"/>
          <w:szCs w:val="22"/>
        </w:rPr>
      </w:pPr>
      <w:proofErr w:type="spellStart"/>
      <w:r w:rsidRPr="002B6924">
        <w:rPr>
          <w:color w:val="000000"/>
          <w:sz w:val="22"/>
          <w:szCs w:val="22"/>
        </w:rPr>
        <w:t>Reisnerstraße</w:t>
      </w:r>
      <w:proofErr w:type="spellEnd"/>
      <w:r w:rsidRPr="002B6924">
        <w:rPr>
          <w:color w:val="000000"/>
          <w:sz w:val="22"/>
          <w:szCs w:val="22"/>
        </w:rPr>
        <w:t xml:space="preserve"> 55-57</w:t>
      </w:r>
    </w:p>
    <w:p w14:paraId="7857995A" w14:textId="77777777" w:rsidR="000D5257" w:rsidRPr="002B6924" w:rsidRDefault="000D5257" w:rsidP="000D5257">
      <w:pPr>
        <w:numPr>
          <w:ilvl w:val="12"/>
          <w:numId w:val="0"/>
        </w:numPr>
        <w:tabs>
          <w:tab w:val="left" w:pos="720"/>
        </w:tabs>
        <w:ind w:right="-2"/>
        <w:rPr>
          <w:color w:val="000000"/>
          <w:sz w:val="22"/>
          <w:szCs w:val="22"/>
        </w:rPr>
      </w:pPr>
      <w:r w:rsidRPr="002B6924">
        <w:rPr>
          <w:color w:val="000000"/>
          <w:sz w:val="22"/>
          <w:szCs w:val="22"/>
        </w:rPr>
        <w:t>A-1030 Wien</w:t>
      </w:r>
    </w:p>
    <w:p w14:paraId="53A31B56" w14:textId="77777777" w:rsidR="009A28EB" w:rsidRPr="000D5257" w:rsidRDefault="000D5257" w:rsidP="000D5257">
      <w:pPr>
        <w:rPr>
          <w:sz w:val="22"/>
          <w:szCs w:val="22"/>
          <w:lang w:val="lv-LV"/>
        </w:rPr>
      </w:pPr>
      <w:proofErr w:type="spellStart"/>
      <w:r w:rsidRPr="002B6924">
        <w:rPr>
          <w:color w:val="000000"/>
          <w:sz w:val="22"/>
          <w:szCs w:val="22"/>
        </w:rPr>
        <w:t>Austri</w:t>
      </w:r>
      <w:r>
        <w:rPr>
          <w:color w:val="000000"/>
          <w:sz w:val="22"/>
          <w:szCs w:val="22"/>
        </w:rPr>
        <w:t>j</w:t>
      </w:r>
      <w:r w:rsidRPr="002B6924">
        <w:rPr>
          <w:color w:val="000000"/>
          <w:sz w:val="22"/>
          <w:szCs w:val="22"/>
        </w:rPr>
        <w:t>a</w:t>
      </w:r>
      <w:proofErr w:type="spellEnd"/>
    </w:p>
    <w:p w14:paraId="335CA602" w14:textId="77777777" w:rsidR="009A28EB" w:rsidRPr="000D5257" w:rsidRDefault="009A28EB" w:rsidP="000D5257">
      <w:pPr>
        <w:rPr>
          <w:sz w:val="22"/>
          <w:szCs w:val="22"/>
          <w:lang w:val="lv-LV"/>
        </w:rPr>
      </w:pPr>
    </w:p>
    <w:p w14:paraId="0459668F" w14:textId="77777777" w:rsidR="009A28EB" w:rsidRPr="000D5257" w:rsidRDefault="009A28EB" w:rsidP="000D5257">
      <w:pPr>
        <w:rPr>
          <w:b/>
          <w:sz w:val="22"/>
          <w:szCs w:val="22"/>
          <w:lang w:val="lv-LV"/>
        </w:rPr>
      </w:pPr>
      <w:r w:rsidRPr="000D5257">
        <w:rPr>
          <w:b/>
          <w:sz w:val="22"/>
          <w:szCs w:val="22"/>
          <w:lang w:val="lv-LV"/>
        </w:rPr>
        <w:t>Ražotājs</w:t>
      </w:r>
    </w:p>
    <w:p w14:paraId="74C02887" w14:textId="77777777" w:rsidR="00292ED4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noProof/>
          <w:sz w:val="22"/>
          <w:szCs w:val="22"/>
          <w:lang w:val="lv-LV"/>
        </w:rPr>
        <w:t>Przedsiebiorstwo Produkcyjne- Handlowe “EWA” S.A.,</w:t>
      </w:r>
      <w:r w:rsidR="000D5257">
        <w:rPr>
          <w:noProof/>
          <w:sz w:val="22"/>
          <w:szCs w:val="22"/>
          <w:lang w:val="lv-LV"/>
        </w:rPr>
        <w:t xml:space="preserve"> </w:t>
      </w:r>
    </w:p>
    <w:p w14:paraId="0ADFC62C" w14:textId="77777777" w:rsidR="00292ED4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noProof/>
          <w:sz w:val="22"/>
          <w:szCs w:val="22"/>
          <w:lang w:val="lv-LV"/>
        </w:rPr>
        <w:t xml:space="preserve">9 Zamkowy Folwark Street, </w:t>
      </w:r>
    </w:p>
    <w:p w14:paraId="45C234AA" w14:textId="77777777" w:rsidR="00292ED4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noProof/>
          <w:sz w:val="22"/>
          <w:szCs w:val="22"/>
          <w:lang w:val="lv-LV"/>
        </w:rPr>
        <w:t xml:space="preserve">63-700 Krotoszyn, </w:t>
      </w:r>
    </w:p>
    <w:p w14:paraId="466B3DD1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  <w:r w:rsidRPr="000D5257">
        <w:rPr>
          <w:noProof/>
          <w:sz w:val="22"/>
          <w:szCs w:val="22"/>
          <w:lang w:val="lv-LV"/>
        </w:rPr>
        <w:t>Polija</w:t>
      </w:r>
    </w:p>
    <w:p w14:paraId="1B2F4F86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010A7DEF" w14:textId="77777777" w:rsidR="009A28EB" w:rsidRPr="000D5257" w:rsidRDefault="009A28EB" w:rsidP="000D5257">
      <w:pPr>
        <w:rPr>
          <w:noProof/>
          <w:sz w:val="22"/>
          <w:szCs w:val="22"/>
          <w:lang w:val="lv-LV"/>
        </w:rPr>
      </w:pPr>
    </w:p>
    <w:p w14:paraId="0A8DDA6C" w14:textId="4F6A31CA" w:rsidR="009A28EB" w:rsidRPr="00992EC1" w:rsidRDefault="009A28EB" w:rsidP="000D5257">
      <w:pPr>
        <w:rPr>
          <w:b/>
          <w:noProof/>
          <w:sz w:val="22"/>
          <w:szCs w:val="22"/>
          <w:lang w:val="lv-LV"/>
        </w:rPr>
      </w:pPr>
      <w:r w:rsidRPr="00992EC1">
        <w:rPr>
          <w:b/>
          <w:sz w:val="22"/>
          <w:szCs w:val="22"/>
          <w:lang w:val="lv-LV"/>
        </w:rPr>
        <w:t xml:space="preserve">Šī lietošanas instrukcija pēdējo reizi pārskatīta </w:t>
      </w:r>
      <w:r w:rsidR="00292ED4" w:rsidRPr="00992EC1">
        <w:rPr>
          <w:b/>
          <w:sz w:val="22"/>
          <w:szCs w:val="22"/>
          <w:lang w:val="lv-LV"/>
        </w:rPr>
        <w:t>0</w:t>
      </w:r>
      <w:r w:rsidR="00B2258C">
        <w:rPr>
          <w:b/>
          <w:sz w:val="22"/>
          <w:szCs w:val="22"/>
          <w:lang w:val="lv-LV"/>
        </w:rPr>
        <w:t>6</w:t>
      </w:r>
      <w:r w:rsidR="000D5257" w:rsidRPr="00992EC1">
        <w:rPr>
          <w:b/>
          <w:sz w:val="22"/>
          <w:szCs w:val="22"/>
          <w:lang w:val="lv-LV"/>
        </w:rPr>
        <w:t>/201</w:t>
      </w:r>
      <w:r w:rsidR="00292ED4" w:rsidRPr="00992EC1">
        <w:rPr>
          <w:b/>
          <w:sz w:val="22"/>
          <w:szCs w:val="22"/>
          <w:lang w:val="lv-LV"/>
        </w:rPr>
        <w:t>8</w:t>
      </w:r>
      <w:r w:rsidR="00B2258C">
        <w:rPr>
          <w:b/>
          <w:sz w:val="22"/>
          <w:szCs w:val="22"/>
          <w:lang w:val="lv-LV"/>
        </w:rPr>
        <w:t>.</w:t>
      </w:r>
    </w:p>
    <w:sectPr w:rsidR="009A28EB" w:rsidRPr="00992EC1" w:rsidSect="00AB0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DED9" w14:textId="77777777" w:rsidR="00B2686F" w:rsidRDefault="00B2686F">
      <w:r>
        <w:separator/>
      </w:r>
    </w:p>
  </w:endnote>
  <w:endnote w:type="continuationSeparator" w:id="0">
    <w:p w14:paraId="75943692" w14:textId="77777777" w:rsidR="00B2686F" w:rsidRDefault="00B2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8242" w14:textId="77777777" w:rsidR="009A28EB" w:rsidRDefault="009A28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82034" w14:textId="77777777" w:rsidR="009A28EB" w:rsidRDefault="009A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1FC7" w14:textId="3045C367" w:rsidR="009A28EB" w:rsidRPr="00AB0912" w:rsidRDefault="009A28EB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AB0912">
      <w:rPr>
        <w:rStyle w:val="PageNumber"/>
        <w:sz w:val="22"/>
        <w:szCs w:val="22"/>
      </w:rPr>
      <w:fldChar w:fldCharType="begin"/>
    </w:r>
    <w:r w:rsidRPr="00AB0912">
      <w:rPr>
        <w:rStyle w:val="PageNumber"/>
        <w:sz w:val="22"/>
        <w:szCs w:val="22"/>
      </w:rPr>
      <w:instrText xml:space="preserve">PAGE  </w:instrText>
    </w:r>
    <w:r w:rsidRPr="00AB0912">
      <w:rPr>
        <w:rStyle w:val="PageNumber"/>
        <w:sz w:val="22"/>
        <w:szCs w:val="22"/>
      </w:rPr>
      <w:fldChar w:fldCharType="separate"/>
    </w:r>
    <w:r w:rsidR="002A246E">
      <w:rPr>
        <w:rStyle w:val="PageNumber"/>
        <w:noProof/>
        <w:sz w:val="22"/>
        <w:szCs w:val="22"/>
      </w:rPr>
      <w:t>1</w:t>
    </w:r>
    <w:r w:rsidRPr="00AB0912">
      <w:rPr>
        <w:rStyle w:val="PageNumber"/>
        <w:sz w:val="22"/>
        <w:szCs w:val="22"/>
      </w:rPr>
      <w:fldChar w:fldCharType="end"/>
    </w:r>
  </w:p>
  <w:p w14:paraId="708D0BC1" w14:textId="77777777" w:rsidR="009A28EB" w:rsidRDefault="009A2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8FC0" w14:textId="77777777" w:rsidR="002A246E" w:rsidRDefault="002A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3019" w14:textId="77777777" w:rsidR="00B2686F" w:rsidRDefault="00B2686F">
      <w:r>
        <w:separator/>
      </w:r>
    </w:p>
  </w:footnote>
  <w:footnote w:type="continuationSeparator" w:id="0">
    <w:p w14:paraId="5B50B1CA" w14:textId="77777777" w:rsidR="00B2686F" w:rsidRDefault="00B2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5061" w14:textId="77777777" w:rsidR="002A246E" w:rsidRDefault="002A2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FEAB" w14:textId="1CE65EF5" w:rsidR="002A246E" w:rsidRPr="002A246E" w:rsidRDefault="002A246E" w:rsidP="002A246E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SASKAŅOTS ZVA </w:t>
    </w:r>
    <w:r>
      <w:rPr>
        <w:sz w:val="24"/>
        <w:szCs w:val="24"/>
      </w:rPr>
      <w:t>19-07-2018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CC7F" w14:textId="77777777" w:rsidR="002A246E" w:rsidRDefault="002A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005401"/>
    <w:multiLevelType w:val="multilevel"/>
    <w:tmpl w:val="DD0462A2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28975B70"/>
    <w:multiLevelType w:val="single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A6A5047"/>
    <w:multiLevelType w:val="hybridMultilevel"/>
    <w:tmpl w:val="EA020348"/>
    <w:lvl w:ilvl="0" w:tplc="F26221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D75"/>
    <w:multiLevelType w:val="hybridMultilevel"/>
    <w:tmpl w:val="5B68192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818FD"/>
    <w:multiLevelType w:val="hybridMultilevel"/>
    <w:tmpl w:val="C8A27CD8"/>
    <w:lvl w:ilvl="0" w:tplc="E4CA9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F7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F14A1A"/>
    <w:multiLevelType w:val="hybridMultilevel"/>
    <w:tmpl w:val="E4669B9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010CA"/>
    <w:multiLevelType w:val="singleLevel"/>
    <w:tmpl w:val="E4C604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6C2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76764A"/>
    <w:multiLevelType w:val="hybridMultilevel"/>
    <w:tmpl w:val="A5D8DD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25D95"/>
    <w:multiLevelType w:val="hybridMultilevel"/>
    <w:tmpl w:val="CB02C9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B"/>
    <w:rsid w:val="0001186E"/>
    <w:rsid w:val="00063663"/>
    <w:rsid w:val="000804CC"/>
    <w:rsid w:val="00085AD3"/>
    <w:rsid w:val="000D1D07"/>
    <w:rsid w:val="000D5257"/>
    <w:rsid w:val="000F5276"/>
    <w:rsid w:val="001275F8"/>
    <w:rsid w:val="00153CCA"/>
    <w:rsid w:val="00180F68"/>
    <w:rsid w:val="001C0F5F"/>
    <w:rsid w:val="00231E7C"/>
    <w:rsid w:val="002634CF"/>
    <w:rsid w:val="00270BC4"/>
    <w:rsid w:val="00283620"/>
    <w:rsid w:val="00292ED4"/>
    <w:rsid w:val="002A246E"/>
    <w:rsid w:val="00314EAD"/>
    <w:rsid w:val="003410B4"/>
    <w:rsid w:val="0036504D"/>
    <w:rsid w:val="00373343"/>
    <w:rsid w:val="003A553F"/>
    <w:rsid w:val="003C52A4"/>
    <w:rsid w:val="003C7E50"/>
    <w:rsid w:val="00445247"/>
    <w:rsid w:val="00446437"/>
    <w:rsid w:val="00473571"/>
    <w:rsid w:val="00476B23"/>
    <w:rsid w:val="0048708C"/>
    <w:rsid w:val="004E52E3"/>
    <w:rsid w:val="004F18CC"/>
    <w:rsid w:val="004F5209"/>
    <w:rsid w:val="00582382"/>
    <w:rsid w:val="005904F7"/>
    <w:rsid w:val="005971C8"/>
    <w:rsid w:val="005C02E6"/>
    <w:rsid w:val="005E579C"/>
    <w:rsid w:val="00652DC7"/>
    <w:rsid w:val="00672682"/>
    <w:rsid w:val="006A565C"/>
    <w:rsid w:val="006C5C13"/>
    <w:rsid w:val="006D3181"/>
    <w:rsid w:val="00730E55"/>
    <w:rsid w:val="0073335D"/>
    <w:rsid w:val="007832B4"/>
    <w:rsid w:val="00790A23"/>
    <w:rsid w:val="007B66D3"/>
    <w:rsid w:val="00840792"/>
    <w:rsid w:val="008828EC"/>
    <w:rsid w:val="00891225"/>
    <w:rsid w:val="008B70DB"/>
    <w:rsid w:val="008C6489"/>
    <w:rsid w:val="00960F74"/>
    <w:rsid w:val="00970B08"/>
    <w:rsid w:val="00986FD9"/>
    <w:rsid w:val="00992EC1"/>
    <w:rsid w:val="009A28EB"/>
    <w:rsid w:val="00A05A0D"/>
    <w:rsid w:val="00A05C18"/>
    <w:rsid w:val="00A20DB0"/>
    <w:rsid w:val="00AB0912"/>
    <w:rsid w:val="00AB5EAD"/>
    <w:rsid w:val="00AB6D64"/>
    <w:rsid w:val="00B2258C"/>
    <w:rsid w:val="00B2644A"/>
    <w:rsid w:val="00B2686F"/>
    <w:rsid w:val="00BA21D3"/>
    <w:rsid w:val="00BA2347"/>
    <w:rsid w:val="00BC1C78"/>
    <w:rsid w:val="00BD539B"/>
    <w:rsid w:val="00BF4107"/>
    <w:rsid w:val="00C55FC0"/>
    <w:rsid w:val="00D1799C"/>
    <w:rsid w:val="00D56A8C"/>
    <w:rsid w:val="00D86E5B"/>
    <w:rsid w:val="00DB582E"/>
    <w:rsid w:val="00DF2CB5"/>
    <w:rsid w:val="00E13F3C"/>
    <w:rsid w:val="00E422C5"/>
    <w:rsid w:val="00E60B7A"/>
    <w:rsid w:val="00E62D61"/>
    <w:rsid w:val="00EA12FC"/>
    <w:rsid w:val="00F31C1B"/>
    <w:rsid w:val="00F50EAE"/>
    <w:rsid w:val="00FA1701"/>
    <w:rsid w:val="00FB2F25"/>
    <w:rsid w:val="00FC636C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2713061"/>
  <w15:docId w15:val="{7EA0341D-A772-4872-8559-408F69FF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i/>
      <w:noProof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b/>
      <w:noProof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/>
      <w:b/>
      <w:noProof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8EB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8EB"/>
    <w:rPr>
      <w:rFonts w:asciiTheme="majorHAnsi" w:eastAsiaTheme="majorEastAsia" w:hAnsiTheme="majorHAnsi" w:cstheme="majorBidi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8EB"/>
    <w:rPr>
      <w:rFonts w:asciiTheme="majorHAnsi" w:eastAsiaTheme="majorEastAsia" w:hAnsiTheme="majorHAnsi" w:cstheme="majorBidi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8EB"/>
    <w:rPr>
      <w:rFonts w:asciiTheme="minorHAnsi" w:eastAsiaTheme="minorEastAsia" w:hAnsiTheme="minorHAnsi" w:cstheme="minorBidi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8EB"/>
    <w:rPr>
      <w:rFonts w:asciiTheme="minorHAnsi" w:eastAsiaTheme="minorEastAsia" w:hAnsiTheme="minorHAnsi" w:cstheme="minorBidi"/>
      <w:b/>
      <w:bCs/>
      <w:i/>
      <w:iCs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8EB"/>
    <w:rPr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pPr>
      <w:numPr>
        <w:ilvl w:val="12"/>
      </w:numPr>
      <w:ind w:left="576" w:hanging="576"/>
    </w:pPr>
    <w:rPr>
      <w:rFonts w:ascii="Arial" w:hAnsi="Arial"/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8EB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EB"/>
    <w:rPr>
      <w:sz w:val="0"/>
      <w:szCs w:val="0"/>
      <w:lang w:eastAsia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8EB"/>
    <w:rPr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8EB"/>
    <w:rPr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86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76"/>
    <w:rPr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76"/>
    <w:rPr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D1D07"/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Informâcija pacientam</vt:lpstr>
    </vt:vector>
  </TitlesOfParts>
  <Company>vza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Informâcija pacientam</dc:title>
  <dc:subject/>
  <dc:creator>farmakologija</dc:creator>
  <cp:keywords/>
  <dc:description/>
  <cp:lastModifiedBy>Skaidrīte Lapsenīte</cp:lastModifiedBy>
  <cp:revision>4</cp:revision>
  <cp:lastPrinted>2009-04-22T08:30:00Z</cp:lastPrinted>
  <dcterms:created xsi:type="dcterms:W3CDTF">2018-06-20T12:30:00Z</dcterms:created>
  <dcterms:modified xsi:type="dcterms:W3CDTF">2018-07-19T06:50:00Z</dcterms:modified>
</cp:coreProperties>
</file>