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CDF5" w14:textId="77777777" w:rsidR="00A97339" w:rsidRPr="00C51D01" w:rsidRDefault="00A97339" w:rsidP="00986A46">
      <w:pPr>
        <w:widowControl w:val="0"/>
        <w:autoSpaceDE w:val="0"/>
        <w:autoSpaceDN w:val="0"/>
        <w:adjustRightInd w:val="0"/>
        <w:spacing w:after="0" w:line="240" w:lineRule="auto"/>
        <w:rPr>
          <w:rFonts w:ascii="Times New Roman" w:hAnsi="Times New Roman"/>
          <w:lang w:val="lv-LV"/>
        </w:rPr>
      </w:pPr>
    </w:p>
    <w:p w14:paraId="6109F3E3" w14:textId="77777777" w:rsidR="00A97339" w:rsidRPr="00C51D01" w:rsidRDefault="00A97339" w:rsidP="00A44FB6">
      <w:pPr>
        <w:widowControl w:val="0"/>
        <w:autoSpaceDE w:val="0"/>
        <w:autoSpaceDN w:val="0"/>
        <w:adjustRightInd w:val="0"/>
        <w:spacing w:after="0" w:line="240" w:lineRule="auto"/>
        <w:ind w:left="3520"/>
        <w:rPr>
          <w:rFonts w:ascii="Times New Roman" w:hAnsi="Times New Roman"/>
          <w:b/>
          <w:bCs/>
          <w:lang w:val="lv-LV"/>
        </w:rPr>
      </w:pPr>
      <w:r w:rsidRPr="00C51D01">
        <w:rPr>
          <w:rFonts w:ascii="Times New Roman" w:hAnsi="Times New Roman"/>
          <w:b/>
          <w:bCs/>
          <w:lang w:val="lv-LV"/>
        </w:rPr>
        <w:t>ZĀĻU APRAKSTS</w:t>
      </w:r>
    </w:p>
    <w:p w14:paraId="55DE3B08" w14:textId="77777777" w:rsidR="00B74570" w:rsidRPr="00C51D01" w:rsidRDefault="00B74570">
      <w:pPr>
        <w:widowControl w:val="0"/>
        <w:autoSpaceDE w:val="0"/>
        <w:autoSpaceDN w:val="0"/>
        <w:adjustRightInd w:val="0"/>
        <w:spacing w:after="0" w:line="240" w:lineRule="auto"/>
        <w:ind w:left="3520"/>
        <w:rPr>
          <w:rFonts w:ascii="Times New Roman" w:hAnsi="Times New Roman"/>
          <w:lang w:val="lv-LV"/>
        </w:rPr>
      </w:pPr>
    </w:p>
    <w:p w14:paraId="498B8D81" w14:textId="77777777" w:rsidR="00F43DA3" w:rsidRPr="00C51D01" w:rsidRDefault="00F43DA3" w:rsidP="00986A46">
      <w:pPr>
        <w:widowControl w:val="0"/>
        <w:overflowPunct w:val="0"/>
        <w:autoSpaceDE w:val="0"/>
        <w:autoSpaceDN w:val="0"/>
        <w:adjustRightInd w:val="0"/>
        <w:spacing w:after="0" w:line="240" w:lineRule="auto"/>
        <w:ind w:right="8"/>
        <w:jc w:val="both"/>
        <w:rPr>
          <w:rFonts w:ascii="Times New Roman" w:hAnsi="Times New Roman"/>
          <w:b/>
          <w:bCs/>
          <w:lang w:val="lv-LV"/>
        </w:rPr>
      </w:pPr>
      <w:r w:rsidRPr="00C51D01">
        <w:rPr>
          <w:rFonts w:ascii="Times New Roman" w:hAnsi="Times New Roman"/>
          <w:b/>
          <w:bCs/>
          <w:lang w:val="lv-LV"/>
        </w:rPr>
        <w:t>1.</w:t>
      </w:r>
      <w:r w:rsidRPr="00C51D01">
        <w:rPr>
          <w:rFonts w:ascii="Times New Roman" w:hAnsi="Times New Roman"/>
          <w:b/>
          <w:bCs/>
          <w:lang w:val="lv-LV"/>
        </w:rPr>
        <w:tab/>
      </w:r>
      <w:r w:rsidR="00A97339" w:rsidRPr="00C51D01">
        <w:rPr>
          <w:rFonts w:ascii="Times New Roman" w:hAnsi="Times New Roman"/>
          <w:b/>
          <w:bCs/>
          <w:lang w:val="lv-LV"/>
        </w:rPr>
        <w:t>ZĀĻU</w:t>
      </w:r>
      <w:r w:rsidR="006E0AE3" w:rsidRPr="00C51D01">
        <w:rPr>
          <w:rFonts w:ascii="Times New Roman" w:hAnsi="Times New Roman"/>
          <w:b/>
          <w:bCs/>
          <w:lang w:val="lv-LV"/>
        </w:rPr>
        <w:t xml:space="preserve"> </w:t>
      </w:r>
      <w:r w:rsidR="00A97339" w:rsidRPr="00C51D01">
        <w:rPr>
          <w:rFonts w:ascii="Times New Roman" w:hAnsi="Times New Roman"/>
          <w:b/>
          <w:bCs/>
          <w:lang w:val="lv-LV"/>
        </w:rPr>
        <w:t xml:space="preserve">NOSAUKUMS </w:t>
      </w:r>
    </w:p>
    <w:p w14:paraId="09C06169" w14:textId="77777777" w:rsidR="00F43DA3" w:rsidRPr="00C51D01" w:rsidRDefault="00B74570" w:rsidP="00986A46">
      <w:pPr>
        <w:widowControl w:val="0"/>
        <w:tabs>
          <w:tab w:val="left" w:pos="5023"/>
        </w:tabs>
        <w:overflowPunct w:val="0"/>
        <w:autoSpaceDE w:val="0"/>
        <w:autoSpaceDN w:val="0"/>
        <w:adjustRightInd w:val="0"/>
        <w:spacing w:after="0" w:line="240" w:lineRule="auto"/>
        <w:ind w:right="8"/>
        <w:jc w:val="both"/>
        <w:rPr>
          <w:rFonts w:ascii="Times New Roman" w:hAnsi="Times New Roman"/>
          <w:b/>
          <w:bCs/>
          <w:lang w:val="lv-LV"/>
        </w:rPr>
      </w:pPr>
      <w:r w:rsidRPr="00C51D01">
        <w:rPr>
          <w:rFonts w:ascii="Times New Roman" w:hAnsi="Times New Roman"/>
          <w:b/>
          <w:bCs/>
          <w:lang w:val="lv-LV"/>
        </w:rPr>
        <w:tab/>
      </w:r>
    </w:p>
    <w:p w14:paraId="3465C0ED" w14:textId="59F276E9" w:rsidR="00A97339" w:rsidRPr="00C51D01" w:rsidRDefault="00A97339" w:rsidP="00986A46">
      <w:pPr>
        <w:widowControl w:val="0"/>
        <w:overflowPunct w:val="0"/>
        <w:autoSpaceDE w:val="0"/>
        <w:autoSpaceDN w:val="0"/>
        <w:adjustRightInd w:val="0"/>
        <w:spacing w:after="0" w:line="240" w:lineRule="auto"/>
        <w:ind w:right="8"/>
        <w:jc w:val="both"/>
        <w:rPr>
          <w:rFonts w:ascii="Times New Roman" w:hAnsi="Times New Roman"/>
          <w:bCs/>
          <w:lang w:val="lv-LV"/>
        </w:rPr>
      </w:pPr>
      <w:r w:rsidRPr="00C51D01">
        <w:rPr>
          <w:rFonts w:ascii="Times New Roman" w:hAnsi="Times New Roman"/>
          <w:bCs/>
          <w:lang w:val="lv-LV"/>
        </w:rPr>
        <w:t xml:space="preserve">LOMEXIN </w:t>
      </w:r>
      <w:r w:rsidRPr="00C51D01">
        <w:rPr>
          <w:rFonts w:ascii="Times New Roman" w:hAnsi="Times New Roman"/>
          <w:lang w:val="lv-LV"/>
        </w:rPr>
        <w:t>2% krēms</w:t>
      </w:r>
      <w:r w:rsidRPr="00C51D01">
        <w:rPr>
          <w:rFonts w:ascii="Times New Roman" w:hAnsi="Times New Roman"/>
          <w:bCs/>
          <w:lang w:val="lv-LV"/>
        </w:rPr>
        <w:t xml:space="preserve"> </w:t>
      </w:r>
    </w:p>
    <w:p w14:paraId="3EA71E63"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b/>
          <w:bCs/>
          <w:lang w:val="lv-LV"/>
        </w:rPr>
      </w:pPr>
    </w:p>
    <w:p w14:paraId="2C459116" w14:textId="77777777" w:rsidR="008F128A" w:rsidRPr="00C51D01" w:rsidRDefault="008F128A" w:rsidP="00986A46">
      <w:pPr>
        <w:widowControl w:val="0"/>
        <w:autoSpaceDE w:val="0"/>
        <w:autoSpaceDN w:val="0"/>
        <w:adjustRightInd w:val="0"/>
        <w:spacing w:after="0" w:line="240" w:lineRule="auto"/>
        <w:jc w:val="both"/>
        <w:rPr>
          <w:rFonts w:ascii="Times New Roman" w:hAnsi="Times New Roman"/>
          <w:b/>
          <w:bCs/>
          <w:lang w:val="lv-LV"/>
        </w:rPr>
      </w:pPr>
    </w:p>
    <w:p w14:paraId="03DBB9A9" w14:textId="77777777" w:rsidR="00A97339" w:rsidRPr="00C51D01" w:rsidRDefault="00F43DA3" w:rsidP="00A44FB6">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2.</w:t>
      </w:r>
      <w:r w:rsidRPr="00C51D01">
        <w:rPr>
          <w:rFonts w:ascii="Times New Roman" w:hAnsi="Times New Roman"/>
          <w:b/>
          <w:bCs/>
          <w:lang w:val="lv-LV"/>
        </w:rPr>
        <w:tab/>
      </w:r>
      <w:r w:rsidR="00A97339" w:rsidRPr="00C51D01">
        <w:rPr>
          <w:rFonts w:ascii="Times New Roman" w:hAnsi="Times New Roman"/>
          <w:b/>
          <w:bCs/>
          <w:lang w:val="lv-LV"/>
        </w:rPr>
        <w:t xml:space="preserve">KVALITATĪVAIS UN KVANTITATĪVAIS SASTĀVS </w:t>
      </w:r>
    </w:p>
    <w:p w14:paraId="1F6E3282" w14:textId="77777777" w:rsidR="00F43DA3" w:rsidRPr="00C51D01" w:rsidRDefault="00F43DA3">
      <w:pPr>
        <w:widowControl w:val="0"/>
        <w:autoSpaceDE w:val="0"/>
        <w:autoSpaceDN w:val="0"/>
        <w:adjustRightInd w:val="0"/>
        <w:spacing w:after="0" w:line="240" w:lineRule="auto"/>
        <w:jc w:val="both"/>
        <w:rPr>
          <w:rFonts w:ascii="Times New Roman" w:hAnsi="Times New Roman"/>
          <w:lang w:val="lv-LV"/>
        </w:rPr>
      </w:pPr>
    </w:p>
    <w:p w14:paraId="61945BD9" w14:textId="7C44AF52" w:rsidR="00A97339" w:rsidRPr="00C51D01" w:rsidRDefault="00A97339">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1</w:t>
      </w:r>
      <w:r w:rsidR="00A00F34">
        <w:rPr>
          <w:rFonts w:ascii="Times New Roman" w:hAnsi="Times New Roman"/>
          <w:lang w:val="lv-LV"/>
        </w:rPr>
        <w:t> </w:t>
      </w:r>
      <w:r w:rsidRPr="00C51D01">
        <w:rPr>
          <w:rFonts w:ascii="Times New Roman" w:hAnsi="Times New Roman"/>
          <w:lang w:val="lv-LV"/>
        </w:rPr>
        <w:t>g krēma satur 20</w:t>
      </w:r>
      <w:r w:rsidR="00A00F34">
        <w:rPr>
          <w:rFonts w:ascii="Times New Roman" w:hAnsi="Times New Roman"/>
          <w:lang w:val="lv-LV"/>
        </w:rPr>
        <w:t> </w:t>
      </w:r>
      <w:r w:rsidRPr="00C51D01">
        <w:rPr>
          <w:rFonts w:ascii="Times New Roman" w:hAnsi="Times New Roman"/>
          <w:lang w:val="lv-LV"/>
        </w:rPr>
        <w:t>mg fentikonazola nitrāta</w:t>
      </w:r>
      <w:r w:rsidR="009C531C">
        <w:rPr>
          <w:rFonts w:ascii="Times New Roman" w:hAnsi="Times New Roman"/>
          <w:lang w:val="lv-LV"/>
        </w:rPr>
        <w:t xml:space="preserve"> (</w:t>
      </w:r>
      <w:r w:rsidR="009C531C" w:rsidRPr="004712DE">
        <w:rPr>
          <w:rFonts w:ascii="Times New Roman" w:hAnsi="Times New Roman"/>
          <w:i/>
          <w:iCs/>
          <w:lang w:val="lv-LV"/>
        </w:rPr>
        <w:t>fenticonazoli nitras</w:t>
      </w:r>
      <w:r w:rsidR="009C531C">
        <w:rPr>
          <w:rFonts w:ascii="Times New Roman" w:hAnsi="Times New Roman"/>
          <w:lang w:val="lv-LV"/>
        </w:rPr>
        <w:t>)</w:t>
      </w:r>
      <w:r w:rsidRPr="00C51D01">
        <w:rPr>
          <w:rFonts w:ascii="Times New Roman" w:hAnsi="Times New Roman"/>
          <w:lang w:val="lv-LV"/>
        </w:rPr>
        <w:t>.</w:t>
      </w:r>
    </w:p>
    <w:p w14:paraId="13947DA2"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662D078F" w14:textId="18DFB1C4" w:rsidR="002C294D" w:rsidRPr="002A3FDD" w:rsidRDefault="002C294D" w:rsidP="00A44FB6">
      <w:pPr>
        <w:widowControl w:val="0"/>
        <w:autoSpaceDE w:val="0"/>
        <w:autoSpaceDN w:val="0"/>
        <w:adjustRightInd w:val="0"/>
        <w:spacing w:after="0" w:line="240" w:lineRule="auto"/>
        <w:jc w:val="both"/>
        <w:rPr>
          <w:rFonts w:ascii="Times New Roman" w:hAnsi="Times New Roman"/>
          <w:u w:val="single"/>
          <w:lang w:val="lv-LV"/>
        </w:rPr>
      </w:pPr>
      <w:r w:rsidRPr="002A3FDD">
        <w:rPr>
          <w:rFonts w:ascii="Times New Roman" w:hAnsi="Times New Roman"/>
          <w:u w:val="single"/>
          <w:lang w:val="lv-LV"/>
        </w:rPr>
        <w:t>Palīgvielas ar zināmu iedarbību</w:t>
      </w:r>
    </w:p>
    <w:p w14:paraId="562D271F" w14:textId="317EC5AA" w:rsidR="002C294D" w:rsidRDefault="002C294D" w:rsidP="00A44FB6">
      <w:pPr>
        <w:widowControl w:val="0"/>
        <w:autoSpaceDE w:val="0"/>
        <w:autoSpaceDN w:val="0"/>
        <w:adjustRightInd w:val="0"/>
        <w:spacing w:after="0" w:line="240" w:lineRule="auto"/>
        <w:jc w:val="both"/>
        <w:rPr>
          <w:rFonts w:ascii="Times New Roman" w:hAnsi="Times New Roman"/>
          <w:lang w:val="lv-LV"/>
        </w:rPr>
      </w:pPr>
      <w:r>
        <w:rPr>
          <w:rFonts w:ascii="Times New Roman" w:hAnsi="Times New Roman"/>
          <w:lang w:val="lv-LV"/>
        </w:rPr>
        <w:t>1</w:t>
      </w:r>
      <w:r w:rsidR="00A00F34">
        <w:rPr>
          <w:rFonts w:ascii="Times New Roman" w:hAnsi="Times New Roman"/>
          <w:lang w:val="lv-LV"/>
        </w:rPr>
        <w:t> </w:t>
      </w:r>
      <w:r>
        <w:rPr>
          <w:rFonts w:ascii="Times New Roman" w:hAnsi="Times New Roman"/>
          <w:lang w:val="lv-LV"/>
        </w:rPr>
        <w:t>g krēma satur 50</w:t>
      </w:r>
      <w:r w:rsidR="00A00F34">
        <w:rPr>
          <w:rFonts w:ascii="Times New Roman" w:hAnsi="Times New Roman"/>
          <w:lang w:val="lv-LV"/>
        </w:rPr>
        <w:t> </w:t>
      </w:r>
      <w:r>
        <w:rPr>
          <w:rFonts w:ascii="Times New Roman" w:hAnsi="Times New Roman"/>
          <w:lang w:val="lv-LV"/>
        </w:rPr>
        <w:t>mg propilēnglikola</w:t>
      </w:r>
      <w:r w:rsidR="007733BC">
        <w:rPr>
          <w:rFonts w:ascii="Times New Roman" w:hAnsi="Times New Roman"/>
          <w:lang w:val="lv-LV"/>
        </w:rPr>
        <w:t xml:space="preserve"> (E1520)</w:t>
      </w:r>
      <w:r>
        <w:rPr>
          <w:rFonts w:ascii="Times New Roman" w:hAnsi="Times New Roman"/>
          <w:lang w:val="lv-LV"/>
        </w:rPr>
        <w:t>, 30</w:t>
      </w:r>
      <w:r w:rsidR="00A00F34">
        <w:rPr>
          <w:rFonts w:ascii="Times New Roman" w:hAnsi="Times New Roman"/>
          <w:lang w:val="lv-LV"/>
        </w:rPr>
        <w:t> </w:t>
      </w:r>
      <w:r>
        <w:rPr>
          <w:rFonts w:ascii="Times New Roman" w:hAnsi="Times New Roman"/>
          <w:lang w:val="lv-LV"/>
        </w:rPr>
        <w:t>mg cetilspirta un 10</w:t>
      </w:r>
      <w:r w:rsidR="00A00F34">
        <w:rPr>
          <w:rFonts w:ascii="Times New Roman" w:hAnsi="Times New Roman"/>
          <w:lang w:val="lv-LV"/>
        </w:rPr>
        <w:t> </w:t>
      </w:r>
      <w:r>
        <w:rPr>
          <w:rFonts w:ascii="Times New Roman" w:hAnsi="Times New Roman"/>
          <w:lang w:val="lv-LV"/>
        </w:rPr>
        <w:t xml:space="preserve">mg </w:t>
      </w:r>
      <w:proofErr w:type="spellStart"/>
      <w:r>
        <w:rPr>
          <w:rFonts w:ascii="Times New Roman" w:hAnsi="Times New Roman"/>
          <w:lang w:val="lv-LV"/>
        </w:rPr>
        <w:t>hidrogenēt</w:t>
      </w:r>
      <w:r w:rsidR="00C63A96">
        <w:rPr>
          <w:rFonts w:ascii="Times New Roman" w:hAnsi="Times New Roman"/>
          <w:lang w:val="lv-LV"/>
        </w:rPr>
        <w:t>u</w:t>
      </w:r>
      <w:proofErr w:type="spellEnd"/>
      <w:r>
        <w:rPr>
          <w:rFonts w:ascii="Times New Roman" w:hAnsi="Times New Roman"/>
          <w:lang w:val="lv-LV"/>
        </w:rPr>
        <w:t xml:space="preserve"> </w:t>
      </w:r>
      <w:r w:rsidR="00303C1B" w:rsidRPr="00303C1B">
        <w:rPr>
          <w:rFonts w:ascii="Times New Roman" w:hAnsi="Times New Roman"/>
          <w:lang w:val="lv-LV"/>
        </w:rPr>
        <w:t>vilnas tauk</w:t>
      </w:r>
      <w:r w:rsidR="00C63A96">
        <w:rPr>
          <w:rFonts w:ascii="Times New Roman" w:hAnsi="Times New Roman"/>
          <w:lang w:val="lv-LV"/>
        </w:rPr>
        <w:t>u</w:t>
      </w:r>
      <w:r w:rsidR="001D0FDA">
        <w:rPr>
          <w:rFonts w:ascii="Times New Roman" w:hAnsi="Times New Roman"/>
          <w:lang w:val="lv-LV"/>
        </w:rPr>
        <w:t xml:space="preserve"> (lanolīn</w:t>
      </w:r>
      <w:r w:rsidR="00CD0C62">
        <w:rPr>
          <w:rFonts w:ascii="Times New Roman" w:hAnsi="Times New Roman"/>
          <w:lang w:val="lv-LV"/>
        </w:rPr>
        <w:t>a</w:t>
      </w:r>
      <w:r w:rsidR="001D0FDA">
        <w:rPr>
          <w:rFonts w:ascii="Times New Roman" w:hAnsi="Times New Roman"/>
          <w:lang w:val="lv-LV"/>
        </w:rPr>
        <w:t>)</w:t>
      </w:r>
      <w:r w:rsidR="00463D01">
        <w:rPr>
          <w:rFonts w:ascii="Times New Roman" w:hAnsi="Times New Roman"/>
          <w:lang w:val="lv-LV"/>
        </w:rPr>
        <w:t>.</w:t>
      </w:r>
    </w:p>
    <w:p w14:paraId="369F5A3E" w14:textId="77777777" w:rsidR="002C294D" w:rsidRDefault="002C294D" w:rsidP="00A44FB6">
      <w:pPr>
        <w:widowControl w:val="0"/>
        <w:autoSpaceDE w:val="0"/>
        <w:autoSpaceDN w:val="0"/>
        <w:adjustRightInd w:val="0"/>
        <w:spacing w:after="0" w:line="240" w:lineRule="auto"/>
        <w:jc w:val="both"/>
        <w:rPr>
          <w:rFonts w:ascii="Times New Roman" w:hAnsi="Times New Roman"/>
          <w:lang w:val="lv-LV"/>
        </w:rPr>
      </w:pPr>
    </w:p>
    <w:p w14:paraId="42A4759C" w14:textId="6FE959F5"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Pilnu palīgvielu sarakstu skatīt 6.1.</w:t>
      </w:r>
      <w:r w:rsidR="00A44FB6" w:rsidRPr="00C51D01">
        <w:rPr>
          <w:rFonts w:ascii="Times New Roman" w:hAnsi="Times New Roman"/>
          <w:lang w:val="lv-LV"/>
        </w:rPr>
        <w:t xml:space="preserve"> apakšpunktā.</w:t>
      </w:r>
    </w:p>
    <w:p w14:paraId="3A40BFA2"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61047B26" w14:textId="77777777" w:rsidR="006E0AE3" w:rsidRPr="00C51D01" w:rsidRDefault="006E0AE3" w:rsidP="00986A46">
      <w:pPr>
        <w:widowControl w:val="0"/>
        <w:autoSpaceDE w:val="0"/>
        <w:autoSpaceDN w:val="0"/>
        <w:adjustRightInd w:val="0"/>
        <w:spacing w:after="0" w:line="240" w:lineRule="auto"/>
        <w:jc w:val="both"/>
        <w:rPr>
          <w:rFonts w:ascii="Times New Roman" w:hAnsi="Times New Roman"/>
          <w:lang w:val="lv-LV"/>
        </w:rPr>
      </w:pPr>
    </w:p>
    <w:p w14:paraId="03F53DB8" w14:textId="7777777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3.</w:t>
      </w:r>
      <w:r w:rsidR="00F43DA3" w:rsidRPr="00C51D01">
        <w:rPr>
          <w:rFonts w:ascii="Times New Roman" w:hAnsi="Times New Roman"/>
          <w:b/>
          <w:bCs/>
          <w:lang w:val="lv-LV"/>
        </w:rPr>
        <w:tab/>
      </w:r>
      <w:r w:rsidRPr="00C51D01">
        <w:rPr>
          <w:rFonts w:ascii="Times New Roman" w:hAnsi="Times New Roman"/>
          <w:b/>
          <w:bCs/>
          <w:lang w:val="lv-LV"/>
        </w:rPr>
        <w:t>ZĀĻU FORMA</w:t>
      </w:r>
    </w:p>
    <w:p w14:paraId="724D784F" w14:textId="77777777" w:rsidR="00F43DA3" w:rsidRPr="00C51D01" w:rsidRDefault="00F43DA3">
      <w:pPr>
        <w:widowControl w:val="0"/>
        <w:autoSpaceDE w:val="0"/>
        <w:autoSpaceDN w:val="0"/>
        <w:adjustRightInd w:val="0"/>
        <w:spacing w:after="0" w:line="240" w:lineRule="auto"/>
        <w:jc w:val="both"/>
        <w:rPr>
          <w:rFonts w:ascii="Times New Roman" w:hAnsi="Times New Roman"/>
          <w:lang w:val="lv-LV"/>
        </w:rPr>
      </w:pPr>
    </w:p>
    <w:p w14:paraId="210D5EF2" w14:textId="77777777" w:rsidR="00A97339" w:rsidRPr="00C51D01" w:rsidRDefault="00A97339">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Krēms</w:t>
      </w:r>
      <w:r w:rsidR="00F43DA3" w:rsidRPr="00C51D01">
        <w:rPr>
          <w:rFonts w:ascii="Times New Roman" w:hAnsi="Times New Roman"/>
          <w:lang w:val="lv-LV"/>
        </w:rPr>
        <w:t>.</w:t>
      </w:r>
    </w:p>
    <w:p w14:paraId="1900214A" w14:textId="77777777" w:rsidR="00A97339" w:rsidRPr="00C51D01" w:rsidRDefault="00A97339">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Balts</w:t>
      </w:r>
      <w:r w:rsidR="002D29F6">
        <w:rPr>
          <w:rFonts w:ascii="Times New Roman" w:hAnsi="Times New Roman"/>
          <w:lang w:val="lv-LV"/>
        </w:rPr>
        <w:t>,</w:t>
      </w:r>
      <w:r w:rsidRPr="00C51D01">
        <w:rPr>
          <w:rFonts w:ascii="Times New Roman" w:hAnsi="Times New Roman"/>
          <w:lang w:val="lv-LV"/>
        </w:rPr>
        <w:t xml:space="preserve"> viendabīgs krēms.</w:t>
      </w:r>
    </w:p>
    <w:p w14:paraId="3509D047"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5487F6B4" w14:textId="77777777" w:rsidR="006E0AE3" w:rsidRPr="00C51D01" w:rsidRDefault="006E0AE3" w:rsidP="00986A46">
      <w:pPr>
        <w:widowControl w:val="0"/>
        <w:autoSpaceDE w:val="0"/>
        <w:autoSpaceDN w:val="0"/>
        <w:adjustRightInd w:val="0"/>
        <w:spacing w:after="0" w:line="240" w:lineRule="auto"/>
        <w:jc w:val="both"/>
        <w:rPr>
          <w:rFonts w:ascii="Times New Roman" w:hAnsi="Times New Roman"/>
          <w:lang w:val="lv-LV"/>
        </w:rPr>
      </w:pPr>
    </w:p>
    <w:p w14:paraId="7F103918" w14:textId="7777777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4.</w:t>
      </w:r>
      <w:r w:rsidR="00F43DA3" w:rsidRPr="00C51D01">
        <w:rPr>
          <w:rFonts w:ascii="Times New Roman" w:hAnsi="Times New Roman"/>
          <w:b/>
          <w:bCs/>
          <w:lang w:val="lv-LV"/>
        </w:rPr>
        <w:tab/>
      </w:r>
      <w:r w:rsidRPr="00C51D01">
        <w:rPr>
          <w:rFonts w:ascii="Times New Roman" w:hAnsi="Times New Roman"/>
          <w:b/>
          <w:bCs/>
          <w:lang w:val="lv-LV"/>
        </w:rPr>
        <w:t>KLĪNISKĀ INFORMĀCIJA</w:t>
      </w:r>
    </w:p>
    <w:p w14:paraId="2C6B4887" w14:textId="77777777" w:rsidR="00F43DA3" w:rsidRPr="00C51D01" w:rsidRDefault="00F43DA3" w:rsidP="00986A46">
      <w:pPr>
        <w:widowControl w:val="0"/>
        <w:autoSpaceDE w:val="0"/>
        <w:autoSpaceDN w:val="0"/>
        <w:adjustRightInd w:val="0"/>
        <w:spacing w:after="0" w:line="240" w:lineRule="auto"/>
        <w:jc w:val="both"/>
        <w:rPr>
          <w:rFonts w:ascii="Times New Roman" w:hAnsi="Times New Roman"/>
          <w:b/>
          <w:bCs/>
          <w:lang w:val="lv-LV"/>
        </w:rPr>
      </w:pPr>
    </w:p>
    <w:p w14:paraId="2ACA31CB"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4.1</w:t>
      </w:r>
      <w:r w:rsidR="00B74570" w:rsidRPr="00C51D01">
        <w:rPr>
          <w:rFonts w:ascii="Times New Roman" w:hAnsi="Times New Roman"/>
          <w:b/>
          <w:bCs/>
          <w:lang w:val="lv-LV"/>
        </w:rPr>
        <w:t>.</w:t>
      </w:r>
      <w:r w:rsidR="00F43DA3" w:rsidRPr="00C51D01">
        <w:rPr>
          <w:rFonts w:ascii="Times New Roman" w:hAnsi="Times New Roman"/>
          <w:b/>
          <w:bCs/>
          <w:lang w:val="lv-LV"/>
        </w:rPr>
        <w:tab/>
      </w:r>
      <w:r w:rsidRPr="00C51D01">
        <w:rPr>
          <w:rFonts w:ascii="Times New Roman" w:hAnsi="Times New Roman"/>
          <w:b/>
          <w:bCs/>
          <w:lang w:val="lv-LV"/>
        </w:rPr>
        <w:t>Terapeitiskās indikācijas</w:t>
      </w:r>
    </w:p>
    <w:p w14:paraId="5379FC80" w14:textId="77777777" w:rsidR="00F43DA3" w:rsidRPr="00C51D01" w:rsidRDefault="00F43DA3" w:rsidP="00A44FB6">
      <w:pPr>
        <w:widowControl w:val="0"/>
        <w:autoSpaceDE w:val="0"/>
        <w:autoSpaceDN w:val="0"/>
        <w:adjustRightInd w:val="0"/>
        <w:spacing w:after="0" w:line="240" w:lineRule="auto"/>
        <w:jc w:val="both"/>
        <w:rPr>
          <w:rFonts w:ascii="Times New Roman" w:hAnsi="Times New Roman"/>
          <w:lang w:val="lv-LV"/>
        </w:rPr>
      </w:pPr>
    </w:p>
    <w:p w14:paraId="09D89E02" w14:textId="53E8E46D" w:rsidR="009F4EB8" w:rsidRPr="00C51D01" w:rsidRDefault="00676C3F" w:rsidP="002A3FDD">
      <w:pPr>
        <w:widowControl w:val="0"/>
        <w:numPr>
          <w:ilvl w:val="0"/>
          <w:numId w:val="11"/>
        </w:numPr>
        <w:autoSpaceDE w:val="0"/>
        <w:autoSpaceDN w:val="0"/>
        <w:adjustRightInd w:val="0"/>
        <w:spacing w:after="0" w:line="240" w:lineRule="auto"/>
        <w:rPr>
          <w:rFonts w:ascii="Times New Roman" w:hAnsi="Times New Roman"/>
          <w:lang w:val="lv-LV"/>
        </w:rPr>
      </w:pPr>
      <w:r>
        <w:rPr>
          <w:rFonts w:ascii="Times New Roman" w:hAnsi="Times New Roman"/>
          <w:lang w:val="lv-LV"/>
        </w:rPr>
        <w:t>D</w:t>
      </w:r>
      <w:r w:rsidRPr="00C51D01">
        <w:rPr>
          <w:rFonts w:ascii="Times New Roman" w:hAnsi="Times New Roman"/>
          <w:lang w:val="lv-LV"/>
        </w:rPr>
        <w:t>ermatofīt</w:t>
      </w:r>
      <w:r>
        <w:rPr>
          <w:rFonts w:ascii="Times New Roman" w:hAnsi="Times New Roman"/>
          <w:lang w:val="lv-LV"/>
        </w:rPr>
        <w:t xml:space="preserve">u </w:t>
      </w:r>
      <w:r w:rsidRPr="00C51D01">
        <w:rPr>
          <w:rFonts w:ascii="Times New Roman" w:hAnsi="Times New Roman"/>
          <w:lang w:val="lv-LV"/>
        </w:rPr>
        <w:t>(</w:t>
      </w:r>
      <w:r w:rsidRPr="00D02823">
        <w:rPr>
          <w:rFonts w:ascii="Times New Roman" w:hAnsi="Times New Roman"/>
          <w:i/>
          <w:iCs/>
          <w:lang w:val="lv-LV"/>
        </w:rPr>
        <w:t>Trichophyton, Microsporum, Epidermophyton</w:t>
      </w:r>
      <w:r w:rsidRPr="00C51D01">
        <w:rPr>
          <w:rFonts w:ascii="Times New Roman" w:hAnsi="Times New Roman"/>
          <w:lang w:val="lv-LV"/>
        </w:rPr>
        <w:t>)</w:t>
      </w:r>
      <w:r>
        <w:rPr>
          <w:rFonts w:ascii="Times New Roman" w:hAnsi="Times New Roman"/>
          <w:lang w:val="lv-LV"/>
        </w:rPr>
        <w:t xml:space="preserve"> izraisītu</w:t>
      </w:r>
      <w:r w:rsidRPr="00C51D01">
        <w:rPr>
          <w:rFonts w:ascii="Times New Roman" w:hAnsi="Times New Roman"/>
          <w:lang w:val="lv-LV"/>
        </w:rPr>
        <w:t xml:space="preserve"> </w:t>
      </w:r>
      <w:r>
        <w:rPr>
          <w:rFonts w:ascii="Times New Roman" w:hAnsi="Times New Roman"/>
          <w:lang w:val="lv-LV"/>
        </w:rPr>
        <w:t>d</w:t>
      </w:r>
      <w:r w:rsidRPr="00C51D01">
        <w:rPr>
          <w:rFonts w:ascii="Times New Roman" w:hAnsi="Times New Roman"/>
          <w:lang w:val="lv-LV"/>
        </w:rPr>
        <w:t xml:space="preserve">ažādu lokalizāciju </w:t>
      </w:r>
      <w:r w:rsidR="00F43DA3" w:rsidRPr="00C51D01">
        <w:rPr>
          <w:rFonts w:ascii="Times New Roman" w:hAnsi="Times New Roman"/>
          <w:lang w:val="lv-LV"/>
        </w:rPr>
        <w:t>ādas sēnīšu infekcij</w:t>
      </w:r>
      <w:r w:rsidR="004279DA">
        <w:rPr>
          <w:rFonts w:ascii="Times New Roman" w:hAnsi="Times New Roman"/>
          <w:lang w:val="lv-LV"/>
        </w:rPr>
        <w:t>as</w:t>
      </w:r>
      <w:r w:rsidR="00F43DA3" w:rsidRPr="00C51D01">
        <w:rPr>
          <w:rFonts w:ascii="Times New Roman" w:hAnsi="Times New Roman"/>
          <w:lang w:val="lv-LV"/>
        </w:rPr>
        <w:t>: tinea capitis (galv</w:t>
      </w:r>
      <w:r w:rsidR="00FE60F5" w:rsidRPr="00C51D01">
        <w:rPr>
          <w:rFonts w:ascii="Times New Roman" w:hAnsi="Times New Roman"/>
          <w:lang w:val="lv-LV"/>
        </w:rPr>
        <w:t>as</w:t>
      </w:r>
      <w:r w:rsidR="00F43DA3" w:rsidRPr="00C51D01">
        <w:rPr>
          <w:rFonts w:ascii="Times New Roman" w:hAnsi="Times New Roman"/>
          <w:lang w:val="lv-LV"/>
        </w:rPr>
        <w:t>), tinea corporis (uz ķermeņa), tinea cruris (uz apakšstilbiem), tinea pedis (atlētu pēda), tinea manuum (</w:t>
      </w:r>
      <w:r w:rsidR="00FE60F5" w:rsidRPr="00C51D01">
        <w:rPr>
          <w:rFonts w:ascii="Times New Roman" w:hAnsi="Times New Roman"/>
          <w:lang w:val="lv-LV"/>
        </w:rPr>
        <w:t>uz rokām), tinea faciei (uz sejas</w:t>
      </w:r>
      <w:r w:rsidR="00F43DA3" w:rsidRPr="00C51D01">
        <w:rPr>
          <w:rFonts w:ascii="Times New Roman" w:hAnsi="Times New Roman"/>
          <w:lang w:val="lv-LV"/>
        </w:rPr>
        <w:t>), tinea barbae (</w:t>
      </w:r>
      <w:r w:rsidR="00FE60F5" w:rsidRPr="00C51D01">
        <w:rPr>
          <w:rFonts w:ascii="Times New Roman" w:hAnsi="Times New Roman"/>
          <w:lang w:val="lv-LV"/>
        </w:rPr>
        <w:t>bārdas</w:t>
      </w:r>
      <w:r w:rsidR="00F43DA3" w:rsidRPr="00C51D01">
        <w:rPr>
          <w:rFonts w:ascii="Times New Roman" w:hAnsi="Times New Roman"/>
          <w:lang w:val="lv-LV"/>
        </w:rPr>
        <w:t>), tinea ungium (</w:t>
      </w:r>
      <w:r w:rsidR="00FE60F5" w:rsidRPr="00C51D01">
        <w:rPr>
          <w:rFonts w:ascii="Times New Roman" w:hAnsi="Times New Roman"/>
          <w:lang w:val="lv-LV"/>
        </w:rPr>
        <w:t>uz nagiem</w:t>
      </w:r>
      <w:r w:rsidR="00F43DA3" w:rsidRPr="00C51D01">
        <w:rPr>
          <w:rFonts w:ascii="Times New Roman" w:hAnsi="Times New Roman"/>
          <w:lang w:val="lv-LV"/>
        </w:rPr>
        <w:t>)</w:t>
      </w:r>
      <w:r w:rsidR="002D39F3">
        <w:rPr>
          <w:rFonts w:ascii="Times New Roman" w:hAnsi="Times New Roman"/>
          <w:lang w:val="lv-LV"/>
        </w:rPr>
        <w:t>.</w:t>
      </w:r>
    </w:p>
    <w:p w14:paraId="56326E98" w14:textId="34E7965A" w:rsidR="00FE60F5" w:rsidRPr="00C51D01" w:rsidRDefault="00F14A38" w:rsidP="002A3FDD">
      <w:pPr>
        <w:widowControl w:val="0"/>
        <w:numPr>
          <w:ilvl w:val="0"/>
          <w:numId w:val="11"/>
        </w:numPr>
        <w:autoSpaceDE w:val="0"/>
        <w:autoSpaceDN w:val="0"/>
        <w:adjustRightInd w:val="0"/>
        <w:spacing w:after="0" w:line="240" w:lineRule="auto"/>
        <w:rPr>
          <w:rFonts w:ascii="Times New Roman" w:hAnsi="Times New Roman"/>
          <w:lang w:val="lv-LV"/>
        </w:rPr>
      </w:pPr>
      <w:r w:rsidRPr="00C51D01">
        <w:rPr>
          <w:rFonts w:ascii="Times New Roman" w:hAnsi="Times New Roman"/>
          <w:lang w:val="lv-LV"/>
        </w:rPr>
        <w:t xml:space="preserve">Ādas </w:t>
      </w:r>
      <w:r w:rsidR="00576732" w:rsidRPr="00C51D01">
        <w:rPr>
          <w:rFonts w:ascii="Times New Roman" w:hAnsi="Times New Roman"/>
          <w:lang w:val="lv-LV"/>
        </w:rPr>
        <w:t>kandidozes</w:t>
      </w:r>
      <w:r w:rsidR="00FE60F5" w:rsidRPr="00C51D01">
        <w:rPr>
          <w:rFonts w:ascii="Times New Roman" w:hAnsi="Times New Roman"/>
          <w:lang w:val="lv-LV"/>
        </w:rPr>
        <w:t xml:space="preserve">, ieskaitot balanītu, balanopostītu, </w:t>
      </w:r>
      <w:r w:rsidR="004279DA">
        <w:rPr>
          <w:rFonts w:ascii="Times New Roman" w:hAnsi="Times New Roman"/>
          <w:lang w:val="lv-LV"/>
        </w:rPr>
        <w:t>on</w:t>
      </w:r>
      <w:r w:rsidR="004E7608">
        <w:rPr>
          <w:rFonts w:ascii="Times New Roman" w:hAnsi="Times New Roman"/>
          <w:lang w:val="lv-LV"/>
        </w:rPr>
        <w:t>ī</w:t>
      </w:r>
      <w:r w:rsidR="004279DA">
        <w:rPr>
          <w:rFonts w:ascii="Times New Roman" w:hAnsi="Times New Roman"/>
          <w:lang w:val="lv-LV"/>
        </w:rPr>
        <w:t>hiju (</w:t>
      </w:r>
      <w:r w:rsidR="00FE60F5" w:rsidRPr="00C51D01">
        <w:rPr>
          <w:rFonts w:ascii="Times New Roman" w:hAnsi="Times New Roman"/>
          <w:lang w:val="lv-LV"/>
        </w:rPr>
        <w:t xml:space="preserve">naga pamatnes audu </w:t>
      </w:r>
      <w:r w:rsidR="005338FC" w:rsidRPr="00C51D01">
        <w:rPr>
          <w:rFonts w:ascii="Times New Roman" w:hAnsi="Times New Roman"/>
          <w:lang w:val="lv-LV"/>
        </w:rPr>
        <w:t>iekaisumu</w:t>
      </w:r>
      <w:r w:rsidR="004279DA">
        <w:rPr>
          <w:rFonts w:ascii="Times New Roman" w:hAnsi="Times New Roman"/>
          <w:lang w:val="lv-LV"/>
        </w:rPr>
        <w:t>)</w:t>
      </w:r>
      <w:r w:rsidR="00FE60F5" w:rsidRPr="00C51D01">
        <w:rPr>
          <w:rFonts w:ascii="Times New Roman" w:hAnsi="Times New Roman"/>
          <w:lang w:val="lv-LV"/>
        </w:rPr>
        <w:t>, paronīhiju (naga valnīš</w:t>
      </w:r>
      <w:r w:rsidR="00B07563" w:rsidRPr="00C51D01">
        <w:rPr>
          <w:rFonts w:ascii="Times New Roman" w:hAnsi="Times New Roman"/>
          <w:lang w:val="lv-LV"/>
        </w:rPr>
        <w:t>a iekais</w:t>
      </w:r>
      <w:r w:rsidR="00FE60F5" w:rsidRPr="00C51D01">
        <w:rPr>
          <w:rFonts w:ascii="Times New Roman" w:hAnsi="Times New Roman"/>
          <w:lang w:val="lv-LV"/>
        </w:rPr>
        <w:t>umu)</w:t>
      </w:r>
      <w:r w:rsidR="002D39F3">
        <w:rPr>
          <w:rFonts w:ascii="Times New Roman" w:hAnsi="Times New Roman"/>
          <w:lang w:val="lv-LV"/>
        </w:rPr>
        <w:t>.</w:t>
      </w:r>
    </w:p>
    <w:p w14:paraId="67C99C13" w14:textId="5D006998" w:rsidR="00FE60F5" w:rsidRPr="00C51D01" w:rsidRDefault="00FE60F5" w:rsidP="002A3FDD">
      <w:pPr>
        <w:widowControl w:val="0"/>
        <w:numPr>
          <w:ilvl w:val="0"/>
          <w:numId w:val="11"/>
        </w:numPr>
        <w:autoSpaceDE w:val="0"/>
        <w:autoSpaceDN w:val="0"/>
        <w:adjustRightInd w:val="0"/>
        <w:spacing w:after="0" w:line="240" w:lineRule="auto"/>
        <w:rPr>
          <w:rFonts w:ascii="Times New Roman" w:hAnsi="Times New Roman"/>
          <w:lang w:val="lv-LV"/>
        </w:rPr>
      </w:pPr>
      <w:r w:rsidRPr="00C51D01">
        <w:rPr>
          <w:rFonts w:ascii="Times New Roman" w:hAnsi="Times New Roman"/>
          <w:i/>
          <w:lang w:val="lv-LV"/>
        </w:rPr>
        <w:t>Pityriasis versicolor</w:t>
      </w:r>
      <w:r w:rsidR="004279DA">
        <w:rPr>
          <w:rFonts w:ascii="Times New Roman" w:hAnsi="Times New Roman"/>
          <w:i/>
          <w:lang w:val="lv-LV"/>
        </w:rPr>
        <w:t xml:space="preserve">, </w:t>
      </w:r>
      <w:r w:rsidR="004279DA" w:rsidRPr="002A3FDD">
        <w:rPr>
          <w:rFonts w:ascii="Times New Roman" w:hAnsi="Times New Roman"/>
          <w:iCs/>
          <w:lang w:val="lv-LV"/>
        </w:rPr>
        <w:t>ko izraisījis</w:t>
      </w:r>
      <w:r w:rsidRPr="00C51D01">
        <w:rPr>
          <w:rFonts w:ascii="Times New Roman" w:hAnsi="Times New Roman"/>
          <w:lang w:val="lv-LV"/>
        </w:rPr>
        <w:t xml:space="preserve"> </w:t>
      </w:r>
      <w:r w:rsidRPr="00C51D01">
        <w:rPr>
          <w:rFonts w:ascii="Times New Roman" w:hAnsi="Times New Roman"/>
          <w:i/>
          <w:lang w:val="lv-LV"/>
        </w:rPr>
        <w:t>Pityrosporum orbiculare</w:t>
      </w:r>
      <w:r w:rsidRPr="00C51D01">
        <w:rPr>
          <w:rFonts w:ascii="Times New Roman" w:hAnsi="Times New Roman"/>
          <w:lang w:val="lv-LV"/>
        </w:rPr>
        <w:t xml:space="preserve"> un </w:t>
      </w:r>
      <w:r w:rsidRPr="00C51D01">
        <w:rPr>
          <w:rFonts w:ascii="Times New Roman" w:hAnsi="Times New Roman"/>
          <w:i/>
          <w:lang w:val="lv-LV"/>
        </w:rPr>
        <w:t>P. ovale</w:t>
      </w:r>
      <w:r w:rsidR="002D39F3">
        <w:rPr>
          <w:rFonts w:ascii="Times New Roman" w:hAnsi="Times New Roman"/>
          <w:lang w:val="lv-LV"/>
        </w:rPr>
        <w:t>.</w:t>
      </w:r>
    </w:p>
    <w:p w14:paraId="3C758375" w14:textId="4014DCEC" w:rsidR="007A044F" w:rsidRPr="00C51D01" w:rsidRDefault="007A044F" w:rsidP="002A3FDD">
      <w:pPr>
        <w:widowControl w:val="0"/>
        <w:numPr>
          <w:ilvl w:val="0"/>
          <w:numId w:val="11"/>
        </w:numPr>
        <w:autoSpaceDE w:val="0"/>
        <w:autoSpaceDN w:val="0"/>
        <w:adjustRightInd w:val="0"/>
        <w:spacing w:after="0" w:line="240" w:lineRule="auto"/>
        <w:rPr>
          <w:rFonts w:ascii="Times New Roman" w:hAnsi="Times New Roman"/>
          <w:lang w:val="lv-LV"/>
        </w:rPr>
      </w:pPr>
      <w:r w:rsidRPr="00C51D01">
        <w:rPr>
          <w:rFonts w:ascii="Times New Roman" w:hAnsi="Times New Roman"/>
          <w:lang w:val="lv-LV"/>
        </w:rPr>
        <w:t>Eritrazma</w:t>
      </w:r>
      <w:r w:rsidR="002D39F3">
        <w:rPr>
          <w:rFonts w:ascii="Times New Roman" w:hAnsi="Times New Roman"/>
          <w:lang w:val="lv-LV"/>
        </w:rPr>
        <w:t>.</w:t>
      </w:r>
    </w:p>
    <w:p w14:paraId="0340F154" w14:textId="0B9668A7" w:rsidR="00ED5DFB" w:rsidRPr="00C51D01" w:rsidRDefault="00B47192" w:rsidP="002A3FDD">
      <w:pPr>
        <w:widowControl w:val="0"/>
        <w:numPr>
          <w:ilvl w:val="0"/>
          <w:numId w:val="11"/>
        </w:numPr>
        <w:autoSpaceDE w:val="0"/>
        <w:autoSpaceDN w:val="0"/>
        <w:adjustRightInd w:val="0"/>
        <w:spacing w:after="0" w:line="240" w:lineRule="auto"/>
        <w:rPr>
          <w:rFonts w:ascii="Times New Roman" w:hAnsi="Times New Roman"/>
          <w:lang w:val="lv-LV"/>
        </w:rPr>
      </w:pPr>
      <w:r>
        <w:rPr>
          <w:rFonts w:ascii="Times New Roman" w:hAnsi="Times New Roman"/>
          <w:lang w:val="lv-LV"/>
        </w:rPr>
        <w:t>R</w:t>
      </w:r>
      <w:r w:rsidRPr="00C51D01">
        <w:rPr>
          <w:rFonts w:ascii="Times New Roman" w:hAnsi="Times New Roman"/>
          <w:lang w:val="lv-LV"/>
        </w:rPr>
        <w:t>auga sēnī</w:t>
      </w:r>
      <w:r>
        <w:rPr>
          <w:rFonts w:ascii="Times New Roman" w:hAnsi="Times New Roman"/>
          <w:lang w:val="lv-LV"/>
        </w:rPr>
        <w:t>šu</w:t>
      </w:r>
      <w:r w:rsidRPr="00C51D01">
        <w:rPr>
          <w:rFonts w:ascii="Times New Roman" w:hAnsi="Times New Roman"/>
          <w:i/>
          <w:lang w:val="lv-LV"/>
        </w:rPr>
        <w:t xml:space="preserve"> (Pityrosporum orbiculare </w:t>
      </w:r>
      <w:r w:rsidRPr="002A3FDD">
        <w:rPr>
          <w:rFonts w:ascii="Times New Roman" w:hAnsi="Times New Roman"/>
          <w:iCs/>
          <w:lang w:val="lv-LV"/>
        </w:rPr>
        <w:t>vai</w:t>
      </w:r>
      <w:r w:rsidRPr="00C51D01">
        <w:rPr>
          <w:rFonts w:ascii="Times New Roman" w:hAnsi="Times New Roman"/>
          <w:i/>
          <w:lang w:val="lv-LV"/>
        </w:rPr>
        <w:t xml:space="preserve"> P. ovale)</w:t>
      </w:r>
      <w:r w:rsidR="004E7608">
        <w:rPr>
          <w:rFonts w:ascii="Times New Roman" w:hAnsi="Times New Roman"/>
          <w:i/>
          <w:lang w:val="lv-LV"/>
        </w:rPr>
        <w:t xml:space="preserve"> </w:t>
      </w:r>
      <w:r w:rsidR="004E7608" w:rsidRPr="002A3FDD">
        <w:rPr>
          <w:rFonts w:ascii="Times New Roman" w:hAnsi="Times New Roman"/>
          <w:iCs/>
          <w:lang w:val="lv-LV"/>
        </w:rPr>
        <w:t>izraisīts</w:t>
      </w:r>
      <w:r w:rsidR="004E7608">
        <w:rPr>
          <w:rFonts w:ascii="Times New Roman" w:hAnsi="Times New Roman"/>
          <w:i/>
          <w:lang w:val="lv-LV"/>
        </w:rPr>
        <w:t xml:space="preserve"> </w:t>
      </w:r>
      <w:r w:rsidR="004E7608">
        <w:rPr>
          <w:rFonts w:ascii="Times New Roman" w:hAnsi="Times New Roman"/>
          <w:lang w:val="lv-LV"/>
        </w:rPr>
        <w:t>s</w:t>
      </w:r>
      <w:r w:rsidR="00ED5DFB" w:rsidRPr="00C51D01">
        <w:rPr>
          <w:rFonts w:ascii="Times New Roman" w:hAnsi="Times New Roman"/>
          <w:lang w:val="lv-LV"/>
        </w:rPr>
        <w:t>eborejisk</w:t>
      </w:r>
      <w:r w:rsidR="004E7608">
        <w:rPr>
          <w:rFonts w:ascii="Times New Roman" w:hAnsi="Times New Roman"/>
          <w:lang w:val="lv-LV"/>
        </w:rPr>
        <w:t>ais</w:t>
      </w:r>
      <w:r w:rsidR="00ED5DFB" w:rsidRPr="00C51D01">
        <w:rPr>
          <w:rFonts w:ascii="Times New Roman" w:hAnsi="Times New Roman"/>
          <w:lang w:val="lv-LV"/>
        </w:rPr>
        <w:t xml:space="preserve"> dermatīt</w:t>
      </w:r>
      <w:r w:rsidR="004E7608">
        <w:rPr>
          <w:rFonts w:ascii="Times New Roman" w:hAnsi="Times New Roman"/>
          <w:lang w:val="lv-LV"/>
        </w:rPr>
        <w:t>s</w:t>
      </w:r>
      <w:r w:rsidR="00ED5DFB" w:rsidRPr="00C51D01">
        <w:rPr>
          <w:rFonts w:ascii="Times New Roman" w:hAnsi="Times New Roman"/>
          <w:i/>
          <w:lang w:val="lv-LV"/>
        </w:rPr>
        <w:t>.</w:t>
      </w:r>
    </w:p>
    <w:p w14:paraId="6D76E47A"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052808AC" w14:textId="7777777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4.2</w:t>
      </w:r>
      <w:r w:rsidR="00B74570" w:rsidRPr="00C51D01">
        <w:rPr>
          <w:rFonts w:ascii="Times New Roman" w:hAnsi="Times New Roman"/>
          <w:b/>
          <w:bCs/>
          <w:lang w:val="lv-LV"/>
        </w:rPr>
        <w:t>.</w:t>
      </w:r>
      <w:r w:rsidR="00F43DA3" w:rsidRPr="00C51D01">
        <w:rPr>
          <w:rFonts w:ascii="Times New Roman" w:hAnsi="Times New Roman"/>
          <w:b/>
          <w:bCs/>
          <w:lang w:val="lv-LV"/>
        </w:rPr>
        <w:tab/>
      </w:r>
      <w:r w:rsidRPr="00C51D01">
        <w:rPr>
          <w:rFonts w:ascii="Times New Roman" w:hAnsi="Times New Roman"/>
          <w:b/>
          <w:bCs/>
          <w:lang w:val="lv-LV"/>
        </w:rPr>
        <w:t>Devas un lietošanas veids</w:t>
      </w:r>
    </w:p>
    <w:p w14:paraId="6BE16BB3" w14:textId="77777777" w:rsidR="00F43DA3" w:rsidRPr="00C51D01" w:rsidRDefault="00F43DA3">
      <w:pPr>
        <w:widowControl w:val="0"/>
        <w:autoSpaceDE w:val="0"/>
        <w:autoSpaceDN w:val="0"/>
        <w:adjustRightInd w:val="0"/>
        <w:spacing w:after="0" w:line="240" w:lineRule="auto"/>
        <w:jc w:val="both"/>
        <w:rPr>
          <w:rFonts w:ascii="Times New Roman" w:hAnsi="Times New Roman"/>
          <w:lang w:val="lv-LV"/>
        </w:rPr>
      </w:pPr>
    </w:p>
    <w:p w14:paraId="54856924" w14:textId="13EE0EE3" w:rsidR="001038B2" w:rsidRDefault="007733BC">
      <w:pPr>
        <w:widowControl w:val="0"/>
        <w:autoSpaceDE w:val="0"/>
        <w:autoSpaceDN w:val="0"/>
        <w:adjustRightInd w:val="0"/>
        <w:spacing w:after="0" w:line="240" w:lineRule="auto"/>
        <w:jc w:val="both"/>
        <w:rPr>
          <w:rFonts w:ascii="Times New Roman" w:hAnsi="Times New Roman"/>
          <w:u w:val="single"/>
          <w:lang w:val="lv-LV"/>
        </w:rPr>
      </w:pPr>
      <w:r>
        <w:rPr>
          <w:rFonts w:ascii="Times New Roman" w:hAnsi="Times New Roman"/>
          <w:u w:val="single"/>
          <w:lang w:val="lv-LV"/>
        </w:rPr>
        <w:t>Devas</w:t>
      </w:r>
    </w:p>
    <w:p w14:paraId="622B17E3" w14:textId="77777777" w:rsidR="001038B2" w:rsidRPr="002A3FDD" w:rsidRDefault="001038B2">
      <w:pPr>
        <w:widowControl w:val="0"/>
        <w:autoSpaceDE w:val="0"/>
        <w:autoSpaceDN w:val="0"/>
        <w:adjustRightInd w:val="0"/>
        <w:spacing w:after="0" w:line="240" w:lineRule="auto"/>
        <w:jc w:val="both"/>
        <w:rPr>
          <w:rFonts w:ascii="Times New Roman" w:hAnsi="Times New Roman"/>
          <w:u w:val="single"/>
          <w:lang w:val="lv-LV"/>
        </w:rPr>
      </w:pPr>
    </w:p>
    <w:p w14:paraId="5368DACF" w14:textId="62093451" w:rsidR="00A97339" w:rsidRPr="002A3FDD" w:rsidRDefault="007733BC" w:rsidP="00986A46">
      <w:pPr>
        <w:widowControl w:val="0"/>
        <w:autoSpaceDE w:val="0"/>
        <w:autoSpaceDN w:val="0"/>
        <w:adjustRightInd w:val="0"/>
        <w:spacing w:after="0" w:line="240" w:lineRule="auto"/>
        <w:jc w:val="both"/>
        <w:rPr>
          <w:rFonts w:ascii="Times New Roman" w:hAnsi="Times New Roman"/>
          <w:i/>
          <w:iCs/>
          <w:lang w:val="lv-LV"/>
        </w:rPr>
      </w:pPr>
      <w:r w:rsidRPr="002A3FDD">
        <w:rPr>
          <w:rFonts w:ascii="Times New Roman" w:hAnsi="Times New Roman"/>
          <w:i/>
          <w:iCs/>
          <w:lang w:val="lv-LV"/>
        </w:rPr>
        <w:t>Pieaugušie, tai skaitā gados vecāki pacienti</w:t>
      </w:r>
    </w:p>
    <w:p w14:paraId="789F0FC3" w14:textId="7242468D" w:rsidR="00ED5DFB" w:rsidRPr="00C51D01" w:rsidRDefault="006F5C01" w:rsidP="00A44FB6">
      <w:pPr>
        <w:pStyle w:val="BodyText"/>
        <w:spacing w:after="0"/>
        <w:jc w:val="both"/>
        <w:rPr>
          <w:sz w:val="22"/>
          <w:szCs w:val="22"/>
          <w:lang w:val="lv-LV"/>
        </w:rPr>
      </w:pPr>
      <w:r w:rsidRPr="00C51D01">
        <w:rPr>
          <w:sz w:val="22"/>
          <w:szCs w:val="22"/>
          <w:lang w:val="lv-LV"/>
        </w:rPr>
        <w:t xml:space="preserve">LOMEXIN </w:t>
      </w:r>
      <w:r w:rsidR="00AA2296" w:rsidRPr="00AA2296">
        <w:rPr>
          <w:sz w:val="22"/>
          <w:szCs w:val="22"/>
          <w:lang w:val="lv-LV"/>
        </w:rPr>
        <w:t>2% krēm</w:t>
      </w:r>
      <w:r w:rsidR="005D1D6D">
        <w:rPr>
          <w:sz w:val="22"/>
          <w:szCs w:val="22"/>
          <w:lang w:val="lv-LV"/>
        </w:rPr>
        <w:t>u</w:t>
      </w:r>
      <w:r w:rsidR="00AA2296" w:rsidRPr="00AA2296">
        <w:rPr>
          <w:sz w:val="22"/>
          <w:szCs w:val="22"/>
          <w:lang w:val="lv-LV"/>
        </w:rPr>
        <w:t xml:space="preserve"> </w:t>
      </w:r>
      <w:r w:rsidR="00ED5DFB" w:rsidRPr="00C51D01">
        <w:rPr>
          <w:sz w:val="22"/>
          <w:szCs w:val="22"/>
          <w:lang w:val="lv-LV"/>
        </w:rPr>
        <w:t>lieto 1-2 reizes dienā, saskaņā ar ārsta norādījumiem. Zāļu formu izvēl</w:t>
      </w:r>
      <w:r w:rsidR="00463D01">
        <w:rPr>
          <w:sz w:val="22"/>
          <w:szCs w:val="22"/>
          <w:lang w:val="lv-LV"/>
        </w:rPr>
        <w:t>a</w:t>
      </w:r>
      <w:r w:rsidR="00ED5DFB" w:rsidRPr="00C51D01">
        <w:rPr>
          <w:sz w:val="22"/>
          <w:szCs w:val="22"/>
          <w:lang w:val="lv-LV"/>
        </w:rPr>
        <w:t xml:space="preserve">s atkarībā no bojātā </w:t>
      </w:r>
      <w:r w:rsidR="00463D01" w:rsidRPr="00C51D01">
        <w:rPr>
          <w:sz w:val="22"/>
          <w:szCs w:val="22"/>
          <w:lang w:val="lv-LV"/>
        </w:rPr>
        <w:t xml:space="preserve">ādas </w:t>
      </w:r>
      <w:r w:rsidR="00ED5DFB" w:rsidRPr="00C51D01">
        <w:rPr>
          <w:sz w:val="22"/>
          <w:szCs w:val="22"/>
          <w:lang w:val="lv-LV"/>
        </w:rPr>
        <w:t>rajona.</w:t>
      </w:r>
    </w:p>
    <w:p w14:paraId="092CA082" w14:textId="77777777" w:rsidR="00A97339" w:rsidRPr="00C51D01" w:rsidRDefault="00A97339" w:rsidP="002A3FDD">
      <w:pPr>
        <w:widowControl w:val="0"/>
        <w:autoSpaceDE w:val="0"/>
        <w:autoSpaceDN w:val="0"/>
        <w:adjustRightInd w:val="0"/>
        <w:spacing w:after="0" w:line="240" w:lineRule="auto"/>
        <w:rPr>
          <w:rFonts w:ascii="Times New Roman" w:hAnsi="Times New Roman"/>
          <w:lang w:val="lv-LV"/>
        </w:rPr>
      </w:pPr>
    </w:p>
    <w:p w14:paraId="101647AA" w14:textId="1EE94056" w:rsidR="00F42A0D" w:rsidRPr="00C51D01" w:rsidRDefault="006F5C01" w:rsidP="002A3FDD">
      <w:pPr>
        <w:widowControl w:val="0"/>
        <w:autoSpaceDE w:val="0"/>
        <w:autoSpaceDN w:val="0"/>
        <w:adjustRightInd w:val="0"/>
        <w:spacing w:after="0" w:line="240" w:lineRule="auto"/>
        <w:rPr>
          <w:rFonts w:ascii="Times New Roman" w:hAnsi="Times New Roman"/>
          <w:lang w:val="lv-LV"/>
        </w:rPr>
      </w:pPr>
      <w:r w:rsidRPr="00C51D01">
        <w:rPr>
          <w:rFonts w:ascii="Times New Roman" w:hAnsi="Times New Roman"/>
          <w:lang w:val="lv-LV"/>
        </w:rPr>
        <w:t xml:space="preserve">LOMEXIN </w:t>
      </w:r>
      <w:r w:rsidR="00ED5DFB" w:rsidRPr="00C51D01">
        <w:rPr>
          <w:rFonts w:ascii="Times New Roman" w:hAnsi="Times New Roman"/>
          <w:lang w:val="lv-LV"/>
        </w:rPr>
        <w:t>2% krēmu</w:t>
      </w:r>
      <w:r w:rsidR="00F42A0D" w:rsidRPr="00C51D01">
        <w:rPr>
          <w:rFonts w:ascii="Times New Roman" w:hAnsi="Times New Roman"/>
          <w:lang w:val="lv-LV"/>
        </w:rPr>
        <w:t xml:space="preserve"> lieto, lai ārstētu gludo ādu, ādas </w:t>
      </w:r>
      <w:r w:rsidR="00761060">
        <w:rPr>
          <w:rFonts w:ascii="Times New Roman" w:hAnsi="Times New Roman"/>
          <w:lang w:val="lv-LV"/>
        </w:rPr>
        <w:t>krokas</w:t>
      </w:r>
      <w:r w:rsidR="00761060" w:rsidRPr="00C51D01">
        <w:rPr>
          <w:rFonts w:ascii="Times New Roman" w:hAnsi="Times New Roman"/>
          <w:lang w:val="lv-LV"/>
        </w:rPr>
        <w:t xml:space="preserve"> </w:t>
      </w:r>
      <w:r w:rsidR="00F42A0D" w:rsidRPr="00C51D01">
        <w:rPr>
          <w:rFonts w:ascii="Times New Roman" w:hAnsi="Times New Roman"/>
          <w:lang w:val="lv-LV"/>
        </w:rPr>
        <w:t>un gļotādu</w:t>
      </w:r>
      <w:r w:rsidR="00E25891" w:rsidRPr="00C51D01">
        <w:rPr>
          <w:rFonts w:ascii="Times New Roman" w:hAnsi="Times New Roman"/>
          <w:lang w:val="lv-LV"/>
        </w:rPr>
        <w:t xml:space="preserve">. </w:t>
      </w:r>
      <w:r w:rsidR="00F42A0D" w:rsidRPr="00C51D01">
        <w:rPr>
          <w:rFonts w:ascii="Times New Roman" w:hAnsi="Times New Roman"/>
          <w:lang w:val="lv-LV"/>
        </w:rPr>
        <w:t xml:space="preserve">Krēms galvenokārt ir piemērots sauso sēnīšu infekciju ārstēšanai: </w:t>
      </w:r>
      <w:r w:rsidR="00F42A0D" w:rsidRPr="00C51D01">
        <w:rPr>
          <w:rFonts w:ascii="Times New Roman" w:hAnsi="Times New Roman"/>
          <w:i/>
          <w:lang w:val="lv-LV"/>
        </w:rPr>
        <w:t>pityriasis versicolor</w:t>
      </w:r>
      <w:r w:rsidR="00F42A0D" w:rsidRPr="00C51D01">
        <w:rPr>
          <w:rFonts w:ascii="Times New Roman" w:hAnsi="Times New Roman"/>
          <w:lang w:val="lv-LV"/>
        </w:rPr>
        <w:t xml:space="preserve">, </w:t>
      </w:r>
      <w:r w:rsidR="00E25891" w:rsidRPr="00C51D01">
        <w:rPr>
          <w:rFonts w:ascii="Times New Roman" w:hAnsi="Times New Roman"/>
          <w:lang w:val="lv-LV"/>
        </w:rPr>
        <w:t>eritrazma un</w:t>
      </w:r>
      <w:r w:rsidR="00930EBB" w:rsidRPr="00C51D01">
        <w:rPr>
          <w:rFonts w:ascii="Times New Roman" w:hAnsi="Times New Roman"/>
          <w:lang w:val="lv-LV"/>
        </w:rPr>
        <w:t xml:space="preserve"> </w:t>
      </w:r>
      <w:r w:rsidR="00F42A0D" w:rsidRPr="00C51D01">
        <w:rPr>
          <w:rFonts w:ascii="Times New Roman" w:hAnsi="Times New Roman"/>
          <w:lang w:val="lv-LV"/>
        </w:rPr>
        <w:t>nagu sēnīšu infekcij</w:t>
      </w:r>
      <w:r w:rsidR="00E25891" w:rsidRPr="00C51D01">
        <w:rPr>
          <w:rFonts w:ascii="Times New Roman" w:hAnsi="Times New Roman"/>
          <w:lang w:val="lv-LV"/>
        </w:rPr>
        <w:t>a</w:t>
      </w:r>
      <w:r w:rsidR="00F14A38" w:rsidRPr="00C51D01">
        <w:rPr>
          <w:rFonts w:ascii="Times New Roman" w:hAnsi="Times New Roman"/>
          <w:lang w:val="lv-LV"/>
        </w:rPr>
        <w:t>s</w:t>
      </w:r>
      <w:r w:rsidR="00F42A0D" w:rsidRPr="00C51D01">
        <w:rPr>
          <w:rFonts w:ascii="Times New Roman" w:hAnsi="Times New Roman"/>
          <w:lang w:val="lv-LV"/>
        </w:rPr>
        <w:t xml:space="preserve"> (pacientiem ar nagu sēnīšu infekciju </w:t>
      </w:r>
      <w:r w:rsidR="00F14A38" w:rsidRPr="00C51D01">
        <w:rPr>
          <w:rFonts w:ascii="Times New Roman" w:hAnsi="Times New Roman"/>
          <w:lang w:val="lv-LV"/>
        </w:rPr>
        <w:t xml:space="preserve">pēc krēma </w:t>
      </w:r>
      <w:r w:rsidR="00F42A0D" w:rsidRPr="00C51D01">
        <w:rPr>
          <w:rFonts w:ascii="Times New Roman" w:hAnsi="Times New Roman"/>
          <w:lang w:val="lv-LV"/>
        </w:rPr>
        <w:t>ier</w:t>
      </w:r>
      <w:r w:rsidR="00F14A38" w:rsidRPr="00C51D01">
        <w:rPr>
          <w:rFonts w:ascii="Times New Roman" w:hAnsi="Times New Roman"/>
          <w:lang w:val="lv-LV"/>
        </w:rPr>
        <w:t>īvēšanas</w:t>
      </w:r>
      <w:r w:rsidR="00F42A0D" w:rsidRPr="00C51D01">
        <w:rPr>
          <w:rFonts w:ascii="Times New Roman" w:hAnsi="Times New Roman"/>
          <w:lang w:val="lv-LV"/>
        </w:rPr>
        <w:t xml:space="preserve"> šī vieta ir </w:t>
      </w:r>
      <w:r w:rsidR="001038B2" w:rsidRPr="00C51D01">
        <w:rPr>
          <w:rFonts w:ascii="Times New Roman" w:hAnsi="Times New Roman"/>
          <w:lang w:val="lv-LV"/>
        </w:rPr>
        <w:t>jāpār</w:t>
      </w:r>
      <w:r w:rsidR="001038B2">
        <w:rPr>
          <w:rFonts w:ascii="Times New Roman" w:hAnsi="Times New Roman"/>
          <w:lang w:val="lv-LV"/>
        </w:rPr>
        <w:t>sedz ar okluzīvu pārsēju</w:t>
      </w:r>
      <w:r w:rsidR="00F42A0D" w:rsidRPr="00C51D01">
        <w:rPr>
          <w:rFonts w:ascii="Times New Roman" w:hAnsi="Times New Roman"/>
          <w:lang w:val="lv-LV"/>
        </w:rPr>
        <w:t>).</w:t>
      </w:r>
      <w:r w:rsidR="00F14A38" w:rsidRPr="00C51D01">
        <w:rPr>
          <w:rFonts w:ascii="Times New Roman" w:hAnsi="Times New Roman"/>
          <w:lang w:val="lv-LV"/>
        </w:rPr>
        <w:t xml:space="preserve"> </w:t>
      </w:r>
      <w:r w:rsidR="00761060">
        <w:rPr>
          <w:rFonts w:ascii="Times New Roman" w:hAnsi="Times New Roman"/>
          <w:lang w:val="lv-LV"/>
        </w:rPr>
        <w:t>K</w:t>
      </w:r>
      <w:r w:rsidR="00F42A0D" w:rsidRPr="00C51D01">
        <w:rPr>
          <w:rFonts w:ascii="Times New Roman" w:hAnsi="Times New Roman"/>
          <w:lang w:val="lv-LV"/>
        </w:rPr>
        <w:t xml:space="preserve">rēms ir piemērots </w:t>
      </w:r>
      <w:r w:rsidR="00761060">
        <w:rPr>
          <w:rFonts w:ascii="Times New Roman" w:hAnsi="Times New Roman"/>
          <w:lang w:val="lv-LV"/>
        </w:rPr>
        <w:t xml:space="preserve">arī </w:t>
      </w:r>
      <w:r w:rsidR="00F14A38" w:rsidRPr="00C51D01">
        <w:rPr>
          <w:rFonts w:ascii="Times New Roman" w:hAnsi="Times New Roman"/>
          <w:lang w:val="lv-LV"/>
        </w:rPr>
        <w:t xml:space="preserve">dzimumorgānu </w:t>
      </w:r>
      <w:r w:rsidR="006E0AE3" w:rsidRPr="00C51D01">
        <w:rPr>
          <w:rFonts w:ascii="Times New Roman" w:hAnsi="Times New Roman"/>
          <w:lang w:val="lv-LV"/>
        </w:rPr>
        <w:t>sē</w:t>
      </w:r>
      <w:r w:rsidR="00F42A0D" w:rsidRPr="00C51D01">
        <w:rPr>
          <w:rFonts w:ascii="Times New Roman" w:hAnsi="Times New Roman"/>
          <w:lang w:val="lv-LV"/>
        </w:rPr>
        <w:t>nīšu infekcij</w:t>
      </w:r>
      <w:r w:rsidR="0037748B">
        <w:rPr>
          <w:rFonts w:ascii="Times New Roman" w:hAnsi="Times New Roman"/>
          <w:lang w:val="lv-LV"/>
        </w:rPr>
        <w:t>u</w:t>
      </w:r>
      <w:r w:rsidR="00F42A0D" w:rsidRPr="00C51D01">
        <w:rPr>
          <w:rFonts w:ascii="Times New Roman" w:hAnsi="Times New Roman"/>
          <w:lang w:val="lv-LV"/>
        </w:rPr>
        <w:t xml:space="preserve"> ārstēšan</w:t>
      </w:r>
      <w:r w:rsidR="00F14A38" w:rsidRPr="00C51D01">
        <w:rPr>
          <w:rFonts w:ascii="Times New Roman" w:hAnsi="Times New Roman"/>
          <w:lang w:val="lv-LV"/>
        </w:rPr>
        <w:t>a</w:t>
      </w:r>
      <w:r w:rsidR="00F42A0D" w:rsidRPr="00C51D01">
        <w:rPr>
          <w:rFonts w:ascii="Times New Roman" w:hAnsi="Times New Roman"/>
          <w:lang w:val="lv-LV"/>
        </w:rPr>
        <w:t>i vīriešiem.</w:t>
      </w:r>
    </w:p>
    <w:p w14:paraId="41C7ED38" w14:textId="77777777" w:rsidR="00ED5DFB" w:rsidRPr="00C51D01" w:rsidRDefault="00F42A0D" w:rsidP="00986A4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 </w:t>
      </w:r>
    </w:p>
    <w:p w14:paraId="2DE45A7B" w14:textId="77777777" w:rsidR="00A97339" w:rsidRPr="002A3FDD" w:rsidRDefault="00794E7F" w:rsidP="00A44FB6">
      <w:pPr>
        <w:widowControl w:val="0"/>
        <w:autoSpaceDE w:val="0"/>
        <w:autoSpaceDN w:val="0"/>
        <w:adjustRightInd w:val="0"/>
        <w:spacing w:after="0" w:line="240" w:lineRule="auto"/>
        <w:jc w:val="both"/>
        <w:rPr>
          <w:rFonts w:ascii="Times New Roman" w:hAnsi="Times New Roman"/>
          <w:i/>
          <w:iCs/>
          <w:lang w:val="lv-LV"/>
        </w:rPr>
      </w:pPr>
      <w:r w:rsidRPr="002A3FDD">
        <w:rPr>
          <w:rFonts w:ascii="Times New Roman" w:hAnsi="Times New Roman"/>
          <w:i/>
          <w:iCs/>
          <w:lang w:val="lv-LV"/>
        </w:rPr>
        <w:t>Pediatriskā populācija</w:t>
      </w:r>
    </w:p>
    <w:p w14:paraId="2C6FF20F" w14:textId="1A6D8AF5" w:rsidR="00A97339" w:rsidRPr="00C51D01" w:rsidRDefault="00A97339">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Nav atbilstošas indikācijas </w:t>
      </w:r>
      <w:r w:rsidR="00E97125" w:rsidRPr="00C51D01">
        <w:rPr>
          <w:rFonts w:ascii="Times New Roman" w:hAnsi="Times New Roman"/>
          <w:lang w:val="lv-LV"/>
        </w:rPr>
        <w:t xml:space="preserve">LOMEXIN </w:t>
      </w:r>
      <w:r w:rsidRPr="00C51D01">
        <w:rPr>
          <w:rFonts w:ascii="Times New Roman" w:hAnsi="Times New Roman"/>
          <w:lang w:val="lv-LV"/>
        </w:rPr>
        <w:t>lietošanai bērniem.</w:t>
      </w:r>
    </w:p>
    <w:p w14:paraId="5DA5E6F7" w14:textId="29CA1754" w:rsidR="00A97339" w:rsidRDefault="00A97339" w:rsidP="00986A46">
      <w:pPr>
        <w:widowControl w:val="0"/>
        <w:autoSpaceDE w:val="0"/>
        <w:autoSpaceDN w:val="0"/>
        <w:adjustRightInd w:val="0"/>
        <w:spacing w:after="0" w:line="240" w:lineRule="auto"/>
        <w:jc w:val="both"/>
        <w:rPr>
          <w:rFonts w:ascii="Times New Roman" w:hAnsi="Times New Roman"/>
          <w:lang w:val="lv-LV"/>
        </w:rPr>
      </w:pPr>
    </w:p>
    <w:p w14:paraId="48EDBCAB" w14:textId="7A75C9E8" w:rsidR="007733BC" w:rsidRDefault="007733BC" w:rsidP="002A3FDD">
      <w:pPr>
        <w:keepNext/>
        <w:widowControl w:val="0"/>
        <w:autoSpaceDE w:val="0"/>
        <w:autoSpaceDN w:val="0"/>
        <w:adjustRightInd w:val="0"/>
        <w:spacing w:after="0" w:line="240" w:lineRule="auto"/>
        <w:jc w:val="both"/>
        <w:rPr>
          <w:rFonts w:ascii="Times New Roman" w:hAnsi="Times New Roman"/>
          <w:u w:val="single"/>
          <w:lang w:val="lv-LV"/>
        </w:rPr>
      </w:pPr>
      <w:r w:rsidRPr="002A3FDD">
        <w:rPr>
          <w:rFonts w:ascii="Times New Roman" w:hAnsi="Times New Roman"/>
          <w:u w:val="single"/>
          <w:lang w:val="lv-LV"/>
        </w:rPr>
        <w:lastRenderedPageBreak/>
        <w:t>Lietošanas veids</w:t>
      </w:r>
    </w:p>
    <w:p w14:paraId="235DC504" w14:textId="712E1A1C" w:rsidR="007733BC" w:rsidRDefault="00304FD2" w:rsidP="002A3FDD">
      <w:pPr>
        <w:keepNext/>
        <w:widowControl w:val="0"/>
        <w:autoSpaceDE w:val="0"/>
        <w:autoSpaceDN w:val="0"/>
        <w:adjustRightInd w:val="0"/>
        <w:spacing w:after="0" w:line="240" w:lineRule="auto"/>
        <w:jc w:val="both"/>
        <w:rPr>
          <w:rFonts w:ascii="Times New Roman" w:hAnsi="Times New Roman"/>
          <w:lang w:val="lv-LV"/>
        </w:rPr>
      </w:pPr>
      <w:r>
        <w:rPr>
          <w:rFonts w:ascii="Times New Roman" w:hAnsi="Times New Roman"/>
          <w:lang w:val="lv-LV"/>
        </w:rPr>
        <w:t>L</w:t>
      </w:r>
      <w:r w:rsidR="007733BC" w:rsidRPr="00C51D01">
        <w:rPr>
          <w:rFonts w:ascii="Times New Roman" w:hAnsi="Times New Roman"/>
          <w:lang w:val="lv-LV"/>
        </w:rPr>
        <w:t>ietošanai</w:t>
      </w:r>
      <w:r>
        <w:rPr>
          <w:rFonts w:ascii="Times New Roman" w:hAnsi="Times New Roman"/>
          <w:lang w:val="lv-LV"/>
        </w:rPr>
        <w:t xml:space="preserve"> uz ādas</w:t>
      </w:r>
      <w:r w:rsidR="007733BC" w:rsidRPr="00C51D01">
        <w:rPr>
          <w:rFonts w:ascii="Times New Roman" w:hAnsi="Times New Roman"/>
          <w:lang w:val="lv-LV"/>
        </w:rPr>
        <w:t>.</w:t>
      </w:r>
    </w:p>
    <w:p w14:paraId="4156D979" w14:textId="08A95FD1" w:rsidR="007733BC" w:rsidRDefault="007733BC" w:rsidP="00986A46">
      <w:pPr>
        <w:widowControl w:val="0"/>
        <w:autoSpaceDE w:val="0"/>
        <w:autoSpaceDN w:val="0"/>
        <w:adjustRightInd w:val="0"/>
        <w:spacing w:after="0" w:line="240" w:lineRule="auto"/>
        <w:jc w:val="both"/>
        <w:rPr>
          <w:rFonts w:ascii="Times New Roman" w:hAnsi="Times New Roman"/>
          <w:lang w:val="lv-LV"/>
        </w:rPr>
      </w:pPr>
      <w:r w:rsidRPr="002A3FDD">
        <w:rPr>
          <w:rFonts w:ascii="Times New Roman" w:hAnsi="Times New Roman"/>
          <w:lang w:val="lv-LV"/>
        </w:rPr>
        <w:t>Pirms šo zāļu lietošanas bojātā vieta jānomazgā un jānosusina.</w:t>
      </w:r>
      <w:r w:rsidRPr="007733BC">
        <w:rPr>
          <w:rFonts w:ascii="Times New Roman" w:hAnsi="Times New Roman"/>
          <w:lang w:val="lv-LV"/>
        </w:rPr>
        <w:t xml:space="preserve"> </w:t>
      </w:r>
      <w:r>
        <w:rPr>
          <w:rFonts w:ascii="Times New Roman" w:hAnsi="Times New Roman"/>
          <w:lang w:val="lv-LV"/>
        </w:rPr>
        <w:t>Krēmu</w:t>
      </w:r>
      <w:r w:rsidRPr="00C51D01">
        <w:rPr>
          <w:rFonts w:ascii="Times New Roman" w:hAnsi="Times New Roman"/>
          <w:lang w:val="lv-LV"/>
        </w:rPr>
        <w:t xml:space="preserve"> </w:t>
      </w:r>
      <w:r>
        <w:rPr>
          <w:rFonts w:ascii="Times New Roman" w:hAnsi="Times New Roman"/>
          <w:lang w:val="lv-LV"/>
        </w:rPr>
        <w:t xml:space="preserve">viegli </w:t>
      </w:r>
      <w:r w:rsidRPr="00C51D01">
        <w:rPr>
          <w:rFonts w:ascii="Times New Roman" w:hAnsi="Times New Roman"/>
          <w:lang w:val="lv-LV"/>
        </w:rPr>
        <w:t>ierīvē bojātajā ādas rajonā.</w:t>
      </w:r>
    </w:p>
    <w:p w14:paraId="64CD8CD2" w14:textId="77777777" w:rsidR="007733BC" w:rsidRPr="00C51D01" w:rsidRDefault="007733BC" w:rsidP="00986A46">
      <w:pPr>
        <w:widowControl w:val="0"/>
        <w:autoSpaceDE w:val="0"/>
        <w:autoSpaceDN w:val="0"/>
        <w:adjustRightInd w:val="0"/>
        <w:spacing w:after="0" w:line="240" w:lineRule="auto"/>
        <w:jc w:val="both"/>
        <w:rPr>
          <w:rFonts w:ascii="Times New Roman" w:hAnsi="Times New Roman"/>
          <w:lang w:val="lv-LV"/>
        </w:rPr>
      </w:pPr>
    </w:p>
    <w:p w14:paraId="409A7071" w14:textId="7777777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4.3</w:t>
      </w:r>
      <w:r w:rsidR="00B74570" w:rsidRPr="00C51D01">
        <w:rPr>
          <w:rFonts w:ascii="Times New Roman" w:hAnsi="Times New Roman"/>
          <w:b/>
          <w:bCs/>
          <w:lang w:val="lv-LV"/>
        </w:rPr>
        <w:t>.</w:t>
      </w:r>
      <w:r w:rsidR="00F0354C" w:rsidRPr="00C51D01">
        <w:rPr>
          <w:rFonts w:ascii="Times New Roman" w:hAnsi="Times New Roman"/>
          <w:b/>
          <w:bCs/>
          <w:lang w:val="lv-LV"/>
        </w:rPr>
        <w:tab/>
      </w:r>
      <w:r w:rsidRPr="00C51D01">
        <w:rPr>
          <w:rFonts w:ascii="Times New Roman" w:hAnsi="Times New Roman"/>
          <w:b/>
          <w:bCs/>
          <w:lang w:val="lv-LV"/>
        </w:rPr>
        <w:t>Kontrindikācijas</w:t>
      </w:r>
    </w:p>
    <w:p w14:paraId="7FD8694D" w14:textId="77777777" w:rsidR="00F0354C" w:rsidRPr="00C51D01" w:rsidRDefault="00F0354C">
      <w:pPr>
        <w:widowControl w:val="0"/>
        <w:autoSpaceDE w:val="0"/>
        <w:autoSpaceDN w:val="0"/>
        <w:adjustRightInd w:val="0"/>
        <w:spacing w:after="0" w:line="240" w:lineRule="auto"/>
        <w:jc w:val="both"/>
        <w:rPr>
          <w:rFonts w:ascii="Times New Roman" w:hAnsi="Times New Roman"/>
          <w:lang w:val="lv-LV"/>
        </w:rPr>
      </w:pPr>
    </w:p>
    <w:p w14:paraId="2C4CAF67" w14:textId="77777777" w:rsidR="00A97339" w:rsidRPr="00C51D01" w:rsidRDefault="00A97339">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Paaugstināta jutība pret aktīvo vielu vai jebkuru no </w:t>
      </w:r>
      <w:r w:rsidR="00B31935" w:rsidRPr="00C51D01">
        <w:rPr>
          <w:rFonts w:ascii="Times New Roman" w:hAnsi="Times New Roman"/>
          <w:lang w:val="lv-LV"/>
        </w:rPr>
        <w:t xml:space="preserve">6.1. apakšpunktā uzskaitītajām </w:t>
      </w:r>
      <w:r w:rsidRPr="00C51D01">
        <w:rPr>
          <w:rFonts w:ascii="Times New Roman" w:hAnsi="Times New Roman"/>
          <w:lang w:val="lv-LV"/>
        </w:rPr>
        <w:t>palīgvielām.</w:t>
      </w:r>
    </w:p>
    <w:p w14:paraId="14F1C2C9"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19CA4D9F" w14:textId="7777777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4.4</w:t>
      </w:r>
      <w:r w:rsidR="00B74570" w:rsidRPr="00C51D01">
        <w:rPr>
          <w:rFonts w:ascii="Times New Roman" w:hAnsi="Times New Roman"/>
          <w:b/>
          <w:bCs/>
          <w:lang w:val="lv-LV"/>
        </w:rPr>
        <w:t>.</w:t>
      </w:r>
      <w:r w:rsidR="00F0354C" w:rsidRPr="00C51D01">
        <w:rPr>
          <w:rFonts w:ascii="Times New Roman" w:hAnsi="Times New Roman"/>
          <w:b/>
          <w:bCs/>
          <w:lang w:val="lv-LV"/>
        </w:rPr>
        <w:tab/>
      </w:r>
      <w:r w:rsidRPr="00C51D01">
        <w:rPr>
          <w:rFonts w:ascii="Times New Roman" w:hAnsi="Times New Roman"/>
          <w:b/>
          <w:bCs/>
          <w:lang w:val="lv-LV"/>
        </w:rPr>
        <w:t>Īpaši brīdinājumi un piesardzība lietošanā</w:t>
      </w:r>
    </w:p>
    <w:p w14:paraId="011093DF" w14:textId="77777777" w:rsidR="00E25891" w:rsidRPr="00C51D01" w:rsidRDefault="00E25891">
      <w:pPr>
        <w:pStyle w:val="BodyText"/>
        <w:spacing w:after="0"/>
        <w:jc w:val="both"/>
        <w:rPr>
          <w:sz w:val="22"/>
          <w:szCs w:val="22"/>
          <w:lang w:val="lv-LV"/>
        </w:rPr>
      </w:pPr>
    </w:p>
    <w:p w14:paraId="70D42C1B" w14:textId="7D00992D" w:rsidR="007D6126" w:rsidRDefault="00A97339">
      <w:pPr>
        <w:pStyle w:val="BodyText"/>
        <w:spacing w:after="0"/>
        <w:jc w:val="both"/>
        <w:rPr>
          <w:sz w:val="22"/>
          <w:szCs w:val="22"/>
          <w:lang w:val="lv-LV"/>
        </w:rPr>
      </w:pPr>
      <w:r w:rsidRPr="00C51D01">
        <w:rPr>
          <w:sz w:val="22"/>
          <w:szCs w:val="22"/>
          <w:lang w:val="lv-LV"/>
        </w:rPr>
        <w:t>Lietojot</w:t>
      </w:r>
      <w:r w:rsidR="00F0354C" w:rsidRPr="00C51D01">
        <w:rPr>
          <w:sz w:val="22"/>
          <w:szCs w:val="22"/>
          <w:lang w:val="lv-LV"/>
        </w:rPr>
        <w:t xml:space="preserve"> uz brūces</w:t>
      </w:r>
      <w:r w:rsidR="00677391" w:rsidRPr="00C51D01">
        <w:rPr>
          <w:sz w:val="22"/>
          <w:szCs w:val="22"/>
          <w:lang w:val="lv-LV"/>
        </w:rPr>
        <w:t>,</w:t>
      </w:r>
      <w:r w:rsidRPr="00C51D01">
        <w:rPr>
          <w:sz w:val="22"/>
          <w:szCs w:val="22"/>
          <w:lang w:val="lv-LV"/>
        </w:rPr>
        <w:t xml:space="preserve"> </w:t>
      </w:r>
      <w:r w:rsidR="00E52E41" w:rsidRPr="00C51D01">
        <w:rPr>
          <w:sz w:val="22"/>
          <w:szCs w:val="22"/>
          <w:lang w:val="lv-LV"/>
        </w:rPr>
        <w:t>ierīvēšanas</w:t>
      </w:r>
      <w:r w:rsidRPr="00C51D01">
        <w:rPr>
          <w:sz w:val="22"/>
          <w:szCs w:val="22"/>
          <w:lang w:val="lv-LV"/>
        </w:rPr>
        <w:t xml:space="preserve"> laikā iespējama viegla dedzināšanas sajūta.</w:t>
      </w:r>
      <w:r w:rsidR="00F14A38" w:rsidRPr="00C51D01">
        <w:rPr>
          <w:sz w:val="22"/>
          <w:szCs w:val="22"/>
          <w:lang w:val="lv-LV"/>
        </w:rPr>
        <w:t xml:space="preserve"> </w:t>
      </w:r>
    </w:p>
    <w:p w14:paraId="740593F2" w14:textId="76F5158A" w:rsidR="00DC2094" w:rsidRPr="00C51D01" w:rsidRDefault="00E25891">
      <w:pPr>
        <w:pStyle w:val="BodyText"/>
        <w:spacing w:after="0"/>
        <w:jc w:val="both"/>
        <w:rPr>
          <w:sz w:val="22"/>
          <w:szCs w:val="22"/>
          <w:lang w:val="lv-LV"/>
        </w:rPr>
      </w:pPr>
      <w:r w:rsidRPr="00C51D01">
        <w:rPr>
          <w:sz w:val="22"/>
          <w:szCs w:val="22"/>
          <w:lang w:val="lv-LV"/>
        </w:rPr>
        <w:t>Nepieļaut zā</w:t>
      </w:r>
      <w:r w:rsidR="007D6126">
        <w:rPr>
          <w:sz w:val="22"/>
          <w:szCs w:val="22"/>
          <w:lang w:val="lv-LV"/>
        </w:rPr>
        <w:t>ļu</w:t>
      </w:r>
      <w:r w:rsidR="00F0354C" w:rsidRPr="00C51D01">
        <w:rPr>
          <w:sz w:val="22"/>
          <w:szCs w:val="22"/>
          <w:lang w:val="lv-LV"/>
        </w:rPr>
        <w:t xml:space="preserve"> </w:t>
      </w:r>
      <w:r w:rsidR="007D6126">
        <w:rPr>
          <w:sz w:val="22"/>
          <w:szCs w:val="22"/>
          <w:lang w:val="lv-LV"/>
        </w:rPr>
        <w:t>iekļūšanu</w:t>
      </w:r>
      <w:r w:rsidR="007D6126" w:rsidRPr="00C51D01">
        <w:rPr>
          <w:sz w:val="22"/>
          <w:szCs w:val="22"/>
          <w:lang w:val="lv-LV"/>
        </w:rPr>
        <w:t xml:space="preserve"> </w:t>
      </w:r>
      <w:r w:rsidR="00F0354C" w:rsidRPr="00C51D01">
        <w:rPr>
          <w:sz w:val="22"/>
          <w:szCs w:val="22"/>
          <w:lang w:val="lv-LV"/>
        </w:rPr>
        <w:t xml:space="preserve">acīs. Ja tas notiek, acis rūpīgi </w:t>
      </w:r>
      <w:r w:rsidR="00F14A38" w:rsidRPr="00C51D01">
        <w:rPr>
          <w:sz w:val="22"/>
          <w:szCs w:val="22"/>
          <w:lang w:val="lv-LV"/>
        </w:rPr>
        <w:t>jāizskalo</w:t>
      </w:r>
      <w:r w:rsidR="00F0354C" w:rsidRPr="00C51D01">
        <w:rPr>
          <w:sz w:val="22"/>
          <w:szCs w:val="22"/>
          <w:lang w:val="lv-LV"/>
        </w:rPr>
        <w:t xml:space="preserve"> ar ūdeni.</w:t>
      </w:r>
    </w:p>
    <w:p w14:paraId="1509A520" w14:textId="77777777" w:rsidR="00A97339" w:rsidRPr="00C51D01" w:rsidRDefault="00A97339" w:rsidP="00986A46">
      <w:pPr>
        <w:widowControl w:val="0"/>
        <w:overflowPunct w:val="0"/>
        <w:autoSpaceDE w:val="0"/>
        <w:autoSpaceDN w:val="0"/>
        <w:adjustRightInd w:val="0"/>
        <w:spacing w:after="0" w:line="240" w:lineRule="auto"/>
        <w:ind w:right="20"/>
        <w:jc w:val="both"/>
        <w:rPr>
          <w:rFonts w:ascii="Times New Roman" w:hAnsi="Times New Roman"/>
          <w:lang w:val="lv-LV"/>
        </w:rPr>
      </w:pPr>
    </w:p>
    <w:p w14:paraId="2E108588" w14:textId="53C305E2" w:rsidR="00DC2094" w:rsidRPr="00C51D01" w:rsidRDefault="00A97339" w:rsidP="002A3FDD">
      <w:pPr>
        <w:pStyle w:val="BodyText"/>
        <w:spacing w:after="0"/>
        <w:rPr>
          <w:sz w:val="22"/>
          <w:szCs w:val="22"/>
          <w:lang w:val="lv-LV"/>
        </w:rPr>
      </w:pPr>
      <w:r w:rsidRPr="00C51D01">
        <w:rPr>
          <w:sz w:val="22"/>
          <w:szCs w:val="22"/>
          <w:lang w:val="lv-LV"/>
        </w:rPr>
        <w:t>Lokāl</w:t>
      </w:r>
      <w:r w:rsidR="00F60C10">
        <w:rPr>
          <w:sz w:val="22"/>
          <w:szCs w:val="22"/>
          <w:lang w:val="lv-LV"/>
        </w:rPr>
        <w:t>i lietojam</w:t>
      </w:r>
      <w:r w:rsidR="003D6899">
        <w:rPr>
          <w:sz w:val="22"/>
          <w:szCs w:val="22"/>
          <w:lang w:val="lv-LV"/>
        </w:rPr>
        <w:t>o</w:t>
      </w:r>
      <w:r w:rsidRPr="00C51D01">
        <w:rPr>
          <w:sz w:val="22"/>
          <w:szCs w:val="22"/>
          <w:lang w:val="lv-LV"/>
        </w:rPr>
        <w:t xml:space="preserve"> zāļu ilgstoša lietošana var izraisīt </w:t>
      </w:r>
      <w:r w:rsidR="00F60C10">
        <w:rPr>
          <w:sz w:val="22"/>
          <w:szCs w:val="22"/>
          <w:lang w:val="lv-LV"/>
        </w:rPr>
        <w:t>sensibilizāciju</w:t>
      </w:r>
      <w:r w:rsidRPr="00C51D01">
        <w:rPr>
          <w:sz w:val="22"/>
          <w:szCs w:val="22"/>
          <w:lang w:val="lv-LV"/>
        </w:rPr>
        <w:t xml:space="preserve">. </w:t>
      </w:r>
      <w:r w:rsidR="00370C41">
        <w:rPr>
          <w:sz w:val="22"/>
          <w:szCs w:val="22"/>
          <w:lang w:val="lv-LV"/>
        </w:rPr>
        <w:t xml:space="preserve">Ja rodas lokāla sensibilizācija vai alerģiskas reakcijas, </w:t>
      </w:r>
      <w:r w:rsidRPr="00C51D01">
        <w:rPr>
          <w:sz w:val="22"/>
          <w:szCs w:val="22"/>
          <w:lang w:val="lv-LV"/>
        </w:rPr>
        <w:t>zāļu lietošana</w:t>
      </w:r>
      <w:r w:rsidR="00DC2094" w:rsidRPr="00C51D01">
        <w:rPr>
          <w:sz w:val="22"/>
          <w:szCs w:val="22"/>
          <w:lang w:val="lv-LV"/>
        </w:rPr>
        <w:t xml:space="preserve"> </w:t>
      </w:r>
      <w:r w:rsidR="00370C41" w:rsidRPr="00C51D01">
        <w:rPr>
          <w:sz w:val="22"/>
          <w:szCs w:val="22"/>
          <w:lang w:val="lv-LV"/>
        </w:rPr>
        <w:t>jāpārtrauc</w:t>
      </w:r>
      <w:r w:rsidR="00D2776E" w:rsidRPr="00C51D01">
        <w:rPr>
          <w:sz w:val="22"/>
          <w:szCs w:val="22"/>
          <w:lang w:val="lv-LV"/>
        </w:rPr>
        <w:t xml:space="preserve">. </w:t>
      </w:r>
    </w:p>
    <w:p w14:paraId="4ADF8221" w14:textId="2667CE8B" w:rsidR="00A97339" w:rsidRDefault="00A97339" w:rsidP="00986A46">
      <w:pPr>
        <w:widowControl w:val="0"/>
        <w:autoSpaceDE w:val="0"/>
        <w:autoSpaceDN w:val="0"/>
        <w:adjustRightInd w:val="0"/>
        <w:spacing w:after="0" w:line="240" w:lineRule="auto"/>
        <w:jc w:val="both"/>
        <w:rPr>
          <w:rFonts w:ascii="Times New Roman" w:hAnsi="Times New Roman"/>
          <w:lang w:val="lv-LV"/>
        </w:rPr>
      </w:pPr>
    </w:p>
    <w:p w14:paraId="602E3F93" w14:textId="7CE3344A" w:rsidR="00370C41" w:rsidRPr="002A3FDD" w:rsidRDefault="00370C41" w:rsidP="002A3FDD">
      <w:pPr>
        <w:spacing w:after="0" w:line="240" w:lineRule="auto"/>
        <w:rPr>
          <w:rFonts w:ascii="Times New Roman" w:hAnsi="Times New Roman"/>
        </w:rPr>
      </w:pPr>
      <w:bookmarkStart w:id="0" w:name="_Hlk93336104"/>
      <w:r>
        <w:rPr>
          <w:rFonts w:ascii="Times New Roman" w:hAnsi="Times New Roman"/>
          <w:lang w:val="lv-LV"/>
        </w:rPr>
        <w:t xml:space="preserve">Grūtniecības un barošanas </w:t>
      </w:r>
      <w:r w:rsidR="002D39F3">
        <w:rPr>
          <w:rFonts w:ascii="Times New Roman" w:hAnsi="Times New Roman"/>
          <w:lang w:val="lv-LV"/>
        </w:rPr>
        <w:t xml:space="preserve">ar krūti </w:t>
      </w:r>
      <w:r>
        <w:rPr>
          <w:rFonts w:ascii="Times New Roman" w:hAnsi="Times New Roman"/>
          <w:lang w:val="lv-LV"/>
        </w:rPr>
        <w:t xml:space="preserve">laikā </w:t>
      </w:r>
      <w:proofErr w:type="spellStart"/>
      <w:r>
        <w:rPr>
          <w:rFonts w:ascii="Times New Roman" w:hAnsi="Times New Roman"/>
          <w:lang w:val="lv-LV"/>
        </w:rPr>
        <w:t>fentikonazolu</w:t>
      </w:r>
      <w:proofErr w:type="spellEnd"/>
      <w:r>
        <w:rPr>
          <w:rFonts w:ascii="Times New Roman" w:hAnsi="Times New Roman"/>
          <w:lang w:val="lv-LV"/>
        </w:rPr>
        <w:t xml:space="preserve"> </w:t>
      </w:r>
      <w:r w:rsidRPr="002A3FDD">
        <w:rPr>
          <w:rFonts w:ascii="Times New Roman" w:hAnsi="Times New Roman"/>
        </w:rPr>
        <w:t xml:space="preserve">drīkst lietot tikai ārsta uzraudzībā </w:t>
      </w:r>
      <w:bookmarkEnd w:id="0"/>
      <w:r w:rsidRPr="002A3FDD">
        <w:rPr>
          <w:rFonts w:ascii="Times New Roman" w:hAnsi="Times New Roman"/>
        </w:rPr>
        <w:t>(skatīt 4.6. apakšpunktu).</w:t>
      </w:r>
    </w:p>
    <w:p w14:paraId="776B72E0" w14:textId="6949E3A2" w:rsidR="00370C41" w:rsidRPr="00C51D01" w:rsidRDefault="00370C41" w:rsidP="00986A46">
      <w:pPr>
        <w:widowControl w:val="0"/>
        <w:autoSpaceDE w:val="0"/>
        <w:autoSpaceDN w:val="0"/>
        <w:adjustRightInd w:val="0"/>
        <w:spacing w:after="0" w:line="240" w:lineRule="auto"/>
        <w:jc w:val="both"/>
        <w:rPr>
          <w:rFonts w:ascii="Times New Roman" w:hAnsi="Times New Roman"/>
          <w:lang w:val="lv-LV"/>
        </w:rPr>
      </w:pPr>
    </w:p>
    <w:p w14:paraId="63055185" w14:textId="44B202FD" w:rsidR="00DD72D3" w:rsidRPr="00C51D01" w:rsidRDefault="00370C41" w:rsidP="002A3FDD">
      <w:pPr>
        <w:widowControl w:val="0"/>
        <w:tabs>
          <w:tab w:val="num" w:pos="928"/>
        </w:tabs>
        <w:overflowPunct w:val="0"/>
        <w:autoSpaceDE w:val="0"/>
        <w:autoSpaceDN w:val="0"/>
        <w:adjustRightInd w:val="0"/>
        <w:spacing w:after="0" w:line="240" w:lineRule="auto"/>
        <w:jc w:val="both"/>
        <w:rPr>
          <w:rFonts w:ascii="Times New Roman" w:hAnsi="Times New Roman"/>
          <w:b/>
          <w:bCs/>
          <w:lang w:val="lv-LV"/>
        </w:rPr>
      </w:pPr>
      <w:r>
        <w:rPr>
          <w:rFonts w:ascii="Times New Roman" w:hAnsi="Times New Roman"/>
          <w:lang w:val="lv-LV"/>
        </w:rPr>
        <w:t>Šīs zāles</w:t>
      </w:r>
      <w:r w:rsidRPr="00C51D01">
        <w:rPr>
          <w:rFonts w:ascii="Times New Roman" w:hAnsi="Times New Roman"/>
          <w:lang w:val="lv-LV"/>
        </w:rPr>
        <w:t xml:space="preserve"> </w:t>
      </w:r>
      <w:r w:rsidR="00A97339" w:rsidRPr="00C51D01">
        <w:rPr>
          <w:rFonts w:ascii="Times New Roman" w:hAnsi="Times New Roman"/>
          <w:lang w:val="lv-LV"/>
        </w:rPr>
        <w:t xml:space="preserve">satur </w:t>
      </w:r>
      <w:r>
        <w:rPr>
          <w:rFonts w:ascii="Times New Roman" w:hAnsi="Times New Roman"/>
          <w:lang w:val="lv-LV"/>
        </w:rPr>
        <w:t>50</w:t>
      </w:r>
      <w:r w:rsidR="003C0D1A">
        <w:rPr>
          <w:rFonts w:ascii="Times New Roman" w:hAnsi="Times New Roman"/>
          <w:lang w:val="lv-LV"/>
        </w:rPr>
        <w:t> </w:t>
      </w:r>
      <w:r>
        <w:rPr>
          <w:rFonts w:ascii="Times New Roman" w:hAnsi="Times New Roman"/>
          <w:lang w:val="lv-LV"/>
        </w:rPr>
        <w:t xml:space="preserve">mg </w:t>
      </w:r>
      <w:r w:rsidR="00304FD2">
        <w:rPr>
          <w:rFonts w:ascii="Times New Roman" w:hAnsi="Times New Roman"/>
          <w:lang w:val="lv-LV"/>
        </w:rPr>
        <w:t>p</w:t>
      </w:r>
      <w:r w:rsidRPr="00C51D01">
        <w:rPr>
          <w:rFonts w:ascii="Times New Roman" w:hAnsi="Times New Roman"/>
          <w:lang w:val="lv-LV"/>
        </w:rPr>
        <w:t>ropilēnglikol</w:t>
      </w:r>
      <w:r>
        <w:rPr>
          <w:rFonts w:ascii="Times New Roman" w:hAnsi="Times New Roman"/>
          <w:lang w:val="lv-LV"/>
        </w:rPr>
        <w:t xml:space="preserve">a </w:t>
      </w:r>
      <w:r w:rsidR="00DD72D3">
        <w:rPr>
          <w:rFonts w:ascii="Times New Roman" w:hAnsi="Times New Roman"/>
          <w:lang w:val="lv-LV"/>
        </w:rPr>
        <w:t>katrā gramā.</w:t>
      </w:r>
      <w:r w:rsidR="00DD72D3" w:rsidRPr="00DD72D3">
        <w:rPr>
          <w:rFonts w:ascii="Times New Roman" w:hAnsi="Times New Roman"/>
          <w:lang w:val="lv-LV"/>
        </w:rPr>
        <w:t xml:space="preserve"> </w:t>
      </w:r>
      <w:r w:rsidR="00DD72D3">
        <w:rPr>
          <w:rFonts w:ascii="Times New Roman" w:hAnsi="Times New Roman"/>
          <w:lang w:val="lv-LV"/>
        </w:rPr>
        <w:t>Propilēnglikols</w:t>
      </w:r>
      <w:r w:rsidR="00DD72D3" w:rsidRPr="00C51D01">
        <w:rPr>
          <w:rFonts w:ascii="Times New Roman" w:hAnsi="Times New Roman"/>
          <w:lang w:val="lv-LV"/>
        </w:rPr>
        <w:t xml:space="preserve"> var </w:t>
      </w:r>
      <w:r w:rsidR="00DD72D3" w:rsidRPr="00DD72D3">
        <w:rPr>
          <w:rFonts w:ascii="Times New Roman" w:hAnsi="Times New Roman"/>
          <w:lang w:val="lv-LV"/>
        </w:rPr>
        <w:t xml:space="preserve">izraisīt ādas karinājumu. Pacienti jābrīdina nelietot šīs zāles </w:t>
      </w:r>
      <w:r w:rsidR="00DD72D3" w:rsidRPr="004712DE">
        <w:rPr>
          <w:rFonts w:ascii="Times New Roman" w:hAnsi="Times New Roman"/>
          <w:lang w:val="lv-LV" w:eastAsia="en-US"/>
        </w:rPr>
        <w:t>bērniem, jaunākiem par 4 nedēļām,</w:t>
      </w:r>
      <w:r w:rsidR="00B81B1D" w:rsidRPr="004712DE">
        <w:rPr>
          <w:rFonts w:ascii="Times New Roman" w:hAnsi="Times New Roman"/>
          <w:lang w:val="lv-LV" w:eastAsia="en-US"/>
        </w:rPr>
        <w:t xml:space="preserve"> </w:t>
      </w:r>
      <w:r w:rsidR="00DD72D3" w:rsidRPr="004712DE">
        <w:rPr>
          <w:rFonts w:ascii="Times New Roman" w:hAnsi="Times New Roman"/>
          <w:lang w:val="lv-LV" w:eastAsia="en-US"/>
        </w:rPr>
        <w:t xml:space="preserve">uz </w:t>
      </w:r>
      <w:r w:rsidR="00B81B1D" w:rsidRPr="004712DE">
        <w:rPr>
          <w:rFonts w:ascii="Times New Roman" w:hAnsi="Times New Roman"/>
          <w:lang w:val="lv-LV" w:eastAsia="en-US"/>
        </w:rPr>
        <w:t>vaļējām</w:t>
      </w:r>
      <w:r w:rsidR="00DD72D3" w:rsidRPr="004712DE">
        <w:rPr>
          <w:rFonts w:ascii="Times New Roman" w:hAnsi="Times New Roman"/>
          <w:lang w:val="lv-LV" w:eastAsia="en-US"/>
        </w:rPr>
        <w:t xml:space="preserve"> brūcēm vai plašiem plaisājošiem vai bojātiem ādas laukumiem (piemēram,</w:t>
      </w:r>
      <w:r w:rsidR="00B81B1D" w:rsidRPr="004712DE">
        <w:rPr>
          <w:rFonts w:ascii="Times New Roman" w:hAnsi="Times New Roman"/>
          <w:lang w:val="lv-LV" w:eastAsia="en-US"/>
        </w:rPr>
        <w:t xml:space="preserve"> </w:t>
      </w:r>
      <w:r w:rsidR="00DD72D3" w:rsidRPr="004712DE">
        <w:rPr>
          <w:rFonts w:ascii="Times New Roman" w:hAnsi="Times New Roman"/>
          <w:lang w:val="lv-LV" w:eastAsia="en-US"/>
        </w:rPr>
        <w:t>apdegumiem), iepriekš nekonsultējoties ar ārstu vai farmaceitu.</w:t>
      </w:r>
      <w:r w:rsidR="001D0FDA">
        <w:rPr>
          <w:rFonts w:ascii="Times New Roman" w:hAnsi="Times New Roman"/>
          <w:lang w:val="lv-LV" w:eastAsia="en-US"/>
        </w:rPr>
        <w:t xml:space="preserve"> </w:t>
      </w:r>
      <w:r w:rsidR="00DD72D3">
        <w:rPr>
          <w:rFonts w:ascii="Times New Roman" w:hAnsi="Times New Roman"/>
          <w:lang w:val="lv-LV"/>
        </w:rPr>
        <w:t xml:space="preserve">Zāles satur </w:t>
      </w:r>
      <w:r w:rsidR="00DD72D3" w:rsidRPr="00C51D01">
        <w:rPr>
          <w:rFonts w:ascii="Times New Roman" w:hAnsi="Times New Roman"/>
          <w:lang w:val="lv-LV"/>
        </w:rPr>
        <w:t>cetilspirtu</w:t>
      </w:r>
      <w:r w:rsidR="00DD72D3">
        <w:rPr>
          <w:rFonts w:ascii="Times New Roman" w:hAnsi="Times New Roman"/>
          <w:lang w:val="lv-LV"/>
        </w:rPr>
        <w:t xml:space="preserve"> </w:t>
      </w:r>
      <w:r w:rsidR="00DD72D3" w:rsidRPr="00C51D01">
        <w:rPr>
          <w:rFonts w:ascii="Times New Roman" w:hAnsi="Times New Roman"/>
          <w:lang w:val="lv-LV"/>
        </w:rPr>
        <w:t>un</w:t>
      </w:r>
      <w:r w:rsidR="00DD72D3">
        <w:rPr>
          <w:rFonts w:ascii="Times New Roman" w:hAnsi="Times New Roman"/>
          <w:lang w:val="lv-LV"/>
        </w:rPr>
        <w:t xml:space="preserve"> </w:t>
      </w:r>
      <w:r w:rsidR="006F5016">
        <w:rPr>
          <w:rFonts w:ascii="Times New Roman" w:hAnsi="Times New Roman"/>
          <w:lang w:val="lv-LV"/>
        </w:rPr>
        <w:t>vilnas taukus (l</w:t>
      </w:r>
      <w:r w:rsidR="00DD72D3" w:rsidRPr="00C51D01">
        <w:rPr>
          <w:rFonts w:ascii="Times New Roman" w:hAnsi="Times New Roman"/>
          <w:lang w:val="lv-LV"/>
        </w:rPr>
        <w:t>anolīnu</w:t>
      </w:r>
      <w:r w:rsidR="006F5016">
        <w:rPr>
          <w:rFonts w:ascii="Times New Roman" w:hAnsi="Times New Roman"/>
          <w:lang w:val="lv-LV"/>
        </w:rPr>
        <w:t>),</w:t>
      </w:r>
      <w:r w:rsidR="00DD72D3" w:rsidRPr="00C51D01">
        <w:rPr>
          <w:rFonts w:ascii="Times New Roman" w:hAnsi="Times New Roman"/>
          <w:lang w:val="lv-LV"/>
        </w:rPr>
        <w:t xml:space="preserve"> kas var izraisīt lokālas ādas reakcijas</w:t>
      </w:r>
      <w:r w:rsidR="006F5016">
        <w:rPr>
          <w:rFonts w:ascii="Times New Roman" w:hAnsi="Times New Roman"/>
          <w:lang w:val="lv-LV"/>
        </w:rPr>
        <w:t xml:space="preserve"> (piemēram, kontaktdermatītu)</w:t>
      </w:r>
      <w:r w:rsidR="00DD72D3" w:rsidRPr="00C51D01">
        <w:rPr>
          <w:rFonts w:ascii="Times New Roman" w:hAnsi="Times New Roman"/>
          <w:lang w:val="lv-LV"/>
        </w:rPr>
        <w:t xml:space="preserve">. </w:t>
      </w:r>
    </w:p>
    <w:p w14:paraId="6AFCDF89" w14:textId="77777777" w:rsidR="00F60C10" w:rsidRDefault="00F60C10" w:rsidP="00A44FB6">
      <w:pPr>
        <w:widowControl w:val="0"/>
        <w:overflowPunct w:val="0"/>
        <w:autoSpaceDE w:val="0"/>
        <w:autoSpaceDN w:val="0"/>
        <w:adjustRightInd w:val="0"/>
        <w:spacing w:after="0" w:line="240" w:lineRule="auto"/>
        <w:jc w:val="both"/>
        <w:rPr>
          <w:rFonts w:ascii="Times New Roman" w:hAnsi="Times New Roman"/>
          <w:b/>
          <w:bCs/>
          <w:lang w:val="lv-LV"/>
        </w:rPr>
      </w:pPr>
    </w:p>
    <w:p w14:paraId="59C09ABD" w14:textId="23AAD011" w:rsidR="00A97339" w:rsidRPr="00C51D01" w:rsidRDefault="00B74570" w:rsidP="00A44FB6">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4.5.</w:t>
      </w:r>
      <w:r w:rsidRPr="00C51D01">
        <w:rPr>
          <w:rFonts w:ascii="Times New Roman" w:hAnsi="Times New Roman"/>
          <w:b/>
          <w:bCs/>
          <w:lang w:val="lv-LV"/>
        </w:rPr>
        <w:tab/>
      </w:r>
      <w:r w:rsidR="00A97339" w:rsidRPr="00C51D01">
        <w:rPr>
          <w:rFonts w:ascii="Times New Roman" w:hAnsi="Times New Roman"/>
          <w:b/>
          <w:bCs/>
          <w:lang w:val="lv-LV"/>
        </w:rPr>
        <w:t xml:space="preserve">Mijiedarbība ar citām zālēm un citi mijiedarbības veidi </w:t>
      </w:r>
    </w:p>
    <w:p w14:paraId="4CFD35F4" w14:textId="77777777" w:rsidR="00D2776E" w:rsidRPr="00C51D01" w:rsidRDefault="00D2776E" w:rsidP="00986A46">
      <w:pPr>
        <w:widowControl w:val="0"/>
        <w:overflowPunct w:val="0"/>
        <w:autoSpaceDE w:val="0"/>
        <w:autoSpaceDN w:val="0"/>
        <w:adjustRightInd w:val="0"/>
        <w:spacing w:after="0" w:line="240" w:lineRule="auto"/>
        <w:ind w:right="20"/>
        <w:jc w:val="both"/>
        <w:rPr>
          <w:rFonts w:ascii="Times New Roman" w:hAnsi="Times New Roman"/>
          <w:lang w:val="lv-LV"/>
        </w:rPr>
      </w:pPr>
    </w:p>
    <w:p w14:paraId="290B9DB2" w14:textId="13E1345E" w:rsidR="00A97339" w:rsidRPr="00C51D01" w:rsidRDefault="00D36310" w:rsidP="00986A4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Mijiedarbības pētījumi nav veikti.</w:t>
      </w:r>
    </w:p>
    <w:p w14:paraId="3DAD7727" w14:textId="77777777" w:rsidR="00126B74" w:rsidRPr="00C51D01" w:rsidRDefault="00126B74" w:rsidP="00986A46">
      <w:pPr>
        <w:widowControl w:val="0"/>
        <w:autoSpaceDE w:val="0"/>
        <w:autoSpaceDN w:val="0"/>
        <w:adjustRightInd w:val="0"/>
        <w:spacing w:after="0" w:line="240" w:lineRule="auto"/>
        <w:jc w:val="both"/>
        <w:rPr>
          <w:rFonts w:ascii="Times New Roman" w:hAnsi="Times New Roman"/>
          <w:lang w:val="lv-LV"/>
        </w:rPr>
      </w:pPr>
    </w:p>
    <w:p w14:paraId="42C0E391" w14:textId="41A2BD96"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4.6</w:t>
      </w:r>
      <w:r w:rsidR="00B74570" w:rsidRPr="00C51D01">
        <w:rPr>
          <w:rFonts w:ascii="Times New Roman" w:hAnsi="Times New Roman"/>
          <w:b/>
          <w:bCs/>
          <w:lang w:val="lv-LV"/>
        </w:rPr>
        <w:t>.</w:t>
      </w:r>
      <w:r w:rsidR="00F0354C" w:rsidRPr="00C51D01">
        <w:rPr>
          <w:rFonts w:ascii="Times New Roman" w:hAnsi="Times New Roman"/>
          <w:b/>
          <w:bCs/>
          <w:lang w:val="lv-LV"/>
        </w:rPr>
        <w:tab/>
      </w:r>
      <w:r w:rsidR="008D32A3">
        <w:rPr>
          <w:rFonts w:ascii="Times New Roman" w:hAnsi="Times New Roman"/>
          <w:b/>
          <w:bCs/>
          <w:lang w:val="lv-LV"/>
        </w:rPr>
        <w:t>Fertilitāte, g</w:t>
      </w:r>
      <w:r w:rsidRPr="00C51D01">
        <w:rPr>
          <w:rFonts w:ascii="Times New Roman" w:hAnsi="Times New Roman"/>
          <w:b/>
          <w:bCs/>
          <w:lang w:val="lv-LV"/>
        </w:rPr>
        <w:t xml:space="preserve">rūtniecība un </w:t>
      </w:r>
      <w:r w:rsidR="00C954B2" w:rsidRPr="00C51D01">
        <w:rPr>
          <w:rFonts w:ascii="Times New Roman" w:hAnsi="Times New Roman"/>
          <w:b/>
          <w:bCs/>
          <w:lang w:val="lv-LV"/>
        </w:rPr>
        <w:t>barošana ar krūti</w:t>
      </w:r>
    </w:p>
    <w:p w14:paraId="7CE707B1" w14:textId="77777777" w:rsidR="00D2776E" w:rsidRPr="00C51D01" w:rsidRDefault="00D2776E" w:rsidP="00986A46">
      <w:pPr>
        <w:widowControl w:val="0"/>
        <w:overflowPunct w:val="0"/>
        <w:autoSpaceDE w:val="0"/>
        <w:autoSpaceDN w:val="0"/>
        <w:adjustRightInd w:val="0"/>
        <w:spacing w:after="0" w:line="240" w:lineRule="auto"/>
        <w:ind w:right="20"/>
        <w:jc w:val="both"/>
        <w:rPr>
          <w:rFonts w:ascii="Times New Roman" w:hAnsi="Times New Roman"/>
          <w:lang w:val="lv-LV"/>
        </w:rPr>
      </w:pPr>
    </w:p>
    <w:p w14:paraId="0926712F" w14:textId="303EC6E2" w:rsidR="006F5016" w:rsidRDefault="006F5016">
      <w:pPr>
        <w:widowControl w:val="0"/>
        <w:overflowPunct w:val="0"/>
        <w:autoSpaceDE w:val="0"/>
        <w:autoSpaceDN w:val="0"/>
        <w:adjustRightInd w:val="0"/>
        <w:spacing w:after="0" w:line="240" w:lineRule="auto"/>
        <w:ind w:right="20"/>
        <w:rPr>
          <w:rFonts w:ascii="Times New Roman" w:hAnsi="Times New Roman"/>
          <w:u w:val="single"/>
          <w:lang w:val="lv-LV"/>
        </w:rPr>
      </w:pPr>
      <w:r w:rsidRPr="002A3FDD">
        <w:rPr>
          <w:rFonts w:ascii="Times New Roman" w:hAnsi="Times New Roman"/>
          <w:u w:val="single"/>
          <w:lang w:val="lv-LV"/>
        </w:rPr>
        <w:t>Grūtniecība</w:t>
      </w:r>
    </w:p>
    <w:p w14:paraId="7360AB2F" w14:textId="683D4C01" w:rsidR="006F5016" w:rsidRDefault="006F5016">
      <w:pPr>
        <w:widowControl w:val="0"/>
        <w:overflowPunct w:val="0"/>
        <w:autoSpaceDE w:val="0"/>
        <w:autoSpaceDN w:val="0"/>
        <w:adjustRightInd w:val="0"/>
        <w:spacing w:after="0" w:line="240" w:lineRule="auto"/>
        <w:ind w:right="20"/>
        <w:rPr>
          <w:rFonts w:ascii="Times New Roman" w:hAnsi="Times New Roman"/>
        </w:rPr>
      </w:pPr>
      <w:r w:rsidRPr="002A3FDD">
        <w:rPr>
          <w:rFonts w:ascii="Times New Roman" w:hAnsi="Times New Roman"/>
          <w:lang w:val="lv-LV"/>
        </w:rPr>
        <w:t>Datu apjoms par fentikonazola lietošanu grūtniecēm ir ierobežots. Pētījumos ar dzīvniekiem nav konstatēta teratogēna iedarbība, un embriotoksiska un fetotoksiska iedarbība novērota tikai pie ļoti lielām devām</w:t>
      </w:r>
      <w:r w:rsidR="002D39F3">
        <w:rPr>
          <w:rFonts w:ascii="Times New Roman" w:hAnsi="Times New Roman"/>
          <w:lang w:val="lv-LV"/>
        </w:rPr>
        <w:t>, lietojot iekšķīgi</w:t>
      </w:r>
      <w:r w:rsidRPr="002A3FDD">
        <w:rPr>
          <w:rFonts w:ascii="Times New Roman" w:hAnsi="Times New Roman"/>
          <w:lang w:val="lv-LV"/>
        </w:rPr>
        <w:t xml:space="preserve">. Pat, ja transkutānā uzsūkšanās </w:t>
      </w:r>
      <w:r w:rsidR="00EA1B10" w:rsidRPr="002A3FDD">
        <w:rPr>
          <w:rFonts w:ascii="Times New Roman" w:hAnsi="Times New Roman"/>
          <w:lang w:val="lv-LV"/>
        </w:rPr>
        <w:t>ir</w:t>
      </w:r>
      <w:r w:rsidRPr="002A3FDD">
        <w:rPr>
          <w:rFonts w:ascii="Times New Roman" w:hAnsi="Times New Roman"/>
          <w:lang w:val="lv-LV"/>
        </w:rPr>
        <w:t xml:space="preserve"> pavisam nenozīmīga (skatīt </w:t>
      </w:r>
      <w:r w:rsidR="00EA1B10" w:rsidRPr="002A3FDD">
        <w:rPr>
          <w:rFonts w:ascii="Times New Roman" w:hAnsi="Times New Roman"/>
          <w:lang w:val="lv-LV"/>
        </w:rPr>
        <w:t xml:space="preserve">5.2. </w:t>
      </w:r>
      <w:r w:rsidRPr="002A3FDD">
        <w:rPr>
          <w:rFonts w:ascii="Times New Roman" w:hAnsi="Times New Roman"/>
          <w:lang w:val="lv-LV"/>
        </w:rPr>
        <w:t>apakšpunktu), risku nevar izslēgt.</w:t>
      </w:r>
      <w:r w:rsidR="00EA1B10" w:rsidRPr="002A3FDD">
        <w:rPr>
          <w:rFonts w:ascii="Times New Roman" w:hAnsi="Times New Roman"/>
          <w:lang w:val="lv-LV"/>
        </w:rPr>
        <w:t xml:space="preserve"> </w:t>
      </w:r>
      <w:bookmarkStart w:id="1" w:name="_Hlk93336373"/>
      <w:r w:rsidR="00EA1B10">
        <w:rPr>
          <w:rFonts w:ascii="Times New Roman" w:hAnsi="Times New Roman"/>
          <w:lang w:val="lv-LV"/>
        </w:rPr>
        <w:t xml:space="preserve">Grūtniecības laikā </w:t>
      </w:r>
      <w:proofErr w:type="spellStart"/>
      <w:r w:rsidR="00EA1B10">
        <w:rPr>
          <w:rFonts w:ascii="Times New Roman" w:hAnsi="Times New Roman"/>
          <w:lang w:val="lv-LV"/>
        </w:rPr>
        <w:t>fentikonazolu</w:t>
      </w:r>
      <w:proofErr w:type="spellEnd"/>
      <w:r w:rsidR="00EA1B10">
        <w:rPr>
          <w:rFonts w:ascii="Times New Roman" w:hAnsi="Times New Roman"/>
          <w:lang w:val="lv-LV"/>
        </w:rPr>
        <w:t xml:space="preserve"> </w:t>
      </w:r>
      <w:r w:rsidR="00EA1B10" w:rsidRPr="00181965">
        <w:rPr>
          <w:rFonts w:ascii="Times New Roman" w:hAnsi="Times New Roman"/>
        </w:rPr>
        <w:t>drīkst lietot tikai ārsta uzraudzībā</w:t>
      </w:r>
      <w:r w:rsidR="00EA1B10">
        <w:rPr>
          <w:rFonts w:ascii="Times New Roman" w:hAnsi="Times New Roman"/>
        </w:rPr>
        <w:t>.</w:t>
      </w:r>
    </w:p>
    <w:bookmarkEnd w:id="1"/>
    <w:p w14:paraId="7D63A2A4" w14:textId="76F66FF9" w:rsidR="00EA1B10" w:rsidRDefault="00EA1B10">
      <w:pPr>
        <w:widowControl w:val="0"/>
        <w:overflowPunct w:val="0"/>
        <w:autoSpaceDE w:val="0"/>
        <w:autoSpaceDN w:val="0"/>
        <w:adjustRightInd w:val="0"/>
        <w:spacing w:after="0" w:line="240" w:lineRule="auto"/>
        <w:ind w:right="20"/>
        <w:rPr>
          <w:rFonts w:ascii="Times New Roman" w:hAnsi="Times New Roman"/>
        </w:rPr>
      </w:pPr>
    </w:p>
    <w:p w14:paraId="673289F5" w14:textId="3BE5FCD0" w:rsidR="00EA1B10" w:rsidRPr="002A3FDD" w:rsidRDefault="00EA1B10">
      <w:pPr>
        <w:widowControl w:val="0"/>
        <w:overflowPunct w:val="0"/>
        <w:autoSpaceDE w:val="0"/>
        <w:autoSpaceDN w:val="0"/>
        <w:adjustRightInd w:val="0"/>
        <w:spacing w:after="0" w:line="240" w:lineRule="auto"/>
        <w:ind w:right="20"/>
        <w:rPr>
          <w:rFonts w:ascii="Times New Roman" w:hAnsi="Times New Roman"/>
          <w:u w:val="single"/>
          <w:lang w:val="lv-LV"/>
        </w:rPr>
      </w:pPr>
      <w:r w:rsidRPr="002A3FDD">
        <w:rPr>
          <w:rFonts w:ascii="Times New Roman" w:hAnsi="Times New Roman"/>
          <w:u w:val="single"/>
        </w:rPr>
        <w:t>Barošana ar krūti</w:t>
      </w:r>
    </w:p>
    <w:p w14:paraId="7A21E648" w14:textId="17B78475" w:rsidR="00EA1B10" w:rsidRPr="002A3FDD" w:rsidRDefault="00EA1B10">
      <w:pPr>
        <w:widowControl w:val="0"/>
        <w:overflowPunct w:val="0"/>
        <w:autoSpaceDE w:val="0"/>
        <w:autoSpaceDN w:val="0"/>
        <w:adjustRightInd w:val="0"/>
        <w:spacing w:after="0" w:line="240" w:lineRule="auto"/>
        <w:ind w:right="20"/>
        <w:rPr>
          <w:rFonts w:ascii="Times New Roman" w:hAnsi="Times New Roman"/>
        </w:rPr>
      </w:pPr>
      <w:r w:rsidRPr="00EA1B10">
        <w:rPr>
          <w:rFonts w:ascii="Times New Roman" w:hAnsi="Times New Roman"/>
          <w:lang w:val="lv-LV"/>
        </w:rPr>
        <w:t>Pētījumi ar dzīvniekiem</w:t>
      </w:r>
      <w:r>
        <w:rPr>
          <w:rFonts w:ascii="Times New Roman" w:hAnsi="Times New Roman"/>
          <w:lang w:val="lv-LV"/>
        </w:rPr>
        <w:t>,</w:t>
      </w:r>
      <w:r w:rsidRPr="00EA1B10">
        <w:rPr>
          <w:rFonts w:ascii="Times New Roman" w:hAnsi="Times New Roman"/>
          <w:lang w:val="lv-LV"/>
        </w:rPr>
        <w:t xml:space="preserve"> lietojot iekšķīgi</w:t>
      </w:r>
      <w:r>
        <w:rPr>
          <w:rFonts w:ascii="Times New Roman" w:hAnsi="Times New Roman"/>
          <w:lang w:val="lv-LV"/>
        </w:rPr>
        <w:t>,</w:t>
      </w:r>
      <w:r w:rsidRPr="00EA1B10">
        <w:rPr>
          <w:rFonts w:ascii="Times New Roman" w:hAnsi="Times New Roman"/>
          <w:lang w:val="lv-LV"/>
        </w:rPr>
        <w:t xml:space="preserve"> </w:t>
      </w:r>
      <w:r w:rsidR="002D39F3" w:rsidRPr="00EA1B10">
        <w:rPr>
          <w:rFonts w:ascii="Times New Roman" w:hAnsi="Times New Roman"/>
          <w:lang w:val="lv-LV"/>
        </w:rPr>
        <w:t>parādīj</w:t>
      </w:r>
      <w:r w:rsidR="002D39F3">
        <w:rPr>
          <w:rFonts w:ascii="Times New Roman" w:hAnsi="Times New Roman"/>
          <w:lang w:val="lv-LV"/>
        </w:rPr>
        <w:t>a</w:t>
      </w:r>
      <w:r w:rsidR="002D39F3" w:rsidRPr="00EA1B10">
        <w:rPr>
          <w:rFonts w:ascii="Times New Roman" w:hAnsi="Times New Roman"/>
          <w:lang w:val="lv-LV"/>
        </w:rPr>
        <w:t xml:space="preserve">, ka </w:t>
      </w:r>
      <w:r w:rsidRPr="00EA1B10">
        <w:rPr>
          <w:rFonts w:ascii="Times New Roman" w:hAnsi="Times New Roman"/>
          <w:lang w:val="lv-LV"/>
        </w:rPr>
        <w:t>fentikonazols un/vai tā metabolīti var izdalīties pienā.</w:t>
      </w:r>
      <w:r>
        <w:rPr>
          <w:rFonts w:ascii="Times New Roman" w:hAnsi="Times New Roman"/>
          <w:lang w:val="lv-LV"/>
        </w:rPr>
        <w:t xml:space="preserve"> </w:t>
      </w:r>
      <w:r w:rsidRPr="00EA1B10">
        <w:rPr>
          <w:rFonts w:ascii="Times New Roman" w:hAnsi="Times New Roman"/>
          <w:lang w:val="lv-LV"/>
        </w:rPr>
        <w:t xml:space="preserve">Pat ja nav pieejami dati, kas liecinātu, ka fentikonazola </w:t>
      </w:r>
      <w:r w:rsidR="00B81B1D" w:rsidRPr="00EA1B10">
        <w:rPr>
          <w:rFonts w:ascii="Times New Roman" w:hAnsi="Times New Roman"/>
          <w:lang w:val="lv-LV"/>
        </w:rPr>
        <w:t xml:space="preserve">dermatoloģiska </w:t>
      </w:r>
      <w:r>
        <w:rPr>
          <w:rFonts w:ascii="Times New Roman" w:hAnsi="Times New Roman"/>
          <w:lang w:val="lv-LV"/>
        </w:rPr>
        <w:t>lietošana</w:t>
      </w:r>
      <w:r w:rsidRPr="00EA1B10">
        <w:rPr>
          <w:rFonts w:ascii="Times New Roman" w:hAnsi="Times New Roman"/>
          <w:lang w:val="lv-LV"/>
        </w:rPr>
        <w:t xml:space="preserve"> cilvēkiem izraisa tā un/vai tā metabolītu izdalīšanos pienā, risku bērnam nevar izslēgt.</w:t>
      </w:r>
      <w:r w:rsidR="00FB225A">
        <w:rPr>
          <w:rFonts w:ascii="Times New Roman" w:hAnsi="Times New Roman"/>
          <w:lang w:val="lv-LV"/>
        </w:rPr>
        <w:t xml:space="preserve"> </w:t>
      </w:r>
      <w:r w:rsidR="0057288D">
        <w:rPr>
          <w:rFonts w:ascii="Times New Roman" w:hAnsi="Times New Roman"/>
          <w:lang w:val="lv-LV"/>
        </w:rPr>
        <w:t xml:space="preserve">Bērna </w:t>
      </w:r>
      <w:r w:rsidR="00FB225A">
        <w:rPr>
          <w:rFonts w:ascii="Times New Roman" w:hAnsi="Times New Roman"/>
          <w:lang w:val="lv-LV"/>
        </w:rPr>
        <w:t xml:space="preserve">barošanas </w:t>
      </w:r>
      <w:r w:rsidR="0057288D">
        <w:rPr>
          <w:rFonts w:ascii="Times New Roman" w:hAnsi="Times New Roman"/>
          <w:lang w:val="lv-LV"/>
        </w:rPr>
        <w:t xml:space="preserve">ar krūti </w:t>
      </w:r>
      <w:r w:rsidR="00FB225A">
        <w:rPr>
          <w:rFonts w:ascii="Times New Roman" w:hAnsi="Times New Roman"/>
          <w:lang w:val="lv-LV"/>
        </w:rPr>
        <w:t xml:space="preserve">laikā </w:t>
      </w:r>
      <w:proofErr w:type="spellStart"/>
      <w:r w:rsidR="00FB225A">
        <w:rPr>
          <w:rFonts w:ascii="Times New Roman" w:hAnsi="Times New Roman"/>
          <w:lang w:val="lv-LV"/>
        </w:rPr>
        <w:t>fentikonazolu</w:t>
      </w:r>
      <w:proofErr w:type="spellEnd"/>
      <w:r w:rsidR="00FB225A">
        <w:rPr>
          <w:rFonts w:ascii="Times New Roman" w:hAnsi="Times New Roman"/>
          <w:lang w:val="lv-LV"/>
        </w:rPr>
        <w:t xml:space="preserve"> </w:t>
      </w:r>
      <w:r w:rsidR="0057288D">
        <w:rPr>
          <w:rFonts w:ascii="Times New Roman" w:hAnsi="Times New Roman"/>
        </w:rPr>
        <w:t>jā</w:t>
      </w:r>
      <w:r w:rsidR="00FB225A" w:rsidRPr="00181965">
        <w:rPr>
          <w:rFonts w:ascii="Times New Roman" w:hAnsi="Times New Roman"/>
        </w:rPr>
        <w:t>lieto tikai ārsta uzraudzībā</w:t>
      </w:r>
      <w:r w:rsidR="00FB225A">
        <w:rPr>
          <w:rFonts w:ascii="Times New Roman" w:hAnsi="Times New Roman"/>
        </w:rPr>
        <w:t>.</w:t>
      </w:r>
    </w:p>
    <w:p w14:paraId="74C6888A" w14:textId="77777777" w:rsidR="00FB225A" w:rsidRDefault="00FB225A">
      <w:pPr>
        <w:widowControl w:val="0"/>
        <w:overflowPunct w:val="0"/>
        <w:autoSpaceDE w:val="0"/>
        <w:autoSpaceDN w:val="0"/>
        <w:adjustRightInd w:val="0"/>
        <w:spacing w:after="0" w:line="240" w:lineRule="auto"/>
        <w:ind w:right="20"/>
        <w:rPr>
          <w:rFonts w:ascii="Times New Roman" w:hAnsi="Times New Roman"/>
          <w:lang w:val="lv-LV"/>
        </w:rPr>
      </w:pPr>
    </w:p>
    <w:p w14:paraId="1BAE5584" w14:textId="63A45A40" w:rsidR="00FB225A" w:rsidRPr="002A3FDD" w:rsidRDefault="00FB225A">
      <w:pPr>
        <w:widowControl w:val="0"/>
        <w:overflowPunct w:val="0"/>
        <w:autoSpaceDE w:val="0"/>
        <w:autoSpaceDN w:val="0"/>
        <w:adjustRightInd w:val="0"/>
        <w:spacing w:after="0" w:line="240" w:lineRule="auto"/>
        <w:ind w:right="20"/>
        <w:rPr>
          <w:rFonts w:ascii="Times New Roman" w:hAnsi="Times New Roman"/>
          <w:u w:val="single"/>
          <w:lang w:val="lv-LV"/>
        </w:rPr>
      </w:pPr>
      <w:r w:rsidRPr="002A3FDD">
        <w:rPr>
          <w:rFonts w:ascii="Times New Roman" w:hAnsi="Times New Roman"/>
          <w:u w:val="single"/>
          <w:lang w:val="lv-LV"/>
        </w:rPr>
        <w:t xml:space="preserve">Fertilitāte </w:t>
      </w:r>
    </w:p>
    <w:p w14:paraId="170F3A12" w14:textId="2FD68E12" w:rsidR="00B81B1D" w:rsidRPr="00C51D01" w:rsidRDefault="0057288D" w:rsidP="002A3FDD">
      <w:pPr>
        <w:widowControl w:val="0"/>
        <w:overflowPunct w:val="0"/>
        <w:autoSpaceDE w:val="0"/>
        <w:autoSpaceDN w:val="0"/>
        <w:adjustRightInd w:val="0"/>
        <w:spacing w:after="0" w:line="240" w:lineRule="auto"/>
        <w:ind w:right="20"/>
        <w:rPr>
          <w:rFonts w:ascii="Times New Roman" w:hAnsi="Times New Roman"/>
          <w:lang w:val="lv-LV"/>
        </w:rPr>
      </w:pPr>
      <w:r w:rsidRPr="00873B1C">
        <w:rPr>
          <w:rFonts w:ascii="Times New Roman" w:hAnsi="Times New Roman"/>
          <w:lang w:val="lv-LV"/>
        </w:rPr>
        <w:t>Nav veikti pētījumi par fenti</w:t>
      </w:r>
      <w:r w:rsidRPr="00545B80">
        <w:rPr>
          <w:rFonts w:ascii="Times New Roman" w:hAnsi="Times New Roman"/>
          <w:lang w:val="lv-LV"/>
        </w:rPr>
        <w:t>k</w:t>
      </w:r>
      <w:r w:rsidRPr="00873B1C">
        <w:rPr>
          <w:rFonts w:ascii="Times New Roman" w:hAnsi="Times New Roman"/>
          <w:lang w:val="lv-LV"/>
        </w:rPr>
        <w:t>onazola ietekmi uz fertilitāti cilvēkiem</w:t>
      </w:r>
      <w:r w:rsidR="00FB225A" w:rsidRPr="00FB225A">
        <w:rPr>
          <w:rFonts w:ascii="Times New Roman" w:hAnsi="Times New Roman"/>
          <w:lang w:val="lv-LV"/>
        </w:rPr>
        <w:t>, tomēr pētījum</w:t>
      </w:r>
      <w:r>
        <w:rPr>
          <w:rFonts w:ascii="Times New Roman" w:hAnsi="Times New Roman"/>
          <w:lang w:val="lv-LV"/>
        </w:rPr>
        <w:t>os</w:t>
      </w:r>
      <w:r w:rsidR="00FB225A" w:rsidRPr="00FB225A">
        <w:rPr>
          <w:rFonts w:ascii="Times New Roman" w:hAnsi="Times New Roman"/>
          <w:lang w:val="lv-LV"/>
        </w:rPr>
        <w:t xml:space="preserve"> ar dzīvniekiem nav </w:t>
      </w:r>
      <w:r w:rsidRPr="00FB225A">
        <w:rPr>
          <w:rFonts w:ascii="Times New Roman" w:hAnsi="Times New Roman"/>
          <w:lang w:val="lv-LV"/>
        </w:rPr>
        <w:t>pierādī</w:t>
      </w:r>
      <w:r>
        <w:rPr>
          <w:rFonts w:ascii="Times New Roman" w:hAnsi="Times New Roman"/>
          <w:lang w:val="lv-LV"/>
        </w:rPr>
        <w:t>ta</w:t>
      </w:r>
      <w:r w:rsidRPr="00FB225A">
        <w:rPr>
          <w:rFonts w:ascii="Times New Roman" w:hAnsi="Times New Roman"/>
          <w:lang w:val="lv-LV"/>
        </w:rPr>
        <w:t xml:space="preserve"> </w:t>
      </w:r>
      <w:r w:rsidR="00FB225A" w:rsidRPr="00FB225A">
        <w:rPr>
          <w:rFonts w:ascii="Times New Roman" w:hAnsi="Times New Roman"/>
          <w:lang w:val="lv-LV"/>
        </w:rPr>
        <w:t>zāļu ietekm</w:t>
      </w:r>
      <w:r>
        <w:rPr>
          <w:rFonts w:ascii="Times New Roman" w:hAnsi="Times New Roman"/>
          <w:lang w:val="lv-LV"/>
        </w:rPr>
        <w:t>e</w:t>
      </w:r>
      <w:r w:rsidR="00FB225A" w:rsidRPr="00FB225A">
        <w:rPr>
          <w:rFonts w:ascii="Times New Roman" w:hAnsi="Times New Roman"/>
          <w:lang w:val="lv-LV"/>
        </w:rPr>
        <w:t xml:space="preserve"> uz auglību.</w:t>
      </w:r>
    </w:p>
    <w:p w14:paraId="4D4A7AB5" w14:textId="77777777" w:rsidR="00C2030B" w:rsidRPr="00C51D01" w:rsidRDefault="00C2030B" w:rsidP="00A44FB6">
      <w:pPr>
        <w:widowControl w:val="0"/>
        <w:autoSpaceDE w:val="0"/>
        <w:autoSpaceDN w:val="0"/>
        <w:adjustRightInd w:val="0"/>
        <w:spacing w:after="0" w:line="240" w:lineRule="auto"/>
        <w:jc w:val="both"/>
        <w:rPr>
          <w:rFonts w:ascii="Times New Roman" w:hAnsi="Times New Roman"/>
          <w:lang w:val="lv-LV"/>
        </w:rPr>
      </w:pPr>
    </w:p>
    <w:p w14:paraId="3D525389" w14:textId="77777777" w:rsidR="00C2030B" w:rsidRPr="00C51D01" w:rsidRDefault="00D2776E">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4.7</w:t>
      </w:r>
      <w:r w:rsidR="00B74570" w:rsidRPr="00C51D01">
        <w:rPr>
          <w:rFonts w:ascii="Times New Roman" w:hAnsi="Times New Roman"/>
          <w:b/>
          <w:bCs/>
          <w:lang w:val="lv-LV"/>
        </w:rPr>
        <w:t>.</w:t>
      </w:r>
      <w:r w:rsidRPr="00C51D01">
        <w:rPr>
          <w:rFonts w:ascii="Times New Roman" w:hAnsi="Times New Roman"/>
          <w:b/>
          <w:bCs/>
          <w:lang w:val="lv-LV"/>
        </w:rPr>
        <w:tab/>
      </w:r>
      <w:r w:rsidR="00C2030B" w:rsidRPr="00C51D01">
        <w:rPr>
          <w:rFonts w:ascii="Times New Roman" w:hAnsi="Times New Roman"/>
          <w:b/>
          <w:bCs/>
          <w:lang w:val="lv-LV"/>
        </w:rPr>
        <w:t xml:space="preserve">Ietekme uz spēju vadīt transportlīdzekļus un apkalpot mehānismus </w:t>
      </w:r>
    </w:p>
    <w:p w14:paraId="1A5B8A2F" w14:textId="77777777" w:rsidR="00E25891" w:rsidRPr="00C51D01" w:rsidRDefault="00E25891">
      <w:pPr>
        <w:widowControl w:val="0"/>
        <w:overflowPunct w:val="0"/>
        <w:autoSpaceDE w:val="0"/>
        <w:autoSpaceDN w:val="0"/>
        <w:adjustRightInd w:val="0"/>
        <w:spacing w:after="0" w:line="240" w:lineRule="auto"/>
        <w:jc w:val="both"/>
        <w:rPr>
          <w:rFonts w:ascii="Times New Roman" w:hAnsi="Times New Roman"/>
          <w:lang w:val="lv-LV"/>
        </w:rPr>
      </w:pPr>
    </w:p>
    <w:p w14:paraId="44D0F7A1" w14:textId="1C75C1B6" w:rsidR="00C2030B" w:rsidRPr="00C51D01" w:rsidRDefault="00334EFB">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lang w:val="lv-LV"/>
        </w:rPr>
        <w:t xml:space="preserve">LOMEXIN </w:t>
      </w:r>
      <w:r w:rsidR="005D1D6D" w:rsidRPr="005D1D6D">
        <w:rPr>
          <w:rFonts w:ascii="Times New Roman" w:hAnsi="Times New Roman"/>
          <w:lang w:val="lv-LV"/>
        </w:rPr>
        <w:t xml:space="preserve">2% krēms </w:t>
      </w:r>
      <w:r w:rsidR="00C2030B" w:rsidRPr="00C51D01">
        <w:rPr>
          <w:rFonts w:ascii="Times New Roman" w:hAnsi="Times New Roman"/>
          <w:lang w:val="lv-LV"/>
        </w:rPr>
        <w:t xml:space="preserve">neietekmē </w:t>
      </w:r>
      <w:r w:rsidR="00FB225A">
        <w:rPr>
          <w:rFonts w:ascii="Times New Roman" w:hAnsi="Times New Roman"/>
          <w:lang w:val="lv-LV"/>
        </w:rPr>
        <w:t xml:space="preserve">vai nenozīmīgi ietekmē </w:t>
      </w:r>
      <w:r w:rsidR="00C2030B" w:rsidRPr="00C51D01">
        <w:rPr>
          <w:rFonts w:ascii="Times New Roman" w:hAnsi="Times New Roman"/>
          <w:lang w:val="lv-LV"/>
        </w:rPr>
        <w:t>spēj</w:t>
      </w:r>
      <w:r w:rsidR="006643FC">
        <w:rPr>
          <w:rFonts w:ascii="Times New Roman" w:hAnsi="Times New Roman"/>
          <w:lang w:val="lv-LV"/>
        </w:rPr>
        <w:t>u</w:t>
      </w:r>
      <w:r w:rsidR="00C2030B" w:rsidRPr="00C51D01">
        <w:rPr>
          <w:rFonts w:ascii="Times New Roman" w:hAnsi="Times New Roman"/>
          <w:lang w:val="lv-LV"/>
        </w:rPr>
        <w:t xml:space="preserve"> vadīt transportlīdzekļus vai apkalpot mehānismus. </w:t>
      </w:r>
    </w:p>
    <w:p w14:paraId="1FB8AB10" w14:textId="77777777" w:rsidR="004733CC" w:rsidRPr="00C51D01" w:rsidRDefault="004733CC">
      <w:pPr>
        <w:widowControl w:val="0"/>
        <w:overflowPunct w:val="0"/>
        <w:autoSpaceDE w:val="0"/>
        <w:autoSpaceDN w:val="0"/>
        <w:adjustRightInd w:val="0"/>
        <w:spacing w:after="0" w:line="240" w:lineRule="auto"/>
        <w:jc w:val="both"/>
        <w:rPr>
          <w:rFonts w:ascii="Times New Roman" w:hAnsi="Times New Roman"/>
          <w:b/>
          <w:bCs/>
          <w:lang w:val="lv-LV"/>
        </w:rPr>
      </w:pPr>
    </w:p>
    <w:p w14:paraId="0A875AE9" w14:textId="77777777" w:rsidR="00C2030B" w:rsidRPr="00C51D01" w:rsidRDefault="00B42DB3">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4.8</w:t>
      </w:r>
      <w:r w:rsidR="00B74570" w:rsidRPr="00C51D01">
        <w:rPr>
          <w:rFonts w:ascii="Times New Roman" w:hAnsi="Times New Roman"/>
          <w:b/>
          <w:bCs/>
          <w:lang w:val="lv-LV"/>
        </w:rPr>
        <w:t>.</w:t>
      </w:r>
      <w:r w:rsidRPr="00C51D01">
        <w:rPr>
          <w:rFonts w:ascii="Times New Roman" w:hAnsi="Times New Roman"/>
          <w:b/>
          <w:bCs/>
          <w:lang w:val="lv-LV"/>
        </w:rPr>
        <w:tab/>
      </w:r>
      <w:r w:rsidR="00C2030B" w:rsidRPr="00C51D01">
        <w:rPr>
          <w:rFonts w:ascii="Times New Roman" w:hAnsi="Times New Roman"/>
          <w:b/>
          <w:bCs/>
          <w:lang w:val="lv-LV"/>
        </w:rPr>
        <w:t xml:space="preserve">Nevēlamās blakusparādības </w:t>
      </w:r>
    </w:p>
    <w:p w14:paraId="05B744CF" w14:textId="77777777" w:rsidR="00E25891" w:rsidRPr="00C51D01" w:rsidRDefault="00E25891" w:rsidP="00986A46">
      <w:pPr>
        <w:widowControl w:val="0"/>
        <w:overflowPunct w:val="0"/>
        <w:autoSpaceDE w:val="0"/>
        <w:autoSpaceDN w:val="0"/>
        <w:adjustRightInd w:val="0"/>
        <w:spacing w:after="0" w:line="240" w:lineRule="auto"/>
        <w:jc w:val="both"/>
        <w:rPr>
          <w:rFonts w:ascii="Times New Roman" w:hAnsi="Times New Roman"/>
          <w:lang w:val="lv-LV"/>
        </w:rPr>
      </w:pPr>
    </w:p>
    <w:p w14:paraId="1A7D784C" w14:textId="3127A4A3" w:rsidR="00FB225A" w:rsidRDefault="00FB225A" w:rsidP="00986A46">
      <w:pPr>
        <w:widowControl w:val="0"/>
        <w:overflowPunct w:val="0"/>
        <w:autoSpaceDE w:val="0"/>
        <w:autoSpaceDN w:val="0"/>
        <w:adjustRightInd w:val="0"/>
        <w:spacing w:after="0" w:line="240" w:lineRule="auto"/>
        <w:jc w:val="both"/>
        <w:rPr>
          <w:rFonts w:ascii="Times New Roman" w:hAnsi="Times New Roman"/>
          <w:lang w:val="lv-LV"/>
        </w:rPr>
      </w:pPr>
      <w:r w:rsidRPr="00FB225A">
        <w:rPr>
          <w:rFonts w:ascii="Times New Roman" w:hAnsi="Times New Roman"/>
          <w:lang w:val="lv-LV"/>
        </w:rPr>
        <w:lastRenderedPageBreak/>
        <w:t>Pēc lietošanas var rasties viegla, pārejoša dedzin</w:t>
      </w:r>
      <w:r w:rsidR="00004D34">
        <w:rPr>
          <w:rFonts w:ascii="Times New Roman" w:hAnsi="Times New Roman"/>
          <w:lang w:val="lv-LV"/>
        </w:rPr>
        <w:t>oša</w:t>
      </w:r>
      <w:r w:rsidRPr="00FB225A">
        <w:rPr>
          <w:rFonts w:ascii="Times New Roman" w:hAnsi="Times New Roman"/>
          <w:lang w:val="lv-LV"/>
        </w:rPr>
        <w:t xml:space="preserve"> sajūta. Lietojot atbilstoši ieteikumiem, </w:t>
      </w:r>
      <w:r w:rsidR="00334EFB" w:rsidRPr="00FB225A">
        <w:rPr>
          <w:rFonts w:ascii="Times New Roman" w:hAnsi="Times New Roman"/>
          <w:lang w:val="lv-LV"/>
        </w:rPr>
        <w:t xml:space="preserve">LOMEXIN </w:t>
      </w:r>
      <w:r w:rsidR="00B85EB3" w:rsidRPr="00B85EB3">
        <w:rPr>
          <w:rFonts w:ascii="Times New Roman" w:hAnsi="Times New Roman"/>
          <w:lang w:val="lv-LV"/>
        </w:rPr>
        <w:t xml:space="preserve">2% krēms </w:t>
      </w:r>
      <w:r w:rsidRPr="00FB225A">
        <w:rPr>
          <w:rFonts w:ascii="Times New Roman" w:hAnsi="Times New Roman"/>
          <w:lang w:val="lv-LV"/>
        </w:rPr>
        <w:t xml:space="preserve">uzsūcas slikti, un sistēmiskas nevēlamas reakcijas nav </w:t>
      </w:r>
      <w:r w:rsidR="0057288D">
        <w:rPr>
          <w:rFonts w:ascii="Times New Roman" w:hAnsi="Times New Roman"/>
          <w:lang w:val="lv-LV"/>
        </w:rPr>
        <w:t>sa</w:t>
      </w:r>
      <w:r w:rsidRPr="00FB225A">
        <w:rPr>
          <w:rFonts w:ascii="Times New Roman" w:hAnsi="Times New Roman"/>
          <w:lang w:val="lv-LV"/>
        </w:rPr>
        <w:t xml:space="preserve">gaidāmas. Ilgstoša lokālu </w:t>
      </w:r>
      <w:r w:rsidR="0057288D">
        <w:rPr>
          <w:rFonts w:ascii="Times New Roman" w:hAnsi="Times New Roman"/>
          <w:lang w:val="lv-LV"/>
        </w:rPr>
        <w:t>zāļu</w:t>
      </w:r>
      <w:r w:rsidR="0057288D" w:rsidRPr="00FB225A">
        <w:rPr>
          <w:rFonts w:ascii="Times New Roman" w:hAnsi="Times New Roman"/>
          <w:lang w:val="lv-LV"/>
        </w:rPr>
        <w:t xml:space="preserve"> </w:t>
      </w:r>
      <w:r w:rsidRPr="00FB225A">
        <w:rPr>
          <w:rFonts w:ascii="Times New Roman" w:hAnsi="Times New Roman"/>
          <w:lang w:val="lv-LV"/>
        </w:rPr>
        <w:t xml:space="preserve">lietošana var izraisīt sensibilizāciju (skatīt </w:t>
      </w:r>
      <w:r w:rsidR="00004D34" w:rsidRPr="00FB225A">
        <w:rPr>
          <w:rFonts w:ascii="Times New Roman" w:hAnsi="Times New Roman"/>
          <w:lang w:val="lv-LV"/>
        </w:rPr>
        <w:t>4.4</w:t>
      </w:r>
      <w:r w:rsidR="00004D34">
        <w:rPr>
          <w:rFonts w:ascii="Times New Roman" w:hAnsi="Times New Roman"/>
          <w:lang w:val="lv-LV"/>
        </w:rPr>
        <w:t xml:space="preserve">. </w:t>
      </w:r>
      <w:r w:rsidRPr="00FB225A">
        <w:rPr>
          <w:rFonts w:ascii="Times New Roman" w:hAnsi="Times New Roman"/>
          <w:lang w:val="lv-LV"/>
        </w:rPr>
        <w:t>apakšpunktu).</w:t>
      </w:r>
    </w:p>
    <w:p w14:paraId="1248C014" w14:textId="520BA18F" w:rsidR="00004D34" w:rsidRDefault="00004D34" w:rsidP="00986A46">
      <w:pPr>
        <w:widowControl w:val="0"/>
        <w:overflowPunct w:val="0"/>
        <w:autoSpaceDE w:val="0"/>
        <w:autoSpaceDN w:val="0"/>
        <w:adjustRightInd w:val="0"/>
        <w:spacing w:after="0" w:line="240" w:lineRule="auto"/>
        <w:jc w:val="both"/>
        <w:rPr>
          <w:rFonts w:ascii="Times New Roman" w:hAnsi="Times New Roman"/>
          <w:lang w:val="lv-LV"/>
        </w:rPr>
      </w:pPr>
    </w:p>
    <w:p w14:paraId="2341CC6F" w14:textId="529322F7" w:rsidR="00004D34" w:rsidRDefault="00004D34" w:rsidP="00986A46">
      <w:pPr>
        <w:widowControl w:val="0"/>
        <w:overflowPunct w:val="0"/>
        <w:autoSpaceDE w:val="0"/>
        <w:autoSpaceDN w:val="0"/>
        <w:adjustRightInd w:val="0"/>
        <w:spacing w:after="0" w:line="240" w:lineRule="auto"/>
        <w:jc w:val="both"/>
        <w:rPr>
          <w:rFonts w:ascii="Times New Roman" w:hAnsi="Times New Roman"/>
          <w:lang w:val="lv-LV"/>
        </w:rPr>
      </w:pPr>
      <w:r w:rsidRPr="00004D34">
        <w:rPr>
          <w:rFonts w:ascii="Times New Roman" w:hAnsi="Times New Roman"/>
          <w:lang w:val="lv-LV"/>
        </w:rPr>
        <w:t xml:space="preserve">Zemāk esošajā tabulā </w:t>
      </w:r>
      <w:r w:rsidR="00041343">
        <w:rPr>
          <w:rFonts w:ascii="Times New Roman" w:hAnsi="Times New Roman"/>
          <w:lang w:val="lv-LV"/>
        </w:rPr>
        <w:t>uzskaitītas</w:t>
      </w:r>
      <w:r w:rsidRPr="00004D34">
        <w:rPr>
          <w:rFonts w:ascii="Times New Roman" w:hAnsi="Times New Roman"/>
          <w:lang w:val="lv-LV"/>
        </w:rPr>
        <w:t xml:space="preserve"> blakusparādīb</w:t>
      </w:r>
      <w:r w:rsidR="00041343">
        <w:rPr>
          <w:rFonts w:ascii="Times New Roman" w:hAnsi="Times New Roman"/>
          <w:lang w:val="lv-LV"/>
        </w:rPr>
        <w:t>as</w:t>
      </w:r>
      <w:r w:rsidRPr="00004D34">
        <w:rPr>
          <w:rFonts w:ascii="Times New Roman" w:hAnsi="Times New Roman"/>
          <w:lang w:val="lv-LV"/>
        </w:rPr>
        <w:t>, k</w:t>
      </w:r>
      <w:r w:rsidR="00041343">
        <w:rPr>
          <w:rFonts w:ascii="Times New Roman" w:hAnsi="Times New Roman"/>
          <w:lang w:val="lv-LV"/>
        </w:rPr>
        <w:t>as</w:t>
      </w:r>
      <w:r w:rsidRPr="00004D34">
        <w:rPr>
          <w:rFonts w:ascii="Times New Roman" w:hAnsi="Times New Roman"/>
          <w:lang w:val="lv-LV"/>
        </w:rPr>
        <w:t xml:space="preserve"> novērotas klīniskajos pētījumos vai pēcreģistrācijas periodā</w:t>
      </w:r>
      <w:r w:rsidR="00041343">
        <w:rPr>
          <w:rFonts w:ascii="Times New Roman" w:hAnsi="Times New Roman"/>
          <w:lang w:val="lv-LV"/>
        </w:rPr>
        <w:t>;</w:t>
      </w:r>
      <w:r w:rsidRPr="00004D34">
        <w:rPr>
          <w:rFonts w:ascii="Times New Roman" w:hAnsi="Times New Roman"/>
          <w:lang w:val="lv-LV"/>
        </w:rPr>
        <w:t xml:space="preserve"> </w:t>
      </w:r>
      <w:r w:rsidR="00041343">
        <w:rPr>
          <w:rFonts w:ascii="Times New Roman" w:hAnsi="Times New Roman"/>
          <w:lang w:val="lv-LV"/>
        </w:rPr>
        <w:t>tās</w:t>
      </w:r>
      <w:r w:rsidRPr="00004D34">
        <w:rPr>
          <w:rFonts w:ascii="Times New Roman" w:hAnsi="Times New Roman"/>
          <w:lang w:val="lv-LV"/>
        </w:rPr>
        <w:t xml:space="preserve"> </w:t>
      </w:r>
      <w:r w:rsidR="00041343">
        <w:rPr>
          <w:rFonts w:ascii="Times New Roman" w:hAnsi="Times New Roman"/>
          <w:lang w:val="lv-LV"/>
        </w:rPr>
        <w:t>sakārtotas</w:t>
      </w:r>
      <w:r w:rsidRPr="00004D34">
        <w:rPr>
          <w:rFonts w:ascii="Times New Roman" w:hAnsi="Times New Roman"/>
          <w:lang w:val="lv-LV"/>
        </w:rPr>
        <w:t xml:space="preserve"> </w:t>
      </w:r>
      <w:r>
        <w:rPr>
          <w:rFonts w:ascii="Times New Roman" w:hAnsi="Times New Roman"/>
          <w:lang w:val="lv-LV"/>
        </w:rPr>
        <w:t>atbilstoši</w:t>
      </w:r>
      <w:r w:rsidRPr="00004D34">
        <w:rPr>
          <w:rFonts w:ascii="Times New Roman" w:hAnsi="Times New Roman"/>
          <w:lang w:val="lv-LV"/>
        </w:rPr>
        <w:t xml:space="preserve"> MedDRA orgānu sistēmu klasēm un </w:t>
      </w:r>
      <w:r w:rsidR="0057288D">
        <w:rPr>
          <w:rFonts w:ascii="Times New Roman" w:hAnsi="Times New Roman"/>
          <w:lang w:val="lv-LV"/>
        </w:rPr>
        <w:t xml:space="preserve">sastopamības </w:t>
      </w:r>
      <w:r w:rsidRPr="00004D34">
        <w:rPr>
          <w:rFonts w:ascii="Times New Roman" w:hAnsi="Times New Roman"/>
          <w:lang w:val="lv-LV"/>
        </w:rPr>
        <w:t>biežuma</w:t>
      </w:r>
      <w:r>
        <w:rPr>
          <w:rFonts w:ascii="Times New Roman" w:hAnsi="Times New Roman"/>
          <w:lang w:val="lv-LV"/>
        </w:rPr>
        <w:t>m</w:t>
      </w:r>
      <w:r w:rsidRPr="00004D34">
        <w:rPr>
          <w:rFonts w:ascii="Times New Roman" w:hAnsi="Times New Roman"/>
          <w:lang w:val="lv-LV"/>
        </w:rPr>
        <w:t>:</w:t>
      </w:r>
    </w:p>
    <w:p w14:paraId="1E1DCAA4" w14:textId="6992D244" w:rsidR="00041343" w:rsidRPr="002A3FDD" w:rsidRDefault="00041343" w:rsidP="002A3FDD">
      <w:pPr>
        <w:keepNext/>
        <w:spacing w:after="0" w:line="240" w:lineRule="auto"/>
        <w:rPr>
          <w:rFonts w:ascii="Times New Roman" w:hAnsi="Times New Roman"/>
          <w:lang w:val="lv-LV"/>
        </w:rPr>
      </w:pPr>
      <w:r w:rsidRPr="002A3FDD">
        <w:rPr>
          <w:rFonts w:ascii="Times New Roman" w:hAnsi="Times New Roman"/>
          <w:lang w:val="lv-LV"/>
        </w:rPr>
        <w:t>ļoti bieži (≥1/10), bieži (no ≥1/100 līdz &lt;1/10), retāk (no ≥1/1000 līdz &lt;1/100), reti (no ≥1/10 000 līdz &lt;1/1000), ļoti reti (&lt;1/10 000)</w:t>
      </w:r>
      <w:r>
        <w:rPr>
          <w:rFonts w:ascii="Times New Roman" w:hAnsi="Times New Roman"/>
          <w:lang w:val="lv-LV"/>
        </w:rPr>
        <w:t xml:space="preserve">, </w:t>
      </w:r>
      <w:r w:rsidRPr="002A3FDD">
        <w:rPr>
          <w:rFonts w:ascii="Times New Roman" w:hAnsi="Times New Roman"/>
          <w:lang w:val="lv-LV"/>
        </w:rPr>
        <w:t xml:space="preserve">nav zināmi (biežumu nevar noteikt pēc pieejamiem datiem). </w:t>
      </w:r>
    </w:p>
    <w:p w14:paraId="0F758B7B" w14:textId="6C5E5628" w:rsidR="00041343" w:rsidRDefault="00041343" w:rsidP="00986A46">
      <w:pPr>
        <w:widowControl w:val="0"/>
        <w:overflowPunct w:val="0"/>
        <w:autoSpaceDE w:val="0"/>
        <w:autoSpaceDN w:val="0"/>
        <w:adjustRightInd w:val="0"/>
        <w:spacing w:after="0" w:line="240" w:lineRule="auto"/>
        <w:jc w:val="both"/>
        <w:rPr>
          <w:rFonts w:ascii="Times New Roman" w:hAnsi="Times New Roman"/>
          <w:lang w:val="lv-LV"/>
        </w:rPr>
      </w:pPr>
    </w:p>
    <w:tbl>
      <w:tblPr>
        <w:tblStyle w:val="TableGrid"/>
        <w:tblW w:w="0" w:type="auto"/>
        <w:tblLook w:val="04A0" w:firstRow="1" w:lastRow="0" w:firstColumn="1" w:lastColumn="0" w:noHBand="0" w:noVBand="1"/>
      </w:tblPr>
      <w:tblGrid>
        <w:gridCol w:w="2826"/>
        <w:gridCol w:w="2824"/>
        <w:gridCol w:w="2879"/>
      </w:tblGrid>
      <w:tr w:rsidR="00041343" w:rsidRPr="00041343" w14:paraId="20F6B33E" w14:textId="77777777" w:rsidTr="00181965">
        <w:tc>
          <w:tcPr>
            <w:tcW w:w="3020" w:type="dxa"/>
          </w:tcPr>
          <w:p w14:paraId="1708B279" w14:textId="62574440" w:rsidR="00041343" w:rsidRPr="00227139" w:rsidRDefault="00041343" w:rsidP="00041343">
            <w:pPr>
              <w:tabs>
                <w:tab w:val="left" w:pos="567"/>
              </w:tabs>
              <w:autoSpaceDE w:val="0"/>
              <w:autoSpaceDN w:val="0"/>
              <w:adjustRightInd w:val="0"/>
              <w:jc w:val="both"/>
              <w:rPr>
                <w:bCs/>
                <w:iCs/>
                <w:sz w:val="22"/>
                <w:szCs w:val="22"/>
                <w:lang w:val="en-GB" w:eastAsia="en-US"/>
              </w:rPr>
            </w:pPr>
            <w:proofErr w:type="spellStart"/>
            <w:r w:rsidRPr="00227139">
              <w:rPr>
                <w:bCs/>
                <w:iCs/>
                <w:sz w:val="22"/>
                <w:szCs w:val="22"/>
                <w:lang w:val="en-GB" w:eastAsia="en-US"/>
              </w:rPr>
              <w:t>Sistēmu</w:t>
            </w:r>
            <w:proofErr w:type="spellEnd"/>
            <w:r w:rsidRPr="00227139">
              <w:rPr>
                <w:bCs/>
                <w:iCs/>
                <w:sz w:val="22"/>
                <w:szCs w:val="22"/>
                <w:lang w:val="en-GB" w:eastAsia="en-US"/>
              </w:rPr>
              <w:t xml:space="preserve"> </w:t>
            </w:r>
            <w:proofErr w:type="spellStart"/>
            <w:r w:rsidRPr="00227139">
              <w:rPr>
                <w:bCs/>
                <w:iCs/>
                <w:sz w:val="22"/>
                <w:szCs w:val="22"/>
                <w:lang w:val="en-GB" w:eastAsia="en-US"/>
              </w:rPr>
              <w:t>orgānu</w:t>
            </w:r>
            <w:proofErr w:type="spellEnd"/>
            <w:r w:rsidRPr="00227139">
              <w:rPr>
                <w:bCs/>
                <w:iCs/>
                <w:sz w:val="22"/>
                <w:szCs w:val="22"/>
                <w:lang w:val="en-GB" w:eastAsia="en-US"/>
              </w:rPr>
              <w:t xml:space="preserve"> </w:t>
            </w:r>
            <w:proofErr w:type="spellStart"/>
            <w:r w:rsidRPr="00227139">
              <w:rPr>
                <w:bCs/>
                <w:iCs/>
                <w:sz w:val="22"/>
                <w:szCs w:val="22"/>
                <w:lang w:val="en-GB" w:eastAsia="en-US"/>
              </w:rPr>
              <w:t>klase</w:t>
            </w:r>
            <w:proofErr w:type="spellEnd"/>
          </w:p>
        </w:tc>
        <w:tc>
          <w:tcPr>
            <w:tcW w:w="3020" w:type="dxa"/>
          </w:tcPr>
          <w:p w14:paraId="43B3971C" w14:textId="5C5699BD" w:rsidR="00041343" w:rsidRPr="00227139" w:rsidRDefault="00041343" w:rsidP="00041343">
            <w:pPr>
              <w:tabs>
                <w:tab w:val="left" w:pos="567"/>
              </w:tabs>
              <w:autoSpaceDE w:val="0"/>
              <w:autoSpaceDN w:val="0"/>
              <w:adjustRightInd w:val="0"/>
              <w:jc w:val="both"/>
              <w:rPr>
                <w:bCs/>
                <w:iCs/>
                <w:sz w:val="22"/>
                <w:szCs w:val="22"/>
                <w:lang w:val="en-GB" w:eastAsia="en-US"/>
              </w:rPr>
            </w:pPr>
            <w:proofErr w:type="spellStart"/>
            <w:r w:rsidRPr="00227139">
              <w:rPr>
                <w:bCs/>
                <w:iCs/>
                <w:sz w:val="22"/>
                <w:szCs w:val="22"/>
                <w:lang w:val="en-GB" w:eastAsia="en-US"/>
              </w:rPr>
              <w:t>Biežums</w:t>
            </w:r>
            <w:proofErr w:type="spellEnd"/>
          </w:p>
        </w:tc>
        <w:tc>
          <w:tcPr>
            <w:tcW w:w="3021" w:type="dxa"/>
          </w:tcPr>
          <w:p w14:paraId="5BB8EE21" w14:textId="21365461" w:rsidR="00041343" w:rsidRPr="002A3FDD" w:rsidRDefault="000F47E4" w:rsidP="00041343">
            <w:pPr>
              <w:tabs>
                <w:tab w:val="left" w:pos="567"/>
              </w:tabs>
              <w:autoSpaceDE w:val="0"/>
              <w:autoSpaceDN w:val="0"/>
              <w:adjustRightInd w:val="0"/>
              <w:jc w:val="both"/>
              <w:rPr>
                <w:bCs/>
                <w:iCs/>
                <w:sz w:val="22"/>
                <w:szCs w:val="22"/>
                <w:lang w:val="en-GB" w:eastAsia="en-US"/>
              </w:rPr>
            </w:pPr>
            <w:proofErr w:type="spellStart"/>
            <w:r>
              <w:rPr>
                <w:bCs/>
                <w:iCs/>
                <w:sz w:val="22"/>
                <w:szCs w:val="22"/>
                <w:lang w:val="en-GB" w:eastAsia="en-US"/>
              </w:rPr>
              <w:t>Nevēlamā</w:t>
            </w:r>
            <w:proofErr w:type="spellEnd"/>
            <w:r>
              <w:rPr>
                <w:bCs/>
                <w:iCs/>
                <w:sz w:val="22"/>
                <w:szCs w:val="22"/>
                <w:lang w:val="en-GB" w:eastAsia="en-US"/>
              </w:rPr>
              <w:t xml:space="preserve"> </w:t>
            </w:r>
            <w:proofErr w:type="spellStart"/>
            <w:r>
              <w:rPr>
                <w:bCs/>
                <w:iCs/>
                <w:sz w:val="22"/>
                <w:szCs w:val="22"/>
                <w:lang w:val="en-GB" w:eastAsia="en-US"/>
              </w:rPr>
              <w:t>blakusparādība</w:t>
            </w:r>
            <w:proofErr w:type="spellEnd"/>
          </w:p>
        </w:tc>
      </w:tr>
      <w:tr w:rsidR="00041343" w:rsidRPr="00041343" w14:paraId="000FB81D" w14:textId="77777777" w:rsidTr="00181965">
        <w:tc>
          <w:tcPr>
            <w:tcW w:w="3020" w:type="dxa"/>
          </w:tcPr>
          <w:p w14:paraId="32ED70D8" w14:textId="72BE7111" w:rsidR="00041343" w:rsidRPr="00B65EE1" w:rsidRDefault="00041343" w:rsidP="002A3FDD">
            <w:pPr>
              <w:tabs>
                <w:tab w:val="left" w:pos="567"/>
              </w:tabs>
              <w:autoSpaceDE w:val="0"/>
              <w:autoSpaceDN w:val="0"/>
              <w:adjustRightInd w:val="0"/>
              <w:rPr>
                <w:bCs/>
                <w:iCs/>
                <w:sz w:val="22"/>
                <w:szCs w:val="22"/>
                <w:lang w:val="fr-FR" w:eastAsia="en-US"/>
              </w:rPr>
            </w:pPr>
            <w:r w:rsidRPr="00B65EE1">
              <w:rPr>
                <w:bCs/>
                <w:iCs/>
                <w:sz w:val="22"/>
                <w:szCs w:val="22"/>
                <w:lang w:val="fr-FR" w:eastAsia="en-US"/>
              </w:rPr>
              <w:t>Ādas un zemādas audu bojājumi</w:t>
            </w:r>
          </w:p>
        </w:tc>
        <w:tc>
          <w:tcPr>
            <w:tcW w:w="3020" w:type="dxa"/>
          </w:tcPr>
          <w:p w14:paraId="5A0ED9EC" w14:textId="161DB24E" w:rsidR="00041343" w:rsidRPr="00227139" w:rsidRDefault="00041343" w:rsidP="002A3FDD">
            <w:pPr>
              <w:tabs>
                <w:tab w:val="left" w:pos="567"/>
              </w:tabs>
              <w:autoSpaceDE w:val="0"/>
              <w:autoSpaceDN w:val="0"/>
              <w:adjustRightInd w:val="0"/>
              <w:rPr>
                <w:bCs/>
                <w:iCs/>
                <w:sz w:val="22"/>
                <w:szCs w:val="22"/>
                <w:lang w:val="en-GB" w:eastAsia="en-US"/>
              </w:rPr>
            </w:pPr>
            <w:proofErr w:type="spellStart"/>
            <w:r w:rsidRPr="00227139">
              <w:rPr>
                <w:bCs/>
                <w:iCs/>
                <w:sz w:val="22"/>
                <w:szCs w:val="22"/>
                <w:lang w:val="en-GB" w:eastAsia="en-US"/>
              </w:rPr>
              <w:t>Ļoti</w:t>
            </w:r>
            <w:proofErr w:type="spellEnd"/>
            <w:r w:rsidRPr="00227139">
              <w:rPr>
                <w:bCs/>
                <w:iCs/>
                <w:sz w:val="22"/>
                <w:szCs w:val="22"/>
                <w:lang w:val="en-GB" w:eastAsia="en-US"/>
              </w:rPr>
              <w:t xml:space="preserve"> </w:t>
            </w:r>
            <w:proofErr w:type="spellStart"/>
            <w:r w:rsidRPr="00227139">
              <w:rPr>
                <w:bCs/>
                <w:iCs/>
                <w:sz w:val="22"/>
                <w:szCs w:val="22"/>
                <w:lang w:val="en-GB" w:eastAsia="en-US"/>
              </w:rPr>
              <w:t>reti</w:t>
            </w:r>
            <w:proofErr w:type="spellEnd"/>
          </w:p>
        </w:tc>
        <w:tc>
          <w:tcPr>
            <w:tcW w:w="3021" w:type="dxa"/>
          </w:tcPr>
          <w:p w14:paraId="39D7430E" w14:textId="77777777" w:rsidR="00041343" w:rsidRDefault="0004418C" w:rsidP="00041343">
            <w:pPr>
              <w:tabs>
                <w:tab w:val="left" w:pos="567"/>
              </w:tabs>
              <w:autoSpaceDE w:val="0"/>
              <w:autoSpaceDN w:val="0"/>
              <w:adjustRightInd w:val="0"/>
              <w:jc w:val="both"/>
              <w:rPr>
                <w:bCs/>
                <w:iCs/>
                <w:sz w:val="22"/>
                <w:szCs w:val="22"/>
                <w:lang w:val="en-GB" w:eastAsia="en-US"/>
              </w:rPr>
            </w:pPr>
            <w:proofErr w:type="spellStart"/>
            <w:r>
              <w:rPr>
                <w:bCs/>
                <w:iCs/>
                <w:sz w:val="22"/>
                <w:szCs w:val="22"/>
                <w:lang w:val="en-GB" w:eastAsia="en-US"/>
              </w:rPr>
              <w:t>Eritēma</w:t>
            </w:r>
            <w:proofErr w:type="spellEnd"/>
          </w:p>
          <w:p w14:paraId="70B1DA8F" w14:textId="02E9250F" w:rsidR="0004418C" w:rsidRDefault="0004418C" w:rsidP="00041343">
            <w:pPr>
              <w:tabs>
                <w:tab w:val="left" w:pos="567"/>
              </w:tabs>
              <w:autoSpaceDE w:val="0"/>
              <w:autoSpaceDN w:val="0"/>
              <w:adjustRightInd w:val="0"/>
              <w:jc w:val="both"/>
              <w:rPr>
                <w:bCs/>
                <w:iCs/>
                <w:sz w:val="22"/>
                <w:szCs w:val="22"/>
                <w:lang w:val="en-GB" w:eastAsia="en-US"/>
              </w:rPr>
            </w:pPr>
            <w:proofErr w:type="spellStart"/>
            <w:r>
              <w:rPr>
                <w:bCs/>
                <w:iCs/>
                <w:sz w:val="22"/>
                <w:szCs w:val="22"/>
                <w:lang w:val="en-GB" w:eastAsia="en-US"/>
              </w:rPr>
              <w:t>Nieze</w:t>
            </w:r>
            <w:proofErr w:type="spellEnd"/>
          </w:p>
          <w:p w14:paraId="2B64099A" w14:textId="6B8B493F" w:rsidR="0004418C" w:rsidRDefault="0004418C" w:rsidP="00041343">
            <w:pPr>
              <w:tabs>
                <w:tab w:val="left" w:pos="567"/>
              </w:tabs>
              <w:autoSpaceDE w:val="0"/>
              <w:autoSpaceDN w:val="0"/>
              <w:adjustRightInd w:val="0"/>
              <w:jc w:val="both"/>
              <w:rPr>
                <w:bCs/>
                <w:iCs/>
                <w:sz w:val="22"/>
                <w:szCs w:val="22"/>
                <w:lang w:val="en-GB" w:eastAsia="en-US"/>
              </w:rPr>
            </w:pPr>
            <w:proofErr w:type="spellStart"/>
            <w:r>
              <w:rPr>
                <w:bCs/>
                <w:iCs/>
                <w:sz w:val="22"/>
                <w:szCs w:val="22"/>
                <w:lang w:val="en-GB" w:eastAsia="en-US"/>
              </w:rPr>
              <w:t>Izsitumi</w:t>
            </w:r>
            <w:proofErr w:type="spellEnd"/>
          </w:p>
          <w:p w14:paraId="5B8634DD" w14:textId="77777777" w:rsidR="0004418C" w:rsidRDefault="0004418C" w:rsidP="00041343">
            <w:pPr>
              <w:tabs>
                <w:tab w:val="left" w:pos="567"/>
              </w:tabs>
              <w:autoSpaceDE w:val="0"/>
              <w:autoSpaceDN w:val="0"/>
              <w:adjustRightInd w:val="0"/>
              <w:jc w:val="both"/>
              <w:rPr>
                <w:bCs/>
                <w:iCs/>
                <w:sz w:val="22"/>
                <w:szCs w:val="22"/>
                <w:lang w:val="en-GB" w:eastAsia="en-US"/>
              </w:rPr>
            </w:pPr>
            <w:proofErr w:type="spellStart"/>
            <w:r>
              <w:rPr>
                <w:bCs/>
                <w:iCs/>
                <w:sz w:val="22"/>
                <w:szCs w:val="22"/>
                <w:lang w:val="en-GB" w:eastAsia="en-US"/>
              </w:rPr>
              <w:t>Eritematozi</w:t>
            </w:r>
            <w:proofErr w:type="spellEnd"/>
            <w:r>
              <w:rPr>
                <w:bCs/>
                <w:iCs/>
                <w:sz w:val="22"/>
                <w:szCs w:val="22"/>
                <w:lang w:val="en-GB" w:eastAsia="en-US"/>
              </w:rPr>
              <w:t xml:space="preserve"> </w:t>
            </w:r>
            <w:proofErr w:type="spellStart"/>
            <w:r>
              <w:rPr>
                <w:bCs/>
                <w:iCs/>
                <w:sz w:val="22"/>
                <w:szCs w:val="22"/>
                <w:lang w:val="en-GB" w:eastAsia="en-US"/>
              </w:rPr>
              <w:t>izsitumi</w:t>
            </w:r>
            <w:proofErr w:type="spellEnd"/>
          </w:p>
          <w:p w14:paraId="02E070B3" w14:textId="77777777" w:rsidR="0004418C" w:rsidRDefault="0004418C" w:rsidP="00041343">
            <w:pPr>
              <w:tabs>
                <w:tab w:val="left" w:pos="567"/>
              </w:tabs>
              <w:autoSpaceDE w:val="0"/>
              <w:autoSpaceDN w:val="0"/>
              <w:adjustRightInd w:val="0"/>
              <w:jc w:val="both"/>
              <w:rPr>
                <w:bCs/>
                <w:iCs/>
                <w:sz w:val="22"/>
                <w:szCs w:val="22"/>
                <w:lang w:val="en-GB" w:eastAsia="en-US"/>
              </w:rPr>
            </w:pPr>
            <w:proofErr w:type="spellStart"/>
            <w:r>
              <w:rPr>
                <w:bCs/>
                <w:iCs/>
                <w:sz w:val="22"/>
                <w:szCs w:val="22"/>
                <w:lang w:val="en-GB" w:eastAsia="en-US"/>
              </w:rPr>
              <w:t>Ādas</w:t>
            </w:r>
            <w:proofErr w:type="spellEnd"/>
            <w:r>
              <w:rPr>
                <w:bCs/>
                <w:iCs/>
                <w:sz w:val="22"/>
                <w:szCs w:val="22"/>
                <w:lang w:val="en-GB" w:eastAsia="en-US"/>
              </w:rPr>
              <w:t xml:space="preserve"> </w:t>
            </w:r>
            <w:proofErr w:type="spellStart"/>
            <w:r>
              <w:rPr>
                <w:bCs/>
                <w:iCs/>
                <w:sz w:val="22"/>
                <w:szCs w:val="22"/>
                <w:lang w:val="en-GB" w:eastAsia="en-US"/>
              </w:rPr>
              <w:t>kairinājums</w:t>
            </w:r>
            <w:proofErr w:type="spellEnd"/>
          </w:p>
          <w:p w14:paraId="6985AA2C" w14:textId="02632615" w:rsidR="0004418C" w:rsidRPr="002A3FDD" w:rsidRDefault="0004418C" w:rsidP="00041343">
            <w:pPr>
              <w:tabs>
                <w:tab w:val="left" w:pos="567"/>
              </w:tabs>
              <w:autoSpaceDE w:val="0"/>
              <w:autoSpaceDN w:val="0"/>
              <w:adjustRightInd w:val="0"/>
              <w:jc w:val="both"/>
              <w:rPr>
                <w:bCs/>
                <w:iCs/>
                <w:sz w:val="22"/>
                <w:szCs w:val="22"/>
                <w:lang w:val="en-GB" w:eastAsia="en-US"/>
              </w:rPr>
            </w:pPr>
            <w:proofErr w:type="spellStart"/>
            <w:r>
              <w:rPr>
                <w:bCs/>
                <w:iCs/>
                <w:sz w:val="22"/>
                <w:szCs w:val="22"/>
                <w:lang w:val="en-GB" w:eastAsia="en-US"/>
              </w:rPr>
              <w:t>Dedzinoša</w:t>
            </w:r>
            <w:proofErr w:type="spellEnd"/>
            <w:r>
              <w:rPr>
                <w:bCs/>
                <w:iCs/>
                <w:sz w:val="22"/>
                <w:szCs w:val="22"/>
                <w:lang w:val="en-GB" w:eastAsia="en-US"/>
              </w:rPr>
              <w:t xml:space="preserve"> </w:t>
            </w:r>
            <w:proofErr w:type="spellStart"/>
            <w:r>
              <w:rPr>
                <w:bCs/>
                <w:iCs/>
                <w:sz w:val="22"/>
                <w:szCs w:val="22"/>
                <w:lang w:val="en-GB" w:eastAsia="en-US"/>
              </w:rPr>
              <w:t>sajūta</w:t>
            </w:r>
            <w:proofErr w:type="spellEnd"/>
            <w:r>
              <w:rPr>
                <w:bCs/>
                <w:iCs/>
                <w:sz w:val="22"/>
                <w:szCs w:val="22"/>
                <w:lang w:val="en-GB" w:eastAsia="en-US"/>
              </w:rPr>
              <w:t xml:space="preserve"> </w:t>
            </w:r>
            <w:proofErr w:type="spellStart"/>
            <w:r>
              <w:rPr>
                <w:bCs/>
                <w:iCs/>
                <w:sz w:val="22"/>
                <w:szCs w:val="22"/>
                <w:lang w:val="en-GB" w:eastAsia="en-US"/>
              </w:rPr>
              <w:t>ādā</w:t>
            </w:r>
            <w:proofErr w:type="spellEnd"/>
          </w:p>
        </w:tc>
      </w:tr>
    </w:tbl>
    <w:p w14:paraId="2740A1C4" w14:textId="77777777" w:rsidR="00A44FB6" w:rsidRPr="00C51D01" w:rsidRDefault="00A44FB6" w:rsidP="00986A46">
      <w:pPr>
        <w:widowControl w:val="0"/>
        <w:overflowPunct w:val="0"/>
        <w:autoSpaceDE w:val="0"/>
        <w:autoSpaceDN w:val="0"/>
        <w:adjustRightInd w:val="0"/>
        <w:spacing w:after="0" w:line="240" w:lineRule="auto"/>
        <w:ind w:right="20"/>
        <w:jc w:val="both"/>
        <w:rPr>
          <w:rFonts w:ascii="Times New Roman" w:hAnsi="Times New Roman"/>
          <w:lang w:val="lv-LV"/>
        </w:rPr>
      </w:pPr>
    </w:p>
    <w:p w14:paraId="758A9BD0" w14:textId="77777777" w:rsidR="00A44FB6" w:rsidRPr="009072C3" w:rsidRDefault="00A44FB6" w:rsidP="00986A46">
      <w:pPr>
        <w:widowControl w:val="0"/>
        <w:spacing w:after="0" w:line="240" w:lineRule="auto"/>
        <w:jc w:val="both"/>
        <w:rPr>
          <w:rFonts w:ascii="Times New Roman" w:hAnsi="Times New Roman"/>
          <w:snapToGrid w:val="0"/>
          <w:u w:val="single"/>
          <w:lang w:val="lv-LV"/>
        </w:rPr>
      </w:pPr>
      <w:r w:rsidRPr="009072C3">
        <w:rPr>
          <w:rFonts w:ascii="Times New Roman" w:hAnsi="Times New Roman"/>
          <w:snapToGrid w:val="0"/>
          <w:u w:val="single"/>
          <w:lang w:val="lv-LV"/>
        </w:rPr>
        <w:t>Ziņošana par iespējamām nevēlamām blakusparādībām</w:t>
      </w:r>
    </w:p>
    <w:p w14:paraId="618882EE" w14:textId="6188BA90" w:rsidR="00C2030B" w:rsidRPr="009072C3" w:rsidRDefault="00A44FB6" w:rsidP="00986A46">
      <w:pPr>
        <w:spacing w:after="0" w:line="240" w:lineRule="auto"/>
        <w:jc w:val="both"/>
        <w:rPr>
          <w:rFonts w:ascii="Times New Roman" w:hAnsi="Times New Roman"/>
          <w:snapToGrid w:val="0"/>
          <w:lang w:val="lv-LV"/>
        </w:rPr>
      </w:pPr>
      <w:r w:rsidRPr="009072C3">
        <w:rPr>
          <w:rFonts w:ascii="Times New Roman" w:hAnsi="Times New Roman"/>
          <w:snapToGrid w:val="0"/>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 1003. Tīmekļa vietne: </w:t>
      </w:r>
      <w:hyperlink r:id="rId11" w:history="1">
        <w:r w:rsidRPr="009072C3">
          <w:rPr>
            <w:rFonts w:ascii="Times New Roman" w:hAnsi="Times New Roman"/>
            <w:snapToGrid w:val="0"/>
            <w:u w:val="single"/>
            <w:lang w:val="lv-LV"/>
          </w:rPr>
          <w:t>www.zva.gov.lv</w:t>
        </w:r>
      </w:hyperlink>
      <w:r w:rsidRPr="009072C3">
        <w:rPr>
          <w:rFonts w:ascii="Times New Roman" w:hAnsi="Times New Roman"/>
          <w:snapToGrid w:val="0"/>
          <w:lang w:val="lv-LV"/>
        </w:rPr>
        <w:t>.</w:t>
      </w:r>
    </w:p>
    <w:p w14:paraId="4D13D4C7" w14:textId="77777777" w:rsidR="00A44FB6" w:rsidRPr="009072C3" w:rsidRDefault="00A44FB6" w:rsidP="00986A46">
      <w:pPr>
        <w:spacing w:after="0" w:line="240" w:lineRule="auto"/>
        <w:rPr>
          <w:rFonts w:ascii="Times New Roman" w:hAnsi="Times New Roman"/>
          <w:noProof/>
          <w:lang w:val="lv-LV"/>
        </w:rPr>
      </w:pPr>
    </w:p>
    <w:p w14:paraId="0CD6BADA" w14:textId="77777777" w:rsidR="00C2030B" w:rsidRPr="00C51D01" w:rsidRDefault="007B2F0C" w:rsidP="00986A46">
      <w:pPr>
        <w:widowControl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4.9</w:t>
      </w:r>
      <w:r w:rsidR="00B74570" w:rsidRPr="00C51D01">
        <w:rPr>
          <w:rFonts w:ascii="Times New Roman" w:hAnsi="Times New Roman"/>
          <w:b/>
          <w:bCs/>
          <w:lang w:val="lv-LV"/>
        </w:rPr>
        <w:t>.</w:t>
      </w:r>
      <w:r w:rsidR="004733CC" w:rsidRPr="00C51D01">
        <w:rPr>
          <w:rFonts w:ascii="Times New Roman" w:hAnsi="Times New Roman"/>
          <w:b/>
          <w:bCs/>
          <w:lang w:val="lv-LV"/>
        </w:rPr>
        <w:tab/>
      </w:r>
      <w:r w:rsidR="00C2030B" w:rsidRPr="00C51D01">
        <w:rPr>
          <w:rFonts w:ascii="Times New Roman" w:hAnsi="Times New Roman"/>
          <w:b/>
          <w:bCs/>
          <w:lang w:val="lv-LV"/>
        </w:rPr>
        <w:t>Pārdozēšana</w:t>
      </w:r>
    </w:p>
    <w:p w14:paraId="24CAE788" w14:textId="77777777" w:rsidR="007B2F0C" w:rsidRPr="00C51D01" w:rsidRDefault="007B2F0C" w:rsidP="00A44FB6">
      <w:pPr>
        <w:pStyle w:val="NoSpacing"/>
        <w:jc w:val="both"/>
        <w:rPr>
          <w:rStyle w:val="SubtleEmphasis"/>
          <w:rFonts w:ascii="Times New Roman" w:hAnsi="Times New Roman"/>
          <w:i w:val="0"/>
          <w:color w:val="auto"/>
          <w:lang w:val="lv-LV"/>
        </w:rPr>
      </w:pPr>
    </w:p>
    <w:p w14:paraId="172117F0" w14:textId="77777777" w:rsidR="007B2F0C" w:rsidRPr="00C51D01" w:rsidRDefault="007B2F0C">
      <w:pPr>
        <w:pStyle w:val="NoSpacing"/>
        <w:jc w:val="both"/>
        <w:rPr>
          <w:rStyle w:val="SubtleEmphasis"/>
          <w:rFonts w:ascii="Times New Roman" w:hAnsi="Times New Roman"/>
          <w:i w:val="0"/>
          <w:color w:val="auto"/>
          <w:lang w:val="lv-LV"/>
        </w:rPr>
      </w:pPr>
      <w:r w:rsidRPr="00C51D01">
        <w:rPr>
          <w:rStyle w:val="SubtleEmphasis"/>
          <w:rFonts w:ascii="Times New Roman" w:hAnsi="Times New Roman"/>
          <w:i w:val="0"/>
          <w:color w:val="auto"/>
          <w:lang w:val="lv-LV"/>
        </w:rPr>
        <w:t>Nav ziņots par pārdozēšanas gadījumiem.</w:t>
      </w:r>
    </w:p>
    <w:p w14:paraId="6BA00942" w14:textId="77777777" w:rsidR="007B2F0C" w:rsidRPr="00C51D01" w:rsidRDefault="007B2F0C">
      <w:pPr>
        <w:pStyle w:val="NoSpacing"/>
        <w:jc w:val="both"/>
        <w:rPr>
          <w:rStyle w:val="SubtleEmphasis"/>
          <w:rFonts w:ascii="Times New Roman" w:hAnsi="Times New Roman"/>
          <w:i w:val="0"/>
          <w:color w:val="auto"/>
          <w:lang w:val="lv-LV"/>
        </w:rPr>
      </w:pPr>
    </w:p>
    <w:p w14:paraId="75901638" w14:textId="77777777" w:rsidR="004733CC" w:rsidRPr="00C51D01" w:rsidRDefault="004733CC">
      <w:pPr>
        <w:pStyle w:val="NoSpacing"/>
        <w:jc w:val="both"/>
        <w:rPr>
          <w:rStyle w:val="SubtleEmphasis"/>
          <w:rFonts w:ascii="Times New Roman" w:hAnsi="Times New Roman"/>
          <w:i w:val="0"/>
          <w:color w:val="auto"/>
          <w:lang w:val="lv-LV"/>
        </w:rPr>
      </w:pPr>
    </w:p>
    <w:p w14:paraId="33B15C41" w14:textId="77777777" w:rsidR="00A97339" w:rsidRPr="00C51D01" w:rsidRDefault="00A97339" w:rsidP="002A3FDD">
      <w:pPr>
        <w:pStyle w:val="NoSpacing"/>
        <w:keepNext/>
        <w:jc w:val="both"/>
        <w:rPr>
          <w:rStyle w:val="SubtleEmphasis"/>
          <w:rFonts w:ascii="Times New Roman" w:hAnsi="Times New Roman"/>
          <w:b/>
          <w:i w:val="0"/>
          <w:iCs/>
          <w:color w:val="000000"/>
          <w:lang w:val="lv-LV"/>
        </w:rPr>
      </w:pPr>
      <w:r w:rsidRPr="00C51D01">
        <w:rPr>
          <w:rStyle w:val="SubtleEmphasis"/>
          <w:rFonts w:ascii="Times New Roman" w:hAnsi="Times New Roman"/>
          <w:b/>
          <w:i w:val="0"/>
          <w:iCs/>
          <w:color w:val="000000"/>
          <w:lang w:val="lv-LV"/>
        </w:rPr>
        <w:t>5.</w:t>
      </w:r>
      <w:r w:rsidR="006D40AF" w:rsidRPr="00C51D01">
        <w:rPr>
          <w:rStyle w:val="SubtleEmphasis"/>
          <w:rFonts w:ascii="Times New Roman" w:hAnsi="Times New Roman"/>
          <w:b/>
          <w:i w:val="0"/>
          <w:iCs/>
          <w:color w:val="000000"/>
          <w:lang w:val="lv-LV"/>
        </w:rPr>
        <w:tab/>
      </w:r>
      <w:r w:rsidRPr="00C51D01">
        <w:rPr>
          <w:rStyle w:val="SubtleEmphasis"/>
          <w:rFonts w:ascii="Times New Roman" w:hAnsi="Times New Roman"/>
          <w:b/>
          <w:i w:val="0"/>
          <w:iCs/>
          <w:color w:val="000000"/>
          <w:lang w:val="lv-LV"/>
        </w:rPr>
        <w:t>FARMAKOLOĢISKĀS ĪPAŠĪBAS</w:t>
      </w:r>
    </w:p>
    <w:p w14:paraId="362CF178" w14:textId="77777777" w:rsidR="006D40AF" w:rsidRPr="00C51D01" w:rsidRDefault="006D40AF" w:rsidP="002A3FDD">
      <w:pPr>
        <w:pStyle w:val="NoSpacing"/>
        <w:keepNext/>
        <w:jc w:val="both"/>
        <w:rPr>
          <w:rFonts w:ascii="Times New Roman" w:hAnsi="Times New Roman"/>
          <w:b/>
          <w:bCs/>
          <w:lang w:val="lv-LV"/>
        </w:rPr>
      </w:pPr>
    </w:p>
    <w:p w14:paraId="753869D9" w14:textId="77777777" w:rsidR="00A97339" w:rsidRPr="00C51D01" w:rsidRDefault="00A97339" w:rsidP="002A3FDD">
      <w:pPr>
        <w:pStyle w:val="NoSpacing"/>
        <w:keepNext/>
        <w:jc w:val="both"/>
        <w:rPr>
          <w:rFonts w:ascii="Times New Roman" w:hAnsi="Times New Roman"/>
          <w:lang w:val="lv-LV"/>
        </w:rPr>
      </w:pPr>
      <w:r w:rsidRPr="00C51D01">
        <w:rPr>
          <w:rFonts w:ascii="Times New Roman" w:hAnsi="Times New Roman"/>
          <w:b/>
          <w:bCs/>
          <w:lang w:val="lv-LV"/>
        </w:rPr>
        <w:t>5.1</w:t>
      </w:r>
      <w:r w:rsidR="00B74570" w:rsidRPr="00C51D01">
        <w:rPr>
          <w:rFonts w:ascii="Times New Roman" w:hAnsi="Times New Roman"/>
          <w:b/>
          <w:bCs/>
          <w:lang w:val="lv-LV"/>
        </w:rPr>
        <w:t>.</w:t>
      </w:r>
      <w:r w:rsidR="006D40AF" w:rsidRPr="00C51D01">
        <w:rPr>
          <w:rFonts w:ascii="Times New Roman" w:hAnsi="Times New Roman"/>
          <w:b/>
          <w:bCs/>
          <w:lang w:val="lv-LV"/>
        </w:rPr>
        <w:tab/>
      </w:r>
      <w:r w:rsidRPr="00C51D01">
        <w:rPr>
          <w:rFonts w:ascii="Times New Roman" w:hAnsi="Times New Roman"/>
          <w:b/>
          <w:bCs/>
          <w:lang w:val="lv-LV"/>
        </w:rPr>
        <w:t>Farmakodinamiskās īpašības</w:t>
      </w:r>
    </w:p>
    <w:p w14:paraId="40D1BC47" w14:textId="77777777" w:rsidR="006D40AF" w:rsidRPr="00C51D01" w:rsidRDefault="006D40AF" w:rsidP="002A3FDD">
      <w:pPr>
        <w:keepNext/>
        <w:widowControl w:val="0"/>
        <w:overflowPunct w:val="0"/>
        <w:autoSpaceDE w:val="0"/>
        <w:autoSpaceDN w:val="0"/>
        <w:adjustRightInd w:val="0"/>
        <w:spacing w:after="0" w:line="240" w:lineRule="auto"/>
        <w:ind w:right="20"/>
        <w:jc w:val="both"/>
        <w:rPr>
          <w:rFonts w:ascii="Times New Roman" w:hAnsi="Times New Roman"/>
          <w:b/>
          <w:bCs/>
          <w:lang w:val="lv-LV"/>
        </w:rPr>
      </w:pPr>
    </w:p>
    <w:p w14:paraId="1D442DA9" w14:textId="1018E962" w:rsidR="00241003" w:rsidRDefault="00A97339" w:rsidP="002A3FDD">
      <w:pPr>
        <w:keepNext/>
        <w:widowControl w:val="0"/>
        <w:overflowPunct w:val="0"/>
        <w:autoSpaceDE w:val="0"/>
        <w:autoSpaceDN w:val="0"/>
        <w:adjustRightInd w:val="0"/>
        <w:spacing w:after="0" w:line="240" w:lineRule="auto"/>
        <w:ind w:right="20"/>
        <w:rPr>
          <w:rFonts w:ascii="Times New Roman" w:hAnsi="Times New Roman"/>
          <w:lang w:val="lv-LV"/>
        </w:rPr>
      </w:pPr>
      <w:r w:rsidRPr="002A3FDD">
        <w:rPr>
          <w:rFonts w:ascii="Times New Roman" w:hAnsi="Times New Roman"/>
          <w:lang w:val="lv-LV"/>
        </w:rPr>
        <w:t>Farmakoterapeitiskā grupa</w:t>
      </w:r>
      <w:r w:rsidRPr="00DE28FD">
        <w:rPr>
          <w:rFonts w:ascii="Times New Roman" w:hAnsi="Times New Roman"/>
          <w:lang w:val="lv-LV"/>
        </w:rPr>
        <w:t>:</w:t>
      </w:r>
      <w:r w:rsidRPr="00C51D01">
        <w:rPr>
          <w:rFonts w:ascii="Times New Roman" w:hAnsi="Times New Roman"/>
          <w:lang w:val="lv-LV"/>
        </w:rPr>
        <w:t xml:space="preserve"> </w:t>
      </w:r>
      <w:r w:rsidR="006D40AF" w:rsidRPr="00C51D01">
        <w:rPr>
          <w:rFonts w:ascii="Times New Roman" w:hAnsi="Times New Roman"/>
          <w:lang w:val="lv-LV"/>
        </w:rPr>
        <w:t>d</w:t>
      </w:r>
      <w:r w:rsidR="004733CC" w:rsidRPr="00C51D01">
        <w:rPr>
          <w:rFonts w:ascii="Times New Roman" w:hAnsi="Times New Roman"/>
          <w:lang w:val="lv-LV"/>
        </w:rPr>
        <w:t>e</w:t>
      </w:r>
      <w:r w:rsidR="006D40AF" w:rsidRPr="00C51D01">
        <w:rPr>
          <w:rFonts w:ascii="Times New Roman" w:hAnsi="Times New Roman"/>
          <w:lang w:val="lv-LV"/>
        </w:rPr>
        <w:t>rmatoloģisk</w:t>
      </w:r>
      <w:r w:rsidR="00241003">
        <w:rPr>
          <w:rFonts w:ascii="Times New Roman" w:hAnsi="Times New Roman"/>
          <w:lang w:val="lv-LV"/>
        </w:rPr>
        <w:t>ie</w:t>
      </w:r>
      <w:r w:rsidR="006D40AF" w:rsidRPr="00C51D01">
        <w:rPr>
          <w:rFonts w:ascii="Times New Roman" w:hAnsi="Times New Roman"/>
          <w:lang w:val="lv-LV"/>
        </w:rPr>
        <w:t xml:space="preserve"> </w:t>
      </w:r>
      <w:r w:rsidR="00241003" w:rsidRPr="00C51D01">
        <w:rPr>
          <w:rFonts w:ascii="Times New Roman" w:hAnsi="Times New Roman"/>
          <w:lang w:val="lv-LV"/>
        </w:rPr>
        <w:t>pretsēnīšu līdzek</w:t>
      </w:r>
      <w:r w:rsidR="00241003">
        <w:rPr>
          <w:rFonts w:ascii="Times New Roman" w:hAnsi="Times New Roman"/>
          <w:lang w:val="lv-LV"/>
        </w:rPr>
        <w:t>ļi,</w:t>
      </w:r>
      <w:r w:rsidR="00E02C39">
        <w:rPr>
          <w:rFonts w:ascii="Times New Roman" w:hAnsi="Times New Roman"/>
          <w:lang w:val="lv-LV"/>
        </w:rPr>
        <w:t xml:space="preserve"> </w:t>
      </w:r>
      <w:r w:rsidR="00241003">
        <w:rPr>
          <w:rFonts w:ascii="Times New Roman" w:hAnsi="Times New Roman"/>
          <w:lang w:val="lv-LV"/>
        </w:rPr>
        <w:t xml:space="preserve">vietēji </w:t>
      </w:r>
      <w:r w:rsidR="00241003" w:rsidRPr="00C51D01">
        <w:rPr>
          <w:rFonts w:ascii="Times New Roman" w:hAnsi="Times New Roman"/>
          <w:lang w:val="lv-LV"/>
        </w:rPr>
        <w:t>lieto</w:t>
      </w:r>
      <w:r w:rsidR="00241003">
        <w:rPr>
          <w:rFonts w:ascii="Times New Roman" w:hAnsi="Times New Roman"/>
          <w:lang w:val="lv-LV"/>
        </w:rPr>
        <w:t>jamie</w:t>
      </w:r>
      <w:r w:rsidR="00241003" w:rsidRPr="00C51D01">
        <w:rPr>
          <w:rFonts w:ascii="Times New Roman" w:hAnsi="Times New Roman"/>
          <w:lang w:val="lv-LV"/>
        </w:rPr>
        <w:t xml:space="preserve"> </w:t>
      </w:r>
      <w:r w:rsidR="006D40AF" w:rsidRPr="00C51D01">
        <w:rPr>
          <w:rFonts w:ascii="Times New Roman" w:hAnsi="Times New Roman"/>
          <w:lang w:val="lv-LV"/>
        </w:rPr>
        <w:t>pretsēnīšu līdzek</w:t>
      </w:r>
      <w:r w:rsidR="00241003">
        <w:rPr>
          <w:rFonts w:ascii="Times New Roman" w:hAnsi="Times New Roman"/>
          <w:lang w:val="lv-LV"/>
        </w:rPr>
        <w:t>ļi</w:t>
      </w:r>
      <w:r w:rsidR="00E02C39">
        <w:rPr>
          <w:rFonts w:ascii="Times New Roman" w:hAnsi="Times New Roman"/>
          <w:lang w:val="lv-LV"/>
        </w:rPr>
        <w:t>,</w:t>
      </w:r>
      <w:r w:rsidR="00241003">
        <w:rPr>
          <w:rFonts w:ascii="Times New Roman" w:hAnsi="Times New Roman"/>
          <w:lang w:val="lv-LV"/>
        </w:rPr>
        <w:t xml:space="preserve"> </w:t>
      </w:r>
      <w:r w:rsidR="006D40AF" w:rsidRPr="00C51D01">
        <w:rPr>
          <w:rFonts w:ascii="Times New Roman" w:hAnsi="Times New Roman"/>
          <w:lang w:val="lv-LV"/>
        </w:rPr>
        <w:t>imidazola u</w:t>
      </w:r>
      <w:r w:rsidR="004733CC" w:rsidRPr="00C51D01">
        <w:rPr>
          <w:rFonts w:ascii="Times New Roman" w:hAnsi="Times New Roman"/>
          <w:lang w:val="lv-LV"/>
        </w:rPr>
        <w:t>n</w:t>
      </w:r>
      <w:r w:rsidR="006D40AF" w:rsidRPr="00C51D01">
        <w:rPr>
          <w:rFonts w:ascii="Times New Roman" w:hAnsi="Times New Roman"/>
          <w:lang w:val="lv-LV"/>
        </w:rPr>
        <w:t xml:space="preserve"> triazola </w:t>
      </w:r>
      <w:r w:rsidR="00241003">
        <w:rPr>
          <w:rFonts w:ascii="Times New Roman" w:hAnsi="Times New Roman"/>
          <w:lang w:val="lv-LV"/>
        </w:rPr>
        <w:t>atvasinājumi</w:t>
      </w:r>
      <w:r w:rsidR="006D40AF" w:rsidRPr="00C51D01">
        <w:rPr>
          <w:rFonts w:ascii="Times New Roman" w:hAnsi="Times New Roman"/>
          <w:lang w:val="lv-LV"/>
        </w:rPr>
        <w:t xml:space="preserve">. </w:t>
      </w:r>
    </w:p>
    <w:p w14:paraId="4930C3B6" w14:textId="5F2EB0DE" w:rsidR="00A97339" w:rsidRPr="00C51D01" w:rsidRDefault="00A97339" w:rsidP="002A3FDD">
      <w:pPr>
        <w:keepNext/>
        <w:widowControl w:val="0"/>
        <w:overflowPunct w:val="0"/>
        <w:autoSpaceDE w:val="0"/>
        <w:autoSpaceDN w:val="0"/>
        <w:adjustRightInd w:val="0"/>
        <w:spacing w:after="0" w:line="240" w:lineRule="auto"/>
        <w:ind w:right="20"/>
        <w:rPr>
          <w:rFonts w:ascii="Times New Roman" w:hAnsi="Times New Roman"/>
          <w:lang w:val="lv-LV"/>
        </w:rPr>
      </w:pPr>
      <w:r w:rsidRPr="002A3FDD">
        <w:rPr>
          <w:rFonts w:ascii="Times New Roman" w:hAnsi="Times New Roman"/>
          <w:lang w:val="lv-LV"/>
        </w:rPr>
        <w:t>ATĶ kods</w:t>
      </w:r>
      <w:r w:rsidRPr="00241003">
        <w:rPr>
          <w:rFonts w:ascii="Times New Roman" w:hAnsi="Times New Roman"/>
          <w:lang w:val="lv-LV"/>
        </w:rPr>
        <w:t>:</w:t>
      </w:r>
      <w:r w:rsidRPr="00C51D01">
        <w:rPr>
          <w:rFonts w:ascii="Times New Roman" w:hAnsi="Times New Roman"/>
          <w:lang w:val="lv-LV"/>
        </w:rPr>
        <w:t xml:space="preserve"> </w:t>
      </w:r>
      <w:r w:rsidR="003F06CC" w:rsidRPr="00C51D01">
        <w:rPr>
          <w:rFonts w:ascii="Times New Roman" w:hAnsi="Times New Roman"/>
          <w:lang w:val="lv-LV"/>
        </w:rPr>
        <w:t>D01AC12</w:t>
      </w:r>
    </w:p>
    <w:p w14:paraId="6ED107BD"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6422C9B4" w14:textId="26BE1258" w:rsidR="00A97339" w:rsidRPr="00C51D01" w:rsidRDefault="00E97125"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LOMEXIN </w:t>
      </w:r>
      <w:r w:rsidR="00A97339" w:rsidRPr="00C51D01">
        <w:rPr>
          <w:rFonts w:ascii="Times New Roman" w:hAnsi="Times New Roman"/>
          <w:lang w:val="lv-LV"/>
        </w:rPr>
        <w:t>ir plaša spektra pretsēnīšu līdzeklis</w:t>
      </w:r>
      <w:r w:rsidR="001E4977">
        <w:rPr>
          <w:rFonts w:ascii="Times New Roman" w:hAnsi="Times New Roman"/>
          <w:lang w:val="lv-LV"/>
        </w:rPr>
        <w:t>:</w:t>
      </w:r>
    </w:p>
    <w:p w14:paraId="25A0FBE6" w14:textId="77777777" w:rsidR="00A97339" w:rsidRPr="00C51D01" w:rsidRDefault="00A97339" w:rsidP="002A3FDD">
      <w:pPr>
        <w:widowControl w:val="0"/>
        <w:numPr>
          <w:ilvl w:val="0"/>
          <w:numId w:val="9"/>
        </w:numPr>
        <w:autoSpaceDE w:val="0"/>
        <w:autoSpaceDN w:val="0"/>
        <w:adjustRightInd w:val="0"/>
        <w:spacing w:after="0" w:line="240" w:lineRule="auto"/>
        <w:ind w:left="284" w:hanging="284"/>
        <w:jc w:val="both"/>
        <w:rPr>
          <w:rFonts w:ascii="Times New Roman" w:hAnsi="Times New Roman"/>
          <w:lang w:val="lv-LV"/>
        </w:rPr>
      </w:pPr>
      <w:r w:rsidRPr="00C51D01">
        <w:rPr>
          <w:rFonts w:ascii="Times New Roman" w:hAnsi="Times New Roman"/>
          <w:i/>
          <w:iCs/>
          <w:lang w:val="lv-LV"/>
        </w:rPr>
        <w:t>In  vitro</w:t>
      </w:r>
      <w:r w:rsidRPr="00C51D01">
        <w:rPr>
          <w:rFonts w:ascii="Times New Roman" w:hAnsi="Times New Roman"/>
          <w:lang w:val="lv-LV"/>
        </w:rPr>
        <w:t>: augsta fungistatiska un fungicīda aktivitāte pret dermatofītiem (visām</w:t>
      </w:r>
    </w:p>
    <w:p w14:paraId="02EC4F5C" w14:textId="4296D67B" w:rsidR="001E4977" w:rsidRPr="00C51D01" w:rsidRDefault="00A97339" w:rsidP="002A3FDD">
      <w:pPr>
        <w:widowControl w:val="0"/>
        <w:overflowPunct w:val="0"/>
        <w:autoSpaceDE w:val="0"/>
        <w:autoSpaceDN w:val="0"/>
        <w:adjustRightInd w:val="0"/>
        <w:spacing w:after="0" w:line="240" w:lineRule="auto"/>
        <w:ind w:left="284" w:right="20"/>
        <w:jc w:val="both"/>
        <w:rPr>
          <w:rFonts w:ascii="Times New Roman" w:hAnsi="Times New Roman"/>
          <w:lang w:val="lv-LV"/>
        </w:rPr>
      </w:pPr>
      <w:r w:rsidRPr="00C51D01">
        <w:rPr>
          <w:rFonts w:ascii="Times New Roman" w:hAnsi="Times New Roman"/>
          <w:i/>
          <w:iCs/>
          <w:lang w:val="lv-LV"/>
        </w:rPr>
        <w:t>Trichophyton</w:t>
      </w:r>
      <w:r w:rsidRPr="00C51D01">
        <w:rPr>
          <w:rFonts w:ascii="Times New Roman" w:hAnsi="Times New Roman"/>
          <w:lang w:val="lv-LV"/>
        </w:rPr>
        <w:t>,</w:t>
      </w:r>
      <w:r w:rsidRPr="00C51D01">
        <w:rPr>
          <w:rFonts w:ascii="Times New Roman" w:hAnsi="Times New Roman"/>
          <w:i/>
          <w:iCs/>
          <w:lang w:val="lv-LV"/>
        </w:rPr>
        <w:t xml:space="preserve"> Microsporum</w:t>
      </w:r>
      <w:r w:rsidRPr="00C51D01">
        <w:rPr>
          <w:rFonts w:ascii="Times New Roman" w:hAnsi="Times New Roman"/>
          <w:lang w:val="lv-LV"/>
        </w:rPr>
        <w:t>,</w:t>
      </w:r>
      <w:r w:rsidRPr="00C51D01">
        <w:rPr>
          <w:rFonts w:ascii="Times New Roman" w:hAnsi="Times New Roman"/>
          <w:i/>
          <w:iCs/>
          <w:lang w:val="lv-LV"/>
        </w:rPr>
        <w:t xml:space="preserve"> Epidermophyton </w:t>
      </w:r>
      <w:r w:rsidRPr="00C51D01">
        <w:rPr>
          <w:rFonts w:ascii="Times New Roman" w:hAnsi="Times New Roman"/>
          <w:lang w:val="lv-LV"/>
        </w:rPr>
        <w:t>sugām),</w:t>
      </w:r>
      <w:r w:rsidRPr="00C51D01">
        <w:rPr>
          <w:rFonts w:ascii="Times New Roman" w:hAnsi="Times New Roman"/>
          <w:i/>
          <w:iCs/>
          <w:lang w:val="lv-LV"/>
        </w:rPr>
        <w:t xml:space="preserve"> Candida albicans </w:t>
      </w:r>
      <w:r w:rsidRPr="00C51D01">
        <w:rPr>
          <w:rFonts w:ascii="Times New Roman" w:hAnsi="Times New Roman"/>
          <w:lang w:val="lv-LV"/>
        </w:rPr>
        <w:t>un pret</w:t>
      </w:r>
      <w:r w:rsidRPr="00C51D01">
        <w:rPr>
          <w:rFonts w:ascii="Times New Roman" w:hAnsi="Times New Roman"/>
          <w:i/>
          <w:iCs/>
          <w:lang w:val="lv-LV"/>
        </w:rPr>
        <w:t xml:space="preserve"> </w:t>
      </w:r>
      <w:r w:rsidRPr="00C51D01">
        <w:rPr>
          <w:rFonts w:ascii="Times New Roman" w:hAnsi="Times New Roman"/>
          <w:lang w:val="lv-LV"/>
        </w:rPr>
        <w:t xml:space="preserve">citiem ādas un gļotādas sēnīšu infekciju ierosinātājiem. </w:t>
      </w:r>
      <w:r w:rsidR="00F1741A">
        <w:rPr>
          <w:rFonts w:ascii="Times New Roman" w:hAnsi="Times New Roman"/>
          <w:lang w:val="lv-LV"/>
        </w:rPr>
        <w:t xml:space="preserve">Turklāt </w:t>
      </w:r>
      <w:r w:rsidR="00F1741A">
        <w:rPr>
          <w:rFonts w:ascii="Times New Roman" w:hAnsi="Times New Roman"/>
          <w:i/>
          <w:iCs/>
          <w:lang w:val="lv-LV"/>
        </w:rPr>
        <w:t>i</w:t>
      </w:r>
      <w:r w:rsidRPr="00C51D01">
        <w:rPr>
          <w:rFonts w:ascii="Times New Roman" w:hAnsi="Times New Roman"/>
          <w:i/>
          <w:iCs/>
          <w:lang w:val="lv-LV"/>
        </w:rPr>
        <w:t>n vitro</w:t>
      </w:r>
      <w:r w:rsidRPr="00C51D01">
        <w:rPr>
          <w:rFonts w:ascii="Times New Roman" w:hAnsi="Times New Roman"/>
          <w:lang w:val="lv-LV"/>
        </w:rPr>
        <w:t xml:space="preserve"> </w:t>
      </w:r>
      <w:r w:rsidR="00F1741A">
        <w:rPr>
          <w:rFonts w:ascii="Times New Roman" w:hAnsi="Times New Roman"/>
          <w:lang w:val="lv-LV"/>
        </w:rPr>
        <w:t>ir pierādīts, ka</w:t>
      </w:r>
      <w:r w:rsidRPr="00C51D01">
        <w:rPr>
          <w:rFonts w:ascii="Times New Roman" w:hAnsi="Times New Roman"/>
          <w:lang w:val="lv-LV"/>
        </w:rPr>
        <w:t xml:space="preserve"> </w:t>
      </w:r>
      <w:r w:rsidR="002F243C">
        <w:rPr>
          <w:rFonts w:ascii="Times New Roman" w:hAnsi="Times New Roman"/>
          <w:lang w:val="lv-LV"/>
        </w:rPr>
        <w:t xml:space="preserve">tiek inhibēta </w:t>
      </w:r>
      <w:r w:rsidRPr="00C51D01">
        <w:rPr>
          <w:rFonts w:ascii="Times New Roman" w:hAnsi="Times New Roman"/>
          <w:i/>
          <w:iCs/>
          <w:lang w:val="lv-LV"/>
        </w:rPr>
        <w:t>Candida</w:t>
      </w:r>
      <w:r w:rsidRPr="00C51D01">
        <w:rPr>
          <w:rFonts w:ascii="Times New Roman" w:hAnsi="Times New Roman"/>
          <w:lang w:val="lv-LV"/>
        </w:rPr>
        <w:t xml:space="preserve"> </w:t>
      </w:r>
      <w:r w:rsidRPr="00C51D01">
        <w:rPr>
          <w:rFonts w:ascii="Times New Roman" w:hAnsi="Times New Roman"/>
          <w:i/>
          <w:iCs/>
          <w:lang w:val="lv-LV"/>
        </w:rPr>
        <w:t xml:space="preserve">albicans </w:t>
      </w:r>
      <w:r w:rsidRPr="00C51D01">
        <w:rPr>
          <w:rFonts w:ascii="Times New Roman" w:hAnsi="Times New Roman"/>
          <w:lang w:val="lv-LV"/>
        </w:rPr>
        <w:t>skāb</w:t>
      </w:r>
      <w:r w:rsidR="002F243C">
        <w:rPr>
          <w:rFonts w:ascii="Times New Roman" w:hAnsi="Times New Roman"/>
          <w:lang w:val="lv-LV"/>
        </w:rPr>
        <w:t>ās</w:t>
      </w:r>
      <w:r w:rsidRPr="00C51D01">
        <w:rPr>
          <w:rFonts w:ascii="Times New Roman" w:hAnsi="Times New Roman"/>
          <w:lang w:val="lv-LV"/>
        </w:rPr>
        <w:t xml:space="preserve"> proteināzes </w:t>
      </w:r>
      <w:r w:rsidR="002F243C">
        <w:rPr>
          <w:rFonts w:ascii="Times New Roman" w:hAnsi="Times New Roman"/>
          <w:lang w:val="lv-LV"/>
        </w:rPr>
        <w:t>sekrēcija</w:t>
      </w:r>
      <w:r w:rsidRPr="00C51D01">
        <w:rPr>
          <w:rFonts w:ascii="Times New Roman" w:hAnsi="Times New Roman"/>
          <w:lang w:val="lv-LV"/>
        </w:rPr>
        <w:t>.</w:t>
      </w:r>
    </w:p>
    <w:p w14:paraId="59C5AD45" w14:textId="74811DAD" w:rsidR="003F06CC" w:rsidRPr="002A3FDD" w:rsidRDefault="003F06CC" w:rsidP="002A3FDD">
      <w:pPr>
        <w:pStyle w:val="ListParagraph"/>
        <w:widowControl w:val="0"/>
        <w:numPr>
          <w:ilvl w:val="0"/>
          <w:numId w:val="14"/>
        </w:numPr>
        <w:overflowPunct w:val="0"/>
        <w:autoSpaceDE w:val="0"/>
        <w:autoSpaceDN w:val="0"/>
        <w:adjustRightInd w:val="0"/>
        <w:spacing w:after="0" w:line="240" w:lineRule="auto"/>
        <w:ind w:left="284" w:right="20" w:hanging="284"/>
        <w:jc w:val="both"/>
        <w:rPr>
          <w:rFonts w:ascii="Times New Roman" w:hAnsi="Times New Roman"/>
          <w:lang w:val="lv-LV"/>
        </w:rPr>
      </w:pPr>
      <w:r w:rsidRPr="002A3FDD">
        <w:rPr>
          <w:rFonts w:ascii="Times New Roman" w:hAnsi="Times New Roman"/>
          <w:i/>
          <w:iCs/>
          <w:lang w:val="lv-LV"/>
        </w:rPr>
        <w:t>In vivo</w:t>
      </w:r>
      <w:r w:rsidRPr="002A3FDD">
        <w:rPr>
          <w:rFonts w:ascii="Times New Roman" w:hAnsi="Times New Roman"/>
          <w:lang w:val="lv-LV"/>
        </w:rPr>
        <w:t>: jūras cūciņām dermatofīt</w:t>
      </w:r>
      <w:r w:rsidR="00E02C39" w:rsidRPr="002A3FDD">
        <w:rPr>
          <w:rFonts w:ascii="Times New Roman" w:hAnsi="Times New Roman"/>
          <w:lang w:val="lv-LV"/>
        </w:rPr>
        <w:t>u</w:t>
      </w:r>
      <w:r w:rsidRPr="002A3FDD">
        <w:rPr>
          <w:rFonts w:ascii="Times New Roman" w:hAnsi="Times New Roman"/>
          <w:lang w:val="lv-LV"/>
        </w:rPr>
        <w:t xml:space="preserve"> un </w:t>
      </w:r>
      <w:r w:rsidRPr="002A3FDD">
        <w:rPr>
          <w:rFonts w:ascii="Times New Roman" w:hAnsi="Times New Roman"/>
          <w:i/>
          <w:iCs/>
          <w:lang w:val="lv-LV"/>
        </w:rPr>
        <w:t xml:space="preserve">Candida </w:t>
      </w:r>
      <w:r w:rsidR="00E02C39" w:rsidRPr="002A3FDD">
        <w:rPr>
          <w:rFonts w:ascii="Times New Roman" w:hAnsi="Times New Roman"/>
          <w:lang w:val="lv-LV"/>
        </w:rPr>
        <w:t>izraisītas</w:t>
      </w:r>
      <w:r w:rsidR="00E02C39" w:rsidRPr="002A3FDD">
        <w:rPr>
          <w:rFonts w:ascii="Times New Roman" w:hAnsi="Times New Roman"/>
          <w:i/>
          <w:iCs/>
          <w:lang w:val="lv-LV"/>
        </w:rPr>
        <w:t xml:space="preserve"> </w:t>
      </w:r>
      <w:r w:rsidR="00E02C39" w:rsidRPr="002A3FDD">
        <w:rPr>
          <w:rFonts w:ascii="Times New Roman" w:hAnsi="Times New Roman"/>
          <w:lang w:val="lv-LV"/>
        </w:rPr>
        <w:t xml:space="preserve">ādas </w:t>
      </w:r>
      <w:r w:rsidRPr="002A3FDD">
        <w:rPr>
          <w:rFonts w:ascii="Times New Roman" w:hAnsi="Times New Roman"/>
          <w:lang w:val="lv-LV"/>
        </w:rPr>
        <w:t>mikoze</w:t>
      </w:r>
      <w:r w:rsidR="00E02C39" w:rsidRPr="002A3FDD">
        <w:rPr>
          <w:rFonts w:ascii="Times New Roman" w:hAnsi="Times New Roman"/>
          <w:lang w:val="lv-LV"/>
        </w:rPr>
        <w:t>s</w:t>
      </w:r>
      <w:r w:rsidRPr="002A3FDD">
        <w:rPr>
          <w:rFonts w:ascii="Times New Roman" w:hAnsi="Times New Roman"/>
          <w:lang w:val="lv-LV"/>
        </w:rPr>
        <w:t xml:space="preserve"> </w:t>
      </w:r>
      <w:r w:rsidR="00E02C39" w:rsidRPr="002A3FDD">
        <w:rPr>
          <w:rFonts w:ascii="Times New Roman" w:hAnsi="Times New Roman"/>
          <w:lang w:val="lv-LV"/>
        </w:rPr>
        <w:t>izārstē</w:t>
      </w:r>
      <w:r w:rsidR="001E4977">
        <w:rPr>
          <w:rFonts w:ascii="Times New Roman" w:hAnsi="Times New Roman"/>
          <w:lang w:val="lv-LV"/>
        </w:rPr>
        <w:t>tas</w:t>
      </w:r>
      <w:r w:rsidR="00E02C39" w:rsidRPr="002A3FDD">
        <w:rPr>
          <w:rFonts w:ascii="Times New Roman" w:hAnsi="Times New Roman"/>
          <w:lang w:val="lv-LV"/>
        </w:rPr>
        <w:t xml:space="preserve"> </w:t>
      </w:r>
      <w:r w:rsidRPr="002A3FDD">
        <w:rPr>
          <w:rFonts w:ascii="Times New Roman" w:hAnsi="Times New Roman"/>
          <w:lang w:val="lv-LV"/>
        </w:rPr>
        <w:t>7 dienu laikā.</w:t>
      </w:r>
    </w:p>
    <w:p w14:paraId="0F950783" w14:textId="7777777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p>
    <w:p w14:paraId="634DDF17" w14:textId="2A3E6FAE" w:rsidR="00A97339" w:rsidRPr="00C51D01" w:rsidRDefault="00E97125"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LOMEXIN </w:t>
      </w:r>
      <w:r w:rsidR="00A97339" w:rsidRPr="00C51D01">
        <w:rPr>
          <w:rFonts w:ascii="Times New Roman" w:hAnsi="Times New Roman"/>
          <w:lang w:val="lv-LV"/>
        </w:rPr>
        <w:t xml:space="preserve">piemīt arī antibakteriāla iedarbība pret </w:t>
      </w:r>
      <w:r w:rsidR="002F243C">
        <w:rPr>
          <w:rFonts w:ascii="Times New Roman" w:hAnsi="Times New Roman"/>
          <w:lang w:val="lv-LV"/>
        </w:rPr>
        <w:t>g</w:t>
      </w:r>
      <w:r w:rsidR="00A97339" w:rsidRPr="00C51D01">
        <w:rPr>
          <w:rFonts w:ascii="Times New Roman" w:hAnsi="Times New Roman"/>
          <w:lang w:val="lv-LV"/>
        </w:rPr>
        <w:t>rampozitīviem mikroorganismiem.</w:t>
      </w:r>
    </w:p>
    <w:p w14:paraId="3D745F88"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7AB588B2" w14:textId="40CB0D01" w:rsidR="001E4977"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i/>
          <w:iCs/>
          <w:lang w:val="lv-LV"/>
        </w:rPr>
        <w:t>Iespējamais darbības mehānisms</w:t>
      </w:r>
      <w:r w:rsidRPr="00C51D01">
        <w:rPr>
          <w:rFonts w:ascii="Times New Roman" w:hAnsi="Times New Roman"/>
          <w:lang w:val="lv-LV"/>
        </w:rPr>
        <w:t>:</w:t>
      </w:r>
      <w:r w:rsidR="00B81B1D">
        <w:rPr>
          <w:rFonts w:ascii="Times New Roman" w:hAnsi="Times New Roman"/>
          <w:lang w:val="lv-LV"/>
        </w:rPr>
        <w:t xml:space="preserve"> o</w:t>
      </w:r>
      <w:r w:rsidRPr="00C51D01">
        <w:rPr>
          <w:rFonts w:ascii="Times New Roman" w:hAnsi="Times New Roman"/>
          <w:lang w:val="lv-LV"/>
        </w:rPr>
        <w:t xml:space="preserve">ksidējošo fermentu nomākšana ar peroksīdu uzkrāšanos un sēnīšu šūnu nekrozi; tieša iedarbība uz membrānu. </w:t>
      </w:r>
    </w:p>
    <w:p w14:paraId="1855A0F5" w14:textId="77777777" w:rsidR="001E4977" w:rsidRDefault="001E4977" w:rsidP="00A44FB6">
      <w:pPr>
        <w:widowControl w:val="0"/>
        <w:autoSpaceDE w:val="0"/>
        <w:autoSpaceDN w:val="0"/>
        <w:adjustRightInd w:val="0"/>
        <w:spacing w:after="0" w:line="240" w:lineRule="auto"/>
        <w:jc w:val="both"/>
        <w:rPr>
          <w:rFonts w:ascii="Times New Roman" w:hAnsi="Times New Roman"/>
          <w:lang w:val="lv-LV"/>
        </w:rPr>
      </w:pPr>
    </w:p>
    <w:p w14:paraId="5948B7A3" w14:textId="0344D44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Gan </w:t>
      </w:r>
      <w:r w:rsidRPr="00C51D01">
        <w:rPr>
          <w:rFonts w:ascii="Times New Roman" w:hAnsi="Times New Roman"/>
          <w:i/>
          <w:iCs/>
          <w:lang w:val="lv-LV"/>
        </w:rPr>
        <w:t>in vivo</w:t>
      </w:r>
      <w:r w:rsidRPr="00C51D01">
        <w:rPr>
          <w:rFonts w:ascii="Times New Roman" w:hAnsi="Times New Roman"/>
          <w:lang w:val="lv-LV"/>
        </w:rPr>
        <w:t xml:space="preserve">, gan </w:t>
      </w:r>
      <w:r w:rsidRPr="00C51D01">
        <w:rPr>
          <w:rFonts w:ascii="Times New Roman" w:hAnsi="Times New Roman"/>
          <w:i/>
          <w:iCs/>
          <w:lang w:val="lv-LV"/>
        </w:rPr>
        <w:t>in vitro</w:t>
      </w:r>
      <w:r w:rsidRPr="00C51D01">
        <w:rPr>
          <w:rFonts w:ascii="Times New Roman" w:hAnsi="Times New Roman"/>
          <w:lang w:val="lv-LV"/>
        </w:rPr>
        <w:t xml:space="preserve"> ir pierādīts, ka fentikonazols ir aktīvs pret</w:t>
      </w:r>
      <w:r w:rsidR="00A051AA">
        <w:rPr>
          <w:rFonts w:ascii="Times New Roman" w:hAnsi="Times New Roman"/>
          <w:lang w:val="lv-LV"/>
        </w:rPr>
        <w:t xml:space="preserve"> </w:t>
      </w:r>
      <w:r w:rsidRPr="00C51D01">
        <w:rPr>
          <w:rFonts w:ascii="Times New Roman" w:hAnsi="Times New Roman"/>
          <w:i/>
          <w:iCs/>
          <w:lang w:val="lv-LV"/>
        </w:rPr>
        <w:t>Trichomon</w:t>
      </w:r>
      <w:r w:rsidR="00227515" w:rsidRPr="00C51D01">
        <w:rPr>
          <w:rFonts w:ascii="Times New Roman" w:hAnsi="Times New Roman"/>
          <w:i/>
          <w:iCs/>
          <w:lang w:val="lv-LV"/>
        </w:rPr>
        <w:t>a</w:t>
      </w:r>
      <w:r w:rsidRPr="00C51D01">
        <w:rPr>
          <w:rFonts w:ascii="Times New Roman" w:hAnsi="Times New Roman"/>
          <w:i/>
          <w:iCs/>
          <w:lang w:val="lv-LV"/>
        </w:rPr>
        <w:t>s vaginalis</w:t>
      </w:r>
      <w:r w:rsidRPr="00C51D01">
        <w:rPr>
          <w:rFonts w:ascii="Times New Roman" w:hAnsi="Times New Roman"/>
          <w:lang w:val="lv-LV"/>
        </w:rPr>
        <w:t>.</w:t>
      </w:r>
    </w:p>
    <w:p w14:paraId="55B9D9BB"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55E2BBE4" w14:textId="77777777" w:rsidR="00A97339" w:rsidRPr="00C51D01" w:rsidRDefault="00A97339" w:rsidP="002A3FDD">
      <w:pPr>
        <w:keepNext/>
        <w:widowControl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lastRenderedPageBreak/>
        <w:t>5.2</w:t>
      </w:r>
      <w:r w:rsidR="00B74570" w:rsidRPr="00C51D01">
        <w:rPr>
          <w:rFonts w:ascii="Times New Roman" w:hAnsi="Times New Roman"/>
          <w:b/>
          <w:bCs/>
          <w:lang w:val="lv-LV"/>
        </w:rPr>
        <w:t>.</w:t>
      </w:r>
      <w:r w:rsidR="006D40AF" w:rsidRPr="00C51D01">
        <w:rPr>
          <w:rFonts w:ascii="Times New Roman" w:hAnsi="Times New Roman"/>
          <w:b/>
          <w:bCs/>
          <w:lang w:val="lv-LV"/>
        </w:rPr>
        <w:tab/>
      </w:r>
      <w:r w:rsidRPr="00C51D01">
        <w:rPr>
          <w:rFonts w:ascii="Times New Roman" w:hAnsi="Times New Roman"/>
          <w:b/>
          <w:bCs/>
          <w:lang w:val="lv-LV"/>
        </w:rPr>
        <w:t>Farmakokinētiskās īpašības</w:t>
      </w:r>
    </w:p>
    <w:p w14:paraId="764EF550" w14:textId="77777777" w:rsidR="00B74570" w:rsidRPr="00C51D01" w:rsidRDefault="00B74570" w:rsidP="002A3FDD">
      <w:pPr>
        <w:keepNext/>
        <w:widowControl w:val="0"/>
        <w:autoSpaceDE w:val="0"/>
        <w:autoSpaceDN w:val="0"/>
        <w:adjustRightInd w:val="0"/>
        <w:spacing w:after="0" w:line="240" w:lineRule="auto"/>
        <w:jc w:val="both"/>
        <w:rPr>
          <w:rFonts w:ascii="Times New Roman" w:hAnsi="Times New Roman"/>
          <w:lang w:val="lv-LV"/>
        </w:rPr>
      </w:pPr>
    </w:p>
    <w:p w14:paraId="4E25F5F2" w14:textId="77777777" w:rsidR="00A97339" w:rsidRPr="00C51D01" w:rsidRDefault="00A97339" w:rsidP="002A3FDD">
      <w:pPr>
        <w:keepNext/>
        <w:widowControl w:val="0"/>
        <w:overflowPunct w:val="0"/>
        <w:autoSpaceDE w:val="0"/>
        <w:autoSpaceDN w:val="0"/>
        <w:adjustRightInd w:val="0"/>
        <w:spacing w:after="0" w:line="240" w:lineRule="auto"/>
        <w:ind w:right="20"/>
        <w:jc w:val="both"/>
        <w:rPr>
          <w:rFonts w:ascii="Times New Roman" w:hAnsi="Times New Roman"/>
          <w:lang w:val="lv-LV"/>
        </w:rPr>
      </w:pPr>
      <w:r w:rsidRPr="00C51D01">
        <w:rPr>
          <w:rFonts w:ascii="Times New Roman" w:hAnsi="Times New Roman"/>
          <w:lang w:val="lv-LV"/>
        </w:rPr>
        <w:t>Farmakokinētiskie pētījumi liecina, ka uzsūkšanās caur ādu dzīvniekiem un cilvēkiem ir niecīga.</w:t>
      </w:r>
    </w:p>
    <w:p w14:paraId="215936BB" w14:textId="77777777" w:rsidR="00B74570" w:rsidRPr="00C51D01" w:rsidRDefault="00B74570" w:rsidP="002A3FDD">
      <w:pPr>
        <w:keepNext/>
        <w:widowControl w:val="0"/>
        <w:overflowPunct w:val="0"/>
        <w:autoSpaceDE w:val="0"/>
        <w:autoSpaceDN w:val="0"/>
        <w:adjustRightInd w:val="0"/>
        <w:spacing w:after="0" w:line="240" w:lineRule="auto"/>
        <w:ind w:right="20"/>
        <w:jc w:val="both"/>
        <w:rPr>
          <w:rFonts w:ascii="Times New Roman" w:hAnsi="Times New Roman"/>
          <w:lang w:val="lv-LV"/>
        </w:rPr>
      </w:pPr>
    </w:p>
    <w:p w14:paraId="76957A66" w14:textId="77777777" w:rsidR="00A97339" w:rsidRPr="00C51D01" w:rsidRDefault="006D40AF" w:rsidP="00A44FB6">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5.3</w:t>
      </w:r>
      <w:r w:rsidR="00B74570" w:rsidRPr="00C51D01">
        <w:rPr>
          <w:rFonts w:ascii="Times New Roman" w:hAnsi="Times New Roman"/>
          <w:b/>
          <w:bCs/>
          <w:lang w:val="lv-LV"/>
        </w:rPr>
        <w:t>.</w:t>
      </w:r>
      <w:r w:rsidRPr="00C51D01">
        <w:rPr>
          <w:rFonts w:ascii="Times New Roman" w:hAnsi="Times New Roman"/>
          <w:b/>
          <w:bCs/>
          <w:lang w:val="lv-LV"/>
        </w:rPr>
        <w:tab/>
      </w:r>
      <w:r w:rsidR="00A97339" w:rsidRPr="00C51D01">
        <w:rPr>
          <w:rFonts w:ascii="Times New Roman" w:hAnsi="Times New Roman"/>
          <w:b/>
          <w:bCs/>
          <w:lang w:val="lv-LV"/>
        </w:rPr>
        <w:t xml:space="preserve">Preklīniskie dati par </w:t>
      </w:r>
      <w:r w:rsidR="00F977B7" w:rsidRPr="00C51D01">
        <w:rPr>
          <w:rFonts w:ascii="Times New Roman" w:hAnsi="Times New Roman"/>
          <w:b/>
          <w:bCs/>
          <w:lang w:val="lv-LV"/>
        </w:rPr>
        <w:t>drošumu</w:t>
      </w:r>
      <w:r w:rsidR="00A97339" w:rsidRPr="00C51D01">
        <w:rPr>
          <w:rFonts w:ascii="Times New Roman" w:hAnsi="Times New Roman"/>
          <w:b/>
          <w:bCs/>
          <w:lang w:val="lv-LV"/>
        </w:rPr>
        <w:t xml:space="preserve"> </w:t>
      </w:r>
    </w:p>
    <w:p w14:paraId="5F858C6B" w14:textId="77777777" w:rsidR="00B74570" w:rsidRPr="00C51D01" w:rsidRDefault="00B74570">
      <w:pPr>
        <w:widowControl w:val="0"/>
        <w:overflowPunct w:val="0"/>
        <w:autoSpaceDE w:val="0"/>
        <w:autoSpaceDN w:val="0"/>
        <w:adjustRightInd w:val="0"/>
        <w:spacing w:after="0" w:line="240" w:lineRule="auto"/>
        <w:jc w:val="both"/>
        <w:rPr>
          <w:rFonts w:ascii="Times New Roman" w:hAnsi="Times New Roman"/>
          <w:b/>
          <w:bCs/>
          <w:lang w:val="lv-LV"/>
        </w:rPr>
      </w:pPr>
    </w:p>
    <w:p w14:paraId="2168DE55" w14:textId="271E5CDF" w:rsidR="00A97339" w:rsidRPr="00C51D01" w:rsidRDefault="00A97339" w:rsidP="00986A46">
      <w:pPr>
        <w:widowControl w:val="0"/>
        <w:numPr>
          <w:ilvl w:val="0"/>
          <w:numId w:val="9"/>
        </w:numPr>
        <w:overflowPunct w:val="0"/>
        <w:autoSpaceDE w:val="0"/>
        <w:autoSpaceDN w:val="0"/>
        <w:adjustRightInd w:val="0"/>
        <w:spacing w:after="0" w:line="240" w:lineRule="auto"/>
        <w:ind w:left="709" w:hanging="425"/>
        <w:jc w:val="both"/>
        <w:rPr>
          <w:rFonts w:ascii="Times New Roman" w:hAnsi="Times New Roman"/>
          <w:b/>
          <w:bCs/>
          <w:lang w:val="lv-LV"/>
        </w:rPr>
      </w:pPr>
      <w:r w:rsidRPr="00C51D01">
        <w:rPr>
          <w:rFonts w:ascii="Times New Roman" w:hAnsi="Times New Roman"/>
          <w:lang w:val="lv-LV"/>
        </w:rPr>
        <w:t xml:space="preserve">LD50 pelēm: iekšķīgi </w:t>
      </w:r>
      <w:r w:rsidR="00300206">
        <w:rPr>
          <w:rFonts w:ascii="Times New Roman" w:hAnsi="Times New Roman"/>
          <w:lang w:val="lv-LV"/>
        </w:rPr>
        <w:t>–</w:t>
      </w:r>
      <w:r w:rsidRPr="00C51D01">
        <w:rPr>
          <w:rFonts w:ascii="Times New Roman" w:hAnsi="Times New Roman"/>
          <w:lang w:val="lv-LV"/>
        </w:rPr>
        <w:t xml:space="preserve"> 3000</w:t>
      </w:r>
      <w:r w:rsidR="00300206">
        <w:rPr>
          <w:rFonts w:ascii="Times New Roman" w:hAnsi="Times New Roman"/>
          <w:lang w:val="lv-LV"/>
        </w:rPr>
        <w:t> </w:t>
      </w:r>
      <w:r w:rsidRPr="00C51D01">
        <w:rPr>
          <w:rFonts w:ascii="Times New Roman" w:hAnsi="Times New Roman"/>
          <w:lang w:val="lv-LV"/>
        </w:rPr>
        <w:t>mg/kg; i/p – 1276</w:t>
      </w:r>
      <w:r w:rsidR="00300206">
        <w:rPr>
          <w:rFonts w:ascii="Times New Roman" w:hAnsi="Times New Roman"/>
          <w:lang w:val="lv-LV"/>
        </w:rPr>
        <w:t> </w:t>
      </w:r>
      <w:r w:rsidRPr="00C51D01">
        <w:rPr>
          <w:rFonts w:ascii="Times New Roman" w:hAnsi="Times New Roman"/>
          <w:lang w:val="lv-LV"/>
        </w:rPr>
        <w:t>mg/kg (M), 1265</w:t>
      </w:r>
      <w:r w:rsidR="00300206">
        <w:rPr>
          <w:rFonts w:ascii="Times New Roman" w:hAnsi="Times New Roman"/>
          <w:lang w:val="lv-LV"/>
        </w:rPr>
        <w:t> </w:t>
      </w:r>
      <w:r w:rsidRPr="00C51D01">
        <w:rPr>
          <w:rFonts w:ascii="Times New Roman" w:hAnsi="Times New Roman"/>
          <w:lang w:val="lv-LV"/>
        </w:rPr>
        <w:t xml:space="preserve">mg/kg (F); </w:t>
      </w:r>
    </w:p>
    <w:p w14:paraId="4F262737" w14:textId="77777777" w:rsidR="00A97339" w:rsidRPr="00C51D01" w:rsidRDefault="00A97339" w:rsidP="00986A46">
      <w:pPr>
        <w:widowControl w:val="0"/>
        <w:autoSpaceDE w:val="0"/>
        <w:autoSpaceDN w:val="0"/>
        <w:adjustRightInd w:val="0"/>
        <w:spacing w:after="0" w:line="240" w:lineRule="auto"/>
        <w:ind w:hanging="901"/>
        <w:jc w:val="both"/>
        <w:rPr>
          <w:rFonts w:ascii="Times New Roman" w:hAnsi="Times New Roman"/>
          <w:b/>
          <w:bCs/>
          <w:lang w:val="lv-LV"/>
        </w:rPr>
      </w:pPr>
    </w:p>
    <w:p w14:paraId="05BB35A3" w14:textId="241B5D38" w:rsidR="00A97339" w:rsidRPr="00C51D01" w:rsidRDefault="00A97339" w:rsidP="00986A46">
      <w:pPr>
        <w:widowControl w:val="0"/>
        <w:numPr>
          <w:ilvl w:val="0"/>
          <w:numId w:val="9"/>
        </w:numPr>
        <w:overflowPunct w:val="0"/>
        <w:autoSpaceDE w:val="0"/>
        <w:autoSpaceDN w:val="0"/>
        <w:adjustRightInd w:val="0"/>
        <w:spacing w:after="0" w:line="240" w:lineRule="auto"/>
        <w:ind w:left="709" w:right="20" w:hanging="425"/>
        <w:jc w:val="both"/>
        <w:rPr>
          <w:rFonts w:ascii="Times New Roman" w:hAnsi="Times New Roman"/>
          <w:b/>
          <w:bCs/>
          <w:lang w:val="lv-LV"/>
        </w:rPr>
      </w:pPr>
      <w:r w:rsidRPr="00C51D01">
        <w:rPr>
          <w:rFonts w:ascii="Times New Roman" w:hAnsi="Times New Roman"/>
          <w:lang w:val="lv-LV"/>
        </w:rPr>
        <w:t xml:space="preserve">LD50 žurkām: iekšķīgi </w:t>
      </w:r>
      <w:r w:rsidR="00300206">
        <w:rPr>
          <w:rFonts w:ascii="Times New Roman" w:hAnsi="Times New Roman"/>
          <w:lang w:val="lv-LV"/>
        </w:rPr>
        <w:t>–</w:t>
      </w:r>
      <w:r w:rsidRPr="00C51D01">
        <w:rPr>
          <w:rFonts w:ascii="Times New Roman" w:hAnsi="Times New Roman"/>
          <w:lang w:val="lv-LV"/>
        </w:rPr>
        <w:t xml:space="preserve"> 3000</w:t>
      </w:r>
      <w:r w:rsidR="00300206">
        <w:rPr>
          <w:rFonts w:ascii="Times New Roman" w:hAnsi="Times New Roman"/>
          <w:lang w:val="lv-LV"/>
        </w:rPr>
        <w:t> </w:t>
      </w:r>
      <w:r w:rsidRPr="00C51D01">
        <w:rPr>
          <w:rFonts w:ascii="Times New Roman" w:hAnsi="Times New Roman"/>
          <w:lang w:val="lv-LV"/>
        </w:rPr>
        <w:t>mg/kg; s/c – 750</w:t>
      </w:r>
      <w:r w:rsidR="00300206">
        <w:rPr>
          <w:rFonts w:ascii="Times New Roman" w:hAnsi="Times New Roman"/>
          <w:lang w:val="lv-LV"/>
        </w:rPr>
        <w:t> </w:t>
      </w:r>
      <w:r w:rsidRPr="00C51D01">
        <w:rPr>
          <w:rFonts w:ascii="Times New Roman" w:hAnsi="Times New Roman"/>
          <w:lang w:val="lv-LV"/>
        </w:rPr>
        <w:t>mg/kg (m), i/p – 440</w:t>
      </w:r>
      <w:r w:rsidR="005A3179">
        <w:rPr>
          <w:rFonts w:ascii="Times New Roman" w:hAnsi="Times New Roman"/>
          <w:lang w:val="lv-LV"/>
        </w:rPr>
        <w:t> </w:t>
      </w:r>
      <w:r w:rsidRPr="00C51D01">
        <w:rPr>
          <w:rFonts w:ascii="Times New Roman" w:hAnsi="Times New Roman"/>
          <w:lang w:val="lv-LV"/>
        </w:rPr>
        <w:t>mg/kg (M), 309</w:t>
      </w:r>
      <w:r w:rsidR="001E4977">
        <w:rPr>
          <w:rFonts w:ascii="Times New Roman" w:hAnsi="Times New Roman"/>
          <w:lang w:val="lv-LV"/>
        </w:rPr>
        <w:t> </w:t>
      </w:r>
      <w:r w:rsidRPr="00C51D01">
        <w:rPr>
          <w:rFonts w:ascii="Times New Roman" w:hAnsi="Times New Roman"/>
          <w:lang w:val="lv-LV"/>
        </w:rPr>
        <w:t xml:space="preserve">mg/kg (F); </w:t>
      </w:r>
    </w:p>
    <w:p w14:paraId="7A055AB8" w14:textId="77777777" w:rsidR="00A97339" w:rsidRPr="00C51D01" w:rsidRDefault="00A97339" w:rsidP="00986A46">
      <w:pPr>
        <w:widowControl w:val="0"/>
        <w:autoSpaceDE w:val="0"/>
        <w:autoSpaceDN w:val="0"/>
        <w:adjustRightInd w:val="0"/>
        <w:spacing w:after="0" w:line="240" w:lineRule="auto"/>
        <w:ind w:hanging="901"/>
        <w:jc w:val="both"/>
        <w:rPr>
          <w:rFonts w:ascii="Times New Roman" w:hAnsi="Times New Roman"/>
          <w:b/>
          <w:bCs/>
          <w:lang w:val="lv-LV"/>
        </w:rPr>
      </w:pPr>
    </w:p>
    <w:p w14:paraId="3A764100" w14:textId="1F17BA44" w:rsidR="00A97339" w:rsidRPr="00C51D01" w:rsidRDefault="00A97339" w:rsidP="00986A46">
      <w:pPr>
        <w:widowControl w:val="0"/>
        <w:numPr>
          <w:ilvl w:val="0"/>
          <w:numId w:val="9"/>
        </w:numPr>
        <w:overflowPunct w:val="0"/>
        <w:autoSpaceDE w:val="0"/>
        <w:autoSpaceDN w:val="0"/>
        <w:adjustRightInd w:val="0"/>
        <w:spacing w:after="0" w:line="240" w:lineRule="auto"/>
        <w:ind w:left="709" w:right="20" w:hanging="425"/>
        <w:jc w:val="both"/>
        <w:rPr>
          <w:rFonts w:ascii="Times New Roman" w:hAnsi="Times New Roman"/>
          <w:lang w:val="lv-LV"/>
        </w:rPr>
      </w:pPr>
      <w:r w:rsidRPr="00C51D01">
        <w:rPr>
          <w:rFonts w:ascii="Times New Roman" w:hAnsi="Times New Roman"/>
          <w:lang w:val="lv-LV"/>
        </w:rPr>
        <w:t>Hroniska toksicitāte: žurkām un suņiem 6 mēnešus perorāli ievadot pa 40 – 80 – 160 mg/kg/dienā</w:t>
      </w:r>
      <w:r w:rsidR="00A051AA">
        <w:rPr>
          <w:rFonts w:ascii="Times New Roman" w:hAnsi="Times New Roman"/>
          <w:lang w:val="lv-LV"/>
        </w:rPr>
        <w:t>,</w:t>
      </w:r>
      <w:r w:rsidRPr="00C51D01">
        <w:rPr>
          <w:rFonts w:ascii="Times New Roman" w:hAnsi="Times New Roman"/>
          <w:lang w:val="lv-LV"/>
        </w:rPr>
        <w:t xml:space="preserve"> bija laba panesamība, izņemot dažas vieglas vispārējās toksicitātes</w:t>
      </w:r>
      <w:r w:rsidR="003F06CC" w:rsidRPr="00C51D01">
        <w:rPr>
          <w:rFonts w:ascii="Times New Roman" w:hAnsi="Times New Roman"/>
          <w:lang w:val="lv-LV"/>
        </w:rPr>
        <w:t xml:space="preserve"> izpausmes (ievadot 160</w:t>
      </w:r>
      <w:r w:rsidR="005A3179">
        <w:rPr>
          <w:rFonts w:ascii="Times New Roman" w:hAnsi="Times New Roman"/>
          <w:lang w:val="lv-LV"/>
        </w:rPr>
        <w:t> </w:t>
      </w:r>
      <w:r w:rsidR="003F06CC" w:rsidRPr="00C51D01">
        <w:rPr>
          <w:rFonts w:ascii="Times New Roman" w:hAnsi="Times New Roman"/>
          <w:lang w:val="lv-LV"/>
        </w:rPr>
        <w:t>mg/kg žurkām, bez jebkādām histopatoloģiskām izmaiņām palielinājās aknu svars</w:t>
      </w:r>
      <w:r w:rsidR="00A051AA">
        <w:rPr>
          <w:rFonts w:ascii="Times New Roman" w:hAnsi="Times New Roman"/>
          <w:lang w:val="lv-LV"/>
        </w:rPr>
        <w:t>,</w:t>
      </w:r>
      <w:r w:rsidR="003F06CC" w:rsidRPr="00C51D01">
        <w:rPr>
          <w:rFonts w:ascii="Times New Roman" w:hAnsi="Times New Roman"/>
          <w:lang w:val="lv-LV"/>
        </w:rPr>
        <w:t xml:space="preserve"> un suņiem ievadot 80 un 160</w:t>
      </w:r>
      <w:r w:rsidR="005A3179">
        <w:rPr>
          <w:rFonts w:ascii="Times New Roman" w:hAnsi="Times New Roman"/>
          <w:lang w:val="lv-LV"/>
        </w:rPr>
        <w:t> </w:t>
      </w:r>
      <w:r w:rsidR="003F06CC" w:rsidRPr="00C51D01">
        <w:rPr>
          <w:rFonts w:ascii="Times New Roman" w:hAnsi="Times New Roman"/>
          <w:lang w:val="lv-LV"/>
        </w:rPr>
        <w:t>mg/kg</w:t>
      </w:r>
      <w:r w:rsidR="00A051AA">
        <w:rPr>
          <w:rFonts w:ascii="Times New Roman" w:hAnsi="Times New Roman"/>
          <w:lang w:val="lv-LV"/>
        </w:rPr>
        <w:t>,</w:t>
      </w:r>
      <w:r w:rsidR="003F06CC" w:rsidRPr="00C51D01">
        <w:rPr>
          <w:rFonts w:ascii="Times New Roman" w:hAnsi="Times New Roman"/>
          <w:lang w:val="lv-LV"/>
        </w:rPr>
        <w:t xml:space="preserve"> bija novērota pārejoša </w:t>
      </w:r>
      <w:r w:rsidR="003F06CC" w:rsidRPr="00C51D01">
        <w:rPr>
          <w:rFonts w:ascii="Times New Roman" w:hAnsi="Times New Roman"/>
          <w:i/>
          <w:iCs/>
          <w:lang w:val="lv-LV"/>
        </w:rPr>
        <w:t xml:space="preserve">AlAT </w:t>
      </w:r>
      <w:r w:rsidR="003F06CC" w:rsidRPr="00C51D01">
        <w:rPr>
          <w:rFonts w:ascii="Times New Roman" w:hAnsi="Times New Roman"/>
          <w:lang w:val="lv-LV"/>
        </w:rPr>
        <w:t>paaugstināšanās, kas saistīta ar aknu svara palielināšanos).</w:t>
      </w:r>
    </w:p>
    <w:p w14:paraId="65A87616" w14:textId="77777777" w:rsidR="006D40AF" w:rsidRPr="00C51D01" w:rsidRDefault="006D40AF" w:rsidP="00986A46">
      <w:pPr>
        <w:widowControl w:val="0"/>
        <w:overflowPunct w:val="0"/>
        <w:autoSpaceDE w:val="0"/>
        <w:autoSpaceDN w:val="0"/>
        <w:adjustRightInd w:val="0"/>
        <w:spacing w:after="0" w:line="240" w:lineRule="auto"/>
        <w:ind w:right="20"/>
        <w:jc w:val="both"/>
        <w:rPr>
          <w:rFonts w:ascii="Times New Roman" w:hAnsi="Times New Roman"/>
          <w:lang w:val="lv-LV"/>
        </w:rPr>
      </w:pPr>
    </w:p>
    <w:p w14:paraId="0AC72913" w14:textId="3DF68D6E" w:rsidR="00C2030B" w:rsidRPr="00C51D01" w:rsidRDefault="00C2030B"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6 mutagenēzes pētījumos </w:t>
      </w:r>
      <w:r w:rsidR="00E97125" w:rsidRPr="00C51D01">
        <w:rPr>
          <w:rFonts w:ascii="Times New Roman" w:hAnsi="Times New Roman"/>
          <w:lang w:val="lv-LV"/>
        </w:rPr>
        <w:t xml:space="preserve">LOMEXIN </w:t>
      </w:r>
      <w:r w:rsidRPr="00C51D01">
        <w:rPr>
          <w:rFonts w:ascii="Times New Roman" w:hAnsi="Times New Roman"/>
          <w:lang w:val="lv-LV"/>
        </w:rPr>
        <w:t>nebija mutagēns.</w:t>
      </w:r>
    </w:p>
    <w:p w14:paraId="157F73C7" w14:textId="77777777" w:rsidR="00C2030B" w:rsidRPr="00C51D01" w:rsidRDefault="00C2030B" w:rsidP="00986A46">
      <w:pPr>
        <w:widowControl w:val="0"/>
        <w:autoSpaceDE w:val="0"/>
        <w:autoSpaceDN w:val="0"/>
        <w:adjustRightInd w:val="0"/>
        <w:spacing w:after="0" w:line="240" w:lineRule="auto"/>
        <w:jc w:val="both"/>
        <w:rPr>
          <w:rFonts w:ascii="Times New Roman" w:hAnsi="Times New Roman"/>
          <w:lang w:val="lv-LV"/>
        </w:rPr>
      </w:pPr>
    </w:p>
    <w:p w14:paraId="558963C5" w14:textId="4547D1B4" w:rsidR="00C2030B" w:rsidRPr="00C51D01" w:rsidRDefault="00E97125" w:rsidP="00986A46">
      <w:pPr>
        <w:widowControl w:val="0"/>
        <w:overflowPunct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LOMEXIN </w:t>
      </w:r>
      <w:r w:rsidR="00C2030B" w:rsidRPr="00C51D01">
        <w:rPr>
          <w:rFonts w:ascii="Times New Roman" w:hAnsi="Times New Roman"/>
          <w:lang w:val="lv-LV"/>
        </w:rPr>
        <w:t>panesamība jūras cūciņām un trušiem bija apmierinoša. Rezultāti, kas iegūti pētījumos ar pundurcūciņām, kuru āda morfoloģiski un funkcionāli ir līdzīga cilvēku ādai un parasti uzrāda ievērojamu jutību pret dažādiem kairinošiem faktoriem, uzrādīja ļoti labu panesamību.</w:t>
      </w:r>
    </w:p>
    <w:p w14:paraId="12C56B8A" w14:textId="77777777" w:rsidR="00C2030B" w:rsidRPr="00C51D01" w:rsidRDefault="00C2030B" w:rsidP="00986A46">
      <w:pPr>
        <w:widowControl w:val="0"/>
        <w:autoSpaceDE w:val="0"/>
        <w:autoSpaceDN w:val="0"/>
        <w:adjustRightInd w:val="0"/>
        <w:spacing w:after="0" w:line="240" w:lineRule="auto"/>
        <w:jc w:val="both"/>
        <w:rPr>
          <w:rFonts w:ascii="Times New Roman" w:hAnsi="Times New Roman"/>
          <w:lang w:val="lv-LV"/>
        </w:rPr>
      </w:pPr>
    </w:p>
    <w:p w14:paraId="3ABB40FC" w14:textId="6C518D7B" w:rsidR="00C2030B" w:rsidRPr="00C51D01" w:rsidRDefault="00E97125"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LOMEXIN </w:t>
      </w:r>
      <w:r w:rsidR="00C2030B" w:rsidRPr="00C51D01">
        <w:rPr>
          <w:rFonts w:ascii="Times New Roman" w:hAnsi="Times New Roman"/>
          <w:lang w:val="lv-LV"/>
        </w:rPr>
        <w:t>neuzrādīja nekādas sensi</w:t>
      </w:r>
      <w:r w:rsidR="00CE6BA1">
        <w:rPr>
          <w:rFonts w:ascii="Times New Roman" w:hAnsi="Times New Roman"/>
          <w:lang w:val="lv-LV"/>
        </w:rPr>
        <w:t>bilizācijas</w:t>
      </w:r>
      <w:r w:rsidR="00C2030B" w:rsidRPr="00C51D01">
        <w:rPr>
          <w:rFonts w:ascii="Times New Roman" w:hAnsi="Times New Roman"/>
          <w:lang w:val="lv-LV"/>
        </w:rPr>
        <w:t>, fototoksicitātes un fotoalerģijas pazīmes.</w:t>
      </w:r>
    </w:p>
    <w:p w14:paraId="3CB8D1B3" w14:textId="77777777" w:rsidR="00C2030B" w:rsidRPr="00C51D01" w:rsidRDefault="00C2030B" w:rsidP="00986A46">
      <w:pPr>
        <w:widowControl w:val="0"/>
        <w:autoSpaceDE w:val="0"/>
        <w:autoSpaceDN w:val="0"/>
        <w:adjustRightInd w:val="0"/>
        <w:spacing w:after="0" w:line="240" w:lineRule="auto"/>
        <w:jc w:val="both"/>
        <w:rPr>
          <w:rFonts w:ascii="Times New Roman" w:hAnsi="Times New Roman"/>
          <w:lang w:val="lv-LV"/>
        </w:rPr>
      </w:pPr>
    </w:p>
    <w:p w14:paraId="195184D0" w14:textId="0FE6F111" w:rsidR="00C2030B" w:rsidRPr="00C51D01" w:rsidRDefault="00C2030B" w:rsidP="00986A46">
      <w:pPr>
        <w:widowControl w:val="0"/>
        <w:overflowPunct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Pētījumos ar dzīvniekiem ir pierādīts, ka fentikonazola nitrāts neietekmē sievišķo un vīrišķo dzimumorgānu funkcijas, kā arī neietekmē reprodukcijas pirmo fāzi. Ziņots, ka lielu fentikonazola devu (&gt; 20 mg/kg) iekšķīga lietošana žurkām izraisa ilgākas un grūtākas dzemdības. Papildus tam, ievadot žurkām un trušiem ļoti lielas fetikonazola devas (80 mg/kg), tika novērota fetotoksiska un embriot</w:t>
      </w:r>
      <w:r w:rsidR="00A051AA">
        <w:rPr>
          <w:rFonts w:ascii="Times New Roman" w:hAnsi="Times New Roman"/>
          <w:lang w:val="lv-LV"/>
        </w:rPr>
        <w:t>o</w:t>
      </w:r>
      <w:r w:rsidRPr="00C51D01">
        <w:rPr>
          <w:rFonts w:ascii="Times New Roman" w:hAnsi="Times New Roman"/>
          <w:lang w:val="lv-LV"/>
        </w:rPr>
        <w:t>ksiska iedarbība. Žurkām un suņiem nav novērota teratogēna iedarbība. Žurkām laktācijas periodā fetikonazolu un/vai tā metabolītus var konstatēt pienā.</w:t>
      </w:r>
    </w:p>
    <w:p w14:paraId="6760EFA9" w14:textId="77777777" w:rsidR="00C2030B" w:rsidRPr="00C51D01" w:rsidRDefault="00C2030B"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Cilvēkiem tikai neliels daudzums fentikonazola nitrāta uzsūcas caur ma</w:t>
      </w:r>
      <w:r w:rsidR="00C51D01">
        <w:rPr>
          <w:rFonts w:ascii="Times New Roman" w:hAnsi="Times New Roman"/>
          <w:lang w:val="lv-LV"/>
        </w:rPr>
        <w:t>k</w:t>
      </w:r>
      <w:r w:rsidRPr="00C51D01">
        <w:rPr>
          <w:rFonts w:ascii="Times New Roman" w:hAnsi="Times New Roman"/>
          <w:lang w:val="lv-LV"/>
        </w:rPr>
        <w:t>sti.</w:t>
      </w:r>
    </w:p>
    <w:p w14:paraId="0CD706E8" w14:textId="77777777" w:rsidR="00C2030B" w:rsidRPr="00C51D01" w:rsidRDefault="00C2030B">
      <w:pPr>
        <w:widowControl w:val="0"/>
        <w:autoSpaceDE w:val="0"/>
        <w:autoSpaceDN w:val="0"/>
        <w:adjustRightInd w:val="0"/>
        <w:spacing w:after="0" w:line="240" w:lineRule="auto"/>
        <w:jc w:val="both"/>
        <w:rPr>
          <w:rFonts w:ascii="Times New Roman" w:hAnsi="Times New Roman"/>
          <w:lang w:val="lv-LV"/>
        </w:rPr>
      </w:pPr>
    </w:p>
    <w:p w14:paraId="3030A3F6" w14:textId="77777777" w:rsidR="00A97339" w:rsidRPr="00C51D01" w:rsidRDefault="00A97339">
      <w:pPr>
        <w:widowControl w:val="0"/>
        <w:autoSpaceDE w:val="0"/>
        <w:autoSpaceDN w:val="0"/>
        <w:adjustRightInd w:val="0"/>
        <w:spacing w:after="0" w:line="240" w:lineRule="auto"/>
        <w:jc w:val="both"/>
        <w:rPr>
          <w:rFonts w:ascii="Times New Roman" w:hAnsi="Times New Roman"/>
          <w:lang w:val="lv-LV"/>
        </w:rPr>
      </w:pPr>
    </w:p>
    <w:p w14:paraId="550ED840" w14:textId="77777777" w:rsidR="00A97339" w:rsidRPr="00C51D01" w:rsidRDefault="00A97339">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6.</w:t>
      </w:r>
      <w:r w:rsidR="008F128A" w:rsidRPr="00C51D01">
        <w:rPr>
          <w:rFonts w:ascii="Times New Roman" w:hAnsi="Times New Roman"/>
          <w:b/>
          <w:bCs/>
          <w:lang w:val="lv-LV"/>
        </w:rPr>
        <w:tab/>
      </w:r>
      <w:r w:rsidRPr="00C51D01">
        <w:rPr>
          <w:rFonts w:ascii="Times New Roman" w:hAnsi="Times New Roman"/>
          <w:b/>
          <w:bCs/>
          <w:lang w:val="lv-LV"/>
        </w:rPr>
        <w:t>FARMACEITISKĀ INFORMĀCIJA</w:t>
      </w:r>
    </w:p>
    <w:p w14:paraId="358AFED2" w14:textId="77777777" w:rsidR="008F128A" w:rsidRPr="00C51D01" w:rsidRDefault="008F128A" w:rsidP="00986A46">
      <w:pPr>
        <w:widowControl w:val="0"/>
        <w:autoSpaceDE w:val="0"/>
        <w:autoSpaceDN w:val="0"/>
        <w:adjustRightInd w:val="0"/>
        <w:spacing w:after="0" w:line="240" w:lineRule="auto"/>
        <w:jc w:val="both"/>
        <w:rPr>
          <w:rFonts w:ascii="Times New Roman" w:hAnsi="Times New Roman"/>
          <w:b/>
          <w:bCs/>
          <w:lang w:val="lv-LV"/>
        </w:rPr>
      </w:pPr>
    </w:p>
    <w:p w14:paraId="305E8386"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6.1</w:t>
      </w:r>
      <w:r w:rsidR="00B74570" w:rsidRPr="00C51D01">
        <w:rPr>
          <w:rFonts w:ascii="Times New Roman" w:hAnsi="Times New Roman"/>
          <w:b/>
          <w:bCs/>
          <w:lang w:val="lv-LV"/>
        </w:rPr>
        <w:t>.</w:t>
      </w:r>
      <w:r w:rsidR="008F128A" w:rsidRPr="00C51D01">
        <w:rPr>
          <w:rFonts w:ascii="Times New Roman" w:hAnsi="Times New Roman"/>
          <w:b/>
          <w:bCs/>
          <w:lang w:val="lv-LV"/>
        </w:rPr>
        <w:tab/>
      </w:r>
      <w:r w:rsidRPr="00C51D01">
        <w:rPr>
          <w:rFonts w:ascii="Times New Roman" w:hAnsi="Times New Roman"/>
          <w:b/>
          <w:bCs/>
          <w:lang w:val="lv-LV"/>
        </w:rPr>
        <w:t>Palīgvielu saraksts</w:t>
      </w:r>
    </w:p>
    <w:p w14:paraId="34E87F3A" w14:textId="77777777" w:rsidR="008F128A" w:rsidRPr="00C51D01" w:rsidRDefault="008F128A" w:rsidP="00986A46">
      <w:pPr>
        <w:widowControl w:val="0"/>
        <w:overflowPunct w:val="0"/>
        <w:autoSpaceDE w:val="0"/>
        <w:autoSpaceDN w:val="0"/>
        <w:adjustRightInd w:val="0"/>
        <w:spacing w:after="0" w:line="240" w:lineRule="auto"/>
        <w:jc w:val="both"/>
        <w:rPr>
          <w:rFonts w:ascii="Times New Roman" w:hAnsi="Times New Roman"/>
          <w:lang w:val="lv-LV"/>
        </w:rPr>
      </w:pPr>
    </w:p>
    <w:p w14:paraId="56659BDA" w14:textId="7242BA4B" w:rsidR="00A97339" w:rsidRPr="00C51D01" w:rsidRDefault="00A97339" w:rsidP="00986A46">
      <w:pPr>
        <w:widowControl w:val="0"/>
        <w:overflowPunct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Propilēnglikols (E1520), hidrogenēt</w:t>
      </w:r>
      <w:r w:rsidR="00CB65B6">
        <w:rPr>
          <w:rFonts w:ascii="Times New Roman" w:hAnsi="Times New Roman"/>
          <w:lang w:val="lv-LV"/>
        </w:rPr>
        <w:t>i</w:t>
      </w:r>
      <w:r w:rsidRPr="00C51D01">
        <w:rPr>
          <w:rFonts w:ascii="Times New Roman" w:hAnsi="Times New Roman"/>
          <w:lang w:val="lv-LV"/>
        </w:rPr>
        <w:t xml:space="preserve"> </w:t>
      </w:r>
      <w:r w:rsidR="00CB65B6">
        <w:rPr>
          <w:rFonts w:ascii="Times New Roman" w:hAnsi="Times New Roman"/>
          <w:lang w:val="lv-LV"/>
        </w:rPr>
        <w:t>v</w:t>
      </w:r>
      <w:r w:rsidR="00644997" w:rsidRPr="00644997">
        <w:rPr>
          <w:rFonts w:ascii="Times New Roman" w:hAnsi="Times New Roman"/>
          <w:lang w:val="lv-LV"/>
        </w:rPr>
        <w:t>ilnas tauki</w:t>
      </w:r>
      <w:r w:rsidR="001D0FDA">
        <w:rPr>
          <w:rFonts w:ascii="Times New Roman" w:hAnsi="Times New Roman"/>
          <w:lang w:val="lv-LV"/>
        </w:rPr>
        <w:t xml:space="preserve"> (lanolīns)</w:t>
      </w:r>
      <w:r w:rsidRPr="00C51D01">
        <w:rPr>
          <w:rFonts w:ascii="Times New Roman" w:hAnsi="Times New Roman"/>
          <w:lang w:val="lv-LV"/>
        </w:rPr>
        <w:t xml:space="preserve">, </w:t>
      </w:r>
      <w:r w:rsidR="00792187">
        <w:rPr>
          <w:rFonts w:ascii="Times New Roman" w:hAnsi="Times New Roman"/>
          <w:lang w:val="lv-LV"/>
        </w:rPr>
        <w:t>attīrīta</w:t>
      </w:r>
      <w:r w:rsidR="00792187" w:rsidRPr="00C51D01">
        <w:rPr>
          <w:rFonts w:ascii="Times New Roman" w:hAnsi="Times New Roman"/>
          <w:lang w:val="lv-LV"/>
        </w:rPr>
        <w:t xml:space="preserve"> </w:t>
      </w:r>
      <w:r w:rsidRPr="00C51D01">
        <w:rPr>
          <w:rFonts w:ascii="Times New Roman" w:hAnsi="Times New Roman"/>
          <w:lang w:val="lv-LV"/>
        </w:rPr>
        <w:t>mandeļu eļļa, taukskābju poliglikolesteri, cetilspirts, glicerīna monostearāts, dinātrija edetāts, attīrīts ūdens.</w:t>
      </w:r>
    </w:p>
    <w:p w14:paraId="1318D47D"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3A9C6E2B" w14:textId="77777777" w:rsidR="00A97339" w:rsidRPr="00C51D01" w:rsidRDefault="008F128A" w:rsidP="00A44FB6">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6.2</w:t>
      </w:r>
      <w:r w:rsidR="00B74570" w:rsidRPr="00C51D01">
        <w:rPr>
          <w:rFonts w:ascii="Times New Roman" w:hAnsi="Times New Roman"/>
          <w:b/>
          <w:bCs/>
          <w:lang w:val="lv-LV"/>
        </w:rPr>
        <w:t>.</w:t>
      </w:r>
      <w:r w:rsidRPr="00C51D01">
        <w:rPr>
          <w:rFonts w:ascii="Times New Roman" w:hAnsi="Times New Roman"/>
          <w:b/>
          <w:bCs/>
          <w:lang w:val="lv-LV"/>
        </w:rPr>
        <w:tab/>
      </w:r>
      <w:r w:rsidR="00A97339" w:rsidRPr="00C51D01">
        <w:rPr>
          <w:rFonts w:ascii="Times New Roman" w:hAnsi="Times New Roman"/>
          <w:b/>
          <w:bCs/>
          <w:lang w:val="lv-LV"/>
        </w:rPr>
        <w:t xml:space="preserve">Nesaderība </w:t>
      </w:r>
    </w:p>
    <w:p w14:paraId="1E3B2849" w14:textId="77777777" w:rsidR="008F128A" w:rsidRPr="00C51D01" w:rsidRDefault="008F128A">
      <w:pPr>
        <w:widowControl w:val="0"/>
        <w:overflowPunct w:val="0"/>
        <w:autoSpaceDE w:val="0"/>
        <w:autoSpaceDN w:val="0"/>
        <w:adjustRightInd w:val="0"/>
        <w:spacing w:after="0" w:line="240" w:lineRule="auto"/>
        <w:jc w:val="both"/>
        <w:rPr>
          <w:rFonts w:ascii="Times New Roman" w:hAnsi="Times New Roman"/>
          <w:lang w:val="lv-LV"/>
        </w:rPr>
      </w:pPr>
    </w:p>
    <w:p w14:paraId="5E8548FE" w14:textId="77777777" w:rsidR="00A97339" w:rsidRPr="00C51D01" w:rsidRDefault="00A97339">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lang w:val="lv-LV"/>
        </w:rPr>
        <w:t xml:space="preserve">Nav piemērojama. </w:t>
      </w:r>
    </w:p>
    <w:p w14:paraId="3A4E1543"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b/>
          <w:bCs/>
          <w:lang w:val="lv-LV"/>
        </w:rPr>
      </w:pPr>
    </w:p>
    <w:p w14:paraId="60926EC6" w14:textId="77777777" w:rsidR="00A97339" w:rsidRPr="00C51D01" w:rsidRDefault="008F128A" w:rsidP="00A44FB6">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6.3</w:t>
      </w:r>
      <w:r w:rsidR="00B74570" w:rsidRPr="00C51D01">
        <w:rPr>
          <w:rFonts w:ascii="Times New Roman" w:hAnsi="Times New Roman"/>
          <w:b/>
          <w:bCs/>
          <w:lang w:val="lv-LV"/>
        </w:rPr>
        <w:t>.</w:t>
      </w:r>
      <w:r w:rsidRPr="00C51D01">
        <w:rPr>
          <w:rFonts w:ascii="Times New Roman" w:hAnsi="Times New Roman"/>
          <w:b/>
          <w:bCs/>
          <w:lang w:val="lv-LV"/>
        </w:rPr>
        <w:tab/>
      </w:r>
      <w:r w:rsidR="00A97339" w:rsidRPr="00C51D01">
        <w:rPr>
          <w:rFonts w:ascii="Times New Roman" w:hAnsi="Times New Roman"/>
          <w:b/>
          <w:bCs/>
          <w:lang w:val="lv-LV"/>
        </w:rPr>
        <w:t xml:space="preserve">Uzglabāšanas laiks </w:t>
      </w:r>
    </w:p>
    <w:p w14:paraId="6CB08E0C" w14:textId="77777777" w:rsidR="008F128A" w:rsidRPr="00C51D01" w:rsidRDefault="008F128A">
      <w:pPr>
        <w:widowControl w:val="0"/>
        <w:overflowPunct w:val="0"/>
        <w:autoSpaceDE w:val="0"/>
        <w:autoSpaceDN w:val="0"/>
        <w:adjustRightInd w:val="0"/>
        <w:spacing w:after="0" w:line="240" w:lineRule="auto"/>
        <w:jc w:val="both"/>
        <w:rPr>
          <w:rFonts w:ascii="Times New Roman" w:hAnsi="Times New Roman"/>
          <w:lang w:val="lv-LV"/>
        </w:rPr>
      </w:pPr>
    </w:p>
    <w:p w14:paraId="4C4666AF" w14:textId="705BBDB2" w:rsidR="00A97339" w:rsidRPr="00C51D01" w:rsidRDefault="00A97339">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lang w:val="lv-LV"/>
        </w:rPr>
        <w:t>3</w:t>
      </w:r>
      <w:r w:rsidR="005A3179">
        <w:rPr>
          <w:rFonts w:ascii="Times New Roman" w:hAnsi="Times New Roman"/>
          <w:lang w:val="lv-LV"/>
        </w:rPr>
        <w:t> </w:t>
      </w:r>
      <w:r w:rsidRPr="00C51D01">
        <w:rPr>
          <w:rFonts w:ascii="Times New Roman" w:hAnsi="Times New Roman"/>
          <w:lang w:val="lv-LV"/>
        </w:rPr>
        <w:t xml:space="preserve">gadi. </w:t>
      </w:r>
    </w:p>
    <w:p w14:paraId="43DE1905"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b/>
          <w:bCs/>
          <w:lang w:val="lv-LV"/>
        </w:rPr>
      </w:pPr>
    </w:p>
    <w:p w14:paraId="3A72BFAA" w14:textId="77777777" w:rsidR="00A97339" w:rsidRPr="00C51D01" w:rsidRDefault="008F128A" w:rsidP="00A44FB6">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6.4</w:t>
      </w:r>
      <w:r w:rsidR="00B74570" w:rsidRPr="00C51D01">
        <w:rPr>
          <w:rFonts w:ascii="Times New Roman" w:hAnsi="Times New Roman"/>
          <w:b/>
          <w:bCs/>
          <w:lang w:val="lv-LV"/>
        </w:rPr>
        <w:t>.</w:t>
      </w:r>
      <w:r w:rsidRPr="00C51D01">
        <w:rPr>
          <w:rFonts w:ascii="Times New Roman" w:hAnsi="Times New Roman"/>
          <w:b/>
          <w:bCs/>
          <w:lang w:val="lv-LV"/>
        </w:rPr>
        <w:tab/>
      </w:r>
      <w:r w:rsidR="00A97339" w:rsidRPr="00C51D01">
        <w:rPr>
          <w:rFonts w:ascii="Times New Roman" w:hAnsi="Times New Roman"/>
          <w:b/>
          <w:bCs/>
          <w:lang w:val="lv-LV"/>
        </w:rPr>
        <w:t xml:space="preserve">Īpaši uzglabāšanas nosacījumi </w:t>
      </w:r>
    </w:p>
    <w:p w14:paraId="5F2FB758" w14:textId="77777777" w:rsidR="008F128A" w:rsidRPr="00C51D01" w:rsidRDefault="008F128A">
      <w:pPr>
        <w:widowControl w:val="0"/>
        <w:autoSpaceDE w:val="0"/>
        <w:autoSpaceDN w:val="0"/>
        <w:adjustRightInd w:val="0"/>
        <w:spacing w:after="0" w:line="240" w:lineRule="auto"/>
        <w:jc w:val="both"/>
        <w:rPr>
          <w:rFonts w:ascii="Times New Roman" w:hAnsi="Times New Roman"/>
          <w:lang w:val="lv-LV"/>
        </w:rPr>
      </w:pPr>
    </w:p>
    <w:p w14:paraId="44999BF6" w14:textId="0A893A4C" w:rsidR="00A97339" w:rsidRPr="00C51D01" w:rsidRDefault="003101A4">
      <w:pPr>
        <w:widowControl w:val="0"/>
        <w:autoSpaceDE w:val="0"/>
        <w:autoSpaceDN w:val="0"/>
        <w:adjustRightInd w:val="0"/>
        <w:spacing w:after="0" w:line="240" w:lineRule="auto"/>
        <w:jc w:val="both"/>
        <w:rPr>
          <w:rFonts w:ascii="Times New Roman" w:hAnsi="Times New Roman"/>
          <w:lang w:val="lv-LV"/>
        </w:rPr>
      </w:pPr>
      <w:r>
        <w:rPr>
          <w:rFonts w:ascii="Times New Roman" w:hAnsi="Times New Roman"/>
          <w:lang w:val="lv-LV"/>
        </w:rPr>
        <w:t>Šīm z</w:t>
      </w:r>
      <w:r w:rsidR="00A97339" w:rsidRPr="00C51D01">
        <w:rPr>
          <w:rFonts w:ascii="Times New Roman" w:hAnsi="Times New Roman"/>
          <w:lang w:val="lv-LV"/>
        </w:rPr>
        <w:t>ālēm nav nepieciešami īpaši uzglabāšanas apstākļi.</w:t>
      </w:r>
    </w:p>
    <w:p w14:paraId="540102E9"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45D9769E" w14:textId="77777777" w:rsidR="00A97339" w:rsidRPr="00C51D01" w:rsidRDefault="00A97339" w:rsidP="002A3FDD">
      <w:pPr>
        <w:keepNext/>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lastRenderedPageBreak/>
        <w:t>6.5</w:t>
      </w:r>
      <w:r w:rsidR="00B74570" w:rsidRPr="00C51D01">
        <w:rPr>
          <w:rFonts w:ascii="Times New Roman" w:hAnsi="Times New Roman"/>
          <w:b/>
          <w:bCs/>
          <w:lang w:val="lv-LV"/>
        </w:rPr>
        <w:t>.</w:t>
      </w:r>
      <w:r w:rsidR="008F128A" w:rsidRPr="00C51D01">
        <w:rPr>
          <w:rFonts w:ascii="Times New Roman" w:hAnsi="Times New Roman"/>
          <w:b/>
          <w:bCs/>
          <w:lang w:val="lv-LV"/>
        </w:rPr>
        <w:tab/>
      </w:r>
      <w:r w:rsidRPr="00C51D01">
        <w:rPr>
          <w:rFonts w:ascii="Times New Roman" w:hAnsi="Times New Roman"/>
          <w:b/>
          <w:bCs/>
          <w:lang w:val="lv-LV"/>
        </w:rPr>
        <w:t>Iepakojuma veids un saturs</w:t>
      </w:r>
    </w:p>
    <w:p w14:paraId="42A85A4C" w14:textId="77777777" w:rsidR="008F128A" w:rsidRPr="00C51D01" w:rsidRDefault="008F128A" w:rsidP="002A3FDD">
      <w:pPr>
        <w:keepNext/>
        <w:widowControl w:val="0"/>
        <w:autoSpaceDE w:val="0"/>
        <w:autoSpaceDN w:val="0"/>
        <w:adjustRightInd w:val="0"/>
        <w:spacing w:after="0" w:line="240" w:lineRule="auto"/>
        <w:jc w:val="both"/>
        <w:rPr>
          <w:rFonts w:ascii="Times New Roman" w:hAnsi="Times New Roman"/>
          <w:lang w:val="lv-LV"/>
        </w:rPr>
      </w:pPr>
    </w:p>
    <w:p w14:paraId="4F9CF9B7" w14:textId="77777777" w:rsidR="00A97339" w:rsidRPr="00C51D01" w:rsidRDefault="00A97339" w:rsidP="002A3FDD">
      <w:pPr>
        <w:keepNext/>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Alumīnija tūbiņa, kas iekšpusē pārklāta ar aizsarglaku un iepakota kartona kastē.</w:t>
      </w:r>
    </w:p>
    <w:p w14:paraId="5424AEBB"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1E502031" w14:textId="3D0E3252"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Tūbiņa satur 30</w:t>
      </w:r>
      <w:r w:rsidR="005A3179">
        <w:rPr>
          <w:rFonts w:ascii="Times New Roman" w:hAnsi="Times New Roman"/>
          <w:lang w:val="lv-LV"/>
        </w:rPr>
        <w:t> </w:t>
      </w:r>
      <w:r w:rsidRPr="00C51D01">
        <w:rPr>
          <w:rFonts w:ascii="Times New Roman" w:hAnsi="Times New Roman"/>
          <w:lang w:val="lv-LV"/>
        </w:rPr>
        <w:t>g krēma.</w:t>
      </w:r>
    </w:p>
    <w:p w14:paraId="02EFACA1"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3FBE5223" w14:textId="7777777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6.6</w:t>
      </w:r>
      <w:r w:rsidR="00B74570" w:rsidRPr="00C51D01">
        <w:rPr>
          <w:rFonts w:ascii="Times New Roman" w:hAnsi="Times New Roman"/>
          <w:b/>
          <w:bCs/>
          <w:lang w:val="lv-LV"/>
        </w:rPr>
        <w:t>.</w:t>
      </w:r>
      <w:r w:rsidR="008F128A" w:rsidRPr="00C51D01">
        <w:rPr>
          <w:rFonts w:ascii="Times New Roman" w:hAnsi="Times New Roman"/>
          <w:b/>
          <w:bCs/>
          <w:lang w:val="lv-LV"/>
        </w:rPr>
        <w:tab/>
      </w:r>
      <w:r w:rsidR="00A44FB6" w:rsidRPr="00C51D01">
        <w:rPr>
          <w:rFonts w:ascii="Times New Roman" w:hAnsi="Times New Roman"/>
          <w:b/>
          <w:color w:val="000000"/>
          <w:lang w:val="lv-LV"/>
        </w:rPr>
        <w:t>Īpaši norādījumi atkritumu likvidēšanai un citi norādījumi par rīkošanos</w:t>
      </w:r>
    </w:p>
    <w:p w14:paraId="0361E4A9" w14:textId="77777777" w:rsidR="008F128A" w:rsidRPr="00C51D01" w:rsidRDefault="008F128A">
      <w:pPr>
        <w:widowControl w:val="0"/>
        <w:autoSpaceDE w:val="0"/>
        <w:autoSpaceDN w:val="0"/>
        <w:adjustRightInd w:val="0"/>
        <w:spacing w:after="0" w:line="240" w:lineRule="auto"/>
        <w:jc w:val="both"/>
        <w:rPr>
          <w:rFonts w:ascii="Times New Roman" w:hAnsi="Times New Roman"/>
          <w:lang w:val="lv-LV"/>
        </w:rPr>
      </w:pPr>
    </w:p>
    <w:p w14:paraId="5D8DC6A3" w14:textId="77777777" w:rsidR="00A97339" w:rsidRPr="00C51D01" w:rsidRDefault="00A97339">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 xml:space="preserve">Neizlietotās zāles vai </w:t>
      </w:r>
      <w:r w:rsidR="00806B2A" w:rsidRPr="00C51D01">
        <w:rPr>
          <w:rFonts w:ascii="Times New Roman" w:hAnsi="Times New Roman"/>
          <w:lang w:val="lv-LV"/>
        </w:rPr>
        <w:t>izlietotie materiāli</w:t>
      </w:r>
      <w:r w:rsidRPr="00C51D01">
        <w:rPr>
          <w:rFonts w:ascii="Times New Roman" w:hAnsi="Times New Roman"/>
          <w:lang w:val="lv-LV"/>
        </w:rPr>
        <w:t xml:space="preserve"> jāiznīcina atbilstoši vietējām prasībām.</w:t>
      </w:r>
    </w:p>
    <w:p w14:paraId="230A519B"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5DE95A7C" w14:textId="77777777" w:rsidR="008F128A" w:rsidRPr="00C51D01" w:rsidRDefault="008F128A" w:rsidP="00986A46">
      <w:pPr>
        <w:widowControl w:val="0"/>
        <w:autoSpaceDE w:val="0"/>
        <w:autoSpaceDN w:val="0"/>
        <w:adjustRightInd w:val="0"/>
        <w:spacing w:after="0" w:line="240" w:lineRule="auto"/>
        <w:jc w:val="both"/>
        <w:rPr>
          <w:rFonts w:ascii="Times New Roman" w:hAnsi="Times New Roman"/>
          <w:lang w:val="lv-LV"/>
        </w:rPr>
      </w:pPr>
    </w:p>
    <w:p w14:paraId="5C412335" w14:textId="77777777"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7.</w:t>
      </w:r>
      <w:r w:rsidR="008F128A" w:rsidRPr="00C51D01">
        <w:rPr>
          <w:rFonts w:ascii="Times New Roman" w:hAnsi="Times New Roman"/>
          <w:b/>
          <w:bCs/>
          <w:lang w:val="lv-LV"/>
        </w:rPr>
        <w:tab/>
      </w:r>
      <w:r w:rsidRPr="00C51D01">
        <w:rPr>
          <w:rFonts w:ascii="Times New Roman" w:hAnsi="Times New Roman"/>
          <w:b/>
          <w:bCs/>
          <w:lang w:val="lv-LV"/>
        </w:rPr>
        <w:t>REĢISTRĀCIJAS APLIECĪBAS ĪPAŠNIEKS</w:t>
      </w:r>
    </w:p>
    <w:p w14:paraId="49F09221" w14:textId="77777777" w:rsidR="008F128A" w:rsidRPr="00C51D01" w:rsidRDefault="008F128A">
      <w:pPr>
        <w:widowControl w:val="0"/>
        <w:autoSpaceDE w:val="0"/>
        <w:autoSpaceDN w:val="0"/>
        <w:adjustRightInd w:val="0"/>
        <w:spacing w:after="0" w:line="240" w:lineRule="auto"/>
        <w:jc w:val="both"/>
        <w:rPr>
          <w:rFonts w:ascii="Times New Roman" w:hAnsi="Times New Roman"/>
          <w:lang w:val="lv-LV"/>
        </w:rPr>
      </w:pPr>
    </w:p>
    <w:p w14:paraId="2D22C8B7" w14:textId="1C39B5EC" w:rsidR="00A97339" w:rsidRPr="00C51D01" w:rsidRDefault="00A97339">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Recordati Industria Chimica e Farmaceutica S.p.A., Via Civitali, 1 – 20148 Milano, Itālija</w:t>
      </w:r>
    </w:p>
    <w:p w14:paraId="2A7AEE52"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49159176" w14:textId="77777777" w:rsidR="008F128A" w:rsidRPr="00C51D01" w:rsidRDefault="008F128A" w:rsidP="00986A46">
      <w:pPr>
        <w:widowControl w:val="0"/>
        <w:autoSpaceDE w:val="0"/>
        <w:autoSpaceDN w:val="0"/>
        <w:adjustRightInd w:val="0"/>
        <w:spacing w:after="0" w:line="240" w:lineRule="auto"/>
        <w:jc w:val="both"/>
        <w:rPr>
          <w:rFonts w:ascii="Times New Roman" w:hAnsi="Times New Roman"/>
          <w:lang w:val="lv-LV"/>
        </w:rPr>
      </w:pPr>
    </w:p>
    <w:p w14:paraId="5B7A3541" w14:textId="13EEB44D" w:rsidR="00A97339" w:rsidRPr="00C51D01" w:rsidRDefault="008F128A" w:rsidP="00A44FB6">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b/>
          <w:bCs/>
          <w:lang w:val="lv-LV"/>
        </w:rPr>
        <w:t>8.</w:t>
      </w:r>
      <w:r w:rsidRPr="00C51D01">
        <w:rPr>
          <w:rFonts w:ascii="Times New Roman" w:hAnsi="Times New Roman"/>
          <w:b/>
          <w:bCs/>
          <w:lang w:val="lv-LV"/>
        </w:rPr>
        <w:tab/>
      </w:r>
      <w:r w:rsidR="00A97339" w:rsidRPr="00C51D01">
        <w:rPr>
          <w:rFonts w:ascii="Times New Roman" w:hAnsi="Times New Roman"/>
          <w:b/>
          <w:bCs/>
          <w:lang w:val="lv-LV"/>
        </w:rPr>
        <w:t xml:space="preserve">REĢISTRĀCIJAS </w:t>
      </w:r>
      <w:r w:rsidR="003101A4">
        <w:rPr>
          <w:rFonts w:ascii="Times New Roman" w:hAnsi="Times New Roman"/>
          <w:b/>
          <w:bCs/>
          <w:lang w:val="lv-LV"/>
        </w:rPr>
        <w:t xml:space="preserve">APLIECĪBAS </w:t>
      </w:r>
      <w:r w:rsidR="00A97339" w:rsidRPr="00C51D01">
        <w:rPr>
          <w:rFonts w:ascii="Times New Roman" w:hAnsi="Times New Roman"/>
          <w:b/>
          <w:bCs/>
          <w:lang w:val="lv-LV"/>
        </w:rPr>
        <w:t xml:space="preserve">NUMURS(I) </w:t>
      </w:r>
    </w:p>
    <w:p w14:paraId="7A59F333" w14:textId="77777777" w:rsidR="008F128A" w:rsidRPr="00C51D01" w:rsidRDefault="008F128A">
      <w:pPr>
        <w:widowControl w:val="0"/>
        <w:overflowPunct w:val="0"/>
        <w:autoSpaceDE w:val="0"/>
        <w:autoSpaceDN w:val="0"/>
        <w:adjustRightInd w:val="0"/>
        <w:spacing w:after="0" w:line="240" w:lineRule="auto"/>
        <w:jc w:val="both"/>
        <w:rPr>
          <w:rFonts w:ascii="Times New Roman" w:hAnsi="Times New Roman"/>
          <w:lang w:val="lv-LV"/>
        </w:rPr>
      </w:pPr>
    </w:p>
    <w:p w14:paraId="67D3DDA4" w14:textId="77777777" w:rsidR="00A97339" w:rsidRPr="00C51D01" w:rsidRDefault="00A97339">
      <w:pPr>
        <w:widowControl w:val="0"/>
        <w:overflowPunct w:val="0"/>
        <w:autoSpaceDE w:val="0"/>
        <w:autoSpaceDN w:val="0"/>
        <w:adjustRightInd w:val="0"/>
        <w:spacing w:after="0" w:line="240" w:lineRule="auto"/>
        <w:jc w:val="both"/>
        <w:rPr>
          <w:rFonts w:ascii="Times New Roman" w:hAnsi="Times New Roman"/>
          <w:b/>
          <w:bCs/>
          <w:lang w:val="lv-LV"/>
        </w:rPr>
      </w:pPr>
      <w:r w:rsidRPr="00C51D01">
        <w:rPr>
          <w:rFonts w:ascii="Times New Roman" w:hAnsi="Times New Roman"/>
          <w:lang w:val="lv-LV"/>
        </w:rPr>
        <w:t xml:space="preserve">04-0145 </w:t>
      </w:r>
    </w:p>
    <w:p w14:paraId="45EACEFE"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b/>
          <w:bCs/>
          <w:lang w:val="lv-LV"/>
        </w:rPr>
      </w:pPr>
    </w:p>
    <w:p w14:paraId="5C13CE1F" w14:textId="77777777" w:rsidR="008F128A" w:rsidRPr="00C51D01" w:rsidRDefault="008F128A" w:rsidP="00986A46">
      <w:pPr>
        <w:widowControl w:val="0"/>
        <w:autoSpaceDE w:val="0"/>
        <w:autoSpaceDN w:val="0"/>
        <w:adjustRightInd w:val="0"/>
        <w:spacing w:after="0" w:line="240" w:lineRule="auto"/>
        <w:jc w:val="both"/>
        <w:rPr>
          <w:rFonts w:ascii="Times New Roman" w:hAnsi="Times New Roman"/>
          <w:b/>
          <w:bCs/>
          <w:lang w:val="lv-LV"/>
        </w:rPr>
      </w:pPr>
    </w:p>
    <w:p w14:paraId="7ED77205" w14:textId="77777777" w:rsidR="00A44FB6" w:rsidRPr="00C51D01" w:rsidRDefault="008F128A" w:rsidP="00A44FB6">
      <w:pPr>
        <w:spacing w:line="240" w:lineRule="auto"/>
        <w:ind w:left="567" w:hanging="567"/>
        <w:rPr>
          <w:rFonts w:ascii="Times New Roman" w:hAnsi="Times New Roman"/>
          <w:lang w:val="lv-LV"/>
        </w:rPr>
      </w:pPr>
      <w:r w:rsidRPr="00C51D01">
        <w:rPr>
          <w:rFonts w:ascii="Times New Roman" w:hAnsi="Times New Roman"/>
          <w:b/>
          <w:bCs/>
          <w:lang w:val="lv-LV"/>
        </w:rPr>
        <w:t>9.</w:t>
      </w:r>
      <w:r w:rsidRPr="00C51D01">
        <w:rPr>
          <w:rFonts w:ascii="Times New Roman" w:hAnsi="Times New Roman"/>
          <w:b/>
          <w:bCs/>
          <w:lang w:val="lv-LV"/>
        </w:rPr>
        <w:tab/>
      </w:r>
      <w:r w:rsidR="00A44FB6" w:rsidRPr="00C51D01">
        <w:rPr>
          <w:rFonts w:ascii="Times New Roman" w:hAnsi="Times New Roman"/>
          <w:b/>
          <w:lang w:val="lv-LV"/>
        </w:rPr>
        <w:t>PIRMĀS REĢISTRĀCIJAS/PĀRREĢISTRĀCIJAS DATUMS</w:t>
      </w:r>
    </w:p>
    <w:p w14:paraId="2A3E2633" w14:textId="617A8649" w:rsidR="00A44FB6" w:rsidRPr="00C51D01" w:rsidRDefault="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Re</w:t>
      </w:r>
      <w:r w:rsidR="00544578">
        <w:rPr>
          <w:rFonts w:ascii="Times New Roman" w:hAnsi="Times New Roman"/>
          <w:lang w:val="lv-LV"/>
        </w:rPr>
        <w:t>ģ</w:t>
      </w:r>
      <w:r w:rsidRPr="00C51D01">
        <w:rPr>
          <w:rFonts w:ascii="Times New Roman" w:hAnsi="Times New Roman"/>
          <w:lang w:val="lv-LV"/>
        </w:rPr>
        <w:t xml:space="preserve">istrācijas datums: </w:t>
      </w:r>
      <w:r w:rsidR="00A97339" w:rsidRPr="00C51D01">
        <w:rPr>
          <w:rFonts w:ascii="Times New Roman" w:hAnsi="Times New Roman"/>
          <w:lang w:val="lv-LV"/>
        </w:rPr>
        <w:t>2004.</w:t>
      </w:r>
      <w:r w:rsidR="00544578">
        <w:rPr>
          <w:rFonts w:ascii="Times New Roman" w:hAnsi="Times New Roman"/>
          <w:lang w:val="lv-LV"/>
        </w:rPr>
        <w:t xml:space="preserve"> </w:t>
      </w:r>
      <w:r w:rsidR="00A97339" w:rsidRPr="00C51D01">
        <w:rPr>
          <w:rFonts w:ascii="Times New Roman" w:hAnsi="Times New Roman"/>
          <w:lang w:val="lv-LV"/>
        </w:rPr>
        <w:t>gada 20.</w:t>
      </w:r>
      <w:r w:rsidR="00544578">
        <w:rPr>
          <w:rFonts w:ascii="Times New Roman" w:hAnsi="Times New Roman"/>
          <w:lang w:val="lv-LV"/>
        </w:rPr>
        <w:t xml:space="preserve"> </w:t>
      </w:r>
      <w:r w:rsidR="00A97339" w:rsidRPr="00C51D01">
        <w:rPr>
          <w:rFonts w:ascii="Times New Roman" w:hAnsi="Times New Roman"/>
          <w:lang w:val="lv-LV"/>
        </w:rPr>
        <w:t>aprīlis</w:t>
      </w:r>
    </w:p>
    <w:p w14:paraId="2D4C3A16" w14:textId="347E7836" w:rsidR="00A97339" w:rsidRPr="00C51D01" w:rsidRDefault="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lang w:val="lv-LV"/>
        </w:rPr>
        <w:t>P</w:t>
      </w:r>
      <w:r w:rsidR="003101A4">
        <w:rPr>
          <w:rFonts w:ascii="Times New Roman" w:hAnsi="Times New Roman"/>
          <w:lang w:val="lv-LV"/>
        </w:rPr>
        <w:t>ē</w:t>
      </w:r>
      <w:r w:rsidRPr="00C51D01">
        <w:rPr>
          <w:rFonts w:ascii="Times New Roman" w:hAnsi="Times New Roman"/>
          <w:lang w:val="lv-LV"/>
        </w:rPr>
        <w:t xml:space="preserve">dējās pārreģistrācijas datums: </w:t>
      </w:r>
      <w:r w:rsidR="00A97339" w:rsidRPr="00C51D01">
        <w:rPr>
          <w:rFonts w:ascii="Times New Roman" w:hAnsi="Times New Roman"/>
          <w:lang w:val="lv-LV"/>
        </w:rPr>
        <w:t>2009.</w:t>
      </w:r>
      <w:r w:rsidR="00544578">
        <w:rPr>
          <w:rFonts w:ascii="Times New Roman" w:hAnsi="Times New Roman"/>
          <w:lang w:val="lv-LV"/>
        </w:rPr>
        <w:t xml:space="preserve"> </w:t>
      </w:r>
      <w:r w:rsidR="00A97339" w:rsidRPr="00C51D01">
        <w:rPr>
          <w:rFonts w:ascii="Times New Roman" w:hAnsi="Times New Roman"/>
          <w:lang w:val="lv-LV"/>
        </w:rPr>
        <w:t>gada 3.</w:t>
      </w:r>
      <w:r w:rsidR="00544578">
        <w:rPr>
          <w:rFonts w:ascii="Times New Roman" w:hAnsi="Times New Roman"/>
          <w:lang w:val="lv-LV"/>
        </w:rPr>
        <w:t xml:space="preserve"> </w:t>
      </w:r>
      <w:r w:rsidR="00A97339" w:rsidRPr="00C51D01">
        <w:rPr>
          <w:rFonts w:ascii="Times New Roman" w:hAnsi="Times New Roman"/>
          <w:lang w:val="lv-LV"/>
        </w:rPr>
        <w:t>augusts.</w:t>
      </w:r>
    </w:p>
    <w:p w14:paraId="605D2360" w14:textId="77777777" w:rsidR="00A97339" w:rsidRPr="00C51D01" w:rsidRDefault="00A97339" w:rsidP="00986A46">
      <w:pPr>
        <w:widowControl w:val="0"/>
        <w:autoSpaceDE w:val="0"/>
        <w:autoSpaceDN w:val="0"/>
        <w:adjustRightInd w:val="0"/>
        <w:spacing w:after="0" w:line="240" w:lineRule="auto"/>
        <w:jc w:val="both"/>
        <w:rPr>
          <w:rFonts w:ascii="Times New Roman" w:hAnsi="Times New Roman"/>
          <w:lang w:val="lv-LV"/>
        </w:rPr>
      </w:pPr>
    </w:p>
    <w:p w14:paraId="7022FB5B" w14:textId="77777777" w:rsidR="008F128A" w:rsidRPr="00C51D01" w:rsidRDefault="008F128A" w:rsidP="00986A46">
      <w:pPr>
        <w:widowControl w:val="0"/>
        <w:autoSpaceDE w:val="0"/>
        <w:autoSpaceDN w:val="0"/>
        <w:adjustRightInd w:val="0"/>
        <w:spacing w:after="0" w:line="240" w:lineRule="auto"/>
        <w:jc w:val="both"/>
        <w:rPr>
          <w:rFonts w:ascii="Times New Roman" w:hAnsi="Times New Roman"/>
          <w:lang w:val="lv-LV"/>
        </w:rPr>
      </w:pPr>
    </w:p>
    <w:p w14:paraId="0911B7F7" w14:textId="72D67359" w:rsidR="00A97339" w:rsidRPr="00C51D01" w:rsidRDefault="00A97339" w:rsidP="00A44FB6">
      <w:pPr>
        <w:widowControl w:val="0"/>
        <w:autoSpaceDE w:val="0"/>
        <w:autoSpaceDN w:val="0"/>
        <w:adjustRightInd w:val="0"/>
        <w:spacing w:after="0" w:line="240" w:lineRule="auto"/>
        <w:jc w:val="both"/>
        <w:rPr>
          <w:rFonts w:ascii="Times New Roman" w:hAnsi="Times New Roman"/>
          <w:lang w:val="lv-LV"/>
        </w:rPr>
      </w:pPr>
      <w:r w:rsidRPr="00C51D01">
        <w:rPr>
          <w:rFonts w:ascii="Times New Roman" w:hAnsi="Times New Roman"/>
          <w:b/>
          <w:bCs/>
          <w:lang w:val="lv-LV"/>
        </w:rPr>
        <w:t>10.</w:t>
      </w:r>
      <w:r w:rsidR="008F128A" w:rsidRPr="00C51D01">
        <w:rPr>
          <w:rFonts w:ascii="Times New Roman" w:hAnsi="Times New Roman"/>
          <w:b/>
          <w:bCs/>
          <w:lang w:val="lv-LV"/>
        </w:rPr>
        <w:tab/>
      </w:r>
      <w:r w:rsidRPr="00C51D01">
        <w:rPr>
          <w:rFonts w:ascii="Times New Roman" w:hAnsi="Times New Roman"/>
          <w:b/>
          <w:bCs/>
          <w:lang w:val="lv-LV"/>
        </w:rPr>
        <w:t>TEKSTA PĀRSKATĪŠANAS DATUMS</w:t>
      </w:r>
    </w:p>
    <w:p w14:paraId="07CB3369" w14:textId="77777777" w:rsidR="008F128A" w:rsidRPr="00C51D01" w:rsidRDefault="008F128A">
      <w:pPr>
        <w:widowControl w:val="0"/>
        <w:autoSpaceDE w:val="0"/>
        <w:autoSpaceDN w:val="0"/>
        <w:adjustRightInd w:val="0"/>
        <w:spacing w:after="0" w:line="240" w:lineRule="auto"/>
        <w:jc w:val="both"/>
        <w:rPr>
          <w:rFonts w:ascii="Times New Roman" w:hAnsi="Times New Roman"/>
          <w:lang w:val="lv-LV"/>
        </w:rPr>
      </w:pPr>
    </w:p>
    <w:p w14:paraId="197FEADC" w14:textId="295EB046" w:rsidR="00A97339" w:rsidRPr="009072C3" w:rsidRDefault="00AC676D">
      <w:pPr>
        <w:widowControl w:val="0"/>
        <w:autoSpaceDE w:val="0"/>
        <w:autoSpaceDN w:val="0"/>
        <w:adjustRightInd w:val="0"/>
        <w:spacing w:after="0" w:line="240" w:lineRule="auto"/>
        <w:jc w:val="both"/>
        <w:rPr>
          <w:rFonts w:ascii="Times New Roman" w:hAnsi="Times New Roman"/>
          <w:lang w:val="lv-LV"/>
        </w:rPr>
      </w:pPr>
      <w:r>
        <w:rPr>
          <w:rFonts w:ascii="Times New Roman" w:hAnsi="Times New Roman"/>
          <w:lang w:val="lv-LV"/>
        </w:rPr>
        <w:t>06/2022</w:t>
      </w:r>
    </w:p>
    <w:sectPr w:rsidR="00A97339" w:rsidRPr="009072C3" w:rsidSect="00CF3DFA">
      <w:headerReference w:type="default" r:id="rId12"/>
      <w:footerReference w:type="default" r:id="rId13"/>
      <w:type w:val="continuous"/>
      <w:pgSz w:w="11899" w:h="16841"/>
      <w:pgMar w:top="694" w:right="1680" w:bottom="1440" w:left="1680"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7E47" w14:textId="77777777" w:rsidR="00A91651" w:rsidRDefault="00A91651" w:rsidP="00C2030B">
      <w:pPr>
        <w:spacing w:after="0" w:line="240" w:lineRule="auto"/>
      </w:pPr>
      <w:r>
        <w:separator/>
      </w:r>
    </w:p>
  </w:endnote>
  <w:endnote w:type="continuationSeparator" w:id="0">
    <w:p w14:paraId="61508648" w14:textId="77777777" w:rsidR="00A91651" w:rsidRDefault="00A91651" w:rsidP="00C2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F69" w14:textId="77777777" w:rsidR="006370A0" w:rsidRDefault="006370A0">
    <w:pPr>
      <w:pStyle w:val="Footer"/>
      <w:jc w:val="center"/>
    </w:pPr>
    <w:r>
      <w:fldChar w:fldCharType="begin"/>
    </w:r>
    <w:r>
      <w:instrText xml:space="preserve"> PAGE   \* MERGEFORMAT </w:instrText>
    </w:r>
    <w:r>
      <w:fldChar w:fldCharType="separate"/>
    </w:r>
    <w:r w:rsidR="009072C3">
      <w:rPr>
        <w:noProof/>
      </w:rPr>
      <w:t>1</w:t>
    </w:r>
    <w:r>
      <w:fldChar w:fldCharType="end"/>
    </w:r>
  </w:p>
  <w:p w14:paraId="0F05A294" w14:textId="77777777" w:rsidR="006370A0" w:rsidRDefault="0063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6003" w14:textId="77777777" w:rsidR="00A91651" w:rsidRDefault="00A91651" w:rsidP="00C2030B">
      <w:pPr>
        <w:spacing w:after="0" w:line="240" w:lineRule="auto"/>
      </w:pPr>
      <w:r>
        <w:separator/>
      </w:r>
    </w:p>
  </w:footnote>
  <w:footnote w:type="continuationSeparator" w:id="0">
    <w:p w14:paraId="4F9A580F" w14:textId="77777777" w:rsidR="00A91651" w:rsidRDefault="00A91651" w:rsidP="00C20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4282" w14:textId="75EFED68" w:rsidR="009072C3" w:rsidRPr="009072C3" w:rsidRDefault="009072C3" w:rsidP="009072C3">
    <w:pPr>
      <w:pStyle w:val="Header"/>
      <w:jc w:val="right"/>
      <w:rPr>
        <w:rFonts w:ascii="Times New Roman" w:hAnsi="Times New Roman"/>
        <w:sz w:val="24"/>
        <w:szCs w:val="24"/>
      </w:rPr>
    </w:pPr>
    <w:r>
      <w:rPr>
        <w:rFonts w:ascii="Times New Roman" w:hAnsi="Times New Roman"/>
        <w:sz w:val="24"/>
        <w:szCs w:val="24"/>
      </w:rPr>
      <w:t xml:space="preserve">SASKAŅOTS ZVA </w:t>
    </w:r>
    <w:r w:rsidR="00B65EE1">
      <w:rPr>
        <w:rFonts w:ascii="Times New Roman" w:hAnsi="Times New Roman"/>
        <w:sz w:val="24"/>
        <w:szCs w:val="24"/>
      </w:rPr>
      <w:t>30-06-2022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3"/>
      <w:numFmt w:val="decimal"/>
      <w:lvlText w:val="5.%1"/>
      <w:lvlJc w:val="left"/>
      <w:pPr>
        <w:tabs>
          <w:tab w:val="num" w:pos="720"/>
        </w:tabs>
        <w:ind w:left="720" w:hanging="360"/>
      </w:pPr>
      <w:rPr>
        <w:rFonts w:cs="Times New Roman"/>
      </w:rPr>
    </w:lvl>
    <w:lvl w:ilvl="1" w:tplc="000041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858A9BB0"/>
    <w:lvl w:ilvl="0" w:tplc="00003D6C">
      <w:start w:val="5"/>
      <w:numFmt w:val="decimal"/>
      <w:lvlText w:val="4.%1"/>
      <w:lvlJc w:val="left"/>
      <w:pPr>
        <w:tabs>
          <w:tab w:val="num" w:pos="720"/>
        </w:tabs>
        <w:ind w:left="720" w:hanging="360"/>
      </w:pPr>
      <w:rPr>
        <w:rFonts w:cs="Times New Roman"/>
      </w:rPr>
    </w:lvl>
    <w:lvl w:ilvl="1" w:tplc="04270001">
      <w:start w:val="1"/>
      <w:numFmt w:val="bullet"/>
      <w:lvlText w:val=""/>
      <w:lvlJc w:val="left"/>
      <w:pPr>
        <w:tabs>
          <w:tab w:val="num" w:pos="928"/>
        </w:tabs>
        <w:ind w:left="928"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7"/>
      <w:numFmt w:val="decimal"/>
      <w:lvlText w:val="4.%1"/>
      <w:lvlJc w:val="left"/>
      <w:pPr>
        <w:tabs>
          <w:tab w:val="num" w:pos="2872"/>
        </w:tabs>
        <w:ind w:left="287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E962198"/>
    <w:multiLevelType w:val="hybridMultilevel"/>
    <w:tmpl w:val="D384290C"/>
    <w:lvl w:ilvl="0" w:tplc="B418A12A">
      <w:start w:val="5"/>
      <w:numFmt w:val="decimal"/>
      <w:lvlText w:val="4.%1"/>
      <w:lvlJc w:val="left"/>
      <w:pPr>
        <w:tabs>
          <w:tab w:val="num" w:pos="72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D7759BE"/>
    <w:multiLevelType w:val="hybridMultilevel"/>
    <w:tmpl w:val="105E4B8A"/>
    <w:lvl w:ilvl="0" w:tplc="04270001">
      <w:start w:val="1"/>
      <w:numFmt w:val="bullet"/>
      <w:lvlText w:val=""/>
      <w:lvlJc w:val="left"/>
      <w:pPr>
        <w:ind w:left="1185" w:hanging="360"/>
      </w:pPr>
      <w:rPr>
        <w:rFonts w:ascii="Symbol" w:hAnsi="Symbol" w:hint="default"/>
      </w:rPr>
    </w:lvl>
    <w:lvl w:ilvl="1" w:tplc="04270003" w:tentative="1">
      <w:start w:val="1"/>
      <w:numFmt w:val="bullet"/>
      <w:lvlText w:val="o"/>
      <w:lvlJc w:val="left"/>
      <w:pPr>
        <w:ind w:left="1905" w:hanging="360"/>
      </w:pPr>
      <w:rPr>
        <w:rFonts w:ascii="Courier New" w:hAnsi="Courier New" w:hint="default"/>
      </w:rPr>
    </w:lvl>
    <w:lvl w:ilvl="2" w:tplc="04270005" w:tentative="1">
      <w:start w:val="1"/>
      <w:numFmt w:val="bullet"/>
      <w:lvlText w:val=""/>
      <w:lvlJc w:val="left"/>
      <w:pPr>
        <w:ind w:left="2625" w:hanging="360"/>
      </w:pPr>
      <w:rPr>
        <w:rFonts w:ascii="Wingdings" w:hAnsi="Wingdings" w:hint="default"/>
      </w:rPr>
    </w:lvl>
    <w:lvl w:ilvl="3" w:tplc="04270001" w:tentative="1">
      <w:start w:val="1"/>
      <w:numFmt w:val="bullet"/>
      <w:lvlText w:val=""/>
      <w:lvlJc w:val="left"/>
      <w:pPr>
        <w:ind w:left="3345" w:hanging="360"/>
      </w:pPr>
      <w:rPr>
        <w:rFonts w:ascii="Symbol" w:hAnsi="Symbol" w:hint="default"/>
      </w:rPr>
    </w:lvl>
    <w:lvl w:ilvl="4" w:tplc="04270003" w:tentative="1">
      <w:start w:val="1"/>
      <w:numFmt w:val="bullet"/>
      <w:lvlText w:val="o"/>
      <w:lvlJc w:val="left"/>
      <w:pPr>
        <w:ind w:left="4065" w:hanging="360"/>
      </w:pPr>
      <w:rPr>
        <w:rFonts w:ascii="Courier New" w:hAnsi="Courier New" w:hint="default"/>
      </w:rPr>
    </w:lvl>
    <w:lvl w:ilvl="5" w:tplc="04270005" w:tentative="1">
      <w:start w:val="1"/>
      <w:numFmt w:val="bullet"/>
      <w:lvlText w:val=""/>
      <w:lvlJc w:val="left"/>
      <w:pPr>
        <w:ind w:left="4785" w:hanging="360"/>
      </w:pPr>
      <w:rPr>
        <w:rFonts w:ascii="Wingdings" w:hAnsi="Wingdings" w:hint="default"/>
      </w:rPr>
    </w:lvl>
    <w:lvl w:ilvl="6" w:tplc="04270001" w:tentative="1">
      <w:start w:val="1"/>
      <w:numFmt w:val="bullet"/>
      <w:lvlText w:val=""/>
      <w:lvlJc w:val="left"/>
      <w:pPr>
        <w:ind w:left="5505" w:hanging="360"/>
      </w:pPr>
      <w:rPr>
        <w:rFonts w:ascii="Symbol" w:hAnsi="Symbol" w:hint="default"/>
      </w:rPr>
    </w:lvl>
    <w:lvl w:ilvl="7" w:tplc="04270003" w:tentative="1">
      <w:start w:val="1"/>
      <w:numFmt w:val="bullet"/>
      <w:lvlText w:val="o"/>
      <w:lvlJc w:val="left"/>
      <w:pPr>
        <w:ind w:left="6225" w:hanging="360"/>
      </w:pPr>
      <w:rPr>
        <w:rFonts w:ascii="Courier New" w:hAnsi="Courier New" w:hint="default"/>
      </w:rPr>
    </w:lvl>
    <w:lvl w:ilvl="8" w:tplc="04270005" w:tentative="1">
      <w:start w:val="1"/>
      <w:numFmt w:val="bullet"/>
      <w:lvlText w:val=""/>
      <w:lvlJc w:val="left"/>
      <w:pPr>
        <w:ind w:left="6945" w:hanging="360"/>
      </w:pPr>
      <w:rPr>
        <w:rFonts w:ascii="Wingdings" w:hAnsi="Wingdings" w:hint="default"/>
      </w:rPr>
    </w:lvl>
  </w:abstractNum>
  <w:abstractNum w:abstractNumId="8" w15:restartNumberingAfterBreak="0">
    <w:nsid w:val="363673F8"/>
    <w:multiLevelType w:val="multilevel"/>
    <w:tmpl w:val="00004AE1"/>
    <w:lvl w:ilvl="0">
      <w:start w:val="5"/>
      <w:numFmt w:val="decimal"/>
      <w:lvlText w:val="4.%1"/>
      <w:lvlJc w:val="left"/>
      <w:pPr>
        <w:tabs>
          <w:tab w:val="num" w:pos="720"/>
        </w:tabs>
        <w:ind w:left="720" w:hanging="360"/>
      </w:pPr>
      <w:rPr>
        <w:rFonts w:cs="Times New Roman"/>
      </w:rPr>
    </w:lvl>
    <w:lvl w:ilvl="1">
      <w:start w:val="1"/>
      <w:numFmt w:val="bullet"/>
      <w:lvlText w:val="•"/>
      <w:lvlJc w:val="left"/>
      <w:pPr>
        <w:tabs>
          <w:tab w:val="num" w:pos="1440"/>
        </w:tabs>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AAF1B45"/>
    <w:multiLevelType w:val="multilevel"/>
    <w:tmpl w:val="9A0674FC"/>
    <w:lvl w:ilvl="0">
      <w:start w:val="4"/>
      <w:numFmt w:val="decimalZero"/>
      <w:lvlText w:val="%1"/>
      <w:lvlJc w:val="left"/>
      <w:pPr>
        <w:ind w:left="795" w:hanging="795"/>
      </w:pPr>
      <w:rPr>
        <w:rFonts w:cs="Times New Roman" w:hint="default"/>
        <w:b w:val="0"/>
      </w:rPr>
    </w:lvl>
    <w:lvl w:ilvl="1">
      <w:start w:val="145"/>
      <w:numFmt w:val="decimalZero"/>
      <w:lvlText w:val="%1-%2"/>
      <w:lvlJc w:val="left"/>
      <w:pPr>
        <w:ind w:left="795" w:hanging="795"/>
      </w:pPr>
      <w:rPr>
        <w:rFonts w:cs="Times New Roman" w:hint="default"/>
        <w:b w:val="0"/>
      </w:rPr>
    </w:lvl>
    <w:lvl w:ilvl="2">
      <w:start w:val="1"/>
      <w:numFmt w:val="decimal"/>
      <w:lvlText w:val="%1-%2.%3"/>
      <w:lvlJc w:val="left"/>
      <w:pPr>
        <w:ind w:left="795" w:hanging="795"/>
      </w:pPr>
      <w:rPr>
        <w:rFonts w:cs="Times New Roman" w:hint="default"/>
        <w:b w:val="0"/>
      </w:rPr>
    </w:lvl>
    <w:lvl w:ilvl="3">
      <w:start w:val="1"/>
      <w:numFmt w:val="decimal"/>
      <w:lvlText w:val="%1-%2.%3.%4"/>
      <w:lvlJc w:val="left"/>
      <w:pPr>
        <w:ind w:left="795" w:hanging="795"/>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15:restartNumberingAfterBreak="0">
    <w:nsid w:val="4D491C91"/>
    <w:multiLevelType w:val="hybridMultilevel"/>
    <w:tmpl w:val="326CC0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72AF71FB"/>
    <w:multiLevelType w:val="hybridMultilevel"/>
    <w:tmpl w:val="00004AE1"/>
    <w:lvl w:ilvl="0" w:tplc="00003D6C">
      <w:start w:val="5"/>
      <w:numFmt w:val="decimal"/>
      <w:lvlText w:val="4.%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44E2E2D"/>
    <w:multiLevelType w:val="hybridMultilevel"/>
    <w:tmpl w:val="4EB844D0"/>
    <w:lvl w:ilvl="0" w:tplc="886AE20A">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453609E"/>
    <w:multiLevelType w:val="multilevel"/>
    <w:tmpl w:val="BE7658DA"/>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923876307">
    <w:abstractNumId w:val="0"/>
  </w:num>
  <w:num w:numId="2" w16cid:durableId="1919441782">
    <w:abstractNumId w:val="4"/>
  </w:num>
  <w:num w:numId="3" w16cid:durableId="828711109">
    <w:abstractNumId w:val="5"/>
  </w:num>
  <w:num w:numId="4" w16cid:durableId="1504977889">
    <w:abstractNumId w:val="1"/>
  </w:num>
  <w:num w:numId="5" w16cid:durableId="576743230">
    <w:abstractNumId w:val="2"/>
  </w:num>
  <w:num w:numId="6" w16cid:durableId="1228958525">
    <w:abstractNumId w:val="3"/>
  </w:num>
  <w:num w:numId="7" w16cid:durableId="1666474643">
    <w:abstractNumId w:val="11"/>
  </w:num>
  <w:num w:numId="8" w16cid:durableId="1742369692">
    <w:abstractNumId w:val="6"/>
  </w:num>
  <w:num w:numId="9" w16cid:durableId="846793981">
    <w:abstractNumId w:val="7"/>
  </w:num>
  <w:num w:numId="10" w16cid:durableId="1586449334">
    <w:abstractNumId w:val="8"/>
  </w:num>
  <w:num w:numId="11" w16cid:durableId="2075159054">
    <w:abstractNumId w:val="12"/>
  </w:num>
  <w:num w:numId="12" w16cid:durableId="1671634865">
    <w:abstractNumId w:val="13"/>
  </w:num>
  <w:num w:numId="13" w16cid:durableId="10841751">
    <w:abstractNumId w:val="9"/>
  </w:num>
  <w:num w:numId="14" w16cid:durableId="6125222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8"/>
    <w:rsid w:val="00004D34"/>
    <w:rsid w:val="0002521E"/>
    <w:rsid w:val="0003185F"/>
    <w:rsid w:val="00041343"/>
    <w:rsid w:val="0004418C"/>
    <w:rsid w:val="000A7031"/>
    <w:rsid w:val="000B4820"/>
    <w:rsid w:val="000C29DA"/>
    <w:rsid w:val="000C4647"/>
    <w:rsid w:val="000F47E4"/>
    <w:rsid w:val="001038B2"/>
    <w:rsid w:val="00126B74"/>
    <w:rsid w:val="00134585"/>
    <w:rsid w:val="00195DE1"/>
    <w:rsid w:val="001D0FDA"/>
    <w:rsid w:val="001E4977"/>
    <w:rsid w:val="00220001"/>
    <w:rsid w:val="00227139"/>
    <w:rsid w:val="00227515"/>
    <w:rsid w:val="00241003"/>
    <w:rsid w:val="00254AB3"/>
    <w:rsid w:val="00267629"/>
    <w:rsid w:val="002A0C02"/>
    <w:rsid w:val="002A3FDD"/>
    <w:rsid w:val="002A753D"/>
    <w:rsid w:val="002B6CFF"/>
    <w:rsid w:val="002C294D"/>
    <w:rsid w:val="002D29F6"/>
    <w:rsid w:val="002D39F3"/>
    <w:rsid w:val="002E5092"/>
    <w:rsid w:val="002E7BC8"/>
    <w:rsid w:val="002F243C"/>
    <w:rsid w:val="00300206"/>
    <w:rsid w:val="00303C1B"/>
    <w:rsid w:val="00304FD2"/>
    <w:rsid w:val="003101A4"/>
    <w:rsid w:val="00314CB8"/>
    <w:rsid w:val="00334EFB"/>
    <w:rsid w:val="003569BA"/>
    <w:rsid w:val="00370C41"/>
    <w:rsid w:val="0037748B"/>
    <w:rsid w:val="00394159"/>
    <w:rsid w:val="003C0D1A"/>
    <w:rsid w:val="003D6899"/>
    <w:rsid w:val="003F06CC"/>
    <w:rsid w:val="00402687"/>
    <w:rsid w:val="004279DA"/>
    <w:rsid w:val="00463D01"/>
    <w:rsid w:val="004712DE"/>
    <w:rsid w:val="004733CC"/>
    <w:rsid w:val="004D6B5F"/>
    <w:rsid w:val="004E7608"/>
    <w:rsid w:val="00523423"/>
    <w:rsid w:val="005338FC"/>
    <w:rsid w:val="0053470A"/>
    <w:rsid w:val="00544578"/>
    <w:rsid w:val="005513E7"/>
    <w:rsid w:val="00562385"/>
    <w:rsid w:val="005674BF"/>
    <w:rsid w:val="0057288D"/>
    <w:rsid w:val="00576732"/>
    <w:rsid w:val="005A3179"/>
    <w:rsid w:val="005A4100"/>
    <w:rsid w:val="005B5EBF"/>
    <w:rsid w:val="005D1D6D"/>
    <w:rsid w:val="005D6AE1"/>
    <w:rsid w:val="005F2698"/>
    <w:rsid w:val="005F7296"/>
    <w:rsid w:val="00600E28"/>
    <w:rsid w:val="006370A0"/>
    <w:rsid w:val="00642539"/>
    <w:rsid w:val="00644997"/>
    <w:rsid w:val="006643FC"/>
    <w:rsid w:val="00667C93"/>
    <w:rsid w:val="00676C3F"/>
    <w:rsid w:val="00677391"/>
    <w:rsid w:val="00681E1A"/>
    <w:rsid w:val="006C1182"/>
    <w:rsid w:val="006D40AF"/>
    <w:rsid w:val="006D5318"/>
    <w:rsid w:val="006E0AE3"/>
    <w:rsid w:val="006F5016"/>
    <w:rsid w:val="006F5C01"/>
    <w:rsid w:val="00707BAE"/>
    <w:rsid w:val="00733440"/>
    <w:rsid w:val="00750E3E"/>
    <w:rsid w:val="00761060"/>
    <w:rsid w:val="007733BC"/>
    <w:rsid w:val="007814E2"/>
    <w:rsid w:val="00785A43"/>
    <w:rsid w:val="00792187"/>
    <w:rsid w:val="00794E7F"/>
    <w:rsid w:val="007A044F"/>
    <w:rsid w:val="007B2F0C"/>
    <w:rsid w:val="007D6126"/>
    <w:rsid w:val="00806B2A"/>
    <w:rsid w:val="008D32A3"/>
    <w:rsid w:val="008F128A"/>
    <w:rsid w:val="009072C3"/>
    <w:rsid w:val="00927A7B"/>
    <w:rsid w:val="00930EBB"/>
    <w:rsid w:val="009777BC"/>
    <w:rsid w:val="0098697E"/>
    <w:rsid w:val="00986A46"/>
    <w:rsid w:val="00987BF8"/>
    <w:rsid w:val="00990048"/>
    <w:rsid w:val="009B08B3"/>
    <w:rsid w:val="009C531C"/>
    <w:rsid w:val="009F1505"/>
    <w:rsid w:val="009F4EB8"/>
    <w:rsid w:val="009F57E7"/>
    <w:rsid w:val="00A00F34"/>
    <w:rsid w:val="00A051AA"/>
    <w:rsid w:val="00A26E53"/>
    <w:rsid w:val="00A44FB6"/>
    <w:rsid w:val="00A91651"/>
    <w:rsid w:val="00A97339"/>
    <w:rsid w:val="00AA2296"/>
    <w:rsid w:val="00AC676D"/>
    <w:rsid w:val="00AD38E8"/>
    <w:rsid w:val="00B07563"/>
    <w:rsid w:val="00B31935"/>
    <w:rsid w:val="00B367F3"/>
    <w:rsid w:val="00B42C45"/>
    <w:rsid w:val="00B42DB3"/>
    <w:rsid w:val="00B47192"/>
    <w:rsid w:val="00B52A45"/>
    <w:rsid w:val="00B65EE1"/>
    <w:rsid w:val="00B67520"/>
    <w:rsid w:val="00B74570"/>
    <w:rsid w:val="00B81B1D"/>
    <w:rsid w:val="00B8340F"/>
    <w:rsid w:val="00B85EB3"/>
    <w:rsid w:val="00C2030B"/>
    <w:rsid w:val="00C41C52"/>
    <w:rsid w:val="00C51D01"/>
    <w:rsid w:val="00C56185"/>
    <w:rsid w:val="00C63A96"/>
    <w:rsid w:val="00C80985"/>
    <w:rsid w:val="00C954B2"/>
    <w:rsid w:val="00CB1CF8"/>
    <w:rsid w:val="00CB65B6"/>
    <w:rsid w:val="00CD0C62"/>
    <w:rsid w:val="00CD3C05"/>
    <w:rsid w:val="00CE6BA1"/>
    <w:rsid w:val="00CF3DFA"/>
    <w:rsid w:val="00D21B20"/>
    <w:rsid w:val="00D2776E"/>
    <w:rsid w:val="00D36310"/>
    <w:rsid w:val="00D5381B"/>
    <w:rsid w:val="00DC2094"/>
    <w:rsid w:val="00DD72D3"/>
    <w:rsid w:val="00DE2600"/>
    <w:rsid w:val="00DE28FD"/>
    <w:rsid w:val="00E02C39"/>
    <w:rsid w:val="00E25891"/>
    <w:rsid w:val="00E52E41"/>
    <w:rsid w:val="00E90484"/>
    <w:rsid w:val="00E97125"/>
    <w:rsid w:val="00EA1B10"/>
    <w:rsid w:val="00EC03A4"/>
    <w:rsid w:val="00ED5DFB"/>
    <w:rsid w:val="00EF5297"/>
    <w:rsid w:val="00F0354C"/>
    <w:rsid w:val="00F14A38"/>
    <w:rsid w:val="00F1741A"/>
    <w:rsid w:val="00F32AB3"/>
    <w:rsid w:val="00F42A0D"/>
    <w:rsid w:val="00F43DA3"/>
    <w:rsid w:val="00F60C10"/>
    <w:rsid w:val="00F67969"/>
    <w:rsid w:val="00F7110E"/>
    <w:rsid w:val="00F977B7"/>
    <w:rsid w:val="00FB225A"/>
    <w:rsid w:val="00FE60F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38107"/>
  <w14:defaultImageDpi w14:val="0"/>
  <w15:docId w15:val="{3A5FA901-76C6-4B41-BCD1-8F770C9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4EB8"/>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9F4EB8"/>
    <w:rPr>
      <w:rFonts w:ascii="Times New Roman" w:hAnsi="Times New Roman" w:cs="Times New Roman"/>
      <w:sz w:val="20"/>
    </w:rPr>
  </w:style>
  <w:style w:type="paragraph" w:styleId="BalloonText">
    <w:name w:val="Balloon Text"/>
    <w:basedOn w:val="Normal"/>
    <w:link w:val="BalloonTextChar"/>
    <w:uiPriority w:val="99"/>
    <w:semiHidden/>
    <w:rsid w:val="009F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EB8"/>
    <w:rPr>
      <w:rFonts w:ascii="Tahoma" w:hAnsi="Tahoma" w:cs="Times New Roman"/>
      <w:sz w:val="16"/>
    </w:rPr>
  </w:style>
  <w:style w:type="paragraph" w:styleId="Header">
    <w:name w:val="header"/>
    <w:basedOn w:val="Normal"/>
    <w:link w:val="HeaderChar"/>
    <w:uiPriority w:val="99"/>
    <w:semiHidden/>
    <w:rsid w:val="00C2030B"/>
    <w:pPr>
      <w:tabs>
        <w:tab w:val="center" w:pos="4819"/>
        <w:tab w:val="right" w:pos="9638"/>
      </w:tabs>
    </w:pPr>
  </w:style>
  <w:style w:type="character" w:customStyle="1" w:styleId="HeaderChar">
    <w:name w:val="Header Char"/>
    <w:basedOn w:val="DefaultParagraphFont"/>
    <w:link w:val="Header"/>
    <w:uiPriority w:val="99"/>
    <w:semiHidden/>
    <w:locked/>
    <w:rsid w:val="00C2030B"/>
    <w:rPr>
      <w:rFonts w:cs="Times New Roman"/>
    </w:rPr>
  </w:style>
  <w:style w:type="paragraph" w:styleId="Footer">
    <w:name w:val="footer"/>
    <w:basedOn w:val="Normal"/>
    <w:link w:val="FooterChar"/>
    <w:uiPriority w:val="99"/>
    <w:rsid w:val="00C2030B"/>
    <w:pPr>
      <w:tabs>
        <w:tab w:val="center" w:pos="4819"/>
        <w:tab w:val="right" w:pos="9638"/>
      </w:tabs>
    </w:pPr>
  </w:style>
  <w:style w:type="character" w:customStyle="1" w:styleId="FooterChar">
    <w:name w:val="Footer Char"/>
    <w:basedOn w:val="DefaultParagraphFont"/>
    <w:link w:val="Footer"/>
    <w:uiPriority w:val="99"/>
    <w:locked/>
    <w:rsid w:val="00C2030B"/>
    <w:rPr>
      <w:rFonts w:cs="Times New Roman"/>
    </w:rPr>
  </w:style>
  <w:style w:type="paragraph" w:styleId="NoSpacing">
    <w:name w:val="No Spacing"/>
    <w:uiPriority w:val="99"/>
    <w:qFormat/>
    <w:rsid w:val="00B42DB3"/>
    <w:pPr>
      <w:spacing w:after="0" w:line="240" w:lineRule="auto"/>
    </w:pPr>
    <w:rPr>
      <w:rFonts w:cs="Times New Roman"/>
      <w:lang w:val="lt-LT" w:eastAsia="lt-LT"/>
    </w:rPr>
  </w:style>
  <w:style w:type="character" w:styleId="IntenseEmphasis">
    <w:name w:val="Intense Emphasis"/>
    <w:basedOn w:val="DefaultParagraphFont"/>
    <w:uiPriority w:val="99"/>
    <w:qFormat/>
    <w:rsid w:val="007B2F0C"/>
    <w:rPr>
      <w:rFonts w:cs="Times New Roman"/>
      <w:b/>
      <w:i/>
      <w:color w:val="4F81BD"/>
    </w:rPr>
  </w:style>
  <w:style w:type="character" w:styleId="SubtleEmphasis">
    <w:name w:val="Subtle Emphasis"/>
    <w:basedOn w:val="DefaultParagraphFont"/>
    <w:uiPriority w:val="99"/>
    <w:qFormat/>
    <w:rsid w:val="007B2F0C"/>
    <w:rPr>
      <w:rFonts w:cs="Times New Roman"/>
      <w:i/>
      <w:color w:val="808080"/>
    </w:rPr>
  </w:style>
  <w:style w:type="paragraph" w:customStyle="1" w:styleId="Default">
    <w:name w:val="Default"/>
    <w:rsid w:val="00C80985"/>
    <w:pPr>
      <w:autoSpaceDE w:val="0"/>
      <w:autoSpaceDN w:val="0"/>
      <w:adjustRightInd w:val="0"/>
      <w:spacing w:after="0" w:line="240" w:lineRule="auto"/>
    </w:pPr>
    <w:rPr>
      <w:rFonts w:ascii="Times New Roman" w:hAnsi="Times New Roman" w:cs="Times New Roman"/>
      <w:color w:val="000000"/>
      <w:sz w:val="24"/>
      <w:szCs w:val="24"/>
      <w:lang w:val="lv-LV" w:eastAsia="lv-LV"/>
    </w:rPr>
  </w:style>
  <w:style w:type="character" w:styleId="CommentReference">
    <w:name w:val="annotation reference"/>
    <w:basedOn w:val="DefaultParagraphFont"/>
    <w:uiPriority w:val="99"/>
    <w:semiHidden/>
    <w:unhideWhenUsed/>
    <w:rsid w:val="005674BF"/>
    <w:rPr>
      <w:rFonts w:cs="Times New Roman"/>
      <w:sz w:val="16"/>
      <w:szCs w:val="16"/>
    </w:rPr>
  </w:style>
  <w:style w:type="paragraph" w:styleId="CommentText">
    <w:name w:val="annotation text"/>
    <w:basedOn w:val="Normal"/>
    <w:link w:val="CommentTextChar"/>
    <w:uiPriority w:val="99"/>
    <w:unhideWhenUsed/>
    <w:rsid w:val="005674BF"/>
    <w:rPr>
      <w:sz w:val="20"/>
      <w:szCs w:val="20"/>
    </w:rPr>
  </w:style>
  <w:style w:type="character" w:customStyle="1" w:styleId="CommentTextChar">
    <w:name w:val="Comment Text Char"/>
    <w:basedOn w:val="DefaultParagraphFont"/>
    <w:link w:val="CommentText"/>
    <w:uiPriority w:val="99"/>
    <w:locked/>
    <w:rsid w:val="005674BF"/>
    <w:rPr>
      <w:rFonts w:cs="Times New Roman"/>
      <w:sz w:val="20"/>
      <w:szCs w:val="20"/>
    </w:rPr>
  </w:style>
  <w:style w:type="paragraph" w:styleId="CommentSubject">
    <w:name w:val="annotation subject"/>
    <w:basedOn w:val="CommentText"/>
    <w:next w:val="CommentText"/>
    <w:link w:val="CommentSubjectChar"/>
    <w:uiPriority w:val="99"/>
    <w:semiHidden/>
    <w:unhideWhenUsed/>
    <w:rsid w:val="005674BF"/>
    <w:rPr>
      <w:b/>
      <w:bCs/>
    </w:rPr>
  </w:style>
  <w:style w:type="character" w:customStyle="1" w:styleId="CommentSubjectChar">
    <w:name w:val="Comment Subject Char"/>
    <w:basedOn w:val="CommentTextChar"/>
    <w:link w:val="CommentSubject"/>
    <w:uiPriority w:val="99"/>
    <w:semiHidden/>
    <w:locked/>
    <w:rsid w:val="005674BF"/>
    <w:rPr>
      <w:rFonts w:cs="Times New Roman"/>
      <w:b/>
      <w:bCs/>
      <w:sz w:val="20"/>
      <w:szCs w:val="20"/>
    </w:rPr>
  </w:style>
  <w:style w:type="paragraph" w:styleId="Revision">
    <w:name w:val="Revision"/>
    <w:hidden/>
    <w:uiPriority w:val="99"/>
    <w:semiHidden/>
    <w:rsid w:val="00A26E53"/>
    <w:pPr>
      <w:spacing w:after="0" w:line="240" w:lineRule="auto"/>
    </w:pPr>
    <w:rPr>
      <w:rFonts w:cs="Times New Roman"/>
      <w:lang w:val="lt-LT" w:eastAsia="lt-LT"/>
    </w:rPr>
  </w:style>
  <w:style w:type="paragraph" w:styleId="ListParagraph">
    <w:name w:val="List Paragraph"/>
    <w:basedOn w:val="Normal"/>
    <w:uiPriority w:val="34"/>
    <w:qFormat/>
    <w:rsid w:val="001E4977"/>
    <w:pPr>
      <w:ind w:left="720"/>
      <w:contextualSpacing/>
    </w:pPr>
  </w:style>
  <w:style w:type="table" w:styleId="TableGrid">
    <w:name w:val="Table Grid"/>
    <w:basedOn w:val="TableNormal"/>
    <w:locked/>
    <w:rsid w:val="0004134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116a84c-dc2b-4ff8-b44e-0dd958a258f0" xsi:nil="true"/>
    <lcf76f155ced4ddcb4097134ff3c332f xmlns="ca9218ec-9aba-4d27-8d4c-0b025f63b2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B57CC73C825428F18894D2A05E86F" ma:contentTypeVersion="15" ma:contentTypeDescription="Create a new document." ma:contentTypeScope="" ma:versionID="64270ead665a25ad8cbd5994e79ed69c">
  <xsd:schema xmlns:xsd="http://www.w3.org/2001/XMLSchema" xmlns:xs="http://www.w3.org/2001/XMLSchema" xmlns:p="http://schemas.microsoft.com/office/2006/metadata/properties" xmlns:ns2="ca9218ec-9aba-4d27-8d4c-0b025f63b265" xmlns:ns3="1116a84c-dc2b-4ff8-b44e-0dd958a258f0" targetNamespace="http://schemas.microsoft.com/office/2006/metadata/properties" ma:root="true" ma:fieldsID="43b166a346c34227cb089d16bed289d9" ns2:_="" ns3:_="">
    <xsd:import namespace="ca9218ec-9aba-4d27-8d4c-0b025f63b265"/>
    <xsd:import namespace="1116a84c-dc2b-4ff8-b44e-0dd958a25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218ec-9aba-4d27-8d4c-0b025f63b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b0ff28-7ba5-4733-b4f4-7f1967af68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6a84c-dc2b-4ff8-b44e-0dd958a258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bd74df-0c3a-4a55-937e-603dbb1f4877}" ma:internalName="TaxCatchAll" ma:showField="CatchAllData" ma:web="1116a84c-dc2b-4ff8-b44e-0dd958a25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0EF2F-8825-4E92-A512-12DF0D1BC2E5}">
  <ds:schemaRefs>
    <ds:schemaRef ds:uri="http://schemas.openxmlformats.org/officeDocument/2006/bibliography"/>
  </ds:schemaRefs>
</ds:datastoreItem>
</file>

<file path=customXml/itemProps2.xml><?xml version="1.0" encoding="utf-8"?>
<ds:datastoreItem xmlns:ds="http://schemas.openxmlformats.org/officeDocument/2006/customXml" ds:itemID="{EC882DC6-4072-4FA9-8F7A-6AA53C2A8971}">
  <ds:schemaRefs>
    <ds:schemaRef ds:uri="http://schemas.microsoft.com/office/2006/metadata/properties"/>
    <ds:schemaRef ds:uri="http://schemas.microsoft.com/office/infopath/2007/PartnerControls"/>
    <ds:schemaRef ds:uri="ea29b328-68c3-4e06-afe6-500001cdc9b7"/>
    <ds:schemaRef ds:uri="1116a84c-dc2b-4ff8-b44e-0dd958a258f0"/>
    <ds:schemaRef ds:uri="ca9218ec-9aba-4d27-8d4c-0b025f63b265"/>
  </ds:schemaRefs>
</ds:datastoreItem>
</file>

<file path=customXml/itemProps3.xml><?xml version="1.0" encoding="utf-8"?>
<ds:datastoreItem xmlns:ds="http://schemas.openxmlformats.org/officeDocument/2006/customXml" ds:itemID="{6F8BA2EA-78F0-4184-86CF-146F9DA9F4EE}">
  <ds:schemaRefs>
    <ds:schemaRef ds:uri="http://schemas.microsoft.com/sharepoint/v3/contenttype/forms"/>
  </ds:schemaRefs>
</ds:datastoreItem>
</file>

<file path=customXml/itemProps4.xml><?xml version="1.0" encoding="utf-8"?>
<ds:datastoreItem xmlns:ds="http://schemas.openxmlformats.org/officeDocument/2006/customXml" ds:itemID="{4AB8E7F9-B541-4289-A210-DAA3372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218ec-9aba-4d27-8d4c-0b025f63b265"/>
    <ds:schemaRef ds:uri="1116a84c-dc2b-4ff8-b44e-0dd958a25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1185</Words>
  <Characters>8266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PharmaSwiss</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dc:creator>
  <cp:lastModifiedBy>Kristīne Beļska</cp:lastModifiedBy>
  <cp:revision>50</cp:revision>
  <dcterms:created xsi:type="dcterms:W3CDTF">2022-01-17T13:35:00Z</dcterms:created>
  <dcterms:modified xsi:type="dcterms:W3CDTF">2022-06-27T12:56:00Z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0x0101007A88F66DCC44D8488F0A4DC10546F88000DE580B8101FA5F4DB9E6A3946A1E0EF9</vt:lpwstr>
  </property>
  <property fmtid="{D5CDD505-2E9C-101B-9397-08002B2CF9AE}" pid="3" name="MediaServiceImageTags">
    <vt:lpwstr/>
  </property>
</Properties>
</file>