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2E901" w14:textId="77777777" w:rsidR="009947CB" w:rsidRPr="00F410D5" w:rsidRDefault="009947CB" w:rsidP="00F410D5">
      <w:pPr>
        <w:pStyle w:val="CM9"/>
        <w:contextualSpacing/>
        <w:jc w:val="center"/>
      </w:pPr>
      <w:r w:rsidRPr="00F410D5">
        <w:rPr>
          <w:b/>
          <w:bCs/>
        </w:rPr>
        <w:t xml:space="preserve">Lietošanas instrukcija: informācija </w:t>
      </w:r>
      <w:r w:rsidR="00BE3443" w:rsidRPr="00F410D5">
        <w:rPr>
          <w:b/>
          <w:bCs/>
        </w:rPr>
        <w:t>pacientam</w:t>
      </w:r>
    </w:p>
    <w:p w14:paraId="32D181B0" w14:textId="77777777" w:rsidR="009947CB" w:rsidRPr="00F410D5" w:rsidRDefault="005779E1" w:rsidP="00F410D5">
      <w:pPr>
        <w:pStyle w:val="CM1"/>
        <w:spacing w:after="60"/>
        <w:contextualSpacing/>
        <w:jc w:val="center"/>
        <w:rPr>
          <w:b/>
          <w:bCs/>
        </w:rPr>
      </w:pPr>
      <w:r w:rsidRPr="00F410D5">
        <w:rPr>
          <w:b/>
        </w:rPr>
        <w:t xml:space="preserve">Milgamma </w:t>
      </w:r>
      <w:r w:rsidR="009947CB" w:rsidRPr="00F410D5">
        <w:rPr>
          <w:b/>
          <w:bCs/>
        </w:rPr>
        <w:t>NA Injekt 100 mg/50mg/ml šķīdums injekcijām</w:t>
      </w:r>
    </w:p>
    <w:p w14:paraId="2A690ADD" w14:textId="77777777" w:rsidR="009947CB" w:rsidRPr="001F1F87" w:rsidRDefault="009947CB" w:rsidP="001F1F87">
      <w:pPr>
        <w:pStyle w:val="CM10"/>
        <w:contextualSpacing/>
        <w:jc w:val="center"/>
        <w:rPr>
          <w:i/>
        </w:rPr>
      </w:pPr>
      <w:r w:rsidRPr="001F1F87">
        <w:rPr>
          <w:i/>
        </w:rPr>
        <w:t>Thiamini hydrochloridum</w:t>
      </w:r>
      <w:r w:rsidR="00B37402" w:rsidRPr="001F1F87">
        <w:rPr>
          <w:i/>
        </w:rPr>
        <w:t xml:space="preserve">, </w:t>
      </w:r>
      <w:r w:rsidRPr="001F1F87">
        <w:rPr>
          <w:i/>
        </w:rPr>
        <w:t xml:space="preserve">Pyridoxini hydrochloridum </w:t>
      </w:r>
    </w:p>
    <w:p w14:paraId="1AD29688" w14:textId="77777777" w:rsidR="00235479" w:rsidRPr="00F410D5" w:rsidRDefault="009947CB" w:rsidP="00C73231">
      <w:pPr>
        <w:tabs>
          <w:tab w:val="left" w:pos="0"/>
        </w:tabs>
        <w:spacing w:after="0" w:line="240" w:lineRule="auto"/>
        <w:ind w:left="567" w:hanging="567"/>
        <w:contextualSpacing/>
        <w:jc w:val="both"/>
        <w:rPr>
          <w:rFonts w:ascii="Times New Roman" w:hAnsi="Times New Roman"/>
          <w:b/>
          <w:snapToGrid w:val="0"/>
          <w:sz w:val="24"/>
          <w:szCs w:val="24"/>
          <w:lang w:eastAsia="zh-CN"/>
        </w:rPr>
      </w:pPr>
      <w:r w:rsidRPr="00F410D5">
        <w:rPr>
          <w:rFonts w:ascii="Times New Roman" w:hAnsi="Times New Roman"/>
          <w:b/>
          <w:sz w:val="24"/>
          <w:szCs w:val="24"/>
        </w:rPr>
        <w:t>Pirms zāļu lietošanas uzmanīgi izlasiet visu instrukciju</w:t>
      </w:r>
      <w:r w:rsidR="00235479" w:rsidRPr="00F410D5">
        <w:rPr>
          <w:rFonts w:ascii="Times New Roman" w:hAnsi="Times New Roman"/>
          <w:b/>
          <w:sz w:val="24"/>
          <w:szCs w:val="24"/>
        </w:rPr>
        <w:t>,</w:t>
      </w:r>
      <w:r w:rsidR="00235479" w:rsidRPr="00F410D5">
        <w:rPr>
          <w:rFonts w:ascii="Times New Roman" w:hAnsi="Times New Roman"/>
          <w:b/>
          <w:snapToGrid w:val="0"/>
          <w:sz w:val="24"/>
          <w:szCs w:val="24"/>
          <w:lang w:eastAsia="zh-CN"/>
        </w:rPr>
        <w:t xml:space="preserve"> jo tā satur Jums svarīgu informāciju.</w:t>
      </w:r>
    </w:p>
    <w:p w14:paraId="1BE59582" w14:textId="77777777" w:rsidR="009947CB" w:rsidRPr="00F410D5" w:rsidRDefault="009947CB" w:rsidP="001F1F87">
      <w:pPr>
        <w:pStyle w:val="Default"/>
        <w:numPr>
          <w:ilvl w:val="0"/>
          <w:numId w:val="8"/>
        </w:numPr>
        <w:tabs>
          <w:tab w:val="left" w:pos="567"/>
        </w:tabs>
        <w:ind w:left="567" w:hanging="567"/>
        <w:contextualSpacing/>
        <w:jc w:val="both"/>
        <w:rPr>
          <w:color w:val="auto"/>
        </w:rPr>
      </w:pPr>
      <w:r w:rsidRPr="00F410D5">
        <w:rPr>
          <w:color w:val="auto"/>
        </w:rPr>
        <w:t xml:space="preserve">Saglabājiet šo instrukciju! Iespējams, ka vēlāk to vajadzēs pārlasīt. </w:t>
      </w:r>
    </w:p>
    <w:p w14:paraId="51A5553F" w14:textId="77777777" w:rsidR="009947CB" w:rsidRPr="00F410D5" w:rsidRDefault="009947CB" w:rsidP="001F1F87">
      <w:pPr>
        <w:pStyle w:val="Default"/>
        <w:numPr>
          <w:ilvl w:val="0"/>
          <w:numId w:val="8"/>
        </w:numPr>
        <w:tabs>
          <w:tab w:val="left" w:pos="567"/>
        </w:tabs>
        <w:ind w:left="567" w:hanging="567"/>
        <w:contextualSpacing/>
        <w:jc w:val="both"/>
        <w:rPr>
          <w:color w:val="auto"/>
        </w:rPr>
      </w:pPr>
      <w:r w:rsidRPr="00F410D5">
        <w:rPr>
          <w:color w:val="auto"/>
        </w:rPr>
        <w:t xml:space="preserve">Ja Jums rodas jebkādi jautājumi, vaicājiet ārstam vai farmaceitam. </w:t>
      </w:r>
    </w:p>
    <w:p w14:paraId="4EC4347E" w14:textId="77777777" w:rsidR="009947CB" w:rsidRPr="00F410D5" w:rsidRDefault="009947CB" w:rsidP="001F1F87">
      <w:pPr>
        <w:pStyle w:val="Default"/>
        <w:numPr>
          <w:ilvl w:val="0"/>
          <w:numId w:val="8"/>
        </w:numPr>
        <w:tabs>
          <w:tab w:val="left" w:pos="567"/>
        </w:tabs>
        <w:ind w:left="567" w:hanging="567"/>
        <w:contextualSpacing/>
        <w:jc w:val="both"/>
        <w:rPr>
          <w:color w:val="auto"/>
        </w:rPr>
      </w:pPr>
      <w:r w:rsidRPr="00F410D5">
        <w:rPr>
          <w:color w:val="auto"/>
        </w:rPr>
        <w:t xml:space="preserve">Šīs zāles ir parakstītas </w:t>
      </w:r>
      <w:r w:rsidR="00D63E5B">
        <w:rPr>
          <w:color w:val="auto"/>
        </w:rPr>
        <w:t xml:space="preserve">tikai </w:t>
      </w:r>
      <w:r w:rsidRPr="00F410D5">
        <w:rPr>
          <w:color w:val="auto"/>
        </w:rPr>
        <w:t>Jums. Nedodiet tās citiem. Tās var nodarīt ļaunumu pat tad, ja šiem cilvēkiem ir līdzīg</w:t>
      </w:r>
      <w:r w:rsidR="00B37402" w:rsidRPr="00F410D5">
        <w:rPr>
          <w:color w:val="auto"/>
        </w:rPr>
        <w:t>as slimīb</w:t>
      </w:r>
      <w:r w:rsidR="00BE3443" w:rsidRPr="00F410D5">
        <w:rPr>
          <w:color w:val="auto"/>
        </w:rPr>
        <w:t>as pazīmes</w:t>
      </w:r>
      <w:r w:rsidRPr="00F410D5">
        <w:rPr>
          <w:color w:val="auto"/>
        </w:rPr>
        <w:t xml:space="preserve">.  </w:t>
      </w:r>
    </w:p>
    <w:p w14:paraId="581EA11C" w14:textId="77777777" w:rsidR="00235479" w:rsidRPr="00F410D5" w:rsidRDefault="009947CB" w:rsidP="001F1F87">
      <w:pPr>
        <w:numPr>
          <w:ilvl w:val="0"/>
          <w:numId w:val="8"/>
        </w:numPr>
        <w:tabs>
          <w:tab w:val="left" w:pos="567"/>
        </w:tabs>
        <w:spacing w:after="0" w:line="240" w:lineRule="auto"/>
        <w:ind w:left="567" w:hanging="567"/>
        <w:contextualSpacing/>
        <w:jc w:val="both"/>
        <w:rPr>
          <w:rFonts w:ascii="Times New Roman" w:hAnsi="Times New Roman"/>
          <w:snapToGrid w:val="0"/>
          <w:sz w:val="24"/>
          <w:szCs w:val="24"/>
          <w:lang w:eastAsia="zh-CN"/>
        </w:rPr>
      </w:pPr>
      <w:r w:rsidRPr="00F410D5">
        <w:rPr>
          <w:rFonts w:ascii="Times New Roman" w:hAnsi="Times New Roman"/>
          <w:sz w:val="24"/>
          <w:szCs w:val="24"/>
        </w:rPr>
        <w:t xml:space="preserve">Ja </w:t>
      </w:r>
      <w:r w:rsidR="00235479" w:rsidRPr="00F410D5">
        <w:rPr>
          <w:rFonts w:ascii="Times New Roman" w:hAnsi="Times New Roman"/>
          <w:sz w:val="24"/>
          <w:szCs w:val="24"/>
        </w:rPr>
        <w:t xml:space="preserve">Jums rodas </w:t>
      </w:r>
      <w:r w:rsidRPr="00F410D5">
        <w:rPr>
          <w:rFonts w:ascii="Times New Roman" w:hAnsi="Times New Roman"/>
          <w:sz w:val="24"/>
          <w:szCs w:val="24"/>
        </w:rPr>
        <w:t>jebkādas blakusparādības</w:t>
      </w:r>
      <w:r w:rsidR="00235479" w:rsidRPr="00F410D5">
        <w:rPr>
          <w:rFonts w:ascii="Times New Roman" w:hAnsi="Times New Roman"/>
          <w:snapToGrid w:val="0"/>
          <w:sz w:val="24"/>
          <w:szCs w:val="24"/>
          <w:lang w:eastAsia="zh-CN"/>
        </w:rPr>
        <w:t>, konsultējieties ar ārstu vai farmaceitu. Tas attiecas arī uz iespējamām blakusparādībām, kas nav minētas šajā instrukcijā. Skatīt 4. punktu.</w:t>
      </w:r>
    </w:p>
    <w:p w14:paraId="2A17991F" w14:textId="77777777" w:rsidR="009947CB" w:rsidRPr="00F410D5" w:rsidRDefault="009947CB" w:rsidP="00F410D5">
      <w:pPr>
        <w:pStyle w:val="Default"/>
        <w:tabs>
          <w:tab w:val="left" w:pos="567"/>
        </w:tabs>
        <w:contextualSpacing/>
        <w:jc w:val="both"/>
        <w:rPr>
          <w:color w:val="auto"/>
        </w:rPr>
      </w:pPr>
      <w:r w:rsidRPr="00F410D5">
        <w:rPr>
          <w:color w:val="auto"/>
        </w:rPr>
        <w:t xml:space="preserve"> </w:t>
      </w:r>
    </w:p>
    <w:p w14:paraId="665A0DF4" w14:textId="77777777" w:rsidR="00235479" w:rsidRPr="00F410D5" w:rsidRDefault="00235479" w:rsidP="00C73231">
      <w:pPr>
        <w:pStyle w:val="Default"/>
        <w:contextualSpacing/>
        <w:jc w:val="both"/>
        <w:rPr>
          <w:color w:val="auto"/>
        </w:rPr>
      </w:pPr>
    </w:p>
    <w:p w14:paraId="27D645B9" w14:textId="77777777" w:rsidR="009947CB" w:rsidRPr="00F410D5" w:rsidRDefault="009947CB" w:rsidP="00C73231">
      <w:pPr>
        <w:pStyle w:val="Default"/>
        <w:contextualSpacing/>
        <w:jc w:val="both"/>
        <w:rPr>
          <w:b/>
          <w:color w:val="auto"/>
        </w:rPr>
      </w:pPr>
      <w:r w:rsidRPr="00F410D5">
        <w:rPr>
          <w:b/>
          <w:color w:val="auto"/>
        </w:rPr>
        <w:t xml:space="preserve">Šajā instrukcijā varat uzzināt: </w:t>
      </w:r>
    </w:p>
    <w:p w14:paraId="623D9C40" w14:textId="77777777" w:rsidR="009947CB" w:rsidRPr="00F410D5" w:rsidRDefault="009947CB" w:rsidP="00C73231">
      <w:pPr>
        <w:pStyle w:val="Default"/>
        <w:numPr>
          <w:ilvl w:val="0"/>
          <w:numId w:val="2"/>
        </w:numPr>
        <w:contextualSpacing/>
        <w:jc w:val="both"/>
        <w:rPr>
          <w:color w:val="auto"/>
        </w:rPr>
      </w:pPr>
      <w:r w:rsidRPr="00F410D5">
        <w:rPr>
          <w:color w:val="auto"/>
        </w:rPr>
        <w:t xml:space="preserve">Kas ir </w:t>
      </w:r>
      <w:r w:rsidR="005779E1" w:rsidRPr="00F410D5">
        <w:t>Milgamma</w:t>
      </w:r>
      <w:r w:rsidRPr="00F410D5">
        <w:rPr>
          <w:color w:val="auto"/>
        </w:rPr>
        <w:t xml:space="preserve"> NA Injekt un kādam nolūkam to lieto </w:t>
      </w:r>
    </w:p>
    <w:p w14:paraId="70A03F7A" w14:textId="77777777" w:rsidR="009947CB" w:rsidRPr="00F410D5" w:rsidRDefault="00235479" w:rsidP="00C73231">
      <w:pPr>
        <w:pStyle w:val="Default"/>
        <w:numPr>
          <w:ilvl w:val="0"/>
          <w:numId w:val="2"/>
        </w:numPr>
        <w:contextualSpacing/>
        <w:jc w:val="both"/>
        <w:rPr>
          <w:color w:val="auto"/>
        </w:rPr>
      </w:pPr>
      <w:r w:rsidRPr="00F410D5">
        <w:rPr>
          <w:rFonts w:eastAsia="Times New Roman"/>
          <w:snapToGrid w:val="0"/>
          <w:lang w:eastAsia="zh-CN"/>
        </w:rPr>
        <w:t>Kas Jums</w:t>
      </w:r>
      <w:r w:rsidR="005779E1" w:rsidRPr="00F410D5">
        <w:rPr>
          <w:snapToGrid w:val="0"/>
          <w:lang w:eastAsia="zh-CN"/>
        </w:rPr>
        <w:t xml:space="preserve"> jāzina p</w:t>
      </w:r>
      <w:r w:rsidR="009947CB" w:rsidRPr="00F410D5">
        <w:rPr>
          <w:color w:val="auto"/>
        </w:rPr>
        <w:t xml:space="preserve">irms </w:t>
      </w:r>
      <w:r w:rsidR="005779E1" w:rsidRPr="00F410D5">
        <w:t>Milgamma</w:t>
      </w:r>
      <w:r w:rsidR="009947CB" w:rsidRPr="00F410D5">
        <w:rPr>
          <w:color w:val="auto"/>
        </w:rPr>
        <w:t xml:space="preserve"> NA Injekt lietošanas </w:t>
      </w:r>
    </w:p>
    <w:p w14:paraId="4EB031AB" w14:textId="77777777" w:rsidR="009947CB" w:rsidRPr="00F410D5" w:rsidRDefault="009947CB" w:rsidP="00C73231">
      <w:pPr>
        <w:pStyle w:val="Default"/>
        <w:numPr>
          <w:ilvl w:val="0"/>
          <w:numId w:val="2"/>
        </w:numPr>
        <w:contextualSpacing/>
        <w:jc w:val="both"/>
        <w:rPr>
          <w:color w:val="auto"/>
        </w:rPr>
      </w:pPr>
      <w:r w:rsidRPr="00F410D5">
        <w:rPr>
          <w:color w:val="auto"/>
        </w:rPr>
        <w:t xml:space="preserve">Kā lietot </w:t>
      </w:r>
      <w:r w:rsidR="005779E1" w:rsidRPr="00F410D5">
        <w:t>Milgamma</w:t>
      </w:r>
      <w:r w:rsidRPr="00F410D5">
        <w:rPr>
          <w:color w:val="auto"/>
        </w:rPr>
        <w:t xml:space="preserve"> NA Injekt </w:t>
      </w:r>
    </w:p>
    <w:p w14:paraId="586E3AD2" w14:textId="77777777" w:rsidR="009947CB" w:rsidRPr="00F410D5" w:rsidRDefault="009947CB" w:rsidP="00C73231">
      <w:pPr>
        <w:pStyle w:val="Default"/>
        <w:numPr>
          <w:ilvl w:val="0"/>
          <w:numId w:val="2"/>
        </w:numPr>
        <w:contextualSpacing/>
        <w:jc w:val="both"/>
        <w:rPr>
          <w:color w:val="auto"/>
        </w:rPr>
      </w:pPr>
      <w:r w:rsidRPr="00F410D5">
        <w:rPr>
          <w:color w:val="auto"/>
        </w:rPr>
        <w:t xml:space="preserve">Iespējamās blakusparādības </w:t>
      </w:r>
    </w:p>
    <w:p w14:paraId="17D371FE" w14:textId="77777777" w:rsidR="009947CB" w:rsidRPr="00F410D5" w:rsidRDefault="009947CB" w:rsidP="00C73231">
      <w:pPr>
        <w:pStyle w:val="Default"/>
        <w:numPr>
          <w:ilvl w:val="0"/>
          <w:numId w:val="2"/>
        </w:numPr>
        <w:contextualSpacing/>
        <w:jc w:val="both"/>
        <w:rPr>
          <w:color w:val="auto"/>
        </w:rPr>
      </w:pPr>
      <w:r w:rsidRPr="00F410D5">
        <w:rPr>
          <w:color w:val="auto"/>
        </w:rPr>
        <w:t xml:space="preserve">Kā uzglabāt </w:t>
      </w:r>
      <w:r w:rsidR="005779E1" w:rsidRPr="00F410D5">
        <w:t>Milgamma</w:t>
      </w:r>
      <w:r w:rsidRPr="00F410D5">
        <w:rPr>
          <w:color w:val="auto"/>
        </w:rPr>
        <w:t xml:space="preserve"> NA Injekt </w:t>
      </w:r>
    </w:p>
    <w:p w14:paraId="25C8DFBD" w14:textId="77777777" w:rsidR="009947CB" w:rsidRPr="00F410D5" w:rsidRDefault="00235479" w:rsidP="00C73231">
      <w:pPr>
        <w:pStyle w:val="Default"/>
        <w:numPr>
          <w:ilvl w:val="0"/>
          <w:numId w:val="2"/>
        </w:numPr>
        <w:contextualSpacing/>
        <w:jc w:val="both"/>
        <w:rPr>
          <w:color w:val="auto"/>
        </w:rPr>
      </w:pPr>
      <w:r w:rsidRPr="00F410D5">
        <w:rPr>
          <w:snapToGrid w:val="0"/>
          <w:lang w:eastAsia="zh-CN"/>
        </w:rPr>
        <w:t>Iepakojuma saturs un cita informācija</w:t>
      </w:r>
    </w:p>
    <w:p w14:paraId="263C0D8F" w14:textId="77777777" w:rsidR="00235479" w:rsidRPr="00F410D5" w:rsidRDefault="00235479" w:rsidP="00C73231">
      <w:pPr>
        <w:pStyle w:val="Default"/>
        <w:contextualSpacing/>
        <w:jc w:val="both"/>
        <w:rPr>
          <w:color w:val="auto"/>
        </w:rPr>
      </w:pPr>
    </w:p>
    <w:p w14:paraId="68E0EDC1" w14:textId="77777777" w:rsidR="00235479" w:rsidRPr="00F410D5" w:rsidRDefault="00235479" w:rsidP="00C73231">
      <w:pPr>
        <w:pStyle w:val="Default"/>
        <w:contextualSpacing/>
        <w:jc w:val="both"/>
        <w:rPr>
          <w:color w:val="auto"/>
        </w:rPr>
      </w:pPr>
    </w:p>
    <w:p w14:paraId="180DF7E8" w14:textId="77777777" w:rsidR="009947CB" w:rsidRPr="00F410D5" w:rsidRDefault="009947CB" w:rsidP="00C73231">
      <w:pPr>
        <w:pStyle w:val="CM12"/>
        <w:contextualSpacing/>
        <w:jc w:val="both"/>
      </w:pPr>
      <w:r w:rsidRPr="00F410D5">
        <w:rPr>
          <w:b/>
          <w:bCs/>
        </w:rPr>
        <w:t xml:space="preserve">1. </w:t>
      </w:r>
      <w:r w:rsidR="00BE3443" w:rsidRPr="00F410D5">
        <w:rPr>
          <w:b/>
          <w:bCs/>
        </w:rPr>
        <w:t>Kas ir</w:t>
      </w:r>
      <w:r w:rsidR="00BE3443" w:rsidRPr="00F410D5">
        <w:rPr>
          <w:b/>
        </w:rPr>
        <w:t xml:space="preserve"> Milgamma NA Injekt un kādam nolūkam to lieto</w:t>
      </w:r>
      <w:r w:rsidR="00BE3443" w:rsidRPr="00F410D5">
        <w:rPr>
          <w:b/>
          <w:bCs/>
        </w:rPr>
        <w:t xml:space="preserve"> </w:t>
      </w:r>
    </w:p>
    <w:p w14:paraId="6AEC3D3F" w14:textId="77777777" w:rsidR="009947CB" w:rsidRPr="00F410D5" w:rsidRDefault="009947CB" w:rsidP="00C73231">
      <w:pPr>
        <w:pStyle w:val="CM10"/>
        <w:contextualSpacing/>
        <w:jc w:val="both"/>
      </w:pPr>
      <w:r w:rsidRPr="00F410D5">
        <w:t xml:space="preserve">Vitamīnu preparāts. </w:t>
      </w:r>
      <w:r w:rsidR="005779E1" w:rsidRPr="00F410D5">
        <w:t>Milgamma</w:t>
      </w:r>
      <w:r w:rsidRPr="00F410D5">
        <w:t xml:space="preserve"> NA Injekt lieto, lai ārstētu B</w:t>
      </w:r>
      <w:r w:rsidR="00AA6F5A" w:rsidRPr="00F410D5">
        <w:rPr>
          <w:vertAlign w:val="subscript"/>
        </w:rPr>
        <w:t>1</w:t>
      </w:r>
      <w:r w:rsidRPr="00F410D5">
        <w:t xml:space="preserve"> un </w:t>
      </w:r>
      <w:r w:rsidR="005779E1" w:rsidRPr="00F410D5">
        <w:rPr>
          <w:color w:val="000000"/>
        </w:rPr>
        <w:t>B</w:t>
      </w:r>
      <w:r w:rsidR="005779E1" w:rsidRPr="00F410D5">
        <w:rPr>
          <w:color w:val="000000"/>
          <w:vertAlign w:val="subscript"/>
        </w:rPr>
        <w:t>6</w:t>
      </w:r>
      <w:r w:rsidRPr="00F410D5">
        <w:t xml:space="preserve"> trūkumu organismā, kas</w:t>
      </w:r>
      <w:r w:rsidR="005C2919" w:rsidRPr="00F410D5">
        <w:t xml:space="preserve"> </w:t>
      </w:r>
      <w:r w:rsidRPr="00F410D5">
        <w:t xml:space="preserve">izraisa nervu sistēmas slimības. </w:t>
      </w:r>
    </w:p>
    <w:p w14:paraId="03F67C0C" w14:textId="77777777" w:rsidR="000B5DA1" w:rsidRPr="00F410D5" w:rsidRDefault="000B5DA1" w:rsidP="00C73231">
      <w:pPr>
        <w:pStyle w:val="CM9"/>
        <w:contextualSpacing/>
        <w:jc w:val="both"/>
        <w:rPr>
          <w:b/>
          <w:bCs/>
        </w:rPr>
      </w:pPr>
    </w:p>
    <w:p w14:paraId="22018A0A" w14:textId="77777777" w:rsidR="009947CB" w:rsidRPr="00F410D5" w:rsidRDefault="009947CB" w:rsidP="00C73231">
      <w:pPr>
        <w:pStyle w:val="CM9"/>
        <w:contextualSpacing/>
        <w:jc w:val="both"/>
      </w:pPr>
      <w:r w:rsidRPr="00F410D5">
        <w:rPr>
          <w:b/>
          <w:bCs/>
        </w:rPr>
        <w:t xml:space="preserve">2. </w:t>
      </w:r>
      <w:r w:rsidR="00B37402" w:rsidRPr="00F410D5">
        <w:rPr>
          <w:b/>
          <w:bCs/>
        </w:rPr>
        <w:t>Kas Jums jāzina pirms</w:t>
      </w:r>
      <w:r w:rsidR="00BE3443" w:rsidRPr="00F410D5">
        <w:rPr>
          <w:b/>
        </w:rPr>
        <w:t xml:space="preserve"> Milgamma NA Injekt lietošanas</w:t>
      </w:r>
      <w:r w:rsidRPr="00F410D5">
        <w:rPr>
          <w:b/>
          <w:bCs/>
        </w:rPr>
        <w:t xml:space="preserve"> </w:t>
      </w:r>
    </w:p>
    <w:p w14:paraId="30196585" w14:textId="77777777" w:rsidR="001670A4" w:rsidRDefault="009947CB" w:rsidP="00F410D5">
      <w:pPr>
        <w:pStyle w:val="CM10"/>
        <w:contextualSpacing/>
        <w:jc w:val="both"/>
        <w:rPr>
          <w:b/>
          <w:bCs/>
        </w:rPr>
      </w:pPr>
      <w:r w:rsidRPr="00F410D5">
        <w:rPr>
          <w:b/>
          <w:bCs/>
        </w:rPr>
        <w:t xml:space="preserve">Nelietojiet </w:t>
      </w:r>
      <w:r w:rsidR="005779E1" w:rsidRPr="00F410D5">
        <w:rPr>
          <w:b/>
        </w:rPr>
        <w:t>Milgamma</w:t>
      </w:r>
      <w:r w:rsidRPr="00F410D5">
        <w:rPr>
          <w:b/>
          <w:bCs/>
        </w:rPr>
        <w:t xml:space="preserve"> NA Injekt šādos gadījumos: </w:t>
      </w:r>
    </w:p>
    <w:p w14:paraId="59586885" w14:textId="77777777" w:rsidR="009947CB" w:rsidRPr="00F410D5" w:rsidRDefault="009947CB" w:rsidP="00F410D5">
      <w:pPr>
        <w:pStyle w:val="CM10"/>
        <w:contextualSpacing/>
        <w:jc w:val="both"/>
      </w:pPr>
      <w:r w:rsidRPr="00F410D5">
        <w:t>Ja Jums ir alerģija (paaugstināta jutība) pret tiamīna hidrohlorīdu (B</w:t>
      </w:r>
      <w:r w:rsidR="005779E1" w:rsidRPr="00F410D5">
        <w:rPr>
          <w:vertAlign w:val="subscript"/>
        </w:rPr>
        <w:t>1</w:t>
      </w:r>
      <w:r w:rsidRPr="00F410D5">
        <w:t xml:space="preserve"> vitamīnu) vai pret piridoksīna hidrohlorīdu (B</w:t>
      </w:r>
      <w:r w:rsidR="005779E1" w:rsidRPr="00F410D5">
        <w:rPr>
          <w:vertAlign w:val="subscript"/>
        </w:rPr>
        <w:t>6</w:t>
      </w:r>
      <w:r w:rsidRPr="00F410D5">
        <w:t xml:space="preserve"> vitamīnu) vai pret kādu citu</w:t>
      </w:r>
      <w:r w:rsidR="00BE3443" w:rsidRPr="00F410D5">
        <w:t xml:space="preserve"> (6. p</w:t>
      </w:r>
      <w:r w:rsidR="005C2919" w:rsidRPr="00F410D5">
        <w:t>unktā minēto)</w:t>
      </w:r>
      <w:r w:rsidRPr="00F410D5">
        <w:t xml:space="preserve"> </w:t>
      </w:r>
      <w:r w:rsidR="00BE3443" w:rsidRPr="00F410D5">
        <w:t xml:space="preserve">šo zāļu </w:t>
      </w:r>
      <w:r w:rsidRPr="00F410D5">
        <w:t>sastāvdaļ</w:t>
      </w:r>
      <w:r w:rsidR="005C2919" w:rsidRPr="00F410D5">
        <w:t>u</w:t>
      </w:r>
      <w:r w:rsidRPr="00F410D5">
        <w:t xml:space="preserve">. </w:t>
      </w:r>
    </w:p>
    <w:p w14:paraId="2FAEA1EA" w14:textId="77777777" w:rsidR="005C2919" w:rsidRPr="00F410D5" w:rsidRDefault="005C2919" w:rsidP="00C73231">
      <w:pPr>
        <w:pStyle w:val="Default"/>
        <w:contextualSpacing/>
        <w:jc w:val="both"/>
        <w:rPr>
          <w:b/>
        </w:rPr>
      </w:pPr>
      <w:r w:rsidRPr="00F410D5">
        <w:rPr>
          <w:b/>
        </w:rPr>
        <w:t>Brīdinājumi un piesardzība lietošanā</w:t>
      </w:r>
    </w:p>
    <w:p w14:paraId="5986618D" w14:textId="77777777" w:rsidR="005C2919" w:rsidRPr="00F410D5" w:rsidRDefault="005C2919" w:rsidP="00C73231">
      <w:pPr>
        <w:pStyle w:val="Default"/>
        <w:contextualSpacing/>
        <w:jc w:val="both"/>
      </w:pPr>
      <w:r w:rsidRPr="00F410D5">
        <w:t>Pirms Milgamma</w:t>
      </w:r>
      <w:r w:rsidRPr="00F410D5">
        <w:rPr>
          <w:vertAlign w:val="superscript"/>
        </w:rPr>
        <w:t xml:space="preserve"> </w:t>
      </w:r>
      <w:r w:rsidRPr="00F410D5">
        <w:t>NA Injekt lietošanas konsultējieties ar ārstu vai farmaceitu.</w:t>
      </w:r>
    </w:p>
    <w:p w14:paraId="13594C5F" w14:textId="77777777" w:rsidR="005C2919" w:rsidRPr="00F410D5" w:rsidRDefault="005C2919" w:rsidP="00C73231">
      <w:pPr>
        <w:pStyle w:val="Default"/>
        <w:contextualSpacing/>
        <w:jc w:val="both"/>
      </w:pPr>
    </w:p>
    <w:p w14:paraId="63D38C6F" w14:textId="77777777" w:rsidR="001670A4" w:rsidRDefault="009947CB" w:rsidP="001F1F87">
      <w:pPr>
        <w:pStyle w:val="CM10"/>
        <w:contextualSpacing/>
        <w:jc w:val="both"/>
      </w:pPr>
      <w:r w:rsidRPr="00F410D5">
        <w:rPr>
          <w:b/>
          <w:bCs/>
        </w:rPr>
        <w:t xml:space="preserve">Īpaša piesardzība, lietojot </w:t>
      </w:r>
      <w:r w:rsidR="005779E1" w:rsidRPr="00F410D5">
        <w:rPr>
          <w:b/>
        </w:rPr>
        <w:t>Milgamma</w:t>
      </w:r>
      <w:r w:rsidR="005779E1" w:rsidRPr="00F410D5">
        <w:rPr>
          <w:b/>
          <w:vertAlign w:val="superscript"/>
        </w:rPr>
        <w:t xml:space="preserve"> </w:t>
      </w:r>
      <w:r w:rsidRPr="00F410D5">
        <w:rPr>
          <w:b/>
          <w:bCs/>
        </w:rPr>
        <w:t xml:space="preserve">NA Injekt, nepieciešama šādos gadījumos:  </w:t>
      </w:r>
    </w:p>
    <w:p w14:paraId="45BF79CE" w14:textId="77777777" w:rsidR="009947CB" w:rsidRPr="00F410D5" w:rsidRDefault="009947CB" w:rsidP="001F1F87">
      <w:pPr>
        <w:pStyle w:val="CM10"/>
        <w:contextualSpacing/>
        <w:jc w:val="both"/>
      </w:pPr>
      <w:r w:rsidRPr="00F410D5">
        <w:t>Alerģija (paaugstināta jutības reakcija) ar šoku pēc B</w:t>
      </w:r>
      <w:r w:rsidR="005779E1" w:rsidRPr="00F410D5">
        <w:rPr>
          <w:vertAlign w:val="subscript"/>
        </w:rPr>
        <w:t>1</w:t>
      </w:r>
      <w:r w:rsidRPr="00F410D5">
        <w:t xml:space="preserve"> vitamīnu saturošu injekciju šķīdumu ievadīšanas rodas ļoti reti, tomēr ir iespējamas (skatīt blakusparādības). Ja Jūs pamanāt, ka rodas elpas trūkums, paātrināta sirdsdarbība (tahikardija), nātrene vai asinsrites kolapss, nekavējoties meklējiet ārsta palīdzību. Ilgstoši lietojot B</w:t>
      </w:r>
      <w:r w:rsidR="0085014D" w:rsidRPr="00F410D5">
        <w:rPr>
          <w:vertAlign w:val="subscript"/>
        </w:rPr>
        <w:t>6</w:t>
      </w:r>
      <w:r w:rsidRPr="00F410D5">
        <w:t xml:space="preserve"> vitamīnu par 200 mg lielākās dienas devās, kā arī</w:t>
      </w:r>
      <w:r w:rsidR="00E671D8" w:rsidRPr="00F410D5">
        <w:t xml:space="preserve"> </w:t>
      </w:r>
      <w:r w:rsidRPr="00F410D5">
        <w:t>īslaicīgi lietojot devas gramu diapazonā, tika novērota tirpšana un “skudriņu skraidīšanas” sajūta plaukstās un pēdās (perifēras sensoriskas neiropātijas vai parestēziju pazīmes). Ja Jums rodas tirpšanas vai skudriņu skraidīšanas sajūta, lūdzu, griezieties pie sava ārsta. Viņš pārbaudīs lietoto devu un vajadzības gadījumā</w:t>
      </w:r>
      <w:r w:rsidR="00931A75" w:rsidRPr="00F410D5">
        <w:t xml:space="preserve"> </w:t>
      </w:r>
      <w:r w:rsidRPr="00F410D5">
        <w:t xml:space="preserve">pārtrauks medikamenta lietošanu. </w:t>
      </w:r>
    </w:p>
    <w:p w14:paraId="5DB0BADC" w14:textId="77777777" w:rsidR="005C2919" w:rsidRPr="00F410D5" w:rsidRDefault="005C2919" w:rsidP="00C73231">
      <w:pPr>
        <w:pStyle w:val="Default"/>
        <w:contextualSpacing/>
        <w:jc w:val="both"/>
        <w:rPr>
          <w:b/>
        </w:rPr>
      </w:pPr>
      <w:r w:rsidRPr="00F410D5">
        <w:rPr>
          <w:b/>
        </w:rPr>
        <w:lastRenderedPageBreak/>
        <w:t>Citas zāles un Milgamma</w:t>
      </w:r>
      <w:r w:rsidRPr="00F410D5">
        <w:rPr>
          <w:b/>
          <w:vertAlign w:val="superscript"/>
        </w:rPr>
        <w:t xml:space="preserve"> </w:t>
      </w:r>
      <w:r w:rsidRPr="00F410D5">
        <w:rPr>
          <w:b/>
        </w:rPr>
        <w:t xml:space="preserve">NA Injekt </w:t>
      </w:r>
    </w:p>
    <w:p w14:paraId="5FFD80C2" w14:textId="77777777" w:rsidR="005C2919" w:rsidRPr="00F410D5" w:rsidRDefault="009947CB" w:rsidP="00C73231">
      <w:pPr>
        <w:pStyle w:val="Default"/>
        <w:contextualSpacing/>
        <w:jc w:val="both"/>
      </w:pPr>
      <w:r w:rsidRPr="00F410D5">
        <w:t>Pastāstiet ārstam vai farmaceitam par visām zālēm, kuras lietojat pēdējā laikā</w:t>
      </w:r>
      <w:r w:rsidR="00BE3443" w:rsidRPr="00F410D5">
        <w:t>,</w:t>
      </w:r>
      <w:r w:rsidRPr="00F410D5">
        <w:t xml:space="preserve"> esat lietojis</w:t>
      </w:r>
    </w:p>
    <w:p w14:paraId="1B416F77" w14:textId="77777777" w:rsidR="005C2919" w:rsidRPr="00F410D5" w:rsidRDefault="005C2919" w:rsidP="00C73231">
      <w:pPr>
        <w:pStyle w:val="Default"/>
        <w:contextualSpacing/>
        <w:jc w:val="both"/>
      </w:pPr>
      <w:r w:rsidRPr="00F410D5">
        <w:t>vai varētu lietot.</w:t>
      </w:r>
    </w:p>
    <w:p w14:paraId="385DEBAB" w14:textId="77777777" w:rsidR="009947CB" w:rsidRPr="00F410D5" w:rsidRDefault="009947CB" w:rsidP="00C73231">
      <w:pPr>
        <w:pStyle w:val="CM10"/>
        <w:contextualSpacing/>
        <w:jc w:val="both"/>
      </w:pPr>
      <w:r w:rsidRPr="00F410D5">
        <w:t>B</w:t>
      </w:r>
      <w:r w:rsidR="0085014D" w:rsidRPr="00F410D5">
        <w:rPr>
          <w:vertAlign w:val="subscript"/>
        </w:rPr>
        <w:t>1</w:t>
      </w:r>
      <w:r w:rsidRPr="00F410D5">
        <w:t xml:space="preserve"> vitamīns (tiamīna hlorīda hidrohlorīds) zaudē iedarbību, lietojot to vienlaikus ar pretvēža (citostatisko) līdzekli 5-fluoruracilu. </w:t>
      </w:r>
    </w:p>
    <w:p w14:paraId="0626C4E2" w14:textId="77777777" w:rsidR="009947CB" w:rsidRPr="00F410D5" w:rsidRDefault="009947CB" w:rsidP="00C73231">
      <w:pPr>
        <w:pStyle w:val="Default"/>
        <w:contextualSpacing/>
        <w:jc w:val="both"/>
        <w:rPr>
          <w:color w:val="auto"/>
        </w:rPr>
      </w:pPr>
      <w:r w:rsidRPr="00F410D5">
        <w:rPr>
          <w:color w:val="auto"/>
        </w:rPr>
        <w:t>B</w:t>
      </w:r>
      <w:r w:rsidR="0085014D" w:rsidRPr="00F410D5">
        <w:rPr>
          <w:color w:val="auto"/>
          <w:vertAlign w:val="subscript"/>
        </w:rPr>
        <w:t>1</w:t>
      </w:r>
      <w:r w:rsidRPr="00F410D5">
        <w:rPr>
          <w:color w:val="auto"/>
        </w:rPr>
        <w:t xml:space="preserve"> vitamīns pastiprināti izdalās ar urīnu. Tāpēc ilgstoši lietojot vienlaikus ar urīndzenošo līdzekli furosemīdu, var rasties B</w:t>
      </w:r>
      <w:r w:rsidR="0085014D" w:rsidRPr="00F410D5">
        <w:rPr>
          <w:color w:val="auto"/>
          <w:vertAlign w:val="subscript"/>
        </w:rPr>
        <w:t>1</w:t>
      </w:r>
      <w:r w:rsidRPr="00F410D5">
        <w:rPr>
          <w:color w:val="auto"/>
        </w:rPr>
        <w:t xml:space="preserve"> vitamīna deficīts. </w:t>
      </w:r>
    </w:p>
    <w:p w14:paraId="185BC9B3" w14:textId="77777777" w:rsidR="009947CB" w:rsidRPr="00F410D5" w:rsidRDefault="009947CB" w:rsidP="00C73231">
      <w:pPr>
        <w:pStyle w:val="Default"/>
        <w:contextualSpacing/>
        <w:jc w:val="both"/>
        <w:rPr>
          <w:color w:val="auto"/>
        </w:rPr>
      </w:pPr>
      <w:r w:rsidRPr="00F410D5">
        <w:rPr>
          <w:color w:val="auto"/>
        </w:rPr>
        <w:t>Tā saucamie piridoksīna antagonisti, piemēram, hidralazīns, izoniazīds [INH], cikloserīns, D-penicilamīns, var palielināt nepieciešamību pēc B</w:t>
      </w:r>
      <w:r w:rsidR="0085014D" w:rsidRPr="00F410D5">
        <w:rPr>
          <w:color w:val="auto"/>
          <w:vertAlign w:val="subscript"/>
        </w:rPr>
        <w:t>6</w:t>
      </w:r>
      <w:r w:rsidRPr="00F410D5">
        <w:rPr>
          <w:color w:val="auto"/>
        </w:rPr>
        <w:t xml:space="preserve"> vitamīna. </w:t>
      </w:r>
    </w:p>
    <w:p w14:paraId="1455A954" w14:textId="77777777" w:rsidR="009947CB" w:rsidRPr="00F410D5" w:rsidRDefault="009947CB" w:rsidP="00C73231">
      <w:pPr>
        <w:pStyle w:val="Default"/>
        <w:contextualSpacing/>
        <w:jc w:val="both"/>
        <w:rPr>
          <w:color w:val="auto"/>
        </w:rPr>
      </w:pPr>
      <w:r w:rsidRPr="00F410D5">
        <w:rPr>
          <w:color w:val="auto"/>
        </w:rPr>
        <w:t>B</w:t>
      </w:r>
      <w:r w:rsidR="0085014D" w:rsidRPr="00F410D5">
        <w:rPr>
          <w:color w:val="auto"/>
          <w:vertAlign w:val="subscript"/>
        </w:rPr>
        <w:t>6</w:t>
      </w:r>
      <w:r w:rsidRPr="00F410D5">
        <w:rPr>
          <w:color w:val="auto"/>
        </w:rPr>
        <w:t xml:space="preserve"> vitamīna (piridoksīna hidrohlorīda) dienas devas virs 5 mg var pavājināt L-dopa (medikaments Parkinsona slimības ārstēšanai) darbību. </w:t>
      </w:r>
    </w:p>
    <w:p w14:paraId="354DB210" w14:textId="77777777" w:rsidR="009947CB" w:rsidRPr="00F410D5" w:rsidRDefault="009947CB" w:rsidP="00C73231">
      <w:pPr>
        <w:pStyle w:val="Default"/>
        <w:contextualSpacing/>
        <w:jc w:val="both"/>
        <w:rPr>
          <w:color w:val="auto"/>
        </w:rPr>
      </w:pPr>
    </w:p>
    <w:p w14:paraId="00B4F2A6" w14:textId="77777777" w:rsidR="00BD749A" w:rsidRPr="00F410D5" w:rsidRDefault="009947CB" w:rsidP="00C73231">
      <w:pPr>
        <w:pStyle w:val="CM10"/>
        <w:contextualSpacing/>
        <w:jc w:val="both"/>
      </w:pPr>
      <w:r w:rsidRPr="00F410D5">
        <w:t>Lūdzu, ņemiet vērā, ka šie dati var attiekties arī uz nesen lietotām zālēm.</w:t>
      </w:r>
    </w:p>
    <w:p w14:paraId="38CD6DD2" w14:textId="77777777" w:rsidR="009947CB" w:rsidRPr="00F410D5" w:rsidRDefault="009947CB" w:rsidP="00C73231">
      <w:pPr>
        <w:pStyle w:val="CM10"/>
        <w:contextualSpacing/>
        <w:jc w:val="both"/>
      </w:pPr>
    </w:p>
    <w:p w14:paraId="3BFAEEE0" w14:textId="77777777" w:rsidR="00F410D5" w:rsidRDefault="009947CB" w:rsidP="00C73231">
      <w:pPr>
        <w:pStyle w:val="CM10"/>
        <w:contextualSpacing/>
        <w:jc w:val="both"/>
      </w:pPr>
      <w:r w:rsidRPr="00F410D5">
        <w:rPr>
          <w:b/>
          <w:bCs/>
        </w:rPr>
        <w:t>Grūtniecība</w:t>
      </w:r>
      <w:r w:rsidR="005C2919" w:rsidRPr="00F410D5">
        <w:rPr>
          <w:b/>
          <w:bCs/>
        </w:rPr>
        <w:t>, barošana ar krūti</w:t>
      </w:r>
      <w:r w:rsidRPr="00F410D5">
        <w:rPr>
          <w:b/>
          <w:bCs/>
        </w:rPr>
        <w:t xml:space="preserve"> un </w:t>
      </w:r>
      <w:r w:rsidR="005C2919" w:rsidRPr="00F410D5">
        <w:rPr>
          <w:b/>
          <w:bCs/>
        </w:rPr>
        <w:t>fertilitāte</w:t>
      </w:r>
      <w:r w:rsidRPr="00F410D5">
        <w:rPr>
          <w:b/>
          <w:bCs/>
        </w:rPr>
        <w:t xml:space="preserve"> </w:t>
      </w:r>
    </w:p>
    <w:p w14:paraId="24AAE7A9" w14:textId="77777777" w:rsidR="009947CB" w:rsidRPr="00F410D5" w:rsidRDefault="004F0A1D" w:rsidP="00C73231">
      <w:pPr>
        <w:pStyle w:val="CM10"/>
        <w:contextualSpacing/>
        <w:jc w:val="both"/>
      </w:pPr>
      <w:r w:rsidRPr="00F410D5">
        <w:t xml:space="preserve">Ja Jūs esat grūtniece vai barojat bērnu ar krūti, ja domājat, ka Jums varētu būt grūtniecība vai plānojat grūtniecību, pirms šo zāļu lietošanas konsultējaties ar ārstu vai farmaceitu. </w:t>
      </w:r>
      <w:r w:rsidR="009947CB" w:rsidRPr="00F410D5">
        <w:t xml:space="preserve">Pirms jebkuru zāļu lietošanas konsultējieties ar ārstu vai farmaceitu. </w:t>
      </w:r>
    </w:p>
    <w:p w14:paraId="4B860188" w14:textId="77777777" w:rsidR="009947CB" w:rsidRPr="00445402" w:rsidRDefault="009947CB" w:rsidP="00C73231">
      <w:pPr>
        <w:pStyle w:val="CM13"/>
        <w:contextualSpacing/>
        <w:jc w:val="both"/>
      </w:pPr>
      <w:r w:rsidRPr="00445402">
        <w:t xml:space="preserve">Grūtniecības un zīdīšanas laikā nepieciešamo vitamīnu dienas daudzumu jāuzņem ar sabalansētu uzturu. Šīs zāles (tajās esošā aktīvās vielas daudzuma dēļ) ir paredzētas tikai vitamīnu deficīta ārstēšanai. Tādēļ tās drīkst lietot tikai pēc tam, kad ārsts rūpīgi izvērtējis terapijas lietderību un risku. Nav pētījumu par </w:t>
      </w:r>
      <w:r w:rsidR="0085014D" w:rsidRPr="00445402">
        <w:t>Milgamma</w:t>
      </w:r>
      <w:r w:rsidR="00931A75" w:rsidRPr="00445402">
        <w:rPr>
          <w:vertAlign w:val="superscript"/>
        </w:rPr>
        <w:t xml:space="preserve"> </w:t>
      </w:r>
      <w:r w:rsidRPr="00445402">
        <w:rPr>
          <w:iCs/>
        </w:rPr>
        <w:t>NA Injekt</w:t>
      </w:r>
      <w:r w:rsidRPr="00445402">
        <w:t xml:space="preserve"> lietošanu grūtniecības laikā. B</w:t>
      </w:r>
      <w:r w:rsidR="00807871" w:rsidRPr="00445402">
        <w:rPr>
          <w:vertAlign w:val="subscript"/>
        </w:rPr>
        <w:t>1</w:t>
      </w:r>
      <w:r w:rsidRPr="00445402">
        <w:t xml:space="preserve"> + B</w:t>
      </w:r>
      <w:r w:rsidR="00807871" w:rsidRPr="00445402">
        <w:rPr>
          <w:vertAlign w:val="subscript"/>
        </w:rPr>
        <w:t>6</w:t>
      </w:r>
      <w:r w:rsidRPr="00445402">
        <w:t xml:space="preserve"> vitamīns nokļūst mātes pienā. Grūtniecības un zīdīšanas laikā maksimālā dienas deva nedrīkst pārsniegt 25 mg piridoksīna hidrohlorīda. Injekciju šķīdums satur 50 mg piridoksīna hidrohlorīda. Grūtniecības un zīdīšanas laikā lietot nedrīkst. </w:t>
      </w:r>
    </w:p>
    <w:p w14:paraId="6EF58EA7" w14:textId="77777777" w:rsidR="001670A4" w:rsidRDefault="009947CB" w:rsidP="00C73231">
      <w:pPr>
        <w:pStyle w:val="CM10"/>
        <w:contextualSpacing/>
        <w:jc w:val="both"/>
        <w:rPr>
          <w:b/>
          <w:bCs/>
        </w:rPr>
      </w:pPr>
      <w:r w:rsidRPr="00445402">
        <w:rPr>
          <w:b/>
          <w:bCs/>
        </w:rPr>
        <w:t xml:space="preserve">Transportlīdzekļu vadīšana un mehānismu apkalpošana </w:t>
      </w:r>
    </w:p>
    <w:p w14:paraId="5D6E8B1C" w14:textId="77777777" w:rsidR="009947CB" w:rsidRPr="00F410D5" w:rsidRDefault="009947CB" w:rsidP="00C73231">
      <w:pPr>
        <w:pStyle w:val="CM10"/>
        <w:contextualSpacing/>
        <w:jc w:val="both"/>
      </w:pPr>
      <w:r w:rsidRPr="00F410D5">
        <w:t>Nav norādījumu par ierobežojumiem, vadot transportlīdzekļus, kā arī</w:t>
      </w:r>
      <w:r w:rsidR="00D47F79">
        <w:t xml:space="preserve"> </w:t>
      </w:r>
      <w:r w:rsidRPr="00F410D5">
        <w:t xml:space="preserve">strādājot ar iekārtām vai nedrošos apstākļos. Tāpēc nav nepieciešama īpaša piesardzība. </w:t>
      </w:r>
    </w:p>
    <w:p w14:paraId="74DBA77B" w14:textId="77777777" w:rsidR="004F4B01" w:rsidRPr="00F47117" w:rsidRDefault="004F4B01" w:rsidP="00C73231">
      <w:pPr>
        <w:pStyle w:val="CM9"/>
        <w:contextualSpacing/>
        <w:jc w:val="both"/>
        <w:rPr>
          <w:b/>
          <w:bCs/>
        </w:rPr>
      </w:pPr>
    </w:p>
    <w:p w14:paraId="29B5129F" w14:textId="77777777" w:rsidR="009947CB" w:rsidRPr="00F47117" w:rsidRDefault="009947CB" w:rsidP="00C73231">
      <w:pPr>
        <w:pStyle w:val="CM9"/>
        <w:contextualSpacing/>
        <w:jc w:val="both"/>
      </w:pPr>
      <w:r w:rsidRPr="00F47117">
        <w:rPr>
          <w:b/>
          <w:bCs/>
        </w:rPr>
        <w:t xml:space="preserve">3. </w:t>
      </w:r>
      <w:r w:rsidR="00807871" w:rsidRPr="00F47117">
        <w:rPr>
          <w:b/>
          <w:bCs/>
        </w:rPr>
        <w:t>Kā lieto</w:t>
      </w:r>
      <w:r w:rsidR="00D47F79">
        <w:rPr>
          <w:b/>
          <w:bCs/>
        </w:rPr>
        <w:t>t</w:t>
      </w:r>
      <w:r w:rsidR="00807871" w:rsidRPr="00F47117">
        <w:rPr>
          <w:b/>
          <w:bCs/>
        </w:rPr>
        <w:t xml:space="preserve"> </w:t>
      </w:r>
      <w:r w:rsidR="00807871" w:rsidRPr="00F47117">
        <w:rPr>
          <w:b/>
        </w:rPr>
        <w:t>Milgamma</w:t>
      </w:r>
      <w:r w:rsidR="00931A75" w:rsidRPr="00F47117">
        <w:rPr>
          <w:b/>
          <w:vertAlign w:val="superscript"/>
        </w:rPr>
        <w:t xml:space="preserve"> </w:t>
      </w:r>
      <w:r w:rsidR="00807871" w:rsidRPr="00F47117">
        <w:rPr>
          <w:b/>
        </w:rPr>
        <w:t xml:space="preserve">NA Injekt </w:t>
      </w:r>
    </w:p>
    <w:p w14:paraId="229817D5" w14:textId="77777777" w:rsidR="009947CB" w:rsidRPr="00F47117" w:rsidRDefault="009947CB" w:rsidP="00C73231">
      <w:pPr>
        <w:pStyle w:val="CM10"/>
        <w:ind w:right="490"/>
        <w:contextualSpacing/>
        <w:jc w:val="both"/>
      </w:pPr>
      <w:r w:rsidRPr="00F47117">
        <w:t xml:space="preserve">Vienmēr lietojiet </w:t>
      </w:r>
      <w:r w:rsidR="004F0A1D" w:rsidRPr="00F47117">
        <w:t>Milgamma</w:t>
      </w:r>
      <w:r w:rsidRPr="00F47117">
        <w:t xml:space="preserve"> NA Injekt tieši tā, kā</w:t>
      </w:r>
      <w:r w:rsidR="004F0A1D" w:rsidRPr="00F47117">
        <w:t xml:space="preserve"> </w:t>
      </w:r>
      <w:r w:rsidRPr="00F47117">
        <w:t xml:space="preserve">ārsts Jums </w:t>
      </w:r>
      <w:r w:rsidR="00807871" w:rsidRPr="00F47117">
        <w:t>teicis</w:t>
      </w:r>
      <w:r w:rsidRPr="00F47117">
        <w:t xml:space="preserve">. Neskaidrību gadījumā vaicājiet ārstam vai farmaceitam. </w:t>
      </w:r>
    </w:p>
    <w:p w14:paraId="3FD71774" w14:textId="77777777" w:rsidR="00807871" w:rsidRPr="00F410D5" w:rsidRDefault="009947CB" w:rsidP="00C73231">
      <w:pPr>
        <w:pStyle w:val="CM11"/>
        <w:contextualSpacing/>
        <w:jc w:val="both"/>
      </w:pPr>
      <w:r w:rsidRPr="00F47117">
        <w:t>Ja nav ordinēts citādi, ieteicamas šādas devas</w:t>
      </w:r>
      <w:r w:rsidR="00931A75" w:rsidRPr="00F47117">
        <w:t>.</w:t>
      </w:r>
      <w:r w:rsidRPr="00F47117">
        <w:t xml:space="preserve"> Ārstēšanas sākumā injicē pa 1 ml injekciju šķīduma (= 1 ampula) vienu reizi dienā. Vēlākajā</w:t>
      </w:r>
      <w:r w:rsidR="00807871" w:rsidRPr="00F47117">
        <w:t xml:space="preserve"> </w:t>
      </w:r>
      <w:r w:rsidRPr="00F47117">
        <w:t xml:space="preserve">ārstēšanā injicē 1 – 2 ml injekciju šķīduma (= 1 – 2 ampulas) reizi nedēļā. </w:t>
      </w:r>
    </w:p>
    <w:p w14:paraId="39AB8526" w14:textId="77777777" w:rsidR="009947CB" w:rsidRPr="00F47117" w:rsidRDefault="009947CB" w:rsidP="00C73231">
      <w:pPr>
        <w:pStyle w:val="CM11"/>
        <w:contextualSpacing/>
        <w:jc w:val="both"/>
      </w:pPr>
      <w:r w:rsidRPr="00445402">
        <w:t xml:space="preserve">Lietošanas veids </w:t>
      </w:r>
      <w:r w:rsidRPr="00F47117">
        <w:t xml:space="preserve">Injekciju veic intramuskulāri (muskulī) vai intravenozi (vēnā). </w:t>
      </w:r>
    </w:p>
    <w:p w14:paraId="041FCBA4" w14:textId="77777777" w:rsidR="009947CB" w:rsidRPr="001F1F87" w:rsidRDefault="009947CB" w:rsidP="00C73231">
      <w:pPr>
        <w:pStyle w:val="CM12"/>
        <w:contextualSpacing/>
        <w:jc w:val="both"/>
        <w:rPr>
          <w:u w:val="single"/>
        </w:rPr>
      </w:pPr>
      <w:r w:rsidRPr="001F1F87">
        <w:rPr>
          <w:bCs/>
          <w:u w:val="single"/>
        </w:rPr>
        <w:t>Lietošanas ilgums</w:t>
      </w:r>
      <w:r w:rsidRPr="001670A4">
        <w:rPr>
          <w:bCs/>
        </w:rPr>
        <w:t xml:space="preserve"> </w:t>
      </w:r>
    </w:p>
    <w:p w14:paraId="52D3F4F8" w14:textId="77777777" w:rsidR="009947CB" w:rsidRPr="00F47117" w:rsidRDefault="009947CB" w:rsidP="00C73231">
      <w:pPr>
        <w:pStyle w:val="CM10"/>
        <w:contextualSpacing/>
        <w:jc w:val="both"/>
      </w:pPr>
      <w:r w:rsidRPr="00F47117">
        <w:t xml:space="preserve">Lietošanas ilgums ir atkarīgs no pamatslimības smaguma pakāpes Ja Jums liekas, ka efekts ir par stipru vai par vāju, lūdzu, griezieties pie sava ārsta. </w:t>
      </w:r>
    </w:p>
    <w:p w14:paraId="2869B63F" w14:textId="77777777" w:rsidR="001670A4" w:rsidRDefault="009947CB" w:rsidP="00F47117">
      <w:pPr>
        <w:pStyle w:val="CM12"/>
        <w:contextualSpacing/>
        <w:jc w:val="both"/>
        <w:rPr>
          <w:b/>
          <w:bCs/>
        </w:rPr>
      </w:pPr>
      <w:r w:rsidRPr="00F47117">
        <w:rPr>
          <w:b/>
          <w:bCs/>
        </w:rPr>
        <w:lastRenderedPageBreak/>
        <w:t xml:space="preserve">Ja esat lietojis </w:t>
      </w:r>
      <w:r w:rsidR="004F0A1D" w:rsidRPr="00F47117">
        <w:rPr>
          <w:b/>
        </w:rPr>
        <w:t>Milgamma</w:t>
      </w:r>
      <w:r w:rsidRPr="00F47117">
        <w:rPr>
          <w:b/>
          <w:bCs/>
        </w:rPr>
        <w:t xml:space="preserve">NA Injekt vairāk nekā noteikts </w:t>
      </w:r>
    </w:p>
    <w:p w14:paraId="7A8154CB" w14:textId="77777777" w:rsidR="001670A4" w:rsidRDefault="009947CB" w:rsidP="00F47117">
      <w:pPr>
        <w:pStyle w:val="CM12"/>
        <w:contextualSpacing/>
        <w:jc w:val="both"/>
      </w:pPr>
      <w:r w:rsidRPr="001F1F87">
        <w:rPr>
          <w:u w:val="single"/>
        </w:rPr>
        <w:t>Vitamīns B</w:t>
      </w:r>
      <w:r w:rsidR="00A151C7" w:rsidRPr="001F1F87">
        <w:rPr>
          <w:u w:val="single"/>
          <w:vertAlign w:val="subscript"/>
        </w:rPr>
        <w:t>1</w:t>
      </w:r>
      <w:r w:rsidRPr="00F47117">
        <w:t>: Izteiktas pārdozēšanas gadījumā (ar vairāk nekā 10 g B</w:t>
      </w:r>
      <w:r w:rsidR="00A151C7" w:rsidRPr="00F47117">
        <w:rPr>
          <w:vertAlign w:val="subscript"/>
        </w:rPr>
        <w:t>1</w:t>
      </w:r>
      <w:r w:rsidRPr="00F47117">
        <w:t xml:space="preserve"> vitamīna) ir konstatēta nervu paralīze (kurārei līdzīga). Vispārējo traucējumu ārstēšana ir simptomātiska. </w:t>
      </w:r>
    </w:p>
    <w:p w14:paraId="4E9EDBA4" w14:textId="77777777" w:rsidR="009947CB" w:rsidRPr="00F47117" w:rsidRDefault="009947CB" w:rsidP="00F47117">
      <w:pPr>
        <w:pStyle w:val="CM12"/>
        <w:contextualSpacing/>
        <w:jc w:val="both"/>
      </w:pPr>
      <w:r w:rsidRPr="00F47117">
        <w:rPr>
          <w:u w:val="single"/>
        </w:rPr>
        <w:t>Vitamīns B</w:t>
      </w:r>
      <w:r w:rsidR="00A151C7" w:rsidRPr="00F47117">
        <w:rPr>
          <w:u w:val="single"/>
          <w:vertAlign w:val="subscript"/>
        </w:rPr>
        <w:t>6</w:t>
      </w:r>
      <w:r w:rsidRPr="001F1F87">
        <w:t xml:space="preserve">: </w:t>
      </w:r>
      <w:r w:rsidRPr="00F47117">
        <w:t>B</w:t>
      </w:r>
      <w:r w:rsidR="00A151C7" w:rsidRPr="00F47117">
        <w:rPr>
          <w:vertAlign w:val="subscript"/>
        </w:rPr>
        <w:t>6</w:t>
      </w:r>
      <w:r w:rsidRPr="00F47117">
        <w:t xml:space="preserve"> vitamīna pārdozēšana izpaužas galvenokārt ar nervu sistēmas traucējumiem, kā rezultātā novēro jušanas problēmas (sensoriska polineiropātija). Tas var izpausties kā muskuļu kustību koordinācijas traucējumi (ataksija). Ārkārtīgi lielas devas var izraisīt krampjus. </w:t>
      </w:r>
    </w:p>
    <w:p w14:paraId="3F5D11FF" w14:textId="77777777" w:rsidR="009947CB" w:rsidRPr="00F47117" w:rsidRDefault="009947CB" w:rsidP="00C73231">
      <w:pPr>
        <w:pStyle w:val="CM11"/>
        <w:contextualSpacing/>
        <w:jc w:val="both"/>
      </w:pPr>
      <w:r w:rsidRPr="00F47117">
        <w:t>Ja akūti ir ievadītas B</w:t>
      </w:r>
      <w:r w:rsidR="00A151C7" w:rsidRPr="00F47117">
        <w:rPr>
          <w:vertAlign w:val="subscript"/>
        </w:rPr>
        <w:t>6</w:t>
      </w:r>
      <w:r w:rsidRPr="00F47117">
        <w:t xml:space="preserve"> vitamīna devas, kas pārsniedz 150 mg/kg ķermeņa masas, vajadzības gadījumā nepieciešami intensīvās terapijas pasākumi. </w:t>
      </w:r>
    </w:p>
    <w:p w14:paraId="7088414B" w14:textId="77777777" w:rsidR="001670A4" w:rsidRDefault="009947CB" w:rsidP="001F1F87">
      <w:pPr>
        <w:pStyle w:val="CM12"/>
        <w:contextualSpacing/>
        <w:jc w:val="both"/>
      </w:pPr>
      <w:r w:rsidRPr="00F47117">
        <w:rPr>
          <w:b/>
          <w:bCs/>
        </w:rPr>
        <w:t xml:space="preserve">Ja esat aizmirsis lietot </w:t>
      </w:r>
      <w:r w:rsidR="004F0A1D" w:rsidRPr="00F47117">
        <w:rPr>
          <w:b/>
        </w:rPr>
        <w:t>Milgamma</w:t>
      </w:r>
      <w:r w:rsidRPr="00F47117">
        <w:rPr>
          <w:b/>
          <w:bCs/>
        </w:rPr>
        <w:t xml:space="preserve">NA Injekt </w:t>
      </w:r>
    </w:p>
    <w:p w14:paraId="363DDC66" w14:textId="77777777" w:rsidR="009947CB" w:rsidRPr="00F47117" w:rsidRDefault="009947CB" w:rsidP="001F1F87">
      <w:pPr>
        <w:pStyle w:val="CM12"/>
        <w:contextualSpacing/>
        <w:jc w:val="both"/>
      </w:pPr>
      <w:r w:rsidRPr="00F47117">
        <w:t xml:space="preserve">Nelietojiet dubultu devu, lai aizvietotu aizmirsto devu. </w:t>
      </w:r>
    </w:p>
    <w:p w14:paraId="7E3CFC28" w14:textId="77777777" w:rsidR="009947CB" w:rsidRPr="00F47117" w:rsidRDefault="009947CB" w:rsidP="00C73231">
      <w:pPr>
        <w:pStyle w:val="CM10"/>
        <w:contextualSpacing/>
        <w:jc w:val="both"/>
      </w:pPr>
      <w:r w:rsidRPr="00F47117">
        <w:t>Ja Jums ir kādi par š</w:t>
      </w:r>
      <w:r w:rsidR="005D1F74">
        <w:t>o zāļu</w:t>
      </w:r>
      <w:r w:rsidRPr="00F47117">
        <w:t xml:space="preserve"> lietošanu, jautājiet ārstam vai farmaceitam.  </w:t>
      </w:r>
    </w:p>
    <w:p w14:paraId="04A29933" w14:textId="77777777" w:rsidR="004F0A1D" w:rsidRPr="00F47117" w:rsidRDefault="004F0A1D" w:rsidP="00C73231">
      <w:pPr>
        <w:pStyle w:val="CM10"/>
        <w:contextualSpacing/>
        <w:jc w:val="both"/>
        <w:rPr>
          <w:b/>
          <w:bCs/>
        </w:rPr>
      </w:pPr>
    </w:p>
    <w:p w14:paraId="6CDBE702" w14:textId="77777777" w:rsidR="00F47117" w:rsidRDefault="00F47117" w:rsidP="00C73231">
      <w:pPr>
        <w:pStyle w:val="CM10"/>
        <w:contextualSpacing/>
        <w:jc w:val="both"/>
        <w:rPr>
          <w:b/>
          <w:bCs/>
        </w:rPr>
      </w:pPr>
    </w:p>
    <w:p w14:paraId="4B3A1B61" w14:textId="77777777" w:rsidR="009947CB" w:rsidRPr="00F47117" w:rsidRDefault="009947CB" w:rsidP="00C73231">
      <w:pPr>
        <w:pStyle w:val="CM10"/>
        <w:contextualSpacing/>
        <w:jc w:val="both"/>
      </w:pPr>
      <w:r w:rsidRPr="00F47117">
        <w:rPr>
          <w:b/>
          <w:bCs/>
        </w:rPr>
        <w:t xml:space="preserve">4. </w:t>
      </w:r>
      <w:r w:rsidR="00807871" w:rsidRPr="00F47117">
        <w:rPr>
          <w:b/>
          <w:bCs/>
        </w:rPr>
        <w:t>Iespējamās blakusparādības</w:t>
      </w:r>
      <w:r w:rsidRPr="00F47117">
        <w:rPr>
          <w:b/>
          <w:bCs/>
        </w:rPr>
        <w:t xml:space="preserve"> </w:t>
      </w:r>
    </w:p>
    <w:p w14:paraId="0F39488F" w14:textId="77777777" w:rsidR="009947CB" w:rsidRPr="00F47117" w:rsidRDefault="009947CB" w:rsidP="00F47117">
      <w:pPr>
        <w:pStyle w:val="CM11"/>
        <w:contextualSpacing/>
        <w:jc w:val="both"/>
      </w:pPr>
      <w:r w:rsidRPr="00F47117">
        <w:t xml:space="preserve">Tāpat kā citas zāles, </w:t>
      </w:r>
      <w:r w:rsidR="004F0A1D" w:rsidRPr="00F47117">
        <w:t>Milgamma</w:t>
      </w:r>
      <w:r w:rsidR="00A151C7" w:rsidRPr="00F47117">
        <w:t xml:space="preserve"> </w:t>
      </w:r>
      <w:r w:rsidRPr="00F47117">
        <w:t>NA Injekt var izraisīt blakusparādības, kaut arī ne visiem tās izpaužas. Blakusparādību novērtēšanā izmantots šāds sastopamības biežums: Ļoti bieži (≥1/10)</w:t>
      </w:r>
      <w:r w:rsidR="00F47117">
        <w:t>;</w:t>
      </w:r>
      <w:r w:rsidRPr="00F47117">
        <w:t xml:space="preserve"> Bieži (≥1/100 līdz &lt;1/10)</w:t>
      </w:r>
      <w:r w:rsidR="00F47117">
        <w:t>;</w:t>
      </w:r>
      <w:r w:rsidRPr="00F47117">
        <w:t xml:space="preserve"> Retāk (≥1/1 000 līdz &lt;1/100)</w:t>
      </w:r>
      <w:r w:rsidR="00F47117">
        <w:t>;</w:t>
      </w:r>
      <w:r w:rsidRPr="00F47117">
        <w:t xml:space="preserve"> Reti (≥1/10 000 līdz &lt;1/1 000)</w:t>
      </w:r>
      <w:r w:rsidR="00F47117">
        <w:t>;</w:t>
      </w:r>
      <w:r w:rsidRPr="00F47117">
        <w:t xml:space="preserve"> Ļoti reti (&lt;1/10 000)</w:t>
      </w:r>
      <w:r w:rsidR="00F47117">
        <w:t>;</w:t>
      </w:r>
      <w:r w:rsidRPr="00F47117">
        <w:t xml:space="preserve"> biežums nav zināms (nevar </w:t>
      </w:r>
      <w:r w:rsidR="005D1F74">
        <w:t xml:space="preserve">noteikt pēc </w:t>
      </w:r>
      <w:r w:rsidRPr="00F47117">
        <w:t>pieejamiem datiem)</w:t>
      </w:r>
      <w:r w:rsidR="00F47117">
        <w:t>.</w:t>
      </w:r>
    </w:p>
    <w:p w14:paraId="23A15424" w14:textId="77777777" w:rsidR="009947CB" w:rsidRPr="00F47117" w:rsidRDefault="009947CB" w:rsidP="00C73231">
      <w:pPr>
        <w:pStyle w:val="CM11"/>
        <w:contextualSpacing/>
        <w:jc w:val="both"/>
      </w:pPr>
      <w:r w:rsidRPr="00F47117">
        <w:t xml:space="preserve">Nozīmīgākās nevēlamās blakusparādības, kas </w:t>
      </w:r>
      <w:r w:rsidR="005D1F74">
        <w:t>novērotas,</w:t>
      </w:r>
      <w:r w:rsidRPr="00F47117">
        <w:t xml:space="preserve"> un pasākumi, ja </w:t>
      </w:r>
      <w:r w:rsidR="005D1F74">
        <w:t xml:space="preserve">tās </w:t>
      </w:r>
      <w:r w:rsidRPr="00F47117">
        <w:t xml:space="preserve">Jūs skar: </w:t>
      </w:r>
    </w:p>
    <w:tbl>
      <w:tblPr>
        <w:tblStyle w:val="TableGrid1"/>
        <w:tblW w:w="0" w:type="auto"/>
        <w:tblLook w:val="04A0" w:firstRow="1" w:lastRow="0" w:firstColumn="1" w:lastColumn="0" w:noHBand="0" w:noVBand="1"/>
      </w:tblPr>
      <w:tblGrid>
        <w:gridCol w:w="1809"/>
        <w:gridCol w:w="1985"/>
        <w:gridCol w:w="4728"/>
      </w:tblGrid>
      <w:tr w:rsidR="000E053D" w:rsidRPr="00F47117" w14:paraId="6B846973" w14:textId="77777777" w:rsidTr="00B97054">
        <w:tc>
          <w:tcPr>
            <w:tcW w:w="1809" w:type="dxa"/>
          </w:tcPr>
          <w:p w14:paraId="7F25B9C6" w14:textId="77777777" w:rsidR="000E053D" w:rsidRPr="00F47117" w:rsidRDefault="000E053D" w:rsidP="000E053D">
            <w:pPr>
              <w:rPr>
                <w:rFonts w:ascii="Times New Roman" w:hAnsi="Times New Roman"/>
                <w:sz w:val="24"/>
                <w:szCs w:val="24"/>
              </w:rPr>
            </w:pPr>
            <w:r w:rsidRPr="00F47117">
              <w:rPr>
                <w:rFonts w:ascii="Times New Roman" w:hAnsi="Times New Roman"/>
                <w:sz w:val="24"/>
                <w:szCs w:val="24"/>
              </w:rPr>
              <w:t>Nervu sistēmas traucējumi</w:t>
            </w:r>
          </w:p>
        </w:tc>
        <w:tc>
          <w:tcPr>
            <w:tcW w:w="1985" w:type="dxa"/>
          </w:tcPr>
          <w:p w14:paraId="6554D2D2" w14:textId="77777777" w:rsidR="000E053D" w:rsidRPr="00F47117" w:rsidRDefault="000E053D" w:rsidP="000E053D">
            <w:pPr>
              <w:rPr>
                <w:rFonts w:ascii="Times New Roman" w:hAnsi="Times New Roman"/>
                <w:sz w:val="24"/>
                <w:szCs w:val="24"/>
              </w:rPr>
            </w:pPr>
            <w:r w:rsidRPr="00F47117">
              <w:rPr>
                <w:rFonts w:ascii="Times New Roman" w:hAnsi="Times New Roman"/>
                <w:sz w:val="24"/>
                <w:szCs w:val="24"/>
              </w:rPr>
              <w:t>Biežums nav zināms</w:t>
            </w:r>
          </w:p>
        </w:tc>
        <w:tc>
          <w:tcPr>
            <w:tcW w:w="4728" w:type="dxa"/>
          </w:tcPr>
          <w:p w14:paraId="02289FBB" w14:textId="77777777" w:rsidR="000E053D" w:rsidRPr="00F47117" w:rsidRDefault="000E053D" w:rsidP="000E053D">
            <w:pPr>
              <w:rPr>
                <w:rFonts w:ascii="Times New Roman" w:hAnsi="Times New Roman"/>
                <w:sz w:val="24"/>
                <w:szCs w:val="24"/>
              </w:rPr>
            </w:pPr>
            <w:r w:rsidRPr="00F47117">
              <w:rPr>
                <w:rFonts w:ascii="Times New Roman" w:hAnsi="Times New Roman"/>
                <w:sz w:val="24"/>
                <w:szCs w:val="24"/>
              </w:rPr>
              <w:t>Perifēra sensoriska neiropātija (neiroloģiska slimība ar tirpšanu un skudriņu skraidīšanas saj</w:t>
            </w:r>
            <w:r w:rsidR="00D47F79">
              <w:rPr>
                <w:rFonts w:ascii="Times New Roman" w:hAnsi="Times New Roman"/>
                <w:sz w:val="24"/>
                <w:szCs w:val="24"/>
              </w:rPr>
              <w:t>ū</w:t>
            </w:r>
            <w:r w:rsidRPr="00F47117">
              <w:rPr>
                <w:rFonts w:ascii="Times New Roman" w:hAnsi="Times New Roman"/>
                <w:sz w:val="24"/>
                <w:szCs w:val="24"/>
              </w:rPr>
              <w:t>t</w:t>
            </w:r>
            <w:r w:rsidR="00D47F79">
              <w:rPr>
                <w:rFonts w:ascii="Times New Roman" w:hAnsi="Times New Roman"/>
                <w:sz w:val="24"/>
                <w:szCs w:val="24"/>
              </w:rPr>
              <w:t>u</w:t>
            </w:r>
            <w:r w:rsidRPr="00F47117">
              <w:rPr>
                <w:rFonts w:ascii="Times New Roman" w:hAnsi="Times New Roman"/>
                <w:sz w:val="24"/>
                <w:szCs w:val="24"/>
              </w:rPr>
              <w:t>), kas var rasties lietojot vitamīnu B</w:t>
            </w:r>
            <w:r w:rsidRPr="00F47117">
              <w:rPr>
                <w:rFonts w:ascii="Times New Roman" w:hAnsi="Times New Roman"/>
                <w:sz w:val="24"/>
                <w:szCs w:val="24"/>
                <w:vertAlign w:val="subscript"/>
              </w:rPr>
              <w:t xml:space="preserve">6 </w:t>
            </w:r>
            <w:r w:rsidRPr="00F47117">
              <w:rPr>
                <w:rFonts w:ascii="Times New Roman" w:hAnsi="Times New Roman"/>
                <w:sz w:val="24"/>
                <w:szCs w:val="24"/>
              </w:rPr>
              <w:t xml:space="preserve">vairāk par 200 mg dienā (skat. </w:t>
            </w:r>
            <w:r w:rsidR="005D1F74">
              <w:rPr>
                <w:rFonts w:ascii="Times New Roman" w:hAnsi="Times New Roman"/>
                <w:sz w:val="24"/>
                <w:szCs w:val="24"/>
              </w:rPr>
              <w:t>Ī</w:t>
            </w:r>
            <w:r w:rsidRPr="00F47117">
              <w:rPr>
                <w:rFonts w:ascii="Times New Roman" w:hAnsi="Times New Roman"/>
                <w:sz w:val="24"/>
                <w:szCs w:val="24"/>
              </w:rPr>
              <w:t>paša piesardzība, lietojot Milgamma NA Injekt)</w:t>
            </w:r>
          </w:p>
        </w:tc>
      </w:tr>
      <w:tr w:rsidR="000E053D" w:rsidRPr="00F47117" w14:paraId="00A843A7" w14:textId="77777777" w:rsidTr="00B97054">
        <w:tc>
          <w:tcPr>
            <w:tcW w:w="1809" w:type="dxa"/>
          </w:tcPr>
          <w:p w14:paraId="51CE5A8A" w14:textId="77777777" w:rsidR="000E053D" w:rsidRPr="00F47117" w:rsidRDefault="000E053D" w:rsidP="000E053D">
            <w:pPr>
              <w:rPr>
                <w:rFonts w:ascii="Times New Roman" w:hAnsi="Times New Roman"/>
                <w:sz w:val="24"/>
                <w:szCs w:val="24"/>
              </w:rPr>
            </w:pPr>
            <w:r w:rsidRPr="00F47117">
              <w:rPr>
                <w:rFonts w:ascii="Times New Roman" w:hAnsi="Times New Roman"/>
                <w:sz w:val="24"/>
                <w:szCs w:val="24"/>
              </w:rPr>
              <w:t>Imūnās sistēmas traucējumi</w:t>
            </w:r>
          </w:p>
        </w:tc>
        <w:tc>
          <w:tcPr>
            <w:tcW w:w="1985" w:type="dxa"/>
          </w:tcPr>
          <w:p w14:paraId="747430FA" w14:textId="77777777" w:rsidR="000E053D" w:rsidRPr="00F47117" w:rsidRDefault="000E053D" w:rsidP="000E053D">
            <w:pPr>
              <w:rPr>
                <w:rFonts w:ascii="Times New Roman" w:hAnsi="Times New Roman"/>
                <w:sz w:val="24"/>
                <w:szCs w:val="24"/>
              </w:rPr>
            </w:pPr>
            <w:r w:rsidRPr="00F47117">
              <w:rPr>
                <w:rFonts w:ascii="Times New Roman" w:hAnsi="Times New Roman"/>
                <w:sz w:val="24"/>
                <w:szCs w:val="24"/>
              </w:rPr>
              <w:t>Ļoti reti</w:t>
            </w:r>
          </w:p>
        </w:tc>
        <w:tc>
          <w:tcPr>
            <w:tcW w:w="4728" w:type="dxa"/>
          </w:tcPr>
          <w:p w14:paraId="2887E6A6" w14:textId="77777777" w:rsidR="000E053D" w:rsidRPr="00F47117" w:rsidRDefault="000E053D" w:rsidP="000E053D">
            <w:pPr>
              <w:rPr>
                <w:rFonts w:ascii="Times New Roman" w:hAnsi="Times New Roman"/>
                <w:sz w:val="24"/>
                <w:szCs w:val="24"/>
              </w:rPr>
            </w:pPr>
            <w:r w:rsidRPr="00F47117">
              <w:rPr>
                <w:rFonts w:ascii="Times New Roman" w:hAnsi="Times New Roman"/>
                <w:sz w:val="24"/>
                <w:szCs w:val="24"/>
              </w:rPr>
              <w:t>Paaugstinātas jutības reakcijas (svīšana, paātrināta sirdsdarbība, ādas reakcijas ar niezi un nātreni); šoks, izsitumi vai elp</w:t>
            </w:r>
            <w:r w:rsidR="00D47F79">
              <w:rPr>
                <w:rFonts w:ascii="Times New Roman" w:hAnsi="Times New Roman"/>
                <w:sz w:val="24"/>
                <w:szCs w:val="24"/>
              </w:rPr>
              <w:t>a</w:t>
            </w:r>
            <w:r w:rsidRPr="00F47117">
              <w:rPr>
                <w:rFonts w:ascii="Times New Roman" w:hAnsi="Times New Roman"/>
                <w:sz w:val="24"/>
                <w:szCs w:val="24"/>
              </w:rPr>
              <w:t xml:space="preserve">s trūkums (skat. </w:t>
            </w:r>
            <w:r w:rsidR="005D1F74">
              <w:rPr>
                <w:rFonts w:ascii="Times New Roman" w:hAnsi="Times New Roman"/>
                <w:sz w:val="24"/>
                <w:szCs w:val="24"/>
              </w:rPr>
              <w:t>Ī</w:t>
            </w:r>
            <w:r w:rsidRPr="00F47117">
              <w:rPr>
                <w:rFonts w:ascii="Times New Roman" w:hAnsi="Times New Roman"/>
                <w:sz w:val="24"/>
                <w:szCs w:val="24"/>
              </w:rPr>
              <w:t>paša piesardzība, lietojot Milgamma NA Injekt).</w:t>
            </w:r>
          </w:p>
        </w:tc>
      </w:tr>
    </w:tbl>
    <w:p w14:paraId="52380CDF" w14:textId="77777777" w:rsidR="000E053D" w:rsidRPr="00F410D5" w:rsidRDefault="000E053D" w:rsidP="000E053D">
      <w:pPr>
        <w:pStyle w:val="Default"/>
      </w:pPr>
    </w:p>
    <w:p w14:paraId="4B52B17C" w14:textId="77777777" w:rsidR="00931A75" w:rsidRPr="00445402" w:rsidRDefault="00931A75" w:rsidP="000E053D">
      <w:pPr>
        <w:pStyle w:val="Default"/>
      </w:pPr>
    </w:p>
    <w:p w14:paraId="3E6FCB9F" w14:textId="77777777" w:rsidR="005E4B30" w:rsidRPr="00F47117" w:rsidRDefault="005E4B30" w:rsidP="00C73231">
      <w:pPr>
        <w:pStyle w:val="NormalWeb"/>
        <w:spacing w:before="80" w:beforeAutospacing="0" w:after="0" w:afterAutospacing="0"/>
        <w:contextualSpacing/>
        <w:jc w:val="both"/>
      </w:pPr>
      <w:r w:rsidRPr="00F47117">
        <w:rPr>
          <w:color w:val="000000"/>
          <w:kern w:val="24"/>
          <w:u w:val="single"/>
        </w:rPr>
        <w:t>Ziņošana par blakusparādībām</w:t>
      </w:r>
    </w:p>
    <w:p w14:paraId="61E369FA" w14:textId="4E69136E" w:rsidR="005E4B30" w:rsidRPr="00F47117" w:rsidRDefault="005E4B30" w:rsidP="00C73231">
      <w:pPr>
        <w:pStyle w:val="NormalWeb"/>
        <w:spacing w:before="80" w:beforeAutospacing="0" w:after="0" w:afterAutospacing="0"/>
        <w:contextualSpacing/>
        <w:jc w:val="both"/>
      </w:pPr>
      <w:r w:rsidRPr="00F47117">
        <w:rPr>
          <w:color w:val="000000"/>
          <w:kern w:val="24"/>
        </w:rPr>
        <w:t>Ja Jums rodas jebkādas blakusparādības, konsultējieties ar ārstu vai farmaceitu, vai medmāsu. Tas attiecas arī uz iespējamajām blakusparādībām, kas nav minētas šajā instrukcijā. Jūs varat ziņot</w:t>
      </w:r>
      <w:r w:rsidR="000E053D" w:rsidRPr="00F47117">
        <w:rPr>
          <w:color w:val="000000"/>
          <w:kern w:val="24"/>
        </w:rPr>
        <w:t xml:space="preserve"> par blakusparādībām arī tieši </w:t>
      </w:r>
      <w:r w:rsidRPr="00F47117">
        <w:rPr>
          <w:color w:val="000000"/>
          <w:kern w:val="24"/>
        </w:rPr>
        <w:t>Zāļu valsts aģentūrai, Jersikas ielā</w:t>
      </w:r>
      <w:r w:rsidR="000E053D" w:rsidRPr="00F47117">
        <w:rPr>
          <w:color w:val="000000"/>
          <w:kern w:val="24"/>
        </w:rPr>
        <w:t xml:space="preserve"> </w:t>
      </w:r>
      <w:r w:rsidRPr="00F47117">
        <w:rPr>
          <w:color w:val="000000"/>
          <w:kern w:val="24"/>
        </w:rPr>
        <w:t>15, Rīgā, LV</w:t>
      </w:r>
      <w:r w:rsidR="00B02069">
        <w:rPr>
          <w:color w:val="000000"/>
          <w:kern w:val="24"/>
        </w:rPr>
        <w:t>-</w:t>
      </w:r>
      <w:r w:rsidRPr="00F47117">
        <w:rPr>
          <w:color w:val="000000"/>
          <w:kern w:val="24"/>
        </w:rPr>
        <w:t xml:space="preserve">1003. Tālr.: +371 67078400; Fakss: +371 67078428. Tīmekļa vietne: </w:t>
      </w:r>
      <w:hyperlink r:id="rId7" w:history="1">
        <w:r w:rsidRPr="00F47117">
          <w:rPr>
            <w:rStyle w:val="Hyperlink"/>
            <w:color w:val="000000"/>
            <w:kern w:val="24"/>
          </w:rPr>
          <w:t>www.zva.gov.lv</w:t>
        </w:r>
      </w:hyperlink>
      <w:r w:rsidRPr="00F47117">
        <w:rPr>
          <w:color w:val="000000"/>
          <w:kern w:val="24"/>
        </w:rPr>
        <w:t xml:space="preserve">. </w:t>
      </w:r>
    </w:p>
    <w:p w14:paraId="6C658624" w14:textId="77777777" w:rsidR="005E4B30" w:rsidRPr="00F47117" w:rsidRDefault="005E4B30" w:rsidP="00C73231">
      <w:pPr>
        <w:pStyle w:val="NormalWeb"/>
        <w:spacing w:before="80" w:beforeAutospacing="0" w:after="0" w:afterAutospacing="0"/>
        <w:contextualSpacing/>
        <w:jc w:val="both"/>
      </w:pPr>
      <w:r w:rsidRPr="00F47117">
        <w:rPr>
          <w:color w:val="000000"/>
          <w:kern w:val="24"/>
        </w:rPr>
        <w:t>Ziņojot par blakusparādībām, Jūs varat palīdzēt nodrošināt daudz plašāku informāciju par šo zāļu drošumu.</w:t>
      </w:r>
    </w:p>
    <w:p w14:paraId="0DD8099E" w14:textId="77777777" w:rsidR="000B5DA1" w:rsidRDefault="000B5DA1" w:rsidP="00C73231">
      <w:pPr>
        <w:pStyle w:val="Default"/>
        <w:contextualSpacing/>
        <w:jc w:val="both"/>
      </w:pPr>
    </w:p>
    <w:p w14:paraId="33F5B3A9" w14:textId="77777777" w:rsidR="00F47117" w:rsidRPr="00F47117" w:rsidRDefault="00F47117" w:rsidP="00C73231">
      <w:pPr>
        <w:pStyle w:val="Default"/>
        <w:contextualSpacing/>
        <w:jc w:val="both"/>
      </w:pPr>
    </w:p>
    <w:p w14:paraId="73FA3C3F" w14:textId="77777777" w:rsidR="009947CB" w:rsidRPr="00F47117" w:rsidRDefault="009947CB" w:rsidP="00C73231">
      <w:pPr>
        <w:pStyle w:val="CM9"/>
        <w:contextualSpacing/>
        <w:jc w:val="both"/>
      </w:pPr>
      <w:r w:rsidRPr="00F47117">
        <w:rPr>
          <w:b/>
          <w:bCs/>
        </w:rPr>
        <w:t xml:space="preserve">5. </w:t>
      </w:r>
      <w:r w:rsidR="00807871" w:rsidRPr="00F47117">
        <w:rPr>
          <w:b/>
          <w:bCs/>
        </w:rPr>
        <w:t xml:space="preserve">Kā uzglabāt </w:t>
      </w:r>
      <w:r w:rsidR="00807871" w:rsidRPr="00F47117">
        <w:rPr>
          <w:b/>
        </w:rPr>
        <w:t>Milgamma NA Injekt</w:t>
      </w:r>
      <w:r w:rsidR="00807871" w:rsidRPr="00F47117">
        <w:t xml:space="preserve"> </w:t>
      </w:r>
    </w:p>
    <w:p w14:paraId="61E645A1" w14:textId="301B427F" w:rsidR="009947CB" w:rsidRDefault="009947CB" w:rsidP="00C73231">
      <w:pPr>
        <w:pStyle w:val="CM10"/>
        <w:contextualSpacing/>
        <w:jc w:val="both"/>
      </w:pPr>
      <w:r w:rsidRPr="00F47117">
        <w:t>Uzglabāt</w:t>
      </w:r>
      <w:r w:rsidR="00807871" w:rsidRPr="00F47117">
        <w:t xml:space="preserve"> šīs zāles</w:t>
      </w:r>
      <w:r w:rsidRPr="00F47117">
        <w:t xml:space="preserve"> bērniem</w:t>
      </w:r>
      <w:r w:rsidR="00BD795C">
        <w:t xml:space="preserve"> </w:t>
      </w:r>
      <w:r w:rsidR="00BD795C" w:rsidRPr="00F47117">
        <w:t>neredzamā</w:t>
      </w:r>
      <w:r w:rsidRPr="00F47117">
        <w:t xml:space="preserve"> un </w:t>
      </w:r>
      <w:r w:rsidR="00BD795C" w:rsidRPr="00F47117">
        <w:t xml:space="preserve">nepieejamā </w:t>
      </w:r>
      <w:r w:rsidRPr="00F47117">
        <w:t xml:space="preserve">vietā. </w:t>
      </w:r>
    </w:p>
    <w:p w14:paraId="20D2CC51" w14:textId="77777777" w:rsidR="00B02069" w:rsidRPr="00B02069" w:rsidRDefault="00B02069" w:rsidP="00B02069">
      <w:pPr>
        <w:pStyle w:val="Default"/>
      </w:pPr>
    </w:p>
    <w:p w14:paraId="5A0A1E5C" w14:textId="77777777" w:rsidR="00F47117" w:rsidRDefault="009947CB" w:rsidP="00C73231">
      <w:pPr>
        <w:pStyle w:val="CM10"/>
        <w:contextualSpacing/>
        <w:jc w:val="both"/>
        <w:rPr>
          <w:b/>
          <w:bCs/>
        </w:rPr>
      </w:pPr>
      <w:r w:rsidRPr="00F47117">
        <w:t xml:space="preserve">Nelietot </w:t>
      </w:r>
      <w:r w:rsidR="00807871" w:rsidRPr="00F47117">
        <w:t xml:space="preserve">šīs zāles </w:t>
      </w:r>
      <w:r w:rsidRPr="00F47117">
        <w:t xml:space="preserve">pēc derīguma termiņa beigām, kas norādīts uz </w:t>
      </w:r>
      <w:r w:rsidR="00AB0710">
        <w:t>marķējuma</w:t>
      </w:r>
      <w:r w:rsidR="00FA21F6" w:rsidRPr="00FA21F6">
        <w:t xml:space="preserve"> </w:t>
      </w:r>
      <w:r w:rsidR="00FA21F6">
        <w:t>pēc EXP</w:t>
      </w:r>
      <w:r w:rsidRPr="00F47117">
        <w:t xml:space="preserve">. Derīguma termiņš attiecas uz norādītā mēneša pēdējo dienu. </w:t>
      </w:r>
    </w:p>
    <w:p w14:paraId="513B8657" w14:textId="77777777" w:rsidR="00F47117" w:rsidRDefault="00F47117" w:rsidP="00C73231">
      <w:pPr>
        <w:pStyle w:val="CM10"/>
        <w:contextualSpacing/>
        <w:jc w:val="both"/>
        <w:rPr>
          <w:b/>
          <w:bCs/>
        </w:rPr>
      </w:pPr>
    </w:p>
    <w:p w14:paraId="739D860D" w14:textId="77777777" w:rsidR="009947CB" w:rsidRPr="00F47117" w:rsidRDefault="009947CB" w:rsidP="00C73231">
      <w:pPr>
        <w:pStyle w:val="CM10"/>
        <w:contextualSpacing/>
        <w:jc w:val="both"/>
      </w:pPr>
      <w:r w:rsidRPr="00F47117">
        <w:rPr>
          <w:b/>
          <w:bCs/>
        </w:rPr>
        <w:t xml:space="preserve">Īpaši uzglabāšanas norādījumi </w:t>
      </w:r>
    </w:p>
    <w:p w14:paraId="7D2CA7BD" w14:textId="77777777" w:rsidR="009947CB" w:rsidRDefault="009947CB" w:rsidP="00C73231">
      <w:pPr>
        <w:pStyle w:val="CM10"/>
        <w:contextualSpacing/>
        <w:jc w:val="both"/>
      </w:pPr>
      <w:r w:rsidRPr="00F47117">
        <w:t xml:space="preserve">Uzglabāt </w:t>
      </w:r>
      <w:r w:rsidR="00985B02">
        <w:t>ledusskapī</w:t>
      </w:r>
      <w:r w:rsidR="00A151C7" w:rsidRPr="00F47117">
        <w:t xml:space="preserve"> </w:t>
      </w:r>
      <w:r w:rsidR="00985B02">
        <w:t>(</w:t>
      </w:r>
      <w:r w:rsidR="00A151C7" w:rsidRPr="00F47117">
        <w:t>2°</w:t>
      </w:r>
      <w:r w:rsidR="00985B02">
        <w:t xml:space="preserve">C </w:t>
      </w:r>
      <w:r w:rsidR="00A151C7" w:rsidRPr="00F47117">
        <w:t>-</w:t>
      </w:r>
      <w:r w:rsidR="00985B02">
        <w:t xml:space="preserve"> </w:t>
      </w:r>
      <w:r w:rsidR="00A151C7" w:rsidRPr="00F47117">
        <w:t>8°</w:t>
      </w:r>
      <w:r w:rsidRPr="00F47117">
        <w:t>C</w:t>
      </w:r>
      <w:r w:rsidR="00985B02">
        <w:t>).</w:t>
      </w:r>
      <w:r w:rsidRPr="00F47117">
        <w:t xml:space="preserve"> </w:t>
      </w:r>
      <w:r w:rsidR="00985B02">
        <w:t xml:space="preserve">Uzglabāt oriģinālā </w:t>
      </w:r>
      <w:r w:rsidRPr="00F47117">
        <w:t>iepakojumā</w:t>
      </w:r>
      <w:r w:rsidR="00985B02">
        <w:t>.</w:t>
      </w:r>
      <w:r w:rsidRPr="00F47117">
        <w:t xml:space="preserve"> </w:t>
      </w:r>
      <w:r w:rsidR="00985B02">
        <w:t>S</w:t>
      </w:r>
      <w:r w:rsidRPr="00F47117">
        <w:t xml:space="preserve">argāt no gaismas. </w:t>
      </w:r>
    </w:p>
    <w:p w14:paraId="352C0A27" w14:textId="77777777" w:rsidR="00F47117" w:rsidRPr="00F47117" w:rsidRDefault="00F47117" w:rsidP="00F47117">
      <w:pPr>
        <w:pStyle w:val="Default"/>
      </w:pPr>
    </w:p>
    <w:p w14:paraId="758E43D2" w14:textId="77777777" w:rsidR="009947CB" w:rsidRPr="00F47117" w:rsidRDefault="009947CB" w:rsidP="00C73231">
      <w:pPr>
        <w:pStyle w:val="CM9"/>
        <w:contextualSpacing/>
        <w:jc w:val="both"/>
      </w:pPr>
      <w:r w:rsidRPr="00F47117">
        <w:rPr>
          <w:b/>
          <w:bCs/>
        </w:rPr>
        <w:t xml:space="preserve">6. </w:t>
      </w:r>
      <w:r w:rsidR="00807871" w:rsidRPr="00F47117">
        <w:rPr>
          <w:b/>
          <w:bCs/>
        </w:rPr>
        <w:t>Iepakojuma saturs un cita informācija</w:t>
      </w:r>
    </w:p>
    <w:p w14:paraId="6DCCBE55" w14:textId="77777777" w:rsidR="00355C13" w:rsidRDefault="009947CB" w:rsidP="00F47117">
      <w:pPr>
        <w:pStyle w:val="CM10"/>
        <w:contextualSpacing/>
        <w:jc w:val="both"/>
        <w:rPr>
          <w:b/>
          <w:bCs/>
        </w:rPr>
      </w:pPr>
      <w:r w:rsidRPr="00F47117">
        <w:rPr>
          <w:b/>
          <w:bCs/>
        </w:rPr>
        <w:t>Ko</w:t>
      </w:r>
      <w:r w:rsidR="00807871" w:rsidRPr="00F47117">
        <w:rPr>
          <w:b/>
        </w:rPr>
        <w:t xml:space="preserve"> Milgamma </w:t>
      </w:r>
      <w:r w:rsidRPr="00F47117">
        <w:rPr>
          <w:b/>
          <w:bCs/>
        </w:rPr>
        <w:t xml:space="preserve">NA Injekt satur </w:t>
      </w:r>
    </w:p>
    <w:p w14:paraId="62AEA435" w14:textId="77777777" w:rsidR="00355C13" w:rsidRDefault="009947CB" w:rsidP="00F47117">
      <w:pPr>
        <w:pStyle w:val="CM10"/>
        <w:contextualSpacing/>
        <w:jc w:val="both"/>
      </w:pPr>
      <w:r w:rsidRPr="00F47117">
        <w:t xml:space="preserve">Aktīvā viela: 1 ampula (1 ml) </w:t>
      </w:r>
      <w:r w:rsidR="00A151C7" w:rsidRPr="00F47117">
        <w:t>Milgamma</w:t>
      </w:r>
      <w:r w:rsidR="00A151C7" w:rsidRPr="00F47117">
        <w:rPr>
          <w:vertAlign w:val="superscript"/>
        </w:rPr>
        <w:t xml:space="preserve"> </w:t>
      </w:r>
      <w:r w:rsidR="00A151C7" w:rsidRPr="00F47117">
        <w:rPr>
          <w:bCs/>
        </w:rPr>
        <w:t>NA Injekt</w:t>
      </w:r>
      <w:r w:rsidR="00A151C7" w:rsidRPr="00F47117">
        <w:rPr>
          <w:b/>
          <w:bCs/>
        </w:rPr>
        <w:t xml:space="preserve"> </w:t>
      </w:r>
      <w:r w:rsidRPr="00F47117">
        <w:t>satur: 100 mg tiamīna hidrohlorīda (B</w:t>
      </w:r>
      <w:r w:rsidR="00807871" w:rsidRPr="00F47117">
        <w:rPr>
          <w:vertAlign w:val="subscript"/>
        </w:rPr>
        <w:t>1</w:t>
      </w:r>
      <w:r w:rsidRPr="00F47117">
        <w:t xml:space="preserve"> vitamīna)</w:t>
      </w:r>
      <w:r w:rsidR="000E053D" w:rsidRPr="00F47117">
        <w:t>,</w:t>
      </w:r>
      <w:r w:rsidRPr="00F47117">
        <w:t xml:space="preserve"> 50 mg piridoksīna hidrohlorīda (B</w:t>
      </w:r>
      <w:r w:rsidR="00807871" w:rsidRPr="00F47117">
        <w:rPr>
          <w:vertAlign w:val="subscript"/>
        </w:rPr>
        <w:t>6</w:t>
      </w:r>
      <w:r w:rsidRPr="00F47117">
        <w:t xml:space="preserve"> vitamīna)</w:t>
      </w:r>
      <w:r w:rsidR="00F47117">
        <w:t>.</w:t>
      </w:r>
      <w:r w:rsidRPr="00F47117">
        <w:t xml:space="preserve"> </w:t>
      </w:r>
    </w:p>
    <w:p w14:paraId="60DE83A8" w14:textId="77777777" w:rsidR="009947CB" w:rsidRPr="00F47117" w:rsidRDefault="009947CB" w:rsidP="00F47117">
      <w:pPr>
        <w:pStyle w:val="CM10"/>
        <w:contextualSpacing/>
        <w:jc w:val="both"/>
      </w:pPr>
      <w:r w:rsidRPr="00F47117">
        <w:t xml:space="preserve">Citas sastāvdaļas ir: </w:t>
      </w:r>
      <w:r w:rsidR="000E053D" w:rsidRPr="00F47117">
        <w:t>v</w:t>
      </w:r>
      <w:r w:rsidRPr="00F47117">
        <w:t>īnskābe, ūdens injekcijām</w:t>
      </w:r>
      <w:r w:rsidR="00F47117">
        <w:t>.</w:t>
      </w:r>
      <w:r w:rsidRPr="00F47117">
        <w:t xml:space="preserve"> </w:t>
      </w:r>
    </w:p>
    <w:p w14:paraId="536DAE47" w14:textId="77777777" w:rsidR="009947CB" w:rsidRPr="00F410D5" w:rsidRDefault="00807871" w:rsidP="00C73231">
      <w:pPr>
        <w:pStyle w:val="CM8"/>
        <w:spacing w:line="240" w:lineRule="auto"/>
        <w:contextualSpacing/>
        <w:jc w:val="both"/>
      </w:pPr>
      <w:r w:rsidRPr="00F410D5">
        <w:rPr>
          <w:b/>
        </w:rPr>
        <w:t>Milgamma</w:t>
      </w:r>
      <w:r w:rsidR="009947CB" w:rsidRPr="00F410D5">
        <w:rPr>
          <w:b/>
          <w:bCs/>
        </w:rPr>
        <w:t xml:space="preserve">NA Injekt ārējais izskats un iepakojums </w:t>
      </w:r>
    </w:p>
    <w:p w14:paraId="31C3C95D" w14:textId="77777777" w:rsidR="009947CB" w:rsidRPr="00F410D5" w:rsidRDefault="009947CB" w:rsidP="00C73231">
      <w:pPr>
        <w:pStyle w:val="CM9"/>
        <w:contextualSpacing/>
        <w:jc w:val="both"/>
      </w:pPr>
      <w:r w:rsidRPr="00F410D5">
        <w:t>5 x 1 ml ampulas</w:t>
      </w:r>
      <w:r w:rsidR="000E053D" w:rsidRPr="00F410D5">
        <w:t>;</w:t>
      </w:r>
      <w:r w:rsidRPr="00F410D5">
        <w:t xml:space="preserve"> 10 x 1 ml ampulas</w:t>
      </w:r>
      <w:r w:rsidR="000E053D" w:rsidRPr="00F410D5">
        <w:t>;</w:t>
      </w:r>
      <w:r w:rsidRPr="00F410D5">
        <w:t xml:space="preserve"> 20 x 1 ml ampulas</w:t>
      </w:r>
      <w:r w:rsidR="000E053D" w:rsidRPr="00F410D5">
        <w:t>;</w:t>
      </w:r>
      <w:r w:rsidRPr="00F410D5">
        <w:t xml:space="preserve"> 100 x1 ml ampulas</w:t>
      </w:r>
      <w:r w:rsidR="000E053D" w:rsidRPr="00F410D5">
        <w:t>;</w:t>
      </w:r>
      <w:r w:rsidRPr="00F410D5">
        <w:t xml:space="preserve"> 500 x1 ml ampulas</w:t>
      </w:r>
      <w:r w:rsidR="00807871" w:rsidRPr="00F410D5">
        <w:t>.</w:t>
      </w:r>
      <w:r w:rsidRPr="00F410D5">
        <w:t xml:space="preserve"> Visi iepakojuma lielumi tirgū var nebūt pieejami. </w:t>
      </w:r>
    </w:p>
    <w:p w14:paraId="3F10BA05" w14:textId="77777777" w:rsidR="001670A4" w:rsidRDefault="009947CB" w:rsidP="001F1F87">
      <w:pPr>
        <w:pStyle w:val="CM10"/>
        <w:contextualSpacing/>
        <w:jc w:val="both"/>
      </w:pPr>
      <w:r w:rsidRPr="00F410D5">
        <w:rPr>
          <w:b/>
          <w:bCs/>
        </w:rPr>
        <w:t>Reģistrācijas apliecības īpašnieks</w:t>
      </w:r>
      <w:r w:rsidR="001670A4">
        <w:rPr>
          <w:b/>
          <w:bCs/>
        </w:rPr>
        <w:t>:</w:t>
      </w:r>
    </w:p>
    <w:p w14:paraId="7FBD255C" w14:textId="77777777" w:rsidR="001670A4" w:rsidRDefault="009947CB" w:rsidP="001F1F87">
      <w:pPr>
        <w:pStyle w:val="CM10"/>
        <w:contextualSpacing/>
        <w:jc w:val="both"/>
      </w:pPr>
      <w:r w:rsidRPr="00F410D5">
        <w:t xml:space="preserve">Wörwag Pharma GmbH &amp; Co. KG </w:t>
      </w:r>
    </w:p>
    <w:p w14:paraId="164F2892" w14:textId="520D09AC" w:rsidR="001670A4" w:rsidRDefault="006F0893" w:rsidP="001F1F87">
      <w:pPr>
        <w:pStyle w:val="CM10"/>
        <w:contextualSpacing/>
        <w:jc w:val="both"/>
        <w:rPr>
          <w:sz w:val="22"/>
          <w:lang w:val="et-EE" w:eastAsia="en-US"/>
        </w:rPr>
      </w:pPr>
      <w:r w:rsidRPr="0093675C">
        <w:rPr>
          <w:sz w:val="22"/>
          <w:lang w:val="et-EE" w:eastAsia="en-US"/>
        </w:rPr>
        <w:t>Flugfeld-Allee 24</w:t>
      </w:r>
    </w:p>
    <w:p w14:paraId="4F2B6A70" w14:textId="77777777" w:rsidR="00B02069" w:rsidRDefault="009947CB" w:rsidP="001F1F87">
      <w:pPr>
        <w:pStyle w:val="CM10"/>
        <w:contextualSpacing/>
        <w:jc w:val="both"/>
      </w:pPr>
      <w:r w:rsidRPr="00F410D5">
        <w:t>71034 Böblingen</w:t>
      </w:r>
    </w:p>
    <w:p w14:paraId="75D41D1C" w14:textId="51D3757A" w:rsidR="001670A4" w:rsidRDefault="009947CB" w:rsidP="001F1F87">
      <w:pPr>
        <w:pStyle w:val="CM10"/>
        <w:contextualSpacing/>
        <w:jc w:val="both"/>
      </w:pPr>
      <w:r w:rsidRPr="00F410D5">
        <w:t>Vācija</w:t>
      </w:r>
    </w:p>
    <w:p w14:paraId="6E0C4132" w14:textId="77777777" w:rsidR="009947CB" w:rsidRPr="00F410D5" w:rsidRDefault="009947CB" w:rsidP="00C73231">
      <w:pPr>
        <w:pStyle w:val="CM5"/>
        <w:spacing w:line="240" w:lineRule="auto"/>
        <w:contextualSpacing/>
        <w:jc w:val="both"/>
      </w:pPr>
      <w:r w:rsidRPr="00F410D5">
        <w:rPr>
          <w:b/>
          <w:bCs/>
        </w:rPr>
        <w:t xml:space="preserve">Ražotājs </w:t>
      </w:r>
    </w:p>
    <w:p w14:paraId="672E02DD" w14:textId="4512642B" w:rsidR="009947CB" w:rsidRPr="00F410D5" w:rsidRDefault="009947CB" w:rsidP="00C73231">
      <w:pPr>
        <w:pStyle w:val="CM10"/>
        <w:contextualSpacing/>
        <w:jc w:val="both"/>
      </w:pPr>
      <w:r w:rsidRPr="00F410D5">
        <w:t>Solupharma Pharmazeutische Erzeugnisse GmbH Industriestrasse 3</w:t>
      </w:r>
      <w:r w:rsidR="00B02069">
        <w:t>,</w:t>
      </w:r>
      <w:r w:rsidRPr="00F410D5">
        <w:t xml:space="preserve"> 34212 Melsungen</w:t>
      </w:r>
      <w:r w:rsidR="001670A4">
        <w:t>,</w:t>
      </w:r>
      <w:r w:rsidRPr="00F410D5">
        <w:t xml:space="preserve"> Vācija </w:t>
      </w:r>
    </w:p>
    <w:p w14:paraId="6B30C11C" w14:textId="77777777" w:rsidR="00C235A0" w:rsidRPr="00F410D5" w:rsidRDefault="00C235A0" w:rsidP="00C73231">
      <w:pPr>
        <w:pStyle w:val="CM5"/>
        <w:spacing w:line="240" w:lineRule="auto"/>
        <w:contextualSpacing/>
        <w:jc w:val="both"/>
        <w:rPr>
          <w:b/>
          <w:bCs/>
        </w:rPr>
      </w:pPr>
      <w:r w:rsidRPr="00F410D5">
        <w:rPr>
          <w:b/>
          <w:bCs/>
        </w:rPr>
        <w:t>Lai saņemtu papil</w:t>
      </w:r>
      <w:r w:rsidR="004E4BC1">
        <w:rPr>
          <w:b/>
          <w:bCs/>
        </w:rPr>
        <w:t>d</w:t>
      </w:r>
      <w:r w:rsidRPr="00F410D5">
        <w:rPr>
          <w:b/>
          <w:bCs/>
        </w:rPr>
        <w:t>u informāciju par šīm zālēm, lūdzam sazināties ar reģistrācijas apliecības īpašnieka vietējo pārstāvniecību:</w:t>
      </w:r>
    </w:p>
    <w:p w14:paraId="486D2D6E" w14:textId="77777777" w:rsidR="002C3E84" w:rsidRPr="00F410D5" w:rsidRDefault="002C3E84" w:rsidP="00C73231">
      <w:pPr>
        <w:pStyle w:val="Default"/>
        <w:jc w:val="both"/>
      </w:pPr>
    </w:p>
    <w:p w14:paraId="1F74C249" w14:textId="36CEBE93" w:rsidR="002C3E84" w:rsidRPr="00F47117" w:rsidRDefault="002C3E84" w:rsidP="00C73231">
      <w:pPr>
        <w:widowControl w:val="0"/>
        <w:suppressAutoHyphens/>
        <w:spacing w:after="0" w:line="240" w:lineRule="auto"/>
        <w:jc w:val="both"/>
        <w:rPr>
          <w:rFonts w:ascii="Times New Roman" w:hAnsi="Times New Roman"/>
          <w:kern w:val="1"/>
          <w:sz w:val="24"/>
          <w:szCs w:val="24"/>
        </w:rPr>
      </w:pPr>
      <w:r w:rsidRPr="00F47117">
        <w:rPr>
          <w:rFonts w:ascii="Times New Roman" w:hAnsi="Times New Roman"/>
          <w:kern w:val="1"/>
          <w:sz w:val="24"/>
          <w:szCs w:val="24"/>
        </w:rPr>
        <w:t>Wörwag Pharma GmbH</w:t>
      </w:r>
      <w:r w:rsidR="00B02069">
        <w:rPr>
          <w:rFonts w:ascii="Times New Roman" w:hAnsi="Times New Roman"/>
          <w:kern w:val="1"/>
          <w:sz w:val="24"/>
          <w:szCs w:val="24"/>
        </w:rPr>
        <w:t xml:space="preserve"> </w:t>
      </w:r>
      <w:r w:rsidRPr="00F47117">
        <w:rPr>
          <w:rFonts w:ascii="Times New Roman" w:hAnsi="Times New Roman"/>
          <w:kern w:val="1"/>
          <w:sz w:val="24"/>
          <w:szCs w:val="24"/>
        </w:rPr>
        <w:t>&amp;</w:t>
      </w:r>
      <w:r w:rsidR="00B02069">
        <w:rPr>
          <w:rFonts w:ascii="Times New Roman" w:hAnsi="Times New Roman"/>
          <w:kern w:val="1"/>
          <w:sz w:val="24"/>
          <w:szCs w:val="24"/>
        </w:rPr>
        <w:t xml:space="preserve"> </w:t>
      </w:r>
      <w:r w:rsidRPr="00F47117">
        <w:rPr>
          <w:rFonts w:ascii="Times New Roman" w:hAnsi="Times New Roman"/>
          <w:kern w:val="1"/>
          <w:sz w:val="24"/>
          <w:szCs w:val="24"/>
        </w:rPr>
        <w:t>Co.</w:t>
      </w:r>
      <w:r w:rsidR="00B02069">
        <w:rPr>
          <w:rFonts w:ascii="Times New Roman" w:hAnsi="Times New Roman"/>
          <w:kern w:val="1"/>
          <w:sz w:val="24"/>
          <w:szCs w:val="24"/>
        </w:rPr>
        <w:t xml:space="preserve"> </w:t>
      </w:r>
      <w:r w:rsidRPr="00F47117">
        <w:rPr>
          <w:rFonts w:ascii="Times New Roman" w:hAnsi="Times New Roman"/>
          <w:kern w:val="1"/>
          <w:sz w:val="24"/>
          <w:szCs w:val="24"/>
        </w:rPr>
        <w:t>KG pārstāvniecība Latvijā</w:t>
      </w:r>
    </w:p>
    <w:p w14:paraId="5D4E1E85" w14:textId="77777777" w:rsidR="002C3E84" w:rsidRPr="00F47117" w:rsidRDefault="002C3E84" w:rsidP="00C73231">
      <w:pPr>
        <w:widowControl w:val="0"/>
        <w:suppressAutoHyphens/>
        <w:spacing w:after="0" w:line="240" w:lineRule="auto"/>
        <w:jc w:val="both"/>
        <w:rPr>
          <w:rFonts w:ascii="Times New Roman" w:hAnsi="Times New Roman"/>
          <w:kern w:val="1"/>
          <w:sz w:val="24"/>
          <w:szCs w:val="24"/>
        </w:rPr>
      </w:pPr>
      <w:r w:rsidRPr="00F47117">
        <w:rPr>
          <w:rFonts w:ascii="Times New Roman" w:hAnsi="Times New Roman"/>
          <w:kern w:val="1"/>
          <w:sz w:val="24"/>
          <w:szCs w:val="24"/>
        </w:rPr>
        <w:t>Vienības gatve 87B-2, Rīga, LV-1004</w:t>
      </w:r>
    </w:p>
    <w:p w14:paraId="18F5B068" w14:textId="77777777" w:rsidR="002C3E84" w:rsidRPr="00F47117" w:rsidRDefault="002C3E84" w:rsidP="00C73231">
      <w:pPr>
        <w:widowControl w:val="0"/>
        <w:suppressAutoHyphens/>
        <w:spacing w:after="0" w:line="240" w:lineRule="auto"/>
        <w:jc w:val="both"/>
        <w:rPr>
          <w:rFonts w:ascii="Times New Roman" w:hAnsi="Times New Roman"/>
          <w:kern w:val="1"/>
          <w:sz w:val="24"/>
          <w:szCs w:val="24"/>
        </w:rPr>
      </w:pPr>
      <w:r w:rsidRPr="00F47117">
        <w:rPr>
          <w:rFonts w:ascii="Times New Roman" w:hAnsi="Times New Roman"/>
          <w:kern w:val="1"/>
          <w:sz w:val="24"/>
          <w:szCs w:val="24"/>
        </w:rPr>
        <w:t>Latvija</w:t>
      </w:r>
    </w:p>
    <w:p w14:paraId="247D4253" w14:textId="77777777" w:rsidR="002C3E84" w:rsidRPr="00F47117" w:rsidRDefault="002C3E84" w:rsidP="00C73231">
      <w:pPr>
        <w:widowControl w:val="0"/>
        <w:suppressAutoHyphens/>
        <w:autoSpaceDE w:val="0"/>
        <w:spacing w:after="0" w:line="240" w:lineRule="auto"/>
        <w:jc w:val="both"/>
        <w:rPr>
          <w:rFonts w:ascii="Times New Roman" w:hAnsi="Times New Roman"/>
          <w:kern w:val="1"/>
          <w:sz w:val="24"/>
          <w:szCs w:val="24"/>
        </w:rPr>
      </w:pPr>
      <w:r w:rsidRPr="00F47117">
        <w:rPr>
          <w:rFonts w:ascii="Times New Roman" w:hAnsi="Times New Roman"/>
          <w:kern w:val="1"/>
          <w:sz w:val="24"/>
          <w:szCs w:val="24"/>
        </w:rPr>
        <w:t>Tel.: +371 674 11 504</w:t>
      </w:r>
    </w:p>
    <w:p w14:paraId="74663AFF" w14:textId="77777777" w:rsidR="002C3E84" w:rsidRPr="00F47117" w:rsidRDefault="002C3E84" w:rsidP="00C73231">
      <w:pPr>
        <w:widowControl w:val="0"/>
        <w:suppressAutoHyphens/>
        <w:autoSpaceDE w:val="0"/>
        <w:spacing w:after="0" w:line="240" w:lineRule="auto"/>
        <w:jc w:val="both"/>
        <w:rPr>
          <w:rFonts w:ascii="Times New Roman" w:hAnsi="Times New Roman"/>
          <w:color w:val="000000"/>
          <w:kern w:val="1"/>
          <w:sz w:val="24"/>
          <w:szCs w:val="24"/>
        </w:rPr>
      </w:pPr>
      <w:r w:rsidRPr="00F47117">
        <w:rPr>
          <w:rFonts w:ascii="Times New Roman" w:hAnsi="Times New Roman"/>
          <w:kern w:val="1"/>
          <w:sz w:val="24"/>
          <w:szCs w:val="24"/>
        </w:rPr>
        <w:t>E-pasts: info@woerwagpharma.lv</w:t>
      </w:r>
    </w:p>
    <w:p w14:paraId="10F24878" w14:textId="77777777" w:rsidR="002C3E84" w:rsidRPr="00F410D5" w:rsidRDefault="002C3E84" w:rsidP="00C73231">
      <w:pPr>
        <w:pStyle w:val="Default"/>
        <w:jc w:val="both"/>
      </w:pPr>
    </w:p>
    <w:p w14:paraId="39D2D293" w14:textId="77777777" w:rsidR="00C235A0" w:rsidRPr="00445402" w:rsidRDefault="00C235A0" w:rsidP="00C73231">
      <w:pPr>
        <w:pStyle w:val="Default"/>
        <w:jc w:val="both"/>
      </w:pPr>
    </w:p>
    <w:p w14:paraId="67E526F8" w14:textId="5B88310A" w:rsidR="009947CB" w:rsidRPr="00F47117" w:rsidRDefault="009947CB" w:rsidP="00C73231">
      <w:pPr>
        <w:pStyle w:val="CM5"/>
        <w:spacing w:line="240" w:lineRule="auto"/>
        <w:contextualSpacing/>
        <w:jc w:val="both"/>
      </w:pPr>
      <w:r w:rsidRPr="00F47117">
        <w:rPr>
          <w:b/>
          <w:bCs/>
        </w:rPr>
        <w:t xml:space="preserve">Šī lietošanas instrukcija </w:t>
      </w:r>
      <w:r w:rsidR="002C3E84" w:rsidRPr="00F47117">
        <w:rPr>
          <w:b/>
          <w:bCs/>
        </w:rPr>
        <w:t xml:space="preserve">pēdējo reizi pārskatīta </w:t>
      </w:r>
      <w:r w:rsidR="00380A5C" w:rsidRPr="00F47117">
        <w:rPr>
          <w:b/>
          <w:bCs/>
        </w:rPr>
        <w:t>20</w:t>
      </w:r>
      <w:r w:rsidR="00B02069">
        <w:rPr>
          <w:b/>
          <w:bCs/>
        </w:rPr>
        <w:t>21</w:t>
      </w:r>
      <w:r w:rsidR="00A24D01">
        <w:rPr>
          <w:b/>
          <w:bCs/>
        </w:rPr>
        <w:t>g</w:t>
      </w:r>
      <w:r w:rsidR="002C3E84" w:rsidRPr="00F47117">
        <w:rPr>
          <w:b/>
          <w:bCs/>
        </w:rPr>
        <w:t xml:space="preserve">ada </w:t>
      </w:r>
      <w:r w:rsidR="00B02069">
        <w:rPr>
          <w:b/>
          <w:bCs/>
        </w:rPr>
        <w:t>oktobrī</w:t>
      </w:r>
    </w:p>
    <w:sectPr w:rsidR="009947CB" w:rsidRPr="00F47117" w:rsidSect="001F1F87">
      <w:headerReference w:type="even" r:id="rId8"/>
      <w:headerReference w:type="default" r:id="rId9"/>
      <w:footerReference w:type="even" r:id="rId10"/>
      <w:footerReference w:type="default" r:id="rId11"/>
      <w:headerReference w:type="first" r:id="rId12"/>
      <w:footerReference w:type="first" r:id="rId13"/>
      <w:type w:val="continuous"/>
      <w:pgSz w:w="11900" w:h="16840"/>
      <w:pgMar w:top="1760" w:right="1040" w:bottom="1276" w:left="16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754114" w14:textId="77777777" w:rsidR="001705B9" w:rsidRDefault="001705B9" w:rsidP="00B83EAB">
      <w:pPr>
        <w:spacing w:after="0" w:line="240" w:lineRule="auto"/>
      </w:pPr>
      <w:r>
        <w:separator/>
      </w:r>
    </w:p>
  </w:endnote>
  <w:endnote w:type="continuationSeparator" w:id="0">
    <w:p w14:paraId="600C6DD4" w14:textId="77777777" w:rsidR="001705B9" w:rsidRDefault="001705B9" w:rsidP="00B83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389BE" w14:textId="77777777" w:rsidR="000203FF" w:rsidRDefault="000203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22817" w14:textId="28399B95" w:rsidR="00B02069" w:rsidRPr="00B02069" w:rsidRDefault="00B02069">
    <w:pPr>
      <w:pStyle w:val="Footer"/>
      <w:rPr>
        <w:color w:val="D9D9D9" w:themeColor="background1" w:themeShade="D9"/>
        <w:sz w:val="18"/>
        <w:szCs w:val="18"/>
      </w:rPr>
    </w:pPr>
    <w:r w:rsidRPr="00B02069">
      <w:rPr>
        <w:color w:val="D9D9D9" w:themeColor="background1" w:themeShade="D9"/>
        <w:sz w:val="18"/>
        <w:szCs w:val="18"/>
      </w:rPr>
      <w:t>Versija: Milgamma NA_WP address change_okt2021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843C3" w14:textId="77777777" w:rsidR="000203FF" w:rsidRDefault="000203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3291E2" w14:textId="77777777" w:rsidR="001705B9" w:rsidRDefault="001705B9" w:rsidP="00B83EAB">
      <w:pPr>
        <w:spacing w:after="0" w:line="240" w:lineRule="auto"/>
      </w:pPr>
      <w:r>
        <w:separator/>
      </w:r>
    </w:p>
  </w:footnote>
  <w:footnote w:type="continuationSeparator" w:id="0">
    <w:p w14:paraId="30E9D334" w14:textId="77777777" w:rsidR="001705B9" w:rsidRDefault="001705B9" w:rsidP="00B83E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B1A4D" w14:textId="77777777" w:rsidR="000203FF" w:rsidRDefault="000203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52C52" w14:textId="30A0E6C9" w:rsidR="00B83EAB" w:rsidRPr="000203FF" w:rsidRDefault="000203FF" w:rsidP="000203FF">
    <w:pPr>
      <w:pStyle w:val="Header"/>
      <w:jc w:val="right"/>
    </w:pPr>
    <w:r>
      <w:rPr>
        <w:rFonts w:ascii="Times New Roman" w:hAnsi="Times New Roman"/>
        <w:sz w:val="24"/>
        <w:szCs w:val="24"/>
      </w:rPr>
      <w:t>SASKAŅOTS ZVA 14-12-2021</w:t>
    </w:r>
  </w:p>
  <w:p w14:paraId="5068A953" w14:textId="77777777" w:rsidR="00B02069" w:rsidRPr="00DD4608" w:rsidRDefault="00B02069" w:rsidP="00DD4608">
    <w:pPr>
      <w:pStyle w:val="Header"/>
      <w:jc w:val="right"/>
      <w:rPr>
        <w:rFonts w:ascii="Times New Roman" w:hAnsi="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0069D" w14:textId="77777777" w:rsidR="000203FF" w:rsidRDefault="000203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628FDC2"/>
    <w:multiLevelType w:val="hybridMultilevel"/>
    <w:tmpl w:val="5BF4D758"/>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36B59623"/>
    <w:multiLevelType w:val="hybridMultilevel"/>
    <w:tmpl w:val="7144C7A7"/>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4EAC6826"/>
    <w:multiLevelType w:val="hybridMultilevel"/>
    <w:tmpl w:val="3BE2C812"/>
    <w:lvl w:ilvl="0" w:tplc="E778803E">
      <w:numFmt w:val="bullet"/>
      <w:lvlText w:val="-"/>
      <w:lvlJc w:val="left"/>
      <w:pPr>
        <w:ind w:left="1080" w:hanging="360"/>
      </w:pPr>
      <w:rPr>
        <w:rFonts w:ascii="Times New Roman" w:eastAsiaTheme="minorEastAsia" w:hAnsi="Times New Roman"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524B3D01"/>
    <w:multiLevelType w:val="hybridMultilevel"/>
    <w:tmpl w:val="59BACA3E"/>
    <w:lvl w:ilvl="0" w:tplc="04260001">
      <w:start w:val="1"/>
      <w:numFmt w:val="bullet"/>
      <w:lvlText w:val=""/>
      <w:lvlJc w:val="left"/>
      <w:pPr>
        <w:ind w:left="720" w:hanging="360"/>
      </w:pPr>
      <w:rPr>
        <w:rFonts w:ascii="Symbol" w:hAnsi="Symbol" w:hint="default"/>
      </w:rPr>
    </w:lvl>
    <w:lvl w:ilvl="1" w:tplc="489622E4">
      <w:numFmt w:val="bullet"/>
      <w:lvlText w:val="-"/>
      <w:lvlJc w:val="left"/>
      <w:pPr>
        <w:ind w:left="1440" w:hanging="360"/>
      </w:pPr>
      <w:rPr>
        <w:rFonts w:ascii="Times New Roman" w:eastAsiaTheme="minorEastAsia" w:hAnsi="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5A13E36"/>
    <w:multiLevelType w:val="hybridMultilevel"/>
    <w:tmpl w:val="A008D464"/>
    <w:lvl w:ilvl="0" w:tplc="2BEA3E10">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D02401A"/>
    <w:multiLevelType w:val="hybridMultilevel"/>
    <w:tmpl w:val="EBF496A2"/>
    <w:lvl w:ilvl="0" w:tplc="2BEA3E10">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45C03DC"/>
    <w:multiLevelType w:val="hybridMultilevel"/>
    <w:tmpl w:val="FCCC723D"/>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7"/>
  </w:num>
  <w:num w:numId="3">
    <w:abstractNumId w:val="0"/>
  </w:num>
  <w:num w:numId="4">
    <w:abstractNumId w:val="1"/>
    <w:lvlOverride w:ilvl="0">
      <w:lvl w:ilvl="0">
        <w:start w:val="1"/>
        <w:numFmt w:val="bullet"/>
        <w:lvlText w:val="-"/>
        <w:lvlJc w:val="left"/>
        <w:pPr>
          <w:ind w:left="360" w:hanging="360"/>
        </w:pPr>
      </w:lvl>
    </w:lvlOverride>
  </w:num>
  <w:num w:numId="5">
    <w:abstractNumId w:val="3"/>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9A9"/>
    <w:rsid w:val="000203FF"/>
    <w:rsid w:val="0007430E"/>
    <w:rsid w:val="00080CA4"/>
    <w:rsid w:val="000B5DA1"/>
    <w:rsid w:val="000E053D"/>
    <w:rsid w:val="001670A4"/>
    <w:rsid w:val="001705B9"/>
    <w:rsid w:val="001C6992"/>
    <w:rsid w:val="001F1F87"/>
    <w:rsid w:val="00235479"/>
    <w:rsid w:val="00245FCB"/>
    <w:rsid w:val="00252DF7"/>
    <w:rsid w:val="002C3E84"/>
    <w:rsid w:val="00355C13"/>
    <w:rsid w:val="00366402"/>
    <w:rsid w:val="003750C0"/>
    <w:rsid w:val="00380A5C"/>
    <w:rsid w:val="003A1446"/>
    <w:rsid w:val="00445402"/>
    <w:rsid w:val="004928E5"/>
    <w:rsid w:val="004B52D8"/>
    <w:rsid w:val="004E4BC1"/>
    <w:rsid w:val="004F0A1D"/>
    <w:rsid w:val="004F4B01"/>
    <w:rsid w:val="00552DB0"/>
    <w:rsid w:val="005779E1"/>
    <w:rsid w:val="005C2919"/>
    <w:rsid w:val="005D1F74"/>
    <w:rsid w:val="005E4B30"/>
    <w:rsid w:val="00613643"/>
    <w:rsid w:val="00681602"/>
    <w:rsid w:val="006D43E7"/>
    <w:rsid w:val="006E7616"/>
    <w:rsid w:val="006F0893"/>
    <w:rsid w:val="00763FDA"/>
    <w:rsid w:val="007F39A9"/>
    <w:rsid w:val="00807871"/>
    <w:rsid w:val="00813625"/>
    <w:rsid w:val="008440DC"/>
    <w:rsid w:val="0085014D"/>
    <w:rsid w:val="0088469E"/>
    <w:rsid w:val="008E388F"/>
    <w:rsid w:val="008E5233"/>
    <w:rsid w:val="009044F7"/>
    <w:rsid w:val="00931A75"/>
    <w:rsid w:val="00941E3C"/>
    <w:rsid w:val="00962CA5"/>
    <w:rsid w:val="00975271"/>
    <w:rsid w:val="00981792"/>
    <w:rsid w:val="00985B02"/>
    <w:rsid w:val="009947CB"/>
    <w:rsid w:val="009A1B42"/>
    <w:rsid w:val="009B5E2E"/>
    <w:rsid w:val="00A151C7"/>
    <w:rsid w:val="00A24D01"/>
    <w:rsid w:val="00AA6F5A"/>
    <w:rsid w:val="00AB0710"/>
    <w:rsid w:val="00B02069"/>
    <w:rsid w:val="00B209FF"/>
    <w:rsid w:val="00B37402"/>
    <w:rsid w:val="00B83EAB"/>
    <w:rsid w:val="00B97054"/>
    <w:rsid w:val="00BD749A"/>
    <w:rsid w:val="00BD795C"/>
    <w:rsid w:val="00BE3443"/>
    <w:rsid w:val="00C235A0"/>
    <w:rsid w:val="00C37D88"/>
    <w:rsid w:val="00C73231"/>
    <w:rsid w:val="00C768C3"/>
    <w:rsid w:val="00D47F79"/>
    <w:rsid w:val="00D63E5B"/>
    <w:rsid w:val="00D957B1"/>
    <w:rsid w:val="00DD4608"/>
    <w:rsid w:val="00DE7052"/>
    <w:rsid w:val="00DF70E7"/>
    <w:rsid w:val="00E47658"/>
    <w:rsid w:val="00E671D8"/>
    <w:rsid w:val="00E82628"/>
    <w:rsid w:val="00EA5AD0"/>
    <w:rsid w:val="00EE1BA8"/>
    <w:rsid w:val="00F410D5"/>
    <w:rsid w:val="00F47117"/>
    <w:rsid w:val="00F779C1"/>
    <w:rsid w:val="00FA21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A802E8"/>
  <w14:defaultImageDpi w14:val="0"/>
  <w15:docId w15:val="{D63406A6-DBB7-4100-B16A-9F30E4B76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CM1">
    <w:name w:val="CM1"/>
    <w:basedOn w:val="Default"/>
    <w:next w:val="Default"/>
    <w:uiPriority w:val="99"/>
    <w:rPr>
      <w:color w:val="auto"/>
    </w:rPr>
  </w:style>
  <w:style w:type="paragraph" w:customStyle="1" w:styleId="CM9">
    <w:name w:val="CM9"/>
    <w:basedOn w:val="Default"/>
    <w:next w:val="Default"/>
    <w:uiPriority w:val="99"/>
    <w:pPr>
      <w:spacing w:after="265"/>
    </w:pPr>
    <w:rPr>
      <w:color w:val="auto"/>
    </w:rPr>
  </w:style>
  <w:style w:type="paragraph" w:customStyle="1" w:styleId="CM10">
    <w:name w:val="CM10"/>
    <w:basedOn w:val="Default"/>
    <w:next w:val="Default"/>
    <w:uiPriority w:val="99"/>
    <w:pPr>
      <w:spacing w:after="323"/>
    </w:pPr>
    <w:rPr>
      <w:color w:val="auto"/>
    </w:rPr>
  </w:style>
  <w:style w:type="paragraph" w:customStyle="1" w:styleId="CM12">
    <w:name w:val="CM12"/>
    <w:basedOn w:val="Default"/>
    <w:next w:val="Default"/>
    <w:uiPriority w:val="99"/>
    <w:pPr>
      <w:spacing w:after="150"/>
    </w:pPr>
    <w:rPr>
      <w:color w:val="auto"/>
    </w:rPr>
  </w:style>
  <w:style w:type="paragraph" w:customStyle="1" w:styleId="CM5">
    <w:name w:val="CM5"/>
    <w:basedOn w:val="Default"/>
    <w:next w:val="Default"/>
    <w:uiPriority w:val="99"/>
    <w:pPr>
      <w:spacing w:line="323" w:lineRule="atLeast"/>
    </w:pPr>
    <w:rPr>
      <w:color w:val="auto"/>
    </w:rPr>
  </w:style>
  <w:style w:type="paragraph" w:customStyle="1" w:styleId="CM6">
    <w:name w:val="CM6"/>
    <w:basedOn w:val="Default"/>
    <w:next w:val="Default"/>
    <w:uiPriority w:val="99"/>
    <w:pPr>
      <w:spacing w:line="323" w:lineRule="atLeast"/>
    </w:pPr>
    <w:rPr>
      <w:color w:val="auto"/>
    </w:rPr>
  </w:style>
  <w:style w:type="paragraph" w:customStyle="1" w:styleId="CM7">
    <w:name w:val="CM7"/>
    <w:basedOn w:val="Default"/>
    <w:next w:val="Default"/>
    <w:uiPriority w:val="99"/>
    <w:pPr>
      <w:spacing w:line="323" w:lineRule="atLeast"/>
    </w:pPr>
    <w:rPr>
      <w:color w:val="auto"/>
    </w:rPr>
  </w:style>
  <w:style w:type="paragraph" w:customStyle="1" w:styleId="CM13">
    <w:name w:val="CM13"/>
    <w:basedOn w:val="Default"/>
    <w:next w:val="Default"/>
    <w:uiPriority w:val="99"/>
    <w:pPr>
      <w:spacing w:after="418"/>
    </w:pPr>
    <w:rPr>
      <w:color w:val="auto"/>
    </w:rPr>
  </w:style>
  <w:style w:type="paragraph" w:customStyle="1" w:styleId="CM11">
    <w:name w:val="CM11"/>
    <w:basedOn w:val="Default"/>
    <w:next w:val="Default"/>
    <w:uiPriority w:val="99"/>
    <w:pPr>
      <w:spacing w:after="483"/>
    </w:pPr>
    <w:rPr>
      <w:color w:val="auto"/>
    </w:rPr>
  </w:style>
  <w:style w:type="paragraph" w:customStyle="1" w:styleId="CM8">
    <w:name w:val="CM8"/>
    <w:basedOn w:val="Default"/>
    <w:next w:val="Default"/>
    <w:uiPriority w:val="99"/>
    <w:pPr>
      <w:spacing w:line="643" w:lineRule="atLeast"/>
    </w:pPr>
    <w:rPr>
      <w:color w:val="auto"/>
    </w:rPr>
  </w:style>
  <w:style w:type="character" w:styleId="CommentReference">
    <w:name w:val="annotation reference"/>
    <w:basedOn w:val="DefaultParagraphFont"/>
    <w:uiPriority w:val="99"/>
    <w:semiHidden/>
    <w:unhideWhenUsed/>
    <w:rsid w:val="00235479"/>
    <w:rPr>
      <w:rFonts w:cs="Times New Roman"/>
      <w:sz w:val="16"/>
      <w:szCs w:val="16"/>
    </w:rPr>
  </w:style>
  <w:style w:type="paragraph" w:styleId="CommentText">
    <w:name w:val="annotation text"/>
    <w:basedOn w:val="Normal"/>
    <w:link w:val="CommentTextChar"/>
    <w:uiPriority w:val="99"/>
    <w:semiHidden/>
    <w:unhideWhenUsed/>
    <w:rsid w:val="00235479"/>
    <w:rPr>
      <w:sz w:val="20"/>
      <w:szCs w:val="20"/>
    </w:rPr>
  </w:style>
  <w:style w:type="character" w:customStyle="1" w:styleId="CommentTextChar">
    <w:name w:val="Comment Text Char"/>
    <w:basedOn w:val="DefaultParagraphFont"/>
    <w:link w:val="CommentText"/>
    <w:uiPriority w:val="99"/>
    <w:semiHidden/>
    <w:locked/>
    <w:rsid w:val="00235479"/>
    <w:rPr>
      <w:rFonts w:cs="Times New Roman"/>
      <w:sz w:val="20"/>
      <w:szCs w:val="20"/>
    </w:rPr>
  </w:style>
  <w:style w:type="paragraph" w:styleId="CommentSubject">
    <w:name w:val="annotation subject"/>
    <w:basedOn w:val="CommentText"/>
    <w:next w:val="CommentText"/>
    <w:link w:val="CommentSubjectChar"/>
    <w:uiPriority w:val="99"/>
    <w:semiHidden/>
    <w:unhideWhenUsed/>
    <w:rsid w:val="00235479"/>
    <w:rPr>
      <w:b/>
      <w:bCs/>
    </w:rPr>
  </w:style>
  <w:style w:type="character" w:customStyle="1" w:styleId="CommentSubjectChar">
    <w:name w:val="Comment Subject Char"/>
    <w:basedOn w:val="CommentTextChar"/>
    <w:link w:val="CommentSubject"/>
    <w:uiPriority w:val="99"/>
    <w:semiHidden/>
    <w:locked/>
    <w:rsid w:val="00235479"/>
    <w:rPr>
      <w:rFonts w:cs="Times New Roman"/>
      <w:b/>
      <w:bCs/>
      <w:sz w:val="20"/>
      <w:szCs w:val="20"/>
    </w:rPr>
  </w:style>
  <w:style w:type="paragraph" w:styleId="BalloonText">
    <w:name w:val="Balloon Text"/>
    <w:basedOn w:val="Normal"/>
    <w:link w:val="BalloonTextChar"/>
    <w:uiPriority w:val="99"/>
    <w:semiHidden/>
    <w:unhideWhenUsed/>
    <w:rsid w:val="00235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5479"/>
    <w:rPr>
      <w:rFonts w:ascii="Tahoma" w:hAnsi="Tahoma" w:cs="Tahoma"/>
      <w:sz w:val="16"/>
      <w:szCs w:val="16"/>
    </w:rPr>
  </w:style>
  <w:style w:type="paragraph" w:styleId="NormalWeb">
    <w:name w:val="Normal (Web)"/>
    <w:basedOn w:val="Normal"/>
    <w:uiPriority w:val="99"/>
    <w:unhideWhenUsed/>
    <w:rsid w:val="005E4B30"/>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5E4B30"/>
    <w:rPr>
      <w:rFonts w:cs="Times New Roman"/>
      <w:color w:val="0000FF"/>
      <w:u w:val="single"/>
    </w:rPr>
  </w:style>
  <w:style w:type="table" w:styleId="TableGrid">
    <w:name w:val="Table Grid"/>
    <w:basedOn w:val="TableNormal"/>
    <w:uiPriority w:val="59"/>
    <w:rsid w:val="00931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E053D"/>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83EAB"/>
    <w:pPr>
      <w:spacing w:after="0" w:line="240" w:lineRule="auto"/>
    </w:pPr>
  </w:style>
  <w:style w:type="paragraph" w:styleId="Header">
    <w:name w:val="header"/>
    <w:basedOn w:val="Normal"/>
    <w:link w:val="HeaderChar"/>
    <w:uiPriority w:val="99"/>
    <w:unhideWhenUsed/>
    <w:rsid w:val="00B83EAB"/>
    <w:pPr>
      <w:tabs>
        <w:tab w:val="center" w:pos="4153"/>
        <w:tab w:val="right" w:pos="8306"/>
      </w:tabs>
    </w:pPr>
  </w:style>
  <w:style w:type="character" w:customStyle="1" w:styleId="HeaderChar">
    <w:name w:val="Header Char"/>
    <w:basedOn w:val="DefaultParagraphFont"/>
    <w:link w:val="Header"/>
    <w:uiPriority w:val="99"/>
    <w:locked/>
    <w:rsid w:val="00B83EAB"/>
    <w:rPr>
      <w:rFonts w:cs="Times New Roman"/>
    </w:rPr>
  </w:style>
  <w:style w:type="paragraph" w:styleId="Footer">
    <w:name w:val="footer"/>
    <w:basedOn w:val="Normal"/>
    <w:link w:val="FooterChar"/>
    <w:uiPriority w:val="99"/>
    <w:unhideWhenUsed/>
    <w:rsid w:val="00B83EAB"/>
    <w:pPr>
      <w:tabs>
        <w:tab w:val="center" w:pos="4153"/>
        <w:tab w:val="right" w:pos="8306"/>
      </w:tabs>
    </w:pPr>
  </w:style>
  <w:style w:type="character" w:customStyle="1" w:styleId="FooterChar">
    <w:name w:val="Footer Char"/>
    <w:basedOn w:val="DefaultParagraphFont"/>
    <w:link w:val="Footer"/>
    <w:uiPriority w:val="99"/>
    <w:locked/>
    <w:rsid w:val="00B83EA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332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zva.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1169</Words>
  <Characters>7497</Characters>
  <Application>Microsoft Office Word</Application>
  <DocSecurity>0</DocSecurity>
  <Lines>62</Lines>
  <Paragraphs>17</Paragraphs>
  <ScaleCrop>false</ScaleCrop>
  <Company>Microsoft</Company>
  <LinksUpToDate>false</LinksUpToDate>
  <CharactersWithSpaces>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Milgamma šķ inj 20841-040609.doc</dc:title>
  <dc:subject/>
  <dc:creator>ilze.bluke</dc:creator>
  <cp:keywords/>
  <dc:description/>
  <cp:lastModifiedBy>Skaidrīte Lapsenīte</cp:lastModifiedBy>
  <cp:revision>9</cp:revision>
  <dcterms:created xsi:type="dcterms:W3CDTF">2021-09-08T12:41:00Z</dcterms:created>
  <dcterms:modified xsi:type="dcterms:W3CDTF">2021-12-09T13:21:00Z</dcterms:modified>
</cp:coreProperties>
</file>