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F98B" w14:textId="77777777" w:rsidR="00864B03" w:rsidRPr="00B5729E" w:rsidRDefault="00864B03" w:rsidP="00864B03">
      <w:pPr>
        <w:pStyle w:val="EMEAHeading1"/>
        <w:rPr>
          <w:noProof/>
          <w:lang w:val="nb-NO"/>
        </w:rPr>
      </w:pPr>
      <w:r w:rsidRPr="00B5729E">
        <w:rPr>
          <w:noProof/>
          <w:lang w:val="nb-NO"/>
        </w:rPr>
        <w:t>1.</w:t>
      </w:r>
      <w:r w:rsidRPr="00B5729E">
        <w:rPr>
          <w:noProof/>
          <w:lang w:val="nb-NO"/>
        </w:rPr>
        <w:tab/>
        <w:t>ZĀĻU NOSAUKUMS</w:t>
      </w:r>
    </w:p>
    <w:p w14:paraId="407E48F3" w14:textId="77777777" w:rsidR="00864B03" w:rsidRPr="00B5729E" w:rsidRDefault="00864B03" w:rsidP="00864B03">
      <w:pPr>
        <w:pStyle w:val="EMEABodyText"/>
        <w:rPr>
          <w:noProof/>
          <w:lang w:val="nb-NO"/>
        </w:rPr>
      </w:pPr>
    </w:p>
    <w:p w14:paraId="47C16AFE" w14:textId="77777777" w:rsidR="00864B03" w:rsidRPr="00B5729E" w:rsidRDefault="00864B03" w:rsidP="00864B03">
      <w:pPr>
        <w:pStyle w:val="EMEABodyText"/>
        <w:rPr>
          <w:noProof/>
          <w:lang w:val="nb-NO"/>
        </w:rPr>
      </w:pPr>
      <w:r w:rsidRPr="00B5729E">
        <w:rPr>
          <w:noProof/>
          <w:lang w:val="nb-NO"/>
        </w:rPr>
        <w:t>Monozide 20 mg/ 12,5 mg tabletes</w:t>
      </w:r>
    </w:p>
    <w:p w14:paraId="62326E82" w14:textId="77777777" w:rsidR="00864B03" w:rsidRPr="00B5729E" w:rsidRDefault="00864B03" w:rsidP="00864B03">
      <w:pPr>
        <w:pStyle w:val="EMEAHeading1"/>
        <w:rPr>
          <w:noProof/>
          <w:lang w:val="nb-NO"/>
        </w:rPr>
      </w:pPr>
    </w:p>
    <w:p w14:paraId="43C66212" w14:textId="77777777" w:rsidR="00864B03" w:rsidRPr="00B5729E" w:rsidRDefault="00864B03" w:rsidP="00864B03">
      <w:pPr>
        <w:pStyle w:val="EMEAHeading1"/>
        <w:rPr>
          <w:noProof/>
          <w:lang w:val="nb-NO"/>
        </w:rPr>
      </w:pPr>
    </w:p>
    <w:p w14:paraId="2CAD1525" w14:textId="77777777" w:rsidR="00864B03" w:rsidRPr="00B5729E" w:rsidRDefault="00864B03" w:rsidP="00864B03">
      <w:pPr>
        <w:pStyle w:val="EMEAHeading1"/>
        <w:rPr>
          <w:noProof/>
          <w:lang w:val="nb-NO"/>
        </w:rPr>
      </w:pPr>
      <w:r w:rsidRPr="00B5729E">
        <w:rPr>
          <w:noProof/>
          <w:lang w:val="nb-NO"/>
        </w:rPr>
        <w:t>2.</w:t>
      </w:r>
      <w:r w:rsidRPr="00B5729E">
        <w:rPr>
          <w:noProof/>
          <w:lang w:val="nb-NO"/>
        </w:rPr>
        <w:tab/>
        <w:t>KVALITATĪVAIS UN KVANTITATĪVAIS SASTĀVS</w:t>
      </w:r>
    </w:p>
    <w:p w14:paraId="071106A9" w14:textId="77777777" w:rsidR="00864B03" w:rsidRPr="00B5729E" w:rsidRDefault="00864B03" w:rsidP="00864B03">
      <w:pPr>
        <w:pStyle w:val="EMEABodyText"/>
        <w:rPr>
          <w:noProof/>
          <w:lang w:val="nb-NO"/>
        </w:rPr>
      </w:pPr>
    </w:p>
    <w:p w14:paraId="3339292F" w14:textId="77777777" w:rsidR="00864B03" w:rsidRPr="00B5729E" w:rsidRDefault="00864B03" w:rsidP="00864B03">
      <w:pPr>
        <w:pStyle w:val="EMEABodyText"/>
        <w:rPr>
          <w:noProof/>
          <w:lang w:val="nb-NO"/>
        </w:rPr>
      </w:pPr>
      <w:r w:rsidRPr="00B5729E">
        <w:rPr>
          <w:noProof/>
          <w:lang w:val="nb-NO"/>
        </w:rPr>
        <w:t xml:space="preserve">Katra tablete satur 20 mg </w:t>
      </w:r>
      <w:r w:rsidRPr="00903C3A">
        <w:rPr>
          <w:szCs w:val="22"/>
          <w:lang w:val="lv-LV"/>
        </w:rPr>
        <w:t>fosinoprila nātrija sāls (</w:t>
      </w:r>
      <w:r w:rsidRPr="002E5B86">
        <w:rPr>
          <w:szCs w:val="22"/>
          <w:lang w:val="lv-LV"/>
        </w:rPr>
        <w:t xml:space="preserve">fosinoprilum </w:t>
      </w:r>
      <w:bookmarkStart w:id="0" w:name="_Hlk62553187"/>
      <w:r w:rsidRPr="002E5B86">
        <w:rPr>
          <w:szCs w:val="22"/>
          <w:lang w:val="lv-LV"/>
        </w:rPr>
        <w:t>natricum</w:t>
      </w:r>
      <w:bookmarkEnd w:id="0"/>
      <w:r w:rsidRPr="00903C3A">
        <w:rPr>
          <w:szCs w:val="22"/>
          <w:lang w:val="lv-LV"/>
        </w:rPr>
        <w:t>) un 12,5 mg hidrohlortiazīda (</w:t>
      </w:r>
      <w:r w:rsidRPr="002E5B86">
        <w:rPr>
          <w:szCs w:val="22"/>
          <w:lang w:val="lv-LV"/>
        </w:rPr>
        <w:t>hydrochlorothiazidum</w:t>
      </w:r>
      <w:r>
        <w:rPr>
          <w:szCs w:val="22"/>
          <w:lang w:val="lv-LV"/>
        </w:rPr>
        <w:t>)</w:t>
      </w:r>
      <w:r w:rsidRPr="00903C3A">
        <w:rPr>
          <w:szCs w:val="22"/>
          <w:lang w:val="lv-LV"/>
        </w:rPr>
        <w:t>.</w:t>
      </w:r>
    </w:p>
    <w:p w14:paraId="32EDB4DC" w14:textId="77777777" w:rsidR="00864B03" w:rsidRPr="00B5729E" w:rsidRDefault="00864B03" w:rsidP="00864B03">
      <w:pPr>
        <w:pStyle w:val="EMEABodyText"/>
        <w:rPr>
          <w:noProof/>
          <w:lang w:val="nb-NO"/>
        </w:rPr>
      </w:pPr>
    </w:p>
    <w:p w14:paraId="64402C05" w14:textId="351E1CEE" w:rsidR="00864B03" w:rsidRPr="00B5729E" w:rsidRDefault="00864B03" w:rsidP="00864B03">
      <w:pPr>
        <w:pStyle w:val="EMEABodyText"/>
        <w:rPr>
          <w:noProof/>
          <w:lang w:val="nb-NO"/>
        </w:rPr>
      </w:pPr>
      <w:r w:rsidRPr="005E29A4">
        <w:rPr>
          <w:noProof/>
          <w:u w:val="single"/>
          <w:lang w:val="nb-NO"/>
        </w:rPr>
        <w:t>Palīgviela</w:t>
      </w:r>
      <w:r w:rsidR="00081F87" w:rsidRPr="005E29A4">
        <w:rPr>
          <w:noProof/>
          <w:u w:val="single"/>
          <w:lang w:val="nb-NO"/>
        </w:rPr>
        <w:t xml:space="preserve"> ar zināmu iedarbību</w:t>
      </w:r>
      <w:r w:rsidRPr="00B5729E">
        <w:rPr>
          <w:noProof/>
          <w:lang w:val="nb-NO"/>
        </w:rPr>
        <w:t>: katra tablete satur 240 mg laktozes.</w:t>
      </w:r>
    </w:p>
    <w:p w14:paraId="0CE59C54" w14:textId="77777777" w:rsidR="00864B03" w:rsidRPr="00B5729E" w:rsidRDefault="00864B03" w:rsidP="00864B03">
      <w:pPr>
        <w:pStyle w:val="EMEABodyText"/>
        <w:rPr>
          <w:noProof/>
          <w:lang w:val="nb-NO"/>
        </w:rPr>
      </w:pPr>
    </w:p>
    <w:p w14:paraId="5FAAF431" w14:textId="77777777" w:rsidR="00864B03" w:rsidRPr="00B5729E" w:rsidRDefault="00864B03" w:rsidP="00864B03">
      <w:pPr>
        <w:pStyle w:val="EMEABodyText"/>
        <w:rPr>
          <w:noProof/>
          <w:lang w:val="nb-NO"/>
        </w:rPr>
      </w:pPr>
      <w:r w:rsidRPr="00B5729E">
        <w:rPr>
          <w:noProof/>
          <w:lang w:val="nb-NO"/>
        </w:rPr>
        <w:t xml:space="preserve">Pilnu palīgvielu sarakstu skatīt </w:t>
      </w:r>
      <w:r w:rsidR="007F5B88" w:rsidRPr="00B5729E">
        <w:rPr>
          <w:noProof/>
          <w:lang w:val="nb-NO"/>
        </w:rPr>
        <w:t>6.1.</w:t>
      </w:r>
      <w:r w:rsidR="007F5B88">
        <w:rPr>
          <w:noProof/>
          <w:lang w:val="nb-NO"/>
        </w:rPr>
        <w:t xml:space="preserve"> </w:t>
      </w:r>
      <w:r w:rsidRPr="00B5729E">
        <w:rPr>
          <w:noProof/>
          <w:lang w:val="nb-NO"/>
        </w:rPr>
        <w:t>apakšpunktā</w:t>
      </w:r>
      <w:r w:rsidR="007F5B88">
        <w:rPr>
          <w:noProof/>
          <w:lang w:val="nb-NO"/>
        </w:rPr>
        <w:t>.</w:t>
      </w:r>
      <w:r w:rsidRPr="00B5729E">
        <w:rPr>
          <w:noProof/>
          <w:lang w:val="nb-NO"/>
        </w:rPr>
        <w:t xml:space="preserve"> </w:t>
      </w:r>
    </w:p>
    <w:p w14:paraId="3C66E60D" w14:textId="77777777" w:rsidR="00864B03" w:rsidRPr="00B5729E" w:rsidRDefault="00864B03" w:rsidP="00864B03">
      <w:pPr>
        <w:pStyle w:val="EMEABodyText"/>
        <w:rPr>
          <w:noProof/>
          <w:lang w:val="nb-NO"/>
        </w:rPr>
      </w:pPr>
    </w:p>
    <w:p w14:paraId="529449ED" w14:textId="77777777" w:rsidR="00864B03" w:rsidRPr="00B5729E" w:rsidRDefault="00864B03" w:rsidP="00864B03">
      <w:pPr>
        <w:pStyle w:val="EMEABodyText"/>
        <w:rPr>
          <w:noProof/>
          <w:lang w:val="nb-NO"/>
        </w:rPr>
      </w:pPr>
    </w:p>
    <w:p w14:paraId="1DE4F4B2" w14:textId="77777777" w:rsidR="00864B03" w:rsidRPr="00B5729E" w:rsidRDefault="00864B03" w:rsidP="00864B03">
      <w:pPr>
        <w:pStyle w:val="EMEAHeading1"/>
        <w:rPr>
          <w:noProof/>
          <w:lang w:val="nb-NO"/>
        </w:rPr>
      </w:pPr>
      <w:r w:rsidRPr="00B5729E">
        <w:rPr>
          <w:noProof/>
          <w:lang w:val="nb-NO"/>
        </w:rPr>
        <w:t>3.</w:t>
      </w:r>
      <w:r w:rsidRPr="00B5729E">
        <w:rPr>
          <w:noProof/>
          <w:lang w:val="nb-NO"/>
        </w:rPr>
        <w:tab/>
        <w:t>ZĀĻU FORMA</w:t>
      </w:r>
    </w:p>
    <w:p w14:paraId="738C2435" w14:textId="77777777" w:rsidR="00864B03" w:rsidRDefault="00864B03" w:rsidP="00864B03">
      <w:pPr>
        <w:pStyle w:val="EMEABodyText"/>
        <w:rPr>
          <w:noProof/>
          <w:lang w:val="nb-NO"/>
        </w:rPr>
      </w:pPr>
    </w:p>
    <w:p w14:paraId="6255F366" w14:textId="77777777" w:rsidR="00BF7023" w:rsidRPr="00B5729E" w:rsidRDefault="00BF7023" w:rsidP="00864B03">
      <w:pPr>
        <w:pStyle w:val="EMEABodyText"/>
        <w:rPr>
          <w:noProof/>
          <w:lang w:val="nb-NO"/>
        </w:rPr>
      </w:pPr>
      <w:r>
        <w:rPr>
          <w:noProof/>
          <w:lang w:val="nb-NO"/>
        </w:rPr>
        <w:t>Tablete</w:t>
      </w:r>
    </w:p>
    <w:p w14:paraId="16676A7F" w14:textId="77777777" w:rsidR="00864B03" w:rsidRPr="00B5729E" w:rsidRDefault="00864B03" w:rsidP="00864B03">
      <w:pPr>
        <w:pStyle w:val="EMEABodyText"/>
        <w:rPr>
          <w:rFonts w:eastAsia="MS Mincho"/>
          <w:lang w:val="nb-NO"/>
        </w:rPr>
      </w:pPr>
      <w:r w:rsidRPr="00B5729E">
        <w:rPr>
          <w:rFonts w:eastAsia="MS Mincho"/>
          <w:lang w:val="nb-NO"/>
        </w:rPr>
        <w:t>Apaļa, abpusēji izliekta persiku krāsas tablete ar dalījuma līniju vienā pusē un numuru "1493" iespiestu otrā pusē.</w:t>
      </w:r>
    </w:p>
    <w:p w14:paraId="186D46D5" w14:textId="4DBE8018" w:rsidR="00864B03" w:rsidRDefault="00816310" w:rsidP="00864B03">
      <w:pPr>
        <w:pStyle w:val="EMEABodyText"/>
        <w:rPr>
          <w:noProof/>
          <w:lang w:val="nb-NO"/>
        </w:rPr>
      </w:pPr>
      <w:r w:rsidRPr="00816310">
        <w:rPr>
          <w:noProof/>
          <w:lang w:val="nb-NO"/>
        </w:rPr>
        <w:t>Dalījuma līnija nav paredzēta tabletes salaušanai.</w:t>
      </w:r>
    </w:p>
    <w:p w14:paraId="204500A6" w14:textId="77777777" w:rsidR="00816310" w:rsidRPr="00B5729E" w:rsidRDefault="00816310" w:rsidP="00864B03">
      <w:pPr>
        <w:pStyle w:val="EMEABodyText"/>
        <w:rPr>
          <w:noProof/>
          <w:lang w:val="nb-NO"/>
        </w:rPr>
      </w:pPr>
    </w:p>
    <w:p w14:paraId="334311CD" w14:textId="77777777" w:rsidR="00864B03" w:rsidRPr="00B5729E" w:rsidRDefault="00864B03" w:rsidP="00864B03">
      <w:pPr>
        <w:pStyle w:val="EMEABodyText"/>
        <w:rPr>
          <w:noProof/>
          <w:lang w:val="nb-NO"/>
        </w:rPr>
      </w:pPr>
    </w:p>
    <w:p w14:paraId="2F0EB6B2" w14:textId="77777777" w:rsidR="00864B03" w:rsidRPr="00B5729E" w:rsidRDefault="00864B03" w:rsidP="00864B03">
      <w:pPr>
        <w:pStyle w:val="EMEAHeading1"/>
        <w:rPr>
          <w:noProof/>
          <w:lang w:val="nb-NO"/>
        </w:rPr>
      </w:pPr>
      <w:r w:rsidRPr="00B5729E">
        <w:rPr>
          <w:noProof/>
          <w:lang w:val="nb-NO"/>
        </w:rPr>
        <w:t>4.</w:t>
      </w:r>
      <w:r w:rsidRPr="00B5729E">
        <w:rPr>
          <w:noProof/>
          <w:lang w:val="nb-NO"/>
        </w:rPr>
        <w:tab/>
        <w:t xml:space="preserve">KLĪNISKĀ INFORMĀCIJA </w:t>
      </w:r>
    </w:p>
    <w:p w14:paraId="6283A09B" w14:textId="77777777" w:rsidR="00864B03" w:rsidRPr="00B5729E" w:rsidRDefault="00864B03" w:rsidP="00864B03">
      <w:pPr>
        <w:pStyle w:val="EMEABodyText"/>
        <w:rPr>
          <w:noProof/>
          <w:lang w:val="nb-NO"/>
        </w:rPr>
      </w:pPr>
    </w:p>
    <w:p w14:paraId="6EB54142" w14:textId="77777777" w:rsidR="00864B03" w:rsidRPr="00B5729E" w:rsidRDefault="00864B03" w:rsidP="00864B03">
      <w:pPr>
        <w:pStyle w:val="EMEAHeading2"/>
        <w:rPr>
          <w:noProof/>
          <w:lang w:val="nb-NO"/>
        </w:rPr>
      </w:pPr>
      <w:r w:rsidRPr="00B5729E">
        <w:rPr>
          <w:noProof/>
          <w:lang w:val="nb-NO"/>
        </w:rPr>
        <w:t>4.1</w:t>
      </w:r>
      <w:r w:rsidR="007F5B88">
        <w:rPr>
          <w:noProof/>
          <w:lang w:val="nb-NO"/>
        </w:rPr>
        <w:t>.</w:t>
      </w:r>
      <w:r w:rsidRPr="00B5729E">
        <w:rPr>
          <w:noProof/>
          <w:lang w:val="nb-NO"/>
        </w:rPr>
        <w:tab/>
        <w:t>Terapeitiskās indikācijas</w:t>
      </w:r>
    </w:p>
    <w:p w14:paraId="3A9570D8" w14:textId="77777777" w:rsidR="00864B03" w:rsidRPr="00B5729E" w:rsidRDefault="00864B03" w:rsidP="00864B03">
      <w:pPr>
        <w:pStyle w:val="EMEABodyText"/>
        <w:rPr>
          <w:noProof/>
          <w:lang w:val="nb-NO"/>
        </w:rPr>
      </w:pPr>
    </w:p>
    <w:p w14:paraId="1216EFA7" w14:textId="77777777" w:rsidR="00864B03" w:rsidRPr="00B5729E" w:rsidRDefault="00864B03" w:rsidP="00864B03">
      <w:pPr>
        <w:pStyle w:val="EMEABodyText"/>
        <w:rPr>
          <w:noProof/>
          <w:lang w:val="nb-NO"/>
        </w:rPr>
      </w:pPr>
      <w:r>
        <w:rPr>
          <w:lang w:val="lv-LV"/>
        </w:rPr>
        <w:t>Monozide</w:t>
      </w:r>
      <w:r w:rsidRPr="007F21F1">
        <w:rPr>
          <w:lang w:val="lv-LV"/>
        </w:rPr>
        <w:t xml:space="preserve"> nozīmē hipertensijas ārstēšanai pacientiem, kam fosinoprila vai hidrohlorotiazīda monoterapija nav bijusi pietiekami efektīva.</w:t>
      </w:r>
    </w:p>
    <w:p w14:paraId="14F4A3B3" w14:textId="77777777" w:rsidR="00864B03" w:rsidRPr="00B5729E" w:rsidRDefault="00864B03" w:rsidP="00864B03">
      <w:pPr>
        <w:pStyle w:val="EMEAHeading2"/>
        <w:rPr>
          <w:noProof/>
          <w:lang w:val="nb-NO"/>
        </w:rPr>
      </w:pPr>
    </w:p>
    <w:p w14:paraId="0838CF31" w14:textId="77777777" w:rsidR="00864B03" w:rsidRPr="00B5729E" w:rsidRDefault="00864B03" w:rsidP="00864B03">
      <w:pPr>
        <w:pStyle w:val="EMEAHeading2"/>
        <w:rPr>
          <w:noProof/>
          <w:lang w:val="nb-NO"/>
        </w:rPr>
      </w:pPr>
      <w:r w:rsidRPr="00B5729E">
        <w:rPr>
          <w:noProof/>
          <w:lang w:val="nb-NO"/>
        </w:rPr>
        <w:t>4.2</w:t>
      </w:r>
      <w:r w:rsidR="007F5B88">
        <w:rPr>
          <w:noProof/>
          <w:lang w:val="nb-NO"/>
        </w:rPr>
        <w:t>.</w:t>
      </w:r>
      <w:r w:rsidRPr="00B5729E">
        <w:rPr>
          <w:noProof/>
          <w:lang w:val="nb-NO"/>
        </w:rPr>
        <w:tab/>
        <w:t>Devas un lietošanas veids</w:t>
      </w:r>
    </w:p>
    <w:p w14:paraId="06713105" w14:textId="77777777" w:rsidR="00864B03" w:rsidRPr="00B5729E" w:rsidRDefault="00864B03" w:rsidP="00864B03">
      <w:pPr>
        <w:pStyle w:val="EMEABodyText"/>
        <w:rPr>
          <w:noProof/>
          <w:lang w:val="nb-NO"/>
        </w:rPr>
      </w:pPr>
    </w:p>
    <w:p w14:paraId="3F72325B" w14:textId="2854E061" w:rsidR="00864B03" w:rsidRPr="002E39A0" w:rsidRDefault="00864B03" w:rsidP="00864B03">
      <w:pPr>
        <w:ind w:left="26"/>
        <w:rPr>
          <w:szCs w:val="22"/>
          <w:lang w:val="lv-LV"/>
        </w:rPr>
      </w:pPr>
      <w:r w:rsidRPr="002E39A0">
        <w:rPr>
          <w:szCs w:val="22"/>
          <w:lang w:val="lv-LV"/>
        </w:rPr>
        <w:t xml:space="preserve">Deva </w:t>
      </w:r>
      <w:r w:rsidR="00816310">
        <w:rPr>
          <w:szCs w:val="22"/>
          <w:lang w:val="lv-LV"/>
        </w:rPr>
        <w:t>jāpielāgo</w:t>
      </w:r>
      <w:r w:rsidR="00816310" w:rsidRPr="002E39A0">
        <w:rPr>
          <w:szCs w:val="22"/>
          <w:lang w:val="lv-LV"/>
        </w:rPr>
        <w:t xml:space="preserve"> </w:t>
      </w:r>
      <w:r w:rsidRPr="002E39A0">
        <w:rPr>
          <w:szCs w:val="22"/>
          <w:lang w:val="lv-LV"/>
        </w:rPr>
        <w:t>individuāli</w:t>
      </w:r>
      <w:r w:rsidR="00D77112">
        <w:rPr>
          <w:szCs w:val="22"/>
          <w:lang w:val="lv-LV"/>
        </w:rPr>
        <w:t xml:space="preserve"> </w:t>
      </w:r>
      <w:r w:rsidR="00D77112" w:rsidRPr="00D77112">
        <w:rPr>
          <w:szCs w:val="22"/>
          <w:lang w:val="lv-LV"/>
        </w:rPr>
        <w:t>(skatīt 4.3., 4.4., 4.5. un 5.1. apakšpunktu)</w:t>
      </w:r>
      <w:r w:rsidRPr="002E39A0">
        <w:rPr>
          <w:szCs w:val="22"/>
          <w:lang w:val="lv-LV"/>
        </w:rPr>
        <w:t>.</w:t>
      </w:r>
    </w:p>
    <w:p w14:paraId="1B02A6FA" w14:textId="77777777" w:rsidR="00864B03" w:rsidRPr="002E39A0" w:rsidRDefault="00864B03" w:rsidP="00864B03">
      <w:pPr>
        <w:ind w:left="26"/>
        <w:rPr>
          <w:b/>
          <w:bCs/>
          <w:szCs w:val="22"/>
          <w:lang w:val="lv-LV"/>
        </w:rPr>
      </w:pPr>
    </w:p>
    <w:p w14:paraId="4FCC7719" w14:textId="77777777" w:rsidR="0002431B" w:rsidRDefault="00864B03" w:rsidP="00864B03">
      <w:pPr>
        <w:ind w:left="26"/>
        <w:rPr>
          <w:b/>
          <w:bCs/>
          <w:szCs w:val="22"/>
          <w:lang w:val="lv-LV"/>
        </w:rPr>
      </w:pPr>
      <w:r w:rsidRPr="002E39A0">
        <w:rPr>
          <w:b/>
          <w:bCs/>
          <w:szCs w:val="22"/>
          <w:lang w:val="lv-LV"/>
        </w:rPr>
        <w:t>Pieaugušie</w:t>
      </w:r>
    </w:p>
    <w:p w14:paraId="7201CF59" w14:textId="5B30A0AF" w:rsidR="00864B03" w:rsidRPr="002E39A0" w:rsidRDefault="00864B03" w:rsidP="00864B03">
      <w:pPr>
        <w:ind w:left="26"/>
        <w:rPr>
          <w:szCs w:val="22"/>
          <w:lang w:val="lv-LV"/>
        </w:rPr>
      </w:pPr>
      <w:r w:rsidRPr="002E39A0">
        <w:rPr>
          <w:szCs w:val="22"/>
          <w:lang w:val="lv-LV"/>
        </w:rPr>
        <w:t xml:space="preserve">1 tablete </w:t>
      </w:r>
      <w:r>
        <w:rPr>
          <w:szCs w:val="22"/>
          <w:lang w:val="lv-LV"/>
        </w:rPr>
        <w:t xml:space="preserve">(20 mg fosinoprila/12,5 mg </w:t>
      </w:r>
      <w:r w:rsidRPr="007F21F1">
        <w:rPr>
          <w:lang w:val="lv-LV"/>
        </w:rPr>
        <w:t>hidrohlorotiazīda</w:t>
      </w:r>
      <w:r>
        <w:rPr>
          <w:lang w:val="lv-LV"/>
        </w:rPr>
        <w:t>)</w:t>
      </w:r>
      <w:r w:rsidRPr="007F21F1">
        <w:rPr>
          <w:lang w:val="lv-LV"/>
        </w:rPr>
        <w:t xml:space="preserve"> </w:t>
      </w:r>
      <w:r w:rsidRPr="002E39A0">
        <w:rPr>
          <w:szCs w:val="22"/>
          <w:lang w:val="lv-LV"/>
        </w:rPr>
        <w:t>vienu reizi dienā.</w:t>
      </w:r>
    </w:p>
    <w:p w14:paraId="4A7C7E4B" w14:textId="77777777" w:rsidR="0002431B" w:rsidRDefault="0002431B" w:rsidP="00864B03">
      <w:pPr>
        <w:ind w:left="26"/>
        <w:rPr>
          <w:b/>
          <w:bCs/>
          <w:szCs w:val="22"/>
          <w:lang w:val="lv-LV"/>
        </w:rPr>
      </w:pPr>
    </w:p>
    <w:p w14:paraId="2505F1EB" w14:textId="77777777" w:rsidR="0002431B" w:rsidRDefault="00864B03" w:rsidP="00864B03">
      <w:pPr>
        <w:ind w:left="26"/>
        <w:rPr>
          <w:szCs w:val="22"/>
          <w:lang w:val="lv-LV"/>
        </w:rPr>
      </w:pPr>
      <w:r w:rsidRPr="002E39A0">
        <w:rPr>
          <w:b/>
          <w:bCs/>
          <w:szCs w:val="22"/>
          <w:lang w:val="lv-LV"/>
        </w:rPr>
        <w:t>Nieru mazspēja</w:t>
      </w:r>
    </w:p>
    <w:p w14:paraId="701E82B5" w14:textId="77777777" w:rsidR="00864B03" w:rsidRPr="002E39A0" w:rsidRDefault="00864B03" w:rsidP="00864B03">
      <w:pPr>
        <w:ind w:left="26"/>
        <w:rPr>
          <w:b/>
          <w:bCs/>
          <w:szCs w:val="22"/>
          <w:lang w:val="lv-LV"/>
        </w:rPr>
      </w:pPr>
      <w:r w:rsidRPr="002E39A0">
        <w:rPr>
          <w:szCs w:val="22"/>
          <w:lang w:val="lv-LV"/>
        </w:rPr>
        <w:t>Pacientiem ar viegl</w:t>
      </w:r>
      <w:r w:rsidR="007E2F0D">
        <w:rPr>
          <w:szCs w:val="22"/>
          <w:lang w:val="lv-LV"/>
        </w:rPr>
        <w:t>iem</w:t>
      </w:r>
      <w:r w:rsidRPr="002E39A0">
        <w:rPr>
          <w:szCs w:val="22"/>
          <w:lang w:val="lv-LV"/>
        </w:rPr>
        <w:t xml:space="preserve"> līdz vidēj</w:t>
      </w:r>
      <w:r>
        <w:rPr>
          <w:szCs w:val="22"/>
          <w:lang w:val="lv-LV"/>
        </w:rPr>
        <w:t>i smag</w:t>
      </w:r>
      <w:r w:rsidR="00D84E7D">
        <w:rPr>
          <w:szCs w:val="22"/>
          <w:lang w:val="lv-LV"/>
        </w:rPr>
        <w:t>iem</w:t>
      </w:r>
      <w:r w:rsidRPr="002E39A0">
        <w:rPr>
          <w:szCs w:val="22"/>
          <w:lang w:val="lv-LV"/>
        </w:rPr>
        <w:t xml:space="preserve"> nieru</w:t>
      </w:r>
      <w:r w:rsidR="00D84E7D">
        <w:rPr>
          <w:szCs w:val="22"/>
          <w:lang w:val="lv-LV"/>
        </w:rPr>
        <w:t xml:space="preserve"> darbības traucējumiem</w:t>
      </w:r>
      <w:r w:rsidRPr="002E39A0">
        <w:rPr>
          <w:szCs w:val="22"/>
          <w:lang w:val="lv-LV"/>
        </w:rPr>
        <w:t xml:space="preserve"> (kreatinīna klīrenss &gt;30 ml/min., seruma kreatinīns aptuveni </w:t>
      </w:r>
      <w:r>
        <w:rPr>
          <w:szCs w:val="22"/>
          <w:lang w:val="lv-LV"/>
        </w:rPr>
        <w:t>265 µmol/l</w:t>
      </w:r>
      <w:r w:rsidRPr="002E39A0">
        <w:rPr>
          <w:szCs w:val="22"/>
          <w:lang w:val="lv-LV"/>
        </w:rPr>
        <w:t xml:space="preserve">) iesaka parasto </w:t>
      </w:r>
      <w:r>
        <w:rPr>
          <w:szCs w:val="22"/>
          <w:lang w:val="lv-LV"/>
        </w:rPr>
        <w:t>Monozide</w:t>
      </w:r>
      <w:r w:rsidRPr="002E39A0">
        <w:rPr>
          <w:szCs w:val="22"/>
          <w:lang w:val="lv-LV"/>
        </w:rPr>
        <w:t xml:space="preserve"> devu. Tomēr </w:t>
      </w:r>
      <w:r>
        <w:rPr>
          <w:szCs w:val="22"/>
          <w:lang w:val="lv-LV"/>
        </w:rPr>
        <w:t>Monozide</w:t>
      </w:r>
      <w:r w:rsidRPr="002E39A0">
        <w:rPr>
          <w:szCs w:val="22"/>
          <w:lang w:val="lv-LV"/>
        </w:rPr>
        <w:t xml:space="preserve"> neiesaka lietot pacientiem ar smagu nieru disfunkciju (kreatinīna klīrenss &lt;30 mL/min.),</w:t>
      </w:r>
      <w:r>
        <w:rPr>
          <w:szCs w:val="22"/>
          <w:lang w:val="lv-LV"/>
        </w:rPr>
        <w:t xml:space="preserve"> </w:t>
      </w:r>
      <w:r w:rsidRPr="002E39A0">
        <w:rPr>
          <w:szCs w:val="22"/>
          <w:lang w:val="lv-LV"/>
        </w:rPr>
        <w:t>jo</w:t>
      </w:r>
      <w:r w:rsidR="007E2F0D">
        <w:rPr>
          <w:szCs w:val="22"/>
          <w:lang w:val="lv-LV"/>
        </w:rPr>
        <w:t xml:space="preserve"> </w:t>
      </w:r>
      <w:r w:rsidRPr="002E39A0">
        <w:rPr>
          <w:szCs w:val="22"/>
          <w:lang w:val="lv-LV"/>
        </w:rPr>
        <w:t>priekšrok</w:t>
      </w:r>
      <w:r>
        <w:rPr>
          <w:szCs w:val="22"/>
          <w:lang w:val="lv-LV"/>
        </w:rPr>
        <w:t>a</w:t>
      </w:r>
      <w:r w:rsidRPr="002E39A0">
        <w:rPr>
          <w:szCs w:val="22"/>
          <w:lang w:val="lv-LV"/>
        </w:rPr>
        <w:t xml:space="preserve"> dod</w:t>
      </w:r>
      <w:r>
        <w:rPr>
          <w:szCs w:val="22"/>
          <w:lang w:val="lv-LV"/>
        </w:rPr>
        <w:t>ama</w:t>
      </w:r>
      <w:r w:rsidRPr="002E39A0">
        <w:rPr>
          <w:szCs w:val="22"/>
          <w:lang w:val="lv-LV"/>
        </w:rPr>
        <w:t xml:space="preserve"> “ci</w:t>
      </w:r>
      <w:r>
        <w:rPr>
          <w:szCs w:val="22"/>
          <w:lang w:val="lv-LV"/>
        </w:rPr>
        <w:t xml:space="preserve">lpas” diurētiskajiem līdzekļiem ne tiazīdiem </w:t>
      </w:r>
      <w:r w:rsidRPr="002E39A0">
        <w:rPr>
          <w:szCs w:val="22"/>
          <w:lang w:val="lv-LV"/>
        </w:rPr>
        <w:t xml:space="preserve">(skatīt </w:t>
      </w:r>
      <w:r w:rsidR="007F5B88" w:rsidRPr="002E39A0">
        <w:rPr>
          <w:szCs w:val="22"/>
          <w:lang w:val="lv-LV"/>
        </w:rPr>
        <w:t>4.4.</w:t>
      </w:r>
      <w:r w:rsidR="007F5B88">
        <w:rPr>
          <w:szCs w:val="22"/>
          <w:lang w:val="lv-LV"/>
        </w:rPr>
        <w:t xml:space="preserve"> </w:t>
      </w:r>
      <w:r w:rsidRPr="002E39A0">
        <w:rPr>
          <w:szCs w:val="22"/>
          <w:lang w:val="lv-LV"/>
        </w:rPr>
        <w:t>apakšpunkt</w:t>
      </w:r>
      <w:r w:rsidR="007E2F0D">
        <w:rPr>
          <w:szCs w:val="22"/>
          <w:lang w:val="lv-LV"/>
        </w:rPr>
        <w:t>u</w:t>
      </w:r>
      <w:r w:rsidRPr="002E39A0">
        <w:rPr>
          <w:bCs/>
          <w:szCs w:val="22"/>
          <w:lang w:val="lv-LV"/>
        </w:rPr>
        <w:t>).</w:t>
      </w:r>
    </w:p>
    <w:p w14:paraId="5D895EC0" w14:textId="77777777" w:rsidR="0002431B" w:rsidRDefault="0002431B" w:rsidP="00864B03">
      <w:pPr>
        <w:ind w:left="26"/>
        <w:rPr>
          <w:b/>
          <w:bCs/>
          <w:szCs w:val="22"/>
          <w:lang w:val="lv-LV"/>
        </w:rPr>
      </w:pPr>
    </w:p>
    <w:p w14:paraId="7A04D578" w14:textId="77777777" w:rsidR="0002431B" w:rsidRDefault="00864B03" w:rsidP="00864B03">
      <w:pPr>
        <w:ind w:left="26"/>
        <w:rPr>
          <w:b/>
          <w:bCs/>
          <w:szCs w:val="22"/>
          <w:lang w:val="lv-LV"/>
        </w:rPr>
      </w:pPr>
      <w:r w:rsidRPr="002E39A0">
        <w:rPr>
          <w:b/>
          <w:bCs/>
          <w:szCs w:val="22"/>
          <w:lang w:val="lv-LV"/>
        </w:rPr>
        <w:t>Aknu mazspēja</w:t>
      </w:r>
    </w:p>
    <w:p w14:paraId="267E681D" w14:textId="77777777" w:rsidR="00864B03" w:rsidRDefault="00864B03" w:rsidP="00864B03">
      <w:pPr>
        <w:ind w:left="26"/>
        <w:rPr>
          <w:bCs/>
          <w:szCs w:val="22"/>
          <w:lang w:val="lv-LV"/>
        </w:rPr>
      </w:pPr>
      <w:r w:rsidRPr="002E39A0">
        <w:rPr>
          <w:szCs w:val="22"/>
          <w:lang w:val="lv-LV"/>
        </w:rPr>
        <w:t xml:space="preserve">Pacientiem ar pavājinātu aknu funkciju </w:t>
      </w:r>
      <w:r>
        <w:rPr>
          <w:szCs w:val="22"/>
          <w:lang w:val="lv-LV"/>
        </w:rPr>
        <w:t>Monozide</w:t>
      </w:r>
      <w:r w:rsidRPr="002E39A0">
        <w:rPr>
          <w:szCs w:val="22"/>
          <w:lang w:val="lv-LV"/>
        </w:rPr>
        <w:t xml:space="preserve"> sākuma devas pielāgošana nav nepieciešama (skatīt </w:t>
      </w:r>
      <w:r w:rsidR="007F5B88" w:rsidRPr="002E39A0">
        <w:rPr>
          <w:szCs w:val="22"/>
          <w:lang w:val="lv-LV"/>
        </w:rPr>
        <w:t>4.4.</w:t>
      </w:r>
      <w:r w:rsidR="007F5B88">
        <w:rPr>
          <w:szCs w:val="22"/>
          <w:lang w:val="lv-LV"/>
        </w:rPr>
        <w:t xml:space="preserve"> </w:t>
      </w:r>
      <w:r w:rsidRPr="002E39A0">
        <w:rPr>
          <w:szCs w:val="22"/>
          <w:lang w:val="lv-LV"/>
        </w:rPr>
        <w:t>apakšpunkt</w:t>
      </w:r>
      <w:r w:rsidR="007E2F0D">
        <w:rPr>
          <w:szCs w:val="22"/>
          <w:lang w:val="lv-LV"/>
        </w:rPr>
        <w:t>u</w:t>
      </w:r>
      <w:r w:rsidRPr="002E39A0">
        <w:rPr>
          <w:bCs/>
          <w:szCs w:val="22"/>
          <w:lang w:val="lv-LV"/>
        </w:rPr>
        <w:t>).</w:t>
      </w:r>
    </w:p>
    <w:p w14:paraId="5A6CDC67" w14:textId="77777777" w:rsidR="0002431B" w:rsidRDefault="0002431B" w:rsidP="00864B03">
      <w:pPr>
        <w:ind w:left="26"/>
        <w:rPr>
          <w:b/>
          <w:bCs/>
          <w:szCs w:val="22"/>
          <w:lang w:val="lv-LV"/>
        </w:rPr>
      </w:pPr>
    </w:p>
    <w:p w14:paraId="1D503A48" w14:textId="77777777" w:rsidR="0002431B" w:rsidRDefault="00864B03" w:rsidP="00864B03">
      <w:pPr>
        <w:ind w:left="26"/>
        <w:rPr>
          <w:b/>
          <w:bCs/>
          <w:szCs w:val="22"/>
          <w:lang w:val="lv-LV"/>
        </w:rPr>
      </w:pPr>
      <w:r w:rsidRPr="002E39A0">
        <w:rPr>
          <w:b/>
          <w:bCs/>
          <w:szCs w:val="22"/>
          <w:lang w:val="lv-LV"/>
        </w:rPr>
        <w:t>Gados vecāki cilv</w:t>
      </w:r>
      <w:r>
        <w:rPr>
          <w:b/>
          <w:bCs/>
          <w:szCs w:val="22"/>
          <w:lang w:val="lv-LV"/>
        </w:rPr>
        <w:t>ē</w:t>
      </w:r>
      <w:r w:rsidRPr="002E39A0">
        <w:rPr>
          <w:b/>
          <w:bCs/>
          <w:szCs w:val="22"/>
          <w:lang w:val="lv-LV"/>
        </w:rPr>
        <w:t>ki</w:t>
      </w:r>
    </w:p>
    <w:p w14:paraId="29D88DFC" w14:textId="646022F5" w:rsidR="00864B03" w:rsidRDefault="00864B03" w:rsidP="00864B03">
      <w:pPr>
        <w:ind w:left="26"/>
        <w:rPr>
          <w:szCs w:val="22"/>
          <w:lang w:val="lv-LV"/>
        </w:rPr>
      </w:pPr>
      <w:r w:rsidRPr="002E39A0">
        <w:rPr>
          <w:szCs w:val="22"/>
          <w:lang w:val="lv-LV"/>
        </w:rPr>
        <w:t xml:space="preserve">Klīniskos pētījumos 20% pacientu, kas saņēma  </w:t>
      </w:r>
      <w:bookmarkStart w:id="1" w:name="_Hlk535929096"/>
      <w:r w:rsidRPr="002E39A0">
        <w:rPr>
          <w:szCs w:val="22"/>
          <w:lang w:val="lv-LV"/>
        </w:rPr>
        <w:t>fosinoprilu/</w:t>
      </w:r>
      <w:r>
        <w:rPr>
          <w:szCs w:val="22"/>
          <w:lang w:val="lv-LV"/>
        </w:rPr>
        <w:t xml:space="preserve">hidrohlortiazīdu </w:t>
      </w:r>
      <w:bookmarkEnd w:id="1"/>
      <w:r>
        <w:rPr>
          <w:szCs w:val="22"/>
          <w:lang w:val="lv-LV"/>
        </w:rPr>
        <w:t>(HCTZ)</w:t>
      </w:r>
      <w:r w:rsidRPr="002E39A0">
        <w:rPr>
          <w:szCs w:val="22"/>
          <w:lang w:val="lv-LV"/>
        </w:rPr>
        <w:t>, bija vecumā no 65 līdz 75 gadiem. Kopumā nenovēroja atšķirību starp šiem un jaunākiem pacientiem ne iedarbības, ne droš</w:t>
      </w:r>
      <w:r w:rsidR="00451495">
        <w:rPr>
          <w:szCs w:val="22"/>
          <w:lang w:val="lv-LV"/>
        </w:rPr>
        <w:t>uma</w:t>
      </w:r>
      <w:r w:rsidRPr="002E39A0">
        <w:rPr>
          <w:szCs w:val="22"/>
          <w:lang w:val="lv-LV"/>
        </w:rPr>
        <w:t xml:space="preserve"> ziņā; tomēr daž</w:t>
      </w:r>
      <w:r>
        <w:rPr>
          <w:szCs w:val="22"/>
          <w:lang w:val="lv-LV"/>
        </w:rPr>
        <w:t>iem</w:t>
      </w:r>
      <w:r w:rsidRPr="002E39A0">
        <w:rPr>
          <w:szCs w:val="22"/>
          <w:lang w:val="lv-LV"/>
        </w:rPr>
        <w:t xml:space="preserve"> vecāk</w:t>
      </w:r>
      <w:r>
        <w:rPr>
          <w:szCs w:val="22"/>
          <w:lang w:val="lv-LV"/>
        </w:rPr>
        <w:t>iem</w:t>
      </w:r>
      <w:r w:rsidRPr="002E39A0">
        <w:rPr>
          <w:szCs w:val="22"/>
          <w:lang w:val="lv-LV"/>
        </w:rPr>
        <w:t xml:space="preserve"> cilvēk</w:t>
      </w:r>
      <w:r>
        <w:rPr>
          <w:szCs w:val="22"/>
          <w:lang w:val="lv-LV"/>
        </w:rPr>
        <w:t>iem nevar izslēgt</w:t>
      </w:r>
      <w:r w:rsidRPr="002E39A0">
        <w:rPr>
          <w:szCs w:val="22"/>
          <w:lang w:val="lv-LV"/>
        </w:rPr>
        <w:t xml:space="preserve"> augstāku jutību</w:t>
      </w:r>
      <w:r>
        <w:rPr>
          <w:szCs w:val="22"/>
          <w:lang w:val="lv-LV"/>
        </w:rPr>
        <w:t>.</w:t>
      </w:r>
    </w:p>
    <w:p w14:paraId="73CBCE5E" w14:textId="77777777" w:rsidR="0002431B" w:rsidRDefault="0002431B" w:rsidP="00864B03">
      <w:pPr>
        <w:ind w:left="26"/>
        <w:rPr>
          <w:b/>
          <w:lang w:val="lv-LV"/>
        </w:rPr>
      </w:pPr>
    </w:p>
    <w:p w14:paraId="6CB8D379" w14:textId="77777777" w:rsidR="0002431B" w:rsidRDefault="0002431B" w:rsidP="00864B03">
      <w:pPr>
        <w:ind w:left="26"/>
        <w:rPr>
          <w:b/>
          <w:lang w:val="lv-LV"/>
        </w:rPr>
      </w:pPr>
      <w:r>
        <w:rPr>
          <w:b/>
          <w:lang w:val="lv-LV"/>
        </w:rPr>
        <w:t>Pediatriskā populācija</w:t>
      </w:r>
    </w:p>
    <w:p w14:paraId="0995B562" w14:textId="160FEEAC" w:rsidR="00864B03" w:rsidRPr="002E39A0" w:rsidRDefault="00864B03" w:rsidP="00864B03">
      <w:pPr>
        <w:ind w:left="26"/>
        <w:rPr>
          <w:lang w:val="lv-LV"/>
        </w:rPr>
      </w:pPr>
      <w:r>
        <w:rPr>
          <w:lang w:val="lv-LV"/>
        </w:rPr>
        <w:t>Monozide</w:t>
      </w:r>
      <w:r w:rsidRPr="002E39A0">
        <w:rPr>
          <w:lang w:val="lv-LV"/>
        </w:rPr>
        <w:t xml:space="preserve"> </w:t>
      </w:r>
      <w:r w:rsidR="007C7E91">
        <w:rPr>
          <w:lang w:val="lv-LV"/>
        </w:rPr>
        <w:t>bērniem līdz 18 gadu vecumam</w:t>
      </w:r>
      <w:r w:rsidRPr="002E39A0">
        <w:rPr>
          <w:lang w:val="lv-LV"/>
        </w:rPr>
        <w:t xml:space="preserve"> nelieto.</w:t>
      </w:r>
    </w:p>
    <w:p w14:paraId="4F5C1DC8" w14:textId="77777777" w:rsidR="00864B03" w:rsidRPr="002E39A0" w:rsidRDefault="00864B03" w:rsidP="00864B03">
      <w:pPr>
        <w:pStyle w:val="EMEABodyText"/>
        <w:rPr>
          <w:noProof/>
          <w:u w:val="single"/>
          <w:lang w:val="lv-LV"/>
        </w:rPr>
      </w:pPr>
    </w:p>
    <w:p w14:paraId="1BEF6FCE" w14:textId="77777777" w:rsidR="00864B03" w:rsidRPr="002E39A0" w:rsidRDefault="00864B03" w:rsidP="00864B03">
      <w:pPr>
        <w:pStyle w:val="EMEAHeading2"/>
        <w:keepNext w:val="0"/>
        <w:keepLines w:val="0"/>
        <w:rPr>
          <w:noProof/>
          <w:lang w:val="lv-LV"/>
        </w:rPr>
      </w:pPr>
      <w:r w:rsidRPr="002E39A0">
        <w:rPr>
          <w:noProof/>
          <w:lang w:val="lv-LV"/>
        </w:rPr>
        <w:t>4.3</w:t>
      </w:r>
      <w:r w:rsidR="0002431B">
        <w:rPr>
          <w:noProof/>
          <w:lang w:val="lv-LV"/>
        </w:rPr>
        <w:t>.</w:t>
      </w:r>
      <w:r w:rsidRPr="002E39A0">
        <w:rPr>
          <w:noProof/>
          <w:lang w:val="lv-LV"/>
        </w:rPr>
        <w:tab/>
        <w:t xml:space="preserve">Kontrindikācijas </w:t>
      </w:r>
    </w:p>
    <w:p w14:paraId="4BA0E5C3" w14:textId="77777777" w:rsidR="00864B03" w:rsidRPr="002E39A0" w:rsidRDefault="00864B03" w:rsidP="00864B03">
      <w:pPr>
        <w:pStyle w:val="EMEABodyText"/>
        <w:rPr>
          <w:noProof/>
          <w:lang w:val="lv-LV"/>
        </w:rPr>
      </w:pPr>
    </w:p>
    <w:p w14:paraId="769B3EF5" w14:textId="77777777" w:rsidR="00864B03" w:rsidRDefault="00864B03" w:rsidP="00864B03">
      <w:pPr>
        <w:pStyle w:val="EMEABodyTextIndent"/>
        <w:numPr>
          <w:ilvl w:val="0"/>
          <w:numId w:val="0"/>
        </w:numPr>
        <w:rPr>
          <w:lang w:val="lv-LV"/>
        </w:rPr>
      </w:pPr>
      <w:r w:rsidRPr="005C7916">
        <w:rPr>
          <w:noProof/>
          <w:lang w:val="lv-LV"/>
        </w:rPr>
        <w:t>Paaugstināta jutība pret aktīvo vielu vai jebkuru no palīgvielām. P</w:t>
      </w:r>
      <w:r w:rsidRPr="005C7916">
        <w:rPr>
          <w:lang w:val="lv-LV"/>
        </w:rPr>
        <w:t>aaugstināta jutība pret citiem angiotensīnu konvertējoš</w:t>
      </w:r>
      <w:r>
        <w:rPr>
          <w:lang w:val="lv-LV"/>
        </w:rPr>
        <w:t>ā</w:t>
      </w:r>
      <w:r w:rsidRPr="005C7916">
        <w:rPr>
          <w:lang w:val="lv-LV"/>
        </w:rPr>
        <w:t xml:space="preserve"> enzīm</w:t>
      </w:r>
      <w:r>
        <w:rPr>
          <w:lang w:val="lv-LV"/>
        </w:rPr>
        <w:t>a</w:t>
      </w:r>
      <w:r w:rsidRPr="005C7916">
        <w:rPr>
          <w:lang w:val="lv-LV"/>
        </w:rPr>
        <w:t xml:space="preserve"> </w:t>
      </w:r>
      <w:r>
        <w:rPr>
          <w:lang w:val="lv-LV"/>
        </w:rPr>
        <w:t>inhibitoriem vai</w:t>
      </w:r>
      <w:r w:rsidRPr="005C7916">
        <w:rPr>
          <w:lang w:val="lv-LV"/>
        </w:rPr>
        <w:t xml:space="preserve"> citām sulfonamīdu grupas zālēm (piem., tiazīdiem). Paaugstinātas jutības reakcijas ir vairāk iespējamas pacientiem, kam anamnēzē ir alerģija vai bronhiālā astma. </w:t>
      </w:r>
    </w:p>
    <w:p w14:paraId="3CCB2408" w14:textId="77777777" w:rsidR="00864B03" w:rsidRDefault="00864B03" w:rsidP="00864B03">
      <w:pPr>
        <w:pStyle w:val="EMEABodyTextIndent"/>
        <w:numPr>
          <w:ilvl w:val="0"/>
          <w:numId w:val="0"/>
        </w:numPr>
        <w:rPr>
          <w:lang w:val="lv-LV"/>
        </w:rPr>
      </w:pPr>
      <w:r>
        <w:rPr>
          <w:lang w:val="lv-LV"/>
        </w:rPr>
        <w:t>Anūrija.</w:t>
      </w:r>
    </w:p>
    <w:p w14:paraId="58321774" w14:textId="77777777" w:rsidR="00864B03" w:rsidRPr="006D0B52" w:rsidRDefault="00864B03" w:rsidP="00864B03">
      <w:pPr>
        <w:pStyle w:val="EMEABodyText"/>
        <w:rPr>
          <w:lang w:val="lv-LV"/>
        </w:rPr>
      </w:pPr>
      <w:r w:rsidRPr="006D0B52">
        <w:rPr>
          <w:lang w:val="lv-LV"/>
        </w:rPr>
        <w:t xml:space="preserve">Otrais un trešais grūtniecības trimestris (skatīt </w:t>
      </w:r>
      <w:r w:rsidR="0002431B" w:rsidRPr="006D0B52">
        <w:rPr>
          <w:lang w:val="lv-LV"/>
        </w:rPr>
        <w:t>4.4</w:t>
      </w:r>
      <w:r w:rsidR="0002431B">
        <w:rPr>
          <w:lang w:val="lv-LV"/>
        </w:rPr>
        <w:t>.</w:t>
      </w:r>
      <w:r w:rsidR="0002431B" w:rsidRPr="006D0B52">
        <w:rPr>
          <w:lang w:val="lv-LV"/>
        </w:rPr>
        <w:t xml:space="preserve"> un 4.6</w:t>
      </w:r>
      <w:r w:rsidR="0002431B">
        <w:rPr>
          <w:lang w:val="lv-LV"/>
        </w:rPr>
        <w:t xml:space="preserve">. </w:t>
      </w:r>
      <w:r w:rsidRPr="006D0B52">
        <w:rPr>
          <w:lang w:val="lv-LV"/>
        </w:rPr>
        <w:t>apakšpunktu).</w:t>
      </w:r>
    </w:p>
    <w:p w14:paraId="14BAA119" w14:textId="77777777" w:rsidR="00D77112" w:rsidRDefault="00D77112" w:rsidP="00D77112">
      <w:pPr>
        <w:rPr>
          <w:lang w:val="lv-LV"/>
        </w:rPr>
      </w:pPr>
      <w:r w:rsidRPr="00D77112">
        <w:rPr>
          <w:lang w:val="lv-LV"/>
        </w:rPr>
        <w:t>Pacientiem ar cukura diabētu vai nieru darbības traucējumiem (GFĀ &lt; 60 ml/min/1,73 m2) Mono</w:t>
      </w:r>
      <w:r>
        <w:rPr>
          <w:lang w:val="lv-LV"/>
        </w:rPr>
        <w:t>zide</w:t>
      </w:r>
      <w:r w:rsidRPr="00D77112">
        <w:rPr>
          <w:lang w:val="lv-LV"/>
        </w:rPr>
        <w:t xml:space="preserve"> lietošana kopā ar aliskirēnu saturošām zālēm ir kontrindicēta (skatīt 4.5. un 5.1. apakšpunktu).</w:t>
      </w:r>
    </w:p>
    <w:p w14:paraId="56C2FB65" w14:textId="77777777" w:rsidR="00E36591" w:rsidRPr="00D77112" w:rsidRDefault="00E36591" w:rsidP="00D77112">
      <w:pPr>
        <w:rPr>
          <w:lang w:val="lv-LV"/>
        </w:rPr>
      </w:pPr>
      <w:r w:rsidRPr="00E36591">
        <w:rPr>
          <w:lang w:val="lv-LV"/>
        </w:rPr>
        <w:t xml:space="preserve">Lietošana vienlaicīgi ar sakubitrilu/valsartānu. </w:t>
      </w:r>
      <w:bookmarkStart w:id="2" w:name="_Hlk535929767"/>
      <w:r>
        <w:rPr>
          <w:lang w:val="lv-LV"/>
        </w:rPr>
        <w:t>F</w:t>
      </w:r>
      <w:r w:rsidRPr="00E36591">
        <w:rPr>
          <w:lang w:val="lv-LV"/>
        </w:rPr>
        <w:t>osinopril</w:t>
      </w:r>
      <w:r>
        <w:rPr>
          <w:lang w:val="lv-LV"/>
        </w:rPr>
        <w:t>a</w:t>
      </w:r>
      <w:r w:rsidRPr="00E36591">
        <w:rPr>
          <w:lang w:val="lv-LV"/>
        </w:rPr>
        <w:t>/hidrohlortiazīd</w:t>
      </w:r>
      <w:r>
        <w:rPr>
          <w:lang w:val="lv-LV"/>
        </w:rPr>
        <w:t>a</w:t>
      </w:r>
      <w:r w:rsidRPr="00E36591">
        <w:rPr>
          <w:lang w:val="lv-LV"/>
        </w:rPr>
        <w:t xml:space="preserve"> </w:t>
      </w:r>
      <w:bookmarkEnd w:id="2"/>
      <w:r w:rsidRPr="00E36591">
        <w:rPr>
          <w:lang w:val="lv-LV"/>
        </w:rPr>
        <w:t>lietošanu drīkst sākt ne ātrāk kā 36 stundas pēc sakubitrila/valsartāna pēdējās devas lietošanas (skatīt arī 4.4. un 4.5. apakšpunktu).</w:t>
      </w:r>
    </w:p>
    <w:p w14:paraId="11333E31" w14:textId="77777777" w:rsidR="00864B03" w:rsidRPr="005C7916" w:rsidRDefault="00864B03" w:rsidP="00864B03">
      <w:pPr>
        <w:pStyle w:val="EMEABodyText"/>
        <w:rPr>
          <w:noProof/>
          <w:szCs w:val="22"/>
          <w:lang w:val="lv-LV"/>
        </w:rPr>
      </w:pPr>
    </w:p>
    <w:p w14:paraId="75E591DF" w14:textId="77777777" w:rsidR="00864B03" w:rsidRPr="005C7916" w:rsidRDefault="00864B03" w:rsidP="00864B03">
      <w:pPr>
        <w:pStyle w:val="EMEAHeading2"/>
        <w:rPr>
          <w:noProof/>
          <w:lang w:val="lv-LV"/>
        </w:rPr>
      </w:pPr>
      <w:r w:rsidRPr="005C7916">
        <w:rPr>
          <w:noProof/>
          <w:lang w:val="lv-LV"/>
        </w:rPr>
        <w:t>4.4</w:t>
      </w:r>
      <w:r w:rsidR="0002431B">
        <w:rPr>
          <w:noProof/>
          <w:lang w:val="lv-LV"/>
        </w:rPr>
        <w:t>.</w:t>
      </w:r>
      <w:r w:rsidRPr="005C7916">
        <w:rPr>
          <w:noProof/>
          <w:lang w:val="lv-LV"/>
        </w:rPr>
        <w:tab/>
        <w:t>Īpaši brīdinājumi un piesardzība lietošanā</w:t>
      </w:r>
    </w:p>
    <w:p w14:paraId="031A216F" w14:textId="77777777" w:rsidR="00D77112" w:rsidRDefault="00D77112" w:rsidP="00D77112">
      <w:pPr>
        <w:rPr>
          <w:b/>
          <w:snapToGrid w:val="0"/>
          <w:szCs w:val="22"/>
          <w:lang w:val="lv-LV" w:eastAsia="lv-LV"/>
        </w:rPr>
      </w:pPr>
    </w:p>
    <w:p w14:paraId="1C8157E6" w14:textId="77777777" w:rsidR="00D77112" w:rsidRPr="00D77112" w:rsidRDefault="00D77112" w:rsidP="00AA1B4B">
      <w:pPr>
        <w:rPr>
          <w:b/>
          <w:snapToGrid w:val="0"/>
          <w:szCs w:val="22"/>
          <w:lang w:val="lv-LV" w:eastAsia="lv-LV"/>
        </w:rPr>
      </w:pPr>
      <w:r w:rsidRPr="00D77112">
        <w:rPr>
          <w:b/>
          <w:snapToGrid w:val="0"/>
          <w:szCs w:val="22"/>
          <w:lang w:val="lv-LV" w:eastAsia="lv-LV"/>
        </w:rPr>
        <w:t>Renīna-</w:t>
      </w:r>
      <w:r w:rsidR="004D5D37">
        <w:rPr>
          <w:b/>
          <w:snapToGrid w:val="0"/>
          <w:szCs w:val="22"/>
          <w:lang w:val="lv-LV" w:eastAsia="lv-LV"/>
        </w:rPr>
        <w:t>angiotens</w:t>
      </w:r>
      <w:r w:rsidRPr="00D77112">
        <w:rPr>
          <w:b/>
          <w:snapToGrid w:val="0"/>
          <w:szCs w:val="22"/>
          <w:lang w:val="lv-LV" w:eastAsia="lv-LV"/>
        </w:rPr>
        <w:t>īna-aldosterona sistēmas (RAAS) dubulta blokāde</w:t>
      </w:r>
    </w:p>
    <w:p w14:paraId="2915CB5B" w14:textId="77777777" w:rsidR="00D77112" w:rsidRPr="00D77112" w:rsidRDefault="00D77112" w:rsidP="00D77112">
      <w:pPr>
        <w:rPr>
          <w:snapToGrid w:val="0"/>
          <w:szCs w:val="22"/>
          <w:lang w:val="lv-LV" w:eastAsia="lv-LV"/>
        </w:rPr>
      </w:pPr>
      <w:r w:rsidRPr="00D77112">
        <w:rPr>
          <w:snapToGrid w:val="0"/>
          <w:szCs w:val="22"/>
          <w:lang w:val="lv-LV" w:eastAsia="lv-LV"/>
        </w:rPr>
        <w:t xml:space="preserve">Ir pierādījumi, ka vienlaicīga AKE inhibitoru, </w:t>
      </w:r>
      <w:r w:rsidR="004D5D37">
        <w:rPr>
          <w:snapToGrid w:val="0"/>
          <w:szCs w:val="22"/>
          <w:lang w:val="lv-LV" w:eastAsia="lv-LV"/>
        </w:rPr>
        <w:t>angiotens</w:t>
      </w:r>
      <w:r w:rsidRPr="00D77112">
        <w:rPr>
          <w:snapToGrid w:val="0"/>
          <w:szCs w:val="22"/>
          <w:lang w:val="lv-LV" w:eastAsia="lv-LV"/>
        </w:rPr>
        <w:t xml:space="preserve">īna II receptoru blokatoru vai aliskirēna lietošana palielina hipotensijas, hiperkaliēmijas un pavājinātas nieru funkcijas (ieskaitot akūtu nieru mazspēju) risku. Tādēļ RAAS dubulta blokāde, lietojot kombinācijā AKE inhibitorus, </w:t>
      </w:r>
      <w:r w:rsidR="004D5D37">
        <w:rPr>
          <w:snapToGrid w:val="0"/>
          <w:szCs w:val="22"/>
          <w:lang w:val="lv-LV" w:eastAsia="lv-LV"/>
        </w:rPr>
        <w:t>angiotens</w:t>
      </w:r>
      <w:r w:rsidRPr="00D77112">
        <w:rPr>
          <w:snapToGrid w:val="0"/>
          <w:szCs w:val="22"/>
          <w:lang w:val="lv-LV" w:eastAsia="lv-LV"/>
        </w:rPr>
        <w:t>īna II receptoru blokatorus vai aliskirēnu, nav ieteicama (skatīt 4.5. un 5.1. apakšpunktu).</w:t>
      </w:r>
    </w:p>
    <w:p w14:paraId="44272066" w14:textId="77777777" w:rsidR="00D77112" w:rsidRPr="00D77112" w:rsidRDefault="00D77112" w:rsidP="00D77112">
      <w:pPr>
        <w:rPr>
          <w:snapToGrid w:val="0"/>
          <w:szCs w:val="22"/>
          <w:lang w:val="lv-LV" w:eastAsia="lv-LV"/>
        </w:rPr>
      </w:pPr>
      <w:r w:rsidRPr="00D77112">
        <w:rPr>
          <w:snapToGrid w:val="0"/>
          <w:szCs w:val="22"/>
          <w:lang w:val="lv-LV" w:eastAsia="lv-LV"/>
        </w:rPr>
        <w:t xml:space="preserve">Ja dubultu blokādi izraisoša ārstēšana ir absolūti nepieciešama, to drīkst veikt vienīgi veselības aprūpes speciālista uzraudzībā un bieži un rūpīgi jākontrolē nieru funkcija, elektrolītu līmenis asinīs un asinsspiediens. AKE inhibitorus un </w:t>
      </w:r>
      <w:r w:rsidR="004D5D37">
        <w:rPr>
          <w:snapToGrid w:val="0"/>
          <w:szCs w:val="22"/>
          <w:lang w:val="lv-LV" w:eastAsia="lv-LV"/>
        </w:rPr>
        <w:t>angiotens</w:t>
      </w:r>
      <w:r w:rsidRPr="00D77112">
        <w:rPr>
          <w:snapToGrid w:val="0"/>
          <w:szCs w:val="22"/>
          <w:lang w:val="lv-LV" w:eastAsia="lv-LV"/>
        </w:rPr>
        <w:t>īna II receptoru blokatorus nedrīkst vienlaicīgi lietot pacientiem ar diabētisku nefropātiju.</w:t>
      </w:r>
    </w:p>
    <w:p w14:paraId="2C12C7B1" w14:textId="77777777" w:rsidR="0091505D" w:rsidRDefault="0091505D" w:rsidP="005E29A4">
      <w:pPr>
        <w:pStyle w:val="Default"/>
        <w:rPr>
          <w:rFonts w:ascii="Times New Roman" w:hAnsi="Times New Roman" w:cs="Times New Roman"/>
          <w:b/>
          <w:iCs/>
          <w:sz w:val="22"/>
          <w:szCs w:val="22"/>
        </w:rPr>
      </w:pPr>
    </w:p>
    <w:p w14:paraId="67839496" w14:textId="77777777" w:rsidR="0091505D" w:rsidRPr="00E35DDE" w:rsidRDefault="0091505D" w:rsidP="0087367F">
      <w:pPr>
        <w:pStyle w:val="Default"/>
        <w:rPr>
          <w:rFonts w:ascii="Times New Roman" w:hAnsi="Times New Roman" w:cs="Times New Roman"/>
          <w:b/>
          <w:sz w:val="22"/>
          <w:szCs w:val="22"/>
        </w:rPr>
      </w:pPr>
      <w:r w:rsidRPr="00E35DDE">
        <w:rPr>
          <w:rFonts w:ascii="Times New Roman" w:hAnsi="Times New Roman" w:cs="Times New Roman"/>
          <w:b/>
          <w:iCs/>
          <w:sz w:val="22"/>
          <w:szCs w:val="22"/>
        </w:rPr>
        <w:t xml:space="preserve">Nemelanomas ādas vēzis </w:t>
      </w:r>
    </w:p>
    <w:p w14:paraId="3DE81CAD" w14:textId="77777777" w:rsidR="0091505D" w:rsidRPr="007C7E91" w:rsidRDefault="0091505D" w:rsidP="0087367F">
      <w:pPr>
        <w:pStyle w:val="Default"/>
        <w:rPr>
          <w:rFonts w:ascii="Times New Roman" w:hAnsi="Times New Roman" w:cs="Times New Roman"/>
          <w:sz w:val="22"/>
          <w:szCs w:val="22"/>
        </w:rPr>
      </w:pPr>
      <w:r w:rsidRPr="005E29A4">
        <w:rPr>
          <w:rFonts w:ascii="Times New Roman" w:hAnsi="Times New Roman" w:cs="Times New Roman"/>
          <w:sz w:val="22"/>
          <w:szCs w:val="22"/>
        </w:rPr>
        <w:t xml:space="preserve">Divos epidemioloģiskos pētījumos, pamatojoties uz Dānijas Nacionālo vēža reģistru, novēroja paaugstinātu nemelanomas ādas vēža [bazālo šūnu karcinomas un plakanšūnu karcinomas] risku, palielinoties hidrohlortiazīda kumulatīvajai devai. Hidrohlortiazīda fotosensibilizējošā ietekme varētu darboties kā iespējamais nemelanomas ādas vēža rašanās mehānisms. </w:t>
      </w:r>
    </w:p>
    <w:p w14:paraId="0CA0FF0E" w14:textId="77777777" w:rsidR="0091505D" w:rsidRPr="005E29A4" w:rsidRDefault="0091505D">
      <w:pPr>
        <w:rPr>
          <w:szCs w:val="22"/>
          <w:lang w:val="lv-LV"/>
        </w:rPr>
      </w:pPr>
      <w:r w:rsidRPr="005E29A4">
        <w:rPr>
          <w:szCs w:val="22"/>
          <w:lang w:val="lv-LV"/>
        </w:rPr>
        <w:t xml:space="preserve">Pacientiem, kuri lieto hidrohlortiazīdu, ir jāsniedz informācija par nemelanomas ādas vēža risku, jāiesaka regulāri pārbaudīt, vai nav radušies jauni ādas bojājumi, un nekavējoties ziņot par visiem aizdomīgajiem ādas bojājumiem. Lai mazinātu ādas vēža risku, pacientiem ir jāiesaka iespējamie profilaktiskie pasākumi, piemēram, saules gaismas un UV staru iedarbības ierobežošana un atbilstoša aizsardzība iedarbības gadījumā. Aizdomīgi ādas bojājumi ir nekavējoties jāpārbauda, potenciāli ietverot biopsijas materiāla histoloģisku izmeklēšanu. Iespējams, ir arī jāpārskata hidrohlortiazīda lietošana pacientiem, kuri agrāk slimojuši ar nemelanomas ādas vēzi (skatīt arī 4.8. apakšpunktu). </w:t>
      </w:r>
    </w:p>
    <w:p w14:paraId="17656646" w14:textId="77777777" w:rsidR="0091505D" w:rsidRPr="00AA7C44" w:rsidRDefault="0091505D" w:rsidP="0091505D">
      <w:pPr>
        <w:rPr>
          <w:sz w:val="18"/>
          <w:szCs w:val="18"/>
          <w:u w:val="single"/>
          <w:lang w:val="lv-LV"/>
        </w:rPr>
      </w:pPr>
    </w:p>
    <w:p w14:paraId="3A2B2A7F" w14:textId="77777777" w:rsidR="00864B03" w:rsidRDefault="00E20C6F" w:rsidP="00864B03">
      <w:pPr>
        <w:rPr>
          <w:b/>
          <w:bCs/>
          <w:szCs w:val="22"/>
          <w:lang w:val="lv-LV"/>
        </w:rPr>
      </w:pPr>
      <w:r w:rsidRPr="00E20C6F">
        <w:rPr>
          <w:b/>
          <w:bCs/>
          <w:szCs w:val="22"/>
          <w:lang w:val="lv-LV"/>
        </w:rPr>
        <w:t>Paaugstināta jutība/</w:t>
      </w:r>
      <w:r w:rsidR="00864B03">
        <w:rPr>
          <w:b/>
          <w:bCs/>
          <w:szCs w:val="22"/>
          <w:lang w:val="lv-LV"/>
        </w:rPr>
        <w:t>angioedēma</w:t>
      </w:r>
    </w:p>
    <w:p w14:paraId="250A1046" w14:textId="77777777" w:rsidR="00D04A41" w:rsidRPr="0087367F" w:rsidRDefault="00D04A41" w:rsidP="00D04A41">
      <w:pPr>
        <w:tabs>
          <w:tab w:val="left" w:pos="567"/>
        </w:tabs>
        <w:spacing w:line="260" w:lineRule="exact"/>
        <w:rPr>
          <w:szCs w:val="22"/>
          <w:lang w:val="lv-LV"/>
        </w:rPr>
      </w:pPr>
      <w:r w:rsidRPr="0087367F">
        <w:rPr>
          <w:szCs w:val="22"/>
          <w:lang w:val="lv-LV"/>
        </w:rPr>
        <w:t xml:space="preserve">AKE inhibitoru lietošana vienlaicīgi ar sakubitrilu/valsartānu ir kontrindicēta palielināta angioedēmas riska dēļ. Ārstēšanu ar sakubitrilu/valsartānu drīkst sākt ne ātrāk kā 36 stundas pēc </w:t>
      </w:r>
      <w:r w:rsidR="00475E79">
        <w:rPr>
          <w:szCs w:val="22"/>
          <w:lang w:val="lv-LV"/>
        </w:rPr>
        <w:t>f</w:t>
      </w:r>
      <w:r w:rsidRPr="00D04A41">
        <w:rPr>
          <w:szCs w:val="22"/>
          <w:lang w:val="lv-LV"/>
        </w:rPr>
        <w:t>osinoprila/</w:t>
      </w:r>
      <w:r w:rsidR="00475E79">
        <w:rPr>
          <w:szCs w:val="22"/>
          <w:lang w:val="lv-LV"/>
        </w:rPr>
        <w:t xml:space="preserve"> </w:t>
      </w:r>
      <w:r w:rsidRPr="00D04A41">
        <w:rPr>
          <w:szCs w:val="22"/>
          <w:lang w:val="lv-LV"/>
        </w:rPr>
        <w:t>hidrohlortiazīda</w:t>
      </w:r>
      <w:r w:rsidRPr="0087367F">
        <w:rPr>
          <w:szCs w:val="22"/>
          <w:lang w:val="lv-LV"/>
        </w:rPr>
        <w:t xml:space="preserve"> pēdējās devas lietošanas. Ārstēšanu ar </w:t>
      </w:r>
      <w:bookmarkStart w:id="3" w:name="_Hlk535933251"/>
      <w:r w:rsidR="00475E79">
        <w:rPr>
          <w:szCs w:val="22"/>
          <w:lang w:val="lv-LV"/>
        </w:rPr>
        <w:t>f</w:t>
      </w:r>
      <w:r w:rsidR="00475E79" w:rsidRPr="00475E79">
        <w:rPr>
          <w:szCs w:val="22"/>
          <w:lang w:val="lv-LV"/>
        </w:rPr>
        <w:t>osinopril</w:t>
      </w:r>
      <w:r w:rsidR="00475E79">
        <w:rPr>
          <w:szCs w:val="22"/>
          <w:lang w:val="lv-LV"/>
        </w:rPr>
        <w:t>u/hidrohlortiazīdu</w:t>
      </w:r>
      <w:r w:rsidR="00475E79" w:rsidRPr="00475E79">
        <w:rPr>
          <w:szCs w:val="22"/>
          <w:lang w:val="lv-LV"/>
        </w:rPr>
        <w:t xml:space="preserve"> </w:t>
      </w:r>
      <w:bookmarkEnd w:id="3"/>
      <w:r w:rsidRPr="0087367F">
        <w:rPr>
          <w:szCs w:val="22"/>
          <w:lang w:val="lv-LV"/>
        </w:rPr>
        <w:t>drīkst sākt ne ātrāk kā 36 stundas pēc sakubitrila/valsartāna pēdējās devas lietošanas (skatīt 4.3. un 4.5. apakšpunktu).</w:t>
      </w:r>
    </w:p>
    <w:p w14:paraId="0E1F0182" w14:textId="77777777" w:rsidR="00E20C6F" w:rsidRPr="00E20C6F" w:rsidRDefault="00D04A41" w:rsidP="00E20C6F">
      <w:pPr>
        <w:tabs>
          <w:tab w:val="left" w:pos="567"/>
        </w:tabs>
        <w:spacing w:line="260" w:lineRule="exact"/>
        <w:rPr>
          <w:lang w:val="lv-LV"/>
        </w:rPr>
      </w:pPr>
      <w:r w:rsidRPr="0087367F">
        <w:rPr>
          <w:szCs w:val="22"/>
          <w:lang w:val="lv-LV"/>
        </w:rPr>
        <w:t>AKE inhibitoru lietošana vienlaicīgi ar racekadotrilu, mTOR inhibitoriem (piemēram, sirolimu, everolimu, temsirolimu) un vildagliptīnu var palielināt angioedēmas (piemēram, elpceļu vai mēles pietūkuma ar elpošanas traucējumiem vai bez tiem) risku (skatīt 4.5. apakšpunktu). Racekadotrila, mTOR inhibitoru (piemēram, sirolima, everolima, temsirolima) un vildagliptīna lietošana pacientam, kurš jau lieto AKE inhibitoru, jāsāk uzmanīgi.</w:t>
      </w:r>
    </w:p>
    <w:p w14:paraId="568994EB" w14:textId="77777777" w:rsidR="00C4069C" w:rsidRDefault="00C4069C" w:rsidP="00864B03">
      <w:pPr>
        <w:rPr>
          <w:szCs w:val="22"/>
          <w:lang w:val="lv-LV"/>
        </w:rPr>
      </w:pPr>
    </w:p>
    <w:p w14:paraId="7722DA27" w14:textId="77777777" w:rsidR="00864B03" w:rsidRPr="005C7916" w:rsidRDefault="00864B03" w:rsidP="00864B03">
      <w:pPr>
        <w:rPr>
          <w:szCs w:val="22"/>
          <w:lang w:val="lv-LV"/>
        </w:rPr>
      </w:pPr>
      <w:r w:rsidRPr="005C7916">
        <w:rPr>
          <w:szCs w:val="22"/>
          <w:lang w:val="lv-LV"/>
        </w:rPr>
        <w:t xml:space="preserve">Pacientiem, ko ārstēja ar AKE inhibitoriem, ieskaitot fosinoprilu, novēroja </w:t>
      </w:r>
      <w:r>
        <w:rPr>
          <w:szCs w:val="22"/>
          <w:lang w:val="lv-LV"/>
        </w:rPr>
        <w:t>angioedēmu</w:t>
      </w:r>
      <w:r w:rsidRPr="005C7916">
        <w:rPr>
          <w:szCs w:val="22"/>
          <w:lang w:val="lv-LV"/>
        </w:rPr>
        <w:t>, kas skar ekstremitātes, seju, lūpas, gļotādas, mēli, balseni vai rīkli. Ja angio</w:t>
      </w:r>
      <w:r>
        <w:rPr>
          <w:szCs w:val="22"/>
          <w:lang w:val="lv-LV"/>
        </w:rPr>
        <w:t>edēma</w:t>
      </w:r>
      <w:r w:rsidRPr="005C7916">
        <w:rPr>
          <w:szCs w:val="22"/>
          <w:lang w:val="lv-LV"/>
        </w:rPr>
        <w:t xml:space="preserve"> skar mēli, balseni vai rīkli, iespējama elpošanas ceļu obstrukcija ar letālu iznākumu. Nekavējoties jāuzsāk neatliekamā palīdzība, kas ietver </w:t>
      </w:r>
      <w:r>
        <w:rPr>
          <w:szCs w:val="22"/>
          <w:lang w:val="lv-LV"/>
        </w:rPr>
        <w:t>adrenalīna</w:t>
      </w:r>
      <w:r w:rsidRPr="005C7916">
        <w:rPr>
          <w:szCs w:val="22"/>
          <w:lang w:val="lv-LV"/>
        </w:rPr>
        <w:t xml:space="preserve"> šķīduma (1:1000) subkutānu ievadīšanu, bet noteikti neaprobežojas tikai ar to. Sejas, mutes gļotādu, lūpu un ekstremitāšu pietūkums parasti iz</w:t>
      </w:r>
      <w:r>
        <w:rPr>
          <w:szCs w:val="22"/>
          <w:lang w:val="lv-LV"/>
        </w:rPr>
        <w:t>zūd</w:t>
      </w:r>
      <w:r w:rsidRPr="005C7916">
        <w:rPr>
          <w:szCs w:val="22"/>
          <w:lang w:val="lv-LV"/>
        </w:rPr>
        <w:t>, pārtraucot fosinoprila lietošanu; dažos gadījumos nepieciešama medikamentoza terapija.</w:t>
      </w:r>
    </w:p>
    <w:p w14:paraId="0F1801C2" w14:textId="77777777" w:rsidR="00864B03" w:rsidRPr="005C7916" w:rsidRDefault="00864B03" w:rsidP="00864B03">
      <w:pPr>
        <w:rPr>
          <w:szCs w:val="22"/>
          <w:lang w:val="lv-LV"/>
        </w:rPr>
      </w:pPr>
    </w:p>
    <w:p w14:paraId="27081F0F" w14:textId="77777777" w:rsidR="00864B03" w:rsidRPr="005C7916" w:rsidRDefault="00864B03" w:rsidP="00864B03">
      <w:pPr>
        <w:rPr>
          <w:b/>
          <w:szCs w:val="22"/>
          <w:lang w:val="lv-LV"/>
        </w:rPr>
      </w:pPr>
      <w:r w:rsidRPr="005C7916">
        <w:rPr>
          <w:b/>
          <w:szCs w:val="22"/>
          <w:lang w:val="lv-LV"/>
        </w:rPr>
        <w:lastRenderedPageBreak/>
        <w:t xml:space="preserve">Intestināla angioedēma </w:t>
      </w:r>
    </w:p>
    <w:p w14:paraId="7D9C4309" w14:textId="77777777" w:rsidR="00864B03" w:rsidRPr="005C7916" w:rsidRDefault="00864B03" w:rsidP="00864B03">
      <w:pPr>
        <w:rPr>
          <w:szCs w:val="22"/>
          <w:lang w:val="lv-LV"/>
        </w:rPr>
      </w:pPr>
      <w:r w:rsidRPr="005C7916">
        <w:rPr>
          <w:szCs w:val="22"/>
          <w:lang w:val="lv-LV"/>
        </w:rPr>
        <w:t>Intestināla angioedēma reti novērota slimniekiem, kas ārstēti ar AKE inhibitoriem. Šiem slimniekiem bija abdominālas sāpes (ar sliktu dūšu vai vemšanu, vai arī bez tā); dažos gadījumos anamnēzē nav bijusi sejas angioedēma un C-1 esterāzes līmenis bija normāls. Angioedēma tika diagnosticēta, veicot procedūras, tostarp abdominālo KT skenēšanu vai izmeklēšanu ar ultraskaņu, vai operāciju laikā; simptomi izzuda pēc AKE inhibitora lietošanas pārtraukšanas.</w:t>
      </w:r>
      <w:r>
        <w:rPr>
          <w:szCs w:val="22"/>
          <w:lang w:val="lv-LV"/>
        </w:rPr>
        <w:t xml:space="preserve"> </w:t>
      </w:r>
      <w:r w:rsidRPr="005C7916">
        <w:rPr>
          <w:szCs w:val="22"/>
          <w:lang w:val="lv-LV"/>
        </w:rPr>
        <w:t>Intestināla a</w:t>
      </w:r>
      <w:r>
        <w:rPr>
          <w:szCs w:val="22"/>
          <w:lang w:val="lv-LV"/>
        </w:rPr>
        <w:t>n</w:t>
      </w:r>
      <w:r w:rsidRPr="005C7916">
        <w:rPr>
          <w:szCs w:val="22"/>
          <w:lang w:val="lv-LV"/>
        </w:rPr>
        <w:t>gioedēma jāiekļauj slimnieku, kuri saņem AKE inhibitorus un kuriem ir abdominālas sāpes, diferenciāldiagnozē.</w:t>
      </w:r>
    </w:p>
    <w:p w14:paraId="6EC4A023" w14:textId="77777777" w:rsidR="00864B03" w:rsidRPr="005C7916" w:rsidRDefault="00864B03" w:rsidP="00864B03">
      <w:pPr>
        <w:rPr>
          <w:szCs w:val="22"/>
          <w:lang w:val="lv-LV"/>
        </w:rPr>
      </w:pPr>
    </w:p>
    <w:p w14:paraId="08403FE7" w14:textId="77777777" w:rsidR="00864B03" w:rsidRDefault="00864B03" w:rsidP="00864B03">
      <w:pPr>
        <w:rPr>
          <w:b/>
          <w:bCs/>
          <w:iCs/>
          <w:szCs w:val="22"/>
          <w:lang w:val="lv-LV"/>
        </w:rPr>
      </w:pPr>
      <w:r w:rsidRPr="005C7916">
        <w:rPr>
          <w:b/>
          <w:bCs/>
          <w:iCs/>
          <w:szCs w:val="22"/>
          <w:lang w:val="lv-LV"/>
        </w:rPr>
        <w:t>Anafilaktoīdas reakcijas desensitizācijas laikā</w:t>
      </w:r>
    </w:p>
    <w:p w14:paraId="23E024A9" w14:textId="77777777" w:rsidR="00864B03" w:rsidRPr="005C7916" w:rsidRDefault="00864B03" w:rsidP="00864B03">
      <w:pPr>
        <w:rPr>
          <w:szCs w:val="22"/>
          <w:lang w:val="lv-LV"/>
        </w:rPr>
      </w:pPr>
      <w:r w:rsidRPr="005C7916">
        <w:rPr>
          <w:szCs w:val="22"/>
          <w:lang w:val="lv-LV"/>
        </w:rPr>
        <w:t xml:space="preserve">Diviem pacientiem, kas saņēma citu AKE inhibitoru – enalaprilu, veicot desensitizācijas kursu ar </w:t>
      </w:r>
      <w:r w:rsidRPr="005C7916">
        <w:rPr>
          <w:i/>
          <w:iCs/>
          <w:szCs w:val="22"/>
          <w:lang w:val="lv-LV"/>
        </w:rPr>
        <w:t xml:space="preserve">hymenoptera </w:t>
      </w:r>
      <w:r>
        <w:rPr>
          <w:i/>
          <w:iCs/>
          <w:szCs w:val="22"/>
          <w:lang w:val="lv-LV"/>
        </w:rPr>
        <w:t>venom</w:t>
      </w:r>
      <w:r w:rsidRPr="005C7916">
        <w:rPr>
          <w:i/>
          <w:iCs/>
          <w:szCs w:val="22"/>
          <w:lang w:val="lv-LV"/>
        </w:rPr>
        <w:t xml:space="preserve">, </w:t>
      </w:r>
      <w:r w:rsidRPr="005C7916">
        <w:rPr>
          <w:szCs w:val="22"/>
          <w:lang w:val="lv-LV"/>
        </w:rPr>
        <w:t xml:space="preserve">bija dzīvību apdraudošas anafilaktoīdas reakcijas. Šie pacienti no minētajām reakcijām izvairījās, uz laiku pārtraucot AKE lietošanu, bet tās no jauna parādījās pēc netīšas </w:t>
      </w:r>
      <w:r>
        <w:rPr>
          <w:szCs w:val="22"/>
          <w:lang w:val="lv-LV"/>
        </w:rPr>
        <w:t>to lietošanas</w:t>
      </w:r>
      <w:r w:rsidRPr="005C7916">
        <w:rPr>
          <w:szCs w:val="22"/>
          <w:lang w:val="lv-LV"/>
        </w:rPr>
        <w:t>. Tāpēc, veicot šādas desensitizācijas procedūras pacientiem, ko ārstē ar AKE inhibitoriem, jāievēro piesardzība.</w:t>
      </w:r>
    </w:p>
    <w:p w14:paraId="68EB3385" w14:textId="77777777" w:rsidR="00864B03" w:rsidRPr="005C7916" w:rsidRDefault="00864B03" w:rsidP="00864B03">
      <w:pPr>
        <w:rPr>
          <w:szCs w:val="22"/>
          <w:lang w:val="lv-LV"/>
        </w:rPr>
      </w:pPr>
    </w:p>
    <w:p w14:paraId="22246423" w14:textId="77777777" w:rsidR="00864B03" w:rsidRPr="005C7916" w:rsidRDefault="00864B03" w:rsidP="00864B03">
      <w:pPr>
        <w:rPr>
          <w:b/>
          <w:bCs/>
          <w:szCs w:val="22"/>
          <w:lang w:val="lv-LV"/>
        </w:rPr>
      </w:pPr>
      <w:r w:rsidRPr="005C7916">
        <w:rPr>
          <w:b/>
          <w:bCs/>
          <w:szCs w:val="22"/>
          <w:lang w:val="lv-LV"/>
        </w:rPr>
        <w:t>Anafilaktoīdas reakcijas augstas plūsmas dialīzes/lipoproteīna aferēzes membrānas lietošanas laikā</w:t>
      </w:r>
    </w:p>
    <w:p w14:paraId="69225EFD" w14:textId="77777777" w:rsidR="00864B03" w:rsidRPr="005C7916" w:rsidRDefault="00864B03" w:rsidP="00864B03">
      <w:pPr>
        <w:rPr>
          <w:szCs w:val="22"/>
          <w:lang w:val="lv-LV"/>
        </w:rPr>
      </w:pPr>
      <w:r w:rsidRPr="005C7916">
        <w:rPr>
          <w:szCs w:val="22"/>
          <w:lang w:val="lv-LV"/>
        </w:rPr>
        <w:t xml:space="preserve">Pacientiem, kas lietoja AKE inhibitoru un kam veica hemodialīzi  ar augstas plūsmas dialīzes membrānām, novēroja anafilaktoīdas reakcijas. Ir zināmas anafilaktoīdas reakcijas pacientiem, kas pakļauti zema blīvuma </w:t>
      </w:r>
      <w:r>
        <w:rPr>
          <w:szCs w:val="22"/>
          <w:lang w:val="lv-LV"/>
        </w:rPr>
        <w:t xml:space="preserve">lipoproteīnu </w:t>
      </w:r>
      <w:r w:rsidRPr="005C7916">
        <w:rPr>
          <w:szCs w:val="22"/>
          <w:lang w:val="lv-LV"/>
        </w:rPr>
        <w:t>aferēzei</w:t>
      </w:r>
      <w:r w:rsidRPr="005C7916">
        <w:rPr>
          <w:b/>
          <w:bCs/>
          <w:szCs w:val="22"/>
          <w:lang w:val="lv-LV"/>
        </w:rPr>
        <w:t xml:space="preserve"> </w:t>
      </w:r>
      <w:r w:rsidRPr="005C7916">
        <w:rPr>
          <w:szCs w:val="22"/>
          <w:lang w:val="lv-LV"/>
        </w:rPr>
        <w:t>ar dekstrāna sulfāta absorbciju. Šiem pacientiem jāapsver cita tipa dialīzes membrānu vai citas klases medikamentu lietošana.</w:t>
      </w:r>
    </w:p>
    <w:p w14:paraId="66A30CAA" w14:textId="77777777" w:rsidR="00864B03" w:rsidRPr="005C7916" w:rsidRDefault="00864B03" w:rsidP="00864B03">
      <w:pPr>
        <w:rPr>
          <w:szCs w:val="22"/>
          <w:lang w:val="lv-LV"/>
        </w:rPr>
      </w:pPr>
    </w:p>
    <w:p w14:paraId="1829C029" w14:textId="77777777" w:rsidR="00864B03" w:rsidRPr="00B5729E" w:rsidRDefault="00864B03" w:rsidP="00864B03">
      <w:pPr>
        <w:pStyle w:val="Heading3"/>
        <w:numPr>
          <w:ilvl w:val="0"/>
          <w:numId w:val="0"/>
        </w:numPr>
        <w:spacing w:before="0" w:after="0"/>
        <w:rPr>
          <w:sz w:val="22"/>
          <w:szCs w:val="22"/>
          <w:lang w:val="lv-LV"/>
        </w:rPr>
      </w:pPr>
      <w:r w:rsidRPr="00B5729E">
        <w:rPr>
          <w:sz w:val="22"/>
          <w:szCs w:val="22"/>
          <w:lang w:val="lv-LV"/>
        </w:rPr>
        <w:t>Neitropēnija/Agranulocitoze</w:t>
      </w:r>
    </w:p>
    <w:p w14:paraId="14BD95AD" w14:textId="77777777" w:rsidR="00864B03" w:rsidRPr="005C7916" w:rsidRDefault="00864B03" w:rsidP="00864B03">
      <w:pPr>
        <w:pStyle w:val="BodyTextIndent2"/>
        <w:ind w:left="0"/>
        <w:jc w:val="left"/>
        <w:rPr>
          <w:sz w:val="22"/>
          <w:szCs w:val="22"/>
          <w:lang w:val="lv-LV"/>
        </w:rPr>
      </w:pPr>
      <w:r w:rsidRPr="005C7916">
        <w:rPr>
          <w:sz w:val="22"/>
          <w:szCs w:val="22"/>
          <w:lang w:val="lv-LV"/>
        </w:rPr>
        <w:t>Retos gadījumos angiotensīnu konvertējošā enzīma inhibitors izraisa agranulocitozi un nomāc kaulu smadzeņu darbību; šādi gadījumi biežāk sastopami pacientiem ar nieru mazspēju, īpaši, ja viņiem ir arī kolagenoze – vaskulāra slimība, piemēram, sistēmiskā sarkanā vilkēde vai sklerodermija. Tādiem pacientiem jāapsver balto asins šūnu skaita kontrole. Retos gadījumos tiazīdu grupas diurētiskie līdzekļi izraisa agranulocitozi un kaula smadzeņu darbības traucējumus.</w:t>
      </w:r>
    </w:p>
    <w:p w14:paraId="4823CAD7" w14:textId="77777777" w:rsidR="00864B03" w:rsidRPr="005C7916" w:rsidRDefault="00864B03" w:rsidP="00864B03">
      <w:pPr>
        <w:pStyle w:val="BodyTextIndent2"/>
        <w:ind w:left="0"/>
        <w:jc w:val="left"/>
        <w:rPr>
          <w:sz w:val="22"/>
          <w:szCs w:val="22"/>
          <w:lang w:val="lv-LV"/>
        </w:rPr>
      </w:pPr>
    </w:p>
    <w:p w14:paraId="20296E67" w14:textId="77777777" w:rsidR="00864B03" w:rsidRPr="005C7916" w:rsidRDefault="00864B03" w:rsidP="00864B03">
      <w:pPr>
        <w:pStyle w:val="BodyTextIndent2"/>
        <w:ind w:left="0"/>
        <w:jc w:val="left"/>
        <w:rPr>
          <w:b/>
          <w:bCs/>
          <w:iCs/>
          <w:sz w:val="22"/>
          <w:szCs w:val="22"/>
          <w:lang w:val="lv-LV"/>
        </w:rPr>
      </w:pPr>
      <w:r w:rsidRPr="005C7916">
        <w:rPr>
          <w:b/>
          <w:bCs/>
          <w:iCs/>
          <w:sz w:val="22"/>
          <w:szCs w:val="22"/>
          <w:lang w:val="lv-LV"/>
        </w:rPr>
        <w:t>Hipotensija</w:t>
      </w:r>
    </w:p>
    <w:p w14:paraId="707D2627" w14:textId="77777777" w:rsidR="00864B03" w:rsidRPr="003B12B9" w:rsidRDefault="00864B03" w:rsidP="00864B03">
      <w:pPr>
        <w:pStyle w:val="BodyTextIndent2"/>
        <w:ind w:left="0"/>
        <w:jc w:val="left"/>
        <w:rPr>
          <w:sz w:val="22"/>
          <w:szCs w:val="22"/>
          <w:lang w:val="lv-LV"/>
        </w:rPr>
      </w:pPr>
      <w:r w:rsidRPr="005C7916">
        <w:rPr>
          <w:sz w:val="22"/>
          <w:szCs w:val="22"/>
          <w:lang w:val="lv-LV"/>
        </w:rPr>
        <w:t xml:space="preserve">Fosinoprils var izraisīt simptomātisku hipotensiju; tas notiek reti, un lielāka iespējamība pacientiem ar tilpuma- un/vai sāļu izsīkumu, kas radies ilgstošas diurētisko līdzekļu lietošanas, sāls ierobežošanas, </w:t>
      </w:r>
      <w:r w:rsidRPr="003B12B9">
        <w:rPr>
          <w:sz w:val="22"/>
          <w:szCs w:val="22"/>
          <w:lang w:val="lv-LV"/>
        </w:rPr>
        <w:t>dialīzes, caurejas vai vemšanas rezultātā. Pirms ārstēšanas uzsākšanas ar Monozide jākoriģē tilpuma- un/vai sāļu iztrūkums.</w:t>
      </w:r>
    </w:p>
    <w:p w14:paraId="0C2DA3FA" w14:textId="77777777" w:rsidR="00C4069C" w:rsidRDefault="00C4069C" w:rsidP="00864B03">
      <w:pPr>
        <w:rPr>
          <w:szCs w:val="22"/>
          <w:lang w:val="lv-LV"/>
        </w:rPr>
      </w:pPr>
    </w:p>
    <w:p w14:paraId="4DF86065" w14:textId="77777777" w:rsidR="00864B03" w:rsidRDefault="00864B03" w:rsidP="00864B03">
      <w:pPr>
        <w:rPr>
          <w:szCs w:val="22"/>
          <w:lang w:val="lv-LV"/>
        </w:rPr>
      </w:pPr>
      <w:r w:rsidRPr="005C7916">
        <w:rPr>
          <w:szCs w:val="22"/>
          <w:lang w:val="lv-LV"/>
        </w:rPr>
        <w:t xml:space="preserve">Pacientiem ar </w:t>
      </w:r>
      <w:r w:rsidRPr="00725E5C">
        <w:rPr>
          <w:lang w:val="lv-LV"/>
        </w:rPr>
        <w:t>sastrēguma sirds mazspēju</w:t>
      </w:r>
      <w:r w:rsidRPr="005C7916" w:rsidDel="00725E5C">
        <w:rPr>
          <w:szCs w:val="22"/>
          <w:lang w:val="lv-LV"/>
        </w:rPr>
        <w:t xml:space="preserve"> </w:t>
      </w:r>
      <w:r w:rsidRPr="005C7916">
        <w:rPr>
          <w:szCs w:val="22"/>
          <w:lang w:val="lv-LV"/>
        </w:rPr>
        <w:t>ar vai bez  nieru mazspēj</w:t>
      </w:r>
      <w:r>
        <w:rPr>
          <w:szCs w:val="22"/>
          <w:lang w:val="lv-LV"/>
        </w:rPr>
        <w:t>as</w:t>
      </w:r>
      <w:r w:rsidRPr="005C7916">
        <w:rPr>
          <w:szCs w:val="22"/>
          <w:lang w:val="lv-LV"/>
        </w:rPr>
        <w:t xml:space="preserve"> AKE inhibitoru terapija var izraisīt pārmērīgu hipotensiju, kas savukārt var būt saistīta ar oligūriju, azotēmiju, retāk ar nieru bojājumiem un nāvi. Tādiem pacientiem </w:t>
      </w:r>
      <w:r>
        <w:rPr>
          <w:szCs w:val="22"/>
          <w:lang w:val="lv-LV"/>
        </w:rPr>
        <w:t>Monozide</w:t>
      </w:r>
      <w:r w:rsidRPr="005C7916">
        <w:rPr>
          <w:szCs w:val="22"/>
          <w:lang w:val="lv-LV"/>
        </w:rPr>
        <w:t xml:space="preserve"> terapija jāuzsāk stingrā ārsta uzraudzībā. Pacienti rūpīgi jānovēro ārstēšanas pirmās divas nedēļas un vienmēr, kad palielina devu. </w:t>
      </w:r>
    </w:p>
    <w:p w14:paraId="4C96F3D5" w14:textId="77777777" w:rsidR="00C4069C" w:rsidRDefault="00C4069C" w:rsidP="00864B03">
      <w:pPr>
        <w:rPr>
          <w:szCs w:val="22"/>
          <w:lang w:val="lv-LV"/>
        </w:rPr>
      </w:pPr>
    </w:p>
    <w:p w14:paraId="561516DB" w14:textId="77777777" w:rsidR="00864B03" w:rsidRPr="005C7916" w:rsidRDefault="00864B03" w:rsidP="00864B03">
      <w:pPr>
        <w:rPr>
          <w:szCs w:val="22"/>
          <w:lang w:val="lv-LV"/>
        </w:rPr>
      </w:pPr>
      <w:r w:rsidRPr="005C7916">
        <w:rPr>
          <w:szCs w:val="22"/>
          <w:lang w:val="lv-LV"/>
        </w:rPr>
        <w:t>Tiazīdu grupas medikamenti var pastiprināt citu antihi</w:t>
      </w:r>
      <w:r>
        <w:rPr>
          <w:szCs w:val="22"/>
          <w:lang w:val="lv-LV"/>
        </w:rPr>
        <w:t>pertensīvo līdzekļu iedarbību (s</w:t>
      </w:r>
      <w:r w:rsidRPr="005C7916">
        <w:rPr>
          <w:szCs w:val="22"/>
          <w:lang w:val="lv-LV"/>
        </w:rPr>
        <w:t>katīt</w:t>
      </w:r>
      <w:r>
        <w:rPr>
          <w:szCs w:val="22"/>
          <w:lang w:val="lv-LV"/>
        </w:rPr>
        <w:t xml:space="preserve"> </w:t>
      </w:r>
      <w:r w:rsidR="00EE7A3C" w:rsidRPr="005C7916">
        <w:rPr>
          <w:bCs/>
          <w:szCs w:val="22"/>
          <w:lang w:val="lv-LV"/>
        </w:rPr>
        <w:t>4.5.</w:t>
      </w:r>
      <w:r w:rsidR="00EE7A3C">
        <w:rPr>
          <w:bCs/>
          <w:szCs w:val="22"/>
          <w:lang w:val="lv-LV"/>
        </w:rPr>
        <w:t xml:space="preserve"> </w:t>
      </w:r>
      <w:r w:rsidRPr="005C7916">
        <w:rPr>
          <w:bCs/>
          <w:szCs w:val="22"/>
          <w:lang w:val="lv-LV"/>
        </w:rPr>
        <w:t>apakšpunkt</w:t>
      </w:r>
      <w:r w:rsidR="00206624">
        <w:rPr>
          <w:bCs/>
          <w:szCs w:val="22"/>
          <w:lang w:val="lv-LV"/>
        </w:rPr>
        <w:t>u</w:t>
      </w:r>
      <w:r w:rsidRPr="005C7916">
        <w:rPr>
          <w:szCs w:val="22"/>
          <w:lang w:val="lv-LV"/>
        </w:rPr>
        <w:t>).</w:t>
      </w:r>
      <w:r>
        <w:rPr>
          <w:szCs w:val="22"/>
          <w:lang w:val="lv-LV"/>
        </w:rPr>
        <w:t xml:space="preserve"> </w:t>
      </w:r>
      <w:r w:rsidRPr="005C7916">
        <w:rPr>
          <w:szCs w:val="22"/>
          <w:lang w:val="lv-LV"/>
        </w:rPr>
        <w:t>Turklāt tiazīdu grupas diurētisko līdzekļu antihipertensīvā iedarbība var pastiprināties pacientiem pēc simpatektomijas.</w:t>
      </w:r>
    </w:p>
    <w:p w14:paraId="021ABFA8" w14:textId="77777777" w:rsidR="00864B03" w:rsidRPr="005C7916" w:rsidRDefault="00864B03" w:rsidP="00864B03">
      <w:pPr>
        <w:rPr>
          <w:szCs w:val="22"/>
          <w:lang w:val="lv-LV"/>
        </w:rPr>
      </w:pPr>
    </w:p>
    <w:p w14:paraId="57373951" w14:textId="77777777" w:rsidR="00864B03" w:rsidRPr="005C7916" w:rsidRDefault="00864B03" w:rsidP="00864B03">
      <w:pPr>
        <w:rPr>
          <w:b/>
          <w:bCs/>
          <w:szCs w:val="22"/>
          <w:lang w:val="lv-LV"/>
        </w:rPr>
      </w:pPr>
      <w:r w:rsidRPr="005C7916">
        <w:rPr>
          <w:b/>
          <w:bCs/>
          <w:szCs w:val="22"/>
          <w:lang w:val="lv-LV"/>
        </w:rPr>
        <w:t>Augļa/jaundzimušā saslimstība un mirstība</w:t>
      </w:r>
    </w:p>
    <w:p w14:paraId="7C9EB57C" w14:textId="77777777" w:rsidR="00864B03" w:rsidRDefault="00864B03" w:rsidP="00864B03">
      <w:pPr>
        <w:autoSpaceDE w:val="0"/>
        <w:autoSpaceDN w:val="0"/>
        <w:adjustRightInd w:val="0"/>
        <w:rPr>
          <w:rFonts w:ascii="TimesNewRomanPSMT" w:hAnsi="TimesNewRomanPSMT" w:cs="TimesNewRomanPSMT"/>
          <w:szCs w:val="22"/>
          <w:lang w:val="lv-LV" w:eastAsia="lv-LV"/>
        </w:rPr>
      </w:pPr>
      <w:r w:rsidRPr="00725E5C">
        <w:rPr>
          <w:lang w:val="lv-LV"/>
        </w:rPr>
        <w:t xml:space="preserve">AKE inhibitoru lietošana grūtniecības periodā var izraisīt augļa attīstības traucējumus, pat nāvi. </w:t>
      </w:r>
      <w:r>
        <w:rPr>
          <w:lang w:val="lv-LV"/>
        </w:rPr>
        <w:t>G</w:t>
      </w:r>
      <w:r>
        <w:rPr>
          <w:rFonts w:ascii="TimesNewRomanPSMT" w:hAnsi="TimesNewRomanPSMT" w:cs="TimesNewRomanPSMT"/>
          <w:szCs w:val="22"/>
          <w:lang w:val="lv-LV" w:eastAsia="lv-LV"/>
        </w:rPr>
        <w:t>rūtniecības laikā nav ieteicams sākt AKE inhibitoru lietošanu. Pacientēm, kas plāno</w:t>
      </w:r>
    </w:p>
    <w:p w14:paraId="6FA55DD0"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grūtniecību, līdzšinējā AKE inhibitoru terapija jāmaina pret alternatīvu antihipertensīvu terapiju ar</w:t>
      </w:r>
      <w:r w:rsidR="009B0860">
        <w:rPr>
          <w:rFonts w:ascii="TimesNewRomanPSMT" w:hAnsi="TimesNewRomanPSMT" w:cs="TimesNewRomanPSMT"/>
          <w:szCs w:val="22"/>
          <w:lang w:val="lv-LV" w:eastAsia="lv-LV"/>
        </w:rPr>
        <w:t xml:space="preserve"> </w:t>
      </w:r>
      <w:r>
        <w:rPr>
          <w:rFonts w:ascii="TimesNewRomanPSMT" w:hAnsi="TimesNewRomanPSMT" w:cs="TimesNewRomanPSMT"/>
          <w:szCs w:val="22"/>
          <w:lang w:val="lv-LV" w:eastAsia="lv-LV"/>
        </w:rPr>
        <w:t>vispāratzītu drošuma raksturojumu lietošanai grūtniecības laikā, ja vien turpmāka AKE inhibitoru</w:t>
      </w:r>
    </w:p>
    <w:p w14:paraId="360CF9DC" w14:textId="77777777" w:rsidR="00864B03" w:rsidRPr="009B0860"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lietošana netiek uzskatīta par būtisku. Tiklīdz ir diagnosticēta grūtniecība, AKE inhibitoru lietošana</w:t>
      </w:r>
      <w:r w:rsidR="009B0860">
        <w:rPr>
          <w:rFonts w:ascii="TimesNewRomanPSMT" w:hAnsi="TimesNewRomanPSMT" w:cs="TimesNewRomanPSMT"/>
          <w:szCs w:val="22"/>
          <w:lang w:val="lv-LV" w:eastAsia="lv-LV"/>
        </w:rPr>
        <w:t xml:space="preserve"> </w:t>
      </w:r>
      <w:r>
        <w:rPr>
          <w:rFonts w:ascii="TimesNewRomanPSMT" w:hAnsi="TimesNewRomanPSMT" w:cs="TimesNewRomanPSMT"/>
          <w:szCs w:val="22"/>
          <w:lang w:val="lv-LV" w:eastAsia="lv-LV"/>
        </w:rPr>
        <w:t>nekavējoties jāpārtrauc un, ja nepieciešams, jāsāk alternatīva terapija</w:t>
      </w:r>
      <w:r w:rsidRPr="00725E5C">
        <w:rPr>
          <w:lang w:val="lv-LV"/>
        </w:rPr>
        <w:t xml:space="preserve"> (skatīt </w:t>
      </w:r>
      <w:r w:rsidR="00EE7A3C" w:rsidRPr="00725E5C">
        <w:rPr>
          <w:lang w:val="lv-LV"/>
        </w:rPr>
        <w:t>4.3</w:t>
      </w:r>
      <w:r w:rsidR="00EE7A3C">
        <w:rPr>
          <w:lang w:val="lv-LV"/>
        </w:rPr>
        <w:t>.</w:t>
      </w:r>
      <w:r w:rsidR="00EE7A3C" w:rsidRPr="00725E5C">
        <w:rPr>
          <w:lang w:val="lv-LV"/>
        </w:rPr>
        <w:t xml:space="preserve"> un 4.6</w:t>
      </w:r>
      <w:r w:rsidR="00EE7A3C">
        <w:rPr>
          <w:lang w:val="lv-LV"/>
        </w:rPr>
        <w:t xml:space="preserve">. </w:t>
      </w:r>
      <w:r w:rsidRPr="00725E5C">
        <w:rPr>
          <w:lang w:val="lv-LV"/>
        </w:rPr>
        <w:t>apakšpunkt</w:t>
      </w:r>
      <w:r w:rsidR="00206624">
        <w:rPr>
          <w:lang w:val="lv-LV"/>
        </w:rPr>
        <w:t>u</w:t>
      </w:r>
      <w:r w:rsidRPr="00725E5C">
        <w:rPr>
          <w:lang w:val="lv-LV"/>
        </w:rPr>
        <w:t xml:space="preserve">). </w:t>
      </w:r>
    </w:p>
    <w:p w14:paraId="2ADA4C28" w14:textId="77777777" w:rsidR="00864B03" w:rsidRPr="005C7916" w:rsidRDefault="00864B03" w:rsidP="00864B03">
      <w:pPr>
        <w:rPr>
          <w:szCs w:val="22"/>
          <w:lang w:val="lv-LV"/>
        </w:rPr>
      </w:pPr>
    </w:p>
    <w:p w14:paraId="13A86F34" w14:textId="77777777" w:rsidR="00864B03" w:rsidRPr="005C7916" w:rsidRDefault="00864B03" w:rsidP="00864B03">
      <w:pPr>
        <w:rPr>
          <w:b/>
          <w:bCs/>
          <w:szCs w:val="22"/>
          <w:lang w:val="lv-LV"/>
        </w:rPr>
      </w:pPr>
      <w:r w:rsidRPr="005C7916">
        <w:rPr>
          <w:b/>
          <w:bCs/>
          <w:szCs w:val="22"/>
          <w:lang w:val="lv-LV"/>
        </w:rPr>
        <w:t>Aknu mazspēja</w:t>
      </w:r>
    </w:p>
    <w:p w14:paraId="3FBEDB1B" w14:textId="77777777" w:rsidR="00864B03" w:rsidRPr="005C7916" w:rsidRDefault="00864B03" w:rsidP="00864B03">
      <w:pPr>
        <w:pStyle w:val="BodyTextIndent2"/>
        <w:ind w:left="0"/>
        <w:jc w:val="left"/>
        <w:rPr>
          <w:sz w:val="22"/>
          <w:szCs w:val="22"/>
          <w:lang w:val="lv-LV"/>
        </w:rPr>
      </w:pPr>
      <w:r w:rsidRPr="005C7916">
        <w:rPr>
          <w:sz w:val="22"/>
          <w:szCs w:val="22"/>
          <w:lang w:val="lv-LV"/>
        </w:rPr>
        <w:t xml:space="preserve">Retos gadījumos AKE inhibitoru darbību saista ar holestātisko dzelti, kas strauji progresē līdz </w:t>
      </w:r>
      <w:r>
        <w:rPr>
          <w:sz w:val="22"/>
          <w:szCs w:val="22"/>
          <w:lang w:val="lv-LV"/>
        </w:rPr>
        <w:t xml:space="preserve">fulminantai </w:t>
      </w:r>
      <w:r w:rsidRPr="005C7916">
        <w:rPr>
          <w:sz w:val="22"/>
          <w:szCs w:val="22"/>
          <w:lang w:val="lv-LV"/>
        </w:rPr>
        <w:t xml:space="preserve">aknu nekrozei un dažreiz nāvei. Šī sindroma mehānisms vēl nav skaidrs. Pacientiem, kas </w:t>
      </w:r>
      <w:r w:rsidRPr="005C7916">
        <w:rPr>
          <w:sz w:val="22"/>
          <w:szCs w:val="22"/>
          <w:lang w:val="lv-LV"/>
        </w:rPr>
        <w:lastRenderedPageBreak/>
        <w:t>saņēmuši AKE inhibitorus un kuriem parādās dzelte vai aknu enzīmu aktivitātes ievērojama paaugstināšanās, jāpārtrauc AKE inhibitoru lietošana</w:t>
      </w:r>
      <w:r>
        <w:rPr>
          <w:sz w:val="22"/>
          <w:szCs w:val="22"/>
          <w:lang w:val="lv-LV"/>
        </w:rPr>
        <w:t>,</w:t>
      </w:r>
      <w:r w:rsidRPr="005C7916">
        <w:rPr>
          <w:sz w:val="22"/>
          <w:szCs w:val="22"/>
          <w:lang w:val="lv-LV"/>
        </w:rPr>
        <w:t xml:space="preserve"> un pacienti atbilstoši medicīniski jānovēro.</w:t>
      </w:r>
    </w:p>
    <w:p w14:paraId="17E88403" w14:textId="77777777" w:rsidR="00864B03" w:rsidRDefault="00864B03" w:rsidP="00864B03">
      <w:pPr>
        <w:rPr>
          <w:b/>
          <w:bCs/>
          <w:iCs/>
          <w:szCs w:val="22"/>
          <w:lang w:val="lv-LV"/>
        </w:rPr>
      </w:pPr>
    </w:p>
    <w:p w14:paraId="4E1D1B77" w14:textId="77777777" w:rsidR="00864B03" w:rsidRPr="005C7916" w:rsidRDefault="00864B03" w:rsidP="00864B03">
      <w:pPr>
        <w:rPr>
          <w:b/>
          <w:bCs/>
          <w:i/>
          <w:iCs/>
          <w:szCs w:val="22"/>
          <w:lang w:val="lv-LV"/>
        </w:rPr>
      </w:pPr>
      <w:r w:rsidRPr="005C7916">
        <w:rPr>
          <w:b/>
          <w:bCs/>
          <w:iCs/>
          <w:szCs w:val="22"/>
          <w:lang w:val="lv-LV"/>
        </w:rPr>
        <w:t>Traucēta aknu darbība</w:t>
      </w:r>
    </w:p>
    <w:p w14:paraId="4DB37CCC" w14:textId="77777777" w:rsidR="00864B03" w:rsidRPr="005C7916" w:rsidRDefault="00864B03" w:rsidP="00864B03">
      <w:pPr>
        <w:rPr>
          <w:szCs w:val="22"/>
          <w:lang w:val="lv-LV"/>
        </w:rPr>
      </w:pPr>
      <w:r w:rsidRPr="005C7916">
        <w:rPr>
          <w:szCs w:val="22"/>
          <w:lang w:val="lv-LV"/>
        </w:rPr>
        <w:t xml:space="preserve">Pacientiem ar traucētu aknu darbību vai progresējošu aknu </w:t>
      </w:r>
      <w:r>
        <w:rPr>
          <w:szCs w:val="22"/>
          <w:lang w:val="lv-LV"/>
        </w:rPr>
        <w:t>slimību</w:t>
      </w:r>
      <w:r w:rsidRPr="005C7916">
        <w:rPr>
          <w:szCs w:val="22"/>
          <w:lang w:val="lv-LV"/>
        </w:rPr>
        <w:t xml:space="preserve"> </w:t>
      </w:r>
      <w:r>
        <w:rPr>
          <w:szCs w:val="22"/>
          <w:lang w:val="lv-LV"/>
        </w:rPr>
        <w:t>Monozide</w:t>
      </w:r>
      <w:r w:rsidRPr="005C7916">
        <w:rPr>
          <w:szCs w:val="22"/>
          <w:lang w:val="lv-LV"/>
        </w:rPr>
        <w:t xml:space="preserve"> jālieto piesardzīgi, jo nelielas šķidruma un elektrolītu līdzsvara izmaiņas var paātrināt aknu komu. Pacientiem ar traucētu aknu darbību plazmā var parādīties paaugstināta fosinoprila koncentrācija. Pētījumos, ko veica ar pacientiem, kam ir alkohola vai biliārā ciroze, fosinoprilāta kopējais ķermeņa klīrenss samazinājās un AUC koncentrācija plazmā palielinājās aptuveni divas reizes.</w:t>
      </w:r>
    </w:p>
    <w:p w14:paraId="79C76C68" w14:textId="77777777" w:rsidR="00864B03" w:rsidRPr="005C7916" w:rsidRDefault="00864B03" w:rsidP="00864B03">
      <w:pPr>
        <w:pStyle w:val="BodyTextIndent2"/>
        <w:ind w:left="0"/>
        <w:jc w:val="left"/>
        <w:rPr>
          <w:sz w:val="22"/>
          <w:szCs w:val="22"/>
          <w:lang w:val="lv-LV"/>
        </w:rPr>
      </w:pPr>
    </w:p>
    <w:p w14:paraId="7296CADD" w14:textId="77777777" w:rsidR="00864B03" w:rsidRPr="005C7916" w:rsidRDefault="00864B03" w:rsidP="00864B03">
      <w:pPr>
        <w:rPr>
          <w:b/>
          <w:bCs/>
          <w:i/>
          <w:iCs/>
          <w:szCs w:val="22"/>
          <w:lang w:val="lv-LV"/>
        </w:rPr>
      </w:pPr>
      <w:r w:rsidRPr="005C7916">
        <w:rPr>
          <w:b/>
          <w:bCs/>
          <w:iCs/>
          <w:szCs w:val="22"/>
          <w:lang w:val="lv-LV"/>
        </w:rPr>
        <w:t>Traucēta nieru darbība</w:t>
      </w:r>
    </w:p>
    <w:p w14:paraId="1DF16E82" w14:textId="77777777" w:rsidR="00864B03" w:rsidRDefault="00864B03" w:rsidP="00864B03">
      <w:pPr>
        <w:rPr>
          <w:lang w:val="lv-LV"/>
        </w:rPr>
      </w:pPr>
      <w:r>
        <w:rPr>
          <w:lang w:val="lv-LV"/>
        </w:rPr>
        <w:t>Monozide</w:t>
      </w:r>
      <w:r w:rsidRPr="005C7916">
        <w:rPr>
          <w:lang w:val="lv-LV"/>
        </w:rPr>
        <w:t xml:space="preserve"> jālieto piesardzīgi pacientiem ar smagu nieru slimību (kreatinīna klīrenss &lt;30</w:t>
      </w:r>
      <w:r>
        <w:rPr>
          <w:lang w:val="lv-LV"/>
        </w:rPr>
        <w:t xml:space="preserve"> </w:t>
      </w:r>
      <w:r w:rsidRPr="005C7916">
        <w:rPr>
          <w:lang w:val="lv-LV"/>
        </w:rPr>
        <w:t>ml/min./1,73m</w:t>
      </w:r>
      <w:r w:rsidRPr="00A27786">
        <w:rPr>
          <w:vertAlign w:val="superscript"/>
          <w:lang w:val="lv-LV"/>
        </w:rPr>
        <w:t>2</w:t>
      </w:r>
      <w:r w:rsidRPr="005C7916">
        <w:rPr>
          <w:lang w:val="lv-LV"/>
        </w:rPr>
        <w:t xml:space="preserve">). Pacientiem ar pavājinātu nieru darbību var parādīties HCTZ kumulatīvais efekts un  ar HCTZ saistītā hiperazotēmija. Fosinoprila izraisītās renīna – angiotensīna – aldosterona sistēmas inhibēšanas sekas arī var radīt izmaiņas jutīgu indivīdu nieru darbībā. </w:t>
      </w:r>
    </w:p>
    <w:p w14:paraId="52292C32" w14:textId="77777777" w:rsidR="00C4069C" w:rsidRDefault="00C4069C" w:rsidP="00864B03">
      <w:pPr>
        <w:rPr>
          <w:lang w:val="lv-LV"/>
        </w:rPr>
      </w:pPr>
    </w:p>
    <w:p w14:paraId="10915222" w14:textId="77777777" w:rsidR="00864B03" w:rsidRDefault="00864B03" w:rsidP="00864B03">
      <w:pPr>
        <w:rPr>
          <w:lang w:val="lv-LV"/>
        </w:rPr>
      </w:pPr>
      <w:r w:rsidRPr="005C7916">
        <w:rPr>
          <w:lang w:val="lv-LV"/>
        </w:rPr>
        <w:t>Ārstēšanas laikā ar AKE inhibitoru hipertensijas pacientiem ar nieru artērij</w:t>
      </w:r>
      <w:r>
        <w:rPr>
          <w:lang w:val="lv-LV"/>
        </w:rPr>
        <w:t>as</w:t>
      </w:r>
      <w:r w:rsidRPr="005C7916">
        <w:rPr>
          <w:lang w:val="lv-LV"/>
        </w:rPr>
        <w:t xml:space="preserve"> stenozi vienā vai abās nierēs iespējama urīnvielas slāpekļa koncentrācijas palielināšanās asinīs, kā arī seruma kreatinīna paaugstināšanās. Pārtraucot terapiju, šīs parādības parasti izzūd. Tādiem pacientiem jākontrolē nieru darbība dažu pirmo ārstēšanas nedēļu laikā. </w:t>
      </w:r>
    </w:p>
    <w:p w14:paraId="32089F45" w14:textId="77777777" w:rsidR="00C4069C" w:rsidRDefault="00C4069C" w:rsidP="00864B03">
      <w:pPr>
        <w:rPr>
          <w:lang w:val="lv-LV"/>
        </w:rPr>
      </w:pPr>
    </w:p>
    <w:p w14:paraId="0FD2E765" w14:textId="77777777" w:rsidR="00864B03" w:rsidRPr="00A27786" w:rsidRDefault="00864B03" w:rsidP="00864B03">
      <w:pPr>
        <w:rPr>
          <w:szCs w:val="22"/>
          <w:lang w:val="lv-LV"/>
        </w:rPr>
      </w:pPr>
      <w:r w:rsidRPr="005C7916">
        <w:rPr>
          <w:lang w:val="lv-LV"/>
        </w:rPr>
        <w:t xml:space="preserve">Dažiem hipertensijas pacientiem, kuriem iepriekš nebija izteikta nieru vaskulārā </w:t>
      </w:r>
      <w:r>
        <w:rPr>
          <w:lang w:val="lv-LV"/>
        </w:rPr>
        <w:t>slimība</w:t>
      </w:r>
      <w:r w:rsidRPr="005C7916">
        <w:rPr>
          <w:lang w:val="lv-LV"/>
        </w:rPr>
        <w:t xml:space="preserve">, parādījās paaugstināta urīnvielas slāpekļa koncentrācija asinīs un seruma kreatinīnā, parasti nelielā daudzumā vai pārejoša, ja fosinoprilu deva vienlaicīgi ar diurētisko līdzekli. Šis efekts biežāk parādās  pacientiem, kam jau iepriekš ir nieru mazspēja. </w:t>
      </w:r>
      <w:r>
        <w:rPr>
          <w:lang w:val="lv-LV"/>
        </w:rPr>
        <w:t>Var būt nepieciešama</w:t>
      </w:r>
      <w:r w:rsidRPr="0049058F">
        <w:rPr>
          <w:lang w:val="lv-LV"/>
        </w:rPr>
        <w:t xml:space="preserve"> Monozide devas samazināšana.</w:t>
      </w:r>
    </w:p>
    <w:p w14:paraId="2903D28D" w14:textId="77777777" w:rsidR="00864B03" w:rsidRDefault="00864B03" w:rsidP="00864B03">
      <w:pPr>
        <w:rPr>
          <w:b/>
          <w:bCs/>
          <w:iCs/>
          <w:szCs w:val="22"/>
          <w:lang w:val="lv-LV"/>
        </w:rPr>
      </w:pPr>
    </w:p>
    <w:p w14:paraId="12B1424B" w14:textId="77777777" w:rsidR="00864B03" w:rsidRPr="00B5729E" w:rsidRDefault="00E924A6" w:rsidP="00864B03">
      <w:pPr>
        <w:rPr>
          <w:b/>
          <w:color w:val="000000"/>
          <w:szCs w:val="24"/>
          <w:lang w:val="lv-LV"/>
        </w:rPr>
      </w:pPr>
      <w:r w:rsidRPr="00E924A6">
        <w:rPr>
          <w:b/>
          <w:color w:val="000000"/>
          <w:szCs w:val="24"/>
          <w:lang w:val="lv-LV"/>
        </w:rPr>
        <w:t>Dzīslenes izsvīdums</w:t>
      </w:r>
      <w:r>
        <w:rPr>
          <w:b/>
          <w:color w:val="000000"/>
          <w:szCs w:val="24"/>
          <w:lang w:val="lv-LV"/>
        </w:rPr>
        <w:t>, a</w:t>
      </w:r>
      <w:r w:rsidR="00864B03" w:rsidRPr="003B3D12">
        <w:rPr>
          <w:b/>
          <w:color w:val="000000"/>
          <w:szCs w:val="24"/>
          <w:lang w:val="lv-LV"/>
        </w:rPr>
        <w:t>kūta miopija un sekundāra slēgta kakta glaukoma</w:t>
      </w:r>
      <w:r w:rsidR="00864B03" w:rsidRPr="00B5729E">
        <w:rPr>
          <w:b/>
          <w:color w:val="000000"/>
          <w:szCs w:val="24"/>
          <w:lang w:val="lv-LV"/>
        </w:rPr>
        <w:t xml:space="preserve"> </w:t>
      </w:r>
    </w:p>
    <w:p w14:paraId="3548ED45" w14:textId="47E5C88A" w:rsidR="00864B03" w:rsidRDefault="00864B03" w:rsidP="00864B03">
      <w:pPr>
        <w:rPr>
          <w:b/>
          <w:bCs/>
          <w:iCs/>
          <w:szCs w:val="22"/>
          <w:lang w:val="lv-LV"/>
        </w:rPr>
      </w:pPr>
      <w:r>
        <w:rPr>
          <w:color w:val="000000"/>
          <w:szCs w:val="24"/>
          <w:lang w:val="lv-LV"/>
        </w:rPr>
        <w:t xml:space="preserve">Sulfonamīdi vai to atvasinājumi var izraisīt idiosinkrātisku reakciju, kas savukārt var izraisīt </w:t>
      </w:r>
      <w:r w:rsidR="00E924A6" w:rsidRPr="00E924A6">
        <w:rPr>
          <w:color w:val="000000"/>
          <w:szCs w:val="24"/>
          <w:lang w:val="lv-LV"/>
        </w:rPr>
        <w:t>dzīslenes izsvīdumu ar redzes lauka defektu,</w:t>
      </w:r>
      <w:r w:rsidR="00E924A6">
        <w:rPr>
          <w:color w:val="000000"/>
          <w:szCs w:val="24"/>
          <w:lang w:val="lv-LV"/>
        </w:rPr>
        <w:t xml:space="preserve"> </w:t>
      </w:r>
      <w:r>
        <w:rPr>
          <w:color w:val="000000"/>
          <w:szCs w:val="24"/>
          <w:lang w:val="lv-LV"/>
        </w:rPr>
        <w:t>pārejošu miopiju un akūtu slēgta kakta glaukomu.</w:t>
      </w:r>
      <w:r w:rsidRPr="00B5729E">
        <w:rPr>
          <w:color w:val="000000"/>
          <w:szCs w:val="24"/>
          <w:lang w:val="lv-LV"/>
        </w:rPr>
        <w:t xml:space="preserve"> </w:t>
      </w:r>
      <w:r>
        <w:rPr>
          <w:color w:val="000000"/>
          <w:szCs w:val="24"/>
          <w:lang w:val="lv-LV"/>
        </w:rPr>
        <w:t>Lai gan hidrohlortiazīds ir sulfonamīdu grupas viela, līdz šim tā lietošanas laikā akūta slēgta kakta glaukoma ir aprakstīta tikai atsevišķos gadījumos un bez nepārprotamas cēloņsakarības ar preparāta lietošanu.</w:t>
      </w:r>
      <w:r w:rsidRPr="00B5729E">
        <w:rPr>
          <w:color w:val="000000"/>
          <w:szCs w:val="24"/>
          <w:lang w:val="lv-LV"/>
        </w:rPr>
        <w:t xml:space="preserve"> </w:t>
      </w:r>
      <w:r>
        <w:rPr>
          <w:color w:val="000000"/>
          <w:szCs w:val="24"/>
          <w:lang w:val="lv-LV"/>
        </w:rPr>
        <w:t xml:space="preserve">Simptomi ir akūta redzes asuma samazināšanās vai acu sāpes, turklāt parasti tie parādās vairākas stundas līdz nedēļas pēc </w:t>
      </w:r>
      <w:r w:rsidR="009A293B">
        <w:rPr>
          <w:color w:val="000000"/>
          <w:szCs w:val="24"/>
          <w:lang w:val="lv-LV"/>
        </w:rPr>
        <w:t>zāļu</w:t>
      </w:r>
      <w:r>
        <w:rPr>
          <w:color w:val="000000"/>
          <w:szCs w:val="24"/>
          <w:lang w:val="lv-LV"/>
        </w:rPr>
        <w:t xml:space="preserve"> lietošanas sākuma.</w:t>
      </w:r>
      <w:r w:rsidRPr="00B5729E">
        <w:rPr>
          <w:color w:val="000000"/>
          <w:szCs w:val="24"/>
          <w:lang w:val="lv-LV"/>
        </w:rPr>
        <w:t xml:space="preserve"> </w:t>
      </w:r>
      <w:r>
        <w:rPr>
          <w:color w:val="000000"/>
          <w:szCs w:val="24"/>
          <w:lang w:val="lv-LV"/>
        </w:rPr>
        <w:t>Akūta slēgta kakta glaukoma, kas netiek ārstēta, var izraisīt paliekošu redzes zudumu.</w:t>
      </w:r>
      <w:r w:rsidRPr="00B5729E">
        <w:rPr>
          <w:color w:val="000000"/>
          <w:szCs w:val="24"/>
          <w:lang w:val="lv-LV"/>
        </w:rPr>
        <w:t xml:space="preserve"> </w:t>
      </w:r>
      <w:r>
        <w:rPr>
          <w:color w:val="000000"/>
          <w:szCs w:val="24"/>
          <w:lang w:val="lv-LV"/>
        </w:rPr>
        <w:t xml:space="preserve">Pirmais terapeitiskais pasākums ir pēc iespējas drīzāka </w:t>
      </w:r>
      <w:r w:rsidR="009A293B">
        <w:rPr>
          <w:color w:val="000000"/>
          <w:szCs w:val="24"/>
          <w:lang w:val="lv-LV"/>
        </w:rPr>
        <w:t>zāļu</w:t>
      </w:r>
      <w:r>
        <w:rPr>
          <w:color w:val="000000"/>
          <w:szCs w:val="24"/>
          <w:lang w:val="lv-LV"/>
        </w:rPr>
        <w:t xml:space="preserve"> lietošanas pārtraukšana.</w:t>
      </w:r>
      <w:r w:rsidRPr="00B5729E">
        <w:rPr>
          <w:color w:val="000000"/>
          <w:szCs w:val="24"/>
          <w:lang w:val="lv-LV"/>
        </w:rPr>
        <w:t xml:space="preserve"> </w:t>
      </w:r>
      <w:r>
        <w:rPr>
          <w:color w:val="000000"/>
          <w:szCs w:val="24"/>
          <w:lang w:val="lv-LV"/>
        </w:rPr>
        <w:t xml:space="preserve">Ja joprojām nav iespējams kontrolēt intraokulāro spiedienu, var būt jāapsver nepieciešamība nekavējoties lietot zāles vai </w:t>
      </w:r>
      <w:r w:rsidR="00F828D5">
        <w:rPr>
          <w:color w:val="000000"/>
          <w:szCs w:val="24"/>
          <w:lang w:val="lv-LV"/>
        </w:rPr>
        <w:t xml:space="preserve">veikt </w:t>
      </w:r>
      <w:r>
        <w:rPr>
          <w:color w:val="000000"/>
          <w:szCs w:val="24"/>
          <w:lang w:val="lv-LV"/>
        </w:rPr>
        <w:t>operāciju.</w:t>
      </w:r>
      <w:r w:rsidRPr="00B5729E">
        <w:rPr>
          <w:color w:val="000000"/>
          <w:szCs w:val="24"/>
          <w:lang w:val="lv-LV"/>
        </w:rPr>
        <w:t xml:space="preserve"> </w:t>
      </w:r>
      <w:r>
        <w:rPr>
          <w:color w:val="000000"/>
          <w:szCs w:val="24"/>
          <w:lang w:val="lv-LV"/>
        </w:rPr>
        <w:t>Akūtas slēgta kakta glaukomas attīstības riska faktori var būt sulfonamīdu vai penicilīnu izraisīta alerģija anamnēzē.</w:t>
      </w:r>
    </w:p>
    <w:p w14:paraId="49C3487B" w14:textId="77777777" w:rsidR="00864B03" w:rsidRPr="005C7916" w:rsidRDefault="00864B03" w:rsidP="00864B03">
      <w:pPr>
        <w:rPr>
          <w:b/>
          <w:bCs/>
          <w:iCs/>
          <w:szCs w:val="22"/>
          <w:lang w:val="lv-LV"/>
        </w:rPr>
      </w:pPr>
    </w:p>
    <w:p w14:paraId="63C07D69" w14:textId="77777777" w:rsidR="00864B03" w:rsidRPr="005C7916" w:rsidRDefault="00864B03" w:rsidP="00864B03">
      <w:pPr>
        <w:rPr>
          <w:b/>
          <w:bCs/>
          <w:iCs/>
          <w:szCs w:val="22"/>
          <w:lang w:val="lv-LV"/>
        </w:rPr>
      </w:pPr>
      <w:r w:rsidRPr="005C7916">
        <w:rPr>
          <w:b/>
          <w:bCs/>
          <w:iCs/>
          <w:szCs w:val="22"/>
          <w:lang w:val="lv-LV"/>
        </w:rPr>
        <w:t>Elektrolītu disbalanss</w:t>
      </w:r>
    </w:p>
    <w:p w14:paraId="6A98001B" w14:textId="77777777" w:rsidR="00864B03" w:rsidRPr="00A4462F" w:rsidRDefault="00864B03" w:rsidP="00864B03">
      <w:pPr>
        <w:rPr>
          <w:szCs w:val="22"/>
          <w:lang w:val="lv-LV"/>
        </w:rPr>
      </w:pPr>
      <w:r w:rsidRPr="00B43591">
        <w:rPr>
          <w:szCs w:val="22"/>
          <w:lang w:val="lv-LV"/>
        </w:rPr>
        <w:t xml:space="preserve">Lai atklātu iespējamo elektrolītu disbalansu, </w:t>
      </w:r>
      <w:r>
        <w:rPr>
          <w:szCs w:val="22"/>
          <w:lang w:val="lv-LV"/>
        </w:rPr>
        <w:t>atbilstošos</w:t>
      </w:r>
      <w:r w:rsidRPr="00B43591">
        <w:rPr>
          <w:szCs w:val="22"/>
          <w:lang w:val="lv-LV"/>
        </w:rPr>
        <w:t xml:space="preserve"> intervālos jānosaka seruma elektrolīti.</w:t>
      </w:r>
    </w:p>
    <w:p w14:paraId="6448F947" w14:textId="42E07995" w:rsidR="00864B03" w:rsidRPr="005C7916" w:rsidRDefault="00864B03" w:rsidP="00864B03">
      <w:pPr>
        <w:rPr>
          <w:szCs w:val="22"/>
          <w:lang w:val="lv-LV"/>
        </w:rPr>
      </w:pPr>
      <w:r w:rsidRPr="005C7916">
        <w:rPr>
          <w:szCs w:val="22"/>
          <w:lang w:val="lv-LV"/>
        </w:rPr>
        <w:t>Tiazīdi, ieskaitot HCTZ, var izraisīt šķidrumu vai elektrolītu disbalansu (hipokaliēmiju, hiponātriēmiju un hipohloremisko alkalozi). Pacienti periodiski jānovēro pēc šķidruma un elektrolītu disbalansa klīniskām pazīmēm, piemēram, saus</w:t>
      </w:r>
      <w:r w:rsidR="009A293B">
        <w:rPr>
          <w:szCs w:val="22"/>
          <w:lang w:val="lv-LV"/>
        </w:rPr>
        <w:t>ums</w:t>
      </w:r>
      <w:r w:rsidRPr="005C7916">
        <w:rPr>
          <w:szCs w:val="22"/>
          <w:lang w:val="lv-LV"/>
        </w:rPr>
        <w:t xml:space="preserve"> mut</w:t>
      </w:r>
      <w:r w:rsidR="009A293B">
        <w:rPr>
          <w:szCs w:val="22"/>
          <w:lang w:val="lv-LV"/>
        </w:rPr>
        <w:t>ē</w:t>
      </w:r>
      <w:r w:rsidRPr="005C7916">
        <w:rPr>
          <w:szCs w:val="22"/>
          <w:lang w:val="lv-LV"/>
        </w:rPr>
        <w:t xml:space="preserve">, slāpes, vājums, letarģija, miegainība, </w:t>
      </w:r>
      <w:r>
        <w:rPr>
          <w:szCs w:val="22"/>
          <w:lang w:val="lv-LV"/>
        </w:rPr>
        <w:t xml:space="preserve">nemiers, </w:t>
      </w:r>
      <w:r w:rsidRPr="005C7916">
        <w:rPr>
          <w:szCs w:val="22"/>
          <w:lang w:val="lv-LV"/>
        </w:rPr>
        <w:t xml:space="preserve">muskuļu sāpes vai krampji, muskuļu nogurums, hipotensija, oligūrija, tahikardija, slikta dūša vai vemšana. Kaut gan, lietojot tiazīdu grupas diurētiskos līdzekļus, var rasties hipokaliēmija, īpaši ar strauju diurēzi vai smagas cirozes klātbūtnē, līdztekus terapija ar fosinoprilu samazina diurētisko līdzekļu izraisīto hipokaliēmiju. </w:t>
      </w:r>
      <w:r>
        <w:rPr>
          <w:szCs w:val="22"/>
          <w:lang w:val="lv-LV"/>
        </w:rPr>
        <w:t>Monozide</w:t>
      </w:r>
      <w:r w:rsidRPr="005C7916">
        <w:rPr>
          <w:szCs w:val="22"/>
          <w:lang w:val="lv-LV"/>
        </w:rPr>
        <w:t xml:space="preserve"> kopējā iedarbība var gan palielināt, gan samazināt kālija koncentrāciju serumā vai atstāt to neizmainītu. Hlorīdu trūkums parasti ir vidēji izteikts un neprasa ārstēšanu. Tiazīdi samazina kalcija izdalīšanos. Dažiem pacientiem ar ilgstošu tiazīdu terapiju novēroja patoloģiskas izmaiņas epitēlijķermenīšos ar hiperkalciēmiju un hipofosfatēmiju. Nav novērotas hiperparatireo</w:t>
      </w:r>
      <w:r>
        <w:rPr>
          <w:szCs w:val="22"/>
          <w:lang w:val="lv-LV"/>
        </w:rPr>
        <w:t>zes</w:t>
      </w:r>
      <w:r w:rsidRPr="005C7916">
        <w:rPr>
          <w:szCs w:val="22"/>
          <w:lang w:val="lv-LV"/>
        </w:rPr>
        <w:t xml:space="preserve"> parastās komplikācijas, piemēram, nierakmeņi, kaulu resorbcija un peptiskās čūlas. </w:t>
      </w:r>
      <w:r>
        <w:rPr>
          <w:szCs w:val="22"/>
          <w:lang w:val="lv-LV"/>
        </w:rPr>
        <w:t>P</w:t>
      </w:r>
      <w:r w:rsidRPr="005C7916">
        <w:rPr>
          <w:szCs w:val="22"/>
          <w:lang w:val="lv-LV"/>
        </w:rPr>
        <w:t>irms epitēlijķermenīšu darbības test</w:t>
      </w:r>
      <w:r>
        <w:rPr>
          <w:szCs w:val="22"/>
          <w:lang w:val="lv-LV"/>
        </w:rPr>
        <w:t xml:space="preserve">a veikšanas, </w:t>
      </w:r>
      <w:r w:rsidRPr="005C7916">
        <w:rPr>
          <w:szCs w:val="22"/>
          <w:lang w:val="lv-LV"/>
        </w:rPr>
        <w:t xml:space="preserve">jāpārtrauc </w:t>
      </w:r>
      <w:r>
        <w:rPr>
          <w:szCs w:val="22"/>
          <w:lang w:val="lv-LV"/>
        </w:rPr>
        <w:t>t</w:t>
      </w:r>
      <w:r w:rsidRPr="005C7916">
        <w:rPr>
          <w:szCs w:val="22"/>
          <w:lang w:val="lv-LV"/>
        </w:rPr>
        <w:t>iazīdu lietošana. Tiazīdi palielina magnija izdalīšanos urīnā, kas var radīt hipomagniēmiju.</w:t>
      </w:r>
    </w:p>
    <w:p w14:paraId="5E900117" w14:textId="77777777" w:rsidR="00E20C6F" w:rsidRDefault="00E20C6F" w:rsidP="00E20C6F">
      <w:pPr>
        <w:tabs>
          <w:tab w:val="left" w:pos="567"/>
        </w:tabs>
        <w:autoSpaceDE w:val="0"/>
        <w:autoSpaceDN w:val="0"/>
        <w:adjustRightInd w:val="0"/>
        <w:spacing w:line="260" w:lineRule="exact"/>
        <w:rPr>
          <w:b/>
          <w:bCs/>
          <w:lang w:val="lv-LV"/>
        </w:rPr>
      </w:pPr>
    </w:p>
    <w:p w14:paraId="5586C990" w14:textId="77777777" w:rsidR="00E20C6F" w:rsidRPr="00E20C6F" w:rsidRDefault="00475E79" w:rsidP="00E20C6F">
      <w:pPr>
        <w:tabs>
          <w:tab w:val="left" w:pos="567"/>
        </w:tabs>
        <w:autoSpaceDE w:val="0"/>
        <w:autoSpaceDN w:val="0"/>
        <w:adjustRightInd w:val="0"/>
        <w:spacing w:line="260" w:lineRule="exact"/>
        <w:rPr>
          <w:lang w:val="lv-LV"/>
        </w:rPr>
      </w:pPr>
      <w:r w:rsidRPr="00475E79">
        <w:rPr>
          <w:b/>
          <w:bCs/>
          <w:lang w:val="lv-LV"/>
        </w:rPr>
        <w:t>Kālija līmenis serumā</w:t>
      </w:r>
    </w:p>
    <w:p w14:paraId="2EEF7CF8" w14:textId="77777777" w:rsidR="00864B03" w:rsidRDefault="00475E79" w:rsidP="00E20C6F">
      <w:pPr>
        <w:rPr>
          <w:lang w:val="lv-LV"/>
        </w:rPr>
      </w:pPr>
      <w:r w:rsidRPr="00475E79">
        <w:rPr>
          <w:lang w:val="lv-LV"/>
        </w:rPr>
        <w:lastRenderedPageBreak/>
        <w:t>AKE inhibitori var izraisīt hiperkaliēmiju, jo tie nomāc aldosterona izdalīšanos. Ietekme pacientiem ar normālu nieru darbību parasti nav nozīmīga. Taču pacientiem ar nieru darbības traucējumiem un/vai pacientiem, kuri lieto kāliju saturošus uztura bagātinātājus (tai skaitā sāls aizvietotājus), kāliju aizturošus diurētiskos līdzekļus, trimetoprimu vai kotrimoksazolu, kas pazīstams arī kā trimetoprims/sulfametoksazols, un īpaši aldosterona antagonistus vai angiotensīna receptoru blokatorus, var rasties hiperkaliēmija. Kāliju aizturoši diurētiskie līdzekļi un angiotensīna receptoru blokatori pacientiem, kuri saņem AKE inhibitorus, jālieto piesardzīgi un jākontrolē arī kālija līmenis serumā un nieru darbība (skatīt 4.5. apakšpunktu).</w:t>
      </w:r>
    </w:p>
    <w:p w14:paraId="3499FFE6" w14:textId="77777777" w:rsidR="00E20C6F" w:rsidRPr="005C7916" w:rsidRDefault="00E20C6F" w:rsidP="00E20C6F">
      <w:pPr>
        <w:rPr>
          <w:szCs w:val="22"/>
          <w:lang w:val="lv-LV"/>
        </w:rPr>
      </w:pPr>
    </w:p>
    <w:p w14:paraId="12FAF12D" w14:textId="77777777" w:rsidR="00864B03" w:rsidRPr="005C7916" w:rsidRDefault="00864B03" w:rsidP="00864B03">
      <w:pPr>
        <w:rPr>
          <w:b/>
          <w:bCs/>
          <w:iCs/>
          <w:szCs w:val="22"/>
          <w:lang w:val="lv-LV"/>
        </w:rPr>
      </w:pPr>
      <w:r w:rsidRPr="005C7916">
        <w:rPr>
          <w:b/>
          <w:bCs/>
          <w:iCs/>
          <w:szCs w:val="22"/>
          <w:lang w:val="lv-LV"/>
        </w:rPr>
        <w:t>Metaboliskie traucējumi</w:t>
      </w:r>
    </w:p>
    <w:p w14:paraId="4002FDED" w14:textId="572A0717" w:rsidR="00864B03" w:rsidRPr="005C7916" w:rsidRDefault="00864B03" w:rsidP="00864B03">
      <w:pPr>
        <w:rPr>
          <w:szCs w:val="22"/>
          <w:lang w:val="lv-LV"/>
        </w:rPr>
      </w:pPr>
      <w:r w:rsidRPr="00B43591">
        <w:rPr>
          <w:szCs w:val="22"/>
          <w:lang w:val="lv-LV"/>
        </w:rPr>
        <w:t>Atsevišķiem pacientiem, kas terapijā saņēmuši tiazīdus, iespējama hiperuri</w:t>
      </w:r>
      <w:r w:rsidR="00831F78">
        <w:rPr>
          <w:szCs w:val="22"/>
          <w:lang w:val="lv-LV"/>
        </w:rPr>
        <w:t>ķ</w:t>
      </w:r>
      <w:r w:rsidRPr="00B43591">
        <w:rPr>
          <w:szCs w:val="22"/>
          <w:lang w:val="lv-LV"/>
        </w:rPr>
        <w:t>ēmija un akūta podagras lēkme. Diabēta pacientiem jāmaina insulīna deva; tiazīdu lietošanas laikā kļūst pamanāms latents cukura diabēts. Holesterīna un triglicerīdu līmeņa palielināšanās saistās ar tiazīdu grupas diurētisko līdzekļu lietošanu.</w:t>
      </w:r>
    </w:p>
    <w:p w14:paraId="4DD437E0" w14:textId="77777777" w:rsidR="00864B03" w:rsidRPr="005C7916" w:rsidRDefault="00864B03" w:rsidP="00864B03">
      <w:pPr>
        <w:rPr>
          <w:szCs w:val="22"/>
          <w:lang w:val="lv-LV"/>
        </w:rPr>
      </w:pPr>
    </w:p>
    <w:p w14:paraId="617070DA" w14:textId="77777777" w:rsidR="00864B03" w:rsidRPr="005C7916" w:rsidRDefault="00864B03" w:rsidP="00864B03">
      <w:pPr>
        <w:rPr>
          <w:b/>
          <w:bCs/>
          <w:iCs/>
          <w:szCs w:val="22"/>
          <w:lang w:val="lv-LV"/>
        </w:rPr>
      </w:pPr>
      <w:r w:rsidRPr="005C7916">
        <w:rPr>
          <w:b/>
          <w:bCs/>
          <w:iCs/>
          <w:szCs w:val="22"/>
          <w:lang w:val="lv-LV"/>
        </w:rPr>
        <w:t>Klepus</w:t>
      </w:r>
    </w:p>
    <w:p w14:paraId="31A64B4A" w14:textId="77777777" w:rsidR="00864B03" w:rsidRPr="005C7916" w:rsidRDefault="00864B03" w:rsidP="00864B03">
      <w:pPr>
        <w:rPr>
          <w:szCs w:val="22"/>
          <w:lang w:val="lv-LV"/>
        </w:rPr>
      </w:pPr>
      <w:r w:rsidRPr="005C7916">
        <w:rPr>
          <w:szCs w:val="22"/>
          <w:lang w:val="lv-LV"/>
        </w:rPr>
        <w:t xml:space="preserve">Lietojot AKE inhibitorus, ieskaitot fosinoprilu, </w:t>
      </w:r>
      <w:r>
        <w:rPr>
          <w:szCs w:val="22"/>
          <w:lang w:val="lv-LV"/>
        </w:rPr>
        <w:t xml:space="preserve">var </w:t>
      </w:r>
      <w:r w:rsidRPr="005C7916">
        <w:rPr>
          <w:szCs w:val="22"/>
          <w:lang w:val="lv-LV"/>
        </w:rPr>
        <w:t>parād</w:t>
      </w:r>
      <w:r>
        <w:rPr>
          <w:szCs w:val="22"/>
          <w:lang w:val="lv-LV"/>
        </w:rPr>
        <w:t>īties</w:t>
      </w:r>
      <w:r w:rsidRPr="005C7916">
        <w:rPr>
          <w:szCs w:val="22"/>
          <w:lang w:val="lv-LV"/>
        </w:rPr>
        <w:t xml:space="preserve"> klepus. Raksturīgi, ka klepus ir neproduktīvs, pastāvīgs un izzūd pēc terapijas pārtraukšanas. AKE inhibitoru izraisīts klepus jāuzskata kā daļa no klepus diferenciāldiagnozes.</w:t>
      </w:r>
    </w:p>
    <w:p w14:paraId="53A32588" w14:textId="14E2BFB6" w:rsidR="00864B03" w:rsidRDefault="00864B03" w:rsidP="00864B03">
      <w:pPr>
        <w:rPr>
          <w:szCs w:val="22"/>
          <w:lang w:val="lv-LV"/>
        </w:rPr>
      </w:pPr>
    </w:p>
    <w:p w14:paraId="5D8C2160" w14:textId="77777777" w:rsidR="00713AF1" w:rsidRPr="00713AF1" w:rsidRDefault="00713AF1" w:rsidP="00713AF1">
      <w:pPr>
        <w:rPr>
          <w:b/>
          <w:bCs/>
          <w:szCs w:val="22"/>
          <w:lang w:val="lv-LV"/>
        </w:rPr>
      </w:pPr>
      <w:r w:rsidRPr="00713AF1">
        <w:rPr>
          <w:b/>
          <w:bCs/>
          <w:szCs w:val="22"/>
          <w:lang w:val="lv-LV"/>
        </w:rPr>
        <w:t>Akūta respiratorā toksicitāte</w:t>
      </w:r>
    </w:p>
    <w:p w14:paraId="59E16CDA" w14:textId="2E37AD86" w:rsidR="00713AF1" w:rsidRDefault="00713AF1" w:rsidP="00713AF1">
      <w:pPr>
        <w:rPr>
          <w:szCs w:val="22"/>
          <w:lang w:val="lv-LV"/>
        </w:rPr>
      </w:pPr>
      <w:r w:rsidRPr="00713AF1">
        <w:rPr>
          <w:szCs w:val="22"/>
          <w:lang w:val="lv-LV"/>
        </w:rPr>
        <w:t xml:space="preserve">Ļoti retos gadījumos pēc hidrohlortiazīda lietošanas ziņots par akūtu respiratoro toksicitāti, tostarp akūtu respiratorā distresa sindromu (ARDS). Plaušu tūska parasti attīstās dažu minūšu līdz stundu laikā pēc hidrohlortiazīda lietošanas. Simptomu rašanās brīdī ir aizdusa, drudzis, plaušu bojājums un hipotensija. Ja ir aizdomas par ARDS diagnozi, </w:t>
      </w:r>
      <w:r>
        <w:rPr>
          <w:szCs w:val="22"/>
          <w:lang w:val="lv-LV"/>
        </w:rPr>
        <w:t>Monozide</w:t>
      </w:r>
      <w:r w:rsidRPr="00713AF1">
        <w:rPr>
          <w:szCs w:val="22"/>
          <w:lang w:val="lv-LV"/>
        </w:rPr>
        <w:t xml:space="preserve"> lietošana jāpārtrauc un jāveic atbilstoša ārstēšana. Hidrohlortiazīdu nedrīkst lietot pacienti, kuriem iepriekš ir bijis ARDS pēc hidrohlortiazīda lietošanas.</w:t>
      </w:r>
    </w:p>
    <w:p w14:paraId="6249A386" w14:textId="77777777" w:rsidR="00713AF1" w:rsidRPr="005C7916" w:rsidRDefault="00713AF1" w:rsidP="00713AF1">
      <w:pPr>
        <w:rPr>
          <w:szCs w:val="22"/>
          <w:lang w:val="lv-LV"/>
        </w:rPr>
      </w:pPr>
    </w:p>
    <w:p w14:paraId="34E3AF78" w14:textId="77777777" w:rsidR="00864B03" w:rsidRPr="005C7916" w:rsidRDefault="00864B03" w:rsidP="00864B03">
      <w:pPr>
        <w:rPr>
          <w:b/>
          <w:bCs/>
          <w:iCs/>
          <w:szCs w:val="22"/>
          <w:lang w:val="lv-LV"/>
        </w:rPr>
      </w:pPr>
      <w:r w:rsidRPr="005C7916">
        <w:rPr>
          <w:b/>
          <w:bCs/>
          <w:iCs/>
          <w:szCs w:val="22"/>
          <w:lang w:val="lv-LV"/>
        </w:rPr>
        <w:t>Ķirurģija/Anestēzija</w:t>
      </w:r>
    </w:p>
    <w:p w14:paraId="1DCF5900" w14:textId="77777777" w:rsidR="00864B03" w:rsidRPr="005C7916" w:rsidRDefault="00864B03" w:rsidP="00864B03">
      <w:pPr>
        <w:rPr>
          <w:szCs w:val="22"/>
          <w:lang w:val="lv-LV"/>
        </w:rPr>
      </w:pPr>
      <w:r w:rsidRPr="005C7916">
        <w:rPr>
          <w:szCs w:val="22"/>
          <w:lang w:val="lv-LV"/>
        </w:rPr>
        <w:t>Pacientiem pēc ķirurģiskas iejaukšanās vai tādas anestēzijas laikā, ko veic ar zālēm, kas izraisa hipotensiju, fosinoprils var palielināt hipotensīvo atbildes reakciju.</w:t>
      </w:r>
    </w:p>
    <w:p w14:paraId="369616A3" w14:textId="77777777" w:rsidR="00864B03" w:rsidRPr="005C7916" w:rsidRDefault="00864B03" w:rsidP="00864B03">
      <w:pPr>
        <w:rPr>
          <w:szCs w:val="22"/>
          <w:lang w:val="lv-LV"/>
        </w:rPr>
      </w:pPr>
    </w:p>
    <w:p w14:paraId="36EF498D" w14:textId="77777777" w:rsidR="00864B03" w:rsidRPr="005C7916" w:rsidRDefault="00864B03" w:rsidP="00864B03">
      <w:pPr>
        <w:rPr>
          <w:b/>
          <w:bCs/>
          <w:i/>
          <w:iCs/>
          <w:szCs w:val="22"/>
          <w:lang w:val="lv-LV"/>
        </w:rPr>
      </w:pPr>
      <w:r w:rsidRPr="005C7916">
        <w:rPr>
          <w:b/>
          <w:bCs/>
          <w:iCs/>
          <w:szCs w:val="22"/>
          <w:lang w:val="lv-LV"/>
        </w:rPr>
        <w:t>Sistēmiskā sarkanā vilkēde</w:t>
      </w:r>
    </w:p>
    <w:p w14:paraId="14E57400" w14:textId="77777777" w:rsidR="00864B03" w:rsidRDefault="00864B03" w:rsidP="00864B03">
      <w:pPr>
        <w:rPr>
          <w:b/>
          <w:bCs/>
          <w:szCs w:val="22"/>
          <w:lang w:val="lv-LV"/>
        </w:rPr>
      </w:pPr>
      <w:r w:rsidRPr="005C7916">
        <w:rPr>
          <w:szCs w:val="22"/>
          <w:lang w:val="lv-LV"/>
        </w:rPr>
        <w:t>Ir zināms, ka tiazīdu grupas diurētiskie līdzekļi izraisa sistēmiskās sarkanās vilkēdes saasināšanos vai aktivizēšanos (</w:t>
      </w:r>
      <w:r>
        <w:rPr>
          <w:szCs w:val="22"/>
          <w:lang w:val="lv-LV"/>
        </w:rPr>
        <w:t>sk</w:t>
      </w:r>
      <w:r w:rsidRPr="005C7916">
        <w:rPr>
          <w:szCs w:val="22"/>
          <w:lang w:val="lv-LV"/>
        </w:rPr>
        <w:t xml:space="preserve">atīt </w:t>
      </w:r>
      <w:r w:rsidR="00EE7A3C" w:rsidRPr="005C7916">
        <w:rPr>
          <w:bCs/>
          <w:szCs w:val="22"/>
          <w:lang w:val="lv-LV"/>
        </w:rPr>
        <w:t>4.4</w:t>
      </w:r>
      <w:r w:rsidR="00EE7A3C">
        <w:rPr>
          <w:bCs/>
          <w:szCs w:val="22"/>
          <w:lang w:val="lv-LV"/>
        </w:rPr>
        <w:t xml:space="preserve">. </w:t>
      </w:r>
      <w:r w:rsidRPr="005C7916">
        <w:rPr>
          <w:szCs w:val="22"/>
          <w:lang w:val="lv-LV"/>
        </w:rPr>
        <w:t>apakšpunktā</w:t>
      </w:r>
      <w:r>
        <w:rPr>
          <w:bCs/>
          <w:szCs w:val="22"/>
          <w:lang w:val="lv-LV"/>
        </w:rPr>
        <w:t>, neitropēnija/</w:t>
      </w:r>
      <w:r>
        <w:rPr>
          <w:szCs w:val="22"/>
          <w:lang w:val="lv-LV"/>
        </w:rPr>
        <w:t>a</w:t>
      </w:r>
      <w:r w:rsidRPr="00820957">
        <w:rPr>
          <w:szCs w:val="22"/>
          <w:lang w:val="lv-LV"/>
        </w:rPr>
        <w:t>granulocitoze</w:t>
      </w:r>
      <w:r w:rsidRPr="005C7916">
        <w:rPr>
          <w:b/>
          <w:bCs/>
          <w:szCs w:val="22"/>
          <w:lang w:val="lv-LV"/>
        </w:rPr>
        <w:t>).</w:t>
      </w:r>
    </w:p>
    <w:p w14:paraId="419FEC4E" w14:textId="77777777" w:rsidR="00864B03" w:rsidRDefault="00864B03" w:rsidP="00864B03">
      <w:pPr>
        <w:rPr>
          <w:b/>
          <w:bCs/>
          <w:szCs w:val="22"/>
          <w:lang w:val="lv-LV"/>
        </w:rPr>
      </w:pPr>
    </w:p>
    <w:p w14:paraId="2F39510A" w14:textId="77777777" w:rsidR="00864B03" w:rsidRPr="005C7916" w:rsidRDefault="00864B03" w:rsidP="00864B03">
      <w:pPr>
        <w:rPr>
          <w:b/>
          <w:bCs/>
          <w:szCs w:val="22"/>
          <w:lang w:val="lv-LV"/>
        </w:rPr>
      </w:pPr>
      <w:r>
        <w:rPr>
          <w:b/>
          <w:bCs/>
          <w:szCs w:val="22"/>
          <w:lang w:val="lv-LV"/>
        </w:rPr>
        <w:t>Laktoze</w:t>
      </w:r>
    </w:p>
    <w:p w14:paraId="44E6CB44" w14:textId="4A8CB0D3" w:rsidR="00864B03" w:rsidRDefault="00864B03" w:rsidP="00864B03">
      <w:pPr>
        <w:pStyle w:val="EMEABodyText"/>
        <w:rPr>
          <w:szCs w:val="22"/>
          <w:lang w:val="lv-LV" w:eastAsia="lv-LV"/>
        </w:rPr>
      </w:pPr>
      <w:r>
        <w:rPr>
          <w:szCs w:val="22"/>
          <w:lang w:val="lv-LV" w:eastAsia="lv-LV"/>
        </w:rPr>
        <w:t>Šīs zāles</w:t>
      </w:r>
      <w:r w:rsidRPr="00820957">
        <w:rPr>
          <w:szCs w:val="22"/>
          <w:lang w:val="lv-LV" w:eastAsia="lv-LV"/>
        </w:rPr>
        <w:t xml:space="preserve"> satur </w:t>
      </w:r>
      <w:r>
        <w:rPr>
          <w:szCs w:val="22"/>
          <w:lang w:val="lv-LV" w:eastAsia="lv-LV"/>
        </w:rPr>
        <w:t xml:space="preserve">laktozi. </w:t>
      </w:r>
      <w:r w:rsidR="00AA7C44">
        <w:rPr>
          <w:szCs w:val="22"/>
          <w:lang w:val="lv-LV" w:eastAsia="lv-LV"/>
        </w:rPr>
        <w:t>Šīs zāles nevajadzētu lietot p</w:t>
      </w:r>
      <w:r>
        <w:rPr>
          <w:szCs w:val="22"/>
          <w:lang w:val="lv-LV" w:eastAsia="lv-LV"/>
        </w:rPr>
        <w:t xml:space="preserve">acientiem ar retu iedzimtu galaktozes nepanesību, </w:t>
      </w:r>
      <w:r w:rsidR="00AA7C44" w:rsidRPr="00DE1BF7">
        <w:rPr>
          <w:iCs/>
          <w:szCs w:val="22"/>
          <w:lang w:val="lv-LV" w:eastAsia="lv-LV"/>
        </w:rPr>
        <w:t>ar pilnīgu</w:t>
      </w:r>
      <w:r>
        <w:rPr>
          <w:szCs w:val="22"/>
          <w:lang w:val="lv-LV" w:eastAsia="lv-LV"/>
        </w:rPr>
        <w:t xml:space="preserve"> laktāzes deficītu vai glikozes-galaktozes </w:t>
      </w:r>
      <w:r w:rsidR="003C49E3">
        <w:rPr>
          <w:szCs w:val="22"/>
          <w:lang w:val="lv-LV" w:eastAsia="lv-LV"/>
        </w:rPr>
        <w:t>malabsorbciju</w:t>
      </w:r>
      <w:r>
        <w:rPr>
          <w:szCs w:val="22"/>
          <w:lang w:val="lv-LV" w:eastAsia="lv-LV"/>
        </w:rPr>
        <w:t>.</w:t>
      </w:r>
    </w:p>
    <w:p w14:paraId="6510D95A" w14:textId="77777777" w:rsidR="00864B03" w:rsidRDefault="00864B03" w:rsidP="00864B03">
      <w:pPr>
        <w:pStyle w:val="EMEABodyText"/>
        <w:rPr>
          <w:szCs w:val="22"/>
          <w:lang w:val="lv-LV" w:eastAsia="lv-LV"/>
        </w:rPr>
      </w:pPr>
    </w:p>
    <w:p w14:paraId="526F2FE1" w14:textId="77777777" w:rsidR="00DA5DD4" w:rsidRPr="00AA7C44" w:rsidRDefault="00DA5DD4" w:rsidP="00DA5DD4">
      <w:pPr>
        <w:pStyle w:val="EMEABodyText"/>
        <w:rPr>
          <w:b/>
          <w:bCs/>
          <w:lang w:val="lv-LV"/>
        </w:rPr>
      </w:pPr>
      <w:r w:rsidRPr="00AA7C44">
        <w:rPr>
          <w:b/>
          <w:bCs/>
          <w:lang w:val="lv-LV"/>
        </w:rPr>
        <w:t>Nātrijs</w:t>
      </w:r>
    </w:p>
    <w:p w14:paraId="0E8CB0F2" w14:textId="77777777" w:rsidR="00DA5DD4" w:rsidRPr="00AA7C44" w:rsidRDefault="00DA5DD4" w:rsidP="00DA5DD4">
      <w:pPr>
        <w:autoSpaceDE w:val="0"/>
        <w:autoSpaceDN w:val="0"/>
        <w:adjustRightInd w:val="0"/>
        <w:rPr>
          <w:lang w:val="lv-LV"/>
        </w:rPr>
      </w:pPr>
      <w:r w:rsidRPr="00AA7C44">
        <w:rPr>
          <w:lang w:val="lv-LV"/>
        </w:rPr>
        <w:t>Šīs zāles satur mazāk par 1 mmol nātrija (23 mg) katrā tabletē, būtībā tās ir “nātriju nesaturošas”.</w:t>
      </w:r>
    </w:p>
    <w:p w14:paraId="466CDE19" w14:textId="77777777" w:rsidR="00DA5DD4" w:rsidRPr="00820957" w:rsidRDefault="00DA5DD4" w:rsidP="00864B03">
      <w:pPr>
        <w:pStyle w:val="EMEABodyText"/>
        <w:rPr>
          <w:szCs w:val="22"/>
          <w:lang w:val="lv-LV" w:eastAsia="lv-LV"/>
        </w:rPr>
      </w:pPr>
    </w:p>
    <w:p w14:paraId="59914909" w14:textId="77777777" w:rsidR="00864B03" w:rsidRPr="00820957" w:rsidRDefault="00864B03" w:rsidP="00864B03">
      <w:pPr>
        <w:pStyle w:val="EMEAHeading2"/>
        <w:rPr>
          <w:noProof/>
          <w:lang w:val="lv-LV"/>
        </w:rPr>
      </w:pPr>
      <w:r w:rsidRPr="00820957">
        <w:rPr>
          <w:noProof/>
          <w:lang w:val="lv-LV"/>
        </w:rPr>
        <w:t>4.5</w:t>
      </w:r>
      <w:r w:rsidR="00EE7A3C">
        <w:rPr>
          <w:noProof/>
          <w:lang w:val="lv-LV"/>
        </w:rPr>
        <w:t>.</w:t>
      </w:r>
      <w:r w:rsidRPr="00820957">
        <w:rPr>
          <w:noProof/>
          <w:lang w:val="lv-LV"/>
        </w:rPr>
        <w:tab/>
        <w:t>Mijiedarbība ar citām zālēm un citi mijiedarbības veidi</w:t>
      </w:r>
    </w:p>
    <w:p w14:paraId="35ABC3F3" w14:textId="77777777" w:rsidR="00864B03" w:rsidRPr="00820957" w:rsidRDefault="00864B03" w:rsidP="00864B03">
      <w:pPr>
        <w:pStyle w:val="EMEABodyText"/>
        <w:rPr>
          <w:noProof/>
          <w:lang w:val="lv-LV"/>
        </w:rPr>
      </w:pPr>
    </w:p>
    <w:p w14:paraId="1989076A" w14:textId="77777777" w:rsidR="00D77112" w:rsidRPr="00D77112" w:rsidRDefault="00D77112" w:rsidP="00D77112">
      <w:pPr>
        <w:rPr>
          <w:b/>
          <w:iCs/>
          <w:snapToGrid w:val="0"/>
          <w:szCs w:val="22"/>
          <w:lang w:val="lv-LV" w:eastAsia="lv-LV"/>
        </w:rPr>
      </w:pPr>
      <w:r w:rsidRPr="00D77112">
        <w:rPr>
          <w:b/>
          <w:iCs/>
          <w:snapToGrid w:val="0"/>
          <w:szCs w:val="22"/>
          <w:lang w:val="lv-LV" w:eastAsia="lv-LV"/>
        </w:rPr>
        <w:t>Renīna-</w:t>
      </w:r>
      <w:r w:rsidR="004D5D37">
        <w:rPr>
          <w:b/>
          <w:iCs/>
          <w:snapToGrid w:val="0"/>
          <w:szCs w:val="22"/>
          <w:lang w:val="lv-LV" w:eastAsia="lv-LV"/>
        </w:rPr>
        <w:t>angiotens</w:t>
      </w:r>
      <w:r w:rsidRPr="00D77112">
        <w:rPr>
          <w:b/>
          <w:iCs/>
          <w:snapToGrid w:val="0"/>
          <w:szCs w:val="22"/>
          <w:lang w:val="lv-LV" w:eastAsia="lv-LV"/>
        </w:rPr>
        <w:t xml:space="preserve">īna-aldosterona sistēmas (RAAS) dubulta blokāde </w:t>
      </w:r>
    </w:p>
    <w:p w14:paraId="38EE2195" w14:textId="77777777" w:rsidR="00D77112" w:rsidRPr="00D77112" w:rsidRDefault="00D77112" w:rsidP="00D77112">
      <w:pPr>
        <w:rPr>
          <w:iCs/>
          <w:snapToGrid w:val="0"/>
          <w:szCs w:val="22"/>
          <w:lang w:val="lv-LV" w:eastAsia="lv-LV"/>
        </w:rPr>
      </w:pPr>
      <w:r w:rsidRPr="00D77112">
        <w:rPr>
          <w:iCs/>
          <w:snapToGrid w:val="0"/>
          <w:szCs w:val="22"/>
          <w:lang w:val="lv-LV" w:eastAsia="lv-LV"/>
        </w:rPr>
        <w:t>Klīniskie dati liecina, ka renīna-</w:t>
      </w:r>
      <w:r w:rsidR="004D5D37">
        <w:rPr>
          <w:iCs/>
          <w:snapToGrid w:val="0"/>
          <w:szCs w:val="22"/>
          <w:lang w:val="lv-LV" w:eastAsia="lv-LV"/>
        </w:rPr>
        <w:t>angiotens</w:t>
      </w:r>
      <w:r w:rsidRPr="00D77112">
        <w:rPr>
          <w:iCs/>
          <w:snapToGrid w:val="0"/>
          <w:szCs w:val="22"/>
          <w:lang w:val="lv-LV" w:eastAsia="lv-LV"/>
        </w:rPr>
        <w:t xml:space="preserve">īna-aldosterona sistēmas (RAAS) dubulta blokāde, lietojot kombinācijā AKE inhibitorus, </w:t>
      </w:r>
      <w:r w:rsidR="004D5D37">
        <w:rPr>
          <w:iCs/>
          <w:snapToGrid w:val="0"/>
          <w:szCs w:val="22"/>
          <w:lang w:val="lv-LV" w:eastAsia="lv-LV"/>
        </w:rPr>
        <w:t>angiotens</w:t>
      </w:r>
      <w:r w:rsidRPr="00D77112">
        <w:rPr>
          <w:iCs/>
          <w:snapToGrid w:val="0"/>
          <w:szCs w:val="22"/>
          <w:lang w:val="lv-LV" w:eastAsia="lv-LV"/>
        </w:rPr>
        <w:t>īna II receptoru blokatorus vai aliskirēnu, ir saistīta ar palielinātu tādu nevēlamo blakusparādību kā hipotensija, hiperkaliēmija un pavājināta nieru funkcija (ieskaitot akūtu nieru mazspēju) risku, salīdzinot ar vienu zāļu, kas ietekmē RAAS, lietošanu (skatīt 4.3., 4.4. un 5.1. apakšpunktu).</w:t>
      </w:r>
    </w:p>
    <w:p w14:paraId="228B3430" w14:textId="77777777" w:rsidR="00C4069C" w:rsidRDefault="00C4069C" w:rsidP="00864B03">
      <w:pPr>
        <w:pStyle w:val="BodyTextIndent3"/>
        <w:spacing w:after="0"/>
        <w:ind w:left="0"/>
        <w:rPr>
          <w:b/>
          <w:sz w:val="22"/>
          <w:szCs w:val="22"/>
          <w:lang w:val="lv-LV"/>
        </w:rPr>
      </w:pPr>
    </w:p>
    <w:p w14:paraId="515DCDDC" w14:textId="77777777" w:rsidR="00864B03" w:rsidRPr="002C4BB9" w:rsidRDefault="00864B03" w:rsidP="00864B03">
      <w:pPr>
        <w:pStyle w:val="BodyTextIndent3"/>
        <w:spacing w:after="0"/>
        <w:ind w:left="0"/>
        <w:rPr>
          <w:b/>
          <w:sz w:val="22"/>
          <w:szCs w:val="22"/>
          <w:lang w:val="lv-LV"/>
        </w:rPr>
      </w:pPr>
      <w:r w:rsidRPr="002C4BB9">
        <w:rPr>
          <w:b/>
          <w:sz w:val="22"/>
          <w:szCs w:val="22"/>
          <w:lang w:val="lv-LV"/>
        </w:rPr>
        <w:t xml:space="preserve">Alkohols, barbiturāti vai narkotiskie līdzekļi </w:t>
      </w:r>
    </w:p>
    <w:p w14:paraId="16AF4226" w14:textId="77777777" w:rsidR="00864B03" w:rsidRDefault="00864B03" w:rsidP="00864B03">
      <w:pPr>
        <w:pStyle w:val="BodyTextIndent3"/>
        <w:spacing w:after="0"/>
        <w:ind w:left="0"/>
        <w:rPr>
          <w:sz w:val="22"/>
          <w:szCs w:val="22"/>
          <w:lang w:val="lv-LV"/>
        </w:rPr>
      </w:pPr>
      <w:r>
        <w:rPr>
          <w:iCs/>
          <w:sz w:val="22"/>
          <w:szCs w:val="22"/>
          <w:lang w:val="lv-LV"/>
        </w:rPr>
        <w:t>I</w:t>
      </w:r>
      <w:r w:rsidRPr="007A04E4">
        <w:rPr>
          <w:iCs/>
          <w:sz w:val="22"/>
          <w:szCs w:val="22"/>
          <w:lang w:val="lv-LV"/>
        </w:rPr>
        <w:t>espējama tiazīdu grupas diurētisko līdzekļu inducēta ortostatiskā hipotensija</w:t>
      </w:r>
      <w:r w:rsidRPr="007A04E4">
        <w:rPr>
          <w:sz w:val="22"/>
          <w:szCs w:val="22"/>
          <w:lang w:val="lv-LV"/>
        </w:rPr>
        <w:t>.</w:t>
      </w:r>
    </w:p>
    <w:p w14:paraId="5C895B62" w14:textId="77777777" w:rsidR="00864B03" w:rsidRPr="007A04E4" w:rsidRDefault="00864B03" w:rsidP="00864B03">
      <w:pPr>
        <w:pStyle w:val="BodyTextIndent3"/>
        <w:spacing w:after="0"/>
        <w:ind w:left="0"/>
        <w:rPr>
          <w:sz w:val="22"/>
          <w:szCs w:val="22"/>
          <w:lang w:val="lv-LV"/>
        </w:rPr>
      </w:pPr>
    </w:p>
    <w:p w14:paraId="1C83A58E" w14:textId="77777777" w:rsidR="00864B03" w:rsidRPr="007A04E4" w:rsidRDefault="00864B03" w:rsidP="00864B03">
      <w:pPr>
        <w:pStyle w:val="BodyTextIndent3"/>
        <w:spacing w:after="0"/>
        <w:ind w:left="0"/>
        <w:rPr>
          <w:b/>
          <w:sz w:val="22"/>
          <w:szCs w:val="22"/>
          <w:lang w:val="lv-LV"/>
        </w:rPr>
      </w:pPr>
      <w:r w:rsidRPr="007A04E4">
        <w:rPr>
          <w:b/>
          <w:sz w:val="22"/>
          <w:szCs w:val="22"/>
          <w:lang w:val="lv-LV"/>
        </w:rPr>
        <w:t xml:space="preserve">Antacīdie līdzekļi </w:t>
      </w:r>
    </w:p>
    <w:p w14:paraId="01730218" w14:textId="582F12A0" w:rsidR="00864B03" w:rsidRPr="007A04E4" w:rsidRDefault="00864B03" w:rsidP="00864B03">
      <w:pPr>
        <w:pStyle w:val="BodyTextIndent3"/>
        <w:spacing w:after="0"/>
        <w:ind w:left="0"/>
        <w:rPr>
          <w:iCs/>
          <w:sz w:val="22"/>
          <w:szCs w:val="22"/>
          <w:lang w:val="lv-LV"/>
        </w:rPr>
      </w:pPr>
      <w:r>
        <w:rPr>
          <w:iCs/>
          <w:sz w:val="22"/>
          <w:szCs w:val="22"/>
          <w:lang w:val="lv-LV"/>
        </w:rPr>
        <w:lastRenderedPageBreak/>
        <w:t>A</w:t>
      </w:r>
      <w:r w:rsidRPr="007A04E4">
        <w:rPr>
          <w:iCs/>
          <w:sz w:val="22"/>
          <w:szCs w:val="22"/>
          <w:lang w:val="lv-LV"/>
        </w:rPr>
        <w:t xml:space="preserve">ntacīdie līdzekļi (alumīnija hidroksīds, magnija hidroksīds un simetikons) var pavājināt </w:t>
      </w:r>
      <w:r>
        <w:rPr>
          <w:iCs/>
          <w:sz w:val="22"/>
          <w:szCs w:val="22"/>
          <w:lang w:val="lv-LV"/>
        </w:rPr>
        <w:t>Monozide</w:t>
      </w:r>
      <w:r w:rsidRPr="007A04E4">
        <w:rPr>
          <w:iCs/>
          <w:sz w:val="22"/>
          <w:szCs w:val="22"/>
          <w:lang w:val="lv-LV"/>
        </w:rPr>
        <w:t xml:space="preserve"> absorbciju. Tāpēc, ja nozīmē vienlaicīgu šo </w:t>
      </w:r>
      <w:r w:rsidR="0030526C">
        <w:rPr>
          <w:iCs/>
          <w:sz w:val="22"/>
          <w:szCs w:val="22"/>
          <w:lang w:val="lv-LV"/>
        </w:rPr>
        <w:t>līdzekļu</w:t>
      </w:r>
      <w:r w:rsidRPr="007A04E4">
        <w:rPr>
          <w:iCs/>
          <w:sz w:val="22"/>
          <w:szCs w:val="22"/>
          <w:lang w:val="lv-LV"/>
        </w:rPr>
        <w:t xml:space="preserve"> ievadīšanu, starp devām jābūt 2 stundu intervālam.</w:t>
      </w:r>
    </w:p>
    <w:p w14:paraId="34240D77" w14:textId="77777777" w:rsidR="00864B03" w:rsidRDefault="00864B03" w:rsidP="00864B03">
      <w:pPr>
        <w:pStyle w:val="BodyTextIndent3"/>
        <w:spacing w:after="0"/>
        <w:ind w:left="0"/>
        <w:rPr>
          <w:sz w:val="22"/>
          <w:szCs w:val="22"/>
          <w:lang w:val="lv-LV"/>
        </w:rPr>
      </w:pPr>
    </w:p>
    <w:p w14:paraId="6625514A" w14:textId="4DD1B170" w:rsidR="00864B03" w:rsidRPr="007A04E4" w:rsidRDefault="00864B03" w:rsidP="00864B03">
      <w:pPr>
        <w:pStyle w:val="BodyTextIndent3"/>
        <w:spacing w:after="0"/>
        <w:ind w:left="0"/>
        <w:rPr>
          <w:b/>
          <w:sz w:val="22"/>
          <w:szCs w:val="22"/>
          <w:lang w:val="lv-LV"/>
        </w:rPr>
      </w:pPr>
      <w:r w:rsidRPr="007A04E4">
        <w:rPr>
          <w:b/>
          <w:sz w:val="22"/>
          <w:szCs w:val="22"/>
          <w:lang w:val="lv-LV"/>
        </w:rPr>
        <w:t>Pretdiabēta līdzekļi (perorāli lietojami</w:t>
      </w:r>
      <w:r w:rsidR="0030526C">
        <w:rPr>
          <w:b/>
          <w:sz w:val="22"/>
          <w:szCs w:val="22"/>
          <w:lang w:val="lv-LV"/>
        </w:rPr>
        <w:t>e</w:t>
      </w:r>
      <w:r w:rsidRPr="007A04E4">
        <w:rPr>
          <w:b/>
          <w:sz w:val="22"/>
          <w:szCs w:val="22"/>
          <w:lang w:val="lv-LV"/>
        </w:rPr>
        <w:t xml:space="preserve"> un insulīns) </w:t>
      </w:r>
    </w:p>
    <w:p w14:paraId="40AC7F07" w14:textId="77777777" w:rsidR="00864B03" w:rsidRPr="007A04E4" w:rsidRDefault="00864B03" w:rsidP="00864B03">
      <w:pPr>
        <w:pStyle w:val="BodyTextIndent3"/>
        <w:spacing w:after="0"/>
        <w:ind w:left="0"/>
        <w:rPr>
          <w:iCs/>
          <w:sz w:val="22"/>
          <w:szCs w:val="22"/>
          <w:lang w:val="lv-LV"/>
        </w:rPr>
      </w:pPr>
      <w:r w:rsidRPr="007A04E4">
        <w:rPr>
          <w:iCs/>
          <w:sz w:val="22"/>
          <w:szCs w:val="22"/>
          <w:lang w:val="lv-LV"/>
        </w:rPr>
        <w:t>Tiazīdi var paaugstināt glikozes līmeni asinīs; tādā gadījumā ir nepieciešama antidiabētisko līdzekļu devas koriģēšana.</w:t>
      </w:r>
    </w:p>
    <w:p w14:paraId="34920A5B" w14:textId="77777777" w:rsidR="00864B03" w:rsidRDefault="00864B03" w:rsidP="00864B03">
      <w:pPr>
        <w:pStyle w:val="BodyTextIndent3"/>
        <w:spacing w:after="0"/>
        <w:ind w:left="0"/>
        <w:rPr>
          <w:b/>
          <w:sz w:val="22"/>
          <w:szCs w:val="22"/>
          <w:lang w:val="lv-LV"/>
        </w:rPr>
      </w:pPr>
    </w:p>
    <w:p w14:paraId="61A42497" w14:textId="77777777" w:rsidR="00864B03" w:rsidRPr="007A04E4" w:rsidRDefault="00864B03" w:rsidP="00864B03">
      <w:pPr>
        <w:pStyle w:val="BodyTextIndent3"/>
        <w:spacing w:after="0"/>
        <w:ind w:left="0"/>
        <w:rPr>
          <w:b/>
          <w:sz w:val="22"/>
          <w:szCs w:val="22"/>
          <w:lang w:val="lv-LV"/>
        </w:rPr>
      </w:pPr>
      <w:r w:rsidRPr="007A04E4">
        <w:rPr>
          <w:b/>
          <w:sz w:val="22"/>
          <w:szCs w:val="22"/>
          <w:lang w:val="lv-LV"/>
        </w:rPr>
        <w:t xml:space="preserve">Pretpodagras zāles </w:t>
      </w:r>
    </w:p>
    <w:p w14:paraId="711CA565" w14:textId="77777777" w:rsidR="00864B03" w:rsidRPr="007A04E4" w:rsidRDefault="00864B03" w:rsidP="00864B03">
      <w:pPr>
        <w:pStyle w:val="BodyTextIndent3"/>
        <w:spacing w:after="0"/>
        <w:ind w:left="0"/>
        <w:rPr>
          <w:iCs/>
          <w:sz w:val="22"/>
          <w:szCs w:val="22"/>
          <w:lang w:val="lv-LV"/>
        </w:rPr>
      </w:pPr>
      <w:r w:rsidRPr="007A04E4">
        <w:rPr>
          <w:iCs/>
          <w:sz w:val="22"/>
          <w:szCs w:val="22"/>
          <w:lang w:val="lv-LV"/>
        </w:rPr>
        <w:t>Var būt nepieciešama pretpodagras zāļu devas koriģēšana, jo HCTZ  var paaugstināt urīnskābes līmeni asinīs. Var būt nepieciešama probenecīda vai sulfīnpirazona devas palielināšana.</w:t>
      </w:r>
    </w:p>
    <w:p w14:paraId="73020D26" w14:textId="77777777" w:rsidR="00864B03" w:rsidRDefault="00864B03" w:rsidP="00864B03">
      <w:pPr>
        <w:pStyle w:val="BodyTextIndent3"/>
        <w:spacing w:after="0"/>
        <w:ind w:left="0"/>
        <w:rPr>
          <w:b/>
          <w:sz w:val="22"/>
          <w:szCs w:val="22"/>
          <w:lang w:val="lv-LV"/>
        </w:rPr>
      </w:pPr>
    </w:p>
    <w:p w14:paraId="30BF5594" w14:textId="77777777" w:rsidR="00864B03" w:rsidRPr="007A04E4" w:rsidRDefault="00864B03" w:rsidP="00864B03">
      <w:pPr>
        <w:pStyle w:val="BodyTextIndent3"/>
        <w:spacing w:after="0"/>
        <w:ind w:left="0"/>
        <w:rPr>
          <w:b/>
          <w:sz w:val="22"/>
          <w:szCs w:val="22"/>
          <w:lang w:val="lv-LV"/>
        </w:rPr>
      </w:pPr>
      <w:r w:rsidRPr="007A04E4">
        <w:rPr>
          <w:b/>
          <w:sz w:val="22"/>
          <w:szCs w:val="22"/>
          <w:lang w:val="lv-LV"/>
        </w:rPr>
        <w:t xml:space="preserve">Kalcija sāļi </w:t>
      </w:r>
    </w:p>
    <w:p w14:paraId="3742E276" w14:textId="77777777" w:rsidR="00864B03" w:rsidRDefault="00864B03" w:rsidP="00864B03">
      <w:pPr>
        <w:pStyle w:val="BodyTextIndent3"/>
        <w:spacing w:after="0"/>
        <w:ind w:left="0"/>
        <w:rPr>
          <w:iCs/>
          <w:sz w:val="22"/>
          <w:szCs w:val="22"/>
          <w:lang w:val="lv-LV"/>
        </w:rPr>
      </w:pPr>
      <w:r>
        <w:rPr>
          <w:sz w:val="22"/>
          <w:szCs w:val="22"/>
          <w:lang w:val="lv-LV"/>
        </w:rPr>
        <w:t>T</w:t>
      </w:r>
      <w:r w:rsidRPr="007A04E4">
        <w:rPr>
          <w:iCs/>
          <w:sz w:val="22"/>
          <w:szCs w:val="22"/>
          <w:lang w:val="lv-LV"/>
        </w:rPr>
        <w:t>iazīdu grupas diurētiskie līdzekļi var paaugstināt kalcija koncentrāciju serumā to pazeminātas izdalīšanās dēļ. Ja jānozīmē kalcijs, jānovēro kalcija līmenis serumā un tā deva atbilstoši jākoriģē.</w:t>
      </w:r>
    </w:p>
    <w:p w14:paraId="1BF69E96" w14:textId="77777777" w:rsidR="00864B03" w:rsidRPr="007A04E4" w:rsidRDefault="00864B03" w:rsidP="00864B03">
      <w:pPr>
        <w:pStyle w:val="BodyTextIndent3"/>
        <w:spacing w:after="0"/>
        <w:ind w:left="0"/>
        <w:rPr>
          <w:iCs/>
          <w:sz w:val="22"/>
          <w:szCs w:val="22"/>
          <w:lang w:val="lv-LV"/>
        </w:rPr>
      </w:pPr>
    </w:p>
    <w:p w14:paraId="5F2EB289" w14:textId="77777777" w:rsidR="00864B03" w:rsidRPr="00644D21" w:rsidRDefault="00864B03" w:rsidP="00864B03">
      <w:pPr>
        <w:pStyle w:val="BodyTextIndent3"/>
        <w:spacing w:after="0"/>
        <w:ind w:left="0"/>
        <w:rPr>
          <w:b/>
          <w:sz w:val="22"/>
          <w:szCs w:val="22"/>
          <w:lang w:val="lv-LV"/>
        </w:rPr>
      </w:pPr>
      <w:r w:rsidRPr="00644D21">
        <w:rPr>
          <w:b/>
          <w:sz w:val="22"/>
          <w:szCs w:val="22"/>
          <w:lang w:val="lv-LV"/>
        </w:rPr>
        <w:t>Holesteramīna un kolestipola sveķi</w:t>
      </w:r>
    </w:p>
    <w:p w14:paraId="1D842E01" w14:textId="4B73F7B5" w:rsidR="00864B03" w:rsidRDefault="00864B03" w:rsidP="00864B03">
      <w:pPr>
        <w:pStyle w:val="BodyTextIndent3"/>
        <w:spacing w:after="0"/>
        <w:ind w:left="0"/>
        <w:rPr>
          <w:iCs/>
          <w:sz w:val="22"/>
          <w:szCs w:val="22"/>
          <w:lang w:val="lv-LV"/>
        </w:rPr>
      </w:pPr>
      <w:r w:rsidRPr="007A04E4">
        <w:rPr>
          <w:iCs/>
          <w:sz w:val="22"/>
          <w:szCs w:val="22"/>
          <w:lang w:val="lv-LV"/>
        </w:rPr>
        <w:t xml:space="preserve">HCTZ absorbcija var palēnināties vai samazināties. Tiazīdu grupas diurētiskie līdzekļi jālieto vismaz </w:t>
      </w:r>
      <w:r w:rsidR="0030526C">
        <w:rPr>
          <w:iCs/>
          <w:sz w:val="22"/>
          <w:szCs w:val="22"/>
          <w:lang w:val="lv-LV"/>
        </w:rPr>
        <w:t>1</w:t>
      </w:r>
      <w:r w:rsidRPr="007A04E4">
        <w:rPr>
          <w:iCs/>
          <w:sz w:val="22"/>
          <w:szCs w:val="22"/>
          <w:lang w:val="lv-LV"/>
        </w:rPr>
        <w:t xml:space="preserve"> stundu pirms vai </w:t>
      </w:r>
      <w:r w:rsidR="0030526C">
        <w:rPr>
          <w:iCs/>
          <w:sz w:val="22"/>
          <w:szCs w:val="22"/>
          <w:lang w:val="lv-LV"/>
        </w:rPr>
        <w:t>4</w:t>
      </w:r>
      <w:r w:rsidRPr="007A04E4">
        <w:rPr>
          <w:iCs/>
          <w:sz w:val="22"/>
          <w:szCs w:val="22"/>
          <w:lang w:val="lv-LV"/>
        </w:rPr>
        <w:t xml:space="preserve"> </w:t>
      </w:r>
      <w:r>
        <w:rPr>
          <w:iCs/>
          <w:sz w:val="22"/>
          <w:szCs w:val="22"/>
          <w:lang w:val="lv-LV"/>
        </w:rPr>
        <w:t xml:space="preserve">līdz </w:t>
      </w:r>
      <w:r w:rsidR="0030526C">
        <w:rPr>
          <w:iCs/>
          <w:sz w:val="22"/>
          <w:szCs w:val="22"/>
          <w:lang w:val="lv-LV"/>
        </w:rPr>
        <w:t>6</w:t>
      </w:r>
      <w:r>
        <w:rPr>
          <w:iCs/>
          <w:sz w:val="22"/>
          <w:szCs w:val="22"/>
          <w:lang w:val="lv-LV"/>
        </w:rPr>
        <w:t xml:space="preserve"> </w:t>
      </w:r>
      <w:r w:rsidRPr="007A04E4">
        <w:rPr>
          <w:iCs/>
          <w:sz w:val="22"/>
          <w:szCs w:val="22"/>
          <w:lang w:val="lv-LV"/>
        </w:rPr>
        <w:t>stundas pēc šīm zālēm.</w:t>
      </w:r>
    </w:p>
    <w:p w14:paraId="72E595FB" w14:textId="77777777" w:rsidR="00864B03" w:rsidRPr="007A04E4" w:rsidRDefault="00864B03" w:rsidP="00864B03">
      <w:pPr>
        <w:pStyle w:val="BodyTextIndent3"/>
        <w:spacing w:after="0"/>
        <w:ind w:left="0"/>
        <w:rPr>
          <w:iCs/>
          <w:sz w:val="22"/>
          <w:szCs w:val="22"/>
          <w:lang w:val="lv-LV"/>
        </w:rPr>
      </w:pPr>
    </w:p>
    <w:p w14:paraId="6CB7B22C" w14:textId="77777777" w:rsidR="00864B03" w:rsidRPr="00644D21" w:rsidRDefault="00864B03" w:rsidP="00864B03">
      <w:pPr>
        <w:pStyle w:val="BodyTextIndent3"/>
        <w:spacing w:after="0"/>
        <w:ind w:left="0"/>
        <w:rPr>
          <w:b/>
          <w:sz w:val="22"/>
          <w:szCs w:val="22"/>
          <w:lang w:val="lv-LV"/>
        </w:rPr>
      </w:pPr>
      <w:r w:rsidRPr="00644D21">
        <w:rPr>
          <w:b/>
          <w:sz w:val="22"/>
          <w:szCs w:val="22"/>
          <w:lang w:val="lv-LV"/>
        </w:rPr>
        <w:t xml:space="preserve">Litijs </w:t>
      </w:r>
    </w:p>
    <w:p w14:paraId="5E3B22B7" w14:textId="77777777" w:rsidR="00864B03" w:rsidRDefault="00864B03" w:rsidP="00864B03">
      <w:pPr>
        <w:pStyle w:val="BodyTextIndent3"/>
        <w:spacing w:after="0"/>
        <w:ind w:left="0"/>
        <w:rPr>
          <w:iCs/>
          <w:sz w:val="22"/>
          <w:szCs w:val="22"/>
          <w:lang w:val="lv-LV"/>
        </w:rPr>
      </w:pPr>
      <w:r w:rsidRPr="007A04E4">
        <w:rPr>
          <w:iCs/>
          <w:sz w:val="22"/>
          <w:szCs w:val="22"/>
          <w:lang w:val="lv-LV"/>
        </w:rPr>
        <w:t xml:space="preserve">Pacientiem, kas vienlaicīgi ar litiju saņēma AKE inhibitorus un/vai diurētiskos līdzekļus, novēroja palielinātu litija līmeni serumā un pastāvēja litija toksicitātes risks. Vienlaicīga </w:t>
      </w:r>
      <w:r>
        <w:rPr>
          <w:iCs/>
          <w:sz w:val="22"/>
          <w:szCs w:val="22"/>
          <w:lang w:val="lv-LV"/>
        </w:rPr>
        <w:t>Monozide</w:t>
      </w:r>
      <w:r w:rsidRPr="007A04E4">
        <w:rPr>
          <w:iCs/>
          <w:sz w:val="22"/>
          <w:szCs w:val="22"/>
          <w:lang w:val="lv-LV"/>
        </w:rPr>
        <w:t xml:space="preserve"> un litija ievadīšana jāveic piesardzīgi. Iesaka bieži novērot litija līmeni serumā.</w:t>
      </w:r>
    </w:p>
    <w:p w14:paraId="1DAFB381" w14:textId="77777777" w:rsidR="00864B03" w:rsidRPr="007A04E4" w:rsidRDefault="00864B03" w:rsidP="00864B03">
      <w:pPr>
        <w:pStyle w:val="BodyTextIndent3"/>
        <w:spacing w:after="0"/>
        <w:ind w:left="0"/>
        <w:rPr>
          <w:iCs/>
          <w:sz w:val="22"/>
          <w:szCs w:val="22"/>
          <w:lang w:val="lv-LV"/>
        </w:rPr>
      </w:pPr>
    </w:p>
    <w:p w14:paraId="78861A5A" w14:textId="77777777" w:rsidR="00864B03" w:rsidRPr="00644D21" w:rsidRDefault="00864B03" w:rsidP="00864B03">
      <w:pPr>
        <w:pStyle w:val="BodyTextIndent3"/>
        <w:spacing w:after="0"/>
        <w:ind w:left="0"/>
        <w:rPr>
          <w:b/>
          <w:sz w:val="22"/>
          <w:szCs w:val="22"/>
          <w:lang w:val="lv-LV"/>
        </w:rPr>
      </w:pPr>
      <w:r>
        <w:rPr>
          <w:b/>
          <w:sz w:val="22"/>
          <w:szCs w:val="22"/>
          <w:lang w:val="lv-LV"/>
        </w:rPr>
        <w:t>E</w:t>
      </w:r>
      <w:r w:rsidRPr="00644D21">
        <w:rPr>
          <w:b/>
          <w:sz w:val="22"/>
          <w:szCs w:val="22"/>
          <w:lang w:val="lv-LV"/>
        </w:rPr>
        <w:t>ndogēnā prostaglandīna sintēze</w:t>
      </w:r>
      <w:r>
        <w:rPr>
          <w:b/>
          <w:sz w:val="22"/>
          <w:szCs w:val="22"/>
          <w:lang w:val="lv-LV"/>
        </w:rPr>
        <w:t>s</w:t>
      </w:r>
      <w:r w:rsidRPr="00644D21">
        <w:rPr>
          <w:b/>
          <w:sz w:val="22"/>
          <w:szCs w:val="22"/>
          <w:lang w:val="lv-LV"/>
        </w:rPr>
        <w:t xml:space="preserve"> </w:t>
      </w:r>
      <w:r>
        <w:rPr>
          <w:b/>
          <w:sz w:val="22"/>
          <w:szCs w:val="22"/>
          <w:lang w:val="lv-LV"/>
        </w:rPr>
        <w:t>i</w:t>
      </w:r>
      <w:r w:rsidRPr="00644D21">
        <w:rPr>
          <w:b/>
          <w:sz w:val="22"/>
          <w:szCs w:val="22"/>
          <w:lang w:val="lv-LV"/>
        </w:rPr>
        <w:t>nhibitori</w:t>
      </w:r>
    </w:p>
    <w:p w14:paraId="4BADDB44" w14:textId="77777777" w:rsidR="00864B03" w:rsidRPr="003B3D12" w:rsidRDefault="00864B03" w:rsidP="00864B03">
      <w:pPr>
        <w:pStyle w:val="BodyTextIndent3"/>
        <w:spacing w:after="0"/>
        <w:ind w:left="0"/>
        <w:rPr>
          <w:iCs/>
          <w:sz w:val="22"/>
          <w:szCs w:val="22"/>
          <w:lang w:val="lv-LV"/>
        </w:rPr>
      </w:pPr>
      <w:r>
        <w:rPr>
          <w:iCs/>
          <w:sz w:val="22"/>
          <w:szCs w:val="22"/>
          <w:lang w:val="lv-LV"/>
        </w:rPr>
        <w:t>D</w:t>
      </w:r>
      <w:r w:rsidRPr="007A04E4">
        <w:rPr>
          <w:iCs/>
          <w:sz w:val="22"/>
          <w:szCs w:val="22"/>
          <w:lang w:val="lv-LV"/>
        </w:rPr>
        <w:t xml:space="preserve">ažiem pacientiem šie medikamenti var izraisīt diurētisku iedarbību. Ir zināms, ka arī indometacīns samazina citu AKE inhibitoru antihipertensīvo iedarbību, īpaši zema renīna hipertensijas gadījumā. Citiem nesteroīdu grupas pretiekaisuma </w:t>
      </w:r>
      <w:r>
        <w:rPr>
          <w:iCs/>
          <w:sz w:val="22"/>
          <w:szCs w:val="22"/>
          <w:lang w:val="lv-LV"/>
        </w:rPr>
        <w:t>līdzekļiem</w:t>
      </w:r>
      <w:r w:rsidRPr="007A04E4">
        <w:rPr>
          <w:iCs/>
          <w:sz w:val="22"/>
          <w:szCs w:val="22"/>
          <w:lang w:val="lv-LV"/>
        </w:rPr>
        <w:t xml:space="preserve"> (t.i., aspirīnam) </w:t>
      </w:r>
      <w:r>
        <w:rPr>
          <w:iCs/>
          <w:sz w:val="22"/>
          <w:szCs w:val="22"/>
          <w:lang w:val="lv-LV"/>
        </w:rPr>
        <w:t xml:space="preserve">un selektīviem COX-2 inhibitoriem </w:t>
      </w:r>
      <w:r w:rsidRPr="007A04E4">
        <w:rPr>
          <w:iCs/>
          <w:sz w:val="22"/>
          <w:szCs w:val="22"/>
          <w:lang w:val="lv-LV"/>
        </w:rPr>
        <w:t>var būt līdzīga iedarbība.</w:t>
      </w:r>
      <w:r>
        <w:rPr>
          <w:iCs/>
          <w:sz w:val="22"/>
          <w:szCs w:val="22"/>
          <w:lang w:val="lv-LV"/>
        </w:rPr>
        <w:t xml:space="preserve"> </w:t>
      </w:r>
      <w:r w:rsidRPr="003E0D27">
        <w:rPr>
          <w:color w:val="000000"/>
          <w:sz w:val="22"/>
          <w:szCs w:val="22"/>
          <w:lang w:val="lv-LV"/>
        </w:rPr>
        <w:t xml:space="preserve">Gados vecākiem pacientiem, pacientiem ar cirkulējošā tilpuma deficītu (tostarp pacientiem, kuri tiek ārstēti ar diurētiskajiem līdzekļiem) vai pacientiem ar nieru darbības traucējumiem vienlaicīga NPL (tostarp COX-2 inhibitoru) </w:t>
      </w:r>
      <w:r>
        <w:rPr>
          <w:color w:val="000000"/>
          <w:sz w:val="22"/>
          <w:szCs w:val="22"/>
          <w:lang w:val="lv-LV"/>
        </w:rPr>
        <w:t xml:space="preserve"> un </w:t>
      </w:r>
      <w:r w:rsidRPr="003E0D27">
        <w:rPr>
          <w:color w:val="000000"/>
          <w:sz w:val="22"/>
          <w:szCs w:val="22"/>
          <w:lang w:val="lv-LV"/>
        </w:rPr>
        <w:t xml:space="preserve">AKE </w:t>
      </w:r>
      <w:r w:rsidRPr="003B3D12">
        <w:rPr>
          <w:color w:val="000000"/>
          <w:sz w:val="22"/>
          <w:szCs w:val="22"/>
          <w:lang w:val="lv-LV"/>
        </w:rPr>
        <w:t>inhibitor</w:t>
      </w:r>
      <w:r>
        <w:rPr>
          <w:color w:val="000000"/>
          <w:sz w:val="22"/>
          <w:szCs w:val="22"/>
          <w:lang w:val="lv-LV"/>
        </w:rPr>
        <w:t xml:space="preserve">u </w:t>
      </w:r>
      <w:r w:rsidRPr="003E0D27">
        <w:rPr>
          <w:color w:val="000000"/>
          <w:sz w:val="22"/>
          <w:szCs w:val="22"/>
          <w:lang w:val="lv-LV"/>
        </w:rPr>
        <w:t>(tostarp fosinoprila) lietošana var izraisīt nieru darbības pasliktināšanos, iespējams, arī akūtu nieru mazspēju. Parasti šīs parādības ir atgriezeniskas. Pacientiem, kas tiek ārstēti ar fosinoprilu un NPL, periodiski jākontrolē nieru darbība.</w:t>
      </w:r>
    </w:p>
    <w:p w14:paraId="67C1A12F" w14:textId="77777777" w:rsidR="00E20C6F" w:rsidRDefault="00E20C6F" w:rsidP="00E20C6F">
      <w:pPr>
        <w:tabs>
          <w:tab w:val="left" w:pos="567"/>
        </w:tabs>
        <w:autoSpaceDE w:val="0"/>
        <w:autoSpaceDN w:val="0"/>
        <w:adjustRightInd w:val="0"/>
        <w:spacing w:line="260" w:lineRule="exact"/>
        <w:rPr>
          <w:b/>
          <w:iCs/>
          <w:lang w:val="lv-LV"/>
        </w:rPr>
      </w:pPr>
    </w:p>
    <w:p w14:paraId="0A516DFB" w14:textId="77777777" w:rsidR="00560BE9" w:rsidRPr="0087367F" w:rsidRDefault="00560BE9" w:rsidP="00560BE9">
      <w:pPr>
        <w:tabs>
          <w:tab w:val="left" w:pos="567"/>
        </w:tabs>
        <w:autoSpaceDE w:val="0"/>
        <w:autoSpaceDN w:val="0"/>
        <w:adjustRightInd w:val="0"/>
        <w:spacing w:line="260" w:lineRule="exact"/>
        <w:rPr>
          <w:b/>
          <w:iCs/>
          <w:lang w:val="lv-LV"/>
        </w:rPr>
      </w:pPr>
      <w:r w:rsidRPr="0087367F">
        <w:rPr>
          <w:b/>
          <w:iCs/>
          <w:lang w:val="lv-LV"/>
        </w:rPr>
        <w:t>Zāles, kas pastiprina angioedēmas risku</w:t>
      </w:r>
    </w:p>
    <w:p w14:paraId="70F4EADB" w14:textId="77777777" w:rsidR="00560BE9" w:rsidRPr="00560BE9" w:rsidRDefault="00560BE9" w:rsidP="00560BE9">
      <w:pPr>
        <w:tabs>
          <w:tab w:val="left" w:pos="567"/>
        </w:tabs>
        <w:autoSpaceDE w:val="0"/>
        <w:autoSpaceDN w:val="0"/>
        <w:adjustRightInd w:val="0"/>
        <w:spacing w:line="260" w:lineRule="exact"/>
        <w:rPr>
          <w:iCs/>
          <w:lang w:val="lv-LV"/>
        </w:rPr>
      </w:pPr>
      <w:r w:rsidRPr="00560BE9">
        <w:rPr>
          <w:iCs/>
          <w:lang w:val="lv-LV"/>
        </w:rPr>
        <w:t xml:space="preserve">AKE inhibitoru lietošana vienlaicīgi ar sakubitrilu/valsartānu ir kontrindicēta, jo tā palielina angioedēmas risku (skatīt 4.3. un 4.4. apakšpunktu). </w:t>
      </w:r>
    </w:p>
    <w:p w14:paraId="7EE2C7FE" w14:textId="77777777" w:rsidR="00C4069C" w:rsidRDefault="00C4069C" w:rsidP="00560BE9">
      <w:pPr>
        <w:tabs>
          <w:tab w:val="left" w:pos="567"/>
        </w:tabs>
        <w:autoSpaceDE w:val="0"/>
        <w:autoSpaceDN w:val="0"/>
        <w:adjustRightInd w:val="0"/>
        <w:spacing w:line="260" w:lineRule="exact"/>
        <w:rPr>
          <w:iCs/>
          <w:lang w:val="lv-LV"/>
        </w:rPr>
      </w:pPr>
    </w:p>
    <w:p w14:paraId="5D1F65F7" w14:textId="77777777" w:rsidR="00560BE9" w:rsidRPr="00E20C6F" w:rsidRDefault="00560BE9" w:rsidP="00560BE9">
      <w:pPr>
        <w:tabs>
          <w:tab w:val="left" w:pos="567"/>
        </w:tabs>
        <w:autoSpaceDE w:val="0"/>
        <w:autoSpaceDN w:val="0"/>
        <w:adjustRightInd w:val="0"/>
        <w:spacing w:line="260" w:lineRule="exact"/>
        <w:rPr>
          <w:iCs/>
          <w:lang w:val="lv-LV"/>
        </w:rPr>
      </w:pPr>
      <w:r w:rsidRPr="00560BE9">
        <w:rPr>
          <w:iCs/>
          <w:lang w:val="lv-LV"/>
        </w:rPr>
        <w:t>AKE inhibitoru lietošana vienlaicīgi ar racekadotrilu, mTOR inhibitoriem (piemēram, sirolimu, everolimu, temsirolimu) un vildagliptīnu var palielināt angioedēmas risku (skatīt 4.4. apakšpunktu).</w:t>
      </w:r>
    </w:p>
    <w:p w14:paraId="189796F7" w14:textId="77777777" w:rsidR="00E20C6F" w:rsidRPr="00E20C6F" w:rsidRDefault="00E20C6F" w:rsidP="00E20C6F">
      <w:pPr>
        <w:tabs>
          <w:tab w:val="left" w:pos="567"/>
        </w:tabs>
        <w:autoSpaceDE w:val="0"/>
        <w:autoSpaceDN w:val="0"/>
        <w:adjustRightInd w:val="0"/>
        <w:spacing w:line="260" w:lineRule="exact"/>
        <w:rPr>
          <w:iCs/>
          <w:lang w:val="lv-LV"/>
        </w:rPr>
      </w:pPr>
    </w:p>
    <w:p w14:paraId="0A873A3B" w14:textId="77777777" w:rsidR="00864B03" w:rsidRDefault="00864B03" w:rsidP="00864B03">
      <w:pPr>
        <w:pStyle w:val="BodyTextIndent3"/>
        <w:spacing w:after="0"/>
        <w:ind w:left="0"/>
        <w:rPr>
          <w:sz w:val="22"/>
          <w:szCs w:val="22"/>
          <w:lang w:val="lv-LV"/>
        </w:rPr>
      </w:pPr>
      <w:r w:rsidRPr="00644D21">
        <w:rPr>
          <w:b/>
          <w:sz w:val="22"/>
          <w:szCs w:val="22"/>
          <w:lang w:val="lv-LV"/>
        </w:rPr>
        <w:t>Citi diurētiskie un antihipertensīvie līdzekļi</w:t>
      </w:r>
    </w:p>
    <w:p w14:paraId="00D19B44" w14:textId="77777777" w:rsidR="00864B03" w:rsidRDefault="00864B03" w:rsidP="00864B03">
      <w:pPr>
        <w:pStyle w:val="BodyTextIndent3"/>
        <w:spacing w:after="0"/>
        <w:ind w:left="0"/>
        <w:rPr>
          <w:iCs/>
          <w:sz w:val="22"/>
          <w:szCs w:val="22"/>
          <w:lang w:val="lv-LV"/>
        </w:rPr>
      </w:pPr>
      <w:r>
        <w:rPr>
          <w:iCs/>
          <w:sz w:val="22"/>
          <w:szCs w:val="22"/>
          <w:lang w:val="lv-LV"/>
        </w:rPr>
        <w:t>Monozide</w:t>
      </w:r>
      <w:r w:rsidRPr="007A04E4">
        <w:rPr>
          <w:iCs/>
          <w:sz w:val="22"/>
          <w:szCs w:val="22"/>
          <w:lang w:val="lv-LV"/>
        </w:rPr>
        <w:t xml:space="preserve"> sastāvā ietilpstošais tiazīds var pastiprināt citu antihipertensīvo zāļu darbību, īpaši gangliju vai perifēro adrenerģisko blokatoru darbību. HCTZ var reaģēt ar diazoksīdu; jānovēro glikozes līmenis un urīnskābes līmenis asinīs, kā arī asinsspiediens.</w:t>
      </w:r>
    </w:p>
    <w:p w14:paraId="043E2B2A" w14:textId="77777777" w:rsidR="00864B03" w:rsidRPr="007A04E4" w:rsidRDefault="00864B03" w:rsidP="00864B03">
      <w:pPr>
        <w:pStyle w:val="BodyTextIndent3"/>
        <w:spacing w:after="0"/>
        <w:ind w:left="0"/>
        <w:rPr>
          <w:iCs/>
          <w:sz w:val="22"/>
          <w:szCs w:val="22"/>
          <w:lang w:val="lv-LV"/>
        </w:rPr>
      </w:pPr>
    </w:p>
    <w:p w14:paraId="600AAB38" w14:textId="77777777" w:rsidR="00864B03" w:rsidRPr="0094250E" w:rsidRDefault="00864B03" w:rsidP="00864B03">
      <w:pPr>
        <w:autoSpaceDE w:val="0"/>
        <w:autoSpaceDN w:val="0"/>
        <w:adjustRightInd w:val="0"/>
        <w:rPr>
          <w:b/>
          <w:szCs w:val="22"/>
          <w:lang w:val="lv-LV"/>
        </w:rPr>
      </w:pPr>
      <w:r w:rsidRPr="0094250E">
        <w:rPr>
          <w:b/>
          <w:iCs/>
          <w:szCs w:val="22"/>
          <w:lang w:val="lv-LV"/>
        </w:rPr>
        <w:t>Kāliju aizturoš</w:t>
      </w:r>
      <w:r>
        <w:rPr>
          <w:b/>
          <w:iCs/>
          <w:szCs w:val="22"/>
          <w:lang w:val="lv-LV"/>
        </w:rPr>
        <w:t>ie</w:t>
      </w:r>
      <w:r w:rsidRPr="0094250E">
        <w:rPr>
          <w:b/>
          <w:iCs/>
          <w:szCs w:val="22"/>
          <w:lang w:val="lv-LV"/>
        </w:rPr>
        <w:t xml:space="preserve"> diurēti</w:t>
      </w:r>
      <w:r>
        <w:rPr>
          <w:b/>
          <w:iCs/>
          <w:szCs w:val="22"/>
          <w:lang w:val="lv-LV"/>
        </w:rPr>
        <w:t>s</w:t>
      </w:r>
      <w:r w:rsidRPr="0094250E">
        <w:rPr>
          <w:b/>
          <w:iCs/>
          <w:szCs w:val="22"/>
          <w:lang w:val="lv-LV"/>
        </w:rPr>
        <w:t>k</w:t>
      </w:r>
      <w:r>
        <w:rPr>
          <w:b/>
          <w:iCs/>
          <w:szCs w:val="22"/>
          <w:lang w:val="lv-LV"/>
        </w:rPr>
        <w:t>ie līdzekļi</w:t>
      </w:r>
      <w:r w:rsidR="00390237">
        <w:rPr>
          <w:b/>
          <w:iCs/>
          <w:szCs w:val="22"/>
          <w:lang w:val="lv-LV"/>
        </w:rPr>
        <w:t xml:space="preserve">, </w:t>
      </w:r>
      <w:r w:rsidR="00390237" w:rsidRPr="00390237">
        <w:rPr>
          <w:b/>
          <w:iCs/>
          <w:szCs w:val="22"/>
          <w:lang w:val="lv-LV"/>
        </w:rPr>
        <w:t>kāliju saturoši uztura bagātinātāji vai kāliju saturoši sāls aizvietotāji</w:t>
      </w:r>
    </w:p>
    <w:p w14:paraId="14577B31" w14:textId="77777777" w:rsidR="00864B03" w:rsidRDefault="00390237" w:rsidP="00864B03">
      <w:pPr>
        <w:pStyle w:val="BodyTextIndent3"/>
        <w:spacing w:after="0"/>
        <w:ind w:left="0"/>
        <w:rPr>
          <w:iCs/>
          <w:sz w:val="22"/>
          <w:szCs w:val="22"/>
          <w:lang w:val="lv-LV"/>
        </w:rPr>
      </w:pPr>
      <w:r w:rsidRPr="00390237">
        <w:rPr>
          <w:sz w:val="22"/>
          <w:szCs w:val="22"/>
          <w:lang w:val="lv-LV"/>
        </w:rPr>
        <w:t>Lai gan kālija līmenis serumā parasti saglabājas normas robežās, dažiem ar fosinoprilu/</w:t>
      </w:r>
      <w:r>
        <w:rPr>
          <w:sz w:val="22"/>
          <w:szCs w:val="22"/>
          <w:lang w:val="lv-LV"/>
        </w:rPr>
        <w:t xml:space="preserve"> </w:t>
      </w:r>
      <w:r w:rsidRPr="00390237">
        <w:rPr>
          <w:sz w:val="22"/>
          <w:szCs w:val="22"/>
          <w:lang w:val="lv-LV"/>
        </w:rPr>
        <w:t xml:space="preserve">hidrohlortiazīdu ārstētiem pacientiem var rasties hiperkaliēmija. Kāliju aizturoši diurētiskie līdzekļi (piemēram, spironolaktons, triamterēns vai amilorīds), kāliju saturoši uztura bagātinātāji vai kāliju saturoši sāls aizvietotāji var būtiski paaugstināt kālija līmeni serumā. Piesardzība jāievēro arī tad, ja fosinoprilu/hidrohlortiazīdu lieto vienlaicīgi ar citiem līdzekļiem, kas paaugstina kālija līmeni serumā, piemēram, trimetoprimu un kotrimoksazolu (trimetoprimu/sulfametoksazolu), jo zināms, ka </w:t>
      </w:r>
      <w:r w:rsidRPr="00390237">
        <w:rPr>
          <w:sz w:val="22"/>
          <w:szCs w:val="22"/>
          <w:lang w:val="lv-LV"/>
        </w:rPr>
        <w:lastRenderedPageBreak/>
        <w:t>trimetoprims darbojas līdzīgi kā kāliju aizturoši diurētiskie līdzekļi, piemēram, amilorīds. Tādēļ fosinopril</w:t>
      </w:r>
      <w:r>
        <w:rPr>
          <w:sz w:val="22"/>
          <w:szCs w:val="22"/>
          <w:lang w:val="lv-LV"/>
        </w:rPr>
        <w:t>a/hidrohlortiazīda</w:t>
      </w:r>
      <w:r w:rsidRPr="00390237">
        <w:rPr>
          <w:sz w:val="22"/>
          <w:szCs w:val="22"/>
          <w:lang w:val="lv-LV"/>
        </w:rPr>
        <w:t xml:space="preserve"> kombinēšana ar iepriekš minētajām zālēm nav ieteicama. Ja indicēta vienlaicīga lietošana, šīs zāles jālieto piesardzīgi un bieži jākontrolē kālija līmenis serumā.</w:t>
      </w:r>
    </w:p>
    <w:p w14:paraId="7B1DB3FB" w14:textId="77777777" w:rsidR="00294FBE" w:rsidRDefault="00294FBE" w:rsidP="0087367F">
      <w:pPr>
        <w:pStyle w:val="BodyTextIndent3"/>
        <w:spacing w:after="0"/>
        <w:ind w:left="0"/>
        <w:rPr>
          <w:iCs/>
          <w:sz w:val="22"/>
          <w:szCs w:val="22"/>
          <w:lang w:val="lv-LV"/>
        </w:rPr>
      </w:pPr>
    </w:p>
    <w:p w14:paraId="3D8E9254" w14:textId="77777777" w:rsidR="00294FBE" w:rsidRPr="0087367F" w:rsidRDefault="00294FBE" w:rsidP="0087367F">
      <w:pPr>
        <w:pStyle w:val="BodyTextIndent3"/>
        <w:spacing w:after="0"/>
        <w:ind w:left="0"/>
        <w:rPr>
          <w:b/>
          <w:iCs/>
          <w:sz w:val="22"/>
          <w:szCs w:val="22"/>
          <w:lang w:val="lv-LV"/>
        </w:rPr>
      </w:pPr>
      <w:r w:rsidRPr="0087367F">
        <w:rPr>
          <w:b/>
          <w:iCs/>
          <w:sz w:val="22"/>
          <w:szCs w:val="22"/>
          <w:lang w:val="lv-LV"/>
        </w:rPr>
        <w:t>Ciklosporīns</w:t>
      </w:r>
    </w:p>
    <w:p w14:paraId="21907AF5" w14:textId="77777777" w:rsidR="00294FBE" w:rsidRPr="00294FBE" w:rsidRDefault="00294FBE" w:rsidP="0087367F">
      <w:pPr>
        <w:pStyle w:val="BodyTextIndent3"/>
        <w:spacing w:after="0"/>
        <w:ind w:left="0"/>
        <w:rPr>
          <w:iCs/>
          <w:sz w:val="22"/>
          <w:szCs w:val="22"/>
          <w:lang w:val="lv-LV"/>
        </w:rPr>
      </w:pPr>
      <w:r w:rsidRPr="00294FBE">
        <w:rPr>
          <w:iCs/>
          <w:sz w:val="22"/>
          <w:szCs w:val="22"/>
          <w:lang w:val="lv-LV"/>
        </w:rPr>
        <w:t>Lietojot AKE inhibitorus vienlaicīgi ar ciklosporīnu, var rasties hiperkaliēmija. Ieteicams kontrolēt kālija līmeni serumā.</w:t>
      </w:r>
    </w:p>
    <w:p w14:paraId="3EC9C5B2" w14:textId="77777777" w:rsidR="00294FBE" w:rsidRDefault="00294FBE" w:rsidP="0087367F">
      <w:pPr>
        <w:pStyle w:val="BodyTextIndent3"/>
        <w:spacing w:after="0"/>
        <w:ind w:left="0"/>
        <w:rPr>
          <w:iCs/>
          <w:sz w:val="22"/>
          <w:szCs w:val="22"/>
          <w:lang w:val="lv-LV"/>
        </w:rPr>
      </w:pPr>
    </w:p>
    <w:p w14:paraId="5DB21C72" w14:textId="77777777" w:rsidR="00294FBE" w:rsidRPr="0087367F" w:rsidRDefault="00294FBE" w:rsidP="0087367F">
      <w:pPr>
        <w:pStyle w:val="BodyTextIndent3"/>
        <w:spacing w:after="0"/>
        <w:ind w:left="0"/>
        <w:rPr>
          <w:b/>
          <w:iCs/>
          <w:sz w:val="22"/>
          <w:szCs w:val="22"/>
          <w:lang w:val="lv-LV"/>
        </w:rPr>
      </w:pPr>
      <w:r w:rsidRPr="0087367F">
        <w:rPr>
          <w:b/>
          <w:iCs/>
          <w:sz w:val="22"/>
          <w:szCs w:val="22"/>
          <w:lang w:val="lv-LV"/>
        </w:rPr>
        <w:t>Heparīns</w:t>
      </w:r>
    </w:p>
    <w:p w14:paraId="14FA3901" w14:textId="77777777" w:rsidR="00864B03" w:rsidRPr="007A04E4" w:rsidRDefault="00294FBE">
      <w:pPr>
        <w:pStyle w:val="BodyTextIndent3"/>
        <w:spacing w:after="0"/>
        <w:ind w:left="0"/>
        <w:rPr>
          <w:iCs/>
          <w:sz w:val="22"/>
          <w:szCs w:val="22"/>
          <w:lang w:val="lv-LV"/>
        </w:rPr>
      </w:pPr>
      <w:r w:rsidRPr="00294FBE">
        <w:rPr>
          <w:iCs/>
          <w:sz w:val="22"/>
          <w:szCs w:val="22"/>
          <w:lang w:val="lv-LV"/>
        </w:rPr>
        <w:t>Lietojot AKE inhibitorus vienlaicīgi ar heparīnu, var rasties hiperkaliēmija. Ieteicams kontrolēt kālija līmeni serumā.</w:t>
      </w:r>
    </w:p>
    <w:p w14:paraId="5E698AF1" w14:textId="77777777" w:rsidR="00294FBE" w:rsidRDefault="00294FBE" w:rsidP="00864B03">
      <w:pPr>
        <w:pStyle w:val="BodyTextIndent3"/>
        <w:spacing w:after="0"/>
        <w:ind w:left="0"/>
        <w:rPr>
          <w:b/>
          <w:sz w:val="22"/>
          <w:szCs w:val="22"/>
          <w:lang w:val="lv-LV"/>
        </w:rPr>
      </w:pPr>
    </w:p>
    <w:p w14:paraId="12042681" w14:textId="77777777" w:rsidR="00864B03" w:rsidRPr="00A11E21" w:rsidRDefault="00864B03" w:rsidP="00864B03">
      <w:pPr>
        <w:pStyle w:val="BodyTextIndent3"/>
        <w:spacing w:after="0"/>
        <w:ind w:left="0"/>
        <w:rPr>
          <w:b/>
          <w:sz w:val="22"/>
          <w:szCs w:val="22"/>
          <w:lang w:val="lv-LV"/>
        </w:rPr>
      </w:pPr>
      <w:r w:rsidRPr="00A11E21">
        <w:rPr>
          <w:b/>
          <w:sz w:val="22"/>
          <w:szCs w:val="22"/>
          <w:lang w:val="lv-LV"/>
        </w:rPr>
        <w:t xml:space="preserve">Ķirurģiskās iejaukšanās laikā lietotās zāles </w:t>
      </w:r>
    </w:p>
    <w:p w14:paraId="4445EC5E" w14:textId="77777777" w:rsidR="00864B03" w:rsidRPr="00B5729E" w:rsidRDefault="00864B03" w:rsidP="00864B03">
      <w:pPr>
        <w:pStyle w:val="BodyTextIndent3"/>
        <w:spacing w:after="0"/>
        <w:ind w:left="0"/>
        <w:rPr>
          <w:iCs/>
          <w:sz w:val="22"/>
          <w:szCs w:val="22"/>
          <w:lang w:val="lv-LV"/>
        </w:rPr>
      </w:pPr>
      <w:r w:rsidRPr="00A11E21">
        <w:rPr>
          <w:iCs/>
          <w:sz w:val="22"/>
          <w:szCs w:val="22"/>
          <w:lang w:val="lv-LV"/>
        </w:rPr>
        <w:t xml:space="preserve">HCTZ var potencēt ķirurģijā lietojamo nedepolarizējošo muskuļu relaksantu, preanestēzijas līdzekļu un anestēzijas līdzekļu (t.i., tubokurarīna hlorīda un gallamīna trietjodīda) iedarbību, </w:t>
      </w:r>
      <w:r>
        <w:rPr>
          <w:iCs/>
          <w:sz w:val="22"/>
          <w:szCs w:val="22"/>
          <w:lang w:val="lv-LV"/>
        </w:rPr>
        <w:t xml:space="preserve">tādēļ </w:t>
      </w:r>
      <w:r w:rsidRPr="00A11E21">
        <w:rPr>
          <w:iCs/>
          <w:sz w:val="22"/>
          <w:szCs w:val="22"/>
          <w:lang w:val="lv-LV"/>
        </w:rPr>
        <w:t xml:space="preserve">jāveic devas koriģēšana. </w:t>
      </w:r>
      <w:r w:rsidRPr="00B5729E">
        <w:rPr>
          <w:iCs/>
          <w:sz w:val="22"/>
          <w:szCs w:val="22"/>
          <w:lang w:val="lv-LV"/>
        </w:rPr>
        <w:t>Ja iespējams, pirms ķirurģiskas iejaukšanās jānovēro un jākoriģē šķidruma un elektrolītu disbalanss. Jābūt piesardzīgiem ar pacientiem, kas pārcietuši ķirurģisku iejaukšanos un lieto Monozide un asinsspiedienu paaugstinošus (t.i., norepinefrīnu) līdzekļus. Preanestēzijas un anestēzijas līdzekļi jādod mazākās devās un, ja iespējams, HCTZ terapija jāpārtrauc vienu nedēļu pirms ķirurģiskās iejaukšanās.</w:t>
      </w:r>
    </w:p>
    <w:p w14:paraId="4989B341" w14:textId="77777777" w:rsidR="00864B03" w:rsidRPr="00B5729E" w:rsidRDefault="00864B03" w:rsidP="00864B03">
      <w:pPr>
        <w:pStyle w:val="BodyTextIndent3"/>
        <w:spacing w:after="0"/>
        <w:ind w:left="0"/>
        <w:rPr>
          <w:iCs/>
          <w:sz w:val="22"/>
          <w:szCs w:val="22"/>
          <w:lang w:val="lv-LV"/>
        </w:rPr>
      </w:pPr>
    </w:p>
    <w:p w14:paraId="42AEAE0A" w14:textId="77777777" w:rsidR="00864B03" w:rsidRPr="003B3D12" w:rsidRDefault="00864B03" w:rsidP="00864B03">
      <w:pPr>
        <w:pStyle w:val="BodyTextIndent3"/>
        <w:spacing w:after="0"/>
        <w:ind w:left="0"/>
        <w:rPr>
          <w:b/>
          <w:color w:val="000000"/>
          <w:sz w:val="22"/>
          <w:szCs w:val="22"/>
          <w:lang w:val="lv-LV"/>
        </w:rPr>
      </w:pPr>
      <w:r w:rsidRPr="003B3D12">
        <w:rPr>
          <w:b/>
          <w:color w:val="000000"/>
          <w:sz w:val="22"/>
          <w:szCs w:val="22"/>
          <w:lang w:val="lv-LV"/>
        </w:rPr>
        <w:t>Karbamazepīns</w:t>
      </w:r>
    </w:p>
    <w:p w14:paraId="42577EEA" w14:textId="77777777" w:rsidR="00864B03" w:rsidRPr="00B5729E" w:rsidRDefault="00864B03" w:rsidP="00864B03">
      <w:pPr>
        <w:pStyle w:val="BodyTextIndent3"/>
        <w:spacing w:after="0"/>
        <w:ind w:left="0"/>
        <w:rPr>
          <w:iCs/>
          <w:sz w:val="22"/>
          <w:szCs w:val="22"/>
          <w:lang w:val="lv-LV"/>
        </w:rPr>
      </w:pPr>
      <w:r>
        <w:rPr>
          <w:color w:val="000000"/>
          <w:sz w:val="22"/>
          <w:szCs w:val="22"/>
          <w:lang w:val="lv-LV"/>
        </w:rPr>
        <w:t>V</w:t>
      </w:r>
      <w:r w:rsidRPr="003B3D12">
        <w:rPr>
          <w:color w:val="000000"/>
          <w:sz w:val="22"/>
          <w:szCs w:val="22"/>
          <w:lang w:val="lv-LV"/>
        </w:rPr>
        <w:t>ienlaicīga karbamazepīna un hidrohlortiazīda lietošana bijusi saistīta ar simptomātiskas hiponatriēmijas risku.</w:t>
      </w:r>
      <w:r w:rsidRPr="00B5729E">
        <w:rPr>
          <w:color w:val="000000"/>
          <w:sz w:val="22"/>
          <w:szCs w:val="22"/>
          <w:lang w:val="lv-LV"/>
        </w:rPr>
        <w:t xml:space="preserve"> </w:t>
      </w:r>
      <w:r w:rsidRPr="003B3D12">
        <w:rPr>
          <w:color w:val="000000"/>
          <w:sz w:val="22"/>
          <w:szCs w:val="22"/>
          <w:lang w:val="lv-LV"/>
        </w:rPr>
        <w:t>Vienlaicīgas lietošanas laikā jākontrolē elektrolītu līdzsvars.</w:t>
      </w:r>
      <w:r w:rsidRPr="00B5729E">
        <w:rPr>
          <w:color w:val="000000"/>
          <w:sz w:val="22"/>
          <w:szCs w:val="22"/>
          <w:lang w:val="lv-LV"/>
        </w:rPr>
        <w:t xml:space="preserve"> </w:t>
      </w:r>
      <w:r w:rsidRPr="003B3D12">
        <w:rPr>
          <w:color w:val="000000"/>
          <w:sz w:val="22"/>
          <w:szCs w:val="22"/>
          <w:lang w:val="lv-LV"/>
        </w:rPr>
        <w:t>Ja iespējams, jālieto citas grupas diurētiskie līdzekļi.</w:t>
      </w:r>
    </w:p>
    <w:p w14:paraId="31ACA336" w14:textId="77777777" w:rsidR="00864B03" w:rsidRPr="00B5729E" w:rsidRDefault="00864B03" w:rsidP="00864B03">
      <w:pPr>
        <w:pStyle w:val="BodyTextIndent3"/>
        <w:spacing w:after="0"/>
        <w:ind w:left="0"/>
        <w:rPr>
          <w:iCs/>
          <w:sz w:val="22"/>
          <w:szCs w:val="22"/>
          <w:lang w:val="lv-LV"/>
        </w:rPr>
      </w:pPr>
    </w:p>
    <w:p w14:paraId="46FE1E0B" w14:textId="77777777" w:rsidR="00864B03" w:rsidRPr="00B5729E" w:rsidRDefault="00864B03" w:rsidP="00864B03">
      <w:pPr>
        <w:pStyle w:val="BodyTextIndent3"/>
        <w:spacing w:after="0"/>
        <w:ind w:left="0"/>
        <w:rPr>
          <w:b/>
          <w:sz w:val="22"/>
          <w:szCs w:val="22"/>
          <w:lang w:val="lv-LV"/>
        </w:rPr>
      </w:pPr>
      <w:r w:rsidRPr="00B5729E">
        <w:rPr>
          <w:b/>
          <w:sz w:val="22"/>
          <w:szCs w:val="22"/>
          <w:lang w:val="lv-LV"/>
        </w:rPr>
        <w:t xml:space="preserve">Citas zāles </w:t>
      </w:r>
    </w:p>
    <w:p w14:paraId="1DD35428" w14:textId="77777777" w:rsidR="00864B03" w:rsidRPr="00B5729E" w:rsidRDefault="00864B03" w:rsidP="00864B03">
      <w:pPr>
        <w:pStyle w:val="BodyTextIndent3"/>
        <w:spacing w:after="0"/>
        <w:ind w:left="0"/>
        <w:rPr>
          <w:iCs/>
          <w:sz w:val="22"/>
          <w:szCs w:val="22"/>
          <w:lang w:val="lv-LV"/>
        </w:rPr>
      </w:pPr>
      <w:r w:rsidRPr="00B5729E">
        <w:rPr>
          <w:iCs/>
          <w:sz w:val="22"/>
          <w:szCs w:val="22"/>
          <w:lang w:val="lv-LV"/>
        </w:rPr>
        <w:t>Nesaistītā fosinoprila biopieejamību neizmaina vienlaicīgi ievadīts aspirīns, hlortalidons, cimetidīns, digoksīns, metoklopramīds, nifedipīns, propranolols, propantelīns vai varfarīns.</w:t>
      </w:r>
    </w:p>
    <w:p w14:paraId="4F5032EF" w14:textId="77777777" w:rsidR="00864B03" w:rsidRPr="00B5729E" w:rsidRDefault="00864B03" w:rsidP="00864B03">
      <w:pPr>
        <w:pStyle w:val="BodyTextIndent3"/>
        <w:spacing w:after="0"/>
        <w:ind w:left="0"/>
        <w:rPr>
          <w:iCs/>
          <w:sz w:val="22"/>
          <w:szCs w:val="22"/>
          <w:lang w:val="lv-LV"/>
        </w:rPr>
      </w:pPr>
    </w:p>
    <w:p w14:paraId="52BEE1B3" w14:textId="77777777" w:rsidR="00864B03" w:rsidRPr="00B5729E" w:rsidRDefault="00864B03" w:rsidP="00864B03">
      <w:pPr>
        <w:pStyle w:val="BodyTextIndent3"/>
        <w:spacing w:after="0"/>
        <w:ind w:left="0"/>
        <w:rPr>
          <w:b/>
          <w:bCs/>
          <w:sz w:val="22"/>
          <w:szCs w:val="22"/>
          <w:lang w:val="lv-LV"/>
        </w:rPr>
      </w:pPr>
      <w:r w:rsidRPr="00B5729E">
        <w:rPr>
          <w:b/>
          <w:bCs/>
          <w:sz w:val="22"/>
          <w:szCs w:val="22"/>
          <w:lang w:val="lv-LV"/>
        </w:rPr>
        <w:t>Mijiedarbība ar laboratorijas testiem</w:t>
      </w:r>
    </w:p>
    <w:p w14:paraId="7FE578EC" w14:textId="77777777" w:rsidR="00864B03" w:rsidRPr="00B5729E" w:rsidRDefault="00864B03" w:rsidP="00864B03">
      <w:pPr>
        <w:pStyle w:val="BodyTextIndent3"/>
        <w:spacing w:after="0"/>
        <w:ind w:left="0"/>
        <w:rPr>
          <w:iCs/>
          <w:sz w:val="22"/>
          <w:szCs w:val="22"/>
          <w:lang w:val="lv-LV"/>
        </w:rPr>
      </w:pPr>
      <w:r w:rsidRPr="00B5729E">
        <w:rPr>
          <w:iCs/>
          <w:sz w:val="22"/>
          <w:szCs w:val="22"/>
          <w:lang w:val="lv-LV"/>
        </w:rPr>
        <w:t>Fosinoprils var izraisīt kļūdainu digoksīna līmeņa pazeminājumu serumā, ja analīzē izmanto kokogles absorbcijas metodi. Tās vietā jālieto citi komplekti, kuros izmanto ar antivielām pārklāto stobriņu metodi. Monozide lietošana jāpārtrauc dažas dienas pirms epitēlijķermenīšu funkcijas testu izdarīšanas.</w:t>
      </w:r>
    </w:p>
    <w:p w14:paraId="215D0154" w14:textId="77777777" w:rsidR="00864B03" w:rsidRPr="00B5729E" w:rsidRDefault="00864B03" w:rsidP="00864B03">
      <w:pPr>
        <w:pStyle w:val="EMEABodyText"/>
        <w:rPr>
          <w:szCs w:val="22"/>
          <w:lang w:val="lv-LV" w:eastAsia="lv-LV"/>
        </w:rPr>
      </w:pPr>
    </w:p>
    <w:p w14:paraId="0808B648" w14:textId="77777777" w:rsidR="00864B03" w:rsidRPr="00B5729E" w:rsidRDefault="00864B03" w:rsidP="00864B03">
      <w:pPr>
        <w:pStyle w:val="EMEAHeading2"/>
        <w:rPr>
          <w:noProof/>
          <w:lang w:val="lv-LV"/>
        </w:rPr>
      </w:pPr>
      <w:r w:rsidRPr="00B5729E">
        <w:rPr>
          <w:noProof/>
          <w:lang w:val="lv-LV"/>
        </w:rPr>
        <w:t>4.6</w:t>
      </w:r>
      <w:r w:rsidR="00EE7A3C">
        <w:rPr>
          <w:noProof/>
          <w:lang w:val="lv-LV"/>
        </w:rPr>
        <w:t>.</w:t>
      </w:r>
      <w:r w:rsidRPr="00B5729E">
        <w:rPr>
          <w:noProof/>
          <w:lang w:val="lv-LV"/>
        </w:rPr>
        <w:tab/>
        <w:t xml:space="preserve">Grūtniecība un </w:t>
      </w:r>
      <w:r w:rsidR="00EE7A3C" w:rsidRPr="00EE7A3C">
        <w:rPr>
          <w:noProof/>
          <w:lang w:val="lv-LV"/>
        </w:rPr>
        <w:t>barošana ar krūti</w:t>
      </w:r>
    </w:p>
    <w:p w14:paraId="51459590" w14:textId="77777777" w:rsidR="00864B03" w:rsidRDefault="00864B03" w:rsidP="00864B03">
      <w:pPr>
        <w:pStyle w:val="EMEABodyText"/>
        <w:rPr>
          <w:color w:val="000000"/>
          <w:szCs w:val="22"/>
          <w:u w:val="single"/>
          <w:lang w:val="lv-LV"/>
        </w:rPr>
      </w:pPr>
    </w:p>
    <w:p w14:paraId="758791FF" w14:textId="77777777" w:rsidR="00864B03" w:rsidRPr="008E7CEC" w:rsidRDefault="00864B03" w:rsidP="00864B03">
      <w:pPr>
        <w:pStyle w:val="EMEABodyText"/>
        <w:rPr>
          <w:color w:val="000000"/>
          <w:szCs w:val="22"/>
          <w:u w:val="single"/>
          <w:lang w:val="lv-LV"/>
        </w:rPr>
      </w:pPr>
      <w:r w:rsidRPr="008E7CEC">
        <w:rPr>
          <w:color w:val="000000"/>
          <w:szCs w:val="22"/>
          <w:u w:val="single"/>
          <w:lang w:val="lv-LV"/>
        </w:rPr>
        <w:t>Grūtniecība</w:t>
      </w:r>
    </w:p>
    <w:p w14:paraId="6CF8D7EC" w14:textId="77777777" w:rsidR="00864B03" w:rsidRPr="008B793B" w:rsidRDefault="00864B03" w:rsidP="00864B03">
      <w:pPr>
        <w:pStyle w:val="EMEABodyText"/>
        <w:pBdr>
          <w:top w:val="single" w:sz="4" w:space="1" w:color="auto"/>
          <w:left w:val="single" w:sz="4" w:space="4" w:color="auto"/>
          <w:bottom w:val="single" w:sz="4" w:space="1" w:color="auto"/>
          <w:right w:val="single" w:sz="4" w:space="4" w:color="auto"/>
        </w:pBdr>
        <w:rPr>
          <w:lang w:val="lv-LV"/>
        </w:rPr>
      </w:pPr>
      <w:r>
        <w:rPr>
          <w:color w:val="000000"/>
          <w:szCs w:val="22"/>
          <w:lang w:val="lv-LV"/>
        </w:rPr>
        <w:t xml:space="preserve">Pirmajā grūtniecības trimestrī AKE inhibitoru lietošana nav ieteicama </w:t>
      </w:r>
      <w:r w:rsidRPr="008B793B">
        <w:rPr>
          <w:color w:val="000000"/>
          <w:szCs w:val="22"/>
          <w:lang w:val="lv-LV"/>
        </w:rPr>
        <w:t>(</w:t>
      </w:r>
      <w:r w:rsidRPr="00B911BB">
        <w:rPr>
          <w:lang w:val="lv-LV"/>
        </w:rPr>
        <w:t xml:space="preserve">skatīt </w:t>
      </w:r>
      <w:r w:rsidR="00EE7A3C" w:rsidRPr="008B793B">
        <w:rPr>
          <w:color w:val="000000"/>
          <w:szCs w:val="22"/>
          <w:lang w:val="lv-LV"/>
        </w:rPr>
        <w:t>4.4</w:t>
      </w:r>
      <w:r w:rsidR="00EE7A3C">
        <w:rPr>
          <w:color w:val="000000"/>
          <w:szCs w:val="22"/>
          <w:lang w:val="lv-LV"/>
        </w:rPr>
        <w:t xml:space="preserve">. </w:t>
      </w:r>
      <w:r w:rsidRPr="00B911BB">
        <w:rPr>
          <w:lang w:val="lv-LV"/>
        </w:rPr>
        <w:t>apakšpunkt</w:t>
      </w:r>
      <w:r w:rsidR="00614FC5">
        <w:rPr>
          <w:lang w:val="lv-LV"/>
        </w:rPr>
        <w:t>u</w:t>
      </w:r>
      <w:r w:rsidRPr="008B793B">
        <w:rPr>
          <w:color w:val="000000"/>
          <w:szCs w:val="22"/>
          <w:lang w:val="lv-LV"/>
        </w:rPr>
        <w:t xml:space="preserve">). </w:t>
      </w:r>
      <w:r>
        <w:rPr>
          <w:lang w:val="lv-LV"/>
        </w:rPr>
        <w:t>AKE inhibitoru lietošana ir kontrindicēta</w:t>
      </w:r>
      <w:r w:rsidRPr="008B793B">
        <w:rPr>
          <w:color w:val="000000"/>
          <w:szCs w:val="22"/>
          <w:lang w:val="lv-LV"/>
        </w:rPr>
        <w:t xml:space="preserve"> </w:t>
      </w:r>
      <w:r w:rsidRPr="00B911BB">
        <w:rPr>
          <w:lang w:val="lv-LV"/>
        </w:rPr>
        <w:t>otrajā un trešajā grūtniecības trimestrī</w:t>
      </w:r>
      <w:r>
        <w:rPr>
          <w:lang w:val="lv-LV"/>
        </w:rPr>
        <w:t xml:space="preserve"> </w:t>
      </w:r>
      <w:r w:rsidRPr="008B793B">
        <w:rPr>
          <w:color w:val="000000"/>
          <w:szCs w:val="22"/>
          <w:lang w:val="lv-LV"/>
        </w:rPr>
        <w:t>(</w:t>
      </w:r>
      <w:r w:rsidRPr="00B911BB">
        <w:rPr>
          <w:lang w:val="lv-LV"/>
        </w:rPr>
        <w:t xml:space="preserve">skatīt </w:t>
      </w:r>
      <w:r w:rsidR="00EE7A3C" w:rsidRPr="008B793B">
        <w:rPr>
          <w:color w:val="000000"/>
          <w:szCs w:val="22"/>
          <w:lang w:val="lv-LV"/>
        </w:rPr>
        <w:t>4.3</w:t>
      </w:r>
      <w:r w:rsidR="00EE7A3C">
        <w:rPr>
          <w:color w:val="000000"/>
          <w:szCs w:val="22"/>
          <w:lang w:val="lv-LV"/>
        </w:rPr>
        <w:t>.</w:t>
      </w:r>
      <w:r w:rsidR="00EE7A3C" w:rsidRPr="008B793B">
        <w:rPr>
          <w:color w:val="000000"/>
          <w:szCs w:val="22"/>
          <w:lang w:val="lv-LV"/>
        </w:rPr>
        <w:t xml:space="preserve"> </w:t>
      </w:r>
      <w:r w:rsidR="00EE7A3C">
        <w:rPr>
          <w:color w:val="000000"/>
          <w:szCs w:val="22"/>
          <w:lang w:val="lv-LV"/>
        </w:rPr>
        <w:t>un</w:t>
      </w:r>
      <w:r w:rsidR="00EE7A3C" w:rsidRPr="008B793B">
        <w:rPr>
          <w:color w:val="000000"/>
          <w:szCs w:val="22"/>
          <w:lang w:val="lv-LV"/>
        </w:rPr>
        <w:t> 4.4</w:t>
      </w:r>
      <w:r w:rsidR="00EE7A3C">
        <w:rPr>
          <w:color w:val="000000"/>
          <w:szCs w:val="22"/>
          <w:lang w:val="lv-LV"/>
        </w:rPr>
        <w:t xml:space="preserve">. </w:t>
      </w:r>
      <w:r w:rsidRPr="00B911BB">
        <w:rPr>
          <w:lang w:val="lv-LV"/>
        </w:rPr>
        <w:t>apakšpunkt</w:t>
      </w:r>
      <w:r w:rsidR="00614FC5">
        <w:rPr>
          <w:lang w:val="lv-LV"/>
        </w:rPr>
        <w:t>u</w:t>
      </w:r>
      <w:r w:rsidRPr="008B793B">
        <w:rPr>
          <w:color w:val="000000"/>
          <w:szCs w:val="22"/>
          <w:lang w:val="lv-LV"/>
        </w:rPr>
        <w:t>).</w:t>
      </w:r>
      <w:r>
        <w:rPr>
          <w:color w:val="000000"/>
          <w:szCs w:val="22"/>
          <w:lang w:val="lv-LV"/>
        </w:rPr>
        <w:t xml:space="preserve"> </w:t>
      </w:r>
    </w:p>
    <w:p w14:paraId="21807558" w14:textId="77777777" w:rsidR="00864B03" w:rsidRPr="00F166D2" w:rsidRDefault="00864B03" w:rsidP="00864B03">
      <w:pPr>
        <w:rPr>
          <w:szCs w:val="22"/>
          <w:lang w:val="lv-LV"/>
        </w:rPr>
      </w:pPr>
    </w:p>
    <w:p w14:paraId="58226724"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Nav pārliecinošu epidemioloģisku pierādījumu par angiotensīna konvertējošā enzīma (AKE)</w:t>
      </w:r>
    </w:p>
    <w:p w14:paraId="3ADBB66E"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inhibitoru lietošanas teratogenitātes risku pirmajā grūtniecības trimestrī, tomēr nedaudz paaugstinātu</w:t>
      </w:r>
    </w:p>
    <w:p w14:paraId="19F27873"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risku nevar izslēgt. Pacientēm, kas plāno grūtniecību, jāordinē cits antihipertensīvs līdzeklis ar</w:t>
      </w:r>
    </w:p>
    <w:p w14:paraId="06038921"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vispāratzītu drošuma raksturojumu lietošanai grūtniecības laikā, ja vien AKE inhibitoru lietošanas</w:t>
      </w:r>
    </w:p>
    <w:p w14:paraId="50B0770D"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turpināšana netiek uzskatīta par būtisku. Tiklīdz ir diagnosticēta grūtniecība, AKE inhibitoru lietošana</w:t>
      </w:r>
    </w:p>
    <w:p w14:paraId="1CD4132E"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nekavējoties jāpārtrauc un, ja nepieciešams, jāsāk alternatīva terapija.</w:t>
      </w:r>
    </w:p>
    <w:p w14:paraId="0EF07CF1" w14:textId="77777777" w:rsidR="00864B03" w:rsidRDefault="00864B03" w:rsidP="00864B03">
      <w:pPr>
        <w:autoSpaceDE w:val="0"/>
        <w:autoSpaceDN w:val="0"/>
        <w:adjustRightInd w:val="0"/>
        <w:rPr>
          <w:rFonts w:ascii="TimesNewRomanPSMT" w:hAnsi="TimesNewRomanPSMT" w:cs="TimesNewRomanPSMT"/>
          <w:szCs w:val="22"/>
          <w:lang w:val="lv-LV" w:eastAsia="lv-LV"/>
        </w:rPr>
      </w:pPr>
    </w:p>
    <w:p w14:paraId="3AF5E9FD"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Ir zināms, ka ārstēšana ar AKE inhibitoriem otrā un trešā grūtniecības trimestra laikā izraisa</w:t>
      </w:r>
    </w:p>
    <w:p w14:paraId="071E70D8"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fetotoksicitāti (pavājinātas nieru funkcijas, oligohidramniju, galvaskausa pārkaulošanās kavēšanu)</w:t>
      </w:r>
    </w:p>
    <w:p w14:paraId="35DBD175"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un neonatālu toksicitāti (nieru mazspēju, hipotensiju, hiperkaliēmiju) (</w:t>
      </w:r>
      <w:r w:rsidRPr="00B911BB">
        <w:rPr>
          <w:lang w:val="lv-LV"/>
        </w:rPr>
        <w:t xml:space="preserve">skatīt </w:t>
      </w:r>
      <w:r w:rsidR="00EE7A3C">
        <w:rPr>
          <w:rFonts w:ascii="TimesNewRomanPSMT" w:hAnsi="TimesNewRomanPSMT" w:cs="TimesNewRomanPSMT"/>
          <w:szCs w:val="22"/>
          <w:lang w:val="lv-LV" w:eastAsia="lv-LV"/>
        </w:rPr>
        <w:t xml:space="preserve">5.3. </w:t>
      </w:r>
      <w:r w:rsidRPr="00B911BB">
        <w:rPr>
          <w:lang w:val="lv-LV"/>
        </w:rPr>
        <w:t>apakšpunkt</w:t>
      </w:r>
      <w:r w:rsidR="00614FC5">
        <w:rPr>
          <w:lang w:val="lv-LV"/>
        </w:rPr>
        <w:t>u</w:t>
      </w:r>
      <w:r>
        <w:rPr>
          <w:rFonts w:ascii="TimesNewRomanPSMT" w:hAnsi="TimesNewRomanPSMT" w:cs="TimesNewRomanPSMT"/>
          <w:szCs w:val="22"/>
          <w:lang w:val="lv-LV" w:eastAsia="lv-LV"/>
        </w:rPr>
        <w:t>).</w:t>
      </w:r>
    </w:p>
    <w:p w14:paraId="4CFF37D1"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Ja, sākot ar otro grūtniecības trimestri, paciente lietojusi AKE inhibitoru, ieteicams veikt augļa nieru</w:t>
      </w:r>
    </w:p>
    <w:p w14:paraId="760D1D3F" w14:textId="77777777" w:rsidR="00864B03" w:rsidRDefault="00864B03" w:rsidP="00864B03">
      <w:pPr>
        <w:autoSpaceDE w:val="0"/>
        <w:autoSpaceDN w:val="0"/>
        <w:adjustRightInd w:val="0"/>
        <w:rPr>
          <w:rFonts w:ascii="TimesNewRomanPSMT" w:hAnsi="TimesNewRomanPSMT" w:cs="TimesNewRomanPSMT"/>
          <w:szCs w:val="22"/>
          <w:lang w:val="lv-LV" w:eastAsia="lv-LV"/>
        </w:rPr>
      </w:pPr>
      <w:r>
        <w:rPr>
          <w:rFonts w:ascii="TimesNewRomanPSMT" w:hAnsi="TimesNewRomanPSMT" w:cs="TimesNewRomanPSMT"/>
          <w:szCs w:val="22"/>
          <w:lang w:val="lv-LV" w:eastAsia="lv-LV"/>
        </w:rPr>
        <w:t>funkciju un galvaskausa ultraskaņas izmeklējumus.</w:t>
      </w:r>
    </w:p>
    <w:p w14:paraId="7027EF4C" w14:textId="77777777" w:rsidR="00864B03" w:rsidRDefault="00864B03" w:rsidP="00864B03">
      <w:pPr>
        <w:pStyle w:val="EMEABodyText"/>
        <w:rPr>
          <w:lang w:val="lv-LV"/>
        </w:rPr>
      </w:pPr>
      <w:r>
        <w:rPr>
          <w:rFonts w:ascii="TimesNewRomanPSMT" w:hAnsi="TimesNewRomanPSMT" w:cs="TimesNewRomanPSMT"/>
          <w:szCs w:val="22"/>
          <w:lang w:val="lv-LV" w:eastAsia="lv-LV"/>
        </w:rPr>
        <w:lastRenderedPageBreak/>
        <w:t xml:space="preserve">Zīdaiņi, kuru mātes lietojušas AKE inhibitorus, rūpīgi jāuzrauga hipotensijas riska dēļ </w:t>
      </w:r>
      <w:r>
        <w:rPr>
          <w:lang w:val="lv-LV"/>
        </w:rPr>
        <w:t>(</w:t>
      </w:r>
      <w:r w:rsidRPr="00B911BB">
        <w:rPr>
          <w:lang w:val="lv-LV"/>
        </w:rPr>
        <w:t xml:space="preserve">skatīt </w:t>
      </w:r>
      <w:r w:rsidR="00EE7A3C" w:rsidRPr="008B793B">
        <w:rPr>
          <w:color w:val="000000"/>
          <w:szCs w:val="22"/>
          <w:lang w:val="lv-LV"/>
        </w:rPr>
        <w:t>4.3</w:t>
      </w:r>
      <w:r w:rsidR="00EE7A3C">
        <w:rPr>
          <w:color w:val="000000"/>
          <w:szCs w:val="22"/>
          <w:lang w:val="lv-LV"/>
        </w:rPr>
        <w:t>.</w:t>
      </w:r>
      <w:r w:rsidR="00EE7A3C" w:rsidRPr="008B793B">
        <w:rPr>
          <w:color w:val="000000"/>
          <w:szCs w:val="22"/>
          <w:lang w:val="lv-LV"/>
        </w:rPr>
        <w:t xml:space="preserve"> </w:t>
      </w:r>
      <w:r w:rsidR="00EE7A3C">
        <w:rPr>
          <w:color w:val="000000"/>
          <w:szCs w:val="22"/>
          <w:lang w:val="lv-LV"/>
        </w:rPr>
        <w:t>un</w:t>
      </w:r>
      <w:r w:rsidR="00EE7A3C" w:rsidRPr="008B793B">
        <w:rPr>
          <w:color w:val="000000"/>
          <w:szCs w:val="22"/>
          <w:lang w:val="lv-LV"/>
        </w:rPr>
        <w:t> 4.4</w:t>
      </w:r>
      <w:r w:rsidR="00EE7A3C">
        <w:rPr>
          <w:color w:val="000000"/>
          <w:szCs w:val="22"/>
          <w:lang w:val="lv-LV"/>
        </w:rPr>
        <w:t xml:space="preserve">. </w:t>
      </w:r>
      <w:r w:rsidRPr="00B911BB">
        <w:rPr>
          <w:lang w:val="lv-LV"/>
        </w:rPr>
        <w:t>apakšpunkt</w:t>
      </w:r>
      <w:r w:rsidR="00614FC5">
        <w:rPr>
          <w:lang w:val="lv-LV"/>
        </w:rPr>
        <w:t>u</w:t>
      </w:r>
      <w:r w:rsidRPr="008B793B">
        <w:rPr>
          <w:color w:val="000000"/>
          <w:szCs w:val="22"/>
          <w:lang w:val="lv-LV"/>
        </w:rPr>
        <w:t>).</w:t>
      </w:r>
    </w:p>
    <w:p w14:paraId="471428BA" w14:textId="77777777" w:rsidR="00864B03" w:rsidRPr="00F166D2" w:rsidRDefault="00864B03" w:rsidP="00864B03">
      <w:pPr>
        <w:autoSpaceDE w:val="0"/>
        <w:autoSpaceDN w:val="0"/>
        <w:adjustRightInd w:val="0"/>
        <w:rPr>
          <w:lang w:val="lv-LV"/>
        </w:rPr>
      </w:pPr>
    </w:p>
    <w:p w14:paraId="6B6B339F" w14:textId="77777777" w:rsidR="00864B03" w:rsidRPr="008E7CEC" w:rsidRDefault="00EE7A3C" w:rsidP="00864B03">
      <w:pPr>
        <w:autoSpaceDE w:val="0"/>
        <w:autoSpaceDN w:val="0"/>
        <w:adjustRightInd w:val="0"/>
        <w:rPr>
          <w:iCs/>
          <w:szCs w:val="22"/>
          <w:u w:val="single"/>
          <w:lang w:val="lv-LV"/>
        </w:rPr>
      </w:pPr>
      <w:r>
        <w:rPr>
          <w:u w:val="single"/>
          <w:lang w:val="lv-LV"/>
        </w:rPr>
        <w:t>Barošana ar krūti</w:t>
      </w:r>
    </w:p>
    <w:p w14:paraId="0AA8429E" w14:textId="77777777" w:rsidR="00864B03" w:rsidRPr="00930F80" w:rsidRDefault="00864B03" w:rsidP="00864B03">
      <w:pPr>
        <w:autoSpaceDE w:val="0"/>
        <w:autoSpaceDN w:val="0"/>
        <w:adjustRightInd w:val="0"/>
        <w:rPr>
          <w:noProof/>
          <w:lang w:val="lv-LV"/>
        </w:rPr>
      </w:pPr>
      <w:r>
        <w:rPr>
          <w:iCs/>
          <w:szCs w:val="22"/>
          <w:lang w:val="lv-LV"/>
        </w:rPr>
        <w:t>G</w:t>
      </w:r>
      <w:r w:rsidRPr="00F166D2">
        <w:rPr>
          <w:iCs/>
          <w:szCs w:val="22"/>
          <w:lang w:val="lv-LV"/>
        </w:rPr>
        <w:t>an fosinoprils, gan HCTZ ir nosakāmi</w:t>
      </w:r>
      <w:r w:rsidRPr="00F166D2">
        <w:rPr>
          <w:lang w:val="lv-LV"/>
        </w:rPr>
        <w:t xml:space="preserve"> mātes pienā. </w:t>
      </w:r>
      <w:r>
        <w:rPr>
          <w:rFonts w:ascii="TimesNewRomanPSMT" w:hAnsi="TimesNewRomanPSMT" w:cs="TimesNewRomanPSMT"/>
          <w:szCs w:val="22"/>
          <w:lang w:val="lv-LV" w:eastAsia="lv-LV"/>
        </w:rPr>
        <w:t>Tā kā informācija par Monozide lietošanu</w:t>
      </w:r>
      <w:r w:rsidR="00EE7A3C">
        <w:rPr>
          <w:rFonts w:ascii="TimesNewRomanPSMT" w:hAnsi="TimesNewRomanPSMT" w:cs="TimesNewRomanPSMT"/>
          <w:szCs w:val="22"/>
          <w:lang w:val="lv-LV" w:eastAsia="lv-LV"/>
        </w:rPr>
        <w:t>, barojot ar krūti,</w:t>
      </w:r>
      <w:r>
        <w:rPr>
          <w:rFonts w:ascii="TimesNewRomanPSMT" w:hAnsi="TimesNewRomanPSMT" w:cs="TimesNewRomanPSMT"/>
          <w:szCs w:val="22"/>
          <w:lang w:val="lv-LV" w:eastAsia="lv-LV"/>
        </w:rPr>
        <w:t xml:space="preserve"> nav pieejama, Monozide lietošana šajā laikā nav ieteicama. Pacientēm ir jāordinē alternatīva terapija ar labāku vispāratzītu drošuma raksturojumu </w:t>
      </w:r>
      <w:r w:rsidR="00EE7A3C">
        <w:rPr>
          <w:rFonts w:ascii="TimesNewRomanPSMT" w:hAnsi="TimesNewRomanPSMT" w:cs="TimesNewRomanPSMT"/>
          <w:szCs w:val="22"/>
          <w:lang w:val="lv-LV" w:eastAsia="lv-LV"/>
        </w:rPr>
        <w:t xml:space="preserve">šajā </w:t>
      </w:r>
      <w:r>
        <w:rPr>
          <w:rFonts w:ascii="TimesNewRomanPSMT" w:hAnsi="TimesNewRomanPSMT" w:cs="TimesNewRomanPSMT"/>
          <w:szCs w:val="22"/>
          <w:lang w:val="lv-LV" w:eastAsia="lv-LV"/>
        </w:rPr>
        <w:t>laikā, īpaši, barojot ar krūti jaundzimušo vai priekšlaicīgi dzimušu zīdaini.</w:t>
      </w:r>
    </w:p>
    <w:p w14:paraId="74105195" w14:textId="77777777" w:rsidR="00864B03" w:rsidRPr="00930F80" w:rsidRDefault="00864B03" w:rsidP="00864B03">
      <w:pPr>
        <w:pStyle w:val="EMEABodyText"/>
        <w:rPr>
          <w:noProof/>
          <w:szCs w:val="22"/>
          <w:lang w:val="lv-LV"/>
        </w:rPr>
      </w:pPr>
    </w:p>
    <w:p w14:paraId="3116A516" w14:textId="77777777" w:rsidR="00864B03" w:rsidRPr="00B5729E" w:rsidRDefault="00864B03" w:rsidP="00864B03">
      <w:pPr>
        <w:pStyle w:val="EMEAHeading2"/>
        <w:rPr>
          <w:noProof/>
          <w:szCs w:val="22"/>
          <w:lang w:val="lv-LV"/>
        </w:rPr>
      </w:pPr>
      <w:r w:rsidRPr="00B5729E">
        <w:rPr>
          <w:noProof/>
          <w:szCs w:val="22"/>
          <w:lang w:val="lv-LV"/>
        </w:rPr>
        <w:t>4.7</w:t>
      </w:r>
      <w:r w:rsidR="00EE7A3C">
        <w:rPr>
          <w:noProof/>
          <w:szCs w:val="22"/>
          <w:lang w:val="lv-LV"/>
        </w:rPr>
        <w:t>.</w:t>
      </w:r>
      <w:r w:rsidRPr="00B5729E">
        <w:rPr>
          <w:noProof/>
          <w:szCs w:val="22"/>
          <w:lang w:val="lv-LV"/>
        </w:rPr>
        <w:tab/>
        <w:t>Ietekme uz spēju vadīt transportlīdzekļus un apkalpot mehānismus.</w:t>
      </w:r>
    </w:p>
    <w:p w14:paraId="4CC7FC75" w14:textId="77777777" w:rsidR="00864B03" w:rsidRPr="00B5729E" w:rsidRDefault="00864B03" w:rsidP="00864B03">
      <w:pPr>
        <w:pStyle w:val="EMEABodyText"/>
        <w:rPr>
          <w:noProof/>
          <w:lang w:val="lv-LV"/>
        </w:rPr>
      </w:pPr>
    </w:p>
    <w:p w14:paraId="2F2CE893" w14:textId="77777777" w:rsidR="00864B03" w:rsidRPr="00B5729E" w:rsidRDefault="00864B03" w:rsidP="00864B03">
      <w:pPr>
        <w:pStyle w:val="EMEABodyText"/>
        <w:rPr>
          <w:noProof/>
          <w:lang w:val="lv-LV"/>
        </w:rPr>
      </w:pPr>
      <w:r w:rsidRPr="00B5729E">
        <w:rPr>
          <w:noProof/>
          <w:lang w:val="lv-LV"/>
        </w:rPr>
        <w:t>Nav veikti pētījumi par ietekmi uz spēju vadīt transportlīdzekļus un apkalpot mehānismus.</w:t>
      </w:r>
    </w:p>
    <w:p w14:paraId="68E32199" w14:textId="77777777" w:rsidR="00864B03" w:rsidRPr="00B5729E" w:rsidRDefault="00864B03" w:rsidP="00864B03">
      <w:pPr>
        <w:pStyle w:val="EMEABodyText"/>
        <w:rPr>
          <w:szCs w:val="22"/>
          <w:lang w:val="lv-LV" w:eastAsia="lv-LV"/>
        </w:rPr>
      </w:pPr>
    </w:p>
    <w:p w14:paraId="6C8CCE62" w14:textId="77777777" w:rsidR="00864B03" w:rsidRPr="00B5729E" w:rsidRDefault="00864B03" w:rsidP="00864B03">
      <w:pPr>
        <w:pStyle w:val="EMEAHeading2"/>
        <w:rPr>
          <w:noProof/>
          <w:lang w:val="lv-LV"/>
        </w:rPr>
      </w:pPr>
      <w:r w:rsidRPr="00B5729E">
        <w:rPr>
          <w:noProof/>
          <w:lang w:val="lv-LV"/>
        </w:rPr>
        <w:t>4.8</w:t>
      </w:r>
      <w:r w:rsidR="00EE7A3C">
        <w:rPr>
          <w:noProof/>
          <w:lang w:val="lv-LV"/>
        </w:rPr>
        <w:t>.</w:t>
      </w:r>
      <w:r w:rsidRPr="00B5729E">
        <w:rPr>
          <w:noProof/>
          <w:lang w:val="lv-LV"/>
        </w:rPr>
        <w:tab/>
        <w:t>Nevēlamās blakusparādības.</w:t>
      </w:r>
    </w:p>
    <w:p w14:paraId="70D683B4" w14:textId="77777777" w:rsidR="00864B03" w:rsidRPr="00B5729E" w:rsidRDefault="00864B03" w:rsidP="00864B03">
      <w:pPr>
        <w:pStyle w:val="EMEABodyText"/>
        <w:rPr>
          <w:noProof/>
          <w:lang w:val="lv-LV"/>
        </w:rPr>
      </w:pPr>
    </w:p>
    <w:p w14:paraId="70878534" w14:textId="77777777" w:rsidR="00864B03" w:rsidRPr="00B5729E" w:rsidRDefault="00864B03" w:rsidP="00864B03">
      <w:pPr>
        <w:pStyle w:val="BodyTextIndent3"/>
        <w:spacing w:after="0"/>
        <w:ind w:left="0"/>
        <w:rPr>
          <w:iCs/>
          <w:sz w:val="22"/>
          <w:szCs w:val="22"/>
          <w:lang w:val="lv-LV"/>
        </w:rPr>
      </w:pPr>
      <w:r w:rsidRPr="00B5729E">
        <w:rPr>
          <w:iCs/>
          <w:sz w:val="22"/>
          <w:szCs w:val="22"/>
          <w:lang w:val="lv-LV"/>
        </w:rPr>
        <w:t>Placebo kontrolētos klīnisk</w:t>
      </w:r>
      <w:r w:rsidR="00614FC5">
        <w:rPr>
          <w:iCs/>
          <w:sz w:val="22"/>
          <w:szCs w:val="22"/>
          <w:lang w:val="lv-LV"/>
        </w:rPr>
        <w:t>aj</w:t>
      </w:r>
      <w:r w:rsidRPr="00B5729E">
        <w:rPr>
          <w:iCs/>
          <w:sz w:val="22"/>
          <w:szCs w:val="22"/>
          <w:lang w:val="lv-LV"/>
        </w:rPr>
        <w:t>os pētījumos parastais ārstēšanas laiks bija divi mēneši. Zālu lietošanas pārtraukšana jebkuru – klīnisku vai laboratorisku -blakusparādību dēļ bija 3,5% un 4,3% attiecīgi fosinoprila/HCTZ (n=660) pacientu un placebo (n=368) pacientu grupā. Netika novērota izteikta atšķirība starp balkusparādību biežumu fosinoprila/HCTZ pacientu un placebo pacientu grupā. Ar Monozide veikto klīnisko pētījumu laikā blakusparādību biežums vecākiem pacientiem (65 gadi) bija līdzīgs kā jaunākiem pacientiem. Klīniskās blakusparādības, kas tieši vai netieši saistītas ar terapiju un sastopamas vismaz 2% ar Monozide ārstēto pacientu, placebo kontrolētos klīnisk</w:t>
      </w:r>
      <w:r w:rsidR="00614FC5">
        <w:rPr>
          <w:iCs/>
          <w:sz w:val="22"/>
          <w:szCs w:val="22"/>
          <w:lang w:val="lv-LV"/>
        </w:rPr>
        <w:t>aj</w:t>
      </w:r>
      <w:r w:rsidRPr="00B5729E">
        <w:rPr>
          <w:iCs/>
          <w:sz w:val="22"/>
          <w:szCs w:val="22"/>
          <w:lang w:val="lv-LV"/>
        </w:rPr>
        <w:t>os pētījumos, ir uzrādītas tabulā.</w:t>
      </w:r>
    </w:p>
    <w:tbl>
      <w:tblPr>
        <w:tblW w:w="904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6344"/>
      </w:tblGrid>
      <w:tr w:rsidR="00864B03" w:rsidRPr="00B5729E" w14:paraId="380B7983" w14:textId="77777777" w:rsidTr="005E5493">
        <w:tc>
          <w:tcPr>
            <w:tcW w:w="2704" w:type="dxa"/>
          </w:tcPr>
          <w:p w14:paraId="1A0DFCA0" w14:textId="77777777" w:rsidR="00864B03" w:rsidRPr="00B5729E" w:rsidRDefault="00864B03" w:rsidP="005E5493">
            <w:pPr>
              <w:pStyle w:val="EMEABodyText"/>
              <w:rPr>
                <w:lang w:val="lv-LV"/>
              </w:rPr>
            </w:pPr>
            <w:r>
              <w:rPr>
                <w:noProof/>
                <w:szCs w:val="22"/>
                <w:lang w:val="fi-FI"/>
              </w:rPr>
              <w:t>Elpošanas sistēmas traucējumi, krūšu kurvja un videnes slimības</w:t>
            </w:r>
          </w:p>
        </w:tc>
        <w:tc>
          <w:tcPr>
            <w:tcW w:w="6344" w:type="dxa"/>
          </w:tcPr>
          <w:p w14:paraId="25A14CC9" w14:textId="6886D3AB" w:rsidR="00864B03" w:rsidRPr="00B5729E" w:rsidRDefault="00864B03" w:rsidP="005E5493">
            <w:pPr>
              <w:pStyle w:val="EMEABodyText"/>
              <w:rPr>
                <w:lang w:val="en-US"/>
              </w:rPr>
            </w:pPr>
            <w:r w:rsidRPr="00B5729E">
              <w:rPr>
                <w:lang w:val="en-US"/>
              </w:rPr>
              <w:t>bieži: klepus (5,6%</w:t>
            </w:r>
            <w:r w:rsidR="00465E69">
              <w:rPr>
                <w:lang w:val="en-US"/>
              </w:rPr>
              <w:t>,</w:t>
            </w:r>
            <w:r w:rsidRPr="00B5729E">
              <w:rPr>
                <w:lang w:val="en-US"/>
              </w:rPr>
              <w:t xml:space="preserve"> salīdzinot ar 1,1% placebo grupā)</w:t>
            </w:r>
          </w:p>
        </w:tc>
      </w:tr>
      <w:tr w:rsidR="00864B03" w:rsidRPr="007311EE" w14:paraId="4838A9E3" w14:textId="77777777" w:rsidTr="005E5493">
        <w:tc>
          <w:tcPr>
            <w:tcW w:w="2704" w:type="dxa"/>
          </w:tcPr>
          <w:p w14:paraId="2B415CCD" w14:textId="77777777" w:rsidR="00864B03" w:rsidRPr="00702837" w:rsidRDefault="00864B03" w:rsidP="005E5493">
            <w:pPr>
              <w:pStyle w:val="Header"/>
              <w:rPr>
                <w:noProof/>
                <w:lang w:val="nb-NO"/>
              </w:rPr>
            </w:pPr>
            <w:r w:rsidRPr="00702837">
              <w:rPr>
                <w:noProof/>
                <w:szCs w:val="22"/>
                <w:lang w:val="fi-FI"/>
              </w:rPr>
              <w:t>Skeleta-muskuļu un saistaudu sistēmas bojājumi</w:t>
            </w:r>
          </w:p>
        </w:tc>
        <w:tc>
          <w:tcPr>
            <w:tcW w:w="6344" w:type="dxa"/>
          </w:tcPr>
          <w:p w14:paraId="0591DF85" w14:textId="17733DE3" w:rsidR="00864B03" w:rsidRPr="00702837" w:rsidRDefault="00864B03" w:rsidP="005E5493">
            <w:pPr>
              <w:pStyle w:val="Header"/>
              <w:rPr>
                <w:noProof/>
                <w:lang w:val="nb-NO"/>
              </w:rPr>
            </w:pPr>
            <w:r w:rsidRPr="00702837">
              <w:rPr>
                <w:noProof/>
                <w:lang w:val="nb-NO"/>
              </w:rPr>
              <w:t xml:space="preserve">bieži: </w:t>
            </w:r>
            <w:r w:rsidRPr="00702837">
              <w:rPr>
                <w:lang w:val="nb-NO"/>
              </w:rPr>
              <w:t>muskuļu un skeleta sāpes (2,0%</w:t>
            </w:r>
            <w:r w:rsidR="00465E69">
              <w:rPr>
                <w:lang w:val="nb-NO"/>
              </w:rPr>
              <w:t>,</w:t>
            </w:r>
            <w:r w:rsidRPr="00702837">
              <w:rPr>
                <w:lang w:val="nb-NO"/>
              </w:rPr>
              <w:t xml:space="preserve"> </w:t>
            </w:r>
            <w:r w:rsidRPr="00501E4C">
              <w:rPr>
                <w:lang w:val="nb-NO"/>
              </w:rPr>
              <w:t>salīdzinot ar</w:t>
            </w:r>
            <w:r w:rsidRPr="00702837">
              <w:rPr>
                <w:lang w:val="nb-NO"/>
              </w:rPr>
              <w:t xml:space="preserve"> 1,9% placebo </w:t>
            </w:r>
            <w:r w:rsidRPr="00F00C2D">
              <w:rPr>
                <w:lang w:val="nb-NO"/>
              </w:rPr>
              <w:t>grupā</w:t>
            </w:r>
            <w:r w:rsidRPr="00702837">
              <w:rPr>
                <w:lang w:val="nb-NO"/>
              </w:rPr>
              <w:t>)</w:t>
            </w:r>
          </w:p>
        </w:tc>
      </w:tr>
      <w:tr w:rsidR="00864B03" w14:paraId="379D595B" w14:textId="77777777" w:rsidTr="005E5493">
        <w:tc>
          <w:tcPr>
            <w:tcW w:w="2704" w:type="dxa"/>
          </w:tcPr>
          <w:p w14:paraId="40DA48A0" w14:textId="77777777" w:rsidR="00864B03" w:rsidRPr="00702837" w:rsidRDefault="00864B03" w:rsidP="004B0F38">
            <w:pPr>
              <w:pStyle w:val="Header"/>
              <w:rPr>
                <w:noProof/>
              </w:rPr>
            </w:pPr>
            <w:r w:rsidRPr="00702837">
              <w:rPr>
                <w:bCs/>
                <w:noProof/>
                <w:szCs w:val="22"/>
                <w:lang w:val="pt-PT"/>
              </w:rPr>
              <w:t xml:space="preserve">Infekcijas un </w:t>
            </w:r>
            <w:r w:rsidR="004B0F38">
              <w:rPr>
                <w:bCs/>
                <w:noProof/>
                <w:szCs w:val="22"/>
                <w:lang w:val="pt-PT"/>
              </w:rPr>
              <w:t>infestācijas</w:t>
            </w:r>
          </w:p>
        </w:tc>
        <w:tc>
          <w:tcPr>
            <w:tcW w:w="6344" w:type="dxa"/>
          </w:tcPr>
          <w:p w14:paraId="1120EFD4" w14:textId="3B19DD1F" w:rsidR="00864B03" w:rsidRDefault="00864B03" w:rsidP="005E5493">
            <w:pPr>
              <w:pStyle w:val="Header"/>
              <w:rPr>
                <w:noProof/>
              </w:rPr>
            </w:pPr>
            <w:r>
              <w:rPr>
                <w:noProof/>
              </w:rPr>
              <w:t xml:space="preserve">bieži: </w:t>
            </w:r>
            <w:r>
              <w:t>augšējo elpceļu infekcijas (2,3%</w:t>
            </w:r>
            <w:r w:rsidR="00465E69">
              <w:t>,</w:t>
            </w:r>
            <w:r>
              <w:t xml:space="preserve"> </w:t>
            </w:r>
            <w:r w:rsidRPr="00501E4C">
              <w:t>salīdzinot ar</w:t>
            </w:r>
            <w:r>
              <w:t xml:space="preserve"> 2,7% placebo </w:t>
            </w:r>
            <w:r w:rsidRPr="00702837">
              <w:t>grupā</w:t>
            </w:r>
            <w:r>
              <w:t>)</w:t>
            </w:r>
          </w:p>
        </w:tc>
      </w:tr>
      <w:tr w:rsidR="00864B03" w14:paraId="7CF5BA57" w14:textId="77777777" w:rsidTr="005E5493">
        <w:tc>
          <w:tcPr>
            <w:tcW w:w="2704" w:type="dxa"/>
          </w:tcPr>
          <w:p w14:paraId="2A79BA86" w14:textId="77777777" w:rsidR="00864B03" w:rsidRPr="00702837" w:rsidRDefault="00864B03" w:rsidP="005E5493">
            <w:pPr>
              <w:pStyle w:val="Header"/>
              <w:rPr>
                <w:noProof/>
                <w:lang w:val="da-DK"/>
              </w:rPr>
            </w:pPr>
            <w:r w:rsidRPr="00702837">
              <w:rPr>
                <w:noProof/>
                <w:szCs w:val="22"/>
                <w:lang w:val="pl-PL"/>
              </w:rPr>
              <w:t>Vispārēji traucējumi</w:t>
            </w:r>
          </w:p>
        </w:tc>
        <w:tc>
          <w:tcPr>
            <w:tcW w:w="6344" w:type="dxa"/>
          </w:tcPr>
          <w:p w14:paraId="1AF55E94" w14:textId="6A44B5D1" w:rsidR="00864B03" w:rsidRPr="00B5729E" w:rsidRDefault="00864B03" w:rsidP="005E5493">
            <w:pPr>
              <w:pStyle w:val="EMEABodyText"/>
              <w:rPr>
                <w:lang w:val="da-DK"/>
              </w:rPr>
            </w:pPr>
            <w:r>
              <w:rPr>
                <w:noProof/>
                <w:lang w:val="da-DK"/>
              </w:rPr>
              <w:t>bieži:</w:t>
            </w:r>
            <w:r w:rsidRPr="00B5729E">
              <w:rPr>
                <w:lang w:val="da-DK"/>
              </w:rPr>
              <w:t xml:space="preserve"> </w:t>
            </w:r>
            <w:r>
              <w:rPr>
                <w:noProof/>
                <w:lang w:val="da-DK"/>
              </w:rPr>
              <w:t xml:space="preserve">galvassāpes </w:t>
            </w:r>
            <w:r w:rsidRPr="00B5729E">
              <w:rPr>
                <w:lang w:val="da-DK"/>
              </w:rPr>
              <w:t>(7,0%</w:t>
            </w:r>
            <w:r w:rsidR="00465E69">
              <w:rPr>
                <w:lang w:val="da-DK"/>
              </w:rPr>
              <w:t>,</w:t>
            </w:r>
            <w:r w:rsidRPr="00B5729E">
              <w:rPr>
                <w:lang w:val="da-DK"/>
              </w:rPr>
              <w:t xml:space="preserve"> salīdzinot ar 12,8% placebo grupā),</w:t>
            </w:r>
          </w:p>
          <w:p w14:paraId="523A1A92" w14:textId="68FFFEAC" w:rsidR="00864B03" w:rsidRPr="00B5729E" w:rsidRDefault="00864B03" w:rsidP="005E5493">
            <w:pPr>
              <w:pStyle w:val="EMEABodyText"/>
              <w:rPr>
                <w:lang w:val="da-DK"/>
              </w:rPr>
            </w:pPr>
            <w:r>
              <w:rPr>
                <w:noProof/>
                <w:lang w:val="da-DK"/>
              </w:rPr>
              <w:t xml:space="preserve">          nogurums </w:t>
            </w:r>
            <w:r w:rsidRPr="00B5729E">
              <w:rPr>
                <w:lang w:val="da-DK"/>
              </w:rPr>
              <w:t>(3,9%</w:t>
            </w:r>
            <w:r w:rsidR="00465E69">
              <w:rPr>
                <w:lang w:val="da-DK"/>
              </w:rPr>
              <w:t>,</w:t>
            </w:r>
            <w:r w:rsidRPr="00B5729E">
              <w:rPr>
                <w:lang w:val="da-DK"/>
              </w:rPr>
              <w:t xml:space="preserve"> salīdzinot ar 2,4% placebo grupā),</w:t>
            </w:r>
          </w:p>
          <w:p w14:paraId="1A1A45D5" w14:textId="4FD1A446" w:rsidR="00864B03" w:rsidRPr="004B23F5" w:rsidRDefault="00864B03" w:rsidP="005E5493">
            <w:pPr>
              <w:pStyle w:val="EMEABodyText"/>
            </w:pPr>
            <w:r w:rsidRPr="00B5729E">
              <w:rPr>
                <w:lang w:val="da-DK"/>
              </w:rPr>
              <w:t xml:space="preserve">          </w:t>
            </w:r>
            <w:r>
              <w:rPr>
                <w:noProof/>
                <w:lang w:val="da-DK"/>
              </w:rPr>
              <w:t>reibo</w:t>
            </w:r>
            <w:r w:rsidR="00526B41">
              <w:rPr>
                <w:noProof/>
                <w:lang w:val="da-DK"/>
              </w:rPr>
              <w:t>nis</w:t>
            </w:r>
            <w:r>
              <w:rPr>
                <w:noProof/>
                <w:lang w:val="da-DK"/>
              </w:rPr>
              <w:t xml:space="preserve"> </w:t>
            </w:r>
            <w:r>
              <w:t>(3,2%</w:t>
            </w:r>
            <w:r w:rsidR="00465E69">
              <w:t>,</w:t>
            </w:r>
            <w:r>
              <w:t xml:space="preserve"> </w:t>
            </w:r>
            <w:r w:rsidRPr="00501E4C">
              <w:t>salīdzinot ar</w:t>
            </w:r>
            <w:r>
              <w:t xml:space="preserve"> 2,2% placebo</w:t>
            </w:r>
            <w:r w:rsidRPr="00702837">
              <w:t xml:space="preserve"> grupā</w:t>
            </w:r>
            <w:r>
              <w:t>)</w:t>
            </w:r>
          </w:p>
        </w:tc>
      </w:tr>
    </w:tbl>
    <w:p w14:paraId="79FAA41F" w14:textId="77777777" w:rsidR="00864B03" w:rsidRPr="00F00C2D" w:rsidRDefault="00864B03" w:rsidP="00864B03">
      <w:pPr>
        <w:pStyle w:val="BodyTextIndent3"/>
        <w:spacing w:after="0"/>
        <w:ind w:left="0"/>
        <w:rPr>
          <w:iCs/>
          <w:sz w:val="22"/>
          <w:szCs w:val="22"/>
          <w:lang w:val="da-DK"/>
        </w:rPr>
      </w:pPr>
    </w:p>
    <w:p w14:paraId="1F7737AB" w14:textId="77777777" w:rsidR="00864B03" w:rsidRDefault="00864B03" w:rsidP="00864B03">
      <w:pPr>
        <w:pStyle w:val="BodyTextIndent3"/>
        <w:spacing w:after="0"/>
        <w:ind w:left="0"/>
        <w:rPr>
          <w:iCs/>
          <w:sz w:val="22"/>
          <w:szCs w:val="22"/>
          <w:lang w:val="da-DK"/>
        </w:rPr>
      </w:pPr>
      <w:r w:rsidRPr="00702837">
        <w:rPr>
          <w:iCs/>
          <w:sz w:val="22"/>
          <w:szCs w:val="22"/>
          <w:lang w:val="da-DK"/>
        </w:rPr>
        <w:t xml:space="preserve">Citi klīniskie </w:t>
      </w:r>
      <w:r>
        <w:rPr>
          <w:iCs/>
          <w:sz w:val="22"/>
          <w:szCs w:val="22"/>
          <w:lang w:val="da-DK"/>
        </w:rPr>
        <w:t>notikumi varbūtēji vai iespējami</w:t>
      </w:r>
      <w:r w:rsidRPr="00702837">
        <w:rPr>
          <w:iCs/>
          <w:sz w:val="22"/>
          <w:szCs w:val="22"/>
          <w:lang w:val="da-DK"/>
        </w:rPr>
        <w:t xml:space="preserve"> saistīti ar </w:t>
      </w:r>
      <w:r>
        <w:rPr>
          <w:iCs/>
          <w:sz w:val="22"/>
          <w:szCs w:val="22"/>
          <w:lang w:val="da-DK"/>
        </w:rPr>
        <w:t xml:space="preserve"> terapiju un kas radās </w:t>
      </w:r>
      <w:r w:rsidRPr="00702837">
        <w:rPr>
          <w:iCs/>
          <w:sz w:val="22"/>
          <w:szCs w:val="22"/>
          <w:lang w:val="da-DK"/>
        </w:rPr>
        <w:t>0,5 līdz mazāk nekā 2%</w:t>
      </w:r>
      <w:r>
        <w:rPr>
          <w:iCs/>
          <w:sz w:val="22"/>
          <w:szCs w:val="22"/>
          <w:lang w:val="da-DK"/>
        </w:rPr>
        <w:t xml:space="preserve"> ar Monozide ārstēto</w:t>
      </w:r>
      <w:r w:rsidRPr="00702837">
        <w:rPr>
          <w:iCs/>
          <w:sz w:val="22"/>
          <w:szCs w:val="22"/>
          <w:lang w:val="da-DK"/>
        </w:rPr>
        <w:t xml:space="preserve"> pacientu, ko</w:t>
      </w:r>
      <w:r>
        <w:rPr>
          <w:iCs/>
          <w:sz w:val="22"/>
          <w:szCs w:val="22"/>
          <w:lang w:val="da-DK"/>
        </w:rPr>
        <w:t>ntrolētos klīniskos pētījumos (n</w:t>
      </w:r>
      <w:r w:rsidRPr="00702837">
        <w:rPr>
          <w:iCs/>
          <w:sz w:val="22"/>
          <w:szCs w:val="22"/>
          <w:lang w:val="da-DK"/>
        </w:rPr>
        <w:t>=660) un retāki, bet klīniski nozīmīgāki</w:t>
      </w:r>
      <w:r w:rsidR="00631366">
        <w:rPr>
          <w:iCs/>
          <w:sz w:val="22"/>
          <w:szCs w:val="22"/>
          <w:lang w:val="da-DK"/>
        </w:rPr>
        <w:t xml:space="preserve"> </w:t>
      </w:r>
      <w:r>
        <w:rPr>
          <w:iCs/>
          <w:sz w:val="22"/>
          <w:szCs w:val="22"/>
          <w:lang w:val="da-DK"/>
        </w:rPr>
        <w:t>notikumi neatkarīgi no</w:t>
      </w:r>
      <w:r w:rsidRPr="00702837">
        <w:rPr>
          <w:iCs/>
          <w:sz w:val="22"/>
          <w:szCs w:val="22"/>
          <w:lang w:val="da-DK"/>
        </w:rPr>
        <w:t>, cēloņsakarībām ietver (uzskaitījums pēc org</w:t>
      </w:r>
      <w:r>
        <w:rPr>
          <w:iCs/>
          <w:sz w:val="22"/>
          <w:szCs w:val="22"/>
          <w:lang w:val="da-DK"/>
        </w:rPr>
        <w:t>ānu sistēmu klasifikācijas</w:t>
      </w:r>
      <w:r w:rsidRPr="00702837">
        <w:rPr>
          <w:iCs/>
          <w:sz w:val="22"/>
          <w:szCs w:val="22"/>
          <w:lang w:val="da-DK"/>
        </w:rPr>
        <w:t xml:space="preserve">):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6253"/>
      </w:tblGrid>
      <w:tr w:rsidR="00864B03" w:rsidRPr="00893333" w14:paraId="289A37F3" w14:textId="77777777" w:rsidTr="005E5493">
        <w:tc>
          <w:tcPr>
            <w:tcW w:w="2701" w:type="dxa"/>
          </w:tcPr>
          <w:p w14:paraId="3B9F5F15" w14:textId="77777777" w:rsidR="00864B03" w:rsidRPr="00702837" w:rsidRDefault="00864B03" w:rsidP="005E5493">
            <w:pPr>
              <w:pStyle w:val="EMEABodyText"/>
            </w:pPr>
            <w:r w:rsidRPr="00702837">
              <w:rPr>
                <w:bCs/>
                <w:szCs w:val="22"/>
              </w:rPr>
              <w:t>Izmeklējumi</w:t>
            </w:r>
            <w:r w:rsidRPr="00702837">
              <w:t xml:space="preserve"> </w:t>
            </w:r>
          </w:p>
        </w:tc>
        <w:tc>
          <w:tcPr>
            <w:tcW w:w="6347" w:type="dxa"/>
          </w:tcPr>
          <w:p w14:paraId="6C0F78CD" w14:textId="4B37EB57" w:rsidR="00864B03" w:rsidRPr="00B93F6C" w:rsidRDefault="00864B03" w:rsidP="005E5493">
            <w:pPr>
              <w:pStyle w:val="BodyTextIndent3"/>
              <w:spacing w:after="0"/>
              <w:ind w:left="0"/>
              <w:rPr>
                <w:iCs/>
                <w:sz w:val="22"/>
                <w:szCs w:val="22"/>
              </w:rPr>
            </w:pPr>
            <w:r w:rsidRPr="00B93F6C">
              <w:rPr>
                <w:sz w:val="22"/>
                <w:szCs w:val="22"/>
              </w:rPr>
              <w:t xml:space="preserve">izmaiņas seruma elektrolītu, urīnskābes, glikozes, magnija, holesterīna, triglicerīdu un kalcija līmenī (skatīt </w:t>
            </w:r>
            <w:r w:rsidR="00526B41" w:rsidRPr="00B93F6C">
              <w:rPr>
                <w:sz w:val="22"/>
                <w:szCs w:val="22"/>
              </w:rPr>
              <w:t>4.4.</w:t>
            </w:r>
            <w:r w:rsidR="00526B41">
              <w:rPr>
                <w:sz w:val="22"/>
                <w:szCs w:val="22"/>
              </w:rPr>
              <w:t xml:space="preserve"> </w:t>
            </w:r>
            <w:r w:rsidRPr="00B93F6C">
              <w:rPr>
                <w:sz w:val="22"/>
                <w:szCs w:val="22"/>
              </w:rPr>
              <w:t>apakšpunkt</w:t>
            </w:r>
            <w:r w:rsidR="00526B41">
              <w:rPr>
                <w:sz w:val="22"/>
                <w:szCs w:val="22"/>
              </w:rPr>
              <w:t>u</w:t>
            </w:r>
            <w:r w:rsidRPr="00B93F6C">
              <w:rPr>
                <w:bCs/>
                <w:sz w:val="22"/>
                <w:szCs w:val="22"/>
              </w:rPr>
              <w:t>), n</w:t>
            </w:r>
            <w:r w:rsidRPr="00B93F6C">
              <w:rPr>
                <w:sz w:val="22"/>
                <w:szCs w:val="22"/>
              </w:rPr>
              <w:t>eitropēnija</w:t>
            </w:r>
          </w:p>
        </w:tc>
      </w:tr>
      <w:tr w:rsidR="00864B03" w:rsidRPr="00893333" w14:paraId="78B5FDF4" w14:textId="77777777" w:rsidTr="005E5493">
        <w:tc>
          <w:tcPr>
            <w:tcW w:w="2701" w:type="dxa"/>
          </w:tcPr>
          <w:p w14:paraId="3F613946" w14:textId="77777777" w:rsidR="00864B03" w:rsidRPr="00893333" w:rsidRDefault="00864B03" w:rsidP="005E5493">
            <w:pPr>
              <w:pStyle w:val="EMEABodyText"/>
            </w:pPr>
            <w:r>
              <w:rPr>
                <w:bCs/>
                <w:noProof/>
                <w:szCs w:val="22"/>
                <w:lang w:val="nb-NO"/>
              </w:rPr>
              <w:t>Sirds funkcijas traucējumi</w:t>
            </w:r>
          </w:p>
        </w:tc>
        <w:tc>
          <w:tcPr>
            <w:tcW w:w="6347" w:type="dxa"/>
          </w:tcPr>
          <w:p w14:paraId="0FDEFDA9" w14:textId="77777777" w:rsidR="00864B03" w:rsidRPr="00B93F6C" w:rsidRDefault="00864B03" w:rsidP="005E5493">
            <w:pPr>
              <w:pStyle w:val="EMEABodyText"/>
              <w:rPr>
                <w:szCs w:val="22"/>
              </w:rPr>
            </w:pPr>
            <w:r w:rsidRPr="00644A83">
              <w:rPr>
                <w:iCs/>
                <w:szCs w:val="22"/>
              </w:rPr>
              <w:t>ritma traucējumi</w:t>
            </w:r>
            <w:r w:rsidRPr="00B93F6C">
              <w:rPr>
                <w:szCs w:val="22"/>
              </w:rPr>
              <w:t xml:space="preserve">, </w:t>
            </w:r>
            <w:r>
              <w:rPr>
                <w:szCs w:val="22"/>
              </w:rPr>
              <w:t>tūska</w:t>
            </w:r>
          </w:p>
        </w:tc>
      </w:tr>
      <w:tr w:rsidR="00864B03" w:rsidRPr="00893333" w14:paraId="69FEC8E4" w14:textId="77777777" w:rsidTr="005E5493">
        <w:tc>
          <w:tcPr>
            <w:tcW w:w="2701" w:type="dxa"/>
          </w:tcPr>
          <w:p w14:paraId="78DC775E" w14:textId="77777777" w:rsidR="00864B03" w:rsidRPr="00B93F6C" w:rsidRDefault="00864B03" w:rsidP="005E5493">
            <w:pPr>
              <w:pStyle w:val="EMEABodyText"/>
            </w:pPr>
            <w:r w:rsidRPr="00B93F6C">
              <w:rPr>
                <w:bCs/>
                <w:szCs w:val="22"/>
              </w:rPr>
              <w:t>Nervu sistēmas traucējumi</w:t>
            </w:r>
          </w:p>
        </w:tc>
        <w:tc>
          <w:tcPr>
            <w:tcW w:w="6347" w:type="dxa"/>
          </w:tcPr>
          <w:p w14:paraId="3CDC498F" w14:textId="77777777" w:rsidR="00864B03" w:rsidRPr="00893333" w:rsidRDefault="00864B03" w:rsidP="005E5493">
            <w:pPr>
              <w:pStyle w:val="EMEABodyText"/>
            </w:pPr>
            <w:r>
              <w:rPr>
                <w:iCs/>
                <w:szCs w:val="22"/>
              </w:rPr>
              <w:t>nejutīgums</w:t>
            </w:r>
            <w:r w:rsidRPr="00644A83">
              <w:rPr>
                <w:iCs/>
                <w:szCs w:val="22"/>
              </w:rPr>
              <w:t>/parestēz</w:t>
            </w:r>
            <w:r>
              <w:rPr>
                <w:iCs/>
                <w:szCs w:val="22"/>
              </w:rPr>
              <w:t>ija</w:t>
            </w:r>
          </w:p>
        </w:tc>
      </w:tr>
      <w:tr w:rsidR="00864B03" w:rsidRPr="00893333" w14:paraId="0F22C114" w14:textId="77777777" w:rsidTr="005E5493">
        <w:tc>
          <w:tcPr>
            <w:tcW w:w="2701" w:type="dxa"/>
          </w:tcPr>
          <w:p w14:paraId="6E6DB9C7" w14:textId="77777777" w:rsidR="00864B03" w:rsidRPr="00B93F6C" w:rsidRDefault="00864B03" w:rsidP="005E5493">
            <w:pPr>
              <w:pStyle w:val="EMEABodyText"/>
            </w:pPr>
            <w:r w:rsidRPr="00B93F6C">
              <w:rPr>
                <w:bCs/>
                <w:szCs w:val="22"/>
              </w:rPr>
              <w:t>Ausu un labirinta bojājumi</w:t>
            </w:r>
            <w:r w:rsidRPr="00B93F6C">
              <w:rPr>
                <w:iCs/>
                <w:szCs w:val="22"/>
              </w:rPr>
              <w:t xml:space="preserve"> </w:t>
            </w:r>
          </w:p>
        </w:tc>
        <w:tc>
          <w:tcPr>
            <w:tcW w:w="6347" w:type="dxa"/>
          </w:tcPr>
          <w:p w14:paraId="027CF72A" w14:textId="77777777" w:rsidR="00864B03" w:rsidRPr="00893333" w:rsidRDefault="00864B03" w:rsidP="005E5493">
            <w:pPr>
              <w:pStyle w:val="EMEABodyText"/>
            </w:pPr>
            <w:r w:rsidRPr="00644A83">
              <w:rPr>
                <w:iCs/>
                <w:szCs w:val="22"/>
              </w:rPr>
              <w:t>troksnis ausīs</w:t>
            </w:r>
          </w:p>
        </w:tc>
      </w:tr>
      <w:tr w:rsidR="00864B03" w:rsidRPr="00893333" w14:paraId="6F92E870" w14:textId="77777777" w:rsidTr="005E5493">
        <w:tc>
          <w:tcPr>
            <w:tcW w:w="2701" w:type="dxa"/>
          </w:tcPr>
          <w:p w14:paraId="4355E64C" w14:textId="77777777" w:rsidR="00864B03" w:rsidRPr="00B5729E" w:rsidRDefault="00864B03" w:rsidP="005E5493">
            <w:pPr>
              <w:pStyle w:val="EMEABodyText"/>
            </w:pPr>
            <w:r w:rsidRPr="00590D86">
              <w:rPr>
                <w:noProof/>
                <w:szCs w:val="22"/>
                <w:lang w:val="fi-FI"/>
              </w:rPr>
              <w:t>Elpošanas sistēmas traucējum</w:t>
            </w:r>
            <w:r>
              <w:rPr>
                <w:noProof/>
                <w:szCs w:val="22"/>
                <w:lang w:val="fi-FI"/>
              </w:rPr>
              <w:t>i, krūšu kurvja un videnes slimības</w:t>
            </w:r>
          </w:p>
        </w:tc>
        <w:tc>
          <w:tcPr>
            <w:tcW w:w="6347" w:type="dxa"/>
          </w:tcPr>
          <w:p w14:paraId="5170CDC5" w14:textId="77777777" w:rsidR="00864B03" w:rsidRPr="00893333" w:rsidRDefault="00864B03" w:rsidP="005E5493">
            <w:pPr>
              <w:pStyle w:val="EMEABodyText"/>
            </w:pPr>
            <w:r w:rsidRPr="00702837">
              <w:rPr>
                <w:iCs/>
                <w:szCs w:val="22"/>
                <w:lang w:val="da-DK"/>
              </w:rPr>
              <w:t>sāpes krūšu kurvī</w:t>
            </w:r>
          </w:p>
        </w:tc>
      </w:tr>
      <w:tr w:rsidR="00864B03" w:rsidRPr="00893333" w14:paraId="3C9FC119" w14:textId="77777777" w:rsidTr="005E5493">
        <w:tc>
          <w:tcPr>
            <w:tcW w:w="2701" w:type="dxa"/>
          </w:tcPr>
          <w:p w14:paraId="71EC03C6" w14:textId="77777777" w:rsidR="00864B03" w:rsidRPr="004D683C" w:rsidRDefault="00864B03" w:rsidP="005E5493">
            <w:pPr>
              <w:pStyle w:val="EMEABodyText"/>
            </w:pPr>
            <w:r>
              <w:rPr>
                <w:bCs/>
                <w:szCs w:val="22"/>
              </w:rPr>
              <w:t>Kuņģa-</w:t>
            </w:r>
            <w:r w:rsidRPr="004D683C">
              <w:rPr>
                <w:bCs/>
                <w:szCs w:val="22"/>
              </w:rPr>
              <w:t>zarnu trakta traucējumi</w:t>
            </w:r>
          </w:p>
        </w:tc>
        <w:tc>
          <w:tcPr>
            <w:tcW w:w="6347" w:type="dxa"/>
          </w:tcPr>
          <w:p w14:paraId="0659C323" w14:textId="331925AC" w:rsidR="00864B03" w:rsidRPr="00893333" w:rsidRDefault="00864B03" w:rsidP="005E5493">
            <w:pPr>
              <w:pStyle w:val="EMEABodyText"/>
            </w:pPr>
            <w:r>
              <w:rPr>
                <w:iCs/>
                <w:szCs w:val="22"/>
              </w:rPr>
              <w:t>slikta dūša, vemšana, caureja, dispepsija, grēmas,  sāpes</w:t>
            </w:r>
            <w:r w:rsidR="00BB3789">
              <w:rPr>
                <w:iCs/>
                <w:szCs w:val="22"/>
              </w:rPr>
              <w:t xml:space="preserve"> vēderā</w:t>
            </w:r>
            <w:r>
              <w:rPr>
                <w:iCs/>
                <w:szCs w:val="22"/>
              </w:rPr>
              <w:t xml:space="preserve">, gastrīts, </w:t>
            </w:r>
            <w:r w:rsidRPr="00644A83">
              <w:rPr>
                <w:iCs/>
                <w:szCs w:val="22"/>
              </w:rPr>
              <w:t>ezofagīts</w:t>
            </w:r>
          </w:p>
        </w:tc>
      </w:tr>
      <w:tr w:rsidR="00864B03" w:rsidRPr="00893333" w14:paraId="15AB9BA9" w14:textId="77777777" w:rsidTr="005E5493">
        <w:tc>
          <w:tcPr>
            <w:tcW w:w="2701" w:type="dxa"/>
          </w:tcPr>
          <w:p w14:paraId="57BFBC70" w14:textId="77777777" w:rsidR="00864B03" w:rsidRPr="004D683C" w:rsidRDefault="00864B03" w:rsidP="004B0F38">
            <w:pPr>
              <w:pStyle w:val="EMEABodyText"/>
            </w:pPr>
            <w:r w:rsidRPr="004D683C">
              <w:rPr>
                <w:bCs/>
                <w:szCs w:val="22"/>
              </w:rPr>
              <w:t>Nieru un urīn</w:t>
            </w:r>
            <w:r w:rsidR="004B0F38">
              <w:rPr>
                <w:bCs/>
                <w:szCs w:val="22"/>
              </w:rPr>
              <w:t>izvades sistēmas</w:t>
            </w:r>
            <w:r w:rsidRPr="004D683C">
              <w:rPr>
                <w:bCs/>
                <w:szCs w:val="22"/>
              </w:rPr>
              <w:t xml:space="preserve"> traucējumi</w:t>
            </w:r>
          </w:p>
        </w:tc>
        <w:tc>
          <w:tcPr>
            <w:tcW w:w="6347" w:type="dxa"/>
          </w:tcPr>
          <w:p w14:paraId="71AD0527" w14:textId="77777777" w:rsidR="00864B03" w:rsidRPr="00893333" w:rsidRDefault="00864B03" w:rsidP="005E5493">
            <w:pPr>
              <w:pStyle w:val="EMEABodyText"/>
            </w:pPr>
            <w:r w:rsidRPr="00644A83">
              <w:rPr>
                <w:iCs/>
                <w:szCs w:val="22"/>
              </w:rPr>
              <w:t>urinēšanas biežuma izmaiņas, urinēšanas traucējumi</w:t>
            </w:r>
          </w:p>
        </w:tc>
      </w:tr>
      <w:tr w:rsidR="00864B03" w:rsidRPr="00893333" w14:paraId="10996D81" w14:textId="77777777" w:rsidTr="005E5493">
        <w:tc>
          <w:tcPr>
            <w:tcW w:w="2701" w:type="dxa"/>
          </w:tcPr>
          <w:p w14:paraId="737F6AD9" w14:textId="77777777" w:rsidR="00864B03" w:rsidRPr="004D683C" w:rsidRDefault="00864B03" w:rsidP="005E5493">
            <w:pPr>
              <w:pStyle w:val="EMEABodyText"/>
              <w:rPr>
                <w:lang w:val="de-DE"/>
              </w:rPr>
            </w:pPr>
            <w:r w:rsidRPr="004D683C">
              <w:rPr>
                <w:bCs/>
                <w:szCs w:val="22"/>
                <w:lang w:val="de-DE"/>
              </w:rPr>
              <w:t>Ādas un zemādas audu bojājumi</w:t>
            </w:r>
          </w:p>
        </w:tc>
        <w:tc>
          <w:tcPr>
            <w:tcW w:w="6347" w:type="dxa"/>
          </w:tcPr>
          <w:p w14:paraId="7A32F978" w14:textId="77777777" w:rsidR="00864B03" w:rsidRPr="00893333" w:rsidRDefault="00864B03" w:rsidP="005E5493">
            <w:pPr>
              <w:pStyle w:val="EMEABodyText"/>
            </w:pPr>
            <w:r w:rsidRPr="00644A83">
              <w:rPr>
                <w:iCs/>
                <w:szCs w:val="22"/>
              </w:rPr>
              <w:t>nieze, izsitumi</w:t>
            </w:r>
          </w:p>
        </w:tc>
      </w:tr>
      <w:tr w:rsidR="00864B03" w:rsidRPr="00893333" w14:paraId="6E98708D" w14:textId="77777777" w:rsidTr="005E5493">
        <w:tc>
          <w:tcPr>
            <w:tcW w:w="2701" w:type="dxa"/>
          </w:tcPr>
          <w:p w14:paraId="690A998B" w14:textId="77777777" w:rsidR="00864B03" w:rsidRPr="00B5729E" w:rsidRDefault="00864B03" w:rsidP="005E5493">
            <w:pPr>
              <w:pStyle w:val="EMEABodyText"/>
              <w:rPr>
                <w:lang w:val="nb-NO"/>
              </w:rPr>
            </w:pPr>
            <w:r w:rsidRPr="00B5729E">
              <w:rPr>
                <w:bCs/>
                <w:szCs w:val="22"/>
                <w:lang w:val="nb-NO"/>
              </w:rPr>
              <w:t>Skeleta-muskuļu un saistaudu sistēmas bojājumi</w:t>
            </w:r>
            <w:r w:rsidRPr="00B5729E">
              <w:rPr>
                <w:lang w:val="nb-NO"/>
              </w:rPr>
              <w:t xml:space="preserve"> </w:t>
            </w:r>
          </w:p>
        </w:tc>
        <w:tc>
          <w:tcPr>
            <w:tcW w:w="6347" w:type="dxa"/>
          </w:tcPr>
          <w:p w14:paraId="56B165BA" w14:textId="77777777" w:rsidR="00864B03" w:rsidRPr="00893333" w:rsidRDefault="00864B03" w:rsidP="005E5493">
            <w:pPr>
              <w:pStyle w:val="EMEABodyText"/>
            </w:pPr>
            <w:r>
              <w:rPr>
                <w:iCs/>
                <w:szCs w:val="22"/>
              </w:rPr>
              <w:t>m</w:t>
            </w:r>
            <w:r w:rsidRPr="00644A83">
              <w:rPr>
                <w:iCs/>
                <w:szCs w:val="22"/>
              </w:rPr>
              <w:t>ialģija</w:t>
            </w:r>
            <w:r>
              <w:rPr>
                <w:iCs/>
                <w:szCs w:val="22"/>
              </w:rPr>
              <w:t xml:space="preserve">, </w:t>
            </w:r>
            <w:r w:rsidRPr="00644A83">
              <w:rPr>
                <w:iCs/>
                <w:szCs w:val="22"/>
              </w:rPr>
              <w:t>muskuļu krampji</w:t>
            </w:r>
          </w:p>
        </w:tc>
      </w:tr>
      <w:tr w:rsidR="00864B03" w:rsidRPr="00893333" w14:paraId="41460847" w14:textId="77777777" w:rsidTr="005E5493">
        <w:tc>
          <w:tcPr>
            <w:tcW w:w="2701" w:type="dxa"/>
          </w:tcPr>
          <w:p w14:paraId="6922C536" w14:textId="77777777" w:rsidR="00864B03" w:rsidRPr="004D683C" w:rsidRDefault="00864B03" w:rsidP="005E5493">
            <w:pPr>
              <w:pStyle w:val="EMEABodyText"/>
            </w:pPr>
            <w:r w:rsidRPr="004D683C">
              <w:rPr>
                <w:bCs/>
                <w:noProof/>
                <w:szCs w:val="22"/>
                <w:lang w:val="pt-PT"/>
              </w:rPr>
              <w:lastRenderedPageBreak/>
              <w:t xml:space="preserve">Infekcijas un </w:t>
            </w:r>
            <w:r>
              <w:rPr>
                <w:bCs/>
                <w:noProof/>
                <w:szCs w:val="22"/>
                <w:lang w:val="pt-PT"/>
              </w:rPr>
              <w:t>infestācijas</w:t>
            </w:r>
          </w:p>
        </w:tc>
        <w:tc>
          <w:tcPr>
            <w:tcW w:w="6347" w:type="dxa"/>
          </w:tcPr>
          <w:p w14:paraId="75F48959" w14:textId="77777777" w:rsidR="00864B03" w:rsidRPr="00893333" w:rsidRDefault="00864B03" w:rsidP="005E5493">
            <w:pPr>
              <w:pStyle w:val="EMEABodyText"/>
            </w:pPr>
            <w:r>
              <w:rPr>
                <w:iCs/>
                <w:szCs w:val="22"/>
              </w:rPr>
              <w:t>s</w:t>
            </w:r>
            <w:r w:rsidRPr="00644A83">
              <w:rPr>
                <w:iCs/>
                <w:szCs w:val="22"/>
              </w:rPr>
              <w:t>inus</w:t>
            </w:r>
            <w:r>
              <w:rPr>
                <w:iCs/>
                <w:szCs w:val="22"/>
              </w:rPr>
              <w:t>īts</w:t>
            </w:r>
            <w:r w:rsidRPr="00644A83">
              <w:rPr>
                <w:iCs/>
                <w:szCs w:val="22"/>
              </w:rPr>
              <w:t>, faringīts, rinīts</w:t>
            </w:r>
          </w:p>
        </w:tc>
      </w:tr>
      <w:tr w:rsidR="00864B03" w:rsidRPr="00893333" w14:paraId="0CEA1CF3" w14:textId="77777777" w:rsidTr="005E5493">
        <w:tc>
          <w:tcPr>
            <w:tcW w:w="2701" w:type="dxa"/>
          </w:tcPr>
          <w:p w14:paraId="36B869D4" w14:textId="77777777" w:rsidR="00864B03" w:rsidRPr="00B76189" w:rsidRDefault="00864B03" w:rsidP="005E5493">
            <w:pPr>
              <w:pStyle w:val="EMEABodyText"/>
            </w:pPr>
            <w:r w:rsidRPr="00B76189">
              <w:rPr>
                <w:noProof/>
                <w:szCs w:val="22"/>
                <w:lang w:val="fi-FI"/>
              </w:rPr>
              <w:t>Asinsvadu sistēmas traucējumi</w:t>
            </w:r>
          </w:p>
        </w:tc>
        <w:tc>
          <w:tcPr>
            <w:tcW w:w="6347" w:type="dxa"/>
          </w:tcPr>
          <w:p w14:paraId="5BC0C248" w14:textId="77777777" w:rsidR="00864B03" w:rsidRPr="00893333" w:rsidRDefault="00864B03" w:rsidP="005E5493">
            <w:pPr>
              <w:pStyle w:val="EMEABodyText"/>
            </w:pPr>
            <w:r w:rsidRPr="00B93F6C">
              <w:rPr>
                <w:iCs/>
                <w:szCs w:val="22"/>
                <w:lang w:val="da-DK"/>
              </w:rPr>
              <w:t>ortostatiskā hipotensija, pēkšņs piesarkums, samaņas zudums</w:t>
            </w:r>
            <w:r w:rsidRPr="00893333">
              <w:t xml:space="preserve"> </w:t>
            </w:r>
          </w:p>
        </w:tc>
      </w:tr>
      <w:tr w:rsidR="00864B03" w:rsidRPr="00893333" w14:paraId="7D2FA6BD" w14:textId="77777777" w:rsidTr="005E5493">
        <w:tc>
          <w:tcPr>
            <w:tcW w:w="2701" w:type="dxa"/>
          </w:tcPr>
          <w:p w14:paraId="0C65531F" w14:textId="77777777" w:rsidR="00864B03" w:rsidRPr="00B76189" w:rsidRDefault="00864B03" w:rsidP="005E5493">
            <w:pPr>
              <w:pStyle w:val="EMEABodyText"/>
            </w:pPr>
            <w:r w:rsidRPr="00B76189">
              <w:rPr>
                <w:noProof/>
                <w:szCs w:val="22"/>
                <w:lang w:val="pl-PL"/>
              </w:rPr>
              <w:t>Vispārēji traucējumi</w:t>
            </w:r>
          </w:p>
        </w:tc>
        <w:tc>
          <w:tcPr>
            <w:tcW w:w="6347" w:type="dxa"/>
          </w:tcPr>
          <w:p w14:paraId="2632929F" w14:textId="77777777" w:rsidR="00864B03" w:rsidRPr="00893333" w:rsidRDefault="00864B03" w:rsidP="005E5493">
            <w:pPr>
              <w:pStyle w:val="EMEABodyText"/>
            </w:pPr>
            <w:r w:rsidRPr="00702837">
              <w:rPr>
                <w:iCs/>
                <w:szCs w:val="22"/>
                <w:lang w:val="da-DK"/>
              </w:rPr>
              <w:t>vājums, drudzis</w:t>
            </w:r>
            <w:r w:rsidRPr="00893333">
              <w:t xml:space="preserve">, </w:t>
            </w:r>
            <w:r w:rsidRPr="00644A83">
              <w:rPr>
                <w:iCs/>
                <w:szCs w:val="22"/>
              </w:rPr>
              <w:t>miegainība</w:t>
            </w:r>
          </w:p>
        </w:tc>
      </w:tr>
      <w:tr w:rsidR="00864B03" w:rsidRPr="00893333" w14:paraId="356A83DB" w14:textId="77777777" w:rsidTr="005E5493">
        <w:tc>
          <w:tcPr>
            <w:tcW w:w="2701" w:type="dxa"/>
          </w:tcPr>
          <w:p w14:paraId="281C9DB8" w14:textId="77777777" w:rsidR="00864B03" w:rsidRPr="00893333" w:rsidRDefault="00864B03" w:rsidP="005E5493">
            <w:pPr>
              <w:pStyle w:val="EMEABodyText"/>
            </w:pPr>
            <w:r w:rsidRPr="00B76189">
              <w:rPr>
                <w:bCs/>
                <w:szCs w:val="22"/>
              </w:rPr>
              <w:t>Imūnās sistēmas traucējumi</w:t>
            </w:r>
            <w:r w:rsidRPr="00644A83">
              <w:rPr>
                <w:b/>
                <w:bCs/>
                <w:szCs w:val="22"/>
              </w:rPr>
              <w:t xml:space="preserve"> </w:t>
            </w:r>
          </w:p>
        </w:tc>
        <w:tc>
          <w:tcPr>
            <w:tcW w:w="6347" w:type="dxa"/>
          </w:tcPr>
          <w:p w14:paraId="6CDB5576" w14:textId="77777777" w:rsidR="00864B03" w:rsidRPr="00893333" w:rsidRDefault="00864B03" w:rsidP="005E5493">
            <w:pPr>
              <w:pStyle w:val="EMEABodyText"/>
            </w:pPr>
            <w:r w:rsidRPr="00644A83">
              <w:rPr>
                <w:iCs/>
                <w:szCs w:val="22"/>
              </w:rPr>
              <w:t>angio</w:t>
            </w:r>
            <w:r>
              <w:rPr>
                <w:iCs/>
                <w:szCs w:val="22"/>
              </w:rPr>
              <w:t>edēma</w:t>
            </w:r>
          </w:p>
        </w:tc>
      </w:tr>
      <w:tr w:rsidR="00864B03" w:rsidRPr="00893333" w14:paraId="1F0F0AE7" w14:textId="77777777" w:rsidTr="005E5493">
        <w:tc>
          <w:tcPr>
            <w:tcW w:w="2701" w:type="dxa"/>
          </w:tcPr>
          <w:p w14:paraId="5251494A" w14:textId="77777777" w:rsidR="00864B03" w:rsidRPr="00B5729E" w:rsidRDefault="00864B03" w:rsidP="005E5493">
            <w:pPr>
              <w:pStyle w:val="EMEABodyText"/>
            </w:pPr>
            <w:r w:rsidRPr="00B76189">
              <w:rPr>
                <w:noProof/>
                <w:szCs w:val="22"/>
                <w:lang w:val="fi-FI"/>
              </w:rPr>
              <w:t xml:space="preserve">Reproduktīvās sistēmas </w:t>
            </w:r>
            <w:r>
              <w:rPr>
                <w:noProof/>
                <w:szCs w:val="22"/>
                <w:lang w:val="fi-FI"/>
              </w:rPr>
              <w:t xml:space="preserve">traucējumi </w:t>
            </w:r>
            <w:r w:rsidRPr="00B76189">
              <w:rPr>
                <w:noProof/>
                <w:szCs w:val="22"/>
                <w:lang w:val="fi-FI"/>
              </w:rPr>
              <w:t>un krūts slimības</w:t>
            </w:r>
          </w:p>
        </w:tc>
        <w:tc>
          <w:tcPr>
            <w:tcW w:w="6347" w:type="dxa"/>
          </w:tcPr>
          <w:p w14:paraId="137588D5" w14:textId="77777777" w:rsidR="00864B03" w:rsidRPr="00893333" w:rsidRDefault="00864B03" w:rsidP="005E5493">
            <w:pPr>
              <w:pStyle w:val="EMEABodyText"/>
            </w:pPr>
            <w:r w:rsidRPr="00644A83">
              <w:rPr>
                <w:iCs/>
                <w:szCs w:val="22"/>
              </w:rPr>
              <w:t>seksuālā disfunkcija, libido izmaiņas</w:t>
            </w:r>
          </w:p>
        </w:tc>
      </w:tr>
      <w:tr w:rsidR="00864B03" w:rsidRPr="00893333" w14:paraId="4B6D60D4" w14:textId="77777777" w:rsidTr="005E5493">
        <w:tc>
          <w:tcPr>
            <w:tcW w:w="2701" w:type="dxa"/>
          </w:tcPr>
          <w:p w14:paraId="1F220A40" w14:textId="77777777" w:rsidR="00864B03" w:rsidRPr="00B76189" w:rsidRDefault="00864B03" w:rsidP="005E5493">
            <w:pPr>
              <w:pStyle w:val="EMEABodyText"/>
            </w:pPr>
            <w:r w:rsidRPr="00B76189">
              <w:rPr>
                <w:bCs/>
                <w:noProof/>
                <w:szCs w:val="22"/>
                <w:lang w:val="fi-FI"/>
              </w:rPr>
              <w:t>Psihiskie traucējumi</w:t>
            </w:r>
          </w:p>
        </w:tc>
        <w:tc>
          <w:tcPr>
            <w:tcW w:w="6347" w:type="dxa"/>
          </w:tcPr>
          <w:p w14:paraId="77EFF3EA" w14:textId="77777777" w:rsidR="00864B03" w:rsidRPr="00893333" w:rsidRDefault="00864B03" w:rsidP="005E5493">
            <w:pPr>
              <w:pStyle w:val="EMEABodyText"/>
            </w:pPr>
            <w:r w:rsidRPr="00893333">
              <w:t>depresi</w:t>
            </w:r>
            <w:r>
              <w:t>ja</w:t>
            </w:r>
          </w:p>
        </w:tc>
      </w:tr>
    </w:tbl>
    <w:p w14:paraId="3E287291" w14:textId="77777777" w:rsidR="00864B03" w:rsidRPr="00893333" w:rsidRDefault="00864B03" w:rsidP="00864B03">
      <w:pPr>
        <w:pStyle w:val="EMEABodyText"/>
      </w:pPr>
    </w:p>
    <w:p w14:paraId="30BFFE71" w14:textId="77777777" w:rsidR="00864B03" w:rsidRPr="00644A83" w:rsidRDefault="00864B03" w:rsidP="00864B03">
      <w:pPr>
        <w:pStyle w:val="BodyTextIndent3"/>
        <w:spacing w:after="0"/>
        <w:ind w:left="0"/>
        <w:rPr>
          <w:iCs/>
          <w:sz w:val="22"/>
          <w:szCs w:val="22"/>
        </w:rPr>
      </w:pPr>
      <w:r w:rsidRPr="00644A83">
        <w:rPr>
          <w:iCs/>
          <w:sz w:val="22"/>
          <w:szCs w:val="22"/>
        </w:rPr>
        <w:t>Cit</w:t>
      </w:r>
      <w:r>
        <w:rPr>
          <w:iCs/>
          <w:sz w:val="22"/>
          <w:szCs w:val="22"/>
        </w:rPr>
        <w:t xml:space="preserve">as blakusparādības </w:t>
      </w:r>
      <w:r w:rsidRPr="00644A83">
        <w:rPr>
          <w:iCs/>
          <w:sz w:val="22"/>
          <w:szCs w:val="22"/>
        </w:rPr>
        <w:t>, kas novērot</w:t>
      </w:r>
      <w:r>
        <w:rPr>
          <w:iCs/>
          <w:sz w:val="22"/>
          <w:szCs w:val="22"/>
        </w:rPr>
        <w:t>as</w:t>
      </w:r>
      <w:r w:rsidRPr="00644A83">
        <w:rPr>
          <w:iCs/>
          <w:sz w:val="22"/>
          <w:szCs w:val="22"/>
        </w:rPr>
        <w:t>, ja atsevišķi lieto fosinoprilu vai HCTZ, ietver:</w:t>
      </w:r>
    </w:p>
    <w:tbl>
      <w:tblPr>
        <w:tblW w:w="904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6344"/>
      </w:tblGrid>
      <w:tr w:rsidR="00864B03" w:rsidRPr="00893333" w14:paraId="3C4403FA" w14:textId="77777777" w:rsidTr="005E5493">
        <w:tc>
          <w:tcPr>
            <w:tcW w:w="2704" w:type="dxa"/>
          </w:tcPr>
          <w:p w14:paraId="5090FFC1" w14:textId="77777777" w:rsidR="00864B03" w:rsidRPr="00893333" w:rsidRDefault="00864B03" w:rsidP="005E5493">
            <w:pPr>
              <w:pStyle w:val="EMEABodyText"/>
            </w:pPr>
            <w:r w:rsidRPr="00702837">
              <w:rPr>
                <w:bCs/>
                <w:szCs w:val="22"/>
              </w:rPr>
              <w:t>Izmeklējumi</w:t>
            </w:r>
          </w:p>
        </w:tc>
        <w:tc>
          <w:tcPr>
            <w:tcW w:w="6344" w:type="dxa"/>
          </w:tcPr>
          <w:p w14:paraId="65B06C9F" w14:textId="77777777" w:rsidR="00864B03" w:rsidRPr="00893333" w:rsidRDefault="00864B03" w:rsidP="005E5493">
            <w:pPr>
              <w:pStyle w:val="EMEABodyText"/>
            </w:pPr>
            <w:r>
              <w:rPr>
                <w:iCs/>
                <w:szCs w:val="22"/>
              </w:rPr>
              <w:t>a</w:t>
            </w:r>
            <w:r w:rsidRPr="00644A83">
              <w:rPr>
                <w:iCs/>
                <w:szCs w:val="22"/>
              </w:rPr>
              <w:t>granulocitoze</w:t>
            </w:r>
            <w:r>
              <w:rPr>
                <w:iCs/>
                <w:szCs w:val="22"/>
              </w:rPr>
              <w:t xml:space="preserve">, </w:t>
            </w:r>
            <w:r w:rsidRPr="00644A83">
              <w:rPr>
                <w:iCs/>
                <w:szCs w:val="22"/>
              </w:rPr>
              <w:t>leikopēnija</w:t>
            </w:r>
            <w:r>
              <w:rPr>
                <w:iCs/>
                <w:szCs w:val="22"/>
              </w:rPr>
              <w:t xml:space="preserve">, </w:t>
            </w:r>
            <w:r w:rsidRPr="00644A83">
              <w:rPr>
                <w:iCs/>
                <w:szCs w:val="22"/>
              </w:rPr>
              <w:t>trombocitopēnija</w:t>
            </w:r>
            <w:r>
              <w:rPr>
                <w:iCs/>
                <w:szCs w:val="22"/>
              </w:rPr>
              <w:t>,</w:t>
            </w:r>
            <w:r w:rsidRPr="00644A83">
              <w:rPr>
                <w:iCs/>
                <w:szCs w:val="22"/>
              </w:rPr>
              <w:t xml:space="preserve"> </w:t>
            </w:r>
            <w:r>
              <w:rPr>
                <w:iCs/>
                <w:szCs w:val="22"/>
              </w:rPr>
              <w:t>p</w:t>
            </w:r>
            <w:r w:rsidRPr="007D3B05">
              <w:rPr>
                <w:iCs/>
                <w:szCs w:val="22"/>
              </w:rPr>
              <w:t>aaugstināts aknu darbības testu (transamināžu, LDH, sārmainās fosfatāzes un bilirubīna) seruma līmenis</w:t>
            </w:r>
          </w:p>
        </w:tc>
      </w:tr>
      <w:tr w:rsidR="00A01BB2" w:rsidRPr="00893333" w14:paraId="5CDD62FB" w14:textId="77777777" w:rsidTr="005E5493">
        <w:tc>
          <w:tcPr>
            <w:tcW w:w="2704" w:type="dxa"/>
          </w:tcPr>
          <w:p w14:paraId="18595D19" w14:textId="77777777" w:rsidR="00A01BB2" w:rsidRPr="00702837" w:rsidRDefault="00A01BB2" w:rsidP="005E5493">
            <w:pPr>
              <w:pStyle w:val="EMEABodyText"/>
              <w:rPr>
                <w:bCs/>
                <w:szCs w:val="22"/>
              </w:rPr>
            </w:pPr>
            <w:r w:rsidRPr="00A01BB2">
              <w:rPr>
                <w:bCs/>
                <w:szCs w:val="22"/>
                <w:lang w:val="lv-LV"/>
              </w:rPr>
              <w:t>Labdabīgi, ļaundabīgi un nezināmas etioloģijas audzēji (ieskaitot cistas un polipus)</w:t>
            </w:r>
          </w:p>
        </w:tc>
        <w:tc>
          <w:tcPr>
            <w:tcW w:w="6344" w:type="dxa"/>
          </w:tcPr>
          <w:p w14:paraId="3755424D" w14:textId="77777777" w:rsidR="00A01BB2" w:rsidRPr="00526B41" w:rsidRDefault="00A01BB2" w:rsidP="005E5493">
            <w:pPr>
              <w:pStyle w:val="EMEABodyText"/>
              <w:rPr>
                <w:iCs/>
                <w:szCs w:val="22"/>
              </w:rPr>
            </w:pPr>
            <w:r w:rsidRPr="005E29A4">
              <w:rPr>
                <w:iCs/>
                <w:szCs w:val="22"/>
                <w:lang w:val="lv-LV"/>
              </w:rPr>
              <w:t>nemelanomas ādas vēzis (bazālo šūnu karcinoma un plakanšūnu karcinoma)</w:t>
            </w:r>
          </w:p>
        </w:tc>
      </w:tr>
      <w:tr w:rsidR="00864B03" w:rsidRPr="007311EE" w14:paraId="0DCC2EA8" w14:textId="77777777" w:rsidTr="005E5493">
        <w:tc>
          <w:tcPr>
            <w:tcW w:w="2704" w:type="dxa"/>
          </w:tcPr>
          <w:p w14:paraId="342B1D50" w14:textId="77777777" w:rsidR="00864B03" w:rsidRPr="00893333" w:rsidRDefault="00864B03" w:rsidP="005E5493">
            <w:pPr>
              <w:pStyle w:val="EMEABodyText"/>
            </w:pPr>
            <w:r>
              <w:rPr>
                <w:bCs/>
                <w:noProof/>
                <w:szCs w:val="22"/>
                <w:lang w:val="nb-NO"/>
              </w:rPr>
              <w:t>Sirds funkcijas traucējumi</w:t>
            </w:r>
          </w:p>
        </w:tc>
        <w:tc>
          <w:tcPr>
            <w:tcW w:w="6344" w:type="dxa"/>
          </w:tcPr>
          <w:p w14:paraId="75104FA4" w14:textId="77777777" w:rsidR="00864B03" w:rsidRPr="00B5729E" w:rsidRDefault="00864B03" w:rsidP="005E5493">
            <w:pPr>
              <w:pStyle w:val="EMEABodyText"/>
              <w:rPr>
                <w:lang w:val="nb-NO"/>
              </w:rPr>
            </w:pPr>
            <w:r w:rsidRPr="00B5729E">
              <w:rPr>
                <w:iCs/>
                <w:szCs w:val="22"/>
                <w:lang w:val="nb-NO"/>
              </w:rPr>
              <w:t>stenokardija/miokarda infarkts, insults, hipotensija</w:t>
            </w:r>
            <w:r w:rsidRPr="00B5729E">
              <w:rPr>
                <w:bCs/>
                <w:lang w:val="nb-NO"/>
              </w:rPr>
              <w:t xml:space="preserve"> </w:t>
            </w:r>
          </w:p>
        </w:tc>
      </w:tr>
      <w:tr w:rsidR="00864B03" w:rsidRPr="00893333" w14:paraId="3198661C" w14:textId="77777777" w:rsidTr="005E5493">
        <w:tc>
          <w:tcPr>
            <w:tcW w:w="2704" w:type="dxa"/>
          </w:tcPr>
          <w:p w14:paraId="6D26A20B" w14:textId="77777777" w:rsidR="00864B03" w:rsidRPr="00893333" w:rsidRDefault="00864B03" w:rsidP="005E5493">
            <w:pPr>
              <w:pStyle w:val="EMEABodyText"/>
            </w:pPr>
            <w:r>
              <w:rPr>
                <w:bCs/>
                <w:noProof/>
                <w:szCs w:val="22"/>
                <w:lang w:val="fi-FI"/>
              </w:rPr>
              <w:t>Asins un limf</w:t>
            </w:r>
            <w:r w:rsidR="004B0F38">
              <w:rPr>
                <w:bCs/>
                <w:noProof/>
                <w:szCs w:val="22"/>
                <w:lang w:val="fi-FI"/>
              </w:rPr>
              <w:t>ā</w:t>
            </w:r>
            <w:r>
              <w:rPr>
                <w:bCs/>
                <w:noProof/>
                <w:szCs w:val="22"/>
                <w:lang w:val="fi-FI"/>
              </w:rPr>
              <w:t>tiskās sistēmas traucējumi</w:t>
            </w:r>
          </w:p>
        </w:tc>
        <w:tc>
          <w:tcPr>
            <w:tcW w:w="6344" w:type="dxa"/>
          </w:tcPr>
          <w:p w14:paraId="7E2376FB" w14:textId="77777777" w:rsidR="00864B03" w:rsidRPr="00893333" w:rsidRDefault="00864B03" w:rsidP="005E5493">
            <w:pPr>
              <w:pStyle w:val="EMEABodyText"/>
              <w:rPr>
                <w:bCs/>
              </w:rPr>
            </w:pPr>
            <w:r w:rsidRPr="00644A83">
              <w:rPr>
                <w:iCs/>
                <w:szCs w:val="22"/>
              </w:rPr>
              <w:t>aplastiskā anēmija, hemolītiskā anēmija, limfadenopātija</w:t>
            </w:r>
          </w:p>
        </w:tc>
      </w:tr>
      <w:tr w:rsidR="00864B03" w:rsidRPr="00893333" w14:paraId="0AC36CD8" w14:textId="77777777" w:rsidTr="005E5493">
        <w:tc>
          <w:tcPr>
            <w:tcW w:w="2704" w:type="dxa"/>
          </w:tcPr>
          <w:p w14:paraId="3E91FB71" w14:textId="77777777" w:rsidR="00864B03" w:rsidRPr="00893333" w:rsidRDefault="00864B03" w:rsidP="005E5493">
            <w:pPr>
              <w:pStyle w:val="EMEABodyText"/>
            </w:pPr>
            <w:r w:rsidRPr="00B93F6C">
              <w:rPr>
                <w:bCs/>
                <w:szCs w:val="22"/>
              </w:rPr>
              <w:t>Nervu sistēmas traucējumi</w:t>
            </w:r>
          </w:p>
        </w:tc>
        <w:tc>
          <w:tcPr>
            <w:tcW w:w="6344" w:type="dxa"/>
          </w:tcPr>
          <w:p w14:paraId="0167EB88" w14:textId="77777777" w:rsidR="00864B03" w:rsidRPr="00893333" w:rsidRDefault="00864B03" w:rsidP="005E5493">
            <w:pPr>
              <w:pStyle w:val="EMEABodyText"/>
            </w:pPr>
            <w:r w:rsidRPr="00644A83">
              <w:rPr>
                <w:iCs/>
                <w:szCs w:val="22"/>
              </w:rPr>
              <w:t>reiboņi</w:t>
            </w:r>
            <w:r w:rsidRPr="00893333">
              <w:t xml:space="preserve">, </w:t>
            </w:r>
            <w:r w:rsidRPr="00644A83">
              <w:rPr>
                <w:iCs/>
                <w:szCs w:val="22"/>
              </w:rPr>
              <w:t>parestēz</w:t>
            </w:r>
            <w:r>
              <w:rPr>
                <w:iCs/>
                <w:szCs w:val="22"/>
              </w:rPr>
              <w:t>ija</w:t>
            </w:r>
          </w:p>
        </w:tc>
      </w:tr>
      <w:tr w:rsidR="00864B03" w:rsidRPr="00893333" w14:paraId="2580D81B" w14:textId="77777777" w:rsidTr="005E5493">
        <w:tc>
          <w:tcPr>
            <w:tcW w:w="2704" w:type="dxa"/>
          </w:tcPr>
          <w:p w14:paraId="063342EF" w14:textId="77777777" w:rsidR="00864B03" w:rsidRPr="00893333" w:rsidRDefault="00864B03" w:rsidP="005E5493">
            <w:pPr>
              <w:pStyle w:val="EMEABodyText"/>
            </w:pPr>
            <w:r>
              <w:rPr>
                <w:bCs/>
                <w:noProof/>
                <w:szCs w:val="22"/>
                <w:lang w:val="fi-FI"/>
              </w:rPr>
              <w:t>Acu bojājumi</w:t>
            </w:r>
          </w:p>
        </w:tc>
        <w:tc>
          <w:tcPr>
            <w:tcW w:w="6344" w:type="dxa"/>
          </w:tcPr>
          <w:p w14:paraId="779B8D18" w14:textId="77777777" w:rsidR="00864B03" w:rsidRPr="00893333" w:rsidRDefault="00864B03" w:rsidP="005E5493">
            <w:pPr>
              <w:pStyle w:val="EMEABodyText"/>
            </w:pPr>
            <w:r w:rsidRPr="00644A83">
              <w:rPr>
                <w:iCs/>
                <w:szCs w:val="22"/>
              </w:rPr>
              <w:t>redzes traucējumi</w:t>
            </w:r>
            <w:r w:rsidR="00E924A6">
              <w:rPr>
                <w:iCs/>
                <w:szCs w:val="22"/>
              </w:rPr>
              <w:t xml:space="preserve">, </w:t>
            </w:r>
            <w:r w:rsidR="00E924A6" w:rsidRPr="00E924A6">
              <w:t>dzīslenes izsvīdums</w:t>
            </w:r>
          </w:p>
        </w:tc>
      </w:tr>
      <w:tr w:rsidR="00864B03" w:rsidRPr="00B5729E" w14:paraId="5270C2E2" w14:textId="77777777" w:rsidTr="005E5493">
        <w:tc>
          <w:tcPr>
            <w:tcW w:w="2704" w:type="dxa"/>
          </w:tcPr>
          <w:p w14:paraId="5AEF41C6" w14:textId="77777777" w:rsidR="00864B03" w:rsidRPr="00B5729E" w:rsidRDefault="00864B03" w:rsidP="005E5493">
            <w:pPr>
              <w:pStyle w:val="EMEABodyText"/>
            </w:pPr>
            <w:r w:rsidRPr="00590D86">
              <w:rPr>
                <w:noProof/>
                <w:szCs w:val="22"/>
                <w:lang w:val="fi-FI"/>
              </w:rPr>
              <w:t>Elpošanas sistēmas traucējum</w:t>
            </w:r>
            <w:r>
              <w:rPr>
                <w:noProof/>
                <w:szCs w:val="22"/>
                <w:lang w:val="fi-FI"/>
              </w:rPr>
              <w:t>i, krūšu kurvja un videnes slimības</w:t>
            </w:r>
          </w:p>
        </w:tc>
        <w:tc>
          <w:tcPr>
            <w:tcW w:w="6344" w:type="dxa"/>
          </w:tcPr>
          <w:p w14:paraId="27BB2B16" w14:textId="61E13EA5" w:rsidR="00864B03" w:rsidRPr="00B5729E" w:rsidRDefault="00713AF1" w:rsidP="005E5493">
            <w:pPr>
              <w:pStyle w:val="EMEABodyText"/>
            </w:pPr>
            <w:r>
              <w:rPr>
                <w:iCs/>
                <w:szCs w:val="22"/>
              </w:rPr>
              <w:t>a</w:t>
            </w:r>
            <w:r w:rsidRPr="00713AF1">
              <w:rPr>
                <w:iCs/>
                <w:szCs w:val="22"/>
              </w:rPr>
              <w:t>kūts respiratorā distresa sindroms (ARDS) (skatīt 4.4. apakšpunktu)</w:t>
            </w:r>
            <w:r>
              <w:rPr>
                <w:iCs/>
                <w:szCs w:val="22"/>
              </w:rPr>
              <w:t xml:space="preserve">, </w:t>
            </w:r>
            <w:r w:rsidR="00864B03" w:rsidRPr="00B5729E">
              <w:rPr>
                <w:iCs/>
                <w:szCs w:val="22"/>
              </w:rPr>
              <w:t>elpošanas traucējumi (ieskaitot pneimonītu un plaušu tūsku)</w:t>
            </w:r>
            <w:r w:rsidR="00864B03" w:rsidRPr="00B5729E">
              <w:t xml:space="preserve">, </w:t>
            </w:r>
            <w:r w:rsidR="00864B03" w:rsidRPr="00B5729E">
              <w:rPr>
                <w:iCs/>
                <w:szCs w:val="22"/>
              </w:rPr>
              <w:t>bronhu spazmas</w:t>
            </w:r>
            <w:r w:rsidR="00864B03" w:rsidRPr="00B5729E">
              <w:t xml:space="preserve"> </w:t>
            </w:r>
          </w:p>
        </w:tc>
      </w:tr>
      <w:tr w:rsidR="00864B03" w:rsidRPr="00893333" w14:paraId="6DF6567C" w14:textId="77777777" w:rsidTr="005E5493">
        <w:tc>
          <w:tcPr>
            <w:tcW w:w="2704" w:type="dxa"/>
          </w:tcPr>
          <w:p w14:paraId="4AF1346A" w14:textId="77777777" w:rsidR="00864B03" w:rsidRPr="00893333" w:rsidRDefault="00864B03" w:rsidP="005E5493">
            <w:pPr>
              <w:pStyle w:val="EMEABodyText"/>
            </w:pPr>
            <w:r>
              <w:rPr>
                <w:bCs/>
                <w:szCs w:val="22"/>
              </w:rPr>
              <w:t>Kuņģa-</w:t>
            </w:r>
            <w:r w:rsidRPr="004D683C">
              <w:rPr>
                <w:bCs/>
                <w:szCs w:val="22"/>
              </w:rPr>
              <w:t>zarnu trakta traucējumi</w:t>
            </w:r>
          </w:p>
        </w:tc>
        <w:tc>
          <w:tcPr>
            <w:tcW w:w="6344" w:type="dxa"/>
          </w:tcPr>
          <w:p w14:paraId="227497F5" w14:textId="77777777" w:rsidR="00864B03" w:rsidRPr="00893333" w:rsidRDefault="00864B03" w:rsidP="005E5493">
            <w:pPr>
              <w:pStyle w:val="EMEABodyText"/>
            </w:pPr>
            <w:r w:rsidRPr="00644A83">
              <w:rPr>
                <w:iCs/>
                <w:szCs w:val="22"/>
              </w:rPr>
              <w:t>pankreatīts</w:t>
            </w:r>
            <w:r w:rsidRPr="00893333">
              <w:t xml:space="preserve">, </w:t>
            </w:r>
            <w:r>
              <w:t>garšas traucējumi</w:t>
            </w:r>
            <w:r w:rsidRPr="00893333">
              <w:t xml:space="preserve"> </w:t>
            </w:r>
          </w:p>
        </w:tc>
      </w:tr>
      <w:tr w:rsidR="00864B03" w:rsidRPr="00893333" w14:paraId="5753ACE6" w14:textId="77777777" w:rsidTr="005E5493">
        <w:tc>
          <w:tcPr>
            <w:tcW w:w="2704" w:type="dxa"/>
          </w:tcPr>
          <w:p w14:paraId="1E60D400" w14:textId="77777777" w:rsidR="00864B03" w:rsidRPr="00893333" w:rsidRDefault="00864B03" w:rsidP="005E5493">
            <w:pPr>
              <w:pStyle w:val="EMEABodyText"/>
            </w:pPr>
            <w:r w:rsidRPr="004D683C">
              <w:rPr>
                <w:bCs/>
                <w:szCs w:val="22"/>
              </w:rPr>
              <w:t>Nieru un urīn</w:t>
            </w:r>
            <w:r>
              <w:rPr>
                <w:bCs/>
                <w:szCs w:val="22"/>
              </w:rPr>
              <w:t>izvades sistēmas</w:t>
            </w:r>
            <w:r w:rsidRPr="004D683C">
              <w:rPr>
                <w:bCs/>
                <w:szCs w:val="22"/>
              </w:rPr>
              <w:t xml:space="preserve"> traucējumi</w:t>
            </w:r>
          </w:p>
        </w:tc>
        <w:tc>
          <w:tcPr>
            <w:tcW w:w="6344" w:type="dxa"/>
          </w:tcPr>
          <w:p w14:paraId="03B1CEB5" w14:textId="77777777" w:rsidR="00864B03" w:rsidRPr="00893333" w:rsidRDefault="00864B03" w:rsidP="005E5493">
            <w:pPr>
              <w:pStyle w:val="EMEABodyText"/>
            </w:pPr>
            <w:r w:rsidRPr="00644A83">
              <w:rPr>
                <w:iCs/>
                <w:szCs w:val="22"/>
                <w:lang w:val="de-DE"/>
              </w:rPr>
              <w:t>nieru mazspēja</w:t>
            </w:r>
            <w:r w:rsidRPr="00893333">
              <w:t xml:space="preserve"> </w:t>
            </w:r>
          </w:p>
        </w:tc>
      </w:tr>
      <w:tr w:rsidR="00864B03" w:rsidRPr="007311EE" w14:paraId="4841FBB0" w14:textId="77777777" w:rsidTr="005E5493">
        <w:tc>
          <w:tcPr>
            <w:tcW w:w="2704" w:type="dxa"/>
          </w:tcPr>
          <w:p w14:paraId="401CE7C5" w14:textId="77777777" w:rsidR="00864B03" w:rsidRPr="00096DC4" w:rsidRDefault="00864B03" w:rsidP="005E5493">
            <w:pPr>
              <w:pStyle w:val="EMEABodyText"/>
              <w:rPr>
                <w:lang w:val="de-DE"/>
              </w:rPr>
            </w:pPr>
            <w:r w:rsidRPr="004D683C">
              <w:rPr>
                <w:bCs/>
                <w:szCs w:val="22"/>
                <w:lang w:val="de-DE"/>
              </w:rPr>
              <w:t>Ādas un zemādas audu bojājumi</w:t>
            </w:r>
          </w:p>
        </w:tc>
        <w:tc>
          <w:tcPr>
            <w:tcW w:w="6344" w:type="dxa"/>
          </w:tcPr>
          <w:p w14:paraId="2FF43FD8" w14:textId="77777777" w:rsidR="00864B03" w:rsidRPr="00F166D2" w:rsidRDefault="00864B03" w:rsidP="005E5493">
            <w:pPr>
              <w:pStyle w:val="EMEABodyText"/>
              <w:rPr>
                <w:lang w:val="de-DE"/>
              </w:rPr>
            </w:pPr>
            <w:r w:rsidRPr="00F166D2">
              <w:rPr>
                <w:iCs/>
                <w:szCs w:val="22"/>
                <w:lang w:val="de-DE"/>
              </w:rPr>
              <w:t>nātrene, paaugstināta jutība pret gaismu</w:t>
            </w:r>
            <w:r w:rsidRPr="00F166D2">
              <w:rPr>
                <w:lang w:val="de-DE"/>
              </w:rPr>
              <w:t xml:space="preserve"> </w:t>
            </w:r>
          </w:p>
        </w:tc>
      </w:tr>
      <w:tr w:rsidR="00864B03" w:rsidRPr="00893333" w14:paraId="2B1E4694" w14:textId="77777777" w:rsidTr="005E5493">
        <w:tc>
          <w:tcPr>
            <w:tcW w:w="2704" w:type="dxa"/>
          </w:tcPr>
          <w:p w14:paraId="26616DF3" w14:textId="77777777" w:rsidR="00864B03" w:rsidRPr="00B5729E" w:rsidRDefault="00864B03" w:rsidP="005E5493">
            <w:pPr>
              <w:pStyle w:val="EMEABodyText"/>
              <w:rPr>
                <w:lang w:val="nb-NO"/>
              </w:rPr>
            </w:pPr>
            <w:r w:rsidRPr="00B5729E">
              <w:rPr>
                <w:bCs/>
                <w:szCs w:val="22"/>
                <w:lang w:val="nb-NO"/>
              </w:rPr>
              <w:t>Skeleta-muskuļu un saistaudu sistēmas bojājumi</w:t>
            </w:r>
          </w:p>
        </w:tc>
        <w:tc>
          <w:tcPr>
            <w:tcW w:w="6344" w:type="dxa"/>
          </w:tcPr>
          <w:p w14:paraId="02C3C30C" w14:textId="77777777" w:rsidR="00864B03" w:rsidRPr="00893333" w:rsidRDefault="00864B03" w:rsidP="005E5493">
            <w:pPr>
              <w:pStyle w:val="EMEABodyText"/>
            </w:pPr>
            <w:r w:rsidRPr="00644A83">
              <w:rPr>
                <w:iCs/>
                <w:szCs w:val="22"/>
              </w:rPr>
              <w:t>sāpes locītavās</w:t>
            </w:r>
            <w:r w:rsidRPr="00893333">
              <w:t xml:space="preserve"> </w:t>
            </w:r>
          </w:p>
        </w:tc>
      </w:tr>
      <w:tr w:rsidR="00864B03" w:rsidRPr="00893333" w14:paraId="33C09A14" w14:textId="77777777" w:rsidTr="005E5493">
        <w:tc>
          <w:tcPr>
            <w:tcW w:w="2704" w:type="dxa"/>
          </w:tcPr>
          <w:p w14:paraId="43865D7B" w14:textId="77777777" w:rsidR="00864B03" w:rsidRPr="00893333" w:rsidRDefault="00864B03" w:rsidP="005E5493">
            <w:pPr>
              <w:pStyle w:val="EMEABodyText"/>
            </w:pPr>
            <w:r>
              <w:rPr>
                <w:bCs/>
                <w:szCs w:val="22"/>
              </w:rPr>
              <w:t>Vielmaiņas</w:t>
            </w:r>
            <w:r w:rsidRPr="00096DC4">
              <w:rPr>
                <w:bCs/>
                <w:szCs w:val="22"/>
              </w:rPr>
              <w:t xml:space="preserve"> un </w:t>
            </w:r>
            <w:r>
              <w:rPr>
                <w:bCs/>
                <w:szCs w:val="22"/>
              </w:rPr>
              <w:t>uztures</w:t>
            </w:r>
            <w:r w:rsidRPr="00096DC4">
              <w:rPr>
                <w:bCs/>
                <w:szCs w:val="22"/>
              </w:rPr>
              <w:t xml:space="preserve"> traucējumi</w:t>
            </w:r>
            <w:r w:rsidRPr="00096DC4">
              <w:t xml:space="preserve"> </w:t>
            </w:r>
          </w:p>
        </w:tc>
        <w:tc>
          <w:tcPr>
            <w:tcW w:w="6344" w:type="dxa"/>
          </w:tcPr>
          <w:p w14:paraId="14BD0DA1" w14:textId="77777777" w:rsidR="00864B03" w:rsidRPr="00893333" w:rsidRDefault="00864B03" w:rsidP="005E5493">
            <w:pPr>
              <w:pStyle w:val="EMEABodyText"/>
            </w:pPr>
            <w:r w:rsidRPr="00644A83">
              <w:rPr>
                <w:iCs/>
                <w:szCs w:val="22"/>
              </w:rPr>
              <w:t>podagra</w:t>
            </w:r>
            <w:r w:rsidRPr="00893333">
              <w:t xml:space="preserve"> </w:t>
            </w:r>
          </w:p>
        </w:tc>
      </w:tr>
      <w:tr w:rsidR="00864B03" w:rsidRPr="00893333" w14:paraId="4BD0C7E8" w14:textId="77777777" w:rsidTr="005E5493">
        <w:tc>
          <w:tcPr>
            <w:tcW w:w="2704" w:type="dxa"/>
          </w:tcPr>
          <w:p w14:paraId="7EE3BAC4" w14:textId="77777777" w:rsidR="00864B03" w:rsidRPr="00893333" w:rsidRDefault="00864B03" w:rsidP="005E5493">
            <w:pPr>
              <w:pStyle w:val="EMEABodyText"/>
            </w:pPr>
            <w:r w:rsidRPr="00B76189">
              <w:rPr>
                <w:noProof/>
                <w:szCs w:val="22"/>
                <w:lang w:val="fi-FI"/>
              </w:rPr>
              <w:t>Asinsvadu sistēmas traucējumi</w:t>
            </w:r>
          </w:p>
        </w:tc>
        <w:tc>
          <w:tcPr>
            <w:tcW w:w="6344" w:type="dxa"/>
          </w:tcPr>
          <w:p w14:paraId="0180F8AD" w14:textId="77777777" w:rsidR="00864B03" w:rsidRPr="00893333" w:rsidRDefault="00864B03" w:rsidP="005E5493">
            <w:pPr>
              <w:pStyle w:val="EMEABodyText"/>
            </w:pPr>
            <w:r>
              <w:rPr>
                <w:iCs/>
                <w:szCs w:val="22"/>
              </w:rPr>
              <w:t>mij</w:t>
            </w:r>
            <w:r w:rsidRPr="00644A83">
              <w:rPr>
                <w:iCs/>
                <w:szCs w:val="22"/>
              </w:rPr>
              <w:t>klibošana (</w:t>
            </w:r>
            <w:r w:rsidRPr="005E29A4">
              <w:rPr>
                <w:i/>
                <w:szCs w:val="22"/>
              </w:rPr>
              <w:t>Claudicatio intermitens</w:t>
            </w:r>
            <w:r w:rsidRPr="00644A83">
              <w:rPr>
                <w:iCs/>
                <w:szCs w:val="22"/>
              </w:rPr>
              <w:t>)</w:t>
            </w:r>
          </w:p>
        </w:tc>
      </w:tr>
      <w:tr w:rsidR="00864B03" w:rsidRPr="00893333" w14:paraId="6163A39C" w14:textId="77777777" w:rsidTr="005E5493">
        <w:tc>
          <w:tcPr>
            <w:tcW w:w="2704" w:type="dxa"/>
          </w:tcPr>
          <w:p w14:paraId="2391FEED" w14:textId="77777777" w:rsidR="00864B03" w:rsidRPr="00893333" w:rsidRDefault="00864B03" w:rsidP="005E5493">
            <w:pPr>
              <w:pStyle w:val="EMEABodyText"/>
            </w:pPr>
            <w:r w:rsidRPr="00B76189">
              <w:rPr>
                <w:noProof/>
                <w:szCs w:val="22"/>
                <w:lang w:val="pl-PL"/>
              </w:rPr>
              <w:t>Vispārēji traucējumi</w:t>
            </w:r>
          </w:p>
        </w:tc>
        <w:tc>
          <w:tcPr>
            <w:tcW w:w="6344" w:type="dxa"/>
          </w:tcPr>
          <w:p w14:paraId="32EDA1C4" w14:textId="77777777" w:rsidR="00864B03" w:rsidRPr="00893333" w:rsidRDefault="00864B03" w:rsidP="005E5493">
            <w:pPr>
              <w:pStyle w:val="EMEABodyText"/>
            </w:pPr>
            <w:r w:rsidRPr="00644A83">
              <w:rPr>
                <w:iCs/>
                <w:szCs w:val="22"/>
              </w:rPr>
              <w:t xml:space="preserve">''neskaidra galva'' </w:t>
            </w:r>
          </w:p>
        </w:tc>
      </w:tr>
      <w:tr w:rsidR="00864B03" w:rsidRPr="00893333" w14:paraId="07144FF0" w14:textId="77777777" w:rsidTr="005E5493">
        <w:tc>
          <w:tcPr>
            <w:tcW w:w="2704" w:type="dxa"/>
            <w:tcBorders>
              <w:bottom w:val="nil"/>
            </w:tcBorders>
          </w:tcPr>
          <w:p w14:paraId="4688757B" w14:textId="77777777" w:rsidR="00864B03" w:rsidRPr="00893333" w:rsidRDefault="00864B03" w:rsidP="005E5493">
            <w:pPr>
              <w:pStyle w:val="EMEABodyText"/>
            </w:pPr>
            <w:r w:rsidRPr="00B76189">
              <w:rPr>
                <w:bCs/>
                <w:szCs w:val="22"/>
              </w:rPr>
              <w:t>Imūnās sistēmas traucējumi</w:t>
            </w:r>
          </w:p>
        </w:tc>
        <w:tc>
          <w:tcPr>
            <w:tcW w:w="6344" w:type="dxa"/>
            <w:tcBorders>
              <w:bottom w:val="nil"/>
            </w:tcBorders>
          </w:tcPr>
          <w:p w14:paraId="7C0FD967" w14:textId="77777777" w:rsidR="00864B03" w:rsidRPr="00893333" w:rsidRDefault="00864B03" w:rsidP="005E5493">
            <w:pPr>
              <w:pStyle w:val="EMEABodyText"/>
            </w:pPr>
            <w:r w:rsidRPr="00644A83">
              <w:rPr>
                <w:iCs/>
                <w:szCs w:val="22"/>
              </w:rPr>
              <w:t>nekrotizējošs vaskulīts, Stīvensa-Džonsona sindroms, hemorāģiskie izsitumi</w:t>
            </w:r>
          </w:p>
        </w:tc>
      </w:tr>
      <w:tr w:rsidR="00864B03" w:rsidRPr="00893333" w14:paraId="20CBED1B" w14:textId="77777777" w:rsidTr="005E5493">
        <w:tc>
          <w:tcPr>
            <w:tcW w:w="2704" w:type="dxa"/>
            <w:tcBorders>
              <w:top w:val="single" w:sz="4" w:space="0" w:color="auto"/>
              <w:bottom w:val="single" w:sz="4" w:space="0" w:color="auto"/>
            </w:tcBorders>
          </w:tcPr>
          <w:p w14:paraId="314B660E" w14:textId="77777777" w:rsidR="00864B03" w:rsidRPr="00096DC4" w:rsidRDefault="00864B03" w:rsidP="005E5493">
            <w:pPr>
              <w:pStyle w:val="EMEABodyText"/>
            </w:pPr>
            <w:r w:rsidRPr="00096DC4">
              <w:rPr>
                <w:noProof/>
                <w:szCs w:val="22"/>
                <w:lang w:val="fi-FI"/>
              </w:rPr>
              <w:t>Aknu un/vai žults</w:t>
            </w:r>
            <w:r w:rsidR="004B0F38">
              <w:rPr>
                <w:noProof/>
                <w:szCs w:val="22"/>
                <w:lang w:val="fi-FI"/>
              </w:rPr>
              <w:t xml:space="preserve"> </w:t>
            </w:r>
            <w:r>
              <w:rPr>
                <w:noProof/>
                <w:szCs w:val="22"/>
                <w:lang w:val="fi-FI"/>
              </w:rPr>
              <w:t>izvades sistēmas</w:t>
            </w:r>
            <w:r w:rsidRPr="00096DC4">
              <w:rPr>
                <w:noProof/>
                <w:szCs w:val="22"/>
                <w:lang w:val="fi-FI"/>
              </w:rPr>
              <w:t xml:space="preserve"> traucējumi</w:t>
            </w:r>
          </w:p>
        </w:tc>
        <w:tc>
          <w:tcPr>
            <w:tcW w:w="6344" w:type="dxa"/>
            <w:tcBorders>
              <w:top w:val="single" w:sz="4" w:space="0" w:color="auto"/>
              <w:bottom w:val="single" w:sz="4" w:space="0" w:color="auto"/>
            </w:tcBorders>
          </w:tcPr>
          <w:p w14:paraId="349705F2" w14:textId="77777777" w:rsidR="00864B03" w:rsidRPr="00893333" w:rsidRDefault="00864B03" w:rsidP="005E5493">
            <w:pPr>
              <w:pStyle w:val="EMEABodyText"/>
            </w:pPr>
            <w:r w:rsidRPr="00644A83">
              <w:rPr>
                <w:iCs/>
                <w:szCs w:val="22"/>
              </w:rPr>
              <w:t>dzelte (holestātiskā), hepatīts</w:t>
            </w:r>
          </w:p>
        </w:tc>
      </w:tr>
    </w:tbl>
    <w:p w14:paraId="4A53F6A1" w14:textId="77777777" w:rsidR="004B0F38" w:rsidRDefault="004B0F38" w:rsidP="004B0F38">
      <w:pPr>
        <w:autoSpaceDE w:val="0"/>
        <w:autoSpaceDN w:val="0"/>
        <w:adjustRightInd w:val="0"/>
        <w:rPr>
          <w:snapToGrid w:val="0"/>
          <w:szCs w:val="24"/>
          <w:u w:val="single"/>
          <w:lang w:val="lv-LV" w:eastAsia="lv-LV"/>
        </w:rPr>
      </w:pPr>
    </w:p>
    <w:p w14:paraId="122965D1" w14:textId="77777777" w:rsidR="00A01BB2" w:rsidRPr="000C6571" w:rsidRDefault="00A01BB2" w:rsidP="00A01BB2">
      <w:pPr>
        <w:autoSpaceDE w:val="0"/>
        <w:autoSpaceDN w:val="0"/>
        <w:adjustRightInd w:val="0"/>
        <w:rPr>
          <w:snapToGrid w:val="0"/>
          <w:szCs w:val="24"/>
          <w:lang w:val="lv-LV" w:eastAsia="lv-LV"/>
        </w:rPr>
      </w:pPr>
      <w:r w:rsidRPr="000C6571">
        <w:rPr>
          <w:iCs/>
          <w:snapToGrid w:val="0"/>
          <w:szCs w:val="24"/>
          <w:lang w:val="lv-LV" w:eastAsia="lv-LV"/>
        </w:rPr>
        <w:t xml:space="preserve">Atsevišķu nevēlamu blakusparādību apraksts </w:t>
      </w:r>
    </w:p>
    <w:p w14:paraId="5933C8E8" w14:textId="77777777" w:rsidR="00A01BB2" w:rsidRPr="005E29A4" w:rsidRDefault="00A01BB2" w:rsidP="00A01BB2">
      <w:pPr>
        <w:autoSpaceDE w:val="0"/>
        <w:autoSpaceDN w:val="0"/>
        <w:adjustRightInd w:val="0"/>
        <w:rPr>
          <w:snapToGrid w:val="0"/>
          <w:szCs w:val="24"/>
          <w:lang w:val="lv-LV" w:eastAsia="lv-LV"/>
        </w:rPr>
      </w:pPr>
      <w:r w:rsidRPr="005E29A4">
        <w:rPr>
          <w:snapToGrid w:val="0"/>
          <w:szCs w:val="24"/>
          <w:lang w:val="lv-LV" w:eastAsia="lv-LV"/>
        </w:rPr>
        <w:t>Nemelanomas ādas vēzis: pamatojoties uz pieejamajiem epidemioloģisko pētījumu datiem, novēroja no kumulatīvās devas atkarīgu saistību starp hidrohlortiazīdu un nemelanomas ādas vēzi (skatīt arī 4.4. un 5.1. apakšpunktu).</w:t>
      </w:r>
    </w:p>
    <w:p w14:paraId="32AF5F26" w14:textId="77777777" w:rsidR="00A01BB2" w:rsidRDefault="00A01BB2" w:rsidP="004B0F38">
      <w:pPr>
        <w:autoSpaceDE w:val="0"/>
        <w:autoSpaceDN w:val="0"/>
        <w:adjustRightInd w:val="0"/>
        <w:rPr>
          <w:snapToGrid w:val="0"/>
          <w:szCs w:val="24"/>
          <w:u w:val="single"/>
          <w:lang w:val="lv-LV" w:eastAsia="lv-LV"/>
        </w:rPr>
      </w:pPr>
    </w:p>
    <w:p w14:paraId="0CE1F9BE" w14:textId="77777777" w:rsidR="004B0F38" w:rsidRPr="004B0F38" w:rsidRDefault="004B0F38" w:rsidP="004B0F38">
      <w:pPr>
        <w:autoSpaceDE w:val="0"/>
        <w:autoSpaceDN w:val="0"/>
        <w:adjustRightInd w:val="0"/>
        <w:rPr>
          <w:snapToGrid w:val="0"/>
          <w:szCs w:val="24"/>
          <w:u w:val="single"/>
          <w:lang w:val="lv-LV" w:eastAsia="lv-LV"/>
        </w:rPr>
      </w:pPr>
      <w:r w:rsidRPr="004B0F38">
        <w:rPr>
          <w:snapToGrid w:val="0"/>
          <w:szCs w:val="24"/>
          <w:u w:val="single"/>
          <w:lang w:val="lv-LV" w:eastAsia="lv-LV"/>
        </w:rPr>
        <w:t xml:space="preserve">Ziņošana par iespējamām nevēlamām blakusparādībām </w:t>
      </w:r>
    </w:p>
    <w:p w14:paraId="5436A5B2" w14:textId="66C6FD3E" w:rsidR="004B0F38" w:rsidRPr="004B0F38" w:rsidRDefault="004B0F38" w:rsidP="004B0F38">
      <w:pPr>
        <w:autoSpaceDE w:val="0"/>
        <w:autoSpaceDN w:val="0"/>
        <w:adjustRightInd w:val="0"/>
        <w:rPr>
          <w:snapToGrid w:val="0"/>
          <w:szCs w:val="24"/>
          <w:lang w:val="lv-LV" w:eastAsia="lv-LV"/>
        </w:rPr>
      </w:pPr>
      <w:r w:rsidRPr="004B0F38">
        <w:rPr>
          <w:snapToGrid w:val="0"/>
          <w:szCs w:val="24"/>
          <w:lang w:val="lv-LV" w:eastAsia="lv-LV"/>
        </w:rPr>
        <w:t>Ir svarīgi ziņot par iespējamām nevēlamām blakusparādībām pēc zāļu reģistrācijas. Tādējādi zāļu ieguvum</w:t>
      </w:r>
      <w:r w:rsidR="00BB3789">
        <w:rPr>
          <w:snapToGrid w:val="0"/>
          <w:szCs w:val="24"/>
          <w:lang w:val="lv-LV" w:eastAsia="lv-LV"/>
        </w:rPr>
        <w:t>a</w:t>
      </w:r>
      <w:r w:rsidRPr="004B0F38">
        <w:rPr>
          <w:snapToGrid w:val="0"/>
          <w:szCs w:val="24"/>
          <w:lang w:val="lv-LV" w:eastAsia="lv-LV"/>
        </w:rPr>
        <w:t>/riska attiecība tiek nepārtraukti uzraudzīta. Veselības aprūpes speciālisti tiek lūgti ziņot par jebkādām iespējamām nevēlamām blakusparādībām Zāļu valsts aģentūrai, Jersikas ielā 15, Rīgā, LV 1003. Tīmekļa vietne: www.zva.gov.lv</w:t>
      </w:r>
    </w:p>
    <w:p w14:paraId="4F7F75EE" w14:textId="77777777" w:rsidR="00864B03" w:rsidRPr="00644A83" w:rsidRDefault="00864B03" w:rsidP="00864B03">
      <w:pPr>
        <w:pStyle w:val="EMEABodyText"/>
        <w:rPr>
          <w:lang w:val="de-DE" w:eastAsia="lv-LV"/>
        </w:rPr>
      </w:pPr>
    </w:p>
    <w:p w14:paraId="67DC0440" w14:textId="77777777" w:rsidR="00864B03" w:rsidRPr="00B51256" w:rsidRDefault="00864B03" w:rsidP="00864B03">
      <w:pPr>
        <w:pStyle w:val="EMEAHeading2"/>
        <w:rPr>
          <w:noProof/>
          <w:lang w:val="de-DE"/>
        </w:rPr>
      </w:pPr>
      <w:r w:rsidRPr="00B51256">
        <w:rPr>
          <w:noProof/>
          <w:lang w:val="de-DE"/>
        </w:rPr>
        <w:lastRenderedPageBreak/>
        <w:t>4.9</w:t>
      </w:r>
      <w:r w:rsidR="004B0F38">
        <w:rPr>
          <w:noProof/>
          <w:lang w:val="de-DE"/>
        </w:rPr>
        <w:t>.</w:t>
      </w:r>
      <w:r w:rsidRPr="00B51256">
        <w:rPr>
          <w:noProof/>
          <w:lang w:val="de-DE"/>
        </w:rPr>
        <w:tab/>
        <w:t>Pārdozēšana.</w:t>
      </w:r>
    </w:p>
    <w:p w14:paraId="7E9BEE74" w14:textId="77777777" w:rsidR="00864B03" w:rsidRPr="00B51256" w:rsidRDefault="00864B03" w:rsidP="00864B03">
      <w:pPr>
        <w:pStyle w:val="EMEABodyText"/>
        <w:rPr>
          <w:noProof/>
          <w:szCs w:val="22"/>
          <w:lang w:val="de-DE"/>
        </w:rPr>
      </w:pPr>
    </w:p>
    <w:p w14:paraId="3F17C4DD" w14:textId="77777777" w:rsidR="00864B03" w:rsidRPr="00B51256" w:rsidRDefault="00864B03" w:rsidP="00864B03">
      <w:pPr>
        <w:pStyle w:val="BodyTextIndent3"/>
        <w:spacing w:after="0"/>
        <w:ind w:left="0"/>
        <w:rPr>
          <w:iCs/>
          <w:sz w:val="22"/>
          <w:szCs w:val="22"/>
          <w:lang w:val="de-DE"/>
        </w:rPr>
      </w:pPr>
      <w:r w:rsidRPr="00B51256">
        <w:rPr>
          <w:iCs/>
          <w:sz w:val="22"/>
          <w:szCs w:val="22"/>
          <w:lang w:val="de-DE"/>
        </w:rPr>
        <w:t xml:space="preserve">Nav pieejama specifiska informācija par </w:t>
      </w:r>
      <w:r>
        <w:rPr>
          <w:iCs/>
          <w:sz w:val="22"/>
          <w:szCs w:val="22"/>
          <w:lang w:val="de-DE"/>
        </w:rPr>
        <w:t>Monozide</w:t>
      </w:r>
      <w:r w:rsidRPr="00B51256">
        <w:rPr>
          <w:iCs/>
          <w:sz w:val="22"/>
          <w:szCs w:val="22"/>
          <w:lang w:val="de-DE"/>
        </w:rPr>
        <w:t xml:space="preserve"> pārdozēšanas ārstēšanu; ārstēšanai jābūt simptomātiskai un </w:t>
      </w:r>
      <w:r>
        <w:rPr>
          <w:iCs/>
          <w:sz w:val="22"/>
          <w:szCs w:val="22"/>
          <w:lang w:val="de-DE"/>
        </w:rPr>
        <w:t>at</w:t>
      </w:r>
      <w:r w:rsidRPr="00B51256">
        <w:rPr>
          <w:iCs/>
          <w:sz w:val="22"/>
          <w:szCs w:val="22"/>
          <w:lang w:val="de-DE"/>
        </w:rPr>
        <w:t xml:space="preserve">balstošai. </w:t>
      </w:r>
      <w:r>
        <w:rPr>
          <w:iCs/>
          <w:sz w:val="22"/>
          <w:szCs w:val="22"/>
          <w:lang w:val="de-DE"/>
        </w:rPr>
        <w:t>Monozide</w:t>
      </w:r>
      <w:r w:rsidRPr="00B51256">
        <w:rPr>
          <w:iCs/>
          <w:sz w:val="22"/>
          <w:szCs w:val="22"/>
          <w:lang w:val="de-DE"/>
        </w:rPr>
        <w:t xml:space="preserve"> lietošana jāpārtrauc un pacients rūpīgi jānovēro. Ieteiktie pasākumi ietver vemšanu un/vai kuņģa skalošanu, kā arī dehidratācijas korekciju, elektrolītu disbalansa un hipotensijas novēršanu ar parastajām procedūrām. Fosinoprils slikti izdalās ar hemodialīzes vai peritonālās dialīzes palīdzību. Nav noteikts, cik lielā mērā HCTZ izdalās ar hemodialīzi.</w:t>
      </w:r>
    </w:p>
    <w:p w14:paraId="0DE81B58" w14:textId="77777777" w:rsidR="00864B03" w:rsidRPr="00B51256" w:rsidRDefault="00864B03" w:rsidP="00864B03">
      <w:pPr>
        <w:pStyle w:val="EMEABodyText"/>
        <w:rPr>
          <w:szCs w:val="22"/>
          <w:lang w:val="de-DE" w:eastAsia="lv-LV"/>
        </w:rPr>
      </w:pPr>
    </w:p>
    <w:p w14:paraId="1C6DB645" w14:textId="77777777" w:rsidR="00864B03" w:rsidRPr="00B51256" w:rsidRDefault="00864B03" w:rsidP="00864B03">
      <w:pPr>
        <w:pStyle w:val="EMEABodyText"/>
        <w:rPr>
          <w:szCs w:val="22"/>
          <w:lang w:val="de-DE" w:eastAsia="lv-LV"/>
        </w:rPr>
      </w:pPr>
    </w:p>
    <w:p w14:paraId="37F62A7E" w14:textId="77777777" w:rsidR="00864B03" w:rsidRPr="00054080" w:rsidRDefault="00864B03" w:rsidP="00864B03">
      <w:pPr>
        <w:pStyle w:val="EMEAHeading1"/>
        <w:rPr>
          <w:noProof/>
          <w:lang w:val="fi-FI"/>
        </w:rPr>
      </w:pPr>
      <w:r w:rsidRPr="00054080">
        <w:rPr>
          <w:noProof/>
          <w:lang w:val="fi-FI"/>
        </w:rPr>
        <w:t>5.</w:t>
      </w:r>
      <w:r w:rsidRPr="00054080">
        <w:rPr>
          <w:noProof/>
          <w:lang w:val="fi-FI"/>
        </w:rPr>
        <w:tab/>
        <w:t>FARMAKOLOĢISKĀS ĪPAŠĪBAS.</w:t>
      </w:r>
    </w:p>
    <w:p w14:paraId="79C8EACD" w14:textId="77777777" w:rsidR="00864B03" w:rsidRPr="00054080" w:rsidRDefault="00864B03" w:rsidP="00864B03">
      <w:pPr>
        <w:pStyle w:val="EMEABodyText"/>
        <w:rPr>
          <w:noProof/>
          <w:lang w:val="fi-FI"/>
        </w:rPr>
      </w:pPr>
    </w:p>
    <w:p w14:paraId="2BE4C22B" w14:textId="77777777" w:rsidR="00864B03" w:rsidRPr="00054080" w:rsidRDefault="00864B03" w:rsidP="00864B03">
      <w:pPr>
        <w:pStyle w:val="EMEAHeading2"/>
        <w:rPr>
          <w:noProof/>
          <w:lang w:val="fi-FI"/>
        </w:rPr>
      </w:pPr>
      <w:r w:rsidRPr="00054080">
        <w:rPr>
          <w:noProof/>
          <w:lang w:val="fi-FI"/>
        </w:rPr>
        <w:t>5.1</w:t>
      </w:r>
      <w:r w:rsidR="004B0F38">
        <w:rPr>
          <w:noProof/>
          <w:lang w:val="fi-FI"/>
        </w:rPr>
        <w:t>.</w:t>
      </w:r>
      <w:r w:rsidRPr="00054080">
        <w:rPr>
          <w:noProof/>
          <w:lang w:val="fi-FI"/>
        </w:rPr>
        <w:tab/>
        <w:t>Farmakodinamiskās īpašības</w:t>
      </w:r>
    </w:p>
    <w:p w14:paraId="01F9C3AA" w14:textId="77777777" w:rsidR="00864B03" w:rsidRPr="00054080" w:rsidRDefault="00864B03" w:rsidP="00864B03">
      <w:pPr>
        <w:pStyle w:val="EMEABodyText"/>
        <w:rPr>
          <w:noProof/>
          <w:lang w:val="fi-FI"/>
        </w:rPr>
      </w:pPr>
    </w:p>
    <w:p w14:paraId="65D414A4" w14:textId="77777777" w:rsidR="00864B03" w:rsidRPr="00B51256" w:rsidRDefault="00864B03" w:rsidP="00864B03">
      <w:pPr>
        <w:pStyle w:val="EMEABodyText"/>
        <w:rPr>
          <w:noProof/>
          <w:lang w:val="fi-FI"/>
        </w:rPr>
      </w:pPr>
      <w:r w:rsidRPr="00B51256">
        <w:rPr>
          <w:noProof/>
          <w:lang w:val="fi-FI"/>
        </w:rPr>
        <w:t>Farmakoterapeitiskā grupa: AKE inhibitori un diurētiski</w:t>
      </w:r>
      <w:r>
        <w:rPr>
          <w:noProof/>
          <w:lang w:val="fi-FI"/>
        </w:rPr>
        <w:t xml:space="preserve"> līdzekļi, </w:t>
      </w:r>
      <w:r w:rsidRPr="00B51256">
        <w:rPr>
          <w:noProof/>
          <w:lang w:val="fi-FI"/>
        </w:rPr>
        <w:t>ATĶ kods: C0</w:t>
      </w:r>
      <w:r>
        <w:rPr>
          <w:noProof/>
          <w:lang w:val="fi-FI"/>
        </w:rPr>
        <w:t>9</w:t>
      </w:r>
      <w:r w:rsidRPr="00B51256">
        <w:rPr>
          <w:noProof/>
          <w:lang w:val="fi-FI"/>
        </w:rPr>
        <w:t>BA</w:t>
      </w:r>
      <w:r>
        <w:rPr>
          <w:noProof/>
          <w:lang w:val="fi-FI"/>
        </w:rPr>
        <w:t>09</w:t>
      </w:r>
      <w:r w:rsidRPr="00B51256">
        <w:rPr>
          <w:noProof/>
          <w:lang w:val="fi-FI"/>
        </w:rPr>
        <w:t>.</w:t>
      </w:r>
    </w:p>
    <w:p w14:paraId="1428C727" w14:textId="77777777" w:rsidR="00864B03" w:rsidRPr="00B51256" w:rsidRDefault="00864B03" w:rsidP="00864B03">
      <w:pPr>
        <w:pStyle w:val="EMEABodyText"/>
        <w:rPr>
          <w:noProof/>
          <w:szCs w:val="22"/>
          <w:lang w:val="fi-FI"/>
        </w:rPr>
      </w:pPr>
    </w:p>
    <w:p w14:paraId="7B6CD90A" w14:textId="77777777" w:rsidR="00864B03" w:rsidRDefault="00864B03" w:rsidP="00864B03">
      <w:pPr>
        <w:pStyle w:val="BodyTextIndent3"/>
        <w:spacing w:after="0"/>
        <w:ind w:left="0"/>
        <w:rPr>
          <w:iCs/>
          <w:sz w:val="22"/>
          <w:szCs w:val="22"/>
          <w:lang w:val="fi-FI"/>
        </w:rPr>
      </w:pPr>
      <w:r w:rsidRPr="00B51256">
        <w:rPr>
          <w:iCs/>
          <w:sz w:val="22"/>
          <w:szCs w:val="22"/>
          <w:lang w:val="fi-FI"/>
        </w:rPr>
        <w:t>Esterāzes hidrolizē fosinoprilu, kas ir ēsteris – pirmszāles, līdz farmakoloģiski aktīvi formai  – fosinoprilātam, kas ir specifisks, konkurējošs angiotensīnu konvertējošā enzīma (AKE) inhibitors, kurš aizkavē angiotensīna I pārveidošanu asinsvadus sašaurinošā angiotensīnā II. Angiotensīna II daudzuma samazināšanas rezultātā pazeminās vazopresorā aktivitāte un aldosterona sekrēcija.</w:t>
      </w:r>
    </w:p>
    <w:p w14:paraId="19CF457A" w14:textId="77777777" w:rsidR="00864B03" w:rsidRPr="00B51256" w:rsidRDefault="00864B03" w:rsidP="00864B03">
      <w:pPr>
        <w:pStyle w:val="BodyTextIndent3"/>
        <w:spacing w:after="0"/>
        <w:ind w:left="0"/>
        <w:rPr>
          <w:iCs/>
          <w:sz w:val="22"/>
          <w:szCs w:val="22"/>
          <w:lang w:val="fi-FI"/>
        </w:rPr>
      </w:pPr>
    </w:p>
    <w:p w14:paraId="3FA92213" w14:textId="77777777" w:rsidR="00864B03" w:rsidRDefault="00864B03" w:rsidP="00864B03">
      <w:pPr>
        <w:pStyle w:val="BodyTextIndent3"/>
        <w:spacing w:after="0"/>
        <w:ind w:left="0"/>
        <w:rPr>
          <w:iCs/>
          <w:sz w:val="22"/>
          <w:szCs w:val="22"/>
          <w:lang w:val="fi-FI"/>
        </w:rPr>
      </w:pPr>
      <w:r w:rsidRPr="00B51256">
        <w:rPr>
          <w:iCs/>
          <w:sz w:val="22"/>
          <w:szCs w:val="22"/>
          <w:lang w:val="fi-FI"/>
        </w:rPr>
        <w:t>AKE inhibēšana kavē arī bradikinīna, spēcīgas iedarbības vazopresorā peptīda, noārdīšanos, kas var veicināt terapeitisko iedarbību; pacientiem ar zema renīna daudzuma hipertensiju fosinoprils uzrāda antihipertensīvu iedarbību</w:t>
      </w:r>
      <w:r>
        <w:rPr>
          <w:iCs/>
          <w:sz w:val="22"/>
          <w:szCs w:val="22"/>
          <w:lang w:val="fi-FI"/>
        </w:rPr>
        <w:t>.</w:t>
      </w:r>
    </w:p>
    <w:p w14:paraId="568D1B0D" w14:textId="77777777" w:rsidR="00864B03" w:rsidRDefault="00864B03" w:rsidP="00864B03">
      <w:pPr>
        <w:pStyle w:val="BodyTextIndent3"/>
        <w:spacing w:after="0"/>
        <w:ind w:left="0"/>
        <w:rPr>
          <w:iCs/>
          <w:sz w:val="22"/>
          <w:szCs w:val="22"/>
          <w:lang w:val="fi-FI"/>
        </w:rPr>
      </w:pPr>
    </w:p>
    <w:p w14:paraId="7E53ADFE" w14:textId="77777777" w:rsidR="00864B03" w:rsidRPr="00B51256" w:rsidRDefault="00864B03" w:rsidP="00864B03">
      <w:pPr>
        <w:pStyle w:val="BodyTextIndent3"/>
        <w:spacing w:after="0"/>
        <w:ind w:left="0"/>
        <w:rPr>
          <w:iCs/>
          <w:sz w:val="22"/>
          <w:szCs w:val="22"/>
          <w:lang w:val="fi-FI"/>
        </w:rPr>
      </w:pPr>
      <w:r w:rsidRPr="00B51256">
        <w:rPr>
          <w:iCs/>
          <w:sz w:val="22"/>
          <w:szCs w:val="22"/>
          <w:lang w:val="fi-FI"/>
        </w:rPr>
        <w:t>Tiazīdu grupas diurētisko līdzekļu, piemēram, HCTZ, antihipertensīvās iedarbības mehānisms nav zināms. Tiazīdi ietekmē nieru kanāliņu elektrolītu reabsorbcijas mehānismu, palielina nātrija un hlorīdu izdalīšanos aptuveni vienādos daudzumos. Nātrija izdalīšanās sekundāri rada kālija un bikarbonātu zudumu. Hidrohlortiazīds paaugstina plazmas renīna aktivitāti, palielina aldosterona sekrēciju un samazina kāliju serumā. Vienlaicīga fosinoprila ievadīšana pavājina  ar HCTZ saistīto kālija zudumu.</w:t>
      </w:r>
    </w:p>
    <w:p w14:paraId="6B46D52B" w14:textId="77777777" w:rsidR="00864B03" w:rsidRPr="00B51256" w:rsidRDefault="00864B03" w:rsidP="00864B03">
      <w:pPr>
        <w:pStyle w:val="BodyTextIndent3"/>
        <w:spacing w:after="0"/>
        <w:ind w:left="0" w:firstLine="26"/>
        <w:rPr>
          <w:iCs/>
          <w:sz w:val="22"/>
          <w:szCs w:val="22"/>
          <w:lang w:val="fi-FI"/>
        </w:rPr>
      </w:pPr>
    </w:p>
    <w:p w14:paraId="176CC20B" w14:textId="77777777" w:rsidR="00864B03" w:rsidRPr="00B51256" w:rsidRDefault="00864B03" w:rsidP="00864B03">
      <w:pPr>
        <w:pStyle w:val="BodyTextIndent3"/>
        <w:spacing w:after="0"/>
        <w:ind w:left="0"/>
        <w:rPr>
          <w:iCs/>
          <w:sz w:val="22"/>
          <w:szCs w:val="22"/>
          <w:lang w:val="fi-FI"/>
        </w:rPr>
      </w:pPr>
      <w:r w:rsidRPr="00B51256">
        <w:rPr>
          <w:iCs/>
          <w:sz w:val="22"/>
          <w:szCs w:val="22"/>
          <w:lang w:val="fi-FI"/>
        </w:rPr>
        <w:t>Klīnisk</w:t>
      </w:r>
      <w:r w:rsidR="0017222A">
        <w:rPr>
          <w:iCs/>
          <w:sz w:val="22"/>
          <w:szCs w:val="22"/>
          <w:lang w:val="fi-FI"/>
        </w:rPr>
        <w:t>aj</w:t>
      </w:r>
      <w:r w:rsidRPr="00B51256">
        <w:rPr>
          <w:iCs/>
          <w:sz w:val="22"/>
          <w:szCs w:val="22"/>
          <w:lang w:val="fi-FI"/>
        </w:rPr>
        <w:t>os pētījumos, kombinējot fosinoprilu un HCTZ, asinsspiediena pazemināšanās bija aptuveni līdzīga. Asinsspiediena pazemināšanās maksimumu sasniedza 2 – 6 stundas pēc devas ievadīšanas, un antihipertensīvā iedarbība saglabājās 24 stundas. Simptomātiska posturāla hipertensija ir reti sastopama, bet tā iespējama pacientiem ar sāļu – un/vai tilpuma iztrūkumu. Pēkšņa fosinoprila/HCTZ lietošanas pārtraukšana neizsauc atsitiena fenomena hipertensiju.</w:t>
      </w:r>
      <w:r>
        <w:rPr>
          <w:iCs/>
          <w:sz w:val="22"/>
          <w:szCs w:val="22"/>
          <w:lang w:val="fi-FI"/>
        </w:rPr>
        <w:t xml:space="preserve"> </w:t>
      </w:r>
      <w:r w:rsidRPr="00B51256">
        <w:rPr>
          <w:iCs/>
          <w:sz w:val="22"/>
          <w:szCs w:val="22"/>
          <w:lang w:val="fi-FI"/>
        </w:rPr>
        <w:t>Pēc HCTZ ievadīšanas diurēze sākas 2 stundu laikā un sasniedz maksimumu pēc apmēram 4 stundām, iedarbība turpinās apmēram 6 – 12 stundas.</w:t>
      </w:r>
    </w:p>
    <w:p w14:paraId="425CD75E" w14:textId="77777777" w:rsidR="00D679C6" w:rsidRDefault="00D679C6" w:rsidP="00D679C6">
      <w:pPr>
        <w:tabs>
          <w:tab w:val="left" w:pos="567"/>
        </w:tabs>
        <w:autoSpaceDE w:val="0"/>
        <w:autoSpaceDN w:val="0"/>
        <w:adjustRightInd w:val="0"/>
        <w:spacing w:line="260" w:lineRule="exact"/>
        <w:rPr>
          <w:szCs w:val="22"/>
          <w:lang w:val="lv-LV"/>
        </w:rPr>
      </w:pPr>
    </w:p>
    <w:p w14:paraId="7EBF13E7" w14:textId="77777777" w:rsidR="00D679C6" w:rsidRPr="00D679C6" w:rsidRDefault="00D679C6" w:rsidP="00D679C6">
      <w:pPr>
        <w:tabs>
          <w:tab w:val="left" w:pos="567"/>
        </w:tabs>
        <w:autoSpaceDE w:val="0"/>
        <w:autoSpaceDN w:val="0"/>
        <w:adjustRightInd w:val="0"/>
        <w:spacing w:line="260" w:lineRule="exact"/>
        <w:rPr>
          <w:szCs w:val="22"/>
          <w:lang w:val="lv-LV"/>
        </w:rPr>
      </w:pPr>
      <w:r w:rsidRPr="00D679C6">
        <w:rPr>
          <w:szCs w:val="22"/>
          <w:lang w:val="lv-LV"/>
        </w:rPr>
        <w:t xml:space="preserve">Divos lielos nejaušinātos, kontrolētos klīniskajos pētījumos ONTARGET (ONgoing Telmisartan Alone and in combination with Ramipril Global Endpoint Trial - klīniskais pētījums par telmisartāna monoterapijas vai kombinācijas ar ramiprilu ietekmi uz vispārējiem mērķa kritērijiem) un VA NEPHRON-D (The Veterans Affairs Nephropathy in Diabetes - klīniskais pētījums par nefropātiju gados vecākiem pacientiem ar diabētu) tika pētīta AKE inhibitoru lietošana kombinācijā ar </w:t>
      </w:r>
      <w:r w:rsidR="004D5D37">
        <w:rPr>
          <w:szCs w:val="22"/>
          <w:lang w:val="lv-LV"/>
        </w:rPr>
        <w:t>angiotens</w:t>
      </w:r>
      <w:r w:rsidRPr="00D679C6">
        <w:rPr>
          <w:szCs w:val="22"/>
          <w:lang w:val="lv-LV"/>
        </w:rPr>
        <w:t>īna II receptoru blokatoriem.</w:t>
      </w:r>
    </w:p>
    <w:p w14:paraId="036B6E32" w14:textId="77777777" w:rsidR="00D679C6" w:rsidRPr="00D679C6" w:rsidRDefault="00D679C6" w:rsidP="00D679C6">
      <w:pPr>
        <w:tabs>
          <w:tab w:val="left" w:pos="567"/>
        </w:tabs>
        <w:autoSpaceDE w:val="0"/>
        <w:autoSpaceDN w:val="0"/>
        <w:adjustRightInd w:val="0"/>
        <w:spacing w:line="260" w:lineRule="exact"/>
        <w:rPr>
          <w:szCs w:val="22"/>
          <w:lang w:val="lv-LV"/>
        </w:rPr>
      </w:pPr>
    </w:p>
    <w:p w14:paraId="4B6F2F95" w14:textId="77777777" w:rsidR="00D679C6" w:rsidRPr="00D679C6" w:rsidRDefault="00D679C6" w:rsidP="00D679C6">
      <w:pPr>
        <w:tabs>
          <w:tab w:val="left" w:pos="567"/>
        </w:tabs>
        <w:autoSpaceDE w:val="0"/>
        <w:autoSpaceDN w:val="0"/>
        <w:adjustRightInd w:val="0"/>
        <w:spacing w:line="260" w:lineRule="exact"/>
        <w:rPr>
          <w:szCs w:val="22"/>
          <w:lang w:val="lv-LV"/>
        </w:rPr>
      </w:pPr>
      <w:r w:rsidRPr="00D679C6">
        <w:rPr>
          <w:szCs w:val="22"/>
          <w:lang w:val="lv-LV"/>
        </w:rPr>
        <w:t>ONTARGET pētījumā piedalījās pacienti, kuriem anamnēzē ir sirds-asinsvadu sistēmas vai cerebrovaskulāra slimība, vai 2. tipa cukura diabēts ar pierādījumiem par mērķorgāna bojājumu. VA NEPHRON-D pētījumā piedalījās pacienti ar 2. tipa cukura diabētu un diabētisku nefropātiju.</w:t>
      </w:r>
    </w:p>
    <w:p w14:paraId="0381428C" w14:textId="77777777" w:rsidR="00D679C6" w:rsidRPr="00D679C6" w:rsidRDefault="00D679C6" w:rsidP="00D679C6">
      <w:pPr>
        <w:tabs>
          <w:tab w:val="left" w:pos="567"/>
        </w:tabs>
        <w:autoSpaceDE w:val="0"/>
        <w:autoSpaceDN w:val="0"/>
        <w:adjustRightInd w:val="0"/>
        <w:spacing w:line="260" w:lineRule="exact"/>
        <w:rPr>
          <w:szCs w:val="22"/>
          <w:lang w:val="lv-LV"/>
        </w:rPr>
      </w:pPr>
      <w:r w:rsidRPr="00D679C6">
        <w:rPr>
          <w:szCs w:val="22"/>
          <w:lang w:val="lv-LV"/>
        </w:rPr>
        <w:t xml:space="preserve">Šajos pētījumos nenovēroja nozīmīgu un labvēlīgu ietekmi uz nieru un/vai sirds-asinsvadu sistēmas iznākumiem un mirstību, savukārt novēroja palielinātu hiperkaliēmijas, akūtu nieru bojājumu un/vai hipotensijas rašanās risku, salīdzinot ar monoterapiju. Ņemot vērā šo zāļu līdzīgās farmakodinamiskās īpašības, šie rezultāti attiecināmi arī uz citiem AKE inhibitoriem un </w:t>
      </w:r>
      <w:r w:rsidR="004D5D37">
        <w:rPr>
          <w:szCs w:val="22"/>
          <w:lang w:val="lv-LV"/>
        </w:rPr>
        <w:t>angiotens</w:t>
      </w:r>
      <w:r w:rsidRPr="00D679C6">
        <w:rPr>
          <w:szCs w:val="22"/>
          <w:lang w:val="lv-LV"/>
        </w:rPr>
        <w:t>īna II receptoru blokatoriem.</w:t>
      </w:r>
    </w:p>
    <w:p w14:paraId="10E2990E" w14:textId="77777777" w:rsidR="00D679C6" w:rsidRPr="00D679C6" w:rsidRDefault="00D679C6" w:rsidP="00D679C6">
      <w:pPr>
        <w:tabs>
          <w:tab w:val="left" w:pos="567"/>
        </w:tabs>
        <w:autoSpaceDE w:val="0"/>
        <w:autoSpaceDN w:val="0"/>
        <w:adjustRightInd w:val="0"/>
        <w:spacing w:line="260" w:lineRule="exact"/>
        <w:rPr>
          <w:szCs w:val="22"/>
          <w:lang w:val="lv-LV"/>
        </w:rPr>
      </w:pPr>
      <w:r w:rsidRPr="00D679C6">
        <w:rPr>
          <w:szCs w:val="22"/>
          <w:lang w:val="lv-LV"/>
        </w:rPr>
        <w:lastRenderedPageBreak/>
        <w:t xml:space="preserve">Tādēļ AKE inhibitorus un </w:t>
      </w:r>
      <w:r w:rsidR="004D5D37">
        <w:rPr>
          <w:szCs w:val="22"/>
          <w:lang w:val="lv-LV"/>
        </w:rPr>
        <w:t>angiotens</w:t>
      </w:r>
      <w:r w:rsidRPr="00D679C6">
        <w:rPr>
          <w:szCs w:val="22"/>
          <w:lang w:val="lv-LV"/>
        </w:rPr>
        <w:t>īna II receptoru blokatorus nedrīkst vienlaicīgi lietot pacientiem ar diabētisku nefropātiju.</w:t>
      </w:r>
    </w:p>
    <w:p w14:paraId="6016574B" w14:textId="77777777" w:rsidR="00D679C6" w:rsidRPr="00D679C6" w:rsidRDefault="00D679C6" w:rsidP="00D679C6">
      <w:pPr>
        <w:tabs>
          <w:tab w:val="left" w:pos="567"/>
        </w:tabs>
        <w:autoSpaceDE w:val="0"/>
        <w:autoSpaceDN w:val="0"/>
        <w:adjustRightInd w:val="0"/>
        <w:spacing w:line="260" w:lineRule="exact"/>
        <w:rPr>
          <w:szCs w:val="22"/>
          <w:lang w:val="lv-LV"/>
        </w:rPr>
      </w:pPr>
    </w:p>
    <w:p w14:paraId="541FD4B3" w14:textId="77777777" w:rsidR="00D679C6" w:rsidRDefault="00D679C6" w:rsidP="00D679C6">
      <w:pPr>
        <w:tabs>
          <w:tab w:val="left" w:pos="567"/>
        </w:tabs>
        <w:autoSpaceDE w:val="0"/>
        <w:autoSpaceDN w:val="0"/>
        <w:adjustRightInd w:val="0"/>
        <w:spacing w:line="260" w:lineRule="exact"/>
        <w:rPr>
          <w:szCs w:val="22"/>
          <w:lang w:val="lv-LV"/>
        </w:rPr>
      </w:pPr>
      <w:r w:rsidRPr="00D679C6">
        <w:rPr>
          <w:szCs w:val="22"/>
          <w:lang w:val="lv-LV"/>
        </w:rPr>
        <w:t xml:space="preserve">ALTITUDE (Aliskiren Trial in Type 2 Diabetes Using Cardiovascular and Renal Disease Endpoints - aliskirēna klīniskais pētījums pacientiem ar 2. tipa cukura diabētu, lietojot sirds-asinsvadu un nieru slimības mērķa kritērijus) bija pētījums, kurā tika pētīts ieguvums no aliskirēna pievienošanas papildus standarta ārstēšanai ar AKE inhibitoru vai </w:t>
      </w:r>
      <w:r w:rsidR="004D5D37">
        <w:rPr>
          <w:szCs w:val="22"/>
          <w:lang w:val="lv-LV"/>
        </w:rPr>
        <w:t>angiotens</w:t>
      </w:r>
      <w:r w:rsidRPr="00D679C6">
        <w:rPr>
          <w:szCs w:val="22"/>
          <w:lang w:val="lv-LV"/>
        </w:rPr>
        <w:t>īna II receptoru blokatoru pacientiem ar 2. tipa cukura diabētu un hronisku nieru slimību, sirds-asinsvadu sistēmas slimību vai abām šīm slimībām kopā. Pētījums tika priekšlaicīgi pārtraukts palielināta nevēlamu iznākumu riska dēļ. Aliskirēna grupā, salīdzinot ar placebo grupu, skaitliski biežāk novēroja kardiovaskulāras nāves un insulta gadījumus, un aliskirēna grupā, salīdzinot ar placebo grupu, biežāk ziņoja par nevēlamām blakusparādībām un interesējošām nopietnām nevēlamām blakusparādībām (hiperkaliēmiju, hipotensiju un nieru darbības traucējumiem).</w:t>
      </w:r>
    </w:p>
    <w:p w14:paraId="642FCBEA" w14:textId="77777777" w:rsidR="006A66E3" w:rsidRDefault="006A66E3" w:rsidP="00D679C6">
      <w:pPr>
        <w:tabs>
          <w:tab w:val="left" w:pos="567"/>
        </w:tabs>
        <w:autoSpaceDE w:val="0"/>
        <w:autoSpaceDN w:val="0"/>
        <w:adjustRightInd w:val="0"/>
        <w:spacing w:line="260" w:lineRule="exact"/>
        <w:rPr>
          <w:szCs w:val="22"/>
          <w:lang w:val="lv-LV"/>
        </w:rPr>
      </w:pPr>
    </w:p>
    <w:p w14:paraId="18AEB7A3" w14:textId="77777777" w:rsidR="006A66E3" w:rsidRPr="00526B41" w:rsidRDefault="006A66E3" w:rsidP="006A66E3">
      <w:pPr>
        <w:tabs>
          <w:tab w:val="left" w:pos="567"/>
        </w:tabs>
        <w:autoSpaceDE w:val="0"/>
        <w:autoSpaceDN w:val="0"/>
        <w:adjustRightInd w:val="0"/>
        <w:spacing w:line="260" w:lineRule="exact"/>
        <w:rPr>
          <w:szCs w:val="22"/>
          <w:lang w:val="lv-LV"/>
        </w:rPr>
      </w:pPr>
      <w:r w:rsidRPr="005E29A4">
        <w:rPr>
          <w:szCs w:val="22"/>
          <w:lang w:val="lv-LV"/>
        </w:rPr>
        <w:t>Nemelanomas ādas vēzis: pamatojoties uz pieejamajiem epidemioloģisko pētījumu datiem, novēroja no kumulatīvās devas atkarīgu saistību starp hidrohlortiazīdu un nemelanomas ādas vēzi. Vienā pētījumā bija iekļauta populācija, kuru veidoja 71 533 bazālo šūnu karcinomas gadījumi un 8629 plakanšūnu karcinomas gadījumi ar saskaņotiem attiecīgi 1 430 833 un 172 462 populācijas kontroles gadījumiem. Hidrohlortiazīda lielu devu lietošana (kumulatīvā deva ≥50 000 mg) bija saistīta ar koriģēto izredžu attiecības rādītāju (</w:t>
      </w:r>
      <w:r w:rsidRPr="005E29A4">
        <w:rPr>
          <w:i/>
          <w:iCs/>
          <w:szCs w:val="22"/>
          <w:lang w:val="lv-LV"/>
        </w:rPr>
        <w:t>OR – odds ratio</w:t>
      </w:r>
      <w:r w:rsidRPr="005E29A4">
        <w:rPr>
          <w:szCs w:val="22"/>
          <w:lang w:val="lv-LV"/>
        </w:rPr>
        <w:t xml:space="preserve">) 1,29 (95% TI: 1,23–1,35) bazālo šūnu karcinomas gadījumā un 3,98 (95% TI: 3,68–4,31) plakanšūnu karcinomas gadījumā. Gan bazālo </w:t>
      </w:r>
    </w:p>
    <w:p w14:paraId="01C7A3B6" w14:textId="77777777" w:rsidR="006A66E3" w:rsidRPr="00D679C6" w:rsidRDefault="006A66E3" w:rsidP="006A66E3">
      <w:pPr>
        <w:tabs>
          <w:tab w:val="left" w:pos="567"/>
        </w:tabs>
        <w:autoSpaceDE w:val="0"/>
        <w:autoSpaceDN w:val="0"/>
        <w:adjustRightInd w:val="0"/>
        <w:spacing w:line="260" w:lineRule="exact"/>
        <w:rPr>
          <w:szCs w:val="22"/>
          <w:lang w:val="lv-LV"/>
        </w:rPr>
      </w:pPr>
      <w:r w:rsidRPr="006A66E3">
        <w:rPr>
          <w:szCs w:val="22"/>
          <w:lang w:val="lv-LV"/>
        </w:rPr>
        <w:t>šūnu, gan plakanšūnu karcinomas gadījumā novēroja skaidru saistību starp kumulatīvo devu un atbildes reakciju. Citā pētījumā atklāja iespējamu saistību starp lūpas vēzi (plakanšūnu karcinomu) un hidrohlortiazīda iedarbību: 633 lūpas vēža gadījumi tika saskaņoti ar 63 067 populācijas kontrolēm, izmantojot riskam pakļautās populācijas izlases stratēģiju. Tika pierādīta kumulatīvās devas un atbildes reakcijas saistība ar koriģēto izredžu attiecības rādītāju 2,1 (95% TI: 1,7–2,6), kas palielinājās līdz 3,9 (3,0–4,9) lielu devu (~25 000 mg) gadījumā un līdz 7,7 (5,7–10,5) vislielākās kumulatīvās devas (~100 000 mg) gadījumā (skatīt arī 4.4. apakšpunktu).</w:t>
      </w:r>
    </w:p>
    <w:p w14:paraId="62E03922" w14:textId="77777777" w:rsidR="00864B03" w:rsidRPr="008474D4" w:rsidRDefault="00864B03" w:rsidP="00864B03">
      <w:pPr>
        <w:pStyle w:val="EMEABodyText"/>
        <w:rPr>
          <w:noProof/>
          <w:szCs w:val="22"/>
          <w:lang w:val="lv-LV"/>
        </w:rPr>
      </w:pPr>
    </w:p>
    <w:p w14:paraId="4EFCBA26" w14:textId="77777777" w:rsidR="00864B03" w:rsidRPr="002A2074" w:rsidRDefault="00864B03" w:rsidP="00864B03">
      <w:pPr>
        <w:pStyle w:val="EMEAHeading2"/>
        <w:rPr>
          <w:noProof/>
          <w:lang w:val="fi-FI"/>
        </w:rPr>
      </w:pPr>
      <w:r w:rsidRPr="002A2074">
        <w:rPr>
          <w:noProof/>
          <w:lang w:val="fi-FI"/>
        </w:rPr>
        <w:t>5.2</w:t>
      </w:r>
      <w:r w:rsidR="004B0F38">
        <w:rPr>
          <w:noProof/>
          <w:lang w:val="fi-FI"/>
        </w:rPr>
        <w:t>.</w:t>
      </w:r>
      <w:r w:rsidRPr="002A2074">
        <w:rPr>
          <w:noProof/>
          <w:lang w:val="fi-FI"/>
        </w:rPr>
        <w:tab/>
        <w:t>Farmakokinētiskās īpašības</w:t>
      </w:r>
    </w:p>
    <w:p w14:paraId="507E2AC1" w14:textId="77777777" w:rsidR="00864B03" w:rsidRPr="002A2074" w:rsidRDefault="00864B03" w:rsidP="00864B03">
      <w:pPr>
        <w:pStyle w:val="EMEABodyText"/>
        <w:rPr>
          <w:noProof/>
          <w:szCs w:val="22"/>
          <w:lang w:val="fi-FI"/>
        </w:rPr>
      </w:pPr>
    </w:p>
    <w:p w14:paraId="133B1DFC" w14:textId="0785F282" w:rsidR="00864B03" w:rsidRDefault="00864B03" w:rsidP="00864B03">
      <w:pPr>
        <w:pStyle w:val="BodyTextIndent3"/>
        <w:spacing w:after="0"/>
        <w:ind w:left="0"/>
        <w:rPr>
          <w:iCs/>
          <w:sz w:val="22"/>
          <w:szCs w:val="22"/>
          <w:lang w:val="fi-FI"/>
        </w:rPr>
      </w:pPr>
      <w:r w:rsidRPr="002A2074">
        <w:rPr>
          <w:iCs/>
          <w:sz w:val="22"/>
          <w:szCs w:val="22"/>
          <w:lang w:val="fi-FI"/>
        </w:rPr>
        <w:t xml:space="preserve">Pēc perorālas </w:t>
      </w:r>
      <w:r>
        <w:rPr>
          <w:iCs/>
          <w:sz w:val="22"/>
          <w:szCs w:val="22"/>
          <w:lang w:val="fi-FI"/>
        </w:rPr>
        <w:t>Monozide</w:t>
      </w:r>
      <w:r w:rsidRPr="002A2074">
        <w:rPr>
          <w:iCs/>
          <w:sz w:val="22"/>
          <w:szCs w:val="22"/>
          <w:lang w:val="fi-FI"/>
        </w:rPr>
        <w:t xml:space="preserve"> </w:t>
      </w:r>
      <w:r w:rsidR="00BE740A">
        <w:rPr>
          <w:iCs/>
          <w:sz w:val="22"/>
          <w:szCs w:val="22"/>
          <w:lang w:val="fi-FI"/>
        </w:rPr>
        <w:t>lietoš</w:t>
      </w:r>
      <w:r w:rsidRPr="002A2074">
        <w:rPr>
          <w:iCs/>
          <w:sz w:val="22"/>
          <w:szCs w:val="22"/>
          <w:lang w:val="fi-FI"/>
        </w:rPr>
        <w:t>anas absorbējas 30 – 40%  fosinoprila un 50 – 80% HCTZ. Fosinoprila absorbcijas pakāpi būtiski neietekmē pārtikas klātbūtne gremošanas traktā; tomēr absorbcija var norisināties lēnāk.</w:t>
      </w:r>
      <w:r>
        <w:rPr>
          <w:iCs/>
          <w:sz w:val="22"/>
          <w:szCs w:val="22"/>
          <w:lang w:val="fi-FI"/>
        </w:rPr>
        <w:t xml:space="preserve"> </w:t>
      </w:r>
      <w:r w:rsidRPr="002A2074">
        <w:rPr>
          <w:iCs/>
          <w:sz w:val="22"/>
          <w:szCs w:val="22"/>
          <w:lang w:val="fi-FI"/>
        </w:rPr>
        <w:t xml:space="preserve">HCTZ absorbciju palielina </w:t>
      </w:r>
      <w:r w:rsidR="00526B41">
        <w:rPr>
          <w:iCs/>
          <w:sz w:val="22"/>
          <w:szCs w:val="22"/>
          <w:lang w:val="fi-FI"/>
        </w:rPr>
        <w:t>zāles</w:t>
      </w:r>
      <w:r w:rsidRPr="002A2074">
        <w:rPr>
          <w:iCs/>
          <w:sz w:val="22"/>
          <w:szCs w:val="22"/>
          <w:lang w:val="fi-FI"/>
        </w:rPr>
        <w:t xml:space="preserve">, kas samazina kuņģa – zarnu trakta peristaltiku. </w:t>
      </w:r>
    </w:p>
    <w:p w14:paraId="5DFA074A" w14:textId="77777777" w:rsidR="00864B03" w:rsidRDefault="00864B03" w:rsidP="00864B03">
      <w:pPr>
        <w:pStyle w:val="BodyTextIndent3"/>
        <w:spacing w:after="0"/>
        <w:ind w:left="0"/>
        <w:rPr>
          <w:iCs/>
          <w:sz w:val="22"/>
          <w:szCs w:val="22"/>
          <w:lang w:val="fi-FI"/>
        </w:rPr>
      </w:pPr>
    </w:p>
    <w:p w14:paraId="5BF68B4E" w14:textId="77777777" w:rsidR="00864B03" w:rsidRPr="002A2074" w:rsidRDefault="00864B03" w:rsidP="00864B03">
      <w:pPr>
        <w:pStyle w:val="BodyTextIndent3"/>
        <w:spacing w:after="0"/>
        <w:ind w:left="0"/>
        <w:rPr>
          <w:iCs/>
          <w:sz w:val="22"/>
          <w:szCs w:val="22"/>
          <w:lang w:val="fi-FI"/>
        </w:rPr>
      </w:pPr>
      <w:r w:rsidRPr="002A2074">
        <w:rPr>
          <w:iCs/>
          <w:sz w:val="22"/>
          <w:szCs w:val="22"/>
          <w:lang w:val="fi-FI"/>
        </w:rPr>
        <w:t>Esterāzes aknās vispirms hidrolizē fosinoprilu līdz farmakoloģiski aktīvai formai – fosinoprilātam. Fosinoprila pārvēršana par fosinoprilātu var būt palēnināta pacientiem ar aknu mazspēju, tomēr šīs pārvēršanas pakāpe ir neizmainīta. Atkarībā no ievadītās fosinoprila devas, laiks, kurā tas plazmā sasniedz maksimālo koncentrāciju, ir aptuveni 3 stundas. Pēc vienreizējas  vai vairākkārtīgas perorālas devas ievadīšanas farmakokinētiskie parametri (t.i. C</w:t>
      </w:r>
      <w:r w:rsidRPr="002A2074">
        <w:rPr>
          <w:iCs/>
          <w:sz w:val="22"/>
          <w:szCs w:val="22"/>
          <w:vertAlign w:val="subscript"/>
          <w:lang w:val="fi-FI"/>
        </w:rPr>
        <w:t>max</w:t>
      </w:r>
      <w:r w:rsidRPr="002A2074">
        <w:rPr>
          <w:iCs/>
          <w:sz w:val="22"/>
          <w:szCs w:val="22"/>
          <w:lang w:val="fi-FI"/>
        </w:rPr>
        <w:t xml:space="preserve">, AUC) ir tieši proporcionāli ievadītajai fosinoprila devai. </w:t>
      </w:r>
    </w:p>
    <w:p w14:paraId="1C4B1EFB" w14:textId="77777777" w:rsidR="00864B03" w:rsidRDefault="00864B03" w:rsidP="00864B03">
      <w:pPr>
        <w:pStyle w:val="BodyTextIndent3"/>
        <w:spacing w:after="0"/>
        <w:ind w:left="0"/>
        <w:rPr>
          <w:iCs/>
          <w:sz w:val="22"/>
          <w:szCs w:val="22"/>
          <w:lang w:val="fi-FI"/>
        </w:rPr>
      </w:pPr>
    </w:p>
    <w:p w14:paraId="08F04F64" w14:textId="77777777" w:rsidR="00864B03" w:rsidRDefault="00864B03" w:rsidP="00864B03">
      <w:pPr>
        <w:pStyle w:val="BodyTextIndent3"/>
        <w:spacing w:after="0"/>
        <w:ind w:left="0"/>
        <w:rPr>
          <w:iCs/>
          <w:sz w:val="22"/>
          <w:szCs w:val="22"/>
          <w:lang w:val="fi-FI"/>
        </w:rPr>
      </w:pPr>
      <w:r w:rsidRPr="002A2074">
        <w:rPr>
          <w:iCs/>
          <w:sz w:val="22"/>
          <w:szCs w:val="22"/>
          <w:lang w:val="fi-FI"/>
        </w:rPr>
        <w:t>HCTZ sasniedz koncentrācijas maksimumu plazmā 1 – 2,5 stundas pēc perorālas ievadīšanas. Fosinoprila saistīšanās ar proteīnu ir augsta (95%), bet ar asins šūnu komponentiem tas saistās niecīg</w:t>
      </w:r>
      <w:r>
        <w:rPr>
          <w:iCs/>
          <w:sz w:val="22"/>
          <w:szCs w:val="22"/>
          <w:lang w:val="fi-FI"/>
        </w:rPr>
        <w:t>i mazā daudzumā.</w:t>
      </w:r>
    </w:p>
    <w:p w14:paraId="06225865" w14:textId="77777777" w:rsidR="00864B03" w:rsidRPr="002A2074" w:rsidRDefault="00864B03" w:rsidP="00864B03">
      <w:pPr>
        <w:pStyle w:val="BodyTextIndent3"/>
        <w:spacing w:after="0"/>
        <w:ind w:left="0"/>
        <w:rPr>
          <w:iCs/>
          <w:sz w:val="22"/>
          <w:szCs w:val="22"/>
          <w:lang w:val="fi-FI"/>
        </w:rPr>
      </w:pPr>
    </w:p>
    <w:p w14:paraId="6EA5BC7B" w14:textId="77777777" w:rsidR="00864B03" w:rsidRPr="002A2074" w:rsidRDefault="00864B03" w:rsidP="00864B03">
      <w:pPr>
        <w:pStyle w:val="BodyTextIndent3"/>
        <w:spacing w:after="0"/>
        <w:ind w:left="0"/>
        <w:rPr>
          <w:iCs/>
          <w:sz w:val="22"/>
          <w:szCs w:val="22"/>
          <w:lang w:val="fi-FI"/>
        </w:rPr>
      </w:pPr>
      <w:r w:rsidRPr="002A2074">
        <w:rPr>
          <w:iCs/>
          <w:sz w:val="22"/>
          <w:szCs w:val="22"/>
          <w:lang w:val="fi-FI"/>
        </w:rPr>
        <w:t>Pētījumi ar dzīvniekiem parādīja, ka fosinoprils un fosinoprilāts nešķērso hematoencefālo barjeru, bet fosinoprilāts šķērso grūsnu dzīvnieku placentu. HCTZ brīvi šķērso cilvēku placentu, un līmenis ir līdzīgs kā mātes asinsrites sistēmā.</w:t>
      </w:r>
    </w:p>
    <w:p w14:paraId="673CB7D0" w14:textId="77777777" w:rsidR="00864B03" w:rsidRPr="002A2074" w:rsidRDefault="00864B03" w:rsidP="00864B03">
      <w:pPr>
        <w:pStyle w:val="BodyTextIndent3"/>
        <w:spacing w:after="0"/>
        <w:ind w:left="0"/>
        <w:rPr>
          <w:iCs/>
          <w:sz w:val="22"/>
          <w:szCs w:val="22"/>
          <w:lang w:val="fi-FI"/>
        </w:rPr>
      </w:pPr>
    </w:p>
    <w:p w14:paraId="1F648D97" w14:textId="77777777" w:rsidR="00864B03" w:rsidRPr="00B5729E" w:rsidRDefault="00864B03" w:rsidP="00864B03">
      <w:pPr>
        <w:pStyle w:val="BodyTextIndent3"/>
        <w:spacing w:after="0"/>
        <w:ind w:left="0"/>
        <w:rPr>
          <w:iCs/>
          <w:sz w:val="22"/>
          <w:szCs w:val="22"/>
          <w:lang w:val="fi-FI"/>
        </w:rPr>
      </w:pPr>
      <w:r w:rsidRPr="002A2074">
        <w:rPr>
          <w:iCs/>
          <w:sz w:val="22"/>
          <w:szCs w:val="22"/>
          <w:lang w:val="fi-FI"/>
        </w:rPr>
        <w:t xml:space="preserve">Hidrohlorotiazīds ātri izdalās caur nierēm nemetabolizētā veidā; tā saistīšanās ar plazmas proteīniem ir 68%. </w:t>
      </w:r>
      <w:r w:rsidRPr="00B5729E">
        <w:rPr>
          <w:iCs/>
          <w:sz w:val="22"/>
          <w:szCs w:val="22"/>
          <w:lang w:val="fi-FI"/>
        </w:rPr>
        <w:t>Vidējais HCTZ eliminācijas pusperiods plazmā ir robežās no 5 līdz 15 stundām.</w:t>
      </w:r>
    </w:p>
    <w:p w14:paraId="6F98AA53" w14:textId="77777777" w:rsidR="00864B03" w:rsidRPr="00B5729E" w:rsidRDefault="00864B03" w:rsidP="00864B03">
      <w:pPr>
        <w:pStyle w:val="BodyTextIndent3"/>
        <w:spacing w:after="0"/>
        <w:ind w:left="0"/>
        <w:rPr>
          <w:iCs/>
          <w:sz w:val="22"/>
          <w:szCs w:val="22"/>
          <w:lang w:val="fi-FI"/>
        </w:rPr>
      </w:pPr>
    </w:p>
    <w:p w14:paraId="4ECB3580" w14:textId="77777777" w:rsidR="00864B03" w:rsidRPr="00B5729E" w:rsidRDefault="00864B03" w:rsidP="00864B03">
      <w:pPr>
        <w:pStyle w:val="BodyTextIndent3"/>
        <w:spacing w:after="0"/>
        <w:ind w:left="0"/>
        <w:rPr>
          <w:iCs/>
          <w:sz w:val="22"/>
          <w:szCs w:val="22"/>
          <w:lang w:val="fi-FI"/>
        </w:rPr>
      </w:pPr>
      <w:r w:rsidRPr="00B5729E">
        <w:rPr>
          <w:iCs/>
          <w:sz w:val="22"/>
          <w:szCs w:val="22"/>
          <w:lang w:val="fi-FI"/>
        </w:rPr>
        <w:lastRenderedPageBreak/>
        <w:t>Pēc intravenozas ievadīšanas fosinoprilāts izdalās apmēram vienādos daudzumos caur aknām un nierēm. Hipertensijas pacientiem, kam nieres un aknas darbojas normāli un  kas atkārtoti saņem fosinoprila devas, fosinoprilāta akumulācijas efektīvais pusperiods (t</w:t>
      </w:r>
      <w:r w:rsidRPr="00B5729E">
        <w:rPr>
          <w:iCs/>
          <w:sz w:val="22"/>
          <w:szCs w:val="22"/>
          <w:vertAlign w:val="subscript"/>
          <w:lang w:val="fi-FI"/>
        </w:rPr>
        <w:t>1/2</w:t>
      </w:r>
      <w:r w:rsidRPr="00B5729E">
        <w:rPr>
          <w:iCs/>
          <w:sz w:val="22"/>
          <w:szCs w:val="22"/>
          <w:lang w:val="fi-FI"/>
        </w:rPr>
        <w:t>) vidēji ir 11,5 stundas.</w:t>
      </w:r>
    </w:p>
    <w:p w14:paraId="64D0595F" w14:textId="77777777" w:rsidR="00864B03" w:rsidRPr="00B5729E" w:rsidRDefault="00864B03" w:rsidP="00864B03">
      <w:pPr>
        <w:pStyle w:val="BodyTextIndent3"/>
        <w:spacing w:after="0"/>
        <w:ind w:left="0"/>
        <w:rPr>
          <w:iCs/>
          <w:sz w:val="22"/>
          <w:szCs w:val="22"/>
          <w:lang w:val="fi-FI"/>
        </w:rPr>
      </w:pPr>
    </w:p>
    <w:p w14:paraId="2801849A" w14:textId="77777777" w:rsidR="00864B03" w:rsidRPr="00B5729E" w:rsidRDefault="00864B03" w:rsidP="00864B03">
      <w:pPr>
        <w:pStyle w:val="BodyTextIndent3"/>
        <w:spacing w:after="0"/>
        <w:ind w:left="0"/>
        <w:rPr>
          <w:iCs/>
          <w:sz w:val="22"/>
          <w:szCs w:val="22"/>
          <w:lang w:val="fi-FI"/>
        </w:rPr>
      </w:pPr>
      <w:r w:rsidRPr="00B5729E">
        <w:rPr>
          <w:iCs/>
          <w:sz w:val="22"/>
          <w:szCs w:val="22"/>
          <w:lang w:val="fi-FI"/>
        </w:rPr>
        <w:t>Fosinoprils labi nepakļaujas dialīzei. Fosinoprilāta hemodialīzes un peritoneālās dialīzes klīrenss attiecīgi ir vidēji 2% un 7% no urīnvielas klīrensa.</w:t>
      </w:r>
    </w:p>
    <w:p w14:paraId="5D48E1C8" w14:textId="77777777" w:rsidR="00864B03" w:rsidRPr="00B5729E" w:rsidRDefault="00864B03" w:rsidP="00864B03">
      <w:pPr>
        <w:pStyle w:val="BodyTextIndent3"/>
        <w:spacing w:after="0"/>
        <w:ind w:left="0"/>
        <w:rPr>
          <w:iCs/>
          <w:sz w:val="22"/>
          <w:szCs w:val="22"/>
          <w:lang w:val="fi-FI"/>
        </w:rPr>
      </w:pPr>
    </w:p>
    <w:p w14:paraId="500AADB1" w14:textId="2CC1CBB4" w:rsidR="00864B03" w:rsidRPr="00B5729E" w:rsidRDefault="00864B03" w:rsidP="00864B03">
      <w:pPr>
        <w:pStyle w:val="BodyTextIndent3"/>
        <w:spacing w:after="0"/>
        <w:ind w:left="0"/>
        <w:rPr>
          <w:iCs/>
          <w:sz w:val="22"/>
          <w:szCs w:val="22"/>
          <w:lang w:val="fi-FI"/>
        </w:rPr>
      </w:pPr>
      <w:r w:rsidRPr="00B5729E">
        <w:rPr>
          <w:sz w:val="22"/>
          <w:szCs w:val="22"/>
          <w:lang w:val="fi-FI"/>
        </w:rPr>
        <w:t xml:space="preserve">Pacientiem ar traucētu nieru darbību </w:t>
      </w:r>
      <w:r w:rsidRPr="00B5729E">
        <w:rPr>
          <w:iCs/>
          <w:sz w:val="22"/>
          <w:szCs w:val="22"/>
          <w:lang w:val="fi-FI"/>
        </w:rPr>
        <w:t>(kreatinīna klīrenss &lt;80</w:t>
      </w:r>
      <w:r w:rsidR="00526B41">
        <w:rPr>
          <w:iCs/>
          <w:sz w:val="22"/>
          <w:szCs w:val="22"/>
          <w:lang w:val="fi-FI"/>
        </w:rPr>
        <w:t xml:space="preserve"> </w:t>
      </w:r>
      <w:r w:rsidRPr="00B5729E">
        <w:rPr>
          <w:iCs/>
          <w:sz w:val="22"/>
          <w:szCs w:val="22"/>
          <w:lang w:val="fi-FI"/>
        </w:rPr>
        <w:t>ml/min./1,73</w:t>
      </w:r>
      <w:r w:rsidR="00526B41">
        <w:rPr>
          <w:iCs/>
          <w:sz w:val="22"/>
          <w:szCs w:val="22"/>
          <w:lang w:val="fi-FI"/>
        </w:rPr>
        <w:t xml:space="preserve"> </w:t>
      </w:r>
      <w:r w:rsidRPr="00B5729E">
        <w:rPr>
          <w:iCs/>
          <w:sz w:val="22"/>
          <w:szCs w:val="22"/>
          <w:lang w:val="fi-FI"/>
        </w:rPr>
        <w:t>m</w:t>
      </w:r>
      <w:r w:rsidRPr="00B5729E">
        <w:rPr>
          <w:iCs/>
          <w:sz w:val="22"/>
          <w:szCs w:val="22"/>
          <w:vertAlign w:val="superscript"/>
          <w:lang w:val="fi-FI"/>
        </w:rPr>
        <w:t>2</w:t>
      </w:r>
      <w:r w:rsidRPr="00B5729E">
        <w:rPr>
          <w:iCs/>
          <w:sz w:val="22"/>
          <w:szCs w:val="22"/>
          <w:lang w:val="fi-FI"/>
        </w:rPr>
        <w:t>) kopējais fosinoprilāta ķermeņa klīrenss ir aptuveni viena puse no tā, kas ir pacientiem ar normālu nieru darbību, lai gan absorbcija, biopieejamība un saistīšanās ar proteīnu nav jūtami izmainīta. Fosinoprilāta klīrenss jūtami neatšķiras atkarībā no nieru mazspējas; samazināto izvadīšanu caur nierēm kompensē pastiprināta hepatobiliārā izvadīšana. Pacientiem ar dažādas pakāpes nieru mazspēju, ieskaitot nieru mazspējas beigu stadiju (kreatinīna klīrenss &lt;10 ml/min./ 1,73</w:t>
      </w:r>
      <w:r w:rsidR="006630EA">
        <w:rPr>
          <w:iCs/>
          <w:sz w:val="22"/>
          <w:szCs w:val="22"/>
          <w:lang w:val="fi-FI"/>
        </w:rPr>
        <w:t xml:space="preserve"> </w:t>
      </w:r>
      <w:r w:rsidRPr="00B5729E">
        <w:rPr>
          <w:iCs/>
          <w:sz w:val="22"/>
          <w:szCs w:val="22"/>
          <w:lang w:val="fi-FI"/>
        </w:rPr>
        <w:t>m</w:t>
      </w:r>
      <w:r w:rsidRPr="00B5729E">
        <w:rPr>
          <w:iCs/>
          <w:sz w:val="22"/>
          <w:szCs w:val="22"/>
          <w:vertAlign w:val="superscript"/>
          <w:lang w:val="fi-FI"/>
        </w:rPr>
        <w:t>2</w:t>
      </w:r>
      <w:r w:rsidRPr="00B5729E">
        <w:rPr>
          <w:iCs/>
          <w:sz w:val="22"/>
          <w:szCs w:val="22"/>
          <w:lang w:val="fi-FI"/>
        </w:rPr>
        <w:t>) novēroja nelielu AUC līmeņa pieaugumu plazmā (mazāk nekā divas reizes, salīdzinot ar normālo). Ir zināms, ka pacientiem ar smagu nieru mazspēju (kreatinīna klīrenss &lt;20 ml/min./ 1,73</w:t>
      </w:r>
      <w:r w:rsidR="006630EA">
        <w:rPr>
          <w:iCs/>
          <w:sz w:val="22"/>
          <w:szCs w:val="22"/>
          <w:lang w:val="fi-FI"/>
        </w:rPr>
        <w:t xml:space="preserve"> </w:t>
      </w:r>
      <w:r w:rsidRPr="00B5729E">
        <w:rPr>
          <w:iCs/>
          <w:sz w:val="22"/>
          <w:szCs w:val="22"/>
          <w:lang w:val="fi-FI"/>
        </w:rPr>
        <w:t>m</w:t>
      </w:r>
      <w:r w:rsidRPr="00B5729E">
        <w:rPr>
          <w:iCs/>
          <w:sz w:val="22"/>
          <w:szCs w:val="22"/>
          <w:vertAlign w:val="superscript"/>
          <w:lang w:val="fi-FI"/>
        </w:rPr>
        <w:t>2</w:t>
      </w:r>
      <w:r w:rsidRPr="00B5729E">
        <w:rPr>
          <w:iCs/>
          <w:sz w:val="22"/>
          <w:szCs w:val="22"/>
          <w:lang w:val="fi-FI"/>
        </w:rPr>
        <w:t>) HCTZ eliminācijas pusperiods palielinās līdz 21 stundai.</w:t>
      </w:r>
    </w:p>
    <w:p w14:paraId="44B638B1" w14:textId="77777777" w:rsidR="00864B03" w:rsidRPr="00B5729E" w:rsidRDefault="00864B03" w:rsidP="00864B03">
      <w:pPr>
        <w:pStyle w:val="BodyTextIndent3"/>
        <w:spacing w:after="0"/>
        <w:ind w:left="0"/>
        <w:rPr>
          <w:iCs/>
          <w:sz w:val="22"/>
          <w:szCs w:val="22"/>
          <w:lang w:val="fi-FI"/>
        </w:rPr>
      </w:pPr>
    </w:p>
    <w:p w14:paraId="1DA9AC87" w14:textId="77777777" w:rsidR="00864B03" w:rsidRPr="00B5729E" w:rsidRDefault="00864B03" w:rsidP="00864B03">
      <w:pPr>
        <w:pStyle w:val="BodyTextIndent3"/>
        <w:spacing w:after="0"/>
        <w:ind w:left="0"/>
        <w:rPr>
          <w:iCs/>
          <w:sz w:val="22"/>
          <w:szCs w:val="22"/>
          <w:lang w:val="fi-FI"/>
        </w:rPr>
      </w:pPr>
      <w:r w:rsidRPr="00B5729E">
        <w:rPr>
          <w:sz w:val="22"/>
          <w:szCs w:val="22"/>
          <w:lang w:val="fi-FI"/>
        </w:rPr>
        <w:t>Pacientiem ar aknu mazspēju (alkohola vai žults ciroze)</w:t>
      </w:r>
      <w:r w:rsidRPr="00B5729E">
        <w:rPr>
          <w:iCs/>
          <w:sz w:val="22"/>
          <w:szCs w:val="22"/>
          <w:lang w:val="fi-FI"/>
        </w:rPr>
        <w:t xml:space="preserve"> fosinoprila hidrolīzes pakāpe nav būtiski samazināta, kaut gan hidrolīze var noritēt  palēnināti; saskatāmais fosinoprilāta kopējais ķermeņa klīrenss ir aptuveni puse no tā, kas ir pacientiem ar normālu aknu darbību.</w:t>
      </w:r>
    </w:p>
    <w:p w14:paraId="114C82CC" w14:textId="77777777" w:rsidR="00864B03" w:rsidRPr="00B5729E" w:rsidRDefault="00864B03" w:rsidP="00864B03">
      <w:pPr>
        <w:pStyle w:val="BodyTextIndent3"/>
        <w:spacing w:after="0"/>
        <w:ind w:left="0"/>
        <w:rPr>
          <w:iCs/>
          <w:sz w:val="22"/>
          <w:szCs w:val="22"/>
          <w:lang w:val="fi-FI"/>
        </w:rPr>
      </w:pPr>
    </w:p>
    <w:p w14:paraId="3F429816" w14:textId="77777777" w:rsidR="00864B03" w:rsidRPr="00B5729E" w:rsidRDefault="00864B03" w:rsidP="00864B03">
      <w:pPr>
        <w:pStyle w:val="BodyTextIndent3"/>
        <w:spacing w:after="0"/>
        <w:ind w:left="0"/>
        <w:rPr>
          <w:iCs/>
          <w:sz w:val="22"/>
          <w:szCs w:val="22"/>
          <w:u w:val="single"/>
          <w:lang w:val="fi-FI"/>
        </w:rPr>
      </w:pPr>
      <w:r w:rsidRPr="00B5729E">
        <w:rPr>
          <w:sz w:val="22"/>
          <w:szCs w:val="22"/>
          <w:lang w:val="fi-FI"/>
        </w:rPr>
        <w:t xml:space="preserve">Vecākiem vīriešiem </w:t>
      </w:r>
      <w:r w:rsidRPr="00B5729E">
        <w:rPr>
          <w:iCs/>
          <w:sz w:val="22"/>
          <w:szCs w:val="22"/>
          <w:lang w:val="fi-FI"/>
        </w:rPr>
        <w:t>(65 līdz 74 gadi veciem) ar klīniski normālu nieru un aknu darbību nebija ievērojamas fosinoprilāta farmaceitisko parametru atšķirības, salīdzinot ar jaunākiem (20 – 30 gadus veciem) pacientiem. Laukums zem plazmas koncentrācijas – laika līknes (AUC) vecākajā grupā pēc HCTZ vairākkārtējas devas korelēja ar iepriekš publicētiem datiem.</w:t>
      </w:r>
    </w:p>
    <w:p w14:paraId="78D164DF" w14:textId="77777777" w:rsidR="00864B03" w:rsidRPr="00B5729E" w:rsidRDefault="00864B03" w:rsidP="00864B03">
      <w:pPr>
        <w:pStyle w:val="EMEABodyText"/>
        <w:rPr>
          <w:noProof/>
          <w:lang w:val="fi-FI"/>
        </w:rPr>
      </w:pPr>
    </w:p>
    <w:p w14:paraId="1417B9E6" w14:textId="77777777" w:rsidR="00864B03" w:rsidRPr="00B5729E" w:rsidRDefault="00864B03" w:rsidP="00864B03">
      <w:pPr>
        <w:pStyle w:val="EMEAHeading2"/>
        <w:rPr>
          <w:noProof/>
          <w:lang w:val="fi-FI"/>
        </w:rPr>
      </w:pPr>
      <w:r w:rsidRPr="00B5729E">
        <w:rPr>
          <w:noProof/>
          <w:lang w:val="fi-FI"/>
        </w:rPr>
        <w:t>5.3</w:t>
      </w:r>
      <w:r w:rsidR="004B0F38">
        <w:rPr>
          <w:noProof/>
          <w:lang w:val="fi-FI"/>
        </w:rPr>
        <w:t>.</w:t>
      </w:r>
      <w:r w:rsidRPr="00B5729E">
        <w:rPr>
          <w:noProof/>
          <w:lang w:val="fi-FI"/>
        </w:rPr>
        <w:tab/>
        <w:t>Preklīniskie dati par drošu</w:t>
      </w:r>
      <w:r w:rsidR="004B0F38">
        <w:rPr>
          <w:noProof/>
          <w:lang w:val="fi-FI"/>
        </w:rPr>
        <w:t>mu</w:t>
      </w:r>
    </w:p>
    <w:p w14:paraId="6D435BD5" w14:textId="77777777" w:rsidR="00864B03" w:rsidRPr="00B5729E" w:rsidRDefault="00864B03" w:rsidP="00864B03">
      <w:pPr>
        <w:pStyle w:val="EMEABodyText"/>
        <w:rPr>
          <w:noProof/>
          <w:szCs w:val="22"/>
          <w:lang w:val="fi-FI"/>
        </w:rPr>
      </w:pPr>
    </w:p>
    <w:p w14:paraId="4C26EBD2" w14:textId="77777777" w:rsidR="00864B03" w:rsidRPr="00B5729E" w:rsidRDefault="00864B03" w:rsidP="00864B03">
      <w:pPr>
        <w:pStyle w:val="BodyTextIndent3"/>
        <w:spacing w:after="0"/>
        <w:ind w:left="0"/>
        <w:rPr>
          <w:iCs/>
          <w:sz w:val="22"/>
          <w:szCs w:val="22"/>
          <w:lang w:val="fi-FI"/>
        </w:rPr>
      </w:pPr>
      <w:r w:rsidRPr="00B5729E">
        <w:rPr>
          <w:iCs/>
          <w:sz w:val="22"/>
          <w:szCs w:val="22"/>
          <w:lang w:val="fi-FI"/>
        </w:rPr>
        <w:t>Vēl nav veikti ilglaicīgi kancerogenitātes pētījumi ar Monozīdu. Īslaicīgos pētījumos nav iegūti dati par fosinoprila vai HCTZ kancerogēno iedarbību  uz peļu mātītēm un žurkām. Nav atrasti droši pierādījumi par HCTZ hepatokancerogenitāti uz peļu tēviņiem; tomēr vairāk kā 30 gadu klīniskā pieredze nav uzrādījusi kancerogēnu potenciālu cilvēkiem. Fosinoprila kombinācijai ar HCTZ nav mutagenitātes potenciāla.</w:t>
      </w:r>
    </w:p>
    <w:p w14:paraId="0C31B16E" w14:textId="77777777" w:rsidR="00864B03" w:rsidRPr="00B5729E" w:rsidRDefault="00864B03" w:rsidP="00864B03">
      <w:pPr>
        <w:pStyle w:val="EMEABodyText"/>
        <w:rPr>
          <w:noProof/>
          <w:szCs w:val="22"/>
          <w:lang w:val="fi-FI"/>
        </w:rPr>
      </w:pPr>
    </w:p>
    <w:p w14:paraId="69709024" w14:textId="77777777" w:rsidR="00864B03" w:rsidRPr="00B5729E" w:rsidRDefault="00864B03" w:rsidP="00864B03">
      <w:pPr>
        <w:pStyle w:val="EMEABodyText"/>
        <w:rPr>
          <w:noProof/>
          <w:szCs w:val="22"/>
          <w:lang w:val="fi-FI"/>
        </w:rPr>
      </w:pPr>
    </w:p>
    <w:p w14:paraId="1E56A459" w14:textId="77777777" w:rsidR="00864B03" w:rsidRPr="00B5729E" w:rsidRDefault="00864B03" w:rsidP="00864B03">
      <w:pPr>
        <w:pStyle w:val="EMEAHeading1"/>
        <w:rPr>
          <w:noProof/>
          <w:lang w:val="fi-FI"/>
        </w:rPr>
      </w:pPr>
      <w:r w:rsidRPr="00B5729E">
        <w:rPr>
          <w:noProof/>
          <w:lang w:val="fi-FI"/>
        </w:rPr>
        <w:t>6.</w:t>
      </w:r>
      <w:r w:rsidRPr="00B5729E">
        <w:rPr>
          <w:noProof/>
          <w:lang w:val="fi-FI"/>
        </w:rPr>
        <w:tab/>
        <w:t>FARMACEITISKĀ INFORMĀCIJA</w:t>
      </w:r>
    </w:p>
    <w:p w14:paraId="7CEBBA0D" w14:textId="77777777" w:rsidR="00864B03" w:rsidRPr="00B5729E" w:rsidRDefault="00864B03" w:rsidP="00864B03">
      <w:pPr>
        <w:pStyle w:val="EMEABodyText"/>
        <w:rPr>
          <w:noProof/>
          <w:lang w:val="fi-FI"/>
        </w:rPr>
      </w:pPr>
    </w:p>
    <w:p w14:paraId="7A4D8F1D" w14:textId="77777777" w:rsidR="00864B03" w:rsidRPr="00B5729E" w:rsidRDefault="00864B03" w:rsidP="00864B03">
      <w:pPr>
        <w:pStyle w:val="EMEAHeading2"/>
        <w:rPr>
          <w:noProof/>
          <w:szCs w:val="22"/>
          <w:lang w:val="fi-FI"/>
        </w:rPr>
      </w:pPr>
      <w:r w:rsidRPr="00B5729E">
        <w:rPr>
          <w:noProof/>
          <w:szCs w:val="22"/>
          <w:lang w:val="fi-FI"/>
        </w:rPr>
        <w:t>6.1</w:t>
      </w:r>
      <w:r w:rsidR="004B0F38">
        <w:rPr>
          <w:noProof/>
          <w:szCs w:val="22"/>
          <w:lang w:val="fi-FI"/>
        </w:rPr>
        <w:t>.</w:t>
      </w:r>
      <w:r w:rsidRPr="00B5729E">
        <w:rPr>
          <w:noProof/>
          <w:szCs w:val="22"/>
          <w:lang w:val="fi-FI"/>
        </w:rPr>
        <w:tab/>
        <w:t>Palīgvielu saraksts</w:t>
      </w:r>
    </w:p>
    <w:p w14:paraId="0C783842" w14:textId="77777777" w:rsidR="00864B03" w:rsidRPr="00B5729E" w:rsidRDefault="00864B03" w:rsidP="00864B03">
      <w:pPr>
        <w:pStyle w:val="BodyTextIndent3"/>
        <w:spacing w:after="0"/>
        <w:ind w:left="0"/>
        <w:rPr>
          <w:iCs/>
          <w:sz w:val="22"/>
          <w:szCs w:val="22"/>
          <w:lang w:val="fi-FI"/>
        </w:rPr>
      </w:pPr>
    </w:p>
    <w:p w14:paraId="7B130507" w14:textId="77777777" w:rsidR="00864B03" w:rsidRPr="00B5729E" w:rsidRDefault="00DA5DD4" w:rsidP="00864B03">
      <w:pPr>
        <w:pStyle w:val="BodyTextIndent3"/>
        <w:spacing w:after="0"/>
        <w:ind w:left="0"/>
        <w:rPr>
          <w:iCs/>
          <w:sz w:val="22"/>
          <w:szCs w:val="22"/>
          <w:lang w:val="fi-FI"/>
        </w:rPr>
      </w:pPr>
      <w:r>
        <w:rPr>
          <w:iCs/>
          <w:sz w:val="22"/>
          <w:szCs w:val="22"/>
          <w:lang w:val="fi-FI"/>
        </w:rPr>
        <w:t>L</w:t>
      </w:r>
      <w:r w:rsidR="00864B03" w:rsidRPr="00B5729E">
        <w:rPr>
          <w:iCs/>
          <w:sz w:val="22"/>
          <w:szCs w:val="22"/>
          <w:lang w:val="fi-FI"/>
        </w:rPr>
        <w:t>aktoze, laktozes monohidrāts, povidons, nātrija stearilfumarāts, kroskarmelozes nātrija sāls, sarkanais dzelzs oksīds un dzeltenais dzelzs oksīds.</w:t>
      </w:r>
    </w:p>
    <w:p w14:paraId="23B4E192" w14:textId="77777777" w:rsidR="00864B03" w:rsidRPr="00B5729E" w:rsidRDefault="00864B03" w:rsidP="00864B03">
      <w:pPr>
        <w:pStyle w:val="EMEABodyText"/>
        <w:rPr>
          <w:noProof/>
          <w:lang w:val="fi-FI"/>
        </w:rPr>
      </w:pPr>
    </w:p>
    <w:p w14:paraId="6D3E539C" w14:textId="77777777" w:rsidR="00864B03" w:rsidRPr="00B5729E" w:rsidRDefault="00864B03" w:rsidP="00864B03">
      <w:pPr>
        <w:pStyle w:val="EMEAHeading2"/>
        <w:rPr>
          <w:noProof/>
          <w:lang w:val="fi-FI"/>
        </w:rPr>
      </w:pPr>
      <w:r w:rsidRPr="00B5729E">
        <w:rPr>
          <w:noProof/>
          <w:lang w:val="fi-FI"/>
        </w:rPr>
        <w:t>6.2</w:t>
      </w:r>
      <w:r w:rsidR="004B0F38">
        <w:rPr>
          <w:noProof/>
          <w:lang w:val="fi-FI"/>
        </w:rPr>
        <w:t>.</w:t>
      </w:r>
      <w:r w:rsidRPr="00B5729E">
        <w:rPr>
          <w:noProof/>
          <w:lang w:val="fi-FI"/>
        </w:rPr>
        <w:tab/>
        <w:t>Nesaderība</w:t>
      </w:r>
    </w:p>
    <w:p w14:paraId="0B1A8302" w14:textId="77777777" w:rsidR="00864B03" w:rsidRPr="00B5729E" w:rsidRDefault="00864B03" w:rsidP="00864B03">
      <w:pPr>
        <w:pStyle w:val="EMEABodyText"/>
        <w:rPr>
          <w:noProof/>
          <w:lang w:val="fi-FI"/>
        </w:rPr>
      </w:pPr>
    </w:p>
    <w:p w14:paraId="1320969B" w14:textId="77777777" w:rsidR="00864B03" w:rsidRPr="00B5729E" w:rsidRDefault="00864B03" w:rsidP="00864B03">
      <w:pPr>
        <w:pStyle w:val="EMEABodyText"/>
        <w:rPr>
          <w:noProof/>
          <w:lang w:val="fi-FI"/>
        </w:rPr>
      </w:pPr>
      <w:r w:rsidRPr="00B5729E">
        <w:rPr>
          <w:noProof/>
          <w:lang w:val="fi-FI"/>
        </w:rPr>
        <w:t>Nav piemērojama.</w:t>
      </w:r>
    </w:p>
    <w:p w14:paraId="643E7898" w14:textId="77777777" w:rsidR="00864B03" w:rsidRPr="00B5729E" w:rsidRDefault="00864B03" w:rsidP="00864B03">
      <w:pPr>
        <w:pStyle w:val="EMEABodyText"/>
        <w:rPr>
          <w:noProof/>
          <w:lang w:val="fi-FI"/>
        </w:rPr>
      </w:pPr>
    </w:p>
    <w:p w14:paraId="4BA55994" w14:textId="77777777" w:rsidR="00864B03" w:rsidRPr="00B5729E" w:rsidRDefault="00864B03" w:rsidP="00864B03">
      <w:pPr>
        <w:pStyle w:val="EMEAHeading2"/>
        <w:rPr>
          <w:noProof/>
          <w:lang w:val="fi-FI"/>
        </w:rPr>
      </w:pPr>
      <w:r w:rsidRPr="00B5729E">
        <w:rPr>
          <w:noProof/>
          <w:lang w:val="fi-FI"/>
        </w:rPr>
        <w:t>6.3</w:t>
      </w:r>
      <w:r w:rsidR="004B0F38">
        <w:rPr>
          <w:noProof/>
          <w:lang w:val="fi-FI"/>
        </w:rPr>
        <w:t>.</w:t>
      </w:r>
      <w:r w:rsidRPr="00B5729E">
        <w:rPr>
          <w:noProof/>
          <w:lang w:val="fi-FI"/>
        </w:rPr>
        <w:tab/>
        <w:t>Uzglabāšanas laiks</w:t>
      </w:r>
    </w:p>
    <w:p w14:paraId="216A4DFF" w14:textId="77777777" w:rsidR="00864B03" w:rsidRPr="00B5729E" w:rsidRDefault="00864B03" w:rsidP="00864B03">
      <w:pPr>
        <w:pStyle w:val="EMEABodyText"/>
        <w:rPr>
          <w:noProof/>
          <w:lang w:val="fi-FI"/>
        </w:rPr>
      </w:pPr>
    </w:p>
    <w:p w14:paraId="063EF134" w14:textId="77777777" w:rsidR="00864B03" w:rsidRPr="00B5729E" w:rsidRDefault="00864B03" w:rsidP="00864B03">
      <w:pPr>
        <w:pStyle w:val="EMEABodyText"/>
        <w:rPr>
          <w:noProof/>
          <w:lang w:val="fi-FI"/>
        </w:rPr>
      </w:pPr>
      <w:r w:rsidRPr="00B5729E">
        <w:rPr>
          <w:noProof/>
          <w:lang w:val="fi-FI"/>
        </w:rPr>
        <w:t>18 mēneši.</w:t>
      </w:r>
    </w:p>
    <w:p w14:paraId="37B808E5" w14:textId="77777777" w:rsidR="00864B03" w:rsidRPr="00B5729E" w:rsidRDefault="00864B03" w:rsidP="00864B03">
      <w:pPr>
        <w:pStyle w:val="EMEABodyText"/>
        <w:rPr>
          <w:noProof/>
          <w:lang w:val="fi-FI"/>
        </w:rPr>
      </w:pPr>
    </w:p>
    <w:p w14:paraId="2A3A0B17" w14:textId="77777777" w:rsidR="00864B03" w:rsidRPr="00B5729E" w:rsidRDefault="00864B03" w:rsidP="00864B03">
      <w:pPr>
        <w:pStyle w:val="EMEAHeading2"/>
        <w:rPr>
          <w:noProof/>
          <w:lang w:val="fi-FI"/>
        </w:rPr>
      </w:pPr>
      <w:r w:rsidRPr="00B5729E">
        <w:rPr>
          <w:noProof/>
          <w:lang w:val="fi-FI"/>
        </w:rPr>
        <w:t>6.4</w:t>
      </w:r>
      <w:r w:rsidR="004B0F38">
        <w:rPr>
          <w:noProof/>
          <w:lang w:val="fi-FI"/>
        </w:rPr>
        <w:t>.</w:t>
      </w:r>
      <w:r w:rsidRPr="00B5729E">
        <w:rPr>
          <w:noProof/>
          <w:lang w:val="fi-FI"/>
        </w:rPr>
        <w:tab/>
        <w:t>Īpaši uzglabāšanas nosacījumi</w:t>
      </w:r>
    </w:p>
    <w:p w14:paraId="0FC8394A" w14:textId="77777777" w:rsidR="00864B03" w:rsidRPr="00B5729E" w:rsidRDefault="00864B03" w:rsidP="00864B03">
      <w:pPr>
        <w:pStyle w:val="EMEABodyText"/>
        <w:rPr>
          <w:noProof/>
          <w:lang w:val="fi-FI"/>
        </w:rPr>
      </w:pPr>
    </w:p>
    <w:p w14:paraId="0F4A8DC0" w14:textId="77777777" w:rsidR="00864B03" w:rsidRPr="00B5729E" w:rsidRDefault="00864B03" w:rsidP="00864B03">
      <w:pPr>
        <w:pStyle w:val="EMEABodyText"/>
        <w:rPr>
          <w:szCs w:val="22"/>
          <w:lang w:val="fi-FI" w:eastAsia="lv-LV"/>
        </w:rPr>
      </w:pPr>
      <w:r w:rsidRPr="00B5729E">
        <w:rPr>
          <w:noProof/>
          <w:lang w:val="fi-FI"/>
        </w:rPr>
        <w:t xml:space="preserve">Uzglabāt temperatūrā līdz </w:t>
      </w:r>
      <w:r w:rsidRPr="00B5729E">
        <w:rPr>
          <w:noProof/>
          <w:szCs w:val="22"/>
          <w:lang w:val="fi-FI"/>
        </w:rPr>
        <w:t>25</w:t>
      </w:r>
      <w:r w:rsidRPr="00B5729E">
        <w:rPr>
          <w:szCs w:val="22"/>
          <w:lang w:val="fi-FI" w:eastAsia="lv-LV"/>
        </w:rPr>
        <w:t>°C.</w:t>
      </w:r>
    </w:p>
    <w:p w14:paraId="3A2CA544" w14:textId="77777777" w:rsidR="00864B03" w:rsidRPr="00B5729E" w:rsidRDefault="00864B03" w:rsidP="00864B03">
      <w:pPr>
        <w:pStyle w:val="EMEABodyText"/>
        <w:rPr>
          <w:rFonts w:ascii="Swiss721TL-Roman" w:hAnsi="Swiss721TL-Roman" w:cs="Swiss721TL-Roman"/>
          <w:szCs w:val="22"/>
          <w:lang w:val="fi-FI" w:eastAsia="lv-LV"/>
        </w:rPr>
      </w:pPr>
      <w:r w:rsidRPr="00B5729E">
        <w:rPr>
          <w:iCs/>
          <w:szCs w:val="22"/>
          <w:lang w:val="fi-FI"/>
        </w:rPr>
        <w:t>Uzglabāt oriģinālā iepakojumā. Sargāt no mitruma.</w:t>
      </w:r>
    </w:p>
    <w:p w14:paraId="5DCCE31D" w14:textId="77777777" w:rsidR="00864B03" w:rsidRPr="00B5729E" w:rsidRDefault="00864B03" w:rsidP="00864B03">
      <w:pPr>
        <w:pStyle w:val="EMEABodyText"/>
        <w:rPr>
          <w:noProof/>
          <w:lang w:val="fi-FI"/>
        </w:rPr>
      </w:pPr>
    </w:p>
    <w:p w14:paraId="1831BF55" w14:textId="77777777" w:rsidR="00864B03" w:rsidRPr="00B5729E" w:rsidRDefault="00864B03" w:rsidP="00864B03">
      <w:pPr>
        <w:pStyle w:val="EMEAHeading2"/>
        <w:rPr>
          <w:noProof/>
          <w:lang w:val="fi-FI"/>
        </w:rPr>
      </w:pPr>
      <w:r w:rsidRPr="00B5729E">
        <w:rPr>
          <w:noProof/>
          <w:lang w:val="fi-FI"/>
        </w:rPr>
        <w:lastRenderedPageBreak/>
        <w:t>6.5</w:t>
      </w:r>
      <w:r w:rsidR="004B0F38">
        <w:rPr>
          <w:noProof/>
          <w:lang w:val="fi-FI"/>
        </w:rPr>
        <w:t>.</w:t>
      </w:r>
      <w:r w:rsidRPr="00B5729E">
        <w:rPr>
          <w:noProof/>
          <w:lang w:val="fi-FI"/>
        </w:rPr>
        <w:tab/>
        <w:t>Iepakojuma veids un saturs</w:t>
      </w:r>
    </w:p>
    <w:p w14:paraId="4785D3A7" w14:textId="77777777" w:rsidR="00864B03" w:rsidRPr="00B5729E" w:rsidRDefault="00864B03" w:rsidP="00864B03">
      <w:pPr>
        <w:pStyle w:val="EMEABodyText"/>
        <w:rPr>
          <w:noProof/>
          <w:lang w:val="fi-FI"/>
        </w:rPr>
      </w:pPr>
    </w:p>
    <w:p w14:paraId="74159B36" w14:textId="77777777" w:rsidR="00864B03" w:rsidRPr="00B5729E" w:rsidRDefault="00864B03" w:rsidP="00864B03">
      <w:pPr>
        <w:pStyle w:val="BodyTextIndent3"/>
        <w:spacing w:after="0"/>
        <w:ind w:left="0"/>
        <w:rPr>
          <w:iCs/>
          <w:sz w:val="22"/>
          <w:szCs w:val="22"/>
          <w:lang w:val="fi-FI"/>
        </w:rPr>
      </w:pPr>
      <w:r w:rsidRPr="00B5729E">
        <w:rPr>
          <w:iCs/>
          <w:sz w:val="22"/>
          <w:szCs w:val="22"/>
          <w:lang w:val="fi-FI"/>
        </w:rPr>
        <w:t xml:space="preserve">Gaismas necaurlaidīgi PVH/PVDH alumīnija folijas blisteri. </w:t>
      </w:r>
    </w:p>
    <w:p w14:paraId="7BF055E2" w14:textId="77777777" w:rsidR="00864B03" w:rsidRPr="00B5729E" w:rsidRDefault="00864B03" w:rsidP="00864B03">
      <w:pPr>
        <w:pStyle w:val="BodyTextIndent3"/>
        <w:spacing w:after="0"/>
        <w:ind w:left="0"/>
        <w:rPr>
          <w:iCs/>
          <w:sz w:val="22"/>
          <w:szCs w:val="22"/>
          <w:lang w:val="fi-FI"/>
        </w:rPr>
      </w:pPr>
      <w:r w:rsidRPr="00B5729E">
        <w:rPr>
          <w:iCs/>
          <w:sz w:val="22"/>
          <w:szCs w:val="22"/>
          <w:lang w:val="fi-FI"/>
        </w:rPr>
        <w:t>28 vai 30 tabletes kartona kastītē.</w:t>
      </w:r>
    </w:p>
    <w:p w14:paraId="4E1BB543" w14:textId="77777777" w:rsidR="00864B03" w:rsidRPr="00B5729E" w:rsidRDefault="00864B03" w:rsidP="00864B03">
      <w:pPr>
        <w:pStyle w:val="BodyTextIndent3"/>
        <w:spacing w:after="0"/>
        <w:ind w:left="0"/>
        <w:rPr>
          <w:iCs/>
          <w:sz w:val="22"/>
          <w:szCs w:val="22"/>
          <w:lang w:val="fi-FI"/>
        </w:rPr>
      </w:pPr>
    </w:p>
    <w:p w14:paraId="1805B66A" w14:textId="77777777" w:rsidR="00864B03" w:rsidRPr="00B5729E" w:rsidRDefault="00864B03" w:rsidP="00864B03">
      <w:pPr>
        <w:pStyle w:val="BodyTextIndent3"/>
        <w:spacing w:after="0"/>
        <w:ind w:left="0"/>
        <w:rPr>
          <w:iCs/>
          <w:sz w:val="22"/>
          <w:szCs w:val="22"/>
          <w:lang w:val="fi-FI"/>
        </w:rPr>
      </w:pPr>
      <w:r w:rsidRPr="00B5729E">
        <w:rPr>
          <w:iCs/>
          <w:sz w:val="22"/>
          <w:szCs w:val="22"/>
          <w:lang w:val="fi-FI"/>
        </w:rPr>
        <w:t>Visi iepakojuma lielumi tirgū var nebūt pieejami.</w:t>
      </w:r>
    </w:p>
    <w:p w14:paraId="2E33C9A4" w14:textId="77777777" w:rsidR="00864B03" w:rsidRPr="00B5729E" w:rsidRDefault="00864B03" w:rsidP="00864B03">
      <w:pPr>
        <w:pStyle w:val="EMEABodyText"/>
        <w:rPr>
          <w:noProof/>
          <w:szCs w:val="22"/>
          <w:lang w:val="fi-FI"/>
        </w:rPr>
      </w:pPr>
    </w:p>
    <w:p w14:paraId="13CB56D9" w14:textId="77777777" w:rsidR="00864B03" w:rsidRPr="00B5729E" w:rsidRDefault="00864B03" w:rsidP="00864B03">
      <w:pPr>
        <w:pStyle w:val="EMEAHeading2"/>
        <w:rPr>
          <w:noProof/>
          <w:lang w:val="fi-FI"/>
        </w:rPr>
      </w:pPr>
      <w:r w:rsidRPr="00B5729E">
        <w:rPr>
          <w:noProof/>
          <w:lang w:val="fi-FI"/>
        </w:rPr>
        <w:t>6.6</w:t>
      </w:r>
      <w:r w:rsidR="004B0F38">
        <w:rPr>
          <w:noProof/>
          <w:lang w:val="fi-FI"/>
        </w:rPr>
        <w:t>.</w:t>
      </w:r>
      <w:r w:rsidRPr="00B5729E">
        <w:rPr>
          <w:noProof/>
          <w:lang w:val="fi-FI"/>
        </w:rPr>
        <w:tab/>
        <w:t>Īpaši norādījumi atkritumu likvidēšanai</w:t>
      </w:r>
    </w:p>
    <w:p w14:paraId="7ACF7422" w14:textId="77777777" w:rsidR="00864B03" w:rsidRPr="00B5729E" w:rsidRDefault="00864B03" w:rsidP="00864B03">
      <w:pPr>
        <w:pStyle w:val="EMEABodyText"/>
        <w:rPr>
          <w:noProof/>
          <w:lang w:val="fi-FI"/>
        </w:rPr>
      </w:pPr>
    </w:p>
    <w:p w14:paraId="03A72A20" w14:textId="77777777" w:rsidR="00864B03" w:rsidRPr="00B5729E" w:rsidRDefault="00864B03" w:rsidP="00864B03">
      <w:pPr>
        <w:pStyle w:val="EMEABodyText"/>
        <w:rPr>
          <w:noProof/>
          <w:lang w:val="fi-FI"/>
        </w:rPr>
      </w:pPr>
      <w:r w:rsidRPr="00B5729E">
        <w:rPr>
          <w:noProof/>
          <w:lang w:val="fi-FI"/>
        </w:rPr>
        <w:t>Nav īpašu prasību.</w:t>
      </w:r>
    </w:p>
    <w:p w14:paraId="3F07C526" w14:textId="77777777" w:rsidR="00864B03" w:rsidRPr="00B5729E" w:rsidRDefault="00864B03" w:rsidP="00864B03">
      <w:pPr>
        <w:pStyle w:val="EMEABodyText"/>
        <w:rPr>
          <w:noProof/>
          <w:lang w:val="fi-FI"/>
        </w:rPr>
      </w:pPr>
    </w:p>
    <w:p w14:paraId="28230D23" w14:textId="77777777" w:rsidR="00864B03" w:rsidRPr="00B5729E" w:rsidRDefault="00864B03" w:rsidP="00864B03">
      <w:pPr>
        <w:pStyle w:val="EMEABodyText"/>
        <w:rPr>
          <w:noProof/>
          <w:lang w:val="fi-FI"/>
        </w:rPr>
      </w:pPr>
    </w:p>
    <w:p w14:paraId="63BBB262" w14:textId="77777777" w:rsidR="00864B03" w:rsidRPr="00B5729E" w:rsidRDefault="00864B03" w:rsidP="00864B03">
      <w:pPr>
        <w:pStyle w:val="EMEAHeading1"/>
        <w:rPr>
          <w:noProof/>
          <w:lang w:val="fi-FI"/>
        </w:rPr>
      </w:pPr>
      <w:r w:rsidRPr="00B5729E">
        <w:rPr>
          <w:noProof/>
          <w:lang w:val="fi-FI"/>
        </w:rPr>
        <w:t>7.</w:t>
      </w:r>
      <w:r w:rsidRPr="00B5729E">
        <w:rPr>
          <w:noProof/>
          <w:lang w:val="fi-FI"/>
        </w:rPr>
        <w:tab/>
        <w:t>REĢISTRĀCIJAS APLIECĪBAS ĪPAŠNIEKS</w:t>
      </w:r>
    </w:p>
    <w:p w14:paraId="32B73C0F" w14:textId="77777777" w:rsidR="00864B03" w:rsidRPr="00B5729E" w:rsidRDefault="00864B03" w:rsidP="00864B03">
      <w:pPr>
        <w:pStyle w:val="EMEABodyText"/>
        <w:rPr>
          <w:noProof/>
          <w:lang w:val="fi-FI"/>
        </w:rPr>
      </w:pPr>
    </w:p>
    <w:p w14:paraId="3A87D8DA" w14:textId="77777777" w:rsidR="004B0F38" w:rsidRPr="004B0F38" w:rsidRDefault="004B0F38" w:rsidP="004B0F38">
      <w:pPr>
        <w:ind w:left="567" w:hanging="567"/>
        <w:rPr>
          <w:noProof/>
          <w:szCs w:val="22"/>
          <w:lang w:val="lv-LV"/>
        </w:rPr>
      </w:pPr>
      <w:r w:rsidRPr="004B0F38">
        <w:rPr>
          <w:noProof/>
          <w:szCs w:val="22"/>
          <w:lang w:val="lv-LV"/>
        </w:rPr>
        <w:t>PharmaSwiss Česká republika s.r.o.</w:t>
      </w:r>
    </w:p>
    <w:p w14:paraId="0896EF07" w14:textId="77777777" w:rsidR="004B0F38" w:rsidRPr="004B0F38" w:rsidRDefault="004B0F38" w:rsidP="004B0F38">
      <w:pPr>
        <w:ind w:left="567" w:hanging="567"/>
        <w:rPr>
          <w:noProof/>
          <w:szCs w:val="22"/>
          <w:lang w:val="lv-LV"/>
        </w:rPr>
      </w:pPr>
      <w:r w:rsidRPr="004B0F38">
        <w:rPr>
          <w:noProof/>
          <w:szCs w:val="22"/>
          <w:lang w:val="lv-LV"/>
        </w:rPr>
        <w:t>Jankovcova 1569/2c, 170 00 Praha 7</w:t>
      </w:r>
    </w:p>
    <w:p w14:paraId="215C8C21" w14:textId="77777777" w:rsidR="004B0F38" w:rsidRPr="004B0F38" w:rsidRDefault="004B0F38" w:rsidP="004B0F38">
      <w:pPr>
        <w:ind w:left="567" w:hanging="567"/>
        <w:rPr>
          <w:noProof/>
          <w:szCs w:val="22"/>
          <w:lang w:val="lv-LV"/>
        </w:rPr>
      </w:pPr>
      <w:r w:rsidRPr="004B0F38">
        <w:rPr>
          <w:noProof/>
          <w:szCs w:val="22"/>
          <w:lang w:val="lv-LV"/>
        </w:rPr>
        <w:t>Čehija</w:t>
      </w:r>
    </w:p>
    <w:p w14:paraId="76788462" w14:textId="77777777" w:rsidR="00864B03" w:rsidRPr="00B5729E" w:rsidRDefault="00864B03" w:rsidP="00864B03">
      <w:pPr>
        <w:pStyle w:val="EMEABodyText"/>
        <w:rPr>
          <w:noProof/>
          <w:lang w:val="fi-FI"/>
        </w:rPr>
      </w:pPr>
    </w:p>
    <w:p w14:paraId="087B9EDD" w14:textId="77777777" w:rsidR="00864B03" w:rsidRPr="00B5729E" w:rsidRDefault="00864B03" w:rsidP="00864B03">
      <w:pPr>
        <w:pStyle w:val="EMEABodyText"/>
        <w:rPr>
          <w:noProof/>
          <w:lang w:val="fi-FI"/>
        </w:rPr>
      </w:pPr>
    </w:p>
    <w:p w14:paraId="098A301F" w14:textId="42F2E199" w:rsidR="00864B03" w:rsidRPr="00B5729E" w:rsidRDefault="00864B03" w:rsidP="00864B03">
      <w:pPr>
        <w:pStyle w:val="EMEAHeading1"/>
        <w:rPr>
          <w:noProof/>
          <w:lang w:val="fi-FI"/>
        </w:rPr>
      </w:pPr>
      <w:r w:rsidRPr="00B5729E">
        <w:rPr>
          <w:noProof/>
          <w:lang w:val="fi-FI"/>
        </w:rPr>
        <w:t>8.</w:t>
      </w:r>
      <w:r w:rsidRPr="00B5729E">
        <w:rPr>
          <w:noProof/>
          <w:lang w:val="fi-FI"/>
        </w:rPr>
        <w:tab/>
        <w:t xml:space="preserve">REĢISTRĀCIJAS </w:t>
      </w:r>
      <w:r w:rsidR="00791893">
        <w:rPr>
          <w:noProof/>
          <w:lang w:val="fi-FI"/>
        </w:rPr>
        <w:t xml:space="preserve">APLIECĪBAS </w:t>
      </w:r>
      <w:r w:rsidRPr="00B5729E">
        <w:rPr>
          <w:noProof/>
          <w:lang w:val="fi-FI"/>
        </w:rPr>
        <w:t>NUMURS</w:t>
      </w:r>
    </w:p>
    <w:p w14:paraId="1564D2B5" w14:textId="77777777" w:rsidR="00864B03" w:rsidRPr="00B5729E" w:rsidRDefault="00864B03" w:rsidP="00864B03">
      <w:pPr>
        <w:pStyle w:val="EMEABodyText"/>
        <w:rPr>
          <w:noProof/>
          <w:lang w:val="fi-FI"/>
        </w:rPr>
      </w:pPr>
    </w:p>
    <w:p w14:paraId="57F41B21" w14:textId="77777777" w:rsidR="00864B03" w:rsidRPr="00B5729E" w:rsidRDefault="00864B03" w:rsidP="00864B03">
      <w:pPr>
        <w:pStyle w:val="EMEABodyText"/>
        <w:rPr>
          <w:noProof/>
          <w:lang w:val="fi-FI"/>
        </w:rPr>
      </w:pPr>
      <w:r w:rsidRPr="00B5729E">
        <w:rPr>
          <w:noProof/>
          <w:lang w:val="fi-FI"/>
        </w:rPr>
        <w:t>03</w:t>
      </w:r>
      <w:r w:rsidRPr="00B5729E">
        <w:rPr>
          <w:noProof/>
          <w:lang w:val="fi-FI"/>
        </w:rPr>
        <w:noBreakHyphen/>
        <w:t>0033</w:t>
      </w:r>
    </w:p>
    <w:p w14:paraId="4AC1B5BA" w14:textId="77777777" w:rsidR="00864B03" w:rsidRPr="00B5729E" w:rsidRDefault="00864B03" w:rsidP="00864B03">
      <w:pPr>
        <w:pStyle w:val="EMEABodyText"/>
        <w:rPr>
          <w:noProof/>
          <w:lang w:val="fi-FI"/>
        </w:rPr>
      </w:pPr>
    </w:p>
    <w:p w14:paraId="04657A43" w14:textId="77777777" w:rsidR="00864B03" w:rsidRPr="00B5729E" w:rsidRDefault="00864B03" w:rsidP="00864B03">
      <w:pPr>
        <w:pStyle w:val="EMEABodyText"/>
        <w:rPr>
          <w:noProof/>
          <w:lang w:val="fi-FI"/>
        </w:rPr>
      </w:pPr>
    </w:p>
    <w:p w14:paraId="44102013" w14:textId="6478D271" w:rsidR="00864B03" w:rsidRPr="00B5729E" w:rsidRDefault="00864B03" w:rsidP="00864B03">
      <w:pPr>
        <w:pStyle w:val="EMEAHeading1"/>
        <w:rPr>
          <w:noProof/>
          <w:lang w:val="fi-FI"/>
        </w:rPr>
      </w:pPr>
      <w:r w:rsidRPr="00B5729E">
        <w:rPr>
          <w:noProof/>
          <w:lang w:val="fi-FI"/>
        </w:rPr>
        <w:t>9.</w:t>
      </w:r>
      <w:r w:rsidRPr="00B5729E">
        <w:rPr>
          <w:noProof/>
          <w:lang w:val="fi-FI"/>
        </w:rPr>
        <w:tab/>
      </w:r>
      <w:r w:rsidR="004B0F38">
        <w:rPr>
          <w:noProof/>
          <w:lang w:val="fi-FI"/>
        </w:rPr>
        <w:t xml:space="preserve">PIRMĀS </w:t>
      </w:r>
      <w:r w:rsidRPr="00B5729E">
        <w:rPr>
          <w:noProof/>
          <w:lang w:val="fi-FI"/>
        </w:rPr>
        <w:t>REĢISTRĀCIJAS/PĀRREĢISTRĀCIJAS DATUMS</w:t>
      </w:r>
    </w:p>
    <w:p w14:paraId="39AB5A89" w14:textId="77777777" w:rsidR="00864B03" w:rsidRPr="00B5729E" w:rsidRDefault="00864B03" w:rsidP="00864B03">
      <w:pPr>
        <w:pStyle w:val="EMEABodyText"/>
        <w:rPr>
          <w:noProof/>
          <w:lang w:val="fi-FI"/>
        </w:rPr>
      </w:pPr>
    </w:p>
    <w:p w14:paraId="7DBD073E" w14:textId="77777777" w:rsidR="004B0F38" w:rsidRDefault="004B0F38" w:rsidP="00864B03">
      <w:pPr>
        <w:pStyle w:val="EMEABodyText"/>
        <w:rPr>
          <w:noProof/>
          <w:lang w:val="fi-FI"/>
        </w:rPr>
      </w:pPr>
      <w:r w:rsidRPr="004B0F38">
        <w:rPr>
          <w:noProof/>
          <w:lang w:val="fi-FI"/>
        </w:rPr>
        <w:t xml:space="preserve">Reģistrācijas datums: </w:t>
      </w:r>
      <w:r w:rsidR="00864B03" w:rsidRPr="00B5729E">
        <w:rPr>
          <w:noProof/>
          <w:lang w:val="fi-FI"/>
        </w:rPr>
        <w:t xml:space="preserve">2003. gada 12. </w:t>
      </w:r>
      <w:r>
        <w:rPr>
          <w:noProof/>
          <w:lang w:val="fi-FI"/>
        </w:rPr>
        <w:t>f</w:t>
      </w:r>
      <w:r w:rsidR="00864B03" w:rsidRPr="00B5729E">
        <w:rPr>
          <w:noProof/>
          <w:lang w:val="fi-FI"/>
        </w:rPr>
        <w:t>ebruāris</w:t>
      </w:r>
    </w:p>
    <w:p w14:paraId="57CBCEAE" w14:textId="77777777" w:rsidR="00864B03" w:rsidRPr="00B5729E" w:rsidRDefault="004B0F38" w:rsidP="00864B03">
      <w:pPr>
        <w:pStyle w:val="EMEABodyText"/>
        <w:rPr>
          <w:noProof/>
          <w:lang w:val="fi-FI"/>
        </w:rPr>
      </w:pPr>
      <w:r w:rsidRPr="004B0F38">
        <w:rPr>
          <w:noProof/>
          <w:lang w:val="fi-FI"/>
        </w:rPr>
        <w:t>Pēdējās pārreģistrācijas datums:</w:t>
      </w:r>
      <w:r w:rsidR="00864B03" w:rsidRPr="00B5729E">
        <w:rPr>
          <w:noProof/>
          <w:lang w:val="fi-FI"/>
        </w:rPr>
        <w:t xml:space="preserve"> 2008.gada 14. jūlijs</w:t>
      </w:r>
    </w:p>
    <w:p w14:paraId="40C4DE79" w14:textId="77777777" w:rsidR="00864B03" w:rsidRPr="00B5729E" w:rsidRDefault="00864B03" w:rsidP="00864B03">
      <w:pPr>
        <w:pStyle w:val="EMEABodyText"/>
        <w:rPr>
          <w:noProof/>
          <w:lang w:val="fi-FI"/>
        </w:rPr>
      </w:pPr>
    </w:p>
    <w:p w14:paraId="5B97AC0F" w14:textId="77777777" w:rsidR="00864B03" w:rsidRPr="00B5729E" w:rsidRDefault="00864B03" w:rsidP="00864B03">
      <w:pPr>
        <w:pStyle w:val="EMEABodyText"/>
        <w:rPr>
          <w:noProof/>
          <w:lang w:val="fi-FI"/>
        </w:rPr>
      </w:pPr>
    </w:p>
    <w:p w14:paraId="64B0AF10" w14:textId="77777777" w:rsidR="00864B03" w:rsidRPr="008E7CEC" w:rsidRDefault="00864B03" w:rsidP="00864B03">
      <w:pPr>
        <w:pStyle w:val="EMEAHeading1"/>
        <w:rPr>
          <w:noProof/>
          <w:lang w:val="fi-FI"/>
        </w:rPr>
      </w:pPr>
      <w:r w:rsidRPr="008E7CEC">
        <w:rPr>
          <w:noProof/>
          <w:lang w:val="fi-FI"/>
        </w:rPr>
        <w:t>10.</w:t>
      </w:r>
      <w:r w:rsidRPr="008E7CEC">
        <w:rPr>
          <w:noProof/>
          <w:lang w:val="fi-FI"/>
        </w:rPr>
        <w:tab/>
        <w:t>TEKSTA PĀRSKATĪŠANAS DATUMS</w:t>
      </w:r>
    </w:p>
    <w:p w14:paraId="6938DD10" w14:textId="77777777" w:rsidR="00864B03" w:rsidRPr="008E7CEC" w:rsidRDefault="00864B03" w:rsidP="00864B03">
      <w:pPr>
        <w:pStyle w:val="EMEABodyText"/>
        <w:rPr>
          <w:noProof/>
          <w:lang w:val="fi-FI"/>
        </w:rPr>
      </w:pPr>
    </w:p>
    <w:p w14:paraId="4585B05D" w14:textId="552D43BD" w:rsidR="00864B03" w:rsidRPr="008E7CEC" w:rsidRDefault="00465E69" w:rsidP="00864B03">
      <w:pPr>
        <w:pStyle w:val="EMEABodyText"/>
        <w:rPr>
          <w:szCs w:val="24"/>
          <w:lang w:val="fi-FI"/>
        </w:rPr>
      </w:pPr>
      <w:r>
        <w:rPr>
          <w:noProof/>
          <w:lang w:val="fi-FI"/>
        </w:rPr>
        <w:t>0</w:t>
      </w:r>
      <w:r w:rsidR="00713AF1">
        <w:rPr>
          <w:noProof/>
          <w:lang w:val="fi-FI"/>
        </w:rPr>
        <w:t>3</w:t>
      </w:r>
      <w:r w:rsidR="00E924A6">
        <w:rPr>
          <w:noProof/>
          <w:lang w:val="fi-FI"/>
        </w:rPr>
        <w:t>/202</w:t>
      </w:r>
      <w:r w:rsidR="00713AF1">
        <w:rPr>
          <w:noProof/>
          <w:lang w:val="fi-FI"/>
        </w:rPr>
        <w:t>2</w:t>
      </w:r>
    </w:p>
    <w:p w14:paraId="34CBBBCC" w14:textId="77777777" w:rsidR="00A52E18" w:rsidRPr="008E7CEC" w:rsidRDefault="00A52E18">
      <w:pPr>
        <w:rPr>
          <w:lang w:val="fi-FI"/>
        </w:rPr>
      </w:pPr>
    </w:p>
    <w:sectPr w:rsidR="00A52E18" w:rsidRPr="008E7CEC" w:rsidSect="005E5493">
      <w:headerReference w:type="even" r:id="rId7"/>
      <w:headerReference w:type="default" r:id="rId8"/>
      <w:footerReference w:type="even" r:id="rId9"/>
      <w:footerReference w:type="default" r:id="rId10"/>
      <w:headerReference w:type="first" r:id="rId11"/>
      <w:footerReference w:type="first" r:id="rId12"/>
      <w:pgSz w:w="11907" w:h="16839" w:code="9"/>
      <w:pgMar w:top="1134" w:right="1418" w:bottom="1134" w:left="1418" w:header="737" w:footer="737"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E26A" w14:textId="77777777" w:rsidR="005E5493" w:rsidRDefault="005E5493">
      <w:r>
        <w:separator/>
      </w:r>
    </w:p>
  </w:endnote>
  <w:endnote w:type="continuationSeparator" w:id="0">
    <w:p w14:paraId="7DB83E2B" w14:textId="77777777" w:rsidR="005E5493" w:rsidRDefault="005E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wiss721TL-Roman">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AA7A" w14:textId="77777777" w:rsidR="005E5493" w:rsidRDefault="00D97823">
    <w:pPr>
      <w:pStyle w:val="Footer"/>
      <w:framePr w:wrap="around" w:vAnchor="text" w:hAnchor="margin" w:xAlign="center" w:y="1"/>
      <w:rPr>
        <w:rStyle w:val="PageNumber"/>
      </w:rPr>
    </w:pPr>
    <w:r>
      <w:rPr>
        <w:rStyle w:val="PageNumber"/>
      </w:rPr>
      <w:fldChar w:fldCharType="begin"/>
    </w:r>
    <w:r w:rsidR="005E5493">
      <w:rPr>
        <w:rStyle w:val="PageNumber"/>
      </w:rPr>
      <w:instrText xml:space="preserve">PAGE  </w:instrText>
    </w:r>
    <w:r>
      <w:rPr>
        <w:rStyle w:val="PageNumber"/>
      </w:rPr>
      <w:fldChar w:fldCharType="end"/>
    </w:r>
  </w:p>
  <w:p w14:paraId="06DBC6CB" w14:textId="77777777" w:rsidR="005E5493" w:rsidRDefault="005E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679738"/>
      <w:docPartObj>
        <w:docPartGallery w:val="Page Numbers (Bottom of Page)"/>
        <w:docPartUnique/>
      </w:docPartObj>
    </w:sdtPr>
    <w:sdtEndPr>
      <w:rPr>
        <w:noProof/>
      </w:rPr>
    </w:sdtEndPr>
    <w:sdtContent>
      <w:p w14:paraId="3BB1D0ED" w14:textId="77777777" w:rsidR="00AA1B4B" w:rsidRDefault="00AA1B4B">
        <w:pPr>
          <w:pStyle w:val="Footer"/>
          <w:jc w:val="center"/>
        </w:pPr>
        <w:r>
          <w:fldChar w:fldCharType="begin"/>
        </w:r>
        <w:r>
          <w:instrText xml:space="preserve"> PAGE   \* MERGEFORMAT </w:instrText>
        </w:r>
        <w:r>
          <w:fldChar w:fldCharType="separate"/>
        </w:r>
        <w:r w:rsidR="000E3A0D">
          <w:rPr>
            <w:noProof/>
          </w:rPr>
          <w:t>2</w:t>
        </w:r>
        <w:r>
          <w:rPr>
            <w:noProof/>
          </w:rPr>
          <w:fldChar w:fldCharType="end"/>
        </w:r>
      </w:p>
    </w:sdtContent>
  </w:sdt>
  <w:p w14:paraId="2FA8E8EB" w14:textId="3CCE1E98" w:rsidR="006B6245" w:rsidRDefault="006B6245" w:rsidP="000C6571">
    <w:pPr>
      <w:pStyle w:val="Footer"/>
      <w:jc w:val="right"/>
    </w:pPr>
  </w:p>
  <w:p w14:paraId="4A787227" w14:textId="29147BCB" w:rsidR="00713AF1" w:rsidRPr="00F737C7" w:rsidRDefault="00713AF1" w:rsidP="000C6571">
    <w:pPr>
      <w:pStyle w:val="Footer"/>
      <w:jc w:val="right"/>
      <w:rPr>
        <w:sz w:val="18"/>
        <w:szCs w:val="18"/>
      </w:rPr>
    </w:pPr>
    <w:r>
      <w:rPr>
        <w:sz w:val="18"/>
        <w:szCs w:val="18"/>
      </w:rPr>
      <w:t>Monozide</w:t>
    </w:r>
    <w:r w:rsidRPr="00713AF1">
      <w:rPr>
        <w:sz w:val="18"/>
        <w:szCs w:val="18"/>
      </w:rPr>
      <w:t>_SmPC_v01</w:t>
    </w:r>
    <w:r>
      <w:rPr>
        <w:sz w:val="18"/>
        <w:szCs w:val="18"/>
      </w:rPr>
      <w:t>8</w:t>
    </w:r>
    <w:r w:rsidRPr="00713AF1">
      <w:rPr>
        <w:sz w:val="18"/>
        <w:szCs w:val="18"/>
      </w:rPr>
      <w:t>_2</w:t>
    </w:r>
    <w:r>
      <w:rPr>
        <w:sz w:val="18"/>
        <w:szCs w:val="18"/>
      </w:rPr>
      <w:t>9</w:t>
    </w:r>
    <w:r w:rsidRPr="00713AF1">
      <w:rPr>
        <w:sz w:val="18"/>
        <w:szCs w:val="18"/>
      </w:rPr>
      <w:t>.11.2021</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677A" w14:textId="77777777" w:rsidR="003D1DAE" w:rsidRDefault="003D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D0D" w14:textId="77777777" w:rsidR="005E5493" w:rsidRDefault="005E5493">
      <w:r>
        <w:separator/>
      </w:r>
    </w:p>
  </w:footnote>
  <w:footnote w:type="continuationSeparator" w:id="0">
    <w:p w14:paraId="65B1F19A" w14:textId="77777777" w:rsidR="005E5493" w:rsidRDefault="005E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8F28" w14:textId="77777777" w:rsidR="003D1DAE" w:rsidRDefault="003D1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1DD" w14:textId="7F63CF6B" w:rsidR="005E5493" w:rsidRPr="002F2B25" w:rsidRDefault="003D1DAE" w:rsidP="006B6245">
    <w:pPr>
      <w:pStyle w:val="Header"/>
      <w:jc w:val="right"/>
      <w:rPr>
        <w:sz w:val="24"/>
        <w:lang w:val="en-US"/>
      </w:rPr>
    </w:pPr>
    <w:r>
      <w:rPr>
        <w:sz w:val="24"/>
        <w:lang w:val="en-US"/>
      </w:rPr>
      <w:t>SASKAŅOTS ZVA 01-03-2022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4D98" w14:textId="77777777" w:rsidR="003D1DAE" w:rsidRDefault="003D1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8E66849"/>
    <w:multiLevelType w:val="singleLevel"/>
    <w:tmpl w:val="AD04EE68"/>
    <w:lvl w:ilvl="0">
      <w:start w:val="1"/>
      <w:numFmt w:val="bullet"/>
      <w:pStyle w:val="EMEABodyTextInden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3"/>
    <w:rsid w:val="0002431B"/>
    <w:rsid w:val="00081F87"/>
    <w:rsid w:val="000C6571"/>
    <w:rsid w:val="000E3A0D"/>
    <w:rsid w:val="000F05DE"/>
    <w:rsid w:val="00102C41"/>
    <w:rsid w:val="00114BD4"/>
    <w:rsid w:val="0017222A"/>
    <w:rsid w:val="00205CF9"/>
    <w:rsid w:val="00206624"/>
    <w:rsid w:val="00294FBE"/>
    <w:rsid w:val="002C4BB9"/>
    <w:rsid w:val="002D01A9"/>
    <w:rsid w:val="002E57E2"/>
    <w:rsid w:val="002E5B86"/>
    <w:rsid w:val="002F2B25"/>
    <w:rsid w:val="0030526C"/>
    <w:rsid w:val="00373BCC"/>
    <w:rsid w:val="00390237"/>
    <w:rsid w:val="003C49E3"/>
    <w:rsid w:val="003D1026"/>
    <w:rsid w:val="003D1DAE"/>
    <w:rsid w:val="00450D00"/>
    <w:rsid w:val="00451495"/>
    <w:rsid w:val="00465E69"/>
    <w:rsid w:val="004702C0"/>
    <w:rsid w:val="00473AE5"/>
    <w:rsid w:val="00475E79"/>
    <w:rsid w:val="004A63EE"/>
    <w:rsid w:val="004B0F38"/>
    <w:rsid w:val="004D5D37"/>
    <w:rsid w:val="004F57E8"/>
    <w:rsid w:val="00526B41"/>
    <w:rsid w:val="00560BE9"/>
    <w:rsid w:val="005E29A4"/>
    <w:rsid w:val="005E5493"/>
    <w:rsid w:val="005F651A"/>
    <w:rsid w:val="006049E4"/>
    <w:rsid w:val="00614D5E"/>
    <w:rsid w:val="00614FC5"/>
    <w:rsid w:val="00631366"/>
    <w:rsid w:val="006630EA"/>
    <w:rsid w:val="00697635"/>
    <w:rsid w:val="006A66E3"/>
    <w:rsid w:val="006B6245"/>
    <w:rsid w:val="006C3BF5"/>
    <w:rsid w:val="006C7801"/>
    <w:rsid w:val="006D0A39"/>
    <w:rsid w:val="006F1825"/>
    <w:rsid w:val="00713AF1"/>
    <w:rsid w:val="007311EE"/>
    <w:rsid w:val="00791893"/>
    <w:rsid w:val="007932E4"/>
    <w:rsid w:val="007C7E91"/>
    <w:rsid w:val="007E2474"/>
    <w:rsid w:val="007E2F0D"/>
    <w:rsid w:val="007F5B88"/>
    <w:rsid w:val="007F6A16"/>
    <w:rsid w:val="00816310"/>
    <w:rsid w:val="00831F78"/>
    <w:rsid w:val="008474D4"/>
    <w:rsid w:val="00864B03"/>
    <w:rsid w:val="0087367F"/>
    <w:rsid w:val="008E7CEC"/>
    <w:rsid w:val="0091505D"/>
    <w:rsid w:val="00937A0F"/>
    <w:rsid w:val="00940DC1"/>
    <w:rsid w:val="009777D9"/>
    <w:rsid w:val="009A293B"/>
    <w:rsid w:val="009B0860"/>
    <w:rsid w:val="009D6CEF"/>
    <w:rsid w:val="00A01BB2"/>
    <w:rsid w:val="00A26756"/>
    <w:rsid w:val="00A32436"/>
    <w:rsid w:val="00A44340"/>
    <w:rsid w:val="00A5031B"/>
    <w:rsid w:val="00A52E18"/>
    <w:rsid w:val="00AA1B4B"/>
    <w:rsid w:val="00AA57DF"/>
    <w:rsid w:val="00AA7C44"/>
    <w:rsid w:val="00AB1791"/>
    <w:rsid w:val="00BB3789"/>
    <w:rsid w:val="00BB5FDC"/>
    <w:rsid w:val="00BD2A4C"/>
    <w:rsid w:val="00BE740A"/>
    <w:rsid w:val="00BF7023"/>
    <w:rsid w:val="00C4069C"/>
    <w:rsid w:val="00C81705"/>
    <w:rsid w:val="00C937F2"/>
    <w:rsid w:val="00CD69E0"/>
    <w:rsid w:val="00D04A41"/>
    <w:rsid w:val="00D679C6"/>
    <w:rsid w:val="00D75BF2"/>
    <w:rsid w:val="00D77112"/>
    <w:rsid w:val="00D84E7D"/>
    <w:rsid w:val="00D97823"/>
    <w:rsid w:val="00DA2D7A"/>
    <w:rsid w:val="00DA5DD4"/>
    <w:rsid w:val="00DE1BF7"/>
    <w:rsid w:val="00E20C6F"/>
    <w:rsid w:val="00E36591"/>
    <w:rsid w:val="00E45CAC"/>
    <w:rsid w:val="00E54D1B"/>
    <w:rsid w:val="00E924A6"/>
    <w:rsid w:val="00EA66F6"/>
    <w:rsid w:val="00EC0EB1"/>
    <w:rsid w:val="00ED15A9"/>
    <w:rsid w:val="00EE7353"/>
    <w:rsid w:val="00EE7A3C"/>
    <w:rsid w:val="00F432E0"/>
    <w:rsid w:val="00F737C7"/>
    <w:rsid w:val="00F8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E781A7"/>
  <w15:docId w15:val="{0440F5EE-6CA8-4034-AC3D-BC6E3469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03"/>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864B03"/>
    <w:pPr>
      <w:keepNext/>
      <w:keepLines/>
      <w:numPr>
        <w:numId w:val="1"/>
      </w:numPr>
      <w:spacing w:before="240" w:after="120"/>
      <w:outlineLvl w:val="0"/>
    </w:pPr>
    <w:rPr>
      <w:b/>
      <w:caps/>
    </w:rPr>
  </w:style>
  <w:style w:type="paragraph" w:styleId="Heading2">
    <w:name w:val="heading 2"/>
    <w:basedOn w:val="Normal"/>
    <w:next w:val="Normal"/>
    <w:link w:val="Heading2Char"/>
    <w:qFormat/>
    <w:rsid w:val="00864B03"/>
    <w:pPr>
      <w:keepNext/>
      <w:keepLines/>
      <w:numPr>
        <w:ilvl w:val="1"/>
        <w:numId w:val="1"/>
      </w:numPr>
      <w:spacing w:before="120" w:after="120"/>
      <w:outlineLvl w:val="1"/>
    </w:pPr>
    <w:rPr>
      <w:b/>
    </w:rPr>
  </w:style>
  <w:style w:type="paragraph" w:styleId="Heading3">
    <w:name w:val="heading 3"/>
    <w:basedOn w:val="Normal"/>
    <w:next w:val="Normal"/>
    <w:link w:val="Heading3Char"/>
    <w:qFormat/>
    <w:rsid w:val="00864B03"/>
    <w:pPr>
      <w:keepNext/>
      <w:numPr>
        <w:ilvl w:val="2"/>
        <w:numId w:val="1"/>
      </w:numPr>
      <w:spacing w:before="240" w:after="60"/>
      <w:outlineLvl w:val="2"/>
    </w:pPr>
    <w:rPr>
      <w:b/>
      <w:sz w:val="24"/>
    </w:rPr>
  </w:style>
  <w:style w:type="paragraph" w:styleId="Heading4">
    <w:name w:val="heading 4"/>
    <w:basedOn w:val="Normal"/>
    <w:next w:val="Normal"/>
    <w:link w:val="Heading4Char"/>
    <w:qFormat/>
    <w:rsid w:val="00864B03"/>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864B03"/>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864B03"/>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864B03"/>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864B03"/>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864B0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03"/>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864B03"/>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864B0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864B03"/>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864B03"/>
    <w:rPr>
      <w:rFonts w:ascii="Arial" w:eastAsia="Times New Roman" w:hAnsi="Arial" w:cs="Times New Roman"/>
      <w:szCs w:val="20"/>
      <w:lang w:val="en-GB"/>
    </w:rPr>
  </w:style>
  <w:style w:type="character" w:customStyle="1" w:styleId="Heading6Char">
    <w:name w:val="Heading 6 Char"/>
    <w:basedOn w:val="DefaultParagraphFont"/>
    <w:link w:val="Heading6"/>
    <w:rsid w:val="00864B03"/>
    <w:rPr>
      <w:rFonts w:ascii="Arial" w:eastAsia="Times New Roman" w:hAnsi="Arial" w:cs="Times New Roman"/>
      <w:i/>
      <w:szCs w:val="20"/>
      <w:lang w:val="en-GB"/>
    </w:rPr>
  </w:style>
  <w:style w:type="character" w:customStyle="1" w:styleId="Heading7Char">
    <w:name w:val="Heading 7 Char"/>
    <w:basedOn w:val="DefaultParagraphFont"/>
    <w:link w:val="Heading7"/>
    <w:rsid w:val="00864B03"/>
    <w:rPr>
      <w:rFonts w:ascii="Arial" w:eastAsia="Times New Roman" w:hAnsi="Arial" w:cs="Times New Roman"/>
      <w:szCs w:val="20"/>
      <w:lang w:val="en-GB"/>
    </w:rPr>
  </w:style>
  <w:style w:type="character" w:customStyle="1" w:styleId="Heading8Char">
    <w:name w:val="Heading 8 Char"/>
    <w:basedOn w:val="DefaultParagraphFont"/>
    <w:link w:val="Heading8"/>
    <w:rsid w:val="00864B03"/>
    <w:rPr>
      <w:rFonts w:ascii="Arial" w:eastAsia="Times New Roman" w:hAnsi="Arial" w:cs="Times New Roman"/>
      <w:i/>
      <w:szCs w:val="20"/>
      <w:lang w:val="en-GB"/>
    </w:rPr>
  </w:style>
  <w:style w:type="character" w:customStyle="1" w:styleId="Heading9Char">
    <w:name w:val="Heading 9 Char"/>
    <w:basedOn w:val="DefaultParagraphFont"/>
    <w:link w:val="Heading9"/>
    <w:rsid w:val="00864B03"/>
    <w:rPr>
      <w:rFonts w:ascii="Arial" w:eastAsia="Times New Roman" w:hAnsi="Arial" w:cs="Times New Roman"/>
      <w:i/>
      <w:sz w:val="18"/>
      <w:szCs w:val="20"/>
      <w:lang w:val="en-GB"/>
    </w:rPr>
  </w:style>
  <w:style w:type="paragraph" w:customStyle="1" w:styleId="EMEABodyTextIndent">
    <w:name w:val="EMEA Body Text Indent"/>
    <w:basedOn w:val="EMEABodyText"/>
    <w:next w:val="EMEABodyText"/>
    <w:rsid w:val="00864B03"/>
    <w:pPr>
      <w:numPr>
        <w:numId w:val="2"/>
      </w:numPr>
      <w:tabs>
        <w:tab w:val="clear" w:pos="360"/>
      </w:tabs>
      <w:ind w:left="567" w:hanging="567"/>
    </w:pPr>
  </w:style>
  <w:style w:type="paragraph" w:customStyle="1" w:styleId="EMEABodyText">
    <w:name w:val="EMEA Body Text"/>
    <w:basedOn w:val="Normal"/>
    <w:link w:val="EMEABodyTextChar"/>
    <w:rsid w:val="00864B03"/>
  </w:style>
  <w:style w:type="paragraph" w:customStyle="1" w:styleId="EMEAHeading1">
    <w:name w:val="EMEA Heading 1"/>
    <w:basedOn w:val="EMEABodyText"/>
    <w:next w:val="EMEABodyText"/>
    <w:rsid w:val="00864B03"/>
    <w:pPr>
      <w:keepNext/>
      <w:keepLines/>
      <w:ind w:left="567" w:hanging="567"/>
      <w:outlineLvl w:val="0"/>
    </w:pPr>
    <w:rPr>
      <w:b/>
      <w:caps/>
    </w:rPr>
  </w:style>
  <w:style w:type="paragraph" w:customStyle="1" w:styleId="EMEAHeading2">
    <w:name w:val="EMEA Heading 2"/>
    <w:basedOn w:val="EMEABodyText"/>
    <w:next w:val="EMEABodyText"/>
    <w:rsid w:val="00864B03"/>
    <w:pPr>
      <w:keepNext/>
      <w:keepLines/>
      <w:ind w:left="567" w:hanging="567"/>
      <w:outlineLvl w:val="1"/>
    </w:pPr>
    <w:rPr>
      <w:b/>
    </w:rPr>
  </w:style>
  <w:style w:type="paragraph" w:styleId="Header">
    <w:name w:val="header"/>
    <w:basedOn w:val="Normal"/>
    <w:link w:val="HeaderChar"/>
    <w:uiPriority w:val="99"/>
    <w:rsid w:val="00864B03"/>
    <w:pPr>
      <w:tabs>
        <w:tab w:val="center" w:pos="4320"/>
        <w:tab w:val="right" w:pos="8640"/>
      </w:tabs>
    </w:pPr>
  </w:style>
  <w:style w:type="character" w:customStyle="1" w:styleId="HeaderChar">
    <w:name w:val="Header Char"/>
    <w:basedOn w:val="DefaultParagraphFont"/>
    <w:link w:val="Header"/>
    <w:uiPriority w:val="99"/>
    <w:rsid w:val="00864B03"/>
    <w:rPr>
      <w:rFonts w:ascii="Times New Roman" w:eastAsia="Times New Roman" w:hAnsi="Times New Roman" w:cs="Times New Roman"/>
      <w:szCs w:val="20"/>
      <w:lang w:val="en-GB"/>
    </w:rPr>
  </w:style>
  <w:style w:type="paragraph" w:styleId="Footer">
    <w:name w:val="footer"/>
    <w:basedOn w:val="Normal"/>
    <w:link w:val="FooterChar"/>
    <w:uiPriority w:val="99"/>
    <w:rsid w:val="00864B03"/>
    <w:pPr>
      <w:tabs>
        <w:tab w:val="center" w:pos="4320"/>
        <w:tab w:val="right" w:pos="8640"/>
      </w:tabs>
    </w:pPr>
  </w:style>
  <w:style w:type="character" w:customStyle="1" w:styleId="FooterChar">
    <w:name w:val="Footer Char"/>
    <w:basedOn w:val="DefaultParagraphFont"/>
    <w:link w:val="Footer"/>
    <w:uiPriority w:val="99"/>
    <w:rsid w:val="00864B03"/>
    <w:rPr>
      <w:rFonts w:ascii="Times New Roman" w:eastAsia="Times New Roman" w:hAnsi="Times New Roman" w:cs="Times New Roman"/>
      <w:szCs w:val="20"/>
      <w:lang w:val="en-GB"/>
    </w:rPr>
  </w:style>
  <w:style w:type="character" w:styleId="PageNumber">
    <w:name w:val="page number"/>
    <w:basedOn w:val="DefaultParagraphFont"/>
    <w:rsid w:val="00864B03"/>
  </w:style>
  <w:style w:type="character" w:customStyle="1" w:styleId="EMEABodyTextChar">
    <w:name w:val="EMEA Body Text Char"/>
    <w:link w:val="EMEABodyText"/>
    <w:rsid w:val="00864B03"/>
    <w:rPr>
      <w:rFonts w:ascii="Times New Roman" w:eastAsia="Times New Roman" w:hAnsi="Times New Roman" w:cs="Times New Roman"/>
      <w:szCs w:val="20"/>
      <w:lang w:val="en-GB"/>
    </w:rPr>
  </w:style>
  <w:style w:type="paragraph" w:styleId="BodyTextIndent2">
    <w:name w:val="Body Text Indent 2"/>
    <w:basedOn w:val="Normal"/>
    <w:link w:val="BodyTextIndent2Char"/>
    <w:rsid w:val="00864B03"/>
    <w:pPr>
      <w:ind w:left="360"/>
      <w:jc w:val="both"/>
    </w:pPr>
    <w:rPr>
      <w:sz w:val="28"/>
      <w:szCs w:val="24"/>
    </w:rPr>
  </w:style>
  <w:style w:type="character" w:customStyle="1" w:styleId="BodyTextIndent2Char">
    <w:name w:val="Body Text Indent 2 Char"/>
    <w:basedOn w:val="DefaultParagraphFont"/>
    <w:link w:val="BodyTextIndent2"/>
    <w:rsid w:val="00864B03"/>
    <w:rPr>
      <w:rFonts w:ascii="Times New Roman" w:eastAsia="Times New Roman" w:hAnsi="Times New Roman" w:cs="Times New Roman"/>
      <w:sz w:val="28"/>
      <w:szCs w:val="24"/>
      <w:lang w:val="en-GB"/>
    </w:rPr>
  </w:style>
  <w:style w:type="paragraph" w:styleId="BodyTextIndent3">
    <w:name w:val="Body Text Indent 3"/>
    <w:basedOn w:val="Normal"/>
    <w:link w:val="BodyTextIndent3Char"/>
    <w:rsid w:val="00864B03"/>
    <w:pPr>
      <w:spacing w:after="120"/>
      <w:ind w:left="283"/>
    </w:pPr>
    <w:rPr>
      <w:sz w:val="16"/>
      <w:szCs w:val="16"/>
    </w:rPr>
  </w:style>
  <w:style w:type="character" w:customStyle="1" w:styleId="BodyTextIndent3Char">
    <w:name w:val="Body Text Indent 3 Char"/>
    <w:basedOn w:val="DefaultParagraphFont"/>
    <w:link w:val="BodyTextIndent3"/>
    <w:rsid w:val="00864B03"/>
    <w:rPr>
      <w:rFonts w:ascii="Times New Roman" w:eastAsia="Times New Roman" w:hAnsi="Times New Roman" w:cs="Times New Roman"/>
      <w:sz w:val="16"/>
      <w:szCs w:val="16"/>
      <w:lang w:val="en-GB"/>
    </w:rPr>
  </w:style>
  <w:style w:type="paragraph" w:styleId="BalloonText">
    <w:name w:val="Balloon Text"/>
    <w:basedOn w:val="Normal"/>
    <w:link w:val="BalloonTextChar"/>
    <w:uiPriority w:val="99"/>
    <w:semiHidden/>
    <w:unhideWhenUsed/>
    <w:rsid w:val="007F5B88"/>
    <w:rPr>
      <w:rFonts w:ascii="Tahoma" w:hAnsi="Tahoma" w:cs="Tahoma"/>
      <w:sz w:val="16"/>
      <w:szCs w:val="16"/>
    </w:rPr>
  </w:style>
  <w:style w:type="character" w:customStyle="1" w:styleId="BalloonTextChar">
    <w:name w:val="Balloon Text Char"/>
    <w:basedOn w:val="DefaultParagraphFont"/>
    <w:link w:val="BalloonText"/>
    <w:uiPriority w:val="99"/>
    <w:semiHidden/>
    <w:rsid w:val="007F5B88"/>
    <w:rPr>
      <w:rFonts w:ascii="Tahoma" w:eastAsia="Times New Roman" w:hAnsi="Tahoma" w:cs="Tahoma"/>
      <w:sz w:val="16"/>
      <w:szCs w:val="16"/>
      <w:lang w:val="en-GB"/>
    </w:rPr>
  </w:style>
  <w:style w:type="paragraph" w:styleId="Revision">
    <w:name w:val="Revision"/>
    <w:hidden/>
    <w:uiPriority w:val="99"/>
    <w:semiHidden/>
    <w:rsid w:val="00205CF9"/>
    <w:pPr>
      <w:spacing w:after="0" w:line="240" w:lineRule="auto"/>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6D0A39"/>
    <w:rPr>
      <w:sz w:val="16"/>
      <w:szCs w:val="16"/>
    </w:rPr>
  </w:style>
  <w:style w:type="paragraph" w:styleId="CommentText">
    <w:name w:val="annotation text"/>
    <w:basedOn w:val="Normal"/>
    <w:link w:val="CommentTextChar"/>
    <w:unhideWhenUsed/>
    <w:rsid w:val="006D0A39"/>
    <w:rPr>
      <w:sz w:val="20"/>
    </w:rPr>
  </w:style>
  <w:style w:type="character" w:customStyle="1" w:styleId="CommentTextChar">
    <w:name w:val="Comment Text Char"/>
    <w:basedOn w:val="DefaultParagraphFont"/>
    <w:link w:val="CommentText"/>
    <w:rsid w:val="006D0A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0A39"/>
    <w:rPr>
      <w:b/>
      <w:bCs/>
    </w:rPr>
  </w:style>
  <w:style w:type="character" w:customStyle="1" w:styleId="CommentSubjectChar">
    <w:name w:val="Comment Subject Char"/>
    <w:basedOn w:val="CommentTextChar"/>
    <w:link w:val="CommentSubject"/>
    <w:uiPriority w:val="99"/>
    <w:semiHidden/>
    <w:rsid w:val="006D0A39"/>
    <w:rPr>
      <w:rFonts w:ascii="Times New Roman" w:eastAsia="Times New Roman" w:hAnsi="Times New Roman" w:cs="Times New Roman"/>
      <w:b/>
      <w:bCs/>
      <w:sz w:val="20"/>
      <w:szCs w:val="20"/>
      <w:lang w:val="en-GB"/>
    </w:rPr>
  </w:style>
  <w:style w:type="character" w:styleId="Hyperlink">
    <w:name w:val="Hyperlink"/>
    <w:rsid w:val="006D0A39"/>
    <w:rPr>
      <w:color w:val="0000FF"/>
      <w:u w:val="single"/>
    </w:rPr>
  </w:style>
  <w:style w:type="character" w:styleId="FollowedHyperlink">
    <w:name w:val="FollowedHyperlink"/>
    <w:basedOn w:val="DefaultParagraphFont"/>
    <w:uiPriority w:val="99"/>
    <w:semiHidden/>
    <w:unhideWhenUsed/>
    <w:rsid w:val="006D0A39"/>
    <w:rPr>
      <w:color w:val="800080" w:themeColor="followedHyperlink"/>
      <w:u w:val="single"/>
    </w:rPr>
  </w:style>
  <w:style w:type="paragraph" w:customStyle="1" w:styleId="Default">
    <w:name w:val="Default"/>
    <w:rsid w:val="00AA1B4B"/>
    <w:pPr>
      <w:autoSpaceDE w:val="0"/>
      <w:autoSpaceDN w:val="0"/>
      <w:adjustRightInd w:val="0"/>
      <w:spacing w:after="0" w:line="240" w:lineRule="auto"/>
    </w:pPr>
    <w:rPr>
      <w:rFonts w:ascii="Verdana" w:hAnsi="Verdana" w:cs="Verdana"/>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1951">
      <w:bodyDiv w:val="1"/>
      <w:marLeft w:val="0"/>
      <w:marRight w:val="0"/>
      <w:marTop w:val="0"/>
      <w:marBottom w:val="0"/>
      <w:divBdr>
        <w:top w:val="none" w:sz="0" w:space="0" w:color="auto"/>
        <w:left w:val="none" w:sz="0" w:space="0" w:color="auto"/>
        <w:bottom w:val="none" w:sz="0" w:space="0" w:color="auto"/>
        <w:right w:val="none" w:sz="0" w:space="0" w:color="auto"/>
      </w:divBdr>
    </w:div>
    <w:div w:id="19497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25749</Words>
  <Characters>14678</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PharmaSwiss</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Sveikate, Vija</dc:creator>
  <cp:lastModifiedBy>Skaidrīte Lapsenīte</cp:lastModifiedBy>
  <cp:revision>5</cp:revision>
  <dcterms:created xsi:type="dcterms:W3CDTF">2021-12-15T10:57:00Z</dcterms:created>
  <dcterms:modified xsi:type="dcterms:W3CDTF">2022-02-25T07:46:00Z</dcterms:modified>
</cp:coreProperties>
</file>