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7D" w:rsidRPr="00D14DCC" w:rsidRDefault="008B317D" w:rsidP="008B317D">
      <w:pPr>
        <w:jc w:val="center"/>
        <w:rPr>
          <w:rFonts w:ascii="Times New Roman Bold" w:hAnsi="Times New Roman Bold"/>
          <w:b/>
          <w:caps/>
          <w:sz w:val="22"/>
          <w:szCs w:val="22"/>
        </w:rPr>
      </w:pPr>
      <w:r w:rsidRPr="00D14DCC">
        <w:rPr>
          <w:rFonts w:ascii="Times New Roman Bold" w:hAnsi="Times New Roman Bold"/>
          <w:b/>
          <w:caps/>
          <w:sz w:val="22"/>
          <w:szCs w:val="22"/>
        </w:rPr>
        <w:t>Zāļu apraksts</w:t>
      </w:r>
    </w:p>
    <w:p w:rsidR="008B317D" w:rsidRPr="00D14DCC" w:rsidRDefault="008B317D" w:rsidP="008B317D">
      <w:pPr>
        <w:rPr>
          <w:sz w:val="22"/>
          <w:szCs w:val="22"/>
        </w:rPr>
      </w:pPr>
    </w:p>
    <w:p w:rsidR="008B317D" w:rsidRPr="00D14DCC" w:rsidRDefault="008B317D" w:rsidP="008B317D">
      <w:pPr>
        <w:rPr>
          <w:sz w:val="22"/>
          <w:szCs w:val="22"/>
        </w:rPr>
      </w:pPr>
    </w:p>
    <w:p w:rsidR="008B317D" w:rsidRPr="00D14DCC" w:rsidRDefault="008B317D" w:rsidP="008B317D">
      <w:pPr>
        <w:numPr>
          <w:ilvl w:val="0"/>
          <w:numId w:val="1"/>
        </w:numPr>
        <w:tabs>
          <w:tab w:val="clear" w:pos="1080"/>
          <w:tab w:val="num" w:pos="540"/>
        </w:tabs>
        <w:ind w:left="540" w:hanging="540"/>
        <w:rPr>
          <w:rFonts w:ascii="Times New Roman Bold" w:hAnsi="Times New Roman Bold"/>
          <w:b/>
          <w:caps/>
          <w:sz w:val="22"/>
          <w:szCs w:val="22"/>
        </w:rPr>
      </w:pPr>
      <w:r w:rsidRPr="00D14DCC">
        <w:rPr>
          <w:rFonts w:ascii="Times New Roman Bold" w:hAnsi="Times New Roman Bold"/>
          <w:b/>
          <w:caps/>
          <w:sz w:val="22"/>
          <w:szCs w:val="22"/>
        </w:rPr>
        <w:t>Zāļu nosaukums</w:t>
      </w:r>
    </w:p>
    <w:p w:rsidR="008B317D" w:rsidRPr="00D14DCC" w:rsidRDefault="008B317D" w:rsidP="008B317D">
      <w:pPr>
        <w:rPr>
          <w:sz w:val="22"/>
          <w:szCs w:val="22"/>
        </w:rPr>
      </w:pPr>
    </w:p>
    <w:p w:rsidR="008B317D" w:rsidRPr="00D14DCC" w:rsidRDefault="008B317D" w:rsidP="008B317D">
      <w:pPr>
        <w:rPr>
          <w:sz w:val="22"/>
          <w:szCs w:val="22"/>
        </w:rPr>
      </w:pPr>
      <w:r w:rsidRPr="00D14DCC">
        <w:rPr>
          <w:sz w:val="22"/>
          <w:szCs w:val="22"/>
        </w:rPr>
        <w:t xml:space="preserve">Deep Heat </w:t>
      </w:r>
      <w:r>
        <w:rPr>
          <w:sz w:val="22"/>
          <w:szCs w:val="22"/>
        </w:rPr>
        <w:t xml:space="preserve">Rub </w:t>
      </w:r>
      <w:r w:rsidRPr="00D14DCC">
        <w:rPr>
          <w:sz w:val="22"/>
          <w:szCs w:val="22"/>
        </w:rPr>
        <w:t>krēms</w:t>
      </w:r>
    </w:p>
    <w:p w:rsidR="008B317D" w:rsidRPr="00D14DCC" w:rsidRDefault="008B317D" w:rsidP="008B317D">
      <w:pPr>
        <w:rPr>
          <w:sz w:val="22"/>
          <w:szCs w:val="22"/>
        </w:rPr>
      </w:pPr>
    </w:p>
    <w:p w:rsidR="008B317D" w:rsidRPr="00D14DCC" w:rsidRDefault="008B317D" w:rsidP="008B317D">
      <w:pPr>
        <w:rPr>
          <w:sz w:val="22"/>
          <w:szCs w:val="22"/>
        </w:rPr>
      </w:pPr>
    </w:p>
    <w:p w:rsidR="008B317D" w:rsidRPr="00D14DCC" w:rsidRDefault="008B317D" w:rsidP="008B317D">
      <w:pPr>
        <w:numPr>
          <w:ilvl w:val="0"/>
          <w:numId w:val="1"/>
        </w:numPr>
        <w:tabs>
          <w:tab w:val="clear" w:pos="1080"/>
          <w:tab w:val="num" w:pos="540"/>
        </w:tabs>
        <w:ind w:left="540" w:hanging="540"/>
        <w:rPr>
          <w:rFonts w:ascii="Times New Roman Bold" w:hAnsi="Times New Roman Bold"/>
          <w:b/>
          <w:caps/>
          <w:sz w:val="22"/>
          <w:szCs w:val="22"/>
        </w:rPr>
      </w:pPr>
      <w:r w:rsidRPr="00D14DCC">
        <w:rPr>
          <w:rFonts w:ascii="Times New Roman Bold" w:hAnsi="Times New Roman Bold"/>
          <w:b/>
          <w:caps/>
          <w:sz w:val="22"/>
          <w:szCs w:val="22"/>
        </w:rPr>
        <w:t>Kvalitatīvais un kvantitatīvais sastāvs</w:t>
      </w:r>
    </w:p>
    <w:p w:rsidR="008B317D" w:rsidRPr="00D14DCC" w:rsidRDefault="008B317D" w:rsidP="008B317D">
      <w:pPr>
        <w:rPr>
          <w:sz w:val="22"/>
          <w:szCs w:val="22"/>
        </w:rPr>
      </w:pPr>
    </w:p>
    <w:p w:rsidR="008B317D" w:rsidRPr="00D14DCC" w:rsidRDefault="008B317D" w:rsidP="008B317D">
      <w:pPr>
        <w:rPr>
          <w:sz w:val="22"/>
          <w:szCs w:val="22"/>
        </w:rPr>
      </w:pPr>
      <w:r w:rsidRPr="00D14DCC">
        <w:rPr>
          <w:sz w:val="22"/>
          <w:szCs w:val="22"/>
        </w:rPr>
        <w:t>1 g krēma satur</w:t>
      </w:r>
      <w:r>
        <w:rPr>
          <w:sz w:val="22"/>
          <w:szCs w:val="22"/>
        </w:rPr>
        <w:t xml:space="preserve"> 128 mg m</w:t>
      </w:r>
      <w:r w:rsidRPr="00D14DCC">
        <w:rPr>
          <w:sz w:val="22"/>
          <w:szCs w:val="22"/>
        </w:rPr>
        <w:t>etilsalicilāt</w:t>
      </w:r>
      <w:r>
        <w:rPr>
          <w:sz w:val="22"/>
          <w:szCs w:val="22"/>
        </w:rPr>
        <w:t>a</w:t>
      </w:r>
      <w:r w:rsidRPr="00D14DCC">
        <w:rPr>
          <w:sz w:val="22"/>
          <w:szCs w:val="22"/>
        </w:rPr>
        <w:t xml:space="preserve"> </w:t>
      </w:r>
      <w:r w:rsidRPr="00D14DCC">
        <w:rPr>
          <w:i/>
          <w:sz w:val="22"/>
          <w:szCs w:val="22"/>
        </w:rPr>
        <w:t>(Methyl</w:t>
      </w:r>
      <w:r>
        <w:rPr>
          <w:i/>
          <w:sz w:val="22"/>
          <w:szCs w:val="22"/>
        </w:rPr>
        <w:t xml:space="preserve">is </w:t>
      </w:r>
      <w:r w:rsidRPr="00D14DCC">
        <w:rPr>
          <w:i/>
          <w:sz w:val="22"/>
          <w:szCs w:val="22"/>
        </w:rPr>
        <w:t>salicyla</w:t>
      </w:r>
      <w:r>
        <w:rPr>
          <w:i/>
          <w:sz w:val="22"/>
          <w:szCs w:val="22"/>
        </w:rPr>
        <w:t>s</w:t>
      </w:r>
      <w:r w:rsidRPr="00D14DCC">
        <w:rPr>
          <w:i/>
          <w:sz w:val="22"/>
          <w:szCs w:val="22"/>
        </w:rPr>
        <w:t>)</w:t>
      </w:r>
      <w:r>
        <w:rPr>
          <w:i/>
          <w:sz w:val="22"/>
          <w:szCs w:val="22"/>
        </w:rPr>
        <w:t xml:space="preserve">, </w:t>
      </w:r>
      <w:r>
        <w:rPr>
          <w:sz w:val="22"/>
          <w:szCs w:val="22"/>
        </w:rPr>
        <w:t>59,1 mg</w:t>
      </w:r>
      <w:r w:rsidRPr="00D14DCC">
        <w:rPr>
          <w:sz w:val="22"/>
          <w:szCs w:val="22"/>
        </w:rPr>
        <w:t xml:space="preserve"> </w:t>
      </w:r>
      <w:r>
        <w:rPr>
          <w:sz w:val="22"/>
          <w:szCs w:val="22"/>
        </w:rPr>
        <w:t xml:space="preserve">racēmiskā mentola </w:t>
      </w:r>
      <w:r w:rsidRPr="00D14DCC">
        <w:rPr>
          <w:i/>
          <w:sz w:val="22"/>
          <w:szCs w:val="22"/>
        </w:rPr>
        <w:t>(</w:t>
      </w:r>
      <w:r w:rsidR="009F64EE">
        <w:rPr>
          <w:i/>
          <w:sz w:val="22"/>
          <w:szCs w:val="22"/>
        </w:rPr>
        <w:t>Racementholum</w:t>
      </w:r>
      <w:r w:rsidRPr="00D14DCC">
        <w:rPr>
          <w:i/>
          <w:sz w:val="22"/>
          <w:szCs w:val="22"/>
        </w:rPr>
        <w:t>)</w:t>
      </w:r>
      <w:r>
        <w:rPr>
          <w:i/>
          <w:sz w:val="22"/>
          <w:szCs w:val="22"/>
        </w:rPr>
        <w:t>,</w:t>
      </w:r>
      <w:r w:rsidRPr="00521A07">
        <w:rPr>
          <w:sz w:val="22"/>
          <w:szCs w:val="22"/>
        </w:rPr>
        <w:t xml:space="preserve"> 19,7 mg</w:t>
      </w:r>
      <w:r w:rsidRPr="00D14DCC">
        <w:rPr>
          <w:sz w:val="22"/>
          <w:szCs w:val="22"/>
        </w:rPr>
        <w:t xml:space="preserve"> </w:t>
      </w:r>
      <w:r>
        <w:rPr>
          <w:sz w:val="22"/>
          <w:szCs w:val="22"/>
        </w:rPr>
        <w:t>e</w:t>
      </w:r>
      <w:r w:rsidRPr="00D14DCC">
        <w:rPr>
          <w:sz w:val="22"/>
          <w:szCs w:val="22"/>
        </w:rPr>
        <w:t>ikalipt</w:t>
      </w:r>
      <w:r>
        <w:rPr>
          <w:sz w:val="22"/>
          <w:szCs w:val="22"/>
        </w:rPr>
        <w:t>u</w:t>
      </w:r>
      <w:r w:rsidRPr="00D14DCC">
        <w:rPr>
          <w:sz w:val="22"/>
          <w:szCs w:val="22"/>
        </w:rPr>
        <w:t xml:space="preserve"> </w:t>
      </w:r>
      <w:r>
        <w:rPr>
          <w:sz w:val="22"/>
          <w:szCs w:val="22"/>
        </w:rPr>
        <w:t xml:space="preserve">ēteriskās </w:t>
      </w:r>
      <w:r w:rsidRPr="00D14DCC">
        <w:rPr>
          <w:sz w:val="22"/>
          <w:szCs w:val="22"/>
        </w:rPr>
        <w:t>eļļa</w:t>
      </w:r>
      <w:r>
        <w:rPr>
          <w:sz w:val="22"/>
          <w:szCs w:val="22"/>
        </w:rPr>
        <w:t>s</w:t>
      </w:r>
      <w:r w:rsidRPr="00D14DCC">
        <w:rPr>
          <w:sz w:val="22"/>
          <w:szCs w:val="22"/>
        </w:rPr>
        <w:t xml:space="preserve"> </w:t>
      </w:r>
      <w:r w:rsidRPr="00D14DCC">
        <w:rPr>
          <w:i/>
          <w:sz w:val="22"/>
          <w:szCs w:val="22"/>
        </w:rPr>
        <w:t>(Eucalypti</w:t>
      </w:r>
      <w:r>
        <w:rPr>
          <w:i/>
          <w:sz w:val="22"/>
          <w:szCs w:val="22"/>
        </w:rPr>
        <w:t xml:space="preserve"> aetheroleum</w:t>
      </w:r>
      <w:r w:rsidRPr="00D14DCC">
        <w:rPr>
          <w:i/>
          <w:sz w:val="22"/>
          <w:szCs w:val="22"/>
        </w:rPr>
        <w:t>)</w:t>
      </w:r>
      <w:r w:rsidRPr="00D14DCC">
        <w:rPr>
          <w:sz w:val="22"/>
          <w:szCs w:val="22"/>
        </w:rPr>
        <w:t xml:space="preserve"> </w:t>
      </w:r>
      <w:r>
        <w:rPr>
          <w:sz w:val="22"/>
          <w:szCs w:val="22"/>
        </w:rPr>
        <w:t>un 14,7 mg t</w:t>
      </w:r>
      <w:r w:rsidRPr="00D14DCC">
        <w:rPr>
          <w:sz w:val="22"/>
          <w:szCs w:val="22"/>
        </w:rPr>
        <w:t>erpentīna eļļa</w:t>
      </w:r>
      <w:r>
        <w:rPr>
          <w:sz w:val="22"/>
          <w:szCs w:val="22"/>
        </w:rPr>
        <w:t>s</w:t>
      </w:r>
      <w:r w:rsidRPr="00D14DCC">
        <w:rPr>
          <w:sz w:val="22"/>
          <w:szCs w:val="22"/>
        </w:rPr>
        <w:t xml:space="preserve"> </w:t>
      </w:r>
      <w:r w:rsidRPr="00D14DCC">
        <w:rPr>
          <w:i/>
          <w:sz w:val="22"/>
          <w:szCs w:val="22"/>
        </w:rPr>
        <w:t>(Terebinthine</w:t>
      </w:r>
      <w:r>
        <w:rPr>
          <w:i/>
          <w:sz w:val="22"/>
          <w:szCs w:val="22"/>
        </w:rPr>
        <w:t xml:space="preserve"> aetheroleum</w:t>
      </w:r>
      <w:r w:rsidRPr="00D14DCC">
        <w:rPr>
          <w:i/>
          <w:sz w:val="22"/>
          <w:szCs w:val="22"/>
        </w:rPr>
        <w:t>)</w:t>
      </w:r>
      <w:r>
        <w:rPr>
          <w:i/>
          <w:sz w:val="22"/>
          <w:szCs w:val="22"/>
        </w:rPr>
        <w:t xml:space="preserve">. </w:t>
      </w:r>
    </w:p>
    <w:p w:rsidR="008B317D" w:rsidRPr="00D14DCC" w:rsidRDefault="008B317D" w:rsidP="008B317D">
      <w:pPr>
        <w:rPr>
          <w:sz w:val="22"/>
          <w:szCs w:val="22"/>
        </w:rPr>
      </w:pPr>
      <w:r w:rsidRPr="00D14DCC">
        <w:rPr>
          <w:sz w:val="22"/>
          <w:szCs w:val="22"/>
        </w:rPr>
        <w:t xml:space="preserve">                   </w:t>
      </w:r>
    </w:p>
    <w:p w:rsidR="008B317D" w:rsidRPr="00D14DCC" w:rsidRDefault="008B317D" w:rsidP="008B317D">
      <w:pPr>
        <w:rPr>
          <w:sz w:val="22"/>
          <w:szCs w:val="22"/>
        </w:rPr>
      </w:pPr>
      <w:r w:rsidRPr="00D14DCC">
        <w:rPr>
          <w:sz w:val="22"/>
          <w:szCs w:val="22"/>
        </w:rPr>
        <w:t>Pilnu palīgvielu sarakstu skatīt 6.1</w:t>
      </w:r>
      <w:r>
        <w:rPr>
          <w:sz w:val="22"/>
          <w:szCs w:val="22"/>
        </w:rPr>
        <w:t xml:space="preserve">. </w:t>
      </w:r>
      <w:r w:rsidRPr="00D14DCC">
        <w:rPr>
          <w:sz w:val="22"/>
          <w:szCs w:val="22"/>
        </w:rPr>
        <w:t>apakšpunktā</w:t>
      </w:r>
      <w:r>
        <w:rPr>
          <w:sz w:val="22"/>
          <w:szCs w:val="22"/>
        </w:rPr>
        <w:t>.</w:t>
      </w:r>
      <w:r w:rsidRPr="00D14DCC">
        <w:rPr>
          <w:sz w:val="22"/>
          <w:szCs w:val="22"/>
        </w:rPr>
        <w:t xml:space="preserve"> </w:t>
      </w:r>
    </w:p>
    <w:p w:rsidR="008B317D" w:rsidRDefault="008B317D" w:rsidP="008B317D">
      <w:pPr>
        <w:rPr>
          <w:sz w:val="22"/>
          <w:szCs w:val="22"/>
        </w:rPr>
      </w:pPr>
    </w:p>
    <w:p w:rsidR="008B317D" w:rsidRPr="00D14DCC" w:rsidRDefault="008B317D" w:rsidP="008B317D">
      <w:pPr>
        <w:rPr>
          <w:sz w:val="22"/>
          <w:szCs w:val="22"/>
        </w:rPr>
      </w:pPr>
    </w:p>
    <w:p w:rsidR="008B317D" w:rsidRPr="00D14DCC" w:rsidRDefault="008B317D" w:rsidP="008B317D">
      <w:pPr>
        <w:numPr>
          <w:ilvl w:val="0"/>
          <w:numId w:val="1"/>
        </w:numPr>
        <w:tabs>
          <w:tab w:val="clear" w:pos="1080"/>
          <w:tab w:val="num" w:pos="540"/>
        </w:tabs>
        <w:ind w:left="540" w:hanging="540"/>
        <w:rPr>
          <w:rFonts w:ascii="Times New Roman Bold" w:hAnsi="Times New Roman Bold"/>
          <w:b/>
          <w:caps/>
          <w:sz w:val="22"/>
          <w:szCs w:val="22"/>
        </w:rPr>
      </w:pPr>
      <w:r w:rsidRPr="00D14DCC">
        <w:rPr>
          <w:rFonts w:ascii="Times New Roman Bold" w:hAnsi="Times New Roman Bold"/>
          <w:b/>
          <w:caps/>
          <w:sz w:val="22"/>
          <w:szCs w:val="22"/>
        </w:rPr>
        <w:t>Zāļu forma</w:t>
      </w:r>
    </w:p>
    <w:p w:rsidR="008B317D" w:rsidRPr="00D14DCC" w:rsidRDefault="008B317D" w:rsidP="008B317D">
      <w:pPr>
        <w:rPr>
          <w:rFonts w:ascii="Times New Roman Bold" w:hAnsi="Times New Roman Bold"/>
          <w:b/>
          <w:caps/>
          <w:sz w:val="22"/>
          <w:szCs w:val="22"/>
        </w:rPr>
      </w:pPr>
    </w:p>
    <w:p w:rsidR="008B317D" w:rsidRPr="00D14DCC" w:rsidRDefault="008B317D" w:rsidP="008B317D">
      <w:pPr>
        <w:rPr>
          <w:sz w:val="22"/>
          <w:szCs w:val="22"/>
        </w:rPr>
      </w:pPr>
      <w:r>
        <w:rPr>
          <w:sz w:val="22"/>
          <w:szCs w:val="22"/>
        </w:rPr>
        <w:t>Kr</w:t>
      </w:r>
      <w:r w:rsidRPr="00D14DCC">
        <w:rPr>
          <w:sz w:val="22"/>
          <w:szCs w:val="22"/>
        </w:rPr>
        <w:t>ēms.</w:t>
      </w:r>
    </w:p>
    <w:p w:rsidR="008B317D" w:rsidRDefault="008B317D" w:rsidP="008B317D">
      <w:pPr>
        <w:rPr>
          <w:sz w:val="22"/>
          <w:szCs w:val="22"/>
        </w:rPr>
      </w:pPr>
      <w:r>
        <w:rPr>
          <w:sz w:val="22"/>
          <w:szCs w:val="22"/>
        </w:rPr>
        <w:t>Balts krēms ar mentola un metilsalicilāta smaržu.</w:t>
      </w:r>
    </w:p>
    <w:p w:rsidR="008B317D" w:rsidRDefault="008B317D" w:rsidP="008B317D">
      <w:pPr>
        <w:rPr>
          <w:sz w:val="22"/>
          <w:szCs w:val="22"/>
        </w:rPr>
      </w:pPr>
    </w:p>
    <w:p w:rsidR="008B317D" w:rsidRPr="00D14DCC" w:rsidRDefault="008B317D" w:rsidP="008B317D">
      <w:pPr>
        <w:rPr>
          <w:sz w:val="22"/>
          <w:szCs w:val="22"/>
        </w:rPr>
      </w:pPr>
    </w:p>
    <w:p w:rsidR="008B317D" w:rsidRDefault="008B317D" w:rsidP="008B317D">
      <w:pPr>
        <w:numPr>
          <w:ilvl w:val="0"/>
          <w:numId w:val="1"/>
        </w:numPr>
        <w:tabs>
          <w:tab w:val="clear" w:pos="1080"/>
          <w:tab w:val="num" w:pos="540"/>
        </w:tabs>
        <w:ind w:left="540" w:hanging="540"/>
        <w:rPr>
          <w:rFonts w:ascii="Times New Roman Bold" w:hAnsi="Times New Roman Bold"/>
          <w:b/>
          <w:caps/>
          <w:sz w:val="22"/>
          <w:szCs w:val="22"/>
        </w:rPr>
      </w:pPr>
      <w:r w:rsidRPr="00D14DCC">
        <w:rPr>
          <w:rFonts w:ascii="Times New Roman Bold" w:hAnsi="Times New Roman Bold"/>
          <w:b/>
          <w:caps/>
          <w:sz w:val="22"/>
          <w:szCs w:val="22"/>
        </w:rPr>
        <w:t>Klīniskā informācija</w:t>
      </w:r>
    </w:p>
    <w:p w:rsidR="008B317D" w:rsidRPr="00D14DCC" w:rsidRDefault="008B317D" w:rsidP="008B317D">
      <w:pPr>
        <w:rPr>
          <w:rFonts w:ascii="Times New Roman Bold" w:hAnsi="Times New Roman Bold"/>
          <w:b/>
          <w:caps/>
          <w:sz w:val="22"/>
          <w:szCs w:val="22"/>
        </w:rPr>
      </w:pPr>
    </w:p>
    <w:p w:rsidR="008B317D" w:rsidRPr="004C695D" w:rsidRDefault="008B317D" w:rsidP="008B317D">
      <w:pPr>
        <w:tabs>
          <w:tab w:val="num" w:pos="900"/>
        </w:tabs>
        <w:rPr>
          <w:b/>
          <w:sz w:val="22"/>
          <w:szCs w:val="22"/>
        </w:rPr>
      </w:pPr>
      <w:r>
        <w:rPr>
          <w:b/>
          <w:sz w:val="22"/>
          <w:szCs w:val="22"/>
        </w:rPr>
        <w:t>4.1.</w:t>
      </w:r>
      <w:r>
        <w:rPr>
          <w:b/>
          <w:sz w:val="22"/>
          <w:szCs w:val="22"/>
        </w:rPr>
        <w:tab/>
      </w:r>
      <w:r w:rsidRPr="004C695D">
        <w:rPr>
          <w:b/>
          <w:sz w:val="22"/>
          <w:szCs w:val="22"/>
        </w:rPr>
        <w:t>Terapeitiskās indikācijas</w:t>
      </w:r>
    </w:p>
    <w:p w:rsidR="008B317D" w:rsidRDefault="008B317D" w:rsidP="008B317D">
      <w:pPr>
        <w:rPr>
          <w:sz w:val="22"/>
          <w:szCs w:val="22"/>
        </w:rPr>
      </w:pPr>
      <w:r w:rsidRPr="00D14DCC">
        <w:rPr>
          <w:sz w:val="22"/>
          <w:szCs w:val="22"/>
        </w:rPr>
        <w:tab/>
      </w:r>
    </w:p>
    <w:p w:rsidR="008B317D" w:rsidRDefault="008B317D" w:rsidP="008B317D">
      <w:pPr>
        <w:rPr>
          <w:sz w:val="22"/>
          <w:szCs w:val="22"/>
        </w:rPr>
      </w:pPr>
      <w:r w:rsidRPr="00736A3B">
        <w:rPr>
          <w:sz w:val="22"/>
          <w:szCs w:val="22"/>
        </w:rPr>
        <w:t>Ārīg</w:t>
      </w:r>
      <w:r>
        <w:rPr>
          <w:sz w:val="22"/>
          <w:szCs w:val="22"/>
        </w:rPr>
        <w:t>ai lietošanai locītavu, muskuļu</w:t>
      </w:r>
      <w:r w:rsidRPr="00736A3B">
        <w:rPr>
          <w:sz w:val="22"/>
          <w:szCs w:val="22"/>
        </w:rPr>
        <w:t xml:space="preserve"> un nervu sāpju atvieglošanai pieaugušiem un bērniem</w:t>
      </w:r>
      <w:r>
        <w:rPr>
          <w:sz w:val="22"/>
          <w:szCs w:val="22"/>
        </w:rPr>
        <w:t xml:space="preserve"> vecumā no 5 gadiem.</w:t>
      </w:r>
    </w:p>
    <w:p w:rsidR="008B317D" w:rsidRPr="00D14DCC" w:rsidRDefault="008B317D" w:rsidP="008B317D">
      <w:pPr>
        <w:rPr>
          <w:sz w:val="22"/>
          <w:szCs w:val="22"/>
        </w:rPr>
      </w:pPr>
      <w:r w:rsidRPr="00D14DCC">
        <w:rPr>
          <w:sz w:val="22"/>
          <w:szCs w:val="22"/>
        </w:rPr>
        <w:t xml:space="preserve">                 </w:t>
      </w:r>
      <w:r w:rsidRPr="00D14DCC">
        <w:rPr>
          <w:sz w:val="22"/>
          <w:szCs w:val="22"/>
        </w:rPr>
        <w:tab/>
      </w:r>
    </w:p>
    <w:p w:rsidR="008B317D" w:rsidRPr="004C695D" w:rsidRDefault="008B317D" w:rsidP="008B317D">
      <w:pPr>
        <w:rPr>
          <w:b/>
          <w:sz w:val="22"/>
          <w:szCs w:val="22"/>
        </w:rPr>
      </w:pPr>
      <w:r>
        <w:rPr>
          <w:b/>
          <w:sz w:val="22"/>
          <w:szCs w:val="22"/>
        </w:rPr>
        <w:t>4.2.</w:t>
      </w:r>
      <w:r>
        <w:rPr>
          <w:b/>
          <w:sz w:val="22"/>
          <w:szCs w:val="22"/>
        </w:rPr>
        <w:tab/>
      </w:r>
      <w:r w:rsidRPr="004C695D">
        <w:rPr>
          <w:b/>
          <w:sz w:val="22"/>
          <w:szCs w:val="22"/>
        </w:rPr>
        <w:t>Devas un lietošanas veids</w:t>
      </w:r>
    </w:p>
    <w:p w:rsidR="008B317D" w:rsidRDefault="008B317D" w:rsidP="008B317D">
      <w:pPr>
        <w:rPr>
          <w:sz w:val="22"/>
          <w:szCs w:val="22"/>
        </w:rPr>
      </w:pPr>
    </w:p>
    <w:p w:rsidR="008B317D" w:rsidRDefault="008B317D" w:rsidP="008B317D">
      <w:pPr>
        <w:rPr>
          <w:sz w:val="22"/>
          <w:szCs w:val="22"/>
          <w:u w:val="single"/>
        </w:rPr>
      </w:pPr>
      <w:r w:rsidRPr="00E23039">
        <w:rPr>
          <w:sz w:val="22"/>
          <w:szCs w:val="22"/>
          <w:u w:val="single"/>
        </w:rPr>
        <w:t>Devas</w:t>
      </w:r>
    </w:p>
    <w:p w:rsidR="008B317D" w:rsidRDefault="008B317D" w:rsidP="008B317D">
      <w:pPr>
        <w:rPr>
          <w:sz w:val="22"/>
          <w:szCs w:val="22"/>
        </w:rPr>
      </w:pPr>
      <w:r w:rsidRPr="00E23039">
        <w:rPr>
          <w:sz w:val="22"/>
          <w:szCs w:val="22"/>
        </w:rPr>
        <w:t>P</w:t>
      </w:r>
      <w:r>
        <w:rPr>
          <w:sz w:val="22"/>
          <w:szCs w:val="22"/>
        </w:rPr>
        <w:t>aredzēts lietošanai p</w:t>
      </w:r>
      <w:r w:rsidRPr="00E23039">
        <w:rPr>
          <w:sz w:val="22"/>
          <w:szCs w:val="22"/>
        </w:rPr>
        <w:t xml:space="preserve">ieaugušajiem, gados vecākiem </w:t>
      </w:r>
      <w:r>
        <w:rPr>
          <w:sz w:val="22"/>
          <w:szCs w:val="22"/>
        </w:rPr>
        <w:t>cilvēk</w:t>
      </w:r>
      <w:r w:rsidRPr="00E23039">
        <w:rPr>
          <w:sz w:val="22"/>
          <w:szCs w:val="22"/>
        </w:rPr>
        <w:t>iem un bērniem, kas vecāki par 5 gadiem</w:t>
      </w:r>
      <w:r>
        <w:rPr>
          <w:sz w:val="22"/>
          <w:szCs w:val="22"/>
        </w:rPr>
        <w:t>.</w:t>
      </w:r>
    </w:p>
    <w:p w:rsidR="008B317D" w:rsidRPr="00E23039" w:rsidRDefault="009F64EE" w:rsidP="008B317D">
      <w:pPr>
        <w:rPr>
          <w:sz w:val="22"/>
          <w:szCs w:val="22"/>
        </w:rPr>
      </w:pPr>
      <w:r>
        <w:rPr>
          <w:b/>
          <w:sz w:val="22"/>
          <w:szCs w:val="22"/>
        </w:rPr>
        <w:t>Nedrīkst lietot</w:t>
      </w:r>
      <w:r w:rsidR="008B317D">
        <w:rPr>
          <w:sz w:val="22"/>
          <w:szCs w:val="22"/>
        </w:rPr>
        <w:t xml:space="preserve"> bērniem vecumā līdz 5 gadiem.</w:t>
      </w:r>
    </w:p>
    <w:p w:rsidR="008B317D" w:rsidRDefault="008B317D" w:rsidP="008B317D">
      <w:pPr>
        <w:rPr>
          <w:sz w:val="22"/>
          <w:szCs w:val="22"/>
        </w:rPr>
      </w:pPr>
    </w:p>
    <w:p w:rsidR="008B317D" w:rsidRPr="00E23039" w:rsidRDefault="008B317D" w:rsidP="008B317D">
      <w:pPr>
        <w:rPr>
          <w:sz w:val="22"/>
          <w:szCs w:val="22"/>
          <w:u w:val="single"/>
        </w:rPr>
      </w:pPr>
      <w:r w:rsidRPr="00E23039">
        <w:rPr>
          <w:sz w:val="22"/>
          <w:szCs w:val="22"/>
          <w:u w:val="single"/>
        </w:rPr>
        <w:t>Lietošanas veids</w:t>
      </w:r>
    </w:p>
    <w:p w:rsidR="008B317D" w:rsidRDefault="008B317D" w:rsidP="008B317D">
      <w:pPr>
        <w:rPr>
          <w:sz w:val="22"/>
          <w:szCs w:val="22"/>
        </w:rPr>
      </w:pPr>
      <w:r>
        <w:rPr>
          <w:sz w:val="22"/>
          <w:szCs w:val="22"/>
        </w:rPr>
        <w:t>Lietošanai uz ādas.</w:t>
      </w:r>
    </w:p>
    <w:p w:rsidR="008B317D" w:rsidRDefault="009F64EE" w:rsidP="008B317D">
      <w:pPr>
        <w:rPr>
          <w:sz w:val="22"/>
          <w:szCs w:val="22"/>
        </w:rPr>
      </w:pPr>
      <w:r>
        <w:rPr>
          <w:sz w:val="22"/>
          <w:szCs w:val="22"/>
        </w:rPr>
        <w:t>U</w:t>
      </w:r>
      <w:r w:rsidR="008B317D" w:rsidRPr="008E7B05">
        <w:rPr>
          <w:sz w:val="22"/>
          <w:szCs w:val="22"/>
        </w:rPr>
        <w:t>zklāt</w:t>
      </w:r>
      <w:r w:rsidR="008B317D">
        <w:rPr>
          <w:sz w:val="22"/>
          <w:szCs w:val="22"/>
        </w:rPr>
        <w:t xml:space="preserve"> </w:t>
      </w:r>
      <w:r w:rsidR="008B317D" w:rsidRPr="008E7B05">
        <w:rPr>
          <w:sz w:val="22"/>
          <w:szCs w:val="22"/>
        </w:rPr>
        <w:t>plānu k</w:t>
      </w:r>
      <w:r w:rsidR="008B317D">
        <w:rPr>
          <w:sz w:val="22"/>
          <w:szCs w:val="22"/>
        </w:rPr>
        <w:t>ār</w:t>
      </w:r>
      <w:r w:rsidR="008B317D" w:rsidRPr="008E7B05">
        <w:rPr>
          <w:sz w:val="22"/>
          <w:szCs w:val="22"/>
        </w:rPr>
        <w:t xml:space="preserve">tu skartajam apvidum un </w:t>
      </w:r>
      <w:r w:rsidR="008B317D">
        <w:rPr>
          <w:sz w:val="22"/>
          <w:szCs w:val="22"/>
        </w:rPr>
        <w:t>m</w:t>
      </w:r>
      <w:r w:rsidR="008B317D" w:rsidRPr="00D14DCC">
        <w:rPr>
          <w:sz w:val="22"/>
          <w:szCs w:val="22"/>
        </w:rPr>
        <w:t xml:space="preserve">aigi iemasēt </w:t>
      </w:r>
      <w:r w:rsidR="008B317D">
        <w:rPr>
          <w:sz w:val="22"/>
          <w:szCs w:val="22"/>
        </w:rPr>
        <w:t xml:space="preserve">to </w:t>
      </w:r>
      <w:r w:rsidR="008B317D" w:rsidRPr="00D14DCC">
        <w:rPr>
          <w:sz w:val="22"/>
          <w:szCs w:val="22"/>
        </w:rPr>
        <w:t>2-3 reizes dienā</w:t>
      </w:r>
      <w:r w:rsidR="008B317D">
        <w:rPr>
          <w:sz w:val="22"/>
          <w:szCs w:val="22"/>
        </w:rPr>
        <w:t xml:space="preserve"> (var lietot gan pirms, gan pēc slodzes)</w:t>
      </w:r>
      <w:r w:rsidR="008B317D" w:rsidRPr="00D14DCC">
        <w:rPr>
          <w:sz w:val="22"/>
          <w:szCs w:val="22"/>
        </w:rPr>
        <w:t>.</w:t>
      </w:r>
    </w:p>
    <w:p w:rsidR="009F64EE" w:rsidRPr="00D14DCC" w:rsidRDefault="009F64EE" w:rsidP="008B317D">
      <w:pPr>
        <w:rPr>
          <w:sz w:val="22"/>
          <w:szCs w:val="22"/>
        </w:rPr>
      </w:pPr>
      <w:r>
        <w:rPr>
          <w:sz w:val="22"/>
          <w:szCs w:val="22"/>
        </w:rPr>
        <w:t>Tikai ārīgai lietošanai.</w:t>
      </w:r>
    </w:p>
    <w:p w:rsidR="008B317D" w:rsidRDefault="008B317D" w:rsidP="008B317D">
      <w:pPr>
        <w:rPr>
          <w:sz w:val="22"/>
          <w:szCs w:val="22"/>
        </w:rPr>
      </w:pPr>
    </w:p>
    <w:p w:rsidR="008B317D" w:rsidRPr="004C695D" w:rsidRDefault="008B317D" w:rsidP="008B317D">
      <w:pPr>
        <w:rPr>
          <w:b/>
          <w:sz w:val="22"/>
          <w:szCs w:val="22"/>
        </w:rPr>
      </w:pPr>
      <w:r>
        <w:rPr>
          <w:b/>
          <w:sz w:val="22"/>
          <w:szCs w:val="22"/>
        </w:rPr>
        <w:t>4.3.</w:t>
      </w:r>
      <w:r>
        <w:rPr>
          <w:b/>
          <w:sz w:val="22"/>
          <w:szCs w:val="22"/>
        </w:rPr>
        <w:tab/>
      </w:r>
      <w:r w:rsidRPr="004C695D">
        <w:rPr>
          <w:b/>
          <w:sz w:val="22"/>
          <w:szCs w:val="22"/>
        </w:rPr>
        <w:t>Kontrindikācijas</w:t>
      </w:r>
    </w:p>
    <w:p w:rsidR="008B317D" w:rsidRDefault="008B317D" w:rsidP="008B317D">
      <w:pPr>
        <w:rPr>
          <w:sz w:val="22"/>
          <w:szCs w:val="22"/>
        </w:rPr>
      </w:pPr>
      <w:r w:rsidRPr="00D14DCC">
        <w:rPr>
          <w:sz w:val="22"/>
          <w:szCs w:val="22"/>
        </w:rPr>
        <w:tab/>
      </w:r>
    </w:p>
    <w:p w:rsidR="008B317D" w:rsidRPr="00D14DCC" w:rsidRDefault="008B317D" w:rsidP="008B317D">
      <w:pPr>
        <w:rPr>
          <w:sz w:val="22"/>
          <w:szCs w:val="22"/>
        </w:rPr>
      </w:pPr>
      <w:r w:rsidRPr="00D21369">
        <w:rPr>
          <w:sz w:val="22"/>
          <w:szCs w:val="22"/>
        </w:rPr>
        <w:t>Paaugstināta jutība pret aktīvo(-</w:t>
      </w:r>
      <w:r w:rsidR="009F64EE">
        <w:rPr>
          <w:sz w:val="22"/>
          <w:szCs w:val="22"/>
        </w:rPr>
        <w:t>a</w:t>
      </w:r>
      <w:r w:rsidRPr="00D21369">
        <w:rPr>
          <w:sz w:val="22"/>
          <w:szCs w:val="22"/>
        </w:rPr>
        <w:t>jām) vielu(-ām) vai jebkuru no 6.1. apakšpunktā uzskaitītajām palīgvielām</w:t>
      </w:r>
      <w:r w:rsidRPr="00D14DCC">
        <w:rPr>
          <w:sz w:val="22"/>
          <w:szCs w:val="22"/>
        </w:rPr>
        <w:t>.</w:t>
      </w:r>
    </w:p>
    <w:p w:rsidR="008B317D" w:rsidRPr="00D14DCC" w:rsidRDefault="008B317D" w:rsidP="008B317D">
      <w:pPr>
        <w:rPr>
          <w:sz w:val="22"/>
          <w:szCs w:val="22"/>
        </w:rPr>
      </w:pPr>
      <w:r w:rsidRPr="00D14DCC">
        <w:rPr>
          <w:sz w:val="22"/>
          <w:szCs w:val="22"/>
        </w:rPr>
        <w:t xml:space="preserve">Paaugstināta jutība pret </w:t>
      </w:r>
      <w:r>
        <w:rPr>
          <w:sz w:val="22"/>
          <w:szCs w:val="22"/>
        </w:rPr>
        <w:t>acetilsalicilskābi</w:t>
      </w:r>
      <w:r w:rsidRPr="00D14DCC">
        <w:rPr>
          <w:sz w:val="22"/>
          <w:szCs w:val="22"/>
        </w:rPr>
        <w:t xml:space="preserve">, ibuprofēnu vai kādu citu nesteroīdo pretiekaisuma līdzekli (arī </w:t>
      </w:r>
      <w:r>
        <w:rPr>
          <w:sz w:val="22"/>
          <w:szCs w:val="22"/>
        </w:rPr>
        <w:t>iekšķīgi</w:t>
      </w:r>
      <w:r w:rsidRPr="00D14DCC">
        <w:rPr>
          <w:sz w:val="22"/>
          <w:szCs w:val="22"/>
        </w:rPr>
        <w:t xml:space="preserve"> lietojot)</w:t>
      </w:r>
      <w:r>
        <w:rPr>
          <w:sz w:val="22"/>
          <w:szCs w:val="22"/>
        </w:rPr>
        <w:t>, jo īpaši, ja ir bijusi bronhiālā astma anamnēzē.</w:t>
      </w:r>
      <w:r w:rsidRPr="00D14DCC">
        <w:rPr>
          <w:sz w:val="22"/>
          <w:szCs w:val="22"/>
        </w:rPr>
        <w:t xml:space="preserve">            </w:t>
      </w:r>
    </w:p>
    <w:p w:rsidR="008B317D" w:rsidRDefault="008B317D" w:rsidP="008B317D">
      <w:pPr>
        <w:rPr>
          <w:rFonts w:ascii="TimesNewRomanPSMT" w:hAnsi="TimesNewRomanPSMT" w:cs="TimesNewRomanPSMT"/>
          <w:sz w:val="21"/>
          <w:szCs w:val="21"/>
          <w:lang w:eastAsia="lv-LV"/>
        </w:rPr>
      </w:pPr>
      <w:r>
        <w:rPr>
          <w:rFonts w:ascii="TimesNewRomanPSMT" w:hAnsi="TimesNewRomanPSMT" w:cs="TimesNewRomanPSMT"/>
          <w:sz w:val="21"/>
          <w:szCs w:val="21"/>
          <w:lang w:eastAsia="lv-LV"/>
        </w:rPr>
        <w:t>Bērniem, kas jaunāki par 5 gadiem.</w:t>
      </w:r>
    </w:p>
    <w:p w:rsidR="008B317D" w:rsidRDefault="008B317D" w:rsidP="008B317D">
      <w:pPr>
        <w:rPr>
          <w:sz w:val="22"/>
          <w:szCs w:val="22"/>
        </w:rPr>
      </w:pPr>
    </w:p>
    <w:p w:rsidR="008B317D" w:rsidRPr="001F401F" w:rsidRDefault="008B317D" w:rsidP="008B317D">
      <w:pPr>
        <w:rPr>
          <w:b/>
          <w:sz w:val="22"/>
          <w:szCs w:val="22"/>
        </w:rPr>
      </w:pPr>
      <w:r>
        <w:rPr>
          <w:b/>
          <w:sz w:val="22"/>
          <w:szCs w:val="22"/>
        </w:rPr>
        <w:t>4.4.</w:t>
      </w:r>
      <w:r>
        <w:rPr>
          <w:b/>
          <w:sz w:val="22"/>
          <w:szCs w:val="22"/>
        </w:rPr>
        <w:tab/>
      </w:r>
      <w:r w:rsidRPr="001F401F">
        <w:rPr>
          <w:b/>
          <w:sz w:val="22"/>
          <w:szCs w:val="22"/>
        </w:rPr>
        <w:t>Īpaši brīdinājumi un piesardzība lietošanā</w:t>
      </w:r>
    </w:p>
    <w:p w:rsidR="008B317D" w:rsidRDefault="008B317D" w:rsidP="008B317D">
      <w:pPr>
        <w:rPr>
          <w:sz w:val="22"/>
          <w:szCs w:val="22"/>
        </w:rPr>
      </w:pPr>
    </w:p>
    <w:p w:rsidR="008B317D" w:rsidRPr="00E23039" w:rsidRDefault="008B317D" w:rsidP="008B317D">
      <w:pPr>
        <w:rPr>
          <w:sz w:val="22"/>
          <w:szCs w:val="22"/>
          <w:u w:val="single"/>
        </w:rPr>
      </w:pPr>
      <w:r w:rsidRPr="00E23039">
        <w:rPr>
          <w:sz w:val="22"/>
          <w:szCs w:val="22"/>
          <w:u w:val="single"/>
        </w:rPr>
        <w:t>Pediatriskā populācija</w:t>
      </w:r>
    </w:p>
    <w:p w:rsidR="008B317D" w:rsidRDefault="008B317D" w:rsidP="008B317D">
      <w:pPr>
        <w:rPr>
          <w:sz w:val="22"/>
          <w:szCs w:val="22"/>
        </w:rPr>
      </w:pPr>
      <w:r w:rsidRPr="00F0290A">
        <w:rPr>
          <w:sz w:val="22"/>
          <w:szCs w:val="22"/>
        </w:rPr>
        <w:t>Deep Heat Rub</w:t>
      </w:r>
      <w:r>
        <w:rPr>
          <w:sz w:val="22"/>
          <w:szCs w:val="22"/>
        </w:rPr>
        <w:t xml:space="preserve"> nav paredzēts lietošanai bērniem vecumā līdz 5 gadiem.</w:t>
      </w:r>
    </w:p>
    <w:p w:rsidR="009F64EE" w:rsidRDefault="009F64EE" w:rsidP="008B317D">
      <w:pPr>
        <w:rPr>
          <w:sz w:val="22"/>
          <w:szCs w:val="22"/>
        </w:rPr>
      </w:pPr>
    </w:p>
    <w:p w:rsidR="008B317D" w:rsidRDefault="008B317D" w:rsidP="008B317D">
      <w:pPr>
        <w:rPr>
          <w:sz w:val="22"/>
          <w:szCs w:val="22"/>
        </w:rPr>
      </w:pPr>
      <w:r>
        <w:rPr>
          <w:sz w:val="22"/>
          <w:szCs w:val="22"/>
        </w:rPr>
        <w:t>Grūtniecība un zīdīšanas periods – jāizvairās no lietošanas, ja vien nav būtiski nepieciešams (skatīt 4.6. apakšpunkt</w:t>
      </w:r>
      <w:r w:rsidR="00873FD0">
        <w:rPr>
          <w:sz w:val="22"/>
          <w:szCs w:val="22"/>
        </w:rPr>
        <w:t>u</w:t>
      </w:r>
      <w:r>
        <w:rPr>
          <w:sz w:val="22"/>
          <w:szCs w:val="22"/>
        </w:rPr>
        <w:t>).</w:t>
      </w:r>
    </w:p>
    <w:p w:rsidR="008B317D" w:rsidRDefault="008B317D" w:rsidP="008B317D">
      <w:pPr>
        <w:rPr>
          <w:sz w:val="22"/>
          <w:szCs w:val="22"/>
        </w:rPr>
      </w:pPr>
    </w:p>
    <w:p w:rsidR="008B317D" w:rsidRDefault="008B317D" w:rsidP="008B317D">
      <w:pPr>
        <w:rPr>
          <w:sz w:val="22"/>
          <w:szCs w:val="22"/>
        </w:rPr>
      </w:pPr>
      <w:r>
        <w:rPr>
          <w:sz w:val="22"/>
          <w:szCs w:val="22"/>
        </w:rPr>
        <w:t>Astma – jāievēro piesardzība, jo salicilāti astmas pacientiem var izraisīt bronhospazmas (skatīt 4.3. apakšpunkt</w:t>
      </w:r>
      <w:r w:rsidR="00873FD0">
        <w:rPr>
          <w:sz w:val="22"/>
          <w:szCs w:val="22"/>
        </w:rPr>
        <w:t>u</w:t>
      </w:r>
      <w:r>
        <w:rPr>
          <w:sz w:val="22"/>
          <w:szCs w:val="22"/>
        </w:rPr>
        <w:t>).</w:t>
      </w:r>
    </w:p>
    <w:p w:rsidR="008B317D" w:rsidRDefault="008B317D" w:rsidP="008B317D">
      <w:pPr>
        <w:rPr>
          <w:sz w:val="22"/>
          <w:szCs w:val="22"/>
        </w:rPr>
      </w:pPr>
    </w:p>
    <w:p w:rsidR="008B317D" w:rsidRPr="00D14DCC" w:rsidRDefault="008B317D" w:rsidP="008B317D">
      <w:pPr>
        <w:rPr>
          <w:sz w:val="22"/>
          <w:szCs w:val="22"/>
        </w:rPr>
      </w:pPr>
      <w:r>
        <w:rPr>
          <w:sz w:val="22"/>
          <w:szCs w:val="22"/>
        </w:rPr>
        <w:t xml:space="preserve">Tikai lietošanai uz veselas ādas.  Nedrīkst uzklāt </w:t>
      </w:r>
      <w:r w:rsidRPr="00F0290A">
        <w:rPr>
          <w:sz w:val="22"/>
          <w:szCs w:val="22"/>
        </w:rPr>
        <w:t>uz bojātas vai iekaisušas ādas</w:t>
      </w:r>
      <w:r>
        <w:rPr>
          <w:sz w:val="22"/>
          <w:szCs w:val="22"/>
        </w:rPr>
        <w:t>.</w:t>
      </w:r>
      <w:r w:rsidRPr="00F0290A" w:rsidDel="00F0290A">
        <w:rPr>
          <w:sz w:val="22"/>
          <w:szCs w:val="22"/>
        </w:rPr>
        <w:t xml:space="preserve"> </w:t>
      </w:r>
    </w:p>
    <w:p w:rsidR="008B317D" w:rsidRPr="00D14DCC" w:rsidRDefault="008B317D" w:rsidP="008B317D">
      <w:pPr>
        <w:rPr>
          <w:sz w:val="22"/>
          <w:szCs w:val="22"/>
        </w:rPr>
      </w:pPr>
      <w:r>
        <w:rPr>
          <w:sz w:val="22"/>
          <w:szCs w:val="22"/>
        </w:rPr>
        <w:t>Jāizvairās</w:t>
      </w:r>
      <w:r w:rsidRPr="00D14DCC">
        <w:rPr>
          <w:sz w:val="22"/>
          <w:szCs w:val="22"/>
        </w:rPr>
        <w:t xml:space="preserve"> no krēma </w:t>
      </w:r>
      <w:r>
        <w:rPr>
          <w:sz w:val="22"/>
          <w:szCs w:val="22"/>
        </w:rPr>
        <w:t>saskares</w:t>
      </w:r>
      <w:r w:rsidRPr="00D14DCC">
        <w:rPr>
          <w:sz w:val="22"/>
          <w:szCs w:val="22"/>
        </w:rPr>
        <w:t xml:space="preserve"> ar acīm</w:t>
      </w:r>
      <w:r>
        <w:rPr>
          <w:sz w:val="22"/>
          <w:szCs w:val="22"/>
        </w:rPr>
        <w:t xml:space="preserve">, </w:t>
      </w:r>
      <w:r>
        <w:rPr>
          <w:rFonts w:ascii="TimesNewRomanPSMT" w:hAnsi="TimesNewRomanPSMT" w:cs="TimesNewRomanPSMT"/>
          <w:sz w:val="21"/>
          <w:szCs w:val="21"/>
          <w:lang w:eastAsia="lv-LV"/>
        </w:rPr>
        <w:t>jutīgiem ādas rajoniem</w:t>
      </w:r>
      <w:r>
        <w:rPr>
          <w:sz w:val="22"/>
          <w:szCs w:val="22"/>
        </w:rPr>
        <w:t xml:space="preserve"> un</w:t>
      </w:r>
      <w:r w:rsidRPr="00D14DCC">
        <w:rPr>
          <w:sz w:val="22"/>
          <w:szCs w:val="22"/>
        </w:rPr>
        <w:t xml:space="preserve"> </w:t>
      </w:r>
      <w:r>
        <w:rPr>
          <w:sz w:val="22"/>
          <w:szCs w:val="22"/>
        </w:rPr>
        <w:t>gļotādām</w:t>
      </w:r>
      <w:r w:rsidRPr="00D14DCC">
        <w:rPr>
          <w:sz w:val="22"/>
          <w:szCs w:val="22"/>
        </w:rPr>
        <w:t>.</w:t>
      </w:r>
    </w:p>
    <w:p w:rsidR="008B317D" w:rsidRDefault="008B317D" w:rsidP="008B317D">
      <w:pPr>
        <w:rPr>
          <w:sz w:val="22"/>
          <w:szCs w:val="22"/>
        </w:rPr>
      </w:pPr>
      <w:r>
        <w:rPr>
          <w:rFonts w:ascii="TimesNewRomanPSMT" w:hAnsi="TimesNewRomanPSMT" w:cs="TimesNewRomanPSMT"/>
          <w:sz w:val="21"/>
          <w:szCs w:val="21"/>
          <w:lang w:eastAsia="lv-LV"/>
        </w:rPr>
        <w:t>Pirms lietošanas izmēģiniet krēmu uz nelielas ādas virsmas.</w:t>
      </w:r>
    </w:p>
    <w:p w:rsidR="008B317D" w:rsidRDefault="008B317D" w:rsidP="008B317D">
      <w:pPr>
        <w:rPr>
          <w:sz w:val="22"/>
          <w:szCs w:val="22"/>
        </w:rPr>
      </w:pPr>
      <w:r>
        <w:rPr>
          <w:sz w:val="22"/>
          <w:szCs w:val="22"/>
        </w:rPr>
        <w:t>Daži pacienti var izjust diskomfortu, jo īpaši tie, kuriem ir jutīga āda, vai lietojot krēmu karstā laikā vai uzreiz pēc vannas.</w:t>
      </w:r>
    </w:p>
    <w:p w:rsidR="008B317D" w:rsidRDefault="008B317D" w:rsidP="008B317D">
      <w:pPr>
        <w:rPr>
          <w:sz w:val="22"/>
          <w:szCs w:val="22"/>
        </w:rPr>
      </w:pPr>
      <w:r>
        <w:rPr>
          <w:sz w:val="22"/>
          <w:szCs w:val="22"/>
        </w:rPr>
        <w:t>Nelietot ar pārsējiem.</w:t>
      </w:r>
    </w:p>
    <w:p w:rsidR="008B317D" w:rsidRDefault="008B317D" w:rsidP="008B317D">
      <w:pPr>
        <w:rPr>
          <w:sz w:val="22"/>
          <w:szCs w:val="22"/>
        </w:rPr>
      </w:pPr>
      <w:r>
        <w:rPr>
          <w:sz w:val="22"/>
          <w:szCs w:val="22"/>
        </w:rPr>
        <w:t>Nekavējoties p</w:t>
      </w:r>
      <w:r w:rsidRPr="00D14DCC">
        <w:rPr>
          <w:sz w:val="22"/>
          <w:szCs w:val="22"/>
        </w:rPr>
        <w:t xml:space="preserve">ārtraukt lietošanu, ja parādās </w:t>
      </w:r>
      <w:r>
        <w:rPr>
          <w:sz w:val="22"/>
          <w:szCs w:val="22"/>
        </w:rPr>
        <w:t xml:space="preserve">pārmērīgs kairinājums vai citas nevēlamas blakusparādības. </w:t>
      </w:r>
    </w:p>
    <w:p w:rsidR="008B317D" w:rsidRDefault="008B317D" w:rsidP="008B317D">
      <w:pPr>
        <w:rPr>
          <w:sz w:val="22"/>
          <w:szCs w:val="22"/>
        </w:rPr>
      </w:pPr>
      <w:r>
        <w:rPr>
          <w:sz w:val="22"/>
          <w:szCs w:val="22"/>
        </w:rPr>
        <w:t>Uzreiz pēc lietošanas nomazgāt rokas.</w:t>
      </w:r>
    </w:p>
    <w:p w:rsidR="008B317D" w:rsidRDefault="008B317D" w:rsidP="008B317D">
      <w:pPr>
        <w:rPr>
          <w:sz w:val="22"/>
          <w:szCs w:val="22"/>
        </w:rPr>
      </w:pPr>
      <w:r>
        <w:rPr>
          <w:rFonts w:ascii="TimesNewRomanPSMT" w:hAnsi="TimesNewRomanPSMT" w:cs="TimesNewRomanPSMT"/>
          <w:sz w:val="21"/>
          <w:szCs w:val="21"/>
          <w:lang w:eastAsia="lv-LV"/>
        </w:rPr>
        <w:t xml:space="preserve">Mijiedarbības – salicilāti var pastiprināt antikoagulantu un </w:t>
      </w:r>
      <w:r w:rsidRPr="00C66F99">
        <w:rPr>
          <w:sz w:val="22"/>
          <w:szCs w:val="22"/>
        </w:rPr>
        <w:t>antiagregantu</w:t>
      </w:r>
      <w:r>
        <w:rPr>
          <w:sz w:val="22"/>
          <w:szCs w:val="22"/>
        </w:rPr>
        <w:t xml:space="preserve"> </w:t>
      </w:r>
      <w:r>
        <w:rPr>
          <w:rFonts w:ascii="TimesNewRomanPSMT" w:hAnsi="TimesNewRomanPSMT" w:cs="TimesNewRomanPSMT"/>
          <w:sz w:val="21"/>
          <w:szCs w:val="21"/>
          <w:lang w:eastAsia="lv-LV"/>
        </w:rPr>
        <w:t>iedarbību (skatīt 4.5. apakšpunkt</w:t>
      </w:r>
      <w:r w:rsidR="00873FD0">
        <w:rPr>
          <w:rFonts w:ascii="TimesNewRomanPSMT" w:hAnsi="TimesNewRomanPSMT" w:cs="TimesNewRomanPSMT"/>
          <w:sz w:val="21"/>
          <w:szCs w:val="21"/>
          <w:lang w:eastAsia="lv-LV"/>
        </w:rPr>
        <w:t>u</w:t>
      </w:r>
      <w:r>
        <w:rPr>
          <w:rFonts w:ascii="TimesNewRomanPSMT" w:hAnsi="TimesNewRomanPSMT" w:cs="TimesNewRomanPSMT"/>
          <w:sz w:val="21"/>
          <w:szCs w:val="21"/>
          <w:lang w:eastAsia="lv-LV"/>
        </w:rPr>
        <w:t>).</w:t>
      </w:r>
    </w:p>
    <w:p w:rsidR="008B317D" w:rsidRPr="00E23039" w:rsidRDefault="008B317D" w:rsidP="008B317D">
      <w:pPr>
        <w:rPr>
          <w:sz w:val="22"/>
          <w:szCs w:val="22"/>
        </w:rPr>
      </w:pPr>
      <w:r w:rsidRPr="0085515E">
        <w:rPr>
          <w:sz w:val="22"/>
          <w:szCs w:val="22"/>
        </w:rPr>
        <w:t xml:space="preserve">Deep Heat Rub satur </w:t>
      </w:r>
      <w:r w:rsidRPr="00E23039">
        <w:rPr>
          <w:sz w:val="22"/>
          <w:szCs w:val="22"/>
        </w:rPr>
        <w:t>propilēnglikolu</w:t>
      </w:r>
      <w:r>
        <w:rPr>
          <w:sz w:val="22"/>
          <w:szCs w:val="22"/>
        </w:rPr>
        <w:t xml:space="preserve">, </w:t>
      </w:r>
      <w:r>
        <w:rPr>
          <w:rFonts w:ascii="TimesNewRomanPSMT" w:hAnsi="TimesNewRomanPSMT" w:cs="TimesNewRomanPSMT"/>
          <w:sz w:val="21"/>
          <w:szCs w:val="21"/>
          <w:lang w:eastAsia="lv-LV"/>
        </w:rPr>
        <w:t>kas var izraisīt ādas kairinājumu;</w:t>
      </w:r>
      <w:r>
        <w:rPr>
          <w:sz w:val="22"/>
          <w:szCs w:val="22"/>
        </w:rPr>
        <w:t>,</w:t>
      </w:r>
      <w:r w:rsidRPr="0085515E">
        <w:rPr>
          <w:sz w:val="22"/>
          <w:szCs w:val="22"/>
        </w:rPr>
        <w:t xml:space="preserve"> </w:t>
      </w:r>
      <w:r w:rsidRPr="00E23039">
        <w:rPr>
          <w:sz w:val="22"/>
          <w:szCs w:val="22"/>
        </w:rPr>
        <w:t xml:space="preserve">vilnas taukus (lanolīnu) </w:t>
      </w:r>
      <w:r w:rsidRPr="0085515E">
        <w:rPr>
          <w:sz w:val="22"/>
          <w:szCs w:val="22"/>
        </w:rPr>
        <w:t xml:space="preserve">un </w:t>
      </w:r>
      <w:r w:rsidRPr="00E23039">
        <w:rPr>
          <w:sz w:val="22"/>
          <w:szCs w:val="22"/>
        </w:rPr>
        <w:t>cetostearilspirtu</w:t>
      </w:r>
      <w:r>
        <w:rPr>
          <w:sz w:val="22"/>
          <w:szCs w:val="22"/>
        </w:rPr>
        <w:t xml:space="preserve">, </w:t>
      </w:r>
      <w:r>
        <w:rPr>
          <w:rFonts w:ascii="TimesNewRomanPSMT" w:hAnsi="TimesNewRomanPSMT" w:cs="TimesNewRomanPSMT"/>
          <w:sz w:val="21"/>
          <w:szCs w:val="21"/>
          <w:lang w:eastAsia="lv-LV"/>
        </w:rPr>
        <w:t>kas var izraisīt vietējas ādas reakcijas (piemēram, kontaktdermatītu)</w:t>
      </w:r>
      <w:r w:rsidRPr="0085515E">
        <w:rPr>
          <w:sz w:val="22"/>
          <w:szCs w:val="22"/>
        </w:rPr>
        <w:t>.</w:t>
      </w:r>
    </w:p>
    <w:p w:rsidR="008B317D" w:rsidRPr="00D14DCC" w:rsidRDefault="008B317D" w:rsidP="008B317D">
      <w:pPr>
        <w:rPr>
          <w:sz w:val="22"/>
          <w:szCs w:val="22"/>
        </w:rPr>
      </w:pPr>
      <w:r w:rsidRPr="00D14DCC">
        <w:rPr>
          <w:sz w:val="22"/>
          <w:szCs w:val="22"/>
        </w:rPr>
        <w:t xml:space="preserve">                 </w:t>
      </w:r>
    </w:p>
    <w:p w:rsidR="008B317D" w:rsidRPr="001F401F" w:rsidRDefault="008B317D" w:rsidP="008B317D">
      <w:pPr>
        <w:rPr>
          <w:b/>
          <w:sz w:val="22"/>
          <w:szCs w:val="22"/>
        </w:rPr>
      </w:pPr>
      <w:r>
        <w:rPr>
          <w:b/>
          <w:sz w:val="22"/>
          <w:szCs w:val="22"/>
        </w:rPr>
        <w:t>4.5.</w:t>
      </w:r>
      <w:r>
        <w:rPr>
          <w:b/>
          <w:sz w:val="22"/>
          <w:szCs w:val="22"/>
        </w:rPr>
        <w:tab/>
      </w:r>
      <w:r w:rsidRPr="001F401F">
        <w:rPr>
          <w:b/>
          <w:sz w:val="22"/>
          <w:szCs w:val="22"/>
        </w:rPr>
        <w:t>Mijiedarbība ar citām zālēm un citi mijiedarbības veidi</w:t>
      </w:r>
    </w:p>
    <w:p w:rsidR="008B317D" w:rsidRDefault="008B317D" w:rsidP="008B317D">
      <w:pPr>
        <w:rPr>
          <w:sz w:val="22"/>
          <w:szCs w:val="22"/>
        </w:rPr>
      </w:pPr>
      <w:r w:rsidRPr="00D14DCC">
        <w:rPr>
          <w:sz w:val="22"/>
          <w:szCs w:val="22"/>
        </w:rPr>
        <w:tab/>
      </w:r>
    </w:p>
    <w:p w:rsidR="008B317D" w:rsidRDefault="008B317D" w:rsidP="008B317D">
      <w:pPr>
        <w:rPr>
          <w:sz w:val="22"/>
          <w:szCs w:val="22"/>
        </w:rPr>
      </w:pPr>
      <w:r>
        <w:rPr>
          <w:sz w:val="22"/>
          <w:szCs w:val="22"/>
        </w:rPr>
        <w:t xml:space="preserve">Lai gan adekvāti kontrolēti mijiedarbības pētījumi nav veikti, iespējams, ka plaša lokāla salicilātu lietošana var pastiprināt kumarīnu grupas antikoagulantu un </w:t>
      </w:r>
      <w:r w:rsidRPr="00C66F99">
        <w:rPr>
          <w:sz w:val="22"/>
          <w:szCs w:val="22"/>
        </w:rPr>
        <w:t xml:space="preserve">antiagregantu </w:t>
      </w:r>
      <w:r>
        <w:rPr>
          <w:sz w:val="22"/>
          <w:szCs w:val="22"/>
        </w:rPr>
        <w:t xml:space="preserve">iedarbību. Tāpēc pacientiem, kuri lieto kumarīnu grupas antikoagulantus vai </w:t>
      </w:r>
      <w:r w:rsidRPr="00C66F99">
        <w:rPr>
          <w:sz w:val="22"/>
          <w:szCs w:val="22"/>
        </w:rPr>
        <w:t>antiagregantu</w:t>
      </w:r>
      <w:r>
        <w:rPr>
          <w:sz w:val="22"/>
          <w:szCs w:val="22"/>
        </w:rPr>
        <w:t xml:space="preserve">s, ieskaitot </w:t>
      </w:r>
      <w:r w:rsidRPr="00C66F99">
        <w:rPr>
          <w:sz w:val="22"/>
          <w:szCs w:val="22"/>
        </w:rPr>
        <w:t>acetilsalicilskābi</w:t>
      </w:r>
      <w:r>
        <w:rPr>
          <w:sz w:val="22"/>
          <w:szCs w:val="22"/>
        </w:rPr>
        <w:t>, ieteicams ievērot piesardzību.</w:t>
      </w:r>
    </w:p>
    <w:p w:rsidR="008B317D" w:rsidRDefault="008B317D" w:rsidP="008B317D">
      <w:pPr>
        <w:rPr>
          <w:sz w:val="22"/>
          <w:szCs w:val="22"/>
        </w:rPr>
      </w:pPr>
    </w:p>
    <w:p w:rsidR="008B317D" w:rsidRDefault="008B317D" w:rsidP="008B317D">
      <w:pPr>
        <w:rPr>
          <w:sz w:val="22"/>
          <w:szCs w:val="22"/>
          <w:u w:val="single"/>
        </w:rPr>
      </w:pPr>
      <w:r w:rsidRPr="007C259C">
        <w:rPr>
          <w:sz w:val="22"/>
          <w:szCs w:val="22"/>
          <w:u w:val="single"/>
        </w:rPr>
        <w:t>Pediatriskā populācija</w:t>
      </w:r>
    </w:p>
    <w:p w:rsidR="008B317D" w:rsidRDefault="008B317D" w:rsidP="008B317D">
      <w:pPr>
        <w:rPr>
          <w:sz w:val="22"/>
          <w:szCs w:val="22"/>
        </w:rPr>
      </w:pPr>
      <w:r w:rsidRPr="00C66F99">
        <w:rPr>
          <w:sz w:val="22"/>
          <w:szCs w:val="22"/>
        </w:rPr>
        <w:t>Mijiedarbības pētījumi nav veikti</w:t>
      </w:r>
      <w:r>
        <w:rPr>
          <w:sz w:val="22"/>
          <w:szCs w:val="22"/>
        </w:rPr>
        <w:t>.</w:t>
      </w:r>
    </w:p>
    <w:p w:rsidR="008B317D" w:rsidRPr="00D14DCC" w:rsidRDefault="008B317D" w:rsidP="008B317D">
      <w:pPr>
        <w:rPr>
          <w:sz w:val="22"/>
          <w:szCs w:val="22"/>
        </w:rPr>
      </w:pPr>
    </w:p>
    <w:p w:rsidR="008B317D" w:rsidRPr="001F401F" w:rsidRDefault="008B317D" w:rsidP="008B317D">
      <w:pPr>
        <w:rPr>
          <w:b/>
          <w:sz w:val="22"/>
          <w:szCs w:val="22"/>
        </w:rPr>
      </w:pPr>
      <w:r>
        <w:rPr>
          <w:b/>
          <w:sz w:val="22"/>
          <w:szCs w:val="22"/>
        </w:rPr>
        <w:t>4.6.</w:t>
      </w:r>
      <w:r>
        <w:rPr>
          <w:b/>
          <w:sz w:val="22"/>
          <w:szCs w:val="22"/>
        </w:rPr>
        <w:tab/>
      </w:r>
      <w:r w:rsidRPr="00BB2F53">
        <w:rPr>
          <w:b/>
          <w:sz w:val="22"/>
          <w:szCs w:val="22"/>
        </w:rPr>
        <w:t>Fertilitāte</w:t>
      </w:r>
      <w:r>
        <w:rPr>
          <w:b/>
          <w:sz w:val="22"/>
          <w:szCs w:val="22"/>
        </w:rPr>
        <w:t>,</w:t>
      </w:r>
      <w:r w:rsidRPr="00BB2F53" w:rsidDel="00BB2F53">
        <w:rPr>
          <w:b/>
          <w:sz w:val="22"/>
          <w:szCs w:val="22"/>
        </w:rPr>
        <w:t xml:space="preserve"> </w:t>
      </w:r>
      <w:r>
        <w:rPr>
          <w:b/>
          <w:sz w:val="22"/>
          <w:szCs w:val="22"/>
        </w:rPr>
        <w:t>g</w:t>
      </w:r>
      <w:r w:rsidRPr="001F401F">
        <w:rPr>
          <w:b/>
          <w:sz w:val="22"/>
          <w:szCs w:val="22"/>
        </w:rPr>
        <w:t xml:space="preserve">rūtniecība un </w:t>
      </w:r>
      <w:r w:rsidRPr="003722C2">
        <w:rPr>
          <w:b/>
          <w:sz w:val="22"/>
          <w:szCs w:val="22"/>
        </w:rPr>
        <w:t>barošana ar krūti</w:t>
      </w:r>
    </w:p>
    <w:p w:rsidR="008B317D" w:rsidRDefault="008B317D" w:rsidP="008B317D">
      <w:pPr>
        <w:ind w:left="720"/>
        <w:rPr>
          <w:sz w:val="22"/>
          <w:szCs w:val="22"/>
        </w:rPr>
      </w:pPr>
    </w:p>
    <w:p w:rsidR="008B317D" w:rsidRDefault="008B317D" w:rsidP="008B317D">
      <w:pPr>
        <w:rPr>
          <w:sz w:val="22"/>
          <w:szCs w:val="22"/>
        </w:rPr>
      </w:pPr>
      <w:r>
        <w:rPr>
          <w:sz w:val="22"/>
          <w:szCs w:val="22"/>
        </w:rPr>
        <w:t xml:space="preserve">Nav veikti atbilstoši pētījumi par šo zāļu lietošanu grūtniecības un bērna barošanas ar krūti periodā, lai sniegtu īpašus lietošanas norādījumus. Metilsalicilāts ir acetilsalicilskābei līdzīga viela, tāpēc ieteicams ievērot tādu pašu piesardzību, kā lietojot </w:t>
      </w:r>
      <w:r w:rsidRPr="0056245A">
        <w:rPr>
          <w:sz w:val="22"/>
          <w:szCs w:val="22"/>
        </w:rPr>
        <w:t>acetilsalicilskābi</w:t>
      </w:r>
      <w:r>
        <w:rPr>
          <w:sz w:val="22"/>
          <w:szCs w:val="22"/>
        </w:rPr>
        <w:t xml:space="preserve">.  </w:t>
      </w:r>
    </w:p>
    <w:p w:rsidR="008B317D" w:rsidRDefault="008B317D" w:rsidP="008B317D">
      <w:pPr>
        <w:rPr>
          <w:sz w:val="22"/>
          <w:szCs w:val="22"/>
        </w:rPr>
      </w:pPr>
      <w:r>
        <w:rPr>
          <w:sz w:val="22"/>
          <w:szCs w:val="22"/>
        </w:rPr>
        <w:t>Tāpat kā ar citām zālēm, jāizvairās no Deep Heat Rub lietošanas</w:t>
      </w:r>
      <w:r w:rsidRPr="00D14DCC">
        <w:rPr>
          <w:sz w:val="22"/>
          <w:szCs w:val="22"/>
        </w:rPr>
        <w:t xml:space="preserve"> </w:t>
      </w:r>
      <w:r>
        <w:rPr>
          <w:sz w:val="22"/>
          <w:szCs w:val="22"/>
        </w:rPr>
        <w:t>grūtniecības un bērna barošanas ar krūti periodā, ja vien nav būtiski nepieciešams.</w:t>
      </w:r>
    </w:p>
    <w:p w:rsidR="008B317D" w:rsidRPr="00D14DCC" w:rsidRDefault="008B317D" w:rsidP="008B317D">
      <w:pPr>
        <w:rPr>
          <w:sz w:val="22"/>
          <w:szCs w:val="22"/>
        </w:rPr>
      </w:pPr>
    </w:p>
    <w:p w:rsidR="008B317D" w:rsidRPr="00EF6B6C" w:rsidRDefault="008B317D" w:rsidP="008B317D">
      <w:pPr>
        <w:rPr>
          <w:b/>
          <w:sz w:val="22"/>
          <w:szCs w:val="22"/>
        </w:rPr>
      </w:pPr>
      <w:r>
        <w:rPr>
          <w:b/>
          <w:sz w:val="22"/>
          <w:szCs w:val="22"/>
        </w:rPr>
        <w:t>4.7.</w:t>
      </w:r>
      <w:r>
        <w:rPr>
          <w:b/>
          <w:sz w:val="22"/>
          <w:szCs w:val="22"/>
        </w:rPr>
        <w:tab/>
      </w:r>
      <w:r w:rsidRPr="00EF6B6C">
        <w:rPr>
          <w:b/>
          <w:sz w:val="22"/>
          <w:szCs w:val="22"/>
        </w:rPr>
        <w:t>Ietekme uz spēju vadīt transportlīdzekļus un apkalpot mehānismus</w:t>
      </w:r>
    </w:p>
    <w:p w:rsidR="008B317D" w:rsidRDefault="008B317D" w:rsidP="008B317D">
      <w:pPr>
        <w:ind w:left="720"/>
        <w:rPr>
          <w:sz w:val="22"/>
          <w:szCs w:val="22"/>
        </w:rPr>
      </w:pPr>
    </w:p>
    <w:p w:rsidR="008B317D" w:rsidRPr="00D14DCC" w:rsidRDefault="008B317D" w:rsidP="008B317D">
      <w:pPr>
        <w:rPr>
          <w:sz w:val="22"/>
          <w:szCs w:val="22"/>
        </w:rPr>
      </w:pPr>
      <w:r w:rsidRPr="0056245A">
        <w:rPr>
          <w:sz w:val="22"/>
          <w:szCs w:val="22"/>
        </w:rPr>
        <w:t>Deep Heat Rub neietekmē spēju vadīt transportlīdzekļus un apkalpot mehānismus</w:t>
      </w:r>
      <w:r>
        <w:rPr>
          <w:sz w:val="22"/>
          <w:szCs w:val="22"/>
        </w:rPr>
        <w:t>.</w:t>
      </w:r>
      <w:r w:rsidRPr="00D14DCC">
        <w:rPr>
          <w:sz w:val="22"/>
          <w:szCs w:val="22"/>
        </w:rPr>
        <w:t xml:space="preserve"> </w:t>
      </w:r>
    </w:p>
    <w:p w:rsidR="008B317D" w:rsidRPr="00D14DCC" w:rsidRDefault="008B317D" w:rsidP="008B317D">
      <w:pPr>
        <w:rPr>
          <w:sz w:val="22"/>
          <w:szCs w:val="22"/>
        </w:rPr>
      </w:pPr>
    </w:p>
    <w:p w:rsidR="008B317D" w:rsidRPr="00EF6B6C" w:rsidRDefault="008B317D" w:rsidP="008B317D">
      <w:pPr>
        <w:rPr>
          <w:b/>
          <w:sz w:val="22"/>
          <w:szCs w:val="22"/>
        </w:rPr>
      </w:pPr>
      <w:r>
        <w:rPr>
          <w:b/>
          <w:sz w:val="22"/>
          <w:szCs w:val="22"/>
        </w:rPr>
        <w:t>4.8.</w:t>
      </w:r>
      <w:r>
        <w:rPr>
          <w:b/>
          <w:sz w:val="22"/>
          <w:szCs w:val="22"/>
        </w:rPr>
        <w:tab/>
      </w:r>
      <w:r w:rsidRPr="00EF6B6C">
        <w:rPr>
          <w:b/>
          <w:sz w:val="22"/>
          <w:szCs w:val="22"/>
        </w:rPr>
        <w:t>Nevēlamās blakusparādības</w:t>
      </w:r>
    </w:p>
    <w:p w:rsidR="008B317D" w:rsidRDefault="008B317D" w:rsidP="008B317D">
      <w:pPr>
        <w:ind w:left="720"/>
        <w:rPr>
          <w:sz w:val="22"/>
          <w:szCs w:val="22"/>
        </w:rPr>
      </w:pPr>
    </w:p>
    <w:p w:rsidR="008B317D" w:rsidRDefault="008B317D" w:rsidP="008B317D">
      <w:pPr>
        <w:rPr>
          <w:sz w:val="22"/>
          <w:szCs w:val="22"/>
        </w:rPr>
      </w:pPr>
      <w:r>
        <w:rPr>
          <w:sz w:val="22"/>
          <w:szCs w:val="22"/>
        </w:rPr>
        <w:t>Iespējama ādas dedzināšana, lobīšanās un tādas pārejošas ādas reakcijas kā apsārtums, dedzinoša sajūta un izsitumi</w:t>
      </w:r>
      <w:r w:rsidRPr="00D14DCC">
        <w:rPr>
          <w:sz w:val="22"/>
          <w:szCs w:val="22"/>
        </w:rPr>
        <w:t>.</w:t>
      </w:r>
    </w:p>
    <w:p w:rsidR="008B317D" w:rsidRPr="00D14DCC" w:rsidRDefault="008B317D" w:rsidP="008B317D">
      <w:pPr>
        <w:rPr>
          <w:sz w:val="22"/>
          <w:szCs w:val="22"/>
        </w:rPr>
      </w:pPr>
    </w:p>
    <w:p w:rsidR="008B317D" w:rsidRPr="00E23039" w:rsidRDefault="008B317D" w:rsidP="008B317D">
      <w:pPr>
        <w:rPr>
          <w:sz w:val="22"/>
          <w:szCs w:val="22"/>
          <w:u w:val="single"/>
        </w:rPr>
      </w:pPr>
      <w:r w:rsidRPr="00E23039">
        <w:rPr>
          <w:sz w:val="22"/>
          <w:szCs w:val="22"/>
          <w:u w:val="single"/>
        </w:rPr>
        <w:t>Ziņošana par iespējamām nevēlamām blakusparādībām</w:t>
      </w:r>
    </w:p>
    <w:p w:rsidR="008B317D" w:rsidRDefault="008B317D" w:rsidP="008B317D">
      <w:pPr>
        <w:rPr>
          <w:sz w:val="22"/>
          <w:szCs w:val="22"/>
        </w:rPr>
      </w:pPr>
      <w:r w:rsidRPr="0056245A">
        <w:rPr>
          <w:sz w:val="22"/>
          <w:szCs w:val="22"/>
        </w:rPr>
        <w:t>Ir svarīgi ziņot par iespējamām nevēlamām blakusparādībām pēc zāļu reģistrācijas. Tādējādi zāļu ieguvumu/riska attiecība tiek nepārtraukti uzraudzīta. Veselības aprūpes speciālisti tiek lūgti ziņot par jebkādām iespēj</w:t>
      </w:r>
      <w:r>
        <w:rPr>
          <w:sz w:val="22"/>
          <w:szCs w:val="22"/>
        </w:rPr>
        <w:t xml:space="preserve">amām nevēlamām blakusparādībām </w:t>
      </w:r>
      <w:r w:rsidRPr="0056245A">
        <w:rPr>
          <w:sz w:val="22"/>
          <w:szCs w:val="22"/>
        </w:rPr>
        <w:t xml:space="preserve">Zāļu valsts aģentūrai, Jersikas ielā 15, Rīgā, LV 1003. </w:t>
      </w:r>
      <w:r>
        <w:rPr>
          <w:sz w:val="22"/>
          <w:szCs w:val="22"/>
        </w:rPr>
        <w:t xml:space="preserve"> </w:t>
      </w:r>
      <w:r w:rsidRPr="0056245A">
        <w:rPr>
          <w:sz w:val="22"/>
          <w:szCs w:val="22"/>
        </w:rPr>
        <w:t xml:space="preserve">Tīmekļa vietne: </w:t>
      </w:r>
      <w:hyperlink r:id="rId7" w:history="1">
        <w:r w:rsidRPr="00422A42">
          <w:rPr>
            <w:rStyle w:val="Hyperlink"/>
            <w:sz w:val="22"/>
            <w:szCs w:val="22"/>
          </w:rPr>
          <w:t>www.zva.gov.lv</w:t>
        </w:r>
      </w:hyperlink>
      <w:r>
        <w:rPr>
          <w:sz w:val="22"/>
          <w:szCs w:val="22"/>
        </w:rPr>
        <w:t>.</w:t>
      </w:r>
    </w:p>
    <w:p w:rsidR="008B317D" w:rsidRDefault="008B317D"/>
    <w:p w:rsidR="008B317D" w:rsidRPr="00EF6B6C" w:rsidRDefault="008B317D" w:rsidP="008B317D">
      <w:pPr>
        <w:rPr>
          <w:b/>
          <w:sz w:val="22"/>
          <w:szCs w:val="22"/>
        </w:rPr>
      </w:pPr>
      <w:r>
        <w:rPr>
          <w:b/>
          <w:sz w:val="22"/>
          <w:szCs w:val="22"/>
        </w:rPr>
        <w:lastRenderedPageBreak/>
        <w:t>4.9.</w:t>
      </w:r>
      <w:r>
        <w:rPr>
          <w:b/>
          <w:sz w:val="22"/>
          <w:szCs w:val="22"/>
        </w:rPr>
        <w:tab/>
      </w:r>
      <w:r w:rsidRPr="00EF6B6C">
        <w:rPr>
          <w:b/>
          <w:sz w:val="22"/>
          <w:szCs w:val="22"/>
        </w:rPr>
        <w:t>Pārdozēšana</w:t>
      </w:r>
    </w:p>
    <w:p w:rsidR="008B317D" w:rsidRDefault="008B317D" w:rsidP="008B317D">
      <w:pPr>
        <w:ind w:left="720"/>
        <w:rPr>
          <w:sz w:val="22"/>
          <w:szCs w:val="22"/>
        </w:rPr>
      </w:pPr>
    </w:p>
    <w:p w:rsidR="008B317D" w:rsidRDefault="008B317D" w:rsidP="008B317D">
      <w:pPr>
        <w:rPr>
          <w:sz w:val="22"/>
          <w:szCs w:val="22"/>
        </w:rPr>
      </w:pPr>
      <w:r>
        <w:rPr>
          <w:sz w:val="22"/>
          <w:szCs w:val="22"/>
        </w:rPr>
        <w:t>Pārdozēšana, lietojot ieteicamajās devās, ir maz ticama. Ja krēms uzklāts lielākam ādas laukumam kā nepieciešams vai tas netīšām norīts, zāles var izraisīt sistēmiskas blakusparādības atkarībā no absorbētā daudzuma.</w:t>
      </w:r>
    </w:p>
    <w:p w:rsidR="008B317D" w:rsidRDefault="008B317D" w:rsidP="008B317D">
      <w:pPr>
        <w:rPr>
          <w:sz w:val="22"/>
          <w:szCs w:val="22"/>
        </w:rPr>
      </w:pPr>
      <w:r>
        <w:rPr>
          <w:sz w:val="22"/>
          <w:szCs w:val="22"/>
        </w:rPr>
        <w:t>Pārdozēšanas terapijai jābūt uzturošai un simptomātiskai.</w:t>
      </w:r>
    </w:p>
    <w:p w:rsidR="008B317D" w:rsidRPr="00D14DCC" w:rsidRDefault="008B317D" w:rsidP="008B317D">
      <w:pPr>
        <w:rPr>
          <w:sz w:val="22"/>
          <w:szCs w:val="22"/>
        </w:rPr>
      </w:pPr>
    </w:p>
    <w:p w:rsidR="008B317D" w:rsidRPr="00D14DCC" w:rsidRDefault="008B317D" w:rsidP="008B317D">
      <w:pPr>
        <w:rPr>
          <w:sz w:val="22"/>
          <w:szCs w:val="22"/>
        </w:rPr>
      </w:pPr>
    </w:p>
    <w:p w:rsidR="008B317D" w:rsidRPr="00E218A6" w:rsidRDefault="008B317D" w:rsidP="008B317D">
      <w:pPr>
        <w:numPr>
          <w:ilvl w:val="0"/>
          <w:numId w:val="1"/>
        </w:numPr>
        <w:tabs>
          <w:tab w:val="clear" w:pos="1080"/>
          <w:tab w:val="num" w:pos="540"/>
        </w:tabs>
        <w:ind w:hanging="1080"/>
        <w:rPr>
          <w:rFonts w:ascii="Times New Roman Bold" w:hAnsi="Times New Roman Bold"/>
          <w:b/>
          <w:caps/>
          <w:sz w:val="22"/>
          <w:szCs w:val="22"/>
        </w:rPr>
      </w:pPr>
      <w:r w:rsidRPr="00E218A6">
        <w:rPr>
          <w:rFonts w:ascii="Times New Roman Bold" w:hAnsi="Times New Roman Bold"/>
          <w:b/>
          <w:caps/>
          <w:sz w:val="22"/>
          <w:szCs w:val="22"/>
        </w:rPr>
        <w:t>Farmakoloģiskās īpašības</w:t>
      </w:r>
    </w:p>
    <w:p w:rsidR="008B317D" w:rsidRPr="00D14DCC" w:rsidRDefault="008B317D" w:rsidP="008B317D">
      <w:pPr>
        <w:rPr>
          <w:sz w:val="22"/>
          <w:szCs w:val="22"/>
        </w:rPr>
      </w:pPr>
    </w:p>
    <w:p w:rsidR="008B317D" w:rsidRPr="00E218A6" w:rsidRDefault="008B317D" w:rsidP="008B317D">
      <w:pPr>
        <w:rPr>
          <w:b/>
          <w:sz w:val="22"/>
          <w:szCs w:val="22"/>
        </w:rPr>
      </w:pPr>
      <w:r>
        <w:rPr>
          <w:b/>
          <w:sz w:val="22"/>
          <w:szCs w:val="22"/>
        </w:rPr>
        <w:t>5.1.</w:t>
      </w:r>
      <w:r>
        <w:rPr>
          <w:b/>
          <w:sz w:val="22"/>
          <w:szCs w:val="22"/>
        </w:rPr>
        <w:tab/>
      </w:r>
      <w:r w:rsidRPr="00E218A6">
        <w:rPr>
          <w:b/>
          <w:sz w:val="22"/>
          <w:szCs w:val="22"/>
        </w:rPr>
        <w:t>Farmakodinamiskās īpašības</w:t>
      </w:r>
    </w:p>
    <w:p w:rsidR="008B317D" w:rsidRDefault="008B317D" w:rsidP="008B317D">
      <w:pPr>
        <w:ind w:left="720"/>
        <w:rPr>
          <w:sz w:val="22"/>
          <w:szCs w:val="22"/>
        </w:rPr>
      </w:pPr>
    </w:p>
    <w:p w:rsidR="008B317D" w:rsidRDefault="008B317D" w:rsidP="008B317D">
      <w:pPr>
        <w:rPr>
          <w:sz w:val="22"/>
          <w:szCs w:val="22"/>
        </w:rPr>
      </w:pPr>
      <w:r>
        <w:rPr>
          <w:sz w:val="22"/>
          <w:szCs w:val="22"/>
        </w:rPr>
        <w:t>Farmakoterapeitiskā grupa: locītavu un muskuļu sāpju gadījumā vietēji lietojami līdzekļi; salicilskābes atvasinājumus saturoši līdzekļi. ATĶ kods: M02AC;</w:t>
      </w:r>
    </w:p>
    <w:p w:rsidR="008B317D" w:rsidRDefault="008B317D" w:rsidP="008B317D">
      <w:pPr>
        <w:rPr>
          <w:sz w:val="22"/>
          <w:szCs w:val="22"/>
        </w:rPr>
      </w:pPr>
    </w:p>
    <w:p w:rsidR="008B317D" w:rsidRPr="00D14DCC" w:rsidRDefault="008B317D" w:rsidP="008B317D">
      <w:pPr>
        <w:rPr>
          <w:sz w:val="22"/>
          <w:szCs w:val="22"/>
        </w:rPr>
      </w:pPr>
      <w:r w:rsidRPr="00D14DCC">
        <w:rPr>
          <w:sz w:val="22"/>
          <w:szCs w:val="22"/>
        </w:rPr>
        <w:t>Metilsalicilāts</w:t>
      </w:r>
      <w:r>
        <w:rPr>
          <w:sz w:val="22"/>
          <w:szCs w:val="22"/>
        </w:rPr>
        <w:t xml:space="preserve"> ir acetilsalicilskābei līdzīga viela, ko lieto kā pretsāpju līdzekli muskuļu un locītavu sāpju mazināšanai.</w:t>
      </w:r>
      <w:r w:rsidRPr="00D14DCC">
        <w:rPr>
          <w:sz w:val="22"/>
          <w:szCs w:val="22"/>
        </w:rPr>
        <w:t xml:space="preserve"> </w:t>
      </w:r>
    </w:p>
    <w:p w:rsidR="008B317D" w:rsidRPr="00D14DCC" w:rsidRDefault="008B317D" w:rsidP="008B317D">
      <w:pPr>
        <w:rPr>
          <w:sz w:val="22"/>
          <w:szCs w:val="22"/>
        </w:rPr>
      </w:pPr>
      <w:r w:rsidRPr="00D14DCC">
        <w:rPr>
          <w:sz w:val="22"/>
          <w:szCs w:val="22"/>
        </w:rPr>
        <w:t>Terpentīna eļļa</w:t>
      </w:r>
      <w:r>
        <w:rPr>
          <w:sz w:val="22"/>
          <w:szCs w:val="22"/>
        </w:rPr>
        <w:t xml:space="preserve"> un eikalipta eļļa,</w:t>
      </w:r>
      <w:r w:rsidRPr="00D14DCC">
        <w:rPr>
          <w:sz w:val="22"/>
          <w:szCs w:val="22"/>
        </w:rPr>
        <w:t xml:space="preserve"> nokļūstot uz ādas</w:t>
      </w:r>
      <w:r>
        <w:rPr>
          <w:sz w:val="22"/>
          <w:szCs w:val="22"/>
        </w:rPr>
        <w:t>,</w:t>
      </w:r>
      <w:r w:rsidRPr="00D14DCC">
        <w:rPr>
          <w:sz w:val="22"/>
          <w:szCs w:val="22"/>
        </w:rPr>
        <w:t xml:space="preserve"> darbojas kairinoši.</w:t>
      </w:r>
    </w:p>
    <w:p w:rsidR="008B317D" w:rsidRPr="00D14DCC" w:rsidRDefault="008B317D" w:rsidP="008B317D">
      <w:pPr>
        <w:rPr>
          <w:sz w:val="22"/>
          <w:szCs w:val="22"/>
        </w:rPr>
      </w:pPr>
      <w:r>
        <w:rPr>
          <w:sz w:val="22"/>
          <w:szCs w:val="22"/>
        </w:rPr>
        <w:t>Rac</w:t>
      </w:r>
      <w:r w:rsidR="008765C0">
        <w:rPr>
          <w:sz w:val="22"/>
          <w:szCs w:val="22"/>
        </w:rPr>
        <w:t>ē</w:t>
      </w:r>
      <w:r>
        <w:rPr>
          <w:sz w:val="22"/>
          <w:szCs w:val="22"/>
        </w:rPr>
        <w:t>miskais m</w:t>
      </w:r>
      <w:r w:rsidRPr="00D14DCC">
        <w:rPr>
          <w:sz w:val="22"/>
          <w:szCs w:val="22"/>
        </w:rPr>
        <w:t>entol</w:t>
      </w:r>
      <w:r>
        <w:rPr>
          <w:sz w:val="22"/>
          <w:szCs w:val="22"/>
        </w:rPr>
        <w:t>s, lietojot ārīgi, iedarbojas analgētiski.</w:t>
      </w:r>
      <w:r w:rsidRPr="00D14DCC">
        <w:rPr>
          <w:sz w:val="22"/>
          <w:szCs w:val="22"/>
        </w:rPr>
        <w:t xml:space="preserve"> </w:t>
      </w:r>
    </w:p>
    <w:p w:rsidR="008B317D" w:rsidRPr="00D14DCC" w:rsidRDefault="008B317D" w:rsidP="008B317D">
      <w:pPr>
        <w:rPr>
          <w:sz w:val="22"/>
          <w:szCs w:val="22"/>
        </w:rPr>
      </w:pPr>
    </w:p>
    <w:p w:rsidR="008B317D" w:rsidRPr="00E218A6" w:rsidRDefault="008B317D" w:rsidP="008B317D">
      <w:pPr>
        <w:rPr>
          <w:b/>
          <w:sz w:val="22"/>
          <w:szCs w:val="22"/>
        </w:rPr>
      </w:pPr>
      <w:r>
        <w:rPr>
          <w:b/>
          <w:sz w:val="22"/>
          <w:szCs w:val="22"/>
        </w:rPr>
        <w:t>5.2.</w:t>
      </w:r>
      <w:r>
        <w:rPr>
          <w:b/>
          <w:sz w:val="22"/>
          <w:szCs w:val="22"/>
        </w:rPr>
        <w:tab/>
      </w:r>
      <w:r w:rsidRPr="00E218A6">
        <w:rPr>
          <w:b/>
          <w:sz w:val="22"/>
          <w:szCs w:val="22"/>
        </w:rPr>
        <w:t>Farmakokinētiskās īpašības</w:t>
      </w:r>
    </w:p>
    <w:p w:rsidR="008B317D" w:rsidRDefault="008B317D" w:rsidP="008B317D">
      <w:pPr>
        <w:ind w:left="720"/>
        <w:rPr>
          <w:sz w:val="22"/>
          <w:szCs w:val="22"/>
        </w:rPr>
      </w:pPr>
    </w:p>
    <w:p w:rsidR="008B317D" w:rsidRDefault="008B317D" w:rsidP="008B317D">
      <w:pPr>
        <w:rPr>
          <w:sz w:val="22"/>
          <w:szCs w:val="22"/>
        </w:rPr>
      </w:pPr>
      <w:r>
        <w:rPr>
          <w:sz w:val="22"/>
          <w:szCs w:val="22"/>
        </w:rPr>
        <w:t>Šīs zāles ir paredzētas lietošanai uz ādas. Ar šīm zālēm nav veikti absorbcijas pētījumi. Literatūrā pieejamās informācijas apkopojums par šīm aktīvajām vielām varētu būt sekojošs:</w:t>
      </w:r>
    </w:p>
    <w:p w:rsidR="008B317D" w:rsidRPr="00D14DCC" w:rsidRDefault="008B317D" w:rsidP="008B317D">
      <w:pPr>
        <w:rPr>
          <w:sz w:val="22"/>
          <w:szCs w:val="22"/>
        </w:rPr>
      </w:pPr>
    </w:p>
    <w:p w:rsidR="008B317D" w:rsidRDefault="008B317D" w:rsidP="008B317D">
      <w:pPr>
        <w:rPr>
          <w:sz w:val="22"/>
          <w:szCs w:val="22"/>
        </w:rPr>
      </w:pPr>
      <w:r>
        <w:rPr>
          <w:sz w:val="22"/>
          <w:szCs w:val="22"/>
        </w:rPr>
        <w:t xml:space="preserve">Metilsalicilāts lietots uz ādas viegli uzsūcas, ko papildus veicina siltums, fiziskā slodze, pārsēju lietošana </w:t>
      </w:r>
      <w:r w:rsidRPr="00F613FF">
        <w:rPr>
          <w:sz w:val="22"/>
          <w:szCs w:val="22"/>
        </w:rPr>
        <w:t>un ādas virskārtas bojājumi. Pēc</w:t>
      </w:r>
      <w:r>
        <w:rPr>
          <w:sz w:val="22"/>
          <w:szCs w:val="22"/>
        </w:rPr>
        <w:t xml:space="preserve"> lietošanas uz ādas novērojama zema sistēmiska metilsalicilāta koncentrācija plazmā, jo tas audos ātri hidrolizējas par salicilskābi. Tāpēc pēc metilsalicilāta lietošanas uz ādas visticamāk iespējams novērot tikai vietējas blakusparādības. Sistēmiska salicilskābe plaši saistās ar olbaltumvielām neaktīvā formā un brīvā aktīvā forma metabolizējas vai neizmainītā veidā izdalās ar urīnu.</w:t>
      </w:r>
    </w:p>
    <w:p w:rsidR="008B317D" w:rsidRDefault="008B317D" w:rsidP="008B317D">
      <w:pPr>
        <w:rPr>
          <w:sz w:val="22"/>
          <w:szCs w:val="22"/>
        </w:rPr>
      </w:pPr>
    </w:p>
    <w:p w:rsidR="008B317D" w:rsidRDefault="008B317D" w:rsidP="008B317D">
      <w:pPr>
        <w:rPr>
          <w:sz w:val="22"/>
          <w:szCs w:val="22"/>
        </w:rPr>
      </w:pPr>
      <w:r>
        <w:rPr>
          <w:sz w:val="22"/>
          <w:szCs w:val="22"/>
        </w:rPr>
        <w:t>Pieejama ierobežota farmakokinētiskā informācija par mentola lietošanu uz ādas. Mentols caur ādu uzsūcas ar salīdzinoši zemu sistēmisku koncentrāciju plazmā, kas norāda uz to, ka lietots uz ādas mentols galvenokārt iedarbojas vietēji. Iespējams, ādā noris daži mentola metabolismi, bet lielākais vairums metabolizējas aknās, kas lipīdos šķīstošo mentolu pārvērš četros ūdenī šķīstošos metabolītos, kas izdalās ar urīnu.</w:t>
      </w:r>
    </w:p>
    <w:p w:rsidR="008B317D" w:rsidRDefault="008B317D" w:rsidP="008B317D">
      <w:pPr>
        <w:rPr>
          <w:sz w:val="22"/>
          <w:szCs w:val="22"/>
        </w:rPr>
      </w:pPr>
      <w:r>
        <w:rPr>
          <w:sz w:val="22"/>
          <w:szCs w:val="22"/>
        </w:rPr>
        <w:t xml:space="preserve"> </w:t>
      </w:r>
    </w:p>
    <w:p w:rsidR="008B317D" w:rsidRDefault="008B317D" w:rsidP="008B317D">
      <w:pPr>
        <w:rPr>
          <w:sz w:val="22"/>
          <w:szCs w:val="22"/>
        </w:rPr>
      </w:pPr>
      <w:r>
        <w:rPr>
          <w:sz w:val="22"/>
          <w:szCs w:val="22"/>
        </w:rPr>
        <w:t>Ir maz zināms par eikaliptu eļļas un terpentīna eļļas farmakokinētiskajām īpašībām pēc lietošanas uz ādas.</w:t>
      </w:r>
    </w:p>
    <w:p w:rsidR="008B317D" w:rsidRPr="006608EB" w:rsidRDefault="008B317D" w:rsidP="008B317D">
      <w:pPr>
        <w:rPr>
          <w:sz w:val="22"/>
          <w:szCs w:val="22"/>
        </w:rPr>
      </w:pPr>
    </w:p>
    <w:p w:rsidR="008B317D" w:rsidRPr="00E218A6" w:rsidRDefault="008B317D" w:rsidP="008B317D">
      <w:pPr>
        <w:rPr>
          <w:b/>
          <w:sz w:val="22"/>
          <w:szCs w:val="22"/>
        </w:rPr>
      </w:pPr>
      <w:r>
        <w:rPr>
          <w:b/>
          <w:sz w:val="22"/>
          <w:szCs w:val="22"/>
        </w:rPr>
        <w:t>5.3.</w:t>
      </w:r>
      <w:r>
        <w:rPr>
          <w:b/>
          <w:sz w:val="22"/>
          <w:szCs w:val="22"/>
        </w:rPr>
        <w:tab/>
      </w:r>
      <w:r w:rsidRPr="00E218A6">
        <w:rPr>
          <w:b/>
          <w:sz w:val="22"/>
          <w:szCs w:val="22"/>
        </w:rPr>
        <w:t>Preklīniskie dati par droš</w:t>
      </w:r>
      <w:r w:rsidR="009F64EE">
        <w:rPr>
          <w:b/>
          <w:sz w:val="22"/>
          <w:szCs w:val="22"/>
        </w:rPr>
        <w:t>umu</w:t>
      </w:r>
    </w:p>
    <w:p w:rsidR="008B317D" w:rsidRDefault="008B317D" w:rsidP="008B317D">
      <w:pPr>
        <w:ind w:left="720"/>
        <w:rPr>
          <w:sz w:val="22"/>
          <w:szCs w:val="22"/>
        </w:rPr>
      </w:pPr>
    </w:p>
    <w:p w:rsidR="008B317D" w:rsidRPr="00D14DCC" w:rsidRDefault="008B317D" w:rsidP="008B317D">
      <w:pPr>
        <w:rPr>
          <w:sz w:val="22"/>
          <w:szCs w:val="22"/>
        </w:rPr>
      </w:pPr>
      <w:r>
        <w:rPr>
          <w:sz w:val="22"/>
          <w:szCs w:val="22"/>
        </w:rPr>
        <w:t>Šīm zālēm toksikoloģijas pārbaudes nav veiktas. Tomēr, visas a</w:t>
      </w:r>
      <w:r w:rsidRPr="00D14DCC">
        <w:rPr>
          <w:sz w:val="22"/>
          <w:szCs w:val="22"/>
        </w:rPr>
        <w:t>ktīvā</w:t>
      </w:r>
      <w:r>
        <w:rPr>
          <w:sz w:val="22"/>
          <w:szCs w:val="22"/>
        </w:rPr>
        <w:t>s</w:t>
      </w:r>
      <w:r w:rsidRPr="00D14DCC">
        <w:rPr>
          <w:sz w:val="22"/>
          <w:szCs w:val="22"/>
        </w:rPr>
        <w:t xml:space="preserve"> viela</w:t>
      </w:r>
      <w:r>
        <w:rPr>
          <w:sz w:val="22"/>
          <w:szCs w:val="22"/>
        </w:rPr>
        <w:t>s</w:t>
      </w:r>
      <w:r w:rsidRPr="00D14DCC">
        <w:rPr>
          <w:sz w:val="22"/>
          <w:szCs w:val="22"/>
        </w:rPr>
        <w:t xml:space="preserve"> ir aprakstīta Britu Farmakopejas un Eiropas Farmakopejas monogrāfijās un ir dokumentēta Martindale, Extra </w:t>
      </w:r>
      <w:r>
        <w:rPr>
          <w:sz w:val="22"/>
          <w:szCs w:val="22"/>
        </w:rPr>
        <w:t>F</w:t>
      </w:r>
      <w:r w:rsidRPr="00D14DCC">
        <w:rPr>
          <w:sz w:val="22"/>
          <w:szCs w:val="22"/>
        </w:rPr>
        <w:t>arma</w:t>
      </w:r>
      <w:r>
        <w:rPr>
          <w:sz w:val="22"/>
          <w:szCs w:val="22"/>
        </w:rPr>
        <w:t>k</w:t>
      </w:r>
      <w:r w:rsidRPr="00D14DCC">
        <w:rPr>
          <w:sz w:val="22"/>
          <w:szCs w:val="22"/>
        </w:rPr>
        <w:t>ope</w:t>
      </w:r>
      <w:r>
        <w:rPr>
          <w:sz w:val="22"/>
          <w:szCs w:val="22"/>
        </w:rPr>
        <w:t>j</w:t>
      </w:r>
      <w:r w:rsidRPr="00D14DCC">
        <w:rPr>
          <w:sz w:val="22"/>
          <w:szCs w:val="22"/>
        </w:rPr>
        <w:t>a</w:t>
      </w:r>
      <w:r>
        <w:rPr>
          <w:sz w:val="22"/>
          <w:szCs w:val="22"/>
        </w:rPr>
        <w:t>s</w:t>
      </w:r>
      <w:r w:rsidRPr="00D14DCC">
        <w:rPr>
          <w:sz w:val="22"/>
          <w:szCs w:val="22"/>
        </w:rPr>
        <w:t xml:space="preserve"> izdevumos. </w:t>
      </w:r>
    </w:p>
    <w:p w:rsidR="008B317D" w:rsidRDefault="008B317D" w:rsidP="008B317D">
      <w:pPr>
        <w:rPr>
          <w:sz w:val="22"/>
          <w:szCs w:val="22"/>
        </w:rPr>
      </w:pPr>
    </w:p>
    <w:p w:rsidR="008B317D" w:rsidRPr="00D14DCC" w:rsidRDefault="008B317D" w:rsidP="008B317D">
      <w:pPr>
        <w:rPr>
          <w:sz w:val="22"/>
          <w:szCs w:val="22"/>
        </w:rPr>
      </w:pPr>
    </w:p>
    <w:p w:rsidR="008B317D" w:rsidRPr="0027354E" w:rsidRDefault="008B317D" w:rsidP="008B317D">
      <w:pPr>
        <w:numPr>
          <w:ilvl w:val="0"/>
          <w:numId w:val="1"/>
        </w:numPr>
        <w:tabs>
          <w:tab w:val="clear" w:pos="1080"/>
          <w:tab w:val="num" w:pos="540"/>
        </w:tabs>
        <w:ind w:hanging="1080"/>
        <w:rPr>
          <w:rFonts w:ascii="Times New Roman Bold" w:hAnsi="Times New Roman Bold"/>
          <w:b/>
          <w:caps/>
          <w:sz w:val="22"/>
          <w:szCs w:val="22"/>
        </w:rPr>
      </w:pPr>
      <w:r w:rsidRPr="0027354E">
        <w:rPr>
          <w:rFonts w:ascii="Times New Roman Bold" w:hAnsi="Times New Roman Bold"/>
          <w:b/>
          <w:caps/>
          <w:sz w:val="22"/>
          <w:szCs w:val="22"/>
        </w:rPr>
        <w:t>Farmaceitiskā informācija</w:t>
      </w:r>
    </w:p>
    <w:p w:rsidR="008B317D" w:rsidRPr="00D14DCC" w:rsidRDefault="008B317D" w:rsidP="008B317D">
      <w:pPr>
        <w:rPr>
          <w:sz w:val="22"/>
          <w:szCs w:val="22"/>
        </w:rPr>
      </w:pPr>
    </w:p>
    <w:p w:rsidR="008B317D" w:rsidRPr="0027354E" w:rsidRDefault="008B317D" w:rsidP="008B317D">
      <w:pPr>
        <w:rPr>
          <w:b/>
          <w:sz w:val="22"/>
          <w:szCs w:val="22"/>
        </w:rPr>
      </w:pPr>
      <w:r>
        <w:rPr>
          <w:b/>
          <w:sz w:val="22"/>
          <w:szCs w:val="22"/>
        </w:rPr>
        <w:t>6.1.</w:t>
      </w:r>
      <w:r>
        <w:rPr>
          <w:b/>
          <w:sz w:val="22"/>
          <w:szCs w:val="22"/>
        </w:rPr>
        <w:tab/>
      </w:r>
      <w:r w:rsidRPr="0027354E">
        <w:rPr>
          <w:b/>
          <w:sz w:val="22"/>
          <w:szCs w:val="22"/>
        </w:rPr>
        <w:t>Palīgvielu saraksts</w:t>
      </w:r>
    </w:p>
    <w:p w:rsidR="008B317D" w:rsidRDefault="008B317D" w:rsidP="008B317D">
      <w:pPr>
        <w:ind w:left="720"/>
        <w:rPr>
          <w:sz w:val="22"/>
          <w:szCs w:val="22"/>
        </w:rPr>
      </w:pPr>
    </w:p>
    <w:p w:rsidR="008B317D" w:rsidRDefault="008B317D" w:rsidP="008B317D">
      <w:pPr>
        <w:rPr>
          <w:sz w:val="22"/>
          <w:szCs w:val="22"/>
        </w:rPr>
      </w:pPr>
      <w:r>
        <w:rPr>
          <w:sz w:val="22"/>
          <w:szCs w:val="22"/>
        </w:rPr>
        <w:t>Nātrija cetostearil sulfāts</w:t>
      </w:r>
    </w:p>
    <w:p w:rsidR="008B317D" w:rsidRDefault="008B317D" w:rsidP="008B317D">
      <w:pPr>
        <w:rPr>
          <w:sz w:val="22"/>
          <w:szCs w:val="22"/>
        </w:rPr>
      </w:pPr>
      <w:r>
        <w:rPr>
          <w:sz w:val="22"/>
          <w:szCs w:val="22"/>
        </w:rPr>
        <w:t>Cetostearilspirts</w:t>
      </w:r>
    </w:p>
    <w:p w:rsidR="008B317D" w:rsidRDefault="008B317D" w:rsidP="008B317D">
      <w:pPr>
        <w:rPr>
          <w:sz w:val="22"/>
          <w:szCs w:val="22"/>
        </w:rPr>
      </w:pPr>
      <w:r>
        <w:rPr>
          <w:sz w:val="22"/>
          <w:szCs w:val="22"/>
        </w:rPr>
        <w:lastRenderedPageBreak/>
        <w:t>Propilēnglikols</w:t>
      </w:r>
    </w:p>
    <w:p w:rsidR="008B317D" w:rsidRPr="00D14DCC" w:rsidRDefault="008B317D" w:rsidP="008B317D">
      <w:pPr>
        <w:rPr>
          <w:sz w:val="22"/>
          <w:szCs w:val="22"/>
        </w:rPr>
      </w:pPr>
      <w:r>
        <w:rPr>
          <w:sz w:val="22"/>
          <w:szCs w:val="22"/>
        </w:rPr>
        <w:t>Vilnas tauki (</w:t>
      </w:r>
      <w:r w:rsidRPr="00D14DCC">
        <w:rPr>
          <w:sz w:val="22"/>
          <w:szCs w:val="22"/>
        </w:rPr>
        <w:t xml:space="preserve">Lanolīns) </w:t>
      </w:r>
    </w:p>
    <w:p w:rsidR="008B317D" w:rsidRDefault="008B317D" w:rsidP="008B317D">
      <w:pPr>
        <w:rPr>
          <w:sz w:val="22"/>
          <w:szCs w:val="22"/>
        </w:rPr>
      </w:pPr>
      <w:r>
        <w:rPr>
          <w:sz w:val="22"/>
          <w:szCs w:val="22"/>
        </w:rPr>
        <w:t>Vazelīneļļa</w:t>
      </w:r>
    </w:p>
    <w:p w:rsidR="008B317D" w:rsidRDefault="008B317D" w:rsidP="008B317D">
      <w:pPr>
        <w:rPr>
          <w:sz w:val="22"/>
          <w:szCs w:val="22"/>
        </w:rPr>
      </w:pPr>
      <w:r>
        <w:rPr>
          <w:sz w:val="22"/>
          <w:szCs w:val="22"/>
        </w:rPr>
        <w:t>Attīrīts ūdens</w:t>
      </w:r>
    </w:p>
    <w:p w:rsidR="008B317D" w:rsidRPr="00D14DCC" w:rsidRDefault="008B317D" w:rsidP="008B317D">
      <w:pPr>
        <w:rPr>
          <w:sz w:val="22"/>
          <w:szCs w:val="22"/>
        </w:rPr>
      </w:pPr>
    </w:p>
    <w:p w:rsidR="008B317D" w:rsidRPr="0027354E" w:rsidRDefault="008B317D" w:rsidP="008B317D">
      <w:pPr>
        <w:rPr>
          <w:b/>
          <w:sz w:val="22"/>
          <w:szCs w:val="22"/>
        </w:rPr>
      </w:pPr>
      <w:r>
        <w:rPr>
          <w:b/>
          <w:sz w:val="22"/>
          <w:szCs w:val="22"/>
        </w:rPr>
        <w:t>6.2.</w:t>
      </w:r>
      <w:r>
        <w:rPr>
          <w:b/>
          <w:sz w:val="22"/>
          <w:szCs w:val="22"/>
        </w:rPr>
        <w:tab/>
      </w:r>
      <w:r w:rsidRPr="0027354E">
        <w:rPr>
          <w:b/>
          <w:sz w:val="22"/>
          <w:szCs w:val="22"/>
        </w:rPr>
        <w:t>Nesaderība</w:t>
      </w:r>
    </w:p>
    <w:p w:rsidR="008B317D" w:rsidRDefault="008B317D" w:rsidP="008B317D">
      <w:pPr>
        <w:ind w:left="720"/>
        <w:rPr>
          <w:sz w:val="22"/>
          <w:szCs w:val="22"/>
        </w:rPr>
      </w:pPr>
    </w:p>
    <w:p w:rsidR="008B317D" w:rsidRPr="00D14DCC" w:rsidRDefault="008B317D" w:rsidP="008B317D">
      <w:pPr>
        <w:rPr>
          <w:sz w:val="22"/>
          <w:szCs w:val="22"/>
        </w:rPr>
      </w:pPr>
      <w:r w:rsidRPr="00D14DCC">
        <w:rPr>
          <w:sz w:val="22"/>
          <w:szCs w:val="22"/>
        </w:rPr>
        <w:t>Nav piemērojama.</w:t>
      </w:r>
    </w:p>
    <w:p w:rsidR="008B317D" w:rsidRPr="00D14DCC" w:rsidRDefault="008B317D" w:rsidP="008B317D">
      <w:pPr>
        <w:rPr>
          <w:sz w:val="22"/>
          <w:szCs w:val="22"/>
        </w:rPr>
      </w:pPr>
    </w:p>
    <w:p w:rsidR="008B317D" w:rsidRPr="0027354E" w:rsidRDefault="008B317D" w:rsidP="008B317D">
      <w:pPr>
        <w:rPr>
          <w:b/>
          <w:sz w:val="22"/>
          <w:szCs w:val="22"/>
        </w:rPr>
      </w:pPr>
      <w:r>
        <w:rPr>
          <w:b/>
          <w:sz w:val="22"/>
          <w:szCs w:val="22"/>
        </w:rPr>
        <w:t>6.3.</w:t>
      </w:r>
      <w:r>
        <w:rPr>
          <w:b/>
          <w:sz w:val="22"/>
          <w:szCs w:val="22"/>
        </w:rPr>
        <w:tab/>
      </w:r>
      <w:r w:rsidRPr="0027354E">
        <w:rPr>
          <w:b/>
          <w:sz w:val="22"/>
          <w:szCs w:val="22"/>
        </w:rPr>
        <w:t>Uzglabāšanas laiks</w:t>
      </w:r>
    </w:p>
    <w:p w:rsidR="008B317D" w:rsidRDefault="008B317D" w:rsidP="008B317D">
      <w:pPr>
        <w:rPr>
          <w:sz w:val="22"/>
          <w:szCs w:val="22"/>
        </w:rPr>
      </w:pPr>
      <w:r w:rsidRPr="00D14DCC">
        <w:rPr>
          <w:sz w:val="22"/>
          <w:szCs w:val="22"/>
        </w:rPr>
        <w:tab/>
      </w:r>
    </w:p>
    <w:p w:rsidR="008B317D" w:rsidRPr="00D14DCC" w:rsidRDefault="008B317D" w:rsidP="008B317D">
      <w:pPr>
        <w:rPr>
          <w:sz w:val="22"/>
          <w:szCs w:val="22"/>
        </w:rPr>
      </w:pPr>
      <w:r>
        <w:rPr>
          <w:sz w:val="22"/>
          <w:szCs w:val="22"/>
        </w:rPr>
        <w:t>3</w:t>
      </w:r>
      <w:r w:rsidRPr="00D14DCC">
        <w:rPr>
          <w:sz w:val="22"/>
          <w:szCs w:val="22"/>
        </w:rPr>
        <w:t xml:space="preserve"> gadi</w:t>
      </w:r>
    </w:p>
    <w:p w:rsidR="008B317D" w:rsidRPr="00D14DCC" w:rsidRDefault="008B317D" w:rsidP="008B317D">
      <w:pPr>
        <w:rPr>
          <w:sz w:val="22"/>
          <w:szCs w:val="22"/>
        </w:rPr>
      </w:pPr>
    </w:p>
    <w:p w:rsidR="008B317D" w:rsidRPr="0027354E" w:rsidRDefault="008B317D" w:rsidP="008B317D">
      <w:pPr>
        <w:rPr>
          <w:b/>
          <w:sz w:val="22"/>
          <w:szCs w:val="22"/>
        </w:rPr>
      </w:pPr>
      <w:r>
        <w:rPr>
          <w:b/>
          <w:sz w:val="22"/>
          <w:szCs w:val="22"/>
        </w:rPr>
        <w:t>6.4.</w:t>
      </w:r>
      <w:r>
        <w:rPr>
          <w:b/>
          <w:sz w:val="22"/>
          <w:szCs w:val="22"/>
        </w:rPr>
        <w:tab/>
      </w:r>
      <w:r w:rsidRPr="0027354E">
        <w:rPr>
          <w:b/>
          <w:sz w:val="22"/>
          <w:szCs w:val="22"/>
        </w:rPr>
        <w:t>Īpaši uzglabāšanas nosacījumi</w:t>
      </w:r>
    </w:p>
    <w:p w:rsidR="008B317D" w:rsidRDefault="008B317D" w:rsidP="008B317D">
      <w:pPr>
        <w:ind w:left="720"/>
        <w:rPr>
          <w:sz w:val="22"/>
          <w:szCs w:val="22"/>
        </w:rPr>
      </w:pPr>
    </w:p>
    <w:p w:rsidR="008B317D" w:rsidRPr="00D14DCC" w:rsidRDefault="008B317D" w:rsidP="008B317D">
      <w:pPr>
        <w:rPr>
          <w:sz w:val="22"/>
          <w:szCs w:val="22"/>
        </w:rPr>
      </w:pPr>
      <w:r w:rsidRPr="00D14DCC">
        <w:rPr>
          <w:sz w:val="22"/>
          <w:szCs w:val="22"/>
        </w:rPr>
        <w:t>Uzglabāt temperatūrā līdz 25</w:t>
      </w:r>
      <w:r w:rsidRPr="00D14DCC">
        <w:rPr>
          <w:sz w:val="22"/>
          <w:szCs w:val="22"/>
        </w:rPr>
        <w:sym w:font="Symbol" w:char="F0B0"/>
      </w:r>
      <w:r w:rsidRPr="00D14DCC">
        <w:rPr>
          <w:sz w:val="22"/>
          <w:szCs w:val="22"/>
        </w:rPr>
        <w:t>C.</w:t>
      </w:r>
    </w:p>
    <w:p w:rsidR="008B317D" w:rsidRPr="00D14DCC" w:rsidRDefault="008B317D" w:rsidP="008B317D">
      <w:pPr>
        <w:rPr>
          <w:sz w:val="22"/>
          <w:szCs w:val="22"/>
        </w:rPr>
      </w:pPr>
    </w:p>
    <w:p w:rsidR="008B317D" w:rsidRPr="0027354E" w:rsidRDefault="008B317D" w:rsidP="008B317D">
      <w:pPr>
        <w:rPr>
          <w:b/>
          <w:sz w:val="22"/>
          <w:szCs w:val="22"/>
        </w:rPr>
      </w:pPr>
      <w:r>
        <w:rPr>
          <w:b/>
          <w:sz w:val="22"/>
          <w:szCs w:val="22"/>
        </w:rPr>
        <w:t>6.5.</w:t>
      </w:r>
      <w:r>
        <w:rPr>
          <w:b/>
          <w:sz w:val="22"/>
          <w:szCs w:val="22"/>
        </w:rPr>
        <w:tab/>
      </w:r>
      <w:r w:rsidRPr="0027354E">
        <w:rPr>
          <w:b/>
          <w:sz w:val="22"/>
          <w:szCs w:val="22"/>
        </w:rPr>
        <w:t>Iepakojuma veids un saturs</w:t>
      </w:r>
    </w:p>
    <w:p w:rsidR="008B317D" w:rsidRPr="00D14DCC" w:rsidRDefault="008B317D" w:rsidP="008B317D">
      <w:pPr>
        <w:rPr>
          <w:sz w:val="22"/>
          <w:szCs w:val="22"/>
        </w:rPr>
      </w:pPr>
    </w:p>
    <w:p w:rsidR="008B317D" w:rsidRDefault="008B317D" w:rsidP="008B317D">
      <w:pPr>
        <w:rPr>
          <w:sz w:val="22"/>
          <w:szCs w:val="22"/>
        </w:rPr>
      </w:pPr>
      <w:r w:rsidRPr="00D14DCC">
        <w:rPr>
          <w:sz w:val="22"/>
          <w:szCs w:val="22"/>
        </w:rPr>
        <w:t>Alumīnija tūbiņa ar augsta blīvuma polietilēna korķīti, ievietota kartona kastītē</w:t>
      </w:r>
      <w:r>
        <w:rPr>
          <w:sz w:val="22"/>
          <w:szCs w:val="22"/>
        </w:rPr>
        <w:t xml:space="preserve"> pa </w:t>
      </w:r>
      <w:r w:rsidRPr="00D14DCC">
        <w:rPr>
          <w:sz w:val="22"/>
          <w:szCs w:val="22"/>
        </w:rPr>
        <w:t>15</w:t>
      </w:r>
      <w:r>
        <w:rPr>
          <w:sz w:val="22"/>
          <w:szCs w:val="22"/>
        </w:rPr>
        <w:t xml:space="preserve"> g</w:t>
      </w:r>
      <w:r w:rsidRPr="00D14DCC">
        <w:rPr>
          <w:sz w:val="22"/>
          <w:szCs w:val="22"/>
        </w:rPr>
        <w:t>, 35</w:t>
      </w:r>
      <w:r>
        <w:rPr>
          <w:sz w:val="22"/>
          <w:szCs w:val="22"/>
        </w:rPr>
        <w:t>g</w:t>
      </w:r>
      <w:r w:rsidRPr="00D14DCC">
        <w:rPr>
          <w:sz w:val="22"/>
          <w:szCs w:val="22"/>
        </w:rPr>
        <w:t>, 67g vai 100g.</w:t>
      </w:r>
    </w:p>
    <w:p w:rsidR="008B317D" w:rsidRPr="00D14DCC" w:rsidRDefault="008B317D" w:rsidP="008B317D">
      <w:pPr>
        <w:rPr>
          <w:sz w:val="22"/>
          <w:szCs w:val="22"/>
        </w:rPr>
      </w:pPr>
    </w:p>
    <w:p w:rsidR="008B317D" w:rsidRPr="00D14DCC" w:rsidRDefault="008B317D" w:rsidP="008B317D">
      <w:pPr>
        <w:rPr>
          <w:sz w:val="22"/>
          <w:szCs w:val="22"/>
        </w:rPr>
      </w:pPr>
      <w:r>
        <w:rPr>
          <w:sz w:val="22"/>
          <w:szCs w:val="22"/>
        </w:rPr>
        <w:t xml:space="preserve"> </w:t>
      </w:r>
      <w:r w:rsidRPr="00D14DCC">
        <w:rPr>
          <w:sz w:val="22"/>
          <w:szCs w:val="22"/>
        </w:rPr>
        <w:t xml:space="preserve">Visi iepakojuma lielumi tirgū var nebūt pieejami. </w:t>
      </w:r>
    </w:p>
    <w:p w:rsidR="008B317D" w:rsidRPr="00D14DCC" w:rsidRDefault="008B317D" w:rsidP="008B317D">
      <w:pPr>
        <w:rPr>
          <w:sz w:val="22"/>
          <w:szCs w:val="22"/>
        </w:rPr>
      </w:pPr>
    </w:p>
    <w:p w:rsidR="008B317D" w:rsidRPr="00D34411" w:rsidRDefault="008B317D" w:rsidP="008B317D">
      <w:pPr>
        <w:rPr>
          <w:b/>
          <w:sz w:val="22"/>
          <w:szCs w:val="22"/>
        </w:rPr>
      </w:pPr>
      <w:r>
        <w:rPr>
          <w:b/>
          <w:sz w:val="22"/>
          <w:szCs w:val="22"/>
        </w:rPr>
        <w:t>6.6.</w:t>
      </w:r>
      <w:r>
        <w:rPr>
          <w:b/>
          <w:sz w:val="22"/>
          <w:szCs w:val="22"/>
        </w:rPr>
        <w:tab/>
      </w:r>
      <w:r w:rsidRPr="00D0525C">
        <w:rPr>
          <w:b/>
          <w:sz w:val="22"/>
          <w:szCs w:val="22"/>
        </w:rPr>
        <w:t>Īpaši nor</w:t>
      </w:r>
      <w:r>
        <w:rPr>
          <w:b/>
          <w:sz w:val="22"/>
          <w:szCs w:val="22"/>
        </w:rPr>
        <w:t xml:space="preserve">ādījumi atkritumu likvidēšanai </w:t>
      </w:r>
      <w:r w:rsidRPr="00D0525C">
        <w:rPr>
          <w:b/>
          <w:sz w:val="22"/>
          <w:szCs w:val="22"/>
        </w:rPr>
        <w:t>un citi norādījumi par rīkošanos</w:t>
      </w:r>
    </w:p>
    <w:p w:rsidR="008B317D" w:rsidRDefault="008B317D" w:rsidP="008B317D">
      <w:pPr>
        <w:ind w:left="720"/>
        <w:rPr>
          <w:sz w:val="22"/>
          <w:szCs w:val="22"/>
        </w:rPr>
      </w:pPr>
    </w:p>
    <w:p w:rsidR="008B317D" w:rsidRPr="00D14DCC" w:rsidRDefault="008B317D" w:rsidP="008B317D">
      <w:pPr>
        <w:rPr>
          <w:sz w:val="22"/>
          <w:szCs w:val="22"/>
        </w:rPr>
      </w:pPr>
      <w:r w:rsidRPr="00874462">
        <w:rPr>
          <w:sz w:val="22"/>
          <w:szCs w:val="22"/>
        </w:rPr>
        <w:t>Neizlietotās zāles vai izlietotie materiāli jāiznīci</w:t>
      </w:r>
      <w:r>
        <w:rPr>
          <w:sz w:val="22"/>
          <w:szCs w:val="22"/>
        </w:rPr>
        <w:t>na atbilstoši vietējām prasībām</w:t>
      </w:r>
      <w:r w:rsidRPr="00D14DCC">
        <w:rPr>
          <w:sz w:val="22"/>
          <w:szCs w:val="22"/>
        </w:rPr>
        <w:t>.</w:t>
      </w:r>
    </w:p>
    <w:p w:rsidR="008B317D" w:rsidRDefault="008B317D" w:rsidP="008B317D">
      <w:pPr>
        <w:rPr>
          <w:sz w:val="22"/>
          <w:szCs w:val="22"/>
        </w:rPr>
      </w:pPr>
    </w:p>
    <w:p w:rsidR="008B317D" w:rsidRPr="00D14DCC" w:rsidRDefault="008B317D" w:rsidP="008B317D">
      <w:pPr>
        <w:rPr>
          <w:sz w:val="22"/>
          <w:szCs w:val="22"/>
        </w:rPr>
      </w:pPr>
    </w:p>
    <w:p w:rsidR="008B317D" w:rsidRPr="00D34411" w:rsidRDefault="008B317D" w:rsidP="008B317D">
      <w:pPr>
        <w:numPr>
          <w:ilvl w:val="0"/>
          <w:numId w:val="1"/>
        </w:numPr>
        <w:tabs>
          <w:tab w:val="clear" w:pos="1080"/>
          <w:tab w:val="num" w:pos="540"/>
        </w:tabs>
        <w:ind w:left="540" w:hanging="540"/>
        <w:rPr>
          <w:rFonts w:ascii="Times New Roman Bold" w:hAnsi="Times New Roman Bold"/>
          <w:b/>
          <w:caps/>
          <w:sz w:val="22"/>
          <w:szCs w:val="22"/>
        </w:rPr>
      </w:pPr>
      <w:r w:rsidRPr="00D34411">
        <w:rPr>
          <w:rFonts w:ascii="Times New Roman Bold" w:hAnsi="Times New Roman Bold"/>
          <w:b/>
          <w:caps/>
          <w:sz w:val="22"/>
          <w:szCs w:val="22"/>
        </w:rPr>
        <w:t>Reģistrācijas apliecības īpašnieks</w:t>
      </w:r>
    </w:p>
    <w:p w:rsidR="008B317D" w:rsidRPr="00D34411" w:rsidRDefault="008B317D" w:rsidP="008B317D">
      <w:pPr>
        <w:rPr>
          <w:rFonts w:ascii="Times New Roman Bold" w:hAnsi="Times New Roman Bold"/>
          <w:caps/>
          <w:sz w:val="22"/>
          <w:szCs w:val="22"/>
        </w:rPr>
      </w:pPr>
    </w:p>
    <w:p w:rsidR="00876F88" w:rsidRDefault="00876F88" w:rsidP="00876F88">
      <w:pPr>
        <w:autoSpaceDE w:val="0"/>
        <w:autoSpaceDN w:val="0"/>
        <w:adjustRightInd w:val="0"/>
        <w:rPr>
          <w:sz w:val="22"/>
          <w:szCs w:val="22"/>
          <w:lang w:val="fi-FI"/>
        </w:rPr>
      </w:pPr>
      <w:r>
        <w:rPr>
          <w:sz w:val="22"/>
          <w:szCs w:val="22"/>
          <w:lang w:val="fi-FI"/>
        </w:rPr>
        <w:t>Colep Laupheim GmbH &amp; Co. KG</w:t>
      </w:r>
    </w:p>
    <w:p w:rsidR="00876F88" w:rsidRDefault="00876F88" w:rsidP="00876F88">
      <w:pPr>
        <w:autoSpaceDE w:val="0"/>
        <w:autoSpaceDN w:val="0"/>
        <w:adjustRightInd w:val="0"/>
        <w:rPr>
          <w:sz w:val="22"/>
          <w:szCs w:val="22"/>
          <w:lang w:val="en-US"/>
        </w:rPr>
      </w:pPr>
      <w:r>
        <w:rPr>
          <w:sz w:val="22"/>
          <w:szCs w:val="22"/>
        </w:rPr>
        <w:t>Fock</w:t>
      </w:r>
      <w:r w:rsidR="00656176">
        <w:rPr>
          <w:sz w:val="22"/>
          <w:szCs w:val="22"/>
        </w:rPr>
        <w:t>e</w:t>
      </w:r>
      <w:r>
        <w:rPr>
          <w:sz w:val="22"/>
          <w:szCs w:val="22"/>
        </w:rPr>
        <w:t>strasse 12</w:t>
      </w:r>
    </w:p>
    <w:p w:rsidR="00876F88" w:rsidRDefault="00876F88" w:rsidP="00876F88">
      <w:pPr>
        <w:autoSpaceDE w:val="0"/>
        <w:autoSpaceDN w:val="0"/>
        <w:adjustRightInd w:val="0"/>
        <w:rPr>
          <w:sz w:val="22"/>
          <w:szCs w:val="22"/>
        </w:rPr>
      </w:pPr>
      <w:r>
        <w:rPr>
          <w:sz w:val="22"/>
          <w:szCs w:val="22"/>
        </w:rPr>
        <w:t>88471 Laupheim</w:t>
      </w:r>
    </w:p>
    <w:p w:rsidR="00876F88" w:rsidRDefault="000D3D7A" w:rsidP="00876F88">
      <w:pPr>
        <w:autoSpaceDE w:val="0"/>
        <w:autoSpaceDN w:val="0"/>
        <w:adjustRightInd w:val="0"/>
        <w:rPr>
          <w:sz w:val="22"/>
          <w:szCs w:val="22"/>
        </w:rPr>
      </w:pPr>
      <w:r>
        <w:rPr>
          <w:sz w:val="22"/>
          <w:szCs w:val="22"/>
        </w:rPr>
        <w:t>Vācija</w:t>
      </w:r>
    </w:p>
    <w:p w:rsidR="008B317D" w:rsidRDefault="008B317D" w:rsidP="008B317D">
      <w:pPr>
        <w:rPr>
          <w:sz w:val="22"/>
          <w:szCs w:val="22"/>
        </w:rPr>
      </w:pPr>
    </w:p>
    <w:p w:rsidR="008B317D" w:rsidRPr="00D14DCC" w:rsidRDefault="008B317D" w:rsidP="008B317D">
      <w:pPr>
        <w:rPr>
          <w:sz w:val="22"/>
          <w:szCs w:val="22"/>
        </w:rPr>
      </w:pPr>
    </w:p>
    <w:p w:rsidR="008B317D" w:rsidRPr="00D34411" w:rsidRDefault="008B317D" w:rsidP="008B317D">
      <w:pPr>
        <w:numPr>
          <w:ilvl w:val="0"/>
          <w:numId w:val="1"/>
        </w:numPr>
        <w:tabs>
          <w:tab w:val="clear" w:pos="1080"/>
          <w:tab w:val="num" w:pos="540"/>
        </w:tabs>
        <w:ind w:left="540" w:hanging="540"/>
        <w:rPr>
          <w:rFonts w:ascii="Times New Roman Bold" w:hAnsi="Times New Roman Bold"/>
          <w:b/>
          <w:caps/>
          <w:sz w:val="22"/>
          <w:szCs w:val="22"/>
        </w:rPr>
      </w:pPr>
      <w:r w:rsidRPr="00D34411">
        <w:rPr>
          <w:rFonts w:ascii="Times New Roman Bold" w:hAnsi="Times New Roman Bold"/>
          <w:b/>
          <w:caps/>
          <w:sz w:val="22"/>
          <w:szCs w:val="22"/>
        </w:rPr>
        <w:t xml:space="preserve">Reģistrācijas </w:t>
      </w:r>
      <w:r w:rsidRPr="00874462">
        <w:rPr>
          <w:rFonts w:ascii="Times New Roman Bold" w:hAnsi="Times New Roman Bold"/>
          <w:b/>
          <w:caps/>
          <w:sz w:val="22"/>
          <w:szCs w:val="22"/>
        </w:rPr>
        <w:t xml:space="preserve">APLIECĪBAS </w:t>
      </w:r>
      <w:r w:rsidRPr="00D34411">
        <w:rPr>
          <w:rFonts w:ascii="Times New Roman Bold" w:hAnsi="Times New Roman Bold"/>
          <w:b/>
          <w:caps/>
          <w:sz w:val="22"/>
          <w:szCs w:val="22"/>
        </w:rPr>
        <w:t>numurs</w:t>
      </w:r>
    </w:p>
    <w:p w:rsidR="008B317D" w:rsidRPr="00D14DCC" w:rsidRDefault="008B317D" w:rsidP="008B317D">
      <w:pPr>
        <w:rPr>
          <w:sz w:val="22"/>
          <w:szCs w:val="22"/>
        </w:rPr>
      </w:pPr>
    </w:p>
    <w:p w:rsidR="008B317D" w:rsidRPr="00D14DCC" w:rsidRDefault="008B317D" w:rsidP="008B317D">
      <w:pPr>
        <w:rPr>
          <w:sz w:val="22"/>
          <w:szCs w:val="22"/>
        </w:rPr>
      </w:pPr>
      <w:r w:rsidRPr="0075132E">
        <w:rPr>
          <w:sz w:val="22"/>
          <w:szCs w:val="22"/>
        </w:rPr>
        <w:t>00-1176</w:t>
      </w:r>
    </w:p>
    <w:p w:rsidR="008B317D" w:rsidRDefault="008B317D" w:rsidP="008B317D">
      <w:pPr>
        <w:rPr>
          <w:sz w:val="22"/>
          <w:szCs w:val="22"/>
        </w:rPr>
      </w:pPr>
    </w:p>
    <w:p w:rsidR="008B317D" w:rsidRPr="00D14DCC" w:rsidRDefault="008B317D" w:rsidP="008B317D">
      <w:pPr>
        <w:rPr>
          <w:sz w:val="22"/>
          <w:szCs w:val="22"/>
        </w:rPr>
      </w:pPr>
    </w:p>
    <w:p w:rsidR="008B317D" w:rsidRPr="00D34411" w:rsidRDefault="008B317D" w:rsidP="008B317D">
      <w:pPr>
        <w:numPr>
          <w:ilvl w:val="0"/>
          <w:numId w:val="2"/>
        </w:numPr>
        <w:tabs>
          <w:tab w:val="clear" w:pos="1080"/>
          <w:tab w:val="num" w:pos="540"/>
        </w:tabs>
        <w:ind w:left="540" w:hanging="540"/>
        <w:rPr>
          <w:rFonts w:ascii="Times New Roman Bold" w:hAnsi="Times New Roman Bold"/>
          <w:b/>
          <w:caps/>
          <w:sz w:val="22"/>
          <w:szCs w:val="22"/>
        </w:rPr>
      </w:pPr>
      <w:r w:rsidRPr="00874462">
        <w:rPr>
          <w:rFonts w:ascii="Times New Roman Bold" w:hAnsi="Times New Roman Bold"/>
          <w:b/>
          <w:caps/>
          <w:sz w:val="22"/>
          <w:szCs w:val="22"/>
        </w:rPr>
        <w:t xml:space="preserve">PIRMĀS </w:t>
      </w:r>
      <w:r w:rsidRPr="00D34411">
        <w:rPr>
          <w:rFonts w:ascii="Times New Roman Bold" w:hAnsi="Times New Roman Bold"/>
          <w:b/>
          <w:caps/>
          <w:sz w:val="22"/>
          <w:szCs w:val="22"/>
        </w:rPr>
        <w:t>Reģistrācijas/pārreģistrācijas datums</w:t>
      </w:r>
    </w:p>
    <w:p w:rsidR="008B317D" w:rsidRPr="00D14DCC" w:rsidRDefault="008B317D" w:rsidP="008B317D">
      <w:pPr>
        <w:rPr>
          <w:sz w:val="22"/>
          <w:szCs w:val="22"/>
        </w:rPr>
      </w:pPr>
    </w:p>
    <w:p w:rsidR="008B317D" w:rsidRDefault="008B317D" w:rsidP="008B317D">
      <w:pPr>
        <w:rPr>
          <w:sz w:val="22"/>
          <w:szCs w:val="22"/>
        </w:rPr>
      </w:pPr>
      <w:r w:rsidRPr="00874462">
        <w:rPr>
          <w:sz w:val="22"/>
          <w:szCs w:val="22"/>
        </w:rPr>
        <w:t>Reģistrācijas datums:</w:t>
      </w:r>
      <w:r>
        <w:rPr>
          <w:sz w:val="22"/>
          <w:szCs w:val="22"/>
        </w:rPr>
        <w:t xml:space="preserve"> 2000.gada marts</w:t>
      </w:r>
    </w:p>
    <w:p w:rsidR="008B317D" w:rsidRDefault="008B317D" w:rsidP="008B317D">
      <w:pPr>
        <w:rPr>
          <w:sz w:val="22"/>
          <w:szCs w:val="22"/>
        </w:rPr>
      </w:pPr>
      <w:r w:rsidRPr="00874462">
        <w:rPr>
          <w:sz w:val="22"/>
          <w:szCs w:val="22"/>
        </w:rPr>
        <w:t>Pēdējās pārreģistrācijas datums:</w:t>
      </w:r>
      <w:r>
        <w:rPr>
          <w:sz w:val="22"/>
          <w:szCs w:val="22"/>
        </w:rPr>
        <w:t xml:space="preserve"> 2010.gada 14.marts</w:t>
      </w:r>
    </w:p>
    <w:p w:rsidR="008B317D" w:rsidRPr="00D14DCC" w:rsidRDefault="008B317D" w:rsidP="008B317D">
      <w:pPr>
        <w:rPr>
          <w:sz w:val="22"/>
          <w:szCs w:val="22"/>
        </w:rPr>
      </w:pPr>
    </w:p>
    <w:p w:rsidR="008B317D" w:rsidRPr="00D14DCC" w:rsidRDefault="008B317D" w:rsidP="008B317D">
      <w:pPr>
        <w:rPr>
          <w:sz w:val="22"/>
          <w:szCs w:val="22"/>
        </w:rPr>
      </w:pPr>
    </w:p>
    <w:p w:rsidR="008B317D" w:rsidRPr="00D34411" w:rsidRDefault="008B317D" w:rsidP="008B317D">
      <w:pPr>
        <w:numPr>
          <w:ilvl w:val="0"/>
          <w:numId w:val="2"/>
        </w:numPr>
        <w:tabs>
          <w:tab w:val="clear" w:pos="1080"/>
        </w:tabs>
        <w:ind w:left="540" w:hanging="540"/>
        <w:rPr>
          <w:rFonts w:ascii="Times New Roman Bold" w:hAnsi="Times New Roman Bold"/>
          <w:b/>
          <w:caps/>
          <w:sz w:val="22"/>
          <w:szCs w:val="22"/>
        </w:rPr>
      </w:pPr>
      <w:r w:rsidRPr="00D34411">
        <w:rPr>
          <w:rFonts w:ascii="Times New Roman Bold" w:hAnsi="Times New Roman Bold"/>
          <w:b/>
          <w:caps/>
          <w:sz w:val="22"/>
          <w:szCs w:val="22"/>
        </w:rPr>
        <w:t>Teksta pārskatīšanas datums</w:t>
      </w:r>
    </w:p>
    <w:p w:rsidR="008B317D" w:rsidRDefault="008B317D" w:rsidP="008B317D">
      <w:pPr>
        <w:rPr>
          <w:sz w:val="22"/>
          <w:szCs w:val="22"/>
        </w:rPr>
      </w:pPr>
      <w:r w:rsidRPr="00D14DCC">
        <w:rPr>
          <w:sz w:val="22"/>
          <w:szCs w:val="22"/>
        </w:rPr>
        <w:tab/>
      </w:r>
    </w:p>
    <w:p w:rsidR="008B317D" w:rsidRPr="00D14DCC" w:rsidRDefault="0075132E" w:rsidP="008B317D">
      <w:pPr>
        <w:rPr>
          <w:sz w:val="22"/>
          <w:szCs w:val="22"/>
        </w:rPr>
      </w:pPr>
      <w:r>
        <w:rPr>
          <w:sz w:val="22"/>
          <w:szCs w:val="22"/>
        </w:rPr>
        <w:t>03/2019</w:t>
      </w:r>
    </w:p>
    <w:p w:rsidR="008B317D" w:rsidRDefault="008B317D"/>
    <w:sectPr w:rsidR="008B317D" w:rsidSect="007C1D4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F6" w:rsidRDefault="005F3AF6" w:rsidP="004708BC">
      <w:r>
        <w:separator/>
      </w:r>
    </w:p>
  </w:endnote>
  <w:endnote w:type="continuationSeparator" w:id="0">
    <w:p w:rsidR="005F3AF6" w:rsidRDefault="005F3AF6" w:rsidP="0047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F6" w:rsidRDefault="005F3AF6" w:rsidP="004708BC">
      <w:r>
        <w:separator/>
      </w:r>
    </w:p>
  </w:footnote>
  <w:footnote w:type="continuationSeparator" w:id="0">
    <w:p w:rsidR="005F3AF6" w:rsidRDefault="005F3AF6" w:rsidP="0047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C" w:rsidRDefault="001845C4" w:rsidP="001845C4">
    <w:pPr>
      <w:pStyle w:val="Header"/>
      <w:jc w:val="right"/>
    </w:pPr>
    <w:r w:rsidRPr="0086240F">
      <w:t xml:space="preserve">SASKAŅOTS ZVA </w:t>
    </w:r>
    <w:r>
      <w:t>19</w:t>
    </w:r>
    <w:r w:rsidRPr="0086240F">
      <w:t>-0</w:t>
    </w:r>
    <w:r>
      <w:t>9</w:t>
    </w:r>
    <w:r w:rsidRPr="0086240F">
      <w:t>-2019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9D5"/>
    <w:multiLevelType w:val="hybridMultilevel"/>
    <w:tmpl w:val="C69A9F2E"/>
    <w:lvl w:ilvl="0" w:tplc="E878DA5A">
      <w:start w:val="9"/>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26E41B6"/>
    <w:multiLevelType w:val="multilevel"/>
    <w:tmpl w:val="014282F2"/>
    <w:lvl w:ilvl="0">
      <w:start w:val="1"/>
      <w:numFmt w:val="decimal"/>
      <w:lvlText w:val="%1."/>
      <w:lvlJc w:val="left"/>
      <w:pPr>
        <w:tabs>
          <w:tab w:val="num" w:pos="1080"/>
        </w:tabs>
        <w:ind w:left="1080" w:hanging="72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7D"/>
    <w:rsid w:val="000259D5"/>
    <w:rsid w:val="0003612A"/>
    <w:rsid w:val="00087624"/>
    <w:rsid w:val="000D3D7A"/>
    <w:rsid w:val="0013784F"/>
    <w:rsid w:val="0016158B"/>
    <w:rsid w:val="001845C4"/>
    <w:rsid w:val="001F03ED"/>
    <w:rsid w:val="001F4B9D"/>
    <w:rsid w:val="00267972"/>
    <w:rsid w:val="003848C3"/>
    <w:rsid w:val="00425AE7"/>
    <w:rsid w:val="0044298B"/>
    <w:rsid w:val="004708BC"/>
    <w:rsid w:val="004A3FB7"/>
    <w:rsid w:val="005F3AF6"/>
    <w:rsid w:val="00613A85"/>
    <w:rsid w:val="0065318E"/>
    <w:rsid w:val="00656176"/>
    <w:rsid w:val="00726F17"/>
    <w:rsid w:val="007359A7"/>
    <w:rsid w:val="0075132E"/>
    <w:rsid w:val="007C1D4B"/>
    <w:rsid w:val="00873FD0"/>
    <w:rsid w:val="008765C0"/>
    <w:rsid w:val="00876F88"/>
    <w:rsid w:val="008B317D"/>
    <w:rsid w:val="009F64EE"/>
    <w:rsid w:val="009F6A1D"/>
    <w:rsid w:val="00A40681"/>
    <w:rsid w:val="00A459A9"/>
    <w:rsid w:val="00AC0133"/>
    <w:rsid w:val="00BC2EF2"/>
    <w:rsid w:val="00BE197E"/>
    <w:rsid w:val="00C150F6"/>
    <w:rsid w:val="00C262BA"/>
    <w:rsid w:val="00CC5790"/>
    <w:rsid w:val="00D65C4B"/>
    <w:rsid w:val="00ED360F"/>
    <w:rsid w:val="00EE7A6C"/>
    <w:rsid w:val="00F35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F88BF-FD64-4E1E-87AF-5505CEBB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17D"/>
    <w:rPr>
      <w:color w:val="0000FF"/>
      <w:u w:val="single"/>
    </w:rPr>
  </w:style>
  <w:style w:type="paragraph" w:styleId="BalloonText">
    <w:name w:val="Balloon Text"/>
    <w:basedOn w:val="Normal"/>
    <w:link w:val="BalloonTextChar"/>
    <w:uiPriority w:val="99"/>
    <w:semiHidden/>
    <w:unhideWhenUsed/>
    <w:rsid w:val="009F64EE"/>
    <w:rPr>
      <w:rFonts w:ascii="Tahoma" w:hAnsi="Tahoma" w:cs="Tahoma"/>
      <w:sz w:val="16"/>
      <w:szCs w:val="16"/>
    </w:rPr>
  </w:style>
  <w:style w:type="character" w:customStyle="1" w:styleId="BalloonTextChar">
    <w:name w:val="Balloon Text Char"/>
    <w:basedOn w:val="DefaultParagraphFont"/>
    <w:link w:val="BalloonText"/>
    <w:uiPriority w:val="99"/>
    <w:semiHidden/>
    <w:rsid w:val="009F64EE"/>
    <w:rPr>
      <w:rFonts w:ascii="Tahoma" w:eastAsia="Times New Roman" w:hAnsi="Tahoma" w:cs="Tahoma"/>
      <w:sz w:val="16"/>
      <w:szCs w:val="16"/>
    </w:rPr>
  </w:style>
  <w:style w:type="character" w:styleId="Emphasis">
    <w:name w:val="Emphasis"/>
    <w:basedOn w:val="DefaultParagraphFont"/>
    <w:uiPriority w:val="20"/>
    <w:qFormat/>
    <w:rsid w:val="004A3FB7"/>
    <w:rPr>
      <w:i/>
      <w:iCs/>
    </w:rPr>
  </w:style>
  <w:style w:type="character" w:styleId="CommentReference">
    <w:name w:val="annotation reference"/>
    <w:basedOn w:val="DefaultParagraphFont"/>
    <w:uiPriority w:val="99"/>
    <w:semiHidden/>
    <w:unhideWhenUsed/>
    <w:rsid w:val="00F35BA2"/>
    <w:rPr>
      <w:sz w:val="16"/>
      <w:szCs w:val="16"/>
    </w:rPr>
  </w:style>
  <w:style w:type="paragraph" w:styleId="CommentText">
    <w:name w:val="annotation text"/>
    <w:basedOn w:val="Normal"/>
    <w:link w:val="CommentTextChar"/>
    <w:uiPriority w:val="99"/>
    <w:semiHidden/>
    <w:unhideWhenUsed/>
    <w:rsid w:val="00F35BA2"/>
    <w:rPr>
      <w:sz w:val="20"/>
      <w:szCs w:val="20"/>
    </w:rPr>
  </w:style>
  <w:style w:type="character" w:customStyle="1" w:styleId="CommentTextChar">
    <w:name w:val="Comment Text Char"/>
    <w:basedOn w:val="DefaultParagraphFont"/>
    <w:link w:val="CommentText"/>
    <w:uiPriority w:val="99"/>
    <w:semiHidden/>
    <w:rsid w:val="00F35B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BA2"/>
    <w:rPr>
      <w:b/>
      <w:bCs/>
    </w:rPr>
  </w:style>
  <w:style w:type="character" w:customStyle="1" w:styleId="CommentSubjectChar">
    <w:name w:val="Comment Subject Char"/>
    <w:basedOn w:val="CommentTextChar"/>
    <w:link w:val="CommentSubject"/>
    <w:uiPriority w:val="99"/>
    <w:semiHidden/>
    <w:rsid w:val="00F35BA2"/>
    <w:rPr>
      <w:rFonts w:ascii="Times New Roman" w:eastAsia="Times New Roman" w:hAnsi="Times New Roman" w:cs="Times New Roman"/>
      <w:b/>
      <w:bCs/>
      <w:sz w:val="20"/>
      <w:szCs w:val="20"/>
    </w:rPr>
  </w:style>
  <w:style w:type="paragraph" w:styleId="Revision">
    <w:name w:val="Revision"/>
    <w:hidden/>
    <w:uiPriority w:val="99"/>
    <w:semiHidden/>
    <w:rsid w:val="00F35BA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08BC"/>
    <w:pPr>
      <w:tabs>
        <w:tab w:val="center" w:pos="4153"/>
        <w:tab w:val="right" w:pos="8306"/>
      </w:tabs>
    </w:pPr>
  </w:style>
  <w:style w:type="character" w:customStyle="1" w:styleId="HeaderChar">
    <w:name w:val="Header Char"/>
    <w:basedOn w:val="DefaultParagraphFont"/>
    <w:link w:val="Header"/>
    <w:uiPriority w:val="99"/>
    <w:rsid w:val="004708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8BC"/>
    <w:pPr>
      <w:tabs>
        <w:tab w:val="center" w:pos="4153"/>
        <w:tab w:val="right" w:pos="8306"/>
      </w:tabs>
    </w:pPr>
  </w:style>
  <w:style w:type="character" w:customStyle="1" w:styleId="FooterChar">
    <w:name w:val="Footer Char"/>
    <w:basedOn w:val="DefaultParagraphFont"/>
    <w:link w:val="Footer"/>
    <w:uiPriority w:val="99"/>
    <w:rsid w:val="004708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623">
      <w:bodyDiv w:val="1"/>
      <w:marLeft w:val="0"/>
      <w:marRight w:val="0"/>
      <w:marTop w:val="0"/>
      <w:marBottom w:val="0"/>
      <w:divBdr>
        <w:top w:val="none" w:sz="0" w:space="0" w:color="auto"/>
        <w:left w:val="none" w:sz="0" w:space="0" w:color="auto"/>
        <w:bottom w:val="none" w:sz="0" w:space="0" w:color="auto"/>
        <w:right w:val="none" w:sz="0" w:space="0" w:color="auto"/>
      </w:divBdr>
    </w:div>
    <w:div w:id="1824657235">
      <w:bodyDiv w:val="1"/>
      <w:marLeft w:val="0"/>
      <w:marRight w:val="0"/>
      <w:marTop w:val="0"/>
      <w:marBottom w:val="0"/>
      <w:divBdr>
        <w:top w:val="none" w:sz="0" w:space="0" w:color="auto"/>
        <w:left w:val="none" w:sz="0" w:space="0" w:color="auto"/>
        <w:bottom w:val="none" w:sz="0" w:space="0" w:color="auto"/>
        <w:right w:val="none" w:sz="0" w:space="0" w:color="auto"/>
      </w:divBdr>
    </w:div>
    <w:div w:id="20762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Sanitas</dc:creator>
  <cp:lastModifiedBy>A.K.</cp:lastModifiedBy>
  <cp:revision>3</cp:revision>
  <dcterms:created xsi:type="dcterms:W3CDTF">2019-09-11T13:24:00Z</dcterms:created>
  <dcterms:modified xsi:type="dcterms:W3CDTF">2019-09-16T09:49:00Z</dcterms:modified>
</cp:coreProperties>
</file>