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4012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ZĀĻU APRAKSTS</w:t>
      </w:r>
    </w:p>
    <w:p w14:paraId="6EDE156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58E80C7F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1.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Zāļu nosaukums</w:t>
      </w:r>
    </w:p>
    <w:p w14:paraId="59345C8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COLDRIN  apvalkotās tabletes</w:t>
      </w:r>
    </w:p>
    <w:p w14:paraId="48CF3CB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51598B8D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2.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Kvalitatīvais un kvantitatīvais sastāvs</w:t>
      </w:r>
    </w:p>
    <w:p w14:paraId="734B943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Katra apvalkotā tablete satur:</w:t>
      </w:r>
    </w:p>
    <w:p w14:paraId="3581BC5A" w14:textId="1B812B81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Hlorfenamīna maleātu (Chlorphenamini maleas)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  <w:t>2 mg</w:t>
      </w:r>
    </w:p>
    <w:p w14:paraId="4D238F5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Fenilefrīna hidrohlorīds (Phenylephrini hydrochloridum)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  <w:t>10 mg</w:t>
      </w:r>
    </w:p>
    <w:p w14:paraId="683F548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Paracetamols (Paracetamolum)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  <w:t>300 mg</w:t>
      </w:r>
    </w:p>
    <w:p w14:paraId="609B6B6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Kofeīns (Coffeinum)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ab/>
        <w:t>30 mg</w:t>
      </w:r>
    </w:p>
    <w:p w14:paraId="45753C5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3D99C11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Pilnu palīgvielu sarakstu skatīt 6.1. apakšpunktā.</w:t>
      </w:r>
    </w:p>
    <w:p w14:paraId="4E9121C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30CA1016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3.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Zāļu forma</w:t>
      </w:r>
    </w:p>
    <w:p w14:paraId="52D7DD5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Apvalkotā tablete.</w:t>
      </w:r>
    </w:p>
    <w:p w14:paraId="3E52C857" w14:textId="7EFB27A2" w:rsidR="00472BEA" w:rsidRPr="00472BEA" w:rsidRDefault="00BA4F6C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Zaļgani d</w:t>
      </w:r>
      <w:r w:rsidR="00472BEA"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zeltenas</w:t>
      </w: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vai plankumainas nokrāsas dzeltenas</w:t>
      </w:r>
      <w:r w:rsidR="00472BEA"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, iegarenas, bikonveksas apvalkotās tabletes.</w:t>
      </w:r>
    </w:p>
    <w:p w14:paraId="08DC8FD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087FE75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Klīniskā informācija</w:t>
      </w:r>
    </w:p>
    <w:p w14:paraId="4C399AEE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4.1.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Terapeitiskās indikācijas</w:t>
      </w:r>
    </w:p>
    <w:p w14:paraId="58F980C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Sinusīta, alerģiska rinīta vai parastas saaukstēšanās izraisītu galvassāpju, sāpju un deguna gļotādas tūskas simptomātiskai mazināšanai.</w:t>
      </w:r>
    </w:p>
    <w:p w14:paraId="76CEA789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0FE3105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4.2.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Devas un lietošanas veids</w:t>
      </w:r>
    </w:p>
    <w:p w14:paraId="62AB8F9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Pieaugušajiem un bērniem no 12 gadu vecuma</w:t>
      </w:r>
    </w:p>
    <w:p w14:paraId="6AAF862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 1 tabletei ik pēc 4 stundām (pēc vajadzības), ēšanas laikā.</w:t>
      </w:r>
    </w:p>
    <w:p w14:paraId="6ABAE6F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F3AF57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Bērniem no 6 līdz 12 gadiem</w:t>
      </w:r>
    </w:p>
    <w:p w14:paraId="33E85D8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 1 tabletei līdz 3 reizēm dienā.</w:t>
      </w:r>
    </w:p>
    <w:p w14:paraId="7458E8D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Nelietot vairāk par 3 tabletēm 24 stundu laikā.</w:t>
      </w:r>
    </w:p>
    <w:p w14:paraId="11E8A5E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Nedot bērniem, kas jaunāki par 6 gadiem.</w:t>
      </w:r>
    </w:p>
    <w:p w14:paraId="2531015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Minimālā efektīvā deva jālieto pēc iespējas īsāku laiku, kāds nepieciešams simptomu mazināšanai.</w:t>
      </w:r>
    </w:p>
    <w:p w14:paraId="640DDE9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Ja pēc trīs dienām veselības stāvoklis neuzlabojas vai pasliktinās, pacientam jākonsultējas ar ārstu.</w:t>
      </w:r>
    </w:p>
    <w:p w14:paraId="0322361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52817F92" w14:textId="77777777" w:rsidR="00472BEA" w:rsidRPr="00472BEA" w:rsidRDefault="00472BEA" w:rsidP="00472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lv-LV" w:eastAsia="lv-LV"/>
        </w:rPr>
      </w:pPr>
      <w:r w:rsidRPr="00472B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lv-LV" w:eastAsia="lv-LV"/>
        </w:rPr>
        <w:t>Nieru mazspēja</w:t>
      </w:r>
    </w:p>
    <w:p w14:paraId="4D07E9DE" w14:textId="77777777" w:rsidR="00472BEA" w:rsidRPr="00472BEA" w:rsidRDefault="00472BEA" w:rsidP="00472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72B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Pacientiem ar pavājinātu nieru funkciju deva ir jākoriģē.</w:t>
      </w:r>
    </w:p>
    <w:p w14:paraId="43A3D4B9" w14:textId="77777777" w:rsidR="00472BEA" w:rsidRPr="00472BEA" w:rsidRDefault="00472BEA" w:rsidP="00472BE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72B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Vidēji smagas nieru mazspējas gadījumā (kreatinīna klīrenss 10-50 ml/min) minimālais intervāls starp divām devām ir 6 stundas.</w:t>
      </w:r>
    </w:p>
    <w:p w14:paraId="7F24865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 w:bidi="lo-LA"/>
        </w:rPr>
      </w:pPr>
    </w:p>
    <w:p w14:paraId="374275DF" w14:textId="77777777" w:rsidR="00472BEA" w:rsidRPr="00472BEA" w:rsidRDefault="00472BEA" w:rsidP="00472BEA">
      <w:pPr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lv-LV" w:eastAsia="lv-LV"/>
        </w:rPr>
      </w:pPr>
      <w:r w:rsidRPr="00472BE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lv-LV" w:eastAsia="lv-LV"/>
        </w:rPr>
        <w:t>Aknu mazspēja</w:t>
      </w:r>
    </w:p>
    <w:p w14:paraId="0BB0C3C2" w14:textId="77777777" w:rsidR="00472BEA" w:rsidRPr="00472BEA" w:rsidRDefault="00472BEA" w:rsidP="00472BE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472BE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Stabilas hroniskas aknu mazspējas gadījumā paracetamols parasti nerada aknu bojājumu, lietojot iepriekšminētajās devās. Tomēr šiem pacientiem nav ieteicams lietot maksimālās devas un jāievēro vismaz 6 stundu intervāls starp devām.</w:t>
      </w:r>
    </w:p>
    <w:p w14:paraId="1752917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55A44219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4.3.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Kontrindikācijas</w:t>
      </w:r>
    </w:p>
    <w:p w14:paraId="1988A32F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paaugstināta jutība pret aktīvajām vielām un/vai jebkuru no 6.1. apakšpunktā uzskaitītajām palīgvielām,</w:t>
      </w:r>
    </w:p>
    <w:p w14:paraId="29E8FD58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hipertensija,</w:t>
      </w:r>
    </w:p>
    <w:p w14:paraId="6A4BE671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šaura leņķa glaukoma,</w:t>
      </w:r>
    </w:p>
    <w:p w14:paraId="7CD47635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hipertireoze,</w:t>
      </w:r>
    </w:p>
    <w:p w14:paraId="7DC7C470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cukura diabēts,</w:t>
      </w:r>
    </w:p>
    <w:p w14:paraId="73C8002F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smaga aknu un smaga nieru mazspēja,</w:t>
      </w:r>
    </w:p>
    <w:p w14:paraId="5ABC02E2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feohromocitoma,</w:t>
      </w:r>
    </w:p>
    <w:p w14:paraId="79C78305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urīna retence,</w:t>
      </w:r>
    </w:p>
    <w:p w14:paraId="75FA5EBC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porfīrija,</w:t>
      </w:r>
    </w:p>
    <w:p w14:paraId="21113F52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grūtniecība un barošanas ar krūti periods,</w:t>
      </w:r>
    </w:p>
    <w:p w14:paraId="2DB6EB5B" w14:textId="77777777" w:rsidR="00472BEA" w:rsidRPr="00472BEA" w:rsidRDefault="00472BEA" w:rsidP="00472B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pacienti, kuri šobrīd lieto tricikliskos antidepresantus vai citas simpatomimētiskas zāles un kuri šobrīd lieto vai pēdējo divu nedēļu laikā ir lietojuši monoaminooksidāzes (MAO) inhibitorus (skatīt 4.5. apakšpunktu).</w:t>
      </w:r>
    </w:p>
    <w:p w14:paraId="5D6FCF3C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</w:p>
    <w:p w14:paraId="256E0E16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4.4.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Īpaši brīdinājumi un piesardzība lietošanā</w:t>
      </w:r>
    </w:p>
    <w:p w14:paraId="0A1F1AF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665944D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Coldrin var radīt miegainību, tādēļ pacienti jābrīdina neveikt potenciāli bīstamas darbības, kas prasa psihisku modrību, piemēram, automašīnas vadīšana vai iekārtu apkalpošana. </w:t>
      </w:r>
    </w:p>
    <w:p w14:paraId="09B2321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43945C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apvalkotās tabletes piesardzīgi jālieto pacientiem ar akūtu hepatītu, viegliem līdz vidēji smagiem aknu un nieru darbības traucējumiem (ieskaitot Žilbēra sindromu), pacientiem, kuri vienlaicīgi lieto zāles, kas ietekmē aknu darbību.</w:t>
      </w:r>
    </w:p>
    <w:p w14:paraId="7435879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Piesardzība jāievēro, lietojot paracetamolu pacientiem ar hemolītisku anēmiju, glikozes-6-fosfātdehidrogenāzes deficītu, dehidratētiem pacientiem un pacientiem ar hroniskiem uztures traucējumiem.</w:t>
      </w:r>
    </w:p>
    <w:p w14:paraId="44A0094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Piesardzība jāievēro pacientiem ar astmu, kuri ir jutīgi pret acetilsalicilskābi, jo ir ziņots par vieglām bronhospazmām saistībā ar paracetamola (krusteniskā reakcija) lietošanu.</w:t>
      </w:r>
    </w:p>
    <w:p w14:paraId="4A906C5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Gados vecākiem pacientiem biežāk var rasties blakusparādības.</w:t>
      </w:r>
    </w:p>
    <w:p w14:paraId="2198278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Antihistamīna sastāvdaļas dēļ jāievēro piesardzība, ja šīs zāles lieto pacienti ar epilepsiju, jo tās var veicināt krampju rašanos.</w:t>
      </w:r>
    </w:p>
    <w:p w14:paraId="6530760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Piesardzīgi lietot alkohola atkarības gadījumā, pacientiem ar obliterējošu asinsvadu slimību (piemēram, Reino sindromu), nelietot kopā ar citām paracetamolu saturošām zālēm un nepārsniegt norādītās devas.</w:t>
      </w:r>
    </w:p>
    <w:p w14:paraId="0F2CAF2E" w14:textId="0D5AC849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Zāles satur laktoz</w:t>
      </w:r>
      <w:r w:rsidR="0047729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es monohidrātu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. Šīs zāles nevajadzētu lietot pacientiem ar retu iedzimtu galaktozes nepanesību, ar </w:t>
      </w: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Lapp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laktāzes deficītu vai glikozes-galaktozes malabsorbciju.</w:t>
      </w:r>
    </w:p>
    <w:p w14:paraId="404939D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</w:p>
    <w:p w14:paraId="543E08C3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4.5.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Mijiedarbība ar citām zālēm un citi mijiedarbības veidi</w:t>
      </w:r>
    </w:p>
    <w:p w14:paraId="6AE2F82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 Unicode MS"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Paracetamols / antikoagulanti: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r</w:t>
      </w:r>
      <w:r w:rsidRPr="00472BEA">
        <w:rPr>
          <w:rFonts w:ascii="Times New Roman" w:eastAsia="Times New Roman" w:hAnsi="Times New Roman" w:cs="Arial Unicode MS"/>
          <w:iCs/>
          <w:sz w:val="24"/>
          <w:szCs w:val="24"/>
          <w:lang w:val="lv-LV" w:bidi="lo-LA"/>
        </w:rPr>
        <w:t>egulāra paracetamola lietošana var pastiprināt vienlaikus ievadītu kumarīna grupas antikoagulantu darbību. Atsevišķas devas nerada nozīmīgu ietekmi.</w:t>
      </w:r>
    </w:p>
    <w:p w14:paraId="2055FB4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Paracetamols / citotoksiskie līdzekļi: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imatinaba ražotājs iesaka nelietot kopā ar paracetamolu.</w:t>
      </w:r>
    </w:p>
    <w:p w14:paraId="1D95C53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lastRenderedPageBreak/>
        <w:t xml:space="preserve">Paracetamols / metoklopramīds un domperidons: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šie medikamenti paātrina paracetamola absorbciju (efekta pastiprināšanās).</w:t>
      </w:r>
    </w:p>
    <w:p w14:paraId="15BB6A1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i/>
          <w:i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 / MAO inhibitori: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vienlaicīga lietošana var pagarināt un pastiprināt antihistamīna līdzekļu antiholīnerģisko darbību un simpatomimētisko līdzekļu darbību. Ja pacienti, kuri saņem MAO inhibitorus, lieto simpatomimētiskus līdzekļus, var rasties smagas hipertensīvas reakcijas (skatīt kontrindikācijas).</w:t>
      </w:r>
    </w:p>
    <w:p w14:paraId="51E25E3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i/>
          <w:i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 / adrenerģiski bronhodilatatori / kofeīnu saturošas zāles / kofeīnu saturoši dzērieni: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tā kā zāles satur kofeīnu, vienlaicīga lietošana var izraisīt papildus CNS stimulāciju.</w:t>
      </w:r>
    </w:p>
    <w:p w14:paraId="7444ED4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Hlorfeniramīns / alkohols / CNS nomācoši līdzekļi / tricikliskie antidepresanti: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vienlaicīga lietošana var pastiprināt šo zāļu vai antihistamīna līdzekļa darbību.</w:t>
      </w:r>
    </w:p>
    <w:p w14:paraId="134F5DF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Antihistamīna līdzekļi / ototoksiskas zāles: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ototoksicitātes simptomi var būt maskēti, ja antihistamīna līdzekļus lieto vienlaikus ar ototoksiskām zālēm, it īpaši aminoglikozīdu grupas antibiotikām, piemēram, amikacīnu, dihidrostreptomicīnu, gentamicīnu, kanamicīnu, neomicīnu, streptomicīnu, tobramicīnu un viomicīnu.</w:t>
      </w:r>
    </w:p>
    <w:p w14:paraId="66D5785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Fenilefrīns / </w:t>
      </w:r>
      <w:r w:rsidRPr="00472BEA">
        <w:rPr>
          <w:rFonts w:ascii="Times New Roman" w:eastAsia="Times New Roman" w:hAnsi="Times New Roman" w:cs="Times New Roman"/>
          <w:i/>
          <w:iCs/>
          <w:sz w:val="24"/>
          <w:szCs w:val="24"/>
          <w:lang w:val="lv-LV" w:bidi="lo-LA"/>
        </w:rPr>
        <w:t>β</w:t>
      </w: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- blokatori: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72BEA">
        <w:rPr>
          <w:rFonts w:ascii="Times New Roman" w:eastAsia="Times New Roman" w:hAnsi="Times New Roman" w:cs="Times New Roman"/>
          <w:iCs/>
          <w:sz w:val="24"/>
          <w:szCs w:val="24"/>
          <w:lang w:val="lv-LV" w:bidi="lo-LA"/>
        </w:rPr>
        <w:t>β</w:t>
      </w:r>
      <w:r w:rsidRPr="00472BEA">
        <w:rPr>
          <w:rFonts w:ascii="Times New Roman" w:eastAsia="Times New Roman" w:hAnsi="Times New Roman" w:cs="Arial Unicode MS"/>
          <w:iCs/>
          <w:sz w:val="24"/>
          <w:szCs w:val="24"/>
          <w:lang w:val="lv-LV" w:bidi="lo-LA"/>
        </w:rPr>
        <w:t>-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blokatori pastiprina simpatomimētisku līdzekļu darbību.</w:t>
      </w:r>
    </w:p>
    <w:p w14:paraId="2677969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Nelietot vienlaicīgi ar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antiaritmiskiem līdzekļiem (amiodaronu), antibakteriāliem līdzekļiem (eritromicīnu, klaritromicīnu, linezolīdu), antidepresantiem (fluoksetīnu), antidiabētiskiem līdzekļiem, pretsēnīšu līdzekļiem (imidazola un triazola atvasinājumiem). </w:t>
      </w:r>
    </w:p>
    <w:p w14:paraId="54D94D5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</w:p>
    <w:p w14:paraId="2F79C43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Ietekme uz diagnostiskiem izmeklējumiem</w:t>
      </w:r>
    </w:p>
    <w:p w14:paraId="6D68A31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Antihistamīna sastāvdaļas dēļ </w:t>
      </w:r>
      <w:r w:rsidRPr="00472BEA">
        <w:rPr>
          <w:rFonts w:ascii="Times New Roman" w:eastAsia="Times New Roman" w:hAnsi="Times New Roman" w:cs="Arial Unicode MS"/>
          <w:b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 xml:space="preserve">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apvalkotās tabletes lietošana jāpārtrauc apmēram 4 dienas pirms ādas testu veikšanas, pretējā gadījumā tas var novērst pozitīvas reakcijas pret ādas reaktivitātes indikatoriem.</w:t>
      </w:r>
    </w:p>
    <w:p w14:paraId="62452C3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Paracetamols var dot pseidonegatīvu rezultātu, nosakot urīnā 5-hidroksiindoletiķskābi.</w:t>
      </w:r>
    </w:p>
    <w:p w14:paraId="12BD9D2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0F41FDD1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4.6.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Grūtniecība un barošana ar krūti</w:t>
      </w:r>
    </w:p>
    <w:p w14:paraId="71B2F3F2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Grūtniecība</w:t>
      </w:r>
    </w:p>
    <w:p w14:paraId="79456D8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Šo zāļu lietošana grūtniecības laikā ir kontrindicēta.</w:t>
      </w:r>
    </w:p>
    <w:p w14:paraId="778762A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Fenilefrīns var izraisīt malformācijas auglim. </w:t>
      </w:r>
    </w:p>
    <w:p w14:paraId="1FE08AB2" w14:textId="3988588E" w:rsid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3EBA0306" w14:textId="74CBBA07" w:rsidR="004B5D5E" w:rsidRDefault="004B5D5E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Paracetamols</w:t>
      </w:r>
    </w:p>
    <w:p w14:paraId="46AC92C2" w14:textId="67980D78" w:rsidR="004B5D5E" w:rsidRDefault="004B5D5E" w:rsidP="006E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Liels daudzums datu par grūtniecēm neliecina ne par anomālijas izraisošu iedarbību, ne toksisku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ietekmi uz augli/jaundzimušo. Epidemioloģisko pētījumu rezultāti par neiroloģisko attīstību bērniem,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kuri </w:t>
      </w:r>
      <w:r w:rsidR="006E1B73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in utero </w:t>
      </w: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pakļauti paracetamola iedarbībai, nav viennozīmīgi. Ja klīniski nepieciešams,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paracetamolu var lietot grūtniecības laikā, taču tas jālieto mazākajā efektīvajā devā iespējami īsāko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B5D5E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laiku un iespējami retāk.</w:t>
      </w:r>
    </w:p>
    <w:p w14:paraId="56A47EE8" w14:textId="77777777" w:rsidR="004B5D5E" w:rsidRPr="004B5D5E" w:rsidRDefault="004B5D5E" w:rsidP="004B5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0435830B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Barošana ar krūti</w:t>
      </w:r>
    </w:p>
    <w:p w14:paraId="13F0EF3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Šo zāļu lietošana barošanas laikā ar krūti ir kontrindicēta (skatīt apakšpunktu „Kontrindikācijas”).</w:t>
      </w:r>
    </w:p>
    <w:p w14:paraId="1D1545D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5424A8BC" w14:textId="77777777" w:rsidR="00472BEA" w:rsidRPr="00472BEA" w:rsidRDefault="00472BEA" w:rsidP="00472BE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4.7.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Ietekme uz spēju vadīt transportlīdzekļus un apkalpot mehānismus</w:t>
      </w:r>
    </w:p>
    <w:p w14:paraId="1D6A228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Šo zāļu lietošana var pavājināt modrību, tādēļ jāievēro piesardzība, veicot tādas darbības kā automašīnas vadīšana, bīstamu iekārtu apkalpošana un citas darbības, kam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lastRenderedPageBreak/>
        <w:t>nepieciešama modrība.</w:t>
      </w:r>
    </w:p>
    <w:p w14:paraId="0BBB033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2076FF9E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4.8.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Nevēlamās blakusparādības</w:t>
      </w:r>
    </w:p>
    <w:p w14:paraId="1039117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 xml:space="preserve">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apvalkotās tabletes izraisītās blakusparādības parasti ir vieglas, un visbiežāk tās izraisa antihistamīna sastāvdaļa. </w:t>
      </w:r>
    </w:p>
    <w:p w14:paraId="785EC2A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665DD5F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Blakusparādību biežuma iedalījums: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6711"/>
      </w:tblGrid>
      <w:tr w:rsidR="00472BEA" w:rsidRPr="00472BEA" w14:paraId="6B2D9E1A" w14:textId="77777777" w:rsidTr="00472BEA">
        <w:tc>
          <w:tcPr>
            <w:tcW w:w="6711" w:type="dxa"/>
            <w:hideMark/>
          </w:tcPr>
          <w:p w14:paraId="38E603D4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Ļoti bieži (</w:t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sym w:font="Symbol" w:char="F0B3"/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1/10)</w:t>
            </w:r>
          </w:p>
        </w:tc>
      </w:tr>
      <w:tr w:rsidR="00472BEA" w:rsidRPr="00472BEA" w14:paraId="242EE58F" w14:textId="77777777" w:rsidTr="00472BEA">
        <w:tc>
          <w:tcPr>
            <w:tcW w:w="6711" w:type="dxa"/>
            <w:hideMark/>
          </w:tcPr>
          <w:p w14:paraId="50172D3A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sv-SE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sv-SE" w:bidi="lo-LA"/>
              </w:rPr>
              <w:t>Bieži (</w:t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sym w:font="Symbol" w:char="F0B3"/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sv-SE" w:bidi="lo-LA"/>
              </w:rPr>
              <w:t>1/100 līdz &lt;1/10)</w:t>
            </w:r>
          </w:p>
        </w:tc>
      </w:tr>
      <w:tr w:rsidR="00472BEA" w:rsidRPr="00472BEA" w14:paraId="6ECC9D68" w14:textId="77777777" w:rsidTr="00472BEA">
        <w:tc>
          <w:tcPr>
            <w:tcW w:w="6711" w:type="dxa"/>
            <w:hideMark/>
          </w:tcPr>
          <w:p w14:paraId="36297079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Retāk (</w:t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sym w:font="Symbol" w:char="F0B3"/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1/1 000 līdz &lt;1/100)</w:t>
            </w:r>
          </w:p>
        </w:tc>
      </w:tr>
      <w:tr w:rsidR="00472BEA" w:rsidRPr="00472BEA" w14:paraId="63C1A130" w14:textId="77777777" w:rsidTr="00472BEA">
        <w:tc>
          <w:tcPr>
            <w:tcW w:w="6711" w:type="dxa"/>
            <w:hideMark/>
          </w:tcPr>
          <w:p w14:paraId="3ABF9B9D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t>Reti (</w:t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sym w:font="Symbol" w:char="F0B3"/>
            </w: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it-IT" w:bidi="lo-LA"/>
              </w:rPr>
              <w:t>1/10 000 līdz &lt;1/1 000)</w:t>
            </w:r>
          </w:p>
        </w:tc>
      </w:tr>
      <w:tr w:rsidR="00472BEA" w:rsidRPr="00472BEA" w14:paraId="51F6F12E" w14:textId="77777777" w:rsidTr="00472BEA">
        <w:tc>
          <w:tcPr>
            <w:tcW w:w="6711" w:type="dxa"/>
            <w:hideMark/>
          </w:tcPr>
          <w:p w14:paraId="16518F66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Ļoti reti (&lt;1/10 000)</w:t>
            </w:r>
          </w:p>
        </w:tc>
      </w:tr>
      <w:tr w:rsidR="00472BEA" w:rsidRPr="00472BEA" w14:paraId="58132040" w14:textId="77777777" w:rsidTr="00472BEA">
        <w:tc>
          <w:tcPr>
            <w:tcW w:w="6711" w:type="dxa"/>
            <w:hideMark/>
          </w:tcPr>
          <w:p w14:paraId="098F433D" w14:textId="77777777" w:rsidR="00472BEA" w:rsidRPr="00472BEA" w:rsidRDefault="00472BEA" w:rsidP="00472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</w:pPr>
            <w:r w:rsidRPr="00472BEA">
              <w:rPr>
                <w:rFonts w:ascii="Times New Roman" w:eastAsia="Times New Roman" w:hAnsi="Times New Roman" w:cs="Arial Unicode MS"/>
                <w:bCs/>
                <w:noProof/>
                <w:sz w:val="24"/>
                <w:szCs w:val="24"/>
                <w:lang w:val="fr-FR" w:bidi="lo-LA"/>
              </w:rPr>
              <w:t>nav zināmi (nevar noteikt pēc pieejamiem datiem)</w:t>
            </w:r>
          </w:p>
        </w:tc>
      </w:tr>
    </w:tbl>
    <w:p w14:paraId="70C90DB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fr-FR" w:bidi="lo-LA"/>
        </w:rPr>
      </w:pPr>
    </w:p>
    <w:p w14:paraId="6C2016D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Izmeklējumi</w:t>
      </w:r>
    </w:p>
    <w:p w14:paraId="261955E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asinsspiediena paaugstināšanās.</w:t>
      </w:r>
    </w:p>
    <w:p w14:paraId="35024FD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</w:p>
    <w:p w14:paraId="34BEF1A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Sirds funkcijas traucējumi</w:t>
      </w:r>
    </w:p>
    <w:p w14:paraId="1C48A29B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Nav zināmi: paātrināta sirdsdarbība.</w:t>
      </w:r>
    </w:p>
    <w:p w14:paraId="2992C41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</w:p>
    <w:p w14:paraId="7E7A620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Asins un limfātiskās sistēmas traucējumi</w:t>
      </w:r>
    </w:p>
    <w:p w14:paraId="380F8A0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asins diskrāzija*</w:t>
      </w:r>
    </w:p>
    <w:p w14:paraId="472FD09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0620FB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*Paracetamola izraisītās blakusparādības parasti ir vieglas, kaut gan ir ziņots par asins sistēmas traucējumiem.</w:t>
      </w:r>
    </w:p>
    <w:p w14:paraId="1D01B7A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</w:p>
    <w:p w14:paraId="65F0134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 xml:space="preserve">Nervu sistēmas traucējumi </w:t>
      </w:r>
    </w:p>
    <w:p w14:paraId="46217EA9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miegainība, reibonis, galvassāpes.</w:t>
      </w:r>
    </w:p>
    <w:p w14:paraId="0E0505B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</w:p>
    <w:p w14:paraId="71BA168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noProof/>
          <w:sz w:val="24"/>
          <w:szCs w:val="24"/>
          <w:lang w:val="fi-FI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Acu bojājumi</w:t>
      </w:r>
      <w:r w:rsidRPr="00472BEA">
        <w:rPr>
          <w:rFonts w:ascii="Times New Roman" w:eastAsia="Times New Roman" w:hAnsi="Times New Roman" w:cs="Arial Unicode MS"/>
          <w:noProof/>
          <w:sz w:val="24"/>
          <w:szCs w:val="24"/>
          <w:lang w:val="fi-FI" w:bidi="lo-LA"/>
        </w:rPr>
        <w:t xml:space="preserve"> </w:t>
      </w:r>
    </w:p>
    <w:p w14:paraId="0AFEFDFB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neskaidra redze.</w:t>
      </w:r>
    </w:p>
    <w:p w14:paraId="73623DD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</w:p>
    <w:p w14:paraId="1AEBD2D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Elpošanas sistēmas traucējumi, krūšu kurvja un videnes slimības</w:t>
      </w:r>
    </w:p>
    <w:p w14:paraId="6403C19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bronhu spazmas.</w:t>
      </w:r>
    </w:p>
    <w:p w14:paraId="7F26AEF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</w:p>
    <w:p w14:paraId="0A14511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Kuņģa-zarnu trakta traucējumi</w:t>
      </w:r>
    </w:p>
    <w:p w14:paraId="4878B5B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nepatīkama sajūta epigastrijā, sausa mute, slikta dūša, sāpes vēderā un caureja.</w:t>
      </w:r>
    </w:p>
    <w:p w14:paraId="59DF910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</w:p>
    <w:p w14:paraId="70CAD2A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Ādas un zemādas audu bojājumi</w:t>
      </w:r>
      <w:r w:rsidRPr="00472BEA">
        <w:rPr>
          <w:rFonts w:ascii="Times New Roman" w:eastAsia="Times New Roman" w:hAnsi="Times New Roman" w:cs="Times New Roman"/>
          <w:i/>
          <w:iCs/>
          <w:sz w:val="24"/>
          <w:szCs w:val="24"/>
          <w:lang w:val="lv-LV" w:bidi="lo-LA"/>
        </w:rPr>
        <w:t>*</w:t>
      </w:r>
    </w:p>
    <w:p w14:paraId="3000B4E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fotosensitivitātes reakcijas, ādas iekaisums, ādas izsitumi, alerģisks dermatīts</w:t>
      </w:r>
    </w:p>
    <w:p w14:paraId="2628C02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Times New Roman"/>
          <w:iCs/>
          <w:sz w:val="24"/>
          <w:szCs w:val="24"/>
          <w:lang w:val="lv-LV" w:bidi="lo-LA"/>
        </w:rPr>
        <w:t>*Ļoti retos gadījumos ir ziņots par nopietnām ādas reakcijām.</w:t>
      </w:r>
    </w:p>
    <w:p w14:paraId="0461A2B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Cs/>
          <w:sz w:val="24"/>
          <w:szCs w:val="24"/>
          <w:lang w:val="lv-LV" w:bidi="lo-LA"/>
        </w:rPr>
      </w:pPr>
    </w:p>
    <w:p w14:paraId="30AD1A6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Asinsvadu sistēmas traucējumi</w:t>
      </w:r>
    </w:p>
    <w:p w14:paraId="7BDBCBC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pietvīkums.</w:t>
      </w:r>
    </w:p>
    <w:p w14:paraId="3A252E4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  <w:r w:rsidRPr="00472BEA"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  <w:lastRenderedPageBreak/>
        <w:t xml:space="preserve"> </w:t>
      </w:r>
    </w:p>
    <w:p w14:paraId="3F6DB21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Vispārēji traucējumi un reakcijas ievadīšanas vietā</w:t>
      </w:r>
    </w:p>
    <w:p w14:paraId="6E56C53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nogurums.</w:t>
      </w:r>
    </w:p>
    <w:p w14:paraId="11D8E88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</w:p>
    <w:p w14:paraId="495CA41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Imūnās sistēmas traucējumi</w:t>
      </w:r>
    </w:p>
    <w:p w14:paraId="02109AB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alerģiskas un anafilaktiskas reakcijas.</w:t>
      </w:r>
    </w:p>
    <w:p w14:paraId="520B4DF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</w:p>
    <w:p w14:paraId="16BA07F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i/>
          <w:iCs/>
          <w:sz w:val="24"/>
          <w:szCs w:val="24"/>
          <w:lang w:val="lv-LV" w:bidi="lo-LA"/>
        </w:rPr>
        <w:t>Psihiskie traucējumi</w:t>
      </w:r>
    </w:p>
    <w:p w14:paraId="79D18C4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zināmi: pastiprināta aizkaitināmība vai uzbudinājums (it īpaši bērniem), nervozitāte, nemiers.</w:t>
      </w:r>
    </w:p>
    <w:p w14:paraId="76FEE33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4"/>
          <w:szCs w:val="24"/>
          <w:lang w:val="lv-LV" w:eastAsia="lv-LV" w:bidi="lo-LA"/>
        </w:rPr>
      </w:pPr>
    </w:p>
    <w:p w14:paraId="2B60B9E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u w:val="single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u w:val="single"/>
          <w:lang w:val="lv-LV" w:bidi="lo-LA"/>
        </w:rPr>
        <w:t>Ziņošana par iespējamām nevēlamām blakusparādībām</w:t>
      </w:r>
    </w:p>
    <w:p w14:paraId="38C9DBC5" w14:textId="40DC5212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Ir svarīgi ziņot par iespējamām nevēlamām blakusparādībām pēc zāļu reģistrācijas. Tādējādi zāļu ieguvumu/riska attiecība tiek nepārtraukti uzraudzīta. Veselības aprūpes speciālisti tiek lūgti ziņot par jebkādām iespējamām nevēlamām blakusparādībām  Zāļu valsts aģentūrai, Jersikas ielā 15, Rīgā, LV 1003</w:t>
      </w:r>
      <w:r w:rsidR="00254A0D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.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Tīmekļa vietne: </w:t>
      </w:r>
      <w:hyperlink r:id="rId7" w:history="1">
        <w:r w:rsidRPr="001A7854">
          <w:rPr>
            <w:rFonts w:ascii="Times New Roman" w:eastAsia="Times New Roman" w:hAnsi="Times New Roman" w:cs="Arial Unicode MS"/>
            <w:sz w:val="24"/>
            <w:szCs w:val="24"/>
            <w:u w:val="single"/>
            <w:lang w:val="lv-LV" w:bidi="lo-LA"/>
          </w:rPr>
          <w:t>www.zva.gov.lv</w:t>
        </w:r>
      </w:hyperlink>
    </w:p>
    <w:p w14:paraId="3300D52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1FE2909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4.9.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Pārdozēšana</w:t>
      </w:r>
    </w:p>
    <w:p w14:paraId="4E791F6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Saistīta ar paracetamola pārdozēšanu ieņemot no 10-15g. Iespējamie simptomi – ādas bālums, anoreksija, slikta dūša, vemšana, hepatonekroze, paaugstināta aknu transmināžu aktivitāte, protrombīna laika palielināšanās.</w:t>
      </w:r>
    </w:p>
    <w:p w14:paraId="17B58F4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Pārdozēšanas gadījumā jāpārtrauc zāļu lietošana, jāsāk simptomātiska terapija un, ja nepieciešams, jāveic uzturoši pasākumi (jāuztur pacienta elpošana un asinsrite, jāsamazina zāļu uzsūkšanos, ievadot aktivēto ogli u.c.). </w:t>
      </w:r>
    </w:p>
    <w:p w14:paraId="2B47464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685EF7D0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5.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 xml:space="preserve">     Farmakoloģiskās īpašības</w:t>
      </w:r>
    </w:p>
    <w:p w14:paraId="1E55DC5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Farmakoterapeitiskā grupa: </w:t>
      </w:r>
      <w:r w:rsidRPr="00472BEA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citi pretsāpju un pretdrudža līdzekļi; paracetamola kombinācijas, izņemot neiroleptikas.</w:t>
      </w:r>
    </w:p>
    <w:p w14:paraId="5EF330D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32A5F1F7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ATĶ kods: N02BE51</w:t>
      </w:r>
    </w:p>
    <w:p w14:paraId="2340513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579A06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5.1.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Farmakodinamiskās īpašības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</w:p>
    <w:p w14:paraId="560C347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apvalkotās tabletes ir vispusīgs pretsaaukstēšanās līdzeklis, kas ātri un ilgstoši mazina saaukstēšanās simptomus.</w:t>
      </w:r>
    </w:p>
    <w:p w14:paraId="2D457BF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Hlorfeniramīns novērš rinoreju, šķavas un acu niezi un asarošanu, kas saistīta ar paaugstinātu histamīna līmeni.</w:t>
      </w:r>
    </w:p>
    <w:p w14:paraId="5DB2930B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Fenilefrīns samazina deguna un deguna blakusdobumu gļotādas tūsku.</w:t>
      </w:r>
    </w:p>
    <w:p w14:paraId="26BFE9A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Paracetamols samazina drudzi un remdē galvassāpes, muskuļu un locītavu sāpes.</w:t>
      </w:r>
    </w:p>
    <w:p w14:paraId="2B74AC8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Cs/>
          <w:sz w:val="24"/>
          <w:szCs w:val="24"/>
          <w:lang w:val="lv-LV" w:bidi="lo-LA"/>
        </w:rPr>
        <w:t>Coldrin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apvalkotās tabletes satur arī kofeīnu, kas palīdz novērst iespējamo antihistamīna līdzekļa izraisīto miegainību.</w:t>
      </w:r>
    </w:p>
    <w:p w14:paraId="360A80B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BF9D57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5.2.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Farmakokinētiskās īpašības</w:t>
      </w:r>
    </w:p>
    <w:p w14:paraId="4A7FD56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Hlorfeniramīna maleāts ātri uzsūcas no gastrointestinālā trakta, maksimālo koncentrāciju plazmā sasniedz pēc 14 – 25 stundām un metabolītu veidā tiek izvadīts ar urīnu.</w:t>
      </w:r>
    </w:p>
    <w:p w14:paraId="252BBF9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A60F904" w14:textId="77777777" w:rsidR="00472BEA" w:rsidRPr="00472BEA" w:rsidRDefault="00472BEA" w:rsidP="004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lastRenderedPageBreak/>
        <w:t>Fenilefrīna hidrohlorīda uzsūkšanās no kuņģa-zarnu trakta ir nevienmērīga. Pēc intramuskulāras ievadīšanas tā iedarbība sākas pēc 10 – 15 minūtēm; subkutānas un intramuskulāras injekcijas iedarbības ilgums ir apmēram 1 stunda. Intravenozu injekciju iedarbība ilgst apmēram 20 minūtes.</w:t>
      </w:r>
    </w:p>
    <w:p w14:paraId="153DD20B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FAF9D5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Paracetamols (acetaminofēns) ātri uzsūcas no gastrointestinālā trakta sākumdaļas un maksimālo koncentrāciju plazmā sasniedz 30-60 minūtes pēc terapeitiskās devas lietošanas. Sākotnējais savienojums, kas nav toksisks, intensīvi metabolizējas aknās, veidojot galvenokārt sulfātu un glikuronātu savienojumus, kas arī nav toksiski un ātri tiek izvadīti ar urīnu.</w:t>
      </w:r>
    </w:p>
    <w:p w14:paraId="0F33753D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42550D8" w14:textId="77777777" w:rsidR="00472BEA" w:rsidRPr="00472BEA" w:rsidRDefault="00472BEA" w:rsidP="00472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Kofeīns pēc perorālas lietošanas uzsūcas viegli, maksimālā koncentrācija plazmā tiek sasniegta apmēram pēc 20 – 30 minūtēm, un eliminācijas pusperiods plazmā ir apmēram 4 stundas. 48 stundu laikā 45% devas tiek izdalīti ar urīnu 1-metilksantīna un 1-metilurīnskābes veidā.</w:t>
      </w:r>
    </w:p>
    <w:p w14:paraId="669B445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6D997739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5.3.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Preklīniskie dati par drošumu</w:t>
      </w:r>
    </w:p>
    <w:p w14:paraId="337FB9B2" w14:textId="1DB4AB7C" w:rsidR="00472BEA" w:rsidRPr="00472BEA" w:rsidRDefault="00472BEA" w:rsidP="006E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Ar šīm zālēm nav veikti kancerogenitātes, mutagenitātes un reproduktivitātes pētījumi ar dzīvniekiem. Nav arī zināms, vai šīs zāles var izraisīt augļa bojājumu, ja to ievada grūtniecēm, vai var ietekmēt reproduktīvo spēju.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="006E1B73" w:rsidRP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Standartpētījumi, izmantojot šobrīd spēkā esošos standartus toksiskas ietekmes uz reproduktivitāti un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="006E1B73" w:rsidRP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attīstību vērtēšanai, nav pieejami.</w:t>
      </w:r>
    </w:p>
    <w:p w14:paraId="4603C26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94589A4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Farmaceitiskā  informācija</w:t>
      </w:r>
    </w:p>
    <w:p w14:paraId="1BBE101A" w14:textId="77777777" w:rsidR="00472BEA" w:rsidRPr="00472BEA" w:rsidRDefault="00472BEA" w:rsidP="00472BE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Palīgvielu saraksts</w:t>
      </w:r>
    </w:p>
    <w:p w14:paraId="657C7FC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</w:p>
    <w:p w14:paraId="743EAFF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Tabletes kodols</w:t>
      </w:r>
    </w:p>
    <w:p w14:paraId="23F152D3" w14:textId="661B2B05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Laktoze</w:t>
      </w:r>
      <w:r w:rsidR="0047729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 monohidrāts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, povidons</w:t>
      </w:r>
      <w:r w:rsidR="0047729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30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, nātrija cietes glikolāts, </w:t>
      </w:r>
      <w:r w:rsidR="0047729A" w:rsidRPr="0047729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bezūdens koloidālais</w:t>
      </w:r>
      <w:r w:rsidR="0047729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silīcija dioksīds, magnija stearāts, hidrogenēta augu eļļa, Eudragit E 100.</w:t>
      </w:r>
    </w:p>
    <w:p w14:paraId="7C03363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Apvalks</w:t>
      </w:r>
    </w:p>
    <w:p w14:paraId="224342A8" w14:textId="387C50B2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Opadry krāsviela OY-5832 {satur hipromelozi</w:t>
      </w:r>
      <w:r w:rsidR="00EA4D0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(E 464)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, titāna dioksīdu (E 171), makrogolu 400</w:t>
      </w:r>
      <w:r w:rsidR="00EA4D0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(E 1521)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, hinolīna dzelteno (E 104), dzelteno dzelzs oksīdu (E 172), indigokarmīnu (E 132)</w:t>
      </w:r>
      <w:r w:rsidR="00EA4D0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}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, </w:t>
      </w:r>
      <w:r w:rsidR="008445C0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makrogols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</w:t>
      </w:r>
      <w:r w:rsidR="00D21DE6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60</w:t>
      </w: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00.</w:t>
      </w:r>
    </w:p>
    <w:p w14:paraId="0960F1E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672C568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6.2.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Nesaderība</w:t>
      </w:r>
    </w:p>
    <w:p w14:paraId="2B0124D5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piemērojama.</w:t>
      </w:r>
    </w:p>
    <w:p w14:paraId="65EECF6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5977BF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6.3.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 xml:space="preserve">Uzglabāšanas laiks </w:t>
      </w:r>
    </w:p>
    <w:p w14:paraId="6F7B422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2 gadi. </w:t>
      </w:r>
    </w:p>
    <w:p w14:paraId="66A62F2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06AF828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6.4.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Īpaši uzglabāšanas nosacījumi</w:t>
      </w:r>
    </w:p>
    <w:p w14:paraId="72BED0F9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Uzglabāt temperatūrā līdz 30°C. Uzglabāt oriģinālā iepakojumā, lai pasargātu no gaismas.</w:t>
      </w:r>
    </w:p>
    <w:p w14:paraId="1D63D460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19D71A5A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6.5.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Iepakojuma veids un saturs</w:t>
      </w:r>
    </w:p>
    <w:p w14:paraId="6C1AC05D" w14:textId="2580D641" w:rsidR="00472BEA" w:rsidRPr="00472BEA" w:rsidRDefault="00E8633B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PVH/</w:t>
      </w:r>
      <w:r w:rsidR="00472BEA"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PVDH/</w:t>
      </w:r>
      <w:r w:rsidR="00AC25BB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Al</w:t>
      </w:r>
      <w:r w:rsidR="00472BEA"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 xml:space="preserve"> blisteris.</w:t>
      </w:r>
    </w:p>
    <w:p w14:paraId="5952AF89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lastRenderedPageBreak/>
        <w:t>1 vai 2 blisteri pa 10 tabletēm kartona kastītē.</w:t>
      </w:r>
    </w:p>
    <w:p w14:paraId="54250F6F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Visi iepakojuma lielumi tirgū var nebūt pieejami.</w:t>
      </w:r>
    </w:p>
    <w:p w14:paraId="2CCDE80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24BDC36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6.6.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Īpaši norādījumi atkritumu likvidēšanai</w:t>
      </w:r>
    </w:p>
    <w:p w14:paraId="634C0B3C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Nav īpašu prasību.</w:t>
      </w:r>
    </w:p>
    <w:p w14:paraId="7757F44E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044449AD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7.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 xml:space="preserve">Reģistrācijas apliecības īpašnieks </w:t>
      </w:r>
    </w:p>
    <w:p w14:paraId="4ACB36B5" w14:textId="33EB0E4F" w:rsid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EBBF9A9" w14:textId="27D0E5F3" w:rsidR="00254A0D" w:rsidRDefault="00254A0D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SIA ELVIM</w:t>
      </w:r>
    </w:p>
    <w:p w14:paraId="1412513B" w14:textId="33525258" w:rsidR="00254A0D" w:rsidRDefault="00254A0D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Kurzemes pr. 3G</w:t>
      </w:r>
    </w:p>
    <w:p w14:paraId="782DD634" w14:textId="6B989D8A" w:rsidR="00254A0D" w:rsidRDefault="00254A0D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Rīga, LV-1067</w:t>
      </w:r>
    </w:p>
    <w:p w14:paraId="58E0B550" w14:textId="034B84B1" w:rsidR="00254A0D" w:rsidRPr="00472BEA" w:rsidRDefault="00254A0D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Latvija</w:t>
      </w:r>
    </w:p>
    <w:p w14:paraId="70FE94D1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71A018AC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8.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 xml:space="preserve">Reģistrācijas apliecības numurs </w:t>
      </w:r>
    </w:p>
    <w:p w14:paraId="25DF7D57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00-0599</w:t>
      </w:r>
    </w:p>
    <w:p w14:paraId="09D83A04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73662E6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9.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>Reģistrācijas / pārreģistrācijas datums</w:t>
      </w:r>
    </w:p>
    <w:p w14:paraId="10CDF821" w14:textId="77777777" w:rsidR="00731A63" w:rsidRDefault="00731A63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Reģistrācijas datums: 2000. gada 7. jūnijs</w:t>
      </w:r>
    </w:p>
    <w:p w14:paraId="0C7CFB48" w14:textId="4418E39E" w:rsidR="00472BEA" w:rsidRPr="00472BEA" w:rsidRDefault="00731A63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Pēdējās pārreģistrācijas datums: 2009. gada 21. decembris</w:t>
      </w:r>
    </w:p>
    <w:p w14:paraId="31C0B7F3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95DA0FF" w14:textId="77777777" w:rsidR="00472BEA" w:rsidRPr="00472BEA" w:rsidRDefault="00472BEA" w:rsidP="00472BEA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</w:pP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>10.</w:t>
      </w:r>
      <w:r w:rsidRPr="00472BEA">
        <w:rPr>
          <w:rFonts w:ascii="Times New Roman" w:eastAsia="Times New Roman" w:hAnsi="Times New Roman" w:cs="Arial Unicode MS"/>
          <w:b/>
          <w:bCs/>
          <w:sz w:val="24"/>
          <w:szCs w:val="24"/>
          <w:lang w:val="lv-LV" w:bidi="lo-LA"/>
        </w:rPr>
        <w:tab/>
        <w:t xml:space="preserve"> Teksta pēdējās pārskatīšanas datums</w:t>
      </w:r>
    </w:p>
    <w:p w14:paraId="27F62790" w14:textId="05310858" w:rsidR="00472BEA" w:rsidRPr="00472BEA" w:rsidRDefault="00CE0CEF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  <w:r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11</w:t>
      </w:r>
      <w:r w:rsidR="006E1B73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/20</w:t>
      </w:r>
      <w:r w:rsidR="00163A6D">
        <w:rPr>
          <w:rFonts w:ascii="Times New Roman" w:eastAsia="Times New Roman" w:hAnsi="Times New Roman" w:cs="Arial Unicode MS"/>
          <w:sz w:val="24"/>
          <w:szCs w:val="24"/>
          <w:lang w:val="lv-LV" w:bidi="lo-LA"/>
        </w:rPr>
        <w:t>20</w:t>
      </w:r>
    </w:p>
    <w:p w14:paraId="29587962" w14:textId="77777777" w:rsidR="00472BEA" w:rsidRPr="00472BEA" w:rsidRDefault="00472BEA" w:rsidP="00472B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Unicode MS"/>
          <w:sz w:val="24"/>
          <w:szCs w:val="24"/>
          <w:lang w:val="lv-LV" w:bidi="lo-LA"/>
        </w:rPr>
      </w:pPr>
    </w:p>
    <w:p w14:paraId="423575AD" w14:textId="77777777" w:rsidR="00062BBC" w:rsidRPr="00FF7C04" w:rsidRDefault="00062BBC">
      <w:pPr>
        <w:rPr>
          <w:sz w:val="24"/>
          <w:szCs w:val="24"/>
          <w:lang w:val="lv-LV"/>
        </w:rPr>
      </w:pPr>
    </w:p>
    <w:sectPr w:rsidR="00062BBC" w:rsidRPr="00FF7C04" w:rsidSect="00DD7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4FF6" w14:textId="77777777" w:rsidR="004B2705" w:rsidRDefault="004B2705" w:rsidP="00EA3618">
      <w:pPr>
        <w:spacing w:after="0" w:line="240" w:lineRule="auto"/>
      </w:pPr>
      <w:r>
        <w:separator/>
      </w:r>
    </w:p>
  </w:endnote>
  <w:endnote w:type="continuationSeparator" w:id="0">
    <w:p w14:paraId="18F06618" w14:textId="77777777" w:rsidR="004B2705" w:rsidRDefault="004B2705" w:rsidP="00EA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3E58B" w14:textId="77777777" w:rsidR="00E51862" w:rsidRDefault="00E51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977D" w14:textId="431B23A7" w:rsidR="005D09EC" w:rsidRPr="00BA64D0" w:rsidRDefault="004B5D5E">
    <w:pPr>
      <w:pStyle w:val="Footer"/>
      <w:rPr>
        <w:sz w:val="18"/>
        <w:szCs w:val="18"/>
        <w:lang w:val="lv-LV"/>
      </w:rPr>
    </w:pPr>
    <w:r>
      <w:rPr>
        <w:sz w:val="18"/>
        <w:szCs w:val="18"/>
        <w:lang w:val="lv-LV"/>
      </w:rPr>
      <w:t>20</w:t>
    </w:r>
    <w:r w:rsidR="00D21DE6">
      <w:rPr>
        <w:sz w:val="18"/>
        <w:szCs w:val="18"/>
        <w:lang w:val="lv-LV"/>
      </w:rPr>
      <w:t>20</w:t>
    </w:r>
    <w:r>
      <w:rPr>
        <w:sz w:val="18"/>
        <w:szCs w:val="18"/>
        <w:lang w:val="lv-LV"/>
      </w:rPr>
      <w:t>-0</w:t>
    </w:r>
    <w:r w:rsidR="00254A0D">
      <w:rPr>
        <w:sz w:val="18"/>
        <w:szCs w:val="18"/>
        <w:lang w:val="lv-LV"/>
      </w:rPr>
      <w:t>9</w:t>
    </w:r>
    <w:r>
      <w:rPr>
        <w:sz w:val="18"/>
        <w:szCs w:val="18"/>
        <w:lang w:val="lv-LV"/>
      </w:rPr>
      <w:t>-</w:t>
    </w:r>
    <w:r w:rsidR="00D21DE6">
      <w:rPr>
        <w:sz w:val="18"/>
        <w:szCs w:val="18"/>
        <w:lang w:val="lv-LV"/>
      </w:rPr>
      <w:t>25</w:t>
    </w:r>
    <w:r>
      <w:rPr>
        <w:sz w:val="18"/>
        <w:szCs w:val="18"/>
        <w:lang w:val="lv-LV"/>
      </w:rPr>
      <w:t>_var0</w:t>
    </w:r>
    <w:r w:rsidR="00D21DE6">
      <w:rPr>
        <w:sz w:val="18"/>
        <w:szCs w:val="18"/>
        <w:lang w:val="lv-LV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499F6" w14:textId="77777777" w:rsidR="00E51862" w:rsidRDefault="00E51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794BC" w14:textId="77777777" w:rsidR="004B2705" w:rsidRDefault="004B2705" w:rsidP="00EA3618">
      <w:pPr>
        <w:spacing w:after="0" w:line="240" w:lineRule="auto"/>
      </w:pPr>
      <w:r>
        <w:separator/>
      </w:r>
    </w:p>
  </w:footnote>
  <w:footnote w:type="continuationSeparator" w:id="0">
    <w:p w14:paraId="4CC52AD4" w14:textId="77777777" w:rsidR="004B2705" w:rsidRDefault="004B2705" w:rsidP="00EA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F0AD" w14:textId="77777777" w:rsidR="00E51862" w:rsidRDefault="00E51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35D37" w14:textId="2E0994E4" w:rsidR="00EA3618" w:rsidRPr="00946A81" w:rsidRDefault="00E51862" w:rsidP="005D09EC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SASKAŅOTS ZVA 23-02-2021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AE87C" w14:textId="77777777" w:rsidR="00E51862" w:rsidRDefault="00E51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820F2"/>
    <w:multiLevelType w:val="hybridMultilevel"/>
    <w:tmpl w:val="426A504A"/>
    <w:lvl w:ilvl="0" w:tplc="19507646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35E63"/>
    <w:multiLevelType w:val="multilevel"/>
    <w:tmpl w:val="7E52B8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BEA"/>
    <w:rsid w:val="00053D24"/>
    <w:rsid w:val="00061869"/>
    <w:rsid w:val="00062BBC"/>
    <w:rsid w:val="000719A4"/>
    <w:rsid w:val="0007584F"/>
    <w:rsid w:val="000F28AA"/>
    <w:rsid w:val="001539FB"/>
    <w:rsid w:val="00163A6D"/>
    <w:rsid w:val="001A7854"/>
    <w:rsid w:val="001E10E1"/>
    <w:rsid w:val="00254A0D"/>
    <w:rsid w:val="002C434B"/>
    <w:rsid w:val="002E31D3"/>
    <w:rsid w:val="00460037"/>
    <w:rsid w:val="00472BEA"/>
    <w:rsid w:val="0047729A"/>
    <w:rsid w:val="00490C5F"/>
    <w:rsid w:val="004B2705"/>
    <w:rsid w:val="004B5D5E"/>
    <w:rsid w:val="00522C5F"/>
    <w:rsid w:val="005D09EC"/>
    <w:rsid w:val="0065593D"/>
    <w:rsid w:val="006E1B73"/>
    <w:rsid w:val="007056AC"/>
    <w:rsid w:val="00731A63"/>
    <w:rsid w:val="00753FDF"/>
    <w:rsid w:val="00754879"/>
    <w:rsid w:val="008445C0"/>
    <w:rsid w:val="008A6FEC"/>
    <w:rsid w:val="00902D52"/>
    <w:rsid w:val="009309AF"/>
    <w:rsid w:val="009405D7"/>
    <w:rsid w:val="00946A81"/>
    <w:rsid w:val="009C3C6E"/>
    <w:rsid w:val="00A011D5"/>
    <w:rsid w:val="00AC25BB"/>
    <w:rsid w:val="00BA4F6C"/>
    <w:rsid w:val="00BA64D0"/>
    <w:rsid w:val="00C23FB4"/>
    <w:rsid w:val="00C44066"/>
    <w:rsid w:val="00C55D52"/>
    <w:rsid w:val="00C66A9D"/>
    <w:rsid w:val="00C769EF"/>
    <w:rsid w:val="00CE0CEF"/>
    <w:rsid w:val="00CF35BF"/>
    <w:rsid w:val="00D21DE6"/>
    <w:rsid w:val="00DD7364"/>
    <w:rsid w:val="00E51862"/>
    <w:rsid w:val="00E5266A"/>
    <w:rsid w:val="00E64BD4"/>
    <w:rsid w:val="00E8633B"/>
    <w:rsid w:val="00E95694"/>
    <w:rsid w:val="00EA3618"/>
    <w:rsid w:val="00EA4D03"/>
    <w:rsid w:val="00EA4DDA"/>
    <w:rsid w:val="00EB579A"/>
    <w:rsid w:val="00F23344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AD73"/>
  <w15:docId w15:val="{FD8C77E3-92F2-4DBA-9C1B-195F1334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72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BEA"/>
    <w:rPr>
      <w:rFonts w:ascii="Times New Roman" w:eastAsia="Times New Roman" w:hAnsi="Times New Roman" w:cs="Arial Unicode MS"/>
      <w:sz w:val="20"/>
      <w:szCs w:val="20"/>
      <w:lang w:val="lv-LV" w:bidi="lo-LA"/>
    </w:rPr>
  </w:style>
  <w:style w:type="character" w:styleId="CommentReference">
    <w:name w:val="annotation reference"/>
    <w:uiPriority w:val="99"/>
    <w:semiHidden/>
    <w:unhideWhenUsed/>
    <w:rsid w:val="00472BE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BE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A361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3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618"/>
  </w:style>
  <w:style w:type="paragraph" w:styleId="Footer">
    <w:name w:val="footer"/>
    <w:basedOn w:val="Normal"/>
    <w:link w:val="FooterChar"/>
    <w:uiPriority w:val="99"/>
    <w:unhideWhenUsed/>
    <w:rsid w:val="00EA36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61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C5F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val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C5F"/>
    <w:rPr>
      <w:rFonts w:ascii="Times New Roman" w:eastAsia="Times New Roman" w:hAnsi="Times New Roman" w:cs="Arial Unicode MS"/>
      <w:b/>
      <w:bCs/>
      <w:sz w:val="20"/>
      <w:szCs w:val="20"/>
      <w:lang w:val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zva.gov.lv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7968</Words>
  <Characters>4542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Zīverte</dc:creator>
  <cp:lastModifiedBy>Skaidrīte Lapsenīte</cp:lastModifiedBy>
  <cp:revision>28</cp:revision>
  <dcterms:created xsi:type="dcterms:W3CDTF">2016-05-16T12:43:00Z</dcterms:created>
  <dcterms:modified xsi:type="dcterms:W3CDTF">2021-02-22T12:25:00Z</dcterms:modified>
</cp:coreProperties>
</file>