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6A98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924B5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ZĀĻU APRAKSTS</w:t>
      </w:r>
    </w:p>
    <w:p w14:paraId="04E100BF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46E6435A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0AB2B4BB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924B5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1. ZĀĻU NOSAUKUMS</w:t>
      </w:r>
    </w:p>
    <w:p w14:paraId="04CC2608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26DBA7F2" w14:textId="0FC1D585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proofErr w:type="spellStart"/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Senade</w:t>
      </w:r>
      <w:proofErr w:type="spellEnd"/>
      <w:r w:rsidR="00EE6A64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tabletes</w:t>
      </w:r>
    </w:p>
    <w:p w14:paraId="53C6BABE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09F6DDF9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924B5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2. KVALITATĪVAIS UN KVANTITATĪVAIS SASTĀVS</w:t>
      </w:r>
    </w:p>
    <w:p w14:paraId="5EAE4FDA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39868943" w14:textId="07E99965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</w:pPr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Katra tablete satur </w:t>
      </w:r>
      <w:proofErr w:type="spellStart"/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sennas</w:t>
      </w:r>
      <w:proofErr w:type="spellEnd"/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006365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lapu </w:t>
      </w:r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ekstraktu (</w:t>
      </w:r>
      <w:proofErr w:type="spellStart"/>
      <w:r w:rsidRPr="00924B5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>Sennae</w:t>
      </w:r>
      <w:proofErr w:type="spellEnd"/>
      <w:r w:rsidR="009440A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="009440A6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>folii</w:t>
      </w:r>
      <w:proofErr w:type="spellEnd"/>
      <w:r w:rsidRPr="00924B5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924B52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>extractum</w:t>
      </w:r>
      <w:proofErr w:type="spellEnd"/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), kas ir ekvivalents </w:t>
      </w:r>
      <w:r w:rsidR="004257D1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13,5</w:t>
      </w:r>
      <w:r w:rsidR="004257D1"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mg kalcija</w:t>
      </w:r>
      <w:r w:rsidR="00006365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sennozīdu</w:t>
      </w:r>
      <w:proofErr w:type="spellEnd"/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 un B (</w:t>
      </w:r>
      <w:proofErr w:type="spellStart"/>
      <w:r w:rsidRPr="00143C41">
        <w:rPr>
          <w:rFonts w:ascii="Times New Roman" w:eastAsia="TimesNewRomanPSMT" w:hAnsi="Times New Roman" w:cs="Times New Roman"/>
          <w:i/>
          <w:kern w:val="1"/>
          <w:sz w:val="24"/>
          <w:szCs w:val="24"/>
          <w:lang w:val="lv-LV" w:eastAsia="hi-IN" w:bidi="hi-IN"/>
        </w:rPr>
        <w:t>calcium</w:t>
      </w:r>
      <w:proofErr w:type="spellEnd"/>
      <w:r w:rsidRPr="00143C41">
        <w:rPr>
          <w:rFonts w:ascii="Times New Roman" w:eastAsia="TimesNewRomanPSMT" w:hAnsi="Times New Roman" w:cs="Times New Roman"/>
          <w:i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143C41">
        <w:rPr>
          <w:rFonts w:ascii="Times New Roman" w:eastAsia="TimesNewRomanPSMT" w:hAnsi="Times New Roman" w:cs="Times New Roman"/>
          <w:i/>
          <w:kern w:val="1"/>
          <w:sz w:val="24"/>
          <w:szCs w:val="24"/>
          <w:lang w:val="lv-LV" w:eastAsia="hi-IN" w:bidi="hi-IN"/>
        </w:rPr>
        <w:t>sennosides</w:t>
      </w:r>
      <w:proofErr w:type="spellEnd"/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).</w:t>
      </w:r>
    </w:p>
    <w:p w14:paraId="794CAC2C" w14:textId="77777777" w:rsidR="00EE6A64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</w:pPr>
    </w:p>
    <w:p w14:paraId="0D761637" w14:textId="77777777" w:rsidR="00EE6A64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proofErr w:type="spellStart"/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  <w:t>Palīgvielas</w:t>
      </w:r>
      <w:proofErr w:type="spellEnd"/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  <w:t xml:space="preserve"> ar zināmu iedarbību:</w:t>
      </w:r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</w:p>
    <w:p w14:paraId="063EE3C5" w14:textId="77777777" w:rsidR="00EE6A64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K</w:t>
      </w:r>
      <w:r w:rsidR="00924B52"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atra tablete satur 23,07 mg laktozes</w:t>
      </w:r>
      <w:r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  <w:r w:rsidR="00924B52"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</w:p>
    <w:p w14:paraId="35B4C15A" w14:textId="16D69B17" w:rsidR="00924B52" w:rsidRPr="00924B52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Katra tablete satur </w:t>
      </w:r>
      <w:r w:rsidR="00924B52"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0,04 mg </w:t>
      </w:r>
      <w:proofErr w:type="spellStart"/>
      <w:r w:rsidR="00924B52"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metilparahidroksibenzoāta</w:t>
      </w:r>
      <w:proofErr w:type="spellEnd"/>
      <w:r w:rsidR="00D077CC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(E218)</w:t>
      </w:r>
      <w:r w:rsidR="00924B52"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726A69CA" w14:textId="77777777" w:rsidR="00EE6A64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77697140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Pilnu </w:t>
      </w:r>
      <w:proofErr w:type="spellStart"/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palīgvielu</w:t>
      </w:r>
      <w:proofErr w:type="spellEnd"/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sarakstu skatīt 6.1. apakšpunktā.</w:t>
      </w:r>
    </w:p>
    <w:p w14:paraId="232AA2A8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35AECAFE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924B5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3. ZĀĻU FORMA</w:t>
      </w:r>
    </w:p>
    <w:p w14:paraId="0DAE4273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7137F6E3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Tablete.</w:t>
      </w:r>
    </w:p>
    <w:p w14:paraId="0B075CC0" w14:textId="77777777" w:rsidR="00EE6A64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347DF603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Melnas krāsas, apaļas formas, abpusēji izliektas tabletes.</w:t>
      </w:r>
    </w:p>
    <w:p w14:paraId="5F5396C6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24CC00EC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924B5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4. KLĪNISKĀ INFORMĀCIJA</w:t>
      </w:r>
    </w:p>
    <w:p w14:paraId="414C3327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23533BB5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</w:pPr>
      <w:r w:rsidRPr="00924B5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4.1. Terapeitiskās indikācijas</w:t>
      </w:r>
    </w:p>
    <w:p w14:paraId="4B264EBE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</w:pPr>
    </w:p>
    <w:p w14:paraId="17A7AD83" w14:textId="0F0C3409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</w:t>
      </w:r>
      <w:r w:rsidR="00006365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as</w:t>
      </w:r>
      <w:proofErr w:type="spellEnd"/>
      <w:r w:rsidR="00006365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lapu ekstraktu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saturoš</w:t>
      </w:r>
      <w:r w:rsidR="001E1AE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s </w:t>
      </w:r>
      <w:r w:rsidR="001E1AE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augu izcelsmes zāles</w:t>
      </w:r>
      <w:r w:rsidR="00D00E4F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īslaicīgai lietošanai</w:t>
      </w:r>
      <w:r w:rsidR="00EE6A64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006365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ret</w:t>
      </w:r>
      <w:r w:rsidR="00C9201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u</w:t>
      </w:r>
      <w:r w:rsidR="00EE6A64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aizcietējum</w:t>
      </w:r>
      <w:r w:rsidR="00C9201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u</w:t>
      </w:r>
      <w:r w:rsidR="00E23DD8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gadījum</w:t>
      </w:r>
      <w:r w:rsidR="000933DE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os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16B82FF1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3313F09E" w14:textId="2B6A398D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</w:pP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Senade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tabletes</w:t>
      </w:r>
      <w:r w:rsidRPr="00BA513D">
        <w:rPr>
          <w:rFonts w:ascii="Times New Roman" w:eastAsia="Times New Roman" w:hAnsi="Times New Roman" w:cs="Times New Roman"/>
          <w:color w:val="000000"/>
          <w:kern w:val="1"/>
          <w:lang w:val="lv-LV" w:eastAsia="ar-SA"/>
        </w:rPr>
        <w:t xml:space="preserve"> ir paredzēt</w:t>
      </w:r>
      <w:r w:rsidR="00EE6A64" w:rsidRPr="00BA513D">
        <w:rPr>
          <w:rFonts w:ascii="Times New Roman" w:eastAsia="Times New Roman" w:hAnsi="Times New Roman" w:cs="Times New Roman"/>
          <w:color w:val="000000"/>
          <w:kern w:val="1"/>
          <w:lang w:val="lv-LV" w:eastAsia="ar-SA"/>
        </w:rPr>
        <w:t>a</w:t>
      </w:r>
      <w:r w:rsidRPr="00BA513D">
        <w:rPr>
          <w:rFonts w:ascii="Times New Roman" w:eastAsia="Times New Roman" w:hAnsi="Times New Roman" w:cs="Times New Roman"/>
          <w:color w:val="000000"/>
          <w:kern w:val="1"/>
          <w:lang w:val="lv-LV" w:eastAsia="ar-SA"/>
        </w:rPr>
        <w:t>s lietošanai pieaugušajiem un pusaudžiem, kuri ir vecāki par 12 gadiem.</w:t>
      </w:r>
    </w:p>
    <w:p w14:paraId="1F029C7E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</w:pPr>
    </w:p>
    <w:p w14:paraId="423A3F00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</w:pPr>
    </w:p>
    <w:p w14:paraId="4F8FC9CD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4.2. Devas un lietošanas veids</w:t>
      </w:r>
    </w:p>
    <w:p w14:paraId="5A3D9F67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</w:p>
    <w:p w14:paraId="09191BC5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ItalicMT" w:hAnsi="Times New Roman" w:cs="Times New Roman"/>
          <w:kern w:val="1"/>
          <w:sz w:val="24"/>
          <w:szCs w:val="24"/>
          <w:u w:val="single"/>
          <w:lang w:val="lv-LV" w:eastAsia="hi-IN" w:bidi="hi-IN"/>
        </w:rPr>
        <w:t>Devas</w:t>
      </w:r>
    </w:p>
    <w:p w14:paraId="234B16E1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kern w:val="1"/>
          <w:sz w:val="24"/>
          <w:szCs w:val="24"/>
          <w:lang w:val="lv-LV" w:eastAsia="hi-IN" w:bidi="hi-IN"/>
        </w:rPr>
      </w:pPr>
    </w:p>
    <w:p w14:paraId="12B98611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ItalicMT" w:hAnsi="Times New Roman" w:cs="Times New Roman"/>
          <w:b/>
          <w:bCs/>
          <w:i/>
          <w:iCs/>
          <w:kern w:val="1"/>
          <w:sz w:val="24"/>
          <w:szCs w:val="24"/>
          <w:lang w:val="lv-LV" w:eastAsia="hi-IN" w:bidi="hi-IN"/>
        </w:rPr>
        <w:t>Pusaudžiem, kuri ir vecāki par 12 gadiem, pieaugušajiem un gados vecākiem cilvēkiem</w:t>
      </w:r>
    </w:p>
    <w:p w14:paraId="7258E2DC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5018DFE3" w14:textId="6235006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Dienas deva ir 1 tablete pirms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gulētiešanas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. Nepieciešamības gadījumā </w:t>
      </w:r>
      <w:r w:rsidR="00CB09F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dienas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devu var palielināt līdz 2 tabletēm vienā reizē pirms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gulētiešanas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1F87C1FD" w14:textId="3629C57A" w:rsidR="00006365" w:rsidRPr="00BA513D" w:rsidRDefault="00006365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7B89A67E" w14:textId="3BA2E5D0" w:rsidR="00006365" w:rsidRPr="00A25C70" w:rsidRDefault="00006365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A25C70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Maksimālā </w:t>
      </w:r>
      <w:proofErr w:type="spellStart"/>
      <w:r w:rsidRPr="00A25C70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hidroksiantracēna</w:t>
      </w:r>
      <w:proofErr w:type="spellEnd"/>
      <w:r w:rsidRPr="00A25C70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glikozīdu dienas deva ir 30 mg. Tas ir ekvivalents </w:t>
      </w:r>
      <w:r w:rsidR="00685358" w:rsidRPr="00A25C70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13.5</w:t>
      </w:r>
      <w:r w:rsidR="00532053" w:rsidRPr="00A25C70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mg </w:t>
      </w:r>
      <w:r w:rsidR="00A25C70" w:rsidRPr="00A25C70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kalcija </w:t>
      </w:r>
      <w:proofErr w:type="spellStart"/>
      <w:r w:rsidR="00A25C70" w:rsidRPr="00A25C70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sennozīdu</w:t>
      </w:r>
      <w:proofErr w:type="spellEnd"/>
      <w:r w:rsidR="00A25C70" w:rsidRPr="00A25C70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 un B </w:t>
      </w:r>
      <w:r w:rsidR="00532053" w:rsidRPr="00A25C70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katrā tabletē.</w:t>
      </w:r>
    </w:p>
    <w:p w14:paraId="6551FA67" w14:textId="77777777" w:rsidR="00EE6A64" w:rsidRPr="00A25C70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43CB9A7D" w14:textId="6530497D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A25C70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Pareiza individuālā deva ir mazākā deva, kāda nepieciešama mīkstas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formētas vēdera izejas nodrošināšanai.</w:t>
      </w:r>
    </w:p>
    <w:p w14:paraId="74F2860C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70D75FE" w14:textId="6579B946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Cs w:val="20"/>
          <w:lang w:val="lv-LV" w:eastAsia="ar-SA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Parasti </w:t>
      </w:r>
      <w:r w:rsidR="0068618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ir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pietiek</w:t>
      </w:r>
      <w:r w:rsidR="0068618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ami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lietot </w:t>
      </w:r>
      <w:r w:rsidR="00EA1194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šīs zāles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190BA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līdz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div</w:t>
      </w:r>
      <w:r w:rsidR="00190BA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ām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vai tr</w:t>
      </w:r>
      <w:r w:rsidR="00190BA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im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reiz</w:t>
      </w:r>
      <w:r w:rsidR="00190BA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ēm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nedēļā.</w:t>
      </w:r>
    </w:p>
    <w:p w14:paraId="7A746005" w14:textId="77777777" w:rsidR="00924B52" w:rsidRPr="00BA513D" w:rsidRDefault="00924B52" w:rsidP="00924B5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kern w:val="1"/>
          <w:szCs w:val="20"/>
          <w:lang w:val="lv-LV" w:eastAsia="ar-SA"/>
        </w:rPr>
      </w:pPr>
    </w:p>
    <w:p w14:paraId="5D949C59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b/>
          <w:bCs/>
          <w:i/>
          <w:iCs/>
          <w:kern w:val="1"/>
          <w:sz w:val="24"/>
          <w:szCs w:val="24"/>
          <w:lang w:val="lv-LV" w:eastAsia="hi-IN" w:bidi="hi-IN"/>
        </w:rPr>
        <w:t>Pediatriskā populācija</w:t>
      </w:r>
    </w:p>
    <w:p w14:paraId="293ED7FA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6AF05CE5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Nav ieteicams lietot bērniem līdz 12 gadu vecumam (skatīt 4.3. apakšpunktu </w:t>
      </w:r>
      <w:r w:rsidR="0003283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“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Kontrindikācijas</w:t>
      </w:r>
      <w:r w:rsidR="0003283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”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).</w:t>
      </w:r>
    </w:p>
    <w:p w14:paraId="2228BD8C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</w:pPr>
    </w:p>
    <w:p w14:paraId="0FFC5D2F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kern w:val="1"/>
          <w:sz w:val="24"/>
          <w:szCs w:val="24"/>
          <w:u w:val="single"/>
          <w:lang w:val="lv-LV" w:eastAsia="hi-IN" w:bidi="hi-IN"/>
        </w:rPr>
        <w:t>Lietošanas veids</w:t>
      </w:r>
    </w:p>
    <w:p w14:paraId="5F8F85D3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200DE0DF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Iekšķīgai lietošanai.</w:t>
      </w:r>
    </w:p>
    <w:p w14:paraId="4F789018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</w:pPr>
    </w:p>
    <w:p w14:paraId="5F3CD4B0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kern w:val="1"/>
          <w:sz w:val="24"/>
          <w:szCs w:val="24"/>
          <w:u w:val="single"/>
          <w:lang w:val="lv-LV" w:eastAsia="hi-IN" w:bidi="hi-IN"/>
        </w:rPr>
        <w:t>Lietošanas ilgums</w:t>
      </w:r>
    </w:p>
    <w:p w14:paraId="3BB85A53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2A6DFBB1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Lietošana ilgāk par 1-2 nedēļām ir pieļaujama tikai ārsta uzraudzībā.</w:t>
      </w:r>
    </w:p>
    <w:p w14:paraId="585D9176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8A245BE" w14:textId="77777777" w:rsidR="00924B52" w:rsidRPr="00BA513D" w:rsidRDefault="00924B52" w:rsidP="00222743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Ja simptomi saglabājas zāļu lietošanas laikā, jākonsultējas ar ārstu vai farmaceitu (skatīt </w:t>
      </w:r>
      <w:r w:rsidR="00F435A5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arī </w:t>
      </w:r>
      <w:r w:rsidR="0022274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4.4.</w:t>
      </w:r>
    </w:p>
    <w:p w14:paraId="245A56C1" w14:textId="252E916B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apakšpunktu</w:t>
      </w:r>
      <w:r w:rsidR="0022274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“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Īpaši brīdinājumi un piesardzība lietošanā</w:t>
      </w:r>
      <w:r w:rsidR="00F435A5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”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).</w:t>
      </w:r>
    </w:p>
    <w:p w14:paraId="38BEDD97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0D47BB88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4.3. Kontrindikācijas</w:t>
      </w:r>
    </w:p>
    <w:p w14:paraId="13F2036F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</w:pPr>
    </w:p>
    <w:p w14:paraId="467A878D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• Paaugstināta jutība pret aktīvo vielu vai jebkuru no 6.1. apakšpunktā uzskaitītajām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palīgvielām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046BFDCD" w14:textId="0880397F" w:rsidR="00EE6A64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• Zarnu obstrukcija un stenoze,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atonija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apendicīts, resnās zarnas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iekaisīgas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slimības (piemēram, Krona slimība, čūlainais kolīts)</w:t>
      </w:r>
      <w:r w:rsidR="00EE6A64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112BB770" w14:textId="27AE6FF7" w:rsidR="00761F87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•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ezināmas izcelsmes sāpes vēderā</w:t>
      </w:r>
      <w:r w:rsidR="001B4351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</w:p>
    <w:p w14:paraId="3DF45BFE" w14:textId="13B5F04B" w:rsidR="00924B52" w:rsidRPr="00BA513D" w:rsidRDefault="00761F87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• S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mag</w:t>
      </w:r>
      <w:r w:rsidR="00FF2C10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dehidratācija</w:t>
      </w:r>
      <w:proofErr w:type="spellEnd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ar ūdens un elektrolītu vielmaiņas traucējumiem.</w:t>
      </w:r>
    </w:p>
    <w:p w14:paraId="6279F3CA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• Bērniem līdz 12 gadu vecumam.</w:t>
      </w:r>
    </w:p>
    <w:p w14:paraId="7B8A8863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0C9F2F69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4.4. Īpaši brīdinājumi un piesardzība lietošanā</w:t>
      </w:r>
    </w:p>
    <w:p w14:paraId="51EA82EB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</w:p>
    <w:p w14:paraId="500C4184" w14:textId="420DA636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Piesardzību nepieciešams ievērot pacientiem, kuri vienlaikus lieto sirds glikozīdus,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antiaritmiskos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līdzekļus, zāles, kas inducē QT intervāla pagarināšanos, diurētiskos līdzekļus, </w:t>
      </w:r>
      <w:proofErr w:type="spellStart"/>
      <w:r w:rsidR="00773436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drenokortikosteroīdus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vai lakricas sakni.</w:t>
      </w:r>
    </w:p>
    <w:p w14:paraId="013A48FD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4EB3479" w14:textId="45D0394C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Tāpat kā citu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laksatīvo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līdzekļu lietošanas gadījumā,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</w:t>
      </w:r>
      <w:r w:rsidR="00CD207C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CD207C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lapas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saturošo līdzekļu lietošanas laikā piesardzīb</w:t>
      </w:r>
      <w:r w:rsidR="00E72D1A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jāievēro pacientiem, kuriem ir fekāliju nosprostojumi un neskaidras izcelsmes akūti vai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persistējoši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kuņģa-zarnu trakta darbības traucējumi, kā piemēram, sāpes vēderā, slikta dūša un vemšana, lietojot šīs zāles bez ārsta uzraudzības, jo minētie simptomi var liecināt par iespējamu vai esošu zarnu nosprostojumu (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ileusu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).</w:t>
      </w:r>
    </w:p>
    <w:p w14:paraId="1E48B623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66802EAF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Ja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laksatīvie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līdzekļi ir nepieciešami katru dienu, ir jānoskaidro aizcietējuma cēlonis.</w:t>
      </w:r>
    </w:p>
    <w:p w14:paraId="5E8BE4D6" w14:textId="7E5A995E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Jāi</w:t>
      </w:r>
      <w:r w:rsidR="0081308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zvairās no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ilgstoš</w:t>
      </w:r>
      <w:r w:rsidR="0081308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as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laksatīvo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līdzekļu</w:t>
      </w:r>
      <w:r w:rsidR="0081308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lietošanas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37D6C9D9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5EEEEBE5" w14:textId="60330075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Ja stimulējošie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laksatīvie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līdzekļi tiek lietoti ilgstošu laika periodu, tas var izraisīt zarnu darbības pavājināšanos un atkarību no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laksatīvajiem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līdzekļiem.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</w:t>
      </w:r>
      <w:r w:rsidR="006A024C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as</w:t>
      </w:r>
      <w:proofErr w:type="spellEnd"/>
      <w:r w:rsidR="006A024C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lapas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saturošus līdzekļus drīkst lietot vienīgi gadījumā, ja terapeitisko efektu nevar sasniegt ar diētas maiņu vai tilpumu veidojošo līdzekļu lietošanu.</w:t>
      </w:r>
    </w:p>
    <w:p w14:paraId="0EDC8C22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06906A19" w14:textId="1FA57F44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Nozīmējot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</w:t>
      </w:r>
      <w:r w:rsidR="002E5A4C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as</w:t>
      </w:r>
      <w:proofErr w:type="spellEnd"/>
      <w:r w:rsidR="002E5A4C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lapas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saturošus līdzekļus pieaugušajiem, kuriem ir fēču nesaturēšana, biežāk jāmaina pamper</w:t>
      </w:r>
      <w:r w:rsidR="00C755E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i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, lai novērstu ādas kontaktu ar fēcēm.</w:t>
      </w:r>
    </w:p>
    <w:p w14:paraId="6D42F36E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3C81C590" w14:textId="261D65C4" w:rsidR="00EE6A64" w:rsidRPr="00BA513D" w:rsidRDefault="00EE6A64" w:rsidP="00EE6A64">
      <w:pPr>
        <w:tabs>
          <w:tab w:val="left" w:pos="993"/>
          <w:tab w:val="left" w:pos="368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513D">
        <w:rPr>
          <w:rFonts w:ascii="Times New Roman" w:hAnsi="Times New Roman" w:cs="Times New Roman"/>
          <w:sz w:val="24"/>
          <w:szCs w:val="24"/>
          <w:lang w:val="lv-LV"/>
        </w:rPr>
        <w:t>Bez ārsta norādījuma zāles nerekomendē ilgstošai lietošanai (ilgāk par 1</w:t>
      </w:r>
      <w:r w:rsidR="00813083" w:rsidRPr="00BA513D">
        <w:rPr>
          <w:rFonts w:ascii="Times New Roman" w:hAnsi="Times New Roman" w:cs="Times New Roman"/>
          <w:sz w:val="24"/>
          <w:szCs w:val="24"/>
          <w:lang w:val="lv-LV"/>
        </w:rPr>
        <w:t xml:space="preserve"> - 2</w:t>
      </w:r>
      <w:r w:rsidRPr="00BA513D">
        <w:rPr>
          <w:rFonts w:ascii="Times New Roman" w:hAnsi="Times New Roman" w:cs="Times New Roman"/>
          <w:sz w:val="24"/>
          <w:szCs w:val="24"/>
          <w:lang w:val="lv-LV"/>
        </w:rPr>
        <w:t xml:space="preserve"> nedēļ</w:t>
      </w:r>
      <w:r w:rsidR="00440179" w:rsidRPr="00BA513D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="00813083" w:rsidRPr="00BA513D">
        <w:rPr>
          <w:rFonts w:ascii="Times New Roman" w:hAnsi="Times New Roman" w:cs="Times New Roman"/>
          <w:sz w:val="24"/>
          <w:szCs w:val="24"/>
          <w:lang w:val="lv-LV"/>
        </w:rPr>
        <w:t>m</w:t>
      </w:r>
      <w:r w:rsidRPr="00BA513D">
        <w:rPr>
          <w:rFonts w:ascii="Times New Roman" w:hAnsi="Times New Roman" w:cs="Times New Roman"/>
          <w:sz w:val="24"/>
          <w:szCs w:val="24"/>
          <w:lang w:val="lv-LV"/>
        </w:rPr>
        <w:t xml:space="preserve">) caurejas, </w:t>
      </w:r>
      <w:proofErr w:type="spellStart"/>
      <w:r w:rsidRPr="00BA513D">
        <w:rPr>
          <w:rFonts w:ascii="Times New Roman" w:hAnsi="Times New Roman" w:cs="Times New Roman"/>
          <w:sz w:val="24"/>
          <w:szCs w:val="24"/>
          <w:lang w:val="lv-LV"/>
        </w:rPr>
        <w:t>dehidratācijas</w:t>
      </w:r>
      <w:proofErr w:type="spellEnd"/>
      <w:r w:rsidRPr="00BA513D">
        <w:rPr>
          <w:rFonts w:ascii="Times New Roman" w:hAnsi="Times New Roman" w:cs="Times New Roman"/>
          <w:sz w:val="24"/>
          <w:szCs w:val="24"/>
          <w:lang w:val="lv-LV"/>
        </w:rPr>
        <w:t xml:space="preserve"> un resnās zarnas </w:t>
      </w:r>
      <w:proofErr w:type="spellStart"/>
      <w:r w:rsidRPr="00BA513D">
        <w:rPr>
          <w:rFonts w:ascii="Times New Roman" w:hAnsi="Times New Roman" w:cs="Times New Roman"/>
          <w:sz w:val="24"/>
          <w:szCs w:val="24"/>
          <w:lang w:val="lv-LV"/>
        </w:rPr>
        <w:t>atonijas</w:t>
      </w:r>
      <w:proofErr w:type="spellEnd"/>
      <w:r w:rsidRPr="00BA513D">
        <w:rPr>
          <w:rFonts w:ascii="Times New Roman" w:hAnsi="Times New Roman" w:cs="Times New Roman"/>
          <w:sz w:val="24"/>
          <w:szCs w:val="24"/>
          <w:lang w:val="lv-LV"/>
        </w:rPr>
        <w:t xml:space="preserve"> iespējamas attīstības dēļ.  </w:t>
      </w:r>
    </w:p>
    <w:p w14:paraId="5984EFDD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09D4BCE" w14:textId="6606C72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Pacientiem ar nieru darbības traucējumiem jāievēro piesardzīb</w:t>
      </w:r>
      <w:r w:rsidR="00BC7120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attiecībā uz iespējamo elektrolītu līdzsvara traucējumu attīstību.</w:t>
      </w:r>
    </w:p>
    <w:p w14:paraId="7D71C5FE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0C5AF44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</w:pP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  <w:t>Palīgvielas</w:t>
      </w:r>
      <w:proofErr w:type="spellEnd"/>
    </w:p>
    <w:p w14:paraId="0AE17F46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</w:pPr>
    </w:p>
    <w:p w14:paraId="07DC636B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i/>
          <w:kern w:val="1"/>
          <w:sz w:val="24"/>
          <w:szCs w:val="24"/>
          <w:u w:val="single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i/>
          <w:kern w:val="1"/>
          <w:sz w:val="24"/>
          <w:szCs w:val="24"/>
          <w:u w:val="single"/>
          <w:lang w:val="lv-LV" w:eastAsia="hi-IN" w:bidi="hi-IN"/>
        </w:rPr>
        <w:lastRenderedPageBreak/>
        <w:t>Laktoze</w:t>
      </w:r>
    </w:p>
    <w:p w14:paraId="2CDEC22F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</w:pPr>
    </w:p>
    <w:p w14:paraId="51F4F91A" w14:textId="2D131164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Tā kā tablešu sastāvā ir laktoze, šīs zāles nevajadzētu lietot pacientiem ar retu iedzimtu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galaktozes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nepanesību, ar </w:t>
      </w:r>
      <w:proofErr w:type="spellStart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>Lapp</w:t>
      </w:r>
      <w:proofErr w:type="spellEnd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laktāzes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deficītu vai glikozes-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galaktozes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malabsorbciju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3E054C90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6C56FC4A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i/>
          <w:kern w:val="1"/>
          <w:sz w:val="24"/>
          <w:szCs w:val="24"/>
          <w:lang w:val="lv-LV" w:eastAsia="hi-IN" w:bidi="hi-IN"/>
        </w:rPr>
      </w:pPr>
      <w:proofErr w:type="spellStart"/>
      <w:r w:rsidRPr="00BA513D">
        <w:rPr>
          <w:rFonts w:ascii="Times New Roman" w:eastAsia="TimesNewRomanPSMT" w:hAnsi="Times New Roman" w:cs="Times New Roman"/>
          <w:i/>
          <w:kern w:val="1"/>
          <w:sz w:val="24"/>
          <w:szCs w:val="24"/>
          <w:lang w:val="lv-LV" w:eastAsia="hi-IN" w:bidi="hi-IN"/>
        </w:rPr>
        <w:t>Metilparahidroksibenzoāts</w:t>
      </w:r>
      <w:proofErr w:type="spellEnd"/>
    </w:p>
    <w:p w14:paraId="601983C3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4DE0CACC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Zāles satur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metilparahidroksibenzoātu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 Tas var izraisīt alerģiskas reakcijas (iespējams, aizkavētas).</w:t>
      </w:r>
    </w:p>
    <w:p w14:paraId="43D0D0B9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</w:p>
    <w:p w14:paraId="3CE4102A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4.5. Mijiedarbība ar citām zālēm un citi mijiedarbības veidi</w:t>
      </w:r>
    </w:p>
    <w:p w14:paraId="144CF5A0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</w:p>
    <w:p w14:paraId="5FCB5AC4" w14:textId="2EF0F3CB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Ilgstošas ļaunprātīgas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laksatīvo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līdzekļu lietošanas rezultātā var attīstīties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hipokaliēmija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,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kas var pastiprināt sirds glikozīdu iedarbību, un mijiedarboties ar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antiaritmiskajiem</w:t>
      </w:r>
      <w:proofErr w:type="spellEnd"/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līdzekļiem, līdzekļiem, kas inducē sinusa ritma reversiju (piemēram,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hinidīnu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), un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līdzekļiem, kas inducē QT intervāla pagarināšanos.</w:t>
      </w:r>
    </w:p>
    <w:p w14:paraId="1765ED5E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0F1A211B" w14:textId="6FC0BE68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Vienlaikus lietošana ar līdzekļiem, kas inducē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hipokaliēmiju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(piemēram, diurētiskajiem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līdzekļiem,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adrenokortikosteroīdiem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lakricas sakni) var pastiprināt elektrolītu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līdzsvara traucējumus.</w:t>
      </w:r>
    </w:p>
    <w:p w14:paraId="7874B41D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0BFA3130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183DAACC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 xml:space="preserve">4.6. </w:t>
      </w:r>
      <w:proofErr w:type="spellStart"/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Fertilitāte</w:t>
      </w:r>
      <w:proofErr w:type="spellEnd"/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, grūtniecība un barošana ar krūti</w:t>
      </w:r>
    </w:p>
    <w:p w14:paraId="10CE1BF8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4E13B3FD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kern w:val="1"/>
          <w:sz w:val="24"/>
          <w:szCs w:val="24"/>
          <w:u w:val="single"/>
          <w:lang w:val="lv-LV" w:eastAsia="hi-IN" w:bidi="hi-IN"/>
        </w:rPr>
        <w:t>Grūtniecība</w:t>
      </w:r>
    </w:p>
    <w:p w14:paraId="64ECC1E8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63AAE87" w14:textId="5055879A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Nav saņemti ziņojumi par nevēlamu vai kaitīgu ietekmi uz grūtniecības norisi un augļa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attīstību, lietojot ieteicamās devas.</w:t>
      </w:r>
    </w:p>
    <w:p w14:paraId="6446396C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7515CFE7" w14:textId="14FC09B1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Tā kā nav pieejami eksperimentāli dati par dažādu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antranoīdu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tai skaitā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emodīna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aloe</w:t>
      </w:r>
      <w:r w:rsidR="00D74F2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-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emodīna</w:t>
      </w:r>
      <w:proofErr w:type="spellEnd"/>
    </w:p>
    <w:p w14:paraId="60D5D1CB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genotoksicitāti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to nav ieteicams lietot grūtniecības </w:t>
      </w:r>
      <w:r w:rsidR="00EE6A64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pirmajā trimestrī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  <w:r w:rsidR="00EE6A64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EE6A64" w:rsidRPr="00BA513D">
        <w:rPr>
          <w:rFonts w:ascii="Times New Roman" w:hAnsi="Times New Roman" w:cs="Times New Roman"/>
          <w:lang w:val="lv-LV"/>
        </w:rPr>
        <w:t>Pēc ārsta norādījuma lieto ar īpašu piesardzību otrajā un trešajā trimestrī īslaicīgi tajos gadījumos, ja dzīvesveida un diētas izmaiņas vai zarnu satura apjomu palielinošu līdzekļu lietošana nedod rezultātus.</w:t>
      </w:r>
    </w:p>
    <w:p w14:paraId="05DE42C6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3AB45A3B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  <w:t>Barošana ar krūti</w:t>
      </w:r>
    </w:p>
    <w:p w14:paraId="33F65B08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68BACDD" w14:textId="7C400778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Tā kā nav pietiekamu datu par metabolītu izdalīšanos ar mātes pienu cilvēkam,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Senade</w:t>
      </w:r>
      <w:proofErr w:type="spellEnd"/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tablešu lietošana barošanas ar krūti periodā nav ieteicama.</w:t>
      </w:r>
    </w:p>
    <w:p w14:paraId="077365AB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710FFA41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Aktīvie metabolīti </w:t>
      </w:r>
      <w:r w:rsidR="00AC0B8F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(</w:t>
      </w:r>
      <w:proofErr w:type="spellStart"/>
      <w:r w:rsidR="00AC0B8F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reīns</w:t>
      </w:r>
      <w:proofErr w:type="spellEnd"/>
      <w:r w:rsidR="00AC0B8F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)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nelielos daudzumos izdalās mātes pienā. Nav saņemti ziņojumi par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laksatīvu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iedarbību</w:t>
      </w:r>
      <w:r w:rsidR="00EE6A64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bērniem, kurus baro ar krūti.</w:t>
      </w:r>
    </w:p>
    <w:p w14:paraId="0D00851B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</w:p>
    <w:p w14:paraId="67FF0917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4.7. Ietekme uz spēju vadīt transportlīdzekļus un apkalpot mehānismus</w:t>
      </w:r>
    </w:p>
    <w:p w14:paraId="3E0C9E9B" w14:textId="77777777" w:rsidR="00EE6A64" w:rsidRPr="00BA513D" w:rsidRDefault="00EE6A64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052D85B1" w14:textId="598A7281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</w:t>
      </w:r>
      <w:r w:rsidR="002D175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ade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tabletes neietekmē vai nedaudz ietekmē spēju vadīt transportlīdzekļus un apkalpot</w:t>
      </w:r>
    </w:p>
    <w:p w14:paraId="3E6E8190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mehānismus.</w:t>
      </w:r>
    </w:p>
    <w:p w14:paraId="306D35E0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</w:pPr>
    </w:p>
    <w:p w14:paraId="68B88D91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4.8. Nevēlamās blakusparādības</w:t>
      </w:r>
    </w:p>
    <w:p w14:paraId="0B1BE08D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7AFE653C" w14:textId="2D554B9C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Ir novērotas paaugstinātas jutības reakcijas (nieze, nātrene, lokāla vai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ģeneralizēta</w:t>
      </w:r>
      <w:proofErr w:type="spellEnd"/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eksantēma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).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saturošie līdzekļi var izraisīt sāpes vēderā, spazmas ar šķidru vēdera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izeju,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meteorismu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, sliktu dūšu un vemšanu, īpaši pacientiem ar kairinātu resno zarnu.</w:t>
      </w:r>
      <w:r w:rsidR="00260FC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Tomēr šos simptomus </w:t>
      </w:r>
      <w:r w:rsidR="001F670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parasti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novēro saistībā ar individuālu pārdozēšanu. Šādos gadījumos ir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nepieciešama </w:t>
      </w:r>
      <w:r w:rsidR="006F216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zāļu atcelšana vai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devas samazināšana.</w:t>
      </w:r>
    </w:p>
    <w:p w14:paraId="0C7EAEA1" w14:textId="77777777" w:rsidR="006F2167" w:rsidRPr="00BA513D" w:rsidRDefault="006F2167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66DE985" w14:textId="3337364D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lastRenderedPageBreak/>
        <w:t>Hroniska lietošana var izraisīt šķidruma līdzsvara un elektrolītu vielmaiņas traucējumus,</w:t>
      </w:r>
      <w:r w:rsidR="00F240E5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kā </w:t>
      </w:r>
      <w:r w:rsidR="00F240E5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ezultātā attīstās sekundāra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dehidratācija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, hipotensija, īpaši gados vecākiem cilvēkiem,</w:t>
      </w:r>
      <w:r w:rsidR="00F240E5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albuminūrija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hematūrija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urēmija.</w:t>
      </w:r>
    </w:p>
    <w:p w14:paraId="11A45901" w14:textId="77777777" w:rsidR="006F2167" w:rsidRPr="00BA513D" w:rsidRDefault="006F2167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6D5F84B0" w14:textId="50D5D596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Turklāt hroniska lietošana var izraisīt zarnu gļotādas pigmentāciju (zarn</w:t>
      </w:r>
      <w:r w:rsidR="00295A2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u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pseidomelanozi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), kura parasti samazinās, ja pacients pārtrauc zāļu lietošanu.</w:t>
      </w:r>
    </w:p>
    <w:p w14:paraId="047256D7" w14:textId="77777777" w:rsidR="006F2167" w:rsidRPr="00BA513D" w:rsidRDefault="006F2167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387CF513" w14:textId="75CABD2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Ārstēšanas laikā var novērot metabolītu izraisītu urīna krāsošanos dzeltenā vai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sarkanbrūnā krāsā atkarībā no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pH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  <w:r w:rsidR="008F766B" w:rsidRPr="00BA513D">
        <w:rPr>
          <w:lang w:val="lv-LV"/>
        </w:rPr>
        <w:t xml:space="preserve"> </w:t>
      </w:r>
      <w:r w:rsidR="008F766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Ārstēšanas laikā var rasties dzeltena vai sarkanbrūna (atkarībā no </w:t>
      </w:r>
      <w:proofErr w:type="spellStart"/>
      <w:r w:rsidR="008F766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pH</w:t>
      </w:r>
      <w:proofErr w:type="spellEnd"/>
      <w:r w:rsidR="008F766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) izdalīto metabolītu dēļ urīna krāsas maiņa, kas klīniski nav nozīmīga.</w:t>
      </w:r>
    </w:p>
    <w:p w14:paraId="2CD2B17F" w14:textId="77777777" w:rsidR="006F2167" w:rsidRPr="00BA513D" w:rsidRDefault="006F2167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7A788A55" w14:textId="59FF8B52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Pārmērīgas lietošanas raksturīga pazīme ir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hipokaliēmija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.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Hipokaliēmijas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etioloģija ir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="00F240E5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ultifaktoriāla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: zarnu elektrolītu transporta paaugstināšana</w:t>
      </w:r>
      <w:r w:rsidR="006F216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6F2167" w:rsidRPr="00BA513D">
        <w:rPr>
          <w:rFonts w:ascii="Times New Roman" w:hAnsi="Times New Roman" w:cs="Times New Roman"/>
          <w:lang w:val="lv-LV"/>
        </w:rPr>
        <w:t>var izraisīt sirds darbības traucējumus un muskuļu vājumu, it īpaši, ja vienlaikus tiek lietoti sirds glikozīdi, diurētiski</w:t>
      </w:r>
      <w:r w:rsidR="006B63DC" w:rsidRPr="00BA513D">
        <w:rPr>
          <w:rFonts w:ascii="Times New Roman" w:hAnsi="Times New Roman" w:cs="Times New Roman"/>
          <w:lang w:val="lv-LV"/>
        </w:rPr>
        <w:t>e</w:t>
      </w:r>
      <w:r w:rsidR="006F2167" w:rsidRPr="00BA513D">
        <w:rPr>
          <w:rFonts w:ascii="Times New Roman" w:hAnsi="Times New Roman" w:cs="Times New Roman"/>
          <w:lang w:val="lv-LV"/>
        </w:rPr>
        <w:t xml:space="preserve"> līdzekļi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paaugstināts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renīna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līmenis</w:t>
      </w:r>
      <w:r w:rsidR="006F216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plazmā, sekundārs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aldosteronisms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samazināta uzsūkšanās. Šīs izmaiņas parasti ir</w:t>
      </w:r>
    </w:p>
    <w:p w14:paraId="7D5FC83A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atgriezeniskas pēc caurejas līdzekļu lietošanas pārtraukšanas.</w:t>
      </w:r>
    </w:p>
    <w:p w14:paraId="5E9141E5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lv-LV" w:eastAsia="hi-IN" w:bidi="hi-IN"/>
        </w:rPr>
      </w:pPr>
    </w:p>
    <w:p w14:paraId="0599CC88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Lucida Sans Unicode" w:hAnsi="Times New Roman" w:cs="Mangal"/>
          <w:color w:val="000000"/>
          <w:kern w:val="1"/>
          <w:sz w:val="24"/>
          <w:szCs w:val="24"/>
          <w:u w:val="single"/>
          <w:lang w:val="lv-LV" w:eastAsia="hi-IN" w:bidi="hi-IN"/>
        </w:rPr>
        <w:t>Ziņošana par iespējamām nevēlamām blakusparādībām</w:t>
      </w:r>
    </w:p>
    <w:p w14:paraId="784824D1" w14:textId="77777777" w:rsidR="00924B52" w:rsidRPr="00BA513D" w:rsidRDefault="00924B52" w:rsidP="00924B52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val="lv-LV" w:eastAsia="hi-IN" w:bidi="hi-IN"/>
        </w:rPr>
        <w:t xml:space="preserve"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Zāļu valsts aģentūrai, Jersikas ielā 15, Rīgā, LV 1003. </w:t>
      </w:r>
    </w:p>
    <w:p w14:paraId="02B95499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color w:val="000000"/>
          <w:kern w:val="1"/>
          <w:sz w:val="24"/>
          <w:szCs w:val="24"/>
          <w:lang w:val="lv-LV" w:eastAsia="hi-IN" w:bidi="hi-IN"/>
        </w:rPr>
        <w:t xml:space="preserve">Tīmekļa vietne: </w:t>
      </w:r>
      <w:hyperlink r:id="rId7" w:history="1">
        <w:r w:rsidRPr="00BA513D">
          <w:rPr>
            <w:rFonts w:ascii="Times New Roman" w:eastAsia="TimesNewRomanPS-BoldMT" w:hAnsi="Times New Roman" w:cs="Times New Roman"/>
            <w:color w:val="0000FF"/>
            <w:kern w:val="1"/>
            <w:sz w:val="24"/>
            <w:szCs w:val="24"/>
            <w:u w:val="single"/>
            <w:lang w:val="lv-LV"/>
          </w:rPr>
          <w:t>www.zva.gov.lv</w:t>
        </w:r>
      </w:hyperlink>
    </w:p>
    <w:p w14:paraId="1AEF3000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</w:p>
    <w:p w14:paraId="65112F3D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4.9. Pārdozēšana</w:t>
      </w:r>
    </w:p>
    <w:p w14:paraId="5F4E33B0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</w:p>
    <w:p w14:paraId="5621E2CB" w14:textId="77777777" w:rsidR="006F2167" w:rsidRPr="00BA513D" w:rsidRDefault="006F2167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  <w:t>Simptomi</w:t>
      </w:r>
    </w:p>
    <w:p w14:paraId="6D066940" w14:textId="77777777" w:rsidR="006F2167" w:rsidRPr="00BA513D" w:rsidRDefault="006F2167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074261D3" w14:textId="17FBCB53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Galvenie pārdozēšanas/ļaunprātīgas izmantošanas simptomi ir vēdergraizes un izteikta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caureja ar sekojošu šķidruma un elektrolītu zudumu, kuru ir nepieciešams atjaunot.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Caureja var izraisīt īpaši kālija zudumu, kas var radīt sirdsdarbības traucējumus un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muskuļu astēniju, īpaši, ja vienl</w:t>
      </w:r>
      <w:r w:rsidR="003B5ED8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ikus tiek lietoti arī sirds glikozīdi, diurētiskie līdzekļi,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adrenokortikosteroīdi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vai lakricas sakne.</w:t>
      </w:r>
    </w:p>
    <w:p w14:paraId="18AF9CD8" w14:textId="77777777" w:rsidR="006F2167" w:rsidRPr="00BA513D" w:rsidRDefault="006F2167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2420BEFF" w14:textId="77777777" w:rsidR="006F2167" w:rsidRPr="00BA513D" w:rsidRDefault="006F2167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u w:val="single"/>
          <w:lang w:val="lv-LV" w:eastAsia="hi-IN" w:bidi="hi-IN"/>
        </w:rPr>
        <w:t>Terapija</w:t>
      </w:r>
    </w:p>
    <w:p w14:paraId="174BFCC7" w14:textId="77777777" w:rsidR="006F2167" w:rsidRPr="00BA513D" w:rsidRDefault="006F2167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33D8642B" w14:textId="31B3E5DA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Terapija ir uzturoša ar intensīvu šķidruma ievadīšanu. Jākontrolē elektrolītu, īpaši kālija,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līmenis. Īpaši svarīgi tas ir gados vecākiem cilvēkiem.</w:t>
      </w:r>
    </w:p>
    <w:p w14:paraId="0F878670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Hroniska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antranoīdus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saturošu līdzekļu pārdozēšana var izraisīt toksiska hepatīta attīstību.</w:t>
      </w:r>
    </w:p>
    <w:p w14:paraId="5D3D2EBB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0F36B70B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5. FARMAKOLOĢISKĀS ĪPAŠĪBAS</w:t>
      </w:r>
    </w:p>
    <w:p w14:paraId="4118E52E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</w:pPr>
    </w:p>
    <w:p w14:paraId="731CFAC9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 xml:space="preserve">5.1. </w:t>
      </w:r>
      <w:proofErr w:type="spellStart"/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Farmakodinamiskās</w:t>
      </w:r>
      <w:proofErr w:type="spellEnd"/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 xml:space="preserve"> īpašības</w:t>
      </w:r>
    </w:p>
    <w:p w14:paraId="39CDF27F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</w:p>
    <w:p w14:paraId="2CDCC72F" w14:textId="638AFE96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Farmakoterapeitiskā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grupa: </w:t>
      </w:r>
      <w:r w:rsidR="00A43105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zāles pret aizcietējumiem, zarnu gļotādu kairinošie līdzekļi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2CD20FC5" w14:textId="77777777" w:rsidR="006F2167" w:rsidRPr="00BA513D" w:rsidRDefault="006F2167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1B3CD2A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ATĶ kods: A06AB06.</w:t>
      </w:r>
    </w:p>
    <w:p w14:paraId="39D27A82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</w:p>
    <w:p w14:paraId="5ED009C6" w14:textId="2B4464FF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1,8-dihidroksiantracēna atvasinājumiem piemīt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laksatīva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iedarbība. β-O-saistītie glikozīdi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F240E5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(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) neabsorbējas augšējā zarnu daļā; resnajā zarnā baktēriju ietekmē tie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konvertējas par aktīvo metabolītu (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reīnantronu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). Pastāv divi dažādi darbības mehānismi:</w:t>
      </w:r>
    </w:p>
    <w:p w14:paraId="6E13D3D5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09B28998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1. Resnās zarnas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motilitātes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>stimulācija, kā rezultātā pieaug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zarnas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caurejamība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084A8F8C" w14:textId="65488B92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2. Ietekme uz sekrēcijas procesu divu secīgu mehānismu dēļ - ūdens un elektrolītu (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Na</w:t>
      </w:r>
      <w:proofErr w:type="spellEnd"/>
      <w:r w:rsidR="0042108E" w:rsidRPr="00BA513D">
        <w:rPr>
          <w:rFonts w:ascii="Times New Roman" w:eastAsia="TimesNewRomanPSMT" w:hAnsi="Times New Roman" w:cs="Times New Roman"/>
          <w:kern w:val="1"/>
          <w:sz w:val="24"/>
          <w:szCs w:val="24"/>
          <w:vertAlign w:val="superscript"/>
          <w:lang w:val="lv-LV" w:eastAsia="hi-IN" w:bidi="hi-IN"/>
        </w:rPr>
        <w:t>+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,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Cl</w:t>
      </w:r>
      <w:proofErr w:type="spellEnd"/>
      <w:r w:rsidR="002716AF" w:rsidRPr="00BA513D">
        <w:rPr>
          <w:rFonts w:ascii="Times New Roman" w:eastAsia="TimesNewRomanPSMT" w:hAnsi="Times New Roman" w:cs="Times New Roman"/>
          <w:kern w:val="1"/>
          <w:sz w:val="24"/>
          <w:szCs w:val="24"/>
          <w:vertAlign w:val="superscript"/>
          <w:lang w:val="lv-LV" w:eastAsia="hi-IN" w:bidi="hi-IN"/>
        </w:rPr>
        <w:t>-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)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lastRenderedPageBreak/>
        <w:t xml:space="preserve">absorbcijas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inhibīcijas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resnās zarnas epitēlija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antiabsorbtīvās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iedarbības rezultātā un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ciešo savienojumu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caurejamības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ūdens un elektrolītu sekrēcijas stimulācijas zarnas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lūmenā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pastiprināšanās (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sekretorā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efekta) dēļ, kā rezultātā pieaug šķidruma un elektrolītu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koncentrācija resnās zarnas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lūmenā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2F71992B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357A151" w14:textId="5AB0378C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Defekācija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sākas </w:t>
      </w:r>
      <w:r w:rsidR="00195E50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vēlī</w:t>
      </w:r>
      <w:r w:rsidR="00991FED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ni (</w:t>
      </w:r>
      <w:r w:rsidR="007F26DC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pēc </w:t>
      </w:r>
      <w:r w:rsidR="008F766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8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-1</w:t>
      </w:r>
      <w:r w:rsidR="008F766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2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stund</w:t>
      </w:r>
      <w:r w:rsidR="00547343" w:rsidRPr="00BA513D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>ām</w:t>
      </w:r>
      <w:r w:rsidR="00991FED" w:rsidRPr="00BA513D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 xml:space="preserve">), jo ir </w:t>
      </w:r>
      <w:r w:rsidR="00EB50BA" w:rsidRPr="00BA513D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 xml:space="preserve">nepieciešams </w:t>
      </w:r>
      <w:r w:rsidR="00845910" w:rsidRPr="00BA513D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 xml:space="preserve">laiks </w:t>
      </w:r>
      <w:r w:rsidR="00EB50BA" w:rsidRPr="00BA513D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>zāļu transportam</w:t>
      </w:r>
      <w:r w:rsidR="00343D23" w:rsidRPr="00BA513D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 xml:space="preserve"> uz</w:t>
      </w:r>
      <w:r w:rsidRPr="00BA513D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 xml:space="preserve"> resn</w:t>
      </w:r>
      <w:r w:rsidR="00343D23" w:rsidRPr="00BA513D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>o</w:t>
      </w:r>
      <w:r w:rsidRPr="00BA513D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 xml:space="preserve"> zarn</w:t>
      </w:r>
      <w:r w:rsidR="00343D23" w:rsidRPr="00BA513D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>u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metaboliz</w:t>
      </w:r>
      <w:r w:rsidR="00845910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ācijai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par aktīv</w:t>
      </w:r>
      <w:r w:rsidR="00EB50BA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aj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ām sastāvdaļām.</w:t>
      </w:r>
    </w:p>
    <w:p w14:paraId="23D46C2E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</w:p>
    <w:p w14:paraId="2746ECB1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 xml:space="preserve">5.2. </w:t>
      </w:r>
      <w:proofErr w:type="spellStart"/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Farmakokinētiskās</w:t>
      </w:r>
      <w:proofErr w:type="spellEnd"/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 xml:space="preserve"> īpašības</w:t>
      </w:r>
    </w:p>
    <w:p w14:paraId="66F2FCD1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</w:p>
    <w:p w14:paraId="17404733" w14:textId="116DB46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β-O-saistītie glikozīdi (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) neabsorbējas augšējā zarnu daļā un nesadalās cilvēka gremošanas enzīmu ietekmē. Tie resnajā zarnā baktēriju ietekmē konvertējas par aktīvo metabolītu (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reīnantronu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). </w:t>
      </w:r>
      <w:proofErr w:type="spellStart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>Aglyca</w:t>
      </w:r>
      <w:proofErr w:type="spellEnd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absorbējas augšējā zarnu daļā. Pētījumos ar dzīvniekiem ar iezīmēto radioaktīvo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reīnantronu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aklajā zarnā konstatētā absorbcija bija mazāka par 10%.</w:t>
      </w:r>
      <w:r w:rsidR="0065119F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Saskarē ar skābekli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reīnantrons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oksidējas par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sennidīniem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, kurus var konstatēt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asinīs, galvenokārt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glikuronīdu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sulfātu veidā.</w:t>
      </w:r>
    </w:p>
    <w:p w14:paraId="29829F93" w14:textId="38AE9F52" w:rsidR="0065119F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Pēc iekšķīgas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lietošanas 3-6% metabolītu izdalās ar urīnu, nedaudz izdalās arī ar žulti. </w:t>
      </w:r>
    </w:p>
    <w:p w14:paraId="13309389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29114DC5" w14:textId="1E22E6B5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Lielākā daļa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(</w:t>
      </w:r>
      <w:r w:rsidR="00265A44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aptuveni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90%) izdalās fēcēs kā polimēri (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polihinoni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) kopā ar 2-6% neizmainītu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sennidīnu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reīnantronu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  <w:r w:rsidR="0065119F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Farmakokinētikas pētījumos ar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augļu pulveri (20 mg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) cilvēkiem,</w:t>
      </w:r>
      <w:r w:rsidR="00FB5940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lietojot tos iekšķīgi 7 dienas, asinīs tika konstatēta maksimālā koncentrācija 100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ng</w:t>
      </w:r>
      <w:proofErr w:type="spellEnd"/>
      <w:r w:rsidR="00FB5940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/ml. Nav konstatēta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uzkrāšanās.</w:t>
      </w:r>
      <w:r w:rsidR="0065119F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Aktīvie metabolīti, piemēram</w:t>
      </w:r>
      <w:r w:rsidR="00642144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,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nelielos daudzumos izdalās mātes pienā. Pētījumos ar dzīvniekiem konstatēts, ka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spēja šķērsot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placentāro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barjeru ir zema.</w:t>
      </w:r>
    </w:p>
    <w:p w14:paraId="17E14C02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</w:p>
    <w:p w14:paraId="392DA4DB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 xml:space="preserve">5.3. </w:t>
      </w:r>
      <w:proofErr w:type="spellStart"/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Preklīniskie</w:t>
      </w:r>
      <w:proofErr w:type="spellEnd"/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 xml:space="preserve"> dati par drošumu</w:t>
      </w:r>
    </w:p>
    <w:p w14:paraId="271A49A1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</w:p>
    <w:p w14:paraId="246C1C53" w14:textId="61683BAE" w:rsidR="00F93C2A" w:rsidRPr="00BA513D" w:rsidRDefault="00F93C2A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Nav jaunu, sistemātisku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preklīnisko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testu par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lapām vai t</w:t>
      </w:r>
      <w:r w:rsidR="0069231C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ās saturošiem līdzekļiem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. Dati izriet no </w:t>
      </w:r>
      <w:r w:rsidR="00B775A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pētījumiem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ar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pākst</w:t>
      </w:r>
      <w:r w:rsidR="00B775A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ī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m. Tā kā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lapu un augļu sastāvdaļu spektrs ir salīdzināms, šos datus var attiecināt uz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lapām.</w:t>
      </w:r>
    </w:p>
    <w:p w14:paraId="486E4C00" w14:textId="77777777" w:rsidR="00F93C2A" w:rsidRPr="00BA513D" w:rsidRDefault="00F93C2A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6BC1E67B" w14:textId="13393C60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Galvenokārt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preklīniskie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dati ir attiecināmi uz </w:t>
      </w:r>
      <w:proofErr w:type="spellStart"/>
      <w:r w:rsidR="000F6010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sennas</w:t>
      </w:r>
      <w:proofErr w:type="spellEnd"/>
      <w:r w:rsidR="000F6010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7E6BF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pākstu</w:t>
      </w:r>
      <w:r w:rsidR="000F6010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ekstraktiem, kas saturēja 1,4-3,5%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antranoīdu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</w:t>
      </w:r>
      <w:r w:rsidR="00F876D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kas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attiecīgi</w:t>
      </w:r>
      <w:r w:rsidR="00F876D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atbilst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0,9-2,3% </w:t>
      </w:r>
      <w:r w:rsidR="0011497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potenciālā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0,05-0,15% </w:t>
      </w:r>
      <w:r w:rsidR="0011497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potenciālā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aloe-emodīna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0,001-0,006% </w:t>
      </w:r>
      <w:r w:rsidR="002B075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potenciālā</w:t>
      </w:r>
      <w:r w:rsidR="00B4787E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emodīna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2B075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vai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atsevišķ</w:t>
      </w:r>
      <w:r w:rsidR="002B075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ām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aktīv</w:t>
      </w:r>
      <w:r w:rsidR="002B075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aj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ā</w:t>
      </w:r>
      <w:r w:rsidR="002B075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sastāvdaļ</w:t>
      </w:r>
      <w:r w:rsidR="002B075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ām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</w:t>
      </w:r>
      <w:r w:rsidR="007806B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piemēram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</w:t>
      </w:r>
      <w:r w:rsidR="007806B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am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vai A un B</w:t>
      </w:r>
      <w:r w:rsidR="007806B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="007806B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sennozīdiem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.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Sennas</w:t>
      </w:r>
      <w:proofErr w:type="spellEnd"/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B4787E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pākstu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akūtā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toksicitāte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, kas tika noteikta ekstraktos, kā</w:t>
      </w:r>
      <w:r w:rsidR="009D3B7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arī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sennozīdos</w:t>
      </w:r>
      <w:proofErr w:type="spellEnd"/>
      <w:r w:rsidR="009D3B7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,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žurkām un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pelēm pēc iekšķīgas lietošanas bija zema. Pētījumos ar pelēm pēc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parenterālas</w:t>
      </w:r>
      <w:proofErr w:type="spellEnd"/>
    </w:p>
    <w:p w14:paraId="786A2B48" w14:textId="5708D4F2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ievadīšanas ekstraktiem bija augstāka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toksicitāte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nekā tīriem glikozīdiem, iespējams,</w:t>
      </w:r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>aglyca</w:t>
      </w:r>
      <w:proofErr w:type="spellEnd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klātbūtnes dēļ.</w:t>
      </w:r>
    </w:p>
    <w:p w14:paraId="1C0B5282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55CCDB3B" w14:textId="15D90F39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90 dienas ilgā pētījumā žurkām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3E21D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pākstis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tika </w:t>
      </w:r>
      <w:r w:rsidR="0047123A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lietotas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devās no 100 mg/kg līdz 1500 mg/kg. Testētās zāles saturēja 1,83%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A-D, 1,6% </w:t>
      </w:r>
      <w:r w:rsidR="00005E3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potenciālā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0,11% </w:t>
      </w:r>
      <w:r w:rsidR="00005E3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potenciālā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aloe-emodīna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0,014% </w:t>
      </w:r>
      <w:r w:rsidR="00005E3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potenciālā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emodīna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. Visās grupās tika konstatēta resnās zarnas epitēlija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hiperplāzija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nelielā</w:t>
      </w:r>
      <w:r w:rsidRPr="00BA513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pakāpē, kas bija atgriezeniska 8 nedēļu </w:t>
      </w:r>
      <w:r w:rsidR="005B50BA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atveseļošanās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periodā. Arī kuņģa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antrālās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daļas epitēlija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hiperplastiskie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bojājumi bija atgriezeniski. Lietojot devas lielākas par 300 mg/kg dienā</w:t>
      </w:r>
      <w:r w:rsidR="003526F4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,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3526F4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nierēs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tika novērota devu atkarīga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tubulāra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bazofīlija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epiteliāla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hipertrofija bez</w:t>
      </w:r>
    </w:p>
    <w:p w14:paraId="5463F985" w14:textId="67907BBD" w:rsidR="005475C8" w:rsidRPr="00BA513D" w:rsidRDefault="00924B52" w:rsidP="00C658FA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i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funkcionālām izpausmēm. Arī šīs pārmaiņas bija atgriezeniskas. Brūnā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tubulārā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pigmenta uzkrāšanās izraisīja nieru virsmas tumšu iekrāsošanos un </w:t>
      </w:r>
      <w:r w:rsidR="00B47871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mazāk izteikti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saglabājās</w:t>
      </w:r>
      <w:r w:rsidR="00356AFA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arī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pēc</w:t>
      </w:r>
      <w:r w:rsidR="00116E38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atveseļošanās</w:t>
      </w:r>
      <w:r w:rsidR="00EF2C2D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DA375C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perioda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 Resnās zarnas nervu pinumu izmaiņas netika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konstatētas. </w:t>
      </w:r>
      <w:r w:rsidR="005475C8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Šajā pētījumā nevarēja </w:t>
      </w:r>
      <w:r w:rsidR="00C658FA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noteikt</w:t>
      </w:r>
      <w:r w:rsidR="005475C8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576F2A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līmeni bez </w:t>
      </w:r>
      <w:r w:rsidR="005475C8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novērotā efekta (</w:t>
      </w:r>
      <w:r w:rsidR="00C658FA" w:rsidRPr="00BA513D">
        <w:rPr>
          <w:rFonts w:ascii="Times New Roman" w:eastAsia="TimesNewRomanPSMT" w:hAnsi="Times New Roman" w:cs="Times New Roman"/>
          <w:i/>
          <w:kern w:val="1"/>
          <w:sz w:val="24"/>
          <w:szCs w:val="24"/>
          <w:lang w:val="lv-LV" w:eastAsia="hi-IN" w:bidi="hi-IN"/>
        </w:rPr>
        <w:t>no-</w:t>
      </w:r>
      <w:proofErr w:type="spellStart"/>
      <w:r w:rsidR="00C658FA" w:rsidRPr="00BA513D">
        <w:rPr>
          <w:rFonts w:ascii="Times New Roman" w:eastAsia="TimesNewRomanPSMT" w:hAnsi="Times New Roman" w:cs="Times New Roman"/>
          <w:i/>
          <w:kern w:val="1"/>
          <w:sz w:val="24"/>
          <w:szCs w:val="24"/>
          <w:lang w:val="lv-LV" w:eastAsia="hi-IN" w:bidi="hi-IN"/>
        </w:rPr>
        <w:t>observable</w:t>
      </w:r>
      <w:proofErr w:type="spellEnd"/>
      <w:r w:rsidR="00C658FA" w:rsidRPr="00BA513D">
        <w:rPr>
          <w:rFonts w:ascii="Times New Roman" w:eastAsia="TimesNewRomanPSMT" w:hAnsi="Times New Roman" w:cs="Times New Roman"/>
          <w:i/>
          <w:kern w:val="1"/>
          <w:sz w:val="24"/>
          <w:szCs w:val="24"/>
          <w:lang w:val="lv-LV" w:eastAsia="hi-IN" w:bidi="hi-IN"/>
        </w:rPr>
        <w:t>-</w:t>
      </w:r>
      <w:proofErr w:type="spellStart"/>
      <w:r w:rsidR="00C658FA" w:rsidRPr="00BA513D">
        <w:rPr>
          <w:rFonts w:ascii="Times New Roman" w:eastAsia="TimesNewRomanPSMT" w:hAnsi="Times New Roman" w:cs="Times New Roman"/>
          <w:i/>
          <w:kern w:val="1"/>
          <w:sz w:val="24"/>
          <w:szCs w:val="24"/>
          <w:lang w:val="lv-LV" w:eastAsia="hi-IN" w:bidi="hi-IN"/>
        </w:rPr>
        <w:t>effect-level</w:t>
      </w:r>
      <w:proofErr w:type="spellEnd"/>
      <w:r w:rsidR="00C658FA" w:rsidRPr="00BA513D">
        <w:rPr>
          <w:rFonts w:ascii="Times New Roman" w:eastAsia="TimesNewRomanPSMT" w:hAnsi="Times New Roman" w:cs="Times New Roman"/>
          <w:i/>
          <w:kern w:val="1"/>
          <w:sz w:val="24"/>
          <w:szCs w:val="24"/>
          <w:lang w:val="lv-LV" w:eastAsia="hi-IN" w:bidi="hi-IN"/>
        </w:rPr>
        <w:t xml:space="preserve">, </w:t>
      </w:r>
      <w:r w:rsidR="005475C8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NOEL).</w:t>
      </w:r>
    </w:p>
    <w:p w14:paraId="2E9DBD7F" w14:textId="07779014" w:rsidR="0065119F" w:rsidRPr="00BA513D" w:rsidRDefault="005475C8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 w:rsidDel="005475C8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</w:p>
    <w:p w14:paraId="408A01C5" w14:textId="2CE7F56D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104 </w:t>
      </w:r>
      <w:r w:rsidR="006E24AE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nedēļas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ilgā pētījumā abu dzimumu žurkām netika novērota kancerogēna iedarbība,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lietojot </w:t>
      </w:r>
      <w:r w:rsidR="00FF65A8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iekšķīgi </w:t>
      </w:r>
      <w:r w:rsidR="005601DD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to pašu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4E5D36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pākstis</w:t>
      </w:r>
      <w:r w:rsidR="005601DD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saturošo līdzekli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devās līdz 300 mg/kg.</w:t>
      </w:r>
    </w:p>
    <w:p w14:paraId="0972C8FF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58BCA9A4" w14:textId="3B934F53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Papildus</w:t>
      </w:r>
      <w:r w:rsidR="00E0624D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,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lietojot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ekstraktu iekšķīgi 2 gadus, ne žurku mātītēm, ne tēviņiem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nenovēroja kancerogēnu iedarbību. Pētījumā izmantoja ekstraktu, kas saturēja apmēram 40,8%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antran</w:t>
      </w:r>
      <w:r w:rsidR="00E0624D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o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īdu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no kuriem 35% bija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</w:t>
      </w:r>
      <w:r w:rsidR="00E7651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kas atbilda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</w:t>
      </w:r>
      <w:r w:rsidR="00E7651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ptuveni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25,2% </w:t>
      </w:r>
      <w:r w:rsidR="00E7651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potenciālā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</w:t>
      </w:r>
      <w:r w:rsidR="00E7651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2,3% </w:t>
      </w:r>
      <w:r w:rsidR="00E7651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potenciālā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aloe</w:t>
      </w:r>
      <w:r w:rsidR="00E7651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-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emodīn</w:t>
      </w:r>
      <w:r w:rsidR="00E7651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0,007% </w:t>
      </w:r>
      <w:r w:rsidR="00E7651B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potenciālā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emodīn</w:t>
      </w:r>
      <w:r w:rsidR="006E500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142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ppm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brīv</w:t>
      </w:r>
      <w:r w:rsidR="006E500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ā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aloe-emodīn</w:t>
      </w:r>
      <w:r w:rsidR="006E500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9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ppm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brīv</w:t>
      </w:r>
      <w:r w:rsidR="006E500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ā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emodīn</w:t>
      </w:r>
      <w:r w:rsidR="006E500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58C4E838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248A7FE2" w14:textId="2C7C7639" w:rsidR="00F4667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Turpmākajos 2 gadus ilgajos pētījumos žurku un peļu tēviņiem un mātītēm, kam deva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emodīnu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nenovēroja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kancerogenitāti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žurku tēviņiem un peļu mātītēm, un novēroja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apšaubāmu ietekmi uz žurku mātītēm un peļu tēviņiem. </w:t>
      </w:r>
    </w:p>
    <w:p w14:paraId="163CA1A1" w14:textId="77777777" w:rsidR="00F46672" w:rsidRPr="00BA513D" w:rsidRDefault="00F4667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21163D7" w14:textId="59BF226D" w:rsidR="00924B52" w:rsidRPr="00BA513D" w:rsidRDefault="00924B52" w:rsidP="00E64A8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5470F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ne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uzrādīja specifisku</w:t>
      </w:r>
      <w:r w:rsidR="005470F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toksicitāti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suņiem devās 500 mg/kg 4 nedēļas ilgā pētījumā un </w:t>
      </w:r>
      <w:r w:rsidR="00F4667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žurkām līdz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100 mg/kg devā 6</w:t>
      </w:r>
      <w:r w:rsidR="00FB5940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mēnešus ilgā pētījumā.</w:t>
      </w:r>
    </w:p>
    <w:p w14:paraId="402FF1A4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4FF5683" w14:textId="1498828C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Netika novērota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embrio</w:t>
      </w:r>
      <w:r w:rsidR="000166B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etāla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,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teratogēna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vai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fetotoksiska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ietekme uz žurkām vai trušiem pēc iekšķīgas ārstēšanas ar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sennozīdiem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. Turklāt netika konstatēta ietekme uz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postnatālo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attīstību jaunām žurkām, tēviņu dzimumtieksmes un mātīšu auglības izmaiņas. Dati par augu </w:t>
      </w:r>
      <w:r w:rsidR="009F374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izcelsmes līdzekļiem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nav pieejami.</w:t>
      </w:r>
    </w:p>
    <w:p w14:paraId="22A6AD25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25136992" w14:textId="39D4EB42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Ekstrakts un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aloe-emodīns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bija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mutagēni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>in</w:t>
      </w:r>
      <w:proofErr w:type="spellEnd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>vitro</w:t>
      </w:r>
      <w:proofErr w:type="spellEnd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testos, </w:t>
      </w:r>
      <w:r w:rsidR="009F3747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A, B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sennozīdi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un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reīns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uzrādīja negatīvus rezultātus. </w:t>
      </w:r>
      <w:r w:rsidR="004723BF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Vis</w:t>
      </w:r>
      <w:r w:rsidR="00DC31A0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aptveroši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attiecīgā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sennas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040858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pākstu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ekstrakta izmeklējumi </w:t>
      </w:r>
      <w:proofErr w:type="spellStart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>in</w:t>
      </w:r>
      <w:proofErr w:type="spellEnd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>vivo</w:t>
      </w:r>
      <w:proofErr w:type="spellEnd"/>
      <w:r w:rsidRPr="00BA513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bija negatīvi.</w:t>
      </w:r>
    </w:p>
    <w:p w14:paraId="74C5DAEE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6A86348E" w14:textId="2250C9EA" w:rsidR="00924B52" w:rsidRPr="00BA513D" w:rsidRDefault="00A62C3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aksatīvo</w:t>
      </w:r>
      <w:proofErr w:type="spellEnd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līdzekļu lietošana </w:t>
      </w:r>
      <w:r w:rsidR="003B1DFD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kā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proofErr w:type="spellStart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kolorektāla</w:t>
      </w:r>
      <w:proofErr w:type="spellEnd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vēža riska faktors </w:t>
      </w:r>
      <w:r w:rsidR="00844DBA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tika pētīta dažos 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klīnisk</w:t>
      </w:r>
      <w:r w:rsidR="00844DBA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ajos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pētījum</w:t>
      </w:r>
      <w:r w:rsidR="00844DBA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os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. Daži pētījumi ir uzrādījuši </w:t>
      </w:r>
      <w:proofErr w:type="spellStart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antrahinonus</w:t>
      </w:r>
      <w:proofErr w:type="spellEnd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saturošo </w:t>
      </w:r>
      <w:proofErr w:type="spellStart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laksatīvo</w:t>
      </w:r>
      <w:proofErr w:type="spellEnd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līdzekļu lietošanas saistību ar </w:t>
      </w:r>
      <w:proofErr w:type="spellStart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kolorektālā</w:t>
      </w:r>
      <w:proofErr w:type="spellEnd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vēža risku, citi – nav. Tomēr risks pastāv arī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saistībā ar aizcietējumiem kā tādiem un diētas kļūdām. Lai noteiktu kancerogēnās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iedarbības risku, nepieciešami turpmāki pētījumi.</w:t>
      </w:r>
    </w:p>
    <w:p w14:paraId="399B0AE5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22F47A7A" w14:textId="49315D48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180B5D89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6. FARMACEITISKĀ INFORMĀCIJA</w:t>
      </w:r>
    </w:p>
    <w:p w14:paraId="071001A0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0C1B1B17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 xml:space="preserve">6.1. </w:t>
      </w:r>
      <w:proofErr w:type="spellStart"/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Palīgvielu</w:t>
      </w:r>
      <w:proofErr w:type="spellEnd"/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 xml:space="preserve"> saraksts</w:t>
      </w:r>
    </w:p>
    <w:p w14:paraId="06EAEB2B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7D4C91BB" w14:textId="77777777" w:rsidR="0065119F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Laktoze </w:t>
      </w:r>
    </w:p>
    <w:p w14:paraId="7D7FAD37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K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ukurūzas ciete </w:t>
      </w:r>
    </w:p>
    <w:p w14:paraId="2625019B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ikrokristāliskā</w:t>
      </w:r>
      <w:proofErr w:type="spellEnd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celuloze </w:t>
      </w:r>
    </w:p>
    <w:p w14:paraId="74BB5D10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T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alks </w:t>
      </w:r>
    </w:p>
    <w:p w14:paraId="59F83B3B" w14:textId="77777777" w:rsidR="00D077CC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agnija </w:t>
      </w:r>
      <w:proofErr w:type="spellStart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stearāts</w:t>
      </w:r>
      <w:proofErr w:type="spellEnd"/>
    </w:p>
    <w:p w14:paraId="52EE3323" w14:textId="49571B06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M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etilhidroksibenzoāts</w:t>
      </w:r>
      <w:proofErr w:type="spellEnd"/>
      <w:r w:rsidR="00D077CC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(E218)</w:t>
      </w:r>
    </w:p>
    <w:p w14:paraId="172C972A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ātrija </w:t>
      </w:r>
      <w:proofErr w:type="spellStart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laurilsulfāts</w:t>
      </w:r>
      <w:proofErr w:type="spellEnd"/>
    </w:p>
    <w:p w14:paraId="24AFEABF" w14:textId="77777777" w:rsidR="00924B52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</w:t>
      </w:r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ātrija </w:t>
      </w:r>
      <w:proofErr w:type="spellStart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kroskarmeloze</w:t>
      </w:r>
      <w:proofErr w:type="spellEnd"/>
      <w:r w:rsidR="00924B52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0BCD559E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5F5A32AA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6.2. Nesaderība</w:t>
      </w:r>
    </w:p>
    <w:p w14:paraId="22567A4D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6A9EADF1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Nav piemērojama.</w:t>
      </w:r>
    </w:p>
    <w:p w14:paraId="6483EBD0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</w:pPr>
    </w:p>
    <w:p w14:paraId="33FA6EAB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6.3. Uzglabāšanas laiks</w:t>
      </w:r>
    </w:p>
    <w:p w14:paraId="29746360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711517C3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3 gadi.</w:t>
      </w:r>
    </w:p>
    <w:p w14:paraId="513D9564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4298F96A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6.4. Īpaši uzglabāšanas nosacījumi</w:t>
      </w:r>
    </w:p>
    <w:p w14:paraId="01A53A6B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43A60D86" w14:textId="105ED0C1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Uzglabāt oriģinālā iepakojumā, lai pasargātu no mitruma. Uzglabāt temperatūrā līdz</w:t>
      </w:r>
      <w:r w:rsidR="008D1473"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 </w:t>
      </w: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25ºC.</w:t>
      </w:r>
    </w:p>
    <w:p w14:paraId="5461AE56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</w:pPr>
    </w:p>
    <w:p w14:paraId="4269FF38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6.5. Iepakojuma veids un saturs</w:t>
      </w:r>
    </w:p>
    <w:p w14:paraId="7770E959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41B4EBA6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PVH/PVDH/Al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blisteriepakojumi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: pa 20 tabletēm katrā.</w:t>
      </w:r>
    </w:p>
    <w:p w14:paraId="54C123EF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08C5F7E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Vienā kartona kastītē 2 vai 6 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blisteri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74382C2D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2A03BE86" w14:textId="77777777" w:rsidR="0065119F" w:rsidRPr="00BA513D" w:rsidRDefault="0065119F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Visi iepakojuma lielumi tirgū var nebūt pieejami.</w:t>
      </w:r>
    </w:p>
    <w:p w14:paraId="6CB0DE0A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58430AC9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 xml:space="preserve">6.6. Īpaši norādījumi atkritumu likvidēšanai </w:t>
      </w:r>
    </w:p>
    <w:p w14:paraId="1F01A341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lietošanai</w:t>
      </w:r>
    </w:p>
    <w:p w14:paraId="1CE0AD1D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</w:p>
    <w:p w14:paraId="725DE35C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Nav īpašu prasību.</w:t>
      </w:r>
    </w:p>
    <w:p w14:paraId="16E8389C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0"/>
          <w:szCs w:val="20"/>
          <w:lang w:val="lv-LV" w:eastAsia="hi-IN" w:bidi="hi-IN"/>
        </w:rPr>
      </w:pPr>
    </w:p>
    <w:p w14:paraId="65D079A2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7. REĢISTRĀCIJAS APLIECĪBAS ĪPAŠNIEKS</w:t>
      </w:r>
    </w:p>
    <w:p w14:paraId="09D72834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1E2DF908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</w:p>
    <w:p w14:paraId="64B76CD7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SIA “</w:t>
      </w:r>
      <w:proofErr w:type="spellStart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Unifarma</w:t>
      </w:r>
      <w:proofErr w:type="spellEnd"/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”</w:t>
      </w:r>
    </w:p>
    <w:p w14:paraId="6BD75223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Vangažu iela 23,</w:t>
      </w:r>
    </w:p>
    <w:p w14:paraId="3E770758" w14:textId="77777777" w:rsidR="00924B52" w:rsidRPr="00BA513D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 xml:space="preserve">Rīga, </w:t>
      </w:r>
    </w:p>
    <w:p w14:paraId="776193E8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</w:pPr>
      <w:r w:rsidRPr="00BA513D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LV-1024,</w:t>
      </w:r>
    </w:p>
    <w:p w14:paraId="75741C6C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Latvija</w:t>
      </w:r>
    </w:p>
    <w:p w14:paraId="02733FDE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1A65D907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5043AFEB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924B5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 xml:space="preserve">8. REĢISTRĀCIJAS APLIECĪBAS NUMURS </w:t>
      </w:r>
    </w:p>
    <w:p w14:paraId="4FC0BB10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2FD535D9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0"/>
          <w:szCs w:val="20"/>
          <w:lang w:val="lv-LV" w:eastAsia="hi-IN" w:bidi="hi-IN"/>
        </w:rPr>
      </w:pPr>
      <w:r w:rsidRPr="00924B52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>00-0155</w:t>
      </w:r>
    </w:p>
    <w:p w14:paraId="217F81ED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b/>
          <w:bCs/>
          <w:kern w:val="1"/>
          <w:sz w:val="20"/>
          <w:szCs w:val="20"/>
          <w:lang w:val="lv-LV" w:eastAsia="hi-IN" w:bidi="hi-IN"/>
        </w:rPr>
      </w:pPr>
    </w:p>
    <w:p w14:paraId="33A82E80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924B5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9. PIRMĀS REĢISTRĀCIJAS / PĀRREĢISTRĀCIJAS DATUMS</w:t>
      </w:r>
    </w:p>
    <w:p w14:paraId="560CB054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3FD55976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</w:pPr>
      <w:r w:rsidRPr="00924B52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>Reģistrācijas datums: 2000. gada 16. februāris</w:t>
      </w:r>
    </w:p>
    <w:p w14:paraId="76D5E0A0" w14:textId="385217DF" w:rsidR="00924B52" w:rsidRPr="00924B52" w:rsidRDefault="00D34A6D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  <w:r w:rsidRPr="00924B52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>Pēdēj</w:t>
      </w:r>
      <w:r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>ā</w:t>
      </w:r>
      <w:r w:rsidRPr="00924B52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 xml:space="preserve">s </w:t>
      </w:r>
      <w:proofErr w:type="spellStart"/>
      <w:r w:rsidR="00924B52" w:rsidRPr="00924B52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>pārreģistrācijas</w:t>
      </w:r>
      <w:proofErr w:type="spellEnd"/>
      <w:r w:rsidR="00924B52" w:rsidRPr="00924B52">
        <w:rPr>
          <w:rFonts w:ascii="Times New Roman" w:eastAsia="TimesNewRomanPS-BoldMT" w:hAnsi="Times New Roman" w:cs="Times New Roman"/>
          <w:kern w:val="1"/>
          <w:sz w:val="24"/>
          <w:szCs w:val="24"/>
          <w:lang w:val="lv-LV" w:eastAsia="hi-IN" w:bidi="hi-IN"/>
        </w:rPr>
        <w:t xml:space="preserve"> datums: 2009. gada 21. decembris</w:t>
      </w:r>
    </w:p>
    <w:p w14:paraId="06175563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TimesNewRomanPS-BoldMT" w:hAnsi="Times New Roman" w:cs="Times New Roman"/>
          <w:kern w:val="1"/>
          <w:sz w:val="20"/>
          <w:szCs w:val="20"/>
          <w:lang w:val="lv-LV" w:eastAsia="hi-IN" w:bidi="hi-IN"/>
        </w:rPr>
      </w:pPr>
    </w:p>
    <w:p w14:paraId="483362CC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</w:pPr>
      <w:r w:rsidRPr="00924B52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lv-LV" w:eastAsia="hi-IN" w:bidi="hi-IN"/>
        </w:rPr>
        <w:t>10. TEKSTA PĀRSKATĪŠANAS DATUMS</w:t>
      </w:r>
    </w:p>
    <w:p w14:paraId="76620FE9" w14:textId="77777777" w:rsidR="00924B52" w:rsidRPr="00924B52" w:rsidRDefault="00924B52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lv-LV" w:eastAsia="hi-IN" w:bidi="hi-IN"/>
        </w:rPr>
      </w:pPr>
    </w:p>
    <w:p w14:paraId="2B095BC0" w14:textId="48E1664D" w:rsidR="00924B52" w:rsidRPr="00924B52" w:rsidRDefault="00685358" w:rsidP="00924B52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ru-RU" w:eastAsia="hi-IN" w:bidi="hi-IN"/>
        </w:rPr>
      </w:pPr>
      <w:r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01</w:t>
      </w:r>
      <w:r w:rsidR="00924B52"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/201</w:t>
      </w:r>
      <w:r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8</w:t>
      </w:r>
      <w:r w:rsidR="00924B52" w:rsidRPr="00924B52">
        <w:rPr>
          <w:rFonts w:ascii="Times New Roman" w:eastAsia="TimesNewRomanPSMT" w:hAnsi="Times New Roman" w:cs="Times New Roman"/>
          <w:kern w:val="1"/>
          <w:sz w:val="24"/>
          <w:szCs w:val="24"/>
          <w:lang w:val="lv-LV" w:eastAsia="hi-IN" w:bidi="hi-IN"/>
        </w:rPr>
        <w:t>.</w:t>
      </w:r>
    </w:p>
    <w:p w14:paraId="2111A334" w14:textId="77777777" w:rsidR="009C1AB2" w:rsidRDefault="009C1AB2"/>
    <w:sectPr w:rsidR="009C1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25DF" w14:textId="77777777" w:rsidR="00537974" w:rsidRDefault="00537974" w:rsidP="00924B52">
      <w:pPr>
        <w:spacing w:after="0" w:line="240" w:lineRule="auto"/>
      </w:pPr>
      <w:r>
        <w:separator/>
      </w:r>
    </w:p>
  </w:endnote>
  <w:endnote w:type="continuationSeparator" w:id="0">
    <w:p w14:paraId="4E08C497" w14:textId="77777777" w:rsidR="00537974" w:rsidRDefault="00537974" w:rsidP="0092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-BoldItalicMT"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F11E" w14:textId="77777777" w:rsidR="00204B56" w:rsidRDefault="00204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4F03" w14:textId="77777777" w:rsidR="00204B56" w:rsidRDefault="00204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FE0B5" w14:textId="77777777" w:rsidR="00204B56" w:rsidRDefault="00204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C7803" w14:textId="77777777" w:rsidR="00537974" w:rsidRDefault="00537974" w:rsidP="00924B52">
      <w:pPr>
        <w:spacing w:after="0" w:line="240" w:lineRule="auto"/>
      </w:pPr>
      <w:r>
        <w:separator/>
      </w:r>
    </w:p>
  </w:footnote>
  <w:footnote w:type="continuationSeparator" w:id="0">
    <w:p w14:paraId="22F64F1A" w14:textId="77777777" w:rsidR="00537974" w:rsidRDefault="00537974" w:rsidP="0092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8C097" w14:textId="77777777" w:rsidR="00204B56" w:rsidRDefault="00204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BBE7" w14:textId="5881A693" w:rsidR="00204B56" w:rsidRPr="00204B56" w:rsidRDefault="00204B56" w:rsidP="00204B56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SASKAŅOTS ZVA </w:t>
    </w:r>
    <w:r>
      <w:rPr>
        <w:rFonts w:ascii="Times New Roman" w:hAnsi="Times New Roman" w:cs="Times New Roman"/>
        <w:sz w:val="24"/>
      </w:rPr>
      <w:t>01-03-2018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3A5DC" w14:textId="77777777" w:rsidR="00204B56" w:rsidRDefault="00204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52"/>
    <w:rsid w:val="00005E31"/>
    <w:rsid w:val="00006365"/>
    <w:rsid w:val="00010C1A"/>
    <w:rsid w:val="00012549"/>
    <w:rsid w:val="000166B2"/>
    <w:rsid w:val="000326E7"/>
    <w:rsid w:val="00032837"/>
    <w:rsid w:val="00040858"/>
    <w:rsid w:val="00044C4C"/>
    <w:rsid w:val="00045AAE"/>
    <w:rsid w:val="0007122B"/>
    <w:rsid w:val="000933DE"/>
    <w:rsid w:val="00095748"/>
    <w:rsid w:val="000A0D0E"/>
    <w:rsid w:val="000E01AE"/>
    <w:rsid w:val="000F6010"/>
    <w:rsid w:val="001079EF"/>
    <w:rsid w:val="00107AE8"/>
    <w:rsid w:val="00114971"/>
    <w:rsid w:val="00116E38"/>
    <w:rsid w:val="00143C41"/>
    <w:rsid w:val="00146E17"/>
    <w:rsid w:val="0016774D"/>
    <w:rsid w:val="00170F6E"/>
    <w:rsid w:val="00190BA7"/>
    <w:rsid w:val="00195E50"/>
    <w:rsid w:val="00196911"/>
    <w:rsid w:val="001A4F09"/>
    <w:rsid w:val="001B4351"/>
    <w:rsid w:val="001E1AEB"/>
    <w:rsid w:val="001E6F32"/>
    <w:rsid w:val="001F1906"/>
    <w:rsid w:val="001F6701"/>
    <w:rsid w:val="00204B56"/>
    <w:rsid w:val="002213DC"/>
    <w:rsid w:val="00222743"/>
    <w:rsid w:val="00225AAF"/>
    <w:rsid w:val="00260FCB"/>
    <w:rsid w:val="00265A44"/>
    <w:rsid w:val="002716AF"/>
    <w:rsid w:val="002773C3"/>
    <w:rsid w:val="00281A39"/>
    <w:rsid w:val="00295A22"/>
    <w:rsid w:val="0029605E"/>
    <w:rsid w:val="002A3E6E"/>
    <w:rsid w:val="002B0751"/>
    <w:rsid w:val="002D1757"/>
    <w:rsid w:val="002D675B"/>
    <w:rsid w:val="002E5A4C"/>
    <w:rsid w:val="00322AB1"/>
    <w:rsid w:val="00323D05"/>
    <w:rsid w:val="00333065"/>
    <w:rsid w:val="00343D23"/>
    <w:rsid w:val="00351414"/>
    <w:rsid w:val="003526F4"/>
    <w:rsid w:val="00354597"/>
    <w:rsid w:val="00356AFA"/>
    <w:rsid w:val="00361426"/>
    <w:rsid w:val="00362371"/>
    <w:rsid w:val="00385BEB"/>
    <w:rsid w:val="003B1DFD"/>
    <w:rsid w:val="003B5ED8"/>
    <w:rsid w:val="003B65FB"/>
    <w:rsid w:val="003D65CE"/>
    <w:rsid w:val="003E21DB"/>
    <w:rsid w:val="00413A79"/>
    <w:rsid w:val="0042108E"/>
    <w:rsid w:val="004257D1"/>
    <w:rsid w:val="00440179"/>
    <w:rsid w:val="00455178"/>
    <w:rsid w:val="00465FF9"/>
    <w:rsid w:val="0047123A"/>
    <w:rsid w:val="004723BF"/>
    <w:rsid w:val="004802E0"/>
    <w:rsid w:val="004A72BC"/>
    <w:rsid w:val="004B4D0B"/>
    <w:rsid w:val="004C77F8"/>
    <w:rsid w:val="004E5D36"/>
    <w:rsid w:val="004E6534"/>
    <w:rsid w:val="00503A1D"/>
    <w:rsid w:val="005127ED"/>
    <w:rsid w:val="00515E07"/>
    <w:rsid w:val="00532053"/>
    <w:rsid w:val="005355D8"/>
    <w:rsid w:val="00537974"/>
    <w:rsid w:val="005470F3"/>
    <w:rsid w:val="00547343"/>
    <w:rsid w:val="005475C8"/>
    <w:rsid w:val="005601DD"/>
    <w:rsid w:val="00567B34"/>
    <w:rsid w:val="005711B0"/>
    <w:rsid w:val="00575487"/>
    <w:rsid w:val="00576312"/>
    <w:rsid w:val="00576F2A"/>
    <w:rsid w:val="005B50BA"/>
    <w:rsid w:val="00642144"/>
    <w:rsid w:val="0065119F"/>
    <w:rsid w:val="006665F7"/>
    <w:rsid w:val="0067485A"/>
    <w:rsid w:val="00685358"/>
    <w:rsid w:val="00686181"/>
    <w:rsid w:val="0069231C"/>
    <w:rsid w:val="00692703"/>
    <w:rsid w:val="006A024C"/>
    <w:rsid w:val="006B63DC"/>
    <w:rsid w:val="006C62BA"/>
    <w:rsid w:val="006D10E8"/>
    <w:rsid w:val="006D5128"/>
    <w:rsid w:val="006E1F08"/>
    <w:rsid w:val="006E24AE"/>
    <w:rsid w:val="006E5003"/>
    <w:rsid w:val="006F2167"/>
    <w:rsid w:val="00713719"/>
    <w:rsid w:val="007178CF"/>
    <w:rsid w:val="007266F3"/>
    <w:rsid w:val="00731016"/>
    <w:rsid w:val="00731F8B"/>
    <w:rsid w:val="00761F87"/>
    <w:rsid w:val="00770EDC"/>
    <w:rsid w:val="00773436"/>
    <w:rsid w:val="007806B7"/>
    <w:rsid w:val="00782FAE"/>
    <w:rsid w:val="007D3800"/>
    <w:rsid w:val="007D73D4"/>
    <w:rsid w:val="007E1211"/>
    <w:rsid w:val="007E6BF3"/>
    <w:rsid w:val="007F26DC"/>
    <w:rsid w:val="007F515E"/>
    <w:rsid w:val="00813083"/>
    <w:rsid w:val="00814F19"/>
    <w:rsid w:val="00837BB0"/>
    <w:rsid w:val="00844DBA"/>
    <w:rsid w:val="00845910"/>
    <w:rsid w:val="008469CE"/>
    <w:rsid w:val="00872153"/>
    <w:rsid w:val="0087608C"/>
    <w:rsid w:val="00897A34"/>
    <w:rsid w:val="008A00B4"/>
    <w:rsid w:val="008B0698"/>
    <w:rsid w:val="008D1473"/>
    <w:rsid w:val="008D243A"/>
    <w:rsid w:val="008F766B"/>
    <w:rsid w:val="00917DEC"/>
    <w:rsid w:val="00924B52"/>
    <w:rsid w:val="009440A6"/>
    <w:rsid w:val="00953116"/>
    <w:rsid w:val="00991FED"/>
    <w:rsid w:val="009A6CCC"/>
    <w:rsid w:val="009B6AB2"/>
    <w:rsid w:val="009C1AB2"/>
    <w:rsid w:val="009D3B77"/>
    <w:rsid w:val="009E0F6D"/>
    <w:rsid w:val="009F3747"/>
    <w:rsid w:val="00A0458A"/>
    <w:rsid w:val="00A25C70"/>
    <w:rsid w:val="00A43105"/>
    <w:rsid w:val="00A55551"/>
    <w:rsid w:val="00A62C32"/>
    <w:rsid w:val="00A92749"/>
    <w:rsid w:val="00AB1253"/>
    <w:rsid w:val="00AC0B8F"/>
    <w:rsid w:val="00AE5F5C"/>
    <w:rsid w:val="00AF5A66"/>
    <w:rsid w:val="00B12FD8"/>
    <w:rsid w:val="00B40A09"/>
    <w:rsid w:val="00B41362"/>
    <w:rsid w:val="00B43740"/>
    <w:rsid w:val="00B47871"/>
    <w:rsid w:val="00B4787E"/>
    <w:rsid w:val="00B775A2"/>
    <w:rsid w:val="00B80246"/>
    <w:rsid w:val="00BA513D"/>
    <w:rsid w:val="00BA657A"/>
    <w:rsid w:val="00BC7120"/>
    <w:rsid w:val="00BC7E70"/>
    <w:rsid w:val="00C3680E"/>
    <w:rsid w:val="00C513A0"/>
    <w:rsid w:val="00C658FA"/>
    <w:rsid w:val="00C755E3"/>
    <w:rsid w:val="00C92011"/>
    <w:rsid w:val="00C92D21"/>
    <w:rsid w:val="00CA2B58"/>
    <w:rsid w:val="00CB09F7"/>
    <w:rsid w:val="00CB0B43"/>
    <w:rsid w:val="00CD207C"/>
    <w:rsid w:val="00D00E4F"/>
    <w:rsid w:val="00D0163B"/>
    <w:rsid w:val="00D077CC"/>
    <w:rsid w:val="00D109E9"/>
    <w:rsid w:val="00D34A6D"/>
    <w:rsid w:val="00D35F57"/>
    <w:rsid w:val="00D74F22"/>
    <w:rsid w:val="00D86B80"/>
    <w:rsid w:val="00D96AB0"/>
    <w:rsid w:val="00DA375C"/>
    <w:rsid w:val="00DB11F8"/>
    <w:rsid w:val="00DB642D"/>
    <w:rsid w:val="00DB7112"/>
    <w:rsid w:val="00DC2FD6"/>
    <w:rsid w:val="00DC31A0"/>
    <w:rsid w:val="00DD4A7C"/>
    <w:rsid w:val="00E0624D"/>
    <w:rsid w:val="00E16F4E"/>
    <w:rsid w:val="00E22748"/>
    <w:rsid w:val="00E23DD8"/>
    <w:rsid w:val="00E27139"/>
    <w:rsid w:val="00E367C8"/>
    <w:rsid w:val="00E64A82"/>
    <w:rsid w:val="00E70D83"/>
    <w:rsid w:val="00E72D1A"/>
    <w:rsid w:val="00E7651B"/>
    <w:rsid w:val="00E8059F"/>
    <w:rsid w:val="00E84C60"/>
    <w:rsid w:val="00EA042A"/>
    <w:rsid w:val="00EA1194"/>
    <w:rsid w:val="00EB3F83"/>
    <w:rsid w:val="00EB50BA"/>
    <w:rsid w:val="00ED3716"/>
    <w:rsid w:val="00EE6A64"/>
    <w:rsid w:val="00EF2C2D"/>
    <w:rsid w:val="00F019D5"/>
    <w:rsid w:val="00F20725"/>
    <w:rsid w:val="00F22ECD"/>
    <w:rsid w:val="00F240E5"/>
    <w:rsid w:val="00F37A59"/>
    <w:rsid w:val="00F435A5"/>
    <w:rsid w:val="00F46672"/>
    <w:rsid w:val="00F876DB"/>
    <w:rsid w:val="00F93C2A"/>
    <w:rsid w:val="00FA04EE"/>
    <w:rsid w:val="00FB4990"/>
    <w:rsid w:val="00FB5940"/>
    <w:rsid w:val="00FB7F7E"/>
    <w:rsid w:val="00FC5888"/>
    <w:rsid w:val="00FE617B"/>
    <w:rsid w:val="00FF2C10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071B"/>
  <w15:chartTrackingRefBased/>
  <w15:docId w15:val="{FB177138-ECA8-47A8-B3E4-9E1F8B75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B52"/>
  </w:style>
  <w:style w:type="paragraph" w:styleId="Footer">
    <w:name w:val="footer"/>
    <w:basedOn w:val="Normal"/>
    <w:link w:val="FooterChar"/>
    <w:uiPriority w:val="99"/>
    <w:unhideWhenUsed/>
    <w:rsid w:val="0092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B52"/>
  </w:style>
  <w:style w:type="paragraph" w:styleId="BodyText2">
    <w:name w:val="Body Text 2"/>
    <w:basedOn w:val="Normal"/>
    <w:link w:val="BodyText2Char"/>
    <w:unhideWhenUsed/>
    <w:rsid w:val="006F2167"/>
    <w:pPr>
      <w:tabs>
        <w:tab w:val="left" w:pos="567"/>
      </w:tabs>
      <w:spacing w:after="120" w:line="480" w:lineRule="auto"/>
    </w:pPr>
    <w:rPr>
      <w:rFonts w:ascii="Times New Roman" w:eastAsia="Times New Roman" w:hAnsi="Times New Roman" w:cs="Times New Roman"/>
      <w:snapToGrid w:val="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6F2167"/>
    <w:rPr>
      <w:rFonts w:ascii="Times New Roman" w:eastAsia="Times New Roman" w:hAnsi="Times New Roman" w:cs="Times New Roman"/>
      <w:snapToGrid w:val="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7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7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7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A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FF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F76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4348-E360-42F2-A68D-F2860014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7</Pages>
  <Words>9656</Words>
  <Characters>5504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Agnese Gudrupe</cp:lastModifiedBy>
  <cp:revision>43</cp:revision>
  <dcterms:created xsi:type="dcterms:W3CDTF">2017-07-12T14:17:00Z</dcterms:created>
  <dcterms:modified xsi:type="dcterms:W3CDTF">2018-02-27T09:33:00Z</dcterms:modified>
</cp:coreProperties>
</file>