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0B" w:rsidRPr="00353E54" w:rsidRDefault="0037790B" w:rsidP="0037790B">
      <w:pPr>
        <w:ind w:left="567" w:hanging="567"/>
        <w:jc w:val="center"/>
        <w:rPr>
          <w:szCs w:val="22"/>
        </w:rPr>
      </w:pPr>
    </w:p>
    <w:p w:rsidR="0037790B" w:rsidRPr="00353E54" w:rsidRDefault="0037790B" w:rsidP="0037790B">
      <w:pPr>
        <w:jc w:val="center"/>
        <w:rPr>
          <w:szCs w:val="22"/>
        </w:rPr>
      </w:pPr>
    </w:p>
    <w:p w:rsidR="001663F8" w:rsidRDefault="001663F8" w:rsidP="001663F8">
      <w:pPr>
        <w:spacing w:line="240" w:lineRule="auto"/>
        <w:jc w:val="center"/>
        <w:rPr>
          <w:b/>
          <w:szCs w:val="22"/>
        </w:rPr>
      </w:pPr>
      <w:r w:rsidRPr="00353E54">
        <w:rPr>
          <w:b/>
          <w:szCs w:val="22"/>
        </w:rPr>
        <w:t>ZĀĻU APRAKSTS</w:t>
      </w:r>
    </w:p>
    <w:p w:rsidR="001663F8" w:rsidRDefault="001663F8" w:rsidP="006B7C73">
      <w:pPr>
        <w:spacing w:line="240" w:lineRule="auto"/>
        <w:rPr>
          <w:b/>
          <w:szCs w:val="22"/>
        </w:rPr>
      </w:pPr>
    </w:p>
    <w:p w:rsidR="006B7C73" w:rsidRPr="00353E54" w:rsidRDefault="006B7C73" w:rsidP="006B7C73">
      <w:pPr>
        <w:spacing w:line="240" w:lineRule="auto"/>
        <w:rPr>
          <w:szCs w:val="22"/>
        </w:rPr>
      </w:pPr>
      <w:r w:rsidRPr="00353E54">
        <w:rPr>
          <w:b/>
          <w:szCs w:val="22"/>
        </w:rPr>
        <w:t>1.</w:t>
      </w:r>
      <w:r w:rsidRPr="00353E54">
        <w:rPr>
          <w:b/>
          <w:szCs w:val="22"/>
        </w:rPr>
        <w:tab/>
        <w:t>ZĀĻU NOSAUKUMS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iCs/>
          <w:szCs w:val="22"/>
          <w:lang w:val="en-US"/>
        </w:rPr>
      </w:pPr>
      <w:r w:rsidRPr="00353E54">
        <w:rPr>
          <w:szCs w:val="22"/>
        </w:rPr>
        <w:t xml:space="preserve">Hepeel tabletes </w:t>
      </w:r>
    </w:p>
    <w:p w:rsidR="0037790B" w:rsidRDefault="0037790B" w:rsidP="0037790B">
      <w:pPr>
        <w:tabs>
          <w:tab w:val="clear" w:pos="567"/>
        </w:tabs>
        <w:spacing w:line="240" w:lineRule="auto"/>
        <w:rPr>
          <w:szCs w:val="22"/>
        </w:rPr>
      </w:pPr>
    </w:p>
    <w:p w:rsidR="00353E54" w:rsidRPr="00353E54" w:rsidRDefault="00353E54" w:rsidP="0037790B">
      <w:pPr>
        <w:tabs>
          <w:tab w:val="clear" w:pos="567"/>
        </w:tabs>
        <w:spacing w:line="240" w:lineRule="auto"/>
        <w:rPr>
          <w:szCs w:val="22"/>
        </w:rPr>
      </w:pPr>
    </w:p>
    <w:p w:rsidR="006B7C73" w:rsidRPr="00353E54" w:rsidRDefault="006B7C73" w:rsidP="006B7C73">
      <w:pPr>
        <w:ind w:left="567" w:hanging="567"/>
        <w:rPr>
          <w:b/>
          <w:szCs w:val="22"/>
        </w:rPr>
      </w:pPr>
      <w:r w:rsidRPr="00353E54">
        <w:rPr>
          <w:b/>
          <w:szCs w:val="22"/>
        </w:rPr>
        <w:t>2.</w:t>
      </w:r>
      <w:r w:rsidRPr="00353E54">
        <w:rPr>
          <w:b/>
          <w:szCs w:val="22"/>
        </w:rPr>
        <w:tab/>
        <w:t>KVALITATĪVAIS UN KVANTITATĪVAIS SASTĀVS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rPr>
          <w:szCs w:val="22"/>
        </w:rPr>
      </w:pPr>
    </w:p>
    <w:p w:rsidR="0037790B" w:rsidRPr="00436DFA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  <w:lang w:val="en-US"/>
        </w:rPr>
      </w:pPr>
      <w:r w:rsidRPr="00353E54">
        <w:rPr>
          <w:szCs w:val="22"/>
        </w:rPr>
        <w:t>1 tablete satur aktīvās vielas:</w:t>
      </w:r>
    </w:p>
    <w:p w:rsidR="00353E54" w:rsidRPr="00436DFA" w:rsidRDefault="00353E54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  <w:lang w:val="en-US"/>
        </w:rPr>
      </w:pPr>
    </w:p>
    <w:tbl>
      <w:tblPr>
        <w:tblW w:w="0" w:type="auto"/>
        <w:tblLook w:val="0000"/>
      </w:tblPr>
      <w:tblGrid>
        <w:gridCol w:w="2998"/>
        <w:gridCol w:w="2860"/>
        <w:gridCol w:w="2862"/>
      </w:tblGrid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proofErr w:type="spellStart"/>
            <w:r w:rsidRPr="00353E54">
              <w:rPr>
                <w:iCs/>
                <w:szCs w:val="22"/>
                <w:lang w:val="en-US"/>
              </w:rPr>
              <w:t>Lycopodium</w:t>
            </w:r>
            <w:proofErr w:type="spellEnd"/>
            <w:r w:rsidRPr="00353E54">
              <w:rPr>
                <w:iCs/>
                <w:szCs w:val="22"/>
                <w:lang w:val="en-US"/>
              </w:rPr>
              <w:t xml:space="preserve"> </w:t>
            </w:r>
            <w:proofErr w:type="spellStart"/>
            <w:r w:rsidRPr="00353E54">
              <w:rPr>
                <w:iCs/>
                <w:szCs w:val="22"/>
                <w:lang w:val="en-US"/>
              </w:rPr>
              <w:t>clavatum</w:t>
            </w:r>
            <w:proofErr w:type="spellEnd"/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D3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30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proofErr w:type="spellStart"/>
            <w:r w:rsidRPr="00353E54">
              <w:rPr>
                <w:iCs/>
                <w:szCs w:val="22"/>
                <w:lang w:val="en-US"/>
              </w:rPr>
              <w:t>Chelidonium</w:t>
            </w:r>
            <w:proofErr w:type="spellEnd"/>
            <w:r w:rsidRPr="00353E54">
              <w:rPr>
                <w:iCs/>
                <w:szCs w:val="22"/>
                <w:lang w:val="en-US"/>
              </w:rPr>
              <w:t xml:space="preserve"> </w:t>
            </w:r>
            <w:proofErr w:type="spellStart"/>
            <w:r w:rsidRPr="00353E54">
              <w:rPr>
                <w:iCs/>
                <w:szCs w:val="22"/>
                <w:lang w:val="en-US"/>
              </w:rPr>
              <w:t>majus</w:t>
            </w:r>
            <w:proofErr w:type="spellEnd"/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D4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30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 xml:space="preserve">Cinchona </w:t>
            </w:r>
            <w:proofErr w:type="spellStart"/>
            <w:r w:rsidRPr="00353E54">
              <w:rPr>
                <w:szCs w:val="22"/>
                <w:lang w:val="en-US"/>
              </w:rPr>
              <w:t>pubescens</w:t>
            </w:r>
            <w:proofErr w:type="spellEnd"/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D3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30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proofErr w:type="spellStart"/>
            <w:r w:rsidRPr="00353E54">
              <w:rPr>
                <w:szCs w:val="22"/>
                <w:lang w:val="en-US"/>
              </w:rPr>
              <w:t>Myristica</w:t>
            </w:r>
            <w:proofErr w:type="spellEnd"/>
            <w:r w:rsidRPr="00353E54">
              <w:rPr>
                <w:szCs w:val="22"/>
                <w:lang w:val="en-US"/>
              </w:rPr>
              <w:t xml:space="preserve"> </w:t>
            </w:r>
            <w:proofErr w:type="spellStart"/>
            <w:r w:rsidRPr="00353E54">
              <w:rPr>
                <w:szCs w:val="22"/>
                <w:lang w:val="en-US"/>
              </w:rPr>
              <w:t>fragrans</w:t>
            </w:r>
            <w:proofErr w:type="spellEnd"/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D4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30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proofErr w:type="spellStart"/>
            <w:r w:rsidRPr="00353E54">
              <w:rPr>
                <w:szCs w:val="22"/>
                <w:lang w:val="en-US"/>
              </w:rPr>
              <w:t>Silybum</w:t>
            </w:r>
            <w:proofErr w:type="spellEnd"/>
            <w:r w:rsidRPr="00353E54">
              <w:rPr>
                <w:szCs w:val="22"/>
                <w:lang w:val="en-US"/>
              </w:rPr>
              <w:t xml:space="preserve"> </w:t>
            </w:r>
            <w:proofErr w:type="spellStart"/>
            <w:r w:rsidRPr="00353E54">
              <w:rPr>
                <w:szCs w:val="22"/>
                <w:lang w:val="en-US"/>
              </w:rPr>
              <w:t>marianum</w:t>
            </w:r>
            <w:proofErr w:type="spellEnd"/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D2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15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iCs/>
                <w:szCs w:val="22"/>
                <w:lang w:val="en-US"/>
              </w:rPr>
              <w:t>Phosphorus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D6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15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proofErr w:type="spellStart"/>
            <w:r w:rsidRPr="00353E54">
              <w:rPr>
                <w:iCs/>
                <w:szCs w:val="22"/>
                <w:lang w:val="en-US"/>
              </w:rPr>
              <w:t>Veratrum</w:t>
            </w:r>
            <w:proofErr w:type="spellEnd"/>
            <w:r w:rsidRPr="00353E54">
              <w:rPr>
                <w:iCs/>
                <w:szCs w:val="22"/>
                <w:lang w:val="en-US"/>
              </w:rPr>
              <w:t xml:space="preserve"> album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D6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60 mg</w:t>
            </w:r>
          </w:p>
        </w:tc>
      </w:tr>
      <w:tr w:rsidR="0037790B" w:rsidRPr="00353E54" w:rsidTr="006B7C73">
        <w:tc>
          <w:tcPr>
            <w:tcW w:w="3301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proofErr w:type="spellStart"/>
            <w:r w:rsidRPr="00353E54">
              <w:rPr>
                <w:iCs/>
                <w:szCs w:val="22"/>
                <w:lang w:val="en-US"/>
              </w:rPr>
              <w:t>Citrullus</w:t>
            </w:r>
            <w:proofErr w:type="spellEnd"/>
            <w:r w:rsidRPr="00353E54">
              <w:rPr>
                <w:iCs/>
                <w:szCs w:val="22"/>
                <w:lang w:val="en-US"/>
              </w:rPr>
              <w:t xml:space="preserve"> </w:t>
            </w:r>
            <w:proofErr w:type="spellStart"/>
            <w:r w:rsidRPr="00353E54">
              <w:rPr>
                <w:iCs/>
                <w:szCs w:val="22"/>
                <w:lang w:val="en-US"/>
              </w:rPr>
              <w:t>colocynthis</w:t>
            </w:r>
            <w:proofErr w:type="spellEnd"/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D6</w:t>
            </w:r>
          </w:p>
        </w:tc>
        <w:tc>
          <w:tcPr>
            <w:tcW w:w="3302" w:type="dxa"/>
          </w:tcPr>
          <w:p w:rsidR="0037790B" w:rsidRPr="00353E54" w:rsidRDefault="0037790B" w:rsidP="0037790B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rPr>
                <w:szCs w:val="22"/>
                <w:lang w:val="en-US"/>
              </w:rPr>
            </w:pPr>
            <w:r w:rsidRPr="00353E54">
              <w:rPr>
                <w:szCs w:val="22"/>
                <w:lang w:val="en-US"/>
              </w:rPr>
              <w:t>90 mg</w:t>
            </w:r>
          </w:p>
        </w:tc>
      </w:tr>
    </w:tbl>
    <w:p w:rsidR="007A2D3C" w:rsidRPr="00353E54" w:rsidRDefault="007A2D3C" w:rsidP="0037790B">
      <w:pPr>
        <w:tabs>
          <w:tab w:val="clear" w:pos="567"/>
        </w:tabs>
        <w:spacing w:line="240" w:lineRule="auto"/>
        <w:rPr>
          <w:noProof/>
          <w:szCs w:val="22"/>
        </w:rPr>
      </w:pPr>
    </w:p>
    <w:p w:rsidR="007A2D3C" w:rsidRPr="00353E54" w:rsidRDefault="007A2D3C" w:rsidP="0037790B">
      <w:pPr>
        <w:tabs>
          <w:tab w:val="clear" w:pos="567"/>
        </w:tabs>
        <w:spacing w:line="240" w:lineRule="auto"/>
        <w:rPr>
          <w:noProof/>
          <w:szCs w:val="22"/>
        </w:rPr>
      </w:pPr>
      <w:r w:rsidRPr="00353E54">
        <w:rPr>
          <w:noProof/>
          <w:szCs w:val="22"/>
        </w:rPr>
        <w:t xml:space="preserve">Palīgvielas ar zināmu </w:t>
      </w:r>
      <w:r w:rsidR="006B7C73" w:rsidRPr="00353E54">
        <w:rPr>
          <w:noProof/>
          <w:szCs w:val="22"/>
        </w:rPr>
        <w:t xml:space="preserve">iedarbību: </w:t>
      </w:r>
      <w:r w:rsidR="00353E54" w:rsidRPr="00353E54">
        <w:rPr>
          <w:noProof/>
          <w:szCs w:val="22"/>
        </w:rPr>
        <w:t>l</w:t>
      </w:r>
      <w:r w:rsidR="006B7C73" w:rsidRPr="00353E54">
        <w:rPr>
          <w:noProof/>
          <w:szCs w:val="22"/>
        </w:rPr>
        <w:t>aktozes monohidrāts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Pilnu palīgvielu sarakstu skatīt</w:t>
      </w:r>
      <w:r w:rsidR="006B7C73" w:rsidRPr="00353E54">
        <w:rPr>
          <w:szCs w:val="22"/>
        </w:rPr>
        <w:t xml:space="preserve"> 6.1.</w:t>
      </w:r>
      <w:r w:rsidRPr="00353E54">
        <w:rPr>
          <w:szCs w:val="22"/>
        </w:rPr>
        <w:t xml:space="preserve"> apakšpunktā.</w:t>
      </w:r>
    </w:p>
    <w:p w:rsidR="0037790B" w:rsidRDefault="0037790B" w:rsidP="0037790B">
      <w:pPr>
        <w:tabs>
          <w:tab w:val="clear" w:pos="567"/>
        </w:tabs>
        <w:spacing w:line="240" w:lineRule="auto"/>
        <w:rPr>
          <w:szCs w:val="22"/>
        </w:rPr>
      </w:pPr>
    </w:p>
    <w:p w:rsidR="00353E54" w:rsidRPr="00353E54" w:rsidRDefault="00353E54" w:rsidP="0037790B">
      <w:pPr>
        <w:tabs>
          <w:tab w:val="clear" w:pos="567"/>
        </w:tabs>
        <w:spacing w:line="240" w:lineRule="auto"/>
        <w:rPr>
          <w:szCs w:val="22"/>
        </w:rPr>
      </w:pPr>
    </w:p>
    <w:p w:rsidR="006B7C73" w:rsidRPr="00353E54" w:rsidRDefault="006B7C73" w:rsidP="006B7C73">
      <w:pPr>
        <w:ind w:left="567" w:hanging="567"/>
        <w:rPr>
          <w:b/>
          <w:caps/>
          <w:szCs w:val="22"/>
        </w:rPr>
      </w:pPr>
      <w:r w:rsidRPr="00353E54">
        <w:rPr>
          <w:b/>
          <w:szCs w:val="22"/>
        </w:rPr>
        <w:t>3.</w:t>
      </w:r>
      <w:r w:rsidRPr="00353E54">
        <w:rPr>
          <w:b/>
          <w:szCs w:val="22"/>
        </w:rPr>
        <w:tab/>
        <w:t>ZĀĻU FORMA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rPr>
          <w:szCs w:val="22"/>
        </w:rPr>
      </w:pPr>
    </w:p>
    <w:p w:rsidR="0037790B" w:rsidRPr="00353E54" w:rsidRDefault="0037790B" w:rsidP="00353E54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Tablete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Hepeel tabletes ir baltas vai oranži baltas tabletes ar atsevišķiem oranžas krāsas punktiem.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Tabletes ir apaļas un plakanas ar noslīpinātu šķautni.</w:t>
      </w:r>
    </w:p>
    <w:p w:rsidR="0037790B" w:rsidRDefault="0037790B" w:rsidP="0037790B">
      <w:pPr>
        <w:tabs>
          <w:tab w:val="clear" w:pos="567"/>
        </w:tabs>
        <w:spacing w:line="240" w:lineRule="auto"/>
        <w:ind w:left="360"/>
        <w:rPr>
          <w:szCs w:val="22"/>
        </w:rPr>
      </w:pPr>
    </w:p>
    <w:p w:rsidR="00353E54" w:rsidRPr="00353E54" w:rsidRDefault="00353E54" w:rsidP="0037790B">
      <w:pPr>
        <w:tabs>
          <w:tab w:val="clear" w:pos="567"/>
        </w:tabs>
        <w:spacing w:line="240" w:lineRule="auto"/>
        <w:ind w:left="360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caps/>
          <w:szCs w:val="22"/>
        </w:rPr>
        <w:t>4.</w:t>
      </w:r>
      <w:r w:rsidRPr="00353E54">
        <w:rPr>
          <w:b/>
          <w:caps/>
          <w:szCs w:val="22"/>
        </w:rPr>
        <w:tab/>
        <w:t xml:space="preserve">KLĪNISKĀ INFORMĀCIJA </w:t>
      </w:r>
    </w:p>
    <w:p w:rsidR="0037790B" w:rsidRPr="00353E54" w:rsidRDefault="0037790B" w:rsidP="0037790B">
      <w:pPr>
        <w:tabs>
          <w:tab w:val="clear" w:pos="567"/>
          <w:tab w:val="left" w:pos="2385"/>
        </w:tabs>
        <w:spacing w:line="240" w:lineRule="auto"/>
        <w:rPr>
          <w:szCs w:val="22"/>
        </w:rPr>
      </w:pPr>
      <w:r w:rsidRPr="00353E54">
        <w:rPr>
          <w:szCs w:val="22"/>
        </w:rPr>
        <w:tab/>
      </w: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4.1.</w:t>
      </w:r>
      <w:r w:rsidRPr="00353E54">
        <w:rPr>
          <w:b/>
          <w:szCs w:val="22"/>
        </w:rPr>
        <w:tab/>
        <w:t>Terapeitiskās indikācijas</w:t>
      </w:r>
    </w:p>
    <w:p w:rsidR="006B7C73" w:rsidRPr="00353E54" w:rsidRDefault="006B7C73" w:rsidP="0037790B">
      <w:pPr>
        <w:tabs>
          <w:tab w:val="clear" w:pos="567"/>
        </w:tabs>
        <w:spacing w:line="240" w:lineRule="auto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Primāri un sekundāri aknu darbības traucējumi; aknu bojājums.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4.2.</w:t>
      </w:r>
      <w:r w:rsidRPr="00353E54">
        <w:rPr>
          <w:b/>
          <w:szCs w:val="22"/>
        </w:rPr>
        <w:tab/>
        <w:t>Devas un lietošanas veids</w:t>
      </w:r>
    </w:p>
    <w:p w:rsidR="006B7C73" w:rsidRPr="00353E54" w:rsidRDefault="006B7C73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Pieaugušajiem un bērniem no 12 gadu vecuma: Parasti lieto pa 1 tabletei 3 reizes dienā, izšķīdinot tableti mutē.</w:t>
      </w:r>
    </w:p>
    <w:p w:rsidR="00276036" w:rsidRPr="00353E54" w:rsidRDefault="00276036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 xml:space="preserve">Terapijas ilgums ir atkarīgs no pamatslimības un pacienta individuālās slimības vēstures.To katram individuāli nosaka ārstējošais ārsts. 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Terapijas parasti ilgst 1 – 2 mēnešus.</w:t>
      </w:r>
    </w:p>
    <w:p w:rsidR="00276036" w:rsidRPr="00353E54" w:rsidRDefault="00276036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Piezīme:</w:t>
      </w:r>
      <w:r w:rsidR="003C47AA" w:rsidRPr="00353E54">
        <w:rPr>
          <w:szCs w:val="22"/>
        </w:rPr>
        <w:t xml:space="preserve"> </w:t>
      </w:r>
      <w:r w:rsidRPr="00353E54">
        <w:rPr>
          <w:szCs w:val="22"/>
        </w:rPr>
        <w:t>Aknu funkciju raksturlielumi jākontrolē, ja zāles tiek lietotas ilgāk par 4 nedēļām.</w:t>
      </w:r>
    </w:p>
    <w:p w:rsidR="00AE0F0E" w:rsidRDefault="00AE0F0E" w:rsidP="00AE0F0E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  <w:lang w:val="de-DE"/>
        </w:rPr>
      </w:pPr>
    </w:p>
    <w:p w:rsidR="00AE0F0E" w:rsidRDefault="00AE0F0E" w:rsidP="00AE0F0E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0535C0">
        <w:rPr>
          <w:bCs/>
          <w:i/>
          <w:iCs/>
          <w:szCs w:val="22"/>
        </w:rPr>
        <w:t>Pediatriskā populācija</w:t>
      </w:r>
    </w:p>
    <w:p w:rsidR="00AE0F0E" w:rsidRPr="00353E54" w:rsidRDefault="00AE0F0E" w:rsidP="00AE0F0E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Hepeel tabletes droš</w:t>
      </w:r>
      <w:r w:rsidR="00884036">
        <w:rPr>
          <w:szCs w:val="22"/>
        </w:rPr>
        <w:t>ums</w:t>
      </w:r>
      <w:r w:rsidRPr="00353E54">
        <w:rPr>
          <w:szCs w:val="22"/>
        </w:rPr>
        <w:t xml:space="preserve"> un efektivitāte bērniem vecumā līdz 12 gadiem, nav noskaidrota. Dati nav pieejami.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lastRenderedPageBreak/>
        <w:t>4.3.</w:t>
      </w:r>
      <w:r w:rsidRPr="00353E54">
        <w:rPr>
          <w:b/>
          <w:szCs w:val="22"/>
        </w:rPr>
        <w:tab/>
        <w:t xml:space="preserve">Kontrindikācijas </w:t>
      </w:r>
    </w:p>
    <w:p w:rsidR="006B7C73" w:rsidRPr="00353E54" w:rsidRDefault="006B7C73" w:rsidP="006B7C7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53E54">
        <w:rPr>
          <w:szCs w:val="22"/>
        </w:rPr>
        <w:t>Paaugstināta jutība pret aktīvajām vielām vai jebkuru no 6.1. apakšpunktā uzskaitītajām palīgvielām.</w:t>
      </w:r>
    </w:p>
    <w:p w:rsidR="0037790B" w:rsidRPr="00353E54" w:rsidRDefault="0037790B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53E54">
        <w:rPr>
          <w:szCs w:val="22"/>
        </w:rPr>
        <w:t>Nelietot, ja ir paaugstināta jutība pret</w:t>
      </w:r>
      <w:r w:rsidRPr="00353E54">
        <w:rPr>
          <w:szCs w:val="22"/>
          <w:lang w:eastAsia="lv-LV"/>
        </w:rPr>
        <w:t xml:space="preserve"> </w:t>
      </w:r>
      <w:r w:rsidRPr="00353E54">
        <w:rPr>
          <w:i/>
          <w:szCs w:val="22"/>
          <w:lang w:eastAsia="lv-LV"/>
        </w:rPr>
        <w:t>Silybium marianum</w:t>
      </w:r>
      <w:r w:rsidRPr="00353E54">
        <w:rPr>
          <w:szCs w:val="22"/>
        </w:rPr>
        <w:t xml:space="preserve"> vai pret kādu no kurvjziežu dzimtas augiem vai</w:t>
      </w:r>
      <w:r w:rsidR="00276036" w:rsidRPr="00353E54">
        <w:rPr>
          <w:szCs w:val="22"/>
        </w:rPr>
        <w:t>,</w:t>
      </w:r>
      <w:r w:rsidRPr="00353E54">
        <w:rPr>
          <w:szCs w:val="22"/>
        </w:rPr>
        <w:t xml:space="preserve"> ja ir paaugstināta jutība pret hinīnu</w:t>
      </w:r>
      <w:r w:rsidRPr="00353E54">
        <w:rPr>
          <w:szCs w:val="22"/>
          <w:lang w:val="lt-LT"/>
        </w:rPr>
        <w:t>.</w:t>
      </w:r>
      <w:r w:rsidRPr="00353E54">
        <w:rPr>
          <w:szCs w:val="22"/>
        </w:rPr>
        <w:t xml:space="preserve"> </w:t>
      </w:r>
      <w:r w:rsidRPr="00353E54">
        <w:rPr>
          <w:szCs w:val="22"/>
          <w:lang w:val="lt-LT"/>
        </w:rPr>
        <w:t>Jau esošas aknu slimības gadījumā vai, ja agrāk vai vienlaikus ir lietotas hepatotoksiskas vielas, pirms Hepeel tabletes lietotošanas jākonsultējas ar ārstu.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4.4.</w:t>
      </w:r>
      <w:r w:rsidRPr="00353E54">
        <w:rPr>
          <w:b/>
          <w:szCs w:val="22"/>
        </w:rPr>
        <w:tab/>
        <w:t>Īpaši brīdinājumi un piesardzība lietošanā</w:t>
      </w:r>
    </w:p>
    <w:p w:rsidR="006B7C73" w:rsidRPr="00353E54" w:rsidRDefault="006B7C73" w:rsidP="006B7C73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Satur laktozi. Šīs zāles nevajadzētu lietot pacientiem ar retu iedzimtu galaktozes nepanesību, Lapp laktāzes deficītu vai glikozes–galaktozes malabsorbciju</w:t>
      </w:r>
    </w:p>
    <w:p w:rsidR="0037790B" w:rsidRPr="00353E54" w:rsidRDefault="0037790B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lv-LV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4.5.</w:t>
      </w:r>
      <w:r w:rsidRPr="00353E54">
        <w:rPr>
          <w:b/>
          <w:szCs w:val="22"/>
        </w:rPr>
        <w:tab/>
        <w:t>Mijiedarbība ar citām zālēm un citi mijiedarbības veidi</w:t>
      </w:r>
    </w:p>
    <w:p w:rsidR="006B7C73" w:rsidRPr="00353E54" w:rsidRDefault="006B7C73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Nav novērota.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4.6.</w:t>
      </w:r>
      <w:r w:rsidRPr="00353E54">
        <w:rPr>
          <w:b/>
          <w:szCs w:val="22"/>
        </w:rPr>
        <w:tab/>
        <w:t>Fertilitāte, g</w:t>
      </w:r>
      <w:r w:rsidRPr="00353E54">
        <w:rPr>
          <w:b/>
          <w:noProof/>
          <w:szCs w:val="22"/>
        </w:rPr>
        <w:t xml:space="preserve">rūtniecība un </w:t>
      </w:r>
      <w:r w:rsidR="00276036" w:rsidRPr="00353E54">
        <w:rPr>
          <w:b/>
          <w:noProof/>
          <w:szCs w:val="22"/>
        </w:rPr>
        <w:t>barošana ar krūti</w:t>
      </w:r>
    </w:p>
    <w:p w:rsidR="00353E54" w:rsidRPr="00436DFA" w:rsidRDefault="00353E54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 xml:space="preserve">Tā kā zāles satur </w:t>
      </w:r>
      <w:r w:rsidR="00276036" w:rsidRPr="00353E54">
        <w:rPr>
          <w:szCs w:val="22"/>
        </w:rPr>
        <w:t xml:space="preserve">struteni </w:t>
      </w:r>
      <w:r w:rsidRPr="00353E54">
        <w:rPr>
          <w:szCs w:val="22"/>
        </w:rPr>
        <w:t xml:space="preserve">(Chelidonium) un </w:t>
      </w:r>
      <w:r w:rsidR="00276036" w:rsidRPr="00353E54">
        <w:rPr>
          <w:szCs w:val="22"/>
        </w:rPr>
        <w:t>veratri</w:t>
      </w:r>
      <w:r w:rsidRPr="00353E54">
        <w:rPr>
          <w:szCs w:val="22"/>
        </w:rPr>
        <w:t xml:space="preserve">, nelietot grūtniecības un </w:t>
      </w:r>
      <w:r w:rsidR="00276036" w:rsidRPr="00353E54">
        <w:rPr>
          <w:szCs w:val="22"/>
        </w:rPr>
        <w:t xml:space="preserve">krūts barošanas periodā. 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4.7.</w:t>
      </w:r>
      <w:r w:rsidRPr="00353E54">
        <w:rPr>
          <w:b/>
          <w:szCs w:val="22"/>
        </w:rPr>
        <w:tab/>
        <w:t>Ietekme uz spēju vadīt transportlīdzekļus un apkalpot mehānismus</w:t>
      </w:r>
    </w:p>
    <w:p w:rsidR="006B7C73" w:rsidRPr="00353E54" w:rsidRDefault="006B7C73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6B7C73" w:rsidP="0037790B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353E54">
        <w:rPr>
          <w:noProof/>
          <w:szCs w:val="22"/>
          <w:lang w:val="lt-LT"/>
        </w:rPr>
        <w:t xml:space="preserve">Helpeel </w:t>
      </w:r>
      <w:r w:rsidRPr="00353E54">
        <w:rPr>
          <w:szCs w:val="22"/>
        </w:rPr>
        <w:t>n</w:t>
      </w:r>
      <w:r w:rsidR="0037790B" w:rsidRPr="00353E54">
        <w:rPr>
          <w:szCs w:val="22"/>
        </w:rPr>
        <w:t>eietekmē spējas vadīt transportlīdzekļus un apkalpot mehānismus.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4.8.</w:t>
      </w:r>
      <w:r w:rsidRPr="00353E54">
        <w:rPr>
          <w:b/>
          <w:szCs w:val="22"/>
        </w:rPr>
        <w:tab/>
        <w:t>Nevēlamās blakusparādības</w:t>
      </w:r>
    </w:p>
    <w:p w:rsidR="00F8393A" w:rsidRPr="00353E54" w:rsidRDefault="00F8393A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 xml:space="preserve">Retos gadījumos pēc </w:t>
      </w:r>
      <w:r w:rsidR="00B150FC" w:rsidRPr="00353E54">
        <w:rPr>
          <w:szCs w:val="22"/>
        </w:rPr>
        <w:t xml:space="preserve">hinīnu saturošu </w:t>
      </w:r>
      <w:r w:rsidRPr="00353E54">
        <w:rPr>
          <w:szCs w:val="22"/>
        </w:rPr>
        <w:t>zāļu lietošanas</w:t>
      </w:r>
      <w:r w:rsidR="00B150FC" w:rsidRPr="00353E54">
        <w:rPr>
          <w:szCs w:val="22"/>
        </w:rPr>
        <w:t xml:space="preserve"> </w:t>
      </w:r>
      <w:r w:rsidRPr="00353E54">
        <w:rPr>
          <w:szCs w:val="22"/>
        </w:rPr>
        <w:t xml:space="preserve">iespējamas paaugstinātas jutības reakcijas, </w:t>
      </w:r>
      <w:r w:rsidR="00B150FC" w:rsidRPr="00353E54">
        <w:rPr>
          <w:szCs w:val="22"/>
        </w:rPr>
        <w:t>piemēram,</w:t>
      </w:r>
      <w:r w:rsidRPr="00353E54">
        <w:rPr>
          <w:szCs w:val="22"/>
        </w:rPr>
        <w:t xml:space="preserve"> ādas alerģiska reakcija un drudzis.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Piezīme: Iespējama sensibilizācija pret hinīnu vai hinidīnu.</w:t>
      </w:r>
    </w:p>
    <w:p w:rsidR="00B150FC" w:rsidRPr="00353E54" w:rsidRDefault="00B150FC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</w:p>
    <w:p w:rsidR="0037790B" w:rsidRPr="00353E54" w:rsidRDefault="003C47AA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I</w:t>
      </w:r>
      <w:r w:rsidR="0037790B" w:rsidRPr="00353E54">
        <w:rPr>
          <w:szCs w:val="22"/>
        </w:rPr>
        <w:t>r bijuši atsevišķi ziņojumi par paaugstinātu aknu enzīmu (transamināžu) aktivitāti un bilirubīna līmeņa paaugstināšanos serumā līdz pat zāļu inducētai dzeltei (ar zāļu lietošanu saistīts toksisks hepatīts),</w:t>
      </w:r>
      <w:r w:rsidR="003D4632">
        <w:rPr>
          <w:szCs w:val="22"/>
        </w:rPr>
        <w:t xml:space="preserve"> </w:t>
      </w:r>
      <w:r w:rsidRPr="00353E54">
        <w:rPr>
          <w:szCs w:val="22"/>
        </w:rPr>
        <w:t>terapijas laikā ar struteni (Chelidonium) saturošām zālēm. Simptomi</w:t>
      </w:r>
      <w:r w:rsidR="0037790B" w:rsidRPr="00353E54">
        <w:rPr>
          <w:szCs w:val="22"/>
        </w:rPr>
        <w:t xml:space="preserve"> normalizējās vai samazinājās, pārtraucot preparāta lietošanu.</w:t>
      </w:r>
    </w:p>
    <w:p w:rsidR="006B7C73" w:rsidRPr="00353E54" w:rsidRDefault="006B7C73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lt-LT"/>
        </w:rPr>
      </w:pPr>
    </w:p>
    <w:p w:rsidR="006B7C73" w:rsidRPr="00436DFA" w:rsidRDefault="006B7C73" w:rsidP="006B7C73">
      <w:pPr>
        <w:autoSpaceDE w:val="0"/>
        <w:autoSpaceDN w:val="0"/>
        <w:adjustRightInd w:val="0"/>
        <w:spacing w:line="240" w:lineRule="auto"/>
        <w:jc w:val="both"/>
        <w:rPr>
          <w:szCs w:val="22"/>
          <w:u w:val="single"/>
        </w:rPr>
      </w:pPr>
      <w:r w:rsidRPr="00436DFA">
        <w:rPr>
          <w:szCs w:val="22"/>
          <w:u w:val="single"/>
        </w:rPr>
        <w:t>Ziņošana par iespējamām nevēlamām blakusparādībām</w:t>
      </w:r>
    </w:p>
    <w:p w:rsidR="006B7C73" w:rsidRPr="00353E54" w:rsidRDefault="006B7C73" w:rsidP="006B7C73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 w:rsidRPr="00353E54">
        <w:rPr>
          <w:szCs w:val="22"/>
        </w:rPr>
        <w:t xml:space="preserve">Ir svarīgi ziņot par iespējamām nevēlamām blakusparādībām pēc zāļu reģistrācijas. Tādējādi zāļu ieguvumu/riska attiecība tiek nepārtraukti uzraudzīta. </w:t>
      </w:r>
      <w:r w:rsidRPr="00353E54">
        <w:rPr>
          <w:noProof/>
          <w:szCs w:val="22"/>
        </w:rPr>
        <w:t xml:space="preserve">Veselības aprupes speciālisti tiek lūgti ziņot par jebkādām iespejamajām nevēlamajām blakusparādībām, izmantojot nacionālās ziņošanas sistēmas kontaktinformāciju: </w:t>
      </w:r>
    </w:p>
    <w:p w:rsidR="006B7C73" w:rsidRPr="00353E54" w:rsidRDefault="006B7C73" w:rsidP="006B7C73">
      <w:pPr>
        <w:spacing w:line="240" w:lineRule="auto"/>
        <w:rPr>
          <w:szCs w:val="22"/>
          <w:lang w:eastAsia="lv-LV"/>
        </w:rPr>
      </w:pPr>
      <w:r w:rsidRPr="00353E54">
        <w:rPr>
          <w:szCs w:val="22"/>
          <w:lang w:eastAsia="zh-CN"/>
        </w:rPr>
        <w:t>Zāļu valsts aģentūra</w:t>
      </w:r>
    </w:p>
    <w:p w:rsidR="006B7C73" w:rsidRPr="00353E54" w:rsidRDefault="006B7C73" w:rsidP="006B7C73">
      <w:pPr>
        <w:spacing w:line="240" w:lineRule="auto"/>
        <w:rPr>
          <w:szCs w:val="22"/>
          <w:lang w:eastAsia="lv-LV"/>
        </w:rPr>
      </w:pPr>
      <w:r w:rsidRPr="00353E54">
        <w:rPr>
          <w:szCs w:val="22"/>
          <w:lang w:eastAsia="zh-CN"/>
        </w:rPr>
        <w:t>Jersikas iela 15</w:t>
      </w:r>
    </w:p>
    <w:p w:rsidR="006B7C73" w:rsidRPr="00353E54" w:rsidRDefault="006B7C73" w:rsidP="006B7C73">
      <w:pPr>
        <w:spacing w:line="240" w:lineRule="auto"/>
        <w:rPr>
          <w:szCs w:val="22"/>
          <w:lang w:eastAsia="lv-LV"/>
        </w:rPr>
      </w:pPr>
      <w:r w:rsidRPr="00353E54">
        <w:rPr>
          <w:szCs w:val="22"/>
          <w:lang w:eastAsia="zh-CN"/>
        </w:rPr>
        <w:t xml:space="preserve">Rīga, LV 1003 </w:t>
      </w:r>
    </w:p>
    <w:p w:rsidR="006B7C73" w:rsidRPr="00353E54" w:rsidRDefault="006B7C73" w:rsidP="006B7C73">
      <w:pPr>
        <w:spacing w:line="240" w:lineRule="auto"/>
        <w:rPr>
          <w:szCs w:val="22"/>
          <w:lang w:eastAsia="lv-LV"/>
        </w:rPr>
      </w:pPr>
      <w:r w:rsidRPr="00353E54">
        <w:rPr>
          <w:szCs w:val="22"/>
          <w:lang w:eastAsia="zh-CN"/>
        </w:rPr>
        <w:t>Tālr.: +371 67078400</w:t>
      </w:r>
    </w:p>
    <w:p w:rsidR="006B7C73" w:rsidRPr="00353E54" w:rsidRDefault="006B7C73" w:rsidP="006B7C73">
      <w:pPr>
        <w:spacing w:line="240" w:lineRule="auto"/>
        <w:rPr>
          <w:szCs w:val="22"/>
          <w:lang w:eastAsia="lv-LV"/>
        </w:rPr>
      </w:pPr>
      <w:r w:rsidRPr="00353E54">
        <w:rPr>
          <w:szCs w:val="22"/>
          <w:lang w:eastAsia="zh-CN"/>
        </w:rPr>
        <w:t>Fakss: +371 67078428</w:t>
      </w:r>
    </w:p>
    <w:p w:rsidR="0037790B" w:rsidRPr="00353E54" w:rsidRDefault="006B7C73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  <w:lang w:eastAsia="zh-CN"/>
        </w:rPr>
        <w:t>Tīmekļa vietne</w:t>
      </w:r>
      <w:r w:rsidRPr="00353E54">
        <w:rPr>
          <w:color w:val="000000"/>
          <w:szCs w:val="22"/>
          <w:lang w:eastAsia="zh-CN"/>
        </w:rPr>
        <w:t xml:space="preserve">: </w:t>
      </w:r>
      <w:hyperlink r:id="rId8" w:history="1">
        <w:r w:rsidRPr="00353E54">
          <w:rPr>
            <w:color w:val="000000"/>
            <w:szCs w:val="22"/>
            <w:u w:val="single"/>
            <w:lang w:eastAsia="zh-CN"/>
          </w:rPr>
          <w:t>www.zva.gov.lv</w:t>
        </w:r>
      </w:hyperlink>
    </w:p>
    <w:p w:rsidR="00436DFA" w:rsidRDefault="00436DF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4.9.</w:t>
      </w:r>
      <w:r w:rsidRPr="00353E54">
        <w:rPr>
          <w:b/>
          <w:szCs w:val="22"/>
        </w:rPr>
        <w:tab/>
        <w:t>Pārdozēšana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Nav ziņots par pārdozēšanas gadījumiem</w:t>
      </w:r>
      <w:r w:rsidR="00436DFA" w:rsidRPr="00436DFA">
        <w:rPr>
          <w:szCs w:val="22"/>
        </w:rPr>
        <w:t>.</w:t>
      </w:r>
      <w:r w:rsidRPr="00353E54">
        <w:rPr>
          <w:szCs w:val="22"/>
        </w:rPr>
        <w:t xml:space="preserve"> </w:t>
      </w:r>
    </w:p>
    <w:p w:rsidR="00353E54" w:rsidRDefault="00353E54" w:rsidP="0037790B">
      <w:pPr>
        <w:tabs>
          <w:tab w:val="clear" w:pos="567"/>
          <w:tab w:val="left" w:pos="2310"/>
        </w:tabs>
        <w:spacing w:line="240" w:lineRule="auto"/>
        <w:rPr>
          <w:szCs w:val="22"/>
        </w:rPr>
      </w:pPr>
    </w:p>
    <w:p w:rsidR="00436DFA" w:rsidRDefault="00436DFA" w:rsidP="0037790B">
      <w:pPr>
        <w:tabs>
          <w:tab w:val="clear" w:pos="567"/>
          <w:tab w:val="left" w:pos="2310"/>
        </w:tabs>
        <w:spacing w:line="240" w:lineRule="auto"/>
        <w:rPr>
          <w:szCs w:val="22"/>
        </w:rPr>
      </w:pPr>
    </w:p>
    <w:p w:rsidR="00436DFA" w:rsidRDefault="00436DFA" w:rsidP="0037790B">
      <w:pPr>
        <w:tabs>
          <w:tab w:val="clear" w:pos="567"/>
          <w:tab w:val="left" w:pos="2310"/>
        </w:tabs>
        <w:spacing w:line="240" w:lineRule="auto"/>
        <w:rPr>
          <w:szCs w:val="22"/>
        </w:rPr>
      </w:pPr>
    </w:p>
    <w:p w:rsidR="00436DFA" w:rsidRDefault="00436DFA" w:rsidP="0037790B">
      <w:pPr>
        <w:tabs>
          <w:tab w:val="clear" w:pos="567"/>
          <w:tab w:val="left" w:pos="2310"/>
        </w:tabs>
        <w:spacing w:line="240" w:lineRule="auto"/>
        <w:rPr>
          <w:szCs w:val="22"/>
        </w:rPr>
      </w:pPr>
    </w:p>
    <w:p w:rsidR="0037790B" w:rsidRPr="00353E54" w:rsidRDefault="0037790B" w:rsidP="0037790B">
      <w:pPr>
        <w:tabs>
          <w:tab w:val="clear" w:pos="567"/>
          <w:tab w:val="left" w:pos="2310"/>
        </w:tabs>
        <w:spacing w:line="240" w:lineRule="auto"/>
        <w:rPr>
          <w:szCs w:val="22"/>
        </w:rPr>
      </w:pPr>
      <w:r w:rsidRPr="00353E54">
        <w:rPr>
          <w:szCs w:val="22"/>
        </w:rPr>
        <w:tab/>
      </w: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5.</w:t>
      </w:r>
      <w:r w:rsidRPr="00353E54">
        <w:rPr>
          <w:b/>
          <w:szCs w:val="22"/>
        </w:rPr>
        <w:tab/>
        <w:t xml:space="preserve">FARMAKOLOĢISKĀS ĪPAŠĪBAS 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5.1.</w:t>
      </w:r>
      <w:r w:rsidRPr="00353E54">
        <w:rPr>
          <w:b/>
          <w:szCs w:val="22"/>
        </w:rPr>
        <w:tab/>
        <w:t>Farmakodinamiskās īpašības</w:t>
      </w:r>
    </w:p>
    <w:p w:rsidR="00F8393A" w:rsidRPr="00353E54" w:rsidRDefault="00F8393A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Farmakoterapeitiskā grupa: Homeopātiskas zāles.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ATĶ kods V03AX</w:t>
      </w: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Nav attiecināms uz homeopātiskiem līdzekļiem.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5.2.</w:t>
      </w:r>
      <w:r w:rsidRPr="00353E54">
        <w:rPr>
          <w:b/>
          <w:szCs w:val="22"/>
        </w:rPr>
        <w:tab/>
        <w:t>Farmakokinētiskās īpašības</w:t>
      </w:r>
    </w:p>
    <w:p w:rsidR="00F8393A" w:rsidRPr="00353E54" w:rsidRDefault="00F8393A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Nav attiecināms uz homeopātiskiem līdzekļiem.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rPr>
          <w:b/>
          <w:szCs w:val="22"/>
        </w:rPr>
      </w:pPr>
      <w:r w:rsidRPr="00353E54">
        <w:rPr>
          <w:b/>
          <w:szCs w:val="22"/>
        </w:rPr>
        <w:t>5.3.</w:t>
      </w:r>
      <w:r w:rsidRPr="00353E54">
        <w:rPr>
          <w:b/>
          <w:szCs w:val="22"/>
        </w:rPr>
        <w:tab/>
        <w:t>Preklīniskie dati par drošumu</w:t>
      </w:r>
    </w:p>
    <w:p w:rsidR="00F8393A" w:rsidRPr="00353E54" w:rsidRDefault="00F8393A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Nav attiecināms uz homeopātiskiem līdzekļiem.</w:t>
      </w:r>
    </w:p>
    <w:p w:rsidR="0037790B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53E54" w:rsidRPr="00353E54" w:rsidRDefault="00353E54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6.</w:t>
      </w:r>
      <w:r w:rsidRPr="00353E54">
        <w:rPr>
          <w:b/>
          <w:szCs w:val="22"/>
        </w:rPr>
        <w:tab/>
        <w:t>FARMACEITISKĀ INFORMĀCIJA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 xml:space="preserve">   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6.1.</w:t>
      </w:r>
      <w:r w:rsidRPr="00353E54">
        <w:rPr>
          <w:b/>
          <w:szCs w:val="22"/>
        </w:rPr>
        <w:tab/>
        <w:t>Palīgvielu saraksts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F8393A">
      <w:pPr>
        <w:pStyle w:val="BodyText"/>
        <w:tabs>
          <w:tab w:val="clear" w:pos="567"/>
        </w:tabs>
        <w:spacing w:after="0" w:line="240" w:lineRule="auto"/>
        <w:jc w:val="both"/>
        <w:rPr>
          <w:szCs w:val="22"/>
        </w:rPr>
      </w:pPr>
      <w:r w:rsidRPr="00353E54">
        <w:rPr>
          <w:szCs w:val="22"/>
        </w:rPr>
        <w:t>Laktozes monohidrāts, magnija stearāts.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6.2.</w:t>
      </w:r>
      <w:r w:rsidRPr="00353E54">
        <w:rPr>
          <w:b/>
          <w:szCs w:val="22"/>
        </w:rPr>
        <w:tab/>
        <w:t>Nesaderība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Nav piemērojama.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6.3.</w:t>
      </w:r>
      <w:r w:rsidRPr="00353E54">
        <w:rPr>
          <w:b/>
          <w:szCs w:val="22"/>
        </w:rPr>
        <w:tab/>
        <w:t>Uzglabāšanas laiks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5 gadi.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6.4.</w:t>
      </w:r>
      <w:r w:rsidRPr="00353E54">
        <w:rPr>
          <w:b/>
          <w:szCs w:val="22"/>
        </w:rPr>
        <w:tab/>
        <w:t>Īpaši uzglabāšanas nosacījumi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noProof/>
          <w:szCs w:val="22"/>
        </w:rPr>
      </w:pPr>
      <w:r w:rsidRPr="00353E54">
        <w:rPr>
          <w:szCs w:val="22"/>
        </w:rPr>
        <w:t>Uzglabāt bērniem neredzamā</w:t>
      </w:r>
      <w:r w:rsidR="00F8393A" w:rsidRPr="00353E54">
        <w:rPr>
          <w:szCs w:val="22"/>
        </w:rPr>
        <w:t xml:space="preserve"> un nepieejamā</w:t>
      </w:r>
      <w:r w:rsidRPr="00353E54">
        <w:rPr>
          <w:szCs w:val="22"/>
        </w:rPr>
        <w:t xml:space="preserve"> vietā. </w:t>
      </w:r>
      <w:r w:rsidRPr="00353E54">
        <w:rPr>
          <w:noProof/>
          <w:szCs w:val="22"/>
        </w:rPr>
        <w:t>Zālēm nav nepieciešami īpaši uzglabāšanas apstākļi.</w:t>
      </w:r>
    </w:p>
    <w:p w:rsidR="0037790B" w:rsidRPr="00353E54" w:rsidRDefault="0037790B" w:rsidP="0037790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6.5.</w:t>
      </w:r>
      <w:r w:rsidRPr="00353E54">
        <w:rPr>
          <w:b/>
          <w:szCs w:val="22"/>
        </w:rPr>
        <w:tab/>
        <w:t>Iepakojuma veids un saturs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noProof/>
          <w:szCs w:val="22"/>
          <w:lang w:val="sv-SE"/>
        </w:rPr>
      </w:pPr>
      <w:r w:rsidRPr="00353E54">
        <w:rPr>
          <w:noProof/>
          <w:szCs w:val="22"/>
          <w:lang w:val="sv-SE"/>
        </w:rPr>
        <w:t xml:space="preserve">Flakons /kartona kārba. </w:t>
      </w:r>
      <w:r w:rsidRPr="00353E54">
        <w:rPr>
          <w:szCs w:val="22"/>
        </w:rPr>
        <w:t>Iepakojumā</w:t>
      </w:r>
      <w:r w:rsidRPr="00353E54">
        <w:rPr>
          <w:noProof/>
          <w:szCs w:val="22"/>
          <w:lang w:val="sv-SE"/>
        </w:rPr>
        <w:t xml:space="preserve"> pa 50 tabletēm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  <w:lang w:val="sv-SE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color w:val="000000"/>
          <w:szCs w:val="22"/>
        </w:rPr>
      </w:pPr>
      <w:r w:rsidRPr="00353E54">
        <w:rPr>
          <w:b/>
          <w:szCs w:val="22"/>
        </w:rPr>
        <w:t>6.6.</w:t>
      </w:r>
      <w:r w:rsidRPr="00353E54">
        <w:rPr>
          <w:b/>
          <w:szCs w:val="22"/>
        </w:rPr>
        <w:tab/>
      </w:r>
      <w:r w:rsidRPr="00353E54">
        <w:rPr>
          <w:b/>
          <w:noProof/>
          <w:color w:val="000000"/>
          <w:szCs w:val="22"/>
        </w:rPr>
        <w:t>Īpaši norādījumi atkritumu likvidēšanai</w:t>
      </w:r>
      <w:r w:rsidRPr="00353E54">
        <w:rPr>
          <w:b/>
          <w:szCs w:val="22"/>
        </w:rPr>
        <w:t xml:space="preserve"> </w:t>
      </w:r>
      <w:r w:rsidRPr="00353E54">
        <w:rPr>
          <w:b/>
          <w:color w:val="000000"/>
          <w:szCs w:val="22"/>
        </w:rPr>
        <w:t xml:space="preserve">un </w:t>
      </w:r>
      <w:r w:rsidRPr="00353E54">
        <w:rPr>
          <w:b/>
          <w:noProof/>
          <w:color w:val="000000"/>
          <w:szCs w:val="22"/>
        </w:rPr>
        <w:t>citi</w:t>
      </w:r>
      <w:r w:rsidRPr="00353E54">
        <w:rPr>
          <w:b/>
          <w:color w:val="000000"/>
          <w:szCs w:val="22"/>
        </w:rPr>
        <w:t xml:space="preserve"> norādījumi par </w:t>
      </w:r>
      <w:r w:rsidRPr="00353E54">
        <w:rPr>
          <w:b/>
          <w:noProof/>
          <w:color w:val="000000"/>
          <w:szCs w:val="22"/>
        </w:rPr>
        <w:t>rīkošanos</w:t>
      </w:r>
    </w:p>
    <w:p w:rsidR="00F8393A" w:rsidRPr="00353E54" w:rsidRDefault="00F8393A" w:rsidP="00F839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spacing w:line="240" w:lineRule="auto"/>
        <w:ind w:left="567" w:hanging="567"/>
        <w:rPr>
          <w:noProof/>
          <w:szCs w:val="22"/>
        </w:rPr>
      </w:pPr>
      <w:r w:rsidRPr="00353E54">
        <w:rPr>
          <w:noProof/>
          <w:szCs w:val="22"/>
        </w:rPr>
        <w:t>Nav īpašu prasību.</w:t>
      </w:r>
    </w:p>
    <w:p w:rsidR="0037790B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53E54" w:rsidRPr="00353E54" w:rsidRDefault="00353E54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353E54">
        <w:rPr>
          <w:b/>
          <w:szCs w:val="22"/>
        </w:rPr>
        <w:t>7.</w:t>
      </w:r>
      <w:r w:rsidRPr="00353E54">
        <w:rPr>
          <w:b/>
          <w:szCs w:val="22"/>
        </w:rPr>
        <w:tab/>
        <w:t>REĢISTRĀCIJAS APLIECĪBAS ĪPAŠNIEKS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Biologische Heilmittel Heel GmbH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Dr.-Reckeweg-Str.2-4,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76532 Baden-Baden</w:t>
      </w:r>
    </w:p>
    <w:p w:rsidR="0037790B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lastRenderedPageBreak/>
        <w:t>Vācija</w:t>
      </w:r>
    </w:p>
    <w:p w:rsidR="00353E54" w:rsidRPr="00353E54" w:rsidRDefault="00353E54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36DFA" w:rsidRPr="00353E54" w:rsidRDefault="00436DFA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rPr>
          <w:b/>
          <w:szCs w:val="22"/>
        </w:rPr>
      </w:pPr>
      <w:r w:rsidRPr="00353E54">
        <w:rPr>
          <w:b/>
          <w:szCs w:val="22"/>
        </w:rPr>
        <w:t>8.</w:t>
      </w:r>
      <w:r w:rsidRPr="00353E54">
        <w:rPr>
          <w:b/>
          <w:szCs w:val="22"/>
        </w:rPr>
        <w:tab/>
        <w:t xml:space="preserve">REĢISTRĀCIJAS APLIECĪBAS NUMURS 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353E54">
        <w:rPr>
          <w:bCs/>
          <w:szCs w:val="22"/>
        </w:rPr>
        <w:t>00-0107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</w:p>
    <w:p w:rsidR="00353E54" w:rsidRDefault="00353E54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9.</w:t>
      </w:r>
      <w:r w:rsidRPr="00353E54">
        <w:rPr>
          <w:b/>
          <w:szCs w:val="22"/>
        </w:rPr>
        <w:tab/>
        <w:t>PIRMĀS REĢISTRĀCIJAS/PĀRREĢISTRĀCIJAS DATUMS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6B7C73" w:rsidRPr="00353E54" w:rsidRDefault="006B7C73" w:rsidP="006B7C7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Reģistrācijas datums: 2000. gada 16. februāris</w:t>
      </w:r>
    </w:p>
    <w:p w:rsidR="006B7C73" w:rsidRPr="00353E54" w:rsidRDefault="006B7C73" w:rsidP="006B7C7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Pēdējās pārreģistrācijas datums: 2010. gada 21. maijs</w:t>
      </w:r>
    </w:p>
    <w:p w:rsidR="0037790B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53E54" w:rsidRPr="00353E54" w:rsidRDefault="00353E54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F8393A" w:rsidRPr="00353E54" w:rsidRDefault="00F8393A" w:rsidP="00F8393A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353E54">
        <w:rPr>
          <w:b/>
          <w:szCs w:val="22"/>
        </w:rPr>
        <w:t>10.</w:t>
      </w:r>
      <w:r w:rsidRPr="00353E54">
        <w:rPr>
          <w:b/>
          <w:szCs w:val="22"/>
        </w:rPr>
        <w:tab/>
        <w:t>TEKSTA PĀRSKATĪŠANAS DATUMS</w:t>
      </w:r>
    </w:p>
    <w:p w:rsidR="0037790B" w:rsidRPr="00353E54" w:rsidRDefault="0037790B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7790B" w:rsidRPr="00353E54" w:rsidRDefault="006B7C73" w:rsidP="003779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53E54">
        <w:rPr>
          <w:szCs w:val="22"/>
        </w:rPr>
        <w:t>05/2015</w:t>
      </w:r>
    </w:p>
    <w:p w:rsidR="0037790B" w:rsidRPr="00353E54" w:rsidRDefault="0037790B" w:rsidP="004A66DB">
      <w:pPr>
        <w:tabs>
          <w:tab w:val="clear" w:pos="567"/>
        </w:tabs>
        <w:spacing w:after="200" w:line="276" w:lineRule="auto"/>
        <w:rPr>
          <w:szCs w:val="22"/>
        </w:rPr>
      </w:pPr>
    </w:p>
    <w:sectPr w:rsidR="0037790B" w:rsidRPr="00353E54" w:rsidSect="00353E54">
      <w:headerReference w:type="default" r:id="rId9"/>
      <w:pgSz w:w="11906" w:h="16838"/>
      <w:pgMar w:top="141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68" w:rsidRDefault="00691068" w:rsidP="00691068">
      <w:pPr>
        <w:spacing w:line="240" w:lineRule="auto"/>
      </w:pPr>
      <w:r>
        <w:separator/>
      </w:r>
    </w:p>
  </w:endnote>
  <w:endnote w:type="continuationSeparator" w:id="0">
    <w:p w:rsidR="00691068" w:rsidRDefault="00691068" w:rsidP="0069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68" w:rsidRDefault="00691068" w:rsidP="00691068">
      <w:pPr>
        <w:spacing w:line="240" w:lineRule="auto"/>
      </w:pPr>
      <w:r>
        <w:separator/>
      </w:r>
    </w:p>
  </w:footnote>
  <w:footnote w:type="continuationSeparator" w:id="0">
    <w:p w:rsidR="00691068" w:rsidRDefault="00691068" w:rsidP="006910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8" w:rsidRPr="00691068" w:rsidRDefault="00691068" w:rsidP="00691068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SASKAŅOTS ZVA 24-09-2015</w:t>
    </w:r>
  </w:p>
  <w:p w:rsidR="00691068" w:rsidRDefault="00691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7B3741"/>
    <w:multiLevelType w:val="hybridMultilevel"/>
    <w:tmpl w:val="926826C4"/>
    <w:lvl w:ilvl="0" w:tplc="CB76FBF6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114135"/>
    <w:multiLevelType w:val="hybridMultilevel"/>
    <w:tmpl w:val="62F23480"/>
    <w:lvl w:ilvl="0" w:tplc="6ED41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">
    <w15:presenceInfo w15:providerId="None" w15:userId="S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C34"/>
    <w:rsid w:val="000536F8"/>
    <w:rsid w:val="001663F8"/>
    <w:rsid w:val="00180C34"/>
    <w:rsid w:val="001A3E34"/>
    <w:rsid w:val="001D0F76"/>
    <w:rsid w:val="0021240B"/>
    <w:rsid w:val="00276036"/>
    <w:rsid w:val="00353E54"/>
    <w:rsid w:val="0037790B"/>
    <w:rsid w:val="00394037"/>
    <w:rsid w:val="003C47AA"/>
    <w:rsid w:val="003D4632"/>
    <w:rsid w:val="00436DFA"/>
    <w:rsid w:val="004A66DB"/>
    <w:rsid w:val="00520606"/>
    <w:rsid w:val="00582488"/>
    <w:rsid w:val="005A3E93"/>
    <w:rsid w:val="005F565C"/>
    <w:rsid w:val="00670075"/>
    <w:rsid w:val="00691068"/>
    <w:rsid w:val="006B7C73"/>
    <w:rsid w:val="00797665"/>
    <w:rsid w:val="007A2D3C"/>
    <w:rsid w:val="00806901"/>
    <w:rsid w:val="00884036"/>
    <w:rsid w:val="008843EC"/>
    <w:rsid w:val="00912B0B"/>
    <w:rsid w:val="00AE0F0E"/>
    <w:rsid w:val="00B150FC"/>
    <w:rsid w:val="00C67879"/>
    <w:rsid w:val="00C91C9A"/>
    <w:rsid w:val="00DD6796"/>
    <w:rsid w:val="00E0266F"/>
    <w:rsid w:val="00EC1EA6"/>
    <w:rsid w:val="00ED43F1"/>
    <w:rsid w:val="00F8393A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0B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0B"/>
    <w:rPr>
      <w:rFonts w:ascii="Tahoma" w:eastAsia="Times New Roman" w:hAnsi="Tahoma" w:cs="Tahoma"/>
      <w:sz w:val="16"/>
      <w:szCs w:val="16"/>
      <w:lang w:val="lv-LV" w:eastAsia="en-US"/>
    </w:rPr>
  </w:style>
  <w:style w:type="paragraph" w:styleId="BodyText">
    <w:name w:val="Body Text"/>
    <w:basedOn w:val="Normal"/>
    <w:link w:val="BodyTextChar"/>
    <w:unhideWhenUsed/>
    <w:rsid w:val="006B7C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7C73"/>
    <w:rPr>
      <w:rFonts w:ascii="Times New Roman" w:eastAsia="Times New Roman" w:hAnsi="Times New Roman" w:cs="Times New Roman"/>
      <w:szCs w:val="20"/>
      <w:lang w:val="lv-LV" w:eastAsia="en-US"/>
    </w:rPr>
  </w:style>
  <w:style w:type="paragraph" w:styleId="ListParagraph">
    <w:name w:val="List Paragraph"/>
    <w:basedOn w:val="Normal"/>
    <w:uiPriority w:val="34"/>
    <w:qFormat/>
    <w:rsid w:val="00520606"/>
    <w:pPr>
      <w:ind w:left="720"/>
      <w:contextualSpacing/>
    </w:pPr>
  </w:style>
  <w:style w:type="paragraph" w:styleId="Revision">
    <w:name w:val="Revision"/>
    <w:hidden/>
    <w:uiPriority w:val="99"/>
    <w:semiHidden/>
    <w:rsid w:val="00691068"/>
    <w:pPr>
      <w:spacing w:after="0" w:line="240" w:lineRule="auto"/>
    </w:pPr>
    <w:rPr>
      <w:rFonts w:ascii="Times New Roman" w:eastAsia="Times New Roman" w:hAnsi="Times New Roman" w:cs="Times New Roman"/>
      <w:szCs w:val="20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691068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68"/>
    <w:rPr>
      <w:rFonts w:ascii="Times New Roman" w:eastAsia="Times New Roman" w:hAnsi="Times New Roman" w:cs="Times New Roman"/>
      <w:szCs w:val="20"/>
      <w:lang w:val="lv-LV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91068"/>
    <w:pPr>
      <w:tabs>
        <w:tab w:val="clear" w:pos="567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068"/>
    <w:rPr>
      <w:rFonts w:ascii="Times New Roman" w:eastAsia="Times New Roman" w:hAnsi="Times New Roman" w:cs="Times New Roman"/>
      <w:szCs w:val="20"/>
      <w:lang w:val="lv-LV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0B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0B"/>
    <w:rPr>
      <w:rFonts w:ascii="Tahoma" w:eastAsia="Times New Roman" w:hAnsi="Tahoma" w:cs="Tahoma"/>
      <w:sz w:val="16"/>
      <w:szCs w:val="16"/>
      <w:lang w:val="lv-LV" w:eastAsia="en-US"/>
    </w:rPr>
  </w:style>
  <w:style w:type="paragraph" w:styleId="BodyText">
    <w:name w:val="Body Text"/>
    <w:basedOn w:val="Normal"/>
    <w:link w:val="BodyTextChar"/>
    <w:unhideWhenUsed/>
    <w:rsid w:val="006B7C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B7C73"/>
    <w:rPr>
      <w:rFonts w:ascii="Times New Roman" w:eastAsia="Times New Roman" w:hAnsi="Times New Roman" w:cs="Times New Roman"/>
      <w:szCs w:val="20"/>
      <w:lang w:val="lv-LV" w:eastAsia="en-US"/>
    </w:rPr>
  </w:style>
  <w:style w:type="paragraph" w:styleId="ListParagraph">
    <w:name w:val="List Paragraph"/>
    <w:basedOn w:val="Normal"/>
    <w:uiPriority w:val="34"/>
    <w:qFormat/>
    <w:rsid w:val="0052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2F22-A970-44DD-85F6-3D91DBC0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2980</Words>
  <Characters>1700</Characters>
  <Application>Microsoft Office Word</Application>
  <DocSecurity>0</DocSecurity>
  <Lines>14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Silarajs</dc:creator>
  <cp:lastModifiedBy>marita.multina</cp:lastModifiedBy>
  <cp:revision>5</cp:revision>
  <dcterms:created xsi:type="dcterms:W3CDTF">2015-09-18T08:07:00Z</dcterms:created>
  <dcterms:modified xsi:type="dcterms:W3CDTF">2015-09-22T08:59:00Z</dcterms:modified>
</cp:coreProperties>
</file>