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AC" w:rsidRDefault="001174AC" w:rsidP="001174AC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2"/>
      </w:tblGrid>
      <w:tr w:rsidR="001174AC">
        <w:tc>
          <w:tcPr>
            <w:tcW w:w="4998" w:type="pct"/>
          </w:tcPr>
          <w:p w:rsidR="001174AC" w:rsidRDefault="001174AC" w:rsidP="001174A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noProof/>
                <w:sz w:val="24"/>
                <w:szCs w:val="24"/>
                <w:lang w:val="lv-LV" w:eastAsia="lv-LV"/>
              </w:rPr>
              <w:drawing>
                <wp:inline distT="0" distB="0" distL="0" distR="0">
                  <wp:extent cx="5676900" cy="1028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ms Rmn" w:hAnsi="Tms Rmn"/>
                <w:sz w:val="24"/>
                <w:szCs w:val="24"/>
              </w:rPr>
              <w:t xml:space="preserve"> </w:t>
            </w:r>
          </w:p>
        </w:tc>
      </w:tr>
      <w:tr w:rsidR="001174AC">
        <w:tc>
          <w:tcPr>
            <w:tcW w:w="4998" w:type="pct"/>
          </w:tcPr>
          <w:p w:rsidR="001174AC" w:rsidRDefault="001174AC" w:rsidP="001174AC">
            <w:pPr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noProof/>
                <w:sz w:val="24"/>
                <w:szCs w:val="24"/>
                <w:lang w:val="lv-LV" w:eastAsia="lv-LV"/>
              </w:rPr>
              <w:drawing>
                <wp:inline distT="0" distB="0" distL="0" distR="0">
                  <wp:extent cx="4400550" cy="9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ms Rmn" w:hAnsi="Tms Rmn"/>
                <w:sz w:val="24"/>
                <w:szCs w:val="24"/>
              </w:rPr>
              <w:t xml:space="preserve"> </w:t>
            </w:r>
          </w:p>
        </w:tc>
      </w:tr>
      <w:tr w:rsidR="001174AC">
        <w:tc>
          <w:tcPr>
            <w:tcW w:w="4998" w:type="pct"/>
          </w:tcPr>
          <w:p w:rsidR="001174AC" w:rsidRDefault="001174AC" w:rsidP="001174AC">
            <w:pPr>
              <w:keepLines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color w:val="2121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12100"/>
                <w:sz w:val="20"/>
                <w:szCs w:val="20"/>
              </w:rPr>
              <w:t>Jersikas</w:t>
            </w:r>
            <w:proofErr w:type="spellEnd"/>
            <w:r>
              <w:rPr>
                <w:rFonts w:ascii="Times New Roman" w:hAnsi="Times New Roman" w:cs="Times New Roman"/>
                <w:color w:val="2121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00"/>
                <w:sz w:val="20"/>
                <w:szCs w:val="20"/>
              </w:rPr>
              <w:t>iela</w:t>
            </w:r>
            <w:proofErr w:type="spellEnd"/>
            <w:r>
              <w:rPr>
                <w:rFonts w:ascii="Times New Roman" w:hAnsi="Times New Roman" w:cs="Times New Roman"/>
                <w:color w:val="212100"/>
                <w:sz w:val="20"/>
                <w:szCs w:val="20"/>
              </w:rPr>
              <w:t xml:space="preserve"> 15, </w:t>
            </w:r>
            <w:proofErr w:type="spellStart"/>
            <w:r>
              <w:rPr>
                <w:rFonts w:ascii="Times New Roman" w:hAnsi="Times New Roman" w:cs="Times New Roman"/>
                <w:color w:val="212100"/>
                <w:sz w:val="20"/>
                <w:szCs w:val="20"/>
              </w:rPr>
              <w:t>Rīga</w:t>
            </w:r>
            <w:proofErr w:type="spellEnd"/>
            <w:r>
              <w:rPr>
                <w:rFonts w:ascii="Times New Roman" w:hAnsi="Times New Roman" w:cs="Times New Roman"/>
                <w:color w:val="212100"/>
                <w:sz w:val="20"/>
                <w:szCs w:val="20"/>
              </w:rPr>
              <w:t xml:space="preserve">, LV-1003, </w:t>
            </w:r>
            <w:proofErr w:type="spellStart"/>
            <w:r>
              <w:rPr>
                <w:rFonts w:ascii="Times New Roman" w:hAnsi="Times New Roman" w:cs="Times New Roman"/>
                <w:color w:val="212100"/>
                <w:sz w:val="20"/>
                <w:szCs w:val="20"/>
              </w:rPr>
              <w:t>tālr</w:t>
            </w:r>
            <w:proofErr w:type="spellEnd"/>
            <w:r>
              <w:rPr>
                <w:rFonts w:ascii="Times New Roman" w:hAnsi="Times New Roman" w:cs="Times New Roman"/>
                <w:color w:val="212100"/>
                <w:sz w:val="20"/>
                <w:szCs w:val="20"/>
              </w:rPr>
              <w:t xml:space="preserve">. 67078424, </w:t>
            </w:r>
            <w:proofErr w:type="spellStart"/>
            <w:r>
              <w:rPr>
                <w:rFonts w:ascii="Times New Roman" w:hAnsi="Times New Roman" w:cs="Times New Roman"/>
                <w:color w:val="212100"/>
                <w:sz w:val="20"/>
                <w:szCs w:val="20"/>
              </w:rPr>
              <w:t>fakss</w:t>
            </w:r>
            <w:proofErr w:type="spellEnd"/>
            <w:r>
              <w:rPr>
                <w:rFonts w:ascii="Times New Roman" w:hAnsi="Times New Roman" w:cs="Times New Roman"/>
                <w:color w:val="212100"/>
                <w:sz w:val="20"/>
                <w:szCs w:val="20"/>
              </w:rPr>
              <w:t xml:space="preserve"> 67078428, e-pasts info@zva.gov.lv, www.zva.gov.lv</w:t>
            </w:r>
          </w:p>
        </w:tc>
      </w:tr>
    </w:tbl>
    <w:p w:rsidR="001174AC" w:rsidRDefault="001174AC" w:rsidP="0011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2"/>
      </w:tblGrid>
      <w:tr w:rsidR="001174AC">
        <w:tc>
          <w:tcPr>
            <w:tcW w:w="4999" w:type="pct"/>
          </w:tcPr>
          <w:p w:rsidR="001174AC" w:rsidRDefault="001174AC" w:rsidP="001174A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Rīgā</w:t>
            </w:r>
            <w:proofErr w:type="spellEnd"/>
          </w:p>
        </w:tc>
      </w:tr>
    </w:tbl>
    <w:p w:rsidR="001174AC" w:rsidRDefault="001174AC" w:rsidP="0011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07"/>
        <w:gridCol w:w="4565"/>
      </w:tblGrid>
      <w:tr w:rsidR="001174AC">
        <w:tc>
          <w:tcPr>
            <w:tcW w:w="2484" w:type="pct"/>
          </w:tcPr>
          <w:p w:rsidR="001174AC" w:rsidRDefault="001174AC" w:rsidP="001174A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25.07.2019.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1-3.12/1243</w:t>
            </w:r>
          </w:p>
        </w:tc>
        <w:tc>
          <w:tcPr>
            <w:tcW w:w="2515" w:type="pct"/>
          </w:tcPr>
          <w:p w:rsidR="001174AC" w:rsidRDefault="001174AC" w:rsidP="001174AC">
            <w:pPr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174AC" w:rsidRDefault="001174AC" w:rsidP="0011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5"/>
      </w:tblGrid>
      <w:tr w:rsidR="001174AC">
        <w:tc>
          <w:tcPr>
            <w:tcW w:w="4535" w:type="dxa"/>
          </w:tcPr>
          <w:p w:rsidR="001174AC" w:rsidRDefault="001174AC" w:rsidP="001174A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aptieku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licenču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elektronisko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formu</w:t>
            </w:r>
            <w:proofErr w:type="spellEnd"/>
          </w:p>
        </w:tc>
      </w:tr>
    </w:tbl>
    <w:p w:rsidR="001174AC" w:rsidRDefault="001174AC" w:rsidP="00117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2"/>
      </w:tblGrid>
      <w:tr w:rsidR="001174AC">
        <w:tc>
          <w:tcPr>
            <w:tcW w:w="5000" w:type="pct"/>
          </w:tcPr>
          <w:p w:rsidR="001174AC" w:rsidRDefault="001174AC" w:rsidP="001174AC">
            <w:pPr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nodrošinātu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speciālo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atļauju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licenču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vispārēja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tipa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aptiekas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atvēršanai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darbībai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turpmāk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Licences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ātrāku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izsniegšanu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vispārēja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tipa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aptieku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licenču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turētājiem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turpmāk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Komersanti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varētu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tās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nosūtīt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vienlaicīgi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elektroniski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parakstīto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lēmumu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Licences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pārreģistrēšanu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sākot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2019.gada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1.augustu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Zāļu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aģentūra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turpmāk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Aģentūra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Licences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sagatavos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izsniegs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elektroniskā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formātā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parakstītas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drošu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elektronisko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parakstu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174AC" w:rsidRDefault="001174AC" w:rsidP="001174AC">
            <w:pPr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Šobrīd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Aģentūra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Licences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sagatavo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papīra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formātā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izsniedz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piecu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darbdienu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laikā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pēc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lēmuma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licences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pārreģistrēšanu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pieņemšanas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nosūtot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tās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ierakstītā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vēstulē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attiecīgā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Komersanta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juridisko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īpaši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norādīto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174AC" w:rsidRDefault="001174AC" w:rsidP="001174AC">
            <w:pPr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kabineta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2011.gada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19.oktobra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noteikumu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Nr.800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Farmaceitiskās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darbības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licencēšanas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kārtība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 5.pielikumā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paredzēts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Licences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izsniegt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arī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elektroniski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parakstītas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drošu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elektronisko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parakstu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174AC" w:rsidRDefault="001174AC" w:rsidP="001174AC">
            <w:pPr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Lūdzam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Komersantiem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līdz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2019.gada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7.augustam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sniegt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viedokli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piekrišanu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Licenču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saņemšanai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elektroniskā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formātā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174AC" w:rsidRDefault="001174AC" w:rsidP="001174AC">
            <w:pPr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Komersanti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varētu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iepazīties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Licenču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elektronisko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šīs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vēstules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pielikumā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Aģentūra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pievieno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elektroniski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parakstītas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Licences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versiju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174AC" w:rsidRDefault="001174AC" w:rsidP="001174AC">
            <w:pPr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74AC" w:rsidRDefault="001174AC" w:rsidP="001174AC">
            <w:pPr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Aģentūra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informē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elektroniski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parakstītu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Licenci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iespējams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izdrukāt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Licences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izdruku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izmantot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papīra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formātā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tāpat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iepriekš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174AC" w:rsidRDefault="001174AC" w:rsidP="001174AC">
            <w:pPr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74AC" w:rsidRDefault="001174AC" w:rsidP="001174AC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74AC" w:rsidRDefault="001174AC" w:rsidP="001174AC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174AC" w:rsidRDefault="001174AC" w:rsidP="0011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41"/>
        <w:gridCol w:w="7131"/>
      </w:tblGrid>
      <w:tr w:rsidR="001174AC">
        <w:tc>
          <w:tcPr>
            <w:tcW w:w="1070" w:type="pct"/>
          </w:tcPr>
          <w:p w:rsidR="001174AC" w:rsidRDefault="001174AC" w:rsidP="001174AC">
            <w:pPr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29" w:type="pct"/>
          </w:tcPr>
          <w:p w:rsidR="001174AC" w:rsidRDefault="001174AC" w:rsidP="001174A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174AC" w:rsidRDefault="001174AC" w:rsidP="0011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74AC" w:rsidRDefault="001174AC" w:rsidP="0011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63"/>
        <w:gridCol w:w="276"/>
        <w:gridCol w:w="4133"/>
      </w:tblGrid>
      <w:tr w:rsidR="001174AC">
        <w:tc>
          <w:tcPr>
            <w:tcW w:w="2569" w:type="pct"/>
          </w:tcPr>
          <w:p w:rsidR="001174AC" w:rsidRDefault="001174AC" w:rsidP="001174AC">
            <w:pPr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Direktora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direktora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vietnieks</w:t>
            </w:r>
            <w:proofErr w:type="spellEnd"/>
          </w:p>
        </w:tc>
        <w:tc>
          <w:tcPr>
            <w:tcW w:w="152" w:type="pct"/>
          </w:tcPr>
          <w:p w:rsidR="001174AC" w:rsidRDefault="001174AC" w:rsidP="001174A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pct"/>
          </w:tcPr>
          <w:p w:rsidR="001174AC" w:rsidRDefault="001174AC" w:rsidP="001174AC">
            <w:pPr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Jānis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Zvejnieks</w:t>
            </w:r>
            <w:proofErr w:type="spellEnd"/>
          </w:p>
        </w:tc>
      </w:tr>
    </w:tbl>
    <w:p w:rsidR="001174AC" w:rsidRDefault="001174AC" w:rsidP="001174AC">
      <w:pPr>
        <w:tabs>
          <w:tab w:val="left" w:pos="20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2"/>
      </w:tblGrid>
      <w:tr w:rsidR="001174AC">
        <w:tc>
          <w:tcPr>
            <w:tcW w:w="5000" w:type="pct"/>
          </w:tcPr>
          <w:p w:rsidR="001174AC" w:rsidRDefault="001174AC" w:rsidP="001174A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174AC" w:rsidRDefault="001174AC" w:rsidP="001174AC">
      <w:pPr>
        <w:tabs>
          <w:tab w:val="left" w:pos="-8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74AC" w:rsidRDefault="001174AC" w:rsidP="001174AC">
      <w:pPr>
        <w:tabs>
          <w:tab w:val="left" w:pos="-8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74AC" w:rsidRDefault="001174AC" w:rsidP="001174AC"/>
    <w:sectPr w:rsidR="001174AC" w:rsidSect="001174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1134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59A" w:rsidRDefault="0003259A" w:rsidP="001174AC">
      <w:pPr>
        <w:spacing w:after="0" w:line="240" w:lineRule="auto"/>
      </w:pPr>
      <w:r>
        <w:separator/>
      </w:r>
    </w:p>
  </w:endnote>
  <w:endnote w:type="continuationSeparator" w:id="0">
    <w:p w:rsidR="0003259A" w:rsidRDefault="0003259A" w:rsidP="0011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AC" w:rsidRDefault="001174AC" w:rsidP="00B225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1174AC" w:rsidRDefault="00117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AC" w:rsidRDefault="001174AC" w:rsidP="00B225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060D">
      <w:rPr>
        <w:rStyle w:val="PageNumber"/>
        <w:noProof/>
      </w:rPr>
      <w:t>2</w:t>
    </w:r>
    <w:r>
      <w:rPr>
        <w:rStyle w:val="PageNumber"/>
      </w:rPr>
      <w:fldChar w:fldCharType="end"/>
    </w:r>
  </w:p>
  <w:p w:rsidR="001174AC" w:rsidRDefault="001174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AC" w:rsidRDefault="00117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59A" w:rsidRDefault="0003259A" w:rsidP="001174AC">
      <w:pPr>
        <w:spacing w:after="0" w:line="240" w:lineRule="auto"/>
      </w:pPr>
      <w:r>
        <w:separator/>
      </w:r>
    </w:p>
  </w:footnote>
  <w:footnote w:type="continuationSeparator" w:id="0">
    <w:p w:rsidR="0003259A" w:rsidRDefault="0003259A" w:rsidP="00117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AC" w:rsidRDefault="001174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AC" w:rsidRDefault="001174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AC" w:rsidRDefault="00117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AC"/>
    <w:rsid w:val="0003259A"/>
    <w:rsid w:val="000A060D"/>
    <w:rsid w:val="001174AC"/>
    <w:rsid w:val="00345D9B"/>
    <w:rsid w:val="00F8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CEDC6-00F4-4C9E-8364-9B499772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4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4AC"/>
  </w:style>
  <w:style w:type="paragraph" w:styleId="Footer">
    <w:name w:val="footer"/>
    <w:basedOn w:val="Normal"/>
    <w:link w:val="FooterChar"/>
    <w:uiPriority w:val="99"/>
    <w:unhideWhenUsed/>
    <w:rsid w:val="001174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4AC"/>
  </w:style>
  <w:style w:type="character" w:styleId="PageNumber">
    <w:name w:val="page number"/>
    <w:basedOn w:val="DefaultParagraphFont"/>
    <w:uiPriority w:val="99"/>
    <w:semiHidden/>
    <w:unhideWhenUsed/>
    <w:rsid w:val="00117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Zvejnieks</dc:creator>
  <cp:keywords/>
  <dc:description/>
  <cp:lastModifiedBy>Evija Rimsane</cp:lastModifiedBy>
  <cp:revision>3</cp:revision>
  <dcterms:created xsi:type="dcterms:W3CDTF">2019-07-26T09:33:00Z</dcterms:created>
  <dcterms:modified xsi:type="dcterms:W3CDTF">2019-07-26T09:40:00Z</dcterms:modified>
</cp:coreProperties>
</file>