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5B8D" w14:textId="258E2C73" w:rsidR="006E26E1" w:rsidRPr="006E68AD" w:rsidRDefault="006E26E1" w:rsidP="003015F1">
      <w:pPr>
        <w:jc w:val="both"/>
        <w:rPr>
          <w:rFonts w:asciiTheme="majorBidi" w:hAnsiTheme="majorBidi" w:cstheme="majorBidi"/>
          <w:lang w:val="lv-LV"/>
        </w:rPr>
      </w:pPr>
      <w:r w:rsidRPr="006E68AD">
        <w:rPr>
          <w:rFonts w:asciiTheme="majorBidi" w:hAnsiTheme="majorBidi" w:cstheme="majorBidi"/>
          <w:lang w:val="lv-LV"/>
        </w:rPr>
        <w:t xml:space="preserve">2021. gada </w:t>
      </w:r>
      <w:r w:rsidR="00853A7C">
        <w:rPr>
          <w:rFonts w:asciiTheme="majorBidi" w:hAnsiTheme="majorBidi" w:cstheme="majorBidi"/>
          <w:lang w:val="lv-LV"/>
        </w:rPr>
        <w:t>11. novembris</w:t>
      </w:r>
    </w:p>
    <w:p w14:paraId="6AD4F59B" w14:textId="77777777" w:rsidR="006E26E1" w:rsidRPr="006E68AD" w:rsidRDefault="006E26E1" w:rsidP="003015F1">
      <w:pPr>
        <w:jc w:val="both"/>
        <w:rPr>
          <w:rFonts w:asciiTheme="majorBidi" w:hAnsiTheme="majorBidi" w:cstheme="majorBidi"/>
          <w:lang w:val="lv-LV"/>
        </w:rPr>
      </w:pPr>
    </w:p>
    <w:p w14:paraId="06DF1CCB" w14:textId="111D8972" w:rsidR="006E26E1" w:rsidRPr="006E68AD" w:rsidRDefault="006E26E1" w:rsidP="003015F1">
      <w:pPr>
        <w:jc w:val="center"/>
        <w:rPr>
          <w:rFonts w:asciiTheme="majorBidi" w:hAnsiTheme="majorBidi" w:cstheme="majorBidi"/>
          <w:b/>
          <w:lang w:val="lv-LV"/>
        </w:rPr>
      </w:pPr>
      <w:r w:rsidRPr="006E68AD">
        <w:rPr>
          <w:rFonts w:asciiTheme="majorBidi" w:hAnsiTheme="majorBidi" w:cstheme="majorBidi"/>
          <w:b/>
          <w:lang w:val="lv-LV"/>
        </w:rPr>
        <w:t>Jaunākā drošuma informācija par Covid-19 vakcīnu</w:t>
      </w:r>
      <w:r w:rsidR="008E3888" w:rsidRPr="006E68AD">
        <w:rPr>
          <w:rFonts w:asciiTheme="majorBidi" w:hAnsiTheme="majorBidi" w:cstheme="majorBidi"/>
          <w:b/>
          <w:lang w:val="lv-LV"/>
        </w:rPr>
        <w:t xml:space="preserve"> “</w:t>
      </w:r>
      <w:proofErr w:type="spellStart"/>
      <w:r w:rsidR="008E3888" w:rsidRPr="006E68AD">
        <w:rPr>
          <w:rFonts w:asciiTheme="majorBidi" w:hAnsiTheme="majorBidi" w:cstheme="majorBidi"/>
          <w:b/>
          <w:lang w:val="lv-LV"/>
        </w:rPr>
        <w:t>Spikevax</w:t>
      </w:r>
      <w:proofErr w:type="spellEnd"/>
      <w:r w:rsidR="008E3888" w:rsidRPr="006E68AD">
        <w:rPr>
          <w:rFonts w:asciiTheme="majorBidi" w:hAnsiTheme="majorBidi" w:cstheme="majorBidi"/>
          <w:b/>
          <w:lang w:val="lv-LV"/>
        </w:rPr>
        <w:t>”</w:t>
      </w:r>
    </w:p>
    <w:p w14:paraId="3F99A063" w14:textId="3860575C" w:rsidR="00F6101C" w:rsidRPr="006E68AD" w:rsidRDefault="00AF2124" w:rsidP="003015F1">
      <w:pPr>
        <w:jc w:val="both"/>
        <w:rPr>
          <w:rFonts w:asciiTheme="majorBidi" w:hAnsiTheme="majorBidi" w:cstheme="majorBidi"/>
        </w:rPr>
      </w:pPr>
    </w:p>
    <w:p w14:paraId="519A561F" w14:textId="70C23F04" w:rsidR="006E26E1" w:rsidRPr="002009FB" w:rsidRDefault="00A563CC" w:rsidP="003015F1">
      <w:pPr>
        <w:jc w:val="both"/>
        <w:rPr>
          <w:rFonts w:asciiTheme="majorBidi" w:hAnsiTheme="majorBidi" w:cstheme="majorBidi"/>
          <w:i/>
          <w:iCs/>
        </w:rPr>
      </w:pPr>
      <w:proofErr w:type="spellStart"/>
      <w:r w:rsidRPr="006E68AD">
        <w:rPr>
          <w:rFonts w:asciiTheme="majorBidi" w:hAnsiTheme="majorBidi" w:cstheme="majorBidi"/>
        </w:rPr>
        <w:t>Ražotājs</w:t>
      </w:r>
      <w:proofErr w:type="spellEnd"/>
      <w:r w:rsidRPr="006E68AD">
        <w:rPr>
          <w:rFonts w:asciiTheme="majorBidi" w:hAnsiTheme="majorBidi" w:cstheme="majorBidi"/>
        </w:rPr>
        <w:t xml:space="preserve">: </w:t>
      </w:r>
      <w:r w:rsidR="006E26E1" w:rsidRPr="002009FB">
        <w:rPr>
          <w:rFonts w:asciiTheme="majorBidi" w:hAnsiTheme="majorBidi" w:cstheme="majorBidi"/>
          <w:i/>
          <w:iCs/>
        </w:rPr>
        <w:t>Moderna Biotech Spain, S.L.</w:t>
      </w:r>
    </w:p>
    <w:p w14:paraId="16779B31" w14:textId="05895D47" w:rsidR="006E26E1" w:rsidRPr="006E68AD" w:rsidRDefault="006E26E1" w:rsidP="003015F1">
      <w:pPr>
        <w:jc w:val="both"/>
        <w:rPr>
          <w:rFonts w:asciiTheme="majorBidi" w:hAnsiTheme="majorBidi" w:cstheme="majorBidi"/>
        </w:rPr>
      </w:pPr>
    </w:p>
    <w:p w14:paraId="0F4C6540" w14:textId="2136A038" w:rsidR="006E26E1" w:rsidRPr="006E68AD" w:rsidRDefault="006E26E1" w:rsidP="003015F1">
      <w:pPr>
        <w:jc w:val="both"/>
        <w:rPr>
          <w:rFonts w:asciiTheme="majorBidi" w:hAnsiTheme="majorBidi" w:cstheme="majorBidi"/>
          <w:lang w:val="lv-LV"/>
        </w:rPr>
      </w:pPr>
      <w:proofErr w:type="spellStart"/>
      <w:r w:rsidRPr="007C28D6">
        <w:rPr>
          <w:rFonts w:asciiTheme="majorBidi" w:hAnsiTheme="majorBidi" w:cstheme="majorBidi"/>
          <w:i/>
          <w:lang w:val="lv-LV"/>
        </w:rPr>
        <w:t>Spikevax</w:t>
      </w:r>
      <w:proofErr w:type="spellEnd"/>
      <w:r w:rsidRPr="007C28D6">
        <w:rPr>
          <w:rFonts w:asciiTheme="majorBidi" w:hAnsiTheme="majorBidi" w:cstheme="majorBidi"/>
          <w:lang w:val="lv-LV"/>
        </w:rPr>
        <w:t xml:space="preserve"> drošums tiek pastāvīgi uzraudzīts, un sabiedrībai regulāri</w:t>
      </w:r>
      <w:r w:rsidR="007B12CD">
        <w:rPr>
          <w:rFonts w:asciiTheme="majorBidi" w:hAnsiTheme="majorBidi" w:cstheme="majorBidi"/>
          <w:lang w:val="lv-LV"/>
        </w:rPr>
        <w:t xml:space="preserve"> </w:t>
      </w:r>
      <w:r w:rsidR="007B12CD" w:rsidRPr="007C28D6">
        <w:rPr>
          <w:rFonts w:asciiTheme="majorBidi" w:hAnsiTheme="majorBidi" w:cstheme="majorBidi"/>
          <w:lang w:val="lv-LV"/>
        </w:rPr>
        <w:t>tiek</w:t>
      </w:r>
      <w:r w:rsidRPr="007C28D6">
        <w:rPr>
          <w:rFonts w:asciiTheme="majorBidi" w:hAnsiTheme="majorBidi" w:cstheme="majorBidi"/>
          <w:lang w:val="lv-LV"/>
        </w:rPr>
        <w:t xml:space="preserve"> sniegta jaunākā informācija</w:t>
      </w:r>
      <w:r w:rsidR="007B12CD">
        <w:rPr>
          <w:rFonts w:asciiTheme="majorBidi" w:hAnsiTheme="majorBidi" w:cstheme="majorBidi"/>
          <w:lang w:val="lv-LV"/>
        </w:rPr>
        <w:t xml:space="preserve"> par vakcīnas drošumu</w:t>
      </w:r>
      <w:r w:rsidRPr="007C28D6">
        <w:rPr>
          <w:rFonts w:asciiTheme="majorBidi" w:hAnsiTheme="majorBidi" w:cstheme="majorBidi"/>
          <w:lang w:val="lv-LV"/>
        </w:rPr>
        <w:t xml:space="preserve">. Šajā dokumentā izklāstīti </w:t>
      </w:r>
      <w:r w:rsidR="00A255AE" w:rsidRPr="007C28D6">
        <w:rPr>
          <w:rFonts w:asciiTheme="majorBidi" w:hAnsiTheme="majorBidi" w:cstheme="majorBidi"/>
          <w:lang w:val="lv-LV"/>
        </w:rPr>
        <w:t>Eiropas Zāļu aģentūras (</w:t>
      </w:r>
      <w:r w:rsidRPr="007C28D6">
        <w:rPr>
          <w:rFonts w:asciiTheme="majorBidi" w:hAnsiTheme="majorBidi" w:cstheme="majorBidi"/>
          <w:lang w:val="lv-LV"/>
        </w:rPr>
        <w:t>EZA</w:t>
      </w:r>
      <w:r w:rsidR="00A255AE" w:rsidRPr="007C28D6">
        <w:rPr>
          <w:rFonts w:asciiTheme="majorBidi" w:hAnsiTheme="majorBidi" w:cstheme="majorBidi"/>
          <w:lang w:val="lv-LV"/>
        </w:rPr>
        <w:t>)</w:t>
      </w:r>
      <w:r w:rsidRPr="007C28D6">
        <w:rPr>
          <w:rFonts w:asciiTheme="majorBidi" w:hAnsiTheme="majorBidi" w:cstheme="majorBidi"/>
          <w:lang w:val="lv-LV"/>
        </w:rPr>
        <w:t xml:space="preserve"> Farmakovigilances riska vērtēšanas komitejas (</w:t>
      </w:r>
      <w:r w:rsidRPr="007B12CD">
        <w:rPr>
          <w:rFonts w:asciiTheme="majorBidi" w:hAnsiTheme="majorBidi" w:cstheme="majorBidi"/>
          <w:i/>
          <w:iCs/>
          <w:lang w:val="lv-LV"/>
        </w:rPr>
        <w:t>PRAC</w:t>
      </w:r>
      <w:r w:rsidRPr="007C28D6">
        <w:rPr>
          <w:rFonts w:asciiTheme="majorBidi" w:hAnsiTheme="majorBidi" w:cstheme="majorBidi"/>
          <w:lang w:val="lv-LV"/>
        </w:rPr>
        <w:t xml:space="preserve">) veiktās jaunāko globālo drošuma datu vērtēšanas </w:t>
      </w:r>
      <w:r w:rsidR="001241F2">
        <w:rPr>
          <w:rFonts w:asciiTheme="majorBidi" w:hAnsiTheme="majorBidi" w:cstheme="majorBidi"/>
          <w:lang w:val="lv-LV"/>
        </w:rPr>
        <w:t xml:space="preserve">rezultāti </w:t>
      </w:r>
      <w:r w:rsidRPr="007C28D6">
        <w:rPr>
          <w:rFonts w:asciiTheme="majorBidi" w:hAnsiTheme="majorBidi" w:cstheme="majorBidi"/>
          <w:lang w:val="lv-LV"/>
        </w:rPr>
        <w:t xml:space="preserve">(skatīt 1. sadaļu). Dokumentā ietverta arī augsta līmeņa informācija no ziņojumiem par iespējamām blakusparādībām, kuru </w:t>
      </w:r>
      <w:r w:rsidRPr="007B12CD">
        <w:rPr>
          <w:rFonts w:asciiTheme="majorBidi" w:hAnsiTheme="majorBidi" w:cstheme="majorBidi"/>
          <w:i/>
          <w:iCs/>
          <w:lang w:val="lv-LV"/>
        </w:rPr>
        <w:t>PRAC</w:t>
      </w:r>
      <w:r w:rsidRPr="007C28D6">
        <w:rPr>
          <w:rFonts w:asciiTheme="majorBidi" w:hAnsiTheme="majorBidi" w:cstheme="majorBidi"/>
          <w:lang w:val="lv-LV"/>
        </w:rPr>
        <w:t xml:space="preserve"> ņem vērā, veicot vērtēšanu (skatīt 2. sadaļu).</w:t>
      </w:r>
    </w:p>
    <w:p w14:paraId="00D4FF1B" w14:textId="7217D0BF" w:rsidR="006E26E1" w:rsidRPr="006E68AD" w:rsidRDefault="006E26E1" w:rsidP="003015F1">
      <w:pPr>
        <w:jc w:val="both"/>
        <w:rPr>
          <w:rFonts w:asciiTheme="majorBidi" w:hAnsiTheme="majorBidi" w:cstheme="majorBidi"/>
          <w:lang w:val="lv-LV"/>
        </w:rPr>
      </w:pPr>
    </w:p>
    <w:p w14:paraId="6EC7AAA7" w14:textId="6837AD8C" w:rsidR="00DA06A5" w:rsidRPr="00DA06A5" w:rsidRDefault="007B7F4D" w:rsidP="00DA06A5">
      <w:pPr>
        <w:pStyle w:val="BodyText"/>
        <w:shd w:val="clear" w:color="auto" w:fill="auto"/>
        <w:spacing w:line="240" w:lineRule="auto"/>
        <w:jc w:val="both"/>
        <w:rPr>
          <w:rFonts w:ascii="Times New Roman" w:hAnsi="Times New Roman" w:cs="Times New Roman"/>
          <w:color w:val="auto"/>
          <w:sz w:val="24"/>
          <w:szCs w:val="24"/>
          <w:lang w:val="lv-LV" w:bidi="lv-LV"/>
        </w:rPr>
      </w:pPr>
      <w:r w:rsidRPr="007B7F4D">
        <w:rPr>
          <w:rFonts w:ascii="Times New Roman" w:hAnsi="Times New Roman" w:cs="Times New Roman"/>
          <w:sz w:val="24"/>
          <w:szCs w:val="24"/>
          <w:lang w:val="lv-LV"/>
        </w:rPr>
        <w:t xml:space="preserve">Kopš </w:t>
      </w:r>
      <w:proofErr w:type="spellStart"/>
      <w:r w:rsidRPr="007B7F4D">
        <w:rPr>
          <w:rFonts w:ascii="Times New Roman" w:hAnsi="Times New Roman" w:cs="Times New Roman"/>
          <w:i/>
          <w:iCs/>
          <w:sz w:val="24"/>
          <w:szCs w:val="24"/>
          <w:lang w:val="lv-LV"/>
        </w:rPr>
        <w:t>Spikevax</w:t>
      </w:r>
      <w:proofErr w:type="spellEnd"/>
      <w:r w:rsidRPr="007B7F4D">
        <w:rPr>
          <w:rFonts w:ascii="Times New Roman" w:hAnsi="Times New Roman" w:cs="Times New Roman"/>
          <w:sz w:val="24"/>
          <w:szCs w:val="24"/>
          <w:lang w:val="lv-LV"/>
        </w:rPr>
        <w:t xml:space="preserve"> reģistrācijas Eiropas Savienībā (ES) 2021. gada 6. janvārī līdz 2021. gada 29. oktobrim ES/EEZ ir ievadīti vairāk nekā 61,6 miljoni </w:t>
      </w:r>
      <w:proofErr w:type="spellStart"/>
      <w:r w:rsidRPr="007B7F4D">
        <w:rPr>
          <w:rFonts w:ascii="Times New Roman" w:hAnsi="Times New Roman" w:cs="Times New Roman"/>
          <w:i/>
          <w:iCs/>
          <w:sz w:val="24"/>
          <w:szCs w:val="24"/>
          <w:lang w:val="lv-LV"/>
        </w:rPr>
        <w:t>Spikevax</w:t>
      </w:r>
      <w:proofErr w:type="spellEnd"/>
      <w:r w:rsidRPr="007B7F4D">
        <w:rPr>
          <w:rFonts w:ascii="Times New Roman" w:hAnsi="Times New Roman" w:cs="Times New Roman"/>
          <w:sz w:val="24"/>
          <w:szCs w:val="24"/>
          <w:lang w:val="lv-LV"/>
        </w:rPr>
        <w:t xml:space="preserve"> devu</w:t>
      </w:r>
      <w:r w:rsidR="00DA06A5" w:rsidRPr="00DA06A5">
        <w:rPr>
          <w:rFonts w:ascii="Times New Roman" w:hAnsi="Times New Roman" w:cs="Times New Roman"/>
          <w:color w:val="auto"/>
          <w:sz w:val="24"/>
          <w:szCs w:val="24"/>
          <w:vertAlign w:val="superscript"/>
          <w:lang w:val="lv-LV" w:bidi="lv-LV"/>
        </w:rPr>
        <w:footnoteReference w:id="1"/>
      </w:r>
      <w:r w:rsidR="00DA06A5" w:rsidRPr="00DA06A5">
        <w:rPr>
          <w:rFonts w:ascii="Times New Roman" w:hAnsi="Times New Roman" w:cs="Times New Roman"/>
          <w:color w:val="auto"/>
          <w:sz w:val="24"/>
          <w:szCs w:val="24"/>
          <w:lang w:val="lv-LV" w:bidi="lv-LV"/>
        </w:rPr>
        <w:t>.</w:t>
      </w:r>
    </w:p>
    <w:p w14:paraId="6EDD3DB3" w14:textId="77777777" w:rsidR="00A563CC" w:rsidRPr="00DA06A5" w:rsidRDefault="00A563CC" w:rsidP="003015F1">
      <w:pPr>
        <w:jc w:val="both"/>
        <w:rPr>
          <w:rFonts w:asciiTheme="majorBidi" w:hAnsiTheme="majorBidi" w:cstheme="majorBidi"/>
          <w:lang w:val="lv-LV"/>
        </w:rPr>
      </w:pPr>
    </w:p>
    <w:p w14:paraId="127F994B" w14:textId="28F580B1" w:rsidR="006E26E1" w:rsidRPr="00DA06A5" w:rsidRDefault="00DA06A5" w:rsidP="00DA06A5">
      <w:pPr>
        <w:pStyle w:val="BodyText"/>
        <w:shd w:val="clear" w:color="auto" w:fill="auto"/>
        <w:spacing w:after="440" w:line="240" w:lineRule="auto"/>
        <w:jc w:val="both"/>
        <w:rPr>
          <w:rFonts w:ascii="Times New Roman" w:hAnsi="Times New Roman" w:cs="Times New Roman"/>
          <w:color w:val="auto"/>
          <w:sz w:val="24"/>
          <w:szCs w:val="24"/>
          <w:lang w:val="lv-LV"/>
        </w:rPr>
      </w:pPr>
      <w:r w:rsidRPr="00DA06A5">
        <w:rPr>
          <w:rFonts w:ascii="Times New Roman" w:hAnsi="Times New Roman" w:cs="Times New Roman"/>
          <w:color w:val="auto"/>
          <w:sz w:val="24"/>
          <w:szCs w:val="24"/>
          <w:lang w:val="lv-LV" w:bidi="lv-LV"/>
        </w:rPr>
        <w:t xml:space="preserve">Šī ir jaunākā drošuma informācija kopš 2021. gada </w:t>
      </w:r>
      <w:r w:rsidR="00853A7C">
        <w:rPr>
          <w:rFonts w:ascii="Times New Roman" w:hAnsi="Times New Roman" w:cs="Times New Roman"/>
          <w:color w:val="auto"/>
          <w:sz w:val="24"/>
          <w:szCs w:val="24"/>
          <w:lang w:val="lv-LV" w:bidi="lv-LV"/>
        </w:rPr>
        <w:t>6. oktobrī</w:t>
      </w:r>
      <w:r w:rsidRPr="00DA06A5">
        <w:rPr>
          <w:rFonts w:ascii="Times New Roman" w:hAnsi="Times New Roman" w:cs="Times New Roman"/>
          <w:color w:val="auto"/>
          <w:sz w:val="24"/>
          <w:szCs w:val="24"/>
          <w:lang w:val="lv-LV" w:bidi="lv-LV"/>
        </w:rPr>
        <w:t xml:space="preserve"> sniegtās informācijas.</w:t>
      </w:r>
    </w:p>
    <w:p w14:paraId="4428974A" w14:textId="6330560C" w:rsidR="006E26E1" w:rsidRPr="007C28D6" w:rsidRDefault="006E26E1" w:rsidP="003015F1">
      <w:pPr>
        <w:jc w:val="both"/>
        <w:rPr>
          <w:rFonts w:asciiTheme="majorBidi" w:hAnsiTheme="majorBidi" w:cstheme="majorBidi"/>
          <w:b/>
          <w:lang w:val="lv-LV"/>
        </w:rPr>
      </w:pPr>
      <w:r w:rsidRPr="007C28D6">
        <w:rPr>
          <w:rFonts w:asciiTheme="majorBidi" w:hAnsiTheme="majorBidi" w:cstheme="majorBidi"/>
          <w:b/>
          <w:lang w:val="lv-LV"/>
        </w:rPr>
        <w:t>PRAC pēdējās drošuma vērtēšanas galvenie iznākumi</w:t>
      </w:r>
    </w:p>
    <w:p w14:paraId="623C26C4" w14:textId="77777777" w:rsidR="007B7F4D" w:rsidRPr="007B7F4D" w:rsidRDefault="00DA06A5" w:rsidP="00262B41">
      <w:pPr>
        <w:pStyle w:val="Introtext"/>
        <w:jc w:val="both"/>
        <w:rPr>
          <w:rFonts w:ascii="Times New Roman" w:hAnsi="Times New Roman" w:cs="Times New Roman"/>
          <w:color w:val="auto"/>
          <w:sz w:val="24"/>
          <w:szCs w:val="24"/>
          <w:lang w:val="lv-LV"/>
        </w:rPr>
      </w:pPr>
      <w:bookmarkStart w:id="0" w:name="bookmark8"/>
      <w:bookmarkStart w:id="1" w:name="bookmark9"/>
      <w:r>
        <w:br/>
      </w:r>
      <w:bookmarkEnd w:id="0"/>
      <w:bookmarkEnd w:id="1"/>
      <w:r w:rsidR="007B7F4D" w:rsidRPr="007B7F4D">
        <w:rPr>
          <w:rFonts w:ascii="Times New Roman" w:hAnsi="Times New Roman" w:cs="Times New Roman"/>
          <w:color w:val="auto"/>
          <w:sz w:val="24"/>
          <w:szCs w:val="24"/>
          <w:lang w:val="lv-LV"/>
        </w:rPr>
        <w:t>Produkta informācijā pašlaik netiek veiktas izmaiņas.</w:t>
      </w:r>
    </w:p>
    <w:p w14:paraId="38A809E4" w14:textId="77777777" w:rsidR="007B7F4D" w:rsidRPr="007B7F4D" w:rsidRDefault="007B7F4D" w:rsidP="00262B41">
      <w:pPr>
        <w:pStyle w:val="Introtext"/>
        <w:jc w:val="both"/>
        <w:rPr>
          <w:rFonts w:ascii="Times New Roman" w:hAnsi="Times New Roman" w:cs="Times New Roman"/>
          <w:color w:val="auto"/>
          <w:sz w:val="24"/>
          <w:szCs w:val="24"/>
          <w:lang w:val="lv-LV"/>
        </w:rPr>
      </w:pPr>
      <w:r w:rsidRPr="007B7F4D">
        <w:rPr>
          <w:rFonts w:ascii="Times New Roman" w:hAnsi="Times New Roman" w:cs="Times New Roman"/>
          <w:color w:val="auto"/>
          <w:sz w:val="24"/>
          <w:szCs w:val="24"/>
          <w:lang w:val="lv-LV"/>
        </w:rPr>
        <w:t>Šobrīd tiek turpināta miokardīta un perikardīta gadījumu plašāka vērtēšana.</w:t>
      </w:r>
    </w:p>
    <w:p w14:paraId="4F030704" w14:textId="44BFC73B" w:rsidR="00DA06A5" w:rsidRPr="007B7F4D" w:rsidRDefault="007B7F4D" w:rsidP="00262B41">
      <w:pPr>
        <w:pStyle w:val="Introtext"/>
        <w:jc w:val="both"/>
        <w:rPr>
          <w:rFonts w:ascii="Times New Roman" w:hAnsi="Times New Roman" w:cs="Times New Roman"/>
          <w:color w:val="auto"/>
          <w:sz w:val="24"/>
          <w:szCs w:val="24"/>
        </w:rPr>
      </w:pPr>
      <w:r w:rsidRPr="007B7F4D">
        <w:rPr>
          <w:rFonts w:ascii="Times New Roman" w:hAnsi="Times New Roman" w:cs="Times New Roman"/>
          <w:color w:val="auto"/>
          <w:sz w:val="24"/>
          <w:szCs w:val="24"/>
          <w:lang w:val="lv-LV"/>
        </w:rPr>
        <w:t xml:space="preserve">Pagaidām nav iegūts pietiekami daudz pierādījumu iespējamai saistībai starp </w:t>
      </w:r>
      <w:proofErr w:type="spellStart"/>
      <w:r w:rsidRPr="00937791">
        <w:rPr>
          <w:rFonts w:ascii="Times New Roman" w:hAnsi="Times New Roman" w:cs="Times New Roman"/>
          <w:i/>
          <w:iCs/>
          <w:color w:val="auto"/>
          <w:sz w:val="24"/>
          <w:szCs w:val="24"/>
          <w:lang w:val="lv-LV"/>
        </w:rPr>
        <w:t>Spikevax</w:t>
      </w:r>
      <w:proofErr w:type="spellEnd"/>
      <w:r w:rsidRPr="007B7F4D">
        <w:rPr>
          <w:rFonts w:ascii="Times New Roman" w:hAnsi="Times New Roman" w:cs="Times New Roman"/>
          <w:color w:val="auto"/>
          <w:sz w:val="24"/>
          <w:szCs w:val="24"/>
          <w:lang w:val="lv-LV"/>
        </w:rPr>
        <w:t xml:space="preserve"> un ļoti retiem </w:t>
      </w:r>
      <w:proofErr w:type="spellStart"/>
      <w:r w:rsidRPr="007B7F4D">
        <w:rPr>
          <w:rFonts w:ascii="Times New Roman" w:hAnsi="Times New Roman" w:cs="Times New Roman"/>
          <w:color w:val="auto"/>
          <w:sz w:val="24"/>
          <w:szCs w:val="24"/>
          <w:lang w:val="lv-LV"/>
        </w:rPr>
        <w:t>multisistēmu</w:t>
      </w:r>
      <w:proofErr w:type="spellEnd"/>
      <w:r w:rsidRPr="007B7F4D">
        <w:rPr>
          <w:rFonts w:ascii="Times New Roman" w:hAnsi="Times New Roman" w:cs="Times New Roman"/>
          <w:color w:val="auto"/>
          <w:sz w:val="24"/>
          <w:szCs w:val="24"/>
          <w:lang w:val="lv-LV"/>
        </w:rPr>
        <w:t xml:space="preserve"> iekaisuma sindroma (MIS) gadījumiem</w:t>
      </w:r>
      <w:r w:rsidRPr="007B7F4D">
        <w:rPr>
          <w:rFonts w:ascii="Times New Roman" w:hAnsi="Times New Roman" w:cs="Times New Roman"/>
          <w:color w:val="auto"/>
          <w:sz w:val="24"/>
          <w:szCs w:val="24"/>
        </w:rPr>
        <w:t>.</w:t>
      </w:r>
    </w:p>
    <w:p w14:paraId="5C216421" w14:textId="04671891" w:rsidR="006E26E1" w:rsidRPr="006E68AD" w:rsidRDefault="006E26E1" w:rsidP="003015F1">
      <w:pPr>
        <w:jc w:val="both"/>
        <w:rPr>
          <w:rFonts w:asciiTheme="majorBidi" w:hAnsiTheme="majorBidi" w:cstheme="majorBidi"/>
        </w:rPr>
      </w:pPr>
    </w:p>
    <w:p w14:paraId="0C86F85C" w14:textId="5EBF41F5" w:rsidR="003428D0" w:rsidRPr="006E68AD" w:rsidRDefault="003428D0" w:rsidP="003015F1">
      <w:pPr>
        <w:numPr>
          <w:ilvl w:val="0"/>
          <w:numId w:val="1"/>
        </w:numPr>
        <w:jc w:val="both"/>
        <w:rPr>
          <w:rFonts w:asciiTheme="majorBidi" w:hAnsiTheme="majorBidi" w:cstheme="majorBidi"/>
          <w:b/>
          <w:lang w:val="lv-LV"/>
        </w:rPr>
      </w:pPr>
      <w:r w:rsidRPr="006E68AD">
        <w:rPr>
          <w:rFonts w:asciiTheme="majorBidi" w:hAnsiTheme="majorBidi" w:cstheme="majorBidi"/>
          <w:b/>
          <w:lang w:val="lv-LV"/>
        </w:rPr>
        <w:t xml:space="preserve">Jaunākā informācija par </w:t>
      </w:r>
      <w:proofErr w:type="spellStart"/>
      <w:r w:rsidRPr="006E68AD">
        <w:rPr>
          <w:rFonts w:asciiTheme="majorBidi" w:hAnsiTheme="majorBidi" w:cstheme="majorBidi"/>
          <w:b/>
          <w:i/>
          <w:lang w:val="lv-LV"/>
        </w:rPr>
        <w:t>Spikevax</w:t>
      </w:r>
      <w:proofErr w:type="spellEnd"/>
      <w:r w:rsidRPr="006E68AD">
        <w:rPr>
          <w:rFonts w:asciiTheme="majorBidi" w:hAnsiTheme="majorBidi" w:cstheme="majorBidi"/>
          <w:b/>
          <w:lang w:val="lv-LV"/>
        </w:rPr>
        <w:t xml:space="preserve"> drošuma vērtēšanu</w:t>
      </w:r>
    </w:p>
    <w:p w14:paraId="30F2A4F0" w14:textId="77777777" w:rsidR="003428D0" w:rsidRPr="006E68AD" w:rsidRDefault="003428D0" w:rsidP="003015F1">
      <w:pPr>
        <w:jc w:val="both"/>
        <w:rPr>
          <w:rFonts w:asciiTheme="majorBidi" w:hAnsiTheme="majorBidi" w:cstheme="majorBidi"/>
          <w:b/>
          <w:lang w:val="lv-LV"/>
        </w:rPr>
      </w:pPr>
    </w:p>
    <w:p w14:paraId="0AE6C024" w14:textId="6C8B6E39" w:rsidR="00937791" w:rsidRDefault="007B7F4D" w:rsidP="007B7F4D">
      <w:pPr>
        <w:pStyle w:val="BodytextAgency"/>
        <w:rPr>
          <w:rFonts w:ascii="Times New Roman" w:hAnsi="Times New Roman" w:cs="Times New Roman"/>
          <w:color w:val="auto"/>
          <w:sz w:val="24"/>
          <w:szCs w:val="24"/>
          <w:lang w:val="lv-LV"/>
        </w:rPr>
      </w:pPr>
      <w:r w:rsidRPr="007B7F4D">
        <w:rPr>
          <w:rFonts w:ascii="Times New Roman" w:hAnsi="Times New Roman" w:cs="Times New Roman"/>
          <w:color w:val="auto"/>
          <w:sz w:val="24"/>
          <w:szCs w:val="24"/>
          <w:lang w:val="lv-LV"/>
        </w:rPr>
        <w:t xml:space="preserve">2021. gada 27.-30. septembrī </w:t>
      </w:r>
      <w:r w:rsidR="007E450F">
        <w:rPr>
          <w:rFonts w:ascii="Times New Roman" w:hAnsi="Times New Roman" w:cs="Times New Roman"/>
          <w:color w:val="auto"/>
          <w:sz w:val="24"/>
          <w:szCs w:val="24"/>
          <w:lang w:val="lv-LV"/>
        </w:rPr>
        <w:t>rīkotajā</w:t>
      </w:r>
      <w:r w:rsidRPr="007B7F4D">
        <w:rPr>
          <w:rFonts w:ascii="Times New Roman" w:hAnsi="Times New Roman" w:cs="Times New Roman"/>
          <w:color w:val="auto"/>
          <w:sz w:val="24"/>
          <w:szCs w:val="24"/>
          <w:lang w:val="lv-LV"/>
        </w:rPr>
        <w:t xml:space="preserve"> sanāksmē PRAC izvērtēja jaunākos drošuma datus par </w:t>
      </w:r>
      <w:proofErr w:type="spellStart"/>
      <w:r w:rsidRPr="00937791">
        <w:rPr>
          <w:rFonts w:ascii="Times New Roman" w:hAnsi="Times New Roman" w:cs="Times New Roman"/>
          <w:i/>
          <w:iCs/>
          <w:color w:val="auto"/>
          <w:sz w:val="24"/>
          <w:szCs w:val="24"/>
          <w:lang w:val="lv-LV"/>
        </w:rPr>
        <w:t>Spikevax</w:t>
      </w:r>
      <w:proofErr w:type="spellEnd"/>
      <w:r w:rsidRPr="007B7F4D">
        <w:rPr>
          <w:rFonts w:ascii="Times New Roman" w:hAnsi="Times New Roman" w:cs="Times New Roman"/>
          <w:color w:val="auto"/>
          <w:sz w:val="24"/>
          <w:szCs w:val="24"/>
          <w:lang w:val="lv-LV"/>
        </w:rPr>
        <w:t xml:space="preserve"> (skatīt 2. sadaļu “Kā tiek veikta drošuma uzraudzība”).</w:t>
      </w:r>
    </w:p>
    <w:p w14:paraId="5B827231" w14:textId="77777777" w:rsidR="007E450F" w:rsidRDefault="007E450F" w:rsidP="00937791">
      <w:pPr>
        <w:jc w:val="both"/>
        <w:rPr>
          <w:rFonts w:ascii="Times New Roman" w:eastAsia="Verdana" w:hAnsi="Times New Roman" w:cs="Times New Roman"/>
          <w:b/>
          <w:bCs/>
          <w:color w:val="262626" w:themeColor="text1" w:themeTint="D9"/>
          <w:lang w:val="lv-LV"/>
        </w:rPr>
      </w:pPr>
    </w:p>
    <w:p w14:paraId="60C86443" w14:textId="3C1061BD" w:rsidR="00937791" w:rsidRPr="004D29D7" w:rsidRDefault="00937791" w:rsidP="00937791">
      <w:pPr>
        <w:jc w:val="both"/>
        <w:rPr>
          <w:rFonts w:ascii="Times New Roman" w:eastAsia="Verdana" w:hAnsi="Times New Roman" w:cs="Times New Roman"/>
          <w:b/>
          <w:bCs/>
          <w:color w:val="262626" w:themeColor="text1" w:themeTint="D9"/>
          <w:lang w:val="lv-LV"/>
        </w:rPr>
      </w:pPr>
      <w:r w:rsidRPr="004D29D7">
        <w:rPr>
          <w:rFonts w:ascii="Times New Roman" w:eastAsia="Verdana" w:hAnsi="Times New Roman" w:cs="Times New Roman"/>
          <w:b/>
          <w:bCs/>
          <w:color w:val="262626" w:themeColor="text1" w:themeTint="D9"/>
          <w:lang w:val="lv-LV"/>
        </w:rPr>
        <w:t>Miokardīts un perikardīts</w:t>
      </w:r>
    </w:p>
    <w:p w14:paraId="172F92BF" w14:textId="77777777" w:rsidR="00937791" w:rsidRPr="004D29D7" w:rsidRDefault="00937791" w:rsidP="00937791">
      <w:pPr>
        <w:jc w:val="both"/>
        <w:rPr>
          <w:rFonts w:ascii="Times New Roman" w:hAnsi="Times New Roman" w:cs="Times New Roman"/>
          <w:b/>
          <w:bCs/>
          <w:lang w:val="lv-LV"/>
        </w:rPr>
      </w:pPr>
    </w:p>
    <w:p w14:paraId="02BB57E1" w14:textId="77777777" w:rsidR="00937791" w:rsidRPr="004D29D7" w:rsidRDefault="00AF2124" w:rsidP="00937791">
      <w:pPr>
        <w:pStyle w:val="NormalWeb"/>
        <w:spacing w:after="0"/>
        <w:jc w:val="both"/>
        <w:rPr>
          <w:rFonts w:eastAsia="Verdana" w:cs="Times New Roman"/>
          <w:color w:val="262626" w:themeColor="text1" w:themeTint="D9"/>
          <w:lang w:val="lv-LV"/>
        </w:rPr>
      </w:pPr>
      <w:hyperlink r:id="rId8" w:tgtFrame="_blank" w:tooltip="Pharmacovigilance Risk Assessment Committee -  the committee that is responsible for assessing all aspects of the risk management of medicines for human use.     More information can be found under 'Pharmacovigilance Risk Assessment Committee (PRAC)'." w:history="1">
        <w:r w:rsidR="00937791" w:rsidRPr="00262B41">
          <w:rPr>
            <w:rStyle w:val="Hyperlink"/>
            <w:rFonts w:eastAsia="Verdana" w:cs="Times New Roman"/>
            <w:color w:val="262626" w:themeColor="text1" w:themeTint="D9"/>
            <w:u w:val="none"/>
            <w:lang w:val="lv-LV"/>
          </w:rPr>
          <w:t>PRAC</w:t>
        </w:r>
      </w:hyperlink>
      <w:r w:rsidR="00937791" w:rsidRPr="004D29D7">
        <w:rPr>
          <w:rFonts w:eastAsia="Verdana" w:cs="Times New Roman"/>
          <w:color w:val="262626" w:themeColor="text1" w:themeTint="D9"/>
          <w:lang w:val="lv-LV"/>
        </w:rPr>
        <w:t xml:space="preserve"> vērtē jaunus datus par miokardīta un perikardīta risku pēc vakcinācijas ar </w:t>
      </w:r>
      <w:proofErr w:type="spellStart"/>
      <w:r w:rsidR="00937791" w:rsidRPr="004D29D7">
        <w:rPr>
          <w:rFonts w:eastAsia="Verdana" w:cs="Times New Roman"/>
          <w:i/>
          <w:iCs/>
          <w:color w:val="262626" w:themeColor="text1" w:themeTint="D9"/>
          <w:lang w:val="lv-LV"/>
        </w:rPr>
        <w:t>Spikevax</w:t>
      </w:r>
      <w:proofErr w:type="spellEnd"/>
      <w:r w:rsidR="00937791" w:rsidRPr="004D29D7">
        <w:rPr>
          <w:rFonts w:eastAsia="Verdana" w:cs="Times New Roman"/>
          <w:color w:val="262626" w:themeColor="text1" w:themeTint="D9"/>
          <w:lang w:val="lv-LV"/>
        </w:rPr>
        <w:t>.</w:t>
      </w:r>
    </w:p>
    <w:p w14:paraId="6826F7AD" w14:textId="77777777" w:rsidR="00937791" w:rsidRPr="004D29D7" w:rsidRDefault="00937791" w:rsidP="00937791">
      <w:pPr>
        <w:pStyle w:val="NormalWeb"/>
        <w:spacing w:after="0"/>
        <w:jc w:val="both"/>
        <w:rPr>
          <w:rFonts w:eastAsia="Verdana" w:cs="Times New Roman"/>
          <w:color w:val="262626" w:themeColor="text1" w:themeTint="D9"/>
          <w:lang w:val="lv-LV"/>
        </w:rPr>
      </w:pPr>
    </w:p>
    <w:p w14:paraId="39F896BF" w14:textId="77777777" w:rsidR="00937791" w:rsidRPr="004D29D7" w:rsidRDefault="00937791" w:rsidP="00937791">
      <w:pPr>
        <w:pStyle w:val="NormalWeb"/>
        <w:spacing w:after="0"/>
        <w:jc w:val="both"/>
        <w:rPr>
          <w:rFonts w:eastAsia="Verdana" w:cs="Times New Roman"/>
          <w:color w:val="262626" w:themeColor="text1" w:themeTint="D9"/>
          <w:lang w:val="lv-LV"/>
        </w:rPr>
      </w:pPr>
      <w:r w:rsidRPr="004D29D7">
        <w:rPr>
          <w:rFonts w:eastAsia="Verdana" w:cs="Times New Roman"/>
          <w:color w:val="262626" w:themeColor="text1" w:themeTint="D9"/>
          <w:lang w:val="lv-LV"/>
        </w:rPr>
        <w:t>Miokardīts un perikardīts ir sirds iekaisuma slimības. To simptomi var būt dažādi, bet bieži ietver elpas trūkumu, spēcīgu sirdsdarbību, kas var būt neregulāra (</w:t>
      </w:r>
      <w:proofErr w:type="spellStart"/>
      <w:r w:rsidRPr="004D29D7">
        <w:rPr>
          <w:rFonts w:eastAsia="Verdana" w:cs="Times New Roman"/>
          <w:color w:val="262626" w:themeColor="text1" w:themeTint="D9"/>
          <w:lang w:val="lv-LV"/>
        </w:rPr>
        <w:t>pārsitieni</w:t>
      </w:r>
      <w:proofErr w:type="spellEnd"/>
      <w:r w:rsidRPr="004D29D7">
        <w:rPr>
          <w:rFonts w:eastAsia="Verdana" w:cs="Times New Roman"/>
          <w:color w:val="262626" w:themeColor="text1" w:themeTint="D9"/>
          <w:lang w:val="lv-LV"/>
        </w:rPr>
        <w:t>), un sāpes krūtīs.</w:t>
      </w:r>
    </w:p>
    <w:p w14:paraId="10BBE146" w14:textId="77777777" w:rsidR="00937791" w:rsidRPr="004D29D7" w:rsidRDefault="00937791" w:rsidP="00937791">
      <w:pPr>
        <w:pStyle w:val="NormalWeb"/>
        <w:spacing w:after="0"/>
        <w:jc w:val="both"/>
        <w:rPr>
          <w:rFonts w:eastAsia="Verdana" w:cs="Times New Roman"/>
          <w:color w:val="262626" w:themeColor="text1" w:themeTint="D9"/>
          <w:lang w:val="lv-LV"/>
        </w:rPr>
      </w:pPr>
    </w:p>
    <w:p w14:paraId="12BE03A3" w14:textId="77777777" w:rsidR="00937791" w:rsidRPr="004D29D7" w:rsidRDefault="00AF2124" w:rsidP="00937791">
      <w:pPr>
        <w:pStyle w:val="NormalWeb"/>
        <w:spacing w:after="0"/>
        <w:jc w:val="both"/>
        <w:rPr>
          <w:rFonts w:eastAsia="Verdana" w:cs="Times New Roman"/>
          <w:color w:val="262626" w:themeColor="text1" w:themeTint="D9"/>
          <w:lang w:val="lv-LV"/>
        </w:rPr>
      </w:pPr>
      <w:hyperlink r:id="rId9" w:tgtFrame="_blank" w:tooltip="Pharmacovigilance Risk Assessment Committee -  the committee that is responsible for assessing all aspects of the risk management of medicines for human use.     More information can be found under 'Pharmacovigilance Risk Assessment Committee (PRAC)'." w:history="1">
        <w:r w:rsidR="00937791" w:rsidRPr="00262B41">
          <w:rPr>
            <w:rStyle w:val="Hyperlink"/>
            <w:rFonts w:eastAsia="Verdana" w:cs="Times New Roman"/>
            <w:color w:val="262626" w:themeColor="text1" w:themeTint="D9"/>
            <w:u w:val="none"/>
            <w:lang w:val="lv-LV"/>
          </w:rPr>
          <w:t>PRAC</w:t>
        </w:r>
      </w:hyperlink>
      <w:r w:rsidR="00937791" w:rsidRPr="00262B41">
        <w:rPr>
          <w:rFonts w:eastAsia="Verdana" w:cs="Times New Roman"/>
          <w:color w:val="262626" w:themeColor="text1" w:themeTint="D9"/>
          <w:lang w:val="lv-LV"/>
        </w:rPr>
        <w:t> </w:t>
      </w:r>
      <w:r w:rsidR="00937791" w:rsidRPr="004D29D7">
        <w:rPr>
          <w:rFonts w:eastAsia="Verdana" w:cs="Times New Roman"/>
          <w:color w:val="262626" w:themeColor="text1" w:themeTint="D9"/>
          <w:lang w:val="lv-LV"/>
        </w:rPr>
        <w:t xml:space="preserve">bija iepriekš izvērtējusi Eiropas Ekonomikas zonā (EEZ) saņemtos spontānos ziņojumus par miokardīta un perikardīta gadījumiem. Vērtēšana tika pabeigta 2021. gada jūlijā, sniedzot ieteikumu ietvert abas šīs slimības </w:t>
      </w:r>
      <w:proofErr w:type="spellStart"/>
      <w:r w:rsidR="00937791" w:rsidRPr="004D29D7">
        <w:rPr>
          <w:rFonts w:eastAsia="Verdana" w:cs="Times New Roman"/>
          <w:i/>
          <w:iCs/>
          <w:color w:val="262626" w:themeColor="text1" w:themeTint="D9"/>
          <w:lang w:val="lv-LV"/>
        </w:rPr>
        <w:t>Spikevax</w:t>
      </w:r>
      <w:proofErr w:type="spellEnd"/>
      <w:r w:rsidR="00937791" w:rsidRPr="004D29D7">
        <w:rPr>
          <w:rFonts w:eastAsia="Verdana" w:cs="Times New Roman"/>
          <w:i/>
          <w:iCs/>
          <w:color w:val="262626" w:themeColor="text1" w:themeTint="D9"/>
          <w:lang w:val="lv-LV"/>
        </w:rPr>
        <w:t xml:space="preserve"> </w:t>
      </w:r>
      <w:r w:rsidR="00937791" w:rsidRPr="004D29D7">
        <w:rPr>
          <w:rFonts w:eastAsia="Verdana" w:cs="Times New Roman"/>
          <w:color w:val="262626" w:themeColor="text1" w:themeTint="D9"/>
          <w:lang w:val="lv-LV"/>
        </w:rPr>
        <w:t>produkta informācijas blakusparādību sarakstā kopā ar brīdinājumu, lai informētu veselības aprūpes speciālistus un personas, kuras saņem šo vakcīnu.</w:t>
      </w:r>
    </w:p>
    <w:p w14:paraId="1E9E4973" w14:textId="77777777" w:rsidR="00937791" w:rsidRPr="004D29D7" w:rsidRDefault="00937791" w:rsidP="00937791">
      <w:pPr>
        <w:pStyle w:val="NormalWeb"/>
        <w:spacing w:after="0"/>
        <w:jc w:val="both"/>
        <w:rPr>
          <w:rFonts w:eastAsia="Verdana" w:cs="Times New Roman"/>
          <w:color w:val="262626" w:themeColor="text1" w:themeTint="D9"/>
          <w:lang w:val="lv-LV"/>
        </w:rPr>
      </w:pPr>
    </w:p>
    <w:p w14:paraId="39749453" w14:textId="5EF4494C" w:rsidR="00937791" w:rsidRPr="004D29D7" w:rsidRDefault="00937791" w:rsidP="00937791">
      <w:pPr>
        <w:pStyle w:val="NormalWeb"/>
        <w:spacing w:after="0"/>
        <w:jc w:val="both"/>
        <w:rPr>
          <w:rFonts w:eastAsia="Verdana" w:cs="Times New Roman"/>
          <w:color w:val="262626" w:themeColor="text1" w:themeTint="D9"/>
          <w:lang w:val="lv-LV"/>
        </w:rPr>
      </w:pPr>
      <w:r w:rsidRPr="004D29D7">
        <w:rPr>
          <w:rFonts w:eastAsia="Verdana" w:cs="Times New Roman"/>
          <w:color w:val="262626" w:themeColor="text1" w:themeTint="D9"/>
          <w:lang w:val="lv-LV"/>
        </w:rPr>
        <w:t xml:space="preserve">PRAC ir lūgusi uzņēmumam, kurš </w:t>
      </w:r>
      <w:proofErr w:type="spellStart"/>
      <w:r w:rsidRPr="004D29D7">
        <w:rPr>
          <w:rFonts w:eastAsia="Verdana" w:cs="Times New Roman"/>
          <w:i/>
          <w:iCs/>
          <w:color w:val="262626" w:themeColor="text1" w:themeTint="D9"/>
          <w:lang w:val="lv-LV"/>
        </w:rPr>
        <w:t>Spikevax</w:t>
      </w:r>
      <w:proofErr w:type="spellEnd"/>
      <w:r w:rsidR="007E450F">
        <w:rPr>
          <w:rFonts w:eastAsia="Verdana" w:cs="Times New Roman"/>
          <w:color w:val="262626" w:themeColor="text1" w:themeTint="D9"/>
          <w:lang w:val="lv-LV"/>
        </w:rPr>
        <w:t xml:space="preserve"> ir reģistrējis,</w:t>
      </w:r>
      <w:r w:rsidRPr="004D29D7">
        <w:rPr>
          <w:rFonts w:eastAsia="Verdana" w:cs="Times New Roman"/>
          <w:color w:val="262626" w:themeColor="text1" w:themeTint="D9"/>
          <w:lang w:val="lv-LV"/>
        </w:rPr>
        <w:t xml:space="preserve"> veikt padziļinātu vērtēšanu par visiem publicētajiem datiem par miokardīta un perikardīta saistību ar šo vakcīnu, tostarp klīnisko pētījumu datiem, literatūrā pieejamiem datiem un citiem publiski pieejamiem datiem.</w:t>
      </w:r>
    </w:p>
    <w:p w14:paraId="486AFBEF" w14:textId="77777777" w:rsidR="00937791" w:rsidRPr="004D29D7" w:rsidRDefault="00937791" w:rsidP="00937791">
      <w:pPr>
        <w:pStyle w:val="NormalWeb"/>
        <w:spacing w:after="0"/>
        <w:jc w:val="both"/>
        <w:rPr>
          <w:rFonts w:eastAsia="Verdana" w:cs="Times New Roman"/>
          <w:color w:val="262626" w:themeColor="text1" w:themeTint="D9"/>
          <w:lang w:val="lv-LV"/>
        </w:rPr>
      </w:pPr>
    </w:p>
    <w:p w14:paraId="4B4FDA1D" w14:textId="77777777" w:rsidR="00937791" w:rsidRPr="004D29D7" w:rsidRDefault="00937791" w:rsidP="00937791">
      <w:pPr>
        <w:pStyle w:val="NormalWeb"/>
        <w:spacing w:after="0"/>
        <w:jc w:val="both"/>
        <w:rPr>
          <w:rFonts w:eastAsia="Verdana" w:cs="Times New Roman"/>
          <w:color w:val="262626" w:themeColor="text1" w:themeTint="D9"/>
          <w:lang w:val="lv-LV"/>
        </w:rPr>
      </w:pPr>
      <w:r w:rsidRPr="004D29D7">
        <w:rPr>
          <w:rFonts w:eastAsia="Verdana" w:cs="Times New Roman"/>
          <w:color w:val="262626" w:themeColor="text1" w:themeTint="D9"/>
          <w:lang w:val="lv-LV"/>
        </w:rPr>
        <w:t>EZA turpinās uzraudzīt šīs vakcīnas drošumu un efektivitāti, un sniegs plašāku informāciju, kad būs pieejama jauna informācija.</w:t>
      </w:r>
    </w:p>
    <w:p w14:paraId="516F5FA7" w14:textId="77777777" w:rsidR="00937791" w:rsidRPr="004D29D7" w:rsidRDefault="00937791" w:rsidP="00937791">
      <w:pPr>
        <w:jc w:val="both"/>
        <w:rPr>
          <w:rFonts w:ascii="Times New Roman" w:eastAsia="Verdana" w:hAnsi="Times New Roman" w:cs="Times New Roman"/>
          <w:bCs/>
        </w:rPr>
      </w:pPr>
    </w:p>
    <w:p w14:paraId="6B675F0A" w14:textId="77777777" w:rsidR="007E450F" w:rsidRDefault="007E450F" w:rsidP="00937791">
      <w:pPr>
        <w:jc w:val="both"/>
        <w:rPr>
          <w:rFonts w:ascii="Times New Roman" w:eastAsia="Verdana" w:hAnsi="Times New Roman" w:cs="Times New Roman"/>
          <w:b/>
          <w:bCs/>
          <w:color w:val="262626" w:themeColor="text1" w:themeTint="D9"/>
          <w:lang w:val="lv-LV"/>
        </w:rPr>
      </w:pPr>
    </w:p>
    <w:p w14:paraId="38B570B2" w14:textId="5CACC751" w:rsidR="00937791" w:rsidRPr="004D29D7" w:rsidRDefault="00937791" w:rsidP="00937791">
      <w:pPr>
        <w:jc w:val="both"/>
        <w:rPr>
          <w:rFonts w:ascii="Times New Roman" w:eastAsia="Verdana" w:hAnsi="Times New Roman" w:cs="Times New Roman"/>
          <w:b/>
          <w:bCs/>
          <w:color w:val="262626" w:themeColor="text1" w:themeTint="D9"/>
          <w:lang w:val="lv-LV"/>
        </w:rPr>
      </w:pPr>
      <w:proofErr w:type="spellStart"/>
      <w:r w:rsidRPr="004D29D7">
        <w:rPr>
          <w:rFonts w:ascii="Times New Roman" w:eastAsia="Verdana" w:hAnsi="Times New Roman" w:cs="Times New Roman"/>
          <w:b/>
          <w:bCs/>
          <w:color w:val="262626" w:themeColor="text1" w:themeTint="D9"/>
          <w:lang w:val="lv-LV"/>
        </w:rPr>
        <w:t>Multisistēmu</w:t>
      </w:r>
      <w:proofErr w:type="spellEnd"/>
      <w:r w:rsidRPr="004D29D7">
        <w:rPr>
          <w:rFonts w:ascii="Times New Roman" w:eastAsia="Verdana" w:hAnsi="Times New Roman" w:cs="Times New Roman"/>
          <w:b/>
          <w:bCs/>
          <w:color w:val="262626" w:themeColor="text1" w:themeTint="D9"/>
          <w:lang w:val="lv-LV"/>
        </w:rPr>
        <w:t xml:space="preserve"> iekaisuma sindroms (MIS) </w:t>
      </w:r>
    </w:p>
    <w:p w14:paraId="5EC7E1B4" w14:textId="77777777" w:rsidR="00937791" w:rsidRPr="004D29D7" w:rsidRDefault="00937791" w:rsidP="00937791">
      <w:pPr>
        <w:jc w:val="both"/>
        <w:rPr>
          <w:rFonts w:ascii="Times New Roman" w:hAnsi="Times New Roman" w:cs="Times New Roman"/>
          <w:b/>
          <w:bCs/>
          <w:lang w:val="lv-LV"/>
        </w:rPr>
      </w:pPr>
    </w:p>
    <w:p w14:paraId="23B12D24" w14:textId="77777777" w:rsidR="00937791" w:rsidRPr="004D29D7" w:rsidRDefault="00AF2124" w:rsidP="00937791">
      <w:pPr>
        <w:pStyle w:val="NormalWeb"/>
        <w:spacing w:after="0"/>
        <w:jc w:val="both"/>
        <w:rPr>
          <w:rFonts w:eastAsia="Verdana" w:cs="Times New Roman"/>
          <w:color w:val="262626" w:themeColor="text1" w:themeTint="D9"/>
          <w:lang w:val="lv-LV"/>
        </w:rPr>
      </w:pPr>
      <w:hyperlink r:id="rId10" w:tgtFrame="_blank" w:tooltip="Pharmacovigilance Risk Assessment Committee -  the committee that is responsible for assessing all aspects of the risk management of medicines for human use.     More information can be found under 'Pharmacovigilance Risk Assessment Committee (PRAC)'." w:history="1">
        <w:r w:rsidR="00937791" w:rsidRPr="004D29D7">
          <w:rPr>
            <w:rFonts w:eastAsia="Verdana" w:cs="Times New Roman"/>
            <w:color w:val="262626" w:themeColor="text1" w:themeTint="D9"/>
            <w:lang w:val="lv-LV"/>
          </w:rPr>
          <w:t>PRAC</w:t>
        </w:r>
      </w:hyperlink>
      <w:r w:rsidR="00937791" w:rsidRPr="004D29D7">
        <w:rPr>
          <w:rFonts w:eastAsia="Verdana" w:cs="Times New Roman"/>
          <w:color w:val="262626" w:themeColor="text1" w:themeTint="D9"/>
          <w:lang w:val="lv-LV"/>
        </w:rPr>
        <w:t xml:space="preserve"> ir secinājusi, ka pašlaik nav pietiekamu pierādījumu </w:t>
      </w:r>
      <w:proofErr w:type="spellStart"/>
      <w:r w:rsidR="00937791" w:rsidRPr="004D29D7">
        <w:rPr>
          <w:rFonts w:eastAsia="Verdana" w:cs="Times New Roman"/>
          <w:i/>
          <w:iCs/>
          <w:color w:val="262626" w:themeColor="text1" w:themeTint="D9"/>
          <w:lang w:val="lv-LV"/>
        </w:rPr>
        <w:t>Spikevax</w:t>
      </w:r>
      <w:proofErr w:type="spellEnd"/>
      <w:r w:rsidR="00937791" w:rsidRPr="004D29D7">
        <w:rPr>
          <w:rFonts w:eastAsia="Verdana" w:cs="Times New Roman"/>
          <w:color w:val="262626" w:themeColor="text1" w:themeTint="D9"/>
          <w:lang w:val="lv-LV"/>
        </w:rPr>
        <w:t xml:space="preserve"> saistībai ar ļoti retiem </w:t>
      </w:r>
      <w:proofErr w:type="spellStart"/>
      <w:r w:rsidR="00937791" w:rsidRPr="004D29D7">
        <w:rPr>
          <w:rFonts w:eastAsia="Verdana" w:cs="Times New Roman"/>
          <w:color w:val="262626" w:themeColor="text1" w:themeTint="D9"/>
          <w:lang w:val="lv-LV"/>
        </w:rPr>
        <w:t>multisistēmu</w:t>
      </w:r>
      <w:proofErr w:type="spellEnd"/>
      <w:r w:rsidR="00937791" w:rsidRPr="004D29D7">
        <w:rPr>
          <w:rFonts w:eastAsia="Verdana" w:cs="Times New Roman"/>
          <w:color w:val="262626" w:themeColor="text1" w:themeTint="D9"/>
          <w:lang w:val="lv-LV"/>
        </w:rPr>
        <w:t xml:space="preserve"> iekaisuma sindroma (MIS) gadījumiem.</w:t>
      </w:r>
    </w:p>
    <w:p w14:paraId="5F1D74B3" w14:textId="77777777" w:rsidR="00937791" w:rsidRPr="004D29D7" w:rsidRDefault="00937791" w:rsidP="00937791">
      <w:pPr>
        <w:pStyle w:val="NormalWeb"/>
        <w:spacing w:after="0"/>
        <w:jc w:val="both"/>
        <w:rPr>
          <w:rFonts w:eastAsia="Verdana" w:cs="Times New Roman"/>
          <w:color w:val="262626" w:themeColor="text1" w:themeTint="D9"/>
          <w:lang w:val="lv-LV"/>
        </w:rPr>
      </w:pPr>
    </w:p>
    <w:p w14:paraId="0812E0D4" w14:textId="77777777" w:rsidR="00937791" w:rsidRPr="004D29D7" w:rsidRDefault="00937791" w:rsidP="00937791">
      <w:pPr>
        <w:pStyle w:val="NormalWeb"/>
        <w:spacing w:after="0"/>
        <w:jc w:val="both"/>
        <w:rPr>
          <w:rFonts w:eastAsia="Verdana" w:cs="Times New Roman"/>
          <w:color w:val="262626" w:themeColor="text1" w:themeTint="D9"/>
          <w:lang w:val="lv-LV"/>
        </w:rPr>
      </w:pPr>
      <w:r w:rsidRPr="004D29D7">
        <w:rPr>
          <w:rFonts w:eastAsia="Verdana" w:cs="Times New Roman"/>
          <w:color w:val="262626" w:themeColor="text1" w:themeTint="D9"/>
          <w:lang w:val="lv-LV"/>
        </w:rPr>
        <w:t>MIS ir reta iekaisuma slimība, kas skar daudzas ķermeņa daļas, un tās simptomi var ietvert nogurumu, nepārejošu smagu drudzi, caureju, vemšanu, sāpes vēderā, galvassāpes, sāpes krūtīs un apgrūtinātu elpošanu. Iepriekš saņemti ziņojumi par MIS attīstību pēc Covid-19 pārslimošanas.</w:t>
      </w:r>
    </w:p>
    <w:p w14:paraId="5747EAC6" w14:textId="77777777" w:rsidR="00937791" w:rsidRPr="004D29D7" w:rsidRDefault="00937791" w:rsidP="00937791">
      <w:pPr>
        <w:pStyle w:val="NormalWeb"/>
        <w:spacing w:after="0"/>
        <w:jc w:val="both"/>
        <w:rPr>
          <w:rFonts w:eastAsia="Verdana" w:cs="Times New Roman"/>
          <w:color w:val="262626" w:themeColor="text1" w:themeTint="D9"/>
          <w:lang w:val="lv-LV"/>
        </w:rPr>
      </w:pPr>
    </w:p>
    <w:p w14:paraId="7F317B1F" w14:textId="352A9733" w:rsidR="00937791" w:rsidRPr="004D29D7" w:rsidRDefault="00937791" w:rsidP="00937791">
      <w:pPr>
        <w:pStyle w:val="NormalWeb"/>
        <w:spacing w:after="0"/>
        <w:jc w:val="both"/>
        <w:rPr>
          <w:rFonts w:eastAsia="Verdana" w:cs="Times New Roman"/>
          <w:color w:val="262626" w:themeColor="text1" w:themeTint="D9"/>
          <w:lang w:val="lv-LV"/>
        </w:rPr>
      </w:pPr>
      <w:r w:rsidRPr="004D29D7">
        <w:rPr>
          <w:rFonts w:eastAsia="Verdana" w:cs="Times New Roman"/>
          <w:color w:val="262626" w:themeColor="text1" w:themeTint="D9"/>
          <w:lang w:val="lv-LV"/>
        </w:rPr>
        <w:t>Komitejas vērtējums balstīts uz pieejamajiem spontānajiem blakusparādību ziņojumiem, un tas pašlaik nesniedz pamatu produkta informācijas atjaunināšanai. Vairumā gadījumu trūka informācijas MIS diagnozes noteikšanai, piemēram, iekaisuma laboratorisko rādītāju, slimības aktivitātes rādītāju, informācijas par drudža ilgumu un informācijas citu infekcijas slimību diagnozes izslēgšanai. Tikai neliels gadījumu skaits atbilda MIS diagnostiskajiem kritērijiem. Tomēr šajos gadījumos trūka informācijas par iepriekšēju vai pašreizēju SARS-CoV-2 infekciju, kas ir svarīga vakcīnas un slimības cēloņsakarības izvērtēšanai.</w:t>
      </w:r>
    </w:p>
    <w:p w14:paraId="284D579D" w14:textId="77777777" w:rsidR="00937791" w:rsidRPr="004D29D7" w:rsidRDefault="00937791" w:rsidP="00937791">
      <w:pPr>
        <w:spacing w:before="480" w:after="120"/>
        <w:jc w:val="both"/>
        <w:rPr>
          <w:rFonts w:ascii="Times New Roman" w:hAnsi="Times New Roman" w:cs="Times New Roman"/>
          <w:b/>
          <w:bCs/>
          <w:color w:val="000000"/>
          <w:lang w:val="lv-LV"/>
        </w:rPr>
      </w:pPr>
      <w:r w:rsidRPr="004D29D7">
        <w:rPr>
          <w:rFonts w:ascii="Times New Roman" w:hAnsi="Times New Roman" w:cs="Times New Roman"/>
          <w:b/>
          <w:bCs/>
          <w:color w:val="000000"/>
          <w:lang w:val="lv-LV"/>
        </w:rPr>
        <w:t>Pastiprinātas kapilāru caurlaidības sindroms</w:t>
      </w:r>
    </w:p>
    <w:p w14:paraId="3A26E58C" w14:textId="77777777" w:rsidR="00937791" w:rsidRPr="004D29D7" w:rsidRDefault="00937791" w:rsidP="00937791">
      <w:pPr>
        <w:pStyle w:val="H3"/>
        <w:spacing w:before="0" w:after="120" w:line="280" w:lineRule="exact"/>
        <w:jc w:val="both"/>
        <w:rPr>
          <w:rFonts w:ascii="Times New Roman" w:hAnsi="Times New Roman" w:cs="Times New Roman"/>
          <w:b w:val="0"/>
          <w:bCs/>
          <w:color w:val="auto"/>
          <w:sz w:val="24"/>
          <w:szCs w:val="24"/>
          <w:lang w:val="lv-LV"/>
        </w:rPr>
      </w:pPr>
      <w:r w:rsidRPr="00262B41">
        <w:rPr>
          <w:rStyle w:val="Hyperlink"/>
          <w:rFonts w:ascii="Times New Roman" w:hAnsi="Times New Roman" w:cs="Times New Roman"/>
          <w:b w:val="0"/>
          <w:bCs/>
          <w:color w:val="auto"/>
          <w:sz w:val="24"/>
          <w:szCs w:val="24"/>
          <w:u w:val="none"/>
          <w:lang w:val="lv-LV"/>
        </w:rPr>
        <w:t>PRAC</w:t>
      </w:r>
      <w:r w:rsidRPr="004D29D7">
        <w:rPr>
          <w:rFonts w:ascii="Times New Roman" w:hAnsi="Times New Roman" w:cs="Times New Roman"/>
          <w:b w:val="0"/>
          <w:bCs/>
          <w:color w:val="auto"/>
          <w:sz w:val="24"/>
          <w:szCs w:val="24"/>
          <w:lang w:val="lv-LV"/>
        </w:rPr>
        <w:t xml:space="preserve"> ir sākusi vērtēt drošuma signālu, lai izvērtētu ziņojumus par pastiprinātas kapilāru caurlaidības sindromu personām, kuras vakcinētas ar </w:t>
      </w:r>
      <w:proofErr w:type="spellStart"/>
      <w:r w:rsidRPr="00262B41">
        <w:rPr>
          <w:rFonts w:ascii="Times New Roman" w:hAnsi="Times New Roman" w:cs="Times New Roman"/>
          <w:b w:val="0"/>
          <w:bCs/>
          <w:i/>
          <w:iCs/>
          <w:color w:val="auto"/>
          <w:sz w:val="24"/>
          <w:szCs w:val="24"/>
          <w:lang w:val="lv-LV"/>
        </w:rPr>
        <w:t>Spikevax</w:t>
      </w:r>
      <w:proofErr w:type="spellEnd"/>
      <w:r w:rsidRPr="004D29D7">
        <w:rPr>
          <w:rFonts w:ascii="Times New Roman" w:hAnsi="Times New Roman" w:cs="Times New Roman"/>
          <w:b w:val="0"/>
          <w:bCs/>
          <w:color w:val="auto"/>
          <w:sz w:val="24"/>
          <w:szCs w:val="24"/>
          <w:lang w:val="lv-LV"/>
        </w:rPr>
        <w:t>.</w:t>
      </w:r>
    </w:p>
    <w:p w14:paraId="0140F897" w14:textId="082684C9" w:rsidR="00937791" w:rsidRPr="004D29D7" w:rsidRDefault="00937791" w:rsidP="00937791">
      <w:pPr>
        <w:pStyle w:val="H3"/>
        <w:spacing w:before="0" w:after="120" w:line="280" w:lineRule="exact"/>
        <w:jc w:val="both"/>
        <w:rPr>
          <w:rFonts w:ascii="Times New Roman" w:hAnsi="Times New Roman" w:cs="Times New Roman"/>
          <w:b w:val="0"/>
          <w:bCs/>
          <w:color w:val="auto"/>
          <w:sz w:val="24"/>
          <w:szCs w:val="24"/>
          <w:lang w:val="lv-LV"/>
        </w:rPr>
      </w:pPr>
      <w:proofErr w:type="spellStart"/>
      <w:r w:rsidRPr="004D29D7">
        <w:rPr>
          <w:rFonts w:ascii="Times New Roman" w:hAnsi="Times New Roman" w:cs="Times New Roman"/>
          <w:b w:val="0"/>
          <w:bCs/>
          <w:i/>
          <w:iCs/>
          <w:color w:val="auto"/>
          <w:sz w:val="24"/>
          <w:szCs w:val="24"/>
          <w:lang w:val="lv-LV"/>
        </w:rPr>
        <w:t>EudraVigilance</w:t>
      </w:r>
      <w:proofErr w:type="spellEnd"/>
      <w:r w:rsidRPr="004D29D7">
        <w:rPr>
          <w:rFonts w:ascii="Times New Roman" w:hAnsi="Times New Roman" w:cs="Times New Roman"/>
          <w:b w:val="0"/>
          <w:bCs/>
          <w:color w:val="auto"/>
          <w:sz w:val="24"/>
          <w:szCs w:val="24"/>
          <w:lang w:val="lv-LV"/>
        </w:rPr>
        <w:t xml:space="preserve"> datubāzē saņemti seši ziņojumi par šo ļoti reto slimību, kurai raksturīga šķidruma noplūde no asinsvadiem, kas izraisa audu tūsku un asinsspiediena pazemināšanos. Pašlaik vēl nav skaidri zināms, vai starp vakcināciju un ziņojumiem par pastiprinātas kapilāru caurlaidības sindromu pastāv cēloņsakarība. Šie ziņojumi norāda uz drošuma signālu – </w:t>
      </w:r>
      <w:r w:rsidRPr="004D29D7">
        <w:rPr>
          <w:rFonts w:ascii="Times New Roman" w:hAnsi="Times New Roman" w:cs="Times New Roman"/>
          <w:b w:val="0"/>
          <w:bCs/>
          <w:color w:val="auto"/>
          <w:sz w:val="24"/>
          <w:szCs w:val="24"/>
          <w:lang w:val="lv-LV"/>
        </w:rPr>
        <w:lastRenderedPageBreak/>
        <w:t>informāciju par jaunām vai izmainītām blakusparādībām, kas potenciāli varētu būt saistītas ar zālēm vai vakcīnu un kuru gadījumā nepieciešama tālāka iz</w:t>
      </w:r>
      <w:r w:rsidR="007E450F">
        <w:rPr>
          <w:rFonts w:ascii="Times New Roman" w:hAnsi="Times New Roman" w:cs="Times New Roman"/>
          <w:b w:val="0"/>
          <w:bCs/>
          <w:color w:val="auto"/>
          <w:sz w:val="24"/>
          <w:szCs w:val="24"/>
          <w:lang w:val="lv-LV"/>
        </w:rPr>
        <w:t>vērtē</w:t>
      </w:r>
      <w:r w:rsidRPr="004D29D7">
        <w:rPr>
          <w:rFonts w:ascii="Times New Roman" w:hAnsi="Times New Roman" w:cs="Times New Roman"/>
          <w:b w:val="0"/>
          <w:bCs/>
          <w:color w:val="auto"/>
          <w:sz w:val="24"/>
          <w:szCs w:val="24"/>
          <w:lang w:val="lv-LV"/>
        </w:rPr>
        <w:t xml:space="preserve">šana. Vērtēšanā tiks novērtēts arī risks to pacientu populācijā, kuriem iepriekš jau ir bijusi minētā slimība. </w:t>
      </w:r>
    </w:p>
    <w:p w14:paraId="348D6C55" w14:textId="77777777" w:rsidR="00937791" w:rsidRPr="004D29D7" w:rsidRDefault="00937791" w:rsidP="00937791">
      <w:pPr>
        <w:pStyle w:val="H3"/>
        <w:spacing w:before="0" w:after="120" w:line="280" w:lineRule="exact"/>
        <w:jc w:val="both"/>
        <w:rPr>
          <w:rFonts w:ascii="Times New Roman" w:hAnsi="Times New Roman" w:cs="Times New Roman"/>
          <w:b w:val="0"/>
          <w:bCs/>
          <w:color w:val="auto"/>
          <w:sz w:val="24"/>
          <w:szCs w:val="24"/>
          <w:lang w:val="lv-LV"/>
        </w:rPr>
      </w:pPr>
      <w:r w:rsidRPr="004D29D7">
        <w:rPr>
          <w:rFonts w:ascii="Times New Roman" w:hAnsi="Times New Roman" w:cs="Times New Roman"/>
          <w:b w:val="0"/>
          <w:bCs/>
          <w:color w:val="auto"/>
          <w:sz w:val="24"/>
          <w:szCs w:val="24"/>
          <w:lang w:val="lv-LV"/>
        </w:rPr>
        <w:t>PRAC izvērtēs visus pieejamos datus, lai nolemtu, vai cēloņsakarība uzskatāma par iespējamu. EZA informēs par PRAC vērtēšanas iznākumu.</w:t>
      </w:r>
    </w:p>
    <w:p w14:paraId="6F307A55" w14:textId="77777777" w:rsidR="007B7F4D" w:rsidRPr="003E2D9F" w:rsidRDefault="007B7F4D" w:rsidP="007B7F4D">
      <w:pPr>
        <w:pStyle w:val="BodytextAgency"/>
        <w:rPr>
          <w:color w:val="auto"/>
          <w:highlight w:val="yellow"/>
          <w:lang w:val="lv-LV"/>
        </w:rPr>
      </w:pPr>
    </w:p>
    <w:p w14:paraId="55C2DC7F" w14:textId="361E94F5" w:rsidR="001651CF" w:rsidRPr="006E68AD" w:rsidRDefault="001651CF" w:rsidP="003015F1">
      <w:pPr>
        <w:pStyle w:val="ListParagraph"/>
        <w:numPr>
          <w:ilvl w:val="0"/>
          <w:numId w:val="1"/>
        </w:numPr>
        <w:jc w:val="both"/>
        <w:rPr>
          <w:rFonts w:asciiTheme="majorBidi" w:hAnsiTheme="majorBidi" w:cstheme="majorBidi"/>
          <w:b/>
          <w:lang w:val="lv-LV"/>
        </w:rPr>
      </w:pPr>
      <w:r w:rsidRPr="006E68AD">
        <w:rPr>
          <w:rFonts w:asciiTheme="majorBidi" w:hAnsiTheme="majorBidi" w:cstheme="majorBidi"/>
          <w:b/>
          <w:lang w:val="lv-LV"/>
        </w:rPr>
        <w:t>Kā tiek veikta drošuma uzraudzība?</w:t>
      </w:r>
    </w:p>
    <w:p w14:paraId="2F91D997" w14:textId="77777777" w:rsidR="001651CF" w:rsidRPr="006E68AD" w:rsidRDefault="001651CF" w:rsidP="003015F1">
      <w:pPr>
        <w:jc w:val="both"/>
        <w:rPr>
          <w:rFonts w:asciiTheme="majorBidi" w:hAnsiTheme="majorBidi" w:cstheme="majorBidi"/>
          <w:lang w:val="lv-LV"/>
        </w:rPr>
      </w:pPr>
    </w:p>
    <w:p w14:paraId="09554D73" w14:textId="69AA9EF9" w:rsidR="001651CF" w:rsidRDefault="001651CF" w:rsidP="003015F1">
      <w:pPr>
        <w:jc w:val="both"/>
        <w:rPr>
          <w:rFonts w:asciiTheme="majorBidi" w:hAnsiTheme="majorBidi" w:cstheme="majorBidi"/>
          <w:lang w:val="lv-LV"/>
        </w:rPr>
      </w:pPr>
      <w:r w:rsidRPr="006E68AD">
        <w:rPr>
          <w:rFonts w:asciiTheme="majorBidi" w:hAnsiTheme="majorBidi" w:cstheme="majorBidi"/>
          <w:lang w:val="lv-LV"/>
        </w:rPr>
        <w:t xml:space="preserve">Būtiska jaunākā informācija par </w:t>
      </w:r>
      <w:proofErr w:type="spellStart"/>
      <w:r w:rsidRPr="006E68AD">
        <w:rPr>
          <w:rFonts w:asciiTheme="majorBidi" w:hAnsiTheme="majorBidi" w:cstheme="majorBidi"/>
          <w:i/>
          <w:lang w:val="lv-LV"/>
        </w:rPr>
        <w:t>Spikevax</w:t>
      </w:r>
      <w:proofErr w:type="spellEnd"/>
      <w:r w:rsidRPr="006E68AD">
        <w:rPr>
          <w:rFonts w:asciiTheme="majorBidi" w:hAnsiTheme="majorBidi" w:cstheme="majorBidi"/>
          <w:lang w:val="lv-LV"/>
        </w:rPr>
        <w:t xml:space="preserve">, kā arī visām pārējām Covid-19 vakcīnām tiek apkopota un savlaicīgi izvērtēta. Tas tiek veikts saskaņā ar ES normatīvā regulējuma sadarbības tīkla (ko veido ES dalībvalstu normatīvā regulējuma struktūras, EZA un Eiropas Komisija) izstrādāto </w:t>
      </w:r>
      <w:hyperlink r:id="rId11" w:anchor="covid-19-vaccines:-pharmacovigilance-plan-section" w:history="1">
        <w:r w:rsidRPr="006E68AD">
          <w:rPr>
            <w:rStyle w:val="Hyperlink"/>
            <w:rFonts w:asciiTheme="majorBidi" w:hAnsiTheme="majorBidi" w:cstheme="majorBidi"/>
            <w:lang w:val="lv-LV"/>
          </w:rPr>
          <w:t>Covid-19 vakcīnu farmakovigilances plānu</w:t>
        </w:r>
      </w:hyperlink>
      <w:r w:rsidRPr="006E68AD">
        <w:rPr>
          <w:rFonts w:asciiTheme="majorBidi" w:hAnsiTheme="majorBidi" w:cstheme="majorBidi"/>
          <w:lang w:val="lv-LV"/>
        </w:rPr>
        <w:t>.</w:t>
      </w:r>
    </w:p>
    <w:p w14:paraId="51A19A69" w14:textId="3FAD93D3" w:rsidR="00DE22D3" w:rsidRPr="00DE22D3" w:rsidRDefault="00DE22D3" w:rsidP="003015F1">
      <w:pPr>
        <w:jc w:val="both"/>
        <w:rPr>
          <w:rFonts w:asciiTheme="majorBidi" w:hAnsiTheme="majorBidi" w:cstheme="majorBidi"/>
          <w:b/>
          <w:bCs/>
          <w:lang w:val="lv-LV"/>
        </w:rPr>
      </w:pPr>
    </w:p>
    <w:p w14:paraId="62F2B875" w14:textId="77777777" w:rsidR="00DE22D3" w:rsidRPr="00DE22D3" w:rsidRDefault="00DE22D3" w:rsidP="00DE22D3">
      <w:pPr>
        <w:pStyle w:val="Heading40"/>
        <w:keepNext/>
        <w:keepLines/>
        <w:shd w:val="clear" w:color="auto" w:fill="auto"/>
        <w:ind w:firstLine="0"/>
        <w:jc w:val="both"/>
        <w:rPr>
          <w:rFonts w:ascii="Times New Roman" w:hAnsi="Times New Roman" w:cs="Times New Roman"/>
          <w:b/>
          <w:bCs/>
          <w:sz w:val="24"/>
          <w:szCs w:val="24"/>
          <w:lang w:val="lv-LV"/>
        </w:rPr>
      </w:pPr>
      <w:bookmarkStart w:id="2" w:name="bookmark20"/>
      <w:bookmarkStart w:id="3" w:name="bookmark21"/>
      <w:r w:rsidRPr="00DE22D3">
        <w:rPr>
          <w:rFonts w:ascii="Times New Roman" w:hAnsi="Times New Roman" w:cs="Times New Roman"/>
          <w:b/>
          <w:bCs/>
          <w:sz w:val="24"/>
          <w:szCs w:val="24"/>
          <w:lang w:val="lv-LV" w:bidi="lv-LV"/>
        </w:rPr>
        <w:t>Drošuma ziņojumu kopsavilkums</w:t>
      </w:r>
      <w:bookmarkEnd w:id="2"/>
      <w:bookmarkEnd w:id="3"/>
    </w:p>
    <w:p w14:paraId="010CCBCA" w14:textId="3BC83CB2" w:rsidR="00DE22D3" w:rsidRPr="00DE22D3" w:rsidRDefault="00DE22D3" w:rsidP="00DE22D3">
      <w:pPr>
        <w:pStyle w:val="BodyText"/>
        <w:shd w:val="clear" w:color="auto" w:fill="auto"/>
        <w:spacing w:after="440" w:line="240" w:lineRule="auto"/>
        <w:jc w:val="both"/>
        <w:rPr>
          <w:rFonts w:ascii="Times New Roman" w:hAnsi="Times New Roman" w:cs="Times New Roman"/>
          <w:sz w:val="24"/>
          <w:szCs w:val="24"/>
          <w:lang w:val="lv-LV"/>
        </w:rPr>
      </w:pPr>
      <w:r w:rsidRPr="00DE22D3">
        <w:rPr>
          <w:rFonts w:ascii="Times New Roman" w:hAnsi="Times New Roman" w:cs="Times New Roman"/>
          <w:sz w:val="24"/>
          <w:szCs w:val="24"/>
          <w:lang w:val="lv-LV" w:bidi="lv-LV"/>
        </w:rPr>
        <w:t xml:space="preserve">Covid-19 vakcīnu farmakovigilances plāns ietver ikmēneša drošuma kopsavilkuma ziņojumus </w:t>
      </w:r>
      <w:r w:rsidRPr="000E4A4C">
        <w:rPr>
          <w:rFonts w:ascii="Times New Roman" w:hAnsi="Times New Roman" w:cs="Times New Roman"/>
          <w:iCs/>
          <w:sz w:val="24"/>
          <w:szCs w:val="24"/>
          <w:lang w:val="lv-LV" w:bidi="lv-LV"/>
        </w:rPr>
        <w:t>(</w:t>
      </w:r>
      <w:proofErr w:type="spellStart"/>
      <w:r w:rsidRPr="00DE22D3">
        <w:rPr>
          <w:rFonts w:ascii="Times New Roman" w:hAnsi="Times New Roman" w:cs="Times New Roman"/>
          <w:i/>
          <w:sz w:val="24"/>
          <w:szCs w:val="24"/>
          <w:lang w:val="lv-LV" w:bidi="lv-LV"/>
        </w:rPr>
        <w:t>Monthly</w:t>
      </w:r>
      <w:proofErr w:type="spellEnd"/>
      <w:r w:rsidRPr="00DE22D3">
        <w:rPr>
          <w:rFonts w:ascii="Times New Roman" w:hAnsi="Times New Roman" w:cs="Times New Roman"/>
          <w:i/>
          <w:sz w:val="24"/>
          <w:szCs w:val="24"/>
          <w:lang w:val="lv-LV" w:bidi="lv-LV"/>
        </w:rPr>
        <w:t xml:space="preserve"> </w:t>
      </w:r>
      <w:proofErr w:type="spellStart"/>
      <w:r w:rsidRPr="00DE22D3">
        <w:rPr>
          <w:rFonts w:ascii="Times New Roman" w:hAnsi="Times New Roman" w:cs="Times New Roman"/>
          <w:i/>
          <w:sz w:val="24"/>
          <w:szCs w:val="24"/>
          <w:lang w:val="lv-LV" w:bidi="lv-LV"/>
        </w:rPr>
        <w:t>Summary</w:t>
      </w:r>
      <w:proofErr w:type="spellEnd"/>
      <w:r w:rsidRPr="00DE22D3">
        <w:rPr>
          <w:rFonts w:ascii="Times New Roman" w:hAnsi="Times New Roman" w:cs="Times New Roman"/>
          <w:i/>
          <w:sz w:val="24"/>
          <w:szCs w:val="24"/>
          <w:lang w:val="lv-LV" w:bidi="lv-LV"/>
        </w:rPr>
        <w:t xml:space="preserve"> </w:t>
      </w:r>
      <w:proofErr w:type="spellStart"/>
      <w:r w:rsidRPr="00DE22D3">
        <w:rPr>
          <w:rFonts w:ascii="Times New Roman" w:hAnsi="Times New Roman" w:cs="Times New Roman"/>
          <w:i/>
          <w:sz w:val="24"/>
          <w:szCs w:val="24"/>
          <w:lang w:val="lv-LV" w:bidi="lv-LV"/>
        </w:rPr>
        <w:t>Safety</w:t>
      </w:r>
      <w:proofErr w:type="spellEnd"/>
      <w:r w:rsidRPr="00DE22D3">
        <w:rPr>
          <w:rFonts w:ascii="Times New Roman" w:hAnsi="Times New Roman" w:cs="Times New Roman"/>
          <w:i/>
          <w:sz w:val="24"/>
          <w:szCs w:val="24"/>
          <w:lang w:val="lv-LV" w:bidi="lv-LV"/>
        </w:rPr>
        <w:t xml:space="preserve"> </w:t>
      </w:r>
      <w:proofErr w:type="spellStart"/>
      <w:r w:rsidRPr="00DE22D3">
        <w:rPr>
          <w:rFonts w:ascii="Times New Roman" w:hAnsi="Times New Roman" w:cs="Times New Roman"/>
          <w:i/>
          <w:sz w:val="24"/>
          <w:szCs w:val="24"/>
          <w:lang w:val="lv-LV" w:bidi="lv-LV"/>
        </w:rPr>
        <w:t>Reports</w:t>
      </w:r>
      <w:proofErr w:type="spellEnd"/>
      <w:r w:rsidRPr="00DE22D3">
        <w:rPr>
          <w:rFonts w:ascii="Times New Roman" w:hAnsi="Times New Roman" w:cs="Times New Roman"/>
          <w:sz w:val="24"/>
          <w:szCs w:val="24"/>
          <w:lang w:val="lv-LV" w:bidi="lv-LV"/>
        </w:rPr>
        <w:t xml:space="preserve"> – </w:t>
      </w:r>
      <w:proofErr w:type="spellStart"/>
      <w:r w:rsidRPr="00DE22D3">
        <w:rPr>
          <w:rFonts w:ascii="Times New Roman" w:hAnsi="Times New Roman" w:cs="Times New Roman"/>
          <w:i/>
          <w:sz w:val="24"/>
          <w:szCs w:val="24"/>
          <w:lang w:val="lv-LV" w:bidi="lv-LV"/>
        </w:rPr>
        <w:t>MSSRs</w:t>
      </w:r>
      <w:proofErr w:type="spellEnd"/>
      <w:r w:rsidRPr="000E4A4C">
        <w:rPr>
          <w:rFonts w:ascii="Times New Roman" w:hAnsi="Times New Roman" w:cs="Times New Roman"/>
          <w:iCs/>
          <w:sz w:val="24"/>
          <w:szCs w:val="24"/>
          <w:lang w:val="lv-LV" w:bidi="lv-LV"/>
        </w:rPr>
        <w:t>)</w:t>
      </w:r>
      <w:r w:rsidRPr="00DE22D3">
        <w:rPr>
          <w:rFonts w:ascii="Times New Roman" w:hAnsi="Times New Roman" w:cs="Times New Roman"/>
          <w:sz w:val="24"/>
          <w:szCs w:val="24"/>
          <w:lang w:val="lv-LV" w:bidi="lv-LV"/>
        </w:rPr>
        <w:t xml:space="preserve">, ko apkopo reģistrācijas apliecības īpašnieki, atbalstot pandēmijas laikā lietoto Covid-19 vakcīnu laicīgu un pastāvīgu ieguvumu un risku novērtējumu. Paredzēts, ka </w:t>
      </w:r>
      <w:proofErr w:type="spellStart"/>
      <w:r w:rsidRPr="00DE22D3">
        <w:rPr>
          <w:rFonts w:ascii="Times New Roman" w:hAnsi="Times New Roman" w:cs="Times New Roman"/>
          <w:i/>
          <w:sz w:val="24"/>
          <w:szCs w:val="24"/>
          <w:lang w:val="lv-LV" w:bidi="lv-LV"/>
        </w:rPr>
        <w:t>MSSRs</w:t>
      </w:r>
      <w:proofErr w:type="spellEnd"/>
      <w:r w:rsidRPr="00DE22D3">
        <w:rPr>
          <w:rFonts w:ascii="Times New Roman" w:hAnsi="Times New Roman" w:cs="Times New Roman"/>
          <w:sz w:val="24"/>
          <w:szCs w:val="24"/>
          <w:lang w:val="lv-LV" w:bidi="lv-LV"/>
        </w:rPr>
        <w:t xml:space="preserve"> apkopo vismaz pirmos sešus reģistrācijas mēnešus (pēc tam pandēmijas drošuma ziņojumi var ietvert laika periodus, kas ir garāki par mēnesi). Šie ziņojumi papildina iesniegtos </w:t>
      </w:r>
      <w:hyperlink r:id="rId12" w:history="1">
        <w:r w:rsidRPr="00DE22D3">
          <w:rPr>
            <w:rFonts w:ascii="Times New Roman" w:hAnsi="Times New Roman" w:cs="Times New Roman"/>
            <w:color w:val="4465B0"/>
            <w:sz w:val="24"/>
            <w:szCs w:val="24"/>
            <w:u w:val="single"/>
            <w:lang w:val="lv-LV" w:bidi="lv-LV"/>
          </w:rPr>
          <w:t>periodiski atjaunināmos drošuma ziņojumus</w:t>
        </w:r>
        <w:r w:rsidRPr="00DE22D3">
          <w:rPr>
            <w:rFonts w:ascii="Times New Roman" w:hAnsi="Times New Roman" w:cs="Times New Roman"/>
            <w:color w:val="4465B0"/>
            <w:sz w:val="24"/>
            <w:szCs w:val="24"/>
            <w:lang w:val="lv-LV" w:bidi="lv-LV"/>
          </w:rPr>
          <w:t xml:space="preserve"> </w:t>
        </w:r>
      </w:hyperlink>
      <w:r w:rsidRPr="000E4A4C">
        <w:rPr>
          <w:rFonts w:ascii="Times New Roman" w:hAnsi="Times New Roman" w:cs="Times New Roman"/>
          <w:sz w:val="24"/>
          <w:szCs w:val="24"/>
          <w:lang w:val="lv-LV" w:bidi="lv-LV"/>
        </w:rPr>
        <w:t>(</w:t>
      </w:r>
      <w:proofErr w:type="spellStart"/>
      <w:r w:rsidRPr="00DE22D3">
        <w:rPr>
          <w:rFonts w:ascii="Times New Roman" w:hAnsi="Times New Roman" w:cs="Times New Roman"/>
          <w:i/>
          <w:iCs/>
          <w:sz w:val="24"/>
          <w:szCs w:val="24"/>
          <w:lang w:val="lv-LV" w:bidi="lv-LV"/>
        </w:rPr>
        <w:t>Periodic</w:t>
      </w:r>
      <w:proofErr w:type="spellEnd"/>
      <w:r w:rsidRPr="00DE22D3">
        <w:rPr>
          <w:rFonts w:ascii="Times New Roman" w:hAnsi="Times New Roman" w:cs="Times New Roman"/>
          <w:i/>
          <w:iCs/>
          <w:sz w:val="24"/>
          <w:szCs w:val="24"/>
          <w:lang w:val="lv-LV" w:bidi="lv-LV"/>
        </w:rPr>
        <w:t xml:space="preserve"> </w:t>
      </w:r>
      <w:proofErr w:type="spellStart"/>
      <w:r w:rsidRPr="00DE22D3">
        <w:rPr>
          <w:rFonts w:ascii="Times New Roman" w:hAnsi="Times New Roman" w:cs="Times New Roman"/>
          <w:i/>
          <w:iCs/>
          <w:sz w:val="24"/>
          <w:szCs w:val="24"/>
          <w:lang w:val="lv-LV" w:bidi="lv-LV"/>
        </w:rPr>
        <w:t>Safety</w:t>
      </w:r>
      <w:proofErr w:type="spellEnd"/>
      <w:r w:rsidRPr="00DE22D3">
        <w:rPr>
          <w:rFonts w:ascii="Times New Roman" w:hAnsi="Times New Roman" w:cs="Times New Roman"/>
          <w:i/>
          <w:iCs/>
          <w:sz w:val="24"/>
          <w:szCs w:val="24"/>
          <w:lang w:val="lv-LV" w:bidi="lv-LV"/>
        </w:rPr>
        <w:t xml:space="preserve"> </w:t>
      </w:r>
      <w:proofErr w:type="spellStart"/>
      <w:r w:rsidRPr="00DE22D3">
        <w:rPr>
          <w:rFonts w:ascii="Times New Roman" w:hAnsi="Times New Roman" w:cs="Times New Roman"/>
          <w:i/>
          <w:iCs/>
          <w:sz w:val="24"/>
          <w:szCs w:val="24"/>
          <w:lang w:val="lv-LV" w:bidi="lv-LV"/>
        </w:rPr>
        <w:t>Update</w:t>
      </w:r>
      <w:proofErr w:type="spellEnd"/>
      <w:r w:rsidRPr="00DE22D3">
        <w:rPr>
          <w:rFonts w:ascii="Times New Roman" w:hAnsi="Times New Roman" w:cs="Times New Roman"/>
          <w:i/>
          <w:iCs/>
          <w:sz w:val="24"/>
          <w:szCs w:val="24"/>
          <w:lang w:val="lv-LV" w:bidi="lv-LV"/>
        </w:rPr>
        <w:t xml:space="preserve"> </w:t>
      </w:r>
      <w:proofErr w:type="spellStart"/>
      <w:r w:rsidRPr="00DE22D3">
        <w:rPr>
          <w:rFonts w:ascii="Times New Roman" w:hAnsi="Times New Roman" w:cs="Times New Roman"/>
          <w:i/>
          <w:iCs/>
          <w:sz w:val="24"/>
          <w:szCs w:val="24"/>
          <w:lang w:val="lv-LV" w:bidi="lv-LV"/>
        </w:rPr>
        <w:t>Reports</w:t>
      </w:r>
      <w:proofErr w:type="spellEnd"/>
      <w:r w:rsidRPr="00DE22D3">
        <w:rPr>
          <w:rFonts w:ascii="Times New Roman" w:hAnsi="Times New Roman" w:cs="Times New Roman"/>
          <w:i/>
          <w:iCs/>
          <w:sz w:val="24"/>
          <w:szCs w:val="24"/>
          <w:lang w:val="lv-LV" w:bidi="lv-LV"/>
        </w:rPr>
        <w:t xml:space="preserve"> – </w:t>
      </w:r>
      <w:proofErr w:type="spellStart"/>
      <w:r w:rsidRPr="00DE22D3">
        <w:rPr>
          <w:rFonts w:ascii="Times New Roman" w:hAnsi="Times New Roman" w:cs="Times New Roman"/>
          <w:i/>
          <w:iCs/>
          <w:sz w:val="24"/>
          <w:szCs w:val="24"/>
          <w:lang w:val="lv-LV" w:bidi="lv-LV"/>
        </w:rPr>
        <w:t>PSURs</w:t>
      </w:r>
      <w:proofErr w:type="spellEnd"/>
      <w:r w:rsidRPr="000E4A4C">
        <w:rPr>
          <w:rFonts w:ascii="Times New Roman" w:hAnsi="Times New Roman" w:cs="Times New Roman"/>
          <w:sz w:val="24"/>
          <w:szCs w:val="24"/>
          <w:lang w:val="lv-LV" w:bidi="lv-LV"/>
        </w:rPr>
        <w:t>).</w:t>
      </w:r>
    </w:p>
    <w:p w14:paraId="2888F538" w14:textId="77777777" w:rsidR="001651CF" w:rsidRPr="006E68AD" w:rsidRDefault="001651CF" w:rsidP="003015F1">
      <w:pPr>
        <w:jc w:val="both"/>
        <w:rPr>
          <w:rFonts w:asciiTheme="majorBidi" w:hAnsiTheme="majorBidi" w:cstheme="majorBidi"/>
          <w:lang w:val="lv-LV"/>
        </w:rPr>
      </w:pPr>
    </w:p>
    <w:p w14:paraId="293420EA" w14:textId="77777777" w:rsidR="001651CF" w:rsidRPr="006E68AD" w:rsidRDefault="001651CF" w:rsidP="003015F1">
      <w:pPr>
        <w:jc w:val="both"/>
        <w:rPr>
          <w:rFonts w:asciiTheme="majorBidi" w:hAnsiTheme="majorBidi" w:cstheme="majorBidi"/>
          <w:b/>
          <w:lang w:val="lv-LV"/>
        </w:rPr>
      </w:pPr>
      <w:r w:rsidRPr="006E68AD">
        <w:rPr>
          <w:rFonts w:asciiTheme="majorBidi" w:hAnsiTheme="majorBidi" w:cstheme="majorBidi"/>
          <w:b/>
          <w:lang w:val="lv-LV"/>
        </w:rPr>
        <w:t>Ziņojumi par iespējamu blakusparādību gadījumiem</w:t>
      </w:r>
    </w:p>
    <w:p w14:paraId="4FDF73FE" w14:textId="77777777" w:rsidR="001651CF" w:rsidRPr="006E68AD" w:rsidRDefault="001651CF" w:rsidP="003015F1">
      <w:pPr>
        <w:jc w:val="both"/>
        <w:rPr>
          <w:rFonts w:asciiTheme="majorBidi" w:hAnsiTheme="majorBidi" w:cstheme="majorBidi"/>
          <w:lang w:val="lv-LV"/>
        </w:rPr>
      </w:pPr>
    </w:p>
    <w:p w14:paraId="4A813FA9" w14:textId="3DA41289" w:rsidR="00D25A2D" w:rsidRPr="006E68AD" w:rsidRDefault="001651CF" w:rsidP="003015F1">
      <w:pPr>
        <w:jc w:val="both"/>
        <w:rPr>
          <w:rFonts w:asciiTheme="majorBidi" w:hAnsiTheme="majorBidi" w:cstheme="majorBidi"/>
          <w:lang w:val="lv-LV"/>
        </w:rPr>
      </w:pPr>
      <w:r w:rsidRPr="006E68AD">
        <w:rPr>
          <w:rFonts w:asciiTheme="majorBidi" w:hAnsiTheme="majorBidi" w:cstheme="majorBidi"/>
          <w:lang w:val="lv-LV"/>
        </w:rPr>
        <w:t xml:space="preserve">Ziņojumu apkopošana par medicīniskiem notikumiem un </w:t>
      </w:r>
      <w:r w:rsidR="000E4A4C">
        <w:rPr>
          <w:rFonts w:asciiTheme="majorBidi" w:hAnsiTheme="majorBidi" w:cstheme="majorBidi"/>
          <w:lang w:val="lv-LV"/>
        </w:rPr>
        <w:t>sarežģījumiem</w:t>
      </w:r>
      <w:r w:rsidRPr="006E68AD">
        <w:rPr>
          <w:rFonts w:asciiTheme="majorBidi" w:hAnsiTheme="majorBidi" w:cstheme="majorBidi"/>
          <w:lang w:val="lv-LV"/>
        </w:rPr>
        <w:t xml:space="preserve"> pēc zāļu lietošanas, kas varētu būt zāļu izraisītas blakusparādības, ir viens no ES drošuma uzraudzības sistēmas stūrakmeņiem. Veselības aprūpes speciālisti un vakcinēt</w:t>
      </w:r>
      <w:r w:rsidR="00D037A5" w:rsidRPr="006E68AD">
        <w:rPr>
          <w:rFonts w:asciiTheme="majorBidi" w:hAnsiTheme="majorBidi" w:cstheme="majorBidi"/>
          <w:lang w:val="lv-LV"/>
        </w:rPr>
        <w:t>ie</w:t>
      </w:r>
      <w:r w:rsidRPr="006E68AD">
        <w:rPr>
          <w:rFonts w:asciiTheme="majorBidi" w:hAnsiTheme="majorBidi" w:cstheme="majorBidi"/>
          <w:lang w:val="lv-LV"/>
        </w:rPr>
        <w:t xml:space="preserve"> </w:t>
      </w:r>
      <w:r w:rsidR="00D037A5" w:rsidRPr="006E68AD">
        <w:rPr>
          <w:rFonts w:asciiTheme="majorBidi" w:hAnsiTheme="majorBidi" w:cstheme="majorBidi"/>
          <w:lang w:val="lv-LV"/>
        </w:rPr>
        <w:t>cilvēki</w:t>
      </w:r>
      <w:r w:rsidRPr="006E68AD">
        <w:rPr>
          <w:rFonts w:asciiTheme="majorBidi" w:hAnsiTheme="majorBidi" w:cstheme="majorBidi"/>
          <w:lang w:val="lv-LV"/>
        </w:rPr>
        <w:t xml:space="preserve"> tiek aicināt</w:t>
      </w:r>
      <w:r w:rsidR="00D037A5" w:rsidRPr="006E68AD">
        <w:rPr>
          <w:rFonts w:asciiTheme="majorBidi" w:hAnsiTheme="majorBidi" w:cstheme="majorBidi"/>
          <w:lang w:val="lv-LV"/>
        </w:rPr>
        <w:t>i</w:t>
      </w:r>
      <w:r w:rsidRPr="006E68AD">
        <w:rPr>
          <w:rFonts w:asciiTheme="majorBidi" w:hAnsiTheme="majorBidi" w:cstheme="majorBidi"/>
          <w:lang w:val="lv-LV"/>
        </w:rPr>
        <w:t xml:space="preserve"> ziņot nacionālajām atbildīgajām iestādēm par visām pēc vakcīnas saņemšanas novērotajām iespējamām blakusparādībām, pat ja nav skaidri zināms, vai blakusparādību ir izraisījusi vakcīna.</w:t>
      </w:r>
    </w:p>
    <w:p w14:paraId="1C8CA07B" w14:textId="77777777" w:rsidR="00D25A2D" w:rsidRPr="006E68AD" w:rsidRDefault="00D25A2D" w:rsidP="003015F1">
      <w:pPr>
        <w:jc w:val="both"/>
        <w:rPr>
          <w:rFonts w:asciiTheme="majorBidi" w:hAnsiTheme="majorBidi" w:cstheme="majorBidi"/>
          <w:lang w:val="lv-LV"/>
        </w:rPr>
      </w:pPr>
    </w:p>
    <w:p w14:paraId="3B7B459B" w14:textId="008DD5B5" w:rsidR="00D25A2D" w:rsidRPr="00C37952" w:rsidRDefault="00D25A2D" w:rsidP="003015F1">
      <w:pPr>
        <w:jc w:val="both"/>
        <w:rPr>
          <w:rFonts w:asciiTheme="majorBidi" w:hAnsiTheme="majorBidi" w:cstheme="majorBidi"/>
          <w:lang w:val="lv-LV"/>
        </w:rPr>
      </w:pPr>
      <w:r w:rsidRPr="00C37952">
        <w:rPr>
          <w:rFonts w:asciiTheme="majorBidi" w:hAnsiTheme="majorBidi" w:cstheme="majorBidi"/>
          <w:lang w:val="lv-LV"/>
        </w:rPr>
        <w:t xml:space="preserve">Plašāka informācija par Latvijā saņemtajiem blakusparādību ziņojumiem pieejama </w:t>
      </w:r>
      <w:r w:rsidR="006E68AD" w:rsidRPr="00C37952">
        <w:rPr>
          <w:rFonts w:asciiTheme="majorBidi" w:hAnsiTheme="majorBidi" w:cstheme="majorBidi"/>
          <w:lang w:val="lv-LV"/>
        </w:rPr>
        <w:t>Zāļu valsts aģentūras (</w:t>
      </w:r>
      <w:r w:rsidRPr="00C37952">
        <w:rPr>
          <w:rFonts w:asciiTheme="majorBidi" w:hAnsiTheme="majorBidi" w:cstheme="majorBidi"/>
          <w:lang w:val="lv-LV"/>
        </w:rPr>
        <w:t>ZVA</w:t>
      </w:r>
      <w:r w:rsidR="006E68AD" w:rsidRPr="00C37952">
        <w:rPr>
          <w:rFonts w:asciiTheme="majorBidi" w:hAnsiTheme="majorBidi" w:cstheme="majorBidi"/>
          <w:lang w:val="lv-LV"/>
        </w:rPr>
        <w:t>)</w:t>
      </w:r>
      <w:r w:rsidRPr="00C37952">
        <w:rPr>
          <w:rFonts w:asciiTheme="majorBidi" w:hAnsiTheme="majorBidi" w:cstheme="majorBidi"/>
          <w:lang w:val="lv-LV"/>
        </w:rPr>
        <w:t xml:space="preserve"> tīmekļvietn</w:t>
      </w:r>
      <w:r w:rsidR="00D037A5" w:rsidRPr="00C37952">
        <w:rPr>
          <w:rFonts w:asciiTheme="majorBidi" w:hAnsiTheme="majorBidi" w:cstheme="majorBidi"/>
          <w:lang w:val="lv-LV"/>
        </w:rPr>
        <w:t>es</w:t>
      </w:r>
      <w:r w:rsidRPr="00C37952">
        <w:rPr>
          <w:rFonts w:asciiTheme="majorBidi" w:hAnsiTheme="majorBidi" w:cstheme="majorBidi"/>
          <w:lang w:val="lv-LV"/>
        </w:rPr>
        <w:t xml:space="preserve"> </w:t>
      </w:r>
      <w:hyperlink r:id="rId13" w:history="1">
        <w:r w:rsidRPr="00C37952">
          <w:rPr>
            <w:rStyle w:val="Hyperlink"/>
            <w:rFonts w:asciiTheme="majorBidi" w:hAnsiTheme="majorBidi" w:cstheme="majorBidi"/>
            <w:color w:val="auto"/>
            <w:lang w:val="lv-LV"/>
          </w:rPr>
          <w:t>www.zva.gov.lv</w:t>
        </w:r>
      </w:hyperlink>
      <w:r w:rsidRPr="00C37952">
        <w:rPr>
          <w:rFonts w:asciiTheme="majorBidi" w:hAnsiTheme="majorBidi" w:cstheme="majorBidi"/>
          <w:lang w:val="lv-LV"/>
        </w:rPr>
        <w:t xml:space="preserve"> sadaļā “Pacientiem un sabiedrībai – Vakcīnas pret Covid-19 – </w:t>
      </w:r>
      <w:hyperlink r:id="rId14" w:history="1">
        <w:r w:rsidRPr="00C37952">
          <w:rPr>
            <w:rStyle w:val="Hyperlink"/>
            <w:rFonts w:asciiTheme="majorBidi" w:hAnsiTheme="majorBidi" w:cstheme="majorBidi"/>
            <w:color w:val="auto"/>
            <w:lang w:val="lv-LV"/>
          </w:rPr>
          <w:t>Ziņojumi par blakusparādībām</w:t>
        </w:r>
      </w:hyperlink>
      <w:r w:rsidRPr="00C37952">
        <w:rPr>
          <w:rFonts w:asciiTheme="majorBidi" w:hAnsiTheme="majorBidi" w:cstheme="majorBidi"/>
          <w:lang w:val="lv-LV"/>
        </w:rPr>
        <w:t xml:space="preserve">”. </w:t>
      </w:r>
    </w:p>
    <w:p w14:paraId="032A1498" w14:textId="77777777" w:rsidR="00D25A2D" w:rsidRPr="00C37952" w:rsidRDefault="00D25A2D" w:rsidP="003015F1">
      <w:pPr>
        <w:jc w:val="both"/>
        <w:rPr>
          <w:rFonts w:asciiTheme="majorBidi" w:hAnsiTheme="majorBidi" w:cstheme="majorBidi"/>
          <w:lang w:val="lv-LV"/>
        </w:rPr>
      </w:pPr>
    </w:p>
    <w:p w14:paraId="0064B110" w14:textId="77777777" w:rsidR="00D25A2D" w:rsidRPr="00C37952" w:rsidRDefault="00D25A2D" w:rsidP="003015F1">
      <w:pPr>
        <w:jc w:val="both"/>
        <w:rPr>
          <w:rFonts w:asciiTheme="majorBidi" w:hAnsiTheme="majorBidi" w:cstheme="majorBidi"/>
          <w:lang w:val="lv-LV"/>
        </w:rPr>
      </w:pPr>
      <w:r w:rsidRPr="00C37952">
        <w:rPr>
          <w:rFonts w:asciiTheme="majorBidi" w:hAnsiTheme="majorBidi" w:cstheme="majorBidi"/>
          <w:lang w:val="lv-LV"/>
        </w:rPr>
        <w:t xml:space="preserve">Visi Latvijā saņemtie ziņojumi apkopotā veidā tiek ievadīti </w:t>
      </w:r>
      <w:proofErr w:type="spellStart"/>
      <w:r w:rsidRPr="000E4A4C">
        <w:rPr>
          <w:rFonts w:asciiTheme="majorBidi" w:hAnsiTheme="majorBidi" w:cstheme="majorBidi"/>
          <w:i/>
          <w:iCs/>
          <w:lang w:val="lv-LV"/>
        </w:rPr>
        <w:t>EudraVigilance</w:t>
      </w:r>
      <w:proofErr w:type="spellEnd"/>
      <w:r w:rsidRPr="00C37952">
        <w:rPr>
          <w:rFonts w:asciiTheme="majorBidi" w:hAnsiTheme="majorBidi" w:cstheme="majorBidi"/>
          <w:lang w:val="lv-LV"/>
        </w:rPr>
        <w:t xml:space="preserve"> – ES datubāzē, kas tiek izmantota iespējamu blakusparādību uzraudzībai un izvērtēšanai. </w:t>
      </w:r>
    </w:p>
    <w:p w14:paraId="31E95BE0" w14:textId="77777777" w:rsidR="00D25A2D" w:rsidRPr="00C37952" w:rsidRDefault="00D25A2D" w:rsidP="003015F1">
      <w:pPr>
        <w:jc w:val="both"/>
        <w:rPr>
          <w:rFonts w:asciiTheme="majorBidi" w:hAnsiTheme="majorBidi" w:cstheme="majorBidi"/>
          <w:lang w:val="lv-LV"/>
        </w:rPr>
      </w:pPr>
    </w:p>
    <w:p w14:paraId="60767F87" w14:textId="3B2253ED" w:rsidR="00D25A2D" w:rsidRPr="00C37952" w:rsidRDefault="00D25A2D" w:rsidP="003015F1">
      <w:pPr>
        <w:jc w:val="both"/>
        <w:rPr>
          <w:rFonts w:asciiTheme="majorBidi" w:hAnsiTheme="majorBidi" w:cstheme="majorBidi"/>
          <w:lang w:val="lv-LV"/>
        </w:rPr>
      </w:pPr>
      <w:bookmarkStart w:id="4" w:name="_Hlk83889616"/>
      <w:proofErr w:type="spellStart"/>
      <w:r w:rsidRPr="000E4A4C">
        <w:rPr>
          <w:rFonts w:asciiTheme="majorBidi" w:hAnsiTheme="majorBidi" w:cstheme="majorBidi"/>
          <w:i/>
          <w:iCs/>
          <w:lang w:val="lv-LV"/>
        </w:rPr>
        <w:t>EudraVigilance</w:t>
      </w:r>
      <w:proofErr w:type="spellEnd"/>
      <w:r w:rsidRPr="00C37952">
        <w:rPr>
          <w:rFonts w:asciiTheme="majorBidi" w:hAnsiTheme="majorBidi" w:cstheme="majorBidi"/>
          <w:lang w:val="lv-LV"/>
        </w:rPr>
        <w:t xml:space="preserve"> datubāzē publiski pieejamā informācija publicēta visās EZ/EEZ valodās</w:t>
      </w:r>
      <w:r w:rsidR="00D037A5" w:rsidRPr="00C37952">
        <w:rPr>
          <w:rFonts w:asciiTheme="majorBidi" w:hAnsiTheme="majorBidi" w:cstheme="majorBidi"/>
          <w:lang w:val="lv-LV"/>
        </w:rPr>
        <w:t>.</w:t>
      </w:r>
      <w:r w:rsidRPr="00C37952">
        <w:rPr>
          <w:rFonts w:asciiTheme="majorBidi" w:hAnsiTheme="majorBidi" w:cstheme="majorBidi"/>
          <w:lang w:val="lv-LV"/>
        </w:rPr>
        <w:t xml:space="preserve">  </w:t>
      </w:r>
      <w:bookmarkEnd w:id="4"/>
      <w:r w:rsidR="00C361E3" w:rsidRPr="00C37952">
        <w:fldChar w:fldCharType="begin"/>
      </w:r>
      <w:r w:rsidR="00C361E3" w:rsidRPr="00C37952">
        <w:rPr>
          <w:rFonts w:asciiTheme="majorBidi" w:hAnsiTheme="majorBidi" w:cstheme="majorBidi"/>
        </w:rPr>
        <w:instrText xml:space="preserve"> HYPERLINK "https://www.adrreports.eu/en/index.html" </w:instrText>
      </w:r>
      <w:r w:rsidR="00C361E3" w:rsidRPr="00C37952">
        <w:fldChar w:fldCharType="separate"/>
      </w:r>
      <w:proofErr w:type="spellStart"/>
      <w:r w:rsidRPr="000E4A4C">
        <w:rPr>
          <w:rStyle w:val="Hyperlink"/>
          <w:rFonts w:asciiTheme="majorBidi" w:hAnsiTheme="majorBidi" w:cstheme="majorBidi"/>
          <w:i/>
          <w:iCs/>
          <w:color w:val="auto"/>
          <w:lang w:val="lv-LV"/>
        </w:rPr>
        <w:t>EudraVigilance</w:t>
      </w:r>
      <w:proofErr w:type="spellEnd"/>
      <w:r w:rsidRPr="000E4A4C">
        <w:rPr>
          <w:rStyle w:val="Hyperlink"/>
          <w:rFonts w:asciiTheme="majorBidi" w:hAnsiTheme="majorBidi" w:cstheme="majorBidi"/>
          <w:i/>
          <w:iCs/>
          <w:color w:val="auto"/>
          <w:lang w:val="lv-LV"/>
        </w:rPr>
        <w:t xml:space="preserve"> </w:t>
      </w:r>
      <w:r w:rsidR="00D037A5" w:rsidRPr="00C37952">
        <w:rPr>
          <w:rStyle w:val="Hyperlink"/>
          <w:rFonts w:asciiTheme="majorBidi" w:hAnsiTheme="majorBidi" w:cstheme="majorBidi"/>
          <w:color w:val="auto"/>
          <w:lang w:val="lv-LV"/>
        </w:rPr>
        <w:t>-</w:t>
      </w:r>
      <w:r w:rsidRPr="00C37952">
        <w:rPr>
          <w:rStyle w:val="Hyperlink"/>
          <w:rFonts w:asciiTheme="majorBidi" w:hAnsiTheme="majorBidi" w:cstheme="majorBidi"/>
          <w:color w:val="auto"/>
          <w:lang w:val="lv-LV"/>
        </w:rPr>
        <w:t xml:space="preserve"> Eiropas iespējamo zāļu blakusparādību ziņojumu datubāze</w:t>
      </w:r>
      <w:r w:rsidR="00C361E3" w:rsidRPr="00C37952">
        <w:rPr>
          <w:rStyle w:val="Hyperlink"/>
          <w:rFonts w:asciiTheme="majorBidi" w:hAnsiTheme="majorBidi" w:cstheme="majorBidi"/>
          <w:color w:val="auto"/>
          <w:lang w:val="lv-LV"/>
        </w:rPr>
        <w:fldChar w:fldCharType="end"/>
      </w:r>
      <w:r w:rsidR="00D037A5" w:rsidRPr="00C37952">
        <w:rPr>
          <w:rStyle w:val="Hyperlink"/>
          <w:rFonts w:asciiTheme="majorBidi" w:hAnsiTheme="majorBidi" w:cstheme="majorBidi"/>
          <w:color w:val="auto"/>
          <w:lang w:val="lv-LV"/>
        </w:rPr>
        <w:t xml:space="preserve"> - ir pieejama šeit</w:t>
      </w:r>
      <w:r w:rsidRPr="00C37952">
        <w:rPr>
          <w:rFonts w:asciiTheme="majorBidi" w:hAnsiTheme="majorBidi" w:cstheme="majorBidi"/>
          <w:lang w:val="lv-LV"/>
        </w:rPr>
        <w:t>.</w:t>
      </w:r>
    </w:p>
    <w:p w14:paraId="2EFA74D4" w14:textId="77777777" w:rsidR="00C37952" w:rsidRPr="006E68AD" w:rsidRDefault="00C37952" w:rsidP="003015F1">
      <w:pPr>
        <w:jc w:val="both"/>
        <w:rPr>
          <w:rFonts w:asciiTheme="majorBidi" w:hAnsiTheme="majorBidi" w:cstheme="majorBidi"/>
          <w:lang w:val="lv-LV"/>
        </w:rPr>
      </w:pPr>
    </w:p>
    <w:p w14:paraId="38F3EBFF" w14:textId="36FBD701" w:rsidR="001651CF" w:rsidRPr="006E68AD" w:rsidRDefault="001651CF" w:rsidP="003015F1">
      <w:pPr>
        <w:jc w:val="both"/>
        <w:rPr>
          <w:rFonts w:asciiTheme="majorBidi" w:hAnsiTheme="majorBidi" w:cstheme="majorBidi"/>
          <w:lang w:val="lv-LV"/>
        </w:rPr>
      </w:pPr>
      <w:r w:rsidRPr="006E68AD">
        <w:rPr>
          <w:rFonts w:asciiTheme="majorBidi" w:hAnsiTheme="majorBidi" w:cstheme="majorBidi"/>
          <w:lang w:val="lv-LV"/>
        </w:rPr>
        <w:lastRenderedPageBreak/>
        <w:t xml:space="preserve">Lai aplūkotu visus ziņojumus par iespējamām </w:t>
      </w:r>
      <w:proofErr w:type="spellStart"/>
      <w:r w:rsidRPr="006E68AD">
        <w:rPr>
          <w:rFonts w:asciiTheme="majorBidi" w:hAnsiTheme="majorBidi" w:cstheme="majorBidi"/>
          <w:i/>
          <w:lang w:val="lv-LV"/>
        </w:rPr>
        <w:t>Spikevax</w:t>
      </w:r>
      <w:proofErr w:type="spellEnd"/>
      <w:r w:rsidRPr="006E68AD">
        <w:rPr>
          <w:rFonts w:asciiTheme="majorBidi" w:hAnsiTheme="majorBidi" w:cstheme="majorBidi"/>
          <w:lang w:val="lv-LV"/>
        </w:rPr>
        <w:t xml:space="preserve"> blakusparādībām, meklējiet “COVID-19 MRNA VACCINE MODERNA (CX-024414)”.</w:t>
      </w:r>
    </w:p>
    <w:p w14:paraId="00B16152" w14:textId="77777777" w:rsidR="001651CF" w:rsidRPr="006E68AD" w:rsidRDefault="001651CF" w:rsidP="003015F1">
      <w:pPr>
        <w:jc w:val="both"/>
        <w:rPr>
          <w:rFonts w:asciiTheme="majorBidi" w:hAnsiTheme="majorBidi" w:cstheme="majorBidi"/>
          <w:lang w:val="lv-LV"/>
        </w:rPr>
      </w:pPr>
    </w:p>
    <w:p w14:paraId="047BF855" w14:textId="3604512F" w:rsidR="001651CF" w:rsidRPr="00DE22D3" w:rsidRDefault="00A067D4" w:rsidP="00DE22D3">
      <w:pPr>
        <w:pStyle w:val="BodyText"/>
        <w:shd w:val="clear" w:color="auto" w:fill="auto"/>
        <w:spacing w:after="280" w:line="240" w:lineRule="auto"/>
        <w:jc w:val="both"/>
        <w:rPr>
          <w:rFonts w:ascii="Times New Roman" w:hAnsi="Times New Roman" w:cs="Times New Roman"/>
          <w:sz w:val="24"/>
          <w:szCs w:val="24"/>
          <w:lang w:val="lv-LV"/>
        </w:rPr>
      </w:pPr>
      <w:r w:rsidRPr="00A067D4">
        <w:rPr>
          <w:rFonts w:ascii="Times New Roman" w:hAnsi="Times New Roman" w:cs="Times New Roman"/>
          <w:bCs/>
          <w:color w:val="auto"/>
          <w:sz w:val="24"/>
          <w:szCs w:val="24"/>
          <w:lang w:val="lv-LV"/>
        </w:rPr>
        <w:t xml:space="preserve">Līdz 2021. gada 28. oktobrim </w:t>
      </w:r>
      <w:proofErr w:type="spellStart"/>
      <w:r w:rsidRPr="00A067D4">
        <w:rPr>
          <w:rFonts w:ascii="Times New Roman" w:hAnsi="Times New Roman" w:cs="Times New Roman"/>
          <w:bCs/>
          <w:i/>
          <w:iCs/>
          <w:color w:val="auto"/>
          <w:sz w:val="24"/>
          <w:szCs w:val="24"/>
          <w:lang w:val="lv-LV"/>
        </w:rPr>
        <w:t>EudraVigilance</w:t>
      </w:r>
      <w:proofErr w:type="spellEnd"/>
      <w:r w:rsidRPr="00A067D4">
        <w:rPr>
          <w:rFonts w:ascii="Times New Roman" w:hAnsi="Times New Roman" w:cs="Times New Roman"/>
          <w:bCs/>
          <w:color w:val="auto"/>
          <w:sz w:val="24"/>
          <w:szCs w:val="24"/>
          <w:lang w:val="lv-LV"/>
        </w:rPr>
        <w:t xml:space="preserve"> datubāzē saņemti spontāni ziņojumi par </w:t>
      </w:r>
      <w:r w:rsidRPr="00A067D4">
        <w:rPr>
          <w:rFonts w:ascii="Times New Roman" w:hAnsi="Times New Roman" w:cs="Times New Roman"/>
          <w:bCs/>
          <w:color w:val="000000"/>
          <w:sz w:val="24"/>
          <w:szCs w:val="24"/>
        </w:rPr>
        <w:t>94 636</w:t>
      </w:r>
      <w:r w:rsidRPr="00A067D4">
        <w:rPr>
          <w:rFonts w:ascii="Times New Roman" w:hAnsi="Times New Roman" w:cs="Times New Roman"/>
          <w:bCs/>
          <w:color w:val="auto"/>
          <w:sz w:val="24"/>
          <w:szCs w:val="24"/>
        </w:rPr>
        <w:t xml:space="preserve"> </w:t>
      </w:r>
      <w:proofErr w:type="spellStart"/>
      <w:r w:rsidRPr="00A067D4">
        <w:rPr>
          <w:rFonts w:ascii="Times New Roman" w:hAnsi="Times New Roman" w:cs="Times New Roman"/>
          <w:bCs/>
          <w:color w:val="auto"/>
          <w:sz w:val="24"/>
          <w:szCs w:val="24"/>
        </w:rPr>
        <w:t>iespējamiem</w:t>
      </w:r>
      <w:proofErr w:type="spellEnd"/>
      <w:r w:rsidRPr="00A067D4">
        <w:rPr>
          <w:rFonts w:ascii="Times New Roman" w:hAnsi="Times New Roman" w:cs="Times New Roman"/>
          <w:bCs/>
          <w:color w:val="auto"/>
          <w:sz w:val="24"/>
          <w:szCs w:val="24"/>
        </w:rPr>
        <w:t xml:space="preserve"> </w:t>
      </w:r>
      <w:proofErr w:type="spellStart"/>
      <w:r w:rsidRPr="00A067D4">
        <w:rPr>
          <w:rFonts w:ascii="Times New Roman" w:hAnsi="Times New Roman" w:cs="Times New Roman"/>
          <w:bCs/>
          <w:i/>
          <w:iCs/>
          <w:color w:val="auto"/>
          <w:sz w:val="24"/>
          <w:szCs w:val="24"/>
        </w:rPr>
        <w:t>Spikevax</w:t>
      </w:r>
      <w:proofErr w:type="spellEnd"/>
      <w:r w:rsidRPr="00A067D4">
        <w:rPr>
          <w:rFonts w:ascii="Times New Roman" w:hAnsi="Times New Roman" w:cs="Times New Roman"/>
          <w:bCs/>
          <w:i/>
          <w:iCs/>
          <w:color w:val="auto"/>
          <w:sz w:val="24"/>
          <w:szCs w:val="24"/>
        </w:rPr>
        <w:t xml:space="preserve"> </w:t>
      </w:r>
      <w:proofErr w:type="spellStart"/>
      <w:r w:rsidRPr="00A067D4">
        <w:rPr>
          <w:rFonts w:ascii="Times New Roman" w:hAnsi="Times New Roman" w:cs="Times New Roman"/>
          <w:bCs/>
          <w:color w:val="auto"/>
          <w:sz w:val="24"/>
          <w:szCs w:val="24"/>
        </w:rPr>
        <w:t>blakusparādību</w:t>
      </w:r>
      <w:proofErr w:type="spellEnd"/>
      <w:r w:rsidRPr="00A067D4">
        <w:rPr>
          <w:rFonts w:ascii="Times New Roman" w:hAnsi="Times New Roman" w:cs="Times New Roman"/>
          <w:bCs/>
          <w:color w:val="auto"/>
          <w:sz w:val="24"/>
          <w:szCs w:val="24"/>
        </w:rPr>
        <w:t xml:space="preserve"> </w:t>
      </w:r>
      <w:proofErr w:type="spellStart"/>
      <w:r w:rsidRPr="00A067D4">
        <w:rPr>
          <w:rFonts w:ascii="Times New Roman" w:hAnsi="Times New Roman" w:cs="Times New Roman"/>
          <w:bCs/>
          <w:color w:val="auto"/>
          <w:sz w:val="24"/>
          <w:szCs w:val="24"/>
        </w:rPr>
        <w:t>gadījumiem</w:t>
      </w:r>
      <w:proofErr w:type="spellEnd"/>
      <w:r w:rsidRPr="00A067D4">
        <w:rPr>
          <w:rFonts w:ascii="Times New Roman" w:hAnsi="Times New Roman" w:cs="Times New Roman"/>
          <w:bCs/>
          <w:color w:val="auto"/>
          <w:sz w:val="24"/>
          <w:szCs w:val="24"/>
        </w:rPr>
        <w:t xml:space="preserve"> ES/EEZ </w:t>
      </w:r>
      <w:proofErr w:type="spellStart"/>
      <w:r w:rsidRPr="00A067D4">
        <w:rPr>
          <w:rFonts w:ascii="Times New Roman" w:hAnsi="Times New Roman" w:cs="Times New Roman"/>
          <w:bCs/>
          <w:color w:val="auto"/>
          <w:sz w:val="24"/>
          <w:szCs w:val="24"/>
        </w:rPr>
        <w:t>valstīs</w:t>
      </w:r>
      <w:proofErr w:type="spellEnd"/>
      <w:r w:rsidRPr="00A067D4">
        <w:rPr>
          <w:rFonts w:ascii="Times New Roman" w:hAnsi="Times New Roman" w:cs="Times New Roman"/>
          <w:bCs/>
          <w:color w:val="auto"/>
          <w:sz w:val="24"/>
          <w:szCs w:val="24"/>
        </w:rPr>
        <w:t xml:space="preserve">; </w:t>
      </w:r>
      <w:r w:rsidRPr="00A067D4">
        <w:rPr>
          <w:rFonts w:ascii="Times New Roman" w:hAnsi="Times New Roman" w:cs="Times New Roman"/>
          <w:bCs/>
          <w:color w:val="000000"/>
          <w:sz w:val="24"/>
          <w:szCs w:val="24"/>
        </w:rPr>
        <w:t>549</w:t>
      </w:r>
      <w:r w:rsidRPr="00A067D4">
        <w:rPr>
          <w:rFonts w:ascii="Times New Roman" w:hAnsi="Times New Roman" w:cs="Times New Roman"/>
          <w:bCs/>
          <w:color w:val="auto"/>
          <w:sz w:val="24"/>
          <w:szCs w:val="24"/>
        </w:rPr>
        <w:t xml:space="preserve"> </w:t>
      </w:r>
      <w:r w:rsidRPr="00A067D4">
        <w:rPr>
          <w:rFonts w:ascii="Times New Roman" w:hAnsi="Times New Roman" w:cs="Times New Roman"/>
          <w:bCs/>
          <w:color w:val="auto"/>
          <w:sz w:val="24"/>
          <w:szCs w:val="24"/>
          <w:lang w:val="lv-LV"/>
        </w:rPr>
        <w:t>gadījumos ziņots par letālu iznākumu</w:t>
      </w:r>
      <w:r w:rsidR="00D5114E" w:rsidRPr="00D5114E">
        <w:rPr>
          <w:rFonts w:asciiTheme="majorBidi" w:hAnsiTheme="majorBidi" w:cstheme="majorBidi"/>
          <w:sz w:val="20"/>
          <w:szCs w:val="20"/>
          <w:vertAlign w:val="superscript"/>
          <w:lang w:val="lv-LV"/>
        </w:rPr>
        <w:t>2</w:t>
      </w:r>
      <w:r w:rsidR="00DE22D3" w:rsidRPr="00DE22D3">
        <w:rPr>
          <w:rFonts w:ascii="Times New Roman" w:hAnsi="Times New Roman" w:cs="Times New Roman"/>
          <w:color w:val="000000"/>
          <w:sz w:val="24"/>
          <w:szCs w:val="24"/>
          <w:vertAlign w:val="superscript"/>
          <w:lang w:val="lv-LV" w:bidi="lv-LV"/>
        </w:rPr>
        <w:t>,</w:t>
      </w:r>
      <w:r w:rsidR="00D5114E" w:rsidRPr="00D5114E">
        <w:rPr>
          <w:rFonts w:ascii="Times New Roman" w:hAnsi="Times New Roman" w:cs="Times New Roman"/>
          <w:bCs/>
          <w:color w:val="000000"/>
          <w:sz w:val="20"/>
          <w:szCs w:val="20"/>
          <w:vertAlign w:val="superscript"/>
        </w:rPr>
        <w:t>3</w:t>
      </w:r>
      <w:r w:rsidR="00DE22D3" w:rsidRPr="00DE22D3">
        <w:rPr>
          <w:rFonts w:ascii="Times New Roman" w:hAnsi="Times New Roman" w:cs="Times New Roman"/>
          <w:color w:val="000000"/>
          <w:sz w:val="24"/>
          <w:szCs w:val="24"/>
          <w:lang w:val="lv-LV" w:bidi="lv-LV"/>
        </w:rPr>
        <w:t xml:space="preserve">. Līdz tam pašam </w:t>
      </w:r>
      <w:r w:rsidR="00DE22D3" w:rsidRPr="00DE22D3">
        <w:rPr>
          <w:rFonts w:ascii="Times New Roman" w:hAnsi="Times New Roman" w:cs="Times New Roman"/>
          <w:vanish/>
          <w:color w:val="000000"/>
          <w:sz w:val="24"/>
          <w:szCs w:val="24"/>
          <w:vertAlign w:val="superscript"/>
          <w:lang w:val="lv-LV" w:bidi="lv-LV"/>
        </w:rPr>
        <w:footnoteReference w:id="2"/>
      </w:r>
      <w:r w:rsidR="00DE22D3" w:rsidRPr="00DE22D3">
        <w:rPr>
          <w:rFonts w:ascii="Times New Roman" w:hAnsi="Times New Roman" w:cs="Times New Roman"/>
          <w:vanish/>
          <w:color w:val="000000"/>
          <w:sz w:val="24"/>
          <w:szCs w:val="24"/>
          <w:vertAlign w:val="superscript"/>
          <w:lang w:val="lv-LV" w:bidi="lv-LV"/>
        </w:rPr>
        <w:t xml:space="preserve"> </w:t>
      </w:r>
      <w:r w:rsidR="00DE22D3" w:rsidRPr="00DE22D3">
        <w:rPr>
          <w:rFonts w:ascii="Times New Roman" w:hAnsi="Times New Roman" w:cs="Times New Roman"/>
          <w:vanish/>
          <w:color w:val="000000"/>
          <w:sz w:val="24"/>
          <w:szCs w:val="24"/>
          <w:vertAlign w:val="superscript"/>
          <w:lang w:val="lv-LV" w:bidi="lv-LV"/>
        </w:rPr>
        <w:footnoteReference w:id="3"/>
      </w:r>
      <w:r w:rsidR="00DE22D3" w:rsidRPr="00DE22D3">
        <w:rPr>
          <w:rFonts w:ascii="Times New Roman" w:hAnsi="Times New Roman" w:cs="Times New Roman"/>
          <w:vanish/>
          <w:color w:val="000000"/>
          <w:sz w:val="24"/>
          <w:szCs w:val="24"/>
          <w:vertAlign w:val="superscript"/>
          <w:lang w:val="lv-LV" w:bidi="lv-LV"/>
        </w:rPr>
        <w:t xml:space="preserve"> </w:t>
      </w:r>
      <w:r w:rsidR="00DE22D3" w:rsidRPr="00DE22D3">
        <w:rPr>
          <w:rFonts w:ascii="Times New Roman" w:hAnsi="Times New Roman" w:cs="Times New Roman"/>
          <w:color w:val="000000"/>
          <w:sz w:val="24"/>
          <w:szCs w:val="24"/>
          <w:lang w:val="lv-LV" w:bidi="lv-LV"/>
        </w:rPr>
        <w:t xml:space="preserve">datumam cilvēki ES/EEZ bija saņēmuši vairāk nekā </w:t>
      </w:r>
      <w:r>
        <w:rPr>
          <w:rFonts w:ascii="Times New Roman" w:hAnsi="Times New Roman" w:cs="Times New Roman"/>
          <w:color w:val="000000"/>
          <w:sz w:val="24"/>
          <w:szCs w:val="24"/>
          <w:lang w:val="lv-LV" w:bidi="lv-LV"/>
        </w:rPr>
        <w:t>61,6</w:t>
      </w:r>
      <w:r w:rsidR="00DE22D3" w:rsidRPr="00DE22D3">
        <w:rPr>
          <w:rFonts w:ascii="Times New Roman" w:hAnsi="Times New Roman" w:cs="Times New Roman"/>
          <w:color w:val="000000"/>
          <w:sz w:val="24"/>
          <w:szCs w:val="24"/>
          <w:lang w:val="lv-LV" w:bidi="lv-LV"/>
        </w:rPr>
        <w:t xml:space="preserve"> miljonus </w:t>
      </w:r>
      <w:proofErr w:type="spellStart"/>
      <w:r w:rsidR="00DE22D3" w:rsidRPr="00DE22D3">
        <w:rPr>
          <w:rFonts w:ascii="Times New Roman" w:hAnsi="Times New Roman" w:cs="Times New Roman"/>
          <w:i/>
          <w:color w:val="000000"/>
          <w:sz w:val="24"/>
          <w:szCs w:val="24"/>
          <w:lang w:val="lv-LV" w:bidi="lv-LV"/>
        </w:rPr>
        <w:t>Spikevax</w:t>
      </w:r>
      <w:proofErr w:type="spellEnd"/>
      <w:r w:rsidR="00DE22D3" w:rsidRPr="00DE22D3">
        <w:rPr>
          <w:rFonts w:ascii="Times New Roman" w:hAnsi="Times New Roman" w:cs="Times New Roman"/>
          <w:color w:val="000000"/>
          <w:sz w:val="24"/>
          <w:szCs w:val="24"/>
          <w:lang w:val="lv-LV" w:bidi="lv-LV"/>
        </w:rPr>
        <w:t xml:space="preserve"> devu</w:t>
      </w:r>
      <w:r w:rsidR="00DE22D3" w:rsidRPr="00DE22D3">
        <w:rPr>
          <w:rFonts w:ascii="Times New Roman" w:hAnsi="Times New Roman" w:cs="Times New Roman"/>
          <w:color w:val="000000"/>
          <w:sz w:val="24"/>
          <w:szCs w:val="24"/>
          <w:vertAlign w:val="superscript"/>
          <w:lang w:val="lv-LV" w:bidi="lv-LV"/>
        </w:rPr>
        <w:footnoteReference w:id="4"/>
      </w:r>
      <w:r w:rsidR="00DE22D3" w:rsidRPr="00DE22D3">
        <w:rPr>
          <w:rFonts w:ascii="Times New Roman" w:hAnsi="Times New Roman" w:cs="Times New Roman"/>
          <w:color w:val="000000"/>
          <w:sz w:val="24"/>
          <w:szCs w:val="24"/>
          <w:lang w:val="lv-LV" w:bidi="lv-LV"/>
        </w:rPr>
        <w:t>.</w:t>
      </w:r>
    </w:p>
    <w:p w14:paraId="22F28E2A" w14:textId="6AAE5FE1" w:rsidR="001651CF" w:rsidRPr="006E68AD" w:rsidRDefault="001651CF" w:rsidP="003015F1">
      <w:pPr>
        <w:jc w:val="both"/>
        <w:rPr>
          <w:rFonts w:asciiTheme="majorBidi" w:hAnsiTheme="majorBidi" w:cstheme="majorBidi"/>
          <w:b/>
          <w:lang w:val="lv-LV"/>
        </w:rPr>
      </w:pPr>
      <w:r w:rsidRPr="006E68AD">
        <w:rPr>
          <w:rFonts w:asciiTheme="majorBidi" w:hAnsiTheme="majorBidi" w:cstheme="majorBidi"/>
          <w:b/>
          <w:lang w:val="lv-LV"/>
        </w:rPr>
        <w:t xml:space="preserve">Šajos ziņojumos aprakstītas iespējamas blakusparādības, t.i., medicīniski notikumi, kas novēroti pēc vakcīnas ievadīšanas. Fakts, ka </w:t>
      </w:r>
      <w:r w:rsidR="00D037A5" w:rsidRPr="006E68AD">
        <w:rPr>
          <w:rFonts w:asciiTheme="majorBidi" w:hAnsiTheme="majorBidi" w:cstheme="majorBidi"/>
          <w:b/>
          <w:lang w:val="lv-LV"/>
        </w:rPr>
        <w:t>cilvēkam</w:t>
      </w:r>
      <w:r w:rsidRPr="006E68AD">
        <w:rPr>
          <w:rFonts w:asciiTheme="majorBidi" w:hAnsiTheme="majorBidi" w:cstheme="majorBidi"/>
          <w:b/>
          <w:lang w:val="lv-LV"/>
        </w:rPr>
        <w:t xml:space="preserve"> bijušas medicīniska rakstura problēmas vai </w:t>
      </w:r>
      <w:r w:rsidR="00D037A5" w:rsidRPr="006E68AD">
        <w:rPr>
          <w:rFonts w:asciiTheme="majorBidi" w:hAnsiTheme="majorBidi" w:cstheme="majorBidi"/>
          <w:b/>
          <w:lang w:val="lv-LV"/>
        </w:rPr>
        <w:t>cilvēks</w:t>
      </w:r>
      <w:r w:rsidRPr="006E68AD">
        <w:rPr>
          <w:rFonts w:asciiTheme="majorBidi" w:hAnsiTheme="majorBidi" w:cstheme="majorBidi"/>
          <w:b/>
          <w:lang w:val="lv-LV"/>
        </w:rPr>
        <w:t xml:space="preserve"> mir</w:t>
      </w:r>
      <w:r w:rsidR="00D037A5" w:rsidRPr="006E68AD">
        <w:rPr>
          <w:rFonts w:asciiTheme="majorBidi" w:hAnsiTheme="majorBidi" w:cstheme="majorBidi"/>
          <w:b/>
          <w:lang w:val="lv-LV"/>
        </w:rPr>
        <w:t>is</w:t>
      </w:r>
      <w:r w:rsidRPr="006E68AD">
        <w:rPr>
          <w:rFonts w:asciiTheme="majorBidi" w:hAnsiTheme="majorBidi" w:cstheme="majorBidi"/>
          <w:b/>
          <w:lang w:val="lv-LV"/>
        </w:rPr>
        <w:t xml:space="preserve"> pēc vakcīnas saņemšanas, nenozīmē, ka to izraisījusi vakcīna. To varēja izraisīt</w:t>
      </w:r>
      <w:r w:rsidR="002461C1" w:rsidRPr="006E68AD">
        <w:rPr>
          <w:rFonts w:asciiTheme="majorBidi" w:hAnsiTheme="majorBidi" w:cstheme="majorBidi"/>
          <w:b/>
          <w:lang w:val="lv-LV"/>
        </w:rPr>
        <w:t>, piemēram,</w:t>
      </w:r>
      <w:r w:rsidRPr="006E68AD">
        <w:rPr>
          <w:rFonts w:asciiTheme="majorBidi" w:hAnsiTheme="majorBidi" w:cstheme="majorBidi"/>
          <w:b/>
          <w:lang w:val="lv-LV"/>
        </w:rPr>
        <w:t xml:space="preserve"> ar vakcināciju nesaistītas medicīniskas problēmas.</w:t>
      </w:r>
    </w:p>
    <w:p w14:paraId="4E44A2B5" w14:textId="77777777" w:rsidR="001651CF" w:rsidRPr="006E68AD" w:rsidRDefault="001651CF" w:rsidP="003015F1">
      <w:pPr>
        <w:jc w:val="both"/>
        <w:rPr>
          <w:rFonts w:asciiTheme="majorBidi" w:hAnsiTheme="majorBidi" w:cstheme="majorBidi"/>
          <w:lang w:val="lv-LV"/>
        </w:rPr>
      </w:pPr>
    </w:p>
    <w:p w14:paraId="3A22D9DA" w14:textId="05C4A762" w:rsidR="001651CF" w:rsidRPr="006E68AD" w:rsidRDefault="001651CF" w:rsidP="003015F1">
      <w:pPr>
        <w:jc w:val="both"/>
        <w:rPr>
          <w:rFonts w:asciiTheme="majorBidi" w:hAnsiTheme="majorBidi" w:cstheme="majorBidi"/>
          <w:lang w:val="lv-LV"/>
        </w:rPr>
      </w:pPr>
      <w:r w:rsidRPr="006E68AD">
        <w:rPr>
          <w:rFonts w:asciiTheme="majorBidi" w:hAnsiTheme="majorBidi" w:cstheme="majorBidi"/>
          <w:lang w:val="lv-LV"/>
        </w:rPr>
        <w:t xml:space="preserve">ES normatīvā regulējuma tīkls rūpīgi uzrauga </w:t>
      </w:r>
      <w:proofErr w:type="spellStart"/>
      <w:r w:rsidRPr="00262B41">
        <w:rPr>
          <w:rFonts w:asciiTheme="majorBidi" w:hAnsiTheme="majorBidi" w:cstheme="majorBidi"/>
          <w:i/>
          <w:iCs/>
          <w:lang w:val="lv-LV"/>
        </w:rPr>
        <w:t>EudraVigilance</w:t>
      </w:r>
      <w:proofErr w:type="spellEnd"/>
      <w:r w:rsidRPr="006E68AD">
        <w:rPr>
          <w:rFonts w:asciiTheme="majorBidi" w:hAnsiTheme="majorBidi" w:cstheme="majorBidi"/>
          <w:lang w:val="lv-LV"/>
        </w:rPr>
        <w:t xml:space="preserve">, lai atklātu jebkādas jaunas bažas par drošumu. </w:t>
      </w:r>
      <w:proofErr w:type="spellStart"/>
      <w:r w:rsidRPr="00262B41">
        <w:rPr>
          <w:rFonts w:asciiTheme="majorBidi" w:hAnsiTheme="majorBidi" w:cstheme="majorBidi"/>
          <w:i/>
          <w:iCs/>
          <w:lang w:val="lv-LV"/>
        </w:rPr>
        <w:t>EudraVigilance</w:t>
      </w:r>
      <w:proofErr w:type="spellEnd"/>
      <w:r w:rsidRPr="006E68AD">
        <w:rPr>
          <w:rFonts w:asciiTheme="majorBidi" w:hAnsiTheme="majorBidi" w:cstheme="majorBidi"/>
          <w:lang w:val="lv-LV"/>
        </w:rPr>
        <w:t xml:space="preserve"> datubāze balstīta uz veselības aprūpes speciālistu un pašu pacientu iesniegtajiem ziņojumiem par savu pieredzi. Uzraudzība ļauj atklāt neparastas vai negaidītas pazīmes ziņojumos, kas pārsūtīti tālākai iz</w:t>
      </w:r>
      <w:r w:rsidR="008846DD">
        <w:rPr>
          <w:rFonts w:asciiTheme="majorBidi" w:hAnsiTheme="majorBidi" w:cstheme="majorBidi"/>
          <w:lang w:val="lv-LV"/>
        </w:rPr>
        <w:t xml:space="preserve">vērtēšanai </w:t>
      </w:r>
      <w:r w:rsidRPr="006E68AD">
        <w:rPr>
          <w:rFonts w:asciiTheme="majorBidi" w:hAnsiTheme="majorBidi" w:cstheme="majorBidi"/>
          <w:lang w:val="lv-LV"/>
        </w:rPr>
        <w:t xml:space="preserve">un riska novērtēšanai. EZA detalizētajās vērtēšanās procedūrās tiek ņemti vērā visi pieejamie dati no visiem avotiem, lai izdarītu pamatotus secinājumus par vakcīnas drošumu. Šie dati ietver klīnisko pētījumu rezultātus, </w:t>
      </w:r>
      <w:proofErr w:type="spellStart"/>
      <w:r w:rsidRPr="00262B41">
        <w:rPr>
          <w:rFonts w:asciiTheme="majorBidi" w:hAnsiTheme="majorBidi" w:cstheme="majorBidi"/>
          <w:i/>
          <w:iCs/>
          <w:lang w:val="lv-LV"/>
        </w:rPr>
        <w:t>EudraVigilance</w:t>
      </w:r>
      <w:proofErr w:type="spellEnd"/>
      <w:r w:rsidRPr="006E68AD">
        <w:rPr>
          <w:rFonts w:asciiTheme="majorBidi" w:hAnsiTheme="majorBidi" w:cstheme="majorBidi"/>
          <w:lang w:val="lv-LV"/>
        </w:rPr>
        <w:t xml:space="preserve"> saņemtos ziņojumus par iespējamām blakusparādībām, epidemioloģiskos pētījumus vakcīnu drošuma uzraudzībai, toksikoloģiskos izmeklējumus un jebkuru citu būtisku informāciju.</w:t>
      </w:r>
    </w:p>
    <w:p w14:paraId="6B1B20BD" w14:textId="61488ADC" w:rsidR="001651CF" w:rsidRPr="006E68AD" w:rsidRDefault="001651CF" w:rsidP="003015F1">
      <w:pPr>
        <w:jc w:val="both"/>
        <w:rPr>
          <w:rFonts w:asciiTheme="majorBidi" w:hAnsiTheme="majorBidi" w:cstheme="majorBidi"/>
          <w:lang w:val="lv-LV"/>
        </w:rPr>
      </w:pPr>
    </w:p>
    <w:p w14:paraId="31C4824F" w14:textId="77777777" w:rsidR="008E4BA8" w:rsidRPr="006E68AD" w:rsidRDefault="008E4BA8" w:rsidP="003015F1">
      <w:pPr>
        <w:jc w:val="both"/>
        <w:rPr>
          <w:rFonts w:asciiTheme="majorBidi" w:hAnsiTheme="majorBidi" w:cstheme="majorBidi"/>
          <w:b/>
          <w:lang w:val="lv-LV"/>
        </w:rPr>
      </w:pPr>
      <w:r w:rsidRPr="006E68AD">
        <w:rPr>
          <w:rFonts w:asciiTheme="majorBidi" w:hAnsiTheme="majorBidi" w:cstheme="majorBidi"/>
          <w:b/>
          <w:lang w:val="lv-LV"/>
        </w:rPr>
        <w:t>Plānotie un pašreizējie pētījumi</w:t>
      </w:r>
    </w:p>
    <w:p w14:paraId="5AC7E212" w14:textId="77777777" w:rsidR="008E4BA8" w:rsidRPr="006E68AD" w:rsidRDefault="008E4BA8" w:rsidP="003015F1">
      <w:pPr>
        <w:jc w:val="both"/>
        <w:rPr>
          <w:rFonts w:asciiTheme="majorBidi" w:hAnsiTheme="majorBidi" w:cstheme="majorBidi"/>
          <w:iCs/>
          <w:lang w:val="lv-LV"/>
        </w:rPr>
      </w:pPr>
    </w:p>
    <w:p w14:paraId="4138B06B" w14:textId="5EF30E64" w:rsidR="008E4BA8" w:rsidRPr="006E68AD" w:rsidRDefault="00D037A5" w:rsidP="003015F1">
      <w:pPr>
        <w:jc w:val="both"/>
        <w:rPr>
          <w:rFonts w:asciiTheme="majorBidi" w:hAnsiTheme="majorBidi" w:cstheme="majorBidi"/>
          <w:lang w:val="lv-LV"/>
        </w:rPr>
      </w:pPr>
      <w:r w:rsidRPr="006E68AD">
        <w:rPr>
          <w:rFonts w:asciiTheme="majorBidi" w:hAnsiTheme="majorBidi" w:cstheme="majorBidi"/>
          <w:iCs/>
          <w:lang w:val="lv-LV"/>
        </w:rPr>
        <w:t>Uzņēmums, kas reģistrējis vakcīnu</w:t>
      </w:r>
      <w:r w:rsidRPr="006E68AD">
        <w:rPr>
          <w:rFonts w:asciiTheme="majorBidi" w:hAnsiTheme="majorBidi" w:cstheme="majorBidi"/>
          <w:i/>
          <w:lang w:val="lv-LV"/>
        </w:rPr>
        <w:t xml:space="preserve"> </w:t>
      </w:r>
      <w:proofErr w:type="spellStart"/>
      <w:r w:rsidR="008E4BA8" w:rsidRPr="006E68AD">
        <w:rPr>
          <w:rFonts w:asciiTheme="majorBidi" w:hAnsiTheme="majorBidi" w:cstheme="majorBidi"/>
          <w:i/>
          <w:lang w:val="lv-LV"/>
        </w:rPr>
        <w:t>Spikevax</w:t>
      </w:r>
      <w:proofErr w:type="spellEnd"/>
      <w:r w:rsidRPr="006E68AD">
        <w:rPr>
          <w:rFonts w:asciiTheme="majorBidi" w:hAnsiTheme="majorBidi" w:cstheme="majorBidi"/>
          <w:i/>
          <w:lang w:val="lv-LV"/>
        </w:rPr>
        <w:t>,</w:t>
      </w:r>
      <w:r w:rsidR="008E4BA8" w:rsidRPr="006E68AD">
        <w:rPr>
          <w:rFonts w:asciiTheme="majorBidi" w:hAnsiTheme="majorBidi" w:cstheme="majorBidi"/>
          <w:lang w:val="lv-LV"/>
        </w:rPr>
        <w:t xml:space="preserve"> turpinās sniegt rezultātus no galvenā klīniskā pētījuma, kurš tiks pabeigts tuvāko divu gadu laikā. Uzņēmums veiks arī papildu pētījumus vakcīnas drošuma un efektivitātes uzraudzībai, turpinot tās izmantošanu vakcinācijas kampaņās un cita veida klīniskajā praksē. Plānoto un pašreizējo </w:t>
      </w:r>
      <w:proofErr w:type="spellStart"/>
      <w:r w:rsidR="008E4BA8" w:rsidRPr="006E68AD">
        <w:rPr>
          <w:rFonts w:asciiTheme="majorBidi" w:hAnsiTheme="majorBidi" w:cstheme="majorBidi"/>
          <w:i/>
          <w:lang w:val="lv-LV"/>
        </w:rPr>
        <w:t>Spikevax</w:t>
      </w:r>
      <w:proofErr w:type="spellEnd"/>
      <w:r w:rsidR="008E4BA8" w:rsidRPr="006E68AD">
        <w:rPr>
          <w:rFonts w:asciiTheme="majorBidi" w:hAnsiTheme="majorBidi" w:cstheme="majorBidi"/>
          <w:lang w:val="lv-LV"/>
        </w:rPr>
        <w:t xml:space="preserve"> drošuma pētījumu sarakstu skatīt sadaļā “</w:t>
      </w:r>
      <w:hyperlink r:id="rId15" w:history="1">
        <w:r w:rsidR="008E4BA8" w:rsidRPr="006E68AD">
          <w:rPr>
            <w:rStyle w:val="Hyperlink"/>
            <w:rFonts w:asciiTheme="majorBidi" w:hAnsiTheme="majorBidi" w:cstheme="majorBidi"/>
            <w:lang w:val="lv-LV"/>
          </w:rPr>
          <w:t>Riska vadības plāns</w:t>
        </w:r>
      </w:hyperlink>
      <w:r w:rsidR="008E4BA8" w:rsidRPr="006E68AD">
        <w:rPr>
          <w:rFonts w:asciiTheme="majorBidi" w:hAnsiTheme="majorBidi" w:cstheme="majorBidi"/>
          <w:lang w:val="lv-LV"/>
        </w:rPr>
        <w:t>”.</w:t>
      </w:r>
    </w:p>
    <w:p w14:paraId="36D4D795" w14:textId="77777777" w:rsidR="008E4BA8" w:rsidRPr="006E68AD" w:rsidRDefault="008E4BA8" w:rsidP="003015F1">
      <w:pPr>
        <w:jc w:val="both"/>
        <w:rPr>
          <w:rFonts w:asciiTheme="majorBidi" w:hAnsiTheme="majorBidi" w:cstheme="majorBidi"/>
          <w:lang w:val="lv-LV"/>
        </w:rPr>
      </w:pPr>
    </w:p>
    <w:p w14:paraId="1E5F3963" w14:textId="190EC828" w:rsidR="008E4BA8" w:rsidRPr="006E68AD" w:rsidRDefault="008E4BA8" w:rsidP="003015F1">
      <w:pPr>
        <w:jc w:val="both"/>
        <w:rPr>
          <w:rFonts w:asciiTheme="majorBidi" w:hAnsiTheme="majorBidi" w:cstheme="majorBidi"/>
          <w:lang w:val="lv-LV"/>
        </w:rPr>
      </w:pPr>
      <w:proofErr w:type="spellStart"/>
      <w:r w:rsidRPr="006E68AD">
        <w:rPr>
          <w:rFonts w:asciiTheme="majorBidi" w:hAnsiTheme="majorBidi" w:cstheme="majorBidi"/>
          <w:i/>
          <w:lang w:val="lv-LV"/>
        </w:rPr>
        <w:t>Spikevax</w:t>
      </w:r>
      <w:proofErr w:type="spellEnd"/>
      <w:r w:rsidRPr="006E68AD">
        <w:rPr>
          <w:rFonts w:asciiTheme="majorBidi" w:hAnsiTheme="majorBidi" w:cstheme="majorBidi"/>
          <w:lang w:val="lv-LV"/>
        </w:rPr>
        <w:t xml:space="preserve"> ir apstiprināts </w:t>
      </w:r>
      <w:hyperlink r:id="rId16" w:history="1">
        <w:r w:rsidRPr="006E68AD">
          <w:rPr>
            <w:rStyle w:val="Hyperlink"/>
            <w:rFonts w:asciiTheme="majorBidi" w:hAnsiTheme="majorBidi" w:cstheme="majorBidi"/>
            <w:lang w:val="lv-LV"/>
          </w:rPr>
          <w:t>pediatriskās izpētes plāns</w:t>
        </w:r>
      </w:hyperlink>
      <w:r w:rsidRPr="006E68AD">
        <w:rPr>
          <w:rFonts w:asciiTheme="majorBidi" w:hAnsiTheme="majorBidi" w:cstheme="majorBidi"/>
          <w:lang w:val="lv-LV"/>
        </w:rPr>
        <w:t xml:space="preserve"> (PIP). Tajā izklāstīts, kā uzņēmums apkopo datus par vakcīnas efektivitāti un drošumu tās izmantošanai bērniem.</w:t>
      </w:r>
    </w:p>
    <w:p w14:paraId="46293EAA" w14:textId="77777777" w:rsidR="008E4BA8" w:rsidRPr="006E68AD" w:rsidRDefault="008E4BA8" w:rsidP="003015F1">
      <w:pPr>
        <w:jc w:val="both"/>
        <w:rPr>
          <w:rFonts w:asciiTheme="majorBidi" w:hAnsiTheme="majorBidi" w:cstheme="majorBidi"/>
          <w:lang w:val="lv-LV"/>
        </w:rPr>
      </w:pPr>
    </w:p>
    <w:p w14:paraId="3755E656" w14:textId="4431700E" w:rsidR="008E4BA8" w:rsidRDefault="008E4BA8" w:rsidP="003015F1">
      <w:pPr>
        <w:jc w:val="both"/>
        <w:rPr>
          <w:rFonts w:asciiTheme="majorBidi" w:hAnsiTheme="majorBidi" w:cstheme="majorBidi"/>
          <w:lang w:val="lv-LV"/>
        </w:rPr>
      </w:pPr>
      <w:r w:rsidRPr="006E68AD">
        <w:rPr>
          <w:rFonts w:asciiTheme="majorBidi" w:hAnsiTheme="majorBidi" w:cstheme="majorBidi"/>
          <w:lang w:val="lv-LV"/>
        </w:rPr>
        <w:t xml:space="preserve">Turklāt EZA koordinē </w:t>
      </w:r>
      <w:hyperlink r:id="rId17" w:anchor="observational-research-section" w:history="1">
        <w:r w:rsidRPr="006E68AD">
          <w:rPr>
            <w:rStyle w:val="Hyperlink"/>
            <w:rFonts w:asciiTheme="majorBidi" w:hAnsiTheme="majorBidi" w:cstheme="majorBidi"/>
            <w:lang w:val="lv-LV"/>
          </w:rPr>
          <w:t>novērojumu pētījumus</w:t>
        </w:r>
      </w:hyperlink>
      <w:r w:rsidRPr="006E68AD">
        <w:rPr>
          <w:rFonts w:asciiTheme="majorBidi" w:hAnsiTheme="majorBidi" w:cstheme="majorBidi"/>
          <w:lang w:val="lv-LV"/>
        </w:rPr>
        <w:t xml:space="preserve"> ES dalībvalstīs, aplūkojot reālos datus par klīnisko praksi, lai uzraudzītu Covid-19 vakcīnu drošumu un efektivitāti, tostarp grūtnieču populācijā.</w:t>
      </w:r>
    </w:p>
    <w:p w14:paraId="37A49F67" w14:textId="77777777" w:rsidR="00262B41" w:rsidRPr="006E68AD" w:rsidRDefault="00262B41" w:rsidP="003015F1">
      <w:pPr>
        <w:jc w:val="both"/>
        <w:rPr>
          <w:rFonts w:asciiTheme="majorBidi" w:hAnsiTheme="majorBidi" w:cstheme="majorBidi"/>
          <w:lang w:val="lv-LV"/>
        </w:rPr>
      </w:pPr>
    </w:p>
    <w:p w14:paraId="37040F1C" w14:textId="17F01D7B" w:rsidR="008E4BA8" w:rsidRPr="006E68AD" w:rsidRDefault="008E4BA8" w:rsidP="003015F1">
      <w:pPr>
        <w:jc w:val="both"/>
        <w:rPr>
          <w:rFonts w:asciiTheme="majorBidi" w:hAnsiTheme="majorBidi" w:cstheme="majorBidi"/>
          <w:lang w:val="lv-LV"/>
        </w:rPr>
      </w:pPr>
    </w:p>
    <w:p w14:paraId="71A7AB3B" w14:textId="0905D278" w:rsidR="008E4BA8" w:rsidRPr="006E68AD" w:rsidRDefault="008E4BA8" w:rsidP="003015F1">
      <w:pPr>
        <w:pStyle w:val="ListParagraph"/>
        <w:numPr>
          <w:ilvl w:val="0"/>
          <w:numId w:val="1"/>
        </w:numPr>
        <w:jc w:val="both"/>
        <w:rPr>
          <w:rFonts w:asciiTheme="majorBidi" w:hAnsiTheme="majorBidi" w:cstheme="majorBidi"/>
          <w:b/>
          <w:lang w:val="lv-LV"/>
        </w:rPr>
      </w:pPr>
      <w:r w:rsidRPr="006E68AD">
        <w:rPr>
          <w:rFonts w:asciiTheme="majorBidi" w:hAnsiTheme="majorBidi" w:cstheme="majorBidi"/>
          <w:b/>
          <w:lang w:val="lv-LV"/>
        </w:rPr>
        <w:t xml:space="preserve">Cita informācija par </w:t>
      </w:r>
      <w:proofErr w:type="spellStart"/>
      <w:r w:rsidRPr="006E68AD">
        <w:rPr>
          <w:rFonts w:asciiTheme="majorBidi" w:hAnsiTheme="majorBidi" w:cstheme="majorBidi"/>
          <w:b/>
          <w:i/>
          <w:lang w:val="lv-LV"/>
        </w:rPr>
        <w:t>Spikevax</w:t>
      </w:r>
      <w:proofErr w:type="spellEnd"/>
    </w:p>
    <w:p w14:paraId="3F67F9AB" w14:textId="1778AC84" w:rsidR="008E4BA8" w:rsidRPr="006E68AD" w:rsidRDefault="008E4BA8" w:rsidP="003015F1">
      <w:pPr>
        <w:jc w:val="both"/>
        <w:rPr>
          <w:rFonts w:asciiTheme="majorBidi" w:hAnsiTheme="majorBidi" w:cstheme="majorBidi"/>
          <w:lang w:val="lv-LV"/>
        </w:rPr>
      </w:pPr>
    </w:p>
    <w:p w14:paraId="0B7F03B8" w14:textId="19B1E2A2" w:rsidR="008E4BA8" w:rsidRPr="006E68AD" w:rsidRDefault="008E4BA8" w:rsidP="003015F1">
      <w:pPr>
        <w:jc w:val="both"/>
        <w:rPr>
          <w:rFonts w:asciiTheme="majorBidi" w:hAnsiTheme="majorBidi" w:cstheme="majorBidi"/>
          <w:lang w:val="lv-LV"/>
        </w:rPr>
      </w:pPr>
      <w:proofErr w:type="spellStart"/>
      <w:r w:rsidRPr="006E68AD">
        <w:rPr>
          <w:rFonts w:asciiTheme="majorBidi" w:hAnsiTheme="majorBidi" w:cstheme="majorBidi"/>
          <w:i/>
          <w:lang w:val="lv-LV"/>
        </w:rPr>
        <w:t>Spikevax</w:t>
      </w:r>
      <w:proofErr w:type="spellEnd"/>
      <w:r w:rsidRPr="006E68AD">
        <w:rPr>
          <w:rFonts w:asciiTheme="majorBidi" w:hAnsiTheme="majorBidi" w:cstheme="majorBidi"/>
          <w:lang w:val="lv-LV"/>
        </w:rPr>
        <w:t xml:space="preserve"> (iepriekš – COVID-19 </w:t>
      </w:r>
      <w:proofErr w:type="spellStart"/>
      <w:r w:rsidRPr="006E68AD">
        <w:rPr>
          <w:rFonts w:asciiTheme="majorBidi" w:hAnsiTheme="majorBidi" w:cstheme="majorBidi"/>
          <w:lang w:val="lv-LV"/>
        </w:rPr>
        <w:t>Vaccine</w:t>
      </w:r>
      <w:proofErr w:type="spellEnd"/>
      <w:r w:rsidRPr="006E68AD">
        <w:rPr>
          <w:rFonts w:asciiTheme="majorBidi" w:hAnsiTheme="majorBidi" w:cstheme="majorBidi"/>
          <w:lang w:val="lv-LV"/>
        </w:rPr>
        <w:t xml:space="preserve"> Moderna) ir vakcīna, kas reģistrēta ES 2021. gada 6. janvārī Covid-19 novēršanai pēc inficēšanās ar SARS-CoV-2 koronavīrusu. Covid-19 ir potenciāli smagi noritoša slimība, kas var </w:t>
      </w:r>
      <w:r w:rsidR="002461C1" w:rsidRPr="006E68AD">
        <w:rPr>
          <w:rFonts w:asciiTheme="majorBidi" w:hAnsiTheme="majorBidi" w:cstheme="majorBidi"/>
          <w:lang w:val="lv-LV"/>
        </w:rPr>
        <w:t>būt nāvējoša</w:t>
      </w:r>
      <w:r w:rsidRPr="006E68AD">
        <w:rPr>
          <w:rFonts w:asciiTheme="majorBidi" w:hAnsiTheme="majorBidi" w:cstheme="majorBidi"/>
          <w:lang w:val="lv-LV"/>
        </w:rPr>
        <w:t xml:space="preserve">. Sākotnējā reģistrācija tika piešķirta vakcīnas lietošanai </w:t>
      </w:r>
      <w:r w:rsidR="00D037A5" w:rsidRPr="006E68AD">
        <w:rPr>
          <w:rFonts w:asciiTheme="majorBidi" w:hAnsiTheme="majorBidi" w:cstheme="majorBidi"/>
          <w:lang w:val="lv-LV"/>
        </w:rPr>
        <w:t>cilvēkiem</w:t>
      </w:r>
      <w:r w:rsidRPr="006E68AD">
        <w:rPr>
          <w:rFonts w:asciiTheme="majorBidi" w:hAnsiTheme="majorBidi" w:cstheme="majorBidi"/>
          <w:lang w:val="lv-LV"/>
        </w:rPr>
        <w:t xml:space="preserve"> no 18 gadu vecuma, bet 2021. gada 23. jūlijā reģistrācija tika paplašināta, ietverot vakcīnas lietošanu </w:t>
      </w:r>
      <w:r w:rsidR="00066D89" w:rsidRPr="006E68AD">
        <w:rPr>
          <w:rFonts w:asciiTheme="majorBidi" w:hAnsiTheme="majorBidi" w:cstheme="majorBidi"/>
          <w:lang w:val="lv-LV"/>
        </w:rPr>
        <w:t>cilvēkiem</w:t>
      </w:r>
      <w:r w:rsidRPr="006E68AD">
        <w:rPr>
          <w:rFonts w:asciiTheme="majorBidi" w:hAnsiTheme="majorBidi" w:cstheme="majorBidi"/>
          <w:lang w:val="lv-LV"/>
        </w:rPr>
        <w:t xml:space="preserve"> no 12 gadu vecuma.</w:t>
      </w:r>
    </w:p>
    <w:p w14:paraId="62C18D6C" w14:textId="365B6417" w:rsidR="008E4BA8" w:rsidRPr="006E68AD" w:rsidRDefault="008E4BA8" w:rsidP="003015F1">
      <w:pPr>
        <w:jc w:val="both"/>
        <w:rPr>
          <w:rFonts w:asciiTheme="majorBidi" w:hAnsiTheme="majorBidi" w:cstheme="majorBidi"/>
          <w:lang w:val="lv-LV"/>
        </w:rPr>
      </w:pPr>
    </w:p>
    <w:p w14:paraId="6B1BA9DC" w14:textId="1D30F301" w:rsidR="008E4BA8" w:rsidRPr="006E68AD" w:rsidRDefault="008E4BA8" w:rsidP="003015F1">
      <w:pPr>
        <w:jc w:val="both"/>
        <w:rPr>
          <w:rFonts w:asciiTheme="majorBidi" w:hAnsiTheme="majorBidi" w:cstheme="majorBidi"/>
          <w:lang w:val="lv-LV"/>
        </w:rPr>
      </w:pPr>
      <w:proofErr w:type="spellStart"/>
      <w:r w:rsidRPr="006E68AD">
        <w:rPr>
          <w:rFonts w:asciiTheme="majorBidi" w:hAnsiTheme="majorBidi" w:cstheme="majorBidi"/>
          <w:i/>
          <w:lang w:val="lv-LV"/>
        </w:rPr>
        <w:t>Spikevax</w:t>
      </w:r>
      <w:proofErr w:type="spellEnd"/>
      <w:r w:rsidRPr="006E68AD">
        <w:rPr>
          <w:rFonts w:asciiTheme="majorBidi" w:hAnsiTheme="majorBidi" w:cstheme="majorBidi"/>
          <w:lang w:val="lv-LV"/>
        </w:rPr>
        <w:t xml:space="preserve"> satur par mRNS dēvētu molekulu, kuru organisms izmanto īslaicīgai SARS-CoV-2 vīrusa piķa proteīna veidošanai. mRNS molekula organismā tiek noārdīta īsi pēc vakcinācijas. Pīķa proteīns neizraisa Covid-19.</w:t>
      </w:r>
    </w:p>
    <w:p w14:paraId="79E7410E" w14:textId="1C55587C" w:rsidR="008E4BA8" w:rsidRPr="006E68AD" w:rsidRDefault="008E4BA8" w:rsidP="003015F1">
      <w:pPr>
        <w:jc w:val="both"/>
        <w:rPr>
          <w:rFonts w:asciiTheme="majorBidi" w:hAnsiTheme="majorBidi" w:cstheme="majorBidi"/>
          <w:lang w:val="lv-LV"/>
        </w:rPr>
      </w:pPr>
    </w:p>
    <w:p w14:paraId="113058F4" w14:textId="514DD0FD" w:rsidR="008E4BA8" w:rsidRPr="006E68AD" w:rsidRDefault="008E4BA8" w:rsidP="003015F1">
      <w:pPr>
        <w:jc w:val="both"/>
        <w:rPr>
          <w:rFonts w:asciiTheme="majorBidi" w:hAnsiTheme="majorBidi" w:cstheme="majorBidi"/>
          <w:lang w:val="lv-LV"/>
        </w:rPr>
      </w:pPr>
      <w:r w:rsidRPr="006E68AD">
        <w:rPr>
          <w:rFonts w:asciiTheme="majorBidi" w:hAnsiTheme="majorBidi" w:cstheme="majorBidi"/>
          <w:lang w:val="lv-LV"/>
        </w:rPr>
        <w:t xml:space="preserve">Pirms </w:t>
      </w:r>
      <w:proofErr w:type="spellStart"/>
      <w:r w:rsidRPr="006E68AD">
        <w:rPr>
          <w:rFonts w:asciiTheme="majorBidi" w:hAnsiTheme="majorBidi" w:cstheme="majorBidi"/>
          <w:i/>
          <w:lang w:val="lv-LV"/>
        </w:rPr>
        <w:t>Spikevax</w:t>
      </w:r>
      <w:proofErr w:type="spellEnd"/>
      <w:r w:rsidRPr="006E68AD">
        <w:rPr>
          <w:rFonts w:asciiTheme="majorBidi" w:hAnsiTheme="majorBidi" w:cstheme="majorBidi"/>
          <w:lang w:val="lv-LV"/>
        </w:rPr>
        <w:t xml:space="preserve"> reģistrācijas ES</w:t>
      </w:r>
      <w:r w:rsidR="00C458AF" w:rsidRPr="006E68AD">
        <w:rPr>
          <w:rFonts w:asciiTheme="majorBidi" w:hAnsiTheme="majorBidi" w:cstheme="majorBidi"/>
          <w:lang w:val="lv-LV"/>
        </w:rPr>
        <w:t xml:space="preserve"> vakcīnas efektivitāte un drošums tika izvērtēta ar </w:t>
      </w:r>
      <w:proofErr w:type="spellStart"/>
      <w:r w:rsidR="00C458AF" w:rsidRPr="006E68AD">
        <w:rPr>
          <w:rFonts w:asciiTheme="majorBidi" w:hAnsiTheme="majorBidi" w:cstheme="majorBidi"/>
          <w:lang w:val="lv-LV"/>
        </w:rPr>
        <w:t>preklīnisko</w:t>
      </w:r>
      <w:proofErr w:type="spellEnd"/>
      <w:r w:rsidR="00C458AF" w:rsidRPr="006E68AD">
        <w:rPr>
          <w:rFonts w:asciiTheme="majorBidi" w:hAnsiTheme="majorBidi" w:cstheme="majorBidi"/>
          <w:lang w:val="lv-LV"/>
        </w:rPr>
        <w:t xml:space="preserve"> </w:t>
      </w:r>
      <w:r w:rsidR="002461C1" w:rsidRPr="006E68AD">
        <w:rPr>
          <w:rFonts w:asciiTheme="majorBidi" w:hAnsiTheme="majorBidi" w:cstheme="majorBidi"/>
          <w:lang w:val="lv-LV"/>
        </w:rPr>
        <w:t xml:space="preserve">pētījumu </w:t>
      </w:r>
      <w:r w:rsidR="00C458AF" w:rsidRPr="006E68AD">
        <w:rPr>
          <w:rFonts w:asciiTheme="majorBidi" w:hAnsiTheme="majorBidi" w:cstheme="majorBidi"/>
          <w:lang w:val="lv-LV"/>
        </w:rPr>
        <w:t>un lielu klīnisko pētījumu palīdzību. Šo vakcīnu klīnisko pētījumu ietvaros ir saņēmuši vairāk nekā 14 000 pētījumu dalībnieku.</w:t>
      </w:r>
    </w:p>
    <w:p w14:paraId="6BBE749D" w14:textId="048CA865" w:rsidR="00C458AF" w:rsidRPr="006E68AD" w:rsidRDefault="00C458AF" w:rsidP="003015F1">
      <w:pPr>
        <w:jc w:val="both"/>
        <w:rPr>
          <w:rFonts w:asciiTheme="majorBidi" w:hAnsiTheme="majorBidi" w:cstheme="majorBidi"/>
          <w:lang w:val="lv-LV"/>
        </w:rPr>
      </w:pPr>
    </w:p>
    <w:p w14:paraId="13787E79" w14:textId="4BAEAFD4" w:rsidR="00C458AF" w:rsidRPr="006E68AD" w:rsidRDefault="00C458AF" w:rsidP="003015F1">
      <w:pPr>
        <w:jc w:val="both"/>
        <w:rPr>
          <w:rFonts w:asciiTheme="majorBidi" w:hAnsiTheme="majorBidi" w:cstheme="majorBidi"/>
          <w:lang w:val="lv-LV"/>
        </w:rPr>
      </w:pPr>
      <w:r w:rsidRPr="006E68AD">
        <w:rPr>
          <w:rFonts w:asciiTheme="majorBidi" w:hAnsiTheme="majorBidi" w:cstheme="majorBidi"/>
          <w:lang w:val="lv-LV"/>
        </w:rPr>
        <w:t>Kā jebkuras zāles, arī šī vakcīna var izraisīt blakusparādības, tomēr ne vis</w:t>
      </w:r>
      <w:r w:rsidR="00D037A5" w:rsidRPr="006E68AD">
        <w:rPr>
          <w:rFonts w:asciiTheme="majorBidi" w:hAnsiTheme="majorBidi" w:cstheme="majorBidi"/>
          <w:lang w:val="lv-LV"/>
        </w:rPr>
        <w:t>iem</w:t>
      </w:r>
      <w:r w:rsidRPr="006E68AD">
        <w:rPr>
          <w:rFonts w:asciiTheme="majorBidi" w:hAnsiTheme="majorBidi" w:cstheme="majorBidi"/>
          <w:lang w:val="lv-LV"/>
        </w:rPr>
        <w:t xml:space="preserve"> </w:t>
      </w:r>
      <w:r w:rsidR="00D037A5" w:rsidRPr="006E68AD">
        <w:rPr>
          <w:rFonts w:asciiTheme="majorBidi" w:hAnsiTheme="majorBidi" w:cstheme="majorBidi"/>
          <w:lang w:val="lv-LV"/>
        </w:rPr>
        <w:t>cilvēkiem</w:t>
      </w:r>
      <w:r w:rsidRPr="006E68AD">
        <w:rPr>
          <w:rFonts w:asciiTheme="majorBidi" w:hAnsiTheme="majorBidi" w:cstheme="majorBidi"/>
          <w:lang w:val="lv-LV"/>
        </w:rPr>
        <w:t xml:space="preserve"> tādas būs. Biežākās zināmās </w:t>
      </w:r>
      <w:proofErr w:type="spellStart"/>
      <w:r w:rsidRPr="006E68AD">
        <w:rPr>
          <w:rFonts w:asciiTheme="majorBidi" w:hAnsiTheme="majorBidi" w:cstheme="majorBidi"/>
          <w:i/>
          <w:lang w:val="lv-LV"/>
        </w:rPr>
        <w:t>Spikevax</w:t>
      </w:r>
      <w:proofErr w:type="spellEnd"/>
      <w:r w:rsidRPr="006E68AD">
        <w:rPr>
          <w:rFonts w:asciiTheme="majorBidi" w:hAnsiTheme="majorBidi" w:cstheme="majorBidi"/>
          <w:lang w:val="lv-LV"/>
        </w:rPr>
        <w:t xml:space="preserve"> blakusparādības parasti ir vieglas vai vidēji smagas un pāriet pāris dienu laikā pēc vakcinācijas.</w:t>
      </w:r>
    </w:p>
    <w:p w14:paraId="10989511" w14:textId="77777777" w:rsidR="00C458AF" w:rsidRPr="006E68AD" w:rsidRDefault="00C458AF" w:rsidP="003015F1">
      <w:pPr>
        <w:jc w:val="both"/>
        <w:rPr>
          <w:rFonts w:asciiTheme="majorBidi" w:hAnsiTheme="majorBidi" w:cstheme="majorBidi"/>
          <w:lang w:val="lv-LV"/>
        </w:rPr>
      </w:pPr>
    </w:p>
    <w:p w14:paraId="489B6DFD" w14:textId="392A5787" w:rsidR="00C458AF" w:rsidRPr="006E68AD" w:rsidRDefault="00C458AF" w:rsidP="003015F1">
      <w:pPr>
        <w:jc w:val="both"/>
        <w:rPr>
          <w:rFonts w:asciiTheme="majorBidi" w:hAnsiTheme="majorBidi" w:cstheme="majorBidi"/>
          <w:lang w:val="lv-LV"/>
        </w:rPr>
      </w:pPr>
      <w:r w:rsidRPr="006E68AD">
        <w:rPr>
          <w:rFonts w:asciiTheme="majorBidi" w:hAnsiTheme="majorBidi" w:cstheme="majorBidi"/>
          <w:lang w:val="lv-LV"/>
        </w:rPr>
        <w:t xml:space="preserve">Plašāka informācija par </w:t>
      </w:r>
      <w:proofErr w:type="spellStart"/>
      <w:r w:rsidRPr="006E68AD">
        <w:rPr>
          <w:rFonts w:asciiTheme="majorBidi" w:hAnsiTheme="majorBidi" w:cstheme="majorBidi"/>
          <w:i/>
          <w:lang w:val="lv-LV"/>
        </w:rPr>
        <w:t>Spikevax</w:t>
      </w:r>
      <w:proofErr w:type="spellEnd"/>
      <w:r w:rsidRPr="006E68AD">
        <w:rPr>
          <w:rFonts w:asciiTheme="majorBidi" w:hAnsiTheme="majorBidi" w:cstheme="majorBidi"/>
          <w:lang w:val="lv-LV"/>
        </w:rPr>
        <w:t xml:space="preserve"> iedarbību un lietošanu pieejama visās ES/EEZ valodās šajā </w:t>
      </w:r>
      <w:hyperlink r:id="rId18" w:history="1">
        <w:r w:rsidRPr="006E68AD">
          <w:rPr>
            <w:rStyle w:val="Hyperlink"/>
            <w:rFonts w:asciiTheme="majorBidi" w:hAnsiTheme="majorBidi" w:cstheme="majorBidi"/>
            <w:lang w:val="lv-LV"/>
          </w:rPr>
          <w:t>pārskatā</w:t>
        </w:r>
      </w:hyperlink>
      <w:r w:rsidRPr="006E68AD">
        <w:rPr>
          <w:rFonts w:asciiTheme="majorBidi" w:hAnsiTheme="majorBidi" w:cstheme="majorBidi"/>
          <w:lang w:val="lv-LV"/>
        </w:rPr>
        <w:t xml:space="preserve">. Tajā ietverta informācija par lietošanu grūtniecības un krūts barošanas laikā, kā arī </w:t>
      </w:r>
      <w:proofErr w:type="spellStart"/>
      <w:r w:rsidRPr="006E68AD">
        <w:rPr>
          <w:rFonts w:asciiTheme="majorBidi" w:hAnsiTheme="majorBidi" w:cstheme="majorBidi"/>
          <w:lang w:val="lv-LV"/>
        </w:rPr>
        <w:t>imūnkompromitēt</w:t>
      </w:r>
      <w:r w:rsidR="00D037A5" w:rsidRPr="006E68AD">
        <w:rPr>
          <w:rFonts w:asciiTheme="majorBidi" w:hAnsiTheme="majorBidi" w:cstheme="majorBidi"/>
          <w:lang w:val="lv-LV"/>
        </w:rPr>
        <w:t>iem</w:t>
      </w:r>
      <w:proofErr w:type="spellEnd"/>
      <w:r w:rsidR="00D037A5" w:rsidRPr="006E68AD">
        <w:rPr>
          <w:rFonts w:asciiTheme="majorBidi" w:hAnsiTheme="majorBidi" w:cstheme="majorBidi"/>
          <w:lang w:val="lv-LV"/>
        </w:rPr>
        <w:t xml:space="preserve"> cilvēkiem</w:t>
      </w:r>
      <w:r w:rsidRPr="006E68AD">
        <w:rPr>
          <w:rFonts w:asciiTheme="majorBidi" w:hAnsiTheme="majorBidi" w:cstheme="majorBidi"/>
          <w:lang w:val="lv-LV"/>
        </w:rPr>
        <w:t>.</w:t>
      </w:r>
    </w:p>
    <w:p w14:paraId="0DD76153" w14:textId="77777777" w:rsidR="00C458AF" w:rsidRPr="006E68AD" w:rsidRDefault="00C458AF" w:rsidP="003015F1">
      <w:pPr>
        <w:jc w:val="both"/>
        <w:rPr>
          <w:rFonts w:asciiTheme="majorBidi" w:hAnsiTheme="majorBidi" w:cstheme="majorBidi"/>
          <w:lang w:val="lv-LV"/>
        </w:rPr>
      </w:pPr>
    </w:p>
    <w:p w14:paraId="1ABD5B89" w14:textId="7852406F" w:rsidR="00C458AF" w:rsidRPr="006E68AD" w:rsidRDefault="00C458AF" w:rsidP="003015F1">
      <w:pPr>
        <w:jc w:val="both"/>
        <w:rPr>
          <w:rFonts w:asciiTheme="majorBidi" w:hAnsiTheme="majorBidi" w:cstheme="majorBidi"/>
          <w:lang w:val="lv-LV"/>
        </w:rPr>
      </w:pPr>
      <w:r w:rsidRPr="006E68AD">
        <w:rPr>
          <w:rFonts w:asciiTheme="majorBidi" w:hAnsiTheme="majorBidi" w:cstheme="majorBidi"/>
          <w:lang w:val="lv-LV"/>
        </w:rPr>
        <w:t xml:space="preserve">Pilnā </w:t>
      </w:r>
      <w:hyperlink r:id="rId19" w:anchor="product-information-section" w:history="1">
        <w:r w:rsidRPr="006E68AD">
          <w:rPr>
            <w:rStyle w:val="Hyperlink"/>
            <w:rFonts w:asciiTheme="majorBidi" w:hAnsiTheme="majorBidi" w:cstheme="majorBidi"/>
            <w:lang w:val="lv-LV"/>
          </w:rPr>
          <w:t>produkta informācija</w:t>
        </w:r>
      </w:hyperlink>
      <w:r w:rsidRPr="006E68AD">
        <w:rPr>
          <w:rFonts w:asciiTheme="majorBidi" w:hAnsiTheme="majorBidi" w:cstheme="majorBidi"/>
          <w:lang w:val="lv-LV"/>
        </w:rPr>
        <w:t>, tostarp zāļu apraksts un lietošanas instrukcija, arī ir pieejama visās ES/EEZ valodās.</w:t>
      </w:r>
    </w:p>
    <w:p w14:paraId="2324D9D3" w14:textId="02232ACB" w:rsidR="00C458AF" w:rsidRPr="006E68AD" w:rsidRDefault="00C458AF" w:rsidP="003015F1">
      <w:pPr>
        <w:jc w:val="both"/>
        <w:rPr>
          <w:rFonts w:asciiTheme="majorBidi" w:hAnsiTheme="majorBidi" w:cstheme="majorBidi"/>
          <w:lang w:val="lv-LV"/>
        </w:rPr>
      </w:pPr>
    </w:p>
    <w:p w14:paraId="182FE27A" w14:textId="77777777" w:rsidR="00735BAB" w:rsidRPr="00C933EA" w:rsidRDefault="00735BAB" w:rsidP="003015F1">
      <w:pPr>
        <w:jc w:val="both"/>
        <w:rPr>
          <w:rFonts w:asciiTheme="majorBidi" w:hAnsiTheme="majorBidi" w:cstheme="majorBidi"/>
          <w:lang w:val="lv-LV"/>
        </w:rPr>
      </w:pPr>
      <w:r w:rsidRPr="00C933EA">
        <w:rPr>
          <w:rFonts w:asciiTheme="majorBidi" w:hAnsiTheme="majorBidi" w:cstheme="majorBidi"/>
          <w:lang w:val="lv-LV"/>
        </w:rPr>
        <w:t xml:space="preserve">Jaunākā drošuma informācija tiek regulāri publicēta EZA tīmekļa vietnē </w:t>
      </w:r>
      <w:hyperlink r:id="rId20" w:history="1">
        <w:r w:rsidRPr="00C933EA">
          <w:rPr>
            <w:rStyle w:val="Hyperlink"/>
            <w:rFonts w:asciiTheme="majorBidi" w:hAnsiTheme="majorBidi" w:cstheme="majorBidi"/>
            <w:color w:val="auto"/>
            <w:lang w:val="lv-LV"/>
          </w:rPr>
          <w:t>www.ema.europa.eu</w:t>
        </w:r>
      </w:hyperlink>
      <w:r w:rsidRPr="00C933EA">
        <w:rPr>
          <w:rFonts w:asciiTheme="majorBidi" w:hAnsiTheme="majorBidi" w:cstheme="majorBidi"/>
          <w:lang w:val="lv-LV"/>
        </w:rPr>
        <w:t>, kā arī ZVA tīmekļvietnē sadaļā “</w:t>
      </w:r>
      <w:hyperlink r:id="rId21" w:history="1">
        <w:r w:rsidRPr="00C933EA">
          <w:rPr>
            <w:rStyle w:val="Hyperlink"/>
            <w:rFonts w:asciiTheme="majorBidi" w:hAnsiTheme="majorBidi" w:cstheme="majorBidi"/>
            <w:color w:val="auto"/>
            <w:lang w:val="lv-LV"/>
          </w:rPr>
          <w:t>Covid-19 ziņas</w:t>
        </w:r>
      </w:hyperlink>
      <w:r w:rsidRPr="00C933EA">
        <w:rPr>
          <w:rFonts w:asciiTheme="majorBidi" w:hAnsiTheme="majorBidi" w:cstheme="majorBidi"/>
          <w:lang w:val="lv-LV"/>
        </w:rPr>
        <w:t xml:space="preserve">”. </w:t>
      </w:r>
    </w:p>
    <w:p w14:paraId="1A2D5D1A" w14:textId="77777777" w:rsidR="00A563CC" w:rsidRPr="006E68AD" w:rsidRDefault="00A563CC" w:rsidP="003015F1">
      <w:pPr>
        <w:jc w:val="both"/>
        <w:rPr>
          <w:rFonts w:asciiTheme="majorBidi" w:hAnsiTheme="majorBidi" w:cstheme="majorBidi"/>
          <w:lang w:val="lv-LV"/>
        </w:rPr>
      </w:pPr>
    </w:p>
    <w:sectPr w:rsidR="00A563CC" w:rsidRPr="006E68AD" w:rsidSect="001B40FA">
      <w:headerReference w:type="default" r:id="rId22"/>
      <w:footerReference w:type="defaul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68E7" w14:textId="77777777" w:rsidR="00AF2124" w:rsidRDefault="00AF2124" w:rsidP="006E26E1">
      <w:r>
        <w:separator/>
      </w:r>
    </w:p>
  </w:endnote>
  <w:endnote w:type="continuationSeparator" w:id="0">
    <w:p w14:paraId="5D9D278B" w14:textId="77777777" w:rsidR="00AF2124" w:rsidRDefault="00AF2124" w:rsidP="006E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2CC1" w14:textId="77777777" w:rsidR="008218A2" w:rsidRDefault="008218A2">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5FB3F7F" w14:textId="77777777" w:rsidR="008218A2" w:rsidRDefault="00821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046F" w14:textId="77777777" w:rsidR="00AF2124" w:rsidRDefault="00AF2124" w:rsidP="006E26E1">
      <w:r>
        <w:separator/>
      </w:r>
    </w:p>
  </w:footnote>
  <w:footnote w:type="continuationSeparator" w:id="0">
    <w:p w14:paraId="653A17FE" w14:textId="77777777" w:rsidR="00AF2124" w:rsidRDefault="00AF2124" w:rsidP="006E26E1">
      <w:r>
        <w:continuationSeparator/>
      </w:r>
    </w:p>
  </w:footnote>
  <w:footnote w:id="1">
    <w:p w14:paraId="01F4CB99" w14:textId="067BDDBB" w:rsidR="00DA06A5" w:rsidRPr="00BA2446" w:rsidRDefault="00DA06A5" w:rsidP="00BA2446">
      <w:pPr>
        <w:pStyle w:val="Footnote0"/>
        <w:shd w:val="clear" w:color="auto" w:fill="auto"/>
        <w:tabs>
          <w:tab w:val="left" w:pos="715"/>
        </w:tabs>
        <w:spacing w:line="290" w:lineRule="auto"/>
        <w:ind w:left="0"/>
        <w:jc w:val="both"/>
        <w:rPr>
          <w:rFonts w:asciiTheme="majorBidi" w:hAnsiTheme="majorBidi" w:cstheme="majorBidi"/>
          <w:sz w:val="20"/>
          <w:szCs w:val="20"/>
        </w:rPr>
      </w:pPr>
      <w:r w:rsidRPr="00BA2446">
        <w:rPr>
          <w:rFonts w:asciiTheme="majorBidi" w:hAnsiTheme="majorBidi" w:cstheme="majorBidi"/>
          <w:sz w:val="20"/>
          <w:szCs w:val="20"/>
          <w:vertAlign w:val="superscript"/>
          <w:lang w:bidi="lv-LV"/>
        </w:rPr>
        <w:footnoteRef/>
      </w:r>
      <w:r w:rsidRPr="00BA2446">
        <w:rPr>
          <w:rFonts w:asciiTheme="majorBidi" w:hAnsiTheme="majorBidi" w:cstheme="majorBidi"/>
          <w:sz w:val="20"/>
          <w:szCs w:val="20"/>
          <w:lang w:bidi="lv-LV"/>
        </w:rPr>
        <w:t xml:space="preserve"> </w:t>
      </w:r>
      <w:hyperlink r:id="rId1" w:history="1">
        <w:proofErr w:type="spellStart"/>
        <w:r w:rsidRPr="00BA2446">
          <w:rPr>
            <w:rFonts w:asciiTheme="majorBidi" w:hAnsiTheme="majorBidi" w:cstheme="majorBidi"/>
            <w:color w:val="4465B0"/>
            <w:sz w:val="20"/>
            <w:szCs w:val="20"/>
            <w:u w:val="single"/>
            <w:lang w:bidi="lv-LV"/>
          </w:rPr>
          <w:t>Eiropas</w:t>
        </w:r>
        <w:proofErr w:type="spellEnd"/>
        <w:r w:rsidRPr="00BA2446">
          <w:rPr>
            <w:rFonts w:asciiTheme="majorBidi" w:hAnsiTheme="majorBidi" w:cstheme="majorBidi"/>
            <w:color w:val="4465B0"/>
            <w:sz w:val="20"/>
            <w:szCs w:val="20"/>
            <w:u w:val="single"/>
            <w:lang w:bidi="lv-LV"/>
          </w:rPr>
          <w:t xml:space="preserve"> </w:t>
        </w:r>
        <w:proofErr w:type="spellStart"/>
        <w:r w:rsidRPr="00BA2446">
          <w:rPr>
            <w:rFonts w:asciiTheme="majorBidi" w:hAnsiTheme="majorBidi" w:cstheme="majorBidi"/>
            <w:color w:val="4465B0"/>
            <w:sz w:val="20"/>
            <w:szCs w:val="20"/>
            <w:u w:val="single"/>
            <w:lang w:bidi="lv-LV"/>
          </w:rPr>
          <w:t>Slimību</w:t>
        </w:r>
        <w:proofErr w:type="spellEnd"/>
        <w:r w:rsidRPr="00BA2446">
          <w:rPr>
            <w:rFonts w:asciiTheme="majorBidi" w:hAnsiTheme="majorBidi" w:cstheme="majorBidi"/>
            <w:color w:val="4465B0"/>
            <w:sz w:val="20"/>
            <w:szCs w:val="20"/>
            <w:u w:val="single"/>
            <w:lang w:bidi="lv-LV"/>
          </w:rPr>
          <w:t xml:space="preserve"> </w:t>
        </w:r>
        <w:proofErr w:type="spellStart"/>
        <w:r w:rsidRPr="00BA2446">
          <w:rPr>
            <w:rFonts w:asciiTheme="majorBidi" w:hAnsiTheme="majorBidi" w:cstheme="majorBidi"/>
            <w:color w:val="4465B0"/>
            <w:sz w:val="20"/>
            <w:szCs w:val="20"/>
            <w:u w:val="single"/>
            <w:lang w:bidi="lv-LV"/>
          </w:rPr>
          <w:t>profilakses</w:t>
        </w:r>
        <w:proofErr w:type="spellEnd"/>
        <w:r w:rsidRPr="00BA2446">
          <w:rPr>
            <w:rFonts w:asciiTheme="majorBidi" w:hAnsiTheme="majorBidi" w:cstheme="majorBidi"/>
            <w:color w:val="4465B0"/>
            <w:sz w:val="20"/>
            <w:szCs w:val="20"/>
            <w:u w:val="single"/>
            <w:lang w:bidi="lv-LV"/>
          </w:rPr>
          <w:t xml:space="preserve"> un </w:t>
        </w:r>
        <w:proofErr w:type="spellStart"/>
        <w:r w:rsidRPr="00BA2446">
          <w:rPr>
            <w:rFonts w:asciiTheme="majorBidi" w:hAnsiTheme="majorBidi" w:cstheme="majorBidi"/>
            <w:color w:val="4465B0"/>
            <w:sz w:val="20"/>
            <w:szCs w:val="20"/>
            <w:u w:val="single"/>
            <w:lang w:bidi="lv-LV"/>
          </w:rPr>
          <w:t>kontroles</w:t>
        </w:r>
        <w:proofErr w:type="spellEnd"/>
        <w:r w:rsidRPr="00BA2446">
          <w:rPr>
            <w:rFonts w:asciiTheme="majorBidi" w:hAnsiTheme="majorBidi" w:cstheme="majorBidi"/>
            <w:color w:val="4465B0"/>
            <w:sz w:val="20"/>
            <w:szCs w:val="20"/>
            <w:u w:val="single"/>
            <w:lang w:bidi="lv-LV"/>
          </w:rPr>
          <w:t xml:space="preserve"> </w:t>
        </w:r>
        <w:proofErr w:type="spellStart"/>
        <w:r w:rsidRPr="00BA2446">
          <w:rPr>
            <w:rFonts w:asciiTheme="majorBidi" w:hAnsiTheme="majorBidi" w:cstheme="majorBidi"/>
            <w:color w:val="4465B0"/>
            <w:sz w:val="20"/>
            <w:szCs w:val="20"/>
            <w:u w:val="single"/>
            <w:lang w:bidi="lv-LV"/>
          </w:rPr>
          <w:t>centrs</w:t>
        </w:r>
        <w:proofErr w:type="spellEnd"/>
        <w:r w:rsidRPr="00BA2446">
          <w:rPr>
            <w:rFonts w:asciiTheme="majorBidi" w:hAnsiTheme="majorBidi" w:cstheme="majorBidi"/>
            <w:color w:val="4465B0"/>
            <w:sz w:val="20"/>
            <w:szCs w:val="20"/>
            <w:u w:val="single"/>
            <w:lang w:bidi="lv-LV"/>
          </w:rPr>
          <w:t xml:space="preserve"> (ESPKC)</w:t>
        </w:r>
        <w:r w:rsidRPr="00BA2446">
          <w:rPr>
            <w:rFonts w:asciiTheme="majorBidi" w:hAnsiTheme="majorBidi" w:cstheme="majorBidi"/>
            <w:color w:val="4465B0"/>
            <w:sz w:val="20"/>
            <w:szCs w:val="20"/>
            <w:lang w:bidi="lv-LV"/>
          </w:rPr>
          <w:t xml:space="preserve"> </w:t>
        </w:r>
      </w:hyperlink>
      <w:proofErr w:type="spellStart"/>
      <w:r w:rsidRPr="00BA2446">
        <w:rPr>
          <w:rFonts w:asciiTheme="majorBidi" w:hAnsiTheme="majorBidi" w:cstheme="majorBidi"/>
          <w:sz w:val="20"/>
          <w:szCs w:val="20"/>
          <w:lang w:bidi="lv-LV"/>
        </w:rPr>
        <w:t>apkopo</w:t>
      </w:r>
      <w:proofErr w:type="spellEnd"/>
      <w:r w:rsidRPr="00BA2446">
        <w:rPr>
          <w:rFonts w:asciiTheme="majorBidi" w:hAnsiTheme="majorBidi" w:cstheme="majorBidi"/>
          <w:sz w:val="20"/>
          <w:szCs w:val="20"/>
          <w:lang w:bidi="lv-LV"/>
        </w:rPr>
        <w:t xml:space="preserve"> </w:t>
      </w:r>
      <w:proofErr w:type="spellStart"/>
      <w:r w:rsidRPr="00BA2446">
        <w:rPr>
          <w:rFonts w:asciiTheme="majorBidi" w:hAnsiTheme="majorBidi" w:cstheme="majorBidi"/>
          <w:sz w:val="20"/>
          <w:szCs w:val="20"/>
          <w:lang w:bidi="lv-LV"/>
        </w:rPr>
        <w:t>šos</w:t>
      </w:r>
      <w:proofErr w:type="spellEnd"/>
      <w:r w:rsidRPr="00BA2446">
        <w:rPr>
          <w:rFonts w:asciiTheme="majorBidi" w:hAnsiTheme="majorBidi" w:cstheme="majorBidi"/>
          <w:sz w:val="20"/>
          <w:szCs w:val="20"/>
          <w:lang w:bidi="lv-LV"/>
        </w:rPr>
        <w:t xml:space="preserve"> </w:t>
      </w:r>
      <w:proofErr w:type="spellStart"/>
      <w:r w:rsidRPr="00BA2446">
        <w:rPr>
          <w:rFonts w:asciiTheme="majorBidi" w:hAnsiTheme="majorBidi" w:cstheme="majorBidi"/>
          <w:sz w:val="20"/>
          <w:szCs w:val="20"/>
          <w:lang w:bidi="lv-LV"/>
        </w:rPr>
        <w:t>datus</w:t>
      </w:r>
      <w:proofErr w:type="spellEnd"/>
      <w:r w:rsidRPr="00BA2446">
        <w:rPr>
          <w:rFonts w:asciiTheme="majorBidi" w:hAnsiTheme="majorBidi" w:cstheme="majorBidi"/>
          <w:sz w:val="20"/>
          <w:szCs w:val="20"/>
          <w:lang w:bidi="lv-LV"/>
        </w:rPr>
        <w:t xml:space="preserve"> par </w:t>
      </w:r>
      <w:proofErr w:type="spellStart"/>
      <w:r w:rsidRPr="00BA2446">
        <w:rPr>
          <w:rFonts w:asciiTheme="majorBidi" w:hAnsiTheme="majorBidi" w:cstheme="majorBidi"/>
          <w:sz w:val="20"/>
          <w:szCs w:val="20"/>
          <w:lang w:bidi="lv-LV"/>
        </w:rPr>
        <w:t>vakcīnu</w:t>
      </w:r>
      <w:proofErr w:type="spellEnd"/>
      <w:r w:rsidRPr="00BA2446">
        <w:rPr>
          <w:rFonts w:asciiTheme="majorBidi" w:hAnsiTheme="majorBidi" w:cstheme="majorBidi"/>
          <w:sz w:val="20"/>
          <w:szCs w:val="20"/>
          <w:lang w:bidi="lv-LV"/>
        </w:rPr>
        <w:t xml:space="preserve"> </w:t>
      </w:r>
      <w:proofErr w:type="spellStart"/>
      <w:r w:rsidRPr="00BA2446">
        <w:rPr>
          <w:rFonts w:asciiTheme="majorBidi" w:hAnsiTheme="majorBidi" w:cstheme="majorBidi"/>
          <w:sz w:val="20"/>
          <w:szCs w:val="20"/>
          <w:lang w:bidi="lv-LV"/>
        </w:rPr>
        <w:t>izmantošanu</w:t>
      </w:r>
      <w:proofErr w:type="spellEnd"/>
      <w:r w:rsidRPr="00BA2446">
        <w:rPr>
          <w:rFonts w:asciiTheme="majorBidi" w:hAnsiTheme="majorBidi" w:cstheme="majorBidi"/>
          <w:sz w:val="20"/>
          <w:szCs w:val="20"/>
          <w:lang w:bidi="lv-LV"/>
        </w:rPr>
        <w:t xml:space="preserve"> no ES </w:t>
      </w:r>
      <w:proofErr w:type="spellStart"/>
      <w:r w:rsidRPr="00BA2446">
        <w:rPr>
          <w:rFonts w:asciiTheme="majorBidi" w:hAnsiTheme="majorBidi" w:cstheme="majorBidi"/>
          <w:sz w:val="20"/>
          <w:szCs w:val="20"/>
          <w:lang w:bidi="lv-LV"/>
        </w:rPr>
        <w:t>dalībvalstīm</w:t>
      </w:r>
      <w:proofErr w:type="spellEnd"/>
      <w:r w:rsidRPr="00BA2446">
        <w:rPr>
          <w:rFonts w:asciiTheme="majorBidi" w:hAnsiTheme="majorBidi" w:cstheme="majorBidi"/>
          <w:sz w:val="20"/>
          <w:szCs w:val="20"/>
          <w:lang w:bidi="lv-LV"/>
        </w:rPr>
        <w:t xml:space="preserve">, </w:t>
      </w:r>
      <w:proofErr w:type="spellStart"/>
      <w:r w:rsidRPr="00BA2446">
        <w:rPr>
          <w:rFonts w:asciiTheme="majorBidi" w:hAnsiTheme="majorBidi" w:cstheme="majorBidi"/>
          <w:sz w:val="20"/>
          <w:szCs w:val="20"/>
          <w:lang w:bidi="lv-LV"/>
        </w:rPr>
        <w:t>kā</w:t>
      </w:r>
      <w:proofErr w:type="spellEnd"/>
      <w:r w:rsidRPr="00BA2446">
        <w:rPr>
          <w:rFonts w:asciiTheme="majorBidi" w:hAnsiTheme="majorBidi" w:cstheme="majorBidi"/>
          <w:sz w:val="20"/>
          <w:szCs w:val="20"/>
          <w:lang w:bidi="lv-LV"/>
        </w:rPr>
        <w:t xml:space="preserve"> </w:t>
      </w:r>
      <w:proofErr w:type="spellStart"/>
      <w:r w:rsidRPr="00BA2446">
        <w:rPr>
          <w:rFonts w:asciiTheme="majorBidi" w:hAnsiTheme="majorBidi" w:cstheme="majorBidi"/>
          <w:sz w:val="20"/>
          <w:szCs w:val="20"/>
          <w:lang w:bidi="lv-LV"/>
        </w:rPr>
        <w:t>arī</w:t>
      </w:r>
      <w:proofErr w:type="spellEnd"/>
      <w:r w:rsidRPr="00BA2446">
        <w:rPr>
          <w:rFonts w:asciiTheme="majorBidi" w:hAnsiTheme="majorBidi" w:cstheme="majorBidi"/>
          <w:sz w:val="20"/>
          <w:szCs w:val="20"/>
          <w:lang w:bidi="lv-LV"/>
        </w:rPr>
        <w:t xml:space="preserve"> no </w:t>
      </w:r>
      <w:proofErr w:type="spellStart"/>
      <w:r w:rsidRPr="00BA2446">
        <w:rPr>
          <w:rFonts w:asciiTheme="majorBidi" w:hAnsiTheme="majorBidi" w:cstheme="majorBidi"/>
          <w:sz w:val="20"/>
          <w:szCs w:val="20"/>
          <w:lang w:bidi="lv-LV"/>
        </w:rPr>
        <w:t>vairākām</w:t>
      </w:r>
      <w:proofErr w:type="spellEnd"/>
      <w:r w:rsidRPr="00BA2446">
        <w:rPr>
          <w:rFonts w:asciiTheme="majorBidi" w:hAnsiTheme="majorBidi" w:cstheme="majorBidi"/>
          <w:sz w:val="20"/>
          <w:szCs w:val="20"/>
          <w:lang w:bidi="lv-LV"/>
        </w:rPr>
        <w:t xml:space="preserve"> </w:t>
      </w:r>
      <w:proofErr w:type="spellStart"/>
      <w:r w:rsidRPr="00BA2446">
        <w:rPr>
          <w:rFonts w:asciiTheme="majorBidi" w:hAnsiTheme="majorBidi" w:cstheme="majorBidi"/>
          <w:sz w:val="20"/>
          <w:szCs w:val="20"/>
          <w:lang w:bidi="lv-LV"/>
        </w:rPr>
        <w:t>valstīm</w:t>
      </w:r>
      <w:proofErr w:type="spellEnd"/>
      <w:r w:rsidRPr="00BA2446">
        <w:rPr>
          <w:rFonts w:asciiTheme="majorBidi" w:hAnsiTheme="majorBidi" w:cstheme="majorBidi"/>
          <w:sz w:val="20"/>
          <w:szCs w:val="20"/>
          <w:lang w:bidi="lv-LV"/>
        </w:rPr>
        <w:t xml:space="preserve"> </w:t>
      </w:r>
      <w:proofErr w:type="spellStart"/>
      <w:r w:rsidRPr="00BA2446">
        <w:rPr>
          <w:rFonts w:asciiTheme="majorBidi" w:hAnsiTheme="majorBidi" w:cstheme="majorBidi"/>
          <w:sz w:val="20"/>
          <w:szCs w:val="20"/>
          <w:lang w:bidi="lv-LV"/>
        </w:rPr>
        <w:t>Eiropas</w:t>
      </w:r>
      <w:proofErr w:type="spellEnd"/>
      <w:r w:rsidRPr="00BA2446">
        <w:rPr>
          <w:rFonts w:asciiTheme="majorBidi" w:hAnsiTheme="majorBidi" w:cstheme="majorBidi"/>
          <w:sz w:val="20"/>
          <w:szCs w:val="20"/>
          <w:lang w:bidi="lv-LV"/>
        </w:rPr>
        <w:t xml:space="preserve"> </w:t>
      </w:r>
      <w:proofErr w:type="spellStart"/>
      <w:r w:rsidRPr="00BA2446">
        <w:rPr>
          <w:rFonts w:asciiTheme="majorBidi" w:hAnsiTheme="majorBidi" w:cstheme="majorBidi"/>
          <w:sz w:val="20"/>
          <w:szCs w:val="20"/>
          <w:lang w:bidi="lv-LV"/>
        </w:rPr>
        <w:t>Ekonomikas</w:t>
      </w:r>
      <w:proofErr w:type="spellEnd"/>
      <w:r w:rsidRPr="00BA2446">
        <w:rPr>
          <w:rFonts w:asciiTheme="majorBidi" w:hAnsiTheme="majorBidi" w:cstheme="majorBidi"/>
          <w:sz w:val="20"/>
          <w:szCs w:val="20"/>
          <w:lang w:bidi="lv-LV"/>
        </w:rPr>
        <w:t xml:space="preserve"> </w:t>
      </w:r>
      <w:proofErr w:type="spellStart"/>
      <w:r w:rsidRPr="00BA2446">
        <w:rPr>
          <w:rFonts w:asciiTheme="majorBidi" w:hAnsiTheme="majorBidi" w:cstheme="majorBidi"/>
          <w:sz w:val="20"/>
          <w:szCs w:val="20"/>
          <w:lang w:bidi="lv-LV"/>
        </w:rPr>
        <w:t>zonā</w:t>
      </w:r>
      <w:proofErr w:type="spellEnd"/>
      <w:r w:rsidRPr="00BA2446">
        <w:rPr>
          <w:rFonts w:asciiTheme="majorBidi" w:hAnsiTheme="majorBidi" w:cstheme="majorBidi"/>
          <w:sz w:val="20"/>
          <w:szCs w:val="20"/>
          <w:lang w:bidi="lv-LV"/>
        </w:rPr>
        <w:t xml:space="preserve"> (EEZ) – </w:t>
      </w:r>
      <w:proofErr w:type="spellStart"/>
      <w:r w:rsidRPr="00BA2446">
        <w:rPr>
          <w:rFonts w:asciiTheme="majorBidi" w:hAnsiTheme="majorBidi" w:cstheme="majorBidi"/>
          <w:sz w:val="20"/>
          <w:szCs w:val="20"/>
          <w:lang w:bidi="lv-LV"/>
        </w:rPr>
        <w:t>Norvēģijas</w:t>
      </w:r>
      <w:proofErr w:type="spellEnd"/>
      <w:r w:rsidRPr="00BA2446">
        <w:rPr>
          <w:rFonts w:asciiTheme="majorBidi" w:hAnsiTheme="majorBidi" w:cstheme="majorBidi"/>
          <w:sz w:val="20"/>
          <w:szCs w:val="20"/>
          <w:lang w:bidi="lv-LV"/>
        </w:rPr>
        <w:t xml:space="preserve">, </w:t>
      </w:r>
      <w:proofErr w:type="spellStart"/>
      <w:r w:rsidRPr="00BA2446">
        <w:rPr>
          <w:rFonts w:asciiTheme="majorBidi" w:hAnsiTheme="majorBidi" w:cstheme="majorBidi"/>
          <w:sz w:val="20"/>
          <w:szCs w:val="20"/>
          <w:lang w:bidi="lv-LV"/>
        </w:rPr>
        <w:t>Islandes</w:t>
      </w:r>
      <w:proofErr w:type="spellEnd"/>
      <w:r w:rsidRPr="00BA2446">
        <w:rPr>
          <w:rFonts w:asciiTheme="majorBidi" w:hAnsiTheme="majorBidi" w:cstheme="majorBidi"/>
          <w:sz w:val="20"/>
          <w:szCs w:val="20"/>
          <w:lang w:bidi="lv-LV"/>
        </w:rPr>
        <w:t xml:space="preserve"> un </w:t>
      </w:r>
      <w:proofErr w:type="spellStart"/>
      <w:r w:rsidRPr="00BA2446">
        <w:rPr>
          <w:rFonts w:asciiTheme="majorBidi" w:hAnsiTheme="majorBidi" w:cstheme="majorBidi"/>
          <w:sz w:val="20"/>
          <w:szCs w:val="20"/>
          <w:lang w:bidi="lv-LV"/>
        </w:rPr>
        <w:t>Lihtenšteinas</w:t>
      </w:r>
      <w:proofErr w:type="spellEnd"/>
      <w:r w:rsidRPr="00BA2446">
        <w:rPr>
          <w:rFonts w:asciiTheme="majorBidi" w:hAnsiTheme="majorBidi" w:cstheme="majorBidi"/>
          <w:sz w:val="20"/>
          <w:szCs w:val="20"/>
          <w:lang w:bidi="lv-LV"/>
        </w:rPr>
        <w:t>.</w:t>
      </w:r>
    </w:p>
  </w:footnote>
  <w:footnote w:id="2">
    <w:p w14:paraId="776AC520" w14:textId="1048C647" w:rsidR="00DE22D3" w:rsidRPr="008218A2" w:rsidRDefault="00D5114E" w:rsidP="00D5114E">
      <w:pPr>
        <w:pStyle w:val="Footnote0"/>
        <w:shd w:val="clear" w:color="auto" w:fill="auto"/>
        <w:tabs>
          <w:tab w:val="left" w:pos="715"/>
        </w:tabs>
        <w:ind w:left="0"/>
        <w:jc w:val="both"/>
        <w:rPr>
          <w:rFonts w:asciiTheme="majorBidi" w:hAnsiTheme="majorBidi" w:cstheme="majorBidi"/>
          <w:sz w:val="20"/>
          <w:szCs w:val="20"/>
        </w:rPr>
      </w:pPr>
      <w:r w:rsidRPr="00D5114E">
        <w:rPr>
          <w:rFonts w:asciiTheme="majorBidi" w:hAnsiTheme="majorBidi" w:cstheme="majorBidi"/>
          <w:sz w:val="20"/>
          <w:szCs w:val="20"/>
          <w:vertAlign w:val="superscript"/>
          <w:lang w:val="lv-LV"/>
        </w:rPr>
        <w:t>2</w:t>
      </w:r>
      <w:proofErr w:type="spellStart"/>
      <w:r w:rsidR="00DE22D3" w:rsidRPr="008218A2">
        <w:rPr>
          <w:rFonts w:asciiTheme="majorBidi" w:hAnsiTheme="majorBidi" w:cstheme="majorBidi"/>
          <w:sz w:val="20"/>
          <w:szCs w:val="20"/>
          <w:lang w:bidi="lv-LV"/>
        </w:rPr>
        <w:t>Šis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ziņojumu</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skaits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ir</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aprēķināts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gadījumus</w:t>
      </w:r>
      <w:proofErr w:type="spellEnd"/>
      <w:r w:rsidR="00DE22D3" w:rsidRPr="008218A2">
        <w:rPr>
          <w:rFonts w:asciiTheme="majorBidi" w:hAnsiTheme="majorBidi" w:cstheme="majorBidi"/>
          <w:sz w:val="20"/>
          <w:szCs w:val="20"/>
          <w:lang w:bidi="lv-LV"/>
        </w:rPr>
        <w:t xml:space="preserve"> no </w:t>
      </w:r>
      <w:proofErr w:type="spellStart"/>
      <w:r w:rsidR="00DE22D3" w:rsidRPr="008218A2">
        <w:rPr>
          <w:rFonts w:asciiTheme="majorBidi" w:hAnsiTheme="majorBidi" w:cstheme="majorBidi"/>
          <w:sz w:val="20"/>
          <w:szCs w:val="20"/>
          <w:lang w:bidi="lv-LV"/>
        </w:rPr>
        <w:t>Ziemeļīrijas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uz</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Ziemeļīriju</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attiecināmas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i/>
          <w:iCs/>
          <w:sz w:val="20"/>
          <w:szCs w:val="20"/>
          <w:lang w:bidi="lv-LV"/>
        </w:rPr>
        <w:t>EudraVigilance</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iespējamu</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blakusparādību</w:t>
      </w:r>
      <w:proofErr w:type="spellEnd"/>
      <w:r w:rsidR="00DE22D3" w:rsidRPr="008218A2">
        <w:rPr>
          <w:rFonts w:asciiTheme="majorBidi" w:hAnsiTheme="majorBidi" w:cstheme="majorBidi"/>
          <w:sz w:val="20"/>
          <w:szCs w:val="20"/>
          <w:lang w:bidi="lv-LV"/>
        </w:rPr>
        <w:t xml:space="preserve"> ES </w:t>
      </w:r>
      <w:proofErr w:type="spellStart"/>
      <w:r w:rsidR="00DE22D3" w:rsidRPr="008218A2">
        <w:rPr>
          <w:rFonts w:asciiTheme="majorBidi" w:hAnsiTheme="majorBidi" w:cstheme="majorBidi"/>
          <w:sz w:val="20"/>
          <w:szCs w:val="20"/>
          <w:lang w:bidi="lv-LV"/>
        </w:rPr>
        <w:t>ziņošanas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prasības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saskaņā</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ar</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Īrijas</w:t>
      </w:r>
      <w:proofErr w:type="spellEnd"/>
      <w:r w:rsidR="00DE22D3" w:rsidRPr="008218A2">
        <w:rPr>
          <w:rFonts w:asciiTheme="majorBidi" w:hAnsiTheme="majorBidi" w:cstheme="majorBidi"/>
          <w:sz w:val="20"/>
          <w:szCs w:val="20"/>
          <w:lang w:bidi="lv-LV"/>
        </w:rPr>
        <w:t>/</w:t>
      </w:r>
      <w:proofErr w:type="spellStart"/>
      <w:r w:rsidR="00DE22D3" w:rsidRPr="008218A2">
        <w:rPr>
          <w:rFonts w:asciiTheme="majorBidi" w:hAnsiTheme="majorBidi" w:cstheme="majorBidi"/>
          <w:sz w:val="20"/>
          <w:szCs w:val="20"/>
          <w:lang w:bidi="lv-LV"/>
        </w:rPr>
        <w:t>Ziemeļīrijas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protokolu</w:t>
      </w:r>
      <w:proofErr w:type="spellEnd"/>
      <w:r w:rsidR="00DE22D3" w:rsidRPr="008218A2">
        <w:rPr>
          <w:rFonts w:asciiTheme="majorBidi" w:hAnsiTheme="majorBidi" w:cstheme="majorBidi"/>
          <w:sz w:val="20"/>
          <w:szCs w:val="20"/>
          <w:lang w:bidi="lv-LV"/>
        </w:rPr>
        <w:t>).</w:t>
      </w:r>
    </w:p>
  </w:footnote>
  <w:footnote w:id="3">
    <w:p w14:paraId="561944A0" w14:textId="73669B0F" w:rsidR="00DE22D3" w:rsidRPr="008218A2" w:rsidRDefault="000E4A4C" w:rsidP="000E4A4C">
      <w:pPr>
        <w:pStyle w:val="Footnote0"/>
        <w:shd w:val="clear" w:color="auto" w:fill="auto"/>
        <w:tabs>
          <w:tab w:val="left" w:pos="715"/>
        </w:tabs>
        <w:ind w:left="0"/>
        <w:jc w:val="both"/>
        <w:rPr>
          <w:rFonts w:asciiTheme="majorBidi" w:hAnsiTheme="majorBidi" w:cstheme="majorBidi"/>
          <w:sz w:val="20"/>
          <w:szCs w:val="20"/>
        </w:rPr>
      </w:pPr>
      <w:r w:rsidRPr="00D5114E">
        <w:rPr>
          <w:rFonts w:ascii="Times New Roman" w:hAnsi="Times New Roman" w:cs="Times New Roman"/>
          <w:bCs/>
          <w:color w:val="000000"/>
          <w:sz w:val="20"/>
          <w:szCs w:val="20"/>
          <w:vertAlign w:val="superscript"/>
        </w:rPr>
        <w:t>3</w:t>
      </w:r>
      <w:r w:rsidR="00DE22D3" w:rsidRPr="00D5114E">
        <w:rPr>
          <w:rFonts w:asciiTheme="majorBidi" w:hAnsiTheme="majorBidi" w:cstheme="majorBidi"/>
          <w:sz w:val="20"/>
          <w:szCs w:val="20"/>
          <w:lang w:bidi="lv-LV"/>
        </w:rPr>
        <w:t>Av</w:t>
      </w:r>
      <w:r w:rsidR="00DE22D3" w:rsidRPr="008218A2">
        <w:rPr>
          <w:rFonts w:asciiTheme="majorBidi" w:hAnsiTheme="majorBidi" w:cstheme="majorBidi"/>
          <w:sz w:val="20"/>
          <w:szCs w:val="20"/>
          <w:lang w:bidi="lv-LV"/>
        </w:rPr>
        <w:t xml:space="preserve">ots: </w:t>
      </w:r>
      <w:proofErr w:type="spellStart"/>
      <w:r w:rsidR="00DE22D3" w:rsidRPr="008218A2">
        <w:rPr>
          <w:rFonts w:asciiTheme="majorBidi" w:hAnsiTheme="majorBidi" w:cstheme="majorBidi"/>
          <w:i/>
          <w:iCs/>
          <w:sz w:val="20"/>
          <w:szCs w:val="20"/>
          <w:lang w:bidi="lv-LV"/>
        </w:rPr>
        <w:t>EudraVigilance</w:t>
      </w:r>
      <w:proofErr w:type="spellEnd"/>
      <w:r w:rsidR="00DE22D3" w:rsidRPr="008218A2">
        <w:rPr>
          <w:rFonts w:asciiTheme="majorBidi" w:hAnsiTheme="majorBidi" w:cstheme="majorBidi"/>
          <w:i/>
          <w:iCs/>
          <w:sz w:val="20"/>
          <w:szCs w:val="20"/>
          <w:lang w:bidi="lv-LV"/>
        </w:rPr>
        <w:t>.</w:t>
      </w:r>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Šie</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skaitļi</w:t>
      </w:r>
      <w:proofErr w:type="spellEnd"/>
      <w:r w:rsidR="00DE22D3" w:rsidRPr="008218A2">
        <w:rPr>
          <w:rFonts w:asciiTheme="majorBidi" w:hAnsiTheme="majorBidi" w:cstheme="majorBidi"/>
          <w:sz w:val="20"/>
          <w:szCs w:val="20"/>
          <w:lang w:bidi="lv-LV"/>
        </w:rPr>
        <w:t xml:space="preserve"> nav </w:t>
      </w:r>
      <w:proofErr w:type="spellStart"/>
      <w:r w:rsidR="00DE22D3" w:rsidRPr="008218A2">
        <w:rPr>
          <w:rFonts w:asciiTheme="majorBidi" w:hAnsiTheme="majorBidi" w:cstheme="majorBidi"/>
          <w:sz w:val="20"/>
          <w:szCs w:val="20"/>
          <w:lang w:bidi="lv-LV"/>
        </w:rPr>
        <w:t>tiešā</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veidā</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iegūstami</w:t>
      </w:r>
      <w:proofErr w:type="spellEnd"/>
      <w:r w:rsidR="00DE22D3" w:rsidRPr="008218A2">
        <w:rPr>
          <w:rFonts w:asciiTheme="majorBidi" w:hAnsiTheme="majorBidi" w:cstheme="majorBidi"/>
          <w:sz w:val="20"/>
          <w:szCs w:val="20"/>
          <w:lang w:bidi="lv-LV"/>
        </w:rPr>
        <w:t xml:space="preserve"> no </w:t>
      </w:r>
      <w:proofErr w:type="spellStart"/>
      <w:r w:rsidR="00DE22D3" w:rsidRPr="008218A2">
        <w:rPr>
          <w:rFonts w:asciiTheme="majorBidi" w:hAnsiTheme="majorBidi" w:cstheme="majorBidi"/>
          <w:sz w:val="20"/>
          <w:szCs w:val="20"/>
          <w:lang w:bidi="lv-LV"/>
        </w:rPr>
        <w:t>iespējamo</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blakusparādību</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publiskās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datubāzes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kurā</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informācija</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ir</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sagrupēta</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atbilstoši</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blakusparādības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veidam</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Tā</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kā</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vienā</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ziņojumā</w:t>
      </w:r>
      <w:proofErr w:type="spellEnd"/>
      <w:r w:rsidR="00DE22D3" w:rsidRPr="008218A2">
        <w:rPr>
          <w:rFonts w:asciiTheme="majorBidi" w:hAnsiTheme="majorBidi" w:cstheme="majorBidi"/>
          <w:sz w:val="20"/>
          <w:szCs w:val="20"/>
          <w:lang w:bidi="lv-LV"/>
        </w:rPr>
        <w:t xml:space="preserve"> var </w:t>
      </w:r>
      <w:proofErr w:type="spellStart"/>
      <w:r w:rsidR="00DE22D3" w:rsidRPr="008218A2">
        <w:rPr>
          <w:rFonts w:asciiTheme="majorBidi" w:hAnsiTheme="majorBidi" w:cstheme="majorBidi"/>
          <w:sz w:val="20"/>
          <w:szCs w:val="20"/>
          <w:lang w:bidi="lv-LV"/>
        </w:rPr>
        <w:t>būt</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ietverta</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vairāk</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nekā</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viena</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iespējama</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blakusparādība</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kopējais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blakusparādību</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skaits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nekad</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neatbildīs</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individuālo</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gadījumu</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skaitam</w:t>
      </w:r>
      <w:proofErr w:type="spellEnd"/>
      <w:r w:rsidR="00DE22D3" w:rsidRPr="008218A2">
        <w:rPr>
          <w:rFonts w:asciiTheme="majorBidi" w:hAnsiTheme="majorBidi" w:cstheme="majorBidi"/>
          <w:sz w:val="20"/>
          <w:szCs w:val="20"/>
          <w:lang w:bidi="lv-LV"/>
        </w:rPr>
        <w:t>.</w:t>
      </w:r>
      <w:r w:rsidR="00DE22D3" w:rsidRPr="008218A2">
        <w:rPr>
          <w:rFonts w:asciiTheme="majorBidi" w:hAnsiTheme="majorBidi" w:cstheme="majorBidi"/>
          <w:sz w:val="20"/>
          <w:szCs w:val="20"/>
          <w:lang w:bidi="lv-LV"/>
        </w:rPr>
        <w:br/>
      </w:r>
      <w:proofErr w:type="spellStart"/>
      <w:r w:rsidR="00DE22D3" w:rsidRPr="008218A2">
        <w:rPr>
          <w:rFonts w:asciiTheme="majorBidi" w:hAnsiTheme="majorBidi" w:cstheme="majorBidi"/>
          <w:sz w:val="20"/>
          <w:szCs w:val="20"/>
          <w:lang w:bidi="lv-LV"/>
        </w:rPr>
        <w:t>Šī</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publiskā</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datubāze</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nesniedz</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arī</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kopējo</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ziņoto</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gadījumu</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skaitu</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ar</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letālu</w:t>
      </w:r>
      <w:proofErr w:type="spellEnd"/>
      <w:r w:rsidR="00DE22D3" w:rsidRPr="008218A2">
        <w:rPr>
          <w:rFonts w:asciiTheme="majorBidi" w:hAnsiTheme="majorBidi" w:cstheme="majorBidi"/>
          <w:sz w:val="20"/>
          <w:szCs w:val="20"/>
          <w:lang w:bidi="lv-LV"/>
        </w:rPr>
        <w:t xml:space="preserve"> </w:t>
      </w:r>
      <w:proofErr w:type="spellStart"/>
      <w:r w:rsidR="00DE22D3" w:rsidRPr="008218A2">
        <w:rPr>
          <w:rFonts w:asciiTheme="majorBidi" w:hAnsiTheme="majorBidi" w:cstheme="majorBidi"/>
          <w:sz w:val="20"/>
          <w:szCs w:val="20"/>
          <w:lang w:bidi="lv-LV"/>
        </w:rPr>
        <w:t>iznākumu</w:t>
      </w:r>
      <w:proofErr w:type="spellEnd"/>
      <w:r w:rsidR="00DE22D3" w:rsidRPr="008218A2">
        <w:rPr>
          <w:rFonts w:asciiTheme="majorBidi" w:hAnsiTheme="majorBidi" w:cstheme="majorBidi"/>
          <w:sz w:val="20"/>
          <w:szCs w:val="20"/>
          <w:lang w:bidi="lv-LV"/>
        </w:rPr>
        <w:t>.</w:t>
      </w:r>
    </w:p>
  </w:footnote>
  <w:footnote w:id="4">
    <w:p w14:paraId="226A8C76" w14:textId="21F2BB61" w:rsidR="00DE22D3" w:rsidRDefault="00DE22D3" w:rsidP="00D5114E">
      <w:pPr>
        <w:pStyle w:val="Footnote0"/>
        <w:shd w:val="clear" w:color="auto" w:fill="auto"/>
        <w:tabs>
          <w:tab w:val="left" w:pos="709"/>
        </w:tabs>
        <w:spacing w:line="290" w:lineRule="auto"/>
        <w:ind w:left="0"/>
        <w:jc w:val="both"/>
      </w:pPr>
      <w:r w:rsidRPr="008218A2">
        <w:rPr>
          <w:rFonts w:asciiTheme="majorBidi" w:hAnsiTheme="majorBidi" w:cstheme="majorBidi"/>
          <w:sz w:val="20"/>
          <w:szCs w:val="20"/>
          <w:vertAlign w:val="superscript"/>
          <w:lang w:bidi="lv-LV"/>
        </w:rPr>
        <w:footnoteRef/>
      </w:r>
      <w:hyperlink r:id="rId2" w:history="1">
        <w:proofErr w:type="spellStart"/>
        <w:r w:rsidRPr="008218A2">
          <w:rPr>
            <w:rFonts w:asciiTheme="majorBidi" w:hAnsiTheme="majorBidi" w:cstheme="majorBidi"/>
            <w:color w:val="4465B0"/>
            <w:sz w:val="20"/>
            <w:szCs w:val="20"/>
            <w:u w:val="single"/>
            <w:lang w:bidi="lv-LV"/>
          </w:rPr>
          <w:t>Eiropas</w:t>
        </w:r>
        <w:proofErr w:type="spellEnd"/>
        <w:r w:rsidRPr="008218A2">
          <w:rPr>
            <w:rFonts w:asciiTheme="majorBidi" w:hAnsiTheme="majorBidi" w:cstheme="majorBidi"/>
            <w:color w:val="4465B0"/>
            <w:sz w:val="20"/>
            <w:szCs w:val="20"/>
            <w:u w:val="single"/>
            <w:lang w:bidi="lv-LV"/>
          </w:rPr>
          <w:t xml:space="preserve"> </w:t>
        </w:r>
        <w:proofErr w:type="spellStart"/>
        <w:r w:rsidRPr="008218A2">
          <w:rPr>
            <w:rFonts w:asciiTheme="majorBidi" w:hAnsiTheme="majorBidi" w:cstheme="majorBidi"/>
            <w:color w:val="4465B0"/>
            <w:sz w:val="20"/>
            <w:szCs w:val="20"/>
            <w:u w:val="single"/>
            <w:lang w:bidi="lv-LV"/>
          </w:rPr>
          <w:t>Slimību</w:t>
        </w:r>
        <w:proofErr w:type="spellEnd"/>
        <w:r w:rsidRPr="008218A2">
          <w:rPr>
            <w:rFonts w:asciiTheme="majorBidi" w:hAnsiTheme="majorBidi" w:cstheme="majorBidi"/>
            <w:color w:val="4465B0"/>
            <w:sz w:val="20"/>
            <w:szCs w:val="20"/>
            <w:u w:val="single"/>
            <w:lang w:bidi="lv-LV"/>
          </w:rPr>
          <w:t xml:space="preserve"> </w:t>
        </w:r>
        <w:proofErr w:type="spellStart"/>
        <w:r w:rsidRPr="008218A2">
          <w:rPr>
            <w:rFonts w:asciiTheme="majorBidi" w:hAnsiTheme="majorBidi" w:cstheme="majorBidi"/>
            <w:color w:val="4465B0"/>
            <w:sz w:val="20"/>
            <w:szCs w:val="20"/>
            <w:u w:val="single"/>
            <w:lang w:bidi="lv-LV"/>
          </w:rPr>
          <w:t>profilakses</w:t>
        </w:r>
        <w:proofErr w:type="spellEnd"/>
        <w:r w:rsidRPr="008218A2">
          <w:rPr>
            <w:rFonts w:asciiTheme="majorBidi" w:hAnsiTheme="majorBidi" w:cstheme="majorBidi"/>
            <w:color w:val="4465B0"/>
            <w:sz w:val="20"/>
            <w:szCs w:val="20"/>
            <w:u w:val="single"/>
            <w:lang w:bidi="lv-LV"/>
          </w:rPr>
          <w:t xml:space="preserve"> un </w:t>
        </w:r>
        <w:proofErr w:type="spellStart"/>
        <w:r w:rsidRPr="008218A2">
          <w:rPr>
            <w:rFonts w:asciiTheme="majorBidi" w:hAnsiTheme="majorBidi" w:cstheme="majorBidi"/>
            <w:color w:val="4465B0"/>
            <w:sz w:val="20"/>
            <w:szCs w:val="20"/>
            <w:u w:val="single"/>
            <w:lang w:bidi="lv-LV"/>
          </w:rPr>
          <w:t>kontroles</w:t>
        </w:r>
        <w:proofErr w:type="spellEnd"/>
        <w:r w:rsidRPr="008218A2">
          <w:rPr>
            <w:rFonts w:asciiTheme="majorBidi" w:hAnsiTheme="majorBidi" w:cstheme="majorBidi"/>
            <w:color w:val="4465B0"/>
            <w:sz w:val="20"/>
            <w:szCs w:val="20"/>
            <w:u w:val="single"/>
            <w:lang w:bidi="lv-LV"/>
          </w:rPr>
          <w:t xml:space="preserve"> </w:t>
        </w:r>
        <w:proofErr w:type="spellStart"/>
        <w:r w:rsidRPr="008218A2">
          <w:rPr>
            <w:rFonts w:asciiTheme="majorBidi" w:hAnsiTheme="majorBidi" w:cstheme="majorBidi"/>
            <w:color w:val="4465B0"/>
            <w:sz w:val="20"/>
            <w:szCs w:val="20"/>
            <w:u w:val="single"/>
            <w:lang w:bidi="lv-LV"/>
          </w:rPr>
          <w:t>centrs</w:t>
        </w:r>
        <w:proofErr w:type="spellEnd"/>
        <w:r w:rsidRPr="008218A2">
          <w:rPr>
            <w:rFonts w:asciiTheme="majorBidi" w:hAnsiTheme="majorBidi" w:cstheme="majorBidi"/>
            <w:color w:val="4465B0"/>
            <w:sz w:val="20"/>
            <w:szCs w:val="20"/>
            <w:u w:val="single"/>
            <w:lang w:bidi="lv-LV"/>
          </w:rPr>
          <w:t xml:space="preserve"> (ESPKC)</w:t>
        </w:r>
        <w:r w:rsidRPr="008218A2">
          <w:rPr>
            <w:rFonts w:asciiTheme="majorBidi" w:hAnsiTheme="majorBidi" w:cstheme="majorBidi"/>
            <w:color w:val="4465B0"/>
            <w:sz w:val="20"/>
            <w:szCs w:val="20"/>
            <w:lang w:bidi="lv-LV"/>
          </w:rPr>
          <w:t xml:space="preserve"> </w:t>
        </w:r>
      </w:hyperlink>
      <w:proofErr w:type="spellStart"/>
      <w:r w:rsidRPr="008218A2">
        <w:rPr>
          <w:rFonts w:asciiTheme="majorBidi" w:hAnsiTheme="majorBidi" w:cstheme="majorBidi"/>
          <w:sz w:val="20"/>
          <w:szCs w:val="20"/>
          <w:lang w:bidi="lv-LV"/>
        </w:rPr>
        <w:t>apkopo</w:t>
      </w:r>
      <w:proofErr w:type="spellEnd"/>
      <w:r w:rsidRPr="008218A2">
        <w:rPr>
          <w:rFonts w:asciiTheme="majorBidi" w:hAnsiTheme="majorBidi" w:cstheme="majorBidi"/>
          <w:sz w:val="20"/>
          <w:szCs w:val="20"/>
          <w:lang w:bidi="lv-LV"/>
        </w:rPr>
        <w:t xml:space="preserve"> </w:t>
      </w:r>
      <w:proofErr w:type="spellStart"/>
      <w:r w:rsidRPr="008218A2">
        <w:rPr>
          <w:rFonts w:asciiTheme="majorBidi" w:hAnsiTheme="majorBidi" w:cstheme="majorBidi"/>
          <w:sz w:val="20"/>
          <w:szCs w:val="20"/>
          <w:lang w:bidi="lv-LV"/>
        </w:rPr>
        <w:t>šos</w:t>
      </w:r>
      <w:proofErr w:type="spellEnd"/>
      <w:r w:rsidRPr="008218A2">
        <w:rPr>
          <w:rFonts w:asciiTheme="majorBidi" w:hAnsiTheme="majorBidi" w:cstheme="majorBidi"/>
          <w:sz w:val="20"/>
          <w:szCs w:val="20"/>
          <w:lang w:bidi="lv-LV"/>
        </w:rPr>
        <w:t xml:space="preserve"> </w:t>
      </w:r>
      <w:proofErr w:type="spellStart"/>
      <w:r w:rsidRPr="008218A2">
        <w:rPr>
          <w:rFonts w:asciiTheme="majorBidi" w:hAnsiTheme="majorBidi" w:cstheme="majorBidi"/>
          <w:sz w:val="20"/>
          <w:szCs w:val="20"/>
          <w:lang w:bidi="lv-LV"/>
        </w:rPr>
        <w:t>datus</w:t>
      </w:r>
      <w:proofErr w:type="spellEnd"/>
      <w:r w:rsidRPr="008218A2">
        <w:rPr>
          <w:rFonts w:asciiTheme="majorBidi" w:hAnsiTheme="majorBidi" w:cstheme="majorBidi"/>
          <w:sz w:val="20"/>
          <w:szCs w:val="20"/>
          <w:lang w:bidi="lv-LV"/>
        </w:rPr>
        <w:t xml:space="preserve"> par </w:t>
      </w:r>
      <w:proofErr w:type="spellStart"/>
      <w:r w:rsidRPr="008218A2">
        <w:rPr>
          <w:rFonts w:asciiTheme="majorBidi" w:hAnsiTheme="majorBidi" w:cstheme="majorBidi"/>
          <w:sz w:val="20"/>
          <w:szCs w:val="20"/>
          <w:lang w:bidi="lv-LV"/>
        </w:rPr>
        <w:t>vakcīnu</w:t>
      </w:r>
      <w:proofErr w:type="spellEnd"/>
      <w:r w:rsidRPr="008218A2">
        <w:rPr>
          <w:rFonts w:asciiTheme="majorBidi" w:hAnsiTheme="majorBidi" w:cstheme="majorBidi"/>
          <w:sz w:val="20"/>
          <w:szCs w:val="20"/>
          <w:lang w:bidi="lv-LV"/>
        </w:rPr>
        <w:t xml:space="preserve"> </w:t>
      </w:r>
      <w:proofErr w:type="spellStart"/>
      <w:r w:rsidRPr="008218A2">
        <w:rPr>
          <w:rFonts w:asciiTheme="majorBidi" w:hAnsiTheme="majorBidi" w:cstheme="majorBidi"/>
          <w:sz w:val="20"/>
          <w:szCs w:val="20"/>
          <w:lang w:bidi="lv-LV"/>
        </w:rPr>
        <w:t>izmantošanu</w:t>
      </w:r>
      <w:proofErr w:type="spellEnd"/>
      <w:r w:rsidRPr="008218A2">
        <w:rPr>
          <w:rFonts w:asciiTheme="majorBidi" w:hAnsiTheme="majorBidi" w:cstheme="majorBidi"/>
          <w:sz w:val="20"/>
          <w:szCs w:val="20"/>
          <w:lang w:bidi="lv-LV"/>
        </w:rPr>
        <w:t xml:space="preserve"> no ES </w:t>
      </w:r>
      <w:proofErr w:type="spellStart"/>
      <w:r w:rsidRPr="008218A2">
        <w:rPr>
          <w:rFonts w:asciiTheme="majorBidi" w:hAnsiTheme="majorBidi" w:cstheme="majorBidi"/>
          <w:sz w:val="20"/>
          <w:szCs w:val="20"/>
          <w:lang w:bidi="lv-LV"/>
        </w:rPr>
        <w:t>dalībvalstīm</w:t>
      </w:r>
      <w:proofErr w:type="spellEnd"/>
      <w:r w:rsidRPr="008218A2">
        <w:rPr>
          <w:rFonts w:asciiTheme="majorBidi" w:hAnsiTheme="majorBidi" w:cstheme="majorBidi"/>
          <w:sz w:val="20"/>
          <w:szCs w:val="20"/>
          <w:lang w:bidi="lv-LV"/>
        </w:rPr>
        <w:t xml:space="preserve">, </w:t>
      </w:r>
      <w:proofErr w:type="spellStart"/>
      <w:r w:rsidRPr="008218A2">
        <w:rPr>
          <w:rFonts w:asciiTheme="majorBidi" w:hAnsiTheme="majorBidi" w:cstheme="majorBidi"/>
          <w:sz w:val="20"/>
          <w:szCs w:val="20"/>
          <w:lang w:bidi="lv-LV"/>
        </w:rPr>
        <w:t>kā</w:t>
      </w:r>
      <w:proofErr w:type="spellEnd"/>
      <w:r w:rsidRPr="008218A2">
        <w:rPr>
          <w:rFonts w:asciiTheme="majorBidi" w:hAnsiTheme="majorBidi" w:cstheme="majorBidi"/>
          <w:sz w:val="20"/>
          <w:szCs w:val="20"/>
          <w:lang w:bidi="lv-LV"/>
        </w:rPr>
        <w:t xml:space="preserve"> </w:t>
      </w:r>
      <w:proofErr w:type="spellStart"/>
      <w:r w:rsidRPr="008218A2">
        <w:rPr>
          <w:rFonts w:asciiTheme="majorBidi" w:hAnsiTheme="majorBidi" w:cstheme="majorBidi"/>
          <w:sz w:val="20"/>
          <w:szCs w:val="20"/>
          <w:lang w:bidi="lv-LV"/>
        </w:rPr>
        <w:t>arī</w:t>
      </w:r>
      <w:proofErr w:type="spellEnd"/>
      <w:r w:rsidRPr="008218A2">
        <w:rPr>
          <w:rFonts w:asciiTheme="majorBidi" w:hAnsiTheme="majorBidi" w:cstheme="majorBidi"/>
          <w:sz w:val="20"/>
          <w:szCs w:val="20"/>
          <w:lang w:bidi="lv-LV"/>
        </w:rPr>
        <w:t xml:space="preserve"> no </w:t>
      </w:r>
      <w:proofErr w:type="spellStart"/>
      <w:r w:rsidRPr="008218A2">
        <w:rPr>
          <w:rFonts w:asciiTheme="majorBidi" w:hAnsiTheme="majorBidi" w:cstheme="majorBidi"/>
          <w:sz w:val="20"/>
          <w:szCs w:val="20"/>
          <w:lang w:bidi="lv-LV"/>
        </w:rPr>
        <w:t>vairākām</w:t>
      </w:r>
      <w:proofErr w:type="spellEnd"/>
      <w:r w:rsidRPr="008218A2">
        <w:rPr>
          <w:rFonts w:asciiTheme="majorBidi" w:hAnsiTheme="majorBidi" w:cstheme="majorBidi"/>
          <w:sz w:val="20"/>
          <w:szCs w:val="20"/>
          <w:lang w:bidi="lv-LV"/>
        </w:rPr>
        <w:t xml:space="preserve"> </w:t>
      </w:r>
      <w:proofErr w:type="spellStart"/>
      <w:r w:rsidRPr="008218A2">
        <w:rPr>
          <w:rFonts w:asciiTheme="majorBidi" w:hAnsiTheme="majorBidi" w:cstheme="majorBidi"/>
          <w:sz w:val="20"/>
          <w:szCs w:val="20"/>
          <w:lang w:bidi="lv-LV"/>
        </w:rPr>
        <w:t>valstīm</w:t>
      </w:r>
      <w:proofErr w:type="spellEnd"/>
      <w:r w:rsidRPr="008218A2">
        <w:rPr>
          <w:rFonts w:asciiTheme="majorBidi" w:hAnsiTheme="majorBidi" w:cstheme="majorBidi"/>
          <w:sz w:val="20"/>
          <w:szCs w:val="20"/>
          <w:lang w:bidi="lv-LV"/>
        </w:rPr>
        <w:t xml:space="preserve"> </w:t>
      </w:r>
      <w:proofErr w:type="spellStart"/>
      <w:r w:rsidRPr="008218A2">
        <w:rPr>
          <w:rFonts w:asciiTheme="majorBidi" w:hAnsiTheme="majorBidi" w:cstheme="majorBidi"/>
          <w:sz w:val="20"/>
          <w:szCs w:val="20"/>
          <w:lang w:bidi="lv-LV"/>
        </w:rPr>
        <w:t>Eiropas</w:t>
      </w:r>
      <w:proofErr w:type="spellEnd"/>
      <w:r w:rsidRPr="008218A2">
        <w:rPr>
          <w:rFonts w:asciiTheme="majorBidi" w:hAnsiTheme="majorBidi" w:cstheme="majorBidi"/>
          <w:sz w:val="20"/>
          <w:szCs w:val="20"/>
          <w:lang w:bidi="lv-LV"/>
        </w:rPr>
        <w:t xml:space="preserve"> </w:t>
      </w:r>
      <w:proofErr w:type="spellStart"/>
      <w:r w:rsidRPr="008218A2">
        <w:rPr>
          <w:rFonts w:asciiTheme="majorBidi" w:hAnsiTheme="majorBidi" w:cstheme="majorBidi"/>
          <w:sz w:val="20"/>
          <w:szCs w:val="20"/>
          <w:lang w:bidi="lv-LV"/>
        </w:rPr>
        <w:t>Ekonomikas</w:t>
      </w:r>
      <w:proofErr w:type="spellEnd"/>
      <w:r w:rsidRPr="008218A2">
        <w:rPr>
          <w:rFonts w:asciiTheme="majorBidi" w:hAnsiTheme="majorBidi" w:cstheme="majorBidi"/>
          <w:sz w:val="20"/>
          <w:szCs w:val="20"/>
          <w:lang w:bidi="lv-LV"/>
        </w:rPr>
        <w:t xml:space="preserve"> </w:t>
      </w:r>
      <w:proofErr w:type="spellStart"/>
      <w:r w:rsidRPr="008218A2">
        <w:rPr>
          <w:rFonts w:asciiTheme="majorBidi" w:hAnsiTheme="majorBidi" w:cstheme="majorBidi"/>
          <w:sz w:val="20"/>
          <w:szCs w:val="20"/>
          <w:lang w:bidi="lv-LV"/>
        </w:rPr>
        <w:t>zonā</w:t>
      </w:r>
      <w:proofErr w:type="spellEnd"/>
      <w:r w:rsidRPr="008218A2">
        <w:rPr>
          <w:rFonts w:asciiTheme="majorBidi" w:hAnsiTheme="majorBidi" w:cstheme="majorBidi"/>
          <w:sz w:val="20"/>
          <w:szCs w:val="20"/>
          <w:lang w:bidi="lv-LV"/>
        </w:rPr>
        <w:t xml:space="preserve"> (EEZ) – </w:t>
      </w:r>
      <w:proofErr w:type="spellStart"/>
      <w:r w:rsidRPr="008218A2">
        <w:rPr>
          <w:rFonts w:asciiTheme="majorBidi" w:hAnsiTheme="majorBidi" w:cstheme="majorBidi"/>
          <w:sz w:val="20"/>
          <w:szCs w:val="20"/>
          <w:lang w:bidi="lv-LV"/>
        </w:rPr>
        <w:t>Norvēģijas</w:t>
      </w:r>
      <w:proofErr w:type="spellEnd"/>
      <w:r w:rsidRPr="008218A2">
        <w:rPr>
          <w:rFonts w:asciiTheme="majorBidi" w:hAnsiTheme="majorBidi" w:cstheme="majorBidi"/>
          <w:sz w:val="20"/>
          <w:szCs w:val="20"/>
          <w:lang w:bidi="lv-LV"/>
        </w:rPr>
        <w:t xml:space="preserve">, </w:t>
      </w:r>
      <w:proofErr w:type="spellStart"/>
      <w:r w:rsidRPr="008218A2">
        <w:rPr>
          <w:rFonts w:asciiTheme="majorBidi" w:hAnsiTheme="majorBidi" w:cstheme="majorBidi"/>
          <w:sz w:val="20"/>
          <w:szCs w:val="20"/>
          <w:lang w:bidi="lv-LV"/>
        </w:rPr>
        <w:t>Islandes</w:t>
      </w:r>
      <w:proofErr w:type="spellEnd"/>
      <w:r w:rsidRPr="008218A2">
        <w:rPr>
          <w:rFonts w:asciiTheme="majorBidi" w:hAnsiTheme="majorBidi" w:cstheme="majorBidi"/>
          <w:sz w:val="20"/>
          <w:szCs w:val="20"/>
          <w:lang w:bidi="lv-LV"/>
        </w:rPr>
        <w:t xml:space="preserve"> un </w:t>
      </w:r>
      <w:proofErr w:type="spellStart"/>
      <w:r w:rsidRPr="008218A2">
        <w:rPr>
          <w:rFonts w:asciiTheme="majorBidi" w:hAnsiTheme="majorBidi" w:cstheme="majorBidi"/>
          <w:sz w:val="20"/>
          <w:szCs w:val="20"/>
          <w:lang w:bidi="lv-LV"/>
        </w:rPr>
        <w:t>Lihtenšteinas</w:t>
      </w:r>
      <w:proofErr w:type="spellEnd"/>
      <w:r w:rsidRPr="008218A2">
        <w:rPr>
          <w:rFonts w:asciiTheme="majorBidi" w:hAnsiTheme="majorBidi" w:cstheme="majorBidi"/>
          <w:sz w:val="20"/>
          <w:szCs w:val="20"/>
          <w:lang w:bidi="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E4F8" w14:textId="227E21FD" w:rsidR="009D2368" w:rsidRDefault="009D2368" w:rsidP="009D2368">
    <w:pPr>
      <w:pStyle w:val="Header"/>
      <w:tabs>
        <w:tab w:val="clear" w:pos="4153"/>
        <w:tab w:val="clear" w:pos="8306"/>
        <w:tab w:val="left" w:pos="2200"/>
      </w:tabs>
      <w:jc w:val="center"/>
    </w:pPr>
    <w:r w:rsidRPr="000A399F">
      <w:rPr>
        <w:noProof/>
      </w:rPr>
      <w:drawing>
        <wp:inline distT="0" distB="0" distL="0" distR="0" wp14:anchorId="16EB08E7" wp14:editId="51C130ED">
          <wp:extent cx="238125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1187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2D71"/>
    <w:multiLevelType w:val="multilevel"/>
    <w:tmpl w:val="ECB6896E"/>
    <w:lvl w:ilvl="0">
      <w:start w:val="5"/>
      <w:numFmt w:val="decimal"/>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912CAA"/>
    <w:multiLevelType w:val="multilevel"/>
    <w:tmpl w:val="807A5E38"/>
    <w:lvl w:ilvl="0">
      <w:start w:val="4"/>
      <w:numFmt w:val="decimal"/>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724320"/>
    <w:multiLevelType w:val="hybridMultilevel"/>
    <w:tmpl w:val="E1226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101D7"/>
    <w:multiLevelType w:val="hybridMultilevel"/>
    <w:tmpl w:val="E1226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EF"/>
    <w:rsid w:val="00066D89"/>
    <w:rsid w:val="000E4A4C"/>
    <w:rsid w:val="00117E7A"/>
    <w:rsid w:val="001241F2"/>
    <w:rsid w:val="00151CFB"/>
    <w:rsid w:val="001651CF"/>
    <w:rsid w:val="001874E3"/>
    <w:rsid w:val="001B40FA"/>
    <w:rsid w:val="002009FB"/>
    <w:rsid w:val="002461C1"/>
    <w:rsid w:val="00262B41"/>
    <w:rsid w:val="002715B0"/>
    <w:rsid w:val="00275EB4"/>
    <w:rsid w:val="00293FC2"/>
    <w:rsid w:val="002A5F00"/>
    <w:rsid w:val="003015F1"/>
    <w:rsid w:val="003131F0"/>
    <w:rsid w:val="003428D0"/>
    <w:rsid w:val="0042194E"/>
    <w:rsid w:val="00433E6A"/>
    <w:rsid w:val="00437809"/>
    <w:rsid w:val="00495B7A"/>
    <w:rsid w:val="004D29D7"/>
    <w:rsid w:val="00503098"/>
    <w:rsid w:val="00671D0C"/>
    <w:rsid w:val="006B1FE4"/>
    <w:rsid w:val="006B6438"/>
    <w:rsid w:val="006E26E1"/>
    <w:rsid w:val="006E68AD"/>
    <w:rsid w:val="00735BAB"/>
    <w:rsid w:val="007369A5"/>
    <w:rsid w:val="007B12CD"/>
    <w:rsid w:val="007B7F4D"/>
    <w:rsid w:val="007C28D6"/>
    <w:rsid w:val="007C3F3A"/>
    <w:rsid w:val="007C4306"/>
    <w:rsid w:val="007E450F"/>
    <w:rsid w:val="007F5979"/>
    <w:rsid w:val="008218A2"/>
    <w:rsid w:val="00853A7C"/>
    <w:rsid w:val="008846DD"/>
    <w:rsid w:val="00890AE5"/>
    <w:rsid w:val="008B6725"/>
    <w:rsid w:val="008D5BDA"/>
    <w:rsid w:val="008E3888"/>
    <w:rsid w:val="008E4BA8"/>
    <w:rsid w:val="00937791"/>
    <w:rsid w:val="00952BE1"/>
    <w:rsid w:val="009D2368"/>
    <w:rsid w:val="009E54EB"/>
    <w:rsid w:val="00A067D4"/>
    <w:rsid w:val="00A255AE"/>
    <w:rsid w:val="00A563CC"/>
    <w:rsid w:val="00AF2124"/>
    <w:rsid w:val="00B56F21"/>
    <w:rsid w:val="00BA2446"/>
    <w:rsid w:val="00BB4B0B"/>
    <w:rsid w:val="00C361E3"/>
    <w:rsid w:val="00C37952"/>
    <w:rsid w:val="00C458AF"/>
    <w:rsid w:val="00C933EA"/>
    <w:rsid w:val="00D037A5"/>
    <w:rsid w:val="00D25A2D"/>
    <w:rsid w:val="00D5114E"/>
    <w:rsid w:val="00DA06A5"/>
    <w:rsid w:val="00DE22D3"/>
    <w:rsid w:val="00E21653"/>
    <w:rsid w:val="00E56FBE"/>
    <w:rsid w:val="00E61396"/>
    <w:rsid w:val="00EA0568"/>
    <w:rsid w:val="00EA4F40"/>
    <w:rsid w:val="00F04059"/>
    <w:rsid w:val="00FA192C"/>
    <w:rsid w:val="00FE70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E69C"/>
  <w14:defaultImageDpi w14:val="32767"/>
  <w15:chartTrackingRefBased/>
  <w15:docId w15:val="{70DF8489-8240-1F4C-B3D7-A9901246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2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26E1"/>
    <w:rPr>
      <w:sz w:val="20"/>
      <w:szCs w:val="20"/>
    </w:rPr>
  </w:style>
  <w:style w:type="character" w:customStyle="1" w:styleId="FootnoteTextChar">
    <w:name w:val="Footnote Text Char"/>
    <w:basedOn w:val="DefaultParagraphFont"/>
    <w:link w:val="FootnoteText"/>
    <w:uiPriority w:val="99"/>
    <w:semiHidden/>
    <w:rsid w:val="006E26E1"/>
    <w:rPr>
      <w:sz w:val="20"/>
      <w:szCs w:val="20"/>
    </w:rPr>
  </w:style>
  <w:style w:type="character" w:styleId="FootnoteReference">
    <w:name w:val="footnote reference"/>
    <w:basedOn w:val="DefaultParagraphFont"/>
    <w:unhideWhenUsed/>
    <w:rsid w:val="006E26E1"/>
    <w:rPr>
      <w:vertAlign w:val="superscript"/>
    </w:rPr>
  </w:style>
  <w:style w:type="character" w:styleId="Hyperlink">
    <w:name w:val="Hyperlink"/>
    <w:basedOn w:val="DefaultParagraphFont"/>
    <w:uiPriority w:val="99"/>
    <w:unhideWhenUsed/>
    <w:rsid w:val="006E26E1"/>
    <w:rPr>
      <w:color w:val="0563C1" w:themeColor="hyperlink"/>
      <w:u w:val="single"/>
    </w:rPr>
  </w:style>
  <w:style w:type="character" w:styleId="UnresolvedMention">
    <w:name w:val="Unresolved Mention"/>
    <w:basedOn w:val="DefaultParagraphFont"/>
    <w:uiPriority w:val="99"/>
    <w:rsid w:val="006E26E1"/>
    <w:rPr>
      <w:color w:val="605E5C"/>
      <w:shd w:val="clear" w:color="auto" w:fill="E1DFDD"/>
    </w:rPr>
  </w:style>
  <w:style w:type="paragraph" w:styleId="ListParagraph">
    <w:name w:val="List Paragraph"/>
    <w:basedOn w:val="Normal"/>
    <w:uiPriority w:val="34"/>
    <w:qFormat/>
    <w:rsid w:val="001651CF"/>
    <w:pPr>
      <w:ind w:left="720"/>
      <w:contextualSpacing/>
    </w:pPr>
  </w:style>
  <w:style w:type="paragraph" w:styleId="Header">
    <w:name w:val="header"/>
    <w:basedOn w:val="Normal"/>
    <w:link w:val="HeaderChar"/>
    <w:uiPriority w:val="99"/>
    <w:unhideWhenUsed/>
    <w:rsid w:val="009D2368"/>
    <w:pPr>
      <w:tabs>
        <w:tab w:val="center" w:pos="4153"/>
        <w:tab w:val="right" w:pos="8306"/>
      </w:tabs>
    </w:pPr>
  </w:style>
  <w:style w:type="character" w:customStyle="1" w:styleId="HeaderChar">
    <w:name w:val="Header Char"/>
    <w:basedOn w:val="DefaultParagraphFont"/>
    <w:link w:val="Header"/>
    <w:uiPriority w:val="99"/>
    <w:rsid w:val="009D2368"/>
  </w:style>
  <w:style w:type="paragraph" w:styleId="Footer">
    <w:name w:val="footer"/>
    <w:basedOn w:val="Normal"/>
    <w:link w:val="FooterChar"/>
    <w:uiPriority w:val="99"/>
    <w:unhideWhenUsed/>
    <w:rsid w:val="009D2368"/>
    <w:pPr>
      <w:tabs>
        <w:tab w:val="center" w:pos="4153"/>
        <w:tab w:val="right" w:pos="8306"/>
      </w:tabs>
    </w:pPr>
  </w:style>
  <w:style w:type="character" w:customStyle="1" w:styleId="FooterChar">
    <w:name w:val="Footer Char"/>
    <w:basedOn w:val="DefaultParagraphFont"/>
    <w:link w:val="Footer"/>
    <w:uiPriority w:val="99"/>
    <w:rsid w:val="009D2368"/>
  </w:style>
  <w:style w:type="character" w:styleId="FollowedHyperlink">
    <w:name w:val="FollowedHyperlink"/>
    <w:basedOn w:val="DefaultParagraphFont"/>
    <w:uiPriority w:val="99"/>
    <w:semiHidden/>
    <w:unhideWhenUsed/>
    <w:rsid w:val="00D037A5"/>
    <w:rPr>
      <w:color w:val="954F72" w:themeColor="followedHyperlink"/>
      <w:u w:val="single"/>
    </w:rPr>
  </w:style>
  <w:style w:type="character" w:customStyle="1" w:styleId="BodyTextChar">
    <w:name w:val="Body Text Char"/>
    <w:basedOn w:val="DefaultParagraphFont"/>
    <w:link w:val="BodyText"/>
    <w:rsid w:val="00DA06A5"/>
    <w:rPr>
      <w:rFonts w:ascii="Verdana" w:eastAsia="Verdana" w:hAnsi="Verdana" w:cs="Verdana"/>
      <w:color w:val="262626"/>
      <w:sz w:val="18"/>
      <w:szCs w:val="18"/>
      <w:shd w:val="clear" w:color="auto" w:fill="FFFFFF"/>
    </w:rPr>
  </w:style>
  <w:style w:type="paragraph" w:styleId="BodyText">
    <w:name w:val="Body Text"/>
    <w:basedOn w:val="Normal"/>
    <w:link w:val="BodyTextChar"/>
    <w:qFormat/>
    <w:rsid w:val="00DA06A5"/>
    <w:pPr>
      <w:widowControl w:val="0"/>
      <w:shd w:val="clear" w:color="auto" w:fill="FFFFFF"/>
      <w:spacing w:after="100" w:line="307" w:lineRule="auto"/>
      <w:ind w:firstLine="20"/>
    </w:pPr>
    <w:rPr>
      <w:rFonts w:ascii="Verdana" w:eastAsia="Verdana" w:hAnsi="Verdana" w:cs="Verdana"/>
      <w:color w:val="262626"/>
      <w:sz w:val="18"/>
      <w:szCs w:val="18"/>
    </w:rPr>
  </w:style>
  <w:style w:type="character" w:customStyle="1" w:styleId="BodyTextChar1">
    <w:name w:val="Body Text Char1"/>
    <w:basedOn w:val="DefaultParagraphFont"/>
    <w:uiPriority w:val="99"/>
    <w:semiHidden/>
    <w:rsid w:val="00DA06A5"/>
  </w:style>
  <w:style w:type="character" w:customStyle="1" w:styleId="Footnote">
    <w:name w:val="Footnote_"/>
    <w:basedOn w:val="DefaultParagraphFont"/>
    <w:link w:val="Footnote0"/>
    <w:rsid w:val="00DA06A5"/>
    <w:rPr>
      <w:rFonts w:ascii="Verdana" w:eastAsia="Verdana" w:hAnsi="Verdana" w:cs="Verdana"/>
      <w:sz w:val="15"/>
      <w:szCs w:val="15"/>
      <w:shd w:val="clear" w:color="auto" w:fill="FFFFFF"/>
    </w:rPr>
  </w:style>
  <w:style w:type="paragraph" w:customStyle="1" w:styleId="Footnote0">
    <w:name w:val="Footnote"/>
    <w:basedOn w:val="Normal"/>
    <w:link w:val="Footnote"/>
    <w:rsid w:val="00DA06A5"/>
    <w:pPr>
      <w:widowControl w:val="0"/>
      <w:shd w:val="clear" w:color="auto" w:fill="FFFFFF"/>
      <w:spacing w:line="288" w:lineRule="auto"/>
      <w:ind w:left="600"/>
    </w:pPr>
    <w:rPr>
      <w:rFonts w:ascii="Verdana" w:eastAsia="Verdana" w:hAnsi="Verdana" w:cs="Verdana"/>
      <w:sz w:val="15"/>
      <w:szCs w:val="15"/>
    </w:rPr>
  </w:style>
  <w:style w:type="character" w:customStyle="1" w:styleId="Heading4">
    <w:name w:val="Heading #4_"/>
    <w:basedOn w:val="DefaultParagraphFont"/>
    <w:link w:val="Heading40"/>
    <w:rsid w:val="00DA06A5"/>
    <w:rPr>
      <w:rFonts w:ascii="Verdana" w:eastAsia="Verdana" w:hAnsi="Verdana" w:cs="Verdana"/>
      <w:color w:val="262626"/>
      <w:sz w:val="28"/>
      <w:szCs w:val="28"/>
      <w:shd w:val="clear" w:color="auto" w:fill="FFFFFF"/>
    </w:rPr>
  </w:style>
  <w:style w:type="paragraph" w:customStyle="1" w:styleId="Heading40">
    <w:name w:val="Heading #4"/>
    <w:basedOn w:val="Normal"/>
    <w:link w:val="Heading4"/>
    <w:rsid w:val="00DA06A5"/>
    <w:pPr>
      <w:widowControl w:val="0"/>
      <w:shd w:val="clear" w:color="auto" w:fill="FFFFFF"/>
      <w:spacing w:after="280"/>
      <w:ind w:firstLine="300"/>
      <w:outlineLvl w:val="3"/>
    </w:pPr>
    <w:rPr>
      <w:rFonts w:ascii="Verdana" w:eastAsia="Verdana" w:hAnsi="Verdana" w:cs="Verdana"/>
      <w:color w:val="262626"/>
      <w:sz w:val="28"/>
      <w:szCs w:val="28"/>
    </w:rPr>
  </w:style>
  <w:style w:type="paragraph" w:customStyle="1" w:styleId="Introtext">
    <w:name w:val="Intro text"/>
    <w:next w:val="Normal"/>
    <w:link w:val="IntrotextChar"/>
    <w:qFormat/>
    <w:rsid w:val="007B7F4D"/>
    <w:pPr>
      <w:spacing w:after="120" w:line="320" w:lineRule="exact"/>
    </w:pPr>
    <w:rPr>
      <w:rFonts w:eastAsia="Verdana" w:cs="Verdana"/>
      <w:color w:val="404040" w:themeColor="text1" w:themeTint="BF"/>
      <w:sz w:val="28"/>
      <w:szCs w:val="21"/>
      <w:lang w:eastAsia="en-GB"/>
    </w:rPr>
  </w:style>
  <w:style w:type="character" w:customStyle="1" w:styleId="IntrotextChar">
    <w:name w:val="Intro text Char"/>
    <w:basedOn w:val="DefaultParagraphFont"/>
    <w:link w:val="Introtext"/>
    <w:rsid w:val="007B7F4D"/>
    <w:rPr>
      <w:rFonts w:eastAsia="Verdana" w:cs="Verdana"/>
      <w:color w:val="404040" w:themeColor="text1" w:themeTint="BF"/>
      <w:sz w:val="28"/>
      <w:szCs w:val="21"/>
      <w:lang w:eastAsia="en-GB"/>
    </w:rPr>
  </w:style>
  <w:style w:type="paragraph" w:customStyle="1" w:styleId="BodytextAgency">
    <w:name w:val="Body text (Agency)"/>
    <w:basedOn w:val="Normal"/>
    <w:link w:val="BodytextAgencyChar"/>
    <w:qFormat/>
    <w:rsid w:val="007B7F4D"/>
    <w:pPr>
      <w:spacing w:after="120" w:line="280" w:lineRule="exact"/>
    </w:pPr>
    <w:rPr>
      <w:rFonts w:eastAsia="Verdana" w:cs="Verdana"/>
      <w:color w:val="262626" w:themeColor="text1" w:themeTint="D9"/>
      <w:sz w:val="18"/>
      <w:szCs w:val="21"/>
      <w:lang w:eastAsia="en-GB"/>
    </w:rPr>
  </w:style>
  <w:style w:type="character" w:customStyle="1" w:styleId="BodytextAgencyChar">
    <w:name w:val="Body text (Agency) Char"/>
    <w:link w:val="BodytextAgency"/>
    <w:qFormat/>
    <w:rsid w:val="007B7F4D"/>
    <w:rPr>
      <w:rFonts w:eastAsia="Verdana" w:cs="Verdana"/>
      <w:color w:val="262626" w:themeColor="text1" w:themeTint="D9"/>
      <w:sz w:val="18"/>
      <w:szCs w:val="21"/>
      <w:lang w:eastAsia="en-GB"/>
    </w:rPr>
  </w:style>
  <w:style w:type="paragraph" w:styleId="NormalWeb">
    <w:name w:val="Normal (Web)"/>
    <w:basedOn w:val="Normal"/>
    <w:uiPriority w:val="99"/>
    <w:semiHidden/>
    <w:rsid w:val="00937791"/>
    <w:pPr>
      <w:spacing w:after="200" w:line="288" w:lineRule="auto"/>
    </w:pPr>
    <w:rPr>
      <w:rFonts w:ascii="Times New Roman" w:eastAsiaTheme="minorEastAsia" w:hAnsi="Times New Roman"/>
      <w:lang w:eastAsia="en-GB"/>
    </w:rPr>
  </w:style>
  <w:style w:type="paragraph" w:customStyle="1" w:styleId="H3">
    <w:name w:val="H3"/>
    <w:basedOn w:val="Normal"/>
    <w:link w:val="H3Char"/>
    <w:qFormat/>
    <w:rsid w:val="00937791"/>
    <w:pPr>
      <w:spacing w:before="480" w:after="240" w:line="400" w:lineRule="exact"/>
    </w:pPr>
    <w:rPr>
      <w:rFonts w:eastAsia="Verdana" w:cs="Verdana"/>
      <w:b/>
      <w:color w:val="4472C4" w:themeColor="accent1"/>
      <w:sz w:val="32"/>
      <w:szCs w:val="40"/>
      <w:lang w:eastAsia="en-GB"/>
    </w:rPr>
  </w:style>
  <w:style w:type="character" w:customStyle="1" w:styleId="H3Char">
    <w:name w:val="H3 Char"/>
    <w:basedOn w:val="DefaultParagraphFont"/>
    <w:link w:val="H3"/>
    <w:rsid w:val="00937791"/>
    <w:rPr>
      <w:rFonts w:eastAsia="Verdana" w:cs="Verdana"/>
      <w:b/>
      <w:color w:val="4472C4" w:themeColor="accent1"/>
      <w:sz w:val="32"/>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glossary/prac" TargetMode="External"/><Relationship Id="rId13" Type="http://schemas.openxmlformats.org/officeDocument/2006/relationships/hyperlink" Target="http://www.zva.gov.lv" TargetMode="External"/><Relationship Id="rId18" Type="http://schemas.openxmlformats.org/officeDocument/2006/relationships/hyperlink" Target="https://www.ema.europa.eu/en/medicines/human/EPAR/spikevax" TargetMode="External"/><Relationship Id="rId3" Type="http://schemas.openxmlformats.org/officeDocument/2006/relationships/styles" Target="styles.xml"/><Relationship Id="rId21" Type="http://schemas.openxmlformats.org/officeDocument/2006/relationships/hyperlink" Target="https://www.zva.gov.lv/lv/covid-19-zinas" TargetMode="External"/><Relationship Id="rId7" Type="http://schemas.openxmlformats.org/officeDocument/2006/relationships/endnotes" Target="endnotes.xml"/><Relationship Id="rId12" Type="http://schemas.openxmlformats.org/officeDocument/2006/relationships/hyperlink" Target="https://www.ema.europa.eu/en/human-regulatory/post-authorisation/pharmacovigilance/periodic-safety-update-reports-psurs" TargetMode="External"/><Relationship Id="rId17" Type="http://schemas.openxmlformats.org/officeDocument/2006/relationships/hyperlink" Target="https://www.ema.europa.eu/en/human-regulatory/overview/public-health-threats/coronavirus-disease-covid-19/treatments-vaccines/monitoring-covid-19-medicines-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ma.europa.eu/en/medicines/human/paediatric-investigation-plans/emea-002893-pip01-20" TargetMode="External"/><Relationship Id="rId20" Type="http://schemas.openxmlformats.org/officeDocument/2006/relationships/hyperlink" Target="http://www.ema.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human-regulatory/overview/public-health-threats/coronavirus-disease-covid-19/treatments-vaccines/monitoring-covid-19-medicines-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ma.europa.eu/en/documents/rmp-summary/spikevax-previously-covid-19-vaccine-moderna-epar-risk-management-plan_en.pdf" TargetMode="External"/><Relationship Id="rId23" Type="http://schemas.openxmlformats.org/officeDocument/2006/relationships/footer" Target="footer1.xml"/><Relationship Id="rId10" Type="http://schemas.openxmlformats.org/officeDocument/2006/relationships/hyperlink" Target="https://www.ema.europa.eu/en/glossary/prac" TargetMode="External"/><Relationship Id="rId19" Type="http://schemas.openxmlformats.org/officeDocument/2006/relationships/hyperlink" Target="https://www.ema.europa.eu/en/medicines/human/EPAR/spikevax" TargetMode="External"/><Relationship Id="rId4" Type="http://schemas.openxmlformats.org/officeDocument/2006/relationships/settings" Target="settings.xml"/><Relationship Id="rId9" Type="http://schemas.openxmlformats.org/officeDocument/2006/relationships/hyperlink" Target="https://www.ema.europa.eu/en/glossary/prac" TargetMode="External"/><Relationship Id="rId14" Type="http://schemas.openxmlformats.org/officeDocument/2006/relationships/hyperlink" Target="https://www.zva.gov.lv/lv/pacientiem-un-sabiedribai/zales/vakcinas-pret-covid-19/zinojumi-par-blakne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qap.ecdc.europa.eu/public/extensions/COVID-19/vaccine-tracker.html%23uptake-tab" TargetMode="External"/><Relationship Id="rId1" Type="http://schemas.openxmlformats.org/officeDocument/2006/relationships/hyperlink" Target="https://qap.ecdc.europa.eu/public/extensions/COVID-19/vaccine-tracker.html%23uptake-t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B68EB-AC67-41F6-962C-F5160099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8126</Words>
  <Characters>4633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Dita Okmane</cp:lastModifiedBy>
  <cp:revision>2</cp:revision>
  <dcterms:created xsi:type="dcterms:W3CDTF">2021-11-25T14:47:00Z</dcterms:created>
  <dcterms:modified xsi:type="dcterms:W3CDTF">2021-11-25T14:47:00Z</dcterms:modified>
</cp:coreProperties>
</file>