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="00B85762" w:rsidRPr="004A3698">
        <w:rPr>
          <w:rFonts w:ascii="Times New Roman" w:hAnsi="Times New Roman"/>
          <w:i/>
          <w:sz w:val="24"/>
          <w:szCs w:val="24"/>
        </w:rPr>
        <w:t>Mylan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5B4695">
      <w:pPr>
        <w:pStyle w:val="ListParagraph"/>
        <w:numPr>
          <w:ilvl w:val="0"/>
          <w:numId w:val="153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Lielbritānija (atjaunināts 30.05.2018.):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(versija 9);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(versija 9);</w:t>
      </w:r>
    </w:p>
    <w:p w:rsidR="008E48B8" w:rsidRPr="00BF686E" w:rsidRDefault="008E48B8" w:rsidP="005B4695">
      <w:pPr>
        <w:pStyle w:val="ListParagraph"/>
        <w:numPr>
          <w:ilvl w:val="0"/>
          <w:numId w:val="140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(versija 9)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 Mylan (agomelatine)</w:t>
      </w:r>
    </w:p>
    <w:p w:rsidR="00A30655" w:rsidRPr="00A30655" w:rsidRDefault="00A30655" w:rsidP="005B4695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5B4695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Agomelatine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5F5D32" w:rsidRPr="00A30655" w:rsidRDefault="005F5D32" w:rsidP="005F5D32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5F5D32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0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0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Amgevita 20 mg šķīdums injekcijām </w:t>
      </w:r>
      <w:r w:rsidR="00CE276B"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1.0. 2018. gada </w:t>
      </w:r>
      <w:r w:rsidR="0038018B">
        <w:rPr>
          <w:rFonts w:ascii="Times New Roman" w:eastAsia="Times New Roman" w:hAnsi="Times New Roman"/>
          <w:sz w:val="24"/>
          <w:szCs w:val="24"/>
          <w:lang w:val="it-IT"/>
        </w:rPr>
        <w:t>decembris</w:t>
      </w:r>
      <w:r w:rsidR="008F2ACE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(saskaņots 20.12.2018):</w:t>
      </w:r>
    </w:p>
    <w:p w:rsidR="00305330" w:rsidRPr="0050015A" w:rsidRDefault="00305330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Izglītojoša brošūra veselības aprūpes speciālistiem</w:t>
      </w:r>
      <w:r w:rsidR="0050015A">
        <w:rPr>
          <w:lang w:val="it-IT"/>
        </w:rPr>
        <w:t>”</w:t>
      </w:r>
      <w:r w:rsidRPr="0050015A">
        <w:rPr>
          <w:lang w:val="it-IT"/>
        </w:rPr>
        <w:t xml:space="preserve"> Būtiska drošuma informācija par Amgevita(adalimumabs)</w:t>
      </w:r>
      <w:r w:rsidR="0050015A">
        <w:rPr>
          <w:lang w:val="it-IT"/>
        </w:rPr>
        <w:t>”</w:t>
      </w:r>
      <w:r w:rsidRPr="0050015A">
        <w:rPr>
          <w:lang w:val="it-IT"/>
        </w:rPr>
        <w:t>, versija 1.0. 2018. gada decembris.</w:t>
      </w:r>
    </w:p>
    <w:p w:rsidR="00667E79" w:rsidRPr="0050015A" w:rsidRDefault="00667E79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Pacienta brīdinājuma kartīte par Amgevita, versija 1.0. 2018. gada decembris;</w:t>
      </w:r>
    </w:p>
    <w:p w:rsidR="00305330" w:rsidRPr="001574A6" w:rsidRDefault="00667E79" w:rsidP="005B4695">
      <w:pPr>
        <w:pStyle w:val="ListParagraph"/>
        <w:numPr>
          <w:ilvl w:val="0"/>
          <w:numId w:val="148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>Pediatriskā pacienta brīdinājuma kartīte par Amgevita, versija 1.0. 2018. gada decembris.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Svarīga informācija veselības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  speciālistiem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1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(teriflunomidum) Sanofi-aventis Group,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Belkyra </w:t>
      </w:r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B966A3">
      <w:pPr>
        <w:pStyle w:val="ListParagraph"/>
        <w:numPr>
          <w:ilvl w:val="0"/>
          <w:numId w:val="156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Amgen Europe B.V., Nīderlande (saskaņots 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07.03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61A63" w:rsidRPr="00C5546E" w:rsidRDefault="00861A63" w:rsidP="00C5546E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 (blinatumomabs)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izglītojoša brošūra ārstiem, versija 2.0;</w:t>
      </w:r>
    </w:p>
    <w:p w:rsidR="00861A63" w:rsidRPr="00C5546E" w:rsidRDefault="00861A63" w:rsidP="00C5546E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”, versija 2.0;</w:t>
      </w:r>
    </w:p>
    <w:p w:rsidR="00861A63" w:rsidRPr="00C5546E" w:rsidRDefault="00861A63" w:rsidP="00C5546E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3.0;</w:t>
      </w:r>
    </w:p>
    <w:p w:rsidR="00861A63" w:rsidRPr="00C5546E" w:rsidRDefault="00861A63" w:rsidP="00C5546E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2.0; </w:t>
      </w:r>
    </w:p>
    <w:p w:rsidR="00861A63" w:rsidRPr="00C5546E" w:rsidRDefault="00861A63" w:rsidP="00C5546E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(blinatumomabs)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1.0, 04-2016.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2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2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Accord Healthcare Limited,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lastRenderedPageBreak/>
        <w:t>Svarīga informācija veselības aprūpes speciālistiem par zāļu riska mazināšanu. Brošūra par šķīduma pagatavošanu, dozēšanu un lietošanu.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Pr="0007573F" w:rsidRDefault="008E48B8" w:rsidP="005B4695">
      <w:pPr>
        <w:numPr>
          <w:ilvl w:val="0"/>
          <w:numId w:val="1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izglītojošs materiāls ārstam "Daxas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22.07.2016):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„Deltyba 50 mg apvalkotās tabletes (delemanīds). Svarīga informācija veselības aprūpes darbiniekiem par riska mazināšanu”, versija LV/DLM/1406/0001(2);</w:t>
      </w:r>
    </w:p>
    <w:p w:rsidR="008E48B8" w:rsidRDefault="008E48B8" w:rsidP="008E48B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„Deltyba (delamanīda) lietošana grūtniecības un zīdīšanas laikā” versija LV/DLM/1406/0002(1).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8E48B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Ebewe Pharma Ges.m.b.H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01.02.2018):</w:t>
      </w:r>
    </w:p>
    <w:p w:rsidR="008E48B8" w:rsidRDefault="008E48B8" w:rsidP="008E48B8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Ebetrex?”. </w:t>
      </w:r>
    </w:p>
    <w:p w:rsidR="008E48B8" w:rsidRDefault="008E48B8" w:rsidP="008E48B8">
      <w:pPr>
        <w:numPr>
          <w:ilvl w:val="0"/>
          <w:numId w:val="25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lapiņa pacientiem ”Kas ir Ebetrex?”.</w:t>
      </w:r>
    </w:p>
    <w:p w:rsidR="008E48B8" w:rsidRDefault="008E48B8" w:rsidP="008E48B8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kanulas </w:t>
      </w:r>
      <w:r>
        <w:rPr>
          <w:rFonts w:eastAsia="Times New Roman"/>
          <w:bCs/>
          <w:lang w:val="lv-LV"/>
        </w:rPr>
        <w:t>(saskaņots 19.02.2018).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5B4695">
      <w:pPr>
        <w:pStyle w:val="ListParagraph"/>
        <w:numPr>
          <w:ilvl w:val="0"/>
          <w:numId w:val="141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(prasugrels) 5 mg apvalkotas tabletes un 10 mg apvalkotas tabletes, Eli Lilly Nederland B.V. (saskaņots 17.03.2010):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8E48B8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8E48B8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8E48B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(atjaunots 25.05.2017):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par ellaOne (ulipristāla acetāts) grūtniecības reģistru.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tenofovīra disoproksilu”, versija 03. </w:t>
      </w:r>
      <w:r>
        <w:rPr>
          <w:bCs/>
          <w:color w:val="FF0000"/>
        </w:rPr>
        <w:t>(</w:t>
      </w:r>
      <w:r>
        <w:rPr>
          <w:b/>
          <w:bCs/>
          <w:color w:val="FF0000"/>
        </w:rPr>
        <w:t>Saskaņots 16.03.2017</w:t>
      </w:r>
      <w:r>
        <w:rPr>
          <w:bCs/>
          <w:color w:val="FF0000"/>
        </w:rPr>
        <w:t>)</w:t>
      </w:r>
      <w:r>
        <w:rPr>
          <w:bCs/>
        </w:rPr>
        <w:t>;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13.04.2017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:rsidR="008E48B8" w:rsidRDefault="008E48B8" w:rsidP="008E48B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Pacienta atgādinājuma karte: “Emtricitabine/Tenofovir disoproxil Krka PrEP indikācijai”, versija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pirmskontakta profilaksi (PKP):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Informatīvā brošūra par pirmskontakta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8E48B8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Atgādinājuma kartīte pacientam par Emtricitabine/Tenofovir disoproxil Mylan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</w:t>
      </w:r>
      <w:r w:rsidR="00E576DE">
        <w:t>4</w:t>
      </w:r>
      <w:r>
        <w:t>);</w:t>
      </w:r>
    </w:p>
    <w:p w:rsidR="008E48B8" w:rsidRDefault="008E48B8" w:rsidP="008E48B8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</w:t>
      </w:r>
      <w:r w:rsidR="00E576DE">
        <w:t>4</w:t>
      </w:r>
      <w: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25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14-03-2018_2.0.</w:t>
      </w:r>
    </w:p>
    <w:p w:rsidR="008E48B8" w:rsidRDefault="008E48B8" w:rsidP="008E48B8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8E48B8">
      <w:pPr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8E48B8">
      <w:pPr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5B4695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nieru darbības kontroli un devas pielāgošanu pieaugušiem pacientiem, kuri saņem tenofovīra disoproksilu”, versija 2;</w:t>
      </w:r>
    </w:p>
    <w:p w:rsidR="008E48B8" w:rsidRPr="00F44D1B" w:rsidRDefault="008E48B8" w:rsidP="005B4695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Enbrel Ārsta Rokasgrāmata (Versija: v.2.0-Novembris/2018);</w:t>
      </w:r>
    </w:p>
    <w:p w:rsidR="00B95D1D" w:rsidRDefault="00B95D1D" w:rsidP="00B95D1D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B355B5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8E48B8">
      <w:pPr>
        <w:pStyle w:val="ListParagraph"/>
        <w:numPr>
          <w:ilvl w:val="0"/>
          <w:numId w:val="33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Enbrel MYCLIC lietošanas videoinstrukcija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18.08.2015.):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speciālistiem par zāļu riska mazināšanu. Envarsus ilgstošās darbības tabletes;</w:t>
      </w:r>
    </w:p>
    <w:p w:rsidR="008E48B8" w:rsidRDefault="008E48B8" w:rsidP="008E48B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Default="00AB654E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8E48B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Izglītojošais materiāls pacientam-EDM-ERI-RMPv11-Dec2016;</w:t>
      </w:r>
    </w:p>
    <w:p w:rsidR="008E48B8" w:rsidRDefault="008E48B8" w:rsidP="008E48B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</w:pPr>
      <w:r>
        <w:t>Atgādinājuma karte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5B4695">
      <w:pPr>
        <w:pStyle w:val="ListParagraph"/>
        <w:numPr>
          <w:ilvl w:val="0"/>
          <w:numId w:val="139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8E48B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(atjaunināts 29.05.2017):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lastRenderedPageBreak/>
        <w:t>Pacienta Rokasgrāmata versija 6.0_05.04.2017.;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Vēstule par Exjade disperģējamo tablešu izplatīšanas pārtraukšanu,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05.04.2017.;</w:t>
      </w:r>
    </w:p>
    <w:p w:rsidR="008E48B8" w:rsidRDefault="008E48B8" w:rsidP="008E48B8">
      <w:pPr>
        <w:pStyle w:val="NormalWeb"/>
        <w:numPr>
          <w:ilvl w:val="0"/>
          <w:numId w:val="38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:rsidR="008E48B8" w:rsidRDefault="008E48B8" w:rsidP="008E48B8">
      <w:pPr>
        <w:pStyle w:val="ListParagraph"/>
        <w:numPr>
          <w:ilvl w:val="0"/>
          <w:numId w:val="40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5.0 (11/2017);</w:t>
      </w:r>
    </w:p>
    <w:p w:rsidR="008E48B8" w:rsidRDefault="008E48B8" w:rsidP="008E48B8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Eziclen ▼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(Natrii sulfas anhydricus, Magnesii sulfas heptahydricus, Kalii sulfas) koncentrāts iekšķīgi lietojama šķīduma pagatavošanai, Ipsen Pharma, Francija (saskaņots 10.10.2013.): 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Ārstiem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Pacientiem paredzētie izglītojošie materiāli;</w:t>
      </w:r>
    </w:p>
    <w:p w:rsidR="008E48B8" w:rsidRDefault="008E48B8" w:rsidP="008E48B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8E48B8">
      <w:pPr>
        <w:keepNext/>
        <w:numPr>
          <w:ilvl w:val="0"/>
          <w:numId w:val="44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Fleree izglītojošs materiāls par ektopiskās (ārpusdzemdes) grūtniecības risku (atjaunināts 13.06.2014.)</w:t>
      </w:r>
    </w:p>
    <w:p w:rsidR="008E48B8" w:rsidRDefault="008E48B8" w:rsidP="008E48B8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(fingolimods)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veselības aprūpes speciālistam Gilenya (fingolimods)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0" w:beforeAutospacing="0" w:after="0" w:afterAutospacing="0"/>
        <w:jc w:val="both"/>
      </w:pPr>
      <w:r w:rsidRPr="00277162">
        <w:t>Izglītojošs materiāls pacientam Svarīga informācija, kas jāatceras, ārstējoties ar Gilenya, Pacienta atgādinājuma kartīte, versija V7;</w:t>
      </w:r>
    </w:p>
    <w:p w:rsidR="005F088C" w:rsidRPr="00277162" w:rsidRDefault="005F088C" w:rsidP="005F088C">
      <w:pPr>
        <w:pStyle w:val="NormalWeb"/>
        <w:numPr>
          <w:ilvl w:val="0"/>
          <w:numId w:val="45"/>
        </w:numPr>
        <w:spacing w:before="75" w:beforeAutospacing="0" w:after="75" w:afterAutospacing="0"/>
        <w:jc w:val="both"/>
      </w:pPr>
      <w:r w:rsidRPr="00277162">
        <w:t>Izglītojošs materiāls pacientam Svarīga informācija, kas jāatceras par ārstēšanu ar Gilenya (fingolimodu),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A643B5" w:rsidRDefault="00A643B5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bookmarkStart w:id="3" w:name="_Hlk536180811"/>
      <w:bookmarkStart w:id="4" w:name="_Hlk536172075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Hulio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3"/>
      <w:r w:rsidRPr="002F7700">
        <w:rPr>
          <w:rFonts w:ascii="Times New Roman" w:hAnsi="Times New Roman"/>
          <w:sz w:val="24"/>
          <w:szCs w:val="24"/>
          <w:lang w:eastAsia="lv-LV"/>
        </w:rPr>
        <w:t>Mylan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9F2239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4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Humira 40 mg šķīdums injekcijām pilnšļircē, Humira 40 mg šķīdums injekcijām pildspalvveida pilnšļircē; AbbVie Ltd.,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numPr>
          <w:ilvl w:val="0"/>
          <w:numId w:val="46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8E48B8">
      <w:pPr>
        <w:pStyle w:val="ListParagraph"/>
        <w:numPr>
          <w:ilvl w:val="0"/>
          <w:numId w:val="46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5B4695">
      <w:pPr>
        <w:pStyle w:val="ListParagraph"/>
        <w:numPr>
          <w:ilvl w:val="0"/>
          <w:numId w:val="14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:rsidR="008E48B8" w:rsidRDefault="008E48B8" w:rsidP="008E48B8">
      <w:pPr>
        <w:pStyle w:val="ListParagraph"/>
        <w:numPr>
          <w:ilvl w:val="0"/>
          <w:numId w:val="47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:rsidR="008E48B8" w:rsidRDefault="008E48B8" w:rsidP="008E48B8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r>
        <w:rPr>
          <w:color w:val="000000"/>
          <w:sz w:val="24"/>
          <w:szCs w:val="24"/>
        </w:rPr>
        <w:t xml:space="preserve">Increlex devam”. </w:t>
      </w:r>
    </w:p>
    <w:p w:rsidR="008E48B8" w:rsidRDefault="008E48B8" w:rsidP="008E48B8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Increlex”.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 xml:space="preserve">“Increlex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8E48B8">
      <w:pPr>
        <w:pStyle w:val="Bodytext40"/>
        <w:numPr>
          <w:ilvl w:val="0"/>
          <w:numId w:val="50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lastRenderedPageBreak/>
        <w:t xml:space="preserve">Norādījumi ārstam par Incresync (alogliptīns/pioglitazons) parakstīšanu : atbilstošo pacientu atlase un pacientu riska pārvaldība; </w:t>
      </w:r>
    </w:p>
    <w:p w:rsidR="008E48B8" w:rsidRDefault="008E48B8" w:rsidP="008E48B8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8E48B8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nāts 04.12.2018)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1851FD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Drošuma informācija</w:t>
      </w:r>
      <w:r>
        <w:rPr>
          <w:lang w:val="it-IT" w:eastAsia="en-US"/>
        </w:rPr>
        <w:t xml:space="preserve"> </w:t>
      </w:r>
      <w:r>
        <w:rPr>
          <w:lang w:val="it-IT"/>
        </w:rPr>
        <w:t>veselības aprūpes speciālistam</w:t>
      </w:r>
      <w:r w:rsidR="001851FD" w:rsidRPr="001851FD">
        <w:t xml:space="preserve"> </w:t>
      </w:r>
      <w:r w:rsidR="001851FD" w:rsidRPr="001851FD">
        <w:rPr>
          <w:lang w:val="it-IT"/>
        </w:rPr>
        <w:t xml:space="preserve">versija </w:t>
      </w:r>
      <w:r w:rsidR="004C36D1">
        <w:rPr>
          <w:lang w:val="it-IT"/>
        </w:rPr>
        <w:t>(</w:t>
      </w:r>
      <w:r w:rsidR="001851FD" w:rsidRPr="001851FD">
        <w:rPr>
          <w:lang w:val="it-IT"/>
        </w:rPr>
        <w:t>3.0, 11.2018</w:t>
      </w:r>
      <w:r w:rsidR="004C36D1">
        <w:rPr>
          <w:lang w:val="it-IT"/>
        </w:rPr>
        <w:t>)</w:t>
      </w:r>
      <w:r>
        <w:t>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 xml:space="preserve">Drošuma informācija </w:t>
      </w:r>
      <w:r>
        <w:rPr>
          <w:lang w:val="it-IT"/>
        </w:rPr>
        <w:t>veselības aprūpes speciālistam</w:t>
      </w:r>
      <w:r w:rsidRPr="00007A87">
        <w:t xml:space="preserve"> </w:t>
      </w:r>
      <w:r>
        <w:t>bērniem ar iekaisīgu zarnu slimību</w:t>
      </w:r>
      <w:r w:rsidR="001851FD" w:rsidRPr="001851FD">
        <w:rPr>
          <w:bCs/>
          <w:color w:val="000000"/>
          <w:lang w:val="it-IT"/>
        </w:rPr>
        <w:t xml:space="preserve"> </w:t>
      </w:r>
      <w:r w:rsidR="001851FD">
        <w:rPr>
          <w:bCs/>
          <w:color w:val="000000"/>
          <w:lang w:val="it-IT"/>
        </w:rPr>
        <w:t>versija (2.0, 03.2017)</w:t>
      </w:r>
      <w:r>
        <w:t>;</w:t>
      </w:r>
    </w:p>
    <w:p w:rsidR="008E48B8" w:rsidRDefault="008E48B8" w:rsidP="008E48B8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Infūziju plānotājs 6-8 nedēļu ārstēšanai</w:t>
      </w:r>
      <w:r w:rsidR="00E618FB" w:rsidRPr="00E618FB">
        <w:rPr>
          <w:bCs/>
          <w:color w:val="000000"/>
          <w:lang w:val="it-IT"/>
        </w:rPr>
        <w:t xml:space="preserve"> </w:t>
      </w:r>
      <w:r w:rsidR="00E618FB">
        <w:rPr>
          <w:bCs/>
          <w:color w:val="000000"/>
          <w:lang w:val="it-IT"/>
        </w:rPr>
        <w:t>(versija 2.0, 03.2017)</w:t>
      </w:r>
      <w:r>
        <w:t>;</w:t>
      </w:r>
    </w:p>
    <w:p w:rsidR="008E48B8" w:rsidRDefault="008E48B8" w:rsidP="001851FD">
      <w:pPr>
        <w:pStyle w:val="NormalWeb"/>
        <w:numPr>
          <w:ilvl w:val="0"/>
          <w:numId w:val="54"/>
        </w:numPr>
        <w:spacing w:before="0" w:beforeAutospacing="0" w:after="0" w:afterAutospacing="0"/>
        <w:jc w:val="both"/>
      </w:pPr>
      <w:r>
        <w:t>Skrīninga lapa</w:t>
      </w:r>
      <w:r w:rsidR="001851FD" w:rsidRPr="001851FD">
        <w:t xml:space="preserve"> </w:t>
      </w:r>
      <w:r w:rsidR="004C36D1">
        <w:t>(</w:t>
      </w:r>
      <w:r w:rsidR="001851FD" w:rsidRPr="001851FD">
        <w:t>versija 3.0, 11.2018</w:t>
      </w:r>
      <w:r w:rsidR="004C36D1">
        <w:t>)</w:t>
      </w:r>
      <w:r>
        <w:t>;</w:t>
      </w:r>
    </w:p>
    <w:p w:rsidR="008E48B8" w:rsidRDefault="008E48B8" w:rsidP="001851FD">
      <w:pPr>
        <w:pStyle w:val="ListParagraph"/>
        <w:numPr>
          <w:ilvl w:val="0"/>
          <w:numId w:val="54"/>
        </w:numPr>
      </w:pPr>
      <w:r>
        <w:t>Pacienta brīdinājuma kartiņa</w:t>
      </w:r>
      <w:r w:rsidR="001851FD" w:rsidRPr="001851FD">
        <w:t xml:space="preserve"> </w:t>
      </w:r>
      <w:r w:rsidR="001851FD">
        <w:t>(</w:t>
      </w:r>
      <w:r w:rsidR="001851FD" w:rsidRPr="001851FD">
        <w:t>versija 3.0, 11.2018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8E48B8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5B4695">
      <w:pPr>
        <w:pStyle w:val="ListParagraph"/>
        <w:numPr>
          <w:ilvl w:val="0"/>
          <w:numId w:val="149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(saskaņots 29.01.2016.):</w:t>
      </w:r>
    </w:p>
    <w:p w:rsidR="008E48B8" w:rsidRDefault="008E48B8" w:rsidP="008E48B8">
      <w:pPr>
        <w:widowControl w:val="0"/>
        <w:numPr>
          <w:ilvl w:val="0"/>
          <w:numId w:val="52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8E48B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:rsidR="008E48B8" w:rsidRPr="00BF6510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8E48B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Limited,Lielbritānija;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atjaunināts 05.04.2018.: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speciālistiem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14.0);</w:t>
      </w:r>
    </w:p>
    <w:p w:rsidR="008E48B8" w:rsidRDefault="008E48B8" w:rsidP="00083630">
      <w:pPr>
        <w:numPr>
          <w:ilvl w:val="0"/>
          <w:numId w:val="57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karte pacientam (versija 14.0).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(saskaņots 14.03.2014):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</w:p>
    <w:p w:rsidR="008E48B8" w:rsidRDefault="008E48B8" w:rsidP="00083630">
      <w:pPr>
        <w:numPr>
          <w:ilvl w:val="0"/>
          <w:numId w:val="58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Pacienta brošūra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UK Limited, Lielbritānija (saskaņots 21.04.2016):</w:t>
      </w:r>
    </w:p>
    <w:p w:rsidR="008E48B8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Pr="00837957" w:rsidRDefault="008E48B8" w:rsidP="00083630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083630">
      <w:pPr>
        <w:pStyle w:val="ListParagraph"/>
        <w:numPr>
          <w:ilvl w:val="0"/>
          <w:numId w:val="59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602BE" w:rsidRDefault="008E48B8" w:rsidP="005B4695">
      <w:pPr>
        <w:pStyle w:val="Default"/>
        <w:numPr>
          <w:ilvl w:val="0"/>
          <w:numId w:val="134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>”.</w:t>
      </w:r>
    </w:p>
    <w:p w:rsidR="00B602BE" w:rsidRDefault="00B602BE" w:rsidP="00B602BE">
      <w:pPr>
        <w:pStyle w:val="Default"/>
        <w:jc w:val="both"/>
        <w:rPr>
          <w:color w:val="auto"/>
          <w:lang w:val="lv-LV" w:eastAsia="la" w:bidi="la"/>
        </w:rPr>
      </w:pPr>
    </w:p>
    <w:p w:rsidR="008E48B8" w:rsidRDefault="00B602BE" w:rsidP="00B602BE">
      <w:pPr>
        <w:pStyle w:val="Default"/>
        <w:jc w:val="both"/>
      </w:pPr>
      <w:r w:rsidRPr="008031FF">
        <w:rPr>
          <w:b/>
        </w:rPr>
        <w:t xml:space="preserve">Kymriah </w:t>
      </w:r>
      <w:r w:rsidRPr="008031FF">
        <w:rPr>
          <w:i/>
        </w:rPr>
        <w:t>(tisagenlecleucel)</w:t>
      </w:r>
      <w:r w:rsidRPr="008031FF">
        <w:t xml:space="preserve"> 1,2 x 106 – 6 x 108 šūnu dispersija infūzijām</w:t>
      </w:r>
      <w:r w:rsidR="008E48B8" w:rsidRPr="008031FF">
        <w:rPr>
          <w:b/>
          <w:color w:val="auto"/>
          <w:lang w:val="lv-LV" w:eastAsia="la" w:bidi="la"/>
        </w:rPr>
        <w:t xml:space="preserve"> </w:t>
      </w:r>
      <w:r w:rsidR="008031FF">
        <w:t>Novartis Europharm Limited, Īrija (saskaņots 14.03.2019):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r>
        <w:t>Kymriah 1,2 x 106– 6 x 108 šūnu dispersija infūzijām (tisagenlekleicels)</w:t>
      </w:r>
    </w:p>
    <w:p w:rsidR="00705E1E" w:rsidRDefault="00705E1E" w:rsidP="00A960DB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:rsidR="00705E1E" w:rsidRDefault="00705E1E" w:rsidP="00C60461">
      <w:pPr>
        <w:pStyle w:val="NormalWeb"/>
        <w:numPr>
          <w:ilvl w:val="0"/>
          <w:numId w:val="149"/>
        </w:numPr>
        <w:spacing w:before="0" w:beforeAutospacing="0" w:after="0" w:afterAutospacing="0"/>
        <w:ind w:left="709"/>
        <w:jc w:val="both"/>
      </w:pPr>
      <w:r>
        <w:lastRenderedPageBreak/>
        <w:t xml:space="preserve">Izglītojošs materiāls pacientam </w:t>
      </w:r>
      <w:r w:rsidRPr="00E70066">
        <w:t>Kymriah pacienta izglītošanas lapiņ</w:t>
      </w:r>
      <w:r>
        <w:t>a, versija V01;</w:t>
      </w:r>
    </w:p>
    <w:p w:rsidR="00705E1E" w:rsidRDefault="00705E1E" w:rsidP="00A960DB">
      <w:pPr>
        <w:pStyle w:val="NormalWeb"/>
        <w:numPr>
          <w:ilvl w:val="0"/>
          <w:numId w:val="45"/>
        </w:numPr>
        <w:spacing w:before="0" w:beforeAutospacing="0" w:after="0" w:afterAutospacing="0"/>
        <w:ind w:left="709"/>
        <w:jc w:val="both"/>
      </w:pPr>
      <w:r w:rsidRPr="007D60BA">
        <w:t>Kymriah pacienta brīdinājuma kartīt</w:t>
      </w:r>
      <w:r>
        <w:t>e, versija V01.</w:t>
      </w:r>
    </w:p>
    <w:p w:rsidR="00705E1E" w:rsidRPr="008031FF" w:rsidRDefault="00705E1E" w:rsidP="00B602BE">
      <w:pPr>
        <w:pStyle w:val="Default"/>
        <w:jc w:val="both"/>
        <w:rPr>
          <w:b/>
          <w:color w:val="auto"/>
          <w:lang w:val="lv-LV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 d.d., Slovēnija; versija 3 (atjaunināts 12.02.2018.):</w:t>
      </w:r>
    </w:p>
    <w:p w:rsidR="008E48B8" w:rsidRPr="00837957" w:rsidRDefault="008E48B8" w:rsidP="00083630">
      <w:pPr>
        <w:pStyle w:val="NormalWeb"/>
        <w:numPr>
          <w:ilvl w:val="0"/>
          <w:numId w:val="60"/>
        </w:numPr>
        <w:spacing w:before="0" w:beforeAutospacing="0" w:after="0" w:afterAutospacing="0" w:line="276" w:lineRule="auto"/>
        <w:jc w:val="both"/>
      </w:pPr>
      <w:r w:rsidRPr="00837957"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>. Īpaša  drošuma informācija ārstam, versija 5;</w:t>
      </w:r>
    </w:p>
    <w:p w:rsidR="008E48B8" w:rsidRPr="00837957" w:rsidRDefault="008E48B8" w:rsidP="00083630">
      <w:pPr>
        <w:pStyle w:val="ListParagraph"/>
        <w:numPr>
          <w:ilvl w:val="0"/>
          <w:numId w:val="61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083630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 w:rsidR="005B605F"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5B4695">
      <w:pPr>
        <w:pStyle w:val="ListParagraph"/>
        <w:numPr>
          <w:ilvl w:val="0"/>
          <w:numId w:val="135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5B4695">
      <w:pPr>
        <w:pStyle w:val="ListParagraph"/>
        <w:numPr>
          <w:ilvl w:val="0"/>
          <w:numId w:val="135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5B4695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Pr="0006672C" w:rsidRDefault="007E339D" w:rsidP="005B4695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083630">
      <w:pPr>
        <w:numPr>
          <w:ilvl w:val="0"/>
          <w:numId w:val="63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Pharma Services Inc., Lielbritānija (atjaunināts 26.03.2014):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ārstam (versija 2):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Ārsta materiāls „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Ar intravitreālājām injekcijām saistītais risks: īss kopsavilkums par risku pārvaldību, kas saistīti ar Lucentis terapiju”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Intravitreālās injekcijas veikšanas videoieraksta teksts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Paškontroles tests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Pacienta informatīvais buklets (papīra teksts) v2; 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Pacienta informatīvais buklets (audioteksts) v2;</w:t>
      </w:r>
    </w:p>
    <w:p w:rsidR="008E48B8" w:rsidRDefault="008E48B8" w:rsidP="00083630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Zāļu apraksts. </w:t>
      </w: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8B8" w:rsidRPr="008E41B6" w:rsidRDefault="0041601A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Luxturna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 neparvovecum</w:t>
      </w:r>
      <w:r w:rsidRPr="008E41B6">
        <w:rPr>
          <w:rFonts w:ascii="Times New Roman" w:hAnsi="Times New Roman" w:cs="Times New Roman"/>
          <w:b/>
          <w:sz w:val="24"/>
          <w:szCs w:val="24"/>
        </w:rPr>
        <w:t>)</w:t>
      </w:r>
      <w:r w:rsidR="00237745" w:rsidRPr="008E41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7745" w:rsidRPr="008E41B6">
        <w:rPr>
          <w:rFonts w:ascii="Times New Roman" w:hAnsi="Times New Roman" w:cs="Times New Roman"/>
          <w:sz w:val="24"/>
          <w:szCs w:val="24"/>
        </w:rPr>
        <w:t>Spark Therapeutics Ireland Ltd, Īrija (saskaņots 20.03.2019.</w:t>
      </w:r>
      <w:r w:rsidR="008E41B6" w:rsidRPr="008E41B6">
        <w:rPr>
          <w:rFonts w:ascii="Times New Roman" w:hAnsi="Times New Roman" w:cs="Times New Roman"/>
          <w:sz w:val="24"/>
          <w:szCs w:val="24"/>
        </w:rPr>
        <w:t>) Izglītojošie materiāli pacientam:</w:t>
      </w:r>
    </w:p>
    <w:p w:rsidR="008E41B6" w:rsidRPr="008E41B6" w:rsidRDefault="008E41B6" w:rsidP="008E41B6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 latviešu valodā – Luxturna – Pacienta kartīte v01;</w:t>
      </w:r>
    </w:p>
    <w:p w:rsidR="008E41B6" w:rsidRPr="008E41B6" w:rsidRDefault="008E41B6" w:rsidP="008E41B6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Pacienta brīdinājuma kartītes audioskripts latviešu valodā – Luxturna – Pacienta kartīte v01</w:t>
      </w:r>
    </w:p>
    <w:p w:rsidR="008E41B6" w:rsidRPr="008E41B6" w:rsidRDefault="008E41B6" w:rsidP="008E41B6">
      <w:pPr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sz w:val="24"/>
          <w:szCs w:val="24"/>
        </w:rPr>
        <w:t>Luxturna lietošanas instrukcija;</w:t>
      </w:r>
    </w:p>
    <w:p w:rsidR="008E41B6" w:rsidRPr="008E41B6" w:rsidRDefault="008E41B6" w:rsidP="008E41B6">
      <w:pPr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 lietošanas instrukcijas audioskripts latviešu valodā – Luxturna LI audioskripts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083630">
      <w:pPr>
        <w:pStyle w:val="ListParagraph"/>
        <w:numPr>
          <w:ilvl w:val="0"/>
          <w:numId w:val="65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 Lielbritānija (atjaunināts 13.05.2017):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(EDM-MABs.c.-RMPv15-Mar2017);</w:t>
      </w:r>
    </w:p>
    <w:p w:rsidR="008E48B8" w:rsidRDefault="008E48B8" w:rsidP="00083630">
      <w:pPr>
        <w:pStyle w:val="Header"/>
        <w:numPr>
          <w:ilvl w:val="0"/>
          <w:numId w:val="66"/>
        </w:numPr>
      </w:pPr>
      <w:r>
        <w:t>Mabthera zāļu formu salīdzinājuma karte</w:t>
      </w:r>
      <w:r>
        <w:rPr>
          <w:lang w:val="it-IT"/>
        </w:rPr>
        <w:t>(EDM-MABs.c.-RMPv15-Mar2017);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Brošūra veselības aprūpes speciālistam (EDM-MAB-RA-RMPv15-Mar2017);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Brošūrai pacientam (EDM-MAB</w:t>
      </w:r>
      <w:r>
        <w:rPr>
          <w:lang w:val="it-IT"/>
        </w:rPr>
        <w:t>-RA-RMPv15-Mar2017)</w:t>
      </w:r>
    </w:p>
    <w:p w:rsidR="008E48B8" w:rsidRDefault="008E48B8" w:rsidP="00083630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lv-LV"/>
        </w:rPr>
        <w:t>Mabthera pacienta brīdinājuma karte.</w:t>
      </w:r>
    </w:p>
    <w:p w:rsidR="008E48B8" w:rsidRDefault="008E48B8" w:rsidP="008E48B8">
      <w:pPr>
        <w:pStyle w:val="Header"/>
        <w:ind w:left="720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(saskaņots 02.07.2014):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083630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:rsidR="008E48B8" w:rsidRDefault="008E48B8" w:rsidP="00083630">
      <w:pPr>
        <w:pStyle w:val="ListParagraph"/>
        <w:numPr>
          <w:ilvl w:val="0"/>
          <w:numId w:val="68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AC1442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="00913F95"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="0076790F" w:rsidRPr="00AC1442">
        <w:rPr>
          <w:rFonts w:ascii="Times New Roman" w:eastAsia="Times New Roman" w:hAnsi="Times New Roman" w:cs="Times New Roman"/>
          <w:sz w:val="24"/>
          <w:szCs w:val="24"/>
        </w:rPr>
        <w:t>21.03.2019.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AC1442" w:rsidRDefault="008E48B8" w:rsidP="00AC1442">
      <w:pPr>
        <w:pStyle w:val="ListParagraph"/>
        <w:numPr>
          <w:ilvl w:val="0"/>
          <w:numId w:val="160"/>
        </w:numPr>
      </w:pPr>
      <w:r w:rsidRPr="00AC1442">
        <w:t>Ārsta kontrolsaraksts (</w:t>
      </w:r>
      <w:r w:rsidR="0076790F" w:rsidRPr="00AC1442">
        <w:t>Versijas Nr.</w:t>
      </w:r>
      <w:r w:rsidR="0076790F" w:rsidRPr="00AC1442">
        <w:rPr>
          <w:color w:val="1F497D"/>
        </w:rPr>
        <w:t xml:space="preserve"> </w:t>
      </w:r>
      <w:r w:rsidR="0076790F" w:rsidRPr="00AC1442">
        <w:t>MYC/19/0007/AB</w:t>
      </w:r>
      <w:r w:rsidRPr="00AC1442">
        <w:t>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:rsidR="008E48B8" w:rsidRDefault="008E48B8" w:rsidP="00083630">
      <w:pPr>
        <w:pStyle w:val="Default"/>
        <w:numPr>
          <w:ilvl w:val="0"/>
          <w:numId w:val="70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,,</w:t>
      </w:r>
      <w:proofErr w:type="gramEnd"/>
      <w:r>
        <w:rPr>
          <w:sz w:val="23"/>
          <w:szCs w:val="23"/>
        </w:rPr>
        <w:t xml:space="preserve">Anketa pacientiem”.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083630">
      <w:pPr>
        <w:pStyle w:val="ListParagraph"/>
        <w:numPr>
          <w:ilvl w:val="0"/>
          <w:numId w:val="71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Mysimba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(saskaņots 23.08.2016.):</w:t>
      </w:r>
    </w:p>
    <w:p w:rsidR="008E48B8" w:rsidRDefault="008E48B8" w:rsidP="00083630">
      <w:pPr>
        <w:pStyle w:val="NormalWeb"/>
        <w:numPr>
          <w:ilvl w:val="0"/>
          <w:numId w:val="72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>zālēm Mysimba▼ (</w:t>
      </w:r>
      <w:r>
        <w:rPr>
          <w:bCs/>
          <w:i/>
          <w:color w:val="000000"/>
          <w:kern w:val="24"/>
        </w:rPr>
        <w:t>naltrexonum, bupropionum</w:t>
      </w:r>
      <w:r>
        <w:rPr>
          <w:bCs/>
          <w:color w:val="000000"/>
          <w:kern w:val="24"/>
        </w:rPr>
        <w:t>);</w:t>
      </w:r>
    </w:p>
    <w:p w:rsidR="008E48B8" w:rsidRDefault="008E48B8" w:rsidP="00083630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pStyle w:val="ListParagraph"/>
        <w:numPr>
          <w:ilvl w:val="0"/>
          <w:numId w:val="7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10.01.2017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:rsidR="008E48B8" w:rsidRDefault="008E48B8" w:rsidP="00083630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:rsidR="008E48B8" w:rsidRDefault="008E48B8" w:rsidP="00083630">
      <w:pPr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r>
        <w:rPr>
          <w:bCs/>
        </w:rPr>
        <w:lastRenderedPageBreak/>
        <w:t>informācija ārstam;</w:t>
      </w:r>
    </w:p>
    <w:p w:rsidR="008E48B8" w:rsidRDefault="008E48B8" w:rsidP="00083630">
      <w:pPr>
        <w:pStyle w:val="ListParagraph"/>
        <w:numPr>
          <w:ilvl w:val="0"/>
          <w:numId w:val="76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10.02.2015.):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E48B8" w:rsidRDefault="008E48B8" w:rsidP="00083630">
      <w:pPr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Svarīga informācija veselības aprūpes speciālistiem par zāļu riska mazināšanu. Nplate (romiplostims), brošūra par pareizu lietošanu un devām. Versija 1.0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083630">
      <w:pPr>
        <w:pStyle w:val="ListParagraph"/>
        <w:numPr>
          <w:ilvl w:val="0"/>
          <w:numId w:val="78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083630">
      <w:pPr>
        <w:numPr>
          <w:ilvl w:val="0"/>
          <w:numId w:val="7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083630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083630">
      <w:pPr>
        <w:pStyle w:val="ListParagraph"/>
        <w:numPr>
          <w:ilvl w:val="0"/>
          <w:numId w:val="80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:rsidR="008E48B8" w:rsidRDefault="008E48B8" w:rsidP="00083630">
      <w:pPr>
        <w:pStyle w:val="ListParagraph"/>
        <w:numPr>
          <w:ilvl w:val="0"/>
          <w:numId w:val="81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8E48B8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:rsidR="008E48B8" w:rsidRDefault="008E48B8" w:rsidP="00083630">
      <w:pPr>
        <w:numPr>
          <w:ilvl w:val="0"/>
          <w:numId w:val="7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:rsidR="008E48B8" w:rsidRDefault="008E48B8" w:rsidP="00083630">
      <w:pPr>
        <w:numPr>
          <w:ilvl w:val="0"/>
          <w:numId w:val="82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083630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:rsidR="008E48B8" w:rsidRDefault="008E48B8" w:rsidP="0008363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>Izglītojošais materiāls ārstam (LV_PRI-03-2016_V1; 10/2016);</w:t>
      </w:r>
    </w:p>
    <w:p w:rsidR="008E48B8" w:rsidRDefault="008E48B8" w:rsidP="008E48B8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mg; 110 mg; 150 mg cietās kapsulas, Boehringer Ingelheim International GmbH,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:rsidR="008E48B8" w:rsidRDefault="008E48B8" w:rsidP="00083630">
      <w:pPr>
        <w:numPr>
          <w:ilvl w:val="0"/>
          <w:numId w:val="8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 un izplatīšanas plāns Latvijā.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083630">
      <w:pPr>
        <w:keepNext/>
        <w:numPr>
          <w:ilvl w:val="0"/>
          <w:numId w:val="86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:rsidR="008E48B8" w:rsidRDefault="008E48B8" w:rsidP="00083630">
      <w:pPr>
        <w:numPr>
          <w:ilvl w:val="0"/>
          <w:numId w:val="8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:rsidR="008E48B8" w:rsidRDefault="008E48B8" w:rsidP="00083630">
      <w:pPr>
        <w:numPr>
          <w:ilvl w:val="0"/>
          <w:numId w:val="8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:rsidR="008E48B8" w:rsidRDefault="008E48B8" w:rsidP="00083630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lastRenderedPageBreak/>
        <w:t>Skrīninga veidlapa pacienta novērtēšanai pirms plānotās Remsima terapijas, versija IM_SV_08_2018_LV_V04.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5B4695">
      <w:pPr>
        <w:pStyle w:val="ListParagraph"/>
        <w:numPr>
          <w:ilvl w:val="0"/>
          <w:numId w:val="145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speciālistu apmācība drošai intravenozai treprostinila lietošanai un ar katetra lietošanu saistītu infekciju asinsrites sistēmā profilaksei;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083630">
      <w:pPr>
        <w:numPr>
          <w:ilvl w:val="0"/>
          <w:numId w:val="8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5" w:name="_Hlk492046074"/>
      <w:r w:rsidRPr="00123F07">
        <w:rPr>
          <w:iCs/>
          <w:lang w:val="lv-LV"/>
        </w:rPr>
        <w:t>atjaunināts -17.08.2017;</w:t>
      </w:r>
    </w:p>
    <w:bookmarkEnd w:id="5"/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083630">
      <w:pPr>
        <w:pStyle w:val="ListParagraph"/>
        <w:numPr>
          <w:ilvl w:val="0"/>
          <w:numId w:val="90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:rsidR="008E48B8" w:rsidRPr="00123F07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083630">
      <w:pPr>
        <w:numPr>
          <w:ilvl w:val="0"/>
          <w:numId w:val="90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:rsidR="008E48B8" w:rsidRDefault="008E48B8" w:rsidP="00083630">
      <w:pPr>
        <w:pStyle w:val="NormalWeb"/>
        <w:numPr>
          <w:ilvl w:val="0"/>
          <w:numId w:val="91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8E4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8E48B8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18.05.2012):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083630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Roche Registration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5B4695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5B4695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5B4695">
      <w:pPr>
        <w:pStyle w:val="ListParagraph"/>
        <w:numPr>
          <w:ilvl w:val="0"/>
          <w:numId w:val="151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NORĀDĪJUMI PAR RoActemra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5B4695">
      <w:pPr>
        <w:pStyle w:val="ListParagraph"/>
        <w:numPr>
          <w:ilvl w:val="0"/>
          <w:numId w:val="150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5B4695">
      <w:pPr>
        <w:pStyle w:val="ListParagraph"/>
        <w:numPr>
          <w:ilvl w:val="0"/>
          <w:numId w:val="152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5B4695">
      <w:pPr>
        <w:pStyle w:val="ListParagraph"/>
        <w:numPr>
          <w:ilvl w:val="0"/>
          <w:numId w:val="152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:rsidR="008E48B8" w:rsidRDefault="008E48B8" w:rsidP="005B4695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:rsidR="008E48B8" w:rsidRDefault="008E48B8" w:rsidP="005B4695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5B4695">
      <w:pPr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5B4695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atipisku hemolītiski urēmisku sindromu (aHUS), versija </w:t>
      </w:r>
      <w:r w:rsidR="004953F3">
        <w:t>4</w:t>
      </w:r>
      <w:r>
        <w:t>.0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atipiska hemolītiski urēmiskā sindroma (aHUS) pacientam/vecākiem, versija </w:t>
      </w:r>
      <w:r w:rsidR="008B5817">
        <w:t>4</w:t>
      </w:r>
      <w:r>
        <w:t>.0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</w:t>
      </w:r>
      <w:r w:rsidR="008B5817">
        <w:t>4</w:t>
      </w:r>
      <w:r>
        <w:t xml:space="preserve">.0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paroksismālas nakts hemoglobinūrijas (PNH) pacientam/vecākiem, versija </w:t>
      </w:r>
      <w:r w:rsidR="008B5817">
        <w:t>4</w:t>
      </w:r>
      <w:r>
        <w:t>.0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informācija, versija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</w:t>
      </w:r>
      <w:r w:rsidR="008B5817">
        <w:t>2</w:t>
      </w:r>
      <w:r>
        <w:t>.0.</w:t>
      </w:r>
    </w:p>
    <w:p w:rsidR="008E48B8" w:rsidRDefault="008E48B8" w:rsidP="005B4695">
      <w:pPr>
        <w:pStyle w:val="Header"/>
        <w:widowControl w:val="0"/>
        <w:numPr>
          <w:ilvl w:val="0"/>
          <w:numId w:val="142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</w:t>
      </w:r>
      <w:r w:rsidR="008B5817">
        <w:t>2</w:t>
      </w:r>
      <w:r>
        <w:t>.0.</w:t>
      </w:r>
    </w:p>
    <w:p w:rsidR="008E48B8" w:rsidRDefault="008E48B8" w:rsidP="005B4695">
      <w:pPr>
        <w:pStyle w:val="ListParagraph"/>
        <w:numPr>
          <w:ilvl w:val="0"/>
          <w:numId w:val="142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8E48B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5B4695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5B4695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:rsidR="008E48B8" w:rsidRDefault="008E48B8" w:rsidP="008E48B8">
      <w:pPr>
        <w:pStyle w:val="Default"/>
        <w:numPr>
          <w:ilvl w:val="0"/>
          <w:numId w:val="49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lastRenderedPageBreak/>
        <w:t>Svarīga informācija veselības aprūpes speciālistam par zāļu riska mazināšanu. Stelara pilnšļirce norādījumi veselības aprūpes speciālistam par zāļu ievadīšanu pacientiem ar Krona slimību;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5B4695">
      <w:pPr>
        <w:pStyle w:val="Default"/>
        <w:numPr>
          <w:ilvl w:val="0"/>
          <w:numId w:val="97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Strattera (atomoksetīns)”; 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:rsidR="008E48B8" w:rsidRDefault="008E48B8" w:rsidP="005B4695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(atjaunināts 30.08.2017.):</w:t>
      </w:r>
    </w:p>
    <w:p w:rsidR="008E48B8" w:rsidRDefault="008E48B8" w:rsidP="005B4695">
      <w:pPr>
        <w:pStyle w:val="ListParagraph"/>
        <w:numPr>
          <w:ilvl w:val="0"/>
          <w:numId w:val="99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:rsidR="008E48B8" w:rsidRDefault="008E48B8" w:rsidP="005B4695">
      <w:pPr>
        <w:pStyle w:val="ListParagraph"/>
        <w:numPr>
          <w:ilvl w:val="0"/>
          <w:numId w:val="99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:rsidR="008E48B8" w:rsidRDefault="008E48B8" w:rsidP="005B4695">
      <w:pPr>
        <w:numPr>
          <w:ilvl w:val="0"/>
          <w:numId w:val="9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</w:pPr>
      <w:r>
        <w:t>Pacienta brīdinājuma kartīte (1. versija - 09/2017);</w:t>
      </w:r>
    </w:p>
    <w:p w:rsidR="008E48B8" w:rsidRDefault="008E48B8" w:rsidP="005B4695">
      <w:pPr>
        <w:pStyle w:val="ListParagraph"/>
        <w:numPr>
          <w:ilvl w:val="0"/>
          <w:numId w:val="100"/>
        </w:numPr>
        <w:jc w:val="both"/>
      </w:pPr>
      <w:r>
        <w:t xml:space="preserve">Pacienta informētas piekrišanas veidlapa STRIMVELIS lietošanai (1. versija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5B4695">
      <w:pPr>
        <w:numPr>
          <w:ilvl w:val="0"/>
          <w:numId w:val="10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Registration GmbH, Vācija (saskaņots </w:t>
      </w:r>
      <w:r w:rsidR="00E40E74">
        <w:rPr>
          <w:rFonts w:ascii="Times New Roman" w:eastAsia="Times New Roman" w:hAnsi="Times New Roman" w:cs="Times New Roman"/>
          <w:sz w:val="24"/>
          <w:szCs w:val="24"/>
          <w:lang w:eastAsia="lv-LV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5B4695">
      <w:pPr>
        <w:pStyle w:val="ListParagraph"/>
        <w:numPr>
          <w:ilvl w:val="0"/>
          <w:numId w:val="102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r>
        <w:t>;</w:t>
      </w:r>
    </w:p>
    <w:p w:rsidR="008E48B8" w:rsidRDefault="008E48B8" w:rsidP="005B4695">
      <w:pPr>
        <w:pStyle w:val="ListParagraph"/>
        <w:numPr>
          <w:ilvl w:val="0"/>
          <w:numId w:val="102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 w:rsidR="00500A23" w:rsidRPr="00561145">
        <w:t>EDM-TEC-</w:t>
      </w:r>
      <w:r w:rsidR="00500A23" w:rsidRPr="004521D2">
        <w:t xml:space="preserve"> </w:t>
      </w:r>
      <w:r w:rsidR="00500A23" w:rsidRPr="00EE780A">
        <w:t>PSUSA-RMPv6-Mar2019</w:t>
      </w:r>
      <w:bookmarkStart w:id="6" w:name="_GoBack"/>
      <w:bookmarkEnd w:id="6"/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ar HIV -1 inficētiem bērniem un pusaudžiem vecumā no 2 līdz &lt;18 gadiem, kuri tiek ārstēti ar tenofovīra disoproksila fumarātu un tā devas pielāgošanu,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un kaulu veselības uzraudzību pusaudžiem ar hronisku B hepatītu vecumā no 12 līdz &lt; 18 gadiem, kuri tiek ārstēti ar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inficētiem pieaugušiem pacientiem, kuri saņem tenofovīra disoproksila fumarātu, v1.0;</w:t>
      </w:r>
    </w:p>
    <w:p w:rsidR="008E48B8" w:rsidRDefault="008E48B8" w:rsidP="008E48B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Ieteikumi veselības aprūpes speciālistiem par nieru darbības uzraudzību un devas pielāgošanu ar HIV un hroniska vīrushepatīta B inficētiem pieaugušiem pacientiem, kuri saņem tenofovīra disoproksila fumarātu,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5B4695">
      <w:pPr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5B4695">
      <w:pPr>
        <w:numPr>
          <w:ilvl w:val="2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25.04.2018.):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5B4695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5B4695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5B4695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5B4695">
      <w:pPr>
        <w:numPr>
          <w:ilvl w:val="2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:rsidR="008E48B8" w:rsidRDefault="008E48B8" w:rsidP="005B4695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:rsidR="008E48B8" w:rsidRDefault="008E48B8" w:rsidP="005B4695">
      <w:pPr>
        <w:pStyle w:val="ListParagraph"/>
        <w:numPr>
          <w:ilvl w:val="1"/>
          <w:numId w:val="105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Thalidomide Celgene (talidomīds) kontrolētas izsniegšanas veidlapa;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Pacienta unikālo ID numuru uzlīmes;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Celgene ziņojumus par nevēlamu notikumu, versija 2.0 06/09/2017;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Iedarbības uz grūtniecību veidlapa – grūtniecības iznākums;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Ziņojums par nevēlamu blakusparādību: perifērā neiropātija;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Vēstule veselības aprūpes speciālistam;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:rsidR="008E48B8" w:rsidRDefault="008E48B8" w:rsidP="005B4695">
      <w:pPr>
        <w:pStyle w:val="ListParagraph"/>
        <w:numPr>
          <w:ilvl w:val="0"/>
          <w:numId w:val="105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after="160" w:line="252" w:lineRule="auto"/>
        <w:jc w:val="both"/>
      </w:pPr>
      <w:r>
        <w:t>Informētas piekrišanas dokuments vīriešiem, versija 1.0;</w:t>
      </w:r>
    </w:p>
    <w:p w:rsidR="008E48B8" w:rsidRDefault="008E48B8" w:rsidP="005B4695">
      <w:pPr>
        <w:pStyle w:val="ListParagraph"/>
        <w:numPr>
          <w:ilvl w:val="1"/>
          <w:numId w:val="105"/>
        </w:numPr>
        <w:spacing w:line="252" w:lineRule="auto"/>
        <w:jc w:val="both"/>
      </w:pPr>
      <w:r>
        <w:t>Informētas piekrišanas dokuments sievietēm bez reproduktīvā potenciāla, versija 1.0;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5B4695">
      <w:pPr>
        <w:pStyle w:val="ListParagraph"/>
        <w:numPr>
          <w:ilvl w:val="0"/>
          <w:numId w:val="106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083630">
      <w:pPr>
        <w:numPr>
          <w:ilvl w:val="0"/>
          <w:numId w:val="8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5B4695">
      <w:pPr>
        <w:pStyle w:val="ListParagraph"/>
        <w:numPr>
          <w:ilvl w:val="0"/>
          <w:numId w:val="138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5B4695">
      <w:pPr>
        <w:pStyle w:val="ListParagraph"/>
        <w:numPr>
          <w:ilvl w:val="0"/>
          <w:numId w:val="138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UK Limited, Lielbritānija (saskaņots 21.04.2016)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5B4695">
      <w:pPr>
        <w:pStyle w:val="ListParagraph"/>
        <w:numPr>
          <w:ilvl w:val="0"/>
          <w:numId w:val="107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UK Limited, Lielbritānija (saskaņots 21.04.2016):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 LV/HIV/0003/16;</w:t>
      </w:r>
    </w:p>
    <w:p w:rsidR="008E48B8" w:rsidRDefault="008E48B8" w:rsidP="005B4695">
      <w:pPr>
        <w:pStyle w:val="ListParagraph"/>
        <w:numPr>
          <w:ilvl w:val="0"/>
          <w:numId w:val="107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:rsidR="008E48B8" w:rsidRDefault="008E48B8" w:rsidP="005B4695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:rsidR="008E48B8" w:rsidRDefault="008E48B8" w:rsidP="005B4695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5B4695">
      <w:pPr>
        <w:numPr>
          <w:ilvl w:val="1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5B4695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5B4695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5B4695">
      <w:pPr>
        <w:numPr>
          <w:ilvl w:val="0"/>
          <w:numId w:val="144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5B4695">
      <w:pPr>
        <w:numPr>
          <w:ilvl w:val="0"/>
          <w:numId w:val="144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(saskaņots 26.06.2015):</w:t>
      </w:r>
    </w:p>
    <w:p w:rsidR="008E48B8" w:rsidRDefault="008E48B8" w:rsidP="005B4695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5B4695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:rsidR="008E48B8" w:rsidRDefault="008E48B8" w:rsidP="005B4695">
      <w:pPr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(atjaunināts 08.08.2017., versija Nr.17):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5B4695">
      <w:pPr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:rsidR="008E48B8" w:rsidRDefault="008E48B8" w:rsidP="005B4695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Shematiskais attēls</w:t>
      </w:r>
    </w:p>
    <w:p w:rsidR="008E48B8" w:rsidRDefault="008E48B8" w:rsidP="005B4695">
      <w:pPr>
        <w:pStyle w:val="ListParagraph"/>
        <w:numPr>
          <w:ilvl w:val="0"/>
          <w:numId w:val="115"/>
        </w:numPr>
        <w:autoSpaceDE w:val="0"/>
        <w:autoSpaceDN w:val="0"/>
        <w:adjustRightInd w:val="0"/>
        <w:rPr>
          <w:bCs/>
        </w:rPr>
      </w:pPr>
      <w:r>
        <w:rPr>
          <w:bCs/>
        </w:rPr>
        <w:t>Divu zinātnisko rakstu kopsavilkumu kopijas.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5B4695">
      <w:pPr>
        <w:pStyle w:val="ListParagraph"/>
        <w:numPr>
          <w:ilvl w:val="0"/>
          <w:numId w:val="116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Latvia SIA, Latvija; GL Pharma GmbH, Austrija; Orion Corporation,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lastRenderedPageBreak/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v.3;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:rsidR="004910CB" w:rsidRPr="00D61637" w:rsidRDefault="004910CB" w:rsidP="005B4695">
      <w:pPr>
        <w:pStyle w:val="ListParagraph"/>
        <w:numPr>
          <w:ilvl w:val="0"/>
          <w:numId w:val="146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:rsidR="008E48B8" w:rsidRDefault="008E48B8" w:rsidP="005B4695">
      <w:pPr>
        <w:pStyle w:val="ListParagraph"/>
        <w:numPr>
          <w:ilvl w:val="0"/>
          <w:numId w:val="11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Amgen Europe B.V., Nīderlande (atjaunināts 26.09.2016)</w:t>
      </w:r>
    </w:p>
    <w:p w:rsidR="008E48B8" w:rsidRDefault="008E48B8" w:rsidP="005B4695">
      <w:pPr>
        <w:pStyle w:val="ListParagraph"/>
        <w:numPr>
          <w:ilvl w:val="0"/>
          <w:numId w:val="118"/>
        </w:numPr>
        <w:rPr>
          <w:bCs/>
        </w:rPr>
      </w:pPr>
      <w:r>
        <w:rPr>
          <w:bCs/>
        </w:rPr>
        <w:t>Svarīga informācija veselības aprūpes speciālistiem par zāļu riska mazināšanu “Informācija par Vectibix un RAS biomarķieri”, 7.versija.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:rsidR="008E48B8" w:rsidRDefault="008E48B8" w:rsidP="005B4695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:rsidR="008E48B8" w:rsidRDefault="008E48B8" w:rsidP="005B4695">
      <w:pPr>
        <w:numPr>
          <w:ilvl w:val="0"/>
          <w:numId w:val="1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:rsidR="008E48B8" w:rsidRDefault="008E48B8" w:rsidP="005B4695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5B4695">
      <w:pPr>
        <w:numPr>
          <w:ilvl w:val="1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5B4695">
      <w:pPr>
        <w:numPr>
          <w:ilvl w:val="0"/>
          <w:numId w:val="1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:rsidR="008E48B8" w:rsidRDefault="008E48B8" w:rsidP="005B4695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„Par anēmijas, neitropēnijas un trombocitopēnijas rašanos pacientiem, kuri tiek ārstēti ar Victrelis kombinācijā ar peginterferonu un ribavirīnu”.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Gilead Nordic, Īrija, (atjaunināts 05.06.2017):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5B4695">
      <w:pPr>
        <w:numPr>
          <w:ilvl w:val="1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5B4695">
      <w:pPr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5B4695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:rsidR="008E48B8" w:rsidRDefault="008E48B8" w:rsidP="005B4695">
      <w:pPr>
        <w:numPr>
          <w:ilvl w:val="0"/>
          <w:numId w:val="12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11.12.2017.):  </w:t>
      </w:r>
    </w:p>
    <w:p w:rsidR="008E48B8" w:rsidRDefault="008E48B8" w:rsidP="005B4695">
      <w:pPr>
        <w:numPr>
          <w:ilvl w:val="0"/>
          <w:numId w:val="125"/>
        </w:numPr>
        <w:autoSpaceDE w:val="0"/>
        <w:autoSpaceDN w:val="0"/>
        <w:adjustRightInd w:val="0"/>
        <w:spacing w:after="0" w:line="240" w:lineRule="auto"/>
        <w:ind w:left="851" w:hanging="13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Volibris 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>ambrisentanum.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Informācija veselības aprūpes speciālistiem – versija </w:t>
      </w:r>
      <w:r>
        <w:rPr>
          <w:rFonts w:ascii="Times New Roman" w:hAnsi="Times New Roman" w:cs="Times New Roman"/>
          <w:bCs/>
          <w:sz w:val="24"/>
          <w:szCs w:val="24"/>
        </w:rPr>
        <w:t>LV/ABT/0003/12(2);</w:t>
      </w:r>
    </w:p>
    <w:p w:rsidR="008E48B8" w:rsidRDefault="008E48B8" w:rsidP="005B4695">
      <w:pPr>
        <w:numPr>
          <w:ilvl w:val="0"/>
          <w:numId w:val="126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mazināšanu. Informācija pacientiem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kam parakstīts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GB"/>
        </w:rPr>
        <w:t>Volibris (</w:t>
      </w:r>
      <w:r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ambrisentāna)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lietošana – kas jums jāzina - versija </w:t>
      </w:r>
      <w:r>
        <w:rPr>
          <w:rFonts w:ascii="Times New Roman" w:hAnsi="Times New Roman" w:cs="Times New Roman"/>
          <w:sz w:val="24"/>
          <w:szCs w:val="24"/>
        </w:rPr>
        <w:t>LV/ABT/0005/12(2);</w:t>
      </w:r>
    </w:p>
    <w:p w:rsidR="008E48B8" w:rsidRDefault="008E48B8" w:rsidP="005B4695">
      <w:pPr>
        <w:numPr>
          <w:ilvl w:val="0"/>
          <w:numId w:val="126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pacientes partnerim par zāļu riska mazināšanu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Informācija vīriešiem, kuru partneres lieto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Volibris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Kas jums jāzina – versija </w:t>
      </w:r>
      <w:r>
        <w:rPr>
          <w:rFonts w:ascii="Times New Roman" w:hAnsi="Times New Roman" w:cs="Times New Roman"/>
          <w:sz w:val="24"/>
          <w:szCs w:val="24"/>
        </w:rPr>
        <w:t>LV/ABT/0004/12(1).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5B4695">
      <w:pPr>
        <w:numPr>
          <w:ilvl w:val="0"/>
          <w:numId w:val="127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UK Limited, Lielbritānija (saskaņots 21.04.2016):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5B4695">
      <w:pPr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:rsidR="0004695D" w:rsidRDefault="0004695D" w:rsidP="0004695D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95D" w:rsidRPr="000768CD" w:rsidRDefault="0004695D" w:rsidP="00046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:rsidR="0004695D" w:rsidRPr="00A30655" w:rsidRDefault="0004695D" w:rsidP="0004695D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04695D" w:rsidRPr="0077540E" w:rsidRDefault="0004695D" w:rsidP="0004695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. </w:t>
      </w:r>
    </w:p>
    <w:p w:rsidR="0004695D" w:rsidRPr="0077540E" w:rsidRDefault="0004695D" w:rsidP="0004695D">
      <w:pPr>
        <w:numPr>
          <w:ilvl w:val="0"/>
          <w:numId w:val="1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156AA4" w:rsidRDefault="00156AA4" w:rsidP="00156A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:rsidR="008E48B8" w:rsidRDefault="008E48B8" w:rsidP="005B4695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5B4695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:rsidR="008E48B8" w:rsidRDefault="008E48B8" w:rsidP="005B4695">
      <w:pPr>
        <w:pStyle w:val="ListParagraph"/>
        <w:numPr>
          <w:ilvl w:val="0"/>
          <w:numId w:val="129"/>
        </w:numPr>
      </w:pPr>
      <w:r>
        <w:t>Pacienta atgādinājuma kartīte.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:rsidR="008E48B8" w:rsidRDefault="008E48B8" w:rsidP="005B4695">
      <w:pPr>
        <w:pStyle w:val="ListParagraph"/>
        <w:numPr>
          <w:ilvl w:val="0"/>
          <w:numId w:val="122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:rsidR="008E48B8" w:rsidRDefault="008E48B8" w:rsidP="005B4695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5B4695">
      <w:pPr>
        <w:numPr>
          <w:ilvl w:val="0"/>
          <w:numId w:val="12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:rsidR="008E48B8" w:rsidRDefault="008E48B8" w:rsidP="005B4695">
      <w:pPr>
        <w:pStyle w:val="ListParagraph"/>
        <w:numPr>
          <w:ilvl w:val="0"/>
          <w:numId w:val="122"/>
        </w:numPr>
        <w:rPr>
          <w:lang w:val="lv-LV"/>
        </w:rPr>
      </w:pPr>
      <w:r>
        <w:rPr>
          <w:lang w:val="lv-LV"/>
        </w:rPr>
        <w:lastRenderedPageBreak/>
        <w:t>Svarīga informācija pacientam par zāļu riska mazināšanu “Atgādinājuma kartīte pacientam par žokļa osteonekrozi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:rsidR="008E48B8" w:rsidRDefault="008E48B8" w:rsidP="005B4695">
      <w:pPr>
        <w:numPr>
          <w:ilvl w:val="0"/>
          <w:numId w:val="13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Style w:val="BoldPFXA0222TherapymanagementbrochureEU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XALKORI 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crizotinibum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Pfizer Limited, Lielbritānija,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versija </w:t>
      </w:r>
      <w:r>
        <w:rPr>
          <w:rStyle w:val="BoldPFXA0222TherapymanagementbrochureEU"/>
          <w:rFonts w:ascii="Times New Roman" w:hAnsi="Times New Roman" w:cs="Times New Roman"/>
          <w:sz w:val="24"/>
          <w:szCs w:val="24"/>
        </w:rPr>
        <w:t>2.0-Janvāris/2018 (atjaunināts 23.01.2018):</w:t>
      </w:r>
    </w:p>
    <w:p w:rsidR="008E48B8" w:rsidRDefault="008E48B8" w:rsidP="005B4695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Pacienta brošūra. </w:t>
      </w:r>
      <w:r>
        <w:rPr>
          <w:rFonts w:ascii="Times New Roman" w:hAnsi="Times New Roman" w:cs="Times New Roman"/>
          <w:sz w:val="24"/>
          <w:szCs w:val="24"/>
        </w:rPr>
        <w:t>Jūsu ārstēšana ar XALKORI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(Crizotinib);</w:t>
      </w:r>
    </w:p>
    <w:p w:rsidR="008E48B8" w:rsidRDefault="008E48B8" w:rsidP="005B4695">
      <w:pPr>
        <w:numPr>
          <w:ilvl w:val="0"/>
          <w:numId w:val="13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apvalkotās tabletes, Bayer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DC31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5B4695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„Xarelto (rivaroks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:rsidR="008E48B8" w:rsidRDefault="008E48B8" w:rsidP="005B4695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5B4695">
      <w:pPr>
        <w:numPr>
          <w:ilvl w:val="0"/>
          <w:numId w:val="13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:rsidR="008E48B8" w:rsidRDefault="008E48B8" w:rsidP="005B4695">
      <w:pPr>
        <w:pStyle w:val="ListParagraph"/>
        <w:numPr>
          <w:ilvl w:val="0"/>
          <w:numId w:val="133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:rsidR="008E48B8" w:rsidRDefault="008E48B8" w:rsidP="005B4695">
      <w:pPr>
        <w:numPr>
          <w:ilvl w:val="0"/>
          <w:numId w:val="133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:rsidR="008E48B8" w:rsidRDefault="008E48B8" w:rsidP="005B469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:rsidR="008E48B8" w:rsidRDefault="008E48B8" w:rsidP="005B4695">
      <w:pPr>
        <w:pStyle w:val="ListParagraph"/>
        <w:numPr>
          <w:ilvl w:val="2"/>
          <w:numId w:val="136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:rsidR="008E48B8" w:rsidRDefault="008E48B8" w:rsidP="005B4695">
      <w:pPr>
        <w:pStyle w:val="ListParagraph"/>
        <w:numPr>
          <w:ilvl w:val="2"/>
          <w:numId w:val="136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A46099"/>
    <w:multiLevelType w:val="hybridMultilevel"/>
    <w:tmpl w:val="73B2F9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2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3" w15:restartNumberingAfterBreak="0">
    <w:nsid w:val="2EDD0719"/>
    <w:multiLevelType w:val="hybridMultilevel"/>
    <w:tmpl w:val="DE76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38D3351"/>
    <w:multiLevelType w:val="hybridMultilevel"/>
    <w:tmpl w:val="9642CC8C"/>
    <w:lvl w:ilvl="0" w:tplc="8EF848E4">
      <w:numFmt w:val="bullet"/>
      <w:lvlText w:val="–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8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5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8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2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B290DDA"/>
    <w:multiLevelType w:val="hybridMultilevel"/>
    <w:tmpl w:val="2F08B30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14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5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8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CD3B6A"/>
    <w:multiLevelType w:val="hybridMultilevel"/>
    <w:tmpl w:val="33941E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5" w15:restartNumberingAfterBreak="0">
    <w:nsid w:val="6E1561DF"/>
    <w:multiLevelType w:val="hybridMultilevel"/>
    <w:tmpl w:val="0A6AE086"/>
    <w:lvl w:ilvl="0" w:tplc="0426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29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5D2F64"/>
    <w:multiLevelType w:val="hybridMultilevel"/>
    <w:tmpl w:val="79262E3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5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9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1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6EE4E33"/>
    <w:multiLevelType w:val="hybridMultilevel"/>
    <w:tmpl w:val="6DC2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7F36193E"/>
    <w:multiLevelType w:val="hybridMultilevel"/>
    <w:tmpl w:val="830282BC"/>
    <w:lvl w:ilvl="0" w:tplc="68DC5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1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6"/>
  </w:num>
  <w:num w:numId="7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0"/>
  </w:num>
  <w:num w:numId="14">
    <w:abstractNumId w:val="10"/>
  </w:num>
  <w:num w:numId="15">
    <w:abstractNumId w:val="88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</w:num>
  <w:num w:numId="18">
    <w:abstractNumId w:val="37"/>
  </w:num>
  <w:num w:numId="19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6"/>
  </w:num>
  <w:num w:numId="32">
    <w:abstractNumId w:val="4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0"/>
  </w:num>
  <w:num w:numId="36">
    <w:abstractNumId w:val="61"/>
  </w:num>
  <w:num w:numId="37">
    <w:abstractNumId w:val="33"/>
  </w:num>
  <w:num w:numId="38">
    <w:abstractNumId w:val="48"/>
  </w:num>
  <w:num w:numId="39">
    <w:abstractNumId w:val="65"/>
  </w:num>
  <w:num w:numId="40">
    <w:abstractNumId w:val="148"/>
  </w:num>
  <w:num w:numId="41">
    <w:abstractNumId w:val="16"/>
  </w:num>
  <w:num w:numId="42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7"/>
  </w:num>
  <w:num w:numId="46">
    <w:abstractNumId w:val="113"/>
  </w:num>
  <w:num w:numId="47">
    <w:abstractNumId w:val="141"/>
  </w:num>
  <w:num w:numId="48">
    <w:abstractNumId w:val="9"/>
  </w:num>
  <w:num w:numId="4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</w:num>
  <w:num w:numId="55">
    <w:abstractNumId w:val="118"/>
  </w:num>
  <w:num w:numId="56">
    <w:abstractNumId w:val="46"/>
  </w:num>
  <w:num w:numId="5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4"/>
  </w:num>
  <w:num w:numId="6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</w:num>
  <w:num w:numId="62">
    <w:abstractNumId w:val="99"/>
  </w:num>
  <w:num w:numId="63">
    <w:abstractNumId w:val="7"/>
  </w:num>
  <w:num w:numId="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0"/>
  </w:num>
  <w:num w:numId="66">
    <w:abstractNumId w:val="44"/>
  </w:num>
  <w:num w:numId="67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5"/>
  </w:num>
  <w:num w:numId="69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</w:num>
  <w:num w:numId="71">
    <w:abstractNumId w:val="143"/>
  </w:num>
  <w:num w:numId="72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9"/>
  </w:num>
  <w:num w:numId="79">
    <w:abstractNumId w:val="150"/>
  </w:num>
  <w:num w:numId="80">
    <w:abstractNumId w:val="68"/>
  </w:num>
  <w:num w:numId="81">
    <w:abstractNumId w:val="78"/>
  </w:num>
  <w:num w:numId="82">
    <w:abstractNumId w:val="134"/>
  </w:num>
  <w:num w:numId="83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5"/>
  </w:num>
  <w:num w:numId="87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7"/>
  </w:num>
  <w:num w:numId="91">
    <w:abstractNumId w:val="153"/>
  </w:num>
  <w:num w:numId="92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5"/>
  </w:num>
  <w:num w:numId="9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0"/>
  </w:num>
  <w:num w:numId="100">
    <w:abstractNumId w:val="147"/>
  </w:num>
  <w:num w:numId="101">
    <w:abstractNumId w:val="24"/>
  </w:num>
  <w:num w:numId="102">
    <w:abstractNumId w:val="59"/>
  </w:num>
  <w:num w:numId="103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39"/>
  </w:num>
  <w:num w:numId="106">
    <w:abstractNumId w:val="80"/>
  </w:num>
  <w:num w:numId="107">
    <w:abstractNumId w:val="145"/>
  </w:num>
  <w:num w:numId="108">
    <w:abstractNumId w:val="71"/>
  </w:num>
  <w:num w:numId="10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2"/>
  </w:num>
  <w:num w:numId="111">
    <w:abstractNumId w:val="114"/>
  </w:num>
  <w:num w:numId="11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</w:num>
  <w:num w:numId="1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4"/>
  </w:num>
  <w:num w:numId="118">
    <w:abstractNumId w:val="72"/>
  </w:num>
  <w:num w:numId="1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19"/>
  </w:num>
  <w:num w:numId="127">
    <w:abstractNumId w:val="101"/>
  </w:num>
  <w:num w:numId="128">
    <w:abstractNumId w:val="69"/>
  </w:num>
  <w:num w:numId="129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6"/>
  </w:num>
  <w:num w:numId="131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05"/>
  </w:num>
  <w:num w:numId="133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73"/>
  </w:num>
  <w:num w:numId="135">
    <w:abstractNumId w:val="138"/>
  </w:num>
  <w:num w:numId="136">
    <w:abstractNumId w:val="45"/>
  </w:num>
  <w:num w:numId="137">
    <w:abstractNumId w:val="21"/>
  </w:num>
  <w:num w:numId="138">
    <w:abstractNumId w:val="54"/>
  </w:num>
  <w:num w:numId="139">
    <w:abstractNumId w:val="40"/>
  </w:num>
  <w:num w:numId="140">
    <w:abstractNumId w:val="11"/>
  </w:num>
  <w:num w:numId="141">
    <w:abstractNumId w:val="43"/>
  </w:num>
  <w:num w:numId="142">
    <w:abstractNumId w:val="85"/>
  </w:num>
  <w:num w:numId="143">
    <w:abstractNumId w:val="64"/>
  </w:num>
  <w:num w:numId="144">
    <w:abstractNumId w:val="12"/>
  </w:num>
  <w:num w:numId="145">
    <w:abstractNumId w:val="104"/>
  </w:num>
  <w:num w:numId="146">
    <w:abstractNumId w:val="4"/>
  </w:num>
  <w:num w:numId="147">
    <w:abstractNumId w:val="124"/>
  </w:num>
  <w:num w:numId="148">
    <w:abstractNumId w:val="109"/>
  </w:num>
  <w:num w:numId="149">
    <w:abstractNumId w:val="1"/>
  </w:num>
  <w:num w:numId="150">
    <w:abstractNumId w:val="87"/>
  </w:num>
  <w:num w:numId="151">
    <w:abstractNumId w:val="140"/>
  </w:num>
  <w:num w:numId="152">
    <w:abstractNumId w:val="51"/>
  </w:num>
  <w:num w:numId="153">
    <w:abstractNumId w:val="149"/>
  </w:num>
  <w:num w:numId="154">
    <w:abstractNumId w:val="84"/>
  </w:num>
  <w:num w:numId="155">
    <w:abstractNumId w:val="53"/>
  </w:num>
  <w:num w:numId="156">
    <w:abstractNumId w:val="14"/>
  </w:num>
  <w:num w:numId="157">
    <w:abstractNumId w:val="77"/>
  </w:num>
  <w:num w:numId="158">
    <w:abstractNumId w:val="157"/>
  </w:num>
  <w:num w:numId="159">
    <w:abstractNumId w:val="82"/>
  </w:num>
  <w:num w:numId="160">
    <w:abstractNumId w:val="110"/>
  </w:num>
  <w:num w:numId="161">
    <w:abstractNumId w:val="142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15272"/>
    <w:rsid w:val="0004695D"/>
    <w:rsid w:val="000768CD"/>
    <w:rsid w:val="00083343"/>
    <w:rsid w:val="00083630"/>
    <w:rsid w:val="000A7F87"/>
    <w:rsid w:val="000B1BE5"/>
    <w:rsid w:val="000B1FB8"/>
    <w:rsid w:val="000F1AEC"/>
    <w:rsid w:val="0011701D"/>
    <w:rsid w:val="001201AE"/>
    <w:rsid w:val="00123F07"/>
    <w:rsid w:val="00153655"/>
    <w:rsid w:val="00156AA4"/>
    <w:rsid w:val="001574A6"/>
    <w:rsid w:val="001812AE"/>
    <w:rsid w:val="001851FD"/>
    <w:rsid w:val="00187E8F"/>
    <w:rsid w:val="001945E7"/>
    <w:rsid w:val="001C4125"/>
    <w:rsid w:val="001C69DD"/>
    <w:rsid w:val="001F4251"/>
    <w:rsid w:val="001F48BC"/>
    <w:rsid w:val="001F57C8"/>
    <w:rsid w:val="00237745"/>
    <w:rsid w:val="00273303"/>
    <w:rsid w:val="002B40D3"/>
    <w:rsid w:val="002C291A"/>
    <w:rsid w:val="002D0537"/>
    <w:rsid w:val="00305330"/>
    <w:rsid w:val="00316A97"/>
    <w:rsid w:val="003443C9"/>
    <w:rsid w:val="003776F6"/>
    <w:rsid w:val="0038018B"/>
    <w:rsid w:val="00387B92"/>
    <w:rsid w:val="003A57E6"/>
    <w:rsid w:val="003B040B"/>
    <w:rsid w:val="003D04EC"/>
    <w:rsid w:val="00401E2E"/>
    <w:rsid w:val="0041601A"/>
    <w:rsid w:val="00450A2D"/>
    <w:rsid w:val="00462C41"/>
    <w:rsid w:val="004910CB"/>
    <w:rsid w:val="004953F3"/>
    <w:rsid w:val="004A36FD"/>
    <w:rsid w:val="004B3711"/>
    <w:rsid w:val="004C36D1"/>
    <w:rsid w:val="004D3A8F"/>
    <w:rsid w:val="004F2A86"/>
    <w:rsid w:val="0050015A"/>
    <w:rsid w:val="00500A23"/>
    <w:rsid w:val="00532476"/>
    <w:rsid w:val="00554C26"/>
    <w:rsid w:val="00594534"/>
    <w:rsid w:val="005B4695"/>
    <w:rsid w:val="005B605F"/>
    <w:rsid w:val="005B7D28"/>
    <w:rsid w:val="005D43F7"/>
    <w:rsid w:val="005F0884"/>
    <w:rsid w:val="005F088C"/>
    <w:rsid w:val="005F5D32"/>
    <w:rsid w:val="005F7518"/>
    <w:rsid w:val="00631942"/>
    <w:rsid w:val="006554A3"/>
    <w:rsid w:val="00667E79"/>
    <w:rsid w:val="00680FFD"/>
    <w:rsid w:val="006A2245"/>
    <w:rsid w:val="00705E1E"/>
    <w:rsid w:val="007410DE"/>
    <w:rsid w:val="0076790F"/>
    <w:rsid w:val="0077540E"/>
    <w:rsid w:val="00776F68"/>
    <w:rsid w:val="0078304C"/>
    <w:rsid w:val="007D247A"/>
    <w:rsid w:val="007E339D"/>
    <w:rsid w:val="007F7B7D"/>
    <w:rsid w:val="008031FF"/>
    <w:rsid w:val="00830A67"/>
    <w:rsid w:val="00842B46"/>
    <w:rsid w:val="00861A63"/>
    <w:rsid w:val="00861C38"/>
    <w:rsid w:val="008635D3"/>
    <w:rsid w:val="00870B1D"/>
    <w:rsid w:val="00885ABB"/>
    <w:rsid w:val="008B5817"/>
    <w:rsid w:val="008D1742"/>
    <w:rsid w:val="008D3D56"/>
    <w:rsid w:val="008E0AAA"/>
    <w:rsid w:val="008E41B6"/>
    <w:rsid w:val="008E48B8"/>
    <w:rsid w:val="008F2ACE"/>
    <w:rsid w:val="00900830"/>
    <w:rsid w:val="00913F95"/>
    <w:rsid w:val="00915F6A"/>
    <w:rsid w:val="00932A4B"/>
    <w:rsid w:val="00967B26"/>
    <w:rsid w:val="00977BF8"/>
    <w:rsid w:val="009F2239"/>
    <w:rsid w:val="00A03EF4"/>
    <w:rsid w:val="00A30655"/>
    <w:rsid w:val="00A318A0"/>
    <w:rsid w:val="00A643B5"/>
    <w:rsid w:val="00A960DB"/>
    <w:rsid w:val="00AA4E4C"/>
    <w:rsid w:val="00AB654E"/>
    <w:rsid w:val="00AC1442"/>
    <w:rsid w:val="00B04679"/>
    <w:rsid w:val="00B355B5"/>
    <w:rsid w:val="00B602BE"/>
    <w:rsid w:val="00B85762"/>
    <w:rsid w:val="00B95D1D"/>
    <w:rsid w:val="00B966A3"/>
    <w:rsid w:val="00BC6358"/>
    <w:rsid w:val="00C26548"/>
    <w:rsid w:val="00C27A60"/>
    <w:rsid w:val="00C50C06"/>
    <w:rsid w:val="00C5546E"/>
    <w:rsid w:val="00C60461"/>
    <w:rsid w:val="00CA79D0"/>
    <w:rsid w:val="00CB4E88"/>
    <w:rsid w:val="00CC10EF"/>
    <w:rsid w:val="00CC45BF"/>
    <w:rsid w:val="00CC78CF"/>
    <w:rsid w:val="00CE276B"/>
    <w:rsid w:val="00CE5614"/>
    <w:rsid w:val="00D02D49"/>
    <w:rsid w:val="00D03CF0"/>
    <w:rsid w:val="00D3233B"/>
    <w:rsid w:val="00D32CC0"/>
    <w:rsid w:val="00D3540C"/>
    <w:rsid w:val="00D40A27"/>
    <w:rsid w:val="00D56096"/>
    <w:rsid w:val="00DC0867"/>
    <w:rsid w:val="00DC31EA"/>
    <w:rsid w:val="00DE5BFC"/>
    <w:rsid w:val="00E35DB4"/>
    <w:rsid w:val="00E40E74"/>
    <w:rsid w:val="00E576DE"/>
    <w:rsid w:val="00E618FB"/>
    <w:rsid w:val="00EB463B"/>
    <w:rsid w:val="00ED1CF4"/>
    <w:rsid w:val="00EE56B4"/>
    <w:rsid w:val="00F1608D"/>
    <w:rsid w:val="00F21C84"/>
    <w:rsid w:val="00F22CD9"/>
    <w:rsid w:val="00F25FE7"/>
    <w:rsid w:val="00F9646B"/>
    <w:rsid w:val="00FC4893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6E0E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39</Pages>
  <Words>12837</Words>
  <Characters>73175</Characters>
  <Application>Microsoft Office Word</Application>
  <DocSecurity>0</DocSecurity>
  <Lines>609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26</cp:revision>
  <dcterms:created xsi:type="dcterms:W3CDTF">2019-02-08T06:24:00Z</dcterms:created>
  <dcterms:modified xsi:type="dcterms:W3CDTF">2019-04-01T06:01:00Z</dcterms:modified>
</cp:coreProperties>
</file>