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9CA4" w14:textId="77777777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AB1D87">
      <w:pPr>
        <w:pStyle w:val="ListParagraph"/>
        <w:numPr>
          <w:ilvl w:val="0"/>
          <w:numId w:val="128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00C64AA2" w14:textId="77777777" w:rsidR="0013774F" w:rsidRDefault="0013774F" w:rsidP="0013774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(atjaunināts 24.09.2019.):</w:t>
      </w:r>
    </w:p>
    <w:p w14:paraId="72AA716A" w14:textId="77777777" w:rsidR="0013774F" w:rsidRPr="00BF686E" w:rsidRDefault="0013774F" w:rsidP="00AB1D87">
      <w:pPr>
        <w:pStyle w:val="ListParagraph"/>
        <w:numPr>
          <w:ilvl w:val="0"/>
          <w:numId w:val="11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RMP v12.1(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</w:t>
      </w:r>
      <w:proofErr w:type="gramStart"/>
      <w:r>
        <w:rPr>
          <w:rFonts w:eastAsia="Arial"/>
        </w:rPr>
        <w:t>);</w:t>
      </w:r>
      <w:proofErr w:type="gramEnd"/>
    </w:p>
    <w:p w14:paraId="0FCDE752" w14:textId="77777777" w:rsidR="0013774F" w:rsidRPr="00BF686E" w:rsidRDefault="0013774F" w:rsidP="00AB1D87">
      <w:pPr>
        <w:pStyle w:val="ListParagraph"/>
        <w:numPr>
          <w:ilvl w:val="0"/>
          <w:numId w:val="11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</w:t>
      </w:r>
      <w:proofErr w:type="gramStart"/>
      <w:r>
        <w:rPr>
          <w:rFonts w:eastAsia="Arial"/>
        </w:rPr>
        <w:t>);</w:t>
      </w:r>
      <w:proofErr w:type="gramEnd"/>
    </w:p>
    <w:p w14:paraId="692FF959" w14:textId="77777777" w:rsidR="0013774F" w:rsidRPr="00BF686E" w:rsidRDefault="0013774F" w:rsidP="00AB1D87">
      <w:pPr>
        <w:pStyle w:val="ListParagraph"/>
        <w:numPr>
          <w:ilvl w:val="0"/>
          <w:numId w:val="11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536A4E" w14:textId="77777777" w:rsidR="0013774F" w:rsidRPr="00A30655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3F6A92" w14:textId="77777777" w:rsidR="0013774F" w:rsidRPr="00A30655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0D5780" w14:textId="1C07D4E8" w:rsidR="0013774F" w:rsidRPr="00D807B9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38E489BC" w:rsidR="0013774F" w:rsidRPr="00F04470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3284B4E2" w14:textId="59BF5EAE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it-IT"/>
        </w:rPr>
      </w:pPr>
    </w:p>
    <w:p w14:paraId="1DA01932" w14:textId="66828410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4470">
        <w:rPr>
          <w:rFonts w:ascii="Times New Roman" w:hAnsi="Times New Roman" w:cs="Times New Roman"/>
          <w:b/>
          <w:bCs/>
          <w:sz w:val="24"/>
          <w:szCs w:val="24"/>
          <w:lang w:val="it-IT"/>
        </w:rPr>
        <w:t>Alunbrig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0442" w:rsidRPr="004B0442">
        <w:rPr>
          <w:rFonts w:ascii="Times New Roman" w:hAnsi="Times New Roman" w:cs="Times New Roman"/>
          <w:sz w:val="24"/>
          <w:szCs w:val="24"/>
          <w:lang w:val="it-IT"/>
        </w:rPr>
        <w:t xml:space="preserve">▼ 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Brigatinibum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F04470">
        <w:rPr>
          <w:rFonts w:ascii="Times New Roman" w:hAnsi="Times New Roman" w:cs="Times New Roman"/>
          <w:sz w:val="24"/>
          <w:szCs w:val="24"/>
        </w:rPr>
        <w:t xml:space="preserve"> 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Takeda Pharma A/S, Dānija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(saskaņots </w:t>
      </w:r>
      <w:r w:rsidRPr="00F04470"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  <w:t>03.02.2021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731AF148" w14:textId="77777777" w:rsidR="00F04470" w:rsidRPr="00F04470" w:rsidRDefault="00F04470" w:rsidP="00F04470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Svarīga informācija pacientam par zāļu riska mazināšanu:</w:t>
      </w:r>
    </w:p>
    <w:p w14:paraId="39A41D1A" w14:textId="0D0C123D" w:rsidR="00F04470" w:rsidRDefault="00F04470" w:rsidP="00F04470">
      <w:pPr>
        <w:pStyle w:val="ListParagraph"/>
        <w:numPr>
          <w:ilvl w:val="1"/>
          <w:numId w:val="129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Alunbrig ®▼  (Brigatinibs) Pacienta brīdinājuma kartīte, versija - 01/2021.</w:t>
      </w:r>
    </w:p>
    <w:p w14:paraId="232462FD" w14:textId="77777777" w:rsidR="006F522A" w:rsidRPr="006F522A" w:rsidRDefault="006F522A" w:rsidP="006F522A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34697914" w14:textId="233D2A67" w:rsidR="00F04470" w:rsidRDefault="006F522A" w:rsidP="005C6A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70B">
        <w:rPr>
          <w:rFonts w:ascii="Times New Roman" w:hAnsi="Times New Roman"/>
          <w:b/>
          <w:sz w:val="24"/>
          <w:szCs w:val="24"/>
        </w:rPr>
        <w:t>AOP (</w:t>
      </w:r>
      <w:proofErr w:type="spellStart"/>
      <w:r w:rsidRPr="005E670B">
        <w:rPr>
          <w:rFonts w:ascii="Times New Roman" w:hAnsi="Times New Roman"/>
          <w:b/>
          <w:i/>
          <w:sz w:val="24"/>
          <w:szCs w:val="24"/>
        </w:rPr>
        <w:t>ambrisentanum</w:t>
      </w:r>
      <w:proofErr w:type="spellEnd"/>
      <w:r w:rsidRPr="005E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61825">
        <w:rPr>
          <w:rFonts w:ascii="Times New Roman" w:eastAsia="Times New Roman" w:hAnsi="Times New Roman"/>
          <w:sz w:val="24"/>
          <w:szCs w:val="24"/>
        </w:rPr>
        <w:t xml:space="preserve">AOP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Orphan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Pharmaceuticals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AG,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10.03.2021.)</w:t>
      </w:r>
    </w:p>
    <w:p w14:paraId="7C9085B5" w14:textId="0D1AABF1" w:rsidR="006F522A" w:rsidRPr="006F522A" w:rsidRDefault="006F522A" w:rsidP="005C6A85">
      <w:pPr>
        <w:pStyle w:val="ListParagraph"/>
        <w:numPr>
          <w:ilvl w:val="0"/>
          <w:numId w:val="178"/>
        </w:numPr>
        <w:autoSpaceDE w:val="0"/>
        <w:autoSpaceDN w:val="0"/>
        <w:adjustRightInd w:val="0"/>
        <w:jc w:val="both"/>
      </w:pPr>
      <w:proofErr w:type="spellStart"/>
      <w:r w:rsidRPr="00254918">
        <w:rPr>
          <w:rFonts w:eastAsiaTheme="minorHAnsi"/>
          <w:color w:val="000000"/>
        </w:rPr>
        <w:t>Svarīga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informācija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pacientiem</w:t>
      </w:r>
      <w:proofErr w:type="spellEnd"/>
      <w:r w:rsidRPr="00254918">
        <w:rPr>
          <w:rFonts w:eastAsiaTheme="minorHAnsi"/>
          <w:color w:val="000000"/>
        </w:rPr>
        <w:t xml:space="preserve"> par </w:t>
      </w:r>
      <w:proofErr w:type="spellStart"/>
      <w:r w:rsidRPr="00254918">
        <w:rPr>
          <w:rFonts w:eastAsiaTheme="minorHAnsi"/>
          <w:color w:val="000000"/>
        </w:rPr>
        <w:t>zāļu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riska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mazināšanu</w:t>
      </w:r>
      <w:proofErr w:type="spellEnd"/>
      <w:r>
        <w:rPr>
          <w:rFonts w:eastAsiaTheme="minorHAnsi"/>
          <w:color w:val="000000"/>
        </w:rPr>
        <w:t xml:space="preserve">. </w:t>
      </w:r>
      <w:proofErr w:type="spellStart"/>
      <w:r w:rsidRPr="00254918">
        <w:rPr>
          <w:rFonts w:eastAsiaTheme="minorHAnsi"/>
          <w:color w:val="000000"/>
        </w:rPr>
        <w:t>Pacienta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atgādinājuma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kartīte</w:t>
      </w:r>
      <w:proofErr w:type="spellEnd"/>
      <w:r w:rsidRPr="00254918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</w:rPr>
        <w:t xml:space="preserve">v. </w:t>
      </w:r>
      <w:r w:rsidRPr="00254918">
        <w:rPr>
          <w:rFonts w:eastAsiaTheme="minorHAnsi"/>
        </w:rPr>
        <w:t>2021.gada marts</w:t>
      </w:r>
      <w:r>
        <w:rPr>
          <w:rFonts w:eastAsiaTheme="minorHAnsi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Default="0013774F" w:rsidP="00AB1D87">
      <w:pPr>
        <w:pStyle w:val="ListParagraph"/>
        <w:numPr>
          <w:ilvl w:val="0"/>
          <w:numId w:val="129"/>
        </w:numPr>
        <w:autoSpaceDE w:val="0"/>
        <w:autoSpaceDN w:val="0"/>
        <w:adjustRightInd w:val="0"/>
        <w:ind w:right="-188"/>
        <w:rPr>
          <w:bCs/>
        </w:rPr>
      </w:pPr>
      <w:proofErr w:type="spellStart"/>
      <w:r w:rsidRPr="000C0CB8">
        <w:rPr>
          <w:bCs/>
        </w:rPr>
        <w:t>Ambrisentan</w:t>
      </w:r>
      <w:proofErr w:type="spellEnd"/>
      <w:r w:rsidRPr="000C0CB8">
        <w:rPr>
          <w:bCs/>
        </w:rPr>
        <w:t xml:space="preserve"> Mylan </w:t>
      </w:r>
      <w:r w:rsidRPr="000F4930">
        <w:rPr>
          <w:bCs/>
        </w:rPr>
        <w:t>(</w:t>
      </w:r>
      <w:proofErr w:type="spellStart"/>
      <w:r w:rsidRPr="000F4930">
        <w:rPr>
          <w:bCs/>
        </w:rPr>
        <w:t>ambrisentan</w:t>
      </w:r>
      <w:proofErr w:type="spellEnd"/>
      <w:r w:rsidRPr="000F4930">
        <w:rPr>
          <w:bCs/>
        </w:rPr>
        <w:t xml:space="preserve">) </w:t>
      </w:r>
      <w:proofErr w:type="spellStart"/>
      <w:r w:rsidRPr="000C0CB8">
        <w:rPr>
          <w:bCs/>
        </w:rPr>
        <w:t>pacienta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atgādinājuma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kartīte</w:t>
      </w:r>
      <w:proofErr w:type="spellEnd"/>
      <w:r w:rsidRPr="000C0CB8">
        <w:rPr>
          <w:bCs/>
        </w:rPr>
        <w:t>,</w:t>
      </w:r>
      <w:r w:rsidR="000F4930">
        <w:rPr>
          <w:bCs/>
        </w:rPr>
        <w:t xml:space="preserve"> </w:t>
      </w:r>
      <w:proofErr w:type="spellStart"/>
      <w:r w:rsidR="000F4930">
        <w:rPr>
          <w:bCs/>
        </w:rPr>
        <w:t>versija</w:t>
      </w:r>
      <w:proofErr w:type="spellEnd"/>
      <w:r w:rsidR="000F4930">
        <w:rPr>
          <w:bCs/>
        </w:rPr>
        <w:t xml:space="preserve">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Norameda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7B9">
        <w:rPr>
          <w:rFonts w:ascii="Times New Roman" w:hAnsi="Times New Roman" w:cs="Times New Roman"/>
          <w:bCs/>
          <w:sz w:val="24"/>
          <w:szCs w:val="24"/>
        </w:rPr>
        <w:t>Norameda</w:t>
      </w:r>
      <w:proofErr w:type="spellEnd"/>
      <w:r w:rsidRPr="00D807B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Default="002267C9" w:rsidP="00AB1D87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line="276" w:lineRule="auto"/>
        <w:rPr>
          <w:bCs/>
        </w:rPr>
      </w:pPr>
      <w:proofErr w:type="spellStart"/>
      <w:r>
        <w:rPr>
          <w:bCs/>
        </w:rPr>
        <w:t>Ambrisentan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Norameda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brīdinājuma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 w:rsidR="002E5F54">
        <w:rPr>
          <w:bCs/>
        </w:rPr>
        <w:t xml:space="preserve">, </w:t>
      </w:r>
      <w:r w:rsidR="00D807B9">
        <w:rPr>
          <w:bCs/>
        </w:rPr>
        <w:t>versija1.</w:t>
      </w:r>
    </w:p>
    <w:p w14:paraId="30BE54C5" w14:textId="77777777" w:rsidR="002E5F54" w:rsidRP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1725ADD5" w14:textId="77777777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1B8A7A68" w14:textId="77777777" w:rsidR="0013774F" w:rsidRPr="0050015A" w:rsidRDefault="0013774F" w:rsidP="00AB1D87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2A8699D6" w14:textId="77777777" w:rsidR="0013774F" w:rsidRPr="001574A6" w:rsidRDefault="0013774F" w:rsidP="00AB1D87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14 mg tablete,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, Francija (atjaunināts 10.03.2020.)</w:t>
      </w:r>
    </w:p>
    <w:p w14:paraId="771F862D" w14:textId="77777777" w:rsidR="0013774F" w:rsidRDefault="0013774F" w:rsidP="001377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Svarīga informācija veselības aprūpes speciālistiem par zāļu riska mazināšanu:</w:t>
      </w:r>
    </w:p>
    <w:p w14:paraId="0F6B5F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 par izglītošanu/pārrunām, RMP 5.1; v.2.0</w:t>
      </w:r>
    </w:p>
    <w:p w14:paraId="253EE56B" w14:textId="77777777" w:rsidR="0013774F" w:rsidRDefault="0013774F" w:rsidP="00AB1D87">
      <w:pPr>
        <w:pStyle w:val="ListParagraph"/>
        <w:numPr>
          <w:ilvl w:val="0"/>
          <w:numId w:val="129"/>
        </w:numPr>
        <w:autoSpaceDE w:val="0"/>
        <w:autoSpaceDN w:val="0"/>
        <w:adjustRightInd w:val="0"/>
        <w:rPr>
          <w:bCs/>
          <w:szCs w:val="32"/>
        </w:rPr>
      </w:pPr>
      <w:proofErr w:type="spellStart"/>
      <w:r>
        <w:rPr>
          <w:bCs/>
          <w:szCs w:val="32"/>
        </w:rPr>
        <w:t>Svarīga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informācija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pacientam</w:t>
      </w:r>
      <w:proofErr w:type="spellEnd"/>
      <w:r>
        <w:rPr>
          <w:bCs/>
          <w:szCs w:val="32"/>
        </w:rPr>
        <w:t xml:space="preserve"> par </w:t>
      </w:r>
      <w:proofErr w:type="spellStart"/>
      <w:r>
        <w:rPr>
          <w:bCs/>
          <w:szCs w:val="32"/>
        </w:rPr>
        <w:t>zāļu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riska</w:t>
      </w:r>
      <w:proofErr w:type="spellEnd"/>
      <w:r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mazināšanu</w:t>
      </w:r>
      <w:proofErr w:type="spellEnd"/>
      <w:r>
        <w:rPr>
          <w:bCs/>
          <w:szCs w:val="32"/>
        </w:rPr>
        <w:t>:</w:t>
      </w:r>
    </w:p>
    <w:p w14:paraId="78F4113C" w14:textId="77777777" w:rsidR="0013774F" w:rsidRPr="00010C05" w:rsidRDefault="0013774F" w:rsidP="0013774F">
      <w:pPr>
        <w:pStyle w:val="ListParagraph"/>
        <w:autoSpaceDE w:val="0"/>
        <w:autoSpaceDN w:val="0"/>
        <w:adjustRightInd w:val="0"/>
        <w:ind w:left="785"/>
        <w:rPr>
          <w:bCs/>
          <w:szCs w:val="32"/>
        </w:rPr>
      </w:pPr>
      <w:proofErr w:type="spellStart"/>
      <w:r w:rsidRPr="00010C05">
        <w:rPr>
          <w:bCs/>
          <w:szCs w:val="32"/>
        </w:rPr>
        <w:t>Pacienta</w:t>
      </w:r>
      <w:proofErr w:type="spellEnd"/>
      <w:r w:rsidRPr="00010C05">
        <w:rPr>
          <w:bCs/>
          <w:szCs w:val="32"/>
        </w:rPr>
        <w:t xml:space="preserve"> </w:t>
      </w:r>
      <w:proofErr w:type="spellStart"/>
      <w:r w:rsidRPr="00010C05">
        <w:rPr>
          <w:bCs/>
          <w:szCs w:val="32"/>
        </w:rPr>
        <w:t>kartīte</w:t>
      </w:r>
      <w:proofErr w:type="spellEnd"/>
      <w:r w:rsidRPr="00010C05">
        <w:rPr>
          <w:bCs/>
          <w:szCs w:val="32"/>
        </w:rPr>
        <w:t>, RMP 5.1; v.2.0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3C865756" w14:textId="77777777" w:rsidR="0013774F" w:rsidRDefault="0013774F" w:rsidP="0013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lastRenderedPageBreak/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3A2EE74B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579E6882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731C36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AB1D87">
      <w:pPr>
        <w:pStyle w:val="ListParagraph"/>
        <w:numPr>
          <w:ilvl w:val="0"/>
          <w:numId w:val="130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 xml:space="preserve">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14:paraId="282A6B1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aukstumsomu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4E110D92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1.20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6F166DE4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ārstiem par zāļu riska mazināšanu “</w:t>
      </w:r>
      <w:proofErr w:type="spellStart"/>
      <w:r w:rsidRPr="00A9763E">
        <w:rPr>
          <w:rFonts w:ascii="Times New Roman" w:hAnsi="Times New Roman"/>
          <w:sz w:val="24"/>
          <w:szCs w:val="24"/>
        </w:rPr>
        <w:t>Blincyto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</w:t>
      </w:r>
      <w:proofErr w:type="spellStart"/>
      <w:r w:rsidRPr="00A9763E">
        <w:rPr>
          <w:rFonts w:ascii="Times New Roman" w:hAnsi="Times New Roman"/>
          <w:sz w:val="24"/>
          <w:szCs w:val="24"/>
        </w:rPr>
        <w:t>blinatumomabs</w:t>
      </w:r>
      <w:proofErr w:type="spellEnd"/>
      <w:r w:rsidRPr="00A9763E">
        <w:rPr>
          <w:rFonts w:ascii="Times New Roman" w:hAnsi="Times New Roman"/>
          <w:sz w:val="24"/>
          <w:szCs w:val="24"/>
        </w:rPr>
        <w:t>) izglītojoša brošūra ārstiem”, versija 5.0;</w:t>
      </w:r>
    </w:p>
    <w:p w14:paraId="4A82A6E2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farmaceitiem par zāļu riska mazināšanu “</w:t>
      </w:r>
      <w:proofErr w:type="spellStart"/>
      <w:r w:rsidRPr="00A9763E">
        <w:rPr>
          <w:rFonts w:ascii="Times New Roman" w:hAnsi="Times New Roman"/>
          <w:sz w:val="24"/>
          <w:szCs w:val="24"/>
        </w:rPr>
        <w:t>Blincyto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</w:t>
      </w:r>
      <w:proofErr w:type="spellStart"/>
      <w:r w:rsidRPr="00A9763E">
        <w:rPr>
          <w:rFonts w:ascii="Times New Roman" w:hAnsi="Times New Roman"/>
          <w:sz w:val="24"/>
          <w:szCs w:val="24"/>
        </w:rPr>
        <w:t>blinatumomabs</w:t>
      </w:r>
      <w:proofErr w:type="spellEnd"/>
      <w:r w:rsidRPr="00A9763E">
        <w:rPr>
          <w:rFonts w:ascii="Times New Roman" w:hAnsi="Times New Roman"/>
          <w:sz w:val="24"/>
          <w:szCs w:val="24"/>
        </w:rPr>
        <w:t>) izglītojoša brošūra farmaceitiem”, versija 3.2;</w:t>
      </w:r>
    </w:p>
    <w:p w14:paraId="11490B0A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lastRenderedPageBreak/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medmāsām par zāļu riska mazināšanu “</w:t>
      </w:r>
      <w:proofErr w:type="spellStart"/>
      <w:r w:rsidRPr="00A9763E">
        <w:rPr>
          <w:rFonts w:ascii="Times New Roman" w:hAnsi="Times New Roman"/>
          <w:sz w:val="24"/>
          <w:szCs w:val="24"/>
        </w:rPr>
        <w:t>Blincyto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</w:t>
      </w:r>
      <w:proofErr w:type="spellStart"/>
      <w:r w:rsidRPr="00A9763E">
        <w:rPr>
          <w:rFonts w:ascii="Times New Roman" w:hAnsi="Times New Roman"/>
          <w:sz w:val="24"/>
          <w:szCs w:val="24"/>
        </w:rPr>
        <w:t>blinatumomabs</w:t>
      </w:r>
      <w:proofErr w:type="spellEnd"/>
      <w:r w:rsidRPr="00A9763E">
        <w:rPr>
          <w:rFonts w:ascii="Times New Roman" w:hAnsi="Times New Roman"/>
          <w:sz w:val="24"/>
          <w:szCs w:val="24"/>
        </w:rPr>
        <w:t>) izglītojoša brošūra medmāsām”, versija 3.1;</w:t>
      </w:r>
    </w:p>
    <w:p w14:paraId="3A39376E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pacientiem un aprūpētājiem par zāļu riska mazināšanu “BLINCYTO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</w:t>
      </w:r>
      <w:proofErr w:type="spellStart"/>
      <w:r w:rsidRPr="00A9763E">
        <w:rPr>
          <w:rFonts w:ascii="Times New Roman" w:hAnsi="Times New Roman"/>
          <w:sz w:val="24"/>
          <w:szCs w:val="24"/>
        </w:rPr>
        <w:t>blinatumomabs</w:t>
      </w:r>
      <w:proofErr w:type="spellEnd"/>
      <w:r w:rsidRPr="00A9763E">
        <w:rPr>
          <w:rFonts w:ascii="Times New Roman" w:hAnsi="Times New Roman"/>
          <w:sz w:val="24"/>
          <w:szCs w:val="24"/>
        </w:rPr>
        <w:t>) izglītojoša brošūra pacientiem un aprūpētājiem”, versija 3.1;</w:t>
      </w:r>
    </w:p>
    <w:p w14:paraId="401044A9" w14:textId="77777777" w:rsidR="001E07F3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 xml:space="preserve">Pacienta kartīte “Informācija par </w:t>
      </w:r>
      <w:proofErr w:type="spellStart"/>
      <w:r w:rsidRPr="00A9763E">
        <w:rPr>
          <w:rFonts w:ascii="Times New Roman" w:hAnsi="Times New Roman"/>
          <w:sz w:val="24"/>
          <w:szCs w:val="24"/>
        </w:rPr>
        <w:t>Blincyto</w:t>
      </w:r>
      <w:proofErr w:type="spellEnd"/>
      <w:r w:rsidRPr="00A976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63E">
        <w:rPr>
          <w:rFonts w:ascii="Times New Roman" w:hAnsi="Times New Roman"/>
          <w:sz w:val="24"/>
          <w:szCs w:val="24"/>
        </w:rPr>
        <w:t>blinatumomabs</w:t>
      </w:r>
      <w:proofErr w:type="spellEnd"/>
      <w:r w:rsidRPr="00A9763E">
        <w:rPr>
          <w:rFonts w:ascii="Times New Roman" w:hAnsi="Times New Roman"/>
          <w:sz w:val="24"/>
          <w:szCs w:val="24"/>
        </w:rPr>
        <w:t>)”, versija 2.1.</w:t>
      </w: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65E42AC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0A0BF7B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18C8A789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761C952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D750138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2CBC7E30" w14:textId="77777777" w:rsidR="0013774F" w:rsidRPr="00EB5082" w:rsidRDefault="0013774F" w:rsidP="0013774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641BDCB" w14:textId="77777777" w:rsidR="0013774F" w:rsidRPr="00EB5082" w:rsidRDefault="0013774F" w:rsidP="0013774F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68F95544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379500BD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38C85120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7DCFB15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2B04907B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7A81549D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F2C2498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0351E85A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AB1D87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AB1D87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77777777" w:rsidR="0013774F" w:rsidRDefault="0013774F" w:rsidP="00AB1D87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10303FC8" w14:textId="77777777" w:rsidR="0013774F" w:rsidRPr="001C034C" w:rsidRDefault="0013774F" w:rsidP="00AB1D87">
      <w:pPr>
        <w:pStyle w:val="ListParagraph"/>
        <w:numPr>
          <w:ilvl w:val="0"/>
          <w:numId w:val="135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</w:t>
      </w:r>
      <w:proofErr w:type="gramStart"/>
      <w:r w:rsidRPr="001C034C">
        <w:t>1.0;</w:t>
      </w:r>
      <w:proofErr w:type="gramEnd"/>
    </w:p>
    <w:p w14:paraId="260B90A2" w14:textId="77777777" w:rsidR="0013774F" w:rsidRPr="001C034C" w:rsidRDefault="0013774F" w:rsidP="00AB1D87">
      <w:pPr>
        <w:pStyle w:val="ListParagraph"/>
        <w:numPr>
          <w:ilvl w:val="0"/>
          <w:numId w:val="135"/>
        </w:numPr>
        <w:autoSpaceDE w:val="0"/>
        <w:autoSpaceDN w:val="0"/>
        <w:adjustRightInd w:val="0"/>
        <w:jc w:val="both"/>
      </w:pPr>
      <w:proofErr w:type="spellStart"/>
      <w:r w:rsidRPr="001C034C">
        <w:lastRenderedPageBreak/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</w:t>
      </w:r>
      <w:proofErr w:type="gramStart"/>
      <w:r w:rsidRPr="001C034C">
        <w:t>1.0;</w:t>
      </w:r>
      <w:proofErr w:type="gramEnd"/>
    </w:p>
    <w:p w14:paraId="24B85A70" w14:textId="77777777" w:rsidR="0013774F" w:rsidRPr="001C034C" w:rsidRDefault="0013774F" w:rsidP="00AB1D87">
      <w:pPr>
        <w:pStyle w:val="ListParagraph"/>
        <w:numPr>
          <w:ilvl w:val="0"/>
          <w:numId w:val="135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3951A42A" w14:textId="5BAD64EE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01B79CE" w14:textId="77777777" w:rsidR="009D1F15" w:rsidRPr="009D1F15" w:rsidRDefault="009D1F1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91C9087" w14:textId="77777777" w:rsidR="009D1F15" w:rsidRPr="009D1F15" w:rsidRDefault="009D1F1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35C9CA43" w14:textId="77777777" w:rsidR="0013774F" w:rsidRDefault="0013774F" w:rsidP="00AB1D87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AB1D87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494BFC" w14:textId="37F3B098" w:rsidR="00176237" w:rsidRDefault="00176237" w:rsidP="00C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Daurismo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▼ </w:t>
      </w:r>
      <w:r w:rsidRPr="0017623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(</w:t>
      </w:r>
      <w:proofErr w:type="spellStart"/>
      <w:r w:rsidRPr="0017623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Glasdegibum</w:t>
      </w:r>
      <w:proofErr w:type="spellEnd"/>
      <w:r w:rsidRPr="00176237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  <w:r w:rsidRPr="00176237">
        <w:rPr>
          <w:rFonts w:ascii="Times New Roman" w:eastAsia="Times New Roman" w:hAnsi="Times New Roman" w:cs="Times New Roman"/>
          <w:sz w:val="23"/>
          <w:szCs w:val="23"/>
        </w:rPr>
        <w:t xml:space="preserve"> Pfizer </w:t>
      </w:r>
      <w:proofErr w:type="spellStart"/>
      <w:r w:rsidRPr="00176237">
        <w:rPr>
          <w:rFonts w:ascii="Times New Roman" w:eastAsia="Times New Roman" w:hAnsi="Times New Roman" w:cs="Times New Roman"/>
          <w:sz w:val="23"/>
          <w:szCs w:val="23"/>
        </w:rPr>
        <w:t>Europe</w:t>
      </w:r>
      <w:proofErr w:type="spellEnd"/>
      <w:r w:rsidRPr="00176237">
        <w:rPr>
          <w:rFonts w:ascii="Times New Roman" w:eastAsia="Times New Roman" w:hAnsi="Times New Roman" w:cs="Times New Roman"/>
          <w:sz w:val="23"/>
          <w:szCs w:val="23"/>
        </w:rPr>
        <w:t xml:space="preserve"> MA EEIG, Beļģija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(saskaņots </w:t>
      </w:r>
      <w:r w:rsidR="00C460B2">
        <w:rPr>
          <w:rFonts w:ascii="Times New Roman" w:eastAsia="Times New Roman" w:hAnsi="Times New Roman" w:cs="Times New Roman"/>
          <w:sz w:val="23"/>
          <w:szCs w:val="23"/>
        </w:rPr>
        <w:t>25.01,2021.):</w:t>
      </w:r>
    </w:p>
    <w:p w14:paraId="0C125052" w14:textId="77777777" w:rsidR="00C460B2" w:rsidRPr="00932280" w:rsidRDefault="00C460B2" w:rsidP="00AB1D87">
      <w:pPr>
        <w:pStyle w:val="ListParagraph"/>
        <w:numPr>
          <w:ilvl w:val="0"/>
          <w:numId w:val="170"/>
        </w:numPr>
        <w:spacing w:line="256" w:lineRule="auto"/>
        <w:jc w:val="both"/>
        <w:rPr>
          <w:lang w:val="en-US" w:eastAsia="lv-LV"/>
        </w:rPr>
      </w:pPr>
      <w:proofErr w:type="spellStart"/>
      <w:r w:rsidRPr="00932280">
        <w:t>Svarīga</w:t>
      </w:r>
      <w:proofErr w:type="spellEnd"/>
      <w:r w:rsidRPr="00932280">
        <w:t xml:space="preserve"> </w:t>
      </w:r>
      <w:proofErr w:type="spellStart"/>
      <w:r w:rsidRPr="00932280">
        <w:rPr>
          <w:lang w:val="en-US" w:eastAsia="lv-LV"/>
        </w:rPr>
        <w:t>informācija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pacientam</w:t>
      </w:r>
      <w:proofErr w:type="spellEnd"/>
      <w:r w:rsidRPr="00932280">
        <w:rPr>
          <w:lang w:val="en-US" w:eastAsia="lv-LV"/>
        </w:rPr>
        <w:t xml:space="preserve"> par </w:t>
      </w:r>
      <w:proofErr w:type="spellStart"/>
      <w:r w:rsidRPr="00932280">
        <w:rPr>
          <w:lang w:val="en-US" w:eastAsia="lv-LV"/>
        </w:rPr>
        <w:t>zāļu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riska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mazināšanu</w:t>
      </w:r>
      <w:proofErr w:type="spellEnd"/>
      <w:r w:rsidRPr="00932280">
        <w:rPr>
          <w:lang w:val="en-US" w:eastAsia="lv-LV"/>
        </w:rPr>
        <w:t xml:space="preserve">, </w:t>
      </w:r>
      <w:proofErr w:type="spellStart"/>
      <w:r w:rsidRPr="00932280">
        <w:rPr>
          <w:lang w:val="en-US" w:eastAsia="lv-LV"/>
        </w:rPr>
        <w:t>Daurismo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Pacienta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brīdinājuma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kartīte</w:t>
      </w:r>
      <w:proofErr w:type="spellEnd"/>
      <w:r w:rsidRPr="00932280">
        <w:rPr>
          <w:lang w:val="en-US" w:eastAsia="lv-LV"/>
        </w:rPr>
        <w:t xml:space="preserve"> v.1.0 Jan </w:t>
      </w:r>
      <w:proofErr w:type="gramStart"/>
      <w:r w:rsidRPr="00932280">
        <w:rPr>
          <w:lang w:val="en-US" w:eastAsia="lv-LV"/>
        </w:rPr>
        <w:t>2021;</w:t>
      </w:r>
      <w:proofErr w:type="gramEnd"/>
    </w:p>
    <w:p w14:paraId="35A0222C" w14:textId="36AFB1F7" w:rsidR="00C460B2" w:rsidRPr="00932280" w:rsidRDefault="00C460B2" w:rsidP="00AB1D87">
      <w:pPr>
        <w:pStyle w:val="ListParagraph"/>
        <w:numPr>
          <w:ilvl w:val="0"/>
          <w:numId w:val="170"/>
        </w:numPr>
        <w:spacing w:line="256" w:lineRule="auto"/>
        <w:jc w:val="both"/>
      </w:pPr>
      <w:proofErr w:type="spellStart"/>
      <w:r w:rsidRPr="00932280">
        <w:rPr>
          <w:lang w:val="en-US" w:eastAsia="lv-LV"/>
        </w:rPr>
        <w:t>Svarīga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informācija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veselības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aprūpes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speciālistiem</w:t>
      </w:r>
      <w:proofErr w:type="spellEnd"/>
      <w:r w:rsidRPr="00932280">
        <w:rPr>
          <w:lang w:val="en-US" w:eastAsia="lv-LV"/>
        </w:rPr>
        <w:t xml:space="preserve"> par </w:t>
      </w:r>
      <w:proofErr w:type="spellStart"/>
      <w:r w:rsidRPr="00932280">
        <w:rPr>
          <w:lang w:val="en-US" w:eastAsia="lv-LV"/>
        </w:rPr>
        <w:t>zāļu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riska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mazināšanu</w:t>
      </w:r>
      <w:proofErr w:type="spellEnd"/>
      <w:r w:rsidRPr="00932280">
        <w:rPr>
          <w:lang w:val="en-US" w:eastAsia="lv-LV"/>
        </w:rPr>
        <w:t xml:space="preserve">. </w:t>
      </w:r>
      <w:proofErr w:type="spellStart"/>
      <w:r w:rsidRPr="00932280">
        <w:rPr>
          <w:lang w:val="en-US" w:eastAsia="lv-LV"/>
        </w:rPr>
        <w:t>Daurismo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pavadvēstule</w:t>
      </w:r>
      <w:proofErr w:type="spellEnd"/>
      <w:r w:rsidRPr="00932280">
        <w:rPr>
          <w:lang w:val="en-US" w:eastAsia="lv-LV"/>
        </w:rPr>
        <w:t xml:space="preserve"> </w:t>
      </w:r>
      <w:proofErr w:type="spellStart"/>
      <w:r w:rsidRPr="00932280">
        <w:rPr>
          <w:lang w:val="en-US" w:eastAsia="lv-LV"/>
        </w:rPr>
        <w:t>kartītei</w:t>
      </w:r>
      <w:proofErr w:type="spellEnd"/>
      <w:r w:rsidRPr="00932280">
        <w:rPr>
          <w:lang w:val="en-US" w:eastAsia="lv-LV"/>
        </w:rPr>
        <w:t xml:space="preserve"> v.1.0 Jan 2021</w:t>
      </w:r>
      <w:r>
        <w:rPr>
          <w:lang w:val="en-US" w:eastAsia="lv-LV"/>
        </w:rPr>
        <w:t>.</w:t>
      </w:r>
    </w:p>
    <w:p w14:paraId="1ACA7603" w14:textId="77777777" w:rsidR="00C460B2" w:rsidRDefault="00C460B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A5D1E2" w14:textId="77777777" w:rsidR="00176237" w:rsidRDefault="00176237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16FD6" w14:textId="5CF4EFF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AB1D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5F1AEB06" w14:textId="77777777" w:rsidR="0013774F" w:rsidRDefault="0013774F" w:rsidP="00AB1D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BDB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51CA3CE3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12.2020.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8E0D072" w14:textId="77777777" w:rsidR="005F5450" w:rsidRPr="005F5450" w:rsidRDefault="0013774F" w:rsidP="00AB1D87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5F5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</w:t>
      </w:r>
      <w:r w:rsidR="005F5450" w:rsidRPr="005F5450">
        <w:rPr>
          <w:rFonts w:ascii="Times New Roman" w:hAnsi="Times New Roman" w:cs="Times New Roman"/>
          <w:sz w:val="24"/>
          <w:szCs w:val="24"/>
          <w:lang w:eastAsia="de-DE"/>
        </w:rPr>
        <w:t>(versija LV/DLM/1406/0001 (5) 12/2020);</w:t>
      </w:r>
    </w:p>
    <w:p w14:paraId="5303B5B9" w14:textId="323D89A6" w:rsidR="0013774F" w:rsidRPr="005F5450" w:rsidRDefault="0013774F" w:rsidP="00AB1D87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5F5450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3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) 0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7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/20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20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)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AB1D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AB1D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AB1D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7A550976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B58F62B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17EE18C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atsaukts</w:t>
      </w:r>
      <w:r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03.2021</w:t>
      </w:r>
      <w:r w:rsidR="00995A6F"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64AADED" w14:textId="77777777" w:rsidR="0013774F" w:rsidRDefault="0013774F" w:rsidP="00AB1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AB1D87">
      <w:pPr>
        <w:pStyle w:val="ListParagraph"/>
        <w:numPr>
          <w:ilvl w:val="0"/>
          <w:numId w:val="120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AB1D87">
      <w:pPr>
        <w:pStyle w:val="ListParagraph"/>
        <w:numPr>
          <w:ilvl w:val="0"/>
          <w:numId w:val="156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proofErr w:type="spellStart"/>
      <w:r w:rsidRPr="009D3959">
        <w:t>zāļu</w:t>
      </w:r>
      <w:proofErr w:type="spellEnd"/>
      <w:r w:rsidRPr="009D3959">
        <w:t xml:space="preserve"> </w:t>
      </w:r>
      <w:proofErr w:type="spellStart"/>
      <w:proofErr w:type="gramStart"/>
      <w:r w:rsidRPr="009D3959">
        <w:t>apraksts</w:t>
      </w:r>
      <w:proofErr w:type="spellEnd"/>
      <w:r w:rsidRPr="009D3959">
        <w:t>;</w:t>
      </w:r>
      <w:proofErr w:type="gramEnd"/>
    </w:p>
    <w:p w14:paraId="25B034CD" w14:textId="1A5AE459" w:rsidR="0013774F" w:rsidRPr="009D3959" w:rsidRDefault="0013774F" w:rsidP="00AB1D87">
      <w:pPr>
        <w:pStyle w:val="ListParagraph"/>
        <w:numPr>
          <w:ilvl w:val="0"/>
          <w:numId w:val="156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proofErr w:type="spellStart"/>
      <w:r w:rsidRPr="009D3959">
        <w:rPr>
          <w:color w:val="000000"/>
          <w:lang w:eastAsia="lv-LV"/>
        </w:rPr>
        <w:t>izglītojošie</w:t>
      </w:r>
      <w:proofErr w:type="spellEnd"/>
      <w:r w:rsidRPr="009D3959">
        <w:rPr>
          <w:color w:val="000000"/>
          <w:lang w:eastAsia="lv-LV"/>
        </w:rPr>
        <w:t xml:space="preserve"> </w:t>
      </w:r>
      <w:proofErr w:type="spellStart"/>
      <w:r w:rsidRPr="009D3959">
        <w:rPr>
          <w:color w:val="000000"/>
          <w:lang w:eastAsia="lv-LV"/>
        </w:rPr>
        <w:t>materiāli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veselības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aprūpes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proofErr w:type="gramStart"/>
      <w:r w:rsidRPr="009D3959">
        <w:rPr>
          <w:bCs/>
          <w:color w:val="000000"/>
          <w:lang w:eastAsia="lv-LV"/>
        </w:rPr>
        <w:t>speciālistiem</w:t>
      </w:r>
      <w:proofErr w:type="spellEnd"/>
      <w:r w:rsidRPr="009D3959">
        <w:rPr>
          <w:bCs/>
          <w:color w:val="000000"/>
          <w:lang w:eastAsia="lv-LV"/>
        </w:rPr>
        <w:t>;</w:t>
      </w:r>
      <w:proofErr w:type="gramEnd"/>
    </w:p>
    <w:p w14:paraId="73E65378" w14:textId="699EEEF7" w:rsidR="0013774F" w:rsidRPr="009D3959" w:rsidRDefault="0013774F" w:rsidP="00AB1D87">
      <w:pPr>
        <w:pStyle w:val="ListParagraph"/>
        <w:numPr>
          <w:ilvl w:val="0"/>
          <w:numId w:val="156"/>
        </w:numPr>
        <w:autoSpaceDE w:val="0"/>
        <w:autoSpaceDN w:val="0"/>
        <w:adjustRightInd w:val="0"/>
        <w:ind w:left="993" w:firstLine="0"/>
        <w:rPr>
          <w:bCs/>
        </w:rPr>
      </w:pPr>
      <w:proofErr w:type="spellStart"/>
      <w:r w:rsidRPr="009D3959">
        <w:lastRenderedPageBreak/>
        <w:t>izglītojošie</w:t>
      </w:r>
      <w:proofErr w:type="spellEnd"/>
      <w:r w:rsidRPr="009D3959">
        <w:t xml:space="preserve"> </w:t>
      </w:r>
      <w:proofErr w:type="spellStart"/>
      <w:r w:rsidRPr="009D3959">
        <w:t>materiāli</w:t>
      </w:r>
      <w:proofErr w:type="spellEnd"/>
      <w:r w:rsidRPr="009D3959">
        <w:t xml:space="preserve"> </w:t>
      </w:r>
      <w:proofErr w:type="spellStart"/>
      <w:r w:rsidRPr="009D3959">
        <w:rPr>
          <w:bCs/>
        </w:rPr>
        <w:t>pacientam</w:t>
      </w:r>
      <w:proofErr w:type="spellEnd"/>
      <w:r w:rsidRPr="009D3959">
        <w:rPr>
          <w:bCs/>
        </w:rPr>
        <w:t>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prasugrels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) 5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 un 10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tabletes, Eli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Lilly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Nederland B.V. (saskaņots 17.03.2010):</w:t>
      </w:r>
    </w:p>
    <w:p w14:paraId="2ADF5950" w14:textId="77777777" w:rsidR="0013774F" w:rsidRPr="009D3959" w:rsidRDefault="0013774F" w:rsidP="00AB1D87">
      <w:pPr>
        <w:pStyle w:val="BodytextAgency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77777777" w:rsidR="0013774F" w:rsidRPr="009D3959" w:rsidRDefault="0013774F" w:rsidP="00AB1D87">
      <w:pPr>
        <w:pStyle w:val="BodytextAgency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29580FA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432AE85E" w:rsidR="0013774F" w:rsidRDefault="0013774F" w:rsidP="00AB1D8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ĀM_Eliquis_Versija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.0_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AB1D8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EBA544" w14:textId="77777777" w:rsidR="0013774F" w:rsidRDefault="0013774F" w:rsidP="00AB1D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6D301B76" w14:textId="77777777" w:rsidR="0013774F" w:rsidRDefault="0013774F" w:rsidP="00AB1D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ACEB577" w14:textId="77777777" w:rsidR="0013774F" w:rsidRPr="00617399" w:rsidRDefault="0013774F" w:rsidP="00AB1D87">
      <w:pPr>
        <w:pStyle w:val="ListParagraph"/>
        <w:numPr>
          <w:ilvl w:val="0"/>
          <w:numId w:val="144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AB1D87">
      <w:pPr>
        <w:pStyle w:val="ListParagraph"/>
        <w:numPr>
          <w:ilvl w:val="0"/>
          <w:numId w:val="134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2E85F1AB" w14:textId="77777777" w:rsidR="0013774F" w:rsidRPr="004D10D0" w:rsidRDefault="0013774F" w:rsidP="00AB1D87">
      <w:pPr>
        <w:pStyle w:val="ListParagraph"/>
        <w:numPr>
          <w:ilvl w:val="0"/>
          <w:numId w:val="134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proofErr w:type="gramStart"/>
      <w:r w:rsidRPr="000E3269">
        <w:rPr>
          <w:bCs/>
        </w:rPr>
        <w:t>);</w:t>
      </w:r>
      <w:proofErr w:type="gramEnd"/>
    </w:p>
    <w:p w14:paraId="4DB30CB5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lastRenderedPageBreak/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6378CE80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32E800C3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097201C0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AB1D87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AB1D87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AB1D87">
      <w:pPr>
        <w:pStyle w:val="ListParagraph"/>
        <w:numPr>
          <w:ilvl w:val="2"/>
          <w:numId w:val="26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AB1D87">
      <w:pPr>
        <w:pStyle w:val="ListParagraph"/>
        <w:numPr>
          <w:ilvl w:val="0"/>
          <w:numId w:val="148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 xml:space="preserve">Informatīvā brošūra par </w:t>
      </w:r>
      <w:proofErr w:type="spellStart"/>
      <w:r w:rsidRPr="00464943">
        <w:rPr>
          <w:lang w:val="lv-LV"/>
        </w:rPr>
        <w:t>pirmskontakta</w:t>
      </w:r>
      <w:proofErr w:type="spellEnd"/>
      <w:r w:rsidRPr="00464943">
        <w:rPr>
          <w:lang w:val="lv-LV"/>
        </w:rPr>
        <w:t xml:space="preserve"> profilaksi riskam pakļautam indivīdam, versija MYL‐LV‐18‐69 2018. gada jūlijs;</w:t>
      </w:r>
    </w:p>
    <w:p w14:paraId="2847F80B" w14:textId="77777777" w:rsidR="0013774F" w:rsidRPr="00F53118" w:rsidRDefault="0013774F" w:rsidP="00AB1D87">
      <w:pPr>
        <w:pStyle w:val="ListParagraph"/>
        <w:numPr>
          <w:ilvl w:val="0"/>
          <w:numId w:val="148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Atgādinājuma</w:t>
      </w:r>
      <w:proofErr w:type="spellEnd"/>
      <w:r w:rsidRPr="00F53118">
        <w:t xml:space="preserve"> </w:t>
      </w:r>
      <w:proofErr w:type="spellStart"/>
      <w:r w:rsidRPr="00F53118">
        <w:t>kartīte</w:t>
      </w:r>
      <w:proofErr w:type="spellEnd"/>
      <w:r w:rsidRPr="00F53118">
        <w:t xml:space="preserve"> </w:t>
      </w:r>
      <w:proofErr w:type="spellStart"/>
      <w:r w:rsidRPr="00F53118">
        <w:t>pacientam</w:t>
      </w:r>
      <w:proofErr w:type="spellEnd"/>
      <w:r w:rsidRPr="00F53118">
        <w:t xml:space="preserve"> par Emtricitabine/Tenofovir disoproxil Mylan </w:t>
      </w:r>
      <w:proofErr w:type="spellStart"/>
      <w:r w:rsidRPr="00F53118">
        <w:t>lietošanu</w:t>
      </w:r>
      <w:proofErr w:type="spellEnd"/>
      <w:r w:rsidRPr="00F53118">
        <w:t xml:space="preserve">, </w:t>
      </w:r>
      <w:proofErr w:type="spellStart"/>
      <w:r w:rsidRPr="00F53118">
        <w:t>versija</w:t>
      </w:r>
      <w:proofErr w:type="spellEnd"/>
      <w:r w:rsidRPr="00F53118">
        <w:t xml:space="preserve"> MYL‐LV‐18‐70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36E3D673" w14:textId="77777777" w:rsidR="0013774F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</w:t>
      </w:r>
      <w:proofErr w:type="gramStart"/>
      <w:r>
        <w:t>);</w:t>
      </w:r>
      <w:proofErr w:type="gramEnd"/>
    </w:p>
    <w:p w14:paraId="5DA6C47B" w14:textId="77777777" w:rsidR="0013774F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61CC8031" w14:textId="77777777" w:rsidR="0013774F" w:rsidRPr="00A81DFB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lastRenderedPageBreak/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AB1D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AB1D87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AB1D87">
      <w:pPr>
        <w:pStyle w:val="ListParagraph"/>
        <w:numPr>
          <w:ilvl w:val="2"/>
          <w:numId w:val="28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AB1D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AB1D87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AB1D87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AB1D87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 xml:space="preserve">nformatīvā brošūra par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profilaksi zāļu parakstītājiem “Svarīga drošuma informācija zāļu parakstītājiem par </w:t>
      </w:r>
      <w:proofErr w:type="spellStart"/>
      <w:r>
        <w:rPr>
          <w:lang w:val="lv-LV"/>
        </w:rPr>
        <w:t>Emtricitabine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Tenofovir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disoproxil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Zentiva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AB1D87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5AEC71B0" w:rsidR="0013774F" w:rsidRPr="00B95D1D" w:rsidRDefault="0013774F" w:rsidP="00AB1D87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69526A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5D8DA462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91E"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A/S, Dānija (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28AA6AC3" w14:textId="77777777" w:rsidR="003D691E" w:rsidRPr="003D691E" w:rsidRDefault="003D691E" w:rsidP="00AB1D87">
      <w:pPr>
        <w:pStyle w:val="Default"/>
        <w:numPr>
          <w:ilvl w:val="0"/>
          <w:numId w:val="166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lastRenderedPageBreak/>
        <w:t xml:space="preserve">Svarīga informācija veselības aprūpes speciālistiem par zāļu riska mazināšanu. </w:t>
      </w:r>
      <w:proofErr w:type="spellStart"/>
      <w:r w:rsidRPr="003D691E">
        <w:rPr>
          <w:rFonts w:eastAsia="SimSun"/>
          <w:snapToGrid w:val="0"/>
          <w:lang w:val="lv-LV" w:eastAsia="en-GB"/>
        </w:rPr>
        <w:t>Entyvio</w:t>
      </w:r>
      <w:proofErr w:type="spellEnd"/>
      <w:r w:rsidRPr="003D691E">
        <w:rPr>
          <w:rFonts w:eastAsia="SimSun"/>
          <w:snapToGrid w:val="0"/>
          <w:lang w:val="lv-LV" w:eastAsia="en-GB"/>
        </w:rPr>
        <w:t xml:space="preserve"> (</w:t>
      </w:r>
      <w:proofErr w:type="spellStart"/>
      <w:r w:rsidRPr="003D691E">
        <w:rPr>
          <w:rFonts w:eastAsia="SimSun"/>
          <w:snapToGrid w:val="0"/>
          <w:lang w:val="lv-LV" w:eastAsia="en-GB"/>
        </w:rPr>
        <w:t>vedolizumaba</w:t>
      </w:r>
      <w:proofErr w:type="spellEnd"/>
      <w:r w:rsidRPr="003D691E">
        <w:rPr>
          <w:rFonts w:eastAsia="SimSun"/>
          <w:snapToGrid w:val="0"/>
          <w:lang w:val="lv-LV" w:eastAsia="en-GB"/>
        </w:rPr>
        <w:t xml:space="preserve">) izrakstīšana: lietošanas  risks pacientiem ar čūlaino kolītu un Krona slimību, </w:t>
      </w:r>
      <w:r w:rsidRPr="003D691E">
        <w:rPr>
          <w:lang w:val="lv-LV"/>
        </w:rPr>
        <w:t>VV-MEDMAT-29966;</w:t>
      </w:r>
    </w:p>
    <w:p w14:paraId="2CCE902F" w14:textId="3AEF7895" w:rsidR="003D691E" w:rsidRPr="003D691E" w:rsidRDefault="003D691E" w:rsidP="00AB1D87">
      <w:pPr>
        <w:pStyle w:val="Default"/>
        <w:numPr>
          <w:ilvl w:val="0"/>
          <w:numId w:val="166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t xml:space="preserve">Svarīga informācija pacientam par zāļu riska mazināšanu. </w:t>
      </w:r>
      <w:proofErr w:type="spellStart"/>
      <w:r w:rsidRPr="003D691E">
        <w:rPr>
          <w:lang w:val="lv-LV"/>
        </w:rPr>
        <w:t>Entyvio</w:t>
      </w:r>
      <w:proofErr w:type="spellEnd"/>
      <w:r w:rsidRPr="003D691E">
        <w:rPr>
          <w:lang w:val="lv-LV"/>
        </w:rPr>
        <w:t xml:space="preserve"> (</w:t>
      </w:r>
      <w:proofErr w:type="spellStart"/>
      <w:r w:rsidRPr="003D691E">
        <w:rPr>
          <w:lang w:val="lv-LV"/>
        </w:rPr>
        <w:t>vedolizumabs</w:t>
      </w:r>
      <w:proofErr w:type="spellEnd"/>
      <w:r w:rsidRPr="003D691E">
        <w:rPr>
          <w:lang w:val="lv-LV"/>
        </w:rPr>
        <w:t>) pacienta karte, VV-MEDMAT-29967</w:t>
      </w:r>
      <w:r>
        <w:rPr>
          <w:lang w:val="lv-LV"/>
        </w:rPr>
        <w:t>.</w:t>
      </w:r>
    </w:p>
    <w:p w14:paraId="6FE707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24CB387F" w14:textId="77777777" w:rsidR="0013774F" w:rsidRDefault="0013774F" w:rsidP="00AB1D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AB1D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722A6547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5F7C4449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3D548926" w14:textId="77777777" w:rsidR="0013774F" w:rsidRPr="00B83EAB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5C4CB0AB" w14:textId="77777777" w:rsidR="0013774F" w:rsidRDefault="0013774F" w:rsidP="00AB1D8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052280E4" w14:textId="77777777" w:rsidR="0013774F" w:rsidRDefault="0013774F" w:rsidP="0013774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1.0;</w:t>
      </w:r>
      <w:proofErr w:type="gramEnd"/>
    </w:p>
    <w:p w14:paraId="17B76C78" w14:textId="77777777" w:rsidR="0013774F" w:rsidRPr="007136F5" w:rsidRDefault="0013774F" w:rsidP="00AB1D8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87518D" w:rsidRDefault="00AB07B7" w:rsidP="00AB1D87">
      <w:pPr>
        <w:pStyle w:val="ListParagraph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veselības aprūpes speciālistam par zāļu riska mazināšanu, versija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87518D" w:rsidRDefault="00AB07B7" w:rsidP="00AB1D87">
      <w:pPr>
        <w:pStyle w:val="ListParagraph"/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pacientam par zāļu riska mazināšanu, versija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Grūtniecības nepieļaušanas programma: informācija pacientam, kurš lieto 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AB1D87">
      <w:pPr>
        <w:pStyle w:val="ListParagraph"/>
        <w:numPr>
          <w:ilvl w:val="0"/>
          <w:numId w:val="118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5869982D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Esbriet</w:t>
      </w:r>
      <w:proofErr w:type="spellEnd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4869F3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(atjaunināts 2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D83D8BB" w14:textId="1F43152E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(versija EDM-ESB-II66-Oct2020);</w:t>
      </w:r>
    </w:p>
    <w:p w14:paraId="161E250D" w14:textId="2B67E172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 w:rsidRPr="004869F3">
        <w:rPr>
          <w:rFonts w:ascii="Times New Roman" w:hAnsi="Times New Roman" w:cs="Times New Roman"/>
          <w:sz w:val="24"/>
          <w:szCs w:val="24"/>
        </w:rPr>
        <w:t xml:space="preserve"> </w:t>
      </w:r>
      <w:r w:rsidR="004869F3" w:rsidRPr="004869F3">
        <w:rPr>
          <w:rFonts w:ascii="Times New Roman" w:hAnsi="Times New Roman" w:cs="Times New Roman"/>
          <w:sz w:val="24"/>
          <w:szCs w:val="24"/>
        </w:rPr>
        <w:t>(versija</w:t>
      </w:r>
      <w:r w:rsidR="004869F3" w:rsidRPr="004869F3">
        <w:rPr>
          <w:rFonts w:ascii="Times New Roman" w:hAnsi="Times New Roman" w:cs="Times New Roman"/>
          <w:sz w:val="24"/>
          <w:szCs w:val="24"/>
          <w:lang w:val="en-GB"/>
        </w:rPr>
        <w:t xml:space="preserve"> EDM-ESB-II66-Oct2020</w:t>
      </w:r>
      <w:r w:rsidR="004869F3" w:rsidRPr="004869F3">
        <w:rPr>
          <w:rFonts w:ascii="Times New Roman" w:hAnsi="Times New Roman" w:cs="Times New Roman"/>
          <w:sz w:val="24"/>
          <w:szCs w:val="24"/>
        </w:rPr>
        <w:t>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8D11489" w14:textId="77777777" w:rsidR="0013774F" w:rsidRDefault="0013774F" w:rsidP="00AB1D8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AB1D8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AB1D8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01A293A3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325CCB0C" w14:textId="77777777" w:rsidR="00A057A1" w:rsidRPr="00FB3C64" w:rsidRDefault="00A057A1" w:rsidP="00A057A1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FB3C64">
        <w:rPr>
          <w:lang w:val="en-US"/>
        </w:rPr>
        <w:t>Svarīga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informācija</w:t>
      </w:r>
      <w:proofErr w:type="spellEnd"/>
      <w:r w:rsidRPr="00FB3C64">
        <w:rPr>
          <w:lang w:val="en-US"/>
        </w:rPr>
        <w:t xml:space="preserve"> </w:t>
      </w:r>
      <w:r w:rsidRPr="00FB3C64">
        <w:t>veselības aprūpes speciālistiem par zāļu riska mazināšanu</w:t>
      </w:r>
      <w:r w:rsidRPr="00FB3C64">
        <w:rPr>
          <w:lang w:val="en-US"/>
        </w:rPr>
        <w:t xml:space="preserve">. </w:t>
      </w:r>
      <w:proofErr w:type="spellStart"/>
      <w:r w:rsidRPr="00FB3C64">
        <w:rPr>
          <w:lang w:val="en-US"/>
        </w:rPr>
        <w:t>Deferasiroksa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dozēšanas</w:t>
      </w:r>
      <w:proofErr w:type="spellEnd"/>
      <w:r w:rsidRPr="00FB3C64">
        <w:rPr>
          <w:lang w:val="en-US"/>
        </w:rPr>
        <w:t xml:space="preserve"> un </w:t>
      </w:r>
      <w:proofErr w:type="spellStart"/>
      <w:r w:rsidRPr="00FB3C64">
        <w:rPr>
          <w:lang w:val="en-US"/>
        </w:rPr>
        <w:t>bioloģiskās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uzraudzības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algoritms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ārstam</w:t>
      </w:r>
      <w:proofErr w:type="spellEnd"/>
      <w:r w:rsidRPr="00FB3C64">
        <w:rPr>
          <w:lang w:val="en-US"/>
        </w:rPr>
        <w:t xml:space="preserve">, </w:t>
      </w:r>
      <w:proofErr w:type="spellStart"/>
      <w:r w:rsidRPr="00FB3C64">
        <w:rPr>
          <w:lang w:val="en-US"/>
        </w:rPr>
        <w:t>versija</w:t>
      </w:r>
      <w:proofErr w:type="spellEnd"/>
      <w:r w:rsidRPr="00FB3C64">
        <w:rPr>
          <w:lang w:val="en-US"/>
        </w:rPr>
        <w:t xml:space="preserve"> </w:t>
      </w:r>
      <w:bookmarkStart w:id="5" w:name="_Hlk17117529"/>
      <w:proofErr w:type="gramStart"/>
      <w:r w:rsidRPr="00FB3C64">
        <w:rPr>
          <w:lang w:val="en-US"/>
        </w:rPr>
        <w:t>1.1</w:t>
      </w:r>
      <w:r>
        <w:rPr>
          <w:lang w:val="en-US"/>
        </w:rPr>
        <w:t>;</w:t>
      </w:r>
      <w:proofErr w:type="gramEnd"/>
      <w:r w:rsidRPr="00FB3C64">
        <w:rPr>
          <w:lang w:val="en-US"/>
        </w:rPr>
        <w:t xml:space="preserve"> </w:t>
      </w:r>
      <w:bookmarkEnd w:id="5"/>
    </w:p>
    <w:p w14:paraId="2CE64FD8" w14:textId="77777777" w:rsidR="00A057A1" w:rsidRPr="00FB3C64" w:rsidRDefault="00A057A1" w:rsidP="00A057A1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  <w:rPr>
          <w:bCs/>
          <w:lang w:val="en-US"/>
        </w:rPr>
      </w:pPr>
      <w:proofErr w:type="spellStart"/>
      <w:r w:rsidRPr="00FB3C64">
        <w:rPr>
          <w:lang w:val="en-US"/>
        </w:rPr>
        <w:t>Svarīga</w:t>
      </w:r>
      <w:proofErr w:type="spellEnd"/>
      <w:r w:rsidRPr="00FB3C64">
        <w:rPr>
          <w:lang w:val="en-US"/>
        </w:rPr>
        <w:t xml:space="preserve"> </w:t>
      </w:r>
      <w:proofErr w:type="spellStart"/>
      <w:r w:rsidRPr="00FB3C64">
        <w:rPr>
          <w:lang w:val="en-US"/>
        </w:rPr>
        <w:t>informācija</w:t>
      </w:r>
      <w:proofErr w:type="spellEnd"/>
      <w:r w:rsidRPr="00FB3C64">
        <w:rPr>
          <w:lang w:val="en-US"/>
        </w:rPr>
        <w:t xml:space="preserve"> </w:t>
      </w:r>
      <w:r w:rsidRPr="00FB3C64">
        <w:t>veselības aprūpes speciālistiem par zāļu riska mazināšanu</w:t>
      </w:r>
      <w:r w:rsidRPr="00FB3C64">
        <w:rPr>
          <w:lang w:val="en-US"/>
        </w:rPr>
        <w:t xml:space="preserve">. </w:t>
      </w:r>
      <w:r w:rsidRPr="00FB3C64">
        <w:rPr>
          <w:bCs/>
        </w:rPr>
        <w:t xml:space="preserve">Svarīga informācija, kas jāatceras par ārstēšanu ar </w:t>
      </w:r>
      <w:proofErr w:type="spellStart"/>
      <w:r w:rsidRPr="00FB3C64">
        <w:rPr>
          <w:bCs/>
        </w:rPr>
        <w:t>deferaziroksu</w:t>
      </w:r>
      <w:proofErr w:type="spellEnd"/>
      <w:r w:rsidRPr="00FB3C64">
        <w:rPr>
          <w:bCs/>
        </w:rPr>
        <w:t>, versija 8.0</w:t>
      </w:r>
      <w:r>
        <w:rPr>
          <w:bCs/>
        </w:rPr>
        <w:t>;</w:t>
      </w:r>
      <w:r w:rsidRPr="00FB3C64">
        <w:rPr>
          <w:bCs/>
          <w:lang w:val="en-US"/>
        </w:rPr>
        <w:t xml:space="preserve"> </w:t>
      </w:r>
    </w:p>
    <w:p w14:paraId="1A91EC0F" w14:textId="77777777" w:rsidR="00A057A1" w:rsidRPr="00FB3C64" w:rsidRDefault="00A057A1" w:rsidP="00A057A1">
      <w:pPr>
        <w:pStyle w:val="ListParagraph"/>
        <w:numPr>
          <w:ilvl w:val="0"/>
          <w:numId w:val="32"/>
        </w:numPr>
        <w:ind w:left="1503"/>
        <w:rPr>
          <w:bCs/>
          <w:lang w:val="lv-LV"/>
        </w:rPr>
      </w:pPr>
      <w:r w:rsidRPr="00FB3C64">
        <w:rPr>
          <w:bCs/>
          <w:lang w:val="lv-LV"/>
        </w:rPr>
        <w:t xml:space="preserve">Svarīga informācija pacientam par zāļu riska mazināšanu. Zāļu </w:t>
      </w:r>
      <w:proofErr w:type="spellStart"/>
      <w:r w:rsidRPr="00FB3C64">
        <w:rPr>
          <w:bCs/>
          <w:lang w:val="lv-LV"/>
        </w:rPr>
        <w:t>Exjade</w:t>
      </w:r>
      <w:proofErr w:type="spellEnd"/>
      <w:r w:rsidRPr="00FB3C64">
        <w:rPr>
          <w:bCs/>
          <w:lang w:val="lv-LV"/>
        </w:rPr>
        <w:t xml:space="preserve"> (</w:t>
      </w:r>
      <w:proofErr w:type="spellStart"/>
      <w:r w:rsidRPr="00FB3C64">
        <w:rPr>
          <w:bCs/>
          <w:lang w:val="lv-LV"/>
        </w:rPr>
        <w:t>deferasiroxum</w:t>
      </w:r>
      <w:proofErr w:type="spellEnd"/>
      <w:r w:rsidRPr="00FB3C64">
        <w:rPr>
          <w:bCs/>
          <w:lang w:val="lv-LV"/>
        </w:rPr>
        <w:t>) rokasgrāmata, versija 8.0</w:t>
      </w:r>
      <w:r>
        <w:rPr>
          <w:bCs/>
          <w:lang w:val="lv-LV"/>
        </w:rPr>
        <w:t>.</w:t>
      </w:r>
    </w:p>
    <w:p w14:paraId="51F4A41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AB1D87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33BFD6B2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(atjaunināts 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39935" w14:textId="77777777" w:rsidR="0013774F" w:rsidRDefault="0013774F" w:rsidP="00AB1D87">
      <w:pPr>
        <w:pStyle w:val="ListParagraph"/>
        <w:numPr>
          <w:ilvl w:val="0"/>
          <w:numId w:val="34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14:paraId="41E94E56" w14:textId="77777777" w:rsidR="0013774F" w:rsidRDefault="0013774F" w:rsidP="00AB1D87">
      <w:pPr>
        <w:pStyle w:val="ListParagraph"/>
        <w:numPr>
          <w:ilvl w:val="0"/>
          <w:numId w:val="34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6.0 (01/2020);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6BF2E77B" w:rsidR="0013774F" w:rsidRPr="0087518D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fibrinogenum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thrombinum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>) 50-90 mg/ml, 800-1200 IU/ml, šķīdumi audu līmes iegūšanai(</w:t>
      </w:r>
      <w:r w:rsidR="0087518D" w:rsidRPr="0087518D">
        <w:rPr>
          <w:rFonts w:ascii="Times New Roman" w:eastAsia="Times New Roman" w:hAnsi="Times New Roman" w:cs="Times New Roman"/>
          <w:sz w:val="24"/>
          <w:szCs w:val="24"/>
        </w:rPr>
        <w:t>atjaunināt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s 06.01.2021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9E07EB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14:paraId="26A27A45" w14:textId="448F77F2" w:rsidR="0013774F" w:rsidRPr="00167196" w:rsidRDefault="0013774F" w:rsidP="00AB1D87">
      <w:pPr>
        <w:pStyle w:val="ListParagraph"/>
        <w:numPr>
          <w:ilvl w:val="0"/>
          <w:numId w:val="142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</w:t>
      </w:r>
      <w:proofErr w:type="gramStart"/>
      <w:r>
        <w:t xml:space="preserve">   </w:t>
      </w:r>
      <w:r w:rsidRPr="00167196">
        <w:t>(</w:t>
      </w:r>
      <w:proofErr w:type="gramEnd"/>
      <w:r>
        <w:t>APM-0087_LV)</w:t>
      </w:r>
      <w:r w:rsidR="0087518D">
        <w:t>, 2020Dec.</w:t>
      </w:r>
    </w:p>
    <w:p w14:paraId="42396FE0" w14:textId="4EF95947" w:rsidR="0013774F" w:rsidRPr="00167196" w:rsidRDefault="0013774F" w:rsidP="00AB1D87">
      <w:pPr>
        <w:pStyle w:val="ListParagraph"/>
        <w:numPr>
          <w:ilvl w:val="0"/>
          <w:numId w:val="142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  <w:r w:rsidR="0087518D">
        <w:t>, 2020Dec.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AB1D87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6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6"/>
    </w:p>
    <w:p w14:paraId="2CC11E97" w14:textId="77777777" w:rsidR="0013774F" w:rsidRPr="002C6634" w:rsidRDefault="0013774F" w:rsidP="00AB1D87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lastRenderedPageBreak/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FC1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7E668C82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1A7591D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6D13CF2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</w:t>
      </w:r>
      <w:bookmarkStart w:id="7" w:name="_Hlk67567392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25.03.2021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1F6CE273" w14:textId="78A34D7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speciālistiem:</w:t>
      </w:r>
    </w:p>
    <w:p w14:paraId="07B02201" w14:textId="662E877C" w:rsidR="00380058" w:rsidRPr="00380058" w:rsidRDefault="00380058" w:rsidP="00380058">
      <w:pPr>
        <w:pStyle w:val="ListParagraph"/>
        <w:numPr>
          <w:ilvl w:val="0"/>
          <w:numId w:val="180"/>
        </w:numPr>
        <w:spacing w:line="276" w:lineRule="auto"/>
      </w:pPr>
      <w:proofErr w:type="spellStart"/>
      <w:r w:rsidRPr="00380058">
        <w:rPr>
          <w:rFonts w:eastAsia="Verdana"/>
          <w:lang w:eastAsia="lv-LV" w:bidi="lv-LV"/>
        </w:rPr>
        <w:t>Izglītojošais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materiāls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veselības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aprūpes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speciālistam</w:t>
      </w:r>
      <w:proofErr w:type="spellEnd"/>
      <w:r w:rsidRPr="00380058">
        <w:rPr>
          <w:rFonts w:eastAsia="Verdana"/>
          <w:lang w:eastAsia="lv-LV" w:bidi="lv-LV"/>
        </w:rPr>
        <w:t xml:space="preserve">, </w:t>
      </w:r>
      <w:proofErr w:type="spellStart"/>
      <w:r w:rsidRPr="00380058">
        <w:rPr>
          <w:rFonts w:eastAsia="Verdana"/>
          <w:lang w:eastAsia="lv-LV" w:bidi="lv-LV"/>
        </w:rPr>
        <w:t>lai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informētu</w:t>
      </w:r>
      <w:proofErr w:type="spellEnd"/>
      <w:r w:rsidRPr="00380058">
        <w:rPr>
          <w:rFonts w:eastAsia="Verdana"/>
          <w:lang w:eastAsia="lv-LV" w:bidi="lv-LV"/>
        </w:rPr>
        <w:t xml:space="preserve"> par </w:t>
      </w:r>
      <w:proofErr w:type="spellStart"/>
      <w:r w:rsidRPr="00380058">
        <w:rPr>
          <w:rFonts w:eastAsia="Verdana"/>
          <w:lang w:eastAsia="lv-LV" w:bidi="lv-LV"/>
        </w:rPr>
        <w:t>ārpusdzemdes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grūtniecības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risku</w:t>
      </w:r>
      <w:proofErr w:type="spellEnd"/>
      <w:r w:rsidRPr="00380058">
        <w:rPr>
          <w:rFonts w:eastAsia="Verdana"/>
          <w:lang w:eastAsia="lv-LV" w:bidi="lv-LV"/>
        </w:rPr>
        <w:t xml:space="preserve">, un </w:t>
      </w:r>
      <w:proofErr w:type="spellStart"/>
      <w:r w:rsidRPr="00380058">
        <w:rPr>
          <w:rFonts w:eastAsia="Verdana"/>
          <w:lang w:eastAsia="lv-LV" w:bidi="lv-LV"/>
        </w:rPr>
        <w:t>kā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atšķirt</w:t>
      </w:r>
      <w:proofErr w:type="spellEnd"/>
      <w:r w:rsidRPr="00380058">
        <w:rPr>
          <w:rFonts w:eastAsia="Verdana"/>
          <w:lang w:eastAsia="lv-LV" w:bidi="lv-LV"/>
        </w:rPr>
        <w:t xml:space="preserve"> Bayer </w:t>
      </w:r>
      <w:proofErr w:type="spellStart"/>
      <w:r w:rsidRPr="00380058">
        <w:rPr>
          <w:rFonts w:eastAsia="Verdana"/>
          <w:lang w:eastAsia="lv-LV" w:bidi="lv-LV"/>
        </w:rPr>
        <w:t>levonorgestrelu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saturošas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intrauterīnas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sistēmas</w:t>
      </w:r>
      <w:proofErr w:type="spellEnd"/>
      <w:r w:rsidRPr="00380058">
        <w:rPr>
          <w:rFonts w:eastAsia="Verdana"/>
          <w:lang w:eastAsia="lv-LV" w:bidi="lv-LV"/>
        </w:rPr>
        <w:t xml:space="preserve"> (IUS)</w:t>
      </w:r>
      <w:r>
        <w:rPr>
          <w:rFonts w:eastAsia="Verdana"/>
          <w:lang w:eastAsia="lv-LV" w:bidi="lv-LV"/>
        </w:rPr>
        <w:t xml:space="preserve">, </w:t>
      </w:r>
      <w:proofErr w:type="spellStart"/>
      <w:r w:rsidRPr="00380058">
        <w:rPr>
          <w:rFonts w:eastAsia="Verdana"/>
          <w:lang w:eastAsia="lv-LV" w:bidi="lv-LV"/>
        </w:rPr>
        <w:t>Versija</w:t>
      </w:r>
      <w:proofErr w:type="spellEnd"/>
      <w:r w:rsidRPr="00380058">
        <w:rPr>
          <w:rFonts w:eastAsia="Verdana"/>
          <w:lang w:eastAsia="lv-LV" w:bidi="lv-LV"/>
        </w:rPr>
        <w:t xml:space="preserve"> Nr. 3.0 (03/2021)</w:t>
      </w:r>
    </w:p>
    <w:bookmarkEnd w:id="7"/>
    <w:p w14:paraId="22109191" w14:textId="77777777" w:rsidR="00380058" w:rsidRPr="00380058" w:rsidRDefault="00380058" w:rsidP="00380058">
      <w:pPr>
        <w:spacing w:line="276" w:lineRule="auto"/>
      </w:pPr>
    </w:p>
    <w:p w14:paraId="6233B452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06.01.2020):</w:t>
      </w:r>
    </w:p>
    <w:p w14:paraId="74999257" w14:textId="77777777" w:rsidR="0013774F" w:rsidRPr="004D10D0" w:rsidRDefault="0013774F" w:rsidP="00AB1D87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8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AB1D87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AB1D87">
      <w:pPr>
        <w:pStyle w:val="ListParagraph"/>
        <w:numPr>
          <w:ilvl w:val="0"/>
          <w:numId w:val="133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lastRenderedPageBreak/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8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247CA12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2380E528" w14:textId="77777777" w:rsidR="003F6959" w:rsidRPr="003F6959" w:rsidRDefault="003F6959" w:rsidP="003F6959">
      <w:pPr>
        <w:numPr>
          <w:ilvl w:val="0"/>
          <w:numId w:val="14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Izglītojošais materiāls veselības aprūpes speciālistam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fingolimodum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 ordinētājam pārbaudāmo kontroljautājumu veidlapa: Rekomendāciju apkopojums”, versija 6.0;</w:t>
      </w:r>
    </w:p>
    <w:p w14:paraId="22E3ECE6" w14:textId="77777777" w:rsidR="003F6959" w:rsidRPr="003F6959" w:rsidRDefault="003F6959" w:rsidP="003F6959">
      <w:pPr>
        <w:numPr>
          <w:ilvl w:val="0"/>
          <w:numId w:val="3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“Pacienta vadlīnijas: Svarīga informācija, kas jāatceras, ārstējoties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”, versija 9.0;</w:t>
      </w:r>
    </w:p>
    <w:p w14:paraId="1D040454" w14:textId="77777777" w:rsidR="003F6959" w:rsidRPr="003F6959" w:rsidRDefault="003F6959" w:rsidP="003F6959">
      <w:pPr>
        <w:numPr>
          <w:ilvl w:val="0"/>
          <w:numId w:val="3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“Svarīga informācija, kas jāatceras par ārstēšanu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fingolimodu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), Vadlīnijas vecākiem un aprūpētājiem”, versija 3.0;</w:t>
      </w:r>
    </w:p>
    <w:p w14:paraId="3E26DD03" w14:textId="77777777" w:rsidR="003F6959" w:rsidRPr="003F6959" w:rsidRDefault="003F6959" w:rsidP="003F6959">
      <w:pPr>
        <w:numPr>
          <w:ilvl w:val="0"/>
          <w:numId w:val="3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9" w:name="_Hlk22725512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fingolimods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): pacienta grūtniecības atgādinājuma kartīte”, versija 2.0.</w:t>
      </w:r>
    </w:p>
    <w:bookmarkEnd w:id="9"/>
    <w:p w14:paraId="74161570" w14:textId="77777777" w:rsidR="0013774F" w:rsidRDefault="0013774F" w:rsidP="003F6959">
      <w:pPr>
        <w:pStyle w:val="NormalWeb"/>
        <w:spacing w:before="0" w:beforeAutospacing="0" w:after="0" w:afterAutospacing="0"/>
        <w:ind w:left="284" w:firstLine="142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77777777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10" w:name="_Hlk536180811"/>
      <w:bookmarkStart w:id="11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0A006BE6" w14:textId="77777777" w:rsidR="0013774F" w:rsidRDefault="0013774F" w:rsidP="00AB1D87">
      <w:pPr>
        <w:pStyle w:val="ListParagraph"/>
        <w:numPr>
          <w:ilvl w:val="0"/>
          <w:numId w:val="140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4D38192A" w14:textId="77777777" w:rsidR="0013774F" w:rsidRPr="00D33A42" w:rsidRDefault="0013774F" w:rsidP="00AB1D87">
      <w:pPr>
        <w:pStyle w:val="ListParagraph"/>
        <w:numPr>
          <w:ilvl w:val="0"/>
          <w:numId w:val="140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77777777" w:rsidR="0013774F" w:rsidRDefault="0013774F" w:rsidP="00AB1D87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C3E311" w14:textId="77777777" w:rsidR="0013774F" w:rsidRPr="00D33A42" w:rsidRDefault="0013774F" w:rsidP="00AB1D87">
      <w:pPr>
        <w:pStyle w:val="ListParagraph"/>
        <w:numPr>
          <w:ilvl w:val="0"/>
          <w:numId w:val="140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5EEAF6CA" w14:textId="77777777" w:rsidR="0013774F" w:rsidRDefault="0013774F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10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AB1D87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AB1D87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1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7A4AF614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663E7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Lielbritānija, versija 5.0 (</w:t>
      </w:r>
      <w:bookmarkStart w:id="12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2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08ADF" w14:textId="77777777" w:rsidR="0013774F" w:rsidRDefault="0013774F" w:rsidP="00AB1D87">
      <w:pPr>
        <w:numPr>
          <w:ilvl w:val="0"/>
          <w:numId w:val="38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Pacienta brīdinājuma kartīte pieaugušajiem;</w:t>
      </w:r>
    </w:p>
    <w:p w14:paraId="329C8054" w14:textId="77777777" w:rsidR="0013774F" w:rsidRPr="00D825C2" w:rsidRDefault="0013774F" w:rsidP="00AB1D87">
      <w:pPr>
        <w:pStyle w:val="ListParagraph"/>
        <w:numPr>
          <w:ilvl w:val="0"/>
          <w:numId w:val="38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14:paraId="38F3DEE6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AB1D87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AB1D87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689DF8A6" w14:textId="77777777" w:rsidR="0013774F" w:rsidRDefault="0013774F" w:rsidP="00AB1D87">
      <w:pPr>
        <w:pStyle w:val="ListParagraph"/>
        <w:numPr>
          <w:ilvl w:val="0"/>
          <w:numId w:val="39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3A90A17D" w14:textId="77777777" w:rsidR="0013774F" w:rsidRPr="00D357DE" w:rsidRDefault="0013774F" w:rsidP="00AB1D8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77777777" w:rsidR="0013774F" w:rsidRPr="00D357DE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3674BACD" w14:textId="77777777" w:rsidR="0013774F" w:rsidRPr="00D357DE" w:rsidRDefault="0013774F" w:rsidP="00AB1D87">
      <w:pPr>
        <w:pStyle w:val="ListParagraph"/>
        <w:numPr>
          <w:ilvl w:val="0"/>
          <w:numId w:val="143"/>
        </w:numPr>
        <w:spacing w:line="276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372F1866" w14:textId="77777777" w:rsidR="0013774F" w:rsidRDefault="0013774F" w:rsidP="00AB1D87">
      <w:pPr>
        <w:pStyle w:val="ListParagraph"/>
        <w:numPr>
          <w:ilvl w:val="0"/>
          <w:numId w:val="143"/>
        </w:numPr>
        <w:spacing w:line="276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24C7D74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AB1D8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39876057" w14:textId="77777777" w:rsidR="0013774F" w:rsidRDefault="0013774F" w:rsidP="00AB1D8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1987C4F2" w14:textId="77777777" w:rsidR="0013774F" w:rsidRDefault="0013774F" w:rsidP="00AB1D8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28.01.2020): </w:t>
      </w:r>
    </w:p>
    <w:p w14:paraId="177160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77777777" w:rsidR="0013774F" w:rsidRPr="007955DB" w:rsidRDefault="0013774F" w:rsidP="00AB1D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“Informācijas karte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lietošanas drošumu” v.5.;</w:t>
      </w:r>
    </w:p>
    <w:p w14:paraId="250CD7AD" w14:textId="77777777" w:rsidR="0013774F" w:rsidRPr="007955DB" w:rsidRDefault="0013774F" w:rsidP="00AB1D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“Ieteikumi par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Increlex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devam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AB1D87">
      <w:pPr>
        <w:pStyle w:val="Bodytext40"/>
        <w:numPr>
          <w:ilvl w:val="0"/>
          <w:numId w:val="153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smagu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primāru</w:t>
      </w:r>
      <w:proofErr w:type="spellEnd"/>
      <w:r>
        <w:rPr>
          <w:color w:val="000000"/>
          <w:sz w:val="24"/>
          <w:szCs w:val="24"/>
          <w:lang w:bidi="lv-LV"/>
        </w:rPr>
        <w:t xml:space="preserve"> IGF-1 </w:t>
      </w:r>
      <w:proofErr w:type="spellStart"/>
      <w:r>
        <w:rPr>
          <w:color w:val="000000"/>
          <w:sz w:val="24"/>
          <w:szCs w:val="24"/>
          <w:lang w:bidi="lv-LV"/>
        </w:rPr>
        <w:t>deficītu</w:t>
      </w:r>
      <w:proofErr w:type="spellEnd"/>
      <w:r>
        <w:rPr>
          <w:color w:val="000000"/>
          <w:sz w:val="24"/>
          <w:szCs w:val="24"/>
          <w:lang w:bidi="lv-LV"/>
        </w:rPr>
        <w:t xml:space="preserve"> un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>”, v.5</w:t>
      </w:r>
      <w:proofErr w:type="gramStart"/>
      <w:r>
        <w:rPr>
          <w:color w:val="000000"/>
          <w:sz w:val="24"/>
          <w:szCs w:val="24"/>
          <w:lang w:bidi="lv-LV"/>
        </w:rPr>
        <w:t>.;</w:t>
      </w:r>
      <w:proofErr w:type="gramEnd"/>
    </w:p>
    <w:p w14:paraId="72A4CCFE" w14:textId="77777777" w:rsidR="0013774F" w:rsidRPr="005453C5" w:rsidRDefault="0013774F" w:rsidP="00AB1D87">
      <w:pPr>
        <w:pStyle w:val="Bodytext40"/>
        <w:numPr>
          <w:ilvl w:val="0"/>
          <w:numId w:val="153"/>
        </w:numPr>
        <w:shd w:val="clear" w:color="auto" w:fill="auto"/>
        <w:spacing w:line="240" w:lineRule="auto"/>
        <w:jc w:val="left"/>
      </w:pP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Increlex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devām</w:t>
      </w:r>
      <w:proofErr w:type="spellEnd"/>
      <w:r>
        <w:rPr>
          <w:color w:val="000000"/>
          <w:sz w:val="24"/>
          <w:szCs w:val="24"/>
          <w:lang w:bidi="lv-LV"/>
        </w:rPr>
        <w:t>”, v.5</w:t>
      </w:r>
      <w:proofErr w:type="gramStart"/>
      <w:r>
        <w:rPr>
          <w:color w:val="000000"/>
          <w:sz w:val="24"/>
          <w:szCs w:val="24"/>
          <w:lang w:bidi="lv-LV"/>
        </w:rPr>
        <w:t>.;</w:t>
      </w:r>
      <w:proofErr w:type="gramEnd"/>
    </w:p>
    <w:p w14:paraId="3759213D" w14:textId="77777777" w:rsidR="0013774F" w:rsidRDefault="0013774F" w:rsidP="00AB1D87">
      <w:pPr>
        <w:pStyle w:val="Bodytext40"/>
        <w:numPr>
          <w:ilvl w:val="0"/>
          <w:numId w:val="15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</w:t>
      </w:r>
      <w:proofErr w:type="spellStart"/>
      <w:r w:rsidRPr="005453C5">
        <w:rPr>
          <w:sz w:val="24"/>
          <w:szCs w:val="24"/>
        </w:rPr>
        <w:t>Informācija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pacientiem</w:t>
      </w:r>
      <w:proofErr w:type="spellEnd"/>
      <w:r w:rsidRPr="005453C5">
        <w:rPr>
          <w:sz w:val="24"/>
          <w:szCs w:val="24"/>
        </w:rPr>
        <w:t xml:space="preserve"> par </w:t>
      </w:r>
      <w:proofErr w:type="spellStart"/>
      <w:r w:rsidRPr="005453C5">
        <w:rPr>
          <w:sz w:val="24"/>
          <w:szCs w:val="24"/>
        </w:rPr>
        <w:t>Increlex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sagatavošanu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lietošanai</w:t>
      </w:r>
      <w:proofErr w:type="spellEnd"/>
      <w:r w:rsidRPr="005453C5">
        <w:rPr>
          <w:sz w:val="24"/>
          <w:szCs w:val="24"/>
        </w:rPr>
        <w:t xml:space="preserve"> un </w:t>
      </w:r>
      <w:proofErr w:type="spellStart"/>
      <w:r w:rsidRPr="005453C5">
        <w:rPr>
          <w:sz w:val="24"/>
          <w:szCs w:val="24"/>
        </w:rPr>
        <w:t>injicēšanu</w:t>
      </w:r>
      <w:proofErr w:type="spellEnd"/>
      <w:r w:rsidRPr="005453C5">
        <w:rPr>
          <w:sz w:val="24"/>
          <w:szCs w:val="24"/>
        </w:rPr>
        <w:t>”</w:t>
      </w:r>
      <w:r>
        <w:rPr>
          <w:sz w:val="24"/>
          <w:szCs w:val="24"/>
        </w:rPr>
        <w:t>, v.5</w:t>
      </w:r>
      <w:proofErr w:type="gramStart"/>
      <w:r>
        <w:rPr>
          <w:sz w:val="24"/>
          <w:szCs w:val="24"/>
        </w:rPr>
        <w:t>.;</w:t>
      </w:r>
      <w:proofErr w:type="gramEnd"/>
    </w:p>
    <w:p w14:paraId="715CE977" w14:textId="77777777" w:rsidR="0013774F" w:rsidRPr="002E214C" w:rsidRDefault="0013774F" w:rsidP="00AB1D87">
      <w:pPr>
        <w:pStyle w:val="ListParagraph"/>
        <w:numPr>
          <w:ilvl w:val="0"/>
          <w:numId w:val="153"/>
        </w:numPr>
      </w:pPr>
      <w:r w:rsidRPr="002E214C">
        <w:t>“</w:t>
      </w:r>
      <w:proofErr w:type="spellStart"/>
      <w:r w:rsidRPr="002E214C">
        <w:t>Informācija</w:t>
      </w:r>
      <w:proofErr w:type="spellEnd"/>
      <w:r w:rsidRPr="002E214C">
        <w:t xml:space="preserve"> </w:t>
      </w:r>
      <w:proofErr w:type="spellStart"/>
      <w:r w:rsidRPr="002E214C">
        <w:t>vecākiem</w:t>
      </w:r>
      <w:proofErr w:type="spellEnd"/>
      <w:r w:rsidRPr="002E214C">
        <w:t xml:space="preserve">, </w:t>
      </w:r>
      <w:proofErr w:type="spellStart"/>
      <w:r w:rsidRPr="002E214C">
        <w:t>aprūpētājiem</w:t>
      </w:r>
      <w:proofErr w:type="spellEnd"/>
      <w:r w:rsidRPr="002E214C">
        <w:t xml:space="preserve"> un </w:t>
      </w:r>
      <w:proofErr w:type="spellStart"/>
      <w:r w:rsidRPr="002E214C">
        <w:t>pacientiem</w:t>
      </w:r>
      <w:proofErr w:type="spellEnd"/>
      <w:r w:rsidRPr="002E214C">
        <w:t xml:space="preserve"> par </w:t>
      </w:r>
      <w:proofErr w:type="spellStart"/>
      <w:r w:rsidRPr="002E214C">
        <w:t>hipoglikēmiju</w:t>
      </w:r>
      <w:proofErr w:type="spellEnd"/>
      <w:r w:rsidRPr="002E214C">
        <w:t xml:space="preserve"> un ko </w:t>
      </w:r>
      <w:proofErr w:type="spellStart"/>
      <w:r w:rsidRPr="002E214C">
        <w:t>darīt</w:t>
      </w:r>
      <w:proofErr w:type="spellEnd"/>
      <w:r w:rsidRPr="002E214C">
        <w:t xml:space="preserve"> </w:t>
      </w:r>
      <w:proofErr w:type="spellStart"/>
      <w:r w:rsidRPr="002E214C">
        <w:t>tās</w:t>
      </w:r>
      <w:proofErr w:type="spellEnd"/>
      <w:r w:rsidRPr="002E214C">
        <w:t xml:space="preserve"> </w:t>
      </w:r>
      <w:proofErr w:type="spellStart"/>
      <w:r w:rsidRPr="002E214C">
        <w:t>gadījumā</w:t>
      </w:r>
      <w:proofErr w:type="spellEnd"/>
      <w:r w:rsidRPr="002E214C">
        <w:t>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67355D80" w14:textId="77777777" w:rsidR="0013774F" w:rsidRDefault="0013774F" w:rsidP="00AB1D8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0550EBA5" w14:textId="77777777" w:rsidR="0013774F" w:rsidRDefault="0013774F" w:rsidP="00AB1D8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38A44179" w14:textId="77777777" w:rsidR="0013774F" w:rsidRDefault="0013774F" w:rsidP="00AB1D8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AB1D8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3F294A8D" w14:textId="77777777" w:rsidR="0013774F" w:rsidRDefault="0013774F" w:rsidP="00AB1D87">
      <w:pPr>
        <w:pStyle w:val="ListParagraph"/>
        <w:numPr>
          <w:ilvl w:val="0"/>
          <w:numId w:val="46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2E1DE72E" w14:textId="505217E7" w:rsidR="0013774F" w:rsidRDefault="0013774F" w:rsidP="0013774F"/>
    <w:p w14:paraId="368DCD74" w14:textId="380951EA" w:rsidR="00E7779C" w:rsidRDefault="00AB1D87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Isotretinoin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mg mīkstās kapsulas▼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B1D87">
        <w:rPr>
          <w:rFonts w:ascii="Times New Roman" w:eastAsia="Times New Roman" w:hAnsi="Times New Roman" w:cs="Times New Roman"/>
          <w:i/>
          <w:iCs/>
          <w:sz w:val="24"/>
          <w:szCs w:val="24"/>
        </w:rPr>
        <w:t>isotretinoinum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D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0FB25B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®</w:t>
      </w:r>
      <w:bookmarkStart w:id="13" w:name="_Hlk62631648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bookmarkEnd w:id="13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bookmarkStart w:id="14" w:name="_Hlk62631393"/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bookmarkEnd w:id="14"/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6A3A3761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66B7AD9" w14:textId="77777777" w:rsidR="00E7779C" w:rsidRPr="00E7779C" w:rsidRDefault="00E7779C" w:rsidP="00AB1D8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7454C546" w14:textId="77777777" w:rsidR="00E7779C" w:rsidRPr="00E7779C" w:rsidRDefault="00E7779C" w:rsidP="00AB1D8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3210497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54B9FFED" w14:textId="77777777" w:rsidR="00E7779C" w:rsidRPr="00E7779C" w:rsidRDefault="00E7779C" w:rsidP="00AB1D8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7E9C16A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786BC6B1" w14:textId="77777777" w:rsidR="00E7779C" w:rsidRDefault="00E7779C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AB1D87">
      <w:pPr>
        <w:pStyle w:val="ListParagraph"/>
        <w:numPr>
          <w:ilvl w:val="0"/>
          <w:numId w:val="47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AB1D8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AB1D8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771642A0" w:rsidR="00331BF5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proofErr w:type="spellEnd"/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15.05.2020):</w:t>
      </w:r>
    </w:p>
    <w:p w14:paraId="1FBAD0B6" w14:textId="0F91696E" w:rsidR="00272B6D" w:rsidRDefault="00272B6D" w:rsidP="00AB1D87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bCs/>
        </w:rPr>
      </w:pPr>
      <w:bookmarkStart w:id="15" w:name="_Hlk40800497"/>
      <w:proofErr w:type="spellStart"/>
      <w:r>
        <w:rPr>
          <w:bCs/>
        </w:rPr>
        <w:t>Izglītojošais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(v1.0</w:t>
      </w:r>
      <w:r w:rsidR="00447288">
        <w:rPr>
          <w:bCs/>
        </w:rPr>
        <w:t>-</w:t>
      </w:r>
      <w:r>
        <w:rPr>
          <w:bCs/>
        </w:rPr>
        <w:t>03</w:t>
      </w:r>
      <w:r w:rsidR="00447288">
        <w:rPr>
          <w:bCs/>
        </w:rPr>
        <w:t>/</w:t>
      </w:r>
      <w:r>
        <w:rPr>
          <w:bCs/>
        </w:rPr>
        <w:t xml:space="preserve">2020) </w:t>
      </w:r>
    </w:p>
    <w:bookmarkEnd w:id="15"/>
    <w:p w14:paraId="29D8C671" w14:textId="0FFC958E" w:rsidR="008A607B" w:rsidRDefault="008E49D5" w:rsidP="00AB1D8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Izglītojošais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materiāls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veselības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aprūpes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speciālistam</w:t>
      </w:r>
      <w:proofErr w:type="spellEnd"/>
      <w:r w:rsidR="008A607B">
        <w:rPr>
          <w:bCs/>
        </w:rPr>
        <w:t>,</w:t>
      </w:r>
    </w:p>
    <w:p w14:paraId="51B763BC" w14:textId="59CBF808" w:rsidR="00272B6D" w:rsidRDefault="008E49D5" w:rsidP="00AB1D8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terapijas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uzsākšanai</w:t>
      </w:r>
      <w:proofErr w:type="spellEnd"/>
      <w:r w:rsidR="008A607B">
        <w:rPr>
          <w:bCs/>
        </w:rPr>
        <w:t>,</w:t>
      </w:r>
    </w:p>
    <w:p w14:paraId="088BF41A" w14:textId="00F7395B" w:rsidR="008A607B" w:rsidRDefault="008E49D5" w:rsidP="00AB1D8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</w:rPr>
      </w:pPr>
      <w:r>
        <w:t xml:space="preserve">JINARC® ▼ (tolvaptan) </w:t>
      </w:r>
      <w:proofErr w:type="spellStart"/>
      <w:r w:rsidR="008A607B">
        <w:rPr>
          <w:bCs/>
        </w:rPr>
        <w:t>Izrakstīšanas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kontrolsaraksts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pacienta</w:t>
      </w:r>
      <w:proofErr w:type="spellEnd"/>
      <w:r w:rsidR="008A607B">
        <w:rPr>
          <w:bCs/>
        </w:rPr>
        <w:t xml:space="preserve"> </w:t>
      </w:r>
      <w:proofErr w:type="spellStart"/>
      <w:proofErr w:type="gramStart"/>
      <w:r w:rsidR="008A607B">
        <w:rPr>
          <w:bCs/>
        </w:rPr>
        <w:t>uzraudzībai</w:t>
      </w:r>
      <w:proofErr w:type="spellEnd"/>
      <w:r w:rsidR="008A607B">
        <w:rPr>
          <w:bCs/>
        </w:rPr>
        <w:t>;</w:t>
      </w:r>
      <w:proofErr w:type="gramEnd"/>
    </w:p>
    <w:p w14:paraId="13B8ACAC" w14:textId="5B1461C9" w:rsidR="008A607B" w:rsidRDefault="008A607B" w:rsidP="00AB1D87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Izglītojošie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materiāli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pacientiem</w:t>
      </w:r>
      <w:proofErr w:type="spellEnd"/>
      <w:r>
        <w:rPr>
          <w:bCs/>
        </w:rPr>
        <w:t xml:space="preserve"> </w:t>
      </w:r>
      <w:r w:rsidR="00447288">
        <w:rPr>
          <w:bCs/>
        </w:rPr>
        <w:t>(v1.0-03/2020)</w:t>
      </w:r>
    </w:p>
    <w:p w14:paraId="28E36F08" w14:textId="381D5E98" w:rsidR="008A607B" w:rsidRDefault="008E49D5" w:rsidP="00AB1D8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  <w:lang w:val="lv-LV"/>
        </w:rPr>
        <w:t>Jinarc</w:t>
      </w:r>
      <w:proofErr w:type="spellEnd"/>
      <w:r>
        <w:rPr>
          <w:bCs/>
        </w:rPr>
        <w:t xml:space="preserve">®▼ (tolvaptan) </w:t>
      </w:r>
      <w:proofErr w:type="spellStart"/>
      <w:r w:rsidR="008A607B">
        <w:rPr>
          <w:bCs/>
        </w:rPr>
        <w:t>Izglītojošie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materiali</w:t>
      </w:r>
      <w:proofErr w:type="spellEnd"/>
      <w:r w:rsidR="008A607B">
        <w:rPr>
          <w:bCs/>
        </w:rPr>
        <w:t xml:space="preserve"> </w:t>
      </w:r>
      <w:proofErr w:type="spellStart"/>
      <w:r w:rsidR="008A607B">
        <w:rPr>
          <w:bCs/>
        </w:rPr>
        <w:t>pac</w:t>
      </w:r>
      <w:r w:rsidR="00B410C5">
        <w:rPr>
          <w:bCs/>
        </w:rPr>
        <w:t>i</w:t>
      </w:r>
      <w:r w:rsidR="008A607B">
        <w:rPr>
          <w:bCs/>
        </w:rPr>
        <w:t>entiem</w:t>
      </w:r>
      <w:proofErr w:type="spellEnd"/>
      <w:r w:rsidR="008A607B">
        <w:rPr>
          <w:bCs/>
        </w:rPr>
        <w:t xml:space="preserve">, </w:t>
      </w:r>
    </w:p>
    <w:p w14:paraId="706BC217" w14:textId="4E96E090" w:rsidR="00B410C5" w:rsidRPr="008A607B" w:rsidRDefault="008E49D5" w:rsidP="00AB1D8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</w:rPr>
      </w:pPr>
      <w:r>
        <w:t xml:space="preserve">Otsuka </w:t>
      </w:r>
      <w:proofErr w:type="spellStart"/>
      <w:r>
        <w:t>Jinarc</w:t>
      </w:r>
      <w:proofErr w:type="spellEnd"/>
      <w:r>
        <w:t xml:space="preserve">® (Tolvaptan) </w:t>
      </w:r>
      <w:proofErr w:type="spellStart"/>
      <w:r w:rsidR="00B410C5">
        <w:rPr>
          <w:bCs/>
        </w:rPr>
        <w:t>Pacienta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brīdinājuma</w:t>
      </w:r>
      <w:proofErr w:type="spellEnd"/>
      <w:r w:rsidR="00B410C5">
        <w:rPr>
          <w:bCs/>
        </w:rPr>
        <w:t xml:space="preserve"> </w:t>
      </w:r>
      <w:proofErr w:type="spellStart"/>
      <w:r w:rsidR="00B410C5">
        <w:rPr>
          <w:bCs/>
        </w:rPr>
        <w:t>kartīte</w:t>
      </w:r>
      <w:proofErr w:type="spellEnd"/>
      <w:r w:rsidR="00B410C5">
        <w:rPr>
          <w:bCs/>
        </w:rPr>
        <w:t>.</w:t>
      </w:r>
    </w:p>
    <w:p w14:paraId="32017A4A" w14:textId="77777777" w:rsidR="008A607B" w:rsidRPr="008A607B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02.03.2020):</w:t>
      </w:r>
    </w:p>
    <w:p w14:paraId="4E1B00B3" w14:textId="77777777" w:rsidR="0013774F" w:rsidRPr="00EB463B" w:rsidRDefault="0013774F" w:rsidP="00AB1D87">
      <w:pPr>
        <w:pStyle w:val="ListParagraph"/>
        <w:numPr>
          <w:ilvl w:val="0"/>
          <w:numId w:val="12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>
        <w:rPr>
          <w:lang w:val="it-IT"/>
        </w:rPr>
        <w:t>9.2</w:t>
      </w:r>
      <w:r w:rsidRPr="00CA5C94">
        <w:rPr>
          <w:lang w:val="it-IT"/>
        </w:rPr>
        <w:t>-</w:t>
      </w:r>
      <w:r>
        <w:rPr>
          <w:lang w:val="it-IT"/>
        </w:rPr>
        <w:t>II45-Feb2020.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AB1D87">
      <w:pPr>
        <w:widowControl w:val="0"/>
        <w:numPr>
          <w:ilvl w:val="0"/>
          <w:numId w:val="44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4612E552" w14:textId="77777777" w:rsidR="0013774F" w:rsidRDefault="0013774F" w:rsidP="00AB1D8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AB1D8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4B5A5EC" w14:textId="77777777" w:rsidR="0013774F" w:rsidRPr="00BF6510" w:rsidRDefault="0013774F" w:rsidP="00AB1D8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AB1D87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AB1D87">
      <w:pPr>
        <w:numPr>
          <w:ilvl w:val="0"/>
          <w:numId w:val="49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AB1D87">
      <w:pPr>
        <w:numPr>
          <w:ilvl w:val="0"/>
          <w:numId w:val="49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38A7B721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atjaunināti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11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20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77777777" w:rsidR="00497347" w:rsidRPr="00497347" w:rsidRDefault="00497347" w:rsidP="00AB1D87">
      <w:pPr>
        <w:pStyle w:val="ListParagraph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VAS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proofErr w:type="gramStart"/>
      <w:r w:rsidRPr="00497347">
        <w:rPr>
          <w:bCs/>
        </w:rPr>
        <w:t>maijs</w:t>
      </w:r>
      <w:proofErr w:type="spellEnd"/>
      <w:r w:rsidRPr="00497347">
        <w:rPr>
          <w:bCs/>
        </w:rPr>
        <w:t>;</w:t>
      </w:r>
      <w:proofErr w:type="gramEnd"/>
      <w:r w:rsidRPr="00497347">
        <w:rPr>
          <w:bCs/>
        </w:rPr>
        <w:t xml:space="preserve"> </w:t>
      </w:r>
    </w:p>
    <w:p w14:paraId="14039C78" w14:textId="77777777" w:rsidR="00497347" w:rsidRPr="00497347" w:rsidRDefault="00497347" w:rsidP="00AB1D87">
      <w:pPr>
        <w:pStyle w:val="ListParagraph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pacientiem</w:t>
      </w:r>
      <w:proofErr w:type="spellEnd"/>
      <w:r w:rsidRPr="00497347">
        <w:rPr>
          <w:bCs/>
        </w:rPr>
        <w:t xml:space="preserve"> (</w:t>
      </w:r>
      <w:proofErr w:type="spellStart"/>
      <w:r w:rsidRPr="00497347">
        <w:rPr>
          <w:bCs/>
        </w:rPr>
        <w:t>aprūpētājiem</w:t>
      </w:r>
      <w:proofErr w:type="spellEnd"/>
      <w:r w:rsidRPr="00497347">
        <w:rPr>
          <w:bCs/>
        </w:rPr>
        <w:t xml:space="preserve">)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proofErr w:type="gramStart"/>
      <w:r w:rsidRPr="00497347">
        <w:rPr>
          <w:bCs/>
        </w:rPr>
        <w:t>maijs</w:t>
      </w:r>
      <w:proofErr w:type="spellEnd"/>
      <w:r w:rsidRPr="00497347">
        <w:rPr>
          <w:bCs/>
        </w:rPr>
        <w:t>;</w:t>
      </w:r>
      <w:proofErr w:type="gramEnd"/>
    </w:p>
    <w:p w14:paraId="69965898" w14:textId="77777777" w:rsidR="00497347" w:rsidRPr="00497347" w:rsidRDefault="00497347" w:rsidP="00AB1D87">
      <w:pPr>
        <w:pStyle w:val="ListParagraph"/>
        <w:numPr>
          <w:ilvl w:val="0"/>
          <w:numId w:val="165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Pacienta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kartīte</w:t>
      </w:r>
      <w:proofErr w:type="spellEnd"/>
      <w:r w:rsidRPr="00497347">
        <w:rPr>
          <w:bCs/>
        </w:rPr>
        <w:t xml:space="preserve">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2,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2019.gada </w:t>
      </w:r>
      <w:proofErr w:type="spellStart"/>
      <w:proofErr w:type="gramStart"/>
      <w:r w:rsidRPr="00497347">
        <w:rPr>
          <w:bCs/>
        </w:rPr>
        <w:t>februāris</w:t>
      </w:r>
      <w:proofErr w:type="spellEnd"/>
      <w:r w:rsidRPr="00497347">
        <w:rPr>
          <w:bCs/>
        </w:rPr>
        <w:t>;</w:t>
      </w:r>
      <w:proofErr w:type="gramEnd"/>
      <w:r w:rsidRPr="00497347">
        <w:rPr>
          <w:bCs/>
        </w:rPr>
        <w:t xml:space="preserve"> 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6940DB0B" w14:textId="6DA823D9" w:rsidR="0013774F" w:rsidRDefault="0013774F" w:rsidP="00AB1D8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AB1D8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AB1D87">
      <w:pPr>
        <w:pStyle w:val="ListParagraph"/>
        <w:numPr>
          <w:ilvl w:val="0"/>
          <w:numId w:val="50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0FAC4DC6" w14:textId="77777777" w:rsidR="00C15E9B" w:rsidRDefault="0013774F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25.03.2021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0306B66" w14:textId="77777777" w:rsidR="00C15E9B" w:rsidRDefault="00C15E9B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speciālistiem:</w:t>
      </w:r>
    </w:p>
    <w:p w14:paraId="3C950EAB" w14:textId="77777777" w:rsidR="00C15E9B" w:rsidRPr="00380058" w:rsidRDefault="00C15E9B" w:rsidP="00C15E9B">
      <w:pPr>
        <w:pStyle w:val="ListParagraph"/>
        <w:numPr>
          <w:ilvl w:val="0"/>
          <w:numId w:val="180"/>
        </w:numPr>
        <w:spacing w:line="276" w:lineRule="auto"/>
      </w:pPr>
      <w:proofErr w:type="spellStart"/>
      <w:r w:rsidRPr="00380058">
        <w:rPr>
          <w:rFonts w:eastAsia="Verdana"/>
          <w:lang w:eastAsia="lv-LV" w:bidi="lv-LV"/>
        </w:rPr>
        <w:t>Izglītojošais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materiāls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veselības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aprūpes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speciālistam</w:t>
      </w:r>
      <w:proofErr w:type="spellEnd"/>
      <w:r w:rsidRPr="00380058">
        <w:rPr>
          <w:rFonts w:eastAsia="Verdana"/>
          <w:lang w:eastAsia="lv-LV" w:bidi="lv-LV"/>
        </w:rPr>
        <w:t xml:space="preserve">, </w:t>
      </w:r>
      <w:proofErr w:type="spellStart"/>
      <w:r w:rsidRPr="00380058">
        <w:rPr>
          <w:rFonts w:eastAsia="Verdana"/>
          <w:lang w:eastAsia="lv-LV" w:bidi="lv-LV"/>
        </w:rPr>
        <w:t>lai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informētu</w:t>
      </w:r>
      <w:proofErr w:type="spellEnd"/>
      <w:r w:rsidRPr="00380058">
        <w:rPr>
          <w:rFonts w:eastAsia="Verdana"/>
          <w:lang w:eastAsia="lv-LV" w:bidi="lv-LV"/>
        </w:rPr>
        <w:t xml:space="preserve"> par </w:t>
      </w:r>
      <w:proofErr w:type="spellStart"/>
      <w:r w:rsidRPr="00380058">
        <w:rPr>
          <w:rFonts w:eastAsia="Verdana"/>
          <w:lang w:eastAsia="lv-LV" w:bidi="lv-LV"/>
        </w:rPr>
        <w:t>ārpusdzemdes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grūtniecības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risku</w:t>
      </w:r>
      <w:proofErr w:type="spellEnd"/>
      <w:r w:rsidRPr="00380058">
        <w:rPr>
          <w:rFonts w:eastAsia="Verdana"/>
          <w:lang w:eastAsia="lv-LV" w:bidi="lv-LV"/>
        </w:rPr>
        <w:t xml:space="preserve">, un </w:t>
      </w:r>
      <w:proofErr w:type="spellStart"/>
      <w:r w:rsidRPr="00380058">
        <w:rPr>
          <w:rFonts w:eastAsia="Verdana"/>
          <w:lang w:eastAsia="lv-LV" w:bidi="lv-LV"/>
        </w:rPr>
        <w:t>kā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atšķirt</w:t>
      </w:r>
      <w:proofErr w:type="spellEnd"/>
      <w:r w:rsidRPr="00380058">
        <w:rPr>
          <w:rFonts w:eastAsia="Verdana"/>
          <w:lang w:eastAsia="lv-LV" w:bidi="lv-LV"/>
        </w:rPr>
        <w:t xml:space="preserve"> Bayer </w:t>
      </w:r>
      <w:proofErr w:type="spellStart"/>
      <w:r w:rsidRPr="00380058">
        <w:rPr>
          <w:rFonts w:eastAsia="Verdana"/>
          <w:lang w:eastAsia="lv-LV" w:bidi="lv-LV"/>
        </w:rPr>
        <w:t>levonorgestrelu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saturošas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intrauterīnas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sistēmas</w:t>
      </w:r>
      <w:proofErr w:type="spellEnd"/>
      <w:r w:rsidRPr="00380058">
        <w:rPr>
          <w:rFonts w:eastAsia="Verdana"/>
          <w:lang w:eastAsia="lv-LV" w:bidi="lv-LV"/>
        </w:rPr>
        <w:t xml:space="preserve"> (IUS)</w:t>
      </w:r>
      <w:r>
        <w:rPr>
          <w:rFonts w:eastAsia="Verdana"/>
          <w:lang w:eastAsia="lv-LV" w:bidi="lv-LV"/>
        </w:rPr>
        <w:t xml:space="preserve">, </w:t>
      </w:r>
      <w:proofErr w:type="spellStart"/>
      <w:r w:rsidRPr="00380058">
        <w:rPr>
          <w:rFonts w:eastAsia="Verdana"/>
          <w:lang w:eastAsia="lv-LV" w:bidi="lv-LV"/>
        </w:rPr>
        <w:t>Versija</w:t>
      </w:r>
      <w:proofErr w:type="spellEnd"/>
      <w:r w:rsidRPr="00380058">
        <w:rPr>
          <w:rFonts w:eastAsia="Verdana"/>
          <w:lang w:eastAsia="lv-LV" w:bidi="lv-LV"/>
        </w:rPr>
        <w:t xml:space="preserve"> Nr. 3.0 (03/2021)</w:t>
      </w:r>
    </w:p>
    <w:p w14:paraId="2B9E4112" w14:textId="3D6099C7" w:rsidR="0013774F" w:rsidRDefault="0013774F" w:rsidP="00C15E9B">
      <w:pPr>
        <w:autoSpaceDE w:val="0"/>
        <w:autoSpaceDN w:val="0"/>
        <w:adjustRightInd w:val="0"/>
        <w:spacing w:after="0" w:line="240" w:lineRule="auto"/>
        <w:jc w:val="both"/>
        <w:rPr>
          <w:lang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2C98AC73" w14:textId="77777777" w:rsidR="0013774F" w:rsidRPr="00837957" w:rsidRDefault="0013774F" w:rsidP="00AB1D87">
      <w:pPr>
        <w:pStyle w:val="NormalWeb"/>
        <w:numPr>
          <w:ilvl w:val="0"/>
          <w:numId w:val="51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781C9403" w14:textId="77777777" w:rsidR="0013774F" w:rsidRPr="00837957" w:rsidRDefault="0013774F" w:rsidP="00AB1D87">
      <w:pPr>
        <w:pStyle w:val="ListParagraph"/>
        <w:numPr>
          <w:ilvl w:val="0"/>
          <w:numId w:val="52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574949FD" w14:textId="77777777" w:rsidR="0013774F" w:rsidRDefault="0013774F" w:rsidP="00AB1D87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AB1D87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00002E2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0EFA13F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>Svarīga informācija</w:t>
      </w:r>
      <w:r w:rsidRPr="00BC5C4A">
        <w:rPr>
          <w:rFonts w:ascii="Times New Roman" w:hAnsi="Times New Roman" w:cs="Times New Roman"/>
          <w:i/>
          <w:sz w:val="24"/>
          <w:szCs w:val="24"/>
          <w:u w:val="single"/>
        </w:rPr>
        <w:t xml:space="preserve"> pacientam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409DA02" w14:textId="1FB3DE4D" w:rsidR="00BC5C4A" w:rsidRPr="00BC5C4A" w:rsidRDefault="00BC5C4A" w:rsidP="00AB1D87">
      <w:pPr>
        <w:pStyle w:val="BodytextAgency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brīdinājuma kartīte, v3;</w:t>
      </w:r>
    </w:p>
    <w:p w14:paraId="68FD5CAF" w14:textId="791AB09E" w:rsidR="00BC5C4A" w:rsidRPr="00BC5C4A" w:rsidRDefault="00BC5C4A" w:rsidP="00AB1D87">
      <w:pPr>
        <w:pStyle w:val="BodytextAgency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rokasgrāmata, v3.</w:t>
      </w:r>
    </w:p>
    <w:p w14:paraId="5AD99D3C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BC5C4A">
        <w:rPr>
          <w:rFonts w:ascii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971E3B5" w14:textId="5B6404EE" w:rsidR="00BC5C4A" w:rsidRPr="00BC5C4A" w:rsidRDefault="00BC5C4A" w:rsidP="00AB1D87">
      <w:pPr>
        <w:pStyle w:val="BodytextAgency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Veselības aprūpes speciālista LEMTRADA® (</w:t>
      </w:r>
      <w:proofErr w:type="spellStart"/>
      <w:r w:rsidRPr="00BC5C4A">
        <w:rPr>
          <w:rFonts w:ascii="Times New Roman" w:eastAsia="Times New Roman" w:hAnsi="Times New Roman" w:cs="Times New Roman"/>
          <w:sz w:val="24"/>
          <w:szCs w:val="24"/>
        </w:rPr>
        <w:t>alemtuzumabs</w:t>
      </w:r>
      <w:proofErr w:type="spellEnd"/>
      <w:r w:rsidRPr="00BC5C4A">
        <w:rPr>
          <w:rFonts w:ascii="Times New Roman" w:eastAsia="Times New Roman" w:hAnsi="Times New Roman" w:cs="Times New Roman"/>
          <w:sz w:val="24"/>
          <w:szCs w:val="24"/>
        </w:rPr>
        <w:t>) kontrolsaraksts, v3;</w:t>
      </w:r>
    </w:p>
    <w:p w14:paraId="51397995" w14:textId="7C400780" w:rsidR="00BC5C4A" w:rsidRDefault="00BC5C4A" w:rsidP="00AB1D87">
      <w:pPr>
        <w:pStyle w:val="BodytextAgency"/>
        <w:numPr>
          <w:ilvl w:val="0"/>
          <w:numId w:val="5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Rokasgrāmata veselības aprūpes speciālistiem, v3.</w:t>
      </w:r>
    </w:p>
    <w:p w14:paraId="3F6CBD13" w14:textId="499E5A3E" w:rsidR="00D5697B" w:rsidRDefault="00D5697B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C929564" w14:textId="77777777" w:rsidR="003D344E" w:rsidRDefault="003D344E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Lenalidomide</w:t>
      </w:r>
      <w:proofErr w:type="spellEnd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(</w:t>
      </w:r>
      <w:proofErr w:type="spellStart"/>
      <w:r w:rsidRPr="003D34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v-LV"/>
        </w:rPr>
        <w:t>lenalidomidum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),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Healthcare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S.L.U., Spānija (saskaņots </w:t>
      </w:r>
      <w:r w:rsidRPr="003D34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 w:bidi="lv-LV"/>
        </w:rPr>
        <w:t>19.03.2021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)</w:t>
      </w:r>
    </w:p>
    <w:p w14:paraId="45A91F41" w14:textId="4AB236F3" w:rsidR="0091444C" w:rsidRDefault="00D5697B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Stada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6" w:name="_Hlk69723038"/>
      <w:r w:rsid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1444C"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16"/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Stada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Arzneimittel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AG, Vācija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3D344E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8919D1" w14:textId="3C1E81A7" w:rsid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, Malta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6B5DF" w14:textId="36658B1E" w:rsidR="0091444C" w:rsidRP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</w:rPr>
        <w:t xml:space="preserve"> Grindeks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Grindeks, AS, Latvija</w:t>
      </w:r>
      <w:r w:rsidR="008D33A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41D05C1" w14:textId="25A113DF" w:rsidR="0091444C" w:rsidRPr="003D344E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Norameda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proofErr w:type="spellStart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Norameda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UAB, Lietuva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C628E3F" w14:textId="5B3750A1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veselības aprūpes speciālistiem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6BF7F8A0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30A0824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Izglītojoša brošūra veselības aprūpes speciālistam;</w:t>
      </w:r>
    </w:p>
    <w:p w14:paraId="52E703D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vīriešu dzimuma pacientiem;</w:t>
      </w:r>
    </w:p>
    <w:p w14:paraId="038B939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ar reproduktīvo potenciālu;</w:t>
      </w:r>
    </w:p>
    <w:p w14:paraId="1CA9058F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Brošūra sievietēm bez reproduktīvā potenciāla;</w:t>
      </w:r>
    </w:p>
    <w:p w14:paraId="1B46F74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Informētās piekrišanas dokuments vīriešiem;</w:t>
      </w:r>
    </w:p>
    <w:p w14:paraId="0C89E8DE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ar reproduktīvo potenciālu;</w:t>
      </w:r>
    </w:p>
    <w:p w14:paraId="21B740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8. Informētas piekrišanas dokuments sievietēm bez reproduktīvā potenciāla;</w:t>
      </w:r>
    </w:p>
    <w:p w14:paraId="0E2C7CE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9. Kontrolētas izsniegšanas veidlapa;</w:t>
      </w:r>
    </w:p>
    <w:p w14:paraId="5BC0C3AB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10. Grūtniecības ziņojuma veidlapa ārstam.</w:t>
      </w:r>
    </w:p>
    <w:p w14:paraId="0D1F6C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99F0EEF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pacientam 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par zāļu riska mazināšanu, v1.0:</w:t>
      </w:r>
    </w:p>
    <w:p w14:paraId="360C9B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1CB08B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Brošūra vīriešu dzimuma pacientiem;</w:t>
      </w:r>
    </w:p>
    <w:p w14:paraId="3BF156C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sievietēm ar reproduktīvo potenciālu;</w:t>
      </w:r>
    </w:p>
    <w:p w14:paraId="349BC9F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bez reproduktīvā potenciāla;</w:t>
      </w:r>
    </w:p>
    <w:p w14:paraId="579F09B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Informētās piekrišanas dokuments vīriešiem;</w:t>
      </w:r>
    </w:p>
    <w:p w14:paraId="0B4502F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Informētas piekrišanas dokuments sievietēm ar reproduktīvo potenciālu;</w:t>
      </w:r>
    </w:p>
    <w:p w14:paraId="71902BE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bez reproduktīvā potenciāla.</w:t>
      </w:r>
    </w:p>
    <w:p w14:paraId="42F20DA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B02582B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farmaceitam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03FD52A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8595D4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Aptiekas reģistrācijas forma;</w:t>
      </w:r>
    </w:p>
    <w:p w14:paraId="075C9A5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Kontrolētas izsniegšanas veidlapa.</w:t>
      </w:r>
    </w:p>
    <w:p w14:paraId="31F4EAB1" w14:textId="77777777" w:rsidR="0091444C" w:rsidRDefault="0091444C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6E0D283A" w14:textId="77777777" w:rsidR="003D344E" w:rsidRDefault="003D344E" w:rsidP="00D13BEE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56F235E" w14:textId="33072228" w:rsidR="00D13BEE" w:rsidRDefault="00D13BEE" w:rsidP="00D13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Levosert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140FD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Gedeon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Richter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Plc</w:t>
      </w:r>
      <w:proofErr w:type="spellEnd"/>
      <w:r>
        <w:rPr>
          <w:rFonts w:ascii="Times New Roman" w:hAnsi="Times New Roman"/>
          <w:bCs/>
          <w:sz w:val="24"/>
          <w:szCs w:val="24"/>
        </w:rPr>
        <w:t>, Ungārija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14.01.2021):</w:t>
      </w:r>
    </w:p>
    <w:p w14:paraId="77C61007" w14:textId="41014FFA" w:rsidR="00D13BEE" w:rsidRPr="00D13BEE" w:rsidRDefault="00D13BEE" w:rsidP="00D13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3BEE">
        <w:rPr>
          <w:rFonts w:ascii="Times New Roman" w:hAnsi="Times New Roman" w:cs="Times New Roman"/>
        </w:rPr>
        <w:t>Svarīga informācija veselības aprūpes speciālistiem par zāļu riska mazināšanu:</w:t>
      </w:r>
    </w:p>
    <w:p w14:paraId="76F523E6" w14:textId="0461E3CB" w:rsidR="00D13BEE" w:rsidRPr="00D13BEE" w:rsidRDefault="00D13BEE" w:rsidP="00AB1D87">
      <w:pPr>
        <w:pStyle w:val="ListParagraph"/>
        <w:numPr>
          <w:ilvl w:val="0"/>
          <w:numId w:val="168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D13BEE">
        <w:t>Izglītojošie</w:t>
      </w:r>
      <w:proofErr w:type="spellEnd"/>
      <w:r w:rsidRPr="00D13BEE">
        <w:t xml:space="preserve"> </w:t>
      </w:r>
      <w:proofErr w:type="spellStart"/>
      <w:r w:rsidRPr="00D13BEE">
        <w:t>materiāli</w:t>
      </w:r>
      <w:proofErr w:type="spellEnd"/>
      <w:r w:rsidRPr="00D13BEE">
        <w:t xml:space="preserve"> </w:t>
      </w:r>
      <w:proofErr w:type="spellStart"/>
      <w:r w:rsidRPr="00D13BEE">
        <w:t>veselības</w:t>
      </w:r>
      <w:proofErr w:type="spellEnd"/>
      <w:r w:rsidRPr="00D13BEE">
        <w:t xml:space="preserve"> </w:t>
      </w:r>
      <w:proofErr w:type="spellStart"/>
      <w:r w:rsidRPr="00D13BEE">
        <w:t>aprūpes</w:t>
      </w:r>
      <w:proofErr w:type="spellEnd"/>
      <w:r w:rsidRPr="00D13BEE">
        <w:t xml:space="preserve"> </w:t>
      </w:r>
      <w:proofErr w:type="spellStart"/>
      <w:r w:rsidRPr="00D13BEE">
        <w:t>speciālistam</w:t>
      </w:r>
      <w:proofErr w:type="spellEnd"/>
      <w:r w:rsidRPr="00D13BEE">
        <w:t xml:space="preserve"> par </w:t>
      </w:r>
      <w:proofErr w:type="spellStart"/>
      <w:r w:rsidRPr="00D13BEE">
        <w:t>Levosert</w:t>
      </w:r>
      <w:proofErr w:type="spellEnd"/>
      <w:r w:rsidRPr="00D13BEE">
        <w:t xml:space="preserve"> 20 </w:t>
      </w:r>
      <w:proofErr w:type="spellStart"/>
      <w:r w:rsidRPr="00D13BEE">
        <w:t>mikrogramu</w:t>
      </w:r>
      <w:proofErr w:type="spellEnd"/>
      <w:r w:rsidRPr="00D13BEE">
        <w:t xml:space="preserve">/24 </w:t>
      </w:r>
      <w:proofErr w:type="spellStart"/>
      <w:r w:rsidRPr="00D13BEE">
        <w:t>stundās</w:t>
      </w:r>
      <w:proofErr w:type="spellEnd"/>
      <w:r w:rsidRPr="00D13BEE">
        <w:t xml:space="preserve"> </w:t>
      </w:r>
      <w:proofErr w:type="spellStart"/>
      <w:r w:rsidRPr="00D13BEE">
        <w:t>intrauterīnā</w:t>
      </w:r>
      <w:proofErr w:type="spellEnd"/>
      <w:r w:rsidRPr="00D13BEE">
        <w:t xml:space="preserve"> </w:t>
      </w:r>
      <w:proofErr w:type="spellStart"/>
      <w:r w:rsidRPr="00D13BEE">
        <w:t>sistēma</w:t>
      </w:r>
      <w:proofErr w:type="spellEnd"/>
      <w:r w:rsidRPr="00D13BEE">
        <w:t xml:space="preserve">, </w:t>
      </w:r>
      <w:proofErr w:type="spellStart"/>
      <w:r w:rsidRPr="00D13BEE">
        <w:t>versija</w:t>
      </w:r>
      <w:proofErr w:type="spellEnd"/>
      <w:r w:rsidRPr="00D13BEE">
        <w:t xml:space="preserve"> 4_01.2021</w:t>
      </w:r>
      <w:r w:rsidRPr="00D13BEE">
        <w:rPr>
          <w:color w:val="000000"/>
        </w:rPr>
        <w:t>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8F5F93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2B63EBE" w14:textId="04D8B85F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BC5C4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cemiplimabum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</w:t>
      </w:r>
      <w:r w:rsidR="00892893">
        <w:rPr>
          <w:rFonts w:ascii="Times New Roman" w:hAnsi="Times New Roman" w:cs="Times New Roman"/>
          <w:bCs/>
          <w:sz w:val="24"/>
          <w:szCs w:val="24"/>
          <w:lang w:val="it-IT"/>
        </w:rPr>
        <w:t>1.09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0B4D7160" w:rsidR="0013774F" w:rsidRDefault="0013774F" w:rsidP="00AB1D87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</w:t>
      </w:r>
      <w:r w:rsidR="00892893">
        <w:rPr>
          <w:bCs/>
          <w:lang w:val="it-IT"/>
        </w:rPr>
        <w:t>2</w:t>
      </w:r>
      <w:r>
        <w:rPr>
          <w:bCs/>
          <w:lang w:val="it-IT"/>
        </w:rPr>
        <w:t>;</w:t>
      </w:r>
    </w:p>
    <w:p w14:paraId="33D1E2EB" w14:textId="56922CCB" w:rsidR="0013774F" w:rsidRPr="001F41B5" w:rsidRDefault="0013774F" w:rsidP="00AB1D87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</w:t>
      </w:r>
      <w:r w:rsidR="00892893">
        <w:rPr>
          <w:bCs/>
          <w:lang w:val="it-IT"/>
        </w:rPr>
        <w:t>2</w:t>
      </w:r>
    </w:p>
    <w:p w14:paraId="41FEE61B" w14:textId="77777777" w:rsidR="00374CAE" w:rsidRDefault="00374CAE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6ACE6BA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</w:t>
      </w:r>
      <w:r w:rsidR="00374CAE" w:rsidRPr="007D64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atjaunināts 17.03.2021</w:t>
      </w:r>
      <w:r>
        <w:rPr>
          <w:rFonts w:ascii="Times New Roman" w:hAnsi="Times New Roman" w:cs="Times New Roman"/>
        </w:rPr>
        <w:t>):</w:t>
      </w:r>
    </w:p>
    <w:p w14:paraId="725C30CA" w14:textId="28EE6447" w:rsidR="0013774F" w:rsidRPr="00540883" w:rsidRDefault="0013774F" w:rsidP="00AB1D87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</w:t>
      </w:r>
      <w:r w:rsidR="00374CAE" w:rsidRPr="00374CAE">
        <w:t>versija 2.0 (03/2021);</w:t>
      </w:r>
    </w:p>
    <w:p w14:paraId="55C89FEE" w14:textId="77777777" w:rsidR="0013774F" w:rsidRPr="004548E9" w:rsidRDefault="0013774F" w:rsidP="00AB1D87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30566EE" w14:textId="77777777" w:rsidR="0013774F" w:rsidRDefault="0013774F" w:rsidP="00AB1D87">
      <w:pPr>
        <w:numPr>
          <w:ilvl w:val="0"/>
          <w:numId w:val="54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AB1D87">
      <w:pPr>
        <w:numPr>
          <w:ilvl w:val="0"/>
          <w:numId w:val="54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AB1D87">
      <w:pPr>
        <w:numPr>
          <w:ilvl w:val="0"/>
          <w:numId w:val="54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AB1D87">
      <w:pPr>
        <w:numPr>
          <w:ilvl w:val="0"/>
          <w:numId w:val="54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AB1D87">
      <w:pPr>
        <w:pStyle w:val="ListParagraph"/>
        <w:numPr>
          <w:ilvl w:val="0"/>
          <w:numId w:val="14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0BDA1C4E" w14:textId="77777777" w:rsidR="0013774F" w:rsidRDefault="0013774F" w:rsidP="00AB1D87">
      <w:pPr>
        <w:pStyle w:val="ListParagraph"/>
        <w:numPr>
          <w:ilvl w:val="0"/>
          <w:numId w:val="14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AB1D87">
      <w:pPr>
        <w:pStyle w:val="ListParagraph"/>
        <w:numPr>
          <w:ilvl w:val="0"/>
          <w:numId w:val="55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AB1D87">
      <w:pPr>
        <w:pStyle w:val="ListParagraph"/>
        <w:numPr>
          <w:ilvl w:val="0"/>
          <w:numId w:val="141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</w:t>
      </w:r>
      <w:r w:rsidR="00212264">
        <w:t>īte</w:t>
      </w:r>
      <w:proofErr w:type="spellEnd"/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AB1D87">
      <w:pPr>
        <w:pStyle w:val="ListParagraph"/>
        <w:numPr>
          <w:ilvl w:val="0"/>
          <w:numId w:val="141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AB1D87">
      <w:pPr>
        <w:pStyle w:val="Header"/>
        <w:numPr>
          <w:ilvl w:val="0"/>
          <w:numId w:val="141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200A3C05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24F86220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 xml:space="preserve">0,25 mg un 2 mg </w:t>
      </w:r>
      <w:proofErr w:type="spellStart"/>
      <w:r w:rsidR="008D3456">
        <w:rPr>
          <w:rFonts w:ascii="Times New Roman" w:hAnsi="Times New Roman"/>
          <w:bCs/>
          <w:sz w:val="24"/>
          <w:szCs w:val="24"/>
        </w:rPr>
        <w:t>apvalkotā</w:t>
      </w:r>
      <w:proofErr w:type="spellEnd"/>
      <w:r w:rsidR="008D3456">
        <w:rPr>
          <w:rFonts w:ascii="Times New Roman" w:hAnsi="Times New Roman"/>
          <w:bCs/>
          <w:sz w:val="24"/>
          <w:szCs w:val="24"/>
        </w:rPr>
        <w:t xml:space="preserve">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atjaunināts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22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4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.202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):</w:t>
      </w:r>
    </w:p>
    <w:p w14:paraId="44FBECA6" w14:textId="673C3B1C" w:rsidR="008D3456" w:rsidRPr="0087518D" w:rsidRDefault="008D3456" w:rsidP="00AB1D87">
      <w:pPr>
        <w:numPr>
          <w:ilvl w:val="0"/>
          <w:numId w:val="160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it-IT"/>
        </w:rPr>
      </w:pPr>
      <w:bookmarkStart w:id="17" w:name="_Hlk40351812"/>
      <w:bookmarkStart w:id="18" w:name="_Hlk42250302"/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(</w:t>
      </w:r>
      <w:r w:rsidRPr="0087518D">
        <w:rPr>
          <w:rFonts w:ascii="Times New Roman" w:eastAsia="Calibri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) </w:t>
      </w:r>
      <w:bookmarkEnd w:id="17"/>
      <w:r w:rsidR="006871C4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Ārsta kontrolsaraksts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, </w:t>
      </w:r>
      <w:r w:rsidRPr="0087518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</w:t>
      </w:r>
      <w:r w:rsidR="00493F50"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ersija 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2.0</w:t>
      </w:r>
      <w:r w:rsidR="00493F50"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0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3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.202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1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; </w:t>
      </w:r>
    </w:p>
    <w:bookmarkEnd w:id="18"/>
    <w:p w14:paraId="0FB272B3" w14:textId="5D768A23" w:rsidR="008D3456" w:rsidRPr="008D3456" w:rsidRDefault="008D3456" w:rsidP="00AB1D87">
      <w:pPr>
        <w:numPr>
          <w:ilvl w:val="0"/>
          <w:numId w:val="160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un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aprūpētāja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izglītojošie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materiāli</w:t>
      </w:r>
      <w:proofErr w:type="spellEnd"/>
      <w:r w:rsidR="00E206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2.0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</w:t>
      </w:r>
      <w:r w:rsidR="00E2064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3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.202</w:t>
      </w:r>
      <w:r w:rsidR="00E2064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</w:t>
      </w:r>
    </w:p>
    <w:p w14:paraId="4BE70110" w14:textId="79137126" w:rsidR="008D3456" w:rsidRPr="008D3456" w:rsidRDefault="008D3456" w:rsidP="00AB1D87">
      <w:pPr>
        <w:numPr>
          <w:ilvl w:val="1"/>
          <w:numId w:val="160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Pacienta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brīdinājuma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kartīte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Grūtniecības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nepieļaušana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sievietēm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reproduktīvā</w:t>
      </w:r>
      <w:proofErr w:type="spellEnd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vecumā</w:t>
      </w:r>
      <w:proofErr w:type="spellEnd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proofErr w:type="spellEnd"/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2.0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3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.202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p w14:paraId="24384C4B" w14:textId="77777777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52E13FF0" w14:textId="36EC2E7C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Arzneimittel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Putter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GmbH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atjaunināts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4FFD">
        <w:rPr>
          <w:rFonts w:ascii="Times New Roman" w:hAnsi="Times New Roman" w:cs="Times New Roman"/>
          <w:bCs/>
          <w:color w:val="000000"/>
          <w:sz w:val="24"/>
          <w:szCs w:val="24"/>
        </w:rPr>
        <w:t>11.02.2021.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7CF3B01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4175E31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AB1D87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AB1D87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4A5604" w14:textId="55F02CE4" w:rsidR="00C15E9B" w:rsidRDefault="00786E35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Mirena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Mirena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25.03.2021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3D2C779" w14:textId="77777777" w:rsidR="00C15E9B" w:rsidRDefault="00C15E9B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speciālistiem:</w:t>
      </w:r>
    </w:p>
    <w:p w14:paraId="383B35B7" w14:textId="77777777" w:rsidR="00C15E9B" w:rsidRPr="00380058" w:rsidRDefault="00C15E9B" w:rsidP="00C15E9B">
      <w:pPr>
        <w:pStyle w:val="ListParagraph"/>
        <w:numPr>
          <w:ilvl w:val="0"/>
          <w:numId w:val="180"/>
        </w:numPr>
        <w:spacing w:line="276" w:lineRule="auto"/>
      </w:pPr>
      <w:proofErr w:type="spellStart"/>
      <w:r w:rsidRPr="00380058">
        <w:rPr>
          <w:rFonts w:eastAsia="Verdana"/>
          <w:lang w:eastAsia="lv-LV" w:bidi="lv-LV"/>
        </w:rPr>
        <w:t>Izglītojošais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materiāls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veselības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aprūpes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speciālistam</w:t>
      </w:r>
      <w:proofErr w:type="spellEnd"/>
      <w:r w:rsidRPr="00380058">
        <w:rPr>
          <w:rFonts w:eastAsia="Verdana"/>
          <w:lang w:eastAsia="lv-LV" w:bidi="lv-LV"/>
        </w:rPr>
        <w:t xml:space="preserve">, </w:t>
      </w:r>
      <w:proofErr w:type="spellStart"/>
      <w:r w:rsidRPr="00380058">
        <w:rPr>
          <w:rFonts w:eastAsia="Verdana"/>
          <w:lang w:eastAsia="lv-LV" w:bidi="lv-LV"/>
        </w:rPr>
        <w:t>lai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informētu</w:t>
      </w:r>
      <w:proofErr w:type="spellEnd"/>
      <w:r w:rsidRPr="00380058">
        <w:rPr>
          <w:rFonts w:eastAsia="Verdana"/>
          <w:lang w:eastAsia="lv-LV" w:bidi="lv-LV"/>
        </w:rPr>
        <w:t xml:space="preserve"> par </w:t>
      </w:r>
      <w:proofErr w:type="spellStart"/>
      <w:r w:rsidRPr="00380058">
        <w:rPr>
          <w:rFonts w:eastAsia="Verdana"/>
          <w:lang w:eastAsia="lv-LV" w:bidi="lv-LV"/>
        </w:rPr>
        <w:t>ārpusdzemdes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grūtniecības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risku</w:t>
      </w:r>
      <w:proofErr w:type="spellEnd"/>
      <w:r w:rsidRPr="00380058">
        <w:rPr>
          <w:rFonts w:eastAsia="Verdana"/>
          <w:lang w:eastAsia="lv-LV" w:bidi="lv-LV"/>
        </w:rPr>
        <w:t xml:space="preserve">, un </w:t>
      </w:r>
      <w:proofErr w:type="spellStart"/>
      <w:r w:rsidRPr="00380058">
        <w:rPr>
          <w:rFonts w:eastAsia="Verdana"/>
          <w:lang w:eastAsia="lv-LV" w:bidi="lv-LV"/>
        </w:rPr>
        <w:t>kā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atšķirt</w:t>
      </w:r>
      <w:proofErr w:type="spellEnd"/>
      <w:r w:rsidRPr="00380058">
        <w:rPr>
          <w:rFonts w:eastAsia="Verdana"/>
          <w:lang w:eastAsia="lv-LV" w:bidi="lv-LV"/>
        </w:rPr>
        <w:t xml:space="preserve"> Bayer </w:t>
      </w:r>
      <w:proofErr w:type="spellStart"/>
      <w:r w:rsidRPr="00380058">
        <w:rPr>
          <w:rFonts w:eastAsia="Verdana"/>
          <w:lang w:eastAsia="lv-LV" w:bidi="lv-LV"/>
        </w:rPr>
        <w:t>levonorgestrelu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saturošas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intrauterīnas</w:t>
      </w:r>
      <w:proofErr w:type="spellEnd"/>
      <w:r w:rsidRPr="00380058">
        <w:rPr>
          <w:rFonts w:eastAsia="Verdana"/>
          <w:lang w:eastAsia="lv-LV" w:bidi="lv-LV"/>
        </w:rPr>
        <w:t xml:space="preserve"> </w:t>
      </w:r>
      <w:proofErr w:type="spellStart"/>
      <w:r w:rsidRPr="00380058">
        <w:rPr>
          <w:rFonts w:eastAsia="Verdana"/>
          <w:lang w:eastAsia="lv-LV" w:bidi="lv-LV"/>
        </w:rPr>
        <w:t>sistēmas</w:t>
      </w:r>
      <w:proofErr w:type="spellEnd"/>
      <w:r w:rsidRPr="00380058">
        <w:rPr>
          <w:rFonts w:eastAsia="Verdana"/>
          <w:lang w:eastAsia="lv-LV" w:bidi="lv-LV"/>
        </w:rPr>
        <w:t xml:space="preserve"> (IUS)</w:t>
      </w:r>
      <w:r>
        <w:rPr>
          <w:rFonts w:eastAsia="Verdana"/>
          <w:lang w:eastAsia="lv-LV" w:bidi="lv-LV"/>
        </w:rPr>
        <w:t xml:space="preserve">, </w:t>
      </w:r>
      <w:proofErr w:type="spellStart"/>
      <w:r w:rsidRPr="00380058">
        <w:rPr>
          <w:rFonts w:eastAsia="Verdana"/>
          <w:lang w:eastAsia="lv-LV" w:bidi="lv-LV"/>
        </w:rPr>
        <w:t>Versija</w:t>
      </w:r>
      <w:proofErr w:type="spellEnd"/>
      <w:r w:rsidRPr="00380058">
        <w:rPr>
          <w:rFonts w:eastAsia="Verdana"/>
          <w:lang w:eastAsia="lv-LV" w:bidi="lv-LV"/>
        </w:rPr>
        <w:t xml:space="preserve"> Nr. 3.0 (03/2021)</w:t>
      </w:r>
    </w:p>
    <w:p w14:paraId="4CEF3A32" w14:textId="52886F44" w:rsidR="00786E35" w:rsidRDefault="00786E35" w:rsidP="00C15E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14:paraId="53EC80EF" w14:textId="77777777" w:rsidR="0013774F" w:rsidRDefault="0013774F" w:rsidP="00AB1D87">
      <w:pPr>
        <w:pStyle w:val="ListParagraph"/>
        <w:numPr>
          <w:ilvl w:val="0"/>
          <w:numId w:val="57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</w:t>
      </w:r>
      <w:proofErr w:type="gramStart"/>
      <w:r>
        <w:t>v04;</w:t>
      </w:r>
      <w:proofErr w:type="gramEnd"/>
    </w:p>
    <w:p w14:paraId="331B2306" w14:textId="77777777" w:rsidR="0013774F" w:rsidRDefault="0013774F" w:rsidP="00AB1D87">
      <w:pPr>
        <w:pStyle w:val="ListParagraph"/>
        <w:numPr>
          <w:ilvl w:val="0"/>
          <w:numId w:val="57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60BFEC3D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AB1D87">
      <w:pPr>
        <w:pStyle w:val="ListParagraph"/>
        <w:numPr>
          <w:ilvl w:val="0"/>
          <w:numId w:val="131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AB1D87">
      <w:pPr>
        <w:pStyle w:val="Default"/>
        <w:numPr>
          <w:ilvl w:val="0"/>
          <w:numId w:val="58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2074ECEE" w14:textId="77777777" w:rsidR="0013774F" w:rsidRDefault="0013774F" w:rsidP="00AB1D87">
      <w:pPr>
        <w:pStyle w:val="Default"/>
        <w:numPr>
          <w:ilvl w:val="0"/>
          <w:numId w:val="58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AB1D87">
      <w:pPr>
        <w:pStyle w:val="Default"/>
        <w:numPr>
          <w:ilvl w:val="0"/>
          <w:numId w:val="58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AB1D87">
      <w:pPr>
        <w:pStyle w:val="Default"/>
        <w:numPr>
          <w:ilvl w:val="0"/>
          <w:numId w:val="58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AB1D87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proofErr w:type="gramStart"/>
      <w:r>
        <w:rPr>
          <w:rFonts w:eastAsiaTheme="minorHAnsi"/>
          <w:color w:val="000000"/>
        </w:rPr>
        <w:t>0;</w:t>
      </w:r>
      <w:proofErr w:type="gramEnd"/>
    </w:p>
    <w:p w14:paraId="51970882" w14:textId="77777777" w:rsidR="0013774F" w:rsidRPr="00310B4A" w:rsidRDefault="0013774F" w:rsidP="00AB1D87">
      <w:pPr>
        <w:pStyle w:val="ListParagraph"/>
        <w:numPr>
          <w:ilvl w:val="0"/>
          <w:numId w:val="59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lastRenderedPageBreak/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165D352A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0438FA6" w14:textId="77777777" w:rsidR="00B9378C" w:rsidRPr="0094365D" w:rsidRDefault="00B9378C" w:rsidP="00B9378C">
      <w:pPr>
        <w:pStyle w:val="ListParagraph"/>
        <w:numPr>
          <w:ilvl w:val="0"/>
          <w:numId w:val="173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94365D">
        <w:t>Svarīga</w:t>
      </w:r>
      <w:proofErr w:type="spellEnd"/>
      <w:r w:rsidRPr="0094365D">
        <w:t xml:space="preserve"> </w:t>
      </w:r>
      <w:proofErr w:type="spellStart"/>
      <w:r w:rsidRPr="0094365D">
        <w:t>informācija</w:t>
      </w:r>
      <w:proofErr w:type="spellEnd"/>
      <w:r w:rsidRPr="0094365D">
        <w:t xml:space="preserve"> </w:t>
      </w:r>
      <w:proofErr w:type="spellStart"/>
      <w:r w:rsidRPr="0094365D">
        <w:t>veselības</w:t>
      </w:r>
      <w:proofErr w:type="spellEnd"/>
      <w:r w:rsidRPr="0094365D">
        <w:t xml:space="preserve"> </w:t>
      </w:r>
      <w:proofErr w:type="spellStart"/>
      <w:r w:rsidRPr="0094365D">
        <w:t>aprūpes</w:t>
      </w:r>
      <w:proofErr w:type="spellEnd"/>
      <w:r w:rsidRPr="0094365D">
        <w:t xml:space="preserve"> </w:t>
      </w:r>
      <w:proofErr w:type="spellStart"/>
      <w:r w:rsidRPr="0094365D">
        <w:t>speciālistiem</w:t>
      </w:r>
      <w:proofErr w:type="spellEnd"/>
      <w:r w:rsidRPr="0094365D">
        <w:t xml:space="preserve"> par </w:t>
      </w:r>
      <w:proofErr w:type="spellStart"/>
      <w:r w:rsidRPr="0094365D">
        <w:t>zāļu</w:t>
      </w:r>
      <w:proofErr w:type="spellEnd"/>
      <w:r w:rsidRPr="0094365D">
        <w:t xml:space="preserve"> </w:t>
      </w:r>
      <w:proofErr w:type="spellStart"/>
      <w:r w:rsidRPr="0094365D">
        <w:t>riska</w:t>
      </w:r>
      <w:proofErr w:type="spellEnd"/>
      <w:r w:rsidRPr="0094365D">
        <w:t xml:space="preserve"> </w:t>
      </w:r>
      <w:proofErr w:type="spellStart"/>
      <w:r w:rsidRPr="0094365D">
        <w:t>mazināšanu</w:t>
      </w:r>
      <w:proofErr w:type="spellEnd"/>
      <w:r>
        <w:t xml:space="preserve">. </w:t>
      </w:r>
      <w:proofErr w:type="spellStart"/>
      <w:r w:rsidRPr="006500A2">
        <w:rPr>
          <w:bCs/>
        </w:rPr>
        <w:t>Myozyme</w:t>
      </w:r>
      <w:proofErr w:type="spellEnd"/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(alfa </w:t>
      </w:r>
      <w:proofErr w:type="spellStart"/>
      <w:r w:rsidRPr="006500A2">
        <w:rPr>
          <w:bCs/>
        </w:rPr>
        <w:t>alglikozidāze</w:t>
      </w:r>
      <w:proofErr w:type="spellEnd"/>
      <w:r w:rsidRPr="006500A2">
        <w:rPr>
          <w:bCs/>
        </w:rPr>
        <w:t xml:space="preserve">). </w:t>
      </w:r>
      <w:proofErr w:type="spellStart"/>
      <w:r w:rsidRPr="006500A2">
        <w:rPr>
          <w:bCs/>
        </w:rPr>
        <w:t>Norādījumi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veselības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aprūpes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speciālistiem</w:t>
      </w:r>
      <w:proofErr w:type="spellEnd"/>
      <w:r w:rsidRPr="006500A2">
        <w:rPr>
          <w:bCs/>
        </w:rPr>
        <w:t xml:space="preserve"> par </w:t>
      </w:r>
      <w:proofErr w:type="spellStart"/>
      <w:r w:rsidRPr="006500A2">
        <w:rPr>
          <w:bCs/>
        </w:rPr>
        <w:t>Myozyme</w:t>
      </w:r>
      <w:proofErr w:type="spellEnd"/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ievadīšanu</w:t>
      </w:r>
      <w:proofErr w:type="spellEnd"/>
      <w:r w:rsidRPr="006500A2">
        <w:rPr>
          <w:bCs/>
        </w:rPr>
        <w:t xml:space="preserve">, </w:t>
      </w:r>
      <w:proofErr w:type="spellStart"/>
      <w:r w:rsidRPr="006500A2">
        <w:rPr>
          <w:bCs/>
        </w:rPr>
        <w:t>klīniskā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riska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pārvaldību</w:t>
      </w:r>
      <w:proofErr w:type="spellEnd"/>
      <w:r w:rsidRPr="006500A2">
        <w:rPr>
          <w:bCs/>
        </w:rPr>
        <w:t xml:space="preserve"> un </w:t>
      </w:r>
      <w:proofErr w:type="spellStart"/>
      <w:r w:rsidRPr="006500A2">
        <w:rPr>
          <w:bCs/>
        </w:rPr>
        <w:t>imunoloģiskiem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izmeklējumiem</w:t>
      </w:r>
      <w:proofErr w:type="spellEnd"/>
      <w:r w:rsidRPr="006500A2">
        <w:rPr>
          <w:bCs/>
        </w:rPr>
        <w:t xml:space="preserve">, </w:t>
      </w:r>
      <w:proofErr w:type="spellStart"/>
      <w:r w:rsidRPr="006500A2">
        <w:rPr>
          <w:bCs/>
        </w:rPr>
        <w:t>versija</w:t>
      </w:r>
      <w:proofErr w:type="spellEnd"/>
      <w:r w:rsidRPr="006500A2">
        <w:rPr>
          <w:bCs/>
        </w:rPr>
        <w:t xml:space="preserve"> 3</w:t>
      </w:r>
      <w:r>
        <w:rPr>
          <w:b/>
        </w:rPr>
        <w:t>.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0AB69A9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9C7255" w:rsidRPr="009C7255">
        <w:rPr>
          <w:rFonts w:ascii="Times New Roman" w:hAnsi="Times New Roman" w:cs="Times New Roman"/>
          <w:sz w:val="24"/>
          <w:szCs w:val="24"/>
        </w:rPr>
        <w:t>09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9C7255" w:rsidRPr="009C7255">
        <w:rPr>
          <w:rFonts w:ascii="Times New Roman" w:hAnsi="Times New Roman" w:cs="Times New Roman"/>
          <w:sz w:val="24"/>
          <w:szCs w:val="24"/>
        </w:rPr>
        <w:t>4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20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548F4AA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</w:t>
      </w:r>
      <w:proofErr w:type="spellStart"/>
      <w:r w:rsidR="0013774F" w:rsidRPr="009C7255">
        <w:rPr>
          <w:bCs/>
          <w:color w:val="000000"/>
          <w:kern w:val="24"/>
        </w:rPr>
        <w:t>Mysimba</w:t>
      </w:r>
      <w:proofErr w:type="spellEnd"/>
      <w:r w:rsidR="0013774F" w:rsidRPr="009C7255">
        <w:rPr>
          <w:bCs/>
          <w:color w:val="000000"/>
          <w:kern w:val="24"/>
        </w:rPr>
        <w:t xml:space="preserve">▼ </w:t>
      </w:r>
      <w:r w:rsidR="009C7255">
        <w:rPr>
          <w:bCs/>
          <w:color w:val="000000"/>
          <w:kern w:val="24"/>
        </w:rPr>
        <w:t xml:space="preserve">versija </w:t>
      </w:r>
      <w:r w:rsidR="00B535D5">
        <w:rPr>
          <w:bCs/>
          <w:color w:val="000000"/>
          <w:kern w:val="24"/>
        </w:rPr>
        <w:t>2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AB1D87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4F64E34E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9" w:name="_Hlk6263133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1256FF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34454B7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16D1448" w14:textId="77777777" w:rsidR="00E7779C" w:rsidRPr="00E7779C" w:rsidRDefault="00E7779C" w:rsidP="00AB1D8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30AFF842" w14:textId="77777777" w:rsidR="00E7779C" w:rsidRPr="00E7779C" w:rsidRDefault="00E7779C" w:rsidP="00AB1D8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A29B95C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DB8F795" w14:textId="77777777" w:rsidR="00E7779C" w:rsidRPr="00E7779C" w:rsidRDefault="00E7779C" w:rsidP="00AB1D87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B9896A5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bookmarkEnd w:id="19"/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F2E8F7A" w14:textId="77777777" w:rsidR="0013774F" w:rsidRDefault="0013774F" w:rsidP="00AB1D8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60D9CEC" w14:textId="77777777" w:rsidR="0013774F" w:rsidRDefault="0013774F" w:rsidP="00AB1D87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ārstam</w:t>
      </w:r>
      <w:proofErr w:type="spellEnd"/>
      <w:r>
        <w:rPr>
          <w:bCs/>
        </w:rPr>
        <w:t>;</w:t>
      </w:r>
      <w:proofErr w:type="gramEnd"/>
    </w:p>
    <w:p w14:paraId="7349CCA4" w14:textId="77777777" w:rsidR="0013774F" w:rsidRDefault="0013774F" w:rsidP="00AB1D87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AB1D87">
      <w:pPr>
        <w:pStyle w:val="ListParagraph"/>
        <w:numPr>
          <w:ilvl w:val="0"/>
          <w:numId w:val="139"/>
        </w:numPr>
        <w:spacing w:line="254" w:lineRule="auto"/>
      </w:pPr>
      <w:proofErr w:type="spellStart"/>
      <w:r>
        <w:rPr>
          <w:color w:val="000000"/>
        </w:rPr>
        <w:lastRenderedPageBreak/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AB1D87">
      <w:pPr>
        <w:pStyle w:val="ListParagraph"/>
        <w:numPr>
          <w:ilvl w:val="0"/>
          <w:numId w:val="64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AB1D87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AB1D87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AB1D87">
      <w:pPr>
        <w:pStyle w:val="ListParagraph"/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AB1D87">
      <w:pPr>
        <w:pStyle w:val="ListParagraph"/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3702DC7B" w14:textId="77777777" w:rsidR="0013774F" w:rsidRDefault="0013774F" w:rsidP="00AB1D87">
      <w:pPr>
        <w:pStyle w:val="ListParagraph"/>
        <w:numPr>
          <w:ilvl w:val="0"/>
          <w:numId w:val="67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AB1D8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AB1D87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69F824F5" w14:textId="77777777" w:rsidR="0013774F" w:rsidRDefault="0013774F" w:rsidP="00AB1D87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EB10E" w14:textId="77777777" w:rsidR="0013774F" w:rsidRDefault="0013774F" w:rsidP="00AB1D87">
      <w:pPr>
        <w:numPr>
          <w:ilvl w:val="0"/>
          <w:numId w:val="6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716568" w14:textId="3AD92D4D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Palynziq</w:t>
      </w:r>
      <w:proofErr w:type="spellEnd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(</w:t>
      </w:r>
      <w:proofErr w:type="spellStart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Pegvaliasum</w:t>
      </w:r>
      <w:proofErr w:type="spellEnd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)</w:t>
      </w:r>
      <w:r w:rsidRPr="009449B6"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BioMarin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International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15.01.2021.):</w:t>
      </w:r>
    </w:p>
    <w:p w14:paraId="2B6AE11A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76432A9" w14:textId="7CB95A35" w:rsidR="009449B6" w:rsidRPr="009449B6" w:rsidRDefault="009449B6" w:rsidP="00AB1D87">
      <w:pPr>
        <w:numPr>
          <w:ilvl w:val="0"/>
          <w:numId w:val="16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</w:t>
      </w:r>
      <w:bookmarkStart w:id="20" w:name="_Hlk59109857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PALYNZIQ®▼ </w:t>
      </w:r>
      <w:bookmarkEnd w:id="20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) riska mazināšanu, </w:t>
      </w:r>
      <w:bookmarkStart w:id="21" w:name="_Hlk59198636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versija - </w:t>
      </w:r>
      <w:bookmarkEnd w:id="21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05/01/2021; </w:t>
      </w:r>
    </w:p>
    <w:p w14:paraId="69F86205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8D557D8" w14:textId="77777777" w:rsidR="009449B6" w:rsidRPr="009449B6" w:rsidRDefault="009449B6" w:rsidP="00AB1D87">
      <w:pPr>
        <w:numPr>
          <w:ilvl w:val="0"/>
          <w:numId w:val="16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PALYNZIQ®▼  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) Pacienta brīdinājuma kartīte, versija - 05/01/2021;</w:t>
      </w:r>
    </w:p>
    <w:p w14:paraId="2B97E73E" w14:textId="77777777" w:rsidR="009449B6" w:rsidRPr="009449B6" w:rsidRDefault="009449B6" w:rsidP="00AB1D87">
      <w:pPr>
        <w:numPr>
          <w:ilvl w:val="0"/>
          <w:numId w:val="16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Norādījumi pacientiem un apmācītiem novērotājiem PALYNZIQ ®▼(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)  riska mazināšanu, versija - 05/01/2021; </w:t>
      </w:r>
    </w:p>
    <w:p w14:paraId="38ABA8CE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CB163BD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7D6AC40" w14:textId="024D1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619B0943" w14:textId="77777777" w:rsidR="0013774F" w:rsidRDefault="0013774F" w:rsidP="00AB1D87">
      <w:pPr>
        <w:numPr>
          <w:ilvl w:val="0"/>
          <w:numId w:val="68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AB1D87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AB1D87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AB1D87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AB1D87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77777777" w:rsidR="0013774F" w:rsidRDefault="0013774F" w:rsidP="00AB1D87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14:paraId="3233D398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28.01.2020.)</w:t>
      </w:r>
    </w:p>
    <w:p w14:paraId="6894F4FA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mazināšanu, versija 20:</w:t>
      </w:r>
    </w:p>
    <w:p w14:paraId="35871B40" w14:textId="77777777" w:rsidR="0013774F" w:rsidRDefault="0013774F" w:rsidP="00AB1D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trombembolijas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profilaksei;</w:t>
      </w:r>
    </w:p>
    <w:p w14:paraId="1B2D2677" w14:textId="77777777" w:rsidR="0013774F" w:rsidRDefault="0013774F" w:rsidP="00AB1D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recidivējošas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DZVT un PE profilaksei pieaugušajiem;</w:t>
      </w:r>
    </w:p>
    <w:p w14:paraId="2E297042" w14:textId="77777777" w:rsidR="0013774F" w:rsidRDefault="0013774F" w:rsidP="00AB1D87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AB1D87">
      <w:pPr>
        <w:pStyle w:val="BodytextAgency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denosumabs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60 mg): pacienta atgādinājuma kartītes ieviešana žokļa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osteonekrozes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riska mazināšanai.</w:t>
      </w:r>
    </w:p>
    <w:p w14:paraId="01F0E453" w14:textId="77777777" w:rsidR="0013774F" w:rsidRDefault="0013774F" w:rsidP="00AB1D87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74C44AB8" w14:textId="77777777" w:rsidR="0013774F" w:rsidRDefault="0013774F" w:rsidP="00AB1D87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9737D24" w14:textId="77777777" w:rsidR="0013774F" w:rsidRDefault="0013774F" w:rsidP="00AB1D87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4E949123" w14:textId="77777777" w:rsidR="0013774F" w:rsidRDefault="0013774F" w:rsidP="00AB1D87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7939463D" w14:textId="77777777" w:rsidR="0013774F" w:rsidRDefault="0013774F" w:rsidP="00AB1D8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AB1D87">
      <w:pPr>
        <w:pStyle w:val="ListParagraph"/>
        <w:numPr>
          <w:ilvl w:val="0"/>
          <w:numId w:val="12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37B739AE" w14:textId="77777777" w:rsidR="0013774F" w:rsidRPr="00D40A27" w:rsidRDefault="0013774F" w:rsidP="00AB1D87">
      <w:pPr>
        <w:pStyle w:val="ListParagraph"/>
        <w:numPr>
          <w:ilvl w:val="0"/>
          <w:numId w:val="124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0B2C9517" w14:textId="77777777" w:rsidR="0013774F" w:rsidRPr="00D40A27" w:rsidRDefault="0013774F" w:rsidP="00AB1D87">
      <w:pPr>
        <w:pStyle w:val="ListParagraph"/>
        <w:numPr>
          <w:ilvl w:val="0"/>
          <w:numId w:val="124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486054C5" w14:textId="77777777" w:rsidR="0013774F" w:rsidRPr="00D40A27" w:rsidRDefault="0013774F" w:rsidP="00AB1D87">
      <w:pPr>
        <w:pStyle w:val="ListParagraph"/>
        <w:numPr>
          <w:ilvl w:val="0"/>
          <w:numId w:val="124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AB1D87">
      <w:pPr>
        <w:pStyle w:val="ListParagraph"/>
        <w:numPr>
          <w:ilvl w:val="0"/>
          <w:numId w:val="124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AB1D87">
      <w:pPr>
        <w:pStyle w:val="Default"/>
        <w:numPr>
          <w:ilvl w:val="0"/>
          <w:numId w:val="161"/>
        </w:numPr>
        <w:autoSpaceDE/>
        <w:autoSpaceDN/>
        <w:adjustRightInd/>
        <w:jc w:val="both"/>
      </w:pPr>
      <w:proofErr w:type="spellStart"/>
      <w:r w:rsidRPr="00A84C68">
        <w:t>Vēstule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speciālistam</w:t>
      </w:r>
      <w:proofErr w:type="spellEnd"/>
      <w:r w:rsidRPr="00A84C68">
        <w:t xml:space="preserve">. </w:t>
      </w:r>
      <w:proofErr w:type="spellStart"/>
      <w:r w:rsidRPr="00A84C68">
        <w:t>Atjaunināti</w:t>
      </w:r>
      <w:proofErr w:type="spellEnd"/>
      <w:r w:rsidRPr="00A84C68">
        <w:t xml:space="preserve"> </w:t>
      </w:r>
      <w:proofErr w:type="spellStart"/>
      <w:r w:rsidRPr="00A84C68">
        <w:t>izglītojošie</w:t>
      </w:r>
      <w:proofErr w:type="spellEnd"/>
      <w:r w:rsidRPr="00A84C68">
        <w:t xml:space="preserve"> </w:t>
      </w:r>
      <w:proofErr w:type="spellStart"/>
      <w:r w:rsidRPr="00A84C68">
        <w:t>materiāli</w:t>
      </w:r>
      <w:proofErr w:type="spellEnd"/>
      <w:r w:rsidRPr="00A84C68">
        <w:t xml:space="preserve"> par </w:t>
      </w:r>
      <w:proofErr w:type="spellStart"/>
      <w:r w:rsidRPr="00A84C68">
        <w:t>Remodulin</w:t>
      </w:r>
      <w:proofErr w:type="spellEnd"/>
      <w:r w:rsidRPr="00A84C68">
        <w:t xml:space="preserve"> (</w:t>
      </w:r>
      <w:proofErr w:type="spellStart"/>
      <w:r w:rsidRPr="00A84C68">
        <w:t>treprostinils</w:t>
      </w:r>
      <w:proofErr w:type="spellEnd"/>
      <w:r w:rsidRPr="00A84C68">
        <w:t xml:space="preserve">)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</w:t>
      </w:r>
      <w:proofErr w:type="gramStart"/>
      <w:r w:rsidRPr="00A84C68">
        <w:t>2;</w:t>
      </w:r>
      <w:proofErr w:type="gramEnd"/>
      <w:r w:rsidRPr="00A84C68">
        <w:t xml:space="preserve"> </w:t>
      </w:r>
    </w:p>
    <w:p w14:paraId="0453E15F" w14:textId="77777777" w:rsidR="00E424A8" w:rsidRPr="00A84C68" w:rsidRDefault="00E424A8" w:rsidP="00AB1D87">
      <w:pPr>
        <w:pStyle w:val="ListParagraph"/>
        <w:numPr>
          <w:ilvl w:val="0"/>
          <w:numId w:val="161"/>
        </w:numPr>
        <w:contextualSpacing w:val="0"/>
        <w:jc w:val="both"/>
      </w:pPr>
      <w:proofErr w:type="spellStart"/>
      <w:r w:rsidRPr="00A84C68">
        <w:t>Veidlapa</w:t>
      </w:r>
      <w:proofErr w:type="spellEnd"/>
      <w:r w:rsidRPr="00A84C68">
        <w:t xml:space="preserve">. </w:t>
      </w:r>
      <w:proofErr w:type="spellStart"/>
      <w:r w:rsidRPr="00A84C68">
        <w:t>Īpaši</w:t>
      </w:r>
      <w:proofErr w:type="spellEnd"/>
      <w:r w:rsidRPr="00A84C68">
        <w:t xml:space="preserve"> </w:t>
      </w:r>
      <w:proofErr w:type="spellStart"/>
      <w:r w:rsidRPr="00A84C68">
        <w:t>uzraugāms</w:t>
      </w:r>
      <w:proofErr w:type="spellEnd"/>
      <w:r w:rsidRPr="00A84C68">
        <w:t xml:space="preserve"> </w:t>
      </w:r>
      <w:proofErr w:type="spellStart"/>
      <w:r w:rsidRPr="00A84C68">
        <w:t>nevēlams</w:t>
      </w:r>
      <w:proofErr w:type="spellEnd"/>
      <w:r w:rsidRPr="00A84C68">
        <w:t xml:space="preserve"> </w:t>
      </w:r>
      <w:proofErr w:type="spellStart"/>
      <w:r w:rsidRPr="00A84C68">
        <w:t>notikums</w:t>
      </w:r>
      <w:proofErr w:type="spellEnd"/>
      <w:r w:rsidRPr="00A84C68">
        <w:t xml:space="preserve"> –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intravenozo</w:t>
      </w:r>
      <w:proofErr w:type="spellEnd"/>
      <w:r w:rsidRPr="00A84C68">
        <w:t xml:space="preserve"> </w:t>
      </w:r>
      <w:proofErr w:type="spellStart"/>
      <w:r w:rsidRPr="00A84C68">
        <w:t>terapiju</w:t>
      </w:r>
      <w:proofErr w:type="spellEnd"/>
      <w:r w:rsidRPr="00A84C68">
        <w:t xml:space="preserve"> </w:t>
      </w:r>
      <w:proofErr w:type="spellStart"/>
      <w:r w:rsidRPr="00A84C68">
        <w:t>saistīta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</w:t>
      </w:r>
      <w:proofErr w:type="gramStart"/>
      <w:r w:rsidRPr="00A84C68">
        <w:t>05/2020;</w:t>
      </w:r>
      <w:proofErr w:type="gramEnd"/>
      <w:r w:rsidRPr="00A84C68">
        <w:t xml:space="preserve"> </w:t>
      </w:r>
    </w:p>
    <w:p w14:paraId="20F9A0ED" w14:textId="77777777" w:rsidR="00E424A8" w:rsidRPr="00A84C68" w:rsidRDefault="00E424A8" w:rsidP="00AB1D87">
      <w:pPr>
        <w:pStyle w:val="ListParagraph"/>
        <w:numPr>
          <w:ilvl w:val="0"/>
          <w:numId w:val="161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speciālistiem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speciālistu</w:t>
      </w:r>
      <w:proofErr w:type="spellEnd"/>
      <w:r w:rsidRPr="00A84C68">
        <w:t xml:space="preserve"> (VAS) </w:t>
      </w:r>
      <w:proofErr w:type="spellStart"/>
      <w:r w:rsidRPr="00A84C68">
        <w:t>apmācība</w:t>
      </w:r>
      <w:proofErr w:type="spellEnd"/>
      <w:r w:rsidRPr="00A84C68">
        <w:t xml:space="preserve"> </w:t>
      </w:r>
      <w:proofErr w:type="spellStart"/>
      <w:r w:rsidRPr="00A84C68">
        <w:t>drošai</w:t>
      </w:r>
      <w:proofErr w:type="spellEnd"/>
      <w:r w:rsidRPr="00A84C68">
        <w:t xml:space="preserve"> </w:t>
      </w:r>
      <w:proofErr w:type="spellStart"/>
      <w:r w:rsidRPr="00A84C68">
        <w:t>treprsotinila</w:t>
      </w:r>
      <w:proofErr w:type="spellEnd"/>
      <w:r w:rsidRPr="00A84C68">
        <w:t xml:space="preserve">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 un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katetru</w:t>
      </w:r>
      <w:proofErr w:type="spellEnd"/>
      <w:r w:rsidRPr="00A84C68">
        <w:t xml:space="preserve"> </w:t>
      </w:r>
      <w:proofErr w:type="spellStart"/>
      <w:r w:rsidRPr="00A84C68">
        <w:t>saistītu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infekciju</w:t>
      </w:r>
      <w:proofErr w:type="spellEnd"/>
      <w:r w:rsidRPr="00A84C68">
        <w:t xml:space="preserve"> (KS-AI) </w:t>
      </w:r>
      <w:proofErr w:type="spellStart"/>
      <w:r w:rsidRPr="00A84C68">
        <w:t>novēršanai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</w:p>
    <w:p w14:paraId="239F6C68" w14:textId="77777777" w:rsidR="00E424A8" w:rsidRPr="00A84C68" w:rsidRDefault="00E424A8" w:rsidP="00AB1D87">
      <w:pPr>
        <w:pStyle w:val="ListParagraph"/>
        <w:numPr>
          <w:ilvl w:val="0"/>
          <w:numId w:val="161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pacientam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Infūzijas</w:t>
      </w:r>
      <w:proofErr w:type="spellEnd"/>
      <w:r w:rsidRPr="00A84C68">
        <w:t xml:space="preserve"> </w:t>
      </w:r>
      <w:proofErr w:type="spellStart"/>
      <w:r w:rsidRPr="00A84C68">
        <w:t>sistēmas</w:t>
      </w:r>
      <w:proofErr w:type="spellEnd"/>
      <w:r w:rsidRPr="00A84C68">
        <w:t xml:space="preserve"> </w:t>
      </w:r>
      <w:proofErr w:type="spellStart"/>
      <w:r w:rsidRPr="00A84C68">
        <w:t>izmantošana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ievadīšanai</w:t>
      </w:r>
      <w:proofErr w:type="spellEnd"/>
      <w:r w:rsidRPr="00A84C68">
        <w:t xml:space="preserve"> </w:t>
      </w:r>
      <w:proofErr w:type="spellStart"/>
      <w:r w:rsidRPr="00A84C68">
        <w:t>vēnā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  <w:r w:rsidRPr="00A84C68">
        <w:t xml:space="preserve"> </w:t>
      </w:r>
    </w:p>
    <w:p w14:paraId="360E901F" w14:textId="77777777" w:rsidR="00E424A8" w:rsidRPr="00A84C68" w:rsidRDefault="00E424A8" w:rsidP="00AB1D87">
      <w:pPr>
        <w:pStyle w:val="ListParagraph"/>
        <w:numPr>
          <w:ilvl w:val="0"/>
          <w:numId w:val="161"/>
        </w:numPr>
        <w:contextualSpacing w:val="0"/>
        <w:jc w:val="both"/>
      </w:pPr>
      <w:proofErr w:type="spellStart"/>
      <w:r w:rsidRPr="00A84C68">
        <w:t>Pacienta</w:t>
      </w:r>
      <w:proofErr w:type="spellEnd"/>
      <w:r w:rsidRPr="00A84C68">
        <w:t xml:space="preserve"> </w:t>
      </w:r>
      <w:proofErr w:type="spellStart"/>
      <w:r w:rsidRPr="00A84C68">
        <w:t>anketa-treprostinila</w:t>
      </w:r>
      <w:proofErr w:type="spellEnd"/>
      <w:r w:rsidRPr="00A84C68">
        <w:t xml:space="preserve"> </w:t>
      </w:r>
      <w:proofErr w:type="spellStart"/>
      <w:r w:rsidRPr="00A84C68">
        <w:t>intravenozā</w:t>
      </w:r>
      <w:proofErr w:type="spellEnd"/>
      <w:r w:rsidRPr="00A84C68">
        <w:t xml:space="preserve"> </w:t>
      </w:r>
      <w:proofErr w:type="spellStart"/>
      <w:r w:rsidRPr="00A84C68">
        <w:t>terapija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0443156A" w14:textId="77777777" w:rsidR="0013774F" w:rsidRPr="00123F07" w:rsidRDefault="0013774F" w:rsidP="00AB1D87">
      <w:pPr>
        <w:pStyle w:val="ListParagraph"/>
        <w:numPr>
          <w:ilvl w:val="0"/>
          <w:numId w:val="76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22" w:name="_Hlk492046074"/>
      <w:r w:rsidRPr="00123F07">
        <w:rPr>
          <w:iCs/>
          <w:lang w:val="lv-LV"/>
        </w:rPr>
        <w:t>atjaunināts -17.08.2017;</w:t>
      </w:r>
    </w:p>
    <w:bookmarkEnd w:id="22"/>
    <w:p w14:paraId="1C99265A" w14:textId="77777777" w:rsidR="0013774F" w:rsidRPr="00123F07" w:rsidRDefault="0013774F" w:rsidP="00AB1D87">
      <w:pPr>
        <w:pStyle w:val="ListParagraph"/>
        <w:numPr>
          <w:ilvl w:val="0"/>
          <w:numId w:val="76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3A610FEE" w14:textId="77777777" w:rsidR="0013774F" w:rsidRPr="00123F07" w:rsidRDefault="0013774F" w:rsidP="00AB1D87">
      <w:pPr>
        <w:pStyle w:val="ListParagraph"/>
        <w:numPr>
          <w:ilvl w:val="0"/>
          <w:numId w:val="76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AB1D87">
      <w:pPr>
        <w:pStyle w:val="ListParagraph"/>
        <w:numPr>
          <w:ilvl w:val="0"/>
          <w:numId w:val="76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lastRenderedPageBreak/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AB1D87">
      <w:pPr>
        <w:pStyle w:val="ListParagraph"/>
        <w:numPr>
          <w:ilvl w:val="0"/>
          <w:numId w:val="76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AB1D87">
      <w:pPr>
        <w:pStyle w:val="ListParagraph"/>
        <w:numPr>
          <w:ilvl w:val="0"/>
          <w:numId w:val="76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AB1D87">
      <w:pPr>
        <w:pStyle w:val="ListParagraph"/>
        <w:numPr>
          <w:ilvl w:val="0"/>
          <w:numId w:val="76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18638491" w14:textId="77777777" w:rsidR="0013774F" w:rsidRPr="00123F07" w:rsidRDefault="0013774F" w:rsidP="00AB1D87">
      <w:pPr>
        <w:numPr>
          <w:ilvl w:val="0"/>
          <w:numId w:val="76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CE17F39" w14:textId="77777777" w:rsidR="0013774F" w:rsidRPr="00123F07" w:rsidRDefault="0013774F" w:rsidP="00AB1D87">
      <w:pPr>
        <w:numPr>
          <w:ilvl w:val="0"/>
          <w:numId w:val="76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AB1D87">
      <w:pPr>
        <w:numPr>
          <w:ilvl w:val="0"/>
          <w:numId w:val="76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3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bookmarkEnd w:id="23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AB1D87">
      <w:pPr>
        <w:pStyle w:val="NormalWeb"/>
        <w:numPr>
          <w:ilvl w:val="0"/>
          <w:numId w:val="77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1697DED0" w14:textId="77777777" w:rsidR="0013774F" w:rsidRDefault="0013774F" w:rsidP="00AB1D87">
      <w:pPr>
        <w:pStyle w:val="NormalWeb"/>
        <w:numPr>
          <w:ilvl w:val="0"/>
          <w:numId w:val="77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5B4B89FB" w14:textId="77777777" w:rsidR="0013774F" w:rsidRDefault="0013774F" w:rsidP="00AB1D87">
      <w:pPr>
        <w:pStyle w:val="NormalWeb"/>
        <w:numPr>
          <w:ilvl w:val="0"/>
          <w:numId w:val="77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7BF959C4" w14:textId="77777777" w:rsidR="0013774F" w:rsidRDefault="0013774F" w:rsidP="00AB1D87">
      <w:pPr>
        <w:pStyle w:val="NormalWeb"/>
        <w:numPr>
          <w:ilvl w:val="0"/>
          <w:numId w:val="77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7F5B083" w14:textId="77777777" w:rsidR="0013774F" w:rsidRDefault="0013774F" w:rsidP="00AB1D87">
      <w:pPr>
        <w:pStyle w:val="NormalWeb"/>
        <w:numPr>
          <w:ilvl w:val="0"/>
          <w:numId w:val="77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676920FA" w14:textId="4FDB213F" w:rsidR="0013774F" w:rsidRDefault="0013774F" w:rsidP="0013774F">
      <w:pPr>
        <w:pStyle w:val="NormalWeb"/>
        <w:spacing w:before="0" w:beforeAutospacing="0" w:after="0" w:afterAutospacing="0"/>
        <w:jc w:val="both"/>
      </w:pPr>
      <w:proofErr w:type="spellStart"/>
      <w:r w:rsidRPr="00542046">
        <w:rPr>
          <w:b/>
          <w:bCs/>
        </w:rPr>
        <w:t>Rinvoq</w:t>
      </w:r>
      <w:proofErr w:type="spellEnd"/>
      <w:r w:rsidRPr="00DD1464">
        <w:rPr>
          <w:b/>
        </w:rPr>
        <w:t>▼</w:t>
      </w:r>
      <w:r>
        <w:t xml:space="preserve"> (</w:t>
      </w:r>
      <w:proofErr w:type="spellStart"/>
      <w:r>
        <w:t>upadacitinibum</w:t>
      </w:r>
      <w:proofErr w:type="spellEnd"/>
      <w:r>
        <w:t xml:space="preserve">) </w:t>
      </w:r>
      <w:proofErr w:type="spellStart"/>
      <w:r>
        <w:t>AbbVie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GmbH&amp;Co.KG, Vācija (</w:t>
      </w:r>
      <w:r w:rsidR="00E42106">
        <w:t>atjauninā</w:t>
      </w:r>
      <w:r>
        <w:t xml:space="preserve">ts </w:t>
      </w:r>
      <w:r w:rsidR="00E42106">
        <w:t>10</w:t>
      </w:r>
      <w:r>
        <w:t>.0</w:t>
      </w:r>
      <w:r w:rsidR="00E42106">
        <w:t>2</w:t>
      </w:r>
      <w:r>
        <w:t>.202</w:t>
      </w:r>
      <w:r w:rsidR="00E42106">
        <w:t>1</w:t>
      </w:r>
      <w:r>
        <w:t>)</w:t>
      </w:r>
    </w:p>
    <w:p w14:paraId="4723009E" w14:textId="28F31378" w:rsidR="0013774F" w:rsidRPr="00DD1464" w:rsidRDefault="0013774F" w:rsidP="00AB1D87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proofErr w:type="spellStart"/>
      <w:r w:rsidRPr="00DD1464">
        <w:rPr>
          <w:color w:val="000000"/>
        </w:rPr>
        <w:t>zglītojošs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materiāls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veselības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aprūpes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speciālistiem</w:t>
      </w:r>
      <w:proofErr w:type="spellEnd"/>
      <w:r w:rsidRPr="00DD1464">
        <w:rPr>
          <w:color w:val="000000"/>
        </w:rPr>
        <w:t xml:space="preserve"> (</w:t>
      </w:r>
      <w:r w:rsidR="00E42106">
        <w:rPr>
          <w:rFonts w:eastAsiaTheme="minorHAnsi"/>
          <w:color w:val="000000"/>
        </w:rPr>
        <w:t>2</w:t>
      </w:r>
      <w:r w:rsidR="00E42106" w:rsidRPr="0023452B">
        <w:rPr>
          <w:rFonts w:eastAsiaTheme="minorHAnsi"/>
          <w:color w:val="000000"/>
        </w:rPr>
        <w:t xml:space="preserve">.0, </w:t>
      </w:r>
      <w:proofErr w:type="spellStart"/>
      <w:r w:rsidR="00E42106">
        <w:rPr>
          <w:rFonts w:eastAsiaTheme="minorHAnsi"/>
          <w:color w:val="000000"/>
        </w:rPr>
        <w:t>Janvāris</w:t>
      </w:r>
      <w:proofErr w:type="spellEnd"/>
      <w:r w:rsidR="00E42106">
        <w:rPr>
          <w:rFonts w:eastAsiaTheme="minorHAnsi"/>
          <w:color w:val="000000"/>
        </w:rPr>
        <w:t xml:space="preserve"> </w:t>
      </w:r>
      <w:r w:rsidR="00E42106" w:rsidRPr="0023452B">
        <w:rPr>
          <w:rFonts w:eastAsiaTheme="minorHAnsi"/>
          <w:color w:val="000000"/>
        </w:rPr>
        <w:t>202</w:t>
      </w:r>
      <w:r w:rsidR="00E42106">
        <w:rPr>
          <w:rFonts w:eastAsiaTheme="minorHAnsi"/>
          <w:color w:val="000000"/>
        </w:rPr>
        <w:t>1);</w:t>
      </w:r>
    </w:p>
    <w:p w14:paraId="24DB9986" w14:textId="51F7FE2F" w:rsidR="0013774F" w:rsidRPr="00542046" w:rsidRDefault="0013774F" w:rsidP="00AB1D87">
      <w:pPr>
        <w:numPr>
          <w:ilvl w:val="0"/>
          <w:numId w:val="15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 xml:space="preserve">.0, </w:t>
      </w:r>
      <w:proofErr w:type="spellStart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Janvāris</w:t>
      </w:r>
      <w:proofErr w:type="spellEnd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>202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70406C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, (atjaunināts 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3854A0C4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21A85B38" w14:textId="77777777" w:rsidR="009D1F15" w:rsidRPr="009D1F15" w:rsidRDefault="009D1F15" w:rsidP="00AB1D87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AB1D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AB1D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4AFB" w14:textId="75CD625D" w:rsidR="00E7779C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38E6F5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2A52A66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C603E0" w14:textId="77777777" w:rsidR="00E7779C" w:rsidRPr="00E7779C" w:rsidRDefault="00E7779C" w:rsidP="00AB1D87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2A8F6F09" w14:textId="77777777" w:rsidR="00E7779C" w:rsidRPr="00E7779C" w:rsidRDefault="00E7779C" w:rsidP="00AB1D87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5BA36AC2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743810D" w14:textId="77777777" w:rsidR="00E7779C" w:rsidRPr="00E7779C" w:rsidRDefault="00E7779C" w:rsidP="00AB1D87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3BA8AC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113F71DE" w14:textId="066A6024" w:rsidR="0013774F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Buklets veselības aprūpes speciālistam par šādām indikācijām 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180794A" w14:textId="77777777" w:rsidR="00B47F35" w:rsidRPr="00B47F35" w:rsidRDefault="00B47F3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NORĀDĪJUMI PAR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RoActemra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Nozīmīga drošuma informācija pacientiem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0D55487" w14:textId="77777777" w:rsidR="00B47F35" w:rsidRPr="00B47F35" w:rsidRDefault="00B47F35" w:rsidP="00AB1D87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2506B394" w14:textId="77777777" w:rsidR="0013774F" w:rsidRDefault="0013774F" w:rsidP="00AB1D87">
      <w:pPr>
        <w:pStyle w:val="ListParagraph"/>
        <w:numPr>
          <w:ilvl w:val="0"/>
          <w:numId w:val="78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0D23EFE3" w14:textId="77777777" w:rsidR="0013774F" w:rsidRDefault="0013774F" w:rsidP="00AB1D87">
      <w:pPr>
        <w:pStyle w:val="ListParagraph"/>
        <w:numPr>
          <w:ilvl w:val="0"/>
          <w:numId w:val="78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48D3297E" w14:textId="77777777" w:rsidR="0013774F" w:rsidRDefault="0013774F" w:rsidP="00AB1D87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AB1D87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AB1D87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AB1D87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AB1D87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AB1D87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7777777" w:rsidR="0013774F" w:rsidRDefault="0013774F" w:rsidP="00AB1D87">
      <w:pPr>
        <w:pStyle w:val="ListParagraph"/>
        <w:numPr>
          <w:ilvl w:val="0"/>
          <w:numId w:val="80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77777777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2EAD273A" w14:textId="77777777" w:rsidR="0013774F" w:rsidRDefault="0013774F" w:rsidP="0013774F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3C6A3C7" w14:textId="77777777" w:rsidR="0013774F" w:rsidRDefault="0013774F" w:rsidP="00AB1D87">
      <w:pPr>
        <w:pStyle w:val="Header"/>
        <w:widowControl w:val="0"/>
        <w:numPr>
          <w:ilvl w:val="0"/>
          <w:numId w:val="12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>), versija 4.0</w:t>
      </w:r>
    </w:p>
    <w:p w14:paraId="3685DC9D" w14:textId="77777777" w:rsidR="0013774F" w:rsidRDefault="0013774F" w:rsidP="00AB1D87">
      <w:pPr>
        <w:pStyle w:val="Header"/>
        <w:widowControl w:val="0"/>
        <w:numPr>
          <w:ilvl w:val="0"/>
          <w:numId w:val="12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>) pacientam/vecākiem, versija 4.0</w:t>
      </w:r>
    </w:p>
    <w:p w14:paraId="486D4C46" w14:textId="77777777" w:rsidR="0013774F" w:rsidRDefault="0013774F" w:rsidP="00AB1D87">
      <w:pPr>
        <w:pStyle w:val="ListParagraph"/>
        <w:numPr>
          <w:ilvl w:val="0"/>
          <w:numId w:val="12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140015" w14:textId="77777777" w:rsidR="0013774F" w:rsidRDefault="0013774F" w:rsidP="0013774F">
      <w:pPr>
        <w:pStyle w:val="ListParagraph"/>
        <w:spacing w:line="223" w:lineRule="auto"/>
        <w:jc w:val="both"/>
      </w:pPr>
    </w:p>
    <w:p w14:paraId="2E53F9A0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14:paraId="669C3A5A" w14:textId="77777777" w:rsidR="0013774F" w:rsidRDefault="0013774F" w:rsidP="00AB1D87">
      <w:pPr>
        <w:pStyle w:val="Header"/>
        <w:widowControl w:val="0"/>
        <w:numPr>
          <w:ilvl w:val="0"/>
          <w:numId w:val="12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4.0 </w:t>
      </w:r>
    </w:p>
    <w:p w14:paraId="127776A0" w14:textId="77777777" w:rsidR="0013774F" w:rsidRDefault="0013774F" w:rsidP="00AB1D87">
      <w:pPr>
        <w:pStyle w:val="Header"/>
        <w:widowControl w:val="0"/>
        <w:numPr>
          <w:ilvl w:val="0"/>
          <w:numId w:val="12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4.0</w:t>
      </w:r>
    </w:p>
    <w:p w14:paraId="0C0E8922" w14:textId="77777777" w:rsidR="0013774F" w:rsidRDefault="0013774F" w:rsidP="00AB1D87">
      <w:pPr>
        <w:pStyle w:val="ListParagraph"/>
        <w:numPr>
          <w:ilvl w:val="0"/>
          <w:numId w:val="12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4AF88E3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7D233465" w14:textId="77777777" w:rsidR="0013774F" w:rsidRDefault="0013774F" w:rsidP="001377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14:paraId="4A9DEEEB" w14:textId="77777777" w:rsidR="0013774F" w:rsidRDefault="0013774F" w:rsidP="00AB1D87">
      <w:pPr>
        <w:pStyle w:val="Header"/>
        <w:widowControl w:val="0"/>
        <w:numPr>
          <w:ilvl w:val="0"/>
          <w:numId w:val="12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), versija 2.0.</w:t>
      </w:r>
    </w:p>
    <w:p w14:paraId="27E37A53" w14:textId="77777777" w:rsidR="0013774F" w:rsidRDefault="0013774F" w:rsidP="00AB1D87">
      <w:pPr>
        <w:pStyle w:val="Header"/>
        <w:widowControl w:val="0"/>
        <w:numPr>
          <w:ilvl w:val="0"/>
          <w:numId w:val="12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 pacientam/vecākiem, versija 2.0.</w:t>
      </w:r>
    </w:p>
    <w:p w14:paraId="5CD88A88" w14:textId="77777777" w:rsidR="0013774F" w:rsidRDefault="0013774F" w:rsidP="00AB1D87">
      <w:pPr>
        <w:pStyle w:val="ListParagraph"/>
        <w:numPr>
          <w:ilvl w:val="0"/>
          <w:numId w:val="121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14:paraId="7A476F13" w14:textId="77777777" w:rsidR="0013774F" w:rsidRDefault="0013774F" w:rsidP="0013774F">
      <w:pPr>
        <w:pStyle w:val="ListParagraph"/>
        <w:spacing w:line="223" w:lineRule="auto"/>
        <w:jc w:val="both"/>
      </w:pPr>
    </w:p>
    <w:p w14:paraId="217D2CC8" w14:textId="77777777" w:rsidR="0013774F" w:rsidRDefault="0013774F" w:rsidP="001377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A2BB8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77777777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23.10.2020.):</w:t>
      </w:r>
    </w:p>
    <w:p w14:paraId="2492DDB1" w14:textId="77777777" w:rsidR="00CA3E49" w:rsidRPr="00CA3E49" w:rsidRDefault="00CA3E49" w:rsidP="00AB1D87">
      <w:pPr>
        <w:pStyle w:val="ListParagraph"/>
        <w:numPr>
          <w:ilvl w:val="0"/>
          <w:numId w:val="164"/>
        </w:numPr>
        <w:jc w:val="both"/>
        <w:rPr>
          <w:lang w:val="lv-LV" w:eastAsia="lv-LV"/>
        </w:rPr>
      </w:pPr>
      <w:r w:rsidRPr="00CA3E49">
        <w:rPr>
          <w:bCs/>
          <w:lang w:val="lv-LV"/>
        </w:rPr>
        <w:t xml:space="preserve"> </w:t>
      </w:r>
      <w:bookmarkStart w:id="24" w:name="_Hlk54334222"/>
      <w:r w:rsidRPr="00CA3E49">
        <w:rPr>
          <w:lang w:val="lv-LV" w:eastAsia="lv-LV"/>
        </w:rPr>
        <w:t xml:space="preserve">Svarīga informācija veselības aprūpes speciālistiem par zāļu riska mazināšanu. Riska mazināšanas pasākumi ar </w:t>
      </w:r>
      <w:proofErr w:type="spellStart"/>
      <w:r w:rsidRPr="00CA3E49">
        <w:rPr>
          <w:lang w:val="lv-LV" w:eastAsia="lv-LV"/>
        </w:rPr>
        <w:t>Spravato</w:t>
      </w:r>
      <w:proofErr w:type="spellEnd"/>
      <w:r w:rsidRPr="00CA3E49">
        <w:rPr>
          <w:lang w:val="lv-LV" w:eastAsia="lv-LV"/>
        </w:rPr>
        <w:t>® (</w:t>
      </w:r>
      <w:proofErr w:type="spellStart"/>
      <w:r w:rsidRPr="00CA3E49">
        <w:rPr>
          <w:lang w:val="lv-LV" w:eastAsia="lv-LV"/>
        </w:rPr>
        <w:t>esketaminum</w:t>
      </w:r>
      <w:proofErr w:type="spellEnd"/>
      <w:r w:rsidRPr="00CA3E49">
        <w:rPr>
          <w:lang w:val="lv-LV" w:eastAsia="lv-LV"/>
        </w:rPr>
        <w:t>) deguna aerosolu ārstētiem pacientiem, 1. versija, 2020. gada oktobrī</w:t>
      </w:r>
    </w:p>
    <w:p w14:paraId="314F93B6" w14:textId="77777777" w:rsidR="00CA3E49" w:rsidRPr="00CA3E49" w:rsidRDefault="00CA3E49" w:rsidP="00AB1D87">
      <w:pPr>
        <w:pStyle w:val="ListParagraph"/>
        <w:numPr>
          <w:ilvl w:val="1"/>
          <w:numId w:val="164"/>
        </w:numPr>
        <w:jc w:val="both"/>
        <w:rPr>
          <w:lang w:val="lv-LV" w:eastAsia="lv-LV"/>
        </w:rPr>
      </w:pPr>
      <w:r w:rsidRPr="00CA3E49">
        <w:rPr>
          <w:lang w:val="lv-LV" w:eastAsia="lv-LV"/>
        </w:rPr>
        <w:t>ar pielikumu “Veselības aprūpes speciālistam paredzēts kontrolsaraksts par pacienta gatavību atstāt veselības aprūpes iestādi”,  1. versija, 2020. gada oktobrī;</w:t>
      </w:r>
    </w:p>
    <w:p w14:paraId="376D0F3D" w14:textId="5E20E156" w:rsidR="00CA3E49" w:rsidRPr="00CA3E49" w:rsidRDefault="00CA3E49" w:rsidP="00AB1D87">
      <w:pPr>
        <w:pStyle w:val="ListParagraph"/>
        <w:numPr>
          <w:ilvl w:val="0"/>
          <w:numId w:val="164"/>
        </w:numPr>
        <w:jc w:val="both"/>
        <w:rPr>
          <w:lang w:val="lv-LV" w:eastAsia="lv-LV"/>
        </w:rPr>
      </w:pPr>
      <w:r w:rsidRPr="00CA3E49">
        <w:rPr>
          <w:lang w:val="lv-LV" w:eastAsia="lv-LV"/>
        </w:rPr>
        <w:t xml:space="preserve">Svarīga informācija pacientam par zāļu riska mazināšanu. </w:t>
      </w:r>
      <w:proofErr w:type="spellStart"/>
      <w:r w:rsidRPr="00CA3E49">
        <w:rPr>
          <w:lang w:val="lv-LV" w:eastAsia="lv-LV"/>
        </w:rPr>
        <w:t>Spravato</w:t>
      </w:r>
      <w:proofErr w:type="spellEnd"/>
      <w:r w:rsidRPr="00CA3E49">
        <w:rPr>
          <w:lang w:val="lv-LV" w:eastAsia="lv-LV"/>
        </w:rPr>
        <w:t xml:space="preserve"> (</w:t>
      </w:r>
      <w:proofErr w:type="spellStart"/>
      <w:r w:rsidRPr="00CA3E49">
        <w:rPr>
          <w:lang w:val="lv-LV" w:eastAsia="lv-LV"/>
        </w:rPr>
        <w:t>esketaminum</w:t>
      </w:r>
      <w:proofErr w:type="spellEnd"/>
      <w:r w:rsidRPr="00CA3E49">
        <w:rPr>
          <w:lang w:val="lv-LV" w:eastAsia="lv-LV"/>
        </w:rPr>
        <w:t>) deguna aerosols: Kādi ir tā radītie riski? Norādījumi pacientiem, 1. versija, 2020. gada oktobrī.</w:t>
      </w:r>
      <w:bookmarkEnd w:id="24"/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AB1D87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AB1D87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7EA6A01B" w14:textId="77777777" w:rsidR="0013774F" w:rsidRDefault="0013774F" w:rsidP="00AB1D87">
      <w:pPr>
        <w:pStyle w:val="Default"/>
        <w:numPr>
          <w:ilvl w:val="0"/>
          <w:numId w:val="41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14:paraId="595922CB" w14:textId="77777777" w:rsidR="0013774F" w:rsidRDefault="0013774F" w:rsidP="00AB1D87">
      <w:pPr>
        <w:pStyle w:val="Default"/>
        <w:numPr>
          <w:ilvl w:val="0"/>
          <w:numId w:val="41"/>
        </w:numPr>
        <w:spacing w:line="276" w:lineRule="auto"/>
        <w:ind w:left="1080"/>
        <w:jc w:val="both"/>
      </w:pPr>
      <w:r>
        <w:t>Stelara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</w:t>
      </w:r>
      <w:proofErr w:type="gramStart"/>
      <w:r>
        <w:t>);</w:t>
      </w:r>
      <w:proofErr w:type="gramEnd"/>
      <w:r>
        <w:t xml:space="preserve"> </w:t>
      </w:r>
    </w:p>
    <w:p w14:paraId="4B98B0AB" w14:textId="77777777" w:rsidR="0013774F" w:rsidRDefault="0013774F" w:rsidP="00AB1D87">
      <w:pPr>
        <w:pStyle w:val="Default"/>
        <w:numPr>
          <w:ilvl w:val="0"/>
          <w:numId w:val="8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14:paraId="3BBE71AE" w14:textId="77777777" w:rsidR="0013774F" w:rsidRDefault="0013774F" w:rsidP="00AB1D87">
      <w:pPr>
        <w:pStyle w:val="Default"/>
        <w:numPr>
          <w:ilvl w:val="0"/>
          <w:numId w:val="8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14:paraId="141BE6B9" w14:textId="77777777" w:rsidR="0013774F" w:rsidRDefault="0013774F" w:rsidP="00AB1D87">
      <w:pPr>
        <w:pStyle w:val="Default"/>
        <w:numPr>
          <w:ilvl w:val="0"/>
          <w:numId w:val="8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14:paraId="0D6EF7C4" w14:textId="77777777" w:rsidR="0013774F" w:rsidRDefault="0013774F" w:rsidP="00AB1D87">
      <w:pPr>
        <w:pStyle w:val="Default"/>
        <w:numPr>
          <w:ilvl w:val="0"/>
          <w:numId w:val="8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523C249" w14:textId="77777777" w:rsidR="0013774F" w:rsidRDefault="0013774F" w:rsidP="00AB1D87">
      <w:pPr>
        <w:pStyle w:val="Default"/>
        <w:numPr>
          <w:ilvl w:val="0"/>
          <w:numId w:val="8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77E1718A" w14:textId="77777777" w:rsidR="0013774F" w:rsidRPr="00270D86" w:rsidRDefault="0013774F" w:rsidP="00AB1D87">
      <w:pPr>
        <w:pStyle w:val="Default"/>
        <w:numPr>
          <w:ilvl w:val="0"/>
          <w:numId w:val="8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AB1D87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CF8779C" w14:textId="77777777" w:rsidR="0013774F" w:rsidRDefault="0013774F" w:rsidP="00AB1D87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331165C7" w14:textId="77777777" w:rsidR="0013774F" w:rsidRDefault="0013774F" w:rsidP="00AB1D87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3D7A4F6C" w14:textId="77777777" w:rsidR="0013774F" w:rsidRDefault="0013774F" w:rsidP="00AB1D87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1845AAB1" w14:textId="77777777" w:rsidR="0013774F" w:rsidRDefault="0013774F" w:rsidP="00AB1D87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</w:t>
      </w:r>
      <w:proofErr w:type="spellEnd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520B519A" w14:textId="77777777" w:rsidR="0013774F" w:rsidRDefault="0013774F" w:rsidP="00AB1D87">
      <w:pPr>
        <w:pStyle w:val="ListParagraph"/>
        <w:numPr>
          <w:ilvl w:val="0"/>
          <w:numId w:val="84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2.0;</w:t>
      </w:r>
      <w:proofErr w:type="gramEnd"/>
    </w:p>
    <w:p w14:paraId="1746644E" w14:textId="77777777" w:rsidR="0013774F" w:rsidRDefault="0013774F" w:rsidP="00AB1D87">
      <w:pPr>
        <w:pStyle w:val="ListParagraph"/>
        <w:numPr>
          <w:ilvl w:val="0"/>
          <w:numId w:val="84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14:paraId="0282B245" w14:textId="77777777" w:rsidR="0013774F" w:rsidRDefault="0013774F" w:rsidP="00AB1D87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AB1D87">
      <w:pPr>
        <w:pStyle w:val="ListParagraph"/>
        <w:numPr>
          <w:ilvl w:val="0"/>
          <w:numId w:val="85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AB1D87">
      <w:pPr>
        <w:pStyle w:val="ListParagraph"/>
        <w:numPr>
          <w:ilvl w:val="0"/>
          <w:numId w:val="85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AB1D87">
      <w:pPr>
        <w:pStyle w:val="ListParagraph"/>
        <w:numPr>
          <w:ilvl w:val="0"/>
          <w:numId w:val="85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</w:t>
      </w:r>
      <w:proofErr w:type="gramStart"/>
      <w:r>
        <w:t>);</w:t>
      </w:r>
      <w:proofErr w:type="gramEnd"/>
    </w:p>
    <w:p w14:paraId="3F849E61" w14:textId="77777777" w:rsidR="0013774F" w:rsidRDefault="0013774F" w:rsidP="00AB1D87">
      <w:pPr>
        <w:pStyle w:val="ListParagraph"/>
        <w:numPr>
          <w:ilvl w:val="0"/>
          <w:numId w:val="85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glarginum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Lixisenatidum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Default="000B63D6" w:rsidP="00AB1D87">
      <w:pPr>
        <w:pStyle w:val="ListParagraph"/>
        <w:numPr>
          <w:ilvl w:val="0"/>
          <w:numId w:val="159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Svarīga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informācija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veselības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aprūpes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speciālistiem</w:t>
      </w:r>
      <w:proofErr w:type="spellEnd"/>
      <w:r>
        <w:rPr>
          <w:rFonts w:eastAsiaTheme="minorHAnsi"/>
          <w:color w:val="2B2A29"/>
        </w:rPr>
        <w:t xml:space="preserve"> par </w:t>
      </w:r>
      <w:proofErr w:type="spellStart"/>
      <w:r>
        <w:rPr>
          <w:rFonts w:eastAsiaTheme="minorHAnsi"/>
          <w:color w:val="2B2A29"/>
        </w:rPr>
        <w:t>zāļu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riska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mazināšanu</w:t>
      </w:r>
      <w:proofErr w:type="spellEnd"/>
      <w:r>
        <w:rPr>
          <w:rFonts w:eastAsiaTheme="minorHAnsi"/>
          <w:color w:val="2B2A29"/>
        </w:rPr>
        <w:t>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6F3F5D">
        <w:rPr>
          <w:rFonts w:eastAsiaTheme="minorHAnsi"/>
          <w:color w:val="000000"/>
        </w:rPr>
        <w:t>Norādījumi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aprūpes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speciālistiem</w:t>
      </w:r>
      <w:proofErr w:type="spellEnd"/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AB1D87">
      <w:pPr>
        <w:pStyle w:val="ListParagraph"/>
        <w:numPr>
          <w:ilvl w:val="0"/>
          <w:numId w:val="159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C140FD">
        <w:t>Svarīga</w:t>
      </w:r>
      <w:proofErr w:type="spellEnd"/>
      <w:r w:rsidRPr="00C140FD">
        <w:t xml:space="preserve"> </w:t>
      </w:r>
      <w:proofErr w:type="spellStart"/>
      <w:r w:rsidRPr="00C140FD">
        <w:t>informācija</w:t>
      </w:r>
      <w:proofErr w:type="spellEnd"/>
      <w:r w:rsidRPr="00C140FD">
        <w:t xml:space="preserve"> </w:t>
      </w:r>
      <w:proofErr w:type="spellStart"/>
      <w:r w:rsidRPr="006974B4">
        <w:t>pacient</w:t>
      </w:r>
      <w:r>
        <w:t>a</w:t>
      </w:r>
      <w:r w:rsidRPr="006974B4">
        <w:t>m</w:t>
      </w:r>
      <w:proofErr w:type="spellEnd"/>
      <w:r w:rsidRPr="00C140FD">
        <w:t xml:space="preserve"> par </w:t>
      </w:r>
      <w:proofErr w:type="spellStart"/>
      <w:r w:rsidRPr="00C140FD">
        <w:t>zāļu</w:t>
      </w:r>
      <w:proofErr w:type="spellEnd"/>
      <w:r w:rsidRPr="00C140FD">
        <w:t xml:space="preserve"> </w:t>
      </w:r>
      <w:proofErr w:type="spellStart"/>
      <w:r w:rsidRPr="00C140FD">
        <w:t>riska</w:t>
      </w:r>
      <w:proofErr w:type="spellEnd"/>
      <w:r w:rsidRPr="00C140FD">
        <w:t xml:space="preserve"> </w:t>
      </w:r>
      <w:proofErr w:type="spellStart"/>
      <w:r w:rsidRPr="00C140FD">
        <w:t>mazināšanu</w:t>
      </w:r>
      <w:proofErr w:type="spellEnd"/>
      <w:r w:rsidRPr="00C140FD">
        <w:t>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140F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Norādījumi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pacientiem</w:t>
      </w:r>
      <w:proofErr w:type="spellEnd"/>
      <w:r>
        <w:rPr>
          <w:rFonts w:eastAsiaTheme="minorHAnsi"/>
          <w:color w:val="2B2A29"/>
        </w:rPr>
        <w:t xml:space="preserve"> un/</w:t>
      </w:r>
      <w:proofErr w:type="spellStart"/>
      <w:r>
        <w:rPr>
          <w:rFonts w:eastAsiaTheme="minorHAnsi"/>
          <w:color w:val="2B2A29"/>
        </w:rPr>
        <w:t>vai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aprūpētājiem</w:t>
      </w:r>
      <w:proofErr w:type="spellEnd"/>
      <w:r>
        <w:rPr>
          <w:rFonts w:eastAsiaTheme="minorHAnsi"/>
          <w:color w:val="2B2A29"/>
        </w:rPr>
        <w:t>, v2.0, 06.2020.</w:t>
      </w:r>
    </w:p>
    <w:p w14:paraId="2BDDA773" w14:textId="77777777" w:rsidR="000B63D6" w:rsidRPr="000B63D6" w:rsidRDefault="000B63D6" w:rsidP="000B63D6">
      <w:pPr>
        <w:pStyle w:val="ListParagraph"/>
        <w:spacing w:line="254" w:lineRule="auto"/>
      </w:pPr>
    </w:p>
    <w:p w14:paraId="2C6FAD7A" w14:textId="67F413ED" w:rsidR="0013774F" w:rsidRPr="000B63D6" w:rsidRDefault="0013774F" w:rsidP="00AB1D87">
      <w:pPr>
        <w:pStyle w:val="ListParagraph"/>
        <w:numPr>
          <w:ilvl w:val="0"/>
          <w:numId w:val="139"/>
        </w:numPr>
        <w:spacing w:line="254" w:lineRule="auto"/>
        <w:rPr>
          <w:b/>
          <w:bCs/>
        </w:rPr>
      </w:pPr>
      <w:r w:rsidRPr="000B63D6">
        <w:rPr>
          <w:b/>
          <w:bCs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AB1D8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AB1D8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7927" w14:textId="4563C3A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ots 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3D2453FA" w14:textId="45F50A09" w:rsidR="0041784A" w:rsidRPr="0041784A" w:rsidRDefault="0013774F" w:rsidP="0041784A">
      <w:pPr>
        <w:pStyle w:val="ListParagraph"/>
        <w:numPr>
          <w:ilvl w:val="0"/>
          <w:numId w:val="87"/>
        </w:numPr>
        <w:spacing w:after="160" w:line="254" w:lineRule="auto"/>
        <w:jc w:val="both"/>
        <w:rPr>
          <w:bCs/>
          <w:color w:val="000000"/>
        </w:rPr>
      </w:pPr>
      <w:proofErr w:type="spellStart"/>
      <w:r w:rsidRPr="0041784A">
        <w:rPr>
          <w:bCs/>
          <w:color w:val="000000"/>
        </w:rPr>
        <w:t>Svarīga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informācija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pacientam</w:t>
      </w:r>
      <w:proofErr w:type="spellEnd"/>
      <w:r w:rsidRPr="0041784A">
        <w:rPr>
          <w:bCs/>
          <w:color w:val="000000"/>
        </w:rPr>
        <w:t xml:space="preserve"> par </w:t>
      </w:r>
      <w:proofErr w:type="spellStart"/>
      <w:r w:rsidRPr="0041784A">
        <w:rPr>
          <w:bCs/>
          <w:color w:val="000000"/>
        </w:rPr>
        <w:t>zāļu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riska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mazināšanu</w:t>
      </w:r>
      <w:proofErr w:type="spellEnd"/>
      <w:r w:rsidRPr="0041784A">
        <w:rPr>
          <w:bCs/>
          <w:color w:val="000000"/>
        </w:rPr>
        <w:t xml:space="preserve">. </w:t>
      </w:r>
      <w:proofErr w:type="spellStart"/>
      <w:r w:rsidRPr="0041784A">
        <w:rPr>
          <w:bCs/>
          <w:color w:val="000000"/>
        </w:rPr>
        <w:t>Pacienta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brīdinājuma</w:t>
      </w:r>
      <w:proofErr w:type="spellEnd"/>
      <w:r w:rsidRPr="0041784A">
        <w:rPr>
          <w:bCs/>
          <w:color w:val="000000"/>
        </w:rPr>
        <w:t xml:space="preserve"> </w:t>
      </w:r>
      <w:proofErr w:type="spellStart"/>
      <w:r w:rsidRPr="0041784A">
        <w:rPr>
          <w:bCs/>
          <w:color w:val="000000"/>
        </w:rPr>
        <w:t>kartīte</w:t>
      </w:r>
      <w:proofErr w:type="spellEnd"/>
      <w:r w:rsidRPr="0041784A">
        <w:rPr>
          <w:bCs/>
          <w:color w:val="000000"/>
        </w:rPr>
        <w:t xml:space="preserve"> –</w:t>
      </w:r>
      <w:proofErr w:type="spellStart"/>
      <w:r w:rsidRPr="0041784A">
        <w:rPr>
          <w:bCs/>
          <w:color w:val="000000"/>
        </w:rPr>
        <w:t>Tecentriq</w:t>
      </w:r>
      <w:proofErr w:type="spellEnd"/>
      <w:r w:rsidRPr="0041784A">
        <w:rPr>
          <w:bCs/>
          <w:color w:val="000000"/>
        </w:rPr>
        <w:t xml:space="preserve"> (atezolizumab), </w:t>
      </w:r>
      <w:r w:rsidR="0041784A" w:rsidRPr="0041784A">
        <w:rPr>
          <w:bCs/>
          <w:color w:val="000000"/>
        </w:rPr>
        <w:t xml:space="preserve">EDM-TEC-RMPv17.1-Apr2021. </w:t>
      </w:r>
    </w:p>
    <w:p w14:paraId="57C210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AB1D87">
      <w:pPr>
        <w:pStyle w:val="ListParagraph"/>
        <w:numPr>
          <w:ilvl w:val="1"/>
          <w:numId w:val="139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ar HIV -1 inficētiem bērniem un pusaudžiem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 xml:space="preserve"> un tā devas pielāgošanu, v. 2.0;</w:t>
      </w:r>
    </w:p>
    <w:p w14:paraId="6A93EB15" w14:textId="77777777" w:rsidR="0013774F" w:rsidRPr="00464943" w:rsidRDefault="0013774F" w:rsidP="00AB1D87">
      <w:pPr>
        <w:pStyle w:val="ListParagraph"/>
        <w:numPr>
          <w:ilvl w:val="1"/>
          <w:numId w:val="139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pusaudžiem ar hronisku B hepatītu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>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AB1D87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AB1D87">
      <w:pPr>
        <w:numPr>
          <w:ilvl w:val="2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AB1D87">
      <w:pPr>
        <w:numPr>
          <w:ilvl w:val="2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AB1D87">
      <w:pPr>
        <w:numPr>
          <w:ilvl w:val="2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AB1D87">
      <w:pPr>
        <w:numPr>
          <w:ilvl w:val="2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AB1D8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AB1D87">
      <w:pPr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AB1D87">
      <w:pPr>
        <w:numPr>
          <w:ilvl w:val="2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AB1D87">
      <w:pPr>
        <w:numPr>
          <w:ilvl w:val="2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Default="0013774F" w:rsidP="00AB1D87">
      <w:pPr>
        <w:pStyle w:val="ListParagraph"/>
        <w:numPr>
          <w:ilvl w:val="0"/>
          <w:numId w:val="90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055DCEBA" w14:textId="77777777" w:rsidR="0013774F" w:rsidRDefault="0013774F" w:rsidP="00AB1D87">
      <w:pPr>
        <w:pStyle w:val="ListParagraph"/>
        <w:numPr>
          <w:ilvl w:val="1"/>
          <w:numId w:val="90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AD0588F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proofErr w:type="gramStart"/>
      <w:r>
        <w:t>veidlapa</w:t>
      </w:r>
      <w:proofErr w:type="spellEnd"/>
      <w:r>
        <w:t>;</w:t>
      </w:r>
      <w:proofErr w:type="gramEnd"/>
    </w:p>
    <w:p w14:paraId="25E25F7C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proofErr w:type="gramStart"/>
      <w:r>
        <w:t>uzlīmes</w:t>
      </w:r>
      <w:proofErr w:type="spellEnd"/>
      <w:r>
        <w:t>;</w:t>
      </w:r>
      <w:proofErr w:type="gramEnd"/>
    </w:p>
    <w:p w14:paraId="7875E37F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</w:t>
      </w:r>
      <w:proofErr w:type="gramStart"/>
      <w:r>
        <w:t>06/09/2017;</w:t>
      </w:r>
      <w:proofErr w:type="gramEnd"/>
    </w:p>
    <w:p w14:paraId="5DA57BF7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proofErr w:type="gramStart"/>
      <w:r>
        <w:t>sākums</w:t>
      </w:r>
      <w:proofErr w:type="spellEnd"/>
      <w:r>
        <w:t>;</w:t>
      </w:r>
      <w:proofErr w:type="gramEnd"/>
    </w:p>
    <w:p w14:paraId="3091A440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proofErr w:type="gramStart"/>
      <w:r>
        <w:t>iznākums</w:t>
      </w:r>
      <w:proofErr w:type="spellEnd"/>
      <w:r>
        <w:t>;</w:t>
      </w:r>
      <w:proofErr w:type="gramEnd"/>
    </w:p>
    <w:p w14:paraId="5E56E5D8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proofErr w:type="gramStart"/>
      <w:r>
        <w:t>neiropātija</w:t>
      </w:r>
      <w:proofErr w:type="spellEnd"/>
      <w:r>
        <w:t>;</w:t>
      </w:r>
      <w:proofErr w:type="gramEnd"/>
    </w:p>
    <w:p w14:paraId="46BC6AF5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proofErr w:type="gramStart"/>
      <w:r>
        <w:t>speciālistam</w:t>
      </w:r>
      <w:proofErr w:type="spellEnd"/>
      <w:r>
        <w:t>;</w:t>
      </w:r>
      <w:proofErr w:type="gramEnd"/>
    </w:p>
    <w:p w14:paraId="45600A87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AB1D87">
      <w:pPr>
        <w:pStyle w:val="ListParagraph"/>
        <w:numPr>
          <w:ilvl w:val="0"/>
          <w:numId w:val="90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9B7934F" w14:textId="77777777" w:rsidR="0013774F" w:rsidRDefault="0013774F" w:rsidP="00AB1D87">
      <w:pPr>
        <w:pStyle w:val="ListParagraph"/>
        <w:numPr>
          <w:ilvl w:val="1"/>
          <w:numId w:val="90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129B3716" w14:textId="77777777" w:rsidR="0013774F" w:rsidRDefault="0013774F" w:rsidP="00AB1D87">
      <w:pPr>
        <w:pStyle w:val="ListParagraph"/>
        <w:numPr>
          <w:ilvl w:val="1"/>
          <w:numId w:val="90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679D045B" w14:textId="77777777" w:rsidR="0013774F" w:rsidRDefault="0013774F" w:rsidP="00AB1D87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AB1D87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AB1D87">
      <w:pPr>
        <w:pStyle w:val="ListParagraph"/>
        <w:numPr>
          <w:ilvl w:val="0"/>
          <w:numId w:val="91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Ltd, Lielbritānija (saskaņots 20.11.2014):</w:t>
      </w:r>
    </w:p>
    <w:p w14:paraId="0CB4125B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karte;</w:t>
      </w:r>
    </w:p>
    <w:p w14:paraId="4CF95019" w14:textId="77777777" w:rsidR="0013774F" w:rsidRDefault="0013774F" w:rsidP="00AB1D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AB1D8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AB1D87">
      <w:pPr>
        <w:pStyle w:val="ListParagraph"/>
        <w:numPr>
          <w:ilvl w:val="0"/>
          <w:numId w:val="117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AB1D87">
      <w:pPr>
        <w:pStyle w:val="ListParagraph"/>
        <w:numPr>
          <w:ilvl w:val="0"/>
          <w:numId w:val="11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</w:t>
      </w:r>
    </w:p>
    <w:p w14:paraId="375E31CE" w14:textId="541490E9" w:rsidR="0013774F" w:rsidRDefault="0013774F" w:rsidP="00AB1D87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AB1D87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AB1D87">
      <w:pPr>
        <w:pStyle w:val="ListParagraph"/>
        <w:numPr>
          <w:ilvl w:val="0"/>
          <w:numId w:val="9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0C228E34" w14:textId="6EF2B2B7" w:rsidR="0013774F" w:rsidRPr="00CA6D64" w:rsidRDefault="0013774F" w:rsidP="00AB1D87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AB1D87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AB1D87">
      <w:pPr>
        <w:pStyle w:val="ListParagraph"/>
        <w:numPr>
          <w:ilvl w:val="0"/>
          <w:numId w:val="9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14:paraId="584970A7" w14:textId="77777777" w:rsidR="0013774F" w:rsidRDefault="0013774F" w:rsidP="00AB1D87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1473AA83" w14:textId="77777777" w:rsidR="0013774F" w:rsidRDefault="0013774F" w:rsidP="00AB1D87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kurus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30EB5480" w14:textId="77777777" w:rsidR="0013774F" w:rsidRDefault="0013774F" w:rsidP="00AB1D87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AB1D87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AB1D87">
      <w:pPr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AB1D87">
      <w:pPr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AB1D87">
      <w:pPr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AB1D87">
      <w:pPr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AB1D87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AB1D87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AB1D87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AB1D87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AB1D87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AB1D87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AB1D87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AB1D87">
      <w:pPr>
        <w:numPr>
          <w:ilvl w:val="0"/>
          <w:numId w:val="12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AB1D87">
      <w:pPr>
        <w:numPr>
          <w:ilvl w:val="0"/>
          <w:numId w:val="12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3882E316" w14:textId="77777777" w:rsidR="0013774F" w:rsidRPr="0066265B" w:rsidRDefault="0013774F" w:rsidP="00AB1D87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AB1D87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lastRenderedPageBreak/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Ltd., Lielbritānija (saskaņots 16.08.2011) :</w:t>
      </w:r>
    </w:p>
    <w:p w14:paraId="0C142043" w14:textId="77777777" w:rsidR="0013774F" w:rsidRDefault="0013774F" w:rsidP="00AB1D87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Ltd., Lielbritānija (atjaunināts 17.12.2019.):</w:t>
      </w:r>
    </w:p>
    <w:p w14:paraId="07599390" w14:textId="77777777" w:rsidR="0013774F" w:rsidRDefault="0013774F" w:rsidP="00AB1D87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Svarīga informācija veselības aprūpes speciālistiem par zāļu riska mazināšanu:  “</w:t>
      </w:r>
      <w:r w:rsidRPr="00E666C5">
        <w:rPr>
          <w:i/>
          <w:lang w:val="it-IT"/>
        </w:rPr>
        <w:t>Informācija ārstiem* un vadlīnijas par multiplās sklerozes slimnieku ārstēšanu</w:t>
      </w:r>
      <w:r>
        <w:rPr>
          <w:i/>
          <w:lang w:val="it-IT"/>
        </w:rPr>
        <w:t xml:space="preserve"> </w:t>
      </w:r>
      <w:r w:rsidRPr="00E666C5">
        <w:rPr>
          <w:i/>
          <w:lang w:val="it-IT"/>
        </w:rPr>
        <w:t>ar TYSABRI</w:t>
      </w:r>
      <w:r>
        <w:rPr>
          <w:lang w:val="it-IT"/>
        </w:rPr>
        <w:t>”, 18.versija, 2019.gada oktobris;</w:t>
      </w:r>
    </w:p>
    <w:p w14:paraId="127EA041" w14:textId="77777777" w:rsidR="0013774F" w:rsidRDefault="0013774F" w:rsidP="00AB1D87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TYSABRI pacienta brīdinājuma kartiņa</w:t>
      </w:r>
      <w:r>
        <w:rPr>
          <w:lang w:val="it-IT"/>
        </w:rPr>
        <w:t>,</w:t>
      </w:r>
      <w:r w:rsidRPr="00464943">
        <w:rPr>
          <w:lang w:val="it-IT"/>
        </w:rPr>
        <w:t xml:space="preserve"> </w:t>
      </w:r>
      <w:r>
        <w:rPr>
          <w:lang w:val="it-IT"/>
        </w:rPr>
        <w:t>apstiprināts 2016.gada aprīlī;</w:t>
      </w:r>
    </w:p>
    <w:p w14:paraId="1ED6A625" w14:textId="77777777" w:rsidR="0013774F" w:rsidRDefault="0013774F" w:rsidP="00AB1D87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uzsākšanai</w:t>
      </w:r>
      <w:r>
        <w:rPr>
          <w:lang w:val="it-IT"/>
        </w:rPr>
        <w:t>, apstiprināta 2016.gada aprīlī;</w:t>
      </w:r>
    </w:p>
    <w:p w14:paraId="2BB0ACB0" w14:textId="77777777" w:rsidR="0013774F" w:rsidRDefault="0013774F" w:rsidP="00AB1D87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pārtraukšanai</w:t>
      </w:r>
      <w:r>
        <w:rPr>
          <w:lang w:val="it-IT"/>
        </w:rPr>
        <w:t>, apstiprināta 2016.gada aprīlī.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AB1D87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696E9C01" w14:textId="77777777" w:rsidR="0013774F" w:rsidRDefault="0013774F" w:rsidP="00AB1D87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FC0B73E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Ravulizumabum</w:t>
      </w:r>
      <w:proofErr w:type="spellEnd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atsaukti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C6254FF" w14:textId="77777777" w:rsidR="0013774F" w:rsidRPr="00464943" w:rsidRDefault="0013774F" w:rsidP="00AB1D87">
      <w:pPr>
        <w:pStyle w:val="ListParagraph"/>
        <w:numPr>
          <w:ilvl w:val="0"/>
          <w:numId w:val="150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</w:t>
      </w:r>
      <w:proofErr w:type="spellStart"/>
      <w:r w:rsidRPr="00464943">
        <w:rPr>
          <w:lang w:val="lv-LV"/>
        </w:rPr>
        <w:t>ravulizumab</w:t>
      </w:r>
      <w:proofErr w:type="spellEnd"/>
      <w:r w:rsidRPr="00464943">
        <w:rPr>
          <w:lang w:val="lv-LV"/>
        </w:rPr>
        <w:t xml:space="preserve">) parakstīšanu pacientiem ar </w:t>
      </w:r>
      <w:proofErr w:type="spellStart"/>
      <w:r w:rsidRPr="00464943">
        <w:rPr>
          <w:lang w:val="lv-LV"/>
        </w:rPr>
        <w:t>paroksismālu</w:t>
      </w:r>
      <w:proofErr w:type="spellEnd"/>
      <w:r w:rsidRPr="00464943">
        <w:rPr>
          <w:lang w:val="lv-LV"/>
        </w:rPr>
        <w:t xml:space="preserve"> nakts </w:t>
      </w:r>
      <w:proofErr w:type="spellStart"/>
      <w:r w:rsidRPr="00464943">
        <w:rPr>
          <w:lang w:val="lv-LV"/>
        </w:rPr>
        <w:t>hemoglobinūriju</w:t>
      </w:r>
      <w:proofErr w:type="spellEnd"/>
      <w:r w:rsidRPr="00464943">
        <w:rPr>
          <w:lang w:val="lv-LV"/>
        </w:rPr>
        <w:t xml:space="preserve"> (PNH), v1.0-10/2019;</w:t>
      </w:r>
    </w:p>
    <w:p w14:paraId="736392D3" w14:textId="77777777" w:rsidR="0013774F" w:rsidRPr="00A77E45" w:rsidRDefault="0013774F" w:rsidP="00AB1D87">
      <w:pPr>
        <w:pStyle w:val="Title"/>
        <w:numPr>
          <w:ilvl w:val="0"/>
          <w:numId w:val="15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Ultomiris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ravulizumab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>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Paroksismālā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nakts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hemoglobinūrija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4E04A0D6" w14:textId="77777777" w:rsidR="0013774F" w:rsidRPr="00A77E45" w:rsidRDefault="0013774F" w:rsidP="00AB1D87">
      <w:pPr>
        <w:pStyle w:val="ListParagraph"/>
        <w:numPr>
          <w:ilvl w:val="0"/>
          <w:numId w:val="150"/>
        </w:numPr>
        <w:spacing w:after="160"/>
        <w:jc w:val="both"/>
      </w:pPr>
      <w:proofErr w:type="spellStart"/>
      <w:r w:rsidRPr="00A77E45">
        <w:t>Pacienta</w:t>
      </w:r>
      <w:proofErr w:type="spellEnd"/>
      <w:r w:rsidRPr="00A77E45">
        <w:t xml:space="preserve"> </w:t>
      </w:r>
      <w:proofErr w:type="spellStart"/>
      <w:r w:rsidRPr="00A77E45">
        <w:t>kartīte</w:t>
      </w:r>
      <w:proofErr w:type="spellEnd"/>
      <w:r w:rsidRPr="00A77E45">
        <w:t xml:space="preserve">. </w:t>
      </w:r>
      <w:proofErr w:type="spellStart"/>
      <w:r w:rsidRPr="00A77E45">
        <w:t>Svarīga</w:t>
      </w:r>
      <w:proofErr w:type="spellEnd"/>
      <w:r w:rsidRPr="00A77E45">
        <w:t xml:space="preserve"> </w:t>
      </w:r>
      <w:proofErr w:type="spellStart"/>
      <w:r w:rsidRPr="00A77E45">
        <w:t>drošuma</w:t>
      </w:r>
      <w:proofErr w:type="spellEnd"/>
      <w:r w:rsidRPr="00A77E45">
        <w:t xml:space="preserve"> </w:t>
      </w:r>
      <w:proofErr w:type="spellStart"/>
      <w:r w:rsidRPr="00A77E45">
        <w:t>informācija</w:t>
      </w:r>
      <w:proofErr w:type="spellEnd"/>
      <w:r w:rsidRPr="00A77E45">
        <w:t xml:space="preserve"> </w:t>
      </w:r>
      <w:proofErr w:type="spellStart"/>
      <w:r w:rsidRPr="00A77E45">
        <w:t>pacientiem</w:t>
      </w:r>
      <w:proofErr w:type="spellEnd"/>
      <w:r w:rsidRPr="00A77E45">
        <w:t xml:space="preserve">, kas </w:t>
      </w:r>
      <w:proofErr w:type="spellStart"/>
      <w:r w:rsidRPr="00A77E45">
        <w:t>lieto</w:t>
      </w:r>
      <w:proofErr w:type="spellEnd"/>
      <w:r w:rsidRPr="00A77E45">
        <w:t xml:space="preserve"> </w:t>
      </w:r>
      <w:proofErr w:type="spellStart"/>
      <w:r w:rsidRPr="00A77E45">
        <w:rPr>
          <w:color w:val="231F20"/>
        </w:rPr>
        <w:t>Ultomiris</w:t>
      </w:r>
      <w:proofErr w:type="spellEnd"/>
      <w:r w:rsidRPr="00A77E45">
        <w:rPr>
          <w:color w:val="231F20"/>
          <w:position w:val="6"/>
        </w:rPr>
        <w:t xml:space="preserve"> </w:t>
      </w:r>
      <w:r w:rsidRPr="00A77E45">
        <w:t>(</w:t>
      </w:r>
      <w:proofErr w:type="spellStart"/>
      <w:r w:rsidRPr="00A77E45">
        <w:rPr>
          <w:i/>
        </w:rPr>
        <w:t>ravulizumab</w:t>
      </w:r>
      <w:proofErr w:type="spellEnd"/>
      <w:r w:rsidRPr="00A77E45">
        <w:t>),</w:t>
      </w:r>
      <w:r w:rsidRPr="00A77E45">
        <w:rPr>
          <w:color w:val="231F20"/>
          <w:spacing w:val="8"/>
          <w:position w:val="6"/>
        </w:rPr>
        <w:t xml:space="preserve"> </w:t>
      </w:r>
      <w:r w:rsidRPr="00A77E45">
        <w:t>v1.0-10/2019</w:t>
      </w: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AB1D87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</w:t>
      </w:r>
      <w:proofErr w:type="gramStart"/>
      <w:r>
        <w:rPr>
          <w:bCs/>
        </w:rPr>
        <w:t>”;</w:t>
      </w:r>
      <w:proofErr w:type="gramEnd"/>
    </w:p>
    <w:p w14:paraId="7DB84201" w14:textId="77777777" w:rsidR="0013774F" w:rsidRDefault="0013774F" w:rsidP="00AB1D87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AB1D87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66071B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3C071160" w14:textId="77777777" w:rsidR="0013774F" w:rsidRDefault="0013774F" w:rsidP="00AB1D87">
      <w:pPr>
        <w:pStyle w:val="ListParagraph"/>
        <w:numPr>
          <w:ilvl w:val="0"/>
          <w:numId w:val="100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AB1D87">
      <w:pPr>
        <w:pStyle w:val="ListParagraph"/>
        <w:numPr>
          <w:ilvl w:val="0"/>
          <w:numId w:val="100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AB1D87">
      <w:pPr>
        <w:pStyle w:val="ListParagraph"/>
        <w:numPr>
          <w:ilvl w:val="0"/>
          <w:numId w:val="100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AB1D87">
      <w:pPr>
        <w:pStyle w:val="ListParagraph"/>
        <w:numPr>
          <w:ilvl w:val="0"/>
          <w:numId w:val="100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2DDCFA5D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Somija (atjaunināts 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DB7AE48" w14:textId="15F6F248" w:rsidR="0013774F" w:rsidRPr="00D61637" w:rsidRDefault="0013774F" w:rsidP="00AB1D87">
      <w:pPr>
        <w:pStyle w:val="ListParagraph"/>
        <w:numPr>
          <w:ilvl w:val="0"/>
          <w:numId w:val="125"/>
        </w:numPr>
        <w:contextualSpacing w:val="0"/>
        <w:rPr>
          <w:lang w:val="lv-LV"/>
        </w:rPr>
      </w:pPr>
      <w:r w:rsidRPr="00F21C84">
        <w:rPr>
          <w:lang w:val="lv-LV"/>
        </w:rPr>
        <w:lastRenderedPageBreak/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</w:t>
      </w:r>
      <w:r w:rsidR="001044C8">
        <w:rPr>
          <w:lang w:val="lv-LV"/>
        </w:rPr>
        <w:t>4</w:t>
      </w:r>
      <w:r w:rsidRPr="00F21C84">
        <w:rPr>
          <w:lang w:val="lv-LV"/>
        </w:rPr>
        <w:t>;</w:t>
      </w:r>
    </w:p>
    <w:p w14:paraId="0AA5F187" w14:textId="0D33DEBE" w:rsidR="0013774F" w:rsidRPr="00D61637" w:rsidRDefault="0013774F" w:rsidP="00AB1D87">
      <w:pPr>
        <w:pStyle w:val="ListParagraph"/>
        <w:numPr>
          <w:ilvl w:val="0"/>
          <w:numId w:val="125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</w:t>
      </w:r>
      <w:proofErr w:type="gramStart"/>
      <w:r w:rsidR="001044C8">
        <w:t>4</w:t>
      </w:r>
      <w:r>
        <w:t>;</w:t>
      </w:r>
      <w:proofErr w:type="gramEnd"/>
    </w:p>
    <w:p w14:paraId="1B2F74C7" w14:textId="60506944" w:rsidR="0013774F" w:rsidRPr="00D61637" w:rsidRDefault="0013774F" w:rsidP="00AB1D87">
      <w:pPr>
        <w:pStyle w:val="ListParagraph"/>
        <w:numPr>
          <w:ilvl w:val="0"/>
          <w:numId w:val="125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</w:t>
      </w:r>
      <w:proofErr w:type="gramStart"/>
      <w:r w:rsidR="001044C8">
        <w:t>3</w:t>
      </w:r>
      <w:r>
        <w:t>;</w:t>
      </w:r>
      <w:proofErr w:type="gramEnd"/>
    </w:p>
    <w:p w14:paraId="069FBAA2" w14:textId="32FF8985" w:rsidR="0013774F" w:rsidRPr="00D61637" w:rsidRDefault="0013774F" w:rsidP="00AB1D87">
      <w:pPr>
        <w:pStyle w:val="ListParagraph"/>
        <w:numPr>
          <w:ilvl w:val="0"/>
          <w:numId w:val="125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</w:t>
      </w:r>
      <w:r w:rsidR="001044C8">
        <w:rPr>
          <w:lang w:val="it-IT"/>
        </w:rPr>
        <w:t>4</w:t>
      </w:r>
      <w:r>
        <w:rPr>
          <w:lang w:val="it-IT"/>
        </w:rPr>
        <w:t>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Ltd, Malta (saskaņots 25.04.2017):</w:t>
      </w:r>
    </w:p>
    <w:p w14:paraId="435EF212" w14:textId="77777777" w:rsidR="0013774F" w:rsidRDefault="0013774F" w:rsidP="00AB1D87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AB1D87">
      <w:pPr>
        <w:pStyle w:val="ListParagraph"/>
        <w:numPr>
          <w:ilvl w:val="0"/>
          <w:numId w:val="102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14:paraId="3746E8D6" w14:textId="77777777" w:rsidR="0013774F" w:rsidRDefault="0013774F" w:rsidP="00AB1D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65F2605" w14:textId="77777777" w:rsidR="0013774F" w:rsidRDefault="0013774F" w:rsidP="00AB1D87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7B426435" w14:textId="77777777" w:rsidR="0013774F" w:rsidRDefault="0013774F" w:rsidP="00AB1D87">
      <w:pPr>
        <w:numPr>
          <w:ilvl w:val="1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77777777" w:rsidR="0013774F" w:rsidRDefault="0013774F" w:rsidP="00AB1D87">
      <w:pPr>
        <w:numPr>
          <w:ilvl w:val="1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5158D408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AB1D87">
      <w:pPr>
        <w:numPr>
          <w:ilvl w:val="0"/>
          <w:numId w:val="1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049C79A8" w14:textId="77777777" w:rsidR="0013774F" w:rsidRDefault="0013774F" w:rsidP="00AB1D87">
      <w:pPr>
        <w:numPr>
          <w:ilvl w:val="0"/>
          <w:numId w:val="1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AB1D87">
      <w:pPr>
        <w:numPr>
          <w:ilvl w:val="0"/>
          <w:numId w:val="1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AB1D87">
      <w:pPr>
        <w:numPr>
          <w:ilvl w:val="0"/>
          <w:numId w:val="1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13028EE" w14:textId="77777777" w:rsidR="0013774F" w:rsidRDefault="0013774F" w:rsidP="00AB1D87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10.01.2020):</w:t>
      </w:r>
    </w:p>
    <w:p w14:paraId="46D3D4A9" w14:textId="77777777" w:rsidR="0013774F" w:rsidRPr="008A6C1E" w:rsidRDefault="0013774F" w:rsidP="00AB1D87">
      <w:pPr>
        <w:pStyle w:val="ListParagraph"/>
        <w:numPr>
          <w:ilvl w:val="0"/>
          <w:numId w:val="152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</w:t>
      </w:r>
      <w:proofErr w:type="gramStart"/>
      <w:r w:rsidRPr="008A6C1E">
        <w:t>0;</w:t>
      </w:r>
      <w:proofErr w:type="gramEnd"/>
    </w:p>
    <w:p w14:paraId="4792276B" w14:textId="77777777" w:rsidR="0013774F" w:rsidRPr="008A6C1E" w:rsidRDefault="0013774F" w:rsidP="00AB1D87">
      <w:pPr>
        <w:pStyle w:val="ListParagraph"/>
        <w:numPr>
          <w:ilvl w:val="0"/>
          <w:numId w:val="152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</w:t>
      </w:r>
      <w:proofErr w:type="gramStart"/>
      <w:r w:rsidRPr="008A6C1E">
        <w:rPr>
          <w:lang w:eastAsia="lv-LV"/>
        </w:rPr>
        <w:t>2019;</w:t>
      </w:r>
      <w:proofErr w:type="gramEnd"/>
    </w:p>
    <w:p w14:paraId="4CFF0D69" w14:textId="77777777" w:rsidR="0013774F" w:rsidRPr="008A6C1E" w:rsidRDefault="0013774F" w:rsidP="00AB1D87">
      <w:pPr>
        <w:pStyle w:val="ListParagraph"/>
        <w:numPr>
          <w:ilvl w:val="0"/>
          <w:numId w:val="152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AB1D87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7EEACC3" w14:textId="77777777" w:rsidR="0013774F" w:rsidRPr="00DA422B" w:rsidRDefault="0013774F" w:rsidP="00AB1D87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Vyndaqel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tafamidis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meglumine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EEIG, Beļģija (saskaņots 09.04.2020)</w:t>
      </w:r>
    </w:p>
    <w:p w14:paraId="433C9F9A" w14:textId="77777777" w:rsidR="0013774F" w:rsidRPr="00884308" w:rsidRDefault="0013774F" w:rsidP="00AB1D87">
      <w:pPr>
        <w:pStyle w:val="ListParagraph"/>
        <w:numPr>
          <w:ilvl w:val="0"/>
          <w:numId w:val="139"/>
        </w:numPr>
        <w:autoSpaceDE w:val="0"/>
        <w:autoSpaceDN w:val="0"/>
        <w:adjustRightInd w:val="0"/>
      </w:pPr>
      <w:proofErr w:type="spellStart"/>
      <w:r w:rsidRPr="00884308">
        <w:t>Svarīga</w:t>
      </w:r>
      <w:proofErr w:type="spellEnd"/>
      <w:r w:rsidRPr="00884308"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EF3912F" w14:textId="77777777" w:rsidR="0013774F" w:rsidRPr="003665A6" w:rsidRDefault="0013774F" w:rsidP="00AB1D87">
      <w:pPr>
        <w:pStyle w:val="ListParagraph"/>
        <w:numPr>
          <w:ilvl w:val="0"/>
          <w:numId w:val="137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AB1D87">
      <w:pPr>
        <w:pStyle w:val="BodytextAgency"/>
        <w:numPr>
          <w:ilvl w:val="0"/>
          <w:numId w:val="1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AB1D87">
      <w:pPr>
        <w:pStyle w:val="Default"/>
        <w:numPr>
          <w:ilvl w:val="0"/>
          <w:numId w:val="136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AB1D87">
      <w:pPr>
        <w:pStyle w:val="Default"/>
        <w:numPr>
          <w:ilvl w:val="0"/>
          <w:numId w:val="136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7979CE6F" w14:textId="77777777" w:rsidR="0013774F" w:rsidRDefault="0013774F" w:rsidP="00AB1D87">
      <w:pPr>
        <w:numPr>
          <w:ilvl w:val="0"/>
          <w:numId w:val="10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AB1D87">
      <w:pPr>
        <w:numPr>
          <w:ilvl w:val="0"/>
          <w:numId w:val="10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77777777" w:rsidR="0013774F" w:rsidRDefault="0013774F" w:rsidP="00AB1D87">
      <w:pPr>
        <w:numPr>
          <w:ilvl w:val="0"/>
          <w:numId w:val="10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7076FD31" w14:textId="77777777" w:rsidR="0013774F" w:rsidRDefault="0013774F" w:rsidP="00AB1D87">
      <w:pPr>
        <w:numPr>
          <w:ilvl w:val="0"/>
          <w:numId w:val="10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AB1D87">
      <w:pPr>
        <w:numPr>
          <w:ilvl w:val="0"/>
          <w:numId w:val="10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AB1D87">
      <w:pPr>
        <w:numPr>
          <w:ilvl w:val="0"/>
          <w:numId w:val="10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5E5FDD" w14:textId="77777777" w:rsidR="0013774F" w:rsidRPr="0074215E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(atjaunināts 06.03.2020):</w:t>
      </w:r>
    </w:p>
    <w:p w14:paraId="63152135" w14:textId="5CC387AB" w:rsidR="0013774F" w:rsidRDefault="0013774F" w:rsidP="00AB1D87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AB1D87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25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25"/>
    <w:p w14:paraId="0CB9A6A0" w14:textId="77777777" w:rsidR="0013774F" w:rsidRDefault="0013774F" w:rsidP="00AB1D87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FCE0DF" w14:textId="77777777" w:rsidR="0013774F" w:rsidRPr="00A30655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AB1D87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5E3C83D" w14:textId="77777777" w:rsidR="0013774F" w:rsidRDefault="0013774F" w:rsidP="00AB1D87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AB1D87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1E68FEE7" w14:textId="77777777" w:rsidR="0013774F" w:rsidRDefault="0013774F" w:rsidP="00AB1D87">
      <w:pPr>
        <w:pStyle w:val="ListParagraph"/>
        <w:numPr>
          <w:ilvl w:val="0"/>
          <w:numId w:val="110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AB1D87">
      <w:pPr>
        <w:pStyle w:val="NoSpacing"/>
        <w:numPr>
          <w:ilvl w:val="0"/>
          <w:numId w:val="138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lastRenderedPageBreak/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BECE629" w14:textId="77777777" w:rsidR="0013774F" w:rsidRDefault="0013774F" w:rsidP="00AB1D87">
      <w:pPr>
        <w:pStyle w:val="ListParagraph"/>
        <w:numPr>
          <w:ilvl w:val="0"/>
          <w:numId w:val="106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0969BFC" w14:textId="77777777" w:rsidR="0013774F" w:rsidRDefault="0013774F" w:rsidP="00AB1D87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AB1D87">
      <w:pPr>
        <w:numPr>
          <w:ilvl w:val="0"/>
          <w:numId w:val="1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3A266189" w14:textId="77777777" w:rsidR="0013774F" w:rsidRDefault="0013774F" w:rsidP="00AB1D87">
      <w:pPr>
        <w:pStyle w:val="ListParagraph"/>
        <w:numPr>
          <w:ilvl w:val="0"/>
          <w:numId w:val="106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62E8C88F" w14:textId="77777777" w:rsidR="0013774F" w:rsidRDefault="0013774F" w:rsidP="00AB1D87">
      <w:pPr>
        <w:numPr>
          <w:ilvl w:val="0"/>
          <w:numId w:val="1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77777777" w:rsidR="0013774F" w:rsidRPr="00201D4D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0410B643" w14:textId="77777777" w:rsidR="0013774F" w:rsidRPr="00201D4D" w:rsidRDefault="0013774F" w:rsidP="00AB1D87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14:paraId="102CE9AE" w14:textId="77777777" w:rsidR="0013774F" w:rsidRPr="00201D4D" w:rsidRDefault="0013774F" w:rsidP="00AB1D87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260D7AAD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F6BE" w14:textId="3E267BBF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(atjaunināts 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22.03.2021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0525AF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3C7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3C7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68395B9" w14:textId="77777777" w:rsidR="003C7254" w:rsidRPr="003C7254" w:rsidRDefault="003C7254" w:rsidP="003C7254">
      <w:pPr>
        <w:numPr>
          <w:ilvl w:val="0"/>
          <w:numId w:val="181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" w:name="_Hlk67300144"/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Xarelto</w:t>
      </w:r>
      <w:bookmarkEnd w:id="26"/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® (</w:t>
      </w:r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rivaroksabana</w:t>
      </w:r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 izrakstīšanas vadlīnijas, Versija 10.0 (03/2021)</w:t>
      </w:r>
    </w:p>
    <w:p w14:paraId="7113AA4D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952D9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3C72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3C7254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0E31C433" w14:textId="0A71CED9" w:rsidR="0013774F" w:rsidRPr="003C7254" w:rsidRDefault="003C7254" w:rsidP="003C7254">
      <w:pPr>
        <w:numPr>
          <w:ilvl w:val="0"/>
          <w:numId w:val="16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kartīte.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77777777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Lielbritānija, versija 3</w:t>
      </w:r>
      <w:r>
        <w:rPr>
          <w:rFonts w:ascii="Times New Roman" w:hAnsi="Times New Roman"/>
          <w:sz w:val="24"/>
          <w:szCs w:val="24"/>
        </w:rPr>
        <w:t>.0-janvāris/2020 (saskaņots 03.02.2020):</w:t>
      </w:r>
    </w:p>
    <w:p w14:paraId="52A8961F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14:paraId="2893FB87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502542D5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081C896" w14:textId="77777777" w:rsidR="0013774F" w:rsidRDefault="0013774F" w:rsidP="0013774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7DBA1C8A" w14:textId="77777777" w:rsidR="0013774F" w:rsidRDefault="0013774F" w:rsidP="00AB1D87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AB1D87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560EDA64" w14:textId="77777777" w:rsidR="0013774F" w:rsidRDefault="0013774F" w:rsidP="00AB1D87">
      <w:pPr>
        <w:pStyle w:val="ListParagraph"/>
        <w:numPr>
          <w:ilvl w:val="0"/>
          <w:numId w:val="11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12DD01BA" w14:textId="77777777" w:rsidR="0013774F" w:rsidRDefault="0013774F" w:rsidP="00AB1D87">
      <w:pPr>
        <w:pStyle w:val="ListParagraph"/>
        <w:numPr>
          <w:ilvl w:val="0"/>
          <w:numId w:val="11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397F66A" w14:textId="77777777" w:rsidR="0013774F" w:rsidRDefault="0013774F" w:rsidP="00AB1D87">
      <w:pPr>
        <w:pStyle w:val="ListParagraph"/>
        <w:numPr>
          <w:ilvl w:val="0"/>
          <w:numId w:val="11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37D5230A" w14:textId="77777777" w:rsidR="0013774F" w:rsidRDefault="0013774F" w:rsidP="00AB1D87">
      <w:pPr>
        <w:numPr>
          <w:ilvl w:val="0"/>
          <w:numId w:val="114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06AE0B02" w14:textId="77777777" w:rsidR="0013774F" w:rsidRDefault="0013774F" w:rsidP="00AB1D87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38F551BF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6DA7">
        <w:rPr>
          <w:rFonts w:ascii="Times New Roman" w:hAnsi="Times New Roman"/>
          <w:b/>
          <w:bCs/>
          <w:sz w:val="24"/>
          <w:szCs w:val="24"/>
        </w:rPr>
        <w:t>Xospata</w:t>
      </w:r>
      <w:proofErr w:type="spellEnd"/>
      <w:r w:rsidRPr="00286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C15A8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(</w:t>
      </w:r>
      <w:r w:rsidRPr="00286DA7">
        <w:rPr>
          <w:rFonts w:ascii="Times New Roman" w:hAnsi="Times New Roman"/>
          <w:bCs/>
          <w:i/>
          <w:iCs/>
          <w:sz w:val="24"/>
          <w:szCs w:val="24"/>
          <w:lang w:val="it-IT"/>
        </w:rPr>
        <w:t>gilteritinibum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 xml:space="preserve">40 mg </w:t>
      </w:r>
      <w:proofErr w:type="spellStart"/>
      <w:r w:rsidRPr="00156228">
        <w:rPr>
          <w:rFonts w:ascii="Times New Roman" w:hAnsi="Times New Roman"/>
          <w:sz w:val="24"/>
          <w:szCs w:val="24"/>
        </w:rPr>
        <w:t>apvalkotās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228">
        <w:rPr>
          <w:rFonts w:ascii="Times New Roman" w:hAnsi="Times New Roman"/>
          <w:sz w:val="24"/>
          <w:szCs w:val="24"/>
        </w:rPr>
        <w:t>Astellas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28">
        <w:rPr>
          <w:rFonts w:ascii="Times New Roman" w:hAnsi="Times New Roman"/>
          <w:sz w:val="24"/>
          <w:szCs w:val="24"/>
        </w:rPr>
        <w:t>Pharma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bookmarkStart w:id="27" w:name="_Hlk56782136"/>
      <w:proofErr w:type="spellStart"/>
      <w:r w:rsidRPr="00156228">
        <w:rPr>
          <w:rFonts w:ascii="Times New Roman" w:hAnsi="Times New Roman"/>
          <w:sz w:val="24"/>
          <w:szCs w:val="24"/>
        </w:rPr>
        <w:t>Europe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B.V. </w:t>
      </w:r>
      <w:bookmarkEnd w:id="27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(saskaņots 24.11.2020):</w:t>
      </w:r>
    </w:p>
    <w:p w14:paraId="58AF3F74" w14:textId="77777777" w:rsidR="00286DA7" w:rsidRPr="00156228" w:rsidRDefault="00286DA7" w:rsidP="00AB1D87">
      <w:pPr>
        <w:pStyle w:val="ListParagraph"/>
        <w:numPr>
          <w:ilvl w:val="0"/>
          <w:numId w:val="138"/>
        </w:numPr>
        <w:ind w:left="1134"/>
        <w:jc w:val="both"/>
        <w:rPr>
          <w:rFonts w:eastAsia="Calibri"/>
          <w:lang w:val="lv-LV"/>
        </w:rPr>
      </w:pPr>
      <w:r w:rsidRPr="00156228">
        <w:rPr>
          <w:lang w:val="it-IT"/>
        </w:rPr>
        <w:t>Izglītojošā informatīvā brošūra veselības aprūpes speciālistiem (</w:t>
      </w:r>
      <w:r w:rsidRPr="00156228">
        <w:t>ONC</w:t>
      </w:r>
      <w:r w:rsidRPr="00156228">
        <w:rPr>
          <w:lang w:val="lv-LV"/>
        </w:rPr>
        <w:t>_2020_0018_BA)</w:t>
      </w:r>
      <w:r>
        <w:rPr>
          <w:lang w:val="lv-LV"/>
        </w:rPr>
        <w:t>;</w:t>
      </w:r>
    </w:p>
    <w:p w14:paraId="56221D41" w14:textId="77777777" w:rsidR="00286DA7" w:rsidRPr="00C15E8D" w:rsidRDefault="00286DA7" w:rsidP="00AB1D87">
      <w:pPr>
        <w:pStyle w:val="ListParagraph"/>
        <w:numPr>
          <w:ilvl w:val="0"/>
          <w:numId w:val="138"/>
        </w:numPr>
        <w:ind w:left="1134"/>
        <w:jc w:val="both"/>
        <w:rPr>
          <w:rFonts w:eastAsia="Calibri"/>
          <w:lang w:val="lv-LV"/>
        </w:rPr>
      </w:pPr>
      <w:proofErr w:type="spellStart"/>
      <w:r w:rsidRPr="00156228">
        <w:t>Pacienta</w:t>
      </w:r>
      <w:proofErr w:type="spellEnd"/>
      <w:r w:rsidRPr="00156228">
        <w:t xml:space="preserve"> </w:t>
      </w:r>
      <w:proofErr w:type="spellStart"/>
      <w:r w:rsidRPr="00156228">
        <w:t>brīdinājuma</w:t>
      </w:r>
      <w:proofErr w:type="spellEnd"/>
      <w:r w:rsidRPr="00156228">
        <w:t xml:space="preserve"> </w:t>
      </w:r>
      <w:proofErr w:type="spellStart"/>
      <w:r w:rsidRPr="00156228">
        <w:t>kartīte</w:t>
      </w:r>
      <w:proofErr w:type="spellEnd"/>
      <w:r>
        <w:t>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26AEFCDB" w14:textId="77777777" w:rsidR="0013774F" w:rsidRDefault="0013774F" w:rsidP="0013774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AB1D87">
      <w:pPr>
        <w:pStyle w:val="ListParagraph"/>
        <w:numPr>
          <w:ilvl w:val="0"/>
          <w:numId w:val="162"/>
        </w:numPr>
        <w:autoSpaceDE w:val="0"/>
        <w:autoSpaceDN w:val="0"/>
        <w:adjustRightInd w:val="0"/>
        <w:spacing w:line="256" w:lineRule="auto"/>
        <w:jc w:val="both"/>
      </w:pPr>
      <w:proofErr w:type="spellStart"/>
      <w:r w:rsidRPr="0077554A">
        <w:t>Svarīga</w:t>
      </w:r>
      <w:proofErr w:type="spellEnd"/>
      <w:r w:rsidRPr="0077554A">
        <w:t xml:space="preserve"> </w:t>
      </w:r>
      <w:proofErr w:type="spellStart"/>
      <w:r w:rsidRPr="0077554A">
        <w:t>informācija</w:t>
      </w:r>
      <w:proofErr w:type="spellEnd"/>
      <w:r w:rsidRPr="0077554A">
        <w:t xml:space="preserve"> </w:t>
      </w:r>
      <w:proofErr w:type="spellStart"/>
      <w:r w:rsidRPr="0077554A">
        <w:t>pacientam</w:t>
      </w:r>
      <w:proofErr w:type="spellEnd"/>
      <w:r w:rsidRPr="0077554A">
        <w:t xml:space="preserve"> par </w:t>
      </w:r>
      <w:proofErr w:type="spellStart"/>
      <w:r w:rsidRPr="0077554A">
        <w:t>zāļu</w:t>
      </w:r>
      <w:proofErr w:type="spellEnd"/>
      <w:r w:rsidRPr="0077554A">
        <w:t xml:space="preserve"> </w:t>
      </w:r>
      <w:proofErr w:type="spellStart"/>
      <w:r w:rsidRPr="0077554A">
        <w:t>riska</w:t>
      </w:r>
      <w:proofErr w:type="spellEnd"/>
      <w:r w:rsidRPr="0077554A">
        <w:t xml:space="preserve"> </w:t>
      </w:r>
      <w:proofErr w:type="spellStart"/>
      <w:r w:rsidRPr="0077554A">
        <w:t>mazināšanu</w:t>
      </w:r>
      <w:proofErr w:type="spellEnd"/>
      <w:r w:rsidRPr="0077554A">
        <w:t>. YERVOY (</w:t>
      </w:r>
      <w:proofErr w:type="spellStart"/>
      <w:r w:rsidRPr="0077554A">
        <w:t>ipilimumabs</w:t>
      </w:r>
      <w:proofErr w:type="spellEnd"/>
      <w:r w:rsidRPr="0077554A">
        <w:t xml:space="preserve">), </w:t>
      </w:r>
      <w:proofErr w:type="spellStart"/>
      <w:r w:rsidRPr="0077554A">
        <w:t>versija</w:t>
      </w:r>
      <w:proofErr w:type="spellEnd"/>
      <w:r w:rsidRPr="0077554A">
        <w:t xml:space="preserve"> YERVOY-LV-PIG-v3.0-</w:t>
      </w:r>
      <w:proofErr w:type="gramStart"/>
      <w:r w:rsidRPr="0077554A">
        <w:t>SEP2020;</w:t>
      </w:r>
      <w:proofErr w:type="gramEnd"/>
    </w:p>
    <w:p w14:paraId="48DD0A09" w14:textId="77777777" w:rsidR="00C918EA" w:rsidRDefault="00C918EA" w:rsidP="00AB1D87">
      <w:pPr>
        <w:pStyle w:val="ListParagraph"/>
        <w:numPr>
          <w:ilvl w:val="0"/>
          <w:numId w:val="162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). </w:t>
      </w:r>
      <w:proofErr w:type="spellStart"/>
      <w:r w:rsidRPr="0077554A">
        <w:t>Pacienta</w:t>
      </w:r>
      <w:proofErr w:type="spellEnd"/>
      <w:r w:rsidRPr="0077554A">
        <w:t xml:space="preserve"> </w:t>
      </w:r>
      <w:proofErr w:type="spellStart"/>
      <w:r w:rsidRPr="0077554A">
        <w:t>brīdinājuma</w:t>
      </w:r>
      <w:proofErr w:type="spellEnd"/>
      <w:r w:rsidRPr="0077554A">
        <w:t xml:space="preserve"> </w:t>
      </w:r>
      <w:proofErr w:type="spellStart"/>
      <w:r w:rsidRPr="0077554A">
        <w:t>kartīte</w:t>
      </w:r>
      <w:proofErr w:type="spellEnd"/>
      <w:r w:rsidRPr="0077554A">
        <w:t xml:space="preserve">, </w:t>
      </w:r>
      <w:proofErr w:type="spellStart"/>
      <w:r w:rsidRPr="0077554A">
        <w:t>versija</w:t>
      </w:r>
      <w:proofErr w:type="spellEnd"/>
      <w:r w:rsidRPr="0077554A">
        <w:t xml:space="preserve"> YERVOY-LV-PAC-v3.0-SEP2020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309DE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45EF4"/>
    <w:multiLevelType w:val="hybridMultilevel"/>
    <w:tmpl w:val="02967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E15988"/>
    <w:multiLevelType w:val="hybridMultilevel"/>
    <w:tmpl w:val="1054A2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AB09AF"/>
    <w:multiLevelType w:val="hybridMultilevel"/>
    <w:tmpl w:val="6B0C217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DF3A79"/>
    <w:multiLevelType w:val="hybridMultilevel"/>
    <w:tmpl w:val="D512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98C7F6D"/>
    <w:multiLevelType w:val="hybridMultilevel"/>
    <w:tmpl w:val="C4AA6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5C12FC4"/>
    <w:multiLevelType w:val="hybridMultilevel"/>
    <w:tmpl w:val="BA8876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3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3E843C3"/>
    <w:multiLevelType w:val="hybridMultilevel"/>
    <w:tmpl w:val="97C8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2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9420278"/>
    <w:multiLevelType w:val="hybridMultilevel"/>
    <w:tmpl w:val="A548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E46F8A"/>
    <w:multiLevelType w:val="hybridMultilevel"/>
    <w:tmpl w:val="FB4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5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9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0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641D6FDD"/>
    <w:multiLevelType w:val="hybridMultilevel"/>
    <w:tmpl w:val="746A7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3B2D92"/>
    <w:multiLevelType w:val="hybridMultilevel"/>
    <w:tmpl w:val="CD0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D017AD"/>
    <w:multiLevelType w:val="hybridMultilevel"/>
    <w:tmpl w:val="E60E4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56883"/>
    <w:multiLevelType w:val="hybridMultilevel"/>
    <w:tmpl w:val="74C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03326CC"/>
    <w:multiLevelType w:val="multilevel"/>
    <w:tmpl w:val="530A3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1">
    <w:nsid w:val="71272B6E"/>
    <w:multiLevelType w:val="hybridMultilevel"/>
    <w:tmpl w:val="AB42AE1A"/>
    <w:lvl w:ilvl="0" w:tplc="24A4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4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81F1DF8"/>
    <w:multiLevelType w:val="hybridMultilevel"/>
    <w:tmpl w:val="79E486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7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BB65962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1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05"/>
  </w:num>
  <w:num w:numId="7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8"/>
  </w:num>
  <w:num w:numId="14">
    <w:abstractNumId w:val="16"/>
  </w:num>
  <w:num w:numId="15">
    <w:abstractNumId w:val="9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45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17"/>
  </w:num>
  <w:num w:numId="28">
    <w:abstractNumId w:val="5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0"/>
  </w:num>
  <w:num w:numId="32">
    <w:abstractNumId w:val="57"/>
  </w:num>
  <w:num w:numId="33">
    <w:abstractNumId w:val="73"/>
  </w:num>
  <w:num w:numId="34">
    <w:abstractNumId w:val="164"/>
  </w:num>
  <w:num w:numId="35">
    <w:abstractNumId w:val="1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2"/>
  </w:num>
  <w:num w:numId="38">
    <w:abstractNumId w:val="128"/>
  </w:num>
  <w:num w:numId="39">
    <w:abstractNumId w:val="158"/>
  </w:num>
  <w:num w:numId="40">
    <w:abstractNumId w:val="15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</w:num>
  <w:num w:numId="4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</w:num>
  <w:num w:numId="47">
    <w:abstractNumId w:val="136"/>
  </w:num>
  <w:num w:numId="48">
    <w:abstractNumId w:val="53"/>
  </w:num>
  <w:num w:numId="4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1"/>
  </w:num>
  <w:num w:numId="5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</w:num>
  <w:num w:numId="53">
    <w:abstractNumId w:val="108"/>
  </w:num>
  <w:num w:numId="54">
    <w:abstractNumId w:val="13"/>
  </w:num>
  <w:num w:numId="55">
    <w:abstractNumId w:val="150"/>
  </w:num>
  <w:num w:numId="5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</w:num>
  <w:num w:numId="58">
    <w:abstractNumId w:val="30"/>
  </w:num>
  <w:num w:numId="59">
    <w:abstractNumId w:val="160"/>
  </w:num>
  <w:num w:numId="6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</w:num>
  <w:num w:numId="65">
    <w:abstractNumId w:val="167"/>
  </w:num>
  <w:num w:numId="66">
    <w:abstractNumId w:val="77"/>
  </w:num>
  <w:num w:numId="67">
    <w:abstractNumId w:val="87"/>
  </w:num>
  <w:num w:numId="68">
    <w:abstractNumId w:val="153"/>
  </w:num>
  <w:num w:numId="69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</w:num>
  <w:num w:numId="7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4"/>
  </w:num>
  <w:num w:numId="77">
    <w:abstractNumId w:val="170"/>
  </w:num>
  <w:num w:numId="7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</w:num>
  <w:num w:numId="8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0"/>
  </w:num>
  <w:num w:numId="85">
    <w:abstractNumId w:val="163"/>
  </w:num>
  <w:num w:numId="86">
    <w:abstractNumId w:val="32"/>
  </w:num>
  <w:num w:numId="87">
    <w:abstractNumId w:val="68"/>
  </w:num>
  <w:num w:numId="88">
    <w:abstractNumId w:val="6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7"/>
  </w:num>
  <w:num w:numId="91">
    <w:abstractNumId w:val="89"/>
  </w:num>
  <w:num w:numId="92">
    <w:abstractNumId w:val="162"/>
  </w:num>
  <w:num w:numId="93">
    <w:abstractNumId w:val="81"/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129"/>
  </w:num>
  <w:num w:numId="9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8"/>
  </w:num>
  <w:num w:numId="10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1"/>
  </w:num>
  <w:num w:numId="102">
    <w:abstractNumId w:val="82"/>
  </w:num>
  <w:num w:numId="10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1"/>
  </w:num>
  <w:num w:numId="109">
    <w:abstractNumId w:val="78"/>
  </w:num>
  <w:num w:numId="110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4"/>
  </w:num>
  <w:num w:numId="112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6"/>
  </w:num>
  <w:num w:numId="114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3"/>
  </w:num>
  <w:num w:numId="116">
    <w:abstractNumId w:val="29"/>
  </w:num>
  <w:num w:numId="117">
    <w:abstractNumId w:val="63"/>
  </w:num>
  <w:num w:numId="118">
    <w:abstractNumId w:val="48"/>
  </w:num>
  <w:num w:numId="119">
    <w:abstractNumId w:val="17"/>
  </w:num>
  <w:num w:numId="120">
    <w:abstractNumId w:val="51"/>
  </w:num>
  <w:num w:numId="121">
    <w:abstractNumId w:val="93"/>
  </w:num>
  <w:num w:numId="122">
    <w:abstractNumId w:val="72"/>
  </w:num>
  <w:num w:numId="123">
    <w:abstractNumId w:val="18"/>
  </w:num>
  <w:num w:numId="124">
    <w:abstractNumId w:val="115"/>
  </w:num>
  <w:num w:numId="125">
    <w:abstractNumId w:val="7"/>
  </w:num>
  <w:num w:numId="126">
    <w:abstractNumId w:val="121"/>
  </w:num>
  <w:num w:numId="127">
    <w:abstractNumId w:val="2"/>
  </w:num>
  <w:num w:numId="128">
    <w:abstractNumId w:val="165"/>
  </w:num>
  <w:num w:numId="129">
    <w:abstractNumId w:val="92"/>
  </w:num>
  <w:num w:numId="130">
    <w:abstractNumId w:val="21"/>
  </w:num>
  <w:num w:numId="131">
    <w:abstractNumId w:val="122"/>
  </w:num>
  <w:num w:numId="132">
    <w:abstractNumId w:val="159"/>
  </w:num>
  <w:num w:numId="133">
    <w:abstractNumId w:val="147"/>
  </w:num>
  <w:num w:numId="134">
    <w:abstractNumId w:val="55"/>
  </w:num>
  <w:num w:numId="135">
    <w:abstractNumId w:val="127"/>
  </w:num>
  <w:num w:numId="136">
    <w:abstractNumId w:val="41"/>
  </w:num>
  <w:num w:numId="137">
    <w:abstractNumId w:val="114"/>
  </w:num>
  <w:num w:numId="138">
    <w:abstractNumId w:val="27"/>
  </w:num>
  <w:num w:numId="139">
    <w:abstractNumId w:val="109"/>
  </w:num>
  <w:num w:numId="140">
    <w:abstractNumId w:val="106"/>
  </w:num>
  <w:num w:numId="141">
    <w:abstractNumId w:val="20"/>
  </w:num>
  <w:num w:numId="142">
    <w:abstractNumId w:val="120"/>
  </w:num>
  <w:num w:numId="143">
    <w:abstractNumId w:val="69"/>
  </w:num>
  <w:num w:numId="144">
    <w:abstractNumId w:val="10"/>
  </w:num>
  <w:num w:numId="145">
    <w:abstractNumId w:val="52"/>
  </w:num>
  <w:num w:numId="146">
    <w:abstractNumId w:val="149"/>
  </w:num>
  <w:num w:numId="147">
    <w:abstractNumId w:val="97"/>
  </w:num>
  <w:num w:numId="148">
    <w:abstractNumId w:val="124"/>
  </w:num>
  <w:num w:numId="149">
    <w:abstractNumId w:val="125"/>
  </w:num>
  <w:num w:numId="150">
    <w:abstractNumId w:val="42"/>
  </w:num>
  <w:num w:numId="151">
    <w:abstractNumId w:val="61"/>
  </w:num>
  <w:num w:numId="152">
    <w:abstractNumId w:val="11"/>
  </w:num>
  <w:num w:numId="153">
    <w:abstractNumId w:val="137"/>
  </w:num>
  <w:num w:numId="154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55">
    <w:abstractNumId w:val="104"/>
  </w:num>
  <w:num w:numId="156">
    <w:abstractNumId w:val="28"/>
  </w:num>
  <w:num w:numId="157">
    <w:abstractNumId w:val="119"/>
  </w:num>
  <w:num w:numId="158">
    <w:abstractNumId w:val="123"/>
  </w:num>
  <w:num w:numId="159">
    <w:abstractNumId w:val="79"/>
  </w:num>
  <w:num w:numId="160">
    <w:abstractNumId w:val="146"/>
  </w:num>
  <w:num w:numId="161">
    <w:abstractNumId w:val="23"/>
  </w:num>
  <w:num w:numId="162">
    <w:abstractNumId w:val="95"/>
  </w:num>
  <w:num w:numId="163">
    <w:abstractNumId w:val="90"/>
  </w:num>
  <w:num w:numId="164">
    <w:abstractNumId w:val="9"/>
  </w:num>
  <w:num w:numId="165">
    <w:abstractNumId w:val="36"/>
  </w:num>
  <w:num w:numId="166">
    <w:abstractNumId w:val="5"/>
  </w:num>
  <w:num w:numId="167">
    <w:abstractNumId w:val="166"/>
  </w:num>
  <w:num w:numId="168">
    <w:abstractNumId w:val="138"/>
  </w:num>
  <w:num w:numId="169">
    <w:abstractNumId w:val="134"/>
  </w:num>
  <w:num w:numId="170">
    <w:abstractNumId w:val="133"/>
  </w:num>
  <w:num w:numId="171">
    <w:abstractNumId w:val="3"/>
  </w:num>
  <w:num w:numId="172">
    <w:abstractNumId w:val="172"/>
  </w:num>
  <w:num w:numId="173">
    <w:abstractNumId w:val="56"/>
  </w:num>
  <w:num w:numId="174">
    <w:abstractNumId w:val="4"/>
  </w:num>
  <w:num w:numId="175">
    <w:abstractNumId w:val="50"/>
  </w:num>
  <w:num w:numId="176">
    <w:abstractNumId w:val="22"/>
  </w:num>
  <w:num w:numId="177">
    <w:abstractNumId w:val="85"/>
  </w:num>
  <w:num w:numId="178">
    <w:abstractNumId w:val="135"/>
  </w:num>
  <w:num w:numId="179">
    <w:abstractNumId w:val="75"/>
  </w:num>
  <w:num w:numId="180">
    <w:abstractNumId w:val="60"/>
  </w:num>
  <w:num w:numId="181">
    <w:abstractNumId w:val="148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B63D6"/>
    <w:rsid w:val="000F4930"/>
    <w:rsid w:val="001044C8"/>
    <w:rsid w:val="00126F3E"/>
    <w:rsid w:val="0013774F"/>
    <w:rsid w:val="00176237"/>
    <w:rsid w:val="00181243"/>
    <w:rsid w:val="001A09D9"/>
    <w:rsid w:val="001E07F3"/>
    <w:rsid w:val="00212264"/>
    <w:rsid w:val="002267C9"/>
    <w:rsid w:val="002675C9"/>
    <w:rsid w:val="00272B6D"/>
    <w:rsid w:val="00283F51"/>
    <w:rsid w:val="00286DA7"/>
    <w:rsid w:val="00293B6B"/>
    <w:rsid w:val="002C15F8"/>
    <w:rsid w:val="002E5F54"/>
    <w:rsid w:val="00331BF5"/>
    <w:rsid w:val="00374CAE"/>
    <w:rsid w:val="00380058"/>
    <w:rsid w:val="003A7EF5"/>
    <w:rsid w:val="003C7254"/>
    <w:rsid w:val="003D2E4B"/>
    <w:rsid w:val="003D344E"/>
    <w:rsid w:val="003D691E"/>
    <w:rsid w:val="003F6959"/>
    <w:rsid w:val="0041784A"/>
    <w:rsid w:val="00447288"/>
    <w:rsid w:val="00475A9C"/>
    <w:rsid w:val="004869F3"/>
    <w:rsid w:val="00493F50"/>
    <w:rsid w:val="00497347"/>
    <w:rsid w:val="004B0442"/>
    <w:rsid w:val="004B4FFD"/>
    <w:rsid w:val="004D5B77"/>
    <w:rsid w:val="0057007C"/>
    <w:rsid w:val="00572E82"/>
    <w:rsid w:val="005C6A85"/>
    <w:rsid w:val="005F5450"/>
    <w:rsid w:val="005F61F3"/>
    <w:rsid w:val="006130B1"/>
    <w:rsid w:val="006871C4"/>
    <w:rsid w:val="006C05A2"/>
    <w:rsid w:val="006F522A"/>
    <w:rsid w:val="007079A1"/>
    <w:rsid w:val="007506C8"/>
    <w:rsid w:val="0076353A"/>
    <w:rsid w:val="00786E35"/>
    <w:rsid w:val="007D6434"/>
    <w:rsid w:val="00836C84"/>
    <w:rsid w:val="0087518D"/>
    <w:rsid w:val="008831DB"/>
    <w:rsid w:val="00892893"/>
    <w:rsid w:val="008A607B"/>
    <w:rsid w:val="008D33A5"/>
    <w:rsid w:val="008D3456"/>
    <w:rsid w:val="008E49D5"/>
    <w:rsid w:val="0091444C"/>
    <w:rsid w:val="009449B6"/>
    <w:rsid w:val="00995A6F"/>
    <w:rsid w:val="009C7255"/>
    <w:rsid w:val="009D1F15"/>
    <w:rsid w:val="009D3959"/>
    <w:rsid w:val="00A057A1"/>
    <w:rsid w:val="00A55802"/>
    <w:rsid w:val="00A84C68"/>
    <w:rsid w:val="00AB07B7"/>
    <w:rsid w:val="00AB1D87"/>
    <w:rsid w:val="00AE293D"/>
    <w:rsid w:val="00AE4C4E"/>
    <w:rsid w:val="00AF7C26"/>
    <w:rsid w:val="00B410C5"/>
    <w:rsid w:val="00B47F35"/>
    <w:rsid w:val="00B535D5"/>
    <w:rsid w:val="00B9378C"/>
    <w:rsid w:val="00BC5C4A"/>
    <w:rsid w:val="00BF023F"/>
    <w:rsid w:val="00C15E9B"/>
    <w:rsid w:val="00C40B4A"/>
    <w:rsid w:val="00C46030"/>
    <w:rsid w:val="00C460B2"/>
    <w:rsid w:val="00C918EA"/>
    <w:rsid w:val="00C95CF6"/>
    <w:rsid w:val="00CA3E49"/>
    <w:rsid w:val="00CA6D64"/>
    <w:rsid w:val="00CD70DE"/>
    <w:rsid w:val="00CE0D1C"/>
    <w:rsid w:val="00D13BEE"/>
    <w:rsid w:val="00D26B99"/>
    <w:rsid w:val="00D5697B"/>
    <w:rsid w:val="00D807B9"/>
    <w:rsid w:val="00E20643"/>
    <w:rsid w:val="00E42106"/>
    <w:rsid w:val="00E424A8"/>
    <w:rsid w:val="00E434D8"/>
    <w:rsid w:val="00E7779C"/>
    <w:rsid w:val="00EA51B1"/>
    <w:rsid w:val="00EA7C99"/>
    <w:rsid w:val="00F04470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E9B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uiPriority w:val="99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44</Pages>
  <Words>14752</Words>
  <Characters>84093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of Latvia</cp:lastModifiedBy>
  <cp:revision>78</cp:revision>
  <dcterms:created xsi:type="dcterms:W3CDTF">2020-04-09T12:30:00Z</dcterms:created>
  <dcterms:modified xsi:type="dcterms:W3CDTF">2021-05-05T12:03:00Z</dcterms:modified>
</cp:coreProperties>
</file>