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33A1" w14:textId="77777777" w:rsidR="00A4638C" w:rsidRDefault="00A4638C" w:rsidP="00A4638C"/>
    <w:p w14:paraId="374394F6" w14:textId="77777777" w:rsidR="00A4638C" w:rsidRDefault="00A4638C" w:rsidP="00A4638C"/>
    <w:p w14:paraId="36B6634E" w14:textId="77777777" w:rsidR="00A4638C" w:rsidRDefault="00A4638C" w:rsidP="00A4638C"/>
    <w:p w14:paraId="0E0C7B2F" w14:textId="77777777" w:rsidR="00A4638C" w:rsidRDefault="00A4638C" w:rsidP="00A4638C"/>
    <w:p w14:paraId="0FDE775E" w14:textId="77777777" w:rsidR="00A4638C" w:rsidRDefault="00A4638C" w:rsidP="00A4638C"/>
    <w:p w14:paraId="64961AF3" w14:textId="77777777" w:rsidR="00A4638C" w:rsidRDefault="00A4638C" w:rsidP="00A4638C"/>
    <w:p w14:paraId="6D94D941" w14:textId="77777777" w:rsidR="00A4638C" w:rsidRDefault="00A4638C" w:rsidP="00A4638C"/>
    <w:p w14:paraId="025F91EC" w14:textId="77777777" w:rsidR="00A4638C" w:rsidRDefault="00A4638C" w:rsidP="00A4638C"/>
    <w:p w14:paraId="276DAF3A" w14:textId="77777777" w:rsidR="00A4638C" w:rsidRDefault="00A4638C" w:rsidP="00A4638C">
      <w:pPr>
        <w:rPr>
          <w:rFonts w:ascii="Times New Roman" w:hAnsi="Times New Roman" w:cs="Times New Roman"/>
        </w:rPr>
      </w:pPr>
    </w:p>
    <w:p w14:paraId="35E8092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21B4202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41F26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7AFD0D6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58F89DF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D0A2F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309755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CE84620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75D7358E" w14:textId="77777777" w:rsidR="00A4638C" w:rsidRDefault="00A4638C" w:rsidP="00A46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5C2E7335" w14:textId="77777777" w:rsidR="00A4638C" w:rsidRDefault="00A4638C" w:rsidP="00A46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7D06A45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DCD4D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6CDDE730" w14:textId="77777777" w:rsidR="00A4638C" w:rsidRPr="00915F6A" w:rsidRDefault="00A4638C" w:rsidP="00A4638C">
      <w:pPr>
        <w:pStyle w:val="ListParagraph"/>
        <w:numPr>
          <w:ilvl w:val="0"/>
          <w:numId w:val="144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17FB074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4536D3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5F9092F7" w14:textId="77777777" w:rsidR="00A4638C" w:rsidRDefault="00A4638C" w:rsidP="00A4638C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48630757" w14:textId="77777777" w:rsidR="00A4638C" w:rsidRDefault="00A4638C" w:rsidP="00A4638C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1D66E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08A2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(atjaunināts 24.09.2019.):</w:t>
      </w:r>
    </w:p>
    <w:p w14:paraId="30C0A76D" w14:textId="77777777" w:rsidR="00A4638C" w:rsidRPr="00BF686E" w:rsidRDefault="00A4638C" w:rsidP="00A4638C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RMP v12.1(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69E3CF58" w14:textId="77777777" w:rsidR="00A4638C" w:rsidRPr="00BF686E" w:rsidRDefault="00A4638C" w:rsidP="00A4638C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10);</w:t>
      </w:r>
    </w:p>
    <w:p w14:paraId="63965F7F" w14:textId="77777777" w:rsidR="00A4638C" w:rsidRPr="00BF686E" w:rsidRDefault="00A4638C" w:rsidP="00A4638C">
      <w:pPr>
        <w:pStyle w:val="ListParagraph"/>
        <w:numPr>
          <w:ilvl w:val="0"/>
          <w:numId w:val="131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1ADA86F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C79A1C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71403185" w14:textId="77777777" w:rsidR="00A4638C" w:rsidRDefault="00A4638C" w:rsidP="00A463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46B8C08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BF4679" w14:textId="77777777" w:rsidR="00A4638C" w:rsidRPr="000768CD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CFF6FB8" w14:textId="77777777" w:rsidR="00A4638C" w:rsidRPr="00A30655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0E6D9E91" w14:textId="77777777" w:rsidR="00A4638C" w:rsidRPr="0077540E" w:rsidRDefault="00A4638C" w:rsidP="00A4638C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1E68E769" w14:textId="77777777" w:rsidR="00A4638C" w:rsidRPr="0077540E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39826C9B" w14:textId="77777777" w:rsidR="00A4638C" w:rsidRPr="004D10D0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5B8D386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95C79" w14:textId="77777777" w:rsidR="00A4638C" w:rsidRPr="000768CD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1D6960" w14:textId="77777777" w:rsidR="00A4638C" w:rsidRPr="00A30655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48602C11" w14:textId="77777777" w:rsidR="00A4638C" w:rsidRPr="00A30655" w:rsidRDefault="00A4638C" w:rsidP="00A4638C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2C8757C0" w14:textId="77777777" w:rsidR="00A4638C" w:rsidRPr="005F5D32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5F3E36D7" w14:textId="77777777" w:rsidR="00A4638C" w:rsidRPr="005F5D32" w:rsidRDefault="00A4638C" w:rsidP="00A4638C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70CACAFE" w14:textId="77777777" w:rsidR="00A4638C" w:rsidRPr="000768CD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EDA59E7" w14:textId="77777777" w:rsidR="00A4638C" w:rsidRPr="00A30655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09B7AE7D" w14:textId="77777777" w:rsidR="00A4638C" w:rsidRPr="0077540E" w:rsidRDefault="00A4638C" w:rsidP="00A4638C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februāris. </w:t>
      </w:r>
    </w:p>
    <w:p w14:paraId="66ADB465" w14:textId="77777777" w:rsidR="00A4638C" w:rsidRPr="0077540E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0EE6F5E" w14:textId="77777777" w:rsidR="00A4638C" w:rsidRPr="00A30655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633397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30A602" w14:textId="77777777" w:rsidR="00A4638C" w:rsidRPr="00767698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035D6668" w14:textId="77777777" w:rsidR="00A4638C" w:rsidRPr="0050015A" w:rsidRDefault="00A4638C" w:rsidP="00A4638C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312E68CB" w14:textId="77777777" w:rsidR="00A4638C" w:rsidRPr="001574A6" w:rsidRDefault="00A4638C" w:rsidP="00A4638C">
      <w:pPr>
        <w:pStyle w:val="ListParagraph"/>
        <w:numPr>
          <w:ilvl w:val="0"/>
          <w:numId w:val="139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5C76F26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3D941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0767CF57" w14:textId="77777777" w:rsidR="00A4638C" w:rsidRDefault="00A4638C" w:rsidP="00A46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489F5ED" w14:textId="77777777" w:rsidR="00A4638C" w:rsidRDefault="00A4638C" w:rsidP="00A463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2BAC5D3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80D1D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EFEC3D3" w14:textId="77777777" w:rsidR="00A4638C" w:rsidRDefault="00A4638C" w:rsidP="00A4638C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0EAB61A1" w14:textId="77777777" w:rsidR="00A4638C" w:rsidRDefault="00A4638C" w:rsidP="00A4638C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5FCD073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79AF63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6EE47405" w14:textId="77777777" w:rsidR="00A4638C" w:rsidRDefault="00A4638C" w:rsidP="00A463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D43CE10" w14:textId="77777777" w:rsidR="00A4638C" w:rsidRDefault="00A4638C" w:rsidP="00A463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3D452B8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1A3D39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4F8A012" w14:textId="77777777" w:rsidR="00A4638C" w:rsidRDefault="00A4638C" w:rsidP="00A463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71219B11" w14:textId="77777777" w:rsidR="00A4638C" w:rsidRDefault="00A4638C" w:rsidP="00A4638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3146D4C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55DF55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009AE28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50F1248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13B79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Francija (saskaņots 14.12.2018.)</w:t>
      </w:r>
    </w:p>
    <w:p w14:paraId="65782CDF" w14:textId="77777777" w:rsidR="00A4638C" w:rsidRDefault="00A4638C" w:rsidP="00A463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14:paraId="4E5E463F" w14:textId="77777777" w:rsidR="00A4638C" w:rsidRDefault="00A4638C" w:rsidP="00A463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14:paraId="11B9B38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2A322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19D35E76" w14:textId="77777777" w:rsidR="00A4638C" w:rsidRDefault="00A4638C" w:rsidP="00A463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5CDB893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6D2CE81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6ED088A7" w14:textId="77777777" w:rsidR="00A4638C" w:rsidRDefault="00A4638C" w:rsidP="00A463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511767D4" w14:textId="77777777" w:rsidR="00A4638C" w:rsidRDefault="00A4638C" w:rsidP="00A463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9F6FEEB" w14:textId="77777777" w:rsidR="00A4638C" w:rsidRDefault="00A4638C" w:rsidP="00A463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639E3B1C" w14:textId="77777777" w:rsidR="00A4638C" w:rsidRDefault="00A4638C" w:rsidP="00A463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484E94C9" w14:textId="77777777" w:rsidR="00A4638C" w:rsidRDefault="00A4638C" w:rsidP="00A463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09AEC747" w14:textId="77777777" w:rsidR="00A4638C" w:rsidRDefault="00A4638C" w:rsidP="00A4638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11FA39F" w14:textId="77777777" w:rsidR="00A4638C" w:rsidRDefault="00A4638C" w:rsidP="00A463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05D4C06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4DE6581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8CDF29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2FE0B0A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9E68F3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7D1073C3" w14:textId="77777777" w:rsidR="00A4638C" w:rsidRDefault="00A4638C" w:rsidP="00A463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7B35F0A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F5F325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21AA8B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19.02.2019):</w:t>
      </w:r>
    </w:p>
    <w:p w14:paraId="33C84DE7" w14:textId="77777777" w:rsidR="00A4638C" w:rsidRPr="00B966A3" w:rsidRDefault="00A4638C" w:rsidP="00A4638C">
      <w:pPr>
        <w:pStyle w:val="ListParagraph"/>
        <w:numPr>
          <w:ilvl w:val="0"/>
          <w:numId w:val="146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veselības aprūpes speciālistam,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lietošanu.</w:t>
      </w:r>
    </w:p>
    <w:p w14:paraId="2661585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7F867E4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65A876D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14:paraId="0AE3DD5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aukstumsomu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2B008A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490700" w14:textId="4B68FF31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</w:t>
      </w:r>
      <w:r w:rsidR="009D64E8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64E8">
        <w:rPr>
          <w:rFonts w:ascii="Times New Roman" w:eastAsia="Times New Roman" w:hAnsi="Times New Roman" w:cs="Times New Roman"/>
          <w:bCs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.2019.):</w:t>
      </w:r>
    </w:p>
    <w:p w14:paraId="0A9E490B" w14:textId="6BD904B9" w:rsidR="00A4638C" w:rsidRPr="00C5546E" w:rsidRDefault="00A4638C" w:rsidP="00A4638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 w:rsidR="009D64E8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7564EDC1" w14:textId="77777777" w:rsidR="00A4638C" w:rsidRPr="00C5546E" w:rsidRDefault="00A4638C" w:rsidP="00A4638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3C01FF3F" w14:textId="77777777" w:rsidR="00A4638C" w:rsidRPr="00C5546E" w:rsidRDefault="00A4638C" w:rsidP="00A4638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3A9F0B9" w14:textId="77777777" w:rsidR="00A4638C" w:rsidRPr="00C5546E" w:rsidRDefault="00A4638C" w:rsidP="00A4638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1984C512" w14:textId="77777777" w:rsidR="00A4638C" w:rsidRPr="00C5546E" w:rsidRDefault="00A4638C" w:rsidP="00A4638C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1589118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72B85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3A16E04F" w14:textId="77777777" w:rsidR="00A4638C" w:rsidRDefault="00A4638C" w:rsidP="00A463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1AA8167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2659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68B01896" w14:textId="77777777" w:rsidR="00A4638C" w:rsidRDefault="00A4638C" w:rsidP="00A463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46AC1E50" w14:textId="77777777" w:rsidR="00A4638C" w:rsidRDefault="00A4638C" w:rsidP="00A463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5413CB8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73426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5EC611EC" w14:textId="77777777" w:rsidR="00A4638C" w:rsidRDefault="00A4638C" w:rsidP="00A4638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FAA7BA6" w14:textId="77777777" w:rsidR="00A4638C" w:rsidRDefault="00A4638C" w:rsidP="00A4638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7A56853D" w14:textId="77777777" w:rsidR="00A4638C" w:rsidRDefault="00A4638C" w:rsidP="00A4638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644271C4" w14:textId="77777777" w:rsidR="00A4638C" w:rsidRDefault="00A4638C" w:rsidP="00A4638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641348BD" w14:textId="77777777" w:rsidR="00A4638C" w:rsidRPr="00EB5082" w:rsidRDefault="00A4638C" w:rsidP="00A4638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2DA6103" w14:textId="77777777" w:rsidR="00A4638C" w:rsidRPr="00EB5082" w:rsidRDefault="00A4638C" w:rsidP="00A4638C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lastRenderedPageBreak/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1EC88E94" w14:textId="77777777" w:rsidR="00A4638C" w:rsidRDefault="00A4638C" w:rsidP="00A4638C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12791E" w14:textId="77777777" w:rsidR="00A4638C" w:rsidRDefault="00A4638C" w:rsidP="00A463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52BD33F6" w14:textId="77777777" w:rsidR="00A4638C" w:rsidRDefault="00A4638C" w:rsidP="00A4638C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3F7F49D2" w14:textId="77777777" w:rsidR="00A4638C" w:rsidRDefault="00A4638C" w:rsidP="00A4638C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113FD4E2" w14:textId="77777777" w:rsidR="00A4638C" w:rsidRDefault="00A4638C" w:rsidP="00A4638C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8D6A28A" w14:textId="77777777" w:rsidR="00A4638C" w:rsidRDefault="00A4638C" w:rsidP="00A4638C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3D266A1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BFD12A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2AC7FA92" w14:textId="77777777" w:rsidR="00A4638C" w:rsidRDefault="00A4638C" w:rsidP="00A4638C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54E4835C" w14:textId="77777777" w:rsidR="00A4638C" w:rsidRDefault="00A4638C" w:rsidP="00A4638C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14:paraId="5D9055D5" w14:textId="77777777" w:rsidR="00A4638C" w:rsidRDefault="00A4638C" w:rsidP="00A4638C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0539BE6C" w14:textId="77777777" w:rsidR="00A4638C" w:rsidRDefault="00A4638C" w:rsidP="00A4638C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34AFA3F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6F0187" w14:textId="77777777" w:rsidR="00A4638C" w:rsidRDefault="00A4638C" w:rsidP="00A4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439A6C30" w14:textId="77777777" w:rsidR="00A4638C" w:rsidRDefault="00A4638C" w:rsidP="00A463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1635469B" w14:textId="77777777" w:rsidR="00A4638C" w:rsidRDefault="00A4638C" w:rsidP="00A463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14E261A2" w14:textId="77777777" w:rsidR="00A4638C" w:rsidRDefault="00A4638C" w:rsidP="00A463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4BC8359B" w14:textId="77777777" w:rsidR="00A4638C" w:rsidRDefault="00A4638C" w:rsidP="00A463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5ABD462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397E5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Lietuva, versija 4.0 (atjaunināts 29.01.2018):</w:t>
      </w:r>
    </w:p>
    <w:p w14:paraId="7AB0BB93" w14:textId="77777777" w:rsidR="00A4638C" w:rsidRDefault="00A4638C" w:rsidP="00A4638C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918ECC9" w14:textId="77777777" w:rsidR="00A4638C" w:rsidRDefault="00A4638C" w:rsidP="00A4638C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7C40DAEB" w14:textId="77777777" w:rsidR="00A4638C" w:rsidRDefault="00A4638C" w:rsidP="00A4638C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5F1B6BE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071A3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858AA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724AD8A" w14:textId="77777777" w:rsidR="00A4638C" w:rsidRDefault="00A4638C" w:rsidP="00A4638C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522598D" w14:textId="77777777" w:rsidR="00A4638C" w:rsidRDefault="00A4638C" w:rsidP="00A4638C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71D26EEE" w14:textId="77777777" w:rsidR="00A4638C" w:rsidRDefault="00A4638C" w:rsidP="00A4638C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30F6923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3A48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DC1F3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3CA58BB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35EDE16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1ED9BF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13852142" w14:textId="77777777" w:rsidR="00A4638C" w:rsidRDefault="00A4638C" w:rsidP="00A4638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559A23D" w14:textId="77777777" w:rsidR="00A4638C" w:rsidRDefault="00A4638C" w:rsidP="00A4638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AB1F706" w14:textId="77777777" w:rsidR="00A4638C" w:rsidRDefault="00A4638C" w:rsidP="00A4638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685E5434" w14:textId="77777777" w:rsidR="00A4638C" w:rsidRDefault="00A4638C" w:rsidP="00A4638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05D1437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16917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24D641AB" w14:textId="77777777" w:rsidR="00A4638C" w:rsidRPr="0007573F" w:rsidRDefault="00A4638C" w:rsidP="00A4638C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4AA1F7A4" w14:textId="77777777" w:rsidR="00A4638C" w:rsidRPr="0007573F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42A62319" w14:textId="77777777" w:rsidR="00A4638C" w:rsidRPr="0007573F" w:rsidRDefault="00A4638C" w:rsidP="00A4638C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7A9D4BB9" w14:textId="77777777" w:rsidR="00A4638C" w:rsidRPr="0007573F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7F6EE9A5" w14:textId="77777777" w:rsidR="00A4638C" w:rsidRDefault="00A4638C" w:rsidP="00A4638C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5D065F71" w14:textId="77777777" w:rsidR="00A4638C" w:rsidRPr="0007573F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85FAB" w14:textId="77777777" w:rsidR="00A4638C" w:rsidRPr="006939F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02CB195D" w14:textId="77777777" w:rsidR="00A4638C" w:rsidRPr="001C034C" w:rsidRDefault="00A4638C" w:rsidP="00A4638C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4498AA06" w14:textId="77777777" w:rsidR="00A4638C" w:rsidRPr="001C034C" w:rsidRDefault="00A4638C" w:rsidP="00A4638C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14:paraId="2FBF8C96" w14:textId="77777777" w:rsidR="00A4638C" w:rsidRPr="001C034C" w:rsidRDefault="00A4638C" w:rsidP="00A4638C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6281304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51EA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5816D6B8" w14:textId="77777777" w:rsidR="00A4638C" w:rsidRDefault="00A4638C" w:rsidP="00A463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7F38450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BE1FBA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14D3DCF1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1ECFD023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2570863D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14:paraId="68DA9C7D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24872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4391F982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521DBDA0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5A009550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636D175F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6B26744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477653" w14:textId="77777777" w:rsidR="00A4638C" w:rsidRDefault="00A4638C" w:rsidP="00A463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32058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1C4CDA24" w14:textId="77777777" w:rsidR="00A4638C" w:rsidRDefault="00A4638C" w:rsidP="00A4638C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4B594875" w14:textId="77777777" w:rsidR="00A4638C" w:rsidRDefault="00A4638C" w:rsidP="00A4638C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3B3D7EE1" w14:textId="77777777" w:rsidR="00A4638C" w:rsidRDefault="00A4638C" w:rsidP="00A46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9576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FDBDAB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4061C04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1AF11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019FABCB" w14:textId="77777777" w:rsidR="00A4638C" w:rsidRDefault="00A4638C" w:rsidP="00A4638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658E3335" w14:textId="77777777" w:rsidR="00A4638C" w:rsidRDefault="00A4638C" w:rsidP="00A4638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1B4F60E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4D3E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162C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23.04.2019.):</w:t>
      </w:r>
    </w:p>
    <w:p w14:paraId="64B6AEA0" w14:textId="77777777" w:rsidR="00A4638C" w:rsidRPr="00913A92" w:rsidRDefault="00A4638C" w:rsidP="00A4638C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561D85" w14:textId="77777777" w:rsidR="00A4638C" w:rsidRPr="00913A92" w:rsidRDefault="00A4638C" w:rsidP="00A4638C">
      <w:pPr>
        <w:widowControl w:val="0"/>
        <w:numPr>
          <w:ilvl w:val="0"/>
          <w:numId w:val="149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14:paraId="35B758A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0B04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72A5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7F065A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C78C94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50CD99A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7A8D849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2224BA00" w14:textId="77777777" w:rsidR="00A4638C" w:rsidRDefault="00A4638C" w:rsidP="00A463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7600525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56494C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7EAB5101" w14:textId="77777777" w:rsidR="00A4638C" w:rsidRDefault="00A4638C" w:rsidP="00A463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0D4F899B" w14:textId="77777777" w:rsidR="00A4638C" w:rsidRDefault="00A4638C" w:rsidP="00A4638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3F5EA4B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E1330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6E8E3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6A53DB67" w14:textId="77777777" w:rsidR="00A4638C" w:rsidRDefault="00A4638C" w:rsidP="00A463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E14FA6D" w14:textId="77777777" w:rsidR="00A4638C" w:rsidRDefault="00A4638C" w:rsidP="00A4638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75D7F2A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85B0D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3BDDE16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4A1DEACA" w14:textId="77777777" w:rsidR="00A4638C" w:rsidRDefault="00A4638C" w:rsidP="00A4638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78C51934" w14:textId="77777777" w:rsidR="00A4638C" w:rsidRDefault="00A4638C" w:rsidP="00A4638C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3C64C738" w14:textId="77777777" w:rsidR="00A4638C" w:rsidRDefault="00A4638C" w:rsidP="00A4638C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B7568" w14:textId="093773E9" w:rsidR="00A4638C" w:rsidRDefault="00A4638C" w:rsidP="00A463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753F"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ts </w:t>
      </w:r>
      <w:r w:rsidR="009E47EF"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9E47EF"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.201</w:t>
      </w:r>
      <w:r w:rsidR="009E47EF"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113C3E3" w14:textId="77777777" w:rsidR="00A4638C" w:rsidRPr="005069B8" w:rsidRDefault="00A4638C" w:rsidP="00A4638C">
      <w:pPr>
        <w:pStyle w:val="ListParagraph"/>
        <w:numPr>
          <w:ilvl w:val="0"/>
          <w:numId w:val="132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4E4EC2A4" w14:textId="77777777" w:rsidR="00A4638C" w:rsidRDefault="00A4638C" w:rsidP="00A4638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DF77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675AE9D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25CAC37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14:paraId="6EBA641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14:paraId="7F9E530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14:paraId="77E3B51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A812B1" w14:textId="77777777" w:rsidR="00A4638C" w:rsidRDefault="00A4638C" w:rsidP="00A4638C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prasugrels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 un 10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tabletes, Eli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Nederland B.V. (saskaņots 17.03.2010):</w:t>
      </w:r>
    </w:p>
    <w:p w14:paraId="4BE20590" w14:textId="77777777" w:rsidR="00A4638C" w:rsidRDefault="00A4638C" w:rsidP="00A4638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38FC497E" w14:textId="77777777" w:rsidR="00A4638C" w:rsidRDefault="00A4638C" w:rsidP="00A4638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14:paraId="419C3AFE" w14:textId="77777777" w:rsidR="00A4638C" w:rsidRDefault="00A4638C" w:rsidP="00A4638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1900269" w14:textId="5488F9A1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C67A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C67A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2.201</w:t>
      </w:r>
      <w:r w:rsidR="00C67A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2CB92B58" w14:textId="48F7C0F5" w:rsidR="00A4638C" w:rsidRDefault="00A4638C" w:rsidP="00A4638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Ārsta rokasgrāmata (versija:</w:t>
      </w:r>
      <w:r w:rsidR="00C6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ĀM_Eliquis_</w:t>
      </w:r>
      <w:r w:rsidR="00C67ACF">
        <w:rPr>
          <w:rFonts w:ascii="Times New Roman" w:eastAsia="Times New Roman" w:hAnsi="Times New Roman" w:cs="Times New Roman"/>
          <w:sz w:val="24"/>
          <w:szCs w:val="24"/>
        </w:rPr>
        <w:t>Versija</w:t>
      </w:r>
      <w:proofErr w:type="spellEnd"/>
      <w:r w:rsidR="00C67ACF">
        <w:rPr>
          <w:rFonts w:ascii="Times New Roman" w:eastAsia="Times New Roman" w:hAnsi="Times New Roman" w:cs="Times New Roman"/>
          <w:sz w:val="24"/>
          <w:szCs w:val="24"/>
        </w:rPr>
        <w:t xml:space="preserve"> 2.0_11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67AC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6C0A775" w14:textId="77777777" w:rsidR="00A4638C" w:rsidRDefault="00A4638C" w:rsidP="00A4638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37E52133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37785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7119BFF" w14:textId="77777777" w:rsidR="00A4638C" w:rsidRDefault="00A4638C" w:rsidP="00A463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699A4433" w14:textId="77777777" w:rsidR="00A4638C" w:rsidRDefault="00A4638C" w:rsidP="00A463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14:paraId="5E374C11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6E057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45F2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23541CFD" w14:textId="77777777" w:rsidR="00A4638C" w:rsidRPr="00617399" w:rsidRDefault="00A4638C" w:rsidP="00A4638C">
      <w:pPr>
        <w:pStyle w:val="ListParagraph"/>
        <w:numPr>
          <w:ilvl w:val="0"/>
          <w:numId w:val="161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6CE8CF0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A42F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33C6C87B" w14:textId="77777777" w:rsidR="00A4638C" w:rsidRPr="004D10D0" w:rsidRDefault="00A4638C" w:rsidP="00A4638C">
      <w:pPr>
        <w:pStyle w:val="ListParagraph"/>
        <w:numPr>
          <w:ilvl w:val="0"/>
          <w:numId w:val="151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6C05E19C" w14:textId="77777777" w:rsidR="00A4638C" w:rsidRPr="004D10D0" w:rsidRDefault="00A4638C" w:rsidP="00A4638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38AD1017" w14:textId="77777777" w:rsidR="00A4638C" w:rsidRPr="0076604D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F03E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0C5625BE" w14:textId="77777777" w:rsidR="00A4638C" w:rsidRPr="000E3269" w:rsidRDefault="00A4638C" w:rsidP="00A4638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14:paraId="5FF2958E" w14:textId="77777777" w:rsidR="00A4638C" w:rsidRPr="004D10D0" w:rsidRDefault="00A4638C" w:rsidP="00A4638C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786056E1" w14:textId="77777777" w:rsidR="00A4638C" w:rsidRPr="000E3269" w:rsidRDefault="00A4638C" w:rsidP="00A4638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22F1DDF7" w14:textId="77777777" w:rsidR="00A4638C" w:rsidRDefault="00A4638C" w:rsidP="00A4638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33DD19AF" w14:textId="77777777" w:rsidR="00A4638C" w:rsidRDefault="00A4638C" w:rsidP="00A4638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442F16F4" w14:textId="77777777" w:rsidR="00A4638C" w:rsidRDefault="00A4638C" w:rsidP="00A4638C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5D907A50" w14:textId="77777777" w:rsidR="00A4638C" w:rsidRDefault="00A4638C" w:rsidP="00A4638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14:paraId="0AB12994" w14:textId="77777777" w:rsidR="00A4638C" w:rsidRDefault="00A4638C" w:rsidP="00A4638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4994D66D" w14:textId="77777777" w:rsidR="00A4638C" w:rsidRDefault="00A4638C" w:rsidP="00A4638C">
      <w:pPr>
        <w:autoSpaceDE w:val="0"/>
        <w:autoSpaceDN w:val="0"/>
        <w:adjustRightInd w:val="0"/>
        <w:rPr>
          <w:bCs/>
        </w:rPr>
      </w:pPr>
    </w:p>
    <w:p w14:paraId="6DF2EE42" w14:textId="77777777" w:rsidR="00A4638C" w:rsidRDefault="00A4638C" w:rsidP="00A4638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14:paraId="1BAB51F0" w14:textId="77777777" w:rsidR="00A4638C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14:paraId="167336B0" w14:textId="77777777" w:rsidR="00A4638C" w:rsidRDefault="00A4638C" w:rsidP="00A4638C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14:paraId="5D05B0E3" w14:textId="77777777" w:rsidR="00A4638C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Izglītojošie materiāli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profilaksi (PKP):</w:t>
      </w:r>
    </w:p>
    <w:p w14:paraId="3E5FE216" w14:textId="77777777" w:rsidR="00A4638C" w:rsidRDefault="00A4638C" w:rsidP="00A4638C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7135DD" w14:textId="77777777" w:rsidR="00A4638C" w:rsidRDefault="00A4638C" w:rsidP="00A4638C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C5141" w14:textId="77777777" w:rsidR="00A4638C" w:rsidRDefault="00A4638C" w:rsidP="00A4638C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35E8BC" w14:textId="77777777" w:rsidR="00A4638C" w:rsidRDefault="00A4638C" w:rsidP="00A4638C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2E17AA" w14:textId="77777777" w:rsidR="00A4638C" w:rsidRDefault="00A4638C" w:rsidP="00A4638C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Informatīvā brošūra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4EA469" w14:textId="77777777" w:rsidR="00A4638C" w:rsidRPr="00FF3BC7" w:rsidRDefault="00A4638C" w:rsidP="00A4638C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Atgādinājuma kartīte pacientam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6153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93E0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DFC0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6A3A255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3B7F038" w14:textId="77777777" w:rsidR="00A4638C" w:rsidRPr="00AF7896" w:rsidRDefault="00A4638C" w:rsidP="00A4638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52877E37" w14:textId="77777777" w:rsidR="00A4638C" w:rsidRPr="00AF7896" w:rsidRDefault="00A4638C" w:rsidP="00A4638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3301F712" w14:textId="77777777" w:rsidR="00A4638C" w:rsidRDefault="00A4638C" w:rsidP="00A4638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6D704760" w14:textId="77777777" w:rsidR="00A4638C" w:rsidRDefault="00A4638C" w:rsidP="00A4638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(vers.1.4);</w:t>
      </w:r>
    </w:p>
    <w:p w14:paraId="076F25EA" w14:textId="77777777" w:rsidR="00A4638C" w:rsidRDefault="00A4638C" w:rsidP="00A4638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4E0E352F" w14:textId="77777777" w:rsidR="00A4638C" w:rsidRPr="00A81DFB" w:rsidRDefault="00A4638C" w:rsidP="00A4638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121B283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E36FAC" w14:textId="77777777" w:rsidR="00A4638C" w:rsidRDefault="00A4638C" w:rsidP="00A4638C">
      <w:pPr>
        <w:autoSpaceDE w:val="0"/>
        <w:autoSpaceDN w:val="0"/>
        <w:adjustRightInd w:val="0"/>
        <w:rPr>
          <w:bCs/>
        </w:rPr>
      </w:pPr>
    </w:p>
    <w:p w14:paraId="4E3FE63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046F7F7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4797D2D" w14:textId="77777777" w:rsidR="00A4638C" w:rsidRDefault="00A4638C" w:rsidP="00A4638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03C400BE" w14:textId="77777777" w:rsidR="00A4638C" w:rsidRDefault="00A4638C" w:rsidP="00A4638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15D20E3" w14:textId="77777777" w:rsidR="00A4638C" w:rsidRDefault="00A4638C" w:rsidP="00A4638C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CC37038" w14:textId="77777777" w:rsidR="00A4638C" w:rsidRPr="00EE7FE9" w:rsidRDefault="00A4638C" w:rsidP="00A4638C">
      <w:pPr>
        <w:pStyle w:val="ListParagraph"/>
        <w:numPr>
          <w:ilvl w:val="2"/>
          <w:numId w:val="30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30B4E053" w14:textId="77777777" w:rsidR="00A4638C" w:rsidRDefault="00A4638C" w:rsidP="00A4638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260E8AAC" w14:textId="77777777" w:rsidR="00A4638C" w:rsidRDefault="00A4638C" w:rsidP="00A4638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EABD02" w14:textId="77777777" w:rsidR="00A4638C" w:rsidRDefault="00A4638C" w:rsidP="00A4638C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4661A502" w14:textId="77777777" w:rsidR="00A4638C" w:rsidRDefault="00A4638C" w:rsidP="00A4638C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2B0408CE" w14:textId="77777777" w:rsidR="00A4638C" w:rsidRDefault="00A4638C" w:rsidP="00A4638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54D2A0D3" w14:textId="77777777" w:rsidR="00A4638C" w:rsidRDefault="00A4638C" w:rsidP="00A4638C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2F709E43" w14:textId="77777777" w:rsidR="00A4638C" w:rsidRDefault="00A4638C" w:rsidP="00A4638C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0E74417E" w14:textId="7777777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D012763" w14:textId="7777777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14:paraId="5050C5AC" w14:textId="77777777" w:rsidR="00A4638C" w:rsidRPr="00F44D1B" w:rsidRDefault="00A4638C" w:rsidP="00A4638C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nieru darbības kontroli un devas </w:t>
      </w:r>
      <w:r w:rsidRPr="00F44D1B">
        <w:rPr>
          <w:lang w:val="lv-LV"/>
        </w:rPr>
        <w:lastRenderedPageBreak/>
        <w:t xml:space="preserve">pielāgošanu pieaugušiem pacientiem, kuri saņem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disoproksilu</w:t>
      </w:r>
      <w:proofErr w:type="spellEnd"/>
      <w:r w:rsidRPr="00F44D1B">
        <w:rPr>
          <w:lang w:val="lv-LV"/>
        </w:rPr>
        <w:t>”, versija 2;</w:t>
      </w:r>
    </w:p>
    <w:p w14:paraId="45BC46FA" w14:textId="77777777" w:rsidR="00A4638C" w:rsidRPr="00F44D1B" w:rsidRDefault="00A4638C" w:rsidP="00A4638C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62FBC972" w14:textId="77777777" w:rsidR="00A4638C" w:rsidRDefault="00A4638C" w:rsidP="00A4638C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706C187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F294D1" w14:textId="77777777" w:rsidR="00A4638C" w:rsidRPr="00B355B5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25.01.2019):</w:t>
      </w:r>
    </w:p>
    <w:p w14:paraId="5E441A2C" w14:textId="77777777" w:rsidR="00A4638C" w:rsidRPr="00B95D1D" w:rsidRDefault="00A4638C" w:rsidP="00A4638C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proofErr w:type="spellStart"/>
      <w:r w:rsidRPr="00B95D1D">
        <w:rPr>
          <w:lang w:val="lv-LV"/>
        </w:rPr>
        <w:t>Enbrel</w:t>
      </w:r>
      <w:proofErr w:type="spellEnd"/>
      <w:r w:rsidRPr="00B95D1D">
        <w:rPr>
          <w:lang w:val="lv-LV"/>
        </w:rPr>
        <w:t xml:space="preserve"> Ārsta Rokasgrāmata (Versija: v.2.0-Novembris/2018);</w:t>
      </w:r>
    </w:p>
    <w:p w14:paraId="75ACFAC0" w14:textId="77777777" w:rsidR="00A4638C" w:rsidRDefault="00A4638C" w:rsidP="00A4638C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14:paraId="081C7FC1" w14:textId="77777777" w:rsidR="00A4638C" w:rsidRPr="00B95D1D" w:rsidRDefault="00A4638C" w:rsidP="00A4638C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14:paraId="485DC716" w14:textId="77777777" w:rsidR="00A4638C" w:rsidRDefault="00A4638C" w:rsidP="00A4638C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proofErr w:type="spellStart"/>
      <w:r>
        <w:rPr>
          <w:lang w:val="lv-LV"/>
        </w:rPr>
        <w:t>Enbrel</w:t>
      </w:r>
      <w:proofErr w:type="spellEnd"/>
      <w:r>
        <w:rPr>
          <w:lang w:val="lv-LV"/>
        </w:rPr>
        <w:t xml:space="preserve"> MYCLIC lietošanas </w:t>
      </w:r>
      <w:proofErr w:type="spellStart"/>
      <w:r>
        <w:rPr>
          <w:lang w:val="lv-LV"/>
        </w:rPr>
        <w:t>videoinstrukcija</w:t>
      </w:r>
      <w:proofErr w:type="spellEnd"/>
      <w:r>
        <w:rPr>
          <w:lang w:val="lv-LV"/>
        </w:rPr>
        <w:t xml:space="preserve">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 (paredzēta medmāsām un ārstiem pacientu instruktāžai).</w:t>
      </w:r>
    </w:p>
    <w:p w14:paraId="50AB64C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45A1D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5FCCB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14:paraId="423D671D" w14:textId="77777777" w:rsidR="00A4638C" w:rsidRDefault="00A4638C" w:rsidP="00A463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14:paraId="48A9AD2F" w14:textId="77777777" w:rsidR="00A4638C" w:rsidRDefault="00A4638C" w:rsidP="00A463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14:paraId="3065C24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A442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32766943" w14:textId="77777777" w:rsidR="00A4638C" w:rsidRDefault="00A4638C" w:rsidP="00A463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03B0ECEF" w14:textId="77777777" w:rsidR="00A4638C" w:rsidRDefault="00A4638C" w:rsidP="00A463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357E4C2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3BC73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15563D0F" w14:textId="77777777" w:rsidR="00A4638C" w:rsidRDefault="00A4638C" w:rsidP="00A4638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28712525" w14:textId="77777777" w:rsidR="00A4638C" w:rsidRDefault="00A4638C" w:rsidP="00A4638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17AAB4DD" w14:textId="77777777" w:rsidR="00A4638C" w:rsidRPr="00B83EAB" w:rsidRDefault="00A4638C" w:rsidP="00A4638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0AE95383" w14:textId="77777777" w:rsidR="00A4638C" w:rsidRDefault="00A4638C" w:rsidP="00A4638C">
      <w:pPr>
        <w:autoSpaceDE w:val="0"/>
        <w:autoSpaceDN w:val="0"/>
        <w:adjustRightInd w:val="0"/>
        <w:rPr>
          <w:bCs/>
        </w:rPr>
      </w:pPr>
    </w:p>
    <w:p w14:paraId="3435782C" w14:textId="77777777" w:rsidR="00A4638C" w:rsidRDefault="00A4638C" w:rsidP="00A463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024FF094" w14:textId="77777777" w:rsidR="00A4638C" w:rsidRDefault="00A4638C" w:rsidP="00A4638C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4FCD00E8" w14:textId="77777777" w:rsidR="00A4638C" w:rsidRDefault="00A4638C" w:rsidP="00A4638C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14:paraId="06A8A565" w14:textId="77777777" w:rsidR="00A4638C" w:rsidRPr="007136F5" w:rsidRDefault="00A4638C" w:rsidP="00A4638C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0EDDC76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72DE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31.01.2017):</w:t>
      </w:r>
    </w:p>
    <w:p w14:paraId="78E8EA4E" w14:textId="77777777" w:rsidR="00A4638C" w:rsidRDefault="00A4638C" w:rsidP="00A4638C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14:paraId="1A71A80D" w14:textId="77777777" w:rsidR="00A4638C" w:rsidRDefault="00A4638C" w:rsidP="00A463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14:paraId="1548BBFD" w14:textId="77777777" w:rsidR="00A4638C" w:rsidRDefault="00A4638C" w:rsidP="00A463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14:paraId="22609468" w14:textId="77777777" w:rsidR="00A4638C" w:rsidRDefault="00A4638C" w:rsidP="00A463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14:paraId="6E2A15CC" w14:textId="77777777" w:rsidR="00A4638C" w:rsidRDefault="00A4638C" w:rsidP="00A463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14:paraId="5F931FE7" w14:textId="7777777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14:paraId="2A3BD73B" w14:textId="77777777" w:rsidR="00A4638C" w:rsidRDefault="00A4638C" w:rsidP="00A463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Izglītojošais</w:t>
      </w:r>
      <w:proofErr w:type="spellEnd"/>
      <w:r>
        <w:t xml:space="preserve"> </w:t>
      </w:r>
      <w:proofErr w:type="spellStart"/>
      <w:r>
        <w:t>materiāls</w:t>
      </w:r>
      <w:proofErr w:type="spellEnd"/>
      <w:r>
        <w:t xml:space="preserve"> pacientam-EDM-ERI-RMPv11-Dec2016;</w:t>
      </w:r>
    </w:p>
    <w:p w14:paraId="54BCC501" w14:textId="77777777" w:rsidR="00A4638C" w:rsidRDefault="00A4638C" w:rsidP="00A4638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pacientam-EDM-ERI-RMPv11-Dec2016.</w:t>
      </w:r>
    </w:p>
    <w:p w14:paraId="68DE97A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C7E71" w14:textId="3306FD9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D05A0"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ts </w:t>
      </w:r>
      <w:r w:rsidR="008D05A0"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14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8D05A0"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</w:t>
      </w:r>
      <w:r w:rsidR="008D05A0"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.):</w:t>
      </w:r>
    </w:p>
    <w:p w14:paraId="633B854C" w14:textId="77777777" w:rsidR="00A4638C" w:rsidRPr="008845FB" w:rsidRDefault="00A4638C" w:rsidP="00A4638C">
      <w:pPr>
        <w:pStyle w:val="ListParagraph"/>
        <w:numPr>
          <w:ilvl w:val="0"/>
          <w:numId w:val="130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7D75A30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D1FE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14:paraId="1DBD0C2D" w14:textId="77777777" w:rsidR="00A4638C" w:rsidRDefault="00A4638C" w:rsidP="00A46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14:paraId="7888E379" w14:textId="77777777" w:rsidR="00A4638C" w:rsidRDefault="00A4638C" w:rsidP="00A463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14:paraId="368BA3F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D790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B8833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688DC87D" w14:textId="77777777" w:rsidR="00A4638C" w:rsidRDefault="00A4638C" w:rsidP="00A463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22514D83" w14:textId="77777777" w:rsidR="00A4638C" w:rsidRDefault="00A4638C" w:rsidP="00A463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241755DC" w14:textId="77777777" w:rsidR="00A4638C" w:rsidRDefault="00A4638C" w:rsidP="00A4638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E45A66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D69D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29F0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B5FF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20.08.2019.):</w:t>
      </w:r>
    </w:p>
    <w:p w14:paraId="2E5CE504" w14:textId="77777777" w:rsidR="00A4638C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3CCA87F8" w14:textId="77777777" w:rsidR="00A4638C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7.0_RMP v. 16.2.;</w:t>
      </w:r>
    </w:p>
    <w:p w14:paraId="40CF13CE" w14:textId="77777777" w:rsidR="00A4638C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14:paraId="63379017" w14:textId="77777777" w:rsidR="00A4638C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14:paraId="659F9C6B" w14:textId="77777777" w:rsidR="00A4638C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14:paraId="37409B7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857C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36D493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329D77A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E031003" w14:textId="77777777" w:rsidR="00A4638C" w:rsidRDefault="00A4638C" w:rsidP="00A4638C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lastRenderedPageBreak/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368A299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D6A724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AEE144" w14:textId="77777777" w:rsidR="00A4638C" w:rsidRDefault="00A4638C" w:rsidP="00A4638C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14:paraId="7B04AEAA" w14:textId="77777777" w:rsidR="00A4638C" w:rsidRDefault="00A4638C" w:rsidP="00A4638C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5.0 (11/2017);</w:t>
      </w:r>
    </w:p>
    <w:p w14:paraId="7DAD9C1A" w14:textId="77777777" w:rsidR="00A4638C" w:rsidRDefault="00A4638C" w:rsidP="00A4638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14:paraId="084A8477" w14:textId="77777777" w:rsidR="00A4638C" w:rsidRDefault="00A4638C" w:rsidP="00A4638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875D0" w14:textId="77777777" w:rsidR="00A4638C" w:rsidRDefault="00A4638C" w:rsidP="00A46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E5C8952" w14:textId="77777777" w:rsidR="00A4638C" w:rsidRDefault="00A4638C" w:rsidP="00A46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14:paraId="3F0D0A0C" w14:textId="77777777" w:rsidR="00A4638C" w:rsidRPr="00167196" w:rsidRDefault="00A4638C" w:rsidP="00A4638C">
      <w:pPr>
        <w:pStyle w:val="ListParagraph"/>
        <w:numPr>
          <w:ilvl w:val="0"/>
          <w:numId w:val="159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   </w:t>
      </w:r>
      <w:r w:rsidRPr="00167196">
        <w:t>(</w:t>
      </w:r>
      <w:r>
        <w:t>APM-0087_LV)</w:t>
      </w:r>
    </w:p>
    <w:p w14:paraId="7247408E" w14:textId="77777777" w:rsidR="00A4638C" w:rsidRPr="00167196" w:rsidRDefault="00A4638C" w:rsidP="00A4638C">
      <w:pPr>
        <w:pStyle w:val="ListParagraph"/>
        <w:numPr>
          <w:ilvl w:val="0"/>
          <w:numId w:val="159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14:paraId="32846B6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D18B31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579A87EA" w14:textId="77777777" w:rsidR="00A4638C" w:rsidRPr="002C6634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5CF5B2" w14:textId="77777777" w:rsidR="00A4638C" w:rsidRPr="002C6634" w:rsidRDefault="00A4638C" w:rsidP="00A4638C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6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6"/>
    </w:p>
    <w:p w14:paraId="2F4A97C4" w14:textId="77777777" w:rsidR="00A4638C" w:rsidRPr="002C6634" w:rsidRDefault="00A4638C" w:rsidP="00A4638C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5BACF578" w14:textId="77777777" w:rsidR="00A4638C" w:rsidRPr="002C6634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1551F07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381A52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8651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1A3ADA21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ECEF55C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44A7AE4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D69EAE" w14:textId="77777777" w:rsidR="00A4638C" w:rsidRDefault="00A4638C" w:rsidP="00A463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9269D5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6F2C427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A5BF9B7" w14:textId="77777777" w:rsidR="00A4638C" w:rsidRDefault="00A4638C" w:rsidP="00A46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7AA64" w14:textId="77777777" w:rsidR="00A4638C" w:rsidRDefault="00A4638C" w:rsidP="00A463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40A067B0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14:paraId="64B6AEF7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F632660" w14:textId="77777777" w:rsidR="00A4638C" w:rsidRDefault="00A4638C" w:rsidP="00A46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41940" w14:textId="77777777" w:rsidR="00A4638C" w:rsidRDefault="00A4638C" w:rsidP="00A46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9871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14:paraId="7F8F505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380A3083" w14:textId="77777777" w:rsidR="00A4638C" w:rsidRDefault="00A4638C" w:rsidP="00A4638C">
      <w:pPr>
        <w:keepNext/>
        <w:numPr>
          <w:ilvl w:val="0"/>
          <w:numId w:val="41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izglītojošs materiāls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ektopiskās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grūtniecības risku (atjaunināts 13.06.2014.)</w:t>
      </w:r>
    </w:p>
    <w:p w14:paraId="79F3E4D5" w14:textId="77777777" w:rsidR="00A4638C" w:rsidRPr="008C11EC" w:rsidRDefault="00A4638C" w:rsidP="00A4638C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ektopiskās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14:paraId="1C9EB804" w14:textId="77777777" w:rsidR="00A4638C" w:rsidRDefault="00A4638C" w:rsidP="00A463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63604" w14:textId="77777777" w:rsidR="00A4638C" w:rsidRDefault="00A4638C" w:rsidP="00A463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02.04.2019):</w:t>
      </w:r>
    </w:p>
    <w:p w14:paraId="5952F2A5" w14:textId="77777777" w:rsidR="00A4638C" w:rsidRDefault="00A4638C" w:rsidP="00A463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390D0" w14:textId="77777777" w:rsidR="00A4638C" w:rsidRPr="004D10D0" w:rsidRDefault="00A4638C" w:rsidP="00A4638C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bookmarkStart w:id="7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14:paraId="7B47527A" w14:textId="77777777" w:rsidR="00A4638C" w:rsidRPr="00223D4B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40721" w14:textId="77777777" w:rsidR="00A4638C" w:rsidRPr="004D10D0" w:rsidRDefault="00A4638C" w:rsidP="00A4638C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14:paraId="39028416" w14:textId="77777777" w:rsidR="00A4638C" w:rsidRPr="004D10D0" w:rsidRDefault="00A4638C" w:rsidP="00A4638C">
      <w:pPr>
        <w:pStyle w:val="ListParagraph"/>
        <w:numPr>
          <w:ilvl w:val="0"/>
          <w:numId w:val="150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7"/>
    </w:p>
    <w:p w14:paraId="309206A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6D15F32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7E1E321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6774F0E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0C4B9A1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4B62ACE8" w14:textId="77777777" w:rsidR="00A4638C" w:rsidRDefault="00A4638C" w:rsidP="00A4638C">
      <w:pPr>
        <w:pStyle w:val="NormalWeb"/>
        <w:numPr>
          <w:ilvl w:val="0"/>
          <w:numId w:val="164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2390309A" w14:textId="77777777" w:rsidR="00A4638C" w:rsidRDefault="00A4638C" w:rsidP="00A4638C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“Pacienta vadlīnijas: Svarīga informācija, kas jāatceras, ārstējoties ar </w:t>
      </w:r>
      <w:proofErr w:type="spellStart"/>
      <w:r>
        <w:t>Gilenya</w:t>
      </w:r>
      <w:proofErr w:type="spellEnd"/>
      <w:r>
        <w:t>”, versija V8.1;</w:t>
      </w:r>
    </w:p>
    <w:p w14:paraId="6DA54222" w14:textId="77777777" w:rsidR="00A4638C" w:rsidRDefault="00A4638C" w:rsidP="00A4638C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 xml:space="preserve">Izglītojošs materiāls pacientam “Svarīga informācija, kas jāatceras par ārstēšanu ar </w:t>
      </w:r>
      <w:proofErr w:type="spellStart"/>
      <w:r>
        <w:t>Gilenya</w:t>
      </w:r>
      <w:proofErr w:type="spellEnd"/>
      <w:r>
        <w:t xml:space="preserve"> (</w:t>
      </w:r>
      <w:proofErr w:type="spellStart"/>
      <w:r>
        <w:t>fingolimodu</w:t>
      </w:r>
      <w:proofErr w:type="spellEnd"/>
      <w:r>
        <w:t>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77E70969" w14:textId="77777777" w:rsidR="00A4638C" w:rsidRDefault="00A4638C" w:rsidP="00A4638C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bookmarkStart w:id="8" w:name="_Hlk22725512"/>
      <w:r>
        <w:t>Izglītojošs materiāls pacientam “</w:t>
      </w:r>
      <w:proofErr w:type="spellStart"/>
      <w:r w:rsidRPr="00462F15">
        <w:t>Gilenya</w:t>
      </w:r>
      <w:proofErr w:type="spellEnd"/>
      <w:r>
        <w:t xml:space="preserve"> (</w:t>
      </w:r>
      <w:proofErr w:type="spellStart"/>
      <w:r>
        <w:t>fingolimods</w:t>
      </w:r>
      <w:proofErr w:type="spellEnd"/>
      <w:r>
        <w:t>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8"/>
    <w:p w14:paraId="7560F31C" w14:textId="77777777" w:rsidR="00A4638C" w:rsidRDefault="00A4638C" w:rsidP="00A4638C">
      <w:pPr>
        <w:pStyle w:val="NormalWeb"/>
        <w:spacing w:before="0" w:beforeAutospacing="0" w:after="0" w:afterAutospacing="0"/>
        <w:ind w:left="1287"/>
        <w:jc w:val="both"/>
      </w:pPr>
    </w:p>
    <w:p w14:paraId="235B5DA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324997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E208D9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31E41959" w14:textId="77777777" w:rsidR="00A4638C" w:rsidRDefault="00A4638C" w:rsidP="00A463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9" w:name="_Hlk536180811"/>
      <w:bookmarkStart w:id="10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16AD26C1" w14:textId="77777777" w:rsidR="00A4638C" w:rsidRDefault="00A4638C" w:rsidP="00A4638C">
      <w:pPr>
        <w:pStyle w:val="ListParagraph"/>
        <w:numPr>
          <w:ilvl w:val="0"/>
          <w:numId w:val="157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0BB46F2B" w14:textId="77777777" w:rsidR="00A4638C" w:rsidRPr="00D33A42" w:rsidRDefault="00A4638C" w:rsidP="00A4638C">
      <w:pPr>
        <w:pStyle w:val="ListParagraph"/>
        <w:numPr>
          <w:ilvl w:val="0"/>
          <w:numId w:val="157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241968D0" w14:textId="77777777" w:rsidR="00A4638C" w:rsidRDefault="00A4638C" w:rsidP="00A4638C">
      <w:pPr>
        <w:pStyle w:val="ListParagraph"/>
        <w:numPr>
          <w:ilvl w:val="0"/>
          <w:numId w:val="15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D6C322" w14:textId="77777777" w:rsidR="00A4638C" w:rsidRPr="00D33A42" w:rsidRDefault="00A4638C" w:rsidP="00A4638C">
      <w:pPr>
        <w:pStyle w:val="ListParagraph"/>
        <w:numPr>
          <w:ilvl w:val="0"/>
          <w:numId w:val="157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3308EBCF" w14:textId="77777777" w:rsidR="00A4638C" w:rsidRDefault="00A4638C" w:rsidP="00A463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B32CC" w14:textId="77777777" w:rsidR="00A4638C" w:rsidRDefault="00A4638C" w:rsidP="00A4638C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9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EPD</w:t>
      </w:r>
      <w:r>
        <w:rPr>
          <w:rFonts w:ascii="Times New Roman" w:hAnsi="Times New Roman"/>
          <w:sz w:val="24"/>
          <w:szCs w:val="24"/>
          <w:lang w:eastAsia="lv-LV"/>
        </w:rPr>
        <w:t xml:space="preserve">, versija 01;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14:paraId="77E8AAB3" w14:textId="77777777" w:rsidR="00A4638C" w:rsidRPr="009F2239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3E99921" w14:textId="77777777" w:rsidR="00A4638C" w:rsidRPr="009F2239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14:paraId="23A44375" w14:textId="77777777" w:rsidR="00A4638C" w:rsidRPr="009F2239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14:paraId="6FBCA961" w14:textId="77777777" w:rsidR="00A4638C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14:paraId="33BAF230" w14:textId="77777777" w:rsidR="00A4638C" w:rsidRPr="009F2239" w:rsidRDefault="00A4638C" w:rsidP="00A4638C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0"/>
    <w:p w14:paraId="25E9F05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1AB5BF01" w14:textId="77777777" w:rsidR="00A4638C" w:rsidRDefault="00A4638C" w:rsidP="00A4638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496D3FD6" w14:textId="77777777" w:rsidR="00A4638C" w:rsidRDefault="00A4638C" w:rsidP="00A4638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7F36D09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74ED984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9F8EBF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Lielbritānija, versija 5.0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D8201EE" w14:textId="77777777" w:rsidR="00A4638C" w:rsidRDefault="00A4638C" w:rsidP="00A4638C">
      <w:pPr>
        <w:numPr>
          <w:ilvl w:val="0"/>
          <w:numId w:val="43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F90EA11" w14:textId="77777777" w:rsidR="00A4638C" w:rsidRPr="00D825C2" w:rsidRDefault="00A4638C" w:rsidP="00A4638C">
      <w:pPr>
        <w:pStyle w:val="ListParagraph"/>
        <w:numPr>
          <w:ilvl w:val="0"/>
          <w:numId w:val="43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14:paraId="35706984" w14:textId="77777777" w:rsidR="00A4638C" w:rsidRDefault="00A4638C" w:rsidP="00A4638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8CB08A" w14:textId="77777777" w:rsidR="00A4638C" w:rsidRDefault="00A4638C" w:rsidP="00A4638C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14:paraId="145D71D5" w14:textId="77777777" w:rsidR="00A4638C" w:rsidRDefault="00A4638C" w:rsidP="00A4638C">
      <w:pPr>
        <w:pStyle w:val="ListParagraph"/>
        <w:numPr>
          <w:ilvl w:val="0"/>
          <w:numId w:val="134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14:paraId="5FE4A7BB" w14:textId="77777777" w:rsidR="00A4638C" w:rsidRDefault="00A4638C" w:rsidP="00A4638C">
      <w:pPr>
        <w:pStyle w:val="ListParagraph"/>
        <w:numPr>
          <w:ilvl w:val="0"/>
          <w:numId w:val="134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14:paraId="6203A957" w14:textId="77777777" w:rsidR="00A4638C" w:rsidRDefault="00A4638C" w:rsidP="00A4638C">
      <w:pPr>
        <w:pStyle w:val="ListParagraph"/>
        <w:numPr>
          <w:ilvl w:val="0"/>
          <w:numId w:val="13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14:paraId="41846AD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0373B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6F7B743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582E5" w14:textId="77777777" w:rsidR="00A4638C" w:rsidRDefault="00A4638C" w:rsidP="00A463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301B7837" w14:textId="77777777" w:rsidR="00A4638C" w:rsidRDefault="00A4638C" w:rsidP="00A4638C">
      <w:pPr>
        <w:pStyle w:val="ListParagraph"/>
        <w:numPr>
          <w:ilvl w:val="0"/>
          <w:numId w:val="44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lastRenderedPageBreak/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28DF948C" w14:textId="77777777" w:rsidR="00A4638C" w:rsidRDefault="00A4638C" w:rsidP="00A463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24528C0A" w14:textId="77777777" w:rsidR="00A4638C" w:rsidRDefault="00A4638C" w:rsidP="00A4638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0DD3128F" w14:textId="77777777" w:rsidR="00A4638C" w:rsidRPr="00D357DE" w:rsidRDefault="00A4638C" w:rsidP="00A4638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757BB0E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E1CD5" w14:textId="77777777" w:rsidR="00A4638C" w:rsidRPr="00D357DE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5AE4D08C" w14:textId="77777777" w:rsidR="00A4638C" w:rsidRPr="00D357DE" w:rsidRDefault="00A4638C" w:rsidP="00A4638C">
      <w:pPr>
        <w:pStyle w:val="ListParagraph"/>
        <w:numPr>
          <w:ilvl w:val="0"/>
          <w:numId w:val="160"/>
        </w:numPr>
        <w:spacing w:line="276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17217B68" w14:textId="77777777" w:rsidR="00A4638C" w:rsidRDefault="00A4638C" w:rsidP="00A4638C">
      <w:pPr>
        <w:pStyle w:val="ListParagraph"/>
        <w:numPr>
          <w:ilvl w:val="0"/>
          <w:numId w:val="160"/>
        </w:numPr>
        <w:spacing w:line="276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14:paraId="7A87F18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9194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B5BF889" w14:textId="77777777" w:rsidR="00A4638C" w:rsidRDefault="00A4638C" w:rsidP="00A4638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025A72A5" w14:textId="77777777" w:rsidR="00A4638C" w:rsidRDefault="00A4638C" w:rsidP="00A4638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62ECD35F" w14:textId="77777777" w:rsidR="00A4638C" w:rsidRDefault="00A4638C" w:rsidP="00A4638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3275BC8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CE6FC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14:paraId="2FA3960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14:paraId="31BFC890" w14:textId="77777777" w:rsidR="00A4638C" w:rsidRDefault="00A4638C" w:rsidP="00A4638C">
      <w:pPr>
        <w:pStyle w:val="Bodytext40"/>
        <w:numPr>
          <w:ilvl w:val="0"/>
          <w:numId w:val="47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devam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14:paraId="257E085E" w14:textId="77777777" w:rsidR="00A4638C" w:rsidRDefault="00A4638C" w:rsidP="00A463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14:paraId="6F13BFA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14:paraId="63ABA09C" w14:textId="77777777" w:rsidR="00A4638C" w:rsidRDefault="00A4638C" w:rsidP="00A4638C">
      <w:pPr>
        <w:pStyle w:val="Bodytext40"/>
        <w:numPr>
          <w:ilvl w:val="0"/>
          <w:numId w:val="47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instrukcija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14:paraId="4A3D7D21" w14:textId="77777777" w:rsidR="00A4638C" w:rsidRDefault="00A4638C" w:rsidP="00A4638C">
      <w:pPr>
        <w:pStyle w:val="Bodytext40"/>
        <w:numPr>
          <w:ilvl w:val="0"/>
          <w:numId w:val="47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hipoglikēmiju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14:paraId="33F62984" w14:textId="77777777" w:rsidR="00A4638C" w:rsidRDefault="00A4638C" w:rsidP="00A4638C">
      <w:pPr>
        <w:pStyle w:val="Bodytext40"/>
        <w:numPr>
          <w:ilvl w:val="0"/>
          <w:numId w:val="47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 xml:space="preserve">”. </w:t>
      </w:r>
    </w:p>
    <w:p w14:paraId="05A36E3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9C815D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3BFA9520" w14:textId="77777777" w:rsidR="00A4638C" w:rsidRDefault="00A4638C" w:rsidP="00A4638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1737B30F" w14:textId="77777777" w:rsidR="00A4638C" w:rsidRDefault="00A4638C" w:rsidP="00A4638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4EDD166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B119A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2F30EF69" w14:textId="77777777" w:rsidR="00A4638C" w:rsidRDefault="00A4638C" w:rsidP="00A4638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035D5249" w14:textId="77777777" w:rsidR="00A4638C" w:rsidRDefault="00A4638C" w:rsidP="00A4638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2E2A646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5AB1D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51663B15" w14:textId="77777777" w:rsidR="00A4638C" w:rsidRDefault="00A4638C" w:rsidP="00A4638C">
      <w:pPr>
        <w:pStyle w:val="ListParagraph"/>
        <w:numPr>
          <w:ilvl w:val="0"/>
          <w:numId w:val="51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59F57FA0" w14:textId="77777777" w:rsidR="00A4638C" w:rsidRDefault="00A4638C" w:rsidP="00A4638C"/>
    <w:p w14:paraId="3A2E05A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29B9A0F" w14:textId="77777777" w:rsidR="00A4638C" w:rsidRDefault="00A4638C" w:rsidP="00A4638C">
      <w:pPr>
        <w:pStyle w:val="ListParagraph"/>
        <w:numPr>
          <w:ilvl w:val="0"/>
          <w:numId w:val="52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7671E26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66E2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3BD33AD" w14:textId="77777777" w:rsidR="00A4638C" w:rsidRDefault="00A4638C" w:rsidP="00A4638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7C743555" w14:textId="77777777" w:rsidR="00A4638C" w:rsidRDefault="00A4638C" w:rsidP="00A4638C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112EF4A5" w14:textId="77777777" w:rsidR="00A4638C" w:rsidRDefault="00A4638C" w:rsidP="00A4638C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516C0DAC" w14:textId="77777777" w:rsidR="00A4638C" w:rsidRDefault="00A4638C" w:rsidP="00A4638C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39554E0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189E8A5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2E808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6839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14:paraId="78F397BD" w14:textId="77777777" w:rsidR="00A4638C" w:rsidRPr="00EB463B" w:rsidRDefault="00A4638C" w:rsidP="00A4638C">
      <w:pPr>
        <w:pStyle w:val="ListParagraph"/>
        <w:numPr>
          <w:ilvl w:val="0"/>
          <w:numId w:val="14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EDM-KAD-RMPv7-Renewal-</w:t>
      </w:r>
      <w:r w:rsidRPr="00CA5C94">
        <w:t xml:space="preserve"> </w:t>
      </w:r>
      <w:r w:rsidRPr="00CA5C94">
        <w:rPr>
          <w:lang w:val="it-IT"/>
        </w:rPr>
        <w:t>Sep2018;</w:t>
      </w:r>
    </w:p>
    <w:p w14:paraId="341123F9" w14:textId="77777777" w:rsidR="00A4638C" w:rsidRDefault="00A4638C" w:rsidP="00A4638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14:paraId="109DDA1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C4FEB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(saskaņots 29.01.2016.):</w:t>
      </w:r>
    </w:p>
    <w:p w14:paraId="2A6BD80B" w14:textId="77777777" w:rsidR="00A4638C" w:rsidRDefault="00A4638C" w:rsidP="00A4638C">
      <w:pPr>
        <w:widowControl w:val="0"/>
        <w:numPr>
          <w:ilvl w:val="0"/>
          <w:numId w:val="49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064BEE9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0E0E5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78484158" w14:textId="77777777" w:rsidR="00A4638C" w:rsidRDefault="00A4638C" w:rsidP="00A4638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06FFB9D8" w14:textId="77777777" w:rsidR="00A4638C" w:rsidRDefault="00A4638C" w:rsidP="00A4638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1B89441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06487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818330A" w14:textId="77777777" w:rsidR="00A4638C" w:rsidRPr="00BF6510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736AC6B2" w14:textId="77777777" w:rsidR="00A4638C" w:rsidRPr="00BF6510" w:rsidRDefault="00A4638C" w:rsidP="00A4638C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6255801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520D6A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D71FF4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72F1AD54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3C93599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E1BDA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361699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1C0DBE88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56531DC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AB3CB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45A40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Limited,Lielbritānija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33B389EC" w14:textId="77777777" w:rsidR="00A4638C" w:rsidRDefault="00A4638C" w:rsidP="00A4638C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Informatīvā brošūra pacientam (versija 16.0);</w:t>
      </w:r>
    </w:p>
    <w:p w14:paraId="09BEFE9A" w14:textId="77777777" w:rsidR="00A4638C" w:rsidRDefault="00A4638C" w:rsidP="00A4638C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16.0).</w:t>
      </w:r>
    </w:p>
    <w:p w14:paraId="7F3A019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B8E5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077F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17.05.2019.):</w:t>
      </w:r>
    </w:p>
    <w:p w14:paraId="43B65EBF" w14:textId="77777777" w:rsidR="00A4638C" w:rsidRPr="00FA7FA0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465DAB70" w14:textId="77777777" w:rsidR="00A4638C" w:rsidRPr="00FA7FA0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1286D0AA" w14:textId="77777777" w:rsidR="00A4638C" w:rsidRPr="00FA7FA0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14:paraId="58FFCF9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14:paraId="68CBB8C8" w14:textId="77777777" w:rsidR="00A4638C" w:rsidRDefault="00A4638C" w:rsidP="00A4638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14:paraId="6A7CC432" w14:textId="77777777" w:rsidR="00A4638C" w:rsidRPr="00837957" w:rsidRDefault="00A4638C" w:rsidP="00A4638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14:paraId="4F7F8F73" w14:textId="77777777" w:rsidR="00A4638C" w:rsidRPr="00837957" w:rsidRDefault="00A4638C" w:rsidP="00A4638C">
      <w:pPr>
        <w:pStyle w:val="ListParagraph"/>
        <w:numPr>
          <w:ilvl w:val="0"/>
          <w:numId w:val="55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6BAF0E15" w14:textId="77777777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35BC3DA1" w14:textId="77777777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11952906" w14:textId="77777777" w:rsidR="00A4638C" w:rsidRDefault="00A4638C" w:rsidP="00A4638C">
      <w:pPr>
        <w:pStyle w:val="Default"/>
        <w:numPr>
          <w:ilvl w:val="0"/>
          <w:numId w:val="125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14:paraId="2253955C" w14:textId="77777777" w:rsidR="00A4638C" w:rsidRDefault="00A4638C" w:rsidP="00A4638C">
      <w:pPr>
        <w:pStyle w:val="Default"/>
        <w:jc w:val="both"/>
        <w:rPr>
          <w:color w:val="auto"/>
          <w:lang w:val="lv-LV" w:eastAsia="la" w:bidi="la"/>
        </w:rPr>
      </w:pPr>
    </w:p>
    <w:p w14:paraId="7B95BD84" w14:textId="77777777" w:rsidR="00A4638C" w:rsidRDefault="00A4638C" w:rsidP="00A4638C">
      <w:pPr>
        <w:pStyle w:val="Default"/>
        <w:jc w:val="both"/>
      </w:pPr>
      <w:proofErr w:type="spellStart"/>
      <w:r w:rsidRPr="008031FF">
        <w:rPr>
          <w:b/>
        </w:rPr>
        <w:t>Kymriah</w:t>
      </w:r>
      <w:proofErr w:type="spellEnd"/>
      <w:r w:rsidRPr="008031FF">
        <w:rPr>
          <w:b/>
        </w:rPr>
        <w:t xml:space="preserve"> </w:t>
      </w:r>
      <w:r w:rsidRPr="008031FF">
        <w:rPr>
          <w:i/>
        </w:rPr>
        <w:t>(</w:t>
      </w:r>
      <w:proofErr w:type="spellStart"/>
      <w:r w:rsidRPr="008031FF">
        <w:rPr>
          <w:i/>
        </w:rPr>
        <w:t>tisagenlecleucel</w:t>
      </w:r>
      <w:proofErr w:type="spellEnd"/>
      <w:r w:rsidRPr="008031FF">
        <w:rPr>
          <w:i/>
        </w:rPr>
        <w:t>)</w:t>
      </w:r>
      <w:r w:rsidRPr="008031FF">
        <w:t xml:space="preserve"> 1,2 x 106 – 6 x 108 </w:t>
      </w:r>
      <w:proofErr w:type="spellStart"/>
      <w:r w:rsidRPr="008031FF">
        <w:t>šūnu</w:t>
      </w:r>
      <w:proofErr w:type="spellEnd"/>
      <w:r w:rsidRPr="008031FF">
        <w:t xml:space="preserve"> </w:t>
      </w:r>
      <w:proofErr w:type="spellStart"/>
      <w:r w:rsidRPr="008031FF">
        <w:t>dispersija</w:t>
      </w:r>
      <w:proofErr w:type="spellEnd"/>
      <w:r w:rsidRPr="008031FF">
        <w:t xml:space="preserve"> </w:t>
      </w:r>
      <w:proofErr w:type="spellStart"/>
      <w:r w:rsidRPr="008031FF">
        <w:t>infūzijām</w:t>
      </w:r>
      <w:proofErr w:type="spellEnd"/>
      <w:r w:rsidRPr="008031FF">
        <w:rPr>
          <w:b/>
          <w:color w:val="auto"/>
          <w:lang w:val="lv-LV" w:eastAsia="la" w:bidi="la"/>
        </w:rPr>
        <w:t xml:space="preserve"> </w:t>
      </w:r>
      <w:r>
        <w:t xml:space="preserve">Novartis </w:t>
      </w:r>
      <w:proofErr w:type="spellStart"/>
      <w:r>
        <w:t>Europharm</w:t>
      </w:r>
      <w:proofErr w:type="spellEnd"/>
      <w:r>
        <w:t xml:space="preserve"> Limited, </w:t>
      </w:r>
      <w:proofErr w:type="spellStart"/>
      <w:r>
        <w:t>Īrija</w:t>
      </w:r>
      <w:proofErr w:type="spellEnd"/>
      <w:r>
        <w:t xml:space="preserve"> (</w:t>
      </w:r>
      <w:proofErr w:type="spellStart"/>
      <w:r>
        <w:t>saskaņots</w:t>
      </w:r>
      <w:proofErr w:type="spellEnd"/>
      <w:r>
        <w:t xml:space="preserve"> 14.03.2019):</w:t>
      </w:r>
    </w:p>
    <w:p w14:paraId="3A945BA7" w14:textId="77777777" w:rsidR="00A4638C" w:rsidRDefault="00A4638C" w:rsidP="00A4638C">
      <w:pPr>
        <w:pStyle w:val="NormalWeb"/>
        <w:numPr>
          <w:ilvl w:val="0"/>
          <w:numId w:val="42"/>
        </w:numPr>
        <w:spacing w:before="0" w:beforeAutospacing="0" w:after="0" w:afterAutospacing="0"/>
        <w:ind w:left="709"/>
        <w:jc w:val="both"/>
      </w:pPr>
      <w:proofErr w:type="spellStart"/>
      <w:r>
        <w:t>Kymriah</w:t>
      </w:r>
      <w:proofErr w:type="spellEnd"/>
      <w:r>
        <w:t xml:space="preserve"> 1,2 x 106– 6 x 108 šūnu dispersija infūzijām (</w:t>
      </w:r>
      <w:proofErr w:type="spellStart"/>
      <w:r>
        <w:t>tisagenlekleicels</w:t>
      </w:r>
      <w:proofErr w:type="spellEnd"/>
      <w:r>
        <w:t>)</w:t>
      </w:r>
    </w:p>
    <w:p w14:paraId="688CE251" w14:textId="77777777" w:rsidR="00A4638C" w:rsidRDefault="00A4638C" w:rsidP="00A4638C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14:paraId="7FD336A8" w14:textId="77777777" w:rsidR="00A4638C" w:rsidRDefault="00A4638C" w:rsidP="00A4638C">
      <w:pPr>
        <w:pStyle w:val="NormalWeb"/>
        <w:numPr>
          <w:ilvl w:val="0"/>
          <w:numId w:val="140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proofErr w:type="spellStart"/>
      <w:r w:rsidRPr="00E70066">
        <w:t>Kymriah</w:t>
      </w:r>
      <w:proofErr w:type="spellEnd"/>
      <w:r w:rsidRPr="00E70066">
        <w:t xml:space="preserve"> pacienta izglītošanas lapiņ</w:t>
      </w:r>
      <w:r>
        <w:t>a, versija V01;</w:t>
      </w:r>
    </w:p>
    <w:p w14:paraId="64E4C72F" w14:textId="77777777" w:rsidR="00A4638C" w:rsidRDefault="00A4638C" w:rsidP="00A4638C">
      <w:pPr>
        <w:pStyle w:val="NormalWeb"/>
        <w:numPr>
          <w:ilvl w:val="0"/>
          <w:numId w:val="42"/>
        </w:numPr>
        <w:spacing w:before="0" w:beforeAutospacing="0" w:after="0" w:afterAutospacing="0"/>
        <w:ind w:left="709"/>
        <w:jc w:val="both"/>
      </w:pPr>
      <w:proofErr w:type="spellStart"/>
      <w:r w:rsidRPr="007D60BA">
        <w:t>Kymriah</w:t>
      </w:r>
      <w:proofErr w:type="spellEnd"/>
      <w:r w:rsidRPr="007D60BA">
        <w:t xml:space="preserve"> pacienta brīdinājuma kartīt</w:t>
      </w:r>
      <w:r>
        <w:t>e, versija V01.</w:t>
      </w:r>
    </w:p>
    <w:p w14:paraId="37BA5587" w14:textId="77777777" w:rsidR="00A4638C" w:rsidRPr="008031FF" w:rsidRDefault="00A4638C" w:rsidP="00A4638C">
      <w:pPr>
        <w:pStyle w:val="Default"/>
        <w:jc w:val="both"/>
        <w:rPr>
          <w:b/>
          <w:color w:val="auto"/>
          <w:lang w:val="lv-LV"/>
        </w:rPr>
      </w:pPr>
    </w:p>
    <w:p w14:paraId="026FF4C3" w14:textId="77777777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C0D92B7" w14:textId="77777777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4FC240F6" w14:textId="3648DE09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versija 3 (atjaunināts </w:t>
      </w:r>
      <w:r w:rsidR="00B30FE6"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6A42FCF9" w14:textId="18B6CF89" w:rsidR="00A4638C" w:rsidRPr="00837957" w:rsidRDefault="00A4638C" w:rsidP="00A4638C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 w:rsidR="00B30FE6">
        <w:t>2</w:t>
      </w:r>
      <w:r w:rsidRPr="00837957">
        <w:t>;</w:t>
      </w:r>
    </w:p>
    <w:p w14:paraId="26EFD3F8" w14:textId="77777777" w:rsidR="00A4638C" w:rsidRPr="00837957" w:rsidRDefault="00A4638C" w:rsidP="00A4638C">
      <w:pPr>
        <w:pStyle w:val="ListParagraph"/>
        <w:numPr>
          <w:ilvl w:val="0"/>
          <w:numId w:val="57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14:paraId="59A3A011" w14:textId="77777777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40973F" w14:textId="77777777" w:rsidR="00A4638C" w:rsidRPr="00837957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49F73B61" w14:textId="77777777" w:rsidR="00A4638C" w:rsidRDefault="00A4638C" w:rsidP="00A4638C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</w:t>
      </w:r>
      <w:r>
        <w:rPr>
          <w:lang w:val="it-IT"/>
        </w:rPr>
        <w:lastRenderedPageBreak/>
        <w:t>pusaudžiem: ķermeņa masas palielināšanās, ekstrapiramidālu simptomu, miegainības un noguruma risks” , versija Nr.1;</w:t>
      </w:r>
    </w:p>
    <w:p w14:paraId="2CADDCDE" w14:textId="77777777" w:rsidR="00A4638C" w:rsidRDefault="00A4638C" w:rsidP="00A4638C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4FF085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66EED2D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1B133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14:paraId="70BC0229" w14:textId="77777777" w:rsidR="00A4638C" w:rsidRDefault="00A4638C" w:rsidP="00A4638C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14:paraId="77ABC41F" w14:textId="77777777" w:rsidR="00A4638C" w:rsidRDefault="00A4638C" w:rsidP="00A4638C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14:paraId="138FC264" w14:textId="77777777" w:rsidR="00A4638C" w:rsidRDefault="00A4638C" w:rsidP="00A4638C">
      <w:pPr>
        <w:pStyle w:val="ListParagraph"/>
        <w:numPr>
          <w:ilvl w:val="0"/>
          <w:numId w:val="13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14:paraId="0D2123D0" w14:textId="77777777" w:rsidR="00A4638C" w:rsidRDefault="00A4638C" w:rsidP="00A4638C">
      <w:pPr>
        <w:pStyle w:val="ListParagraph"/>
        <w:numPr>
          <w:ilvl w:val="0"/>
          <w:numId w:val="13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14:paraId="4B679FDA" w14:textId="77777777" w:rsidR="00A4638C" w:rsidRDefault="00A4638C" w:rsidP="00A4638C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616C5E5C" w14:textId="77777777" w:rsidR="00A4638C" w:rsidRDefault="00A4638C" w:rsidP="00A463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(saskaņots 26.09.2019):</w:t>
      </w:r>
    </w:p>
    <w:p w14:paraId="156CEC68" w14:textId="77777777" w:rsidR="00A4638C" w:rsidRPr="00540883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0EB6045C" w14:textId="77777777" w:rsidR="00A4638C" w:rsidRPr="004548E9" w:rsidRDefault="00A4638C" w:rsidP="00A4638C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77D2083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1710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A9238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8C4EF07" w14:textId="77777777" w:rsidR="00A4638C" w:rsidRDefault="00A4638C" w:rsidP="00A4638C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6129220" w14:textId="77777777" w:rsidR="00A4638C" w:rsidRDefault="00A4638C" w:rsidP="00A4638C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17C7A0B" w14:textId="77777777" w:rsidR="00A4638C" w:rsidRDefault="00A4638C" w:rsidP="00A4638C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6F62B61C" w14:textId="77777777" w:rsidR="00A4638C" w:rsidRDefault="00A4638C" w:rsidP="00A4638C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38F1404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3B405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E2099C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10.10.2019):</w:t>
      </w:r>
    </w:p>
    <w:p w14:paraId="73B771E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5F98ACD0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7F2A8CF0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CNV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1E6DCA2D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DME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74F1E4E7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RVO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7EE779D6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1139F3C4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CNV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 RPP </w:t>
      </w:r>
      <w:proofErr w:type="spellStart"/>
      <w:r>
        <w:t>versija</w:t>
      </w:r>
      <w:proofErr w:type="spellEnd"/>
      <w:r>
        <w:t xml:space="preserve"> 18.2 (v.3.1);</w:t>
      </w:r>
    </w:p>
    <w:p w14:paraId="774964C4" w14:textId="77777777" w:rsidR="00A4638C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55ABA6BE" w14:textId="77777777" w:rsidR="00A4638C" w:rsidRPr="008A2D84" w:rsidRDefault="00A4638C" w:rsidP="00A4638C">
      <w:pPr>
        <w:pStyle w:val="ListParagraph"/>
        <w:numPr>
          <w:ilvl w:val="0"/>
          <w:numId w:val="163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RVO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14:paraId="3528A47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3A09B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4DE2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1B11BA" w14:textId="77777777" w:rsidR="00A4638C" w:rsidRPr="008E41B6" w:rsidRDefault="00A4638C" w:rsidP="00A4638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hAnsi="Times New Roman" w:cs="Times New Roman"/>
          <w:b/>
          <w:bCs/>
          <w:sz w:val="24"/>
          <w:szCs w:val="24"/>
        </w:rPr>
        <w:t>Luxturna</w:t>
      </w:r>
      <w:proofErr w:type="spellEnd"/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</w:t>
      </w:r>
      <w:proofErr w:type="spellEnd"/>
      <w:r w:rsidRPr="008E4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neparvovecum</w:t>
      </w:r>
      <w:proofErr w:type="spellEnd"/>
      <w:r w:rsidRPr="008E41B6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8E41B6">
        <w:rPr>
          <w:rFonts w:ascii="Times New Roman" w:hAnsi="Times New Roman" w:cs="Times New Roman"/>
          <w:sz w:val="24"/>
          <w:szCs w:val="24"/>
        </w:rPr>
        <w:t>, Īrija (saskaņots 20.03.2019.) Izglītojošie materiāli pacientam:</w:t>
      </w:r>
    </w:p>
    <w:p w14:paraId="5F83CFB4" w14:textId="77777777" w:rsidR="00A4638C" w:rsidRPr="008E41B6" w:rsidRDefault="00A4638C" w:rsidP="00A4638C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v01;</w:t>
      </w:r>
    </w:p>
    <w:p w14:paraId="5EC42300" w14:textId="77777777" w:rsidR="00A4638C" w:rsidRPr="008E41B6" w:rsidRDefault="00A4638C" w:rsidP="00A4638C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Pacienta brīdinājuma kartītes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</w:t>
      </w:r>
    </w:p>
    <w:p w14:paraId="257FA572" w14:textId="77777777" w:rsidR="00A4638C" w:rsidRPr="008E41B6" w:rsidRDefault="00A4638C" w:rsidP="00A4638C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sz w:val="24"/>
          <w:szCs w:val="24"/>
        </w:rPr>
        <w:t xml:space="preserve"> lietošanas instrukcija;</w:t>
      </w:r>
    </w:p>
    <w:p w14:paraId="2CFAD637" w14:textId="77777777" w:rsidR="00A4638C" w:rsidRPr="008E41B6" w:rsidRDefault="00A4638C" w:rsidP="00A4638C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instrukcijas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F8C09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B022F9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DE769B3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11CECF52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447B8" w14:textId="77777777" w:rsidR="00A4638C" w:rsidRDefault="00A4638C" w:rsidP="00A4638C">
      <w:pPr>
        <w:pStyle w:val="ListParagraph"/>
        <w:numPr>
          <w:ilvl w:val="0"/>
          <w:numId w:val="60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477029E5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1E0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015C6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14264B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1E61A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5EF3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30.05.2019.):</w:t>
      </w:r>
    </w:p>
    <w:p w14:paraId="3E078BEA" w14:textId="77777777" w:rsidR="00A4638C" w:rsidRPr="0099325A" w:rsidRDefault="00A4638C" w:rsidP="00A4638C">
      <w:pPr>
        <w:pStyle w:val="ListParagraph"/>
        <w:numPr>
          <w:ilvl w:val="0"/>
          <w:numId w:val="158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karte</w:t>
      </w:r>
      <w:proofErr w:type="spellEnd"/>
      <w:r w:rsidRPr="0099325A">
        <w:t xml:space="preserve"> -  EDM-MAB-RA_GPA/MPA_PV-RMPv19.2- May2019  </w:t>
      </w:r>
    </w:p>
    <w:p w14:paraId="428F75E9" w14:textId="77777777" w:rsidR="00A4638C" w:rsidRPr="0099325A" w:rsidRDefault="00A4638C" w:rsidP="00A4638C">
      <w:pPr>
        <w:pStyle w:val="ListParagraph"/>
        <w:numPr>
          <w:ilvl w:val="0"/>
          <w:numId w:val="158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-  EDM-MAB-RA_GPA/MPA_PV-RMPv19.2-May2019 </w:t>
      </w:r>
    </w:p>
    <w:p w14:paraId="14AB46AF" w14:textId="77777777" w:rsidR="00A4638C" w:rsidRPr="0099325A" w:rsidRDefault="00A4638C" w:rsidP="00A4638C">
      <w:pPr>
        <w:pStyle w:val="Header"/>
        <w:numPr>
          <w:ilvl w:val="0"/>
          <w:numId w:val="158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-  EDM-MAB-RA_GPA/MPA_PV-RMPv19.2-May2019 </w:t>
      </w:r>
    </w:p>
    <w:p w14:paraId="09C375A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5457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77A4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60AA62D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039E874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3B993D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68F359" w14:textId="77777777" w:rsidR="00A4638C" w:rsidRDefault="00A4638C" w:rsidP="00A4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224C742D" w14:textId="77777777" w:rsidR="00A4638C" w:rsidRDefault="00A4638C" w:rsidP="00A46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6A11A9D4" w14:textId="77777777" w:rsidR="00A4638C" w:rsidRDefault="00A4638C" w:rsidP="00A4638C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14:paraId="42AD0ECB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14:paraId="041D675A" w14:textId="77777777" w:rsidR="00A4638C" w:rsidRDefault="00A4638C" w:rsidP="00A4638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14:paraId="7712A6DB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2198247C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64BC6583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2A8F42D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03C2F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02.07.2014):</w:t>
      </w:r>
    </w:p>
    <w:p w14:paraId="0C5B528E" w14:textId="77777777" w:rsidR="00A4638C" w:rsidRDefault="00A4638C" w:rsidP="00A4638C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267AB661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4CB361D5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18BD03DE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264A2D2C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06B3BC71" w14:textId="77777777" w:rsidR="00A4638C" w:rsidRDefault="00A4638C" w:rsidP="00A4638C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3850EB28" w14:textId="77777777" w:rsidR="00A4638C" w:rsidRDefault="00A4638C" w:rsidP="00A46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35A288A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14:paraId="04D1E2CB" w14:textId="77777777" w:rsidR="00A4638C" w:rsidRDefault="00A4638C" w:rsidP="00A4638C">
      <w:pPr>
        <w:pStyle w:val="ListParagraph"/>
        <w:numPr>
          <w:ilvl w:val="0"/>
          <w:numId w:val="62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14:paraId="02F6431E" w14:textId="77777777" w:rsidR="00A4638C" w:rsidRDefault="00A4638C" w:rsidP="00A4638C">
      <w:pPr>
        <w:pStyle w:val="ListParagraph"/>
        <w:numPr>
          <w:ilvl w:val="0"/>
          <w:numId w:val="62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C79804F" w14:textId="77777777" w:rsidR="00A4638C" w:rsidRDefault="00A4638C" w:rsidP="00A46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C3C2933" w14:textId="77777777" w:rsidR="00A4638C" w:rsidRDefault="00A4638C" w:rsidP="00A46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4B05537B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26607A3D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5E3E46D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313174" w14:textId="77777777" w:rsidR="00A4638C" w:rsidRPr="00AC1442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7842E636" w14:textId="77777777" w:rsidR="00A4638C" w:rsidRPr="00AC1442" w:rsidRDefault="00A4638C" w:rsidP="00A4638C">
      <w:pPr>
        <w:pStyle w:val="ListParagraph"/>
        <w:numPr>
          <w:ilvl w:val="0"/>
          <w:numId w:val="148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98692DD" w14:textId="77777777" w:rsidR="00A4638C" w:rsidRDefault="00A4638C" w:rsidP="00A4638C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CFBD4" w14:textId="77777777" w:rsidR="00A4638C" w:rsidRDefault="00A4638C" w:rsidP="00A4638C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3F15E229" w14:textId="77777777" w:rsidR="00A4638C" w:rsidRDefault="00A4638C" w:rsidP="00A4638C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45921955" w14:textId="77777777" w:rsidR="00A4638C" w:rsidRDefault="00A4638C" w:rsidP="00A4638C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10E2B4F0" w14:textId="77777777" w:rsidR="00A4638C" w:rsidRDefault="00A4638C" w:rsidP="00A4638C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6444139B" w14:textId="77777777" w:rsidR="00A4638C" w:rsidRDefault="00A4638C" w:rsidP="00A4638C">
      <w:pPr>
        <w:pStyle w:val="Default"/>
        <w:numPr>
          <w:ilvl w:val="0"/>
          <w:numId w:val="6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22B118E5" w14:textId="77777777" w:rsidR="00A4638C" w:rsidRDefault="00A4638C" w:rsidP="00A4638C">
      <w:pPr>
        <w:pStyle w:val="Default"/>
        <w:jc w:val="both"/>
        <w:rPr>
          <w:sz w:val="23"/>
          <w:szCs w:val="23"/>
          <w:lang w:val="lv-LV"/>
        </w:rPr>
      </w:pPr>
    </w:p>
    <w:p w14:paraId="7F14DF21" w14:textId="77777777" w:rsidR="00A4638C" w:rsidRDefault="00A4638C" w:rsidP="00A46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1024D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2D8233FE" w14:textId="77777777" w:rsidR="00A4638C" w:rsidRDefault="00A4638C" w:rsidP="00A463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5FF3" w14:textId="77777777" w:rsidR="00A4638C" w:rsidRPr="00310B4A" w:rsidRDefault="00A4638C" w:rsidP="00A4638C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709AF4D2" w14:textId="77777777" w:rsidR="00A4638C" w:rsidRPr="00310B4A" w:rsidRDefault="00A4638C" w:rsidP="00A4638C">
      <w:pPr>
        <w:pStyle w:val="ListParagraph"/>
        <w:numPr>
          <w:ilvl w:val="0"/>
          <w:numId w:val="64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03AF0CC3" w14:textId="77777777" w:rsidR="00A4638C" w:rsidRDefault="00A4638C" w:rsidP="00A463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93AAD" w14:textId="77777777" w:rsidR="00A4638C" w:rsidRDefault="00A4638C" w:rsidP="00A4638C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CF4A3" w14:textId="77777777" w:rsidR="00A4638C" w:rsidRDefault="00A4638C" w:rsidP="00A463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14:paraId="5461D95F" w14:textId="77777777" w:rsidR="00A4638C" w:rsidRDefault="00A4638C" w:rsidP="00A4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14:paraId="48DCE847" w14:textId="77777777" w:rsidR="00A4638C" w:rsidRDefault="00A4638C" w:rsidP="00A463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C7D2AB" w14:textId="77777777" w:rsidR="00A4638C" w:rsidRDefault="00A4638C" w:rsidP="00A463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Īrija (saskaņots 23.08.2016.):</w:t>
      </w:r>
    </w:p>
    <w:p w14:paraId="55E9D305" w14:textId="77777777" w:rsidR="00A4638C" w:rsidRDefault="00A4638C" w:rsidP="00A4638C">
      <w:pPr>
        <w:pStyle w:val="NormalWeb"/>
        <w:numPr>
          <w:ilvl w:val="0"/>
          <w:numId w:val="65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 xml:space="preserve">zālēm </w:t>
      </w:r>
      <w:proofErr w:type="spellStart"/>
      <w:r>
        <w:rPr>
          <w:bCs/>
          <w:color w:val="000000"/>
          <w:kern w:val="24"/>
        </w:rPr>
        <w:t>Mysimba</w:t>
      </w:r>
      <w:proofErr w:type="spellEnd"/>
      <w:r>
        <w:rPr>
          <w:bCs/>
          <w:color w:val="000000"/>
          <w:kern w:val="24"/>
        </w:rPr>
        <w:t>▼ (</w:t>
      </w:r>
      <w:proofErr w:type="spellStart"/>
      <w:r>
        <w:rPr>
          <w:bCs/>
          <w:i/>
          <w:color w:val="000000"/>
          <w:kern w:val="24"/>
        </w:rPr>
        <w:t>naltrexonum</w:t>
      </w:r>
      <w:proofErr w:type="spellEnd"/>
      <w:r>
        <w:rPr>
          <w:bCs/>
          <w:i/>
          <w:color w:val="000000"/>
          <w:kern w:val="24"/>
        </w:rPr>
        <w:t xml:space="preserve">, </w:t>
      </w:r>
      <w:proofErr w:type="spellStart"/>
      <w:r>
        <w:rPr>
          <w:bCs/>
          <w:i/>
          <w:color w:val="000000"/>
          <w:kern w:val="24"/>
        </w:rPr>
        <w:t>bupropionum</w:t>
      </w:r>
      <w:proofErr w:type="spellEnd"/>
      <w:r>
        <w:rPr>
          <w:bCs/>
          <w:color w:val="000000"/>
          <w:kern w:val="24"/>
        </w:rPr>
        <w:t>);</w:t>
      </w:r>
    </w:p>
    <w:p w14:paraId="06514C0C" w14:textId="77777777" w:rsidR="00A4638C" w:rsidRDefault="00A4638C" w:rsidP="00A4638C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14:paraId="77DF2B0B" w14:textId="77777777" w:rsidR="00A4638C" w:rsidRDefault="00A4638C" w:rsidP="00A4638C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4783382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00E5DC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2306FD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73E543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D314055" w14:textId="77777777" w:rsidR="00A4638C" w:rsidRDefault="00A4638C" w:rsidP="00A4638C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457DD6D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A8E24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4FCCF1F" w14:textId="77777777" w:rsidR="00A4638C" w:rsidRDefault="00A4638C" w:rsidP="00A463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14:paraId="21A2CD9A" w14:textId="77777777" w:rsidR="00A4638C" w:rsidRDefault="00A4638C" w:rsidP="00A463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14:paraId="7DB651CD" w14:textId="77777777" w:rsidR="00A4638C" w:rsidRDefault="00A4638C" w:rsidP="00A463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14:paraId="566D22E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E0D47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3434C7E" w14:textId="77777777" w:rsidR="00A4638C" w:rsidRDefault="00A4638C" w:rsidP="00A4638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57DA5C4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122BB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722E55E" w14:textId="77777777" w:rsidR="00A4638C" w:rsidRDefault="00A4638C" w:rsidP="00A4638C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14:paraId="00C60651" w14:textId="77777777" w:rsidR="00A4638C" w:rsidRDefault="00A4638C" w:rsidP="00A4638C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47ED099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6FB7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A390BD3" w14:textId="77777777" w:rsidR="00A4638C" w:rsidRPr="00D746EE" w:rsidRDefault="00A4638C" w:rsidP="00A4638C">
      <w:pPr>
        <w:pStyle w:val="ListParagraph"/>
        <w:numPr>
          <w:ilvl w:val="0"/>
          <w:numId w:val="156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987552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DB69A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1F2E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297F844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O</w:t>
      </w:r>
    </w:p>
    <w:p w14:paraId="1C021F70" w14:textId="77777777" w:rsidR="00A4638C" w:rsidRDefault="00A4638C" w:rsidP="00A4638C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CD366" w14:textId="77777777" w:rsidR="00A4638C" w:rsidRDefault="00A4638C" w:rsidP="00A4638C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07C69D04" w14:textId="77777777" w:rsidR="00A4638C" w:rsidRDefault="00A4638C" w:rsidP="00A4638C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9825554" w14:textId="77777777" w:rsidR="00A4638C" w:rsidRDefault="00A4638C" w:rsidP="00A4638C">
      <w:pPr>
        <w:pStyle w:val="ListParagraph"/>
        <w:numPr>
          <w:ilvl w:val="0"/>
          <w:numId w:val="71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48105E2B" w14:textId="77777777" w:rsidR="00A4638C" w:rsidRDefault="00A4638C" w:rsidP="00A4638C">
      <w:pPr>
        <w:tabs>
          <w:tab w:val="right" w:pos="8369"/>
        </w:tabs>
        <w:ind w:right="-57"/>
        <w:rPr>
          <w:lang w:eastAsia="lv-LV"/>
        </w:rPr>
      </w:pPr>
    </w:p>
    <w:p w14:paraId="36F96B9E" w14:textId="77777777" w:rsidR="00A4638C" w:rsidRDefault="00A4638C" w:rsidP="00A4638C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versija V 11.1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saskaņots 25.01.2019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19A257A1" w14:textId="77777777" w:rsidR="00A4638C" w:rsidRDefault="00A4638C" w:rsidP="00A4638C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 xml:space="preserve">) koncentrāts infūziju šķīduma pagatavošanai. Norādījumi par zāļu izrakstīšanu un blakusparādību, kas saistītas ar imūnsistēmu, kontroli </w:t>
      </w:r>
      <w:r w:rsidRPr="00CA79D0">
        <w:rPr>
          <w:rFonts w:ascii="Times New Roman" w:hAnsi="Times New Roman" w:cs="Times New Roman"/>
          <w:sz w:val="24"/>
          <w:szCs w:val="24"/>
        </w:rPr>
        <w:t>(</w:t>
      </w:r>
      <w:r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14:paraId="04087D0E" w14:textId="77777777" w:rsidR="00A4638C" w:rsidRPr="002C291A" w:rsidRDefault="00A4638C" w:rsidP="00A4638C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 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B23317" w14:textId="77777777" w:rsidR="00A4638C" w:rsidRDefault="00A4638C" w:rsidP="00A4638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5ECB40" w14:textId="77777777" w:rsidR="00A4638C" w:rsidRDefault="00A4638C" w:rsidP="00A4638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76A8448B" w14:textId="77777777" w:rsidR="00A4638C" w:rsidRDefault="00A4638C" w:rsidP="00A4638C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305A70B9" w14:textId="77777777" w:rsidR="00A4638C" w:rsidRDefault="00A4638C" w:rsidP="00A4638C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18A33629" w14:textId="77777777" w:rsidR="00A4638C" w:rsidRDefault="00A4638C" w:rsidP="00A4638C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8618B4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8E81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795D07F5" w14:textId="77777777" w:rsidR="00A4638C" w:rsidRDefault="00A4638C" w:rsidP="00A4638C">
      <w:pPr>
        <w:pStyle w:val="ListParagraph"/>
        <w:numPr>
          <w:ilvl w:val="0"/>
          <w:numId w:val="74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1072C08" w14:textId="77777777" w:rsidR="00A4638C" w:rsidRDefault="00A4638C" w:rsidP="00A4638C">
      <w:pPr>
        <w:pStyle w:val="ListParagraph"/>
        <w:autoSpaceDE w:val="0"/>
        <w:autoSpaceDN w:val="0"/>
        <w:adjustRightInd w:val="0"/>
        <w:ind w:left="709"/>
        <w:jc w:val="both"/>
      </w:pPr>
    </w:p>
    <w:p w14:paraId="0B30E349" w14:textId="77777777" w:rsidR="00A4638C" w:rsidRDefault="00A4638C" w:rsidP="00A46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C19B8" w14:textId="77777777" w:rsidR="00A4638C" w:rsidRDefault="00A4638C" w:rsidP="00A46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32C3A802" w14:textId="77777777" w:rsidR="00A4638C" w:rsidRDefault="00A4638C" w:rsidP="00A4638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7113636" w14:textId="77777777" w:rsidR="00A4638C" w:rsidRDefault="00A4638C" w:rsidP="00A463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597529" w14:textId="77777777" w:rsidR="00A4638C" w:rsidRDefault="00A4638C" w:rsidP="00A4638C">
      <w:pPr>
        <w:pStyle w:val="ListParagraph"/>
        <w:autoSpaceDE w:val="0"/>
        <w:autoSpaceDN w:val="0"/>
        <w:adjustRightInd w:val="0"/>
        <w:ind w:left="709"/>
      </w:pPr>
    </w:p>
    <w:p w14:paraId="24F05A9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33CF611E" w14:textId="77777777" w:rsidR="00A4638C" w:rsidRDefault="00A4638C" w:rsidP="00A4638C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35CD79B7" w14:textId="77777777" w:rsidR="00A4638C" w:rsidRDefault="00A4638C" w:rsidP="00A4638C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C335B4" w14:textId="77777777" w:rsidR="00A4638C" w:rsidRDefault="00A4638C" w:rsidP="00A4638C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29EFF429" w14:textId="77777777" w:rsidR="00A4638C" w:rsidRDefault="00A4638C" w:rsidP="00A4638C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6A47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FF4F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6A20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D735DCF" w14:textId="77777777" w:rsidR="00A4638C" w:rsidRDefault="00A4638C" w:rsidP="00A4638C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E2919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17F7001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CBC78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19B256F8" w14:textId="77777777" w:rsidR="00A4638C" w:rsidRDefault="00A4638C" w:rsidP="00A4638C">
      <w:pPr>
        <w:numPr>
          <w:ilvl w:val="0"/>
          <w:numId w:val="7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69BF222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648E765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485E62E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804674B" w14:textId="77777777" w:rsidR="00A4638C" w:rsidRDefault="00A4638C" w:rsidP="00A4638C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0BFB975E" w14:textId="77777777" w:rsidR="00A4638C" w:rsidRDefault="00A4638C" w:rsidP="00A4638C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4DEAB2E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3FDF671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7882EF9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22F4974" w14:textId="77777777" w:rsidR="00A4638C" w:rsidRDefault="00A4638C" w:rsidP="00A4638C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7B21C4DF" w14:textId="77777777" w:rsidR="00A4638C" w:rsidRDefault="00A4638C" w:rsidP="00A4638C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98AA82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0E36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1B0122C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15A06B9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C28E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72CA8786" w14:textId="77777777" w:rsidR="00A4638C" w:rsidRPr="00631942" w:rsidRDefault="00A4638C" w:rsidP="00A4638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5EBE1CC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4183A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2102398C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6D66667B" w14:textId="77777777" w:rsidR="00A4638C" w:rsidRDefault="00A4638C" w:rsidP="00A4638C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C76667C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68CE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692F84CB" w14:textId="77777777" w:rsidR="00A4638C" w:rsidRDefault="00A4638C" w:rsidP="00A4638C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5F065768" w14:textId="77777777" w:rsidR="00A4638C" w:rsidRDefault="00A4638C" w:rsidP="00A4638C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11540DB2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09E222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06.08.2018.)</w:t>
      </w:r>
    </w:p>
    <w:p w14:paraId="2D903C3B" w14:textId="77777777" w:rsidR="00A4638C" w:rsidRDefault="00A4638C" w:rsidP="00A4638C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14:paraId="11638106" w14:textId="77777777" w:rsidR="00A4638C" w:rsidRDefault="00A4638C" w:rsidP="00A4638C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trombembolijas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profilaksei;</w:t>
      </w:r>
    </w:p>
    <w:p w14:paraId="315971A3" w14:textId="77777777" w:rsidR="00A4638C" w:rsidRDefault="00A4638C" w:rsidP="00A4638C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recidivējošas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DZVT un PE profilaksei pieaugušajiem;</w:t>
      </w:r>
    </w:p>
    <w:p w14:paraId="4F69455E" w14:textId="77777777" w:rsidR="00A4638C" w:rsidRDefault="00A4638C" w:rsidP="00A4638C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14:paraId="1497081C" w14:textId="77777777" w:rsidR="00A4638C" w:rsidRDefault="00A4638C" w:rsidP="00A4638C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ECF4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3682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BBEABCF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7CD1DFCD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1A83BB7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BC7DF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3C38E7C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6E20E44E" w14:textId="77777777" w:rsidR="00A4638C" w:rsidRDefault="00A4638C" w:rsidP="00A4638C">
      <w:pPr>
        <w:keepNext/>
        <w:numPr>
          <w:ilvl w:val="0"/>
          <w:numId w:val="79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60 mg): pacienta atgādinājuma kartītes ieviešana žokļa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osteonekrozes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riska mazināšanai.</w:t>
      </w:r>
    </w:p>
    <w:p w14:paraId="7EE37FD0" w14:textId="77777777" w:rsidR="00A4638C" w:rsidRDefault="00A4638C" w:rsidP="00A4638C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78AB5BF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3703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23C577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555B52E0" w14:textId="77777777" w:rsidR="00A4638C" w:rsidRDefault="00A4638C" w:rsidP="00A4638C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2B8743E7" w14:textId="77777777" w:rsidR="00A4638C" w:rsidRDefault="00A4638C" w:rsidP="00A4638C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14:paraId="7F44B74D" w14:textId="77777777" w:rsidR="00A4638C" w:rsidRDefault="00A4638C" w:rsidP="00A4638C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A3902A2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826A57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DA7A5C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7390407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6591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0E94C05E" w14:textId="77777777" w:rsidR="00A4638C" w:rsidRDefault="00A4638C" w:rsidP="00A4638C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7BA4970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3274D" w14:textId="77777777" w:rsidR="00A4638C" w:rsidRPr="004F2A86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4F47A67D" w14:textId="77777777" w:rsidR="00A4638C" w:rsidRPr="00D40A27" w:rsidRDefault="00A4638C" w:rsidP="00A4638C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0ACAEA72" w14:textId="77777777" w:rsidR="00A4638C" w:rsidRPr="00D40A27" w:rsidRDefault="00A4638C" w:rsidP="00A4638C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2590D382" w14:textId="77777777" w:rsidR="00A4638C" w:rsidRPr="00D40A27" w:rsidRDefault="00A4638C" w:rsidP="00A4638C">
      <w:pPr>
        <w:pStyle w:val="ListParagraph"/>
        <w:numPr>
          <w:ilvl w:val="0"/>
          <w:numId w:val="136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00EEFA1" w14:textId="77777777" w:rsidR="00A4638C" w:rsidRPr="00D40A27" w:rsidRDefault="00A4638C" w:rsidP="00A4638C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180BBF52" w14:textId="77777777" w:rsidR="00A4638C" w:rsidRPr="00D40A27" w:rsidRDefault="00A4638C" w:rsidP="00A4638C">
      <w:pPr>
        <w:pStyle w:val="ListParagraph"/>
        <w:numPr>
          <w:ilvl w:val="0"/>
          <w:numId w:val="136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15B75960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5EC6E4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F4853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</w:t>
      </w:r>
    </w:p>
    <w:p w14:paraId="5E966A4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(saskaņots 05.02.2014.):</w:t>
      </w:r>
    </w:p>
    <w:p w14:paraId="4B77DC44" w14:textId="77777777" w:rsidR="00A4638C" w:rsidRDefault="00A4638C" w:rsidP="00A4638C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brošūra – Infūzijas sistēmas izmantošana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ievadīšanai vēnā;</w:t>
      </w:r>
    </w:p>
    <w:p w14:paraId="5049F891" w14:textId="77777777" w:rsidR="00A4638C" w:rsidRDefault="00A4638C" w:rsidP="00A4638C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Veselības aprūpes speciālistu apmācība drošai intravenozai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lietošanai un ar katetra lietošanu saistītu infekciju asinsrites sistēmā profilaksei;</w:t>
      </w:r>
    </w:p>
    <w:p w14:paraId="40D1A0AD" w14:textId="77777777" w:rsidR="00A4638C" w:rsidRDefault="00A4638C" w:rsidP="00A4638C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14:paraId="450DEA0F" w14:textId="77777777" w:rsidR="00A4638C" w:rsidRDefault="00A4638C" w:rsidP="00A4638C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Anketa pacientiem, kas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terapiju;</w:t>
      </w:r>
    </w:p>
    <w:p w14:paraId="41D919CA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F3A24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26562B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C44FFD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363D88BC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6D62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847AF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062BA73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06979843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00B8E49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60258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4B81E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4A884D82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11" w:name="_Hlk492046074"/>
      <w:r w:rsidRPr="00123F07">
        <w:rPr>
          <w:iCs/>
          <w:lang w:val="lv-LV"/>
        </w:rPr>
        <w:t>atjaunināts -17.08.2017;</w:t>
      </w:r>
    </w:p>
    <w:bookmarkEnd w:id="11"/>
    <w:p w14:paraId="6A1262AB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5E603048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2B292528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648331B1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18163C0E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280A9604" w14:textId="77777777" w:rsidR="00A4638C" w:rsidRPr="00123F07" w:rsidRDefault="00A4638C" w:rsidP="00A4638C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3929E262" w14:textId="77777777" w:rsidR="00A4638C" w:rsidRPr="00123F07" w:rsidRDefault="00A4638C" w:rsidP="00A4638C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16DE95A8" w14:textId="77777777" w:rsidR="00A4638C" w:rsidRPr="00123F07" w:rsidRDefault="00A4638C" w:rsidP="00A4638C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74200F84" w14:textId="77777777" w:rsidR="00A4638C" w:rsidRDefault="00A4638C" w:rsidP="00A4638C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0D0031B8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00F92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AE248ED" w14:textId="77777777" w:rsidR="00A4638C" w:rsidRDefault="00A4638C" w:rsidP="00A4638C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361493B9" w14:textId="77777777" w:rsidR="00A4638C" w:rsidRDefault="00A4638C" w:rsidP="00A4638C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4E740210" w14:textId="77777777" w:rsidR="00A4638C" w:rsidRDefault="00A4638C" w:rsidP="00A4638C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53800231" w14:textId="77777777" w:rsidR="00A4638C" w:rsidRDefault="00A4638C" w:rsidP="00A4638C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70E0FE98" w14:textId="77777777" w:rsidR="00A4638C" w:rsidRDefault="00A4638C" w:rsidP="00A4638C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proofErr w:type="spellStart"/>
      <w:r>
        <w:lastRenderedPageBreak/>
        <w:t>Revolade</w:t>
      </w:r>
      <w:proofErr w:type="spellEnd"/>
      <w:r>
        <w:t xml:space="preserve"> Praktiskais ceļvedis pacientam (v02_LV_06.06.10.17);</w:t>
      </w:r>
    </w:p>
    <w:p w14:paraId="0294038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84B0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418F9" w14:textId="77777777" w:rsidR="00A4638C" w:rsidRDefault="00A4638C" w:rsidP="00A463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7F04D4" w14:textId="77777777" w:rsidR="00A4638C" w:rsidRPr="00083630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 Somija</w:t>
      </w:r>
    </w:p>
    <w:p w14:paraId="6BE917CC" w14:textId="77777777" w:rsidR="00A4638C" w:rsidRPr="00123F07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6842E4B1" w14:textId="77777777" w:rsidR="00A4638C" w:rsidRPr="00123F07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694C569B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14:paraId="30A35F43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14:paraId="068A56D9" w14:textId="77777777" w:rsidR="00A4638C" w:rsidRDefault="00A4638C" w:rsidP="00A4638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14:paraId="04327D94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859D4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6AE34B" w14:textId="77777777" w:rsidR="00A4638C" w:rsidRPr="003F6B7F" w:rsidRDefault="00A4638C" w:rsidP="00A4638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4E9EA6D0" w14:textId="77777777" w:rsidR="00A4638C" w:rsidRPr="003F6B7F" w:rsidRDefault="00A4638C" w:rsidP="00A4638C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14:paraId="37724910" w14:textId="77777777" w:rsidR="00A4638C" w:rsidRPr="003F6B7F" w:rsidRDefault="00A4638C" w:rsidP="00A4638C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14:paraId="3669B9F0" w14:textId="77777777" w:rsidR="00A4638C" w:rsidRPr="003F6B7F" w:rsidRDefault="00A4638C" w:rsidP="00A4638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10EFED6" w14:textId="77777777" w:rsidR="00A4638C" w:rsidRPr="003F6B7F" w:rsidRDefault="00A4638C" w:rsidP="00A4638C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14:paraId="075318A2" w14:textId="77777777" w:rsidR="00A4638C" w:rsidRPr="003F6B7F" w:rsidRDefault="00A4638C" w:rsidP="00A4638C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19E4BDDE" w14:textId="77777777" w:rsidR="00A4638C" w:rsidRPr="003F6B7F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4BE45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447F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 (atjaunināts 05.11.2018.):</w:t>
      </w:r>
    </w:p>
    <w:p w14:paraId="6A1A968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0E1FF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4DED6641" w14:textId="77777777" w:rsidR="00A4638C" w:rsidRDefault="00A4638C" w:rsidP="00A4638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14:paraId="27789A71" w14:textId="77777777" w:rsidR="00A4638C" w:rsidRDefault="00A4638C" w:rsidP="00A4638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14:paraId="58C997D2" w14:textId="77777777" w:rsidR="00A4638C" w:rsidRDefault="00A4638C" w:rsidP="00A4638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48D24B06" w14:textId="77777777" w:rsidR="00A4638C" w:rsidRDefault="00A4638C" w:rsidP="00A4638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4695090F" w14:textId="77777777" w:rsidR="00A4638C" w:rsidRDefault="00A4638C" w:rsidP="00A4638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5E896328" w14:textId="77777777" w:rsidR="00A4638C" w:rsidRDefault="00A4638C" w:rsidP="00A4638C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57ADE62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56319D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4403B" w14:textId="77777777" w:rsidR="00A4638C" w:rsidRPr="00316A97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(RMP versija 24.1; atjaunināts Sept.2018.):</w:t>
      </w:r>
    </w:p>
    <w:p w14:paraId="2080BE19" w14:textId="77777777" w:rsidR="00A4638C" w:rsidRPr="00316A97" w:rsidRDefault="00A4638C" w:rsidP="00A4638C">
      <w:pPr>
        <w:pStyle w:val="ListParagraph"/>
        <w:numPr>
          <w:ilvl w:val="0"/>
          <w:numId w:val="14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14:paraId="0609946F" w14:textId="77777777" w:rsidR="00A4638C" w:rsidRPr="00316A97" w:rsidRDefault="00A4638C" w:rsidP="00A4638C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EDM-ROA-RMPv.24.1-Sep2018 ;</w:t>
      </w:r>
    </w:p>
    <w:p w14:paraId="38902783" w14:textId="77777777" w:rsidR="00A4638C" w:rsidRPr="00316A97" w:rsidRDefault="00A4638C" w:rsidP="00A4638C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 xml:space="preserve">NORĀDĪJUMI PAR </w:t>
      </w:r>
      <w:proofErr w:type="spellStart"/>
      <w:r w:rsidRPr="00316A97">
        <w:rPr>
          <w:lang w:val="lv-LV"/>
        </w:rPr>
        <w:t>RoActemra</w:t>
      </w:r>
      <w:proofErr w:type="spellEnd"/>
      <w:r w:rsidRPr="00316A97">
        <w:rPr>
          <w:lang w:val="lv-LV"/>
        </w:rPr>
        <w:t xml:space="preserve"> DOZĒŠANU - EDM-ROA-RMPv.24.1-Sep2018 ;</w:t>
      </w:r>
    </w:p>
    <w:p w14:paraId="0D48A77B" w14:textId="77777777" w:rsidR="00A4638C" w:rsidRPr="00316A97" w:rsidRDefault="00A4638C" w:rsidP="00A4638C">
      <w:pPr>
        <w:pStyle w:val="ListParagraph"/>
        <w:numPr>
          <w:ilvl w:val="0"/>
          <w:numId w:val="14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lastRenderedPageBreak/>
        <w:t>Materiāli pacientam:</w:t>
      </w:r>
    </w:p>
    <w:p w14:paraId="374DD9D3" w14:textId="77777777" w:rsidR="00A4638C" w:rsidRPr="00316A97" w:rsidRDefault="00A4638C" w:rsidP="00A4638C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 xml:space="preserve">Nozīmīga drošuma informācija pacientiem - EDM-ROA-RMPv.24.1-Sep2018 </w:t>
      </w:r>
    </w:p>
    <w:p w14:paraId="40AA39B6" w14:textId="77777777" w:rsidR="00A4638C" w:rsidRPr="00316A97" w:rsidRDefault="00A4638C" w:rsidP="00A4638C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Pacienta brīdinājuma karte. </w:t>
      </w:r>
      <w:r w:rsidRPr="00316A97">
        <w:rPr>
          <w:b/>
          <w:bCs/>
          <w:lang w:val="lv-LV"/>
        </w:rPr>
        <w:t xml:space="preserve">  </w:t>
      </w:r>
    </w:p>
    <w:p w14:paraId="5D74CE96" w14:textId="77777777" w:rsidR="00A4638C" w:rsidRPr="00316A97" w:rsidRDefault="00A4638C" w:rsidP="00A4638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637A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632798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596D2B26" w14:textId="77777777" w:rsidR="00A4638C" w:rsidRDefault="00A4638C" w:rsidP="00A4638C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4C1D3B5A" w14:textId="77777777" w:rsidR="00A4638C" w:rsidRDefault="00A4638C" w:rsidP="00A4638C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187AD0C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8170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5D88D60A" w14:textId="77777777" w:rsidR="00A4638C" w:rsidRDefault="00A4638C" w:rsidP="00A4638C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5881DB0" w14:textId="77777777" w:rsidR="00A4638C" w:rsidRDefault="00A4638C" w:rsidP="00A4638C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31E7E3E5" w14:textId="77777777" w:rsidR="00A4638C" w:rsidRDefault="00A4638C" w:rsidP="00A4638C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281EA4CE" w14:textId="77777777" w:rsidR="00A4638C" w:rsidRDefault="00A4638C" w:rsidP="00A4638C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3AA539CB" w14:textId="77777777" w:rsidR="00A4638C" w:rsidRDefault="00A4638C" w:rsidP="00A4638C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6FA6FB1B" w14:textId="77777777" w:rsidR="00A4638C" w:rsidRDefault="00A4638C" w:rsidP="00A4638C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73FC3D4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EC6EFF5" w14:textId="77777777" w:rsidR="00A4638C" w:rsidRPr="00ED1CF4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20F061E6" w14:textId="77777777" w:rsidR="00A4638C" w:rsidRDefault="00A4638C" w:rsidP="00A4638C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40E86A81" w14:textId="77777777" w:rsidR="00A4638C" w:rsidRDefault="00A4638C" w:rsidP="00A4638C">
      <w:pPr>
        <w:autoSpaceDE w:val="0"/>
        <w:autoSpaceDN w:val="0"/>
        <w:adjustRightInd w:val="0"/>
        <w:jc w:val="both"/>
      </w:pPr>
    </w:p>
    <w:p w14:paraId="2F4AA850" w14:textId="77777777" w:rsidR="00A4638C" w:rsidRDefault="00A4638C" w:rsidP="00A4638C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5E27C98C" w14:textId="77777777" w:rsidR="00A4638C" w:rsidRDefault="00A4638C" w:rsidP="00A4638C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376BDA73" w14:textId="77777777" w:rsidR="00A4638C" w:rsidRDefault="00A4638C" w:rsidP="00A4638C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>), versija 4.0</w:t>
      </w:r>
    </w:p>
    <w:p w14:paraId="3FA83868" w14:textId="77777777" w:rsidR="00A4638C" w:rsidRDefault="00A4638C" w:rsidP="00A4638C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>) pacientam/vecākiem, versija 4.0</w:t>
      </w:r>
    </w:p>
    <w:p w14:paraId="3388C453" w14:textId="77777777" w:rsidR="00A4638C" w:rsidRDefault="00A4638C" w:rsidP="00A4638C">
      <w:pPr>
        <w:pStyle w:val="ListParagraph"/>
        <w:numPr>
          <w:ilvl w:val="0"/>
          <w:numId w:val="133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20E07620" w14:textId="77777777" w:rsidR="00A4638C" w:rsidRDefault="00A4638C" w:rsidP="00A4638C">
      <w:pPr>
        <w:pStyle w:val="ListParagraph"/>
        <w:spacing w:line="223" w:lineRule="auto"/>
        <w:jc w:val="both"/>
      </w:pPr>
    </w:p>
    <w:p w14:paraId="5E207886" w14:textId="77777777" w:rsidR="00A4638C" w:rsidRDefault="00A4638C" w:rsidP="00A4638C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14:paraId="1EBC90C9" w14:textId="77777777" w:rsidR="00A4638C" w:rsidRDefault="00A4638C" w:rsidP="00A4638C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4.0 </w:t>
      </w:r>
    </w:p>
    <w:p w14:paraId="430B3C45" w14:textId="77777777" w:rsidR="00A4638C" w:rsidRDefault="00A4638C" w:rsidP="00A4638C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4.0</w:t>
      </w:r>
    </w:p>
    <w:p w14:paraId="21140753" w14:textId="77777777" w:rsidR="00A4638C" w:rsidRDefault="00A4638C" w:rsidP="00A4638C">
      <w:pPr>
        <w:pStyle w:val="ListParagraph"/>
        <w:numPr>
          <w:ilvl w:val="0"/>
          <w:numId w:val="133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14:paraId="1869AFFB" w14:textId="77777777" w:rsidR="00A4638C" w:rsidRDefault="00A4638C" w:rsidP="00A4638C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2990E5D5" w14:textId="77777777" w:rsidR="00A4638C" w:rsidRDefault="00A4638C" w:rsidP="00A4638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14:paraId="36CDF851" w14:textId="77777777" w:rsidR="00A4638C" w:rsidRDefault="00A4638C" w:rsidP="00A4638C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), versija 2.0.</w:t>
      </w:r>
    </w:p>
    <w:p w14:paraId="16BC1066" w14:textId="77777777" w:rsidR="00A4638C" w:rsidRDefault="00A4638C" w:rsidP="00A4638C">
      <w:pPr>
        <w:pStyle w:val="Header"/>
        <w:widowControl w:val="0"/>
        <w:numPr>
          <w:ilvl w:val="0"/>
          <w:numId w:val="133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>) pacientam/vecākiem, versija 2.0.</w:t>
      </w:r>
    </w:p>
    <w:p w14:paraId="47CDCBC8" w14:textId="77777777" w:rsidR="00A4638C" w:rsidRDefault="00A4638C" w:rsidP="00A4638C">
      <w:pPr>
        <w:pStyle w:val="ListParagraph"/>
        <w:numPr>
          <w:ilvl w:val="0"/>
          <w:numId w:val="133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14:paraId="3D0F905F" w14:textId="77777777" w:rsidR="00A4638C" w:rsidRDefault="00A4638C" w:rsidP="00A4638C">
      <w:pPr>
        <w:pStyle w:val="ListParagraph"/>
        <w:spacing w:line="223" w:lineRule="auto"/>
        <w:jc w:val="both"/>
      </w:pPr>
    </w:p>
    <w:p w14:paraId="192268C0" w14:textId="77777777" w:rsidR="00A4638C" w:rsidRDefault="00A4638C" w:rsidP="00A4638C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819583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5A980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8791D9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38F2FFFC" w14:textId="77777777" w:rsidR="00A4638C" w:rsidRDefault="00A4638C" w:rsidP="00A463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5D532B5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22BF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004DF655" w14:textId="77777777" w:rsidR="00A4638C" w:rsidRDefault="00A4638C" w:rsidP="00A4638C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49EFCC8E" w14:textId="77777777" w:rsidR="00A4638C" w:rsidRDefault="00A4638C" w:rsidP="00A4638C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0F874DD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1E255" w14:textId="7777777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2D14BDAF" w14:textId="77777777" w:rsidR="00A4638C" w:rsidRDefault="00A4638C" w:rsidP="00A4638C">
      <w:pPr>
        <w:pStyle w:val="Default"/>
        <w:numPr>
          <w:ilvl w:val="0"/>
          <w:numId w:val="46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14:paraId="0FBD9E25" w14:textId="77777777" w:rsidR="00A4638C" w:rsidRDefault="00A4638C" w:rsidP="00A4638C">
      <w:pPr>
        <w:pStyle w:val="Default"/>
        <w:numPr>
          <w:ilvl w:val="0"/>
          <w:numId w:val="46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14:paraId="7868B46D" w14:textId="77777777" w:rsidR="00A4638C" w:rsidRDefault="00A4638C" w:rsidP="00A4638C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14:paraId="63DEA245" w14:textId="77777777" w:rsidR="00A4638C" w:rsidRDefault="00A4638C" w:rsidP="00A4638C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14:paraId="6F0427D3" w14:textId="77777777" w:rsidR="00A4638C" w:rsidRDefault="00A4638C" w:rsidP="00A4638C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14:paraId="0D78C609" w14:textId="77777777" w:rsidR="00A4638C" w:rsidRDefault="00A4638C" w:rsidP="00A4638C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6D520ED3" w14:textId="77777777" w:rsidR="00A4638C" w:rsidRDefault="00A4638C" w:rsidP="00A4638C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000FA067" w14:textId="77777777" w:rsidR="00A4638C" w:rsidRPr="00270D86" w:rsidRDefault="00A4638C" w:rsidP="00A4638C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72894AA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30F6B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48733617" w14:textId="77777777" w:rsidR="00A4638C" w:rsidRDefault="00A4638C" w:rsidP="00A4638C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6EEEF5E" w14:textId="77777777" w:rsidR="00A4638C" w:rsidRDefault="00A4638C" w:rsidP="00A4638C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1761A8EA" w14:textId="77777777" w:rsidR="00A4638C" w:rsidRDefault="00A4638C" w:rsidP="00A4638C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1899E297" w14:textId="77777777" w:rsidR="00A4638C" w:rsidRDefault="00A4638C" w:rsidP="00A4638C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62967C91" w14:textId="77777777" w:rsidR="00A4638C" w:rsidRDefault="00A4638C" w:rsidP="00A4638C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235ABF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1385D7" w14:textId="7777777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251CA" w14:textId="77777777" w:rsidR="00A4638C" w:rsidRDefault="00A4638C" w:rsidP="00A463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</w:t>
      </w:r>
      <w:proofErr w:type="spellEnd"/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7C086D33" w14:textId="77777777" w:rsidR="00A4638C" w:rsidRDefault="00A4638C" w:rsidP="00A4638C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14:paraId="6A522DEB" w14:textId="77777777" w:rsidR="00A4638C" w:rsidRDefault="00A4638C" w:rsidP="00A4638C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14:paraId="6DB87BE4" w14:textId="77777777" w:rsidR="00A4638C" w:rsidRDefault="00A4638C" w:rsidP="00A4638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14:paraId="5975CCC4" w14:textId="77777777" w:rsidR="00A4638C" w:rsidRDefault="00A4638C" w:rsidP="00A4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D6D9F" w14:textId="77777777" w:rsidR="00A4638C" w:rsidRDefault="00A4638C" w:rsidP="00A4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AA32E40" w14:textId="77777777" w:rsidR="00A4638C" w:rsidRDefault="00A4638C" w:rsidP="00A4638C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51321DA6" w14:textId="77777777" w:rsidR="00A4638C" w:rsidRDefault="00A4638C" w:rsidP="00A4638C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0AA83F53" w14:textId="77777777" w:rsidR="00A4638C" w:rsidRDefault="00A4638C" w:rsidP="00A4638C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14:paraId="73921AB5" w14:textId="77777777" w:rsidR="00A4638C" w:rsidRDefault="00A4638C" w:rsidP="00A4638C">
      <w:pPr>
        <w:pStyle w:val="ListParagraph"/>
        <w:numPr>
          <w:ilvl w:val="0"/>
          <w:numId w:val="93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47177D8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B367921" w14:textId="77777777" w:rsidR="00A4638C" w:rsidRDefault="00A4638C" w:rsidP="00A4638C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14:paraId="23D1DAD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44C4C9F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C84BF2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BA529E2" w14:textId="77777777" w:rsidR="00A4638C" w:rsidRDefault="00A4638C" w:rsidP="00A4638C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A44953A" w14:textId="77777777" w:rsidR="00A4638C" w:rsidRDefault="00A4638C" w:rsidP="00A4638C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41D888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C185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0F4F6D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166BF7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14:paraId="1DCB50C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5DBE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(saskaņots 23.08.2019):</w:t>
      </w:r>
    </w:p>
    <w:p w14:paraId="5C30D918" w14:textId="77777777" w:rsidR="00A4638C" w:rsidRDefault="00A4638C" w:rsidP="00A4638C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59055AD0" w14:textId="77777777" w:rsidR="00A4638C" w:rsidRDefault="00A4638C" w:rsidP="00A4638C">
      <w:pPr>
        <w:pStyle w:val="ListParagraph"/>
        <w:numPr>
          <w:ilvl w:val="0"/>
          <w:numId w:val="95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>
        <w:rPr>
          <w:sz w:val="22"/>
          <w:szCs w:val="22"/>
        </w:rPr>
        <w:t>EDM-TEC-II24-RMPv11.1-Aug2019</w:t>
      </w:r>
      <w:r>
        <w:t>.</w:t>
      </w:r>
    </w:p>
    <w:p w14:paraId="3D79C96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F9D0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14:paraId="31A8DD81" w14:textId="77777777" w:rsidR="00A4638C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ar HIV -1 inficētiem bērniem un pusaudžiem vecumā no 2 līdz &lt;18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tā devas pielāgošanu, v1.0;</w:t>
      </w:r>
    </w:p>
    <w:p w14:paraId="36467947" w14:textId="77777777" w:rsidR="00A4638C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pusaudžiem ar hronisku B hepatītu vecumā no 12 līdz &lt; 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14:paraId="48A76359" w14:textId="77777777" w:rsidR="00A4638C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14:paraId="589B1CE8" w14:textId="77777777" w:rsidR="00A4638C" w:rsidRDefault="00A4638C" w:rsidP="00A463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un hroniska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vīrushepatīta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v1.0.</w:t>
      </w:r>
    </w:p>
    <w:p w14:paraId="51B0C66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71F6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5D3C73A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732EBC11" w14:textId="77777777" w:rsidR="00A4638C" w:rsidRDefault="00A4638C" w:rsidP="00A4638C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62F1BA8E" w14:textId="77777777" w:rsidR="00A4638C" w:rsidRDefault="00A4638C" w:rsidP="00A4638C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6E8EC674" w14:textId="77777777" w:rsidR="00A4638C" w:rsidRDefault="00A4638C" w:rsidP="00A4638C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76604D6B" w14:textId="77777777" w:rsidR="00A4638C" w:rsidRDefault="00A4638C" w:rsidP="00A4638C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6786F6AF" w14:textId="77777777" w:rsidR="00A4638C" w:rsidRDefault="00A4638C" w:rsidP="00A4638C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3FB2784F" w14:textId="77777777" w:rsidR="00A4638C" w:rsidRPr="003A57E6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BE354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680EE90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0F1554" w14:textId="77777777" w:rsidR="00A4638C" w:rsidRDefault="00A4638C" w:rsidP="00A4638C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20B1F230" w14:textId="77777777" w:rsidR="00A4638C" w:rsidRDefault="00A4638C" w:rsidP="00A4638C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65A4D787" w14:textId="77777777" w:rsidR="00A4638C" w:rsidRDefault="00A4638C" w:rsidP="00A4638C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7FED49CE" w14:textId="77777777" w:rsidR="00A4638C" w:rsidRDefault="00A4638C" w:rsidP="00A4638C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4D35560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21D7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26.10.2017.):</w:t>
      </w:r>
    </w:p>
    <w:p w14:paraId="27A2212C" w14:textId="77777777" w:rsidR="00A4638C" w:rsidRDefault="00A4638C" w:rsidP="00A4638C">
      <w:pPr>
        <w:pStyle w:val="ListParagraph"/>
        <w:numPr>
          <w:ilvl w:val="0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11DF69E2" w14:textId="77777777" w:rsidR="00A4638C" w:rsidRDefault="00A4638C" w:rsidP="00A4638C">
      <w:pPr>
        <w:pStyle w:val="ListParagraph"/>
        <w:numPr>
          <w:ilvl w:val="1"/>
          <w:numId w:val="98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42EDAEDC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14:paraId="335A0AC2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14:paraId="205B9057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14:paraId="73BD279A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14:paraId="3AA54285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14:paraId="70F5C0A7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14:paraId="1EECCCCB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14:paraId="7D79409D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2FB0C212" w14:textId="77777777" w:rsidR="00A4638C" w:rsidRDefault="00A4638C" w:rsidP="00A4638C">
      <w:pPr>
        <w:pStyle w:val="ListParagraph"/>
        <w:numPr>
          <w:ilvl w:val="0"/>
          <w:numId w:val="9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2B11E9E8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69473A0D" w14:textId="77777777" w:rsidR="00A4638C" w:rsidRDefault="00A4638C" w:rsidP="00A4638C">
      <w:pPr>
        <w:pStyle w:val="ListParagraph"/>
        <w:numPr>
          <w:ilvl w:val="1"/>
          <w:numId w:val="98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6C8AFD94" w14:textId="77777777" w:rsidR="00A4638C" w:rsidRDefault="00A4638C" w:rsidP="00A4638C">
      <w:pPr>
        <w:pStyle w:val="ListParagraph"/>
        <w:numPr>
          <w:ilvl w:val="1"/>
          <w:numId w:val="98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14:paraId="2B2F1672" w14:textId="77777777" w:rsidR="00A4638C" w:rsidRDefault="00A4638C" w:rsidP="00A4638C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487CDAAC" w14:textId="77777777" w:rsidR="00A4638C" w:rsidRDefault="00A4638C" w:rsidP="00A4638C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78DDC85B" w14:textId="77777777" w:rsidR="00A4638C" w:rsidRDefault="00A4638C" w:rsidP="00A4638C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14:paraId="6F5C3D06" w14:textId="77777777" w:rsidR="00A4638C" w:rsidRDefault="00A4638C" w:rsidP="00A4638C">
      <w:pPr>
        <w:pStyle w:val="ListParagraph"/>
        <w:spacing w:after="160" w:line="252" w:lineRule="auto"/>
        <w:ind w:left="1080"/>
        <w:jc w:val="both"/>
      </w:pPr>
    </w:p>
    <w:p w14:paraId="409DF3A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96434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14:paraId="45A5CF25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05089763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5A45562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7C6C4EB7" w14:textId="77777777" w:rsidR="00A4638C" w:rsidRDefault="00A4638C" w:rsidP="00A4638C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6214B292" w14:textId="77777777" w:rsidR="00A4638C" w:rsidRDefault="00A4638C" w:rsidP="00A4638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3810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A4AACC9" w14:textId="77777777" w:rsidR="00A4638C" w:rsidRPr="00996213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3656C" w14:textId="77777777" w:rsidR="00A4638C" w:rsidRPr="00FF12C5" w:rsidRDefault="00A4638C" w:rsidP="00A4638C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11E6C83D" w14:textId="77777777" w:rsidR="00A4638C" w:rsidRDefault="00A4638C" w:rsidP="00A4638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C8421" w14:textId="77777777" w:rsidR="00A4638C" w:rsidRDefault="00A4638C" w:rsidP="00A4638C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5885DA20" w14:textId="77777777" w:rsidR="00A4638C" w:rsidRPr="001C2602" w:rsidRDefault="00A4638C" w:rsidP="00A4638C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220DEC4C" w14:textId="77777777" w:rsidR="00A4638C" w:rsidRPr="002841B5" w:rsidRDefault="00A4638C" w:rsidP="00A4638C">
      <w:pPr>
        <w:pStyle w:val="ListParagraph"/>
        <w:numPr>
          <w:ilvl w:val="0"/>
          <w:numId w:val="1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0B2EDDF4" w14:textId="77777777" w:rsidR="00A4638C" w:rsidRPr="00FF12C5" w:rsidRDefault="00A4638C" w:rsidP="00A4638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591E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BB814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</w:t>
      </w:r>
    </w:p>
    <w:p w14:paraId="045BF86F" w14:textId="77777777" w:rsidR="00A4638C" w:rsidRDefault="00A4638C" w:rsidP="00A4638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14:paraId="57567A29" w14:textId="77777777" w:rsidR="00A4638C" w:rsidRDefault="00A4638C" w:rsidP="00A4638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14:paraId="2B996DCF" w14:textId="77777777" w:rsidR="00A4638C" w:rsidRDefault="00A4638C" w:rsidP="00A4638C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38165BC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C3A0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DC3DF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14:paraId="0941475B" w14:textId="77777777" w:rsidR="00A4638C" w:rsidRDefault="00A4638C" w:rsidP="00A4638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14:paraId="285B2AC1" w14:textId="77777777" w:rsidR="00A4638C" w:rsidRDefault="00A4638C" w:rsidP="00A4638C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14:paraId="4C83E689" w14:textId="77777777" w:rsidR="00A4638C" w:rsidRDefault="00A4638C" w:rsidP="00A4638C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7B2FE6FD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BD7437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0490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039DA247" w14:textId="77777777" w:rsidR="00A4638C" w:rsidRDefault="00A4638C" w:rsidP="00A4638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51673B62" w14:textId="77777777" w:rsidR="00A4638C" w:rsidRDefault="00A4638C" w:rsidP="00A4638C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005E044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31D7044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20CC6553" w14:textId="77777777" w:rsidR="00A4638C" w:rsidRDefault="00A4638C" w:rsidP="00A4638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5C57EC3B" w14:textId="77777777" w:rsidR="00A4638C" w:rsidRDefault="00A4638C" w:rsidP="00A4638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340E6D6C" w14:textId="77777777" w:rsidR="00A4638C" w:rsidRDefault="00A4638C" w:rsidP="00A4638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2888A7D8" w14:textId="77777777" w:rsidR="00A4638C" w:rsidRDefault="00A4638C" w:rsidP="00A4638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1D9BDA9E" w14:textId="77777777" w:rsidR="00A4638C" w:rsidRDefault="00A4638C" w:rsidP="00A4638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7F1EAE5F" w14:textId="77777777" w:rsidR="00A4638C" w:rsidRDefault="00A4638C" w:rsidP="00A4638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57145D95" w14:textId="77777777" w:rsidR="00A4638C" w:rsidRDefault="00A4638C" w:rsidP="00A4638C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3570CB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D8EF442" w14:textId="77777777" w:rsidR="00A4638C" w:rsidRDefault="00A4638C" w:rsidP="00A4638C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703D81E2" w14:textId="77777777" w:rsidR="00A4638C" w:rsidRDefault="00A4638C" w:rsidP="00A4638C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02ACA953" w14:textId="77777777" w:rsidR="00A4638C" w:rsidRDefault="00A4638C" w:rsidP="00A4638C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34E8901F" w14:textId="77777777" w:rsidR="00A4638C" w:rsidRDefault="00A4638C" w:rsidP="00A4638C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58EDCD3B" w14:textId="77777777" w:rsidR="00A4638C" w:rsidRDefault="00A4638C" w:rsidP="00A4638C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35E7245B" w14:textId="77777777" w:rsidR="00A4638C" w:rsidRDefault="00A4638C" w:rsidP="00A4638C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7F6A7B51" w14:textId="77777777" w:rsidR="00A4638C" w:rsidRDefault="00A4638C" w:rsidP="00A4638C">
      <w:pPr>
        <w:autoSpaceDE w:val="0"/>
        <w:autoSpaceDN w:val="0"/>
        <w:adjustRightInd w:val="0"/>
        <w:jc w:val="both"/>
        <w:rPr>
          <w:lang w:val="it-IT"/>
        </w:rPr>
      </w:pPr>
    </w:p>
    <w:p w14:paraId="3309BE79" w14:textId="77777777" w:rsidR="00A4638C" w:rsidRPr="00B5066F" w:rsidRDefault="00A4638C" w:rsidP="00A4638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7DCFF1A" w14:textId="77777777" w:rsidR="00A4638C" w:rsidRPr="00B5066F" w:rsidRDefault="00A4638C" w:rsidP="00A4638C">
      <w:pPr>
        <w:numPr>
          <w:ilvl w:val="0"/>
          <w:numId w:val="13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14334571" w14:textId="77777777" w:rsidR="00A4638C" w:rsidRPr="00B5066F" w:rsidRDefault="00A4638C" w:rsidP="00A4638C">
      <w:pPr>
        <w:numPr>
          <w:ilvl w:val="0"/>
          <w:numId w:val="135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0DFBADFC" w14:textId="77777777" w:rsidR="00A4638C" w:rsidRPr="00FC3665" w:rsidRDefault="00A4638C" w:rsidP="00A46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4E5D4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85D90F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88F063C" w14:textId="12C4E8DB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</w:t>
      </w:r>
      <w:r w:rsidR="0066265B">
        <w:rPr>
          <w:rFonts w:ascii="Times New Roman" w:eastAsia="Times New Roman" w:hAnsi="Times New Roman" w:cs="Times New Roman"/>
          <w:color w:val="00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</w:t>
      </w:r>
      <w:r w:rsidR="0066265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626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2ECED471" w14:textId="77777777" w:rsidR="0066265B" w:rsidRPr="0066265B" w:rsidRDefault="0066265B" w:rsidP="0066265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4FB8C09A" w14:textId="77777777" w:rsidR="0066265B" w:rsidRPr="000445F4" w:rsidRDefault="0066265B" w:rsidP="0066265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5068B50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F4942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14:paraId="50E52749" w14:textId="77777777" w:rsidR="00A4638C" w:rsidRDefault="00A4638C" w:rsidP="00A4638C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02210A6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9957C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596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08.08.2017., versija Nr.17):</w:t>
      </w:r>
    </w:p>
    <w:p w14:paraId="4A1A0661" w14:textId="77777777" w:rsidR="00A4638C" w:rsidRDefault="00A4638C" w:rsidP="00A4638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14:paraId="637381CA" w14:textId="77777777" w:rsidR="00A4638C" w:rsidRDefault="00A4638C" w:rsidP="00A4638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14:paraId="61471851" w14:textId="77777777" w:rsidR="00A4638C" w:rsidRDefault="00A4638C" w:rsidP="00A4638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14:paraId="7F7CD7E1" w14:textId="77777777" w:rsidR="00A4638C" w:rsidRDefault="00A4638C" w:rsidP="00A4638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14:paraId="7372C7A0" w14:textId="77777777" w:rsidR="00A4638C" w:rsidRDefault="00A4638C" w:rsidP="00A4638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14:paraId="15612CC1" w14:textId="77777777" w:rsidR="00A4638C" w:rsidRDefault="00A4638C" w:rsidP="00A4638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14:paraId="4BFEA3A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A339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7F8DDA1" w14:textId="77777777" w:rsidR="00A4638C" w:rsidRDefault="00A4638C" w:rsidP="00A4638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715B1373" w14:textId="77777777" w:rsidR="00A4638C" w:rsidRDefault="00A4638C" w:rsidP="00A4638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4E0608D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8D3A2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3CFBD5A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408DC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5B8C263E" w14:textId="77777777" w:rsidR="00A4638C" w:rsidRDefault="00A4638C" w:rsidP="00A4638C">
      <w:pPr>
        <w:pStyle w:val="ListParagraph"/>
        <w:numPr>
          <w:ilvl w:val="0"/>
          <w:numId w:val="10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14:paraId="2AA40AA4" w14:textId="77777777" w:rsidR="00A4638C" w:rsidRDefault="00A4638C" w:rsidP="00A4638C">
      <w:pPr>
        <w:pStyle w:val="ListParagraph"/>
        <w:numPr>
          <w:ilvl w:val="0"/>
          <w:numId w:val="10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7239018D" w14:textId="77777777" w:rsidR="00A4638C" w:rsidRDefault="00A4638C" w:rsidP="00A4638C">
      <w:pPr>
        <w:pStyle w:val="ListParagraph"/>
        <w:numPr>
          <w:ilvl w:val="0"/>
          <w:numId w:val="10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0FFD857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BF6213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7C640B0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08B8AF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5AA1C5A6" w14:textId="77777777" w:rsidR="00A4638C" w:rsidRDefault="00A4638C" w:rsidP="00A4638C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0B28545D" w14:textId="77777777" w:rsidR="00A4638C" w:rsidRDefault="00A4638C" w:rsidP="00A4638C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25392C35" w14:textId="77777777" w:rsidR="00A4638C" w:rsidRDefault="00A4638C" w:rsidP="00A4638C">
      <w:pPr>
        <w:pStyle w:val="ListParagraph"/>
        <w:numPr>
          <w:ilvl w:val="0"/>
          <w:numId w:val="109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1D61BE7B" w14:textId="77777777" w:rsidR="00A4638C" w:rsidRDefault="00A4638C" w:rsidP="00A4638C">
      <w:pPr>
        <w:pStyle w:val="ListParagraph"/>
        <w:numPr>
          <w:ilvl w:val="0"/>
          <w:numId w:val="109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49D52443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D054B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02.11.2018.):</w:t>
      </w:r>
    </w:p>
    <w:p w14:paraId="0A20D7C1" w14:textId="77777777" w:rsidR="00A4638C" w:rsidRPr="00D61637" w:rsidRDefault="00A4638C" w:rsidP="00A4638C">
      <w:pPr>
        <w:pStyle w:val="ListParagraph"/>
        <w:numPr>
          <w:ilvl w:val="0"/>
          <w:numId w:val="137"/>
        </w:numPr>
        <w:contextualSpacing w:val="0"/>
        <w:rPr>
          <w:lang w:val="lv-LV"/>
        </w:rPr>
      </w:pPr>
      <w:r w:rsidRPr="00F21C84">
        <w:rPr>
          <w:lang w:val="lv-LV"/>
        </w:rPr>
        <w:lastRenderedPageBreak/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14:paraId="2901C1DC" w14:textId="77777777" w:rsidR="00A4638C" w:rsidRPr="00D61637" w:rsidRDefault="00A4638C" w:rsidP="00A4638C">
      <w:pPr>
        <w:pStyle w:val="ListParagraph"/>
        <w:numPr>
          <w:ilvl w:val="0"/>
          <w:numId w:val="137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v.3;</w:t>
      </w:r>
    </w:p>
    <w:p w14:paraId="4376D7FC" w14:textId="77777777" w:rsidR="00A4638C" w:rsidRPr="00D61637" w:rsidRDefault="00A4638C" w:rsidP="00A4638C">
      <w:pPr>
        <w:pStyle w:val="ListParagraph"/>
        <w:numPr>
          <w:ilvl w:val="0"/>
          <w:numId w:val="137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v.2;</w:t>
      </w:r>
    </w:p>
    <w:p w14:paraId="4148A7D4" w14:textId="77777777" w:rsidR="00A4638C" w:rsidRPr="00D61637" w:rsidRDefault="00A4638C" w:rsidP="00A4638C">
      <w:pPr>
        <w:pStyle w:val="ListParagraph"/>
        <w:numPr>
          <w:ilvl w:val="0"/>
          <w:numId w:val="137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v.3.</w:t>
      </w:r>
    </w:p>
    <w:p w14:paraId="1B5B3C3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621FFC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14:paraId="315DF0B9" w14:textId="77777777" w:rsidR="00A4638C" w:rsidRDefault="00A4638C" w:rsidP="00A4638C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7BE8BFF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2B199A5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04297DB" w14:textId="77777777" w:rsidR="00A4638C" w:rsidRPr="009634E9" w:rsidRDefault="00A4638C" w:rsidP="00A4638C">
      <w:pPr>
        <w:pStyle w:val="ListParagraph"/>
        <w:numPr>
          <w:ilvl w:val="0"/>
          <w:numId w:val="111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65C87264" w14:textId="77777777" w:rsidR="00A4638C" w:rsidRPr="009634E9" w:rsidRDefault="00A4638C" w:rsidP="00A4638C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55D94B41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14:paraId="0C28F028" w14:textId="77777777" w:rsidR="00A4638C" w:rsidRDefault="00A4638C" w:rsidP="00A4638C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1991E575" w14:textId="77777777" w:rsidR="00A4638C" w:rsidRDefault="00A4638C" w:rsidP="00A4638C">
      <w:pPr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0D1C7274" w14:textId="77777777" w:rsidR="00A4638C" w:rsidRDefault="00A4638C" w:rsidP="00A4638C">
      <w:pPr>
        <w:numPr>
          <w:ilvl w:val="1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175F816B" w14:textId="77777777" w:rsidR="00A4638C" w:rsidRDefault="00A4638C" w:rsidP="00A4638C">
      <w:pPr>
        <w:numPr>
          <w:ilvl w:val="1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45F49EF7" w14:textId="77777777" w:rsidR="00A4638C" w:rsidRDefault="00A4638C" w:rsidP="00A463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3534E" w14:textId="77777777" w:rsidR="00A4638C" w:rsidRDefault="00A4638C" w:rsidP="00A463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4D1FAE8D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378418C" w14:textId="77777777" w:rsidR="00A4638C" w:rsidRDefault="00A4638C" w:rsidP="00A4638C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777680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DEE26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639F9D85" w14:textId="77777777" w:rsidR="00A4638C" w:rsidRDefault="00A4638C" w:rsidP="00A4638C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7D6AE1F0" w14:textId="77777777" w:rsidR="00A4638C" w:rsidRDefault="00A4638C" w:rsidP="00A4638C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86AA03D" w14:textId="77777777" w:rsidR="00A4638C" w:rsidRDefault="00A4638C" w:rsidP="00A4638C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7D91F4EF" w14:textId="77777777" w:rsidR="00A4638C" w:rsidRDefault="00A4638C" w:rsidP="00A4638C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636E7E8A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0F96EF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C21E23A" w14:textId="77777777" w:rsidR="00A4638C" w:rsidRDefault="00A4638C" w:rsidP="00A4638C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5AF09A45" w14:textId="77777777" w:rsidR="00A4638C" w:rsidRDefault="00A4638C" w:rsidP="00A4638C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4638C" w14:paraId="524E5057" w14:textId="77777777" w:rsidTr="001F753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5B22AE" w14:textId="77777777" w:rsidR="00A4638C" w:rsidRDefault="00A4638C" w:rsidP="001F75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16CFF5C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Nordic,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05.06.2017):</w:t>
      </w:r>
    </w:p>
    <w:p w14:paraId="6D8D3985" w14:textId="77777777" w:rsidR="00A4638C" w:rsidRDefault="00A4638C" w:rsidP="00A4638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5DE49FFF" w14:textId="77777777" w:rsidR="00A4638C" w:rsidRDefault="00A4638C" w:rsidP="00A4638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6DADD12" w14:textId="77777777" w:rsidR="00A4638C" w:rsidRDefault="00A4638C" w:rsidP="00A4638C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355FB070" w14:textId="77777777" w:rsidR="00A4638C" w:rsidRDefault="00A4638C" w:rsidP="00A4638C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33009BAB" w14:textId="77777777" w:rsidR="00A4638C" w:rsidRDefault="00A4638C" w:rsidP="00A4638C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960C6F0" w14:textId="77777777" w:rsidR="00A4638C" w:rsidRDefault="00A4638C" w:rsidP="00A4638C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50BCBA88" w14:textId="77777777" w:rsidR="00A4638C" w:rsidRDefault="00A4638C" w:rsidP="00A4638C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734CC8F9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C6E2E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5FFCA2A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9F87A24" w14:textId="77777777" w:rsidR="00A4638C" w:rsidRDefault="00A4638C" w:rsidP="00A4638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C72ADFD" w14:textId="77777777" w:rsidR="00A4638C" w:rsidRDefault="00A4638C" w:rsidP="00A4638C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89A6F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D631D5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42A0C1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C1DE6ED" w14:textId="77777777" w:rsidR="00A4638C" w:rsidRPr="003665A6" w:rsidRDefault="00A4638C" w:rsidP="00A4638C">
      <w:pPr>
        <w:pStyle w:val="ListParagraph"/>
        <w:numPr>
          <w:ilvl w:val="0"/>
          <w:numId w:val="154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14:paraId="3230F1A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1AB29E08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51656C00" w14:textId="77777777" w:rsidR="00A4638C" w:rsidRPr="00B77334" w:rsidRDefault="00A4638C" w:rsidP="00A4638C">
      <w:pPr>
        <w:pStyle w:val="BodytextAgency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3AED26B3" w14:textId="77777777" w:rsidR="00A4638C" w:rsidRPr="00B77334" w:rsidRDefault="00A4638C" w:rsidP="00A4638C">
      <w:pPr>
        <w:pStyle w:val="Default"/>
        <w:numPr>
          <w:ilvl w:val="0"/>
          <w:numId w:val="153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36F26DAE" w14:textId="77777777" w:rsidR="00A4638C" w:rsidRPr="004D10D0" w:rsidRDefault="00A4638C" w:rsidP="00A4638C">
      <w:pPr>
        <w:pStyle w:val="Default"/>
        <w:numPr>
          <w:ilvl w:val="0"/>
          <w:numId w:val="153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0D667F16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0261E6C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4169EE40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17E5DF00" w14:textId="77777777" w:rsidR="00A4638C" w:rsidRDefault="00A4638C" w:rsidP="00A4638C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68A8BCFE" w14:textId="77777777" w:rsidR="00A4638C" w:rsidRDefault="00A4638C" w:rsidP="00A4638C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2C674CBE" w14:textId="77777777" w:rsidR="00A4638C" w:rsidRDefault="00A4638C" w:rsidP="00A4638C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Pacienta brīdinājuma kartīte.</w:t>
      </w:r>
    </w:p>
    <w:p w14:paraId="11F7E127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55D9F" w14:textId="77777777" w:rsidR="00A4638C" w:rsidRDefault="00A4638C" w:rsidP="00A46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30658F67" w14:textId="77777777" w:rsidR="00A4638C" w:rsidRDefault="00A4638C" w:rsidP="00A4638C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433B38F6" w14:textId="77777777" w:rsidR="00A4638C" w:rsidRDefault="00A4638C" w:rsidP="00A4638C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2050757" w14:textId="77777777" w:rsidR="00A4638C" w:rsidRDefault="00A4638C" w:rsidP="00A4638C">
      <w:pPr>
        <w:numPr>
          <w:ilvl w:val="0"/>
          <w:numId w:val="118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25F76382" w14:textId="77777777" w:rsidR="00A4638C" w:rsidRDefault="00A4638C" w:rsidP="00A4638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EB12FF8" w14:textId="77777777" w:rsidR="00A4638C" w:rsidRDefault="00A4638C" w:rsidP="00A4638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0E8A0A5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13068" w14:textId="4A825084" w:rsidR="00BA79C4" w:rsidRDefault="00BA79C4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A9E260" w14:textId="2C4B37F0" w:rsidR="00BA79C4" w:rsidRPr="0074215E" w:rsidRDefault="00BA79C4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</w:t>
      </w:r>
      <w:r w:rsidR="0074215E"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>.Pacienta brīdinājuma kartīte</w:t>
      </w: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4215E" w:rsidRPr="0074215E">
        <w:rPr>
          <w:rFonts w:ascii="TimesNewRomanPSMT" w:hAnsi="TimesNewRomanPSMT" w:cs="TimesNewRomanPSMT"/>
          <w:sz w:val="21"/>
          <w:szCs w:val="21"/>
          <w:lang w:val="it-IT"/>
        </w:rPr>
        <w:t>2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</w:t>
      </w:r>
      <w:r w:rsidR="0074215E"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CADC881" w14:textId="77777777" w:rsidR="0074215E" w:rsidRPr="0074215E" w:rsidRDefault="0074215E" w:rsidP="0074215E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BB639" w14:textId="1F8ABE0E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Limited, Lielbritānija (saskaņots 21.04.2016):</w:t>
      </w:r>
    </w:p>
    <w:p w14:paraId="1C4A83E6" w14:textId="77777777" w:rsidR="00A4638C" w:rsidRDefault="00A4638C" w:rsidP="00A4638C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14:paraId="71B2C433" w14:textId="77777777" w:rsidR="00A4638C" w:rsidRDefault="00A4638C" w:rsidP="00A4638C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14:paraId="721DDAD3" w14:textId="77777777" w:rsidR="00A4638C" w:rsidRDefault="00A4638C" w:rsidP="00A4638C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7E60CC0E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813B95" w14:textId="77777777" w:rsidR="00A4638C" w:rsidRPr="000768CD" w:rsidRDefault="00A4638C" w:rsidP="00A46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2D79EC5" w14:textId="77777777" w:rsidR="00A4638C" w:rsidRPr="00A30655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74F2A4A9" w14:textId="77777777" w:rsidR="00A4638C" w:rsidRPr="0077540E" w:rsidRDefault="00A4638C" w:rsidP="00A4638C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1BA3D0F9" w14:textId="77777777" w:rsidR="00A4638C" w:rsidRPr="0077540E" w:rsidRDefault="00A4638C" w:rsidP="00A4638C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76949162" w14:textId="77777777" w:rsidR="00A4638C" w:rsidRDefault="00A4638C" w:rsidP="00A463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C9A4DE5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B163F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C81305F" w14:textId="77777777" w:rsidR="00A4638C" w:rsidRDefault="00A4638C" w:rsidP="00A4638C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3329A34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98A85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40534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22788385" w14:textId="77777777" w:rsidR="00A4638C" w:rsidRDefault="00A4638C" w:rsidP="00A4638C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045A40E3" w14:textId="77777777" w:rsidR="00A4638C" w:rsidRDefault="00A4638C" w:rsidP="00A46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5780774" w14:textId="77777777" w:rsidR="00A4638C" w:rsidRDefault="00A4638C" w:rsidP="00A4638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38C2AF74" w14:textId="77777777" w:rsidR="00A4638C" w:rsidRDefault="00A4638C" w:rsidP="00A4638C">
      <w:pPr>
        <w:pStyle w:val="ListParagraph"/>
        <w:numPr>
          <w:ilvl w:val="0"/>
          <w:numId w:val="120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1FD1C577" w14:textId="77777777" w:rsidR="00A4638C" w:rsidRDefault="00A4638C" w:rsidP="00A4638C"/>
    <w:p w14:paraId="4D913548" w14:textId="77777777" w:rsidR="00A4638C" w:rsidRDefault="00A4638C" w:rsidP="00A4638C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56B5D6D5" w14:textId="77777777" w:rsidR="00A4638C" w:rsidRPr="00786842" w:rsidRDefault="00A4638C" w:rsidP="00A4638C">
      <w:pPr>
        <w:pStyle w:val="NoSpacing"/>
        <w:numPr>
          <w:ilvl w:val="0"/>
          <w:numId w:val="155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lastRenderedPageBreak/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8FF94C1" w14:textId="77777777" w:rsidR="00A4638C" w:rsidRPr="009C4EBA" w:rsidRDefault="00A4638C" w:rsidP="00A4638C">
      <w:pPr>
        <w:rPr>
          <w:rFonts w:ascii="Times New Roman" w:hAnsi="Times New Roman" w:cs="Times New Roman"/>
        </w:rPr>
      </w:pPr>
    </w:p>
    <w:p w14:paraId="1FFA6EC1" w14:textId="77777777" w:rsidR="00A4638C" w:rsidRDefault="00A4638C" w:rsidP="00A46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577B641" w14:textId="77777777" w:rsidR="00A4638C" w:rsidRDefault="00A4638C" w:rsidP="00A463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3C97DB24" w14:textId="77777777" w:rsidR="00A4638C" w:rsidRDefault="00A4638C" w:rsidP="00A463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8BED3C3" w14:textId="77777777" w:rsidR="00A4638C" w:rsidRDefault="00A4638C" w:rsidP="00A4638C">
      <w:pPr>
        <w:pStyle w:val="ListParagraph"/>
        <w:numPr>
          <w:ilvl w:val="0"/>
          <w:numId w:val="115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BCEB7F5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3FCDC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70B84901" w14:textId="77777777" w:rsidR="00A4638C" w:rsidRDefault="00A4638C" w:rsidP="00A4638C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68D59755" w14:textId="77777777" w:rsidR="00A4638C" w:rsidRDefault="00A4638C" w:rsidP="00A4638C">
      <w:pPr>
        <w:numPr>
          <w:ilvl w:val="0"/>
          <w:numId w:val="1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651B8E57" w14:textId="77777777" w:rsidR="00A4638C" w:rsidRDefault="00A4638C" w:rsidP="00A463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0801C" w14:textId="77777777" w:rsidR="00A4638C" w:rsidRDefault="00A4638C" w:rsidP="00A463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78AFB093" w14:textId="77777777" w:rsidR="00A4638C" w:rsidRDefault="00A4638C" w:rsidP="00A4638C">
      <w:pPr>
        <w:pStyle w:val="ListParagraph"/>
        <w:numPr>
          <w:ilvl w:val="0"/>
          <w:numId w:val="115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0715E1BB" w14:textId="77777777" w:rsidR="00A4638C" w:rsidRDefault="00A4638C" w:rsidP="00A4638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816CD1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19387C5F" w14:textId="77777777" w:rsidR="00A4638C" w:rsidRDefault="00A4638C" w:rsidP="00A4638C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081876" w14:textId="77777777" w:rsidR="00A4638C" w:rsidRDefault="00A4638C" w:rsidP="00A463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9F396F" w14:textId="77777777" w:rsidR="00A4638C" w:rsidRDefault="00A4638C" w:rsidP="00A463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6B5DF9" w14:textId="77777777" w:rsidR="00A4638C" w:rsidRDefault="00A4638C" w:rsidP="00A4638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4900DCAB" w14:textId="77777777" w:rsidR="00A4638C" w:rsidRDefault="00A4638C" w:rsidP="00A4638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1E6356" w14:textId="77777777" w:rsidR="00A4638C" w:rsidRPr="00201D4D" w:rsidRDefault="00A4638C" w:rsidP="00A4638C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45D5C491" w14:textId="77777777" w:rsidR="00A4638C" w:rsidRPr="00201D4D" w:rsidRDefault="00A4638C" w:rsidP="00A4638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14:paraId="34E2BEDA" w14:textId="77777777" w:rsidR="00A4638C" w:rsidRPr="00201D4D" w:rsidRDefault="00A4638C" w:rsidP="00A4638C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79C0724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E149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versija 8.1 (atjaunināts 11.03.2019):</w:t>
      </w:r>
    </w:p>
    <w:p w14:paraId="5699DC05" w14:textId="77777777" w:rsidR="00A4638C" w:rsidRDefault="00A4638C" w:rsidP="00A4638C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izrakstīšanas vadlīnijas”; </w:t>
      </w:r>
    </w:p>
    <w:p w14:paraId="679A97DC" w14:textId="77777777" w:rsidR="00A4638C" w:rsidRDefault="00A4638C" w:rsidP="00A46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0C0D047" w14:textId="77777777" w:rsidR="00A4638C" w:rsidRDefault="00A4638C" w:rsidP="00A463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>
        <w:rPr>
          <w:rFonts w:ascii="Times New Roman" w:hAnsi="Times New Roman"/>
          <w:sz w:val="24"/>
          <w:szCs w:val="24"/>
        </w:rPr>
        <w:t>2.0-Novembris/2018 (saskaņots 06.11.2018):</w:t>
      </w:r>
    </w:p>
    <w:p w14:paraId="70030935" w14:textId="77777777" w:rsidR="00A4638C" w:rsidRDefault="00A4638C" w:rsidP="00A4638C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14:paraId="3F853927" w14:textId="77777777" w:rsidR="00A4638C" w:rsidRDefault="00A4638C" w:rsidP="00A4638C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74EE7398" w14:textId="77777777" w:rsidR="00A4638C" w:rsidRDefault="00A4638C" w:rsidP="00A4638C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7AD573AB" w14:textId="77777777" w:rsidR="00A4638C" w:rsidRDefault="00A4638C" w:rsidP="00A4638C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Pacienta brīdinājuma kartīte.</w:t>
      </w:r>
    </w:p>
    <w:p w14:paraId="69C3653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F308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53EF9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2F0DBC70" w14:textId="77777777" w:rsidR="00A4638C" w:rsidRDefault="00A4638C" w:rsidP="00A4638C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3D02D055" w14:textId="77777777" w:rsidR="00A4638C" w:rsidRDefault="00A4638C" w:rsidP="00A4638C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2FFF16D6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BCDE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81A86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6ADE5235" w14:textId="77777777" w:rsidR="00A4638C" w:rsidRDefault="00A4638C" w:rsidP="00A4638C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6E0498B0" w14:textId="77777777" w:rsidR="00A4638C" w:rsidRDefault="00A4638C" w:rsidP="00A4638C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1628542" w14:textId="77777777" w:rsidR="00A4638C" w:rsidRDefault="00A4638C" w:rsidP="00A4638C">
      <w:pPr>
        <w:pStyle w:val="ListParagraph"/>
        <w:numPr>
          <w:ilvl w:val="0"/>
          <w:numId w:val="124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7B9F0F69" w14:textId="77777777" w:rsidR="00A4638C" w:rsidRDefault="00A4638C" w:rsidP="00A4638C">
      <w:pPr>
        <w:numPr>
          <w:ilvl w:val="0"/>
          <w:numId w:val="124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201F3891" w14:textId="77777777" w:rsidR="00A4638C" w:rsidRDefault="00A4638C" w:rsidP="00A4638C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68C9CB3F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70F0C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90D0F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6E027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1EE1FAA2" w14:textId="77777777" w:rsidR="00A4638C" w:rsidRDefault="00A4638C" w:rsidP="00A4638C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5E58D0BF" w14:textId="77777777" w:rsidR="00A4638C" w:rsidRDefault="00A4638C" w:rsidP="00A4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D1C8F" w14:textId="77777777" w:rsidR="00A4638C" w:rsidRDefault="00A4638C" w:rsidP="00A4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794D665F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D5535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14:paraId="7C9A8E1E" w14:textId="77777777" w:rsidR="00A4638C" w:rsidRPr="00ED20BC" w:rsidRDefault="00A4638C" w:rsidP="00A4638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14:paraId="504B1A1F" w14:textId="77777777" w:rsidR="00A4638C" w:rsidRDefault="00A4638C" w:rsidP="00A4638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12D3D">
        <w:t>Svarīga</w:t>
      </w:r>
      <w:proofErr w:type="spellEnd"/>
      <w:r w:rsidRPr="00712D3D">
        <w:t xml:space="preserve"> </w:t>
      </w:r>
      <w:proofErr w:type="spellStart"/>
      <w:r w:rsidRPr="00712D3D">
        <w:t>informācija</w:t>
      </w:r>
      <w:proofErr w:type="spellEnd"/>
      <w:r w:rsidRPr="00712D3D">
        <w:t xml:space="preserve"> </w:t>
      </w:r>
      <w:proofErr w:type="spellStart"/>
      <w:r w:rsidRPr="00712D3D">
        <w:rPr>
          <w:u w:val="single"/>
        </w:rPr>
        <w:t>pacientam</w:t>
      </w:r>
      <w:proofErr w:type="spellEnd"/>
      <w:r w:rsidRPr="00712D3D">
        <w:t xml:space="preserve"> par </w:t>
      </w:r>
      <w:proofErr w:type="spellStart"/>
      <w:r w:rsidRPr="00712D3D">
        <w:t>zāļu</w:t>
      </w:r>
      <w:proofErr w:type="spellEnd"/>
      <w:r w:rsidRPr="00712D3D">
        <w:t xml:space="preserve"> </w:t>
      </w:r>
      <w:proofErr w:type="spellStart"/>
      <w:r w:rsidRPr="00712D3D">
        <w:t>riska</w:t>
      </w:r>
      <w:proofErr w:type="spellEnd"/>
      <w:r w:rsidRPr="00712D3D">
        <w:t xml:space="preserve"> </w:t>
      </w:r>
      <w:proofErr w:type="spellStart"/>
      <w:r w:rsidRPr="00712D3D">
        <w:t>mazināšanu</w:t>
      </w:r>
      <w:proofErr w:type="spellEnd"/>
      <w:r>
        <w:t>:</w:t>
      </w:r>
    </w:p>
    <w:p w14:paraId="6C35EF9A" w14:textId="77777777" w:rsidR="00A4638C" w:rsidRDefault="00A4638C" w:rsidP="00A4638C">
      <w:pPr>
        <w:pStyle w:val="ListParagraph"/>
        <w:numPr>
          <w:ilvl w:val="2"/>
          <w:numId w:val="127"/>
        </w:numPr>
        <w:autoSpaceDE w:val="0"/>
        <w:autoSpaceDN w:val="0"/>
        <w:adjustRightInd w:val="0"/>
        <w:jc w:val="both"/>
      </w:pPr>
      <w:r w:rsidRPr="00712D3D">
        <w:t xml:space="preserve"> “</w:t>
      </w:r>
      <w:proofErr w:type="spellStart"/>
      <w:r w:rsidRPr="004F74F6">
        <w:t>Jūsu</w:t>
      </w:r>
      <w:proofErr w:type="spellEnd"/>
      <w:r w:rsidRPr="004F74F6">
        <w:t xml:space="preserve"> </w:t>
      </w:r>
      <w:proofErr w:type="spellStart"/>
      <w:r w:rsidRPr="004F74F6">
        <w:t>brošūra</w:t>
      </w:r>
      <w:proofErr w:type="spellEnd"/>
      <w:r w:rsidRPr="004F74F6">
        <w:t xml:space="preserve"> par YERVOY™ (</w:t>
      </w:r>
      <w:proofErr w:type="spellStart"/>
      <w:r w:rsidRPr="004F74F6">
        <w:t>ipilimumabs</w:t>
      </w:r>
      <w:proofErr w:type="spellEnd"/>
      <w:r w:rsidRPr="004F74F6">
        <w:t>)</w:t>
      </w:r>
      <w:r w:rsidRPr="00712D3D">
        <w:t xml:space="preserve">”, </w:t>
      </w:r>
      <w:proofErr w:type="spellStart"/>
      <w:r w:rsidRPr="00712D3D">
        <w:t>versijas</w:t>
      </w:r>
      <w:proofErr w:type="spellEnd"/>
      <w:r w:rsidRPr="00712D3D">
        <w:t xml:space="preserve"> nr</w:t>
      </w:r>
      <w:r w:rsidRPr="004F74F6">
        <w:t xml:space="preserve"> v1.42 – APR2018</w:t>
      </w:r>
      <w:r>
        <w:t>;</w:t>
      </w:r>
    </w:p>
    <w:p w14:paraId="6C35C6B4" w14:textId="77777777" w:rsidR="00A4638C" w:rsidRDefault="00A4638C" w:rsidP="00A4638C">
      <w:pPr>
        <w:pStyle w:val="ListParagraph"/>
        <w:numPr>
          <w:ilvl w:val="2"/>
          <w:numId w:val="127"/>
        </w:numPr>
        <w:autoSpaceDE w:val="0"/>
        <w:autoSpaceDN w:val="0"/>
        <w:adjustRightInd w:val="0"/>
        <w:jc w:val="both"/>
      </w:pPr>
      <w:proofErr w:type="spellStart"/>
      <w:r w:rsidRPr="004F74F6">
        <w:t>Pacienta</w:t>
      </w:r>
      <w:proofErr w:type="spellEnd"/>
      <w:r w:rsidRPr="004F74F6">
        <w:t xml:space="preserve"> </w:t>
      </w:r>
      <w:proofErr w:type="spellStart"/>
      <w:r w:rsidRPr="004F74F6">
        <w:t>brīdinājuma</w:t>
      </w:r>
      <w:proofErr w:type="spellEnd"/>
      <w:r w:rsidRPr="004F74F6">
        <w:t xml:space="preserve"> </w:t>
      </w:r>
      <w:proofErr w:type="spellStart"/>
      <w:r w:rsidRPr="004F74F6">
        <w:t>kartīte</w:t>
      </w:r>
      <w:proofErr w:type="spellEnd"/>
      <w:r>
        <w:t xml:space="preserve">, </w:t>
      </w:r>
      <w:r w:rsidRPr="004F74F6">
        <w:t>v1.42 – APR2018</w:t>
      </w:r>
      <w:r>
        <w:t>.</w:t>
      </w:r>
    </w:p>
    <w:p w14:paraId="6614C69F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14BCDE" w14:textId="77777777" w:rsidR="00A4638C" w:rsidRDefault="00A4638C" w:rsidP="00A4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9E7B33" w14:textId="77777777" w:rsidR="00A4638C" w:rsidRDefault="00A4638C" w:rsidP="00A4638C">
      <w:pPr>
        <w:rPr>
          <w:rFonts w:ascii="Times New Roman" w:hAnsi="Times New Roman" w:cs="Times New Roman"/>
        </w:rPr>
      </w:pPr>
    </w:p>
    <w:p w14:paraId="6EE9123D" w14:textId="77777777" w:rsidR="00A4638C" w:rsidRDefault="00A4638C" w:rsidP="00A4638C"/>
    <w:p w14:paraId="7E6DAFA2" w14:textId="77777777" w:rsidR="00A4638C" w:rsidRDefault="00A4638C" w:rsidP="00A4638C"/>
    <w:p w14:paraId="50F7D542" w14:textId="77777777" w:rsidR="00A4638C" w:rsidRDefault="00A4638C" w:rsidP="00A4638C"/>
    <w:p w14:paraId="4EBD251C" w14:textId="77777777" w:rsidR="00A4638C" w:rsidRDefault="00A4638C" w:rsidP="00A4638C"/>
    <w:p w14:paraId="49457EBC" w14:textId="77777777" w:rsidR="00A4638C" w:rsidRDefault="00A4638C" w:rsidP="00A4638C"/>
    <w:p w14:paraId="0A1BCACA" w14:textId="77777777" w:rsidR="00A4638C" w:rsidRDefault="00A4638C" w:rsidP="00A4638C"/>
    <w:p w14:paraId="673F6EB6" w14:textId="77777777" w:rsidR="00A4638C" w:rsidRDefault="00A4638C" w:rsidP="00A4638C"/>
    <w:p w14:paraId="07873953" w14:textId="77777777" w:rsidR="00A4638C" w:rsidRDefault="00A4638C" w:rsidP="00A4638C"/>
    <w:p w14:paraId="69AEECA2" w14:textId="77777777" w:rsidR="00A4638C" w:rsidRDefault="00A4638C" w:rsidP="00A4638C"/>
    <w:p w14:paraId="76B8E7A1" w14:textId="77777777" w:rsidR="00A4638C" w:rsidRDefault="00A4638C" w:rsidP="00A4638C"/>
    <w:p w14:paraId="2E9AF118" w14:textId="77777777" w:rsidR="00A4638C" w:rsidRDefault="00A4638C" w:rsidP="00A4638C"/>
    <w:p w14:paraId="091FE4E3" w14:textId="77777777" w:rsidR="00A4638C" w:rsidRDefault="00A4638C" w:rsidP="00A4638C"/>
    <w:p w14:paraId="279C90AA" w14:textId="77777777" w:rsidR="00A4638C" w:rsidRDefault="00A4638C" w:rsidP="00A4638C"/>
    <w:p w14:paraId="3C668613" w14:textId="77777777" w:rsidR="00A4638C" w:rsidRDefault="00A4638C" w:rsidP="00A4638C"/>
    <w:p w14:paraId="44326935" w14:textId="77777777" w:rsidR="00A4638C" w:rsidRDefault="00A4638C" w:rsidP="00A4638C"/>
    <w:p w14:paraId="5CFAFC14" w14:textId="77777777" w:rsidR="00A4638C" w:rsidRDefault="00A4638C" w:rsidP="00A4638C"/>
    <w:p w14:paraId="23A585B3" w14:textId="77777777" w:rsidR="00A4638C" w:rsidRDefault="00A4638C" w:rsidP="00A4638C"/>
    <w:p w14:paraId="2006F63A" w14:textId="77777777" w:rsidR="00A4638C" w:rsidRDefault="00A4638C" w:rsidP="00A4638C"/>
    <w:p w14:paraId="4620CC83" w14:textId="77777777" w:rsidR="00A4638C" w:rsidRDefault="00A4638C" w:rsidP="00A4638C"/>
    <w:p w14:paraId="73529554" w14:textId="77777777" w:rsidR="00A4638C" w:rsidRDefault="00A4638C" w:rsidP="00A4638C"/>
    <w:p w14:paraId="4237AC41" w14:textId="77777777" w:rsidR="00A4638C" w:rsidRDefault="00A4638C" w:rsidP="00A4638C"/>
    <w:p w14:paraId="6CD81373" w14:textId="77777777" w:rsidR="00A4638C" w:rsidRDefault="00A4638C" w:rsidP="00A4638C"/>
    <w:p w14:paraId="386F1AD0" w14:textId="77777777" w:rsidR="00A4638C" w:rsidRDefault="00A4638C" w:rsidP="00A4638C"/>
    <w:p w14:paraId="1964771B" w14:textId="77777777" w:rsidR="00A4638C" w:rsidRDefault="00A4638C" w:rsidP="00A4638C"/>
    <w:p w14:paraId="62021632" w14:textId="77777777" w:rsidR="00060B1B" w:rsidRDefault="00060B1B"/>
    <w:sectPr w:rsidR="0006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6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7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0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AA443AC"/>
    <w:multiLevelType w:val="hybridMultilevel"/>
    <w:tmpl w:val="A1E2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E843C3"/>
    <w:multiLevelType w:val="hybridMultilevel"/>
    <w:tmpl w:val="A28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8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2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2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6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</w:num>
  <w:num w:numId="3">
    <w:abstractNumId w:val="1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0"/>
  </w:num>
  <w:num w:numId="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3"/>
  </w:num>
  <w:num w:numId="14">
    <w:abstractNumId w:val="11"/>
  </w:num>
  <w:num w:numId="15">
    <w:abstractNumId w:val="9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39"/>
  </w:num>
  <w:num w:numId="1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3"/>
  </w:num>
  <w:num w:numId="30">
    <w:abstractNumId w:val="4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6"/>
  </w:num>
  <w:num w:numId="34">
    <w:abstractNumId w:val="64"/>
  </w:num>
  <w:num w:numId="35">
    <w:abstractNumId w:val="36"/>
  </w:num>
  <w:num w:numId="36">
    <w:abstractNumId w:val="51"/>
  </w:num>
  <w:num w:numId="37">
    <w:abstractNumId w:val="68"/>
  </w:num>
  <w:num w:numId="38">
    <w:abstractNumId w:val="154"/>
  </w:num>
  <w:num w:numId="39">
    <w:abstractNumId w:val="18"/>
  </w:num>
  <w:num w:numId="40">
    <w:abstractNumId w:val="1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5"/>
  </w:num>
  <w:num w:numId="43">
    <w:abstractNumId w:val="121"/>
  </w:num>
  <w:num w:numId="44">
    <w:abstractNumId w:val="148"/>
  </w:num>
  <w:num w:numId="45">
    <w:abstractNumId w:val="10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</w:num>
  <w:num w:numId="52">
    <w:abstractNumId w:val="126"/>
  </w:num>
  <w:num w:numId="53">
    <w:abstractNumId w:val="48"/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1"/>
  </w:num>
  <w:num w:numId="5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</w:num>
  <w:num w:numId="58">
    <w:abstractNumId w:val="104"/>
  </w:num>
  <w:num w:numId="59">
    <w:abstractNumId w:val="8"/>
  </w:num>
  <w:num w:numId="60">
    <w:abstractNumId w:val="138"/>
  </w:num>
  <w:num w:numId="6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9"/>
  </w:num>
  <w:num w:numId="63">
    <w:abstractNumId w:val="25"/>
  </w:num>
  <w:num w:numId="64">
    <w:abstractNumId w:val="150"/>
  </w:num>
  <w:num w:numId="6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</w:num>
  <w:num w:numId="72">
    <w:abstractNumId w:val="156"/>
  </w:num>
  <w:num w:numId="73">
    <w:abstractNumId w:val="71"/>
  </w:num>
  <w:num w:numId="74">
    <w:abstractNumId w:val="80"/>
  </w:num>
  <w:num w:numId="75">
    <w:abstractNumId w:val="141"/>
  </w:num>
  <w:num w:numId="76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</w:num>
  <w:num w:numId="80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</w:num>
  <w:num w:numId="84">
    <w:abstractNumId w:val="159"/>
  </w:num>
  <w:num w:numId="8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7"/>
  </w:num>
  <w:num w:numId="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153"/>
  </w:num>
  <w:num w:numId="94">
    <w:abstractNumId w:val="27"/>
  </w:num>
  <w:num w:numId="95">
    <w:abstractNumId w:val="61"/>
  </w:num>
  <w:num w:numId="96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6"/>
  </w:num>
  <w:num w:numId="99">
    <w:abstractNumId w:val="82"/>
  </w:num>
  <w:num w:numId="100">
    <w:abstractNumId w:val="152"/>
  </w:num>
  <w:num w:numId="101">
    <w:abstractNumId w:val="74"/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6"/>
  </w:num>
  <w:num w:numId="104">
    <w:abstractNumId w:val="122"/>
  </w:num>
  <w:num w:numId="105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 w:numId="10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0"/>
  </w:num>
  <w:num w:numId="111">
    <w:abstractNumId w:val="75"/>
  </w:num>
  <w:num w:numId="1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7"/>
  </w:num>
  <w:num w:numId="119">
    <w:abstractNumId w:val="72"/>
  </w:num>
  <w:num w:numId="120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2"/>
  </w:num>
  <w:num w:numId="122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</w:num>
  <w:num w:numId="124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6"/>
  </w:num>
  <w:num w:numId="126">
    <w:abstractNumId w:val="145"/>
  </w:num>
  <w:num w:numId="127">
    <w:abstractNumId w:val="47"/>
  </w:num>
  <w:num w:numId="128">
    <w:abstractNumId w:val="24"/>
  </w:num>
  <w:num w:numId="129">
    <w:abstractNumId w:val="56"/>
  </w:num>
  <w:num w:numId="130">
    <w:abstractNumId w:val="42"/>
  </w:num>
  <w:num w:numId="131">
    <w:abstractNumId w:val="12"/>
  </w:num>
  <w:num w:numId="132">
    <w:abstractNumId w:val="45"/>
  </w:num>
  <w:num w:numId="133">
    <w:abstractNumId w:val="87"/>
  </w:num>
  <w:num w:numId="134">
    <w:abstractNumId w:val="67"/>
  </w:num>
  <w:num w:numId="135">
    <w:abstractNumId w:val="13"/>
  </w:num>
  <w:num w:numId="136">
    <w:abstractNumId w:val="111"/>
  </w:num>
  <w:num w:numId="137">
    <w:abstractNumId w:val="4"/>
  </w:num>
  <w:num w:numId="138">
    <w:abstractNumId w:val="131"/>
  </w:num>
  <w:num w:numId="139">
    <w:abstractNumId w:val="116"/>
  </w:num>
  <w:num w:numId="140">
    <w:abstractNumId w:val="1"/>
  </w:num>
  <w:num w:numId="141">
    <w:abstractNumId w:val="89"/>
  </w:num>
  <w:num w:numId="142">
    <w:abstractNumId w:val="147"/>
  </w:num>
  <w:num w:numId="143">
    <w:abstractNumId w:val="54"/>
  </w:num>
  <w:num w:numId="144">
    <w:abstractNumId w:val="155"/>
  </w:num>
  <w:num w:numId="145">
    <w:abstractNumId w:val="86"/>
  </w:num>
  <w:num w:numId="146">
    <w:abstractNumId w:val="16"/>
  </w:num>
  <w:num w:numId="147">
    <w:abstractNumId w:val="84"/>
  </w:num>
  <w:num w:numId="148">
    <w:abstractNumId w:val="117"/>
  </w:num>
  <w:num w:numId="149">
    <w:abstractNumId w:val="149"/>
  </w:num>
  <w:num w:numId="150">
    <w:abstractNumId w:val="136"/>
  </w:num>
  <w:num w:numId="151">
    <w:abstractNumId w:val="50"/>
  </w:num>
  <w:num w:numId="152">
    <w:abstractNumId w:val="120"/>
  </w:num>
  <w:num w:numId="153">
    <w:abstractNumId w:val="35"/>
  </w:num>
  <w:num w:numId="154">
    <w:abstractNumId w:val="110"/>
  </w:num>
  <w:num w:numId="155">
    <w:abstractNumId w:val="23"/>
  </w:num>
  <w:num w:numId="156">
    <w:abstractNumId w:val="105"/>
  </w:num>
  <w:num w:numId="157">
    <w:abstractNumId w:val="101"/>
  </w:num>
  <w:num w:numId="158">
    <w:abstractNumId w:val="15"/>
  </w:num>
  <w:num w:numId="159">
    <w:abstractNumId w:val="115"/>
  </w:num>
  <w:num w:numId="160">
    <w:abstractNumId w:val="62"/>
  </w:num>
  <w:num w:numId="161">
    <w:abstractNumId w:val="6"/>
  </w:num>
  <w:num w:numId="162">
    <w:abstractNumId w:val="46"/>
  </w:num>
  <w:num w:numId="163">
    <w:abstractNumId w:val="137"/>
  </w:num>
  <w:num w:numId="164">
    <w:abstractNumId w:val="92"/>
  </w:num>
  <w:num w:numId="165">
    <w:abstractNumId w:val="95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41"/>
    <w:rsid w:val="00060B1B"/>
    <w:rsid w:val="001A6241"/>
    <w:rsid w:val="001F753F"/>
    <w:rsid w:val="0066265B"/>
    <w:rsid w:val="0074215E"/>
    <w:rsid w:val="008D05A0"/>
    <w:rsid w:val="009D64E8"/>
    <w:rsid w:val="009E47EF"/>
    <w:rsid w:val="00A4638C"/>
    <w:rsid w:val="00B30FE6"/>
    <w:rsid w:val="00BA79C4"/>
    <w:rsid w:val="00C67ACF"/>
    <w:rsid w:val="00D2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17BC"/>
  <w15:chartTrackingRefBased/>
  <w15:docId w15:val="{CEDC8B03-23C1-4926-95CE-774D2A82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8C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38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38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3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38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A4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A4638C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638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A4638C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4638C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38C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38C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A4638C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38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4638C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8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8C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638C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A4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4638C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4638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A46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A463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A4638C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A463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638C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A4638C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A4638C"/>
    <w:rPr>
      <w:i/>
      <w:iCs/>
      <w:color w:val="5B9BD5"/>
    </w:rPr>
  </w:style>
  <w:style w:type="character" w:customStyle="1" w:styleId="bullet">
    <w:name w:val="bullet"/>
    <w:basedOn w:val="DefaultParagraphFont"/>
    <w:rsid w:val="00A4638C"/>
  </w:style>
  <w:style w:type="character" w:customStyle="1" w:styleId="Heading1Char1">
    <w:name w:val="Heading 1 Char1"/>
    <w:basedOn w:val="DefaultParagraphFont"/>
    <w:uiPriority w:val="9"/>
    <w:rsid w:val="00A4638C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A4638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A4638C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A4638C"/>
    <w:rPr>
      <w:i/>
      <w:iCs/>
      <w:color w:val="404040"/>
      <w:lang w:val="lv-LV"/>
    </w:rPr>
  </w:style>
  <w:style w:type="character" w:customStyle="1" w:styleId="A0">
    <w:name w:val="A0"/>
    <w:uiPriority w:val="99"/>
    <w:rsid w:val="00A4638C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A4638C"/>
    <w:rPr>
      <w:b/>
      <w:bCs/>
    </w:rPr>
  </w:style>
  <w:style w:type="character" w:customStyle="1" w:styleId="ft">
    <w:name w:val="ft"/>
    <w:rsid w:val="00A4638C"/>
  </w:style>
  <w:style w:type="character" w:customStyle="1" w:styleId="A1">
    <w:name w:val="A1"/>
    <w:rsid w:val="00A4638C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A4638C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A4638C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A46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A4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13662</Words>
  <Characters>77877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ZVA</cp:lastModifiedBy>
  <cp:revision>10</cp:revision>
  <dcterms:created xsi:type="dcterms:W3CDTF">2019-11-14T10:36:00Z</dcterms:created>
  <dcterms:modified xsi:type="dcterms:W3CDTF">2019-12-04T08:56:00Z</dcterms:modified>
</cp:coreProperties>
</file>