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Lielbritānija (atjaunināts 30.05.2018.):</w:t>
      </w:r>
    </w:p>
    <w:p w:rsidR="008E48B8" w:rsidRPr="00BF686E" w:rsidRDefault="008E48B8" w:rsidP="00083630">
      <w:pPr>
        <w:pStyle w:val="ListParagraph"/>
        <w:numPr>
          <w:ilvl w:val="0"/>
          <w:numId w:val="147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(versija 9);</w:t>
      </w:r>
    </w:p>
    <w:p w:rsidR="008E48B8" w:rsidRPr="00BF686E" w:rsidRDefault="008E48B8" w:rsidP="00083630">
      <w:pPr>
        <w:pStyle w:val="ListParagraph"/>
        <w:numPr>
          <w:ilvl w:val="0"/>
          <w:numId w:val="147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(versija 9);</w:t>
      </w:r>
    </w:p>
    <w:p w:rsidR="008E48B8" w:rsidRPr="00BF686E" w:rsidRDefault="008E48B8" w:rsidP="00083630">
      <w:pPr>
        <w:pStyle w:val="ListParagraph"/>
        <w:numPr>
          <w:ilvl w:val="0"/>
          <w:numId w:val="147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(versija 9)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Svarīga informācija veselības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  speciālistiem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miegainības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Svarīga informācija pacientiem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 Sanofi-aventis Group, Francija (saskaņots 27.11.2013.)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(saskaņots 12.04.2016):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Izglītojošā brošūra ārstiem “Svarīga informācija veselības aprūpes speciālistiem par zāļu riska mazināšanu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Izglītojošā brošūra pacientiem/aprūpētājiem “Svarīga informācija pacientam/aprūpētājam par zāļu riska mazināšanu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Pacienta kartīte “Svarīga informācija pacientam/aprūpētājam par zāļu riska mazināšanu - Pacienta kartīte”,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Izglītojošā brošūra farmaceitiem “Svarīga informācija farmaceitiem par zāļu riska mazināšanu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”,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Izglītojošā brošūra medicīnas māsām “Svarīga informācija medicīnas māsām par zāļu riska mazināšanu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BLINCYTO®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Calibri" w:hAnsi="Times New Roman" w:cs="Times New Roman"/>
          <w:sz w:val="24"/>
          <w:szCs w:val="24"/>
        </w:rPr>
        <w:t xml:space="preserve"> (blinatumomabs)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25.01.2016):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>3</w:t>
      </w:r>
      <w:proofErr w:type="gramStart"/>
      <w:r>
        <w:rPr>
          <w:rFonts w:ascii="Times New Roman" w:eastAsia="Times New Roman" w:hAnsi="Times New Roman" w:cs="Times New Roman"/>
          <w:b/>
          <w:lang w:val="en-GB"/>
        </w:rPr>
        <w:t>,5</w:t>
      </w:r>
      <w:proofErr w:type="gramEnd"/>
      <w:r>
        <w:rPr>
          <w:rFonts w:ascii="Times New Roman" w:eastAsia="Times New Roman" w:hAnsi="Times New Roman" w:cs="Times New Roman"/>
          <w:b/>
          <w:lang w:val="en-GB"/>
        </w:rPr>
        <w:t xml:space="preserve">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t xml:space="preserve">Svarīga informācija veselības aprūpes speciālistiem par zāļu riska mazināšanu. Brošūra par šķīduma pagatavošanu, dozēšanu </w:t>
      </w:r>
      <w:proofErr w:type="gramStart"/>
      <w:r>
        <w:t>un</w:t>
      </w:r>
      <w:proofErr w:type="gramEnd"/>
      <w:r>
        <w:t xml:space="preserve"> lietošanu.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083630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083630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Pr="0007573F" w:rsidRDefault="008E48B8" w:rsidP="00083630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22.07.2016):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„Deltyba 50 mg apvalkotās tabletes (delemanīds). Svarīga informācija veselības aprūpes darbiniekiem par riska mazināšanu”, versija LV/DLM/1406/0001(2);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„Deltyba (delamanīda) lietošana grūtniecības un zīdīšanas laikā” versija LV/DLM/1406/0002(1).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Ebewe Pharma Ges.m.b.H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Ebetrex?”.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lapiņa pacientiem ”Kas ir Ebetrex?”.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lastRenderedPageBreak/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kanulas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083630">
      <w:pPr>
        <w:pStyle w:val="ListParagraph"/>
        <w:numPr>
          <w:ilvl w:val="0"/>
          <w:numId w:val="148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(prasugrels) 5 mg apvalkotas tabletes un 10 mg apvalkotas tabletes, Eli Lilly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Astellas Pharma AS, </w:t>
      </w:r>
      <w:r>
        <w:rPr>
          <w:rFonts w:ascii="Times New Roman" w:eastAsia="Times New Roman" w:hAnsi="Times New Roman" w:cs="Times New Roman"/>
          <w:sz w:val="24"/>
          <w:szCs w:val="24"/>
        </w:rPr>
        <w:t>Dānija (saskaņots 24.09.2015):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(atjaunots 25.05.2017):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par ellaOne (ulipristāla acetāts) grūtniecības reģistru.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tenofovīra disoproksilu”, versija 03. </w:t>
      </w:r>
      <w:r>
        <w:rPr>
          <w:bCs/>
          <w:color w:val="FF0000"/>
        </w:rPr>
        <w:t>(</w:t>
      </w:r>
      <w:r>
        <w:rPr>
          <w:b/>
          <w:bCs/>
          <w:color w:val="FF0000"/>
        </w:rPr>
        <w:t>Saskaņots 16.03.2017</w:t>
      </w:r>
      <w:r>
        <w:rPr>
          <w:bCs/>
          <w:color w:val="FF0000"/>
        </w:rPr>
        <w:t>)</w:t>
      </w:r>
      <w:r>
        <w:rPr>
          <w:bCs/>
        </w:rPr>
        <w:t>;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13.04.2017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lastRenderedPageBreak/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Pacienta atgādinājuma karte: “Emtricitabine/Tenofovir disoproxil Krka PrEP indikācijai”, versija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pirmskontakta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Informatīvā brošūra par pirmskontakta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Atgādinājuma kartīte pacientam par Emtricitabine/Tenofovir disoproxil Mylan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Slovēnija (saskaņots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05.07.2018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>Izglītojoša brošūra veselības aprūpes speciālistiem “Brošūra par pieaugušo pacientu nieru darbības uzraudzību” (versija RMP versija 2.1. 2018. gada maijs);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>Izglītojoša brošūra veselības aprūpes speciālistiem “Brošūra par pediatrisko pacientu nieru darbības uzraudzību” (versija RMP versija 2.1. 2018. gada maijs);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(vers.1.3);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lastRenderedPageBreak/>
        <w:t>Informatīvā brošūra par pirmskontakta profilaksi riskam pakļautam indivīdam (vers.1.3);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(vers.1.3).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083630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nieru darbības kontroli un devas pielāgošanu pieaugušiem pacientiem, kuri saņem tenofovīra disoproksilu”, versija 2;</w:t>
      </w:r>
    </w:p>
    <w:p w:rsidR="008E48B8" w:rsidRPr="00F44D1B" w:rsidRDefault="008E48B8" w:rsidP="00083630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pulveris un šķīdinātājs injekciju šķīduma pagatavošanai, šķīdums injekcijām pildspalvveida pilnšļircē, Pfizer Limited, Lielbritānija (atjaunināts 16.12.2016):</w:t>
      </w:r>
    </w:p>
    <w:p w:rsidR="008E48B8" w:rsidRDefault="008E48B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>Pacienta drošības informācijas karte (v.2.0-Dec/2016);</w:t>
      </w:r>
    </w:p>
    <w:p w:rsidR="008E48B8" w:rsidRDefault="008E48B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>Ārsta rokasgrāmata(v.1.0-05/2016);</w:t>
      </w:r>
    </w:p>
    <w:p w:rsidR="008E48B8" w:rsidRDefault="008E48B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>Pacienta brošūra (v.1.0-05/2016);</w:t>
      </w:r>
    </w:p>
    <w:p w:rsidR="008E48B8" w:rsidRDefault="008E48B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>Videoinstrukcija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13.10.2017):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speciālistam, versija 01;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mazināšanu, versija 02;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teksts, versija 02.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Izglītojošais materiāls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Atgādinājuma karte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083630">
      <w:pPr>
        <w:pStyle w:val="ListParagraph"/>
        <w:numPr>
          <w:ilvl w:val="0"/>
          <w:numId w:val="146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29.05.2017):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6.0_05.04.2017</w:t>
      </w:r>
      <w:proofErr w:type="gramStart"/>
      <w:r>
        <w:rPr>
          <w:lang w:val="en-US"/>
        </w:rPr>
        <w:t>.;</w:t>
      </w:r>
      <w:proofErr w:type="gramEnd"/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Pacienta Rokasgrāmata versija 6.0_05.04.2017</w:t>
      </w:r>
      <w:proofErr w:type="gramStart"/>
      <w:r>
        <w:rPr>
          <w:lang w:val="en-US"/>
        </w:rPr>
        <w:t>.;</w:t>
      </w:r>
      <w:proofErr w:type="gramEnd"/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Vēstule par Exjade disperģējamo tablešu izplatīšanas pārtraukšanu, 05.04.2017</w:t>
      </w:r>
      <w:proofErr w:type="gramStart"/>
      <w:r>
        <w:rPr>
          <w:lang w:val="en-US"/>
        </w:rPr>
        <w:t>.;</w:t>
      </w:r>
      <w:proofErr w:type="gramEnd"/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</w:t>
      </w:r>
      <w:proofErr w:type="gramStart"/>
      <w:r>
        <w:rPr>
          <w:lang w:val="en-US"/>
        </w:rPr>
        <w:t>.;</w:t>
      </w:r>
      <w:proofErr w:type="gramEnd"/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(Natrii sulfas anhydricus, Magnesii sulfas heptahydricus, Kalii sulfas) koncentrāts iekšķīgi lietojama šķīduma pagatavošanai, Ipsen Pharma,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Fleree izglītojošs materiāls par ektopiskās (ārpusdzemdes) grūtniecības risku (atjaunināts 13.06.2014.)</w:t>
      </w:r>
    </w:p>
    <w:p w:rsidR="008E48B8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(fingolimods) 0, 5 mg cietās kapsulas, Novartis Pharma Services Inc., Lielbritānija, (atjaunināts 12.06.2018):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>
        <w:t>Izglītojošs materiāls veselības aprūpes speciālistam Gilenya ordinētājam pārbaudāmo kontroljautājumu veidlapa, versija V3;</w:t>
      </w:r>
    </w:p>
    <w:p w:rsidR="008E48B8" w:rsidRDefault="008E48B8" w:rsidP="008E48B8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>
        <w:t>Izglītojošs materiāls pacientam Svarīga informācija, kas jāatceras, ārstējoties ar Gilenya, versija V6.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40 mg/0,8 ml šķīdums injekcijām lietošanai bērniem, Humira 40 mg šķīdums injekcijām pilnšļircē, Humira 40 mg šķīdums injekcijām pildspalvveida pilnšļircē; AbbVie Ltd., Lielbritānija, versija 4.0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 04.12.2017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(prezentācija) veselības aprūpes speciālistiem „Drošības apsvērumi ārstējot ar Humira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(adalimumab)”;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Humira tuberkulozes skrīninga brošūra un kontroljautājumu saraksts veselības aprūpes speciālistiem ”Fakti par tuberkulozes (TB) skrīningu”;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083630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083630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083630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r>
        <w:rPr>
          <w:color w:val="000000"/>
          <w:sz w:val="24"/>
          <w:szCs w:val="24"/>
        </w:rPr>
        <w:t xml:space="preserve">Increlex devam”.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Increlex”.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 xml:space="preserve">“Increlex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Hospira UK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Limited (atjaunināts 11.04.2017),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versija 2.0, 03.2016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Drošuma informācija</w:t>
      </w:r>
      <w:r>
        <w:rPr>
          <w:lang w:val="it-IT" w:eastAsia="en-US"/>
        </w:rPr>
        <w:t xml:space="preserve"> </w:t>
      </w:r>
      <w:r>
        <w:rPr>
          <w:lang w:val="it-IT"/>
        </w:rPr>
        <w:t>veselības aprūpes speciālistam</w:t>
      </w:r>
      <w:r>
        <w:t>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 xml:space="preserve">Drošuma informācija </w:t>
      </w:r>
      <w:r>
        <w:rPr>
          <w:lang w:val="it-IT"/>
        </w:rPr>
        <w:t>veselības aprūpes speciālistam</w:t>
      </w:r>
      <w:r>
        <w:rPr>
          <w:lang w:val="en-GB"/>
        </w:rPr>
        <w:t xml:space="preserve"> </w:t>
      </w:r>
      <w:r>
        <w:t>bērniem ar iekaisīgu zarnu slimību;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Infūziju plānotājs 6-8 nedēļu ārstēšanai;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Skrīninga lapa;</w:t>
      </w:r>
    </w:p>
    <w:p w:rsidR="008E48B8" w:rsidRDefault="008E48B8" w:rsidP="008E48B8">
      <w:pPr>
        <w:pStyle w:val="ListParagraph"/>
        <w:numPr>
          <w:ilvl w:val="0"/>
          <w:numId w:val="54"/>
        </w:numPr>
      </w:pPr>
      <w:r>
        <w:t>Pacienta brīdinājuma kartiņa.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Kadcyla*▼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Roche Registration Limited, Lielbritānija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14.08.2017.):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Izglītojošai materiāls veselības aprūpes speciālistam.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Limited,Lielbritānija;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atjaunināts 05.04.2018.: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14.0).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(saskaņots 14.03.2014):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Pacienta brošūra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UK Limited,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(v.1.0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09.03.2018.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37957" w:rsidRDefault="008E48B8" w:rsidP="00083630">
      <w:pPr>
        <w:pStyle w:val="Default"/>
        <w:numPr>
          <w:ilvl w:val="0"/>
          <w:numId w:val="139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 xml:space="preserve">”. 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12 mg koncentrāts infūziju šķīduma pagatavošanai, Genzyme Therapeutics Ltd., Lielbritānija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11.04.2018):</w:t>
      </w:r>
    </w:p>
    <w:p w:rsidR="008E48B8" w:rsidRPr="00C856D7" w:rsidRDefault="008E48B8" w:rsidP="00083630">
      <w:pPr>
        <w:pStyle w:val="ListParagraph"/>
        <w:numPr>
          <w:ilvl w:val="0"/>
          <w:numId w:val="140"/>
        </w:numPr>
        <w:autoSpaceDE w:val="0"/>
        <w:autoSpaceDN w:val="0"/>
        <w:adjustRightInd w:val="0"/>
        <w:jc w:val="both"/>
        <w:rPr>
          <w:lang w:val="it-IT"/>
        </w:rPr>
      </w:pPr>
      <w:r w:rsidRPr="00C856D7">
        <w:rPr>
          <w:lang w:val="it-IT"/>
        </w:rPr>
        <w:t>Rokasgrāmata veselības aprūpes speciālistiem “Lemtrada (alemtuzumaba) lietošana pacientiem ar recidivējo</w:t>
      </w:r>
      <w:r>
        <w:rPr>
          <w:lang w:val="it-IT"/>
        </w:rPr>
        <w:t>ši remitējošu</w:t>
      </w:r>
      <w:r w:rsidRPr="00C856D7">
        <w:rPr>
          <w:lang w:val="it-IT"/>
        </w:rPr>
        <w:t xml:space="preserve"> multiplo sklerozi (RRMS)”</w:t>
      </w:r>
      <w:r>
        <w:rPr>
          <w:lang w:val="it-IT"/>
        </w:rPr>
        <w:t>, v2</w:t>
      </w:r>
      <w:r w:rsidRPr="00C856D7">
        <w:rPr>
          <w:lang w:val="it-IT"/>
        </w:rPr>
        <w:t>;</w:t>
      </w:r>
    </w:p>
    <w:p w:rsidR="008E48B8" w:rsidRPr="00C856D7" w:rsidRDefault="008E48B8" w:rsidP="00083630">
      <w:pPr>
        <w:pStyle w:val="ListParagraph"/>
        <w:numPr>
          <w:ilvl w:val="0"/>
          <w:numId w:val="140"/>
        </w:numPr>
        <w:autoSpaceDE w:val="0"/>
        <w:autoSpaceDN w:val="0"/>
        <w:adjustRightInd w:val="0"/>
        <w:jc w:val="both"/>
        <w:rPr>
          <w:lang w:val="it-IT"/>
        </w:rPr>
      </w:pPr>
      <w:r w:rsidRPr="00C856D7">
        <w:rPr>
          <w:lang w:val="it-IT"/>
        </w:rPr>
        <w:t>Veselības aprūpes speciālista Lemtrada (alemtuzumaba) kontrolsaraksts</w:t>
      </w:r>
      <w:r>
        <w:rPr>
          <w:lang w:val="it-IT"/>
        </w:rPr>
        <w:t>, v2</w:t>
      </w:r>
      <w:r w:rsidRPr="00C856D7">
        <w:rPr>
          <w:lang w:val="it-IT"/>
        </w:rPr>
        <w:t>;</w:t>
      </w:r>
    </w:p>
    <w:p w:rsidR="008E48B8" w:rsidRPr="00C856D7" w:rsidRDefault="008E48B8" w:rsidP="00083630">
      <w:pPr>
        <w:pStyle w:val="ListParagraph"/>
        <w:numPr>
          <w:ilvl w:val="0"/>
          <w:numId w:val="140"/>
        </w:numPr>
        <w:autoSpaceDE w:val="0"/>
        <w:autoSpaceDN w:val="0"/>
        <w:adjustRightInd w:val="0"/>
        <w:jc w:val="both"/>
        <w:rPr>
          <w:lang w:val="it-IT"/>
        </w:rPr>
      </w:pPr>
      <w:r w:rsidRPr="00C856D7">
        <w:rPr>
          <w:lang w:val="it-IT"/>
        </w:rPr>
        <w:t>Pacienta rokasgrāmata “Svarīga informācija pacientiem, kuri sāk ārstēšanu ar Lemtrada (alemtuzumabu) par zāļu riska mazināšanu”</w:t>
      </w:r>
      <w:r>
        <w:rPr>
          <w:lang w:val="it-IT"/>
        </w:rPr>
        <w:t>, v2</w:t>
      </w:r>
      <w:r w:rsidRPr="00C856D7">
        <w:rPr>
          <w:lang w:val="it-IT"/>
        </w:rPr>
        <w:t>;</w:t>
      </w:r>
    </w:p>
    <w:p w:rsidR="008E48B8" w:rsidRPr="00C856D7" w:rsidRDefault="008E48B8" w:rsidP="00083630">
      <w:pPr>
        <w:pStyle w:val="ListParagraph"/>
        <w:numPr>
          <w:ilvl w:val="0"/>
          <w:numId w:val="140"/>
        </w:numPr>
        <w:autoSpaceDE w:val="0"/>
        <w:autoSpaceDN w:val="0"/>
        <w:adjustRightInd w:val="0"/>
        <w:jc w:val="both"/>
        <w:rPr>
          <w:lang w:val="it-IT"/>
        </w:rPr>
      </w:pPr>
      <w:r w:rsidRPr="00C856D7">
        <w:rPr>
          <w:lang w:val="it-IT"/>
        </w:rPr>
        <w:t>Pacienta brīdinājuma kartīte</w:t>
      </w:r>
      <w:r>
        <w:rPr>
          <w:lang w:val="it-IT"/>
        </w:rPr>
        <w:t>, v2</w:t>
      </w:r>
      <w:r w:rsidRPr="00C856D7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Pharma Services Inc.,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intravitreālājām injekcijām saistītais risks: īss kopsavilkums par risku pārvaldību, kas saistīti ar Lucentis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Intravitreālās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(audioteksts)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 Lielbritānija (atjaunināts 13.05.2017):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(EDM-MABs.c.-RMPv15-Mar2017);</w:t>
      </w:r>
    </w:p>
    <w:p w:rsidR="008E48B8" w:rsidRDefault="008E48B8" w:rsidP="00083630">
      <w:pPr>
        <w:pStyle w:val="Header"/>
        <w:numPr>
          <w:ilvl w:val="0"/>
          <w:numId w:val="66"/>
        </w:numPr>
      </w:pPr>
      <w:r>
        <w:t>Mabthera zāļu formu salīdzinājuma karte</w:t>
      </w:r>
      <w:r>
        <w:rPr>
          <w:lang w:val="it-IT"/>
        </w:rPr>
        <w:t>(EDM-MABs.c.-RMPv15-Mar2017);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(EDM-MAB-RA-RMPv15-Mar2017);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Brošūrai pacientam (EDM-MAB</w:t>
      </w:r>
      <w:r>
        <w:rPr>
          <w:lang w:val="it-IT"/>
        </w:rPr>
        <w:t>-RA-RMPv15-Mar2017)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Mabthera pacienta brīdinājuma karte.</w:t>
      </w:r>
    </w:p>
    <w:p w:rsidR="008E48B8" w:rsidRDefault="008E48B8" w:rsidP="008E48B8">
      <w:pPr>
        <w:pStyle w:val="Header"/>
        <w:ind w:left="720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r>
        <w:lastRenderedPageBreak/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Astellas Pharma, Dānija (saskaņots 17.12.2013):</w:t>
      </w:r>
    </w:p>
    <w:p w:rsidR="008E48B8" w:rsidRDefault="008E48B8" w:rsidP="00083630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MYCAMINE</w:t>
      </w:r>
      <w:r>
        <w:rPr>
          <w:rStyle w:val="ft"/>
          <w:rFonts w:ascii="Times New Roman" w:hAnsi="Times New Roman" w:cs="Times New Roman"/>
          <w:color w:val="444444"/>
          <w:sz w:val="24"/>
          <w:szCs w:val="24"/>
          <w:vertAlign w:val="superscript"/>
        </w:rPr>
        <w:t xml:space="preserve">®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Micafunginum</w:t>
      </w:r>
      <w:r>
        <w:rPr>
          <w:rFonts w:ascii="Times New Roman" w:hAnsi="Times New Roman" w:cs="Times New Roman"/>
          <w:sz w:val="24"/>
          <w:szCs w:val="24"/>
        </w:rPr>
        <w:t>). Norādījumi par zāļu lietošanu un pacienta uzraudzību. Versija MY-006-02 (atjaunots 19.12.2016);</w:t>
      </w:r>
    </w:p>
    <w:p w:rsidR="008E48B8" w:rsidRDefault="008E48B8" w:rsidP="00083630">
      <w:pPr>
        <w:numPr>
          <w:ilvl w:val="0"/>
          <w:numId w:val="6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Ārsta kontrolsaraksts (atjaunots 16.09.2015)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,Anketa</w:t>
      </w:r>
      <w:proofErr w:type="gramEnd"/>
      <w:r>
        <w:rPr>
          <w:sz w:val="23"/>
          <w:szCs w:val="23"/>
        </w:rPr>
        <w:t xml:space="preserve"> pacientiem”.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Mysimba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(saskaņots 23.08.2016.):</w:t>
      </w:r>
    </w:p>
    <w:p w:rsidR="008E48B8" w:rsidRDefault="008E48B8" w:rsidP="00083630">
      <w:pPr>
        <w:pStyle w:val="NormalWeb"/>
        <w:numPr>
          <w:ilvl w:val="0"/>
          <w:numId w:val="72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>zālēm Mysimba▼ (</w:t>
      </w:r>
      <w:r>
        <w:rPr>
          <w:bCs/>
          <w:i/>
          <w:color w:val="000000"/>
          <w:kern w:val="24"/>
        </w:rPr>
        <w:t>naltrexonum, bupropionum</w:t>
      </w:r>
      <w:r>
        <w:rPr>
          <w:bCs/>
          <w:color w:val="000000"/>
          <w:kern w:val="24"/>
        </w:rPr>
        <w:t>);</w:t>
      </w:r>
    </w:p>
    <w:p w:rsidR="008E48B8" w:rsidRDefault="008E48B8" w:rsidP="0008363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:rsidR="008E48B8" w:rsidRDefault="008E48B8" w:rsidP="0008363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proofErr w:type="gramStart"/>
      <w:r>
        <w:rPr>
          <w:bCs/>
        </w:rPr>
        <w:t>informācija</w:t>
      </w:r>
      <w:proofErr w:type="gramEnd"/>
      <w:r>
        <w:rPr>
          <w:bCs/>
        </w:rPr>
        <w:t xml:space="preserve">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10.02.2015.):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48B8" w:rsidRDefault="008E48B8" w:rsidP="0008363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Svarīga informācija veselības aprūpes speciālistiem par zāļu riska mazināšanu. Nplate (romiplostims), brošūra par pareizu lietošanu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devām. Versija 1.0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083630">
      <w:pPr>
        <w:pStyle w:val="ListParagraph"/>
        <w:numPr>
          <w:ilvl w:val="0"/>
          <w:numId w:val="78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versija V9.3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saskaņots 11.01.2018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083630">
      <w:pPr>
        <w:numPr>
          <w:ilvl w:val="0"/>
          <w:numId w:val="7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Svarīga informācija veselības aprūpes speciālistiem par zāļu riska mazināšanu. OPDIVO (nivolumabs) koncentrāts infūziju šķīduma pagatavošanai. Norādījumi par zāļu izrakstīšanu un blakusparādību, kas saistītas ar imūnsistēmu, kontroli.</w:t>
      </w:r>
    </w:p>
    <w:p w:rsidR="008E48B8" w:rsidRDefault="008E48B8" w:rsidP="00083630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:rsidR="008E48B8" w:rsidRDefault="008E48B8" w:rsidP="00083630">
      <w:pPr>
        <w:pStyle w:val="ListParagraph"/>
        <w:numPr>
          <w:ilvl w:val="0"/>
          <w:numId w:val="81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:rsidR="008E48B8" w:rsidRDefault="008E48B8" w:rsidP="00083630">
      <w:pPr>
        <w:numPr>
          <w:ilvl w:val="0"/>
          <w:numId w:val="82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:rsidR="008E48B8" w:rsidRDefault="008E48B8" w:rsidP="0008363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mg; 110 mg; 150 mg cietās kapsulas, Boehringer Ingelheim International GmbH,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 un izplatīšanas plāns Latvijā.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083630">
      <w:pPr>
        <w:keepNext/>
        <w:numPr>
          <w:ilvl w:val="0"/>
          <w:numId w:val="86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Svarīga informācija veselības aprūpes speciālistiem par zāļu riska mazināšanu. Prolia (denosumabs 60 mg): pacienta atgādinājuma kartītes ieviešana žokļa osteonekrozes riska mazināšanai.</w:t>
      </w:r>
    </w:p>
    <w:p w:rsidR="008E48B8" w:rsidRDefault="008E48B8" w:rsidP="00083630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:rsidR="008E48B8" w:rsidRDefault="008E48B8" w:rsidP="00083630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083630">
      <w:pPr>
        <w:pStyle w:val="ListParagraph"/>
        <w:numPr>
          <w:ilvl w:val="0"/>
          <w:numId w:val="152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:rsidR="000B1BE5" w:rsidRPr="00D40A27" w:rsidRDefault="000B1BE5" w:rsidP="00083630">
      <w:pPr>
        <w:pStyle w:val="ListParagraph"/>
        <w:numPr>
          <w:ilvl w:val="0"/>
          <w:numId w:val="152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:rsidR="000B1BE5" w:rsidRPr="00D40A27" w:rsidRDefault="000B1BE5" w:rsidP="00083630">
      <w:pPr>
        <w:pStyle w:val="ListParagraph"/>
        <w:numPr>
          <w:ilvl w:val="0"/>
          <w:numId w:val="152"/>
        </w:numPr>
        <w:rPr>
          <w:lang w:val="lv-LV"/>
        </w:rPr>
      </w:pPr>
      <w:r w:rsidRPr="00D40A27">
        <w:rPr>
          <w:lang w:val="lv-LV"/>
        </w:rPr>
        <w:t>Skrīninga veidlapa pacienta novērtēšanai pirms plānotās Remsima terapijas, versija IM_SV_08_2018_LV_V04.</w:t>
      </w:r>
    </w:p>
    <w:p w:rsidR="000B1BE5" w:rsidRPr="00D40A27" w:rsidRDefault="000B1BE5" w:rsidP="00083630">
      <w:pPr>
        <w:pStyle w:val="ListParagraph"/>
        <w:numPr>
          <w:ilvl w:val="0"/>
          <w:numId w:val="152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083630">
      <w:pPr>
        <w:pStyle w:val="ListParagraph"/>
        <w:numPr>
          <w:ilvl w:val="0"/>
          <w:numId w:val="152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speciālistu apmācība drošai intravenozai treprostinila lietošanai un ar katetra lietošanu saistītu infekciju asinsrites sistēmā profilaksei;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0" w:name="_Hlk492046074"/>
      <w:r w:rsidRPr="00123F07">
        <w:rPr>
          <w:iCs/>
          <w:lang w:val="lv-LV"/>
        </w:rPr>
        <w:t>atjaunināts -17.08.2017;</w:t>
      </w:r>
    </w:p>
    <w:bookmarkEnd w:id="0"/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Roche Registration Limited, Lielbritānija (versija 21.2; atjaunināts 10.05.2018.):</w:t>
      </w:r>
    </w:p>
    <w:p w:rsidR="008E48B8" w:rsidRPr="00760E31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60E31">
        <w:rPr>
          <w:rFonts w:ascii="Times New Roman" w:hAnsi="Times New Roman" w:cs="Times New Roman"/>
          <w:sz w:val="24"/>
          <w:szCs w:val="24"/>
        </w:rPr>
        <w:t>. RoActemra reimatoīdā artrīta un milzšūnu arterīta ārstēšanai</w:t>
      </w:r>
    </w:p>
    <w:p w:rsidR="008E48B8" w:rsidRPr="00760E31" w:rsidRDefault="008E48B8" w:rsidP="008E48B8">
      <w:pPr>
        <w:rPr>
          <w:rFonts w:ascii="Times New Roman" w:hAnsi="Times New Roman" w:cs="Times New Roman"/>
          <w:sz w:val="24"/>
          <w:szCs w:val="24"/>
        </w:rPr>
      </w:pPr>
      <w:r w:rsidRPr="00760E31">
        <w:rPr>
          <w:rFonts w:ascii="Times New Roman" w:hAnsi="Times New Roman" w:cs="Times New Roman"/>
          <w:sz w:val="24"/>
          <w:szCs w:val="24"/>
        </w:rPr>
        <w:t>1) Izglītojošie materiāli veselības aprūpes speciālistam:</w:t>
      </w:r>
    </w:p>
    <w:p w:rsidR="008E48B8" w:rsidRPr="007F4AF0" w:rsidRDefault="008E48B8" w:rsidP="00083630">
      <w:pPr>
        <w:pStyle w:val="ListParagraph"/>
        <w:numPr>
          <w:ilvl w:val="0"/>
          <w:numId w:val="143"/>
        </w:numPr>
        <w:spacing w:after="160" w:line="259" w:lineRule="auto"/>
        <w:rPr>
          <w:lang w:val="lv-LV"/>
        </w:rPr>
      </w:pPr>
      <w:r w:rsidRPr="007F4AF0">
        <w:rPr>
          <w:lang w:val="lv-LV"/>
        </w:rPr>
        <w:t>Brošūra veselības aprūpes speciālistam par zālēm RoACTEMRA RoACTEMRA (i.v un s.c. ievadīšanai) reimatoīdā artrīta un milzšūnu arterīta ārstēšanai SVARĪGA INFORMĀCIJA PAR EFEKTIVITĀTI UN DROŠUMU EDM-ROA-II66-GCA-RA-RMPv.21.2-Dec2017 (atjaunināts 10.05.2018.);</w:t>
      </w:r>
    </w:p>
    <w:p w:rsidR="008E48B8" w:rsidRPr="007F4AF0" w:rsidRDefault="008E48B8" w:rsidP="00083630">
      <w:pPr>
        <w:pStyle w:val="ListParagraph"/>
        <w:numPr>
          <w:ilvl w:val="0"/>
          <w:numId w:val="143"/>
        </w:numPr>
        <w:spacing w:after="160" w:line="259" w:lineRule="auto"/>
        <w:rPr>
          <w:lang w:val="lv-LV"/>
        </w:rPr>
      </w:pPr>
      <w:r w:rsidRPr="007F4AF0">
        <w:rPr>
          <w:lang w:val="lv-LV"/>
        </w:rPr>
        <w:t>Brošūra veselības aprūpes speciālistam par zāļu RoACTEMRA i.v un s.c.  ievadīšanu   un RoACTEMRA lietošanu pacientiem ar reimatoīdo artrītu vai milzšūnu arterītu. SECĪGI NORĀDĪJUMI DEVAS NOTEIKŠANAI UN ZĀĻU IEVADĪŠANAI EDM-ROA-II66-GCA-RA-RMPv.21.2-Dec2017 (atjaunināts 10.05.2018.);</w:t>
      </w:r>
    </w:p>
    <w:p w:rsidR="008E48B8" w:rsidRPr="007F4AF0" w:rsidRDefault="008E48B8" w:rsidP="008E48B8">
      <w:pPr>
        <w:rPr>
          <w:rFonts w:ascii="Times New Roman" w:hAnsi="Times New Roman" w:cs="Times New Roman"/>
          <w:sz w:val="24"/>
          <w:szCs w:val="24"/>
        </w:rPr>
      </w:pPr>
      <w:r w:rsidRPr="007F4AF0">
        <w:rPr>
          <w:rFonts w:ascii="Times New Roman" w:hAnsi="Times New Roman" w:cs="Times New Roman"/>
          <w:sz w:val="24"/>
          <w:szCs w:val="24"/>
        </w:rPr>
        <w:t>2) Izglītojošie materiāli pacientam:</w:t>
      </w:r>
    </w:p>
    <w:p w:rsidR="008E48B8" w:rsidRPr="007F4AF0" w:rsidRDefault="008E48B8" w:rsidP="00083630">
      <w:pPr>
        <w:pStyle w:val="ListParagraph"/>
        <w:numPr>
          <w:ilvl w:val="0"/>
          <w:numId w:val="144"/>
        </w:numPr>
        <w:spacing w:after="160" w:line="259" w:lineRule="auto"/>
        <w:rPr>
          <w:lang w:val="lv-LV"/>
        </w:rPr>
      </w:pPr>
      <w:r w:rsidRPr="007F4AF0">
        <w:rPr>
          <w:lang w:val="lv-LV"/>
        </w:rPr>
        <w:t>Brošūra pacientam. RoACTEMRA i.v. un s.c. reimatoīdā artrīta ārstēšanai. EDM-ROA-IB69SL-RA-RMPv.16.1-May2017 (atjaunināts 30.05.2017.);</w:t>
      </w:r>
    </w:p>
    <w:p w:rsidR="008E48B8" w:rsidRPr="007F4AF0" w:rsidRDefault="008E48B8" w:rsidP="00083630">
      <w:pPr>
        <w:pStyle w:val="ListParagraph"/>
        <w:numPr>
          <w:ilvl w:val="0"/>
          <w:numId w:val="144"/>
        </w:numPr>
        <w:spacing w:line="259" w:lineRule="auto"/>
        <w:rPr>
          <w:lang w:val="lv-LV"/>
        </w:rPr>
      </w:pPr>
      <w:r w:rsidRPr="007F4AF0">
        <w:rPr>
          <w:lang w:val="lv-LV"/>
        </w:rPr>
        <w:t>Brošūra pacientam RoACTEMRA s.c. (zemādas ievadīšanai) milzšūnu arterīta ārstēšanai EDM-ROA-II66-GCA-RA-RMPv.21.2-Dec2017 (Sagatavots/atjaunināts 10.05.2018)</w:t>
      </w:r>
    </w:p>
    <w:p w:rsidR="008E48B8" w:rsidRPr="007F4AF0" w:rsidRDefault="008E48B8" w:rsidP="00083630">
      <w:pPr>
        <w:pStyle w:val="ListParagraph"/>
        <w:numPr>
          <w:ilvl w:val="0"/>
          <w:numId w:val="144"/>
        </w:numPr>
        <w:spacing w:after="160" w:line="259" w:lineRule="auto"/>
        <w:rPr>
          <w:snapToGrid w:val="0"/>
          <w:lang w:val="lv-LV" w:eastAsia="lv-LV"/>
        </w:rPr>
      </w:pPr>
      <w:r w:rsidRPr="007F4AF0">
        <w:rPr>
          <w:lang w:val="lv-LV"/>
        </w:rPr>
        <w:lastRenderedPageBreak/>
        <w:t xml:space="preserve">RoActemra pacienta brīdinājuma karte </w:t>
      </w:r>
      <w:r w:rsidRPr="007F4AF0">
        <w:rPr>
          <w:snapToGrid w:val="0"/>
          <w:lang w:val="lv-LV" w:eastAsia="lv-LV"/>
        </w:rPr>
        <w:t>EDM-ROA-II66-GCA-RA-RMPv.21.2-Dec2017 (atjaunināta 10.05.2018).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RoActemra sistēmiskā juvenīlā idiopātiskā artrīta (sJIA) ārstēšanai: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1) Izglītojoši materiāli veselības aprūpes speciālistam:</w:t>
      </w:r>
    </w:p>
    <w:p w:rsidR="008E48B8" w:rsidRDefault="008E48B8" w:rsidP="00083630">
      <w:pPr>
        <w:numPr>
          <w:ilvl w:val="0"/>
          <w:numId w:val="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ārstam;</w:t>
      </w:r>
    </w:p>
    <w:p w:rsidR="008E48B8" w:rsidRDefault="008E48B8" w:rsidP="00083630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Secīgi norādījumi devas noteikšanai un infūzijas veikšanai;</w:t>
      </w:r>
    </w:p>
    <w:p w:rsidR="008E48B8" w:rsidRDefault="008E48B8" w:rsidP="00083630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Makrofāgu aktivācijas sindroms sJIA gadījumā.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 Izglītojošie materiāli pacientam:</w:t>
      </w:r>
    </w:p>
    <w:p w:rsidR="008E48B8" w:rsidRDefault="008E48B8" w:rsidP="00083630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pacientam;</w:t>
      </w:r>
    </w:p>
    <w:p w:rsidR="008E48B8" w:rsidRDefault="008E48B8" w:rsidP="00083630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RoActemra pacienta brīdinājuma karte.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RoActemra sistēmiskā juvenīlā idiopātiskā poliartrīta (pJIA) ārstēšanai: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1) Izglītojoši materiāli veselības aprūpes speciālistam:</w:t>
      </w:r>
    </w:p>
    <w:p w:rsidR="008E48B8" w:rsidRDefault="008E48B8" w:rsidP="00083630">
      <w:pPr>
        <w:numPr>
          <w:ilvl w:val="0"/>
          <w:numId w:val="9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ārstam;</w:t>
      </w:r>
    </w:p>
    <w:p w:rsidR="008E48B8" w:rsidRDefault="008E48B8" w:rsidP="00083630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Secīgi norādījumi devas noteikšanai un infūzijas veikšanai.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 Izglītojošie materiāli pacientam:</w:t>
      </w:r>
    </w:p>
    <w:p w:rsidR="008E48B8" w:rsidRDefault="008E48B8" w:rsidP="00083630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pacientam;</w:t>
      </w:r>
    </w:p>
    <w:p w:rsidR="008E48B8" w:rsidRDefault="008E48B8" w:rsidP="00083630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RoActemra pacienta brīdinājuma karte.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:rsidR="008E48B8" w:rsidRDefault="008E48B8" w:rsidP="00083630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:rsidR="008E48B8" w:rsidRDefault="008E48B8" w:rsidP="00083630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083630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05.09.2016.)</w:t>
      </w:r>
    </w:p>
    <w:p w:rsidR="008E48B8" w:rsidRDefault="008E48B8" w:rsidP="00083630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17.08.2018.):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>pacientiem ar atipisku hemolītiski urēmisku sindromu (aHUS), versija 3.0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atipiska hemolītiski urēmiskā sindroma (aHUS) pacientam/vecākiem, versija 3.0</w:t>
      </w:r>
    </w:p>
    <w:p w:rsidR="008E48B8" w:rsidRDefault="008E48B8" w:rsidP="00083630">
      <w:pPr>
        <w:pStyle w:val="ListParagraph"/>
        <w:numPr>
          <w:ilvl w:val="0"/>
          <w:numId w:val="149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3.0 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paroksismālas nakts hemoglobinūrijas (PNH) pacientam/vecākiem, versija 3.0</w:t>
      </w:r>
    </w:p>
    <w:p w:rsidR="008E48B8" w:rsidRDefault="008E48B8" w:rsidP="00083630">
      <w:pPr>
        <w:pStyle w:val="ListParagraph"/>
        <w:numPr>
          <w:ilvl w:val="0"/>
          <w:numId w:val="149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1.0.</w:t>
      </w:r>
    </w:p>
    <w:p w:rsidR="008E48B8" w:rsidRDefault="008E48B8" w:rsidP="00083630">
      <w:pPr>
        <w:pStyle w:val="Header"/>
        <w:widowControl w:val="0"/>
        <w:numPr>
          <w:ilvl w:val="0"/>
          <w:numId w:val="149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1.0.</w:t>
      </w:r>
    </w:p>
    <w:p w:rsidR="008E48B8" w:rsidRDefault="008E48B8" w:rsidP="00083630">
      <w:pPr>
        <w:pStyle w:val="ListParagraph"/>
        <w:numPr>
          <w:ilvl w:val="0"/>
          <w:numId w:val="149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083630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veselības aprūpes speciālistam;</w:t>
      </w:r>
    </w:p>
    <w:p w:rsidR="008E48B8" w:rsidRDefault="008E48B8" w:rsidP="00083630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:rsidR="008E48B8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:rsidR="008E48B8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:rsidR="008E48B8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:rsidR="008E48B8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083630">
      <w:pPr>
        <w:pStyle w:val="Default"/>
        <w:numPr>
          <w:ilvl w:val="0"/>
          <w:numId w:val="101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08363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:rsidR="008E48B8" w:rsidRDefault="008E48B8" w:rsidP="0008363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:rsidR="008E48B8" w:rsidRDefault="008E48B8" w:rsidP="0008363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:rsidR="008E48B8" w:rsidRDefault="008E48B8" w:rsidP="0008363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:rsidR="008E48B8" w:rsidRDefault="008E48B8" w:rsidP="0008363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(atjaunināts 30.08.2017.):</w:t>
      </w:r>
    </w:p>
    <w:p w:rsidR="008E48B8" w:rsidRDefault="008E48B8" w:rsidP="00083630">
      <w:pPr>
        <w:pStyle w:val="ListParagraph"/>
        <w:numPr>
          <w:ilvl w:val="0"/>
          <w:numId w:val="103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:rsidR="008E48B8" w:rsidRDefault="008E48B8" w:rsidP="00083630">
      <w:pPr>
        <w:pStyle w:val="ListParagraph"/>
        <w:numPr>
          <w:ilvl w:val="0"/>
          <w:numId w:val="103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:rsidR="008E48B8" w:rsidRDefault="008E48B8" w:rsidP="00083630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083630">
      <w:pPr>
        <w:pStyle w:val="ListParagraph"/>
        <w:numPr>
          <w:ilvl w:val="0"/>
          <w:numId w:val="104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083630">
      <w:pPr>
        <w:pStyle w:val="ListParagraph"/>
        <w:numPr>
          <w:ilvl w:val="0"/>
          <w:numId w:val="104"/>
        </w:numPr>
        <w:jc w:val="both"/>
        <w:rPr>
          <w:lang w:val="lv-LV"/>
        </w:rPr>
      </w:pPr>
      <w:r>
        <w:rPr>
          <w:lang w:val="lv-LV"/>
        </w:rPr>
        <w:lastRenderedPageBreak/>
        <w:t xml:space="preserve">Izglītojošs buklets vecākiem/aprūpētājiem, kuru bērni ir saņēmuši gēnu terapiju ar STRIMVELIS (1. versija - 09/2017); </w:t>
      </w:r>
    </w:p>
    <w:p w:rsidR="008E48B8" w:rsidRDefault="008E48B8" w:rsidP="00083630">
      <w:pPr>
        <w:pStyle w:val="ListParagraph"/>
        <w:numPr>
          <w:ilvl w:val="0"/>
          <w:numId w:val="104"/>
        </w:numPr>
        <w:jc w:val="both"/>
      </w:pPr>
      <w:r>
        <w:t>Pacienta brīdinājuma kartīte (1. versija - 09/2017);</w:t>
      </w:r>
    </w:p>
    <w:p w:rsidR="008E48B8" w:rsidRDefault="008E48B8" w:rsidP="00083630">
      <w:pPr>
        <w:pStyle w:val="ListParagraph"/>
        <w:numPr>
          <w:ilvl w:val="0"/>
          <w:numId w:val="104"/>
        </w:numPr>
        <w:jc w:val="both"/>
      </w:pPr>
      <w:r>
        <w:t xml:space="preserve">Pacienta informētas piekrišanas veidlapa STRIMVELIS lietošanai (1. versija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083630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083630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(saskaņots 15.06.2018):</w:t>
      </w:r>
    </w:p>
    <w:p w:rsidR="008E48B8" w:rsidRDefault="008E48B8" w:rsidP="00083630">
      <w:pPr>
        <w:pStyle w:val="ListParagraph"/>
        <w:numPr>
          <w:ilvl w:val="0"/>
          <w:numId w:val="106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>
        <w:t>EDM-TEC-RMPv2.1-May2018;</w:t>
      </w:r>
    </w:p>
    <w:p w:rsidR="008E48B8" w:rsidRDefault="008E48B8" w:rsidP="00083630">
      <w:pPr>
        <w:pStyle w:val="ListParagraph"/>
        <w:numPr>
          <w:ilvl w:val="0"/>
          <w:numId w:val="106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>
        <w:t>EDM-TEC-RMPv2.1-May2018.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ar HIV -1 inficētiem bērniem un pusaudžiem vecumā no 2 līdz &lt;18 gadiem, kuri tiek ārstēti ar tenofovīra disoproksila fumarātu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pusaudžiem ar hronisku B hepatītu vecumā no 12 līdz &lt; 18 gadiem, kuri tiek ārstēti ar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un hroniska vīrushepatīta B inficētiem pieaugušiem pacientiem, kuri saņem tenofovīra disoproksila fumarātu,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18.08.2017.).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083630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083630">
      <w:pPr>
        <w:numPr>
          <w:ilvl w:val="2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1.3.;</w:t>
      </w:r>
    </w:p>
    <w:p w:rsidR="008E48B8" w:rsidRDefault="008E48B8" w:rsidP="00083630">
      <w:pPr>
        <w:numPr>
          <w:ilvl w:val="2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1.3.;</w:t>
      </w:r>
    </w:p>
    <w:p w:rsidR="008E48B8" w:rsidRDefault="008E48B8" w:rsidP="00083630">
      <w:pPr>
        <w:numPr>
          <w:ilvl w:val="2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1.3.;</w:t>
      </w:r>
    </w:p>
    <w:p w:rsidR="008E48B8" w:rsidRDefault="008E48B8" w:rsidP="00083630">
      <w:pPr>
        <w:numPr>
          <w:ilvl w:val="2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083630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083630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083630">
      <w:pPr>
        <w:numPr>
          <w:ilvl w:val="2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083630">
      <w:pPr>
        <w:numPr>
          <w:ilvl w:val="2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:rsidR="008E48B8" w:rsidRDefault="008E48B8" w:rsidP="00083630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:rsidR="008E48B8" w:rsidRDefault="008E48B8" w:rsidP="00083630">
      <w:pPr>
        <w:pStyle w:val="ListParagraph"/>
        <w:numPr>
          <w:ilvl w:val="1"/>
          <w:numId w:val="109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Thalidomide Celgene (talidomīds) kontrolētas izsniegšanas veidlapa;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Pacienta unikālo ID numuru uzlīmes;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Celgene ziņojumus par nevēlamu notikumu, versija 2.0 06/09/2017;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Iedarbības uz grūtniecību veidlapa – grūtniecības iznākums;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Ziņojums par nevēlamu blakusparādību: perifērā neiropātija;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Vēstule veselības aprūpes speciālistam;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 xml:space="preserve">Vēstule veselības aprūpes speciālistam “Talidomīds (Thalidomide Celgene): Talidomīda sākuma deva, </w:t>
      </w:r>
      <w:proofErr w:type="gramStart"/>
      <w:r>
        <w:t>ja</w:t>
      </w:r>
      <w:proofErr w:type="gramEnd"/>
      <w:r>
        <w:t xml:space="preserve"> tas tiek kombinēts ar melfalānu, jāsamazina pacientiem pēc 75 gadu vecuma”.</w:t>
      </w:r>
    </w:p>
    <w:p w:rsidR="008E48B8" w:rsidRDefault="008E48B8" w:rsidP="00083630">
      <w:pPr>
        <w:pStyle w:val="ListParagraph"/>
        <w:numPr>
          <w:ilvl w:val="0"/>
          <w:numId w:val="109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after="160" w:line="252" w:lineRule="auto"/>
        <w:jc w:val="both"/>
      </w:pPr>
      <w:r>
        <w:t>Informētas piekrišanas dokuments vīriešiem, versija 1.0;</w:t>
      </w:r>
    </w:p>
    <w:p w:rsidR="008E48B8" w:rsidRDefault="008E48B8" w:rsidP="00083630">
      <w:pPr>
        <w:pStyle w:val="ListParagraph"/>
        <w:numPr>
          <w:ilvl w:val="1"/>
          <w:numId w:val="109"/>
        </w:numPr>
        <w:spacing w:line="252" w:lineRule="auto"/>
        <w:jc w:val="both"/>
      </w:pPr>
      <w:r>
        <w:t>Informētas piekrišanas dokuments sievietēm bez reproduktīvā potenciāla, versija 1.0;</w:t>
      </w:r>
    </w:p>
    <w:p w:rsidR="008E48B8" w:rsidRDefault="008E48B8" w:rsidP="00083630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083630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083630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083630">
      <w:pPr>
        <w:pStyle w:val="ListParagraph"/>
        <w:numPr>
          <w:ilvl w:val="0"/>
          <w:numId w:val="145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083630">
      <w:pPr>
        <w:pStyle w:val="ListParagraph"/>
        <w:numPr>
          <w:ilvl w:val="0"/>
          <w:numId w:val="14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UK Limited, Lielbritānija (saskaņots 21.04.2016)</w:t>
      </w:r>
    </w:p>
    <w:p w:rsidR="008E48B8" w:rsidRDefault="008E48B8" w:rsidP="00083630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083630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083630">
      <w:pPr>
        <w:pStyle w:val="ListParagraph"/>
        <w:numPr>
          <w:ilvl w:val="0"/>
          <w:numId w:val="111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UK Limited, Lielbritānija (saskaņots 21.04.2016):</w:t>
      </w:r>
    </w:p>
    <w:p w:rsidR="008E48B8" w:rsidRDefault="008E48B8" w:rsidP="00083630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083630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083630">
      <w:pPr>
        <w:pStyle w:val="ListParagraph"/>
        <w:numPr>
          <w:ilvl w:val="0"/>
          <w:numId w:val="111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:rsidR="008E48B8" w:rsidRDefault="008E48B8" w:rsidP="00083630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:rsidR="008E48B8" w:rsidRDefault="008E48B8" w:rsidP="00083630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:rsidR="008E48B8" w:rsidRDefault="008E48B8" w:rsidP="00083630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083630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083630">
      <w:pPr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083630">
      <w:pPr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083630">
      <w:pPr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083630">
      <w:pPr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083630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083630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083630">
      <w:pPr>
        <w:numPr>
          <w:ilvl w:val="0"/>
          <w:numId w:val="151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083630">
      <w:pPr>
        <w:numPr>
          <w:ilvl w:val="0"/>
          <w:numId w:val="15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(saskaņots 26.06.2015):</w:t>
      </w:r>
    </w:p>
    <w:p w:rsidR="008E48B8" w:rsidRDefault="008E48B8" w:rsidP="00083630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083630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:rsidR="008E48B8" w:rsidRDefault="008E48B8" w:rsidP="00083630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(atjaunināts 08.08.2017., versija Nr.17):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083630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:rsidR="008E48B8" w:rsidRDefault="008E48B8" w:rsidP="00083630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083630">
      <w:pPr>
        <w:pStyle w:val="ListParagraph"/>
        <w:numPr>
          <w:ilvl w:val="0"/>
          <w:numId w:val="119"/>
        </w:numPr>
        <w:autoSpaceDE w:val="0"/>
        <w:autoSpaceDN w:val="0"/>
        <w:adjustRightInd w:val="0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:rsidR="008E48B8" w:rsidRDefault="008E48B8" w:rsidP="00083630">
      <w:pPr>
        <w:pStyle w:val="ListParagraph"/>
        <w:numPr>
          <w:ilvl w:val="0"/>
          <w:numId w:val="119"/>
        </w:numPr>
        <w:autoSpaceDE w:val="0"/>
        <w:autoSpaceDN w:val="0"/>
        <w:adjustRightInd w:val="0"/>
        <w:rPr>
          <w:bCs/>
        </w:rPr>
      </w:pPr>
      <w:r>
        <w:rPr>
          <w:bCs/>
        </w:rPr>
        <w:t>Shematiskais attēls</w:t>
      </w:r>
    </w:p>
    <w:p w:rsidR="008E48B8" w:rsidRDefault="008E48B8" w:rsidP="00083630">
      <w:pPr>
        <w:pStyle w:val="ListParagraph"/>
        <w:numPr>
          <w:ilvl w:val="0"/>
          <w:numId w:val="119"/>
        </w:numPr>
        <w:autoSpaceDE w:val="0"/>
        <w:autoSpaceDN w:val="0"/>
        <w:adjustRightInd w:val="0"/>
        <w:rPr>
          <w:bCs/>
        </w:rPr>
      </w:pPr>
      <w:r>
        <w:rPr>
          <w:bCs/>
        </w:rPr>
        <w:t>Divu zinātnisko rakstu kopsavilkumu kopijas.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:rsidR="008E48B8" w:rsidRDefault="008E48B8" w:rsidP="00083630">
      <w:pPr>
        <w:pStyle w:val="ListParagraph"/>
        <w:numPr>
          <w:ilvl w:val="0"/>
          <w:numId w:val="120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083630">
      <w:pPr>
        <w:pStyle w:val="ListParagraph"/>
        <w:numPr>
          <w:ilvl w:val="0"/>
          <w:numId w:val="120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083630">
      <w:pPr>
        <w:pStyle w:val="ListParagraph"/>
        <w:numPr>
          <w:ilvl w:val="0"/>
          <w:numId w:val="120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083630">
      <w:pPr>
        <w:pStyle w:val="ListParagraph"/>
        <w:numPr>
          <w:ilvl w:val="0"/>
          <w:numId w:val="120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Latvia SIA, Latvija; GL Pharma GmbH, Austrija; Orion Corporation,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4910CB">
      <w:pPr>
        <w:pStyle w:val="ListParagraph"/>
        <w:numPr>
          <w:ilvl w:val="0"/>
          <w:numId w:val="153"/>
        </w:numPr>
        <w:contextualSpacing w:val="0"/>
        <w:rPr>
          <w:lang w:val="lv-LV"/>
        </w:rPr>
      </w:pPr>
      <w:r w:rsidRPr="00D61637">
        <w:t>Rokasgrāmata veselības aprūpes speciālistiem par valproāta</w:t>
      </w:r>
      <w:r>
        <w:rPr>
          <w:lang w:val="it-IT"/>
        </w:rPr>
        <w:t>▼</w:t>
      </w:r>
      <w:r w:rsidRPr="00D61637">
        <w:t xml:space="preserve"> lietošanas riskiem sievietēm jebkurā vecumā un grūtniecēm</w:t>
      </w:r>
      <w:r>
        <w:t xml:space="preserve"> v.3;</w:t>
      </w:r>
    </w:p>
    <w:p w:rsidR="004910CB" w:rsidRPr="00D61637" w:rsidRDefault="004910CB" w:rsidP="004910CB">
      <w:pPr>
        <w:pStyle w:val="ListParagraph"/>
        <w:numPr>
          <w:ilvl w:val="0"/>
          <w:numId w:val="153"/>
        </w:numPr>
        <w:contextualSpacing w:val="0"/>
      </w:pPr>
      <w:r w:rsidRPr="00D61637">
        <w:lastRenderedPageBreak/>
        <w:t>Informatīvais buklets pacientei – Valproāts</w:t>
      </w:r>
      <w:r>
        <w:rPr>
          <w:lang w:val="it-IT"/>
        </w:rPr>
        <w:t>▼</w:t>
      </w:r>
      <w:bookmarkStart w:id="1" w:name="_GoBack"/>
      <w:bookmarkEnd w:id="1"/>
      <w:r w:rsidRPr="00D61637">
        <w:t>, kontracepcija un grūtniecība: kas Jums jāzina</w:t>
      </w:r>
      <w:r>
        <w:t xml:space="preserve"> v.3;</w:t>
      </w:r>
    </w:p>
    <w:p w:rsidR="004910CB" w:rsidRPr="00D61637" w:rsidRDefault="004910CB" w:rsidP="004910CB">
      <w:pPr>
        <w:pStyle w:val="ListParagraph"/>
        <w:numPr>
          <w:ilvl w:val="0"/>
          <w:numId w:val="153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:rsidR="004910CB" w:rsidRPr="00D61637" w:rsidRDefault="004910CB" w:rsidP="004910CB">
      <w:pPr>
        <w:pStyle w:val="ListParagraph"/>
        <w:numPr>
          <w:ilvl w:val="0"/>
          <w:numId w:val="153"/>
        </w:numPr>
        <w:contextualSpacing w:val="0"/>
      </w:pPr>
      <w:r w:rsidRPr="00D61637">
        <w:t xml:space="preserve">Informētas piekrišanas dokuments - Ikgadējā riska apzināšanās informācija meitenēm </w:t>
      </w:r>
      <w:proofErr w:type="gramStart"/>
      <w:r w:rsidRPr="00D61637">
        <w:t>un</w:t>
      </w:r>
      <w:proofErr w:type="gramEnd"/>
      <w:r w:rsidRPr="00D61637">
        <w:t xml:space="preserve"> sievietēm ar reproduktīvo potenciālu, kuras ārstē ar valproātu</w:t>
      </w:r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:rsidR="008E48B8" w:rsidRDefault="008E48B8" w:rsidP="00083630">
      <w:pPr>
        <w:pStyle w:val="ListParagraph"/>
        <w:numPr>
          <w:ilvl w:val="0"/>
          <w:numId w:val="12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Amgen Europe B.V., Nīderlande (atjaunināts 26.09.2016)</w:t>
      </w:r>
    </w:p>
    <w:p w:rsidR="008E48B8" w:rsidRDefault="008E48B8" w:rsidP="00083630">
      <w:pPr>
        <w:pStyle w:val="ListParagraph"/>
        <w:numPr>
          <w:ilvl w:val="0"/>
          <w:numId w:val="123"/>
        </w:numPr>
        <w:rPr>
          <w:bCs/>
        </w:rPr>
      </w:pPr>
      <w:r>
        <w:rPr>
          <w:bCs/>
        </w:rPr>
        <w:t>Svarīga informācija veselības aprūpes speciālistiem par zāļu riska mazināšanu “Informācija par Vectibix un RAS biomarķieri”,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:rsidR="008E48B8" w:rsidRDefault="008E48B8" w:rsidP="00083630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:rsidR="008E48B8" w:rsidRDefault="008E48B8" w:rsidP="00083630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:rsidR="008E48B8" w:rsidRDefault="008E48B8" w:rsidP="00083630">
      <w:pPr>
        <w:numPr>
          <w:ilvl w:val="1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083630">
      <w:pPr>
        <w:numPr>
          <w:ilvl w:val="1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083630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:rsidR="008E48B8" w:rsidRDefault="008E48B8" w:rsidP="00083630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083630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083630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:rsidR="008E48B8" w:rsidRDefault="008E48B8" w:rsidP="00083630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Gilead Nordic, Īrija, (atjaunināts 05.06.2017):</w:t>
      </w:r>
    </w:p>
    <w:p w:rsidR="008E48B8" w:rsidRDefault="008E48B8" w:rsidP="00083630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083630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083630">
      <w:pPr>
        <w:numPr>
          <w:ilvl w:val="1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083630">
      <w:pPr>
        <w:numPr>
          <w:ilvl w:val="1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083630">
      <w:pPr>
        <w:numPr>
          <w:ilvl w:val="1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083630">
      <w:pPr>
        <w:numPr>
          <w:ilvl w:val="1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083630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083630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:rsidR="008E48B8" w:rsidRDefault="008E48B8" w:rsidP="00083630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11.12.2017.):  </w:t>
      </w:r>
    </w:p>
    <w:p w:rsidR="008E48B8" w:rsidRDefault="008E48B8" w:rsidP="00083630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851" w:hanging="1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Volibris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ambrisentanum.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Informācija veselības aprūpes speciālistiem – versija </w:t>
      </w:r>
      <w:r>
        <w:rPr>
          <w:rFonts w:ascii="Times New Roman" w:hAnsi="Times New Roman" w:cs="Times New Roman"/>
          <w:bCs/>
          <w:sz w:val="24"/>
          <w:szCs w:val="24"/>
        </w:rPr>
        <w:t>LV/ABT/0003/12(2);</w:t>
      </w:r>
    </w:p>
    <w:p w:rsidR="008E48B8" w:rsidRDefault="008E48B8" w:rsidP="00083630">
      <w:pPr>
        <w:numPr>
          <w:ilvl w:val="0"/>
          <w:numId w:val="131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mazināšanu. Informācija pacientiem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kam parakstīts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>Volibris (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ambrisentāna)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lietošana – kas jums jāzina - versija </w:t>
      </w:r>
      <w:r>
        <w:rPr>
          <w:rFonts w:ascii="Times New Roman" w:hAnsi="Times New Roman" w:cs="Times New Roman"/>
          <w:sz w:val="24"/>
          <w:szCs w:val="24"/>
        </w:rPr>
        <w:t>LV/ABT/0005/12(2);</w:t>
      </w:r>
    </w:p>
    <w:p w:rsidR="008E48B8" w:rsidRDefault="008E48B8" w:rsidP="00083630">
      <w:pPr>
        <w:numPr>
          <w:ilvl w:val="0"/>
          <w:numId w:val="131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pacientes partnerim par zāļu riska mazināšanu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Informācija vīriešiem, kuru partneres lieto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Kas jums jāzina – versija </w:t>
      </w:r>
      <w:r>
        <w:rPr>
          <w:rFonts w:ascii="Times New Roman" w:hAnsi="Times New Roman" w:cs="Times New Roman"/>
          <w:sz w:val="24"/>
          <w:szCs w:val="24"/>
        </w:rPr>
        <w:t>LV/ABT/0004/12(1).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083630">
      <w:pPr>
        <w:numPr>
          <w:ilvl w:val="0"/>
          <w:numId w:val="13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UK Limited, Lielbritānija (saskaņots 21.04.2016):</w:t>
      </w:r>
    </w:p>
    <w:p w:rsidR="008E48B8" w:rsidRDefault="008E48B8" w:rsidP="00083630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083630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083630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kartīte (atrodas zāļu iepakojumā kopā ar lietošanas instrukciju)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:rsidR="008E48B8" w:rsidRDefault="008E48B8" w:rsidP="00083630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083630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:rsidR="008E48B8" w:rsidRDefault="008E48B8" w:rsidP="00083630">
      <w:pPr>
        <w:pStyle w:val="ListParagraph"/>
        <w:numPr>
          <w:ilvl w:val="0"/>
          <w:numId w:val="134"/>
        </w:numPr>
      </w:pPr>
      <w:r>
        <w:t>Pacienta atgādinājuma kartīte.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:rsidR="008E48B8" w:rsidRDefault="008E48B8" w:rsidP="00083630">
      <w:pPr>
        <w:pStyle w:val="ListParagraph"/>
        <w:numPr>
          <w:ilvl w:val="0"/>
          <w:numId w:val="127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:rsidR="008E48B8" w:rsidRDefault="008E48B8" w:rsidP="00083630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083630">
      <w:pPr>
        <w:numPr>
          <w:ilvl w:val="0"/>
          <w:numId w:val="1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:rsidR="008E48B8" w:rsidRDefault="008E48B8" w:rsidP="00083630">
      <w:pPr>
        <w:pStyle w:val="ListParagraph"/>
        <w:numPr>
          <w:ilvl w:val="0"/>
          <w:numId w:val="127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:rsidR="008E48B8" w:rsidRDefault="008E48B8" w:rsidP="00083630">
      <w:pPr>
        <w:numPr>
          <w:ilvl w:val="0"/>
          <w:numId w:val="1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Style w:val="BoldPFXA0222TherapymanagementbrochureEU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XALKORI 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crizotinibum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Pfizer Limited, Lielbritānija,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versija </w:t>
      </w:r>
      <w:r>
        <w:rPr>
          <w:rStyle w:val="BoldPFXA0222TherapymanagementbrochureEU"/>
          <w:rFonts w:ascii="Times New Roman" w:hAnsi="Times New Roman" w:cs="Times New Roman"/>
          <w:sz w:val="24"/>
          <w:szCs w:val="24"/>
        </w:rPr>
        <w:t>2.0-Janvāris/2018 (atjaunināts 23.01.2018):</w:t>
      </w:r>
    </w:p>
    <w:p w:rsidR="008E48B8" w:rsidRDefault="008E48B8" w:rsidP="00083630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Pacienta brošūra. </w:t>
      </w:r>
      <w:r>
        <w:rPr>
          <w:rFonts w:ascii="Times New Roman" w:hAnsi="Times New Roman" w:cs="Times New Roman"/>
          <w:sz w:val="24"/>
          <w:szCs w:val="24"/>
        </w:rPr>
        <w:t>Jūsu ārstēšana ar XALKORI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(Crizotinib);</w:t>
      </w:r>
    </w:p>
    <w:p w:rsidR="008E48B8" w:rsidRDefault="008E48B8" w:rsidP="00083630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apvalkotās tabletes, Bayer Pharma AG, Vācija, versija 7.0 (atjaunināts 17.01.2018):</w:t>
      </w:r>
    </w:p>
    <w:p w:rsidR="008E48B8" w:rsidRDefault="008E48B8" w:rsidP="00083630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ārstiem „Xarelto (rivaroksaban) izrakstīšanas vadlīnijas”, </w:t>
      </w:r>
    </w:p>
    <w:p w:rsidR="008E48B8" w:rsidRDefault="008E48B8" w:rsidP="00083630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brīdinājums kartīte (iekļauta produkta informācijā).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>
        <w:rPr>
          <w:rFonts w:ascii="Times New Roman" w:hAnsi="Times New Roman"/>
          <w:sz w:val="24"/>
          <w:szCs w:val="24"/>
        </w:rPr>
        <w:t>1.0-Septembris/2017 (saskaņots 04.10.2017):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:rsidR="008E48B8" w:rsidRDefault="008E48B8" w:rsidP="00083630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083630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:rsidR="008E48B8" w:rsidRDefault="008E48B8" w:rsidP="00083630">
      <w:pPr>
        <w:pStyle w:val="ListParagraph"/>
        <w:numPr>
          <w:ilvl w:val="0"/>
          <w:numId w:val="13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:rsidR="008E48B8" w:rsidRDefault="008E48B8" w:rsidP="00083630">
      <w:pPr>
        <w:pStyle w:val="ListParagraph"/>
        <w:numPr>
          <w:ilvl w:val="0"/>
          <w:numId w:val="13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:rsidR="008E48B8" w:rsidRDefault="008E48B8" w:rsidP="00083630">
      <w:pPr>
        <w:pStyle w:val="ListParagraph"/>
        <w:numPr>
          <w:ilvl w:val="0"/>
          <w:numId w:val="13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:rsidR="008E48B8" w:rsidRDefault="008E48B8" w:rsidP="00083630">
      <w:pPr>
        <w:numPr>
          <w:ilvl w:val="0"/>
          <w:numId w:val="13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:rsidR="008E48B8" w:rsidRDefault="008E48B8" w:rsidP="0008363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:rsidR="008E48B8" w:rsidRDefault="008E48B8" w:rsidP="00083630">
      <w:pPr>
        <w:pStyle w:val="ListParagraph"/>
        <w:numPr>
          <w:ilvl w:val="2"/>
          <w:numId w:val="141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:rsidR="008E48B8" w:rsidRDefault="008E48B8" w:rsidP="00083630">
      <w:pPr>
        <w:pStyle w:val="ListParagraph"/>
        <w:numPr>
          <w:ilvl w:val="2"/>
          <w:numId w:val="141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AF4402"/>
    <w:multiLevelType w:val="hybridMultilevel"/>
    <w:tmpl w:val="1B04BF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8A438A"/>
    <w:multiLevelType w:val="hybridMultilevel"/>
    <w:tmpl w:val="7BA62E54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1856B7"/>
    <w:multiLevelType w:val="hybridMultilevel"/>
    <w:tmpl w:val="C47C83E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2C643D91"/>
    <w:multiLevelType w:val="hybridMultilevel"/>
    <w:tmpl w:val="2654C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4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FF535D"/>
    <w:multiLevelType w:val="hybridMultilevel"/>
    <w:tmpl w:val="D206E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9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09" w15:restartNumberingAfterBreak="0">
    <w:nsid w:val="60E92873"/>
    <w:multiLevelType w:val="hybridMultilevel"/>
    <w:tmpl w:val="5704ABC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0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1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5D2F64"/>
    <w:multiLevelType w:val="hybridMultilevel"/>
    <w:tmpl w:val="79262E3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0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4" w15:restartNumberingAfterBreak="0">
    <w:nsid w:val="7400768D"/>
    <w:multiLevelType w:val="hybridMultilevel"/>
    <w:tmpl w:val="A3F0DBD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1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3"/>
  </w:num>
  <w:num w:numId="7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7"/>
  </w:num>
  <w:num w:numId="14">
    <w:abstractNumId w:val="9"/>
  </w:num>
  <w:num w:numId="15">
    <w:abstractNumId w:val="8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37"/>
  </w:num>
  <w:num w:numId="19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3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</w:num>
  <w:num w:numId="36">
    <w:abstractNumId w:val="61"/>
  </w:num>
  <w:num w:numId="37">
    <w:abstractNumId w:val="32"/>
  </w:num>
  <w:num w:numId="38">
    <w:abstractNumId w:val="48"/>
  </w:num>
  <w:num w:numId="39">
    <w:abstractNumId w:val="65"/>
  </w:num>
  <w:num w:numId="40">
    <w:abstractNumId w:val="142"/>
  </w:num>
  <w:num w:numId="41">
    <w:abstractNumId w:val="14"/>
  </w:num>
  <w:num w:numId="4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3"/>
  </w:num>
  <w:num w:numId="46">
    <w:abstractNumId w:val="108"/>
  </w:num>
  <w:num w:numId="47">
    <w:abstractNumId w:val="136"/>
  </w:num>
  <w:num w:numId="48">
    <w:abstractNumId w:val="8"/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</w:num>
  <w:num w:numId="55">
    <w:abstractNumId w:val="114"/>
  </w:num>
  <w:num w:numId="56">
    <w:abstractNumId w:val="46"/>
  </w:num>
  <w:num w:numId="5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8"/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96"/>
  </w:num>
  <w:num w:numId="63">
    <w:abstractNumId w:val="6"/>
  </w:num>
  <w:num w:numId="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5"/>
  </w:num>
  <w:num w:numId="66">
    <w:abstractNumId w:val="44"/>
  </w:num>
  <w:num w:numId="6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</w:num>
  <w:num w:numId="6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137"/>
  </w:num>
  <w:num w:numId="7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143"/>
  </w:num>
  <w:num w:numId="80">
    <w:abstractNumId w:val="68"/>
  </w:num>
  <w:num w:numId="81">
    <w:abstractNumId w:val="77"/>
  </w:num>
  <w:num w:numId="82">
    <w:abstractNumId w:val="129"/>
  </w:num>
  <w:num w:numId="8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"/>
  </w:num>
  <w:num w:numId="91">
    <w:abstractNumId w:val="146"/>
  </w:num>
  <w:num w:numId="9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9"/>
  </w:num>
  <w:num w:numId="94">
    <w:abstractNumId w:val="26"/>
  </w:num>
  <w:num w:numId="95">
    <w:abstractNumId w:val="51"/>
  </w:num>
  <w:num w:numId="96">
    <w:abstractNumId w:val="134"/>
  </w:num>
  <w:num w:numId="9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5"/>
  </w:num>
  <w:num w:numId="1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0"/>
  </w:num>
  <w:num w:numId="104">
    <w:abstractNumId w:val="141"/>
  </w:num>
  <w:num w:numId="105">
    <w:abstractNumId w:val="22"/>
  </w:num>
  <w:num w:numId="106">
    <w:abstractNumId w:val="59"/>
  </w:num>
  <w:num w:numId="107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5"/>
  </w:num>
  <w:num w:numId="110">
    <w:abstractNumId w:val="79"/>
  </w:num>
  <w:num w:numId="111">
    <w:abstractNumId w:val="139"/>
  </w:num>
  <w:num w:numId="112">
    <w:abstractNumId w:val="71"/>
  </w:num>
  <w:num w:numId="1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9"/>
  </w:num>
  <w:num w:numId="115">
    <w:abstractNumId w:val="110"/>
  </w:num>
  <w:num w:numId="11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8"/>
  </w:num>
  <w:num w:numId="1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7"/>
  </w:num>
  <w:num w:numId="123">
    <w:abstractNumId w:val="72"/>
  </w:num>
  <w:num w:numId="1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5"/>
  </w:num>
  <w:num w:numId="131">
    <w:abstractNumId w:val="115"/>
  </w:num>
  <w:num w:numId="132">
    <w:abstractNumId w:val="98"/>
  </w:num>
  <w:num w:numId="133">
    <w:abstractNumId w:val="69"/>
  </w:num>
  <w:num w:numId="134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49"/>
  </w:num>
  <w:num w:numId="136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2"/>
  </w:num>
  <w:num w:numId="13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</w:num>
  <w:num w:numId="140">
    <w:abstractNumId w:val="133"/>
  </w:num>
  <w:num w:numId="141">
    <w:abstractNumId w:val="45"/>
  </w:num>
  <w:num w:numId="142">
    <w:abstractNumId w:val="19"/>
  </w:num>
  <w:num w:numId="143">
    <w:abstractNumId w:val="84"/>
  </w:num>
  <w:num w:numId="144">
    <w:abstractNumId w:val="52"/>
  </w:num>
  <w:num w:numId="145">
    <w:abstractNumId w:val="54"/>
  </w:num>
  <w:num w:numId="146">
    <w:abstractNumId w:val="40"/>
  </w:num>
  <w:num w:numId="147">
    <w:abstractNumId w:val="10"/>
  </w:num>
  <w:num w:numId="148">
    <w:abstractNumId w:val="43"/>
  </w:num>
  <w:num w:numId="149">
    <w:abstractNumId w:val="82"/>
  </w:num>
  <w:num w:numId="150">
    <w:abstractNumId w:val="64"/>
  </w:num>
  <w:num w:numId="151">
    <w:abstractNumId w:val="11"/>
  </w:num>
  <w:num w:numId="152">
    <w:abstractNumId w:val="101"/>
  </w:num>
  <w:num w:numId="1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0"/>
    <w:rsid w:val="00083630"/>
    <w:rsid w:val="000B1BE5"/>
    <w:rsid w:val="000B1FB8"/>
    <w:rsid w:val="00123F07"/>
    <w:rsid w:val="001F4251"/>
    <w:rsid w:val="004910CB"/>
    <w:rsid w:val="004F2A86"/>
    <w:rsid w:val="008E48B8"/>
    <w:rsid w:val="00C27A60"/>
    <w:rsid w:val="00CB4E88"/>
    <w:rsid w:val="00D40A27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53187</Words>
  <Characters>30318</Characters>
  <Application>Microsoft Office Word</Application>
  <DocSecurity>0</DocSecurity>
  <Lines>252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4</cp:revision>
  <dcterms:created xsi:type="dcterms:W3CDTF">2018-10-25T06:05:00Z</dcterms:created>
  <dcterms:modified xsi:type="dcterms:W3CDTF">2018-11-02T07:06:00Z</dcterms:modified>
</cp:coreProperties>
</file>