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30E8" w14:textId="77777777" w:rsidR="00097552" w:rsidRPr="009A46D2" w:rsidRDefault="00097552" w:rsidP="00C70FEF">
      <w:pPr>
        <w:pStyle w:val="philips"/>
        <w:tabs>
          <w:tab w:val="right" w:pos="9639"/>
        </w:tabs>
        <w:outlineLvl w:val="0"/>
        <w:rPr>
          <w:kern w:val="2"/>
          <w:sz w:val="26"/>
        </w:rPr>
      </w:pPr>
      <w:r>
        <w:rPr>
          <w:sz w:val="26"/>
        </w:rPr>
        <w:t>Philips Healthcare</w:t>
      </w:r>
      <w:r>
        <w:rPr>
          <w:sz w:val="26"/>
        </w:rPr>
        <w:tab/>
      </w:r>
    </w:p>
    <w:p w14:paraId="2729E3F0" w14:textId="77777777" w:rsidR="00097552" w:rsidRPr="009A46D2" w:rsidRDefault="009A46D2" w:rsidP="00097552">
      <w:pPr>
        <w:rPr>
          <w:kern w:val="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0C5A06" wp14:editId="6EE67A2F">
                <wp:simplePos x="0" y="0"/>
                <wp:positionH relativeFrom="margin">
                  <wp:posOffset>4445</wp:posOffset>
                </wp:positionH>
                <wp:positionV relativeFrom="paragraph">
                  <wp:posOffset>75565</wp:posOffset>
                </wp:positionV>
                <wp:extent cx="6120765" cy="635"/>
                <wp:effectExtent l="13970" t="9525" r="889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B8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5pt,5.95pt" to="48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BxoAIAAJsFAAAOAAAAZHJzL2Uyb0RvYy54bWysVF1vmzAUfZ+0/2D5nQKB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" o:allowincell="f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0D1A35BF" w14:textId="77777777" w:rsidR="00097552" w:rsidRPr="009A46D2" w:rsidRDefault="00DB6569" w:rsidP="003F0B77">
      <w:pPr>
        <w:tabs>
          <w:tab w:val="center" w:pos="4820"/>
          <w:tab w:val="left" w:pos="5670"/>
          <w:tab w:val="right" w:pos="9639"/>
        </w:tabs>
        <w:jc w:val="right"/>
        <w:rPr>
          <w:kern w:val="2"/>
        </w:rPr>
      </w:pPr>
      <w:r>
        <w:rPr>
          <w:b/>
          <w:sz w:val="23"/>
        </w:rPr>
        <w:t>Vispārēja specializācija un aprūpe</w:t>
      </w:r>
      <w:r>
        <w:rPr>
          <w:color w:val="C00000"/>
        </w:rPr>
        <w:t xml:space="preserve">                   </w:t>
      </w:r>
      <w:r>
        <w:t>-</w:t>
      </w:r>
      <w:r w:rsidR="001A176F" w:rsidRPr="009A46D2">
        <w:fldChar w:fldCharType="begin"/>
      </w:r>
      <w:r w:rsidR="001A176F" w:rsidRPr="009A46D2">
        <w:instrText xml:space="preserve"> PAGE  \* MERGEFORMAT </w:instrText>
      </w:r>
      <w:r w:rsidR="001A176F" w:rsidRPr="009A46D2">
        <w:fldChar w:fldCharType="separate"/>
      </w:r>
      <w:r w:rsidR="00770C50" w:rsidRPr="009A46D2">
        <w:t>1</w:t>
      </w:r>
      <w:r w:rsidR="001A176F" w:rsidRPr="009A46D2">
        <w:fldChar w:fldCharType="end"/>
      </w:r>
      <w:r>
        <w:t>/</w:t>
      </w:r>
      <w:r w:rsidR="00147166">
        <w:fldChar w:fldCharType="begin"/>
      </w:r>
      <w:r w:rsidR="00147166">
        <w:instrText xml:space="preserve"> NUMPAGES  \* MERGEFORMAT </w:instrText>
      </w:r>
      <w:r w:rsidR="00147166">
        <w:fldChar w:fldCharType="separate"/>
      </w:r>
      <w:r w:rsidR="00770C50" w:rsidRPr="009A46D2">
        <w:t>2</w:t>
      </w:r>
      <w:r w:rsidR="00147166">
        <w:fldChar w:fldCharType="end"/>
      </w:r>
      <w:r>
        <w:t xml:space="preserve">-               FSN86000267A  </w:t>
      </w:r>
      <w:r>
        <w:rPr>
          <w:color w:val="C00000"/>
        </w:rPr>
        <w:tab/>
      </w:r>
      <w:r>
        <w:t>2019. gada novembris</w:t>
      </w:r>
    </w:p>
    <w:p w14:paraId="418CA5C5" w14:textId="77777777" w:rsidR="00097552" w:rsidRPr="009A46D2" w:rsidRDefault="00097552" w:rsidP="00097552">
      <w:pPr>
        <w:tabs>
          <w:tab w:val="center" w:pos="4820"/>
          <w:tab w:val="left" w:pos="5670"/>
          <w:tab w:val="right" w:pos="9639"/>
        </w:tabs>
        <w:rPr>
          <w:b/>
          <w:kern w:val="2"/>
        </w:rPr>
      </w:pPr>
    </w:p>
    <w:p w14:paraId="4BC0580C" w14:textId="77777777" w:rsidR="00097552" w:rsidRPr="009A46D2" w:rsidRDefault="00A71315" w:rsidP="00C70FEF">
      <w:pPr>
        <w:jc w:val="center"/>
        <w:outlineLvl w:val="0"/>
        <w:rPr>
          <w:b/>
          <w:kern w:val="2"/>
          <w:sz w:val="32"/>
          <w:szCs w:val="32"/>
        </w:rPr>
      </w:pPr>
      <w:r>
        <w:rPr>
          <w:b/>
          <w:sz w:val="32"/>
          <w:szCs w:val="32"/>
        </w:rPr>
        <w:t>STEIDZAMS PAZIŅOJUMS — medicīnas ierīces korekcija</w:t>
      </w:r>
    </w:p>
    <w:p w14:paraId="2CFEAA43" w14:textId="77777777" w:rsidR="00097552" w:rsidRPr="009A46D2" w:rsidRDefault="00097552" w:rsidP="00097552">
      <w:pPr>
        <w:rPr>
          <w:kern w:val="2"/>
        </w:rPr>
      </w:pPr>
    </w:p>
    <w:p w14:paraId="40D6A761" w14:textId="77777777" w:rsidR="00FB1DC4" w:rsidRPr="009A46D2" w:rsidRDefault="0085084A" w:rsidP="00FB1DC4">
      <w:pPr>
        <w:jc w:val="center"/>
        <w:outlineLvl w:val="0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>Philips CTG7 embrija/mātes monitors</w:t>
      </w:r>
    </w:p>
    <w:p w14:paraId="05E00251" w14:textId="77777777" w:rsidR="00FB1DC4" w:rsidRPr="009A46D2" w:rsidRDefault="00563A8D" w:rsidP="00FB1DC4">
      <w:pPr>
        <w:jc w:val="center"/>
        <w:outlineLvl w:val="0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>Akumulatora vadības programmatūras laidiens</w:t>
      </w:r>
    </w:p>
    <w:p w14:paraId="7DC59B3D" w14:textId="77777777" w:rsidR="0085084A" w:rsidRPr="009A46D2" w:rsidRDefault="0085084A" w:rsidP="00097552">
      <w:pPr>
        <w:rPr>
          <w:rFonts w:cs="Arial"/>
          <w:kern w:val="2"/>
        </w:rPr>
      </w:pPr>
    </w:p>
    <w:p w14:paraId="20E16DBF" w14:textId="77777777" w:rsidR="00097552" w:rsidRPr="009A46D2" w:rsidRDefault="00097552" w:rsidP="00097552">
      <w:pPr>
        <w:rPr>
          <w:rFonts w:cs="Arial"/>
          <w:kern w:val="2"/>
        </w:rPr>
      </w:pPr>
      <w:r>
        <w:t>Cienījamais pircēj!</w:t>
      </w:r>
    </w:p>
    <w:p w14:paraId="033BF229" w14:textId="77777777" w:rsidR="00097552" w:rsidRPr="009A46D2" w:rsidRDefault="00097552" w:rsidP="00097552">
      <w:pPr>
        <w:rPr>
          <w:rFonts w:cs="Arial"/>
          <w:kern w:val="2"/>
        </w:rPr>
      </w:pPr>
    </w:p>
    <w:p w14:paraId="2DC5C418" w14:textId="77777777" w:rsidR="00097552" w:rsidRPr="009A46D2" w:rsidRDefault="00AB48D5" w:rsidP="00097552">
      <w:pPr>
        <w:rPr>
          <w:rFonts w:cs="Arial"/>
          <w:kern w:val="2"/>
        </w:rPr>
      </w:pPr>
      <w:r>
        <w:t>Philips CTG7 embrija/mātes monitoriem ir konstatēta problēma, kuras rašanās var izraisīt risku pacientiem vai lietotājiem. Šis Paziņojums par drošību informē par:</w:t>
      </w:r>
    </w:p>
    <w:p w14:paraId="1700A537" w14:textId="77777777" w:rsidR="00097552" w:rsidRPr="009A46D2" w:rsidRDefault="00097552" w:rsidP="00AE3FBA">
      <w:pPr>
        <w:numPr>
          <w:ilvl w:val="0"/>
          <w:numId w:val="3"/>
        </w:numPr>
        <w:rPr>
          <w:rFonts w:cs="Arial"/>
          <w:kern w:val="2"/>
        </w:rPr>
      </w:pPr>
      <w:r>
        <w:t>problēmas būtību un tās iespējamās rašanās apstākļiem;</w:t>
      </w:r>
    </w:p>
    <w:p w14:paraId="0ECEE6F5" w14:textId="77777777" w:rsidR="00097552" w:rsidRPr="009A46D2" w:rsidRDefault="00097552" w:rsidP="00AE3FBA">
      <w:pPr>
        <w:numPr>
          <w:ilvl w:val="0"/>
          <w:numId w:val="3"/>
        </w:numPr>
        <w:rPr>
          <w:rFonts w:cs="Arial"/>
          <w:kern w:val="2"/>
        </w:rPr>
      </w:pPr>
      <w:r>
        <w:t>darbībām, kas jāveic pircējam/lietotājam, lai novērstu iespējamo risku, kuram tiek pakļauti pacienti vai lietotāji;</w:t>
      </w:r>
    </w:p>
    <w:p w14:paraId="327EEC6B" w14:textId="77777777" w:rsidR="009038E8" w:rsidRPr="009A46D2" w:rsidRDefault="009038E8" w:rsidP="009038E8">
      <w:pPr>
        <w:numPr>
          <w:ilvl w:val="0"/>
          <w:numId w:val="3"/>
        </w:numPr>
        <w:rPr>
          <w:rFonts w:cs="Arial"/>
          <w:kern w:val="2"/>
        </w:rPr>
      </w:pPr>
      <w:r>
        <w:t>darbībām, ko paredzējis Philips, lai novērstu problēmu.</w:t>
      </w:r>
    </w:p>
    <w:p w14:paraId="4A408D2D" w14:textId="77777777" w:rsidR="00F221B1" w:rsidRPr="009A46D2" w:rsidRDefault="00F221B1" w:rsidP="00F221B1">
      <w:pPr>
        <w:rPr>
          <w:rFonts w:cs="Arial"/>
          <w:kern w:val="2"/>
        </w:rPr>
      </w:pPr>
    </w:p>
    <w:p w14:paraId="2974DC0E" w14:textId="77777777" w:rsidR="000A5173" w:rsidRPr="009A46D2" w:rsidRDefault="00862952" w:rsidP="00097552">
      <w:pPr>
        <w:rPr>
          <w:rFonts w:ascii="Times New Roman" w:hAnsi="Times New Roman"/>
          <w:kern w:val="2"/>
        </w:rPr>
      </w:pPr>
      <w:r>
        <w:rPr>
          <w:rFonts w:asciiTheme="minorHAnsi" w:hAnsiTheme="minorHAnsi"/>
          <w:noProof/>
          <w:lang w:eastAsia="lv-LV"/>
        </w:rPr>
        <mc:AlternateContent>
          <mc:Choice Requires="wps">
            <w:drawing>
              <wp:inline distT="0" distB="0" distL="0" distR="0" wp14:anchorId="1AEA4D65" wp14:editId="29A7D9F5">
                <wp:extent cx="5943600" cy="1336431"/>
                <wp:effectExtent l="0" t="0" r="1905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FF1A" w14:textId="77777777" w:rsidR="00862952" w:rsidRPr="00862952" w:rsidRDefault="00862952" w:rsidP="00862952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862952">
                              <w:rPr>
                                <w:rFonts w:cs="Arial"/>
                                <w:b/>
                                <w:sz w:val="24"/>
                                <w:szCs w:val="22"/>
                              </w:rPr>
                              <w:t>Šajā dokumentā ir iekļauta svarīga informācija drošai un pareizai turpmākai Jūsu ierīces lietošanai</w:t>
                            </w:r>
                          </w:p>
                          <w:p w14:paraId="34D85DF1" w14:textId="77777777" w:rsidR="00862952" w:rsidRPr="00862952" w:rsidRDefault="00862952" w:rsidP="0086295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B98A3B1" w14:textId="77777777" w:rsidR="00862952" w:rsidRPr="00862952" w:rsidRDefault="00862952" w:rsidP="0086295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62952">
                              <w:rPr>
                                <w:rFonts w:cs="Arial"/>
                                <w:sz w:val="22"/>
                                <w:szCs w:val="22"/>
                              </w:rPr>
                              <w:t>Lūdzu, izskatiet šo informāciju kopā ar visiem darbiniekiem, kuriem jāiepazīstas ar šī paziņojuma saturu.</w:t>
                            </w:r>
                          </w:p>
                          <w:p w14:paraId="59CC9F88" w14:textId="77777777" w:rsidR="00862952" w:rsidRPr="00862952" w:rsidRDefault="00862952" w:rsidP="0086295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A110358" w14:textId="77777777" w:rsidR="00862952" w:rsidRPr="00862952" w:rsidRDefault="00862952" w:rsidP="0086295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62952">
                              <w:rPr>
                                <w:rFonts w:cs="Arial"/>
                                <w:sz w:val="22"/>
                                <w:szCs w:val="22"/>
                              </w:rPr>
                              <w:t>Lūdzu, saglabājiet kopiju kopā ar iekārtas lietošanas instrukciju.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A4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1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">
                <v:textbox>
                  <w:txbxContent>
                    <w:p w14:paraId="46C5FF1A" w14:textId="77777777" w:rsidR="00862952" w:rsidRPr="00862952" w:rsidRDefault="00862952" w:rsidP="00862952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2"/>
                        </w:rPr>
                      </w:pPr>
                      <w:r w:rsidRPr="00862952">
                        <w:rPr>
                          <w:rFonts w:cs="Arial"/>
                          <w:b/>
                          <w:sz w:val="24"/>
                          <w:szCs w:val="22"/>
                        </w:rPr>
                        <w:t>Šajā dokumentā ir iekļauta svarīga informācija drošai un pareizai turpmākai Jūsu ierīces lietošanai</w:t>
                      </w:r>
                    </w:p>
                    <w:p w14:paraId="34D85DF1" w14:textId="77777777" w:rsidR="00862952" w:rsidRPr="00862952" w:rsidRDefault="00862952" w:rsidP="0086295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B98A3B1" w14:textId="77777777" w:rsidR="00862952" w:rsidRPr="00862952" w:rsidRDefault="00862952" w:rsidP="0086295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62952">
                        <w:rPr>
                          <w:rFonts w:cs="Arial"/>
                          <w:sz w:val="22"/>
                          <w:szCs w:val="22"/>
                        </w:rPr>
                        <w:t>Lūdzu, izskatiet šo informāciju kopā ar visiem darbiniekiem, kuriem jāiepazīstas ar šī paziņojuma saturu.</w:t>
                      </w:r>
                    </w:p>
                    <w:p w14:paraId="59CC9F88" w14:textId="77777777" w:rsidR="00862952" w:rsidRPr="00862952" w:rsidRDefault="00862952" w:rsidP="0086295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A110358" w14:textId="77777777" w:rsidR="00862952" w:rsidRPr="00862952" w:rsidRDefault="00862952" w:rsidP="0086295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62952">
                        <w:rPr>
                          <w:rFonts w:cs="Arial"/>
                          <w:sz w:val="22"/>
                          <w:szCs w:val="22"/>
                        </w:rPr>
                        <w:t>Lūdzu, saglabājiet kopiju kopā ar iekārtas lietošanas instrukciju.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2ABD5C" w14:textId="77777777" w:rsidR="00097552" w:rsidRPr="009A46D2" w:rsidRDefault="00097552" w:rsidP="00700A79">
      <w:pPr>
        <w:rPr>
          <w:rFonts w:ascii="Times New Roman" w:hAnsi="Times New Roman"/>
          <w:kern w:val="2"/>
        </w:rPr>
      </w:pPr>
    </w:p>
    <w:p w14:paraId="19AF35B6" w14:textId="77777777" w:rsidR="001C6312" w:rsidRPr="009A46D2" w:rsidRDefault="00D06383" w:rsidP="001C6312">
      <w:pPr>
        <w:rPr>
          <w:kern w:val="2"/>
        </w:rPr>
      </w:pPr>
      <w:r>
        <w:t xml:space="preserve">Kaut arī Philips nav saņēmis ziņojumu ar norādi, ka Philips CTG7 embrija/mātes monitors ar litija jonu akumulatoriem būtu pārsniedzis paredzēto akumulatora darbības laiku un pārkarsis vai aizdedzies, šie akumulatori ir jāmaina, kad uzlādes-izlādes ciklu skaits pārsniedz 300 ciklus vai akumulatora līmeņa stāvoklis ir mazāk nekā 80 % no jauna akumulatora līmeņa stāvokļa (atkarībā no tā, kurš stāvoklis tiek sasniegts agrāk).  </w:t>
      </w:r>
    </w:p>
    <w:p w14:paraId="71AC3EF0" w14:textId="77777777" w:rsidR="0031378F" w:rsidRPr="009A46D2" w:rsidRDefault="0031378F" w:rsidP="0031378F">
      <w:pPr>
        <w:rPr>
          <w:kern w:val="2"/>
        </w:rPr>
      </w:pPr>
    </w:p>
    <w:p w14:paraId="77F77A64" w14:textId="77777777" w:rsidR="0031378F" w:rsidRPr="009A46D2" w:rsidRDefault="0031378F" w:rsidP="00DB7158">
      <w:pPr>
        <w:rPr>
          <w:rFonts w:cs="Arial"/>
          <w:color w:val="5B9BD5"/>
          <w:kern w:val="2"/>
        </w:rPr>
      </w:pPr>
      <w:r>
        <w:t>Philips izlaiž sistēmas programmatūras atjauninājumu CTG7 embrija/mātes monitoriem, kas uzlabos lietotāju spēju uzraudzīt akumulatora stāvokli visā tā kalpošanas laikā un brīdinās lietotājus, kad būs pienācis laiks mainīt akumulatoru.</w:t>
      </w:r>
    </w:p>
    <w:p w14:paraId="6C1F3C3F" w14:textId="77777777" w:rsidR="00DB7158" w:rsidRPr="009A46D2" w:rsidRDefault="00DB7158" w:rsidP="00DB7158">
      <w:pPr>
        <w:rPr>
          <w:rFonts w:cs="Arial"/>
          <w:kern w:val="2"/>
        </w:rPr>
      </w:pPr>
    </w:p>
    <w:p w14:paraId="055728B6" w14:textId="77777777" w:rsidR="001C6312" w:rsidRPr="009A46D2" w:rsidRDefault="00A71315" w:rsidP="00DB7158">
      <w:pPr>
        <w:rPr>
          <w:rFonts w:cs="Arial"/>
          <w:kern w:val="2"/>
        </w:rPr>
      </w:pPr>
      <w:r>
        <w:t xml:space="preserve">Skatiet lappuses tālāk, kur sniegta informācija, kā konstatēt ietekmētās ierīces, un norādījumi par veicamajām darbībām.  Ievērojiet sadaļā “Klienta/lietotāja rīcība” sniegtos norādījumus. </w:t>
      </w:r>
    </w:p>
    <w:p w14:paraId="7BC19047" w14:textId="77777777" w:rsidR="001C6312" w:rsidRPr="009A46D2" w:rsidRDefault="001C6312" w:rsidP="00DB7158">
      <w:pPr>
        <w:rPr>
          <w:rFonts w:cs="Arial"/>
          <w:kern w:val="2"/>
        </w:rPr>
      </w:pPr>
    </w:p>
    <w:p w14:paraId="4BC8DC8B" w14:textId="77777777" w:rsidR="00A71315" w:rsidRPr="009A46D2" w:rsidRDefault="00A71315" w:rsidP="00DB7158">
      <w:pPr>
        <w:rPr>
          <w:rFonts w:cs="Arial"/>
          <w:kern w:val="2"/>
        </w:rPr>
      </w:pPr>
      <w:r>
        <w:t>Par šo paziņojumu ir ziņots attiecīgajai reglamentējošai iestādei.</w:t>
      </w:r>
    </w:p>
    <w:p w14:paraId="73C197EF" w14:textId="77777777" w:rsidR="00F221B1" w:rsidRPr="009A46D2" w:rsidRDefault="00F221B1" w:rsidP="00A71315">
      <w:pPr>
        <w:rPr>
          <w:rFonts w:cs="Arial"/>
          <w:kern w:val="2"/>
        </w:rPr>
      </w:pPr>
    </w:p>
    <w:p w14:paraId="64EEAB0D" w14:textId="77777777" w:rsidR="00A71315" w:rsidRPr="008815BA" w:rsidRDefault="00A71315" w:rsidP="00A71315">
      <w:pPr>
        <w:rPr>
          <w:color w:val="5B9BD5"/>
          <w:kern w:val="2"/>
        </w:rPr>
      </w:pPr>
      <w:r>
        <w:t xml:space="preserve">Uzņēmums Philips atvainojas par neērtībām, kas, iespējams, jums radušas šīs problēmas dēļ. Mums ir ļoti </w:t>
      </w:r>
      <w:r w:rsidRPr="008815BA">
        <w:t>svarīgi, lai jūs būtu apmierināti ar Philips izstrādājumiem un mūsu rīcību šīs problēmas novēršanai. Ja jums ir jautājumi vai neskaidrības saistībā ar šo labojumu, lūdzu, sazinieties ar vietējo Philips pārstāvi &lt;</w:t>
      </w:r>
      <w:r w:rsidRPr="008815BA">
        <w:rPr>
          <w:color w:val="C00000"/>
        </w:rPr>
        <w:t>Philips pārstāvja kontaktinformācija; aizpilda KM/valsts</w:t>
      </w:r>
      <w:r w:rsidRPr="008815BA">
        <w:t>&gt;.</w:t>
      </w:r>
    </w:p>
    <w:p w14:paraId="3324FC0C" w14:textId="77777777" w:rsidR="000C6CD4" w:rsidRPr="008815BA" w:rsidRDefault="000C6CD4" w:rsidP="00C70FEF">
      <w:pPr>
        <w:outlineLvl w:val="0"/>
        <w:rPr>
          <w:kern w:val="2"/>
        </w:rPr>
      </w:pPr>
    </w:p>
    <w:p w14:paraId="2CE62889" w14:textId="77777777" w:rsidR="00A71315" w:rsidRPr="008815BA" w:rsidRDefault="00A71315" w:rsidP="00C70FEF">
      <w:pPr>
        <w:outlineLvl w:val="0"/>
        <w:rPr>
          <w:kern w:val="2"/>
        </w:rPr>
      </w:pPr>
      <w:r w:rsidRPr="008815BA">
        <w:t>Patiesā cieņā,</w:t>
      </w:r>
    </w:p>
    <w:p w14:paraId="14ADD0E3" w14:textId="77777777" w:rsidR="009E4637" w:rsidRPr="008815BA" w:rsidRDefault="009E4637" w:rsidP="009C2C1F">
      <w:pPr>
        <w:ind w:hanging="90"/>
        <w:rPr>
          <w:kern w:val="2"/>
        </w:rPr>
      </w:pPr>
    </w:p>
    <w:p w14:paraId="6B334205" w14:textId="77777777" w:rsidR="0031378F" w:rsidRPr="008815BA" w:rsidRDefault="0031378F" w:rsidP="009C2C1F">
      <w:pPr>
        <w:ind w:hanging="90"/>
        <w:rPr>
          <w:kern w:val="2"/>
        </w:rPr>
      </w:pPr>
    </w:p>
    <w:p w14:paraId="2878A471" w14:textId="77777777" w:rsidR="008862B9" w:rsidRPr="008815BA" w:rsidRDefault="008862B9" w:rsidP="009C2C1F">
      <w:pPr>
        <w:ind w:hanging="90"/>
        <w:rPr>
          <w:kern w:val="2"/>
        </w:rPr>
      </w:pPr>
    </w:p>
    <w:p w14:paraId="374948CF" w14:textId="77777777" w:rsidR="0031378F" w:rsidRPr="008815BA" w:rsidRDefault="0031378F" w:rsidP="00763478">
      <w:pPr>
        <w:rPr>
          <w:rFonts w:ascii="Times New Roman" w:hAnsi="Times New Roman"/>
          <w:kern w:val="2"/>
        </w:rPr>
      </w:pPr>
    </w:p>
    <w:p w14:paraId="117B0B2A" w14:textId="77777777" w:rsidR="008862B9" w:rsidRPr="008815BA" w:rsidRDefault="008862B9" w:rsidP="0010087A">
      <w:pPr>
        <w:outlineLvl w:val="0"/>
        <w:rPr>
          <w:rFonts w:cs="Arial"/>
          <w:kern w:val="2"/>
        </w:rPr>
      </w:pPr>
      <w:r w:rsidRPr="008815BA">
        <w:t>Rastijs Kellijs (Rusty Kelly)</w:t>
      </w:r>
    </w:p>
    <w:p w14:paraId="3867F531" w14:textId="77777777" w:rsidR="008862B9" w:rsidRPr="008815BA" w:rsidRDefault="008862B9" w:rsidP="008862B9">
      <w:pPr>
        <w:rPr>
          <w:rFonts w:eastAsia="Times New Roman" w:cs="Arial"/>
          <w:kern w:val="2"/>
        </w:rPr>
      </w:pPr>
      <w:r w:rsidRPr="008815BA">
        <w:t>Kvalitātes un izpētes nodaļas vadītājs, vispārīgā un īpašā aprūpe, kvalitāte un reglamentējošā informācija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75"/>
        <w:gridCol w:w="7880"/>
      </w:tblGrid>
      <w:tr w:rsidR="00097552" w:rsidRPr="008815BA" w14:paraId="5F219DC2" w14:textId="77777777" w:rsidTr="004A5DC7">
        <w:trPr>
          <w:cantSplit/>
        </w:trPr>
        <w:tc>
          <w:tcPr>
            <w:tcW w:w="1975" w:type="dxa"/>
          </w:tcPr>
          <w:p w14:paraId="073635B7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lastRenderedPageBreak/>
              <w:t>IETEKMĒTIE IZSTRĀDĀJUMI</w:t>
            </w:r>
          </w:p>
        </w:tc>
        <w:tc>
          <w:tcPr>
            <w:tcW w:w="7880" w:type="dxa"/>
          </w:tcPr>
          <w:p w14:paraId="45B769F3" w14:textId="77777777" w:rsidR="00EC2D76" w:rsidRPr="008815BA" w:rsidRDefault="00EC2D76" w:rsidP="00FE0F06">
            <w:pPr>
              <w:rPr>
                <w:rFonts w:cs="Arial"/>
                <w:kern w:val="2"/>
              </w:rPr>
            </w:pPr>
            <w:r w:rsidRPr="008815BA">
              <w:t xml:space="preserve">Ietekmētie izstrādājumi ir visi pirms 2019. gada janvāra ražotie CTG7 embrija/mātes monitori, kuri spēj darboties ar akumulatora enerģiju. </w:t>
            </w:r>
          </w:p>
          <w:p w14:paraId="28685929" w14:textId="77777777" w:rsidR="003E3F00" w:rsidRPr="008815BA" w:rsidRDefault="003E3F00" w:rsidP="00FE0F06">
            <w:pPr>
              <w:rPr>
                <w:rFonts w:cs="Arial"/>
                <w:kern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4043"/>
            </w:tblGrid>
            <w:tr w:rsidR="00DB7158" w:rsidRPr="008815BA" w14:paraId="7F91FDFE" w14:textId="77777777" w:rsidTr="00EA7AFB">
              <w:tc>
                <w:tcPr>
                  <w:tcW w:w="1547" w:type="dxa"/>
                  <w:shd w:val="clear" w:color="auto" w:fill="E7E6E6"/>
                </w:tcPr>
                <w:p w14:paraId="4631311E" w14:textId="77777777" w:rsidR="00DB7158" w:rsidRPr="008815BA" w:rsidRDefault="00DB7158" w:rsidP="00DB7158">
                  <w:pPr>
                    <w:rPr>
                      <w:kern w:val="2"/>
                    </w:rPr>
                  </w:pPr>
                  <w:r w:rsidRPr="008815BA">
                    <w:t xml:space="preserve">Produkts </w:t>
                  </w:r>
                </w:p>
              </w:tc>
              <w:tc>
                <w:tcPr>
                  <w:tcW w:w="4043" w:type="dxa"/>
                  <w:shd w:val="clear" w:color="auto" w:fill="E7E6E6"/>
                </w:tcPr>
                <w:p w14:paraId="683620B7" w14:textId="77777777" w:rsidR="00DB7158" w:rsidRPr="008815BA" w:rsidRDefault="00DB7158" w:rsidP="00DB7158">
                  <w:pPr>
                    <w:rPr>
                      <w:kern w:val="2"/>
                    </w:rPr>
                  </w:pPr>
                  <w:r w:rsidRPr="008815BA">
                    <w:t>Apraksts</w:t>
                  </w:r>
                </w:p>
              </w:tc>
            </w:tr>
            <w:tr w:rsidR="00DB7158" w:rsidRPr="008815BA" w14:paraId="0FC58B05" w14:textId="77777777" w:rsidTr="00EA7AFB">
              <w:trPr>
                <w:trHeight w:val="288"/>
              </w:trPr>
              <w:tc>
                <w:tcPr>
                  <w:tcW w:w="1547" w:type="dxa"/>
                  <w:shd w:val="clear" w:color="auto" w:fill="auto"/>
                  <w:noWrap/>
                  <w:hideMark/>
                </w:tcPr>
                <w:p w14:paraId="1ECA0099" w14:textId="77777777" w:rsidR="00DB7158" w:rsidRPr="008815BA" w:rsidRDefault="00F33D53" w:rsidP="00DB7158">
                  <w:pPr>
                    <w:rPr>
                      <w:color w:val="000000"/>
                      <w:kern w:val="2"/>
                    </w:rPr>
                  </w:pPr>
                  <w:r w:rsidRPr="008815BA">
                    <w:rPr>
                      <w:color w:val="000000"/>
                    </w:rPr>
                    <w:t>866084</w:t>
                  </w:r>
                </w:p>
              </w:tc>
              <w:tc>
                <w:tcPr>
                  <w:tcW w:w="4043" w:type="dxa"/>
                  <w:shd w:val="clear" w:color="auto" w:fill="auto"/>
                  <w:noWrap/>
                  <w:hideMark/>
                </w:tcPr>
                <w:p w14:paraId="4685A2DB" w14:textId="77777777" w:rsidR="00DB7158" w:rsidRPr="008815BA" w:rsidRDefault="000C01F6" w:rsidP="00DB7158">
                  <w:pPr>
                    <w:rPr>
                      <w:color w:val="000000"/>
                      <w:kern w:val="2"/>
                    </w:rPr>
                  </w:pPr>
                  <w:r w:rsidRPr="008815BA">
                    <w:rPr>
                      <w:color w:val="000000"/>
                    </w:rPr>
                    <w:t>CTG7 embrija/mātes monitors</w:t>
                  </w:r>
                </w:p>
              </w:tc>
            </w:tr>
          </w:tbl>
          <w:p w14:paraId="28730207" w14:textId="77777777" w:rsidR="00BA121D" w:rsidRPr="008815BA" w:rsidRDefault="00BA121D" w:rsidP="00F33D53">
            <w:pPr>
              <w:rPr>
                <w:rFonts w:cs="Arial"/>
                <w:kern w:val="2"/>
              </w:rPr>
            </w:pPr>
          </w:p>
        </w:tc>
      </w:tr>
      <w:tr w:rsidR="00097552" w:rsidRPr="008815BA" w14:paraId="4C78F66B" w14:textId="77777777" w:rsidTr="004A5DC7">
        <w:trPr>
          <w:cantSplit/>
        </w:trPr>
        <w:tc>
          <w:tcPr>
            <w:tcW w:w="1975" w:type="dxa"/>
          </w:tcPr>
          <w:p w14:paraId="27AE05CD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PROBLĒMAS APRAKSTS</w:t>
            </w:r>
          </w:p>
        </w:tc>
        <w:tc>
          <w:tcPr>
            <w:tcW w:w="7880" w:type="dxa"/>
          </w:tcPr>
          <w:p w14:paraId="5A2159A5" w14:textId="77777777" w:rsidR="005D591F" w:rsidRPr="008815BA" w:rsidRDefault="00D06383" w:rsidP="00D06383">
            <w:pPr>
              <w:rPr>
                <w:rFonts w:cs="Arial"/>
                <w:color w:val="C00000"/>
                <w:kern w:val="2"/>
              </w:rPr>
            </w:pPr>
            <w:r w:rsidRPr="008815BA">
              <w:t>Kaut arī Philips nav saņēmis ziņojumu ar norādi, ka Philips CTG7 embrija/mātes monitors ar litija jonu akumulatoriem būtu pārsniedzis tam paredzēto akumulatora darbības laiku un pārkarsis vai aizdedzies, šie akumulatori ir jāmaina, kad uzlādes-izlādes ciklu skaits pārsniedz 300 ciklus vai akumulatora līmeņa stāvoklis ir mazāk nekā 80 % no jauna akumulatora līmeņa stāvokļa (atkarībā no tā, kurš stāvoklis tiek sasniegts agrāk).</w:t>
            </w:r>
          </w:p>
        </w:tc>
      </w:tr>
      <w:tr w:rsidR="00097552" w:rsidRPr="008815BA" w14:paraId="5F7F0C69" w14:textId="77777777" w:rsidTr="004A5DC7">
        <w:trPr>
          <w:cantSplit/>
        </w:trPr>
        <w:tc>
          <w:tcPr>
            <w:tcW w:w="1975" w:type="dxa"/>
          </w:tcPr>
          <w:p w14:paraId="57923ACA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IESPĒJAMAIS RISKS</w:t>
            </w:r>
          </w:p>
        </w:tc>
        <w:tc>
          <w:tcPr>
            <w:tcW w:w="7880" w:type="dxa"/>
          </w:tcPr>
          <w:p w14:paraId="1FE64202" w14:textId="77777777" w:rsidR="00097552" w:rsidRPr="008815BA" w:rsidRDefault="00DB7158" w:rsidP="001C6312">
            <w:pPr>
              <w:rPr>
                <w:rFonts w:cs="Arial"/>
                <w:color w:val="C00000"/>
                <w:kern w:val="2"/>
              </w:rPr>
            </w:pPr>
            <w:r w:rsidRPr="008815BA">
              <w:t>Litija jonu akumulatora pārkaršana var izraisīt ierīces ārējā korpusa pārmērīgu sakaršanu, izraisot korpusa izkušanu un/vai ierīces aizdegšanos, kas var radīt traumu pacientam un tuvumā esošiem lietotājiem vai radīt bojājumus īpašumam.</w:t>
            </w:r>
          </w:p>
        </w:tc>
      </w:tr>
      <w:tr w:rsidR="00097552" w:rsidRPr="008815BA" w14:paraId="0EE50E60" w14:textId="77777777" w:rsidTr="004A5DC7">
        <w:trPr>
          <w:cantSplit/>
        </w:trPr>
        <w:tc>
          <w:tcPr>
            <w:tcW w:w="1975" w:type="dxa"/>
          </w:tcPr>
          <w:p w14:paraId="280BEF23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KĀ NOTEIKT IETEKMĒTOS IZSTRĀDĀJUMUS</w:t>
            </w:r>
          </w:p>
        </w:tc>
        <w:tc>
          <w:tcPr>
            <w:tcW w:w="7880" w:type="dxa"/>
          </w:tcPr>
          <w:p w14:paraId="6CE1E721" w14:textId="77777777" w:rsidR="00CB103A" w:rsidRPr="008815BA" w:rsidRDefault="00EC5E4A" w:rsidP="003E3F00">
            <w:pPr>
              <w:rPr>
                <w:rFonts w:cs="Arial"/>
                <w:kern w:val="2"/>
              </w:rPr>
            </w:pPr>
            <w:r w:rsidRPr="008815BA">
              <w:t>Jūs varat noteikt, vai ierīce ir ietekmēta, identificējot izstrādājuma numuru.  To dara, kā aprakstīts tālāk.</w:t>
            </w:r>
          </w:p>
          <w:p w14:paraId="316CDFE4" w14:textId="77777777" w:rsidR="001C5768" w:rsidRPr="008815BA" w:rsidRDefault="001C5768" w:rsidP="003E3F00">
            <w:pPr>
              <w:rPr>
                <w:rFonts w:cs="Arial"/>
                <w:kern w:val="2"/>
              </w:rPr>
            </w:pPr>
          </w:p>
          <w:p w14:paraId="38D5EDE5" w14:textId="77777777" w:rsidR="00EC5E4A" w:rsidRPr="008815BA" w:rsidRDefault="003E3F00" w:rsidP="0067198F">
            <w:pPr>
              <w:pStyle w:val="ListParagraph"/>
              <w:ind w:left="0"/>
              <w:contextualSpacing/>
              <w:rPr>
                <w:rFonts w:cs="Arial"/>
                <w:kern w:val="2"/>
              </w:rPr>
            </w:pPr>
            <w:r w:rsidRPr="008815BA">
              <w:t xml:space="preserve">Atrodiet un pārbaudiet sava CTG7 embrija/mātes monitora izstrādājuma numuru, kas atrodas uz </w:t>
            </w:r>
            <w:r w:rsidRPr="008815BA">
              <w:rPr>
                <w:i/>
              </w:rPr>
              <w:t xml:space="preserve">Lietošanas instrukcijas </w:t>
            </w:r>
            <w:r w:rsidRPr="008815BA">
              <w:t xml:space="preserve">vāka vai monitora sānu etiķetē. </w:t>
            </w:r>
          </w:p>
          <w:p w14:paraId="02142949" w14:textId="77777777" w:rsidR="003E3F00" w:rsidRPr="008815BA" w:rsidRDefault="003E3F00" w:rsidP="003E3F00">
            <w:pPr>
              <w:pStyle w:val="ListParagraph"/>
              <w:contextualSpacing/>
              <w:rPr>
                <w:rFonts w:cs="Arial"/>
                <w:kern w:val="2"/>
              </w:rPr>
            </w:pPr>
          </w:p>
          <w:p w14:paraId="5A8086BF" w14:textId="77777777" w:rsidR="003E3F00" w:rsidRPr="008815BA" w:rsidRDefault="009A46D2" w:rsidP="003E3F00">
            <w:pPr>
              <w:pStyle w:val="ListParagraph"/>
              <w:contextualSpacing/>
              <w:rPr>
                <w:rFonts w:cs="Arial"/>
                <w:kern w:val="2"/>
              </w:rPr>
            </w:pPr>
            <w:r w:rsidRPr="008815BA">
              <w:rPr>
                <w:noProof/>
                <w:lang w:eastAsia="lv-LV"/>
              </w:rPr>
              <w:drawing>
                <wp:inline distT="0" distB="0" distL="0" distR="0" wp14:anchorId="276163AC" wp14:editId="5E3984E4">
                  <wp:extent cx="1750695" cy="1639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15BA">
              <w:t xml:space="preserve">   </w:t>
            </w:r>
            <w:r w:rsidRPr="008815BA">
              <w:rPr>
                <w:noProof/>
                <w:lang w:eastAsia="lv-LV"/>
              </w:rPr>
              <w:drawing>
                <wp:inline distT="0" distB="0" distL="0" distR="0" wp14:anchorId="5FABFCA3" wp14:editId="6407E2F0">
                  <wp:extent cx="1431290" cy="1670050"/>
                  <wp:effectExtent l="0" t="0" r="0" b="0"/>
                  <wp:docPr id="3" name="Picture 3" descr="74359C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359C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06" t="-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E3432" w14:textId="77777777" w:rsidR="00097552" w:rsidRPr="008815BA" w:rsidRDefault="00097552" w:rsidP="003E3F00">
            <w:pPr>
              <w:rPr>
                <w:rFonts w:cs="Arial"/>
                <w:color w:val="C00000"/>
                <w:kern w:val="2"/>
              </w:rPr>
            </w:pPr>
          </w:p>
        </w:tc>
      </w:tr>
      <w:tr w:rsidR="00097552" w:rsidRPr="008815BA" w14:paraId="69780A51" w14:textId="77777777" w:rsidTr="004A5DC7">
        <w:tc>
          <w:tcPr>
            <w:tcW w:w="1975" w:type="dxa"/>
          </w:tcPr>
          <w:p w14:paraId="046532CC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KLIENTA/LIETOTĀJA RĪCĪBA</w:t>
            </w:r>
          </w:p>
        </w:tc>
        <w:tc>
          <w:tcPr>
            <w:tcW w:w="7880" w:type="dxa"/>
          </w:tcPr>
          <w:p w14:paraId="395A7F3F" w14:textId="77777777" w:rsidR="00272595" w:rsidRPr="008815BA" w:rsidRDefault="00F1716E" w:rsidP="00F1716E">
            <w:pPr>
              <w:rPr>
                <w:rFonts w:cs="Arial"/>
                <w:bCs/>
                <w:kern w:val="2"/>
              </w:rPr>
            </w:pPr>
            <w:r w:rsidRPr="008815BA">
              <w:t xml:space="preserve">Saņemot šo paziņojumu, nekavējoties pārbaudiet katru savu CTG7 monitoru akumulatoru, kā aprakstīts CTG7 lietošanas instrukcijas sadaļā </w:t>
            </w:r>
            <w:r w:rsidRPr="008815BA">
              <w:rPr>
                <w:bCs/>
                <w:i/>
              </w:rPr>
              <w:t>Akumulatora enerģija</w:t>
            </w:r>
            <w:r w:rsidRPr="008815BA">
              <w:t xml:space="preserve">. </w:t>
            </w:r>
          </w:p>
          <w:p w14:paraId="5FD06422" w14:textId="77777777" w:rsidR="00272595" w:rsidRPr="008815BA" w:rsidRDefault="00272595" w:rsidP="00272595">
            <w:pPr>
              <w:rPr>
                <w:rFonts w:cs="Arial"/>
                <w:bCs/>
                <w:kern w:val="2"/>
              </w:rPr>
            </w:pPr>
          </w:p>
          <w:p w14:paraId="589E5ACB" w14:textId="77777777" w:rsidR="00F1716E" w:rsidRPr="008815BA" w:rsidRDefault="00272595" w:rsidP="00F1716E">
            <w:pPr>
              <w:rPr>
                <w:rFonts w:cs="Arial"/>
                <w:kern w:val="2"/>
              </w:rPr>
            </w:pPr>
            <w:r w:rsidRPr="008815BA">
              <w:t xml:space="preserve">Ieteicams akumulatoru nomainīt, ja pilnībā uzlādēts akumulators nevar nepārtraukti strādājošu monitoru uzturēt ilgāk nekā 2,5 stundas, akumulatora paredzamais kalpošanas laiks ir &lt;75 %, un tam var būt pārkaršanas risks.   </w:t>
            </w:r>
          </w:p>
          <w:p w14:paraId="4E0E13E8" w14:textId="77777777" w:rsidR="00F1716E" w:rsidRPr="008815BA" w:rsidRDefault="00F1716E" w:rsidP="00F1716E">
            <w:pPr>
              <w:autoSpaceDE w:val="0"/>
              <w:autoSpaceDN w:val="0"/>
              <w:adjustRightInd w:val="0"/>
              <w:rPr>
                <w:rFonts w:cs="Arial"/>
                <w:bCs/>
                <w:kern w:val="2"/>
              </w:rPr>
            </w:pPr>
          </w:p>
          <w:p w14:paraId="0D1E9648" w14:textId="77777777" w:rsidR="00E42849" w:rsidRPr="008815BA" w:rsidRDefault="00F1716E" w:rsidP="003C2BF2">
            <w:pPr>
              <w:rPr>
                <w:rFonts w:cs="Arial"/>
                <w:color w:val="C00000"/>
                <w:kern w:val="2"/>
              </w:rPr>
            </w:pPr>
            <w:r w:rsidRPr="008815BA">
              <w:t xml:space="preserve">Ja nepieciešams, rezerves akumulatoru var pasūtīt, izmantojot uzņēmuma Philips parastos nomaiņas procesus, kas aprakstīti lietošanas instrukcijā. Detalizēta informācija par akumulatora nomaiņu ir pieejama Philips CTG7 embrija/mātes monitora apkalpes rokasgrāmatā.  </w:t>
            </w:r>
            <w:r w:rsidRPr="008815BA">
              <w:rPr>
                <w:i/>
              </w:rPr>
              <w:t xml:space="preserve"> </w:t>
            </w:r>
          </w:p>
        </w:tc>
      </w:tr>
      <w:tr w:rsidR="009F342C" w:rsidRPr="008815BA" w14:paraId="270F1D82" w14:textId="77777777" w:rsidTr="004A5DC7">
        <w:tc>
          <w:tcPr>
            <w:tcW w:w="1975" w:type="dxa"/>
          </w:tcPr>
          <w:p w14:paraId="3D30AE2D" w14:textId="77777777" w:rsidR="009F342C" w:rsidRPr="008815BA" w:rsidRDefault="009F342C" w:rsidP="009F342C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PHILIPS PLĀNOTĀS DARBĪBAS</w:t>
            </w:r>
          </w:p>
        </w:tc>
        <w:tc>
          <w:tcPr>
            <w:tcW w:w="7880" w:type="dxa"/>
          </w:tcPr>
          <w:p w14:paraId="0F96CBA4" w14:textId="77777777" w:rsidR="009F342C" w:rsidRPr="008815BA" w:rsidRDefault="00294984" w:rsidP="00F1716E">
            <w:pPr>
              <w:rPr>
                <w:rFonts w:cs="Arial"/>
                <w:kern w:val="2"/>
              </w:rPr>
            </w:pPr>
            <w:r w:rsidRPr="008815BA">
              <w:t xml:space="preserve">Philips ir izdevis sistēmas programmatūras atjauninājumu, kas sniegs brīdinājumus, lai palīdzētu lietotājiem pārvaldīt akumulatora nomaiņas ciklu. Ar jums sazināsies Philips pārstāvis, lai ieplānotu programmatūras atjaunināšanu visiem ietekmētajiem CTG7 embrija/mātes monitoriem.  </w:t>
            </w:r>
          </w:p>
        </w:tc>
      </w:tr>
      <w:tr w:rsidR="00097552" w:rsidRPr="009A46D2" w14:paraId="3F42A5AF" w14:textId="77777777" w:rsidTr="008815BA">
        <w:trPr>
          <w:cantSplit/>
          <w:trHeight w:val="773"/>
        </w:trPr>
        <w:tc>
          <w:tcPr>
            <w:tcW w:w="1975" w:type="dxa"/>
          </w:tcPr>
          <w:p w14:paraId="09EBD048" w14:textId="77777777" w:rsidR="00097552" w:rsidRPr="008815BA" w:rsidRDefault="00097552" w:rsidP="00DC560A">
            <w:pPr>
              <w:rPr>
                <w:rFonts w:cs="Arial"/>
                <w:b/>
                <w:kern w:val="2"/>
              </w:rPr>
            </w:pPr>
            <w:r w:rsidRPr="008815BA">
              <w:rPr>
                <w:b/>
              </w:rPr>
              <w:t>PAPILDINFORMĀCIJA UN ATBALSTS</w:t>
            </w:r>
          </w:p>
        </w:tc>
        <w:tc>
          <w:tcPr>
            <w:tcW w:w="7880" w:type="dxa"/>
          </w:tcPr>
          <w:p w14:paraId="36A21BA5" w14:textId="77777777" w:rsidR="00097552" w:rsidRPr="008815BA" w:rsidRDefault="00097552" w:rsidP="00DC560A">
            <w:pPr>
              <w:rPr>
                <w:rFonts w:cs="Arial"/>
                <w:kern w:val="2"/>
              </w:rPr>
            </w:pPr>
            <w:r w:rsidRPr="008815BA">
              <w:t>Ja Jums nepieciešama papildinformācija vai atbalsts šajā jautājumā, lūdzu, sazinieties ar savu vietējo Philips pārstāvi:</w:t>
            </w:r>
          </w:p>
          <w:p w14:paraId="040B5958" w14:textId="77777777" w:rsidR="000D4772" w:rsidRPr="008815BA" w:rsidRDefault="000D4772" w:rsidP="00DC560A">
            <w:pPr>
              <w:rPr>
                <w:rFonts w:cs="Arial"/>
                <w:kern w:val="2"/>
              </w:rPr>
            </w:pPr>
          </w:p>
          <w:p w14:paraId="426F34A0" w14:textId="77777777" w:rsidR="00097552" w:rsidRPr="009A46D2" w:rsidRDefault="000D4772" w:rsidP="00DC560A">
            <w:pPr>
              <w:rPr>
                <w:rFonts w:cs="Arial"/>
                <w:color w:val="C00000"/>
                <w:kern w:val="2"/>
              </w:rPr>
            </w:pPr>
            <w:r w:rsidRPr="008815BA">
              <w:rPr>
                <w:color w:val="C00000"/>
              </w:rPr>
              <w:t xml:space="preserve">&lt;Philips </w:t>
            </w:r>
            <w:bookmarkStart w:id="0" w:name="_GoBack"/>
            <w:bookmarkEnd w:id="0"/>
            <w:r w:rsidRPr="008815BA">
              <w:rPr>
                <w:color w:val="C00000"/>
              </w:rPr>
              <w:t>pārstāvja kontaktinformācija jānorāda KM / konkrētā valstī&gt;</w:t>
            </w:r>
          </w:p>
        </w:tc>
      </w:tr>
    </w:tbl>
    <w:p w14:paraId="7ADAEFF4" w14:textId="77777777" w:rsidR="00097552" w:rsidRPr="009A46D2" w:rsidRDefault="00097552" w:rsidP="00097552">
      <w:pPr>
        <w:rPr>
          <w:kern w:val="2"/>
        </w:rPr>
      </w:pPr>
    </w:p>
    <w:p w14:paraId="3C346B7C" w14:textId="77777777" w:rsidR="009A752C" w:rsidRPr="009A46D2" w:rsidRDefault="009A752C" w:rsidP="007256B5">
      <w:pPr>
        <w:pStyle w:val="BlockText"/>
        <w:tabs>
          <w:tab w:val="left" w:pos="2340"/>
        </w:tabs>
        <w:rPr>
          <w:kern w:val="2"/>
        </w:rPr>
      </w:pPr>
    </w:p>
    <w:sectPr w:rsidR="009A752C" w:rsidRPr="009A46D2" w:rsidSect="004A5DC7">
      <w:headerReference w:type="even" r:id="rId14"/>
      <w:headerReference w:type="default" r:id="rId15"/>
      <w:footerReference w:type="even" r:id="rId16"/>
      <w:footnotePr>
        <w:numRestart w:val="eachPage"/>
      </w:footnotePr>
      <w:pgSz w:w="12240" w:h="15840" w:code="1"/>
      <w:pgMar w:top="384" w:right="12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BED54" w14:textId="77777777" w:rsidR="00147166" w:rsidRDefault="00147166">
      <w:r>
        <w:separator/>
      </w:r>
    </w:p>
    <w:p w14:paraId="481C8875" w14:textId="77777777" w:rsidR="00147166" w:rsidRDefault="00147166"/>
  </w:endnote>
  <w:endnote w:type="continuationSeparator" w:id="0">
    <w:p w14:paraId="1C3C9DA3" w14:textId="77777777" w:rsidR="00147166" w:rsidRDefault="00147166">
      <w:r>
        <w:continuationSeparator/>
      </w:r>
    </w:p>
    <w:p w14:paraId="5C783FF1" w14:textId="77777777" w:rsidR="00147166" w:rsidRDefault="00147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5AA2" w14:textId="77777777" w:rsidR="00097552" w:rsidRDefault="00097552">
    <w:pPr>
      <w:pStyle w:val="Footer"/>
    </w:pPr>
  </w:p>
  <w:p w14:paraId="081ECC1A" w14:textId="77777777" w:rsidR="00097552" w:rsidRDefault="00097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4284" w14:textId="77777777" w:rsidR="00147166" w:rsidRDefault="00147166">
      <w:r>
        <w:separator/>
      </w:r>
    </w:p>
    <w:p w14:paraId="3D428910" w14:textId="77777777" w:rsidR="00147166" w:rsidRDefault="00147166"/>
  </w:footnote>
  <w:footnote w:type="continuationSeparator" w:id="0">
    <w:p w14:paraId="1ED75599" w14:textId="77777777" w:rsidR="00147166" w:rsidRDefault="00147166">
      <w:r>
        <w:continuationSeparator/>
      </w:r>
    </w:p>
    <w:p w14:paraId="45FB8BE0" w14:textId="77777777" w:rsidR="00147166" w:rsidRDefault="00147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7F34" w14:textId="77777777" w:rsidR="00097552" w:rsidRDefault="00097552"/>
  <w:p w14:paraId="044EB1B4" w14:textId="77777777" w:rsidR="00097552" w:rsidRDefault="000975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D1D7" w14:textId="77777777" w:rsidR="009A752C" w:rsidRDefault="00862952" w:rsidP="00316254">
    <w:pPr>
      <w:pStyle w:val="Header"/>
      <w:jc w:val="left"/>
    </w:pPr>
    <w:r>
      <w:rPr>
        <w:noProof/>
        <w:lang w:eastAsia="lv-LV"/>
      </w:rPr>
      <w:drawing>
        <wp:inline distT="0" distB="0" distL="0" distR="0" wp14:anchorId="65090F36" wp14:editId="27997FBB">
          <wp:extent cx="1979930" cy="365760"/>
          <wp:effectExtent l="19050" t="0" r="1270" b="0"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3E1EA4" w14:textId="77777777" w:rsidR="00862952" w:rsidRDefault="00862952" w:rsidP="0031625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4F"/>
    <w:multiLevelType w:val="hybridMultilevel"/>
    <w:tmpl w:val="48F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7F1"/>
    <w:multiLevelType w:val="hybridMultilevel"/>
    <w:tmpl w:val="148A3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CE31F3"/>
    <w:multiLevelType w:val="hybridMultilevel"/>
    <w:tmpl w:val="E8F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670A"/>
    <w:multiLevelType w:val="hybridMultilevel"/>
    <w:tmpl w:val="B262FA80"/>
    <w:lvl w:ilvl="0" w:tplc="9FD4EF30">
      <w:start w:val="1"/>
      <w:numFmt w:val="none"/>
      <w:pStyle w:val="TASKHeader"/>
      <w:lvlText w:val="TASK 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05289"/>
    <w:multiLevelType w:val="hybridMultilevel"/>
    <w:tmpl w:val="227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B2E9F"/>
    <w:multiLevelType w:val="hybridMultilevel"/>
    <w:tmpl w:val="6D5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B5DEB"/>
    <w:multiLevelType w:val="hybridMultilevel"/>
    <w:tmpl w:val="7F00A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453F"/>
    <w:multiLevelType w:val="multilevel"/>
    <w:tmpl w:val="88F8218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B9F7FB9"/>
    <w:multiLevelType w:val="hybridMultilevel"/>
    <w:tmpl w:val="852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5570F"/>
    <w:multiLevelType w:val="hybridMultilevel"/>
    <w:tmpl w:val="ED3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0012E"/>
    <w:multiLevelType w:val="hybridMultilevel"/>
    <w:tmpl w:val="91E6B6A0"/>
    <w:lvl w:ilvl="0" w:tplc="C6484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0"/>
    <w:rsid w:val="00000CF3"/>
    <w:rsid w:val="00003BCF"/>
    <w:rsid w:val="00005133"/>
    <w:rsid w:val="00012F14"/>
    <w:rsid w:val="000137FF"/>
    <w:rsid w:val="00015DB8"/>
    <w:rsid w:val="00023594"/>
    <w:rsid w:val="00024D46"/>
    <w:rsid w:val="00033F59"/>
    <w:rsid w:val="00037195"/>
    <w:rsid w:val="00047095"/>
    <w:rsid w:val="000531A0"/>
    <w:rsid w:val="00054474"/>
    <w:rsid w:val="00055287"/>
    <w:rsid w:val="00061CFD"/>
    <w:rsid w:val="00065159"/>
    <w:rsid w:val="000653F5"/>
    <w:rsid w:val="00066A10"/>
    <w:rsid w:val="00070EC6"/>
    <w:rsid w:val="00071E1B"/>
    <w:rsid w:val="00073F7C"/>
    <w:rsid w:val="00076978"/>
    <w:rsid w:val="00095FC2"/>
    <w:rsid w:val="00097552"/>
    <w:rsid w:val="00097D1A"/>
    <w:rsid w:val="000A2CE0"/>
    <w:rsid w:val="000A4982"/>
    <w:rsid w:val="000A5173"/>
    <w:rsid w:val="000A7730"/>
    <w:rsid w:val="000A7F4B"/>
    <w:rsid w:val="000C01F6"/>
    <w:rsid w:val="000C2EA7"/>
    <w:rsid w:val="000C5B22"/>
    <w:rsid w:val="000C6CD4"/>
    <w:rsid w:val="000D01B6"/>
    <w:rsid w:val="000D0ECE"/>
    <w:rsid w:val="000D2A3C"/>
    <w:rsid w:val="000D4772"/>
    <w:rsid w:val="000D53C2"/>
    <w:rsid w:val="000E6340"/>
    <w:rsid w:val="000E6825"/>
    <w:rsid w:val="000F06A2"/>
    <w:rsid w:val="000F2EF1"/>
    <w:rsid w:val="0010087A"/>
    <w:rsid w:val="001032D6"/>
    <w:rsid w:val="00105965"/>
    <w:rsid w:val="00105F24"/>
    <w:rsid w:val="00107CF2"/>
    <w:rsid w:val="0011279E"/>
    <w:rsid w:val="00112F83"/>
    <w:rsid w:val="001239FC"/>
    <w:rsid w:val="001268EC"/>
    <w:rsid w:val="001353AD"/>
    <w:rsid w:val="0014050E"/>
    <w:rsid w:val="001409BE"/>
    <w:rsid w:val="00147166"/>
    <w:rsid w:val="001567AB"/>
    <w:rsid w:val="001569F0"/>
    <w:rsid w:val="00156B14"/>
    <w:rsid w:val="00160C9D"/>
    <w:rsid w:val="00164CEF"/>
    <w:rsid w:val="00167962"/>
    <w:rsid w:val="0017503E"/>
    <w:rsid w:val="00175090"/>
    <w:rsid w:val="0018085E"/>
    <w:rsid w:val="00180EC9"/>
    <w:rsid w:val="00186BDF"/>
    <w:rsid w:val="00194E3D"/>
    <w:rsid w:val="001958C3"/>
    <w:rsid w:val="00195C6A"/>
    <w:rsid w:val="001A176F"/>
    <w:rsid w:val="001A4809"/>
    <w:rsid w:val="001A7740"/>
    <w:rsid w:val="001B1B51"/>
    <w:rsid w:val="001B4B24"/>
    <w:rsid w:val="001B6161"/>
    <w:rsid w:val="001B7F0A"/>
    <w:rsid w:val="001C0E2E"/>
    <w:rsid w:val="001C5768"/>
    <w:rsid w:val="001C6312"/>
    <w:rsid w:val="001D23DF"/>
    <w:rsid w:val="001E4042"/>
    <w:rsid w:val="001E493A"/>
    <w:rsid w:val="001E6657"/>
    <w:rsid w:val="001F57EF"/>
    <w:rsid w:val="001F5FEE"/>
    <w:rsid w:val="00200E5C"/>
    <w:rsid w:val="00201B3B"/>
    <w:rsid w:val="002021B9"/>
    <w:rsid w:val="00211722"/>
    <w:rsid w:val="00214121"/>
    <w:rsid w:val="00214D1F"/>
    <w:rsid w:val="0021502A"/>
    <w:rsid w:val="00215749"/>
    <w:rsid w:val="00217810"/>
    <w:rsid w:val="00217B8B"/>
    <w:rsid w:val="00221EF3"/>
    <w:rsid w:val="00224DE6"/>
    <w:rsid w:val="00227983"/>
    <w:rsid w:val="00227A43"/>
    <w:rsid w:val="002326DD"/>
    <w:rsid w:val="00236158"/>
    <w:rsid w:val="002373E0"/>
    <w:rsid w:val="00243796"/>
    <w:rsid w:val="00243A6E"/>
    <w:rsid w:val="0024533D"/>
    <w:rsid w:val="002456E1"/>
    <w:rsid w:val="00252473"/>
    <w:rsid w:val="00254008"/>
    <w:rsid w:val="00254EFA"/>
    <w:rsid w:val="0026234A"/>
    <w:rsid w:val="00270E7C"/>
    <w:rsid w:val="00272595"/>
    <w:rsid w:val="00272917"/>
    <w:rsid w:val="00277137"/>
    <w:rsid w:val="00280A56"/>
    <w:rsid w:val="0028101C"/>
    <w:rsid w:val="00281BB1"/>
    <w:rsid w:val="00284E5C"/>
    <w:rsid w:val="0028719A"/>
    <w:rsid w:val="00290F65"/>
    <w:rsid w:val="002925AF"/>
    <w:rsid w:val="00294984"/>
    <w:rsid w:val="002A00CE"/>
    <w:rsid w:val="002A082F"/>
    <w:rsid w:val="002A517B"/>
    <w:rsid w:val="002A7149"/>
    <w:rsid w:val="002B1295"/>
    <w:rsid w:val="002B2E8B"/>
    <w:rsid w:val="002B4960"/>
    <w:rsid w:val="002B778F"/>
    <w:rsid w:val="002C28E4"/>
    <w:rsid w:val="002C6209"/>
    <w:rsid w:val="002D62AB"/>
    <w:rsid w:val="002D77D7"/>
    <w:rsid w:val="002F4096"/>
    <w:rsid w:val="00305BE0"/>
    <w:rsid w:val="0031136E"/>
    <w:rsid w:val="0031378F"/>
    <w:rsid w:val="00316254"/>
    <w:rsid w:val="00322415"/>
    <w:rsid w:val="00327F77"/>
    <w:rsid w:val="00332065"/>
    <w:rsid w:val="0033777E"/>
    <w:rsid w:val="00341DA5"/>
    <w:rsid w:val="00351B52"/>
    <w:rsid w:val="0035352C"/>
    <w:rsid w:val="00354DC9"/>
    <w:rsid w:val="00361CC2"/>
    <w:rsid w:val="003623F9"/>
    <w:rsid w:val="00364A7A"/>
    <w:rsid w:val="003753A5"/>
    <w:rsid w:val="003760F8"/>
    <w:rsid w:val="0038200E"/>
    <w:rsid w:val="00384803"/>
    <w:rsid w:val="00387186"/>
    <w:rsid w:val="003906C5"/>
    <w:rsid w:val="00394B65"/>
    <w:rsid w:val="00397E9B"/>
    <w:rsid w:val="003A1548"/>
    <w:rsid w:val="003B6DF9"/>
    <w:rsid w:val="003B6F82"/>
    <w:rsid w:val="003C2BF2"/>
    <w:rsid w:val="003C567D"/>
    <w:rsid w:val="003C598F"/>
    <w:rsid w:val="003D1748"/>
    <w:rsid w:val="003D63C5"/>
    <w:rsid w:val="003E3F00"/>
    <w:rsid w:val="003E6DD4"/>
    <w:rsid w:val="003E7683"/>
    <w:rsid w:val="003F0B77"/>
    <w:rsid w:val="00404ACB"/>
    <w:rsid w:val="004124C5"/>
    <w:rsid w:val="00423A84"/>
    <w:rsid w:val="00442F2A"/>
    <w:rsid w:val="00443519"/>
    <w:rsid w:val="00443FAB"/>
    <w:rsid w:val="004455AF"/>
    <w:rsid w:val="0045033D"/>
    <w:rsid w:val="00452218"/>
    <w:rsid w:val="004563F2"/>
    <w:rsid w:val="00456D13"/>
    <w:rsid w:val="0046334A"/>
    <w:rsid w:val="00472792"/>
    <w:rsid w:val="00474D91"/>
    <w:rsid w:val="00485754"/>
    <w:rsid w:val="0049061E"/>
    <w:rsid w:val="00496129"/>
    <w:rsid w:val="004A4D8E"/>
    <w:rsid w:val="004A5C9C"/>
    <w:rsid w:val="004A5DC7"/>
    <w:rsid w:val="004B44C5"/>
    <w:rsid w:val="004B5BCA"/>
    <w:rsid w:val="004B76F7"/>
    <w:rsid w:val="004C0364"/>
    <w:rsid w:val="004C0537"/>
    <w:rsid w:val="004C5027"/>
    <w:rsid w:val="004C5DEE"/>
    <w:rsid w:val="004D2447"/>
    <w:rsid w:val="004D2CE6"/>
    <w:rsid w:val="004D33C2"/>
    <w:rsid w:val="004D3AA6"/>
    <w:rsid w:val="004D632B"/>
    <w:rsid w:val="004D7D5F"/>
    <w:rsid w:val="004E0561"/>
    <w:rsid w:val="004E15BF"/>
    <w:rsid w:val="004E2B83"/>
    <w:rsid w:val="004E43FB"/>
    <w:rsid w:val="004F008E"/>
    <w:rsid w:val="004F1759"/>
    <w:rsid w:val="004F1C99"/>
    <w:rsid w:val="004F4960"/>
    <w:rsid w:val="004F5825"/>
    <w:rsid w:val="004F604B"/>
    <w:rsid w:val="004F6B15"/>
    <w:rsid w:val="00502A77"/>
    <w:rsid w:val="00504111"/>
    <w:rsid w:val="00506A77"/>
    <w:rsid w:val="005115E9"/>
    <w:rsid w:val="00520DDB"/>
    <w:rsid w:val="0052433E"/>
    <w:rsid w:val="00531127"/>
    <w:rsid w:val="00531811"/>
    <w:rsid w:val="0053326B"/>
    <w:rsid w:val="00533C72"/>
    <w:rsid w:val="0053557C"/>
    <w:rsid w:val="00536120"/>
    <w:rsid w:val="00536D47"/>
    <w:rsid w:val="00537F43"/>
    <w:rsid w:val="00542DEE"/>
    <w:rsid w:val="00550BF5"/>
    <w:rsid w:val="0055261F"/>
    <w:rsid w:val="0055424D"/>
    <w:rsid w:val="00555957"/>
    <w:rsid w:val="00560D7F"/>
    <w:rsid w:val="00561A95"/>
    <w:rsid w:val="00563A8D"/>
    <w:rsid w:val="00563F98"/>
    <w:rsid w:val="00566122"/>
    <w:rsid w:val="005668B4"/>
    <w:rsid w:val="0057213D"/>
    <w:rsid w:val="00575A49"/>
    <w:rsid w:val="0058431C"/>
    <w:rsid w:val="00584C76"/>
    <w:rsid w:val="005852CD"/>
    <w:rsid w:val="00586512"/>
    <w:rsid w:val="0059110B"/>
    <w:rsid w:val="00591CFA"/>
    <w:rsid w:val="00592CA6"/>
    <w:rsid w:val="0059495B"/>
    <w:rsid w:val="005A5CCF"/>
    <w:rsid w:val="005B0DDC"/>
    <w:rsid w:val="005B7178"/>
    <w:rsid w:val="005B75B8"/>
    <w:rsid w:val="005C4F76"/>
    <w:rsid w:val="005C4F8B"/>
    <w:rsid w:val="005C5A98"/>
    <w:rsid w:val="005D4D51"/>
    <w:rsid w:val="005D591F"/>
    <w:rsid w:val="005E5704"/>
    <w:rsid w:val="005E588E"/>
    <w:rsid w:val="005F3F5D"/>
    <w:rsid w:val="00614775"/>
    <w:rsid w:val="00614E36"/>
    <w:rsid w:val="00627A53"/>
    <w:rsid w:val="00637FAD"/>
    <w:rsid w:val="00640CC1"/>
    <w:rsid w:val="00650DB2"/>
    <w:rsid w:val="00652C26"/>
    <w:rsid w:val="0065525A"/>
    <w:rsid w:val="00656E0F"/>
    <w:rsid w:val="006672BE"/>
    <w:rsid w:val="00671050"/>
    <w:rsid w:val="0067198F"/>
    <w:rsid w:val="006744C5"/>
    <w:rsid w:val="00675FBB"/>
    <w:rsid w:val="00677386"/>
    <w:rsid w:val="006917C4"/>
    <w:rsid w:val="00692ACF"/>
    <w:rsid w:val="006A1716"/>
    <w:rsid w:val="006A20F4"/>
    <w:rsid w:val="006B6D92"/>
    <w:rsid w:val="006C09A4"/>
    <w:rsid w:val="006D0D5C"/>
    <w:rsid w:val="006D3A3A"/>
    <w:rsid w:val="006D5133"/>
    <w:rsid w:val="006D7CE9"/>
    <w:rsid w:val="006E05C9"/>
    <w:rsid w:val="006F51D3"/>
    <w:rsid w:val="00700A79"/>
    <w:rsid w:val="007069D8"/>
    <w:rsid w:val="00712AAD"/>
    <w:rsid w:val="00713D01"/>
    <w:rsid w:val="00721109"/>
    <w:rsid w:val="0072281A"/>
    <w:rsid w:val="007256B5"/>
    <w:rsid w:val="00725A03"/>
    <w:rsid w:val="00730B12"/>
    <w:rsid w:val="00737ED2"/>
    <w:rsid w:val="00740100"/>
    <w:rsid w:val="00740334"/>
    <w:rsid w:val="00751F3B"/>
    <w:rsid w:val="007549B1"/>
    <w:rsid w:val="00754CE9"/>
    <w:rsid w:val="007551A5"/>
    <w:rsid w:val="00762AA6"/>
    <w:rsid w:val="00763478"/>
    <w:rsid w:val="00765C8E"/>
    <w:rsid w:val="0076757E"/>
    <w:rsid w:val="00770C50"/>
    <w:rsid w:val="00771019"/>
    <w:rsid w:val="00771601"/>
    <w:rsid w:val="00774626"/>
    <w:rsid w:val="00774AAD"/>
    <w:rsid w:val="00780DBE"/>
    <w:rsid w:val="00782FC8"/>
    <w:rsid w:val="00783635"/>
    <w:rsid w:val="0078450A"/>
    <w:rsid w:val="00792C55"/>
    <w:rsid w:val="00794F98"/>
    <w:rsid w:val="00796CBF"/>
    <w:rsid w:val="007A09C7"/>
    <w:rsid w:val="007A1ACD"/>
    <w:rsid w:val="007A6673"/>
    <w:rsid w:val="007C0FB8"/>
    <w:rsid w:val="007D2450"/>
    <w:rsid w:val="007D286C"/>
    <w:rsid w:val="007D54D6"/>
    <w:rsid w:val="007E5555"/>
    <w:rsid w:val="007E6865"/>
    <w:rsid w:val="007E69C7"/>
    <w:rsid w:val="007E6F16"/>
    <w:rsid w:val="007E7BF0"/>
    <w:rsid w:val="00812E4C"/>
    <w:rsid w:val="00813109"/>
    <w:rsid w:val="00820EB6"/>
    <w:rsid w:val="0082475A"/>
    <w:rsid w:val="00826916"/>
    <w:rsid w:val="008269BF"/>
    <w:rsid w:val="00827A73"/>
    <w:rsid w:val="00834899"/>
    <w:rsid w:val="0083678D"/>
    <w:rsid w:val="00842F58"/>
    <w:rsid w:val="0085084A"/>
    <w:rsid w:val="00850FAE"/>
    <w:rsid w:val="00855ED2"/>
    <w:rsid w:val="0086111A"/>
    <w:rsid w:val="00862952"/>
    <w:rsid w:val="00863A68"/>
    <w:rsid w:val="00865BA1"/>
    <w:rsid w:val="00867C93"/>
    <w:rsid w:val="008815BA"/>
    <w:rsid w:val="008862B9"/>
    <w:rsid w:val="008B51EB"/>
    <w:rsid w:val="008C5EF7"/>
    <w:rsid w:val="008D2CE0"/>
    <w:rsid w:val="008D386E"/>
    <w:rsid w:val="008D6FC4"/>
    <w:rsid w:val="008D7CA1"/>
    <w:rsid w:val="008E18E8"/>
    <w:rsid w:val="008E25F9"/>
    <w:rsid w:val="008E2944"/>
    <w:rsid w:val="008E3A60"/>
    <w:rsid w:val="008E43B8"/>
    <w:rsid w:val="008F0A17"/>
    <w:rsid w:val="008F29FC"/>
    <w:rsid w:val="008F43D3"/>
    <w:rsid w:val="009038E8"/>
    <w:rsid w:val="00906E54"/>
    <w:rsid w:val="00913BD1"/>
    <w:rsid w:val="0091405C"/>
    <w:rsid w:val="009155A6"/>
    <w:rsid w:val="00916441"/>
    <w:rsid w:val="00922D30"/>
    <w:rsid w:val="00927098"/>
    <w:rsid w:val="00930176"/>
    <w:rsid w:val="009323AA"/>
    <w:rsid w:val="00934063"/>
    <w:rsid w:val="00934845"/>
    <w:rsid w:val="00943BA0"/>
    <w:rsid w:val="00947438"/>
    <w:rsid w:val="009509E8"/>
    <w:rsid w:val="00954530"/>
    <w:rsid w:val="009569AA"/>
    <w:rsid w:val="009618EC"/>
    <w:rsid w:val="00966985"/>
    <w:rsid w:val="00974645"/>
    <w:rsid w:val="00975821"/>
    <w:rsid w:val="009904E3"/>
    <w:rsid w:val="00995483"/>
    <w:rsid w:val="009A46D2"/>
    <w:rsid w:val="009A611C"/>
    <w:rsid w:val="009A752C"/>
    <w:rsid w:val="009B57FE"/>
    <w:rsid w:val="009C172F"/>
    <w:rsid w:val="009C1F66"/>
    <w:rsid w:val="009C2C1F"/>
    <w:rsid w:val="009C2D56"/>
    <w:rsid w:val="009C3C6E"/>
    <w:rsid w:val="009E4637"/>
    <w:rsid w:val="009E7124"/>
    <w:rsid w:val="009F342C"/>
    <w:rsid w:val="009F577D"/>
    <w:rsid w:val="009F7446"/>
    <w:rsid w:val="00A03F7D"/>
    <w:rsid w:val="00A06B70"/>
    <w:rsid w:val="00A1088D"/>
    <w:rsid w:val="00A14E75"/>
    <w:rsid w:val="00A2476C"/>
    <w:rsid w:val="00A24E8C"/>
    <w:rsid w:val="00A27D24"/>
    <w:rsid w:val="00A366C3"/>
    <w:rsid w:val="00A36ECD"/>
    <w:rsid w:val="00A37660"/>
    <w:rsid w:val="00A40B04"/>
    <w:rsid w:val="00A469A5"/>
    <w:rsid w:val="00A60F67"/>
    <w:rsid w:val="00A6136F"/>
    <w:rsid w:val="00A71315"/>
    <w:rsid w:val="00A80782"/>
    <w:rsid w:val="00A8266D"/>
    <w:rsid w:val="00A84A92"/>
    <w:rsid w:val="00A84AAE"/>
    <w:rsid w:val="00A85D2A"/>
    <w:rsid w:val="00A97EE0"/>
    <w:rsid w:val="00AA11AC"/>
    <w:rsid w:val="00AA38CA"/>
    <w:rsid w:val="00AA5E3C"/>
    <w:rsid w:val="00AA748C"/>
    <w:rsid w:val="00AB2955"/>
    <w:rsid w:val="00AB2FA5"/>
    <w:rsid w:val="00AB48D5"/>
    <w:rsid w:val="00AC2780"/>
    <w:rsid w:val="00AD4922"/>
    <w:rsid w:val="00AD4E2D"/>
    <w:rsid w:val="00AD5FA2"/>
    <w:rsid w:val="00AE2E03"/>
    <w:rsid w:val="00AE3FBA"/>
    <w:rsid w:val="00AF298A"/>
    <w:rsid w:val="00AF5486"/>
    <w:rsid w:val="00B007E3"/>
    <w:rsid w:val="00B02E52"/>
    <w:rsid w:val="00B11543"/>
    <w:rsid w:val="00B13371"/>
    <w:rsid w:val="00B17164"/>
    <w:rsid w:val="00B2363E"/>
    <w:rsid w:val="00B26994"/>
    <w:rsid w:val="00B34718"/>
    <w:rsid w:val="00B35155"/>
    <w:rsid w:val="00B46534"/>
    <w:rsid w:val="00B50769"/>
    <w:rsid w:val="00B50A3E"/>
    <w:rsid w:val="00B512F3"/>
    <w:rsid w:val="00B52040"/>
    <w:rsid w:val="00B550F7"/>
    <w:rsid w:val="00B6045A"/>
    <w:rsid w:val="00B6107B"/>
    <w:rsid w:val="00B64F41"/>
    <w:rsid w:val="00B656FF"/>
    <w:rsid w:val="00B70CB6"/>
    <w:rsid w:val="00B76D44"/>
    <w:rsid w:val="00B82424"/>
    <w:rsid w:val="00B93487"/>
    <w:rsid w:val="00B95568"/>
    <w:rsid w:val="00B96D3B"/>
    <w:rsid w:val="00BA121D"/>
    <w:rsid w:val="00BB14EB"/>
    <w:rsid w:val="00BB3B90"/>
    <w:rsid w:val="00BB3F02"/>
    <w:rsid w:val="00BB67A9"/>
    <w:rsid w:val="00BC038A"/>
    <w:rsid w:val="00BC4796"/>
    <w:rsid w:val="00BC53B0"/>
    <w:rsid w:val="00BD0156"/>
    <w:rsid w:val="00BD2077"/>
    <w:rsid w:val="00BD4280"/>
    <w:rsid w:val="00BE14FF"/>
    <w:rsid w:val="00BE269A"/>
    <w:rsid w:val="00BE57DF"/>
    <w:rsid w:val="00BE5EFC"/>
    <w:rsid w:val="00BE6BFC"/>
    <w:rsid w:val="00BF177B"/>
    <w:rsid w:val="00BF2289"/>
    <w:rsid w:val="00BF6EFA"/>
    <w:rsid w:val="00BF74A2"/>
    <w:rsid w:val="00C01896"/>
    <w:rsid w:val="00C06892"/>
    <w:rsid w:val="00C072A1"/>
    <w:rsid w:val="00C124C4"/>
    <w:rsid w:val="00C133CF"/>
    <w:rsid w:val="00C15DB9"/>
    <w:rsid w:val="00C17444"/>
    <w:rsid w:val="00C2690D"/>
    <w:rsid w:val="00C400E1"/>
    <w:rsid w:val="00C5075B"/>
    <w:rsid w:val="00C525FF"/>
    <w:rsid w:val="00C553E7"/>
    <w:rsid w:val="00C66760"/>
    <w:rsid w:val="00C66F05"/>
    <w:rsid w:val="00C67B71"/>
    <w:rsid w:val="00C70FEF"/>
    <w:rsid w:val="00C72795"/>
    <w:rsid w:val="00C76C1D"/>
    <w:rsid w:val="00C8090E"/>
    <w:rsid w:val="00C8697D"/>
    <w:rsid w:val="00C9467F"/>
    <w:rsid w:val="00C95104"/>
    <w:rsid w:val="00C95521"/>
    <w:rsid w:val="00C96482"/>
    <w:rsid w:val="00C9794D"/>
    <w:rsid w:val="00CA22C4"/>
    <w:rsid w:val="00CA3DE9"/>
    <w:rsid w:val="00CA4D1A"/>
    <w:rsid w:val="00CA637E"/>
    <w:rsid w:val="00CB04D9"/>
    <w:rsid w:val="00CB103A"/>
    <w:rsid w:val="00CC0325"/>
    <w:rsid w:val="00CC1EC9"/>
    <w:rsid w:val="00CC51B8"/>
    <w:rsid w:val="00CC6123"/>
    <w:rsid w:val="00CD14FB"/>
    <w:rsid w:val="00CD446E"/>
    <w:rsid w:val="00CD53FA"/>
    <w:rsid w:val="00CD7343"/>
    <w:rsid w:val="00CE0CE9"/>
    <w:rsid w:val="00CE19A7"/>
    <w:rsid w:val="00CE2503"/>
    <w:rsid w:val="00CE3CA9"/>
    <w:rsid w:val="00CE7EDD"/>
    <w:rsid w:val="00CF31FF"/>
    <w:rsid w:val="00CF5E3C"/>
    <w:rsid w:val="00CF68FC"/>
    <w:rsid w:val="00D06383"/>
    <w:rsid w:val="00D13B00"/>
    <w:rsid w:val="00D14107"/>
    <w:rsid w:val="00D239B2"/>
    <w:rsid w:val="00D25A26"/>
    <w:rsid w:val="00D34C0A"/>
    <w:rsid w:val="00D36DF1"/>
    <w:rsid w:val="00D41392"/>
    <w:rsid w:val="00D4439D"/>
    <w:rsid w:val="00D51CFE"/>
    <w:rsid w:val="00D53F1C"/>
    <w:rsid w:val="00D5487A"/>
    <w:rsid w:val="00D54BCC"/>
    <w:rsid w:val="00D561ED"/>
    <w:rsid w:val="00D62B6A"/>
    <w:rsid w:val="00D737E1"/>
    <w:rsid w:val="00D74EB0"/>
    <w:rsid w:val="00D76298"/>
    <w:rsid w:val="00D77646"/>
    <w:rsid w:val="00D8112A"/>
    <w:rsid w:val="00D81B0D"/>
    <w:rsid w:val="00D869E3"/>
    <w:rsid w:val="00DA4FD1"/>
    <w:rsid w:val="00DB17D7"/>
    <w:rsid w:val="00DB29F7"/>
    <w:rsid w:val="00DB6063"/>
    <w:rsid w:val="00DB6569"/>
    <w:rsid w:val="00DB7158"/>
    <w:rsid w:val="00DC560A"/>
    <w:rsid w:val="00DC5B81"/>
    <w:rsid w:val="00DD161A"/>
    <w:rsid w:val="00DE3B45"/>
    <w:rsid w:val="00DE4954"/>
    <w:rsid w:val="00DE5A8F"/>
    <w:rsid w:val="00DF21E9"/>
    <w:rsid w:val="00DF26B5"/>
    <w:rsid w:val="00DF3C8B"/>
    <w:rsid w:val="00E03210"/>
    <w:rsid w:val="00E036D1"/>
    <w:rsid w:val="00E05B9B"/>
    <w:rsid w:val="00E06F20"/>
    <w:rsid w:val="00E06F7B"/>
    <w:rsid w:val="00E12FC8"/>
    <w:rsid w:val="00E1307F"/>
    <w:rsid w:val="00E20A01"/>
    <w:rsid w:val="00E214CF"/>
    <w:rsid w:val="00E226C2"/>
    <w:rsid w:val="00E23402"/>
    <w:rsid w:val="00E239A6"/>
    <w:rsid w:val="00E322FF"/>
    <w:rsid w:val="00E32AB5"/>
    <w:rsid w:val="00E32EC8"/>
    <w:rsid w:val="00E34D8A"/>
    <w:rsid w:val="00E356FB"/>
    <w:rsid w:val="00E42849"/>
    <w:rsid w:val="00E4783F"/>
    <w:rsid w:val="00E4793B"/>
    <w:rsid w:val="00E500A5"/>
    <w:rsid w:val="00E50BB1"/>
    <w:rsid w:val="00E54ACF"/>
    <w:rsid w:val="00E60ABF"/>
    <w:rsid w:val="00E610FE"/>
    <w:rsid w:val="00E63CE6"/>
    <w:rsid w:val="00E6569C"/>
    <w:rsid w:val="00E71F69"/>
    <w:rsid w:val="00E97566"/>
    <w:rsid w:val="00EA7AFB"/>
    <w:rsid w:val="00EB17DD"/>
    <w:rsid w:val="00EB20CC"/>
    <w:rsid w:val="00EB2312"/>
    <w:rsid w:val="00EB2828"/>
    <w:rsid w:val="00EB539B"/>
    <w:rsid w:val="00EC215E"/>
    <w:rsid w:val="00EC2D76"/>
    <w:rsid w:val="00EC584F"/>
    <w:rsid w:val="00EC5E4A"/>
    <w:rsid w:val="00EC613D"/>
    <w:rsid w:val="00EC6EBC"/>
    <w:rsid w:val="00ED0852"/>
    <w:rsid w:val="00ED471D"/>
    <w:rsid w:val="00EE2613"/>
    <w:rsid w:val="00EE4040"/>
    <w:rsid w:val="00EF49BF"/>
    <w:rsid w:val="00EF5EA3"/>
    <w:rsid w:val="00F00F28"/>
    <w:rsid w:val="00F054F9"/>
    <w:rsid w:val="00F05C74"/>
    <w:rsid w:val="00F11B07"/>
    <w:rsid w:val="00F15778"/>
    <w:rsid w:val="00F17080"/>
    <w:rsid w:val="00F1716E"/>
    <w:rsid w:val="00F17BA0"/>
    <w:rsid w:val="00F221B1"/>
    <w:rsid w:val="00F22F3B"/>
    <w:rsid w:val="00F27455"/>
    <w:rsid w:val="00F30142"/>
    <w:rsid w:val="00F338F6"/>
    <w:rsid w:val="00F33D53"/>
    <w:rsid w:val="00F53995"/>
    <w:rsid w:val="00F539DF"/>
    <w:rsid w:val="00F6001C"/>
    <w:rsid w:val="00F60EDE"/>
    <w:rsid w:val="00F61225"/>
    <w:rsid w:val="00F61479"/>
    <w:rsid w:val="00F627EA"/>
    <w:rsid w:val="00F641EB"/>
    <w:rsid w:val="00F64CDD"/>
    <w:rsid w:val="00F65090"/>
    <w:rsid w:val="00F70FF5"/>
    <w:rsid w:val="00F713F7"/>
    <w:rsid w:val="00F72CB6"/>
    <w:rsid w:val="00F73DAE"/>
    <w:rsid w:val="00F805CD"/>
    <w:rsid w:val="00F83BB9"/>
    <w:rsid w:val="00F83EC7"/>
    <w:rsid w:val="00F8466E"/>
    <w:rsid w:val="00F86459"/>
    <w:rsid w:val="00F90F1A"/>
    <w:rsid w:val="00F91D91"/>
    <w:rsid w:val="00F9466F"/>
    <w:rsid w:val="00FA0E1E"/>
    <w:rsid w:val="00FA5FFE"/>
    <w:rsid w:val="00FB1DC4"/>
    <w:rsid w:val="00FB249C"/>
    <w:rsid w:val="00FB3855"/>
    <w:rsid w:val="00FB5CBE"/>
    <w:rsid w:val="00FD39D6"/>
    <w:rsid w:val="00FE0F06"/>
    <w:rsid w:val="00FE54E3"/>
    <w:rsid w:val="00FE5A2D"/>
    <w:rsid w:val="00FE711F"/>
    <w:rsid w:val="00FF11DE"/>
    <w:rsid w:val="00FF348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86E39"/>
  <w15:chartTrackingRefBased/>
  <w15:docId w15:val="{2009127E-A627-4FBC-8DE5-804CA282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7E"/>
    <w:rPr>
      <w:rFonts w:ascii="Arial" w:hAnsi="Arial"/>
    </w:rPr>
  </w:style>
  <w:style w:type="paragraph" w:styleId="Heading1">
    <w:name w:val="heading 1"/>
    <w:basedOn w:val="Normal"/>
    <w:next w:val="Normal"/>
    <w:qFormat/>
    <w:rsid w:val="004F008E"/>
    <w:pPr>
      <w:numPr>
        <w:numId w:val="1"/>
      </w:numPr>
      <w:spacing w:before="160" w:after="80"/>
      <w:ind w:left="431" w:hanging="431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B51EB"/>
    <w:pPr>
      <w:numPr>
        <w:ilvl w:val="1"/>
        <w:numId w:val="1"/>
      </w:numPr>
      <w:spacing w:before="80" w:after="8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rsid w:val="008B51EB"/>
    <w:pPr>
      <w:numPr>
        <w:ilvl w:val="2"/>
        <w:numId w:val="1"/>
      </w:numPr>
      <w:spacing w:before="8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5B81"/>
    <w:pPr>
      <w:tabs>
        <w:tab w:val="num" w:pos="1080"/>
      </w:tabs>
      <w:spacing w:before="80" w:after="80"/>
      <w:outlineLvl w:val="3"/>
    </w:pPr>
    <w:rPr>
      <w:b/>
    </w:rPr>
  </w:style>
  <w:style w:type="paragraph" w:styleId="Heading5">
    <w:name w:val="heading 5"/>
    <w:aliases w:val="Block Label"/>
    <w:basedOn w:val="Normal"/>
    <w:next w:val="Normal"/>
    <w:link w:val="Heading5Char"/>
    <w:qFormat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Block Label Char"/>
    <w:link w:val="Heading5"/>
    <w:rsid w:val="00CC1EC9"/>
    <w:rPr>
      <w:b/>
      <w:sz w:val="22"/>
      <w:lang w:val="lv-LV" w:eastAsia="en-US" w:bidi="ar-SA"/>
    </w:rPr>
  </w:style>
  <w:style w:type="paragraph" w:styleId="BlockText">
    <w:name w:val="Block Text"/>
    <w:basedOn w:val="Normal"/>
    <w:uiPriority w:val="99"/>
    <w:rsid w:val="00FB249C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3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customStyle="1" w:styleId="NoteText">
    <w:name w:val="Note Text"/>
    <w:basedOn w:val="Normal"/>
  </w:style>
  <w:style w:type="paragraph" w:styleId="FootnoteText">
    <w:name w:val="footnote text"/>
    <w:basedOn w:val="Normal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SKHeader">
    <w:name w:val="TASK Header"/>
    <w:basedOn w:val="Heading4"/>
    <w:next w:val="Normal"/>
    <w:rsid w:val="00F8466E"/>
    <w:pPr>
      <w:numPr>
        <w:numId w:val="2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851"/>
      </w:tabs>
      <w:spacing w:before="160" w:after="160"/>
    </w:pPr>
  </w:style>
  <w:style w:type="paragraph" w:styleId="Footer">
    <w:name w:val="footer"/>
    <w:basedOn w:val="Normal"/>
    <w:pPr>
      <w:tabs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CommentText">
    <w:name w:val="annotation text"/>
    <w:basedOn w:val="Normal"/>
    <w:uiPriority w:val="99"/>
    <w:semiHidden/>
    <w:unhideWhenUsed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783635"/>
    <w:rPr>
      <w:b/>
      <w:bCs/>
    </w:rPr>
  </w:style>
  <w:style w:type="paragraph" w:styleId="BalloonText">
    <w:name w:val="Balloon Text"/>
    <w:basedOn w:val="Normal"/>
    <w:semiHidden/>
    <w:rsid w:val="007836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F228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20EB6"/>
    <w:pPr>
      <w:pBdr>
        <w:bottom w:val="single" w:sz="4" w:space="4" w:color="auto"/>
      </w:pBdr>
      <w:spacing w:before="100"/>
      <w:jc w:val="center"/>
    </w:pPr>
    <w:rPr>
      <w:b/>
      <w:sz w:val="28"/>
      <w:szCs w:val="28"/>
    </w:rPr>
  </w:style>
  <w:style w:type="paragraph" w:customStyle="1" w:styleId="Tableheading">
    <w:name w:val="Table heading"/>
    <w:basedOn w:val="Normal"/>
    <w:rsid w:val="00FB249C"/>
    <w:pPr>
      <w:spacing w:before="40" w:after="40"/>
      <w:ind w:left="72"/>
    </w:pPr>
    <w:rPr>
      <w:b/>
      <w:sz w:val="22"/>
    </w:rPr>
  </w:style>
  <w:style w:type="table" w:styleId="TableGrid">
    <w:name w:val="Table Grid"/>
    <w:basedOn w:val="TableNormal"/>
    <w:rsid w:val="0063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ext">
    <w:name w:val="Haupttext"/>
    <w:rsid w:val="0018085E"/>
    <w:pPr>
      <w:widowControl w:val="0"/>
      <w:spacing w:before="40" w:after="40"/>
    </w:pPr>
    <w:rPr>
      <w:rFonts w:ascii="Arial" w:hAnsi="Arial"/>
      <w:snapToGrid w:val="0"/>
      <w:sz w:val="18"/>
      <w:lang w:eastAsia="de-DE"/>
    </w:rPr>
  </w:style>
  <w:style w:type="paragraph" w:customStyle="1" w:styleId="svar">
    <w:name w:val="svar"/>
    <w:link w:val="svarChar"/>
    <w:rsid w:val="0018085E"/>
    <w:rPr>
      <w:snapToGrid w:val="0"/>
      <w:sz w:val="22"/>
      <w:szCs w:val="22"/>
      <w:lang w:eastAsia="de-DE"/>
    </w:rPr>
  </w:style>
  <w:style w:type="paragraph" w:customStyle="1" w:styleId="Blankettrubrik">
    <w:name w:val="Blankettrubrik"/>
    <w:basedOn w:val="Normal"/>
    <w:rsid w:val="0018085E"/>
    <w:rPr>
      <w:rFonts w:cs="Arial"/>
      <w:b/>
      <w:sz w:val="32"/>
      <w:szCs w:val="32"/>
      <w:lang w:eastAsia="sv-SE"/>
    </w:rPr>
  </w:style>
  <w:style w:type="paragraph" w:customStyle="1" w:styleId="Rubriktabell">
    <w:name w:val="Rubrik_tabell"/>
    <w:basedOn w:val="Normal"/>
    <w:rsid w:val="0018085E"/>
    <w:rPr>
      <w:rFonts w:cs="Arial"/>
      <w:b/>
      <w:sz w:val="18"/>
      <w:lang w:eastAsia="sv-SE"/>
    </w:rPr>
  </w:style>
  <w:style w:type="paragraph" w:customStyle="1" w:styleId="Ledtext">
    <w:name w:val="Ledtext"/>
    <w:basedOn w:val="Normal"/>
    <w:rsid w:val="0018085E"/>
    <w:rPr>
      <w:rFonts w:cs="Arial"/>
      <w:sz w:val="18"/>
      <w:lang w:eastAsia="sv-SE"/>
    </w:rPr>
  </w:style>
  <w:style w:type="character" w:customStyle="1" w:styleId="svarChar">
    <w:name w:val="svar Char"/>
    <w:link w:val="svar"/>
    <w:rsid w:val="0018085E"/>
    <w:rPr>
      <w:snapToGrid w:val="0"/>
      <w:sz w:val="22"/>
      <w:szCs w:val="22"/>
      <w:lang w:val="lv-LV" w:eastAsia="de-DE" w:bidi="ar-SA"/>
    </w:rPr>
  </w:style>
  <w:style w:type="paragraph" w:customStyle="1" w:styleId="philips">
    <w:name w:val="philips"/>
    <w:basedOn w:val="Normal"/>
    <w:rsid w:val="0018085E"/>
    <w:rPr>
      <w:b/>
      <w:sz w:val="23"/>
    </w:rPr>
  </w:style>
  <w:style w:type="paragraph" w:customStyle="1" w:styleId="TableText">
    <w:name w:val="Table Text"/>
    <w:basedOn w:val="Normal"/>
    <w:rsid w:val="002B2E8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0531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CE9"/>
    <w:pPr>
      <w:ind w:left="720"/>
    </w:pPr>
  </w:style>
  <w:style w:type="character" w:customStyle="1" w:styleId="HeaderChar">
    <w:name w:val="Header Char"/>
    <w:link w:val="Header"/>
    <w:uiPriority w:val="99"/>
    <w:rsid w:val="00740100"/>
    <w:rPr>
      <w:rFonts w:ascii="Arial" w:hAnsi="Arial"/>
      <w:b/>
      <w:sz w:val="28"/>
      <w:szCs w:val="28"/>
    </w:rPr>
  </w:style>
  <w:style w:type="paragraph" w:styleId="Revision">
    <w:name w:val="Revision"/>
    <w:hidden/>
    <w:uiPriority w:val="99"/>
    <w:semiHidden/>
    <w:rsid w:val="00C70F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01294\Application%20Data\Microsoft\Templates\Q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1A5EB05A0A4F87D9173AFC890185" ma:contentTypeVersion="10" ma:contentTypeDescription="Create a new document." ma:contentTypeScope="" ma:versionID="c7241937514331c2f2a988d31324ac04">
  <xsd:schema xmlns:xsd="http://www.w3.org/2001/XMLSchema" xmlns:xs="http://www.w3.org/2001/XMLSchema" xmlns:p="http://schemas.microsoft.com/office/2006/metadata/properties" xmlns:ns2="11d31b5b-1770-4a96-96dd-1e8c011fe6b5" xmlns:ns3="6f527269-e4c0-4f21-bd1d-47a89f23cf5a" targetNamespace="http://schemas.microsoft.com/office/2006/metadata/properties" ma:root="true" ma:fieldsID="d57efbe47621a25c96778b6d9f6fd6ff" ns2:_="" ns3:_="">
    <xsd:import namespace="11d31b5b-1770-4a96-96dd-1e8c011fe6b5"/>
    <xsd:import namespace="6f527269-e4c0-4f21-bd1d-47a89f23c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1b5b-1770-4a96-96dd-1e8c011fe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27269-e4c0-4f21-bd1d-47a89f23c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40374fb-a6cc-4854-989f-c1d94a7967ee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F1C1-7F52-4990-B892-738477D8B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874E5-2B85-40CB-A26A-AC0C56F69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31b5b-1770-4a96-96dd-1e8c011fe6b5"/>
    <ds:schemaRef ds:uri="6f527269-e4c0-4f21-bd1d-47a89f23c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2B8F1-46F2-4044-A223-75A1FFBC2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E46F7-B5EA-4EB7-9638-B481D7B3CE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8F8116-A316-4B39-A765-02CFA9E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QSdocument</Template>
  <TotalTime>0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Philips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dep01294</dc:creator>
  <cp:keywords/>
  <dc:description/>
  <cp:lastModifiedBy>Silvija Kaugere</cp:lastModifiedBy>
  <cp:revision>2</cp:revision>
  <cp:lastPrinted>2019-11-01T08:56:00Z</cp:lastPrinted>
  <dcterms:created xsi:type="dcterms:W3CDTF">2019-11-29T13:05:00Z</dcterms:created>
  <dcterms:modified xsi:type="dcterms:W3CDTF">2019-11-29T13:05:00Z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0x01010075E01A5EB05A0A4F87D9173AFC890185</vt:lpwstr>
  </property>
</Properties>
</file>