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40" w:rsidRDefault="00FE2840">
      <w:pPr>
        <w:pStyle w:val="Footer"/>
        <w:ind w:right="-622"/>
        <w:rPr>
          <w:b/>
          <w:sz w:val="22"/>
          <w:szCs w:val="22"/>
          <w:lang w:val="lv-LV"/>
        </w:rPr>
      </w:pPr>
    </w:p>
    <w:p w:rsidR="00FE2840" w:rsidRDefault="00FE2840">
      <w:pPr>
        <w:rPr>
          <w:b/>
          <w:sz w:val="22"/>
          <w:szCs w:val="22"/>
          <w:lang w:val="lv-LV"/>
        </w:rPr>
        <w:sectPr w:rsidR="00FE2840">
          <w:footerReference w:type="default" r:id="rId6"/>
          <w:pgSz w:w="16838" w:h="11906" w:orient="landscape"/>
          <w:pgMar w:top="1134" w:right="680" w:bottom="1134" w:left="680" w:header="709" w:footer="709" w:gutter="0"/>
          <w:cols w:space="708"/>
          <w:docGrid w:linePitch="360"/>
        </w:sectPr>
      </w:pPr>
    </w:p>
    <w:tbl>
      <w:tblPr>
        <w:tblStyle w:val="TableGrid"/>
        <w:tblW w:w="1530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984"/>
        <w:gridCol w:w="1795"/>
        <w:gridCol w:w="1560"/>
        <w:gridCol w:w="8410"/>
      </w:tblGrid>
      <w:tr w:rsidR="0008583C" w:rsidRPr="005131E7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3C" w:rsidRPr="005131E7" w:rsidRDefault="000858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131E7">
              <w:rPr>
                <w:b/>
                <w:sz w:val="20"/>
                <w:szCs w:val="20"/>
              </w:rPr>
              <w:t>Nr</w:t>
            </w:r>
            <w:proofErr w:type="spellEnd"/>
            <w:r w:rsidRPr="005131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31E7">
              <w:rPr>
                <w:b/>
                <w:sz w:val="20"/>
                <w:szCs w:val="20"/>
              </w:rPr>
              <w:t>p.k</w:t>
            </w:r>
            <w:proofErr w:type="spellEnd"/>
            <w:r w:rsidRPr="005131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3C" w:rsidRPr="005131E7" w:rsidRDefault="0008583C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5131E7">
              <w:rPr>
                <w:b/>
                <w:sz w:val="20"/>
                <w:szCs w:val="20"/>
              </w:rPr>
              <w:t>Reģ</w:t>
            </w:r>
            <w:proofErr w:type="spellEnd"/>
            <w:r w:rsidRPr="005131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5131E7">
              <w:rPr>
                <w:b/>
                <w:sz w:val="20"/>
                <w:szCs w:val="20"/>
              </w:rPr>
              <w:t>numurs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3C" w:rsidRPr="005131E7" w:rsidRDefault="0008583C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5131E7">
              <w:rPr>
                <w:b/>
                <w:sz w:val="20"/>
                <w:szCs w:val="20"/>
              </w:rPr>
              <w:t>Zāļu</w:t>
            </w:r>
            <w:proofErr w:type="spellEnd"/>
            <w:r w:rsidRPr="005131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31E7">
              <w:rPr>
                <w:b/>
                <w:sz w:val="20"/>
                <w:szCs w:val="20"/>
              </w:rPr>
              <w:t>nosaukums</w:t>
            </w:r>
            <w:proofErr w:type="spellEnd"/>
            <w:r w:rsidRPr="005131E7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131E7">
              <w:rPr>
                <w:b/>
                <w:sz w:val="20"/>
                <w:szCs w:val="20"/>
              </w:rPr>
              <w:t>zāļu</w:t>
            </w:r>
            <w:proofErr w:type="spellEnd"/>
            <w:r w:rsidRPr="005131E7">
              <w:rPr>
                <w:b/>
                <w:sz w:val="20"/>
                <w:szCs w:val="20"/>
              </w:rPr>
              <w:t xml:space="preserve"> forma, </w:t>
            </w:r>
            <w:proofErr w:type="spellStart"/>
            <w:r w:rsidRPr="005131E7">
              <w:rPr>
                <w:b/>
                <w:sz w:val="20"/>
                <w:szCs w:val="20"/>
              </w:rPr>
              <w:t>stiprums</w:t>
            </w:r>
            <w:proofErr w:type="spellEnd"/>
            <w:r w:rsidRPr="005131E7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Pr="005131E7">
              <w:rPr>
                <w:b/>
                <w:sz w:val="20"/>
                <w:szCs w:val="20"/>
              </w:rPr>
              <w:t>koncentrācija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3C" w:rsidRPr="005131E7" w:rsidRDefault="000858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131E7">
              <w:rPr>
                <w:b/>
                <w:bCs/>
                <w:sz w:val="20"/>
                <w:szCs w:val="20"/>
              </w:rPr>
              <w:t>Aktīvās</w:t>
            </w:r>
            <w:proofErr w:type="spellEnd"/>
            <w:r w:rsidRPr="005131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1E7">
              <w:rPr>
                <w:b/>
                <w:bCs/>
                <w:sz w:val="20"/>
                <w:szCs w:val="20"/>
              </w:rPr>
              <w:t>vielas</w:t>
            </w:r>
            <w:proofErr w:type="spellEnd"/>
            <w:r w:rsidRPr="005131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1E7">
              <w:rPr>
                <w:b/>
                <w:bCs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3C" w:rsidRPr="005131E7" w:rsidRDefault="0008583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131E7">
              <w:rPr>
                <w:b/>
                <w:bCs/>
                <w:sz w:val="20"/>
                <w:szCs w:val="20"/>
              </w:rPr>
              <w:t>Reģistrācijas</w:t>
            </w:r>
            <w:proofErr w:type="spellEnd"/>
            <w:r w:rsidRPr="005131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1E7">
              <w:rPr>
                <w:b/>
                <w:bCs/>
                <w:sz w:val="20"/>
                <w:szCs w:val="20"/>
              </w:rPr>
              <w:t>apliecības</w:t>
            </w:r>
            <w:proofErr w:type="spellEnd"/>
            <w:r w:rsidRPr="005131E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31E7">
              <w:rPr>
                <w:b/>
                <w:bCs/>
                <w:sz w:val="20"/>
                <w:szCs w:val="20"/>
              </w:rPr>
              <w:t>īpašnieks</w:t>
            </w:r>
            <w:proofErr w:type="spellEnd"/>
            <w:r w:rsidRPr="005131E7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131E7">
              <w:rPr>
                <w:b/>
                <w:bCs/>
                <w:sz w:val="20"/>
                <w:szCs w:val="20"/>
              </w:rPr>
              <w:t>valsts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3C" w:rsidRPr="005131E7" w:rsidRDefault="0008583C">
            <w:pPr>
              <w:rPr>
                <w:b/>
                <w:sz w:val="20"/>
                <w:szCs w:val="20"/>
              </w:rPr>
            </w:pPr>
            <w:proofErr w:type="spellStart"/>
            <w:r w:rsidRPr="005131E7">
              <w:rPr>
                <w:b/>
                <w:sz w:val="20"/>
                <w:szCs w:val="20"/>
              </w:rPr>
              <w:t>Izmaiņu</w:t>
            </w:r>
            <w:proofErr w:type="spellEnd"/>
            <w:r w:rsidRPr="005131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31E7">
              <w:rPr>
                <w:b/>
                <w:sz w:val="20"/>
                <w:szCs w:val="20"/>
              </w:rPr>
              <w:t>būtība</w:t>
            </w:r>
            <w:proofErr w:type="spellEnd"/>
          </w:p>
        </w:tc>
      </w:tr>
      <w:tr w:rsidR="00F2161F" w:rsidRPr="005131E7" w:rsidTr="003E57F0">
        <w:trPr>
          <w:trHeight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F" w:rsidRPr="003C62EC" w:rsidRDefault="003C62EC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F" w:rsidRPr="001019EC" w:rsidRDefault="008441D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09-0375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F" w:rsidRPr="001019EC" w:rsidRDefault="00B7762F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Duphalac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Fruit 667 mg/ml </w:t>
            </w:r>
            <w:proofErr w:type="spellStart"/>
            <w:r w:rsidRPr="001019EC">
              <w:rPr>
                <w:bCs/>
                <w:sz w:val="20"/>
                <w:szCs w:val="20"/>
              </w:rPr>
              <w:t>šķīdums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iekšķīgai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lietošanai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F" w:rsidRPr="001019EC" w:rsidRDefault="00B7762F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Lactulosum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F" w:rsidRPr="001019EC" w:rsidRDefault="00B7762F">
            <w:pPr>
              <w:rPr>
                <w:bCs/>
                <w:sz w:val="20"/>
                <w:szCs w:val="20"/>
              </w:rPr>
            </w:pPr>
            <w:r w:rsidRPr="001019EC">
              <w:rPr>
                <w:bCs/>
                <w:sz w:val="20"/>
                <w:szCs w:val="20"/>
              </w:rPr>
              <w:t xml:space="preserve">Mylan Healthcare GmbH, </w:t>
            </w:r>
            <w:proofErr w:type="spellStart"/>
            <w:r w:rsidRPr="001019EC">
              <w:rPr>
                <w:bCs/>
                <w:sz w:val="20"/>
                <w:szCs w:val="20"/>
              </w:rPr>
              <w:t>Vācija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61F" w:rsidRPr="001019EC" w:rsidRDefault="00B7762F" w:rsidP="00DD2200">
            <w:pPr>
              <w:tabs>
                <w:tab w:val="left" w:pos="1508"/>
              </w:tabs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="0030030E" w:rsidRPr="001019EC">
              <w:rPr>
                <w:sz w:val="20"/>
                <w:szCs w:val="20"/>
              </w:rPr>
              <w:t>.</w:t>
            </w:r>
            <w:r w:rsidRPr="001019EC">
              <w:rPr>
                <w:sz w:val="20"/>
                <w:szCs w:val="20"/>
              </w:rPr>
              <w:t xml:space="preserve"> 4.9.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papildinātas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pārdozēšanas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pazīmes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elektrolītu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zudumu</w:t>
            </w:r>
            <w:proofErr w:type="spellEnd"/>
            <w:r w:rsidRPr="001019EC">
              <w:rPr>
                <w:sz w:val="20"/>
                <w:szCs w:val="20"/>
              </w:rPr>
              <w:t xml:space="preserve">, 6.1.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no </w:t>
            </w:r>
            <w:proofErr w:type="spellStart"/>
            <w:r w:rsidRPr="001019EC">
              <w:rPr>
                <w:sz w:val="20"/>
                <w:szCs w:val="20"/>
              </w:rPr>
              <w:t>palīgvielu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saraksta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svītrota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epilaktoze</w:t>
            </w:r>
            <w:r w:rsidR="00944B8F" w:rsidRPr="001019EC">
              <w:rPr>
                <w:sz w:val="20"/>
                <w:szCs w:val="20"/>
              </w:rPr>
              <w:t>.</w:t>
            </w:r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aprakstu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</w:tc>
      </w:tr>
      <w:tr w:rsidR="0013429E" w:rsidRPr="005131E7" w:rsidTr="003E57F0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3C62EC" w:rsidRDefault="003C62EC" w:rsidP="0013429E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13429E" w:rsidP="0013429E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04-0117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13429E" w:rsidP="0013429E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Chirocaine</w:t>
            </w:r>
            <w:proofErr w:type="spellEnd"/>
            <w:r w:rsidRPr="001019EC">
              <w:rPr>
                <w:sz w:val="20"/>
                <w:szCs w:val="20"/>
              </w:rPr>
              <w:t xml:space="preserve"> 5 mg/ml </w:t>
            </w:r>
            <w:proofErr w:type="spellStart"/>
            <w:r w:rsidRPr="001019EC">
              <w:rPr>
                <w:sz w:val="20"/>
                <w:szCs w:val="20"/>
              </w:rPr>
              <w:t>šķīdums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injekcijām</w:t>
            </w:r>
            <w:proofErr w:type="spellEnd"/>
            <w:r w:rsidRPr="001019EC">
              <w:rPr>
                <w:sz w:val="20"/>
                <w:szCs w:val="20"/>
              </w:rPr>
              <w:t>/</w:t>
            </w:r>
            <w:r w:rsidR="001E2045"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koncentrāts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infūziju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šķīduma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pagatavoš</w:t>
            </w:r>
            <w:bookmarkStart w:id="0" w:name="_GoBack"/>
            <w:bookmarkEnd w:id="0"/>
            <w:r w:rsidRPr="001019EC">
              <w:rPr>
                <w:sz w:val="20"/>
                <w:szCs w:val="20"/>
              </w:rPr>
              <w:t>anai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13429E" w:rsidP="0013429E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Levobupivacainum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3E57F0" w:rsidP="0013429E">
            <w:pPr>
              <w:rPr>
                <w:bCs/>
                <w:sz w:val="20"/>
                <w:szCs w:val="20"/>
              </w:rPr>
            </w:pPr>
            <w:r w:rsidRPr="001019EC">
              <w:rPr>
                <w:bCs/>
                <w:sz w:val="20"/>
                <w:szCs w:val="20"/>
              </w:rPr>
              <w:t xml:space="preserve">AbbVie, SIA, </w:t>
            </w:r>
            <w:proofErr w:type="spellStart"/>
            <w:r w:rsidRPr="001019EC">
              <w:rPr>
                <w:bCs/>
                <w:sz w:val="20"/>
                <w:szCs w:val="20"/>
              </w:rPr>
              <w:t>Latvija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3E57F0" w:rsidP="00DD2200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Harmonizēta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uzņēmuma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pamatdatiem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4.2.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pievienota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detalizētāka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lietošanu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ilgāk</w:t>
            </w:r>
            <w:proofErr w:type="spellEnd"/>
            <w:r w:rsidRPr="001019EC">
              <w:rPr>
                <w:sz w:val="20"/>
                <w:szCs w:val="20"/>
              </w:rPr>
              <w:t xml:space="preserve"> par 24 </w:t>
            </w:r>
            <w:proofErr w:type="spellStart"/>
            <w:r w:rsidRPr="001019EC">
              <w:rPr>
                <w:sz w:val="20"/>
                <w:szCs w:val="20"/>
              </w:rPr>
              <w:t>stundām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nepieciešamību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pielāgot</w:t>
            </w:r>
            <w:proofErr w:type="spellEnd"/>
            <w:r w:rsidRPr="001019EC">
              <w:rPr>
                <w:sz w:val="20"/>
                <w:szCs w:val="20"/>
              </w:rPr>
              <w:t xml:space="preserve"> devas </w:t>
            </w:r>
            <w:proofErr w:type="spellStart"/>
            <w:r w:rsidRPr="001019EC">
              <w:rPr>
                <w:sz w:val="20"/>
                <w:szCs w:val="20"/>
              </w:rPr>
              <w:t>pediatriskajā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populācijā</w:t>
            </w:r>
            <w:proofErr w:type="spellEnd"/>
            <w:r w:rsidR="00DD2200"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saskaņota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</w:tc>
      </w:tr>
      <w:tr w:rsidR="0013429E" w:rsidRPr="005131E7" w:rsidTr="00875C07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3C62EC" w:rsidRDefault="003C62EC" w:rsidP="0013429E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9563D9" w:rsidP="0013429E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03-0350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9563D9" w:rsidP="0013429E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Gynofort</w:t>
            </w:r>
            <w:proofErr w:type="spellEnd"/>
            <w:r w:rsidRPr="001019EC">
              <w:rPr>
                <w:sz w:val="20"/>
                <w:szCs w:val="20"/>
              </w:rPr>
              <w:t xml:space="preserve"> 20 mg/g </w:t>
            </w:r>
            <w:proofErr w:type="spellStart"/>
            <w:r w:rsidRPr="001019EC">
              <w:rPr>
                <w:sz w:val="20"/>
                <w:szCs w:val="20"/>
              </w:rPr>
              <w:t>vaginālais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krēms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9563D9" w:rsidP="0013429E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Butoconazoli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nitras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9563D9" w:rsidP="0013429E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Gedeon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Richter Plc., </w:t>
            </w:r>
            <w:proofErr w:type="spellStart"/>
            <w:r w:rsidRPr="001019EC">
              <w:rPr>
                <w:bCs/>
                <w:sz w:val="20"/>
                <w:szCs w:val="20"/>
              </w:rPr>
              <w:t>Ungārija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875C07" w:rsidP="00DD2200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uzņēmuma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pamatdatiem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Pievienota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kontrindikācija</w:t>
            </w:r>
            <w:proofErr w:type="spellEnd"/>
            <w:r w:rsidRPr="001019EC">
              <w:rPr>
                <w:sz w:val="20"/>
                <w:szCs w:val="20"/>
              </w:rPr>
              <w:t xml:space="preserve"> - </w:t>
            </w:r>
            <w:proofErr w:type="spellStart"/>
            <w:r w:rsidRPr="001019EC">
              <w:rPr>
                <w:sz w:val="20"/>
                <w:szCs w:val="20"/>
              </w:rPr>
              <w:t>grūtniecības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pirmais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trimestris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sievietes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reproduktīvajā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vecumā</w:t>
            </w:r>
            <w:proofErr w:type="spellEnd"/>
            <w:r w:rsidRPr="001019EC">
              <w:rPr>
                <w:sz w:val="20"/>
                <w:szCs w:val="20"/>
              </w:rPr>
              <w:t xml:space="preserve">, ja </w:t>
            </w:r>
            <w:proofErr w:type="spellStart"/>
            <w:r w:rsidRPr="001019EC">
              <w:rPr>
                <w:sz w:val="20"/>
                <w:szCs w:val="20"/>
              </w:rPr>
              <w:t>netiek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kontracepcija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Iekļauts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brīdinājums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ilgstošu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vaginālā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krēma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darbību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sakarā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ko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nav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ieteicama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dzimumdzīve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maksts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mitrināšana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vai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skalošana</w:t>
            </w:r>
            <w:proofErr w:type="spellEnd"/>
            <w:r w:rsidRPr="001019EC">
              <w:rPr>
                <w:sz w:val="20"/>
                <w:szCs w:val="20"/>
              </w:rPr>
              <w:t xml:space="preserve"> 3 </w:t>
            </w:r>
            <w:proofErr w:type="spellStart"/>
            <w:r w:rsidRPr="001019EC">
              <w:rPr>
                <w:sz w:val="20"/>
                <w:szCs w:val="20"/>
              </w:rPr>
              <w:t>dienas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pēc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Iekļauta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reproduktīvo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toksicitāti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pētījumos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dzīvniekiem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saskaņoti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</w:tc>
      </w:tr>
      <w:tr w:rsidR="0013429E" w:rsidRPr="005131E7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3C62EC" w:rsidRDefault="003C62EC" w:rsidP="0013429E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EE73EE" w:rsidP="0013429E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03-0350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EE73EE" w:rsidP="0013429E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Gynofort</w:t>
            </w:r>
            <w:proofErr w:type="spellEnd"/>
            <w:r w:rsidRPr="001019EC">
              <w:rPr>
                <w:sz w:val="20"/>
                <w:szCs w:val="20"/>
              </w:rPr>
              <w:t xml:space="preserve"> 20 mg/g </w:t>
            </w:r>
            <w:proofErr w:type="spellStart"/>
            <w:r w:rsidRPr="001019EC">
              <w:rPr>
                <w:sz w:val="20"/>
                <w:szCs w:val="20"/>
              </w:rPr>
              <w:t>vaginālais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krēms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EE73EE" w:rsidP="0013429E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Butoconazoli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nitras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EE73EE" w:rsidP="0013429E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Gedeon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Richter Plc., </w:t>
            </w:r>
            <w:proofErr w:type="spellStart"/>
            <w:r w:rsidRPr="001019EC">
              <w:rPr>
                <w:bCs/>
                <w:sz w:val="20"/>
                <w:szCs w:val="20"/>
              </w:rPr>
              <w:t>Ungārija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EE" w:rsidRPr="001019EC" w:rsidRDefault="007D70B0" w:rsidP="00DD2200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G</w:t>
            </w:r>
            <w:r w:rsidR="00EE73EE" w:rsidRPr="001019EC">
              <w:rPr>
                <w:sz w:val="20"/>
                <w:szCs w:val="20"/>
              </w:rPr>
              <w:t>rozīta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terapeitiskā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indikācija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pamatojoties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uz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atjaun</w:t>
            </w:r>
            <w:r w:rsidRPr="001019EC">
              <w:rPr>
                <w:sz w:val="20"/>
                <w:szCs w:val="20"/>
              </w:rPr>
              <w:t>oto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informāciju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  <w:r w:rsidR="00EE73EE" w:rsidRPr="001019EC">
              <w:rPr>
                <w:sz w:val="20"/>
                <w:szCs w:val="20"/>
              </w:rPr>
              <w:br/>
            </w:r>
            <w:proofErr w:type="spellStart"/>
            <w:r w:rsidR="00EE73EE" w:rsidRPr="001019EC">
              <w:rPr>
                <w:sz w:val="20"/>
                <w:szCs w:val="20"/>
              </w:rPr>
              <w:t>Indikācija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koriģēta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no “</w:t>
            </w:r>
            <w:proofErr w:type="spellStart"/>
            <w:r w:rsidR="00EE73EE" w:rsidRPr="001019EC">
              <w:rPr>
                <w:sz w:val="20"/>
                <w:szCs w:val="20"/>
              </w:rPr>
              <w:t>Gynofort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indicēts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vietējai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vulvas un </w:t>
            </w:r>
            <w:proofErr w:type="spellStart"/>
            <w:r w:rsidR="00EE73EE" w:rsidRPr="001019EC">
              <w:rPr>
                <w:sz w:val="20"/>
                <w:szCs w:val="20"/>
              </w:rPr>
              <w:t>maksts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Candida </w:t>
            </w:r>
            <w:proofErr w:type="spellStart"/>
            <w:r w:rsidR="00EE73EE" w:rsidRPr="001019EC">
              <w:rPr>
                <w:sz w:val="20"/>
                <w:szCs w:val="20"/>
              </w:rPr>
              <w:t>albicans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izraisītu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sēnīšu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infekciju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ārstēšanai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” </w:t>
            </w:r>
            <w:proofErr w:type="spellStart"/>
            <w:r w:rsidR="00EE73EE" w:rsidRPr="001019EC">
              <w:rPr>
                <w:sz w:val="20"/>
                <w:szCs w:val="20"/>
              </w:rPr>
              <w:t>uz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– “</w:t>
            </w:r>
            <w:proofErr w:type="spellStart"/>
            <w:r w:rsidR="00EE73EE" w:rsidRPr="001019EC">
              <w:rPr>
                <w:sz w:val="20"/>
                <w:szCs w:val="20"/>
              </w:rPr>
              <w:t>Gynofort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indicēts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vietējai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vulvas un </w:t>
            </w:r>
            <w:proofErr w:type="spellStart"/>
            <w:r w:rsidR="00EE73EE" w:rsidRPr="001019EC">
              <w:rPr>
                <w:sz w:val="20"/>
                <w:szCs w:val="20"/>
              </w:rPr>
              <w:t>maksts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Candida </w:t>
            </w:r>
            <w:proofErr w:type="spellStart"/>
            <w:r w:rsidR="00EE73EE" w:rsidRPr="001019EC">
              <w:rPr>
                <w:sz w:val="20"/>
                <w:szCs w:val="20"/>
              </w:rPr>
              <w:t>sugu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izraisītu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sēnīšu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infekciju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ārstēšanai</w:t>
            </w:r>
            <w:proofErr w:type="spellEnd"/>
            <w:r w:rsidRPr="001019EC">
              <w:rPr>
                <w:sz w:val="20"/>
                <w:szCs w:val="20"/>
              </w:rPr>
              <w:t>”.</w:t>
            </w:r>
            <w:r w:rsidR="00EE73EE" w:rsidRPr="001019EC">
              <w:rPr>
                <w:sz w:val="20"/>
                <w:szCs w:val="20"/>
              </w:rPr>
              <w:br/>
            </w:r>
            <w:proofErr w:type="spellStart"/>
            <w:r w:rsidR="00EE73EE" w:rsidRPr="001019EC">
              <w:rPr>
                <w:sz w:val="20"/>
                <w:szCs w:val="20"/>
              </w:rPr>
              <w:t>Zāļu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apraksts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="00EE73EE" w:rsidRPr="001019EC">
              <w:rPr>
                <w:sz w:val="20"/>
                <w:szCs w:val="20"/>
              </w:rPr>
              <w:t>lietošanas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instrukcija</w:t>
            </w:r>
            <w:proofErr w:type="spellEnd"/>
            <w:r w:rsidR="00EE73EE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E73EE" w:rsidRPr="001019EC">
              <w:rPr>
                <w:sz w:val="20"/>
                <w:szCs w:val="20"/>
              </w:rPr>
              <w:t>saskaņoti</w:t>
            </w:r>
            <w:proofErr w:type="spellEnd"/>
            <w:r w:rsidR="00EE73EE" w:rsidRPr="001019EC">
              <w:rPr>
                <w:sz w:val="20"/>
                <w:szCs w:val="20"/>
              </w:rPr>
              <w:t>.</w:t>
            </w:r>
          </w:p>
          <w:p w:rsidR="0013429E" w:rsidRPr="001019EC" w:rsidRDefault="0013429E" w:rsidP="005D35DD">
            <w:pPr>
              <w:rPr>
                <w:sz w:val="20"/>
                <w:szCs w:val="20"/>
              </w:rPr>
            </w:pPr>
          </w:p>
        </w:tc>
      </w:tr>
      <w:tr w:rsidR="0013429E" w:rsidRPr="005131E7" w:rsidTr="003519A4">
        <w:trPr>
          <w:trHeight w:val="1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3C62EC" w:rsidRDefault="003C62EC" w:rsidP="003C62EC">
            <w:pPr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 xml:space="preserve">  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672CBC" w:rsidP="0013429E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96-0327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672CBC" w:rsidP="0013429E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Decaris</w:t>
            </w:r>
            <w:proofErr w:type="spellEnd"/>
            <w:r w:rsidRPr="001019EC">
              <w:rPr>
                <w:sz w:val="20"/>
                <w:szCs w:val="20"/>
              </w:rPr>
              <w:t xml:space="preserve"> 150 mg </w:t>
            </w:r>
            <w:proofErr w:type="spellStart"/>
            <w:r w:rsidRPr="001019EC">
              <w:rPr>
                <w:sz w:val="20"/>
                <w:szCs w:val="20"/>
              </w:rPr>
              <w:t>tablete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672CBC" w:rsidP="0013429E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Levamisolum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672CBC" w:rsidP="0013429E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Gedeon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Richter Plc., </w:t>
            </w:r>
            <w:proofErr w:type="spellStart"/>
            <w:r w:rsidRPr="001019EC">
              <w:rPr>
                <w:bCs/>
                <w:sz w:val="20"/>
                <w:szCs w:val="20"/>
              </w:rPr>
              <w:t>Ungārija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672CBC" w:rsidP="00DD2200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uzņēmuma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pamatdatiem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4.4.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iekļauts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ka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levamizola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ilgstoša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lietošana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devās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kas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augstākas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ieteicamajām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tiek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saistīta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leikopēniju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neitropēniju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agranulocitozi</w:t>
            </w:r>
            <w:proofErr w:type="spellEnd"/>
            <w:r w:rsidRPr="001019EC">
              <w:rPr>
                <w:sz w:val="20"/>
                <w:szCs w:val="20"/>
              </w:rPr>
              <w:t xml:space="preserve">, 4.9.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pārdozēšanas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simptomi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papildināti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leikopēniju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agranulocitozi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neitropēniju</w:t>
            </w:r>
            <w:proofErr w:type="spellEnd"/>
            <w:r w:rsidR="00DD2200"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saskaņoti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</w:tc>
      </w:tr>
      <w:tr w:rsidR="0013429E" w:rsidRPr="005131E7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3C62EC" w:rsidRDefault="003C62EC" w:rsidP="0013429E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6.</w:t>
            </w:r>
          </w:p>
          <w:p w:rsidR="0013429E" w:rsidRPr="003C62EC" w:rsidRDefault="0013429E" w:rsidP="001342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1" w:rsidRPr="001019EC" w:rsidRDefault="003D61E1" w:rsidP="003D61E1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98-0654</w:t>
            </w:r>
          </w:p>
          <w:p w:rsidR="0013429E" w:rsidRPr="001019EC" w:rsidRDefault="00622745" w:rsidP="0013429E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98-0534</w:t>
            </w:r>
          </w:p>
          <w:p w:rsidR="00EE1331" w:rsidRPr="001019EC" w:rsidRDefault="00EE1331" w:rsidP="0013429E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98-0535</w:t>
            </w:r>
          </w:p>
          <w:p w:rsidR="00D3013A" w:rsidRPr="001019EC" w:rsidRDefault="00D3013A" w:rsidP="0013429E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98-0655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E1" w:rsidRPr="001019EC" w:rsidRDefault="003D61E1" w:rsidP="0013429E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Fraxiparine</w:t>
            </w:r>
            <w:proofErr w:type="spellEnd"/>
            <w:r w:rsidRPr="001019EC">
              <w:rPr>
                <w:sz w:val="20"/>
                <w:szCs w:val="20"/>
              </w:rPr>
              <w:t xml:space="preserve"> 2850 SV</w:t>
            </w:r>
            <w:r w:rsidR="001E2045" w:rsidRPr="001019EC">
              <w:rPr>
                <w:sz w:val="20"/>
                <w:szCs w:val="20"/>
              </w:rPr>
              <w:t>;</w:t>
            </w:r>
          </w:p>
          <w:p w:rsidR="001B6C80" w:rsidRPr="001019EC" w:rsidRDefault="00622745" w:rsidP="0013429E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3800 SV</w:t>
            </w:r>
            <w:r w:rsidR="001E2045" w:rsidRPr="001019EC">
              <w:rPr>
                <w:sz w:val="20"/>
                <w:szCs w:val="20"/>
              </w:rPr>
              <w:t>; 5700 SV;</w:t>
            </w:r>
          </w:p>
          <w:p w:rsidR="0013429E" w:rsidRPr="001019EC" w:rsidRDefault="000F2EA7" w:rsidP="0013429E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lastRenderedPageBreak/>
              <w:t>7600 SV,</w:t>
            </w:r>
            <w:r w:rsidR="00622745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622745" w:rsidRPr="001019EC">
              <w:rPr>
                <w:sz w:val="20"/>
                <w:szCs w:val="20"/>
              </w:rPr>
              <w:t>AXa</w:t>
            </w:r>
            <w:proofErr w:type="spellEnd"/>
            <w:r w:rsidR="00622745" w:rsidRPr="001019EC">
              <w:rPr>
                <w:sz w:val="20"/>
                <w:szCs w:val="20"/>
              </w:rPr>
              <w:t xml:space="preserve">/0,4 ml </w:t>
            </w:r>
            <w:proofErr w:type="spellStart"/>
            <w:r w:rsidR="00622745" w:rsidRPr="001019EC">
              <w:rPr>
                <w:sz w:val="20"/>
                <w:szCs w:val="20"/>
              </w:rPr>
              <w:t>šķīdums</w:t>
            </w:r>
            <w:proofErr w:type="spellEnd"/>
            <w:r w:rsidR="00622745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622745" w:rsidRPr="001019EC">
              <w:rPr>
                <w:sz w:val="20"/>
                <w:szCs w:val="20"/>
              </w:rPr>
              <w:t>injekcijām</w:t>
            </w:r>
            <w:proofErr w:type="spellEnd"/>
            <w:r w:rsidR="00622745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622745" w:rsidRPr="001019EC">
              <w:rPr>
                <w:sz w:val="20"/>
                <w:szCs w:val="20"/>
              </w:rPr>
              <w:t>pilnšļircē</w:t>
            </w:r>
            <w:proofErr w:type="spellEnd"/>
          </w:p>
          <w:p w:rsidR="00EE1331" w:rsidRPr="001019EC" w:rsidRDefault="00EE1331" w:rsidP="0013429E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622745" w:rsidP="0013429E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lastRenderedPageBreak/>
              <w:t>Nadroparinum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calcicum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3519A4" w:rsidP="0013429E">
            <w:pPr>
              <w:rPr>
                <w:bCs/>
                <w:sz w:val="20"/>
                <w:szCs w:val="20"/>
              </w:rPr>
            </w:pPr>
            <w:r w:rsidRPr="001019EC">
              <w:rPr>
                <w:bCs/>
                <w:sz w:val="20"/>
                <w:szCs w:val="20"/>
              </w:rPr>
              <w:t xml:space="preserve">Aspen Pharma Trading Ltd., </w:t>
            </w:r>
            <w:proofErr w:type="spellStart"/>
            <w:r w:rsidRPr="001019EC">
              <w:rPr>
                <w:bCs/>
                <w:sz w:val="20"/>
                <w:szCs w:val="20"/>
              </w:rPr>
              <w:t>Īrija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9E" w:rsidRPr="001019EC" w:rsidRDefault="003519A4" w:rsidP="00DD2200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klīnisko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ziņojumu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aprakstā</w:t>
            </w:r>
            <w:proofErr w:type="spellEnd"/>
            <w:r w:rsidRPr="001019EC">
              <w:rPr>
                <w:sz w:val="20"/>
                <w:szCs w:val="20"/>
              </w:rPr>
              <w:t xml:space="preserve"> 4.8.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pievienotas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blakupsarādības</w:t>
            </w:r>
            <w:proofErr w:type="spellEnd"/>
            <w:r w:rsidR="00DD2200" w:rsidRPr="001019EC">
              <w:rPr>
                <w:sz w:val="20"/>
                <w:szCs w:val="20"/>
              </w:rPr>
              <w:t xml:space="preserve"> -</w:t>
            </w:r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galvassāpes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migrēna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  <w:r w:rsidR="00DD2200"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aprakstu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</w:tc>
      </w:tr>
      <w:tr w:rsidR="000835A0" w:rsidRPr="005131E7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3C62EC" w:rsidRDefault="003C62EC" w:rsidP="000835A0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0835A0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10-0383</w:t>
            </w:r>
          </w:p>
          <w:p w:rsidR="000835A0" w:rsidRPr="001019EC" w:rsidRDefault="000835A0" w:rsidP="000835A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0835A0" w:rsidP="000835A0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Fraxiparine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multidose</w:t>
            </w:r>
            <w:proofErr w:type="spellEnd"/>
            <w:r w:rsidRPr="001019EC">
              <w:rPr>
                <w:sz w:val="20"/>
                <w:szCs w:val="20"/>
              </w:rPr>
              <w:t xml:space="preserve"> 47500 SV </w:t>
            </w:r>
            <w:proofErr w:type="spellStart"/>
            <w:r w:rsidRPr="001019EC">
              <w:rPr>
                <w:sz w:val="20"/>
                <w:szCs w:val="20"/>
              </w:rPr>
              <w:t>AXa</w:t>
            </w:r>
            <w:proofErr w:type="spellEnd"/>
            <w:r w:rsidRPr="001019EC">
              <w:rPr>
                <w:sz w:val="20"/>
                <w:szCs w:val="20"/>
              </w:rPr>
              <w:t xml:space="preserve">/5 ml </w:t>
            </w:r>
            <w:proofErr w:type="spellStart"/>
            <w:r w:rsidRPr="001019EC">
              <w:rPr>
                <w:sz w:val="20"/>
                <w:szCs w:val="20"/>
              </w:rPr>
              <w:t>šķīdums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injekcijām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Nadroparinum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calcicum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  <w:r w:rsidRPr="001019EC">
              <w:rPr>
                <w:bCs/>
                <w:sz w:val="20"/>
                <w:szCs w:val="20"/>
              </w:rPr>
              <w:t xml:space="preserve">Aspen Pharma Trading Ltd., </w:t>
            </w:r>
            <w:proofErr w:type="spellStart"/>
            <w:r w:rsidRPr="001019EC">
              <w:rPr>
                <w:bCs/>
                <w:sz w:val="20"/>
                <w:szCs w:val="20"/>
              </w:rPr>
              <w:t>Īrija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0835A0" w:rsidP="000835A0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klīnisko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ziņojumu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aprakstā</w:t>
            </w:r>
            <w:proofErr w:type="spellEnd"/>
            <w:r w:rsidRPr="001019EC">
              <w:rPr>
                <w:sz w:val="20"/>
                <w:szCs w:val="20"/>
              </w:rPr>
              <w:t xml:space="preserve"> 4.8.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pievienotas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blakupsarādības</w:t>
            </w:r>
            <w:proofErr w:type="spellEnd"/>
            <w:r w:rsidRPr="001019EC">
              <w:rPr>
                <w:sz w:val="20"/>
                <w:szCs w:val="20"/>
              </w:rPr>
              <w:t xml:space="preserve">  </w:t>
            </w:r>
            <w:proofErr w:type="spellStart"/>
            <w:r w:rsidRPr="001019EC">
              <w:rPr>
                <w:sz w:val="20"/>
                <w:szCs w:val="20"/>
              </w:rPr>
              <w:t>galvassāpes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migrēna.Lietošanas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aprakstu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</w:tc>
      </w:tr>
      <w:tr w:rsidR="000835A0" w:rsidRPr="005131E7" w:rsidTr="00A0343F">
        <w:trPr>
          <w:trHeight w:val="29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3C62EC" w:rsidRDefault="003C62EC" w:rsidP="000835A0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58348B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99-0621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58348B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 xml:space="preserve">Pan-Cefazolin 1 g </w:t>
            </w:r>
            <w:proofErr w:type="spellStart"/>
            <w:r w:rsidRPr="001019EC">
              <w:rPr>
                <w:sz w:val="20"/>
                <w:szCs w:val="20"/>
              </w:rPr>
              <w:t>pulveris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injekciju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šķīduma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pagatavošanai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58348B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Cefazolinum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8B" w:rsidRPr="001019EC" w:rsidRDefault="0058348B" w:rsidP="0058348B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Panpharma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Francija</w:t>
            </w:r>
            <w:proofErr w:type="spellEnd"/>
          </w:p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48B" w:rsidRPr="001019EC" w:rsidRDefault="0058348B" w:rsidP="0058348B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uzņēmuma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pamatdatiem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4.</w:t>
            </w:r>
            <w:proofErr w:type="gramStart"/>
            <w:r w:rsidR="00C1743F" w:rsidRPr="001019EC">
              <w:rPr>
                <w:sz w:val="20"/>
                <w:szCs w:val="20"/>
              </w:rPr>
              <w:t>4.apakšpunktā</w:t>
            </w:r>
            <w:proofErr w:type="gram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pievienots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brīdinājums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encefalopātijas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rašanās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risku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lietojot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bēta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laktāmu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grupas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antibakteriālos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līdzekļus</w:t>
            </w:r>
            <w:proofErr w:type="spellEnd"/>
            <w:r w:rsidR="0048448B"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="0048448B" w:rsidRPr="001019EC">
              <w:rPr>
                <w:sz w:val="20"/>
                <w:szCs w:val="20"/>
              </w:rPr>
              <w:t>pievienots</w:t>
            </w:r>
            <w:proofErr w:type="spellEnd"/>
            <w:r w:rsidR="0048448B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48448B" w:rsidRPr="001019EC">
              <w:rPr>
                <w:sz w:val="20"/>
                <w:szCs w:val="20"/>
              </w:rPr>
              <w:t>brīdinājums</w:t>
            </w:r>
            <w:proofErr w:type="spellEnd"/>
            <w:r w:rsidR="0048448B"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="0048448B" w:rsidRPr="001019EC">
              <w:rPr>
                <w:sz w:val="20"/>
                <w:szCs w:val="20"/>
              </w:rPr>
              <w:t>iespējamu</w:t>
            </w:r>
            <w:proofErr w:type="spellEnd"/>
            <w:r w:rsidR="0048448B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48448B" w:rsidRPr="001019EC">
              <w:rPr>
                <w:sz w:val="20"/>
                <w:szCs w:val="20"/>
              </w:rPr>
              <w:t>koagulācijas</w:t>
            </w:r>
            <w:proofErr w:type="spellEnd"/>
            <w:r w:rsidR="0048448B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48448B" w:rsidRPr="001019EC">
              <w:rPr>
                <w:sz w:val="20"/>
                <w:szCs w:val="20"/>
              </w:rPr>
              <w:t>traucējumu</w:t>
            </w:r>
            <w:proofErr w:type="spellEnd"/>
            <w:r w:rsidR="0048448B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48448B" w:rsidRPr="001019EC">
              <w:rPr>
                <w:sz w:val="20"/>
                <w:szCs w:val="20"/>
              </w:rPr>
              <w:t>rašanās</w:t>
            </w:r>
            <w:proofErr w:type="spellEnd"/>
            <w:r w:rsidR="0048448B" w:rsidRPr="001019EC">
              <w:rPr>
                <w:sz w:val="20"/>
                <w:szCs w:val="20"/>
              </w:rPr>
              <w:t xml:space="preserve"> risk.</w:t>
            </w:r>
            <w:r w:rsidRPr="001019EC">
              <w:rPr>
                <w:sz w:val="20"/>
                <w:szCs w:val="20"/>
              </w:rPr>
              <w:t xml:space="preserve">. 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4.</w:t>
            </w:r>
            <w:proofErr w:type="gramStart"/>
            <w:r w:rsidRPr="001019EC">
              <w:rPr>
                <w:sz w:val="20"/>
                <w:szCs w:val="20"/>
              </w:rPr>
              <w:t>7.apakšpunktā</w:t>
            </w:r>
            <w:proofErr w:type="gram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pievienots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brīdinājums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iespējamu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ietekmi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spēju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vadīt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transportlīdzekļus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apkalpot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mehānismus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4.8.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pievienota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nevēlamā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blakusparādība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encefalopātija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apjukums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epilepsija</w:t>
            </w:r>
            <w:proofErr w:type="spellEnd"/>
            <w:r w:rsidR="0048448B" w:rsidRPr="001019EC">
              <w:rPr>
                <w:sz w:val="20"/>
                <w:szCs w:val="20"/>
              </w:rPr>
              <w:t>,</w:t>
            </w:r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48448B" w:rsidRPr="001019EC">
              <w:rPr>
                <w:sz w:val="20"/>
                <w:szCs w:val="20"/>
              </w:rPr>
              <w:t>hemorāģija</w:t>
            </w:r>
            <w:proofErr w:type="spellEnd"/>
            <w:r w:rsidR="0048448B" w:rsidRPr="001019EC">
              <w:rPr>
                <w:sz w:val="20"/>
                <w:szCs w:val="20"/>
              </w:rPr>
              <w:t xml:space="preserve">, </w:t>
            </w:r>
            <w:proofErr w:type="spellStart"/>
            <w:r w:rsidR="0048448B" w:rsidRPr="001019EC">
              <w:rPr>
                <w:sz w:val="20"/>
                <w:szCs w:val="20"/>
              </w:rPr>
              <w:t>hemo</w:t>
            </w:r>
            <w:r w:rsidR="006E13FB" w:rsidRPr="001019EC">
              <w:rPr>
                <w:sz w:val="20"/>
                <w:szCs w:val="20"/>
              </w:rPr>
              <w:t>rāģiskais</w:t>
            </w:r>
            <w:proofErr w:type="spellEnd"/>
            <w:r w:rsidR="006E13FB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6E13FB" w:rsidRPr="001019EC">
              <w:rPr>
                <w:sz w:val="20"/>
                <w:szCs w:val="20"/>
              </w:rPr>
              <w:t>šoks</w:t>
            </w:r>
            <w:proofErr w:type="spellEnd"/>
            <w:r w:rsidR="006E13FB" w:rsidRPr="001019EC">
              <w:rPr>
                <w:sz w:val="20"/>
                <w:szCs w:val="20"/>
              </w:rPr>
              <w:t xml:space="preserve">, </w:t>
            </w:r>
            <w:proofErr w:type="spellStart"/>
            <w:r w:rsidR="006E13FB" w:rsidRPr="001019EC">
              <w:rPr>
                <w:sz w:val="20"/>
                <w:szCs w:val="20"/>
              </w:rPr>
              <w:t>koagulopātija</w:t>
            </w:r>
            <w:proofErr w:type="spellEnd"/>
            <w:r w:rsidR="0048448B"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sastopamības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biežumu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nav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zināmi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4.</w:t>
            </w:r>
            <w:proofErr w:type="gramStart"/>
            <w:r w:rsidRPr="001019EC">
              <w:rPr>
                <w:sz w:val="20"/>
                <w:szCs w:val="20"/>
              </w:rPr>
              <w:t>9.apakšpunktā</w:t>
            </w:r>
            <w:proofErr w:type="gram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pievienots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brīdinājums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apjukuma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epilepsijas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rašanās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risku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pārdozēšanas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gadījumā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</w:p>
          <w:p w:rsidR="000835A0" w:rsidRPr="001019EC" w:rsidRDefault="00A0343F" w:rsidP="0048448B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saskaņoti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</w:tc>
      </w:tr>
      <w:tr w:rsidR="000835A0" w:rsidRPr="005131E7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3C62EC" w:rsidRDefault="003C62EC" w:rsidP="000835A0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7D666A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99-0350</w:t>
            </w:r>
          </w:p>
          <w:p w:rsidR="007D666A" w:rsidRPr="001019EC" w:rsidRDefault="007D666A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99-0351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7D666A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Pan-Ampicillin 500 mg</w:t>
            </w:r>
            <w:r w:rsidR="000F2EA7" w:rsidRPr="001019EC">
              <w:rPr>
                <w:sz w:val="20"/>
                <w:szCs w:val="20"/>
              </w:rPr>
              <w:t xml:space="preserve">; </w:t>
            </w:r>
            <w:r w:rsidR="008F77B0" w:rsidRPr="001019EC">
              <w:rPr>
                <w:sz w:val="20"/>
                <w:szCs w:val="20"/>
              </w:rPr>
              <w:t>1 g</w:t>
            </w:r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pulveris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injekciju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šķīduma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pagatavošanai</w:t>
            </w:r>
            <w:proofErr w:type="spellEnd"/>
          </w:p>
          <w:p w:rsidR="007D666A" w:rsidRPr="001019EC" w:rsidRDefault="007D666A" w:rsidP="000835A0">
            <w:pPr>
              <w:pStyle w:val="BodyText"/>
              <w:spacing w:after="0"/>
              <w:rPr>
                <w:sz w:val="20"/>
                <w:szCs w:val="20"/>
              </w:rPr>
            </w:pPr>
          </w:p>
          <w:p w:rsidR="007D666A" w:rsidRPr="001019EC" w:rsidRDefault="007D666A" w:rsidP="000835A0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7D666A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Ampicillinum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7D666A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Panpharma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bCs/>
                <w:sz w:val="20"/>
                <w:szCs w:val="20"/>
              </w:rPr>
              <w:t>Francija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6A" w:rsidRPr="001019EC" w:rsidRDefault="007D666A" w:rsidP="007D666A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uzņēmuma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pamatdatiem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4.</w:t>
            </w:r>
            <w:proofErr w:type="gramStart"/>
            <w:r w:rsidRPr="001019EC">
              <w:rPr>
                <w:sz w:val="20"/>
                <w:szCs w:val="20"/>
              </w:rPr>
              <w:t>4.apakšpunktā</w:t>
            </w:r>
            <w:proofErr w:type="gram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precizēts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esošais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brīdinājums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atšķaidīšanu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benzilspirtu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nieru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darbības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traucējumiem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paaugstinātas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jutības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reakcijām</w:t>
            </w:r>
            <w:proofErr w:type="spellEnd"/>
            <w:r w:rsidRPr="001019EC">
              <w:rPr>
                <w:sz w:val="20"/>
                <w:szCs w:val="20"/>
              </w:rPr>
              <w:t xml:space="preserve">; </w:t>
            </w:r>
            <w:proofErr w:type="spellStart"/>
            <w:r w:rsidRPr="001019EC">
              <w:rPr>
                <w:sz w:val="20"/>
                <w:szCs w:val="20"/>
              </w:rPr>
              <w:t>pievienots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brīdinājums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kristalūrijas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rašanās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risku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iespējamām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asins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limfātiskās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sistēmas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reakcijām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4.</w:t>
            </w:r>
            <w:proofErr w:type="gramStart"/>
            <w:r w:rsidRPr="001019EC">
              <w:rPr>
                <w:sz w:val="20"/>
                <w:szCs w:val="20"/>
              </w:rPr>
              <w:t>5.apakšpunktā</w:t>
            </w:r>
            <w:proofErr w:type="gram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precizēts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esošais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brīdinājums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mijiedarbību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citiem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bakteriostātiskiem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līdzekļiem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svītrota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mijiedarbība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perorāliem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kontraceptīviem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līdzekļiem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4.</w:t>
            </w:r>
            <w:proofErr w:type="gramStart"/>
            <w:r w:rsidRPr="001019EC">
              <w:rPr>
                <w:sz w:val="20"/>
                <w:szCs w:val="20"/>
              </w:rPr>
              <w:t>8.apakšpunktā</w:t>
            </w:r>
            <w:proofErr w:type="gram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pievienotas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nevēlamās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blakusparādības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daudzformu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eritēma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akūta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ģeneralizēta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eksantematoza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pustuloze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pemfigoīdi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izsitumi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Stīvensa-Džonsona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sindroms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toksiska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epidermas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nekrolīze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sastopamības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biežumu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nav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zināmi</w:t>
            </w:r>
            <w:proofErr w:type="spellEnd"/>
            <w:r w:rsidRPr="001019EC">
              <w:rPr>
                <w:sz w:val="20"/>
                <w:szCs w:val="20"/>
              </w:rPr>
              <w:t xml:space="preserve">.  </w:t>
            </w:r>
            <w:r w:rsidRPr="001019EC">
              <w:rPr>
                <w:sz w:val="20"/>
                <w:szCs w:val="20"/>
              </w:rPr>
              <w:br/>
            </w:r>
            <w:r w:rsidRPr="001019EC">
              <w:rPr>
                <w:sz w:val="20"/>
                <w:szCs w:val="20"/>
              </w:rPr>
              <w:br/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saskaņoti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  <w:p w:rsidR="000835A0" w:rsidRPr="001019EC" w:rsidRDefault="000835A0" w:rsidP="000835A0">
            <w:pPr>
              <w:rPr>
                <w:sz w:val="20"/>
                <w:szCs w:val="20"/>
              </w:rPr>
            </w:pPr>
          </w:p>
        </w:tc>
      </w:tr>
      <w:tr w:rsidR="000835A0" w:rsidRPr="005131E7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3C62EC" w:rsidRDefault="003C62EC" w:rsidP="000835A0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F65DBC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14-0197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F65DBC" w:rsidP="000835A0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Sinex</w:t>
            </w:r>
            <w:proofErr w:type="spellEnd"/>
            <w:r w:rsidRPr="001019EC">
              <w:rPr>
                <w:sz w:val="20"/>
                <w:szCs w:val="20"/>
              </w:rPr>
              <w:t xml:space="preserve"> 0,5 mg/ml </w:t>
            </w:r>
            <w:proofErr w:type="spellStart"/>
            <w:r w:rsidRPr="001019EC">
              <w:rPr>
                <w:sz w:val="20"/>
                <w:szCs w:val="20"/>
              </w:rPr>
              <w:t>deguna</w:t>
            </w:r>
            <w:proofErr w:type="spellEnd"/>
            <w:r w:rsidRPr="001019EC">
              <w:rPr>
                <w:sz w:val="20"/>
                <w:szCs w:val="20"/>
              </w:rPr>
              <w:t xml:space="preserve"> aerosols, </w:t>
            </w:r>
            <w:proofErr w:type="spellStart"/>
            <w:r w:rsidRPr="001019EC">
              <w:rPr>
                <w:sz w:val="20"/>
                <w:szCs w:val="20"/>
              </w:rPr>
              <w:t>šķīdums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F65DBC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Oxymetazolini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hydrochloridum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F65DBC" w:rsidP="000835A0">
            <w:pPr>
              <w:rPr>
                <w:bCs/>
                <w:sz w:val="20"/>
                <w:szCs w:val="20"/>
              </w:rPr>
            </w:pPr>
            <w:r w:rsidRPr="001019EC">
              <w:rPr>
                <w:bCs/>
                <w:sz w:val="20"/>
                <w:szCs w:val="20"/>
              </w:rPr>
              <w:t xml:space="preserve">Wick Pharma, </w:t>
            </w:r>
            <w:proofErr w:type="spellStart"/>
            <w:r w:rsidRPr="001019EC">
              <w:rPr>
                <w:bCs/>
                <w:sz w:val="20"/>
                <w:szCs w:val="20"/>
              </w:rPr>
              <w:t>Vācija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F65DBC" w:rsidP="00BA6B18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atjaunota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uzņēmuma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pamatdatiem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apakšpunkts</w:t>
            </w:r>
            <w:proofErr w:type="spellEnd"/>
            <w:r w:rsidRPr="001019EC">
              <w:rPr>
                <w:sz w:val="20"/>
                <w:szCs w:val="20"/>
              </w:rPr>
              <w:t xml:space="preserve"> 4.2 </w:t>
            </w:r>
            <w:proofErr w:type="spellStart"/>
            <w:r w:rsidRPr="001019EC">
              <w:rPr>
                <w:sz w:val="20"/>
                <w:szCs w:val="20"/>
              </w:rPr>
              <w:t>papildināts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ka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zāles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nav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paredzētas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bērniem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līdz</w:t>
            </w:r>
            <w:proofErr w:type="spellEnd"/>
            <w:r w:rsidRPr="001019EC">
              <w:rPr>
                <w:sz w:val="20"/>
                <w:szCs w:val="20"/>
              </w:rPr>
              <w:t xml:space="preserve"> 6 </w:t>
            </w:r>
            <w:proofErr w:type="spellStart"/>
            <w:r w:rsidRPr="001019EC">
              <w:rPr>
                <w:sz w:val="20"/>
                <w:szCs w:val="20"/>
              </w:rPr>
              <w:t>gadu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vecumam</w:t>
            </w:r>
            <w:proofErr w:type="spellEnd"/>
            <w:r w:rsidRPr="001019EC">
              <w:rPr>
                <w:sz w:val="20"/>
                <w:szCs w:val="20"/>
              </w:rPr>
              <w:t xml:space="preserve">;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4.3 </w:t>
            </w:r>
            <w:proofErr w:type="spellStart"/>
            <w:r w:rsidRPr="001019EC">
              <w:rPr>
                <w:sz w:val="20"/>
                <w:szCs w:val="20"/>
              </w:rPr>
              <w:t>ir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svītrota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kontrindikācija</w:t>
            </w:r>
            <w:proofErr w:type="spellEnd"/>
            <w:r w:rsidRPr="001019EC">
              <w:rPr>
                <w:sz w:val="20"/>
                <w:szCs w:val="20"/>
              </w:rPr>
              <w:t xml:space="preserve"> – </w:t>
            </w:r>
            <w:proofErr w:type="spellStart"/>
            <w:r w:rsidRPr="001019EC">
              <w:rPr>
                <w:sz w:val="20"/>
                <w:szCs w:val="20"/>
              </w:rPr>
              <w:t>bērni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līdz</w:t>
            </w:r>
            <w:proofErr w:type="spellEnd"/>
            <w:r w:rsidRPr="001019EC">
              <w:rPr>
                <w:sz w:val="20"/>
                <w:szCs w:val="20"/>
              </w:rPr>
              <w:t xml:space="preserve"> 6 </w:t>
            </w:r>
            <w:proofErr w:type="spellStart"/>
            <w:r w:rsidRPr="001019EC">
              <w:rPr>
                <w:sz w:val="20"/>
                <w:szCs w:val="20"/>
              </w:rPr>
              <w:t>gadu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vecumam</w:t>
            </w:r>
            <w:proofErr w:type="spellEnd"/>
            <w:r w:rsidRPr="001019EC">
              <w:rPr>
                <w:sz w:val="20"/>
                <w:szCs w:val="20"/>
              </w:rPr>
              <w:t xml:space="preserve">;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4.6 </w:t>
            </w:r>
            <w:proofErr w:type="spellStart"/>
            <w:r w:rsidRPr="001019EC">
              <w:rPr>
                <w:sz w:val="20"/>
                <w:szCs w:val="20"/>
              </w:rPr>
              <w:t>ir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pievienota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ka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nepietiekamu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pierādījumu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dēļ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jāizvairās</w:t>
            </w:r>
            <w:proofErr w:type="spellEnd"/>
            <w:r w:rsidRPr="001019EC">
              <w:rPr>
                <w:sz w:val="20"/>
                <w:szCs w:val="20"/>
              </w:rPr>
              <w:t xml:space="preserve"> no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grūtniecības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barošanas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krūti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periodā</w:t>
            </w:r>
            <w:proofErr w:type="spellEnd"/>
            <w:r w:rsidRPr="001019EC">
              <w:rPr>
                <w:sz w:val="20"/>
                <w:szCs w:val="20"/>
              </w:rPr>
              <w:t xml:space="preserve">, ja </w:t>
            </w:r>
            <w:proofErr w:type="spellStart"/>
            <w:r w:rsidRPr="001019EC">
              <w:rPr>
                <w:sz w:val="20"/>
                <w:szCs w:val="20"/>
              </w:rPr>
              <w:t>vien</w:t>
            </w:r>
            <w:proofErr w:type="spellEnd"/>
            <w:r w:rsidRPr="001019EC">
              <w:rPr>
                <w:sz w:val="20"/>
                <w:szCs w:val="20"/>
              </w:rPr>
              <w:t xml:space="preserve"> to </w:t>
            </w:r>
            <w:proofErr w:type="spellStart"/>
            <w:r w:rsidRPr="001019EC">
              <w:rPr>
                <w:sz w:val="20"/>
                <w:szCs w:val="20"/>
              </w:rPr>
              <w:t>nav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noteicis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ārsts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saskaņoti</w:t>
            </w:r>
            <w:proofErr w:type="spellEnd"/>
            <w:r w:rsidR="00BA6B18" w:rsidRPr="001019EC">
              <w:rPr>
                <w:sz w:val="20"/>
                <w:szCs w:val="20"/>
              </w:rPr>
              <w:t xml:space="preserve">. </w:t>
            </w:r>
          </w:p>
        </w:tc>
      </w:tr>
      <w:tr w:rsidR="000835A0" w:rsidRPr="005131E7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3C62EC" w:rsidRDefault="000835A0" w:rsidP="000835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B0" w:rsidRPr="001019EC" w:rsidRDefault="008F77B0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13-0226</w:t>
            </w:r>
          </w:p>
          <w:p w:rsidR="000835A0" w:rsidRPr="001019EC" w:rsidRDefault="001D7C7B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00-0352</w:t>
            </w:r>
          </w:p>
          <w:p w:rsidR="00542E9B" w:rsidRPr="001019EC" w:rsidRDefault="00542E9B" w:rsidP="000835A0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0F2EA7" w:rsidP="000835A0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Dysport</w:t>
            </w:r>
            <w:proofErr w:type="spellEnd"/>
            <w:r w:rsidRPr="001019EC">
              <w:rPr>
                <w:sz w:val="20"/>
                <w:szCs w:val="20"/>
              </w:rPr>
              <w:t xml:space="preserve"> 300 V; </w:t>
            </w:r>
            <w:r w:rsidR="001D7C7B" w:rsidRPr="001019EC">
              <w:rPr>
                <w:sz w:val="20"/>
                <w:szCs w:val="20"/>
              </w:rPr>
              <w:t xml:space="preserve">500 V </w:t>
            </w:r>
            <w:proofErr w:type="spellStart"/>
            <w:r w:rsidR="001D7C7B" w:rsidRPr="001019EC">
              <w:rPr>
                <w:sz w:val="20"/>
                <w:szCs w:val="20"/>
              </w:rPr>
              <w:t>pulveris</w:t>
            </w:r>
            <w:proofErr w:type="spellEnd"/>
            <w:r w:rsidR="001D7C7B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1D7C7B" w:rsidRPr="001019EC">
              <w:rPr>
                <w:sz w:val="20"/>
                <w:szCs w:val="20"/>
              </w:rPr>
              <w:t>injekciju</w:t>
            </w:r>
            <w:proofErr w:type="spellEnd"/>
            <w:r w:rsidR="001D7C7B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1D7C7B" w:rsidRPr="001019EC">
              <w:rPr>
                <w:sz w:val="20"/>
                <w:szCs w:val="20"/>
              </w:rPr>
              <w:t>šķīduma</w:t>
            </w:r>
            <w:proofErr w:type="spellEnd"/>
            <w:r w:rsidR="001D7C7B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1D7C7B" w:rsidRPr="001019EC">
              <w:rPr>
                <w:sz w:val="20"/>
                <w:szCs w:val="20"/>
              </w:rPr>
              <w:t>pagatavošanai</w:t>
            </w:r>
            <w:proofErr w:type="spellEnd"/>
          </w:p>
          <w:p w:rsidR="00542E9B" w:rsidRPr="001019EC" w:rsidRDefault="00542E9B" w:rsidP="000835A0">
            <w:pPr>
              <w:pStyle w:val="BodyText"/>
              <w:spacing w:after="0"/>
              <w:rPr>
                <w:sz w:val="20"/>
                <w:szCs w:val="20"/>
              </w:rPr>
            </w:pPr>
          </w:p>
          <w:p w:rsidR="00542E9B" w:rsidRPr="001019EC" w:rsidRDefault="00542E9B" w:rsidP="000835A0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1D7C7B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Toxinum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A </w:t>
            </w:r>
            <w:proofErr w:type="spellStart"/>
            <w:r w:rsidRPr="001019EC">
              <w:rPr>
                <w:bCs/>
                <w:sz w:val="20"/>
                <w:szCs w:val="20"/>
              </w:rPr>
              <w:t>Clostridii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botulini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haemagglutininum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multiplex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1D7C7B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Ipsen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Limited, </w:t>
            </w:r>
            <w:proofErr w:type="spellStart"/>
            <w:r w:rsidRPr="001019EC">
              <w:rPr>
                <w:bCs/>
                <w:sz w:val="20"/>
                <w:szCs w:val="20"/>
              </w:rPr>
              <w:t>Lielbritānija</w:t>
            </w:r>
            <w:proofErr w:type="spellEnd"/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7B" w:rsidRPr="001019EC" w:rsidRDefault="001D7C7B" w:rsidP="001D7C7B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Pievienota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terapeitiskā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indikācija</w:t>
            </w:r>
            <w:proofErr w:type="spellEnd"/>
            <w:r w:rsidRPr="001019EC">
              <w:rPr>
                <w:sz w:val="20"/>
                <w:szCs w:val="20"/>
              </w:rPr>
              <w:t xml:space="preserve">: </w:t>
            </w:r>
            <w:proofErr w:type="spellStart"/>
            <w:r w:rsidRPr="001019EC">
              <w:rPr>
                <w:sz w:val="20"/>
                <w:szCs w:val="20"/>
              </w:rPr>
              <w:t>īslaicīgai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vidēji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izteiktu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vai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izteiktu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acu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ārējo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kaktiņu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grumbu</w:t>
            </w:r>
            <w:proofErr w:type="spellEnd"/>
            <w:r w:rsidRPr="001019EC">
              <w:rPr>
                <w:sz w:val="20"/>
                <w:szCs w:val="20"/>
              </w:rPr>
              <w:t xml:space="preserve"> (“</w:t>
            </w:r>
            <w:proofErr w:type="spellStart"/>
            <w:r w:rsidRPr="001019EC">
              <w:rPr>
                <w:sz w:val="20"/>
                <w:szCs w:val="20"/>
              </w:rPr>
              <w:t>vārnu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kājiņu</w:t>
            </w:r>
            <w:proofErr w:type="spellEnd"/>
            <w:r w:rsidRPr="001019EC">
              <w:rPr>
                <w:sz w:val="20"/>
                <w:szCs w:val="20"/>
              </w:rPr>
              <w:t xml:space="preserve">” </w:t>
            </w:r>
            <w:proofErr w:type="spellStart"/>
            <w:r w:rsidRPr="001019EC">
              <w:rPr>
                <w:sz w:val="20"/>
                <w:szCs w:val="20"/>
              </w:rPr>
              <w:t>grumbu</w:t>
            </w:r>
            <w:proofErr w:type="spellEnd"/>
            <w:r w:rsidRPr="001019EC">
              <w:rPr>
                <w:sz w:val="20"/>
                <w:szCs w:val="20"/>
              </w:rPr>
              <w:t xml:space="preserve">), </w:t>
            </w:r>
            <w:proofErr w:type="spellStart"/>
            <w:r w:rsidRPr="001019EC">
              <w:rPr>
                <w:sz w:val="20"/>
                <w:szCs w:val="20"/>
              </w:rPr>
              <w:t>kas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redzamas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maksimāli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plati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uzsmaidot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izlīdzināšanai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pieaugušiem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pacientiem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līdz</w:t>
            </w:r>
            <w:proofErr w:type="spellEnd"/>
            <w:r w:rsidRPr="001019EC">
              <w:rPr>
                <w:sz w:val="20"/>
                <w:szCs w:val="20"/>
              </w:rPr>
              <w:t xml:space="preserve"> 65 </w:t>
            </w:r>
            <w:proofErr w:type="spellStart"/>
            <w:r w:rsidRPr="001019EC">
              <w:rPr>
                <w:sz w:val="20"/>
                <w:szCs w:val="20"/>
              </w:rPr>
              <w:t>gadu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vecumam</w:t>
            </w:r>
            <w:proofErr w:type="spellEnd"/>
            <w:r w:rsidRPr="001019EC">
              <w:rPr>
                <w:sz w:val="20"/>
                <w:szCs w:val="20"/>
              </w:rPr>
              <w:t xml:space="preserve">, ja </w:t>
            </w:r>
            <w:proofErr w:type="spellStart"/>
            <w:r w:rsidRPr="001019EC">
              <w:rPr>
                <w:sz w:val="20"/>
                <w:szCs w:val="20"/>
              </w:rPr>
              <w:t>grumbām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nozīmīga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psiholoģiska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ietekme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pacientu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Pievienotas</w:t>
            </w:r>
            <w:proofErr w:type="spellEnd"/>
            <w:r w:rsidRPr="001019EC">
              <w:rPr>
                <w:sz w:val="20"/>
                <w:szCs w:val="20"/>
              </w:rPr>
              <w:t xml:space="preserve"> devas, </w:t>
            </w:r>
            <w:proofErr w:type="spellStart"/>
            <w:r w:rsidRPr="001019EC">
              <w:rPr>
                <w:sz w:val="20"/>
                <w:szCs w:val="20"/>
              </w:rPr>
              <w:t>blakusparādības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jauni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klīnisko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pētījumu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dati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augstāk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minētai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indikācijai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r w:rsidRPr="001019EC">
              <w:rPr>
                <w:sz w:val="20"/>
                <w:szCs w:val="20"/>
              </w:rPr>
              <w:br/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saskaņoti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  <w:p w:rsidR="000835A0" w:rsidRPr="001019EC" w:rsidRDefault="000835A0" w:rsidP="000835A0">
            <w:pPr>
              <w:rPr>
                <w:sz w:val="20"/>
                <w:szCs w:val="20"/>
              </w:rPr>
            </w:pPr>
          </w:p>
        </w:tc>
      </w:tr>
      <w:tr w:rsidR="000835A0" w:rsidRPr="005131E7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3C62EC" w:rsidRDefault="003C62EC" w:rsidP="000835A0">
            <w:pPr>
              <w:jc w:val="center"/>
              <w:rPr>
                <w:sz w:val="20"/>
                <w:szCs w:val="20"/>
              </w:rPr>
            </w:pPr>
            <w:r w:rsidRPr="003C62EC">
              <w:rPr>
                <w:sz w:val="20"/>
                <w:szCs w:val="20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0054CF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14-0198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0054CF" w:rsidP="000835A0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Triflunex</w:t>
            </w:r>
            <w:proofErr w:type="spellEnd"/>
            <w:r w:rsidRPr="001019EC">
              <w:rPr>
                <w:sz w:val="20"/>
                <w:szCs w:val="20"/>
              </w:rPr>
              <w:t xml:space="preserve"> 500 mg/200 mg/10 mg </w:t>
            </w:r>
            <w:proofErr w:type="spellStart"/>
            <w:r w:rsidRPr="001019EC">
              <w:rPr>
                <w:sz w:val="20"/>
                <w:szCs w:val="20"/>
              </w:rPr>
              <w:t>pulveris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iekšķīgi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lietojama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šķīduma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pagatavošanai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0054CF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Paracetamolum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bCs/>
                <w:sz w:val="20"/>
                <w:szCs w:val="20"/>
              </w:rPr>
              <w:t>Guaifenesinum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bCs/>
                <w:sz w:val="20"/>
                <w:szCs w:val="20"/>
              </w:rPr>
              <w:t>Phenylephrini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hydrochloridum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CF" w:rsidRPr="001019EC" w:rsidRDefault="000054CF" w:rsidP="000054CF">
            <w:pPr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 xml:space="preserve">Wick Pharma, </w:t>
            </w:r>
            <w:proofErr w:type="spellStart"/>
            <w:r w:rsidRPr="001019EC">
              <w:rPr>
                <w:sz w:val="20"/>
                <w:szCs w:val="20"/>
              </w:rPr>
              <w:t>Vācija</w:t>
            </w:r>
            <w:proofErr w:type="spellEnd"/>
          </w:p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4CF" w:rsidRPr="001019EC" w:rsidRDefault="000054CF" w:rsidP="000054CF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informācija</w:t>
            </w:r>
            <w:r w:rsidR="00BA6B18" w:rsidRPr="001019EC">
              <w:rPr>
                <w:sz w:val="20"/>
                <w:szCs w:val="20"/>
              </w:rPr>
              <w:t>.</w:t>
            </w:r>
            <w:r w:rsidRPr="001019EC">
              <w:rPr>
                <w:sz w:val="20"/>
                <w:szCs w:val="20"/>
              </w:rPr>
              <w:t xml:space="preserve">3.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aprakstīts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izskats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pēc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izšķīdināšanas</w:t>
            </w:r>
            <w:proofErr w:type="spellEnd"/>
            <w:r w:rsidRPr="001019EC">
              <w:rPr>
                <w:sz w:val="20"/>
                <w:szCs w:val="20"/>
              </w:rPr>
              <w:t xml:space="preserve">. 4.4. </w:t>
            </w:r>
            <w:proofErr w:type="spellStart"/>
            <w:r w:rsidRPr="001019EC">
              <w:rPr>
                <w:sz w:val="20"/>
                <w:szCs w:val="20"/>
              </w:rPr>
              <w:t>apakšpunkts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papildināts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ka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piesardzība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FB10D0" w:rsidRPr="001019EC">
              <w:rPr>
                <w:sz w:val="20"/>
                <w:szCs w:val="20"/>
              </w:rPr>
              <w:t>jāievēro</w:t>
            </w:r>
            <w:proofErr w:type="spellEnd"/>
            <w:r w:rsidR="00FB10D0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FB10D0" w:rsidRPr="001019EC">
              <w:rPr>
                <w:sz w:val="20"/>
                <w:szCs w:val="20"/>
              </w:rPr>
              <w:t>pacientiem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hemolītisko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anēmiju</w:t>
            </w:r>
            <w:proofErr w:type="spellEnd"/>
            <w:r w:rsidRPr="001019EC">
              <w:rPr>
                <w:sz w:val="20"/>
                <w:szCs w:val="20"/>
              </w:rPr>
              <w:t xml:space="preserve">, glikozes-6-dehidrogenāzes </w:t>
            </w:r>
            <w:proofErr w:type="spellStart"/>
            <w:r w:rsidRPr="001019EC">
              <w:rPr>
                <w:sz w:val="20"/>
                <w:szCs w:val="20"/>
              </w:rPr>
              <w:t>deficītu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dehidratētiem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pacientiem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pacientiem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hroniski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nepietiekamu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uzturu</w:t>
            </w:r>
            <w:proofErr w:type="spellEnd"/>
            <w:r w:rsidRPr="001019EC">
              <w:rPr>
                <w:sz w:val="20"/>
                <w:szCs w:val="20"/>
              </w:rPr>
              <w:t xml:space="preserve">. 6.3. </w:t>
            </w:r>
            <w:proofErr w:type="spellStart"/>
            <w:r w:rsidRPr="001019EC">
              <w:rPr>
                <w:sz w:val="20"/>
                <w:szCs w:val="20"/>
              </w:rPr>
              <w:t>apakšpunktā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norādīts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ka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šķīdums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pēc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izšķīdināšanas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ir</w:t>
            </w:r>
            <w:proofErr w:type="spellEnd"/>
            <w:r w:rsidRPr="001019EC">
              <w:rPr>
                <w:sz w:val="20"/>
                <w:szCs w:val="20"/>
              </w:rPr>
              <w:t xml:space="preserve">  </w:t>
            </w:r>
            <w:proofErr w:type="spellStart"/>
            <w:r w:rsidRPr="001019EC">
              <w:rPr>
                <w:sz w:val="20"/>
                <w:szCs w:val="20"/>
              </w:rPr>
              <w:t>stabils</w:t>
            </w:r>
            <w:proofErr w:type="spellEnd"/>
            <w:r w:rsidRPr="001019EC">
              <w:rPr>
                <w:sz w:val="20"/>
                <w:szCs w:val="20"/>
              </w:rPr>
              <w:t xml:space="preserve"> 90 </w:t>
            </w:r>
            <w:proofErr w:type="spellStart"/>
            <w:r w:rsidRPr="001019EC">
              <w:rPr>
                <w:sz w:val="20"/>
                <w:szCs w:val="20"/>
              </w:rPr>
              <w:t>minūtes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  <w:r w:rsidRPr="001019EC">
              <w:rPr>
                <w:sz w:val="20"/>
                <w:szCs w:val="20"/>
              </w:rPr>
              <w:br/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aprakstu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  <w:p w:rsidR="000835A0" w:rsidRPr="001019EC" w:rsidRDefault="000835A0" w:rsidP="000835A0">
            <w:pPr>
              <w:rPr>
                <w:sz w:val="20"/>
                <w:szCs w:val="20"/>
              </w:rPr>
            </w:pPr>
          </w:p>
        </w:tc>
      </w:tr>
      <w:tr w:rsidR="000835A0" w:rsidRPr="00690C7B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3C62EC" w:rsidP="00083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690C7B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16-0171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690C7B" w:rsidP="000835A0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Belkyra</w:t>
            </w:r>
            <w:proofErr w:type="spellEnd"/>
            <w:r w:rsidRPr="001019EC">
              <w:rPr>
                <w:sz w:val="20"/>
                <w:szCs w:val="20"/>
              </w:rPr>
              <w:t xml:space="preserve"> 10 mg/ml </w:t>
            </w:r>
            <w:proofErr w:type="spellStart"/>
            <w:r w:rsidRPr="001019EC">
              <w:rPr>
                <w:sz w:val="20"/>
                <w:szCs w:val="20"/>
              </w:rPr>
              <w:t>šķīdums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injekcijām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690C7B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Acidum</w:t>
            </w:r>
            <w:proofErr w:type="spellEnd"/>
            <w:r w:rsidRPr="001019E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bCs/>
                <w:sz w:val="20"/>
                <w:szCs w:val="20"/>
              </w:rPr>
              <w:t>deoxycholicum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7B" w:rsidRPr="001019EC" w:rsidRDefault="00690C7B" w:rsidP="00690C7B">
            <w:pPr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 xml:space="preserve">Allergan Pharmaceuticals International Ltd, </w:t>
            </w:r>
            <w:proofErr w:type="spellStart"/>
            <w:r w:rsidRPr="001019EC">
              <w:rPr>
                <w:sz w:val="20"/>
                <w:szCs w:val="20"/>
              </w:rPr>
              <w:t>Īrija</w:t>
            </w:r>
            <w:proofErr w:type="spellEnd"/>
          </w:p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A4" w:rsidRPr="001019EC" w:rsidRDefault="00CB05A4" w:rsidP="00CB05A4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harmonizēta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="00BA6B18" w:rsidRPr="001019EC">
              <w:rPr>
                <w:sz w:val="20"/>
                <w:szCs w:val="20"/>
              </w:rPr>
              <w:t>.</w:t>
            </w:r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Veikti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precizējumi</w:t>
            </w:r>
            <w:proofErr w:type="spellEnd"/>
            <w:r w:rsidRPr="001019EC">
              <w:rPr>
                <w:sz w:val="20"/>
                <w:szCs w:val="20"/>
              </w:rPr>
              <w:t xml:space="preserve"> 4.1.,4.2., 4.4. </w:t>
            </w:r>
            <w:proofErr w:type="spellStart"/>
            <w:r w:rsidRPr="001019EC">
              <w:rPr>
                <w:sz w:val="20"/>
                <w:szCs w:val="20"/>
              </w:rPr>
              <w:t>apakšpunktos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iekļautas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nevēlamās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blakusparādības</w:t>
            </w:r>
            <w:proofErr w:type="spellEnd"/>
            <w:r w:rsidRPr="001019EC">
              <w:rPr>
                <w:sz w:val="20"/>
                <w:szCs w:val="20"/>
              </w:rPr>
              <w:t xml:space="preserve">, par </w:t>
            </w:r>
            <w:proofErr w:type="spellStart"/>
            <w:r w:rsidRPr="001019EC">
              <w:rPr>
                <w:sz w:val="20"/>
                <w:szCs w:val="20"/>
              </w:rPr>
              <w:t>kurām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ziņots</w:t>
            </w:r>
            <w:proofErr w:type="spellEnd"/>
            <w:r w:rsidRPr="001019EC">
              <w:rPr>
                <w:sz w:val="20"/>
                <w:szCs w:val="20"/>
              </w:rPr>
              <w:t xml:space="preserve"> 3. </w:t>
            </w:r>
            <w:proofErr w:type="spellStart"/>
            <w:r w:rsidRPr="001019EC">
              <w:rPr>
                <w:sz w:val="20"/>
                <w:szCs w:val="20"/>
              </w:rPr>
              <w:t>fāzes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pētījumu</w:t>
            </w:r>
            <w:proofErr w:type="spellEnd"/>
            <w:r w:rsidRPr="001019EC">
              <w:rPr>
                <w:sz w:val="20"/>
                <w:szCs w:val="20"/>
              </w:rPr>
              <w:t xml:space="preserve">  </w:t>
            </w:r>
            <w:proofErr w:type="spellStart"/>
            <w:r w:rsidRPr="001019EC">
              <w:rPr>
                <w:sz w:val="20"/>
                <w:szCs w:val="20"/>
              </w:rPr>
              <w:t>laikā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precizēts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sastāva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formulējums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sīki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izklāstīta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ievadīšanas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gaita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  <w:r w:rsidRPr="001019EC">
              <w:rPr>
                <w:sz w:val="20"/>
                <w:szCs w:val="20"/>
              </w:rPr>
              <w:br/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aprakstu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  <w:p w:rsidR="000835A0" w:rsidRPr="001019EC" w:rsidRDefault="000835A0" w:rsidP="000835A0">
            <w:pPr>
              <w:rPr>
                <w:sz w:val="20"/>
                <w:szCs w:val="20"/>
              </w:rPr>
            </w:pPr>
          </w:p>
        </w:tc>
      </w:tr>
      <w:tr w:rsidR="000835A0" w:rsidRPr="00690C7B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3C62EC" w:rsidP="00083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4C3BF4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16-0172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1019EC" w:rsidRDefault="004C3BF4" w:rsidP="004C3BF4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Enosat</w:t>
            </w:r>
            <w:proofErr w:type="spellEnd"/>
            <w:r w:rsidRPr="001019EC">
              <w:rPr>
                <w:sz w:val="20"/>
                <w:szCs w:val="20"/>
              </w:rPr>
              <w:t xml:space="preserve"> 20 mg/1 mg/g </w:t>
            </w:r>
            <w:proofErr w:type="spellStart"/>
            <w:r w:rsidRPr="001019EC">
              <w:rPr>
                <w:sz w:val="20"/>
                <w:szCs w:val="20"/>
              </w:rPr>
              <w:t>krēms</w:t>
            </w:r>
            <w:proofErr w:type="spellEnd"/>
          </w:p>
          <w:p w:rsidR="000835A0" w:rsidRPr="001019EC" w:rsidRDefault="000835A0" w:rsidP="000835A0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1019EC" w:rsidRDefault="004C3BF4" w:rsidP="004C3BF4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Acidum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fusidicum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Betamethasonum</w:t>
            </w:r>
            <w:proofErr w:type="spellEnd"/>
          </w:p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1019EC" w:rsidRDefault="004C3BF4" w:rsidP="004C3BF4">
            <w:pPr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 xml:space="preserve">Pharmaceutical Works </w:t>
            </w:r>
            <w:proofErr w:type="spellStart"/>
            <w:r w:rsidRPr="001019EC">
              <w:rPr>
                <w:sz w:val="20"/>
                <w:szCs w:val="20"/>
              </w:rPr>
              <w:t>Polpharma</w:t>
            </w:r>
            <w:proofErr w:type="spellEnd"/>
            <w:r w:rsidRPr="001019EC">
              <w:rPr>
                <w:sz w:val="20"/>
                <w:szCs w:val="20"/>
              </w:rPr>
              <w:t xml:space="preserve"> SA, </w:t>
            </w:r>
            <w:proofErr w:type="spellStart"/>
            <w:r w:rsidRPr="001019EC">
              <w:rPr>
                <w:sz w:val="20"/>
                <w:szCs w:val="20"/>
              </w:rPr>
              <w:t>Polija</w:t>
            </w:r>
            <w:proofErr w:type="spellEnd"/>
          </w:p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4C3BF4" w:rsidP="009C1267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Pievienota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dozēšanu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pielietojot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pirksta</w:t>
            </w:r>
            <w:proofErr w:type="spellEnd"/>
            <w:r w:rsidRPr="001019EC">
              <w:rPr>
                <w:sz w:val="20"/>
                <w:szCs w:val="20"/>
              </w:rPr>
              <w:t xml:space="preserve"> gala </w:t>
            </w:r>
            <w:proofErr w:type="spellStart"/>
            <w:r w:rsidRPr="001019EC">
              <w:rPr>
                <w:sz w:val="20"/>
                <w:szCs w:val="20"/>
              </w:rPr>
              <w:t>vienības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metodi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Pievienoti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brīdinājumi</w:t>
            </w:r>
            <w:proofErr w:type="spellEnd"/>
            <w:r w:rsidRPr="001019EC">
              <w:rPr>
                <w:sz w:val="20"/>
                <w:szCs w:val="20"/>
              </w:rPr>
              <w:t xml:space="preserve"> par - </w:t>
            </w:r>
            <w:proofErr w:type="spellStart"/>
            <w:r w:rsidRPr="001019EC">
              <w:rPr>
                <w:sz w:val="20"/>
                <w:szCs w:val="20"/>
              </w:rPr>
              <w:t>sistēmiskas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absorbcijas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iespēju</w:t>
            </w:r>
            <w:proofErr w:type="spellEnd"/>
            <w:r w:rsidRPr="001019EC">
              <w:rPr>
                <w:sz w:val="20"/>
                <w:szCs w:val="20"/>
              </w:rPr>
              <w:t xml:space="preserve">; </w:t>
            </w:r>
            <w:proofErr w:type="spellStart"/>
            <w:r w:rsidRPr="001019EC">
              <w:rPr>
                <w:sz w:val="20"/>
                <w:szCs w:val="20"/>
              </w:rPr>
              <w:t>saistību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paaugstinātu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jutību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pret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infekcijām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esošās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infekcijas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progresēšanu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latentas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infekcijas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aktivizēšanos</w:t>
            </w:r>
            <w:proofErr w:type="spellEnd"/>
            <w:r w:rsidRPr="001019EC">
              <w:rPr>
                <w:sz w:val="20"/>
                <w:szCs w:val="20"/>
              </w:rPr>
              <w:t xml:space="preserve">, un </w:t>
            </w:r>
            <w:proofErr w:type="spellStart"/>
            <w:r w:rsidRPr="001019EC">
              <w:rPr>
                <w:sz w:val="20"/>
                <w:szCs w:val="20"/>
              </w:rPr>
              <w:t>norādījums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="00FB10D0" w:rsidRPr="001019EC">
              <w:rPr>
                <w:sz w:val="20"/>
                <w:szCs w:val="20"/>
              </w:rPr>
              <w:t>ka</w:t>
            </w:r>
            <w:proofErr w:type="spellEnd"/>
            <w:r w:rsidR="00FB10D0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FB10D0" w:rsidRPr="001019EC">
              <w:rPr>
                <w:sz w:val="20"/>
                <w:szCs w:val="20"/>
              </w:rPr>
              <w:t>zāles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nav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ieteicams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lietot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ādas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atrofijas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čūlas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aknes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trauslu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vēnu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kā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arī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perianālas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ģenitāliju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niezes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gadījumā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r w:rsidRPr="001019EC">
              <w:rPr>
                <w:sz w:val="20"/>
                <w:szCs w:val="20"/>
              </w:rPr>
              <w:br/>
            </w:r>
            <w:proofErr w:type="spellStart"/>
            <w:r w:rsidRPr="001019EC">
              <w:rPr>
                <w:sz w:val="20"/>
                <w:szCs w:val="20"/>
              </w:rPr>
              <w:t>Izmaiņas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nav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nepieciešamas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</w:tc>
      </w:tr>
      <w:tr w:rsidR="000835A0" w:rsidRPr="00690C7B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3C62EC" w:rsidP="00083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D80C97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01-0294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D80C97" w:rsidP="000835A0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Singulair</w:t>
            </w:r>
            <w:proofErr w:type="spellEnd"/>
            <w:r w:rsidRPr="001019EC">
              <w:rPr>
                <w:sz w:val="20"/>
                <w:szCs w:val="20"/>
              </w:rPr>
              <w:t xml:space="preserve"> 4 mg </w:t>
            </w:r>
            <w:proofErr w:type="spellStart"/>
            <w:r w:rsidRPr="001019EC">
              <w:rPr>
                <w:sz w:val="20"/>
                <w:szCs w:val="20"/>
              </w:rPr>
              <w:t>košļājamās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tabletes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D80C97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Montelukastum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97" w:rsidRPr="001019EC" w:rsidRDefault="00D80C97" w:rsidP="00D80C97">
            <w:pPr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 xml:space="preserve">Merck Sharp &amp; </w:t>
            </w:r>
            <w:proofErr w:type="spellStart"/>
            <w:r w:rsidRPr="001019EC">
              <w:rPr>
                <w:sz w:val="20"/>
                <w:szCs w:val="20"/>
              </w:rPr>
              <w:t>Dohme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Latvija</w:t>
            </w:r>
            <w:proofErr w:type="spellEnd"/>
            <w:r w:rsidRPr="001019EC">
              <w:rPr>
                <w:sz w:val="20"/>
                <w:szCs w:val="20"/>
              </w:rPr>
              <w:t xml:space="preserve">, SIA, </w:t>
            </w:r>
            <w:proofErr w:type="spellStart"/>
            <w:r w:rsidRPr="001019EC">
              <w:rPr>
                <w:sz w:val="20"/>
                <w:szCs w:val="20"/>
              </w:rPr>
              <w:t>Latvija</w:t>
            </w:r>
            <w:proofErr w:type="spellEnd"/>
          </w:p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97" w:rsidRPr="001019EC" w:rsidRDefault="00D80C97" w:rsidP="00D80C97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9C1267" w:rsidRPr="001019EC">
              <w:rPr>
                <w:sz w:val="20"/>
                <w:szCs w:val="20"/>
              </w:rPr>
              <w:t>kompānijas</w:t>
            </w:r>
            <w:proofErr w:type="spellEnd"/>
            <w:r w:rsidR="009C1267"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pamatdatiem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apakšpunkts</w:t>
            </w:r>
            <w:proofErr w:type="spellEnd"/>
            <w:r w:rsidRPr="001019EC">
              <w:rPr>
                <w:sz w:val="20"/>
                <w:szCs w:val="20"/>
              </w:rPr>
              <w:t xml:space="preserve"> 4.8 </w:t>
            </w:r>
            <w:proofErr w:type="spellStart"/>
            <w:r w:rsidRPr="001019EC">
              <w:rPr>
                <w:sz w:val="20"/>
                <w:szCs w:val="20"/>
              </w:rPr>
              <w:t>papildināts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bl</w:t>
            </w:r>
            <w:r w:rsidR="00C75339" w:rsidRPr="001019EC">
              <w:rPr>
                <w:sz w:val="20"/>
                <w:szCs w:val="20"/>
              </w:rPr>
              <w:t>akusparādību</w:t>
            </w:r>
            <w:proofErr w:type="spellEnd"/>
            <w:r w:rsidR="00C75339" w:rsidRPr="001019EC">
              <w:rPr>
                <w:sz w:val="20"/>
                <w:szCs w:val="20"/>
              </w:rPr>
              <w:t xml:space="preserve"> – </w:t>
            </w:r>
            <w:proofErr w:type="spellStart"/>
            <w:r w:rsidR="00C75339" w:rsidRPr="001019EC">
              <w:rPr>
                <w:sz w:val="20"/>
                <w:szCs w:val="20"/>
              </w:rPr>
              <w:t>trombocitopēnija</w:t>
            </w:r>
            <w:proofErr w:type="spellEnd"/>
            <w:r w:rsidR="00C75339" w:rsidRPr="001019EC">
              <w:rPr>
                <w:sz w:val="20"/>
                <w:szCs w:val="20"/>
              </w:rPr>
              <w:t xml:space="preserve">, </w:t>
            </w:r>
            <w:proofErr w:type="spellStart"/>
            <w:r w:rsidR="00C75339" w:rsidRPr="001019EC">
              <w:rPr>
                <w:sz w:val="20"/>
                <w:szCs w:val="20"/>
              </w:rPr>
              <w:t>tiki</w:t>
            </w:r>
            <w:proofErr w:type="spellEnd"/>
            <w:r w:rsidR="00C75339" w:rsidRPr="001019EC">
              <w:rPr>
                <w:sz w:val="20"/>
                <w:szCs w:val="20"/>
              </w:rPr>
              <w:t xml:space="preserve">, </w:t>
            </w:r>
            <w:proofErr w:type="spellStart"/>
            <w:r w:rsidR="00C75339" w:rsidRPr="001019EC">
              <w:rPr>
                <w:sz w:val="20"/>
                <w:szCs w:val="20"/>
              </w:rPr>
              <w:t>enurēze</w:t>
            </w:r>
            <w:proofErr w:type="spellEnd"/>
            <w:r w:rsidR="00C75339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C75339" w:rsidRPr="001019EC">
              <w:rPr>
                <w:sz w:val="20"/>
                <w:szCs w:val="20"/>
              </w:rPr>
              <w:t>bērniem</w:t>
            </w:r>
            <w:proofErr w:type="spellEnd"/>
            <w:r w:rsidR="00C75339" w:rsidRPr="001019EC">
              <w:rPr>
                <w:sz w:val="20"/>
                <w:szCs w:val="20"/>
              </w:rPr>
              <w:t>.</w:t>
            </w:r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saskaņoti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  <w:p w:rsidR="000835A0" w:rsidRPr="001019EC" w:rsidRDefault="000835A0" w:rsidP="000835A0">
            <w:pPr>
              <w:rPr>
                <w:sz w:val="20"/>
                <w:szCs w:val="20"/>
              </w:rPr>
            </w:pPr>
          </w:p>
        </w:tc>
      </w:tr>
      <w:tr w:rsidR="000835A0" w:rsidRPr="00690C7B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3C62EC" w:rsidP="00083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C75339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02-0351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C75339" w:rsidP="000835A0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Singulair</w:t>
            </w:r>
            <w:proofErr w:type="spellEnd"/>
            <w:r w:rsidRPr="001019EC">
              <w:rPr>
                <w:sz w:val="20"/>
                <w:szCs w:val="20"/>
              </w:rPr>
              <w:t xml:space="preserve"> mini 4 mg </w:t>
            </w:r>
            <w:proofErr w:type="spellStart"/>
            <w:r w:rsidRPr="001019EC">
              <w:rPr>
                <w:sz w:val="20"/>
                <w:szCs w:val="20"/>
              </w:rPr>
              <w:t>granulas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C75339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Montelukastum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39" w:rsidRPr="001019EC" w:rsidRDefault="00C75339" w:rsidP="00C75339">
            <w:pPr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 xml:space="preserve">Merck Sharp &amp; </w:t>
            </w:r>
            <w:proofErr w:type="spellStart"/>
            <w:r w:rsidRPr="001019EC">
              <w:rPr>
                <w:sz w:val="20"/>
                <w:szCs w:val="20"/>
              </w:rPr>
              <w:t>Dohme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Latvija</w:t>
            </w:r>
            <w:proofErr w:type="spellEnd"/>
            <w:r w:rsidRPr="001019EC">
              <w:rPr>
                <w:sz w:val="20"/>
                <w:szCs w:val="20"/>
              </w:rPr>
              <w:t xml:space="preserve">, SIA, </w:t>
            </w:r>
            <w:proofErr w:type="spellStart"/>
            <w:r w:rsidRPr="001019EC">
              <w:rPr>
                <w:sz w:val="20"/>
                <w:szCs w:val="20"/>
              </w:rPr>
              <w:t>Latvija</w:t>
            </w:r>
            <w:proofErr w:type="spellEnd"/>
          </w:p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6E" w:rsidRPr="001019EC" w:rsidRDefault="009F776E" w:rsidP="009F776E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="009C1267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9C1267" w:rsidRPr="001019EC">
              <w:rPr>
                <w:sz w:val="20"/>
                <w:szCs w:val="20"/>
              </w:rPr>
              <w:t>kompānijas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pamatdatiem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apakšpunkts</w:t>
            </w:r>
            <w:proofErr w:type="spellEnd"/>
            <w:r w:rsidRPr="001019EC">
              <w:rPr>
                <w:sz w:val="20"/>
                <w:szCs w:val="20"/>
              </w:rPr>
              <w:t xml:space="preserve"> 4.8 </w:t>
            </w:r>
            <w:proofErr w:type="spellStart"/>
            <w:r w:rsidRPr="001019EC">
              <w:rPr>
                <w:sz w:val="20"/>
                <w:szCs w:val="20"/>
              </w:rPr>
              <w:t>papildināts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blakusparādību</w:t>
            </w:r>
            <w:proofErr w:type="spellEnd"/>
            <w:r w:rsidRPr="001019EC">
              <w:rPr>
                <w:sz w:val="20"/>
                <w:szCs w:val="20"/>
              </w:rPr>
              <w:t xml:space="preserve"> – </w:t>
            </w:r>
            <w:proofErr w:type="spellStart"/>
            <w:r w:rsidRPr="001019EC">
              <w:rPr>
                <w:sz w:val="20"/>
                <w:szCs w:val="20"/>
              </w:rPr>
              <w:t>tiki</w:t>
            </w:r>
            <w:proofErr w:type="spellEnd"/>
            <w:r w:rsidRPr="001019EC">
              <w:rPr>
                <w:sz w:val="20"/>
                <w:szCs w:val="20"/>
              </w:rPr>
              <w:t xml:space="preserve">, </w:t>
            </w:r>
            <w:proofErr w:type="spellStart"/>
            <w:r w:rsidRPr="001019EC">
              <w:rPr>
                <w:sz w:val="20"/>
                <w:szCs w:val="20"/>
              </w:rPr>
              <w:t>enurēze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bērniem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Zāļu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apraksts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saskaņoti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  <w:p w:rsidR="000835A0" w:rsidRPr="001019EC" w:rsidRDefault="000835A0" w:rsidP="000835A0">
            <w:pPr>
              <w:rPr>
                <w:sz w:val="20"/>
                <w:szCs w:val="20"/>
              </w:rPr>
            </w:pPr>
          </w:p>
        </w:tc>
      </w:tr>
      <w:tr w:rsidR="000835A0" w:rsidRPr="00690C7B" w:rsidTr="00B7503E">
        <w:trPr>
          <w:trHeight w:val="1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3C62EC" w:rsidP="00083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DA" w:rsidRPr="001019EC" w:rsidRDefault="00B74EDA" w:rsidP="00B74EDA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02-0401</w:t>
            </w:r>
          </w:p>
          <w:p w:rsidR="00EF48D0" w:rsidRPr="001019EC" w:rsidRDefault="00EF48D0" w:rsidP="00EF48D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97-0587</w:t>
            </w:r>
          </w:p>
          <w:p w:rsidR="00C52B52" w:rsidRPr="001019EC" w:rsidRDefault="00C52B52" w:rsidP="00EF48D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97-0588</w:t>
            </w:r>
          </w:p>
          <w:p w:rsidR="000835A0" w:rsidRPr="001019EC" w:rsidRDefault="00E73B6F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97-0589</w:t>
            </w:r>
          </w:p>
          <w:p w:rsidR="00C250FA" w:rsidRPr="001019EC" w:rsidRDefault="00C250FA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97-0590</w:t>
            </w:r>
          </w:p>
          <w:p w:rsidR="00C250FA" w:rsidRPr="001019EC" w:rsidRDefault="00C250FA" w:rsidP="000835A0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97-0591</w:t>
            </w:r>
          </w:p>
          <w:p w:rsidR="00085970" w:rsidRPr="001019EC" w:rsidRDefault="00085970" w:rsidP="001F1DAC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52" w:rsidRPr="001019EC" w:rsidRDefault="00B74EDA" w:rsidP="000835A0">
            <w:pPr>
              <w:pStyle w:val="BodyText"/>
              <w:spacing w:after="0"/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L</w:t>
            </w:r>
            <w:r w:rsidR="001019EC" w:rsidRPr="001019EC">
              <w:rPr>
                <w:sz w:val="20"/>
                <w:szCs w:val="20"/>
              </w:rPr>
              <w:t>amictal</w:t>
            </w:r>
            <w:proofErr w:type="spellEnd"/>
            <w:r w:rsidR="001019EC" w:rsidRPr="001019EC">
              <w:rPr>
                <w:sz w:val="20"/>
                <w:szCs w:val="20"/>
              </w:rPr>
              <w:t xml:space="preserve"> 2 mg; 5 mg;</w:t>
            </w:r>
            <w:r w:rsidR="00EF48D0" w:rsidRPr="001019EC">
              <w:rPr>
                <w:sz w:val="20"/>
                <w:szCs w:val="20"/>
              </w:rPr>
              <w:t xml:space="preserve"> </w:t>
            </w:r>
          </w:p>
          <w:p w:rsidR="00DB5129" w:rsidRPr="001019EC" w:rsidRDefault="00C52B52" w:rsidP="001019EC">
            <w:pPr>
              <w:pStyle w:val="BodyText"/>
              <w:spacing w:after="0"/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>25 mg</w:t>
            </w:r>
            <w:r w:rsidR="001019EC" w:rsidRPr="001019EC">
              <w:rPr>
                <w:sz w:val="20"/>
                <w:szCs w:val="20"/>
              </w:rPr>
              <w:t>;</w:t>
            </w:r>
            <w:r w:rsidRPr="001019EC">
              <w:rPr>
                <w:sz w:val="20"/>
                <w:szCs w:val="20"/>
              </w:rPr>
              <w:t xml:space="preserve"> </w:t>
            </w:r>
            <w:r w:rsidR="001019EC" w:rsidRPr="001019EC">
              <w:rPr>
                <w:sz w:val="20"/>
                <w:szCs w:val="20"/>
              </w:rPr>
              <w:t>50 mg;</w:t>
            </w:r>
            <w:r w:rsidR="00EF48D0" w:rsidRPr="001019EC">
              <w:rPr>
                <w:sz w:val="20"/>
                <w:szCs w:val="20"/>
              </w:rPr>
              <w:t xml:space="preserve"> </w:t>
            </w:r>
            <w:r w:rsidR="001019EC" w:rsidRPr="001019EC">
              <w:rPr>
                <w:sz w:val="20"/>
                <w:szCs w:val="20"/>
              </w:rPr>
              <w:t>100 mg;</w:t>
            </w:r>
            <w:r w:rsidR="00EF48D0" w:rsidRPr="001019EC">
              <w:rPr>
                <w:sz w:val="20"/>
                <w:szCs w:val="20"/>
              </w:rPr>
              <w:t xml:space="preserve"> 200 mg</w:t>
            </w:r>
            <w:r w:rsidR="001019EC" w:rsidRPr="001019EC">
              <w:rPr>
                <w:sz w:val="20"/>
                <w:szCs w:val="20"/>
              </w:rPr>
              <w:t>;</w:t>
            </w:r>
            <w:r w:rsidR="00EF48D0" w:rsidRPr="001019EC">
              <w:rPr>
                <w:sz w:val="20"/>
                <w:szCs w:val="20"/>
              </w:rPr>
              <w:t xml:space="preserve"> </w:t>
            </w:r>
            <w:proofErr w:type="spellStart"/>
            <w:r w:rsidR="00E73B6F" w:rsidRPr="001019EC">
              <w:rPr>
                <w:sz w:val="20"/>
                <w:szCs w:val="20"/>
              </w:rPr>
              <w:t>košļājamās</w:t>
            </w:r>
            <w:proofErr w:type="spellEnd"/>
            <w:r w:rsidR="00E73B6F" w:rsidRPr="001019EC">
              <w:rPr>
                <w:sz w:val="20"/>
                <w:szCs w:val="20"/>
              </w:rPr>
              <w:t>/</w:t>
            </w:r>
            <w:proofErr w:type="spellStart"/>
            <w:r w:rsidR="00E73B6F" w:rsidRPr="001019EC">
              <w:rPr>
                <w:sz w:val="20"/>
                <w:szCs w:val="20"/>
              </w:rPr>
              <w:t>disperģējamās</w:t>
            </w:r>
            <w:proofErr w:type="spellEnd"/>
            <w:r w:rsidR="00E73B6F" w:rsidRPr="001019EC">
              <w:rPr>
                <w:sz w:val="20"/>
                <w:szCs w:val="20"/>
              </w:rPr>
              <w:t xml:space="preserve"> </w:t>
            </w:r>
            <w:r w:rsidR="00DB5129" w:rsidRPr="001019EC">
              <w:rPr>
                <w:sz w:val="20"/>
                <w:szCs w:val="20"/>
              </w:rPr>
              <w:t>tablets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A0" w:rsidRPr="001019EC" w:rsidRDefault="00E73B6F" w:rsidP="000835A0">
            <w:pPr>
              <w:rPr>
                <w:bCs/>
                <w:sz w:val="20"/>
                <w:szCs w:val="20"/>
              </w:rPr>
            </w:pPr>
            <w:proofErr w:type="spellStart"/>
            <w:r w:rsidRPr="001019EC">
              <w:rPr>
                <w:bCs/>
                <w:sz w:val="20"/>
                <w:szCs w:val="20"/>
              </w:rPr>
              <w:t>Lamotriginum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F" w:rsidRPr="001019EC" w:rsidRDefault="00E73B6F" w:rsidP="00E73B6F">
            <w:pPr>
              <w:rPr>
                <w:sz w:val="20"/>
                <w:szCs w:val="20"/>
              </w:rPr>
            </w:pPr>
            <w:r w:rsidRPr="001019EC">
              <w:rPr>
                <w:sz w:val="20"/>
                <w:szCs w:val="20"/>
              </w:rPr>
              <w:t xml:space="preserve">GlaxoSmithKline Latvia, SIA, </w:t>
            </w:r>
            <w:proofErr w:type="spellStart"/>
            <w:r w:rsidRPr="001019EC">
              <w:rPr>
                <w:sz w:val="20"/>
                <w:szCs w:val="20"/>
              </w:rPr>
              <w:t>Latvija</w:t>
            </w:r>
            <w:proofErr w:type="spellEnd"/>
          </w:p>
          <w:p w:rsidR="000835A0" w:rsidRPr="001019EC" w:rsidRDefault="000835A0" w:rsidP="0008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6F" w:rsidRPr="001019EC" w:rsidRDefault="00E73B6F" w:rsidP="00E73B6F">
            <w:pPr>
              <w:rPr>
                <w:sz w:val="20"/>
                <w:szCs w:val="20"/>
              </w:rPr>
            </w:pPr>
            <w:proofErr w:type="spellStart"/>
            <w:r w:rsidRPr="001019EC">
              <w:rPr>
                <w:sz w:val="20"/>
                <w:szCs w:val="20"/>
              </w:rPr>
              <w:t>Papildināta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saskaņā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uzņēmuma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drošuma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pamatdatiem</w:t>
            </w:r>
            <w:proofErr w:type="spellEnd"/>
            <w:r w:rsidRPr="001019EC">
              <w:rPr>
                <w:sz w:val="20"/>
                <w:szCs w:val="20"/>
              </w:rPr>
              <w:t xml:space="preserve">. </w:t>
            </w:r>
            <w:proofErr w:type="spellStart"/>
            <w:r w:rsidRPr="001019EC">
              <w:rPr>
                <w:sz w:val="20"/>
                <w:szCs w:val="20"/>
              </w:rPr>
              <w:t>Iekļauta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informācija</w:t>
            </w:r>
            <w:proofErr w:type="spellEnd"/>
            <w:r w:rsidRPr="001019EC">
              <w:rPr>
                <w:sz w:val="20"/>
                <w:szCs w:val="20"/>
              </w:rPr>
              <w:t xml:space="preserve"> par </w:t>
            </w:r>
            <w:proofErr w:type="spellStart"/>
            <w:r w:rsidRPr="001019EC">
              <w:rPr>
                <w:sz w:val="20"/>
                <w:szCs w:val="20"/>
              </w:rPr>
              <w:t>lamotrigīna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mijiedarbību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ar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lakozamīdu</w:t>
            </w:r>
            <w:proofErr w:type="spellEnd"/>
            <w:r w:rsidRPr="001019EC">
              <w:rPr>
                <w:sz w:val="20"/>
                <w:szCs w:val="20"/>
              </w:rPr>
              <w:t xml:space="preserve"> un </w:t>
            </w:r>
            <w:proofErr w:type="spellStart"/>
            <w:r w:rsidRPr="001019EC">
              <w:rPr>
                <w:sz w:val="20"/>
                <w:szCs w:val="20"/>
              </w:rPr>
              <w:t>perampanelu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  <w:r w:rsidRPr="001019EC">
              <w:rPr>
                <w:sz w:val="20"/>
                <w:szCs w:val="20"/>
              </w:rPr>
              <w:br/>
            </w:r>
            <w:proofErr w:type="spellStart"/>
            <w:r w:rsidRPr="001019EC">
              <w:rPr>
                <w:sz w:val="20"/>
                <w:szCs w:val="20"/>
              </w:rPr>
              <w:t>Izmaiņas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lietošanas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instrukcijā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nav</w:t>
            </w:r>
            <w:proofErr w:type="spellEnd"/>
            <w:r w:rsidRPr="001019EC">
              <w:rPr>
                <w:sz w:val="20"/>
                <w:szCs w:val="20"/>
              </w:rPr>
              <w:t xml:space="preserve"> </w:t>
            </w:r>
            <w:proofErr w:type="spellStart"/>
            <w:r w:rsidRPr="001019EC">
              <w:rPr>
                <w:sz w:val="20"/>
                <w:szCs w:val="20"/>
              </w:rPr>
              <w:t>nepieciešamas</w:t>
            </w:r>
            <w:proofErr w:type="spellEnd"/>
            <w:r w:rsidRPr="001019EC">
              <w:rPr>
                <w:sz w:val="20"/>
                <w:szCs w:val="20"/>
              </w:rPr>
              <w:t>.</w:t>
            </w:r>
          </w:p>
          <w:p w:rsidR="000835A0" w:rsidRPr="001019EC" w:rsidRDefault="000835A0" w:rsidP="000835A0">
            <w:pPr>
              <w:rPr>
                <w:sz w:val="20"/>
                <w:szCs w:val="20"/>
              </w:rPr>
            </w:pPr>
          </w:p>
        </w:tc>
      </w:tr>
    </w:tbl>
    <w:p w:rsidR="00067900" w:rsidRPr="00690C7B" w:rsidRDefault="00067900" w:rsidP="001019EC">
      <w:pPr>
        <w:ind w:right="-10"/>
        <w:jc w:val="both"/>
        <w:rPr>
          <w:sz w:val="20"/>
          <w:szCs w:val="20"/>
          <w:lang w:val="lv-LV"/>
        </w:rPr>
      </w:pPr>
    </w:p>
    <w:sectPr w:rsidR="00067900" w:rsidRPr="00690C7B">
      <w:type w:val="continuous"/>
      <w:pgSz w:w="16838" w:h="11906" w:orient="landscape"/>
      <w:pgMar w:top="1134" w:right="680" w:bottom="1134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7C" w:rsidRDefault="00C73F7C" w:rsidP="002153D8">
      <w:r>
        <w:separator/>
      </w:r>
    </w:p>
  </w:endnote>
  <w:endnote w:type="continuationSeparator" w:id="0">
    <w:p w:rsidR="00C73F7C" w:rsidRDefault="00C73F7C" w:rsidP="0021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315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02D4" w:rsidRDefault="00D702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2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02D4" w:rsidRDefault="00D70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7C" w:rsidRDefault="00C73F7C" w:rsidP="002153D8">
      <w:r>
        <w:separator/>
      </w:r>
    </w:p>
  </w:footnote>
  <w:footnote w:type="continuationSeparator" w:id="0">
    <w:p w:rsidR="00C73F7C" w:rsidRDefault="00C73F7C" w:rsidP="00215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35"/>
    <w:rsid w:val="00002B80"/>
    <w:rsid w:val="000054CF"/>
    <w:rsid w:val="000128EE"/>
    <w:rsid w:val="00013AB3"/>
    <w:rsid w:val="000259EC"/>
    <w:rsid w:val="00025DC9"/>
    <w:rsid w:val="000421EE"/>
    <w:rsid w:val="00046C88"/>
    <w:rsid w:val="00050F5F"/>
    <w:rsid w:val="00064810"/>
    <w:rsid w:val="00067900"/>
    <w:rsid w:val="00073176"/>
    <w:rsid w:val="00083579"/>
    <w:rsid w:val="000835A0"/>
    <w:rsid w:val="000843C6"/>
    <w:rsid w:val="0008583C"/>
    <w:rsid w:val="00085970"/>
    <w:rsid w:val="0009075B"/>
    <w:rsid w:val="00091EC5"/>
    <w:rsid w:val="00093C84"/>
    <w:rsid w:val="00096625"/>
    <w:rsid w:val="000A0C9D"/>
    <w:rsid w:val="000A4671"/>
    <w:rsid w:val="000A5D42"/>
    <w:rsid w:val="000B7DD2"/>
    <w:rsid w:val="000C2269"/>
    <w:rsid w:val="000C3F7A"/>
    <w:rsid w:val="000D03AD"/>
    <w:rsid w:val="000D0769"/>
    <w:rsid w:val="000D1826"/>
    <w:rsid w:val="000D447C"/>
    <w:rsid w:val="000D5702"/>
    <w:rsid w:val="000E67C7"/>
    <w:rsid w:val="000E730F"/>
    <w:rsid w:val="000F0F2A"/>
    <w:rsid w:val="000F2EA7"/>
    <w:rsid w:val="000F30E8"/>
    <w:rsid w:val="00100401"/>
    <w:rsid w:val="001019EC"/>
    <w:rsid w:val="00101D11"/>
    <w:rsid w:val="00106BB2"/>
    <w:rsid w:val="0011317C"/>
    <w:rsid w:val="001174B1"/>
    <w:rsid w:val="001207DE"/>
    <w:rsid w:val="0012279E"/>
    <w:rsid w:val="00122A11"/>
    <w:rsid w:val="00126D4D"/>
    <w:rsid w:val="0013429E"/>
    <w:rsid w:val="001362B4"/>
    <w:rsid w:val="00141C44"/>
    <w:rsid w:val="00147771"/>
    <w:rsid w:val="00151B9A"/>
    <w:rsid w:val="001630D3"/>
    <w:rsid w:val="001632D0"/>
    <w:rsid w:val="00170353"/>
    <w:rsid w:val="001705B8"/>
    <w:rsid w:val="001731F9"/>
    <w:rsid w:val="00180FA8"/>
    <w:rsid w:val="00182298"/>
    <w:rsid w:val="001A0AEA"/>
    <w:rsid w:val="001A29ED"/>
    <w:rsid w:val="001A3692"/>
    <w:rsid w:val="001B030B"/>
    <w:rsid w:val="001B3A4E"/>
    <w:rsid w:val="001B5496"/>
    <w:rsid w:val="001B6C80"/>
    <w:rsid w:val="001B7609"/>
    <w:rsid w:val="001C15D1"/>
    <w:rsid w:val="001D5AC5"/>
    <w:rsid w:val="001D7C7B"/>
    <w:rsid w:val="001E2045"/>
    <w:rsid w:val="001E4FA7"/>
    <w:rsid w:val="001E681B"/>
    <w:rsid w:val="001E6CED"/>
    <w:rsid w:val="001F1DAC"/>
    <w:rsid w:val="001F2DF3"/>
    <w:rsid w:val="001F3ACE"/>
    <w:rsid w:val="0020149E"/>
    <w:rsid w:val="002052B5"/>
    <w:rsid w:val="002052F9"/>
    <w:rsid w:val="00212E11"/>
    <w:rsid w:val="00214B08"/>
    <w:rsid w:val="002153D8"/>
    <w:rsid w:val="00223DD5"/>
    <w:rsid w:val="00225C74"/>
    <w:rsid w:val="002333B1"/>
    <w:rsid w:val="0023651B"/>
    <w:rsid w:val="00242B6F"/>
    <w:rsid w:val="002434A9"/>
    <w:rsid w:val="00245A9E"/>
    <w:rsid w:val="002504FB"/>
    <w:rsid w:val="0025076B"/>
    <w:rsid w:val="00260497"/>
    <w:rsid w:val="00260893"/>
    <w:rsid w:val="00260C38"/>
    <w:rsid w:val="002630CF"/>
    <w:rsid w:val="00266699"/>
    <w:rsid w:val="00271C48"/>
    <w:rsid w:val="00283808"/>
    <w:rsid w:val="00285284"/>
    <w:rsid w:val="00285709"/>
    <w:rsid w:val="0028676E"/>
    <w:rsid w:val="00290C41"/>
    <w:rsid w:val="002912F3"/>
    <w:rsid w:val="0029727D"/>
    <w:rsid w:val="002A4D70"/>
    <w:rsid w:val="002A6B86"/>
    <w:rsid w:val="002B4110"/>
    <w:rsid w:val="002C57F9"/>
    <w:rsid w:val="002C581C"/>
    <w:rsid w:val="002D108C"/>
    <w:rsid w:val="002D225B"/>
    <w:rsid w:val="002E3C04"/>
    <w:rsid w:val="002E4190"/>
    <w:rsid w:val="002F0833"/>
    <w:rsid w:val="002F1B8E"/>
    <w:rsid w:val="002F5091"/>
    <w:rsid w:val="0030030E"/>
    <w:rsid w:val="00301FD2"/>
    <w:rsid w:val="00305088"/>
    <w:rsid w:val="0030608E"/>
    <w:rsid w:val="00312892"/>
    <w:rsid w:val="00314AD7"/>
    <w:rsid w:val="0032570B"/>
    <w:rsid w:val="003365A3"/>
    <w:rsid w:val="00336DE2"/>
    <w:rsid w:val="0034324D"/>
    <w:rsid w:val="00344852"/>
    <w:rsid w:val="0034576D"/>
    <w:rsid w:val="00346136"/>
    <w:rsid w:val="00347958"/>
    <w:rsid w:val="003519A4"/>
    <w:rsid w:val="00352412"/>
    <w:rsid w:val="00354F7B"/>
    <w:rsid w:val="00356738"/>
    <w:rsid w:val="00356B47"/>
    <w:rsid w:val="003574E0"/>
    <w:rsid w:val="003856AA"/>
    <w:rsid w:val="00386A84"/>
    <w:rsid w:val="00387FA3"/>
    <w:rsid w:val="00397B54"/>
    <w:rsid w:val="003A63A5"/>
    <w:rsid w:val="003B706B"/>
    <w:rsid w:val="003B7366"/>
    <w:rsid w:val="003C2793"/>
    <w:rsid w:val="003C62EC"/>
    <w:rsid w:val="003D1DF5"/>
    <w:rsid w:val="003D61E1"/>
    <w:rsid w:val="003E079B"/>
    <w:rsid w:val="003E26FC"/>
    <w:rsid w:val="003E57F0"/>
    <w:rsid w:val="003E7CC6"/>
    <w:rsid w:val="004020A2"/>
    <w:rsid w:val="004023A7"/>
    <w:rsid w:val="00406ADD"/>
    <w:rsid w:val="00410E5E"/>
    <w:rsid w:val="004150D5"/>
    <w:rsid w:val="00421074"/>
    <w:rsid w:val="00422AFD"/>
    <w:rsid w:val="00436438"/>
    <w:rsid w:val="004405CC"/>
    <w:rsid w:val="004455FB"/>
    <w:rsid w:val="00447276"/>
    <w:rsid w:val="00457FEB"/>
    <w:rsid w:val="00460228"/>
    <w:rsid w:val="00461D35"/>
    <w:rsid w:val="00476A44"/>
    <w:rsid w:val="004775F2"/>
    <w:rsid w:val="0048448B"/>
    <w:rsid w:val="004868C5"/>
    <w:rsid w:val="004A401F"/>
    <w:rsid w:val="004A5E6A"/>
    <w:rsid w:val="004B00EF"/>
    <w:rsid w:val="004B1F38"/>
    <w:rsid w:val="004B3D12"/>
    <w:rsid w:val="004B7319"/>
    <w:rsid w:val="004C1906"/>
    <w:rsid w:val="004C2F57"/>
    <w:rsid w:val="004C3995"/>
    <w:rsid w:val="004C3BF4"/>
    <w:rsid w:val="004C4A50"/>
    <w:rsid w:val="004C6D6D"/>
    <w:rsid w:val="004C76B6"/>
    <w:rsid w:val="004D1896"/>
    <w:rsid w:val="004D40CB"/>
    <w:rsid w:val="004E0FD3"/>
    <w:rsid w:val="004E1EBC"/>
    <w:rsid w:val="004E6379"/>
    <w:rsid w:val="004F363E"/>
    <w:rsid w:val="004F634F"/>
    <w:rsid w:val="005051D4"/>
    <w:rsid w:val="0051042C"/>
    <w:rsid w:val="005128F2"/>
    <w:rsid w:val="005131E7"/>
    <w:rsid w:val="0051398E"/>
    <w:rsid w:val="0051585D"/>
    <w:rsid w:val="00520138"/>
    <w:rsid w:val="00523BB8"/>
    <w:rsid w:val="00526C11"/>
    <w:rsid w:val="00542033"/>
    <w:rsid w:val="00542E9B"/>
    <w:rsid w:val="005463F2"/>
    <w:rsid w:val="005501CE"/>
    <w:rsid w:val="00554135"/>
    <w:rsid w:val="005629AF"/>
    <w:rsid w:val="00562D04"/>
    <w:rsid w:val="00565395"/>
    <w:rsid w:val="00565FC6"/>
    <w:rsid w:val="005722AF"/>
    <w:rsid w:val="00573634"/>
    <w:rsid w:val="0057550A"/>
    <w:rsid w:val="0057565F"/>
    <w:rsid w:val="005822A2"/>
    <w:rsid w:val="0058236B"/>
    <w:rsid w:val="0058348B"/>
    <w:rsid w:val="005A025E"/>
    <w:rsid w:val="005B0029"/>
    <w:rsid w:val="005B329A"/>
    <w:rsid w:val="005B52C2"/>
    <w:rsid w:val="005B6A3D"/>
    <w:rsid w:val="005B79BC"/>
    <w:rsid w:val="005C1E88"/>
    <w:rsid w:val="005C2AA7"/>
    <w:rsid w:val="005C5FBD"/>
    <w:rsid w:val="005C6EF5"/>
    <w:rsid w:val="005D35DD"/>
    <w:rsid w:val="005D488C"/>
    <w:rsid w:val="005E17DE"/>
    <w:rsid w:val="005E7DC8"/>
    <w:rsid w:val="005F1895"/>
    <w:rsid w:val="005F6FD7"/>
    <w:rsid w:val="00600C03"/>
    <w:rsid w:val="00604A99"/>
    <w:rsid w:val="00610DC1"/>
    <w:rsid w:val="006153F8"/>
    <w:rsid w:val="00622745"/>
    <w:rsid w:val="00631CB4"/>
    <w:rsid w:val="00633C96"/>
    <w:rsid w:val="006405EA"/>
    <w:rsid w:val="00652EE1"/>
    <w:rsid w:val="00656496"/>
    <w:rsid w:val="0066508F"/>
    <w:rsid w:val="00672CBC"/>
    <w:rsid w:val="00673B9A"/>
    <w:rsid w:val="006743FF"/>
    <w:rsid w:val="00677F08"/>
    <w:rsid w:val="0068412F"/>
    <w:rsid w:val="00690C7B"/>
    <w:rsid w:val="00695FD7"/>
    <w:rsid w:val="006967F9"/>
    <w:rsid w:val="006A2A5A"/>
    <w:rsid w:val="006A5F48"/>
    <w:rsid w:val="006A62EB"/>
    <w:rsid w:val="006B2519"/>
    <w:rsid w:val="006B44AD"/>
    <w:rsid w:val="006B5F49"/>
    <w:rsid w:val="006B7880"/>
    <w:rsid w:val="006C1D88"/>
    <w:rsid w:val="006D347F"/>
    <w:rsid w:val="006D40C1"/>
    <w:rsid w:val="006D63A4"/>
    <w:rsid w:val="006E13FB"/>
    <w:rsid w:val="006E3430"/>
    <w:rsid w:val="006E3703"/>
    <w:rsid w:val="006E671B"/>
    <w:rsid w:val="006F2B61"/>
    <w:rsid w:val="00700F78"/>
    <w:rsid w:val="00706120"/>
    <w:rsid w:val="0070642B"/>
    <w:rsid w:val="00711C11"/>
    <w:rsid w:val="007260E2"/>
    <w:rsid w:val="00733DB6"/>
    <w:rsid w:val="00737707"/>
    <w:rsid w:val="007534E9"/>
    <w:rsid w:val="00771630"/>
    <w:rsid w:val="00791908"/>
    <w:rsid w:val="0079494A"/>
    <w:rsid w:val="00795D65"/>
    <w:rsid w:val="00797EEF"/>
    <w:rsid w:val="007A1FE4"/>
    <w:rsid w:val="007A7568"/>
    <w:rsid w:val="007D3D75"/>
    <w:rsid w:val="007D666A"/>
    <w:rsid w:val="007D70B0"/>
    <w:rsid w:val="007D7F74"/>
    <w:rsid w:val="007E05F6"/>
    <w:rsid w:val="007E1A01"/>
    <w:rsid w:val="007E7848"/>
    <w:rsid w:val="007F0C38"/>
    <w:rsid w:val="007F38A3"/>
    <w:rsid w:val="007F64A9"/>
    <w:rsid w:val="007F651E"/>
    <w:rsid w:val="00801919"/>
    <w:rsid w:val="00801EAA"/>
    <w:rsid w:val="00804F6D"/>
    <w:rsid w:val="00806587"/>
    <w:rsid w:val="008109F3"/>
    <w:rsid w:val="0081289C"/>
    <w:rsid w:val="00816290"/>
    <w:rsid w:val="00817369"/>
    <w:rsid w:val="00824696"/>
    <w:rsid w:val="0082558C"/>
    <w:rsid w:val="0082578F"/>
    <w:rsid w:val="008351A4"/>
    <w:rsid w:val="0084262D"/>
    <w:rsid w:val="008441D0"/>
    <w:rsid w:val="00844746"/>
    <w:rsid w:val="00844968"/>
    <w:rsid w:val="00853DBE"/>
    <w:rsid w:val="008543A6"/>
    <w:rsid w:val="00854626"/>
    <w:rsid w:val="00857C23"/>
    <w:rsid w:val="00866900"/>
    <w:rsid w:val="00867A5B"/>
    <w:rsid w:val="00875C07"/>
    <w:rsid w:val="00877394"/>
    <w:rsid w:val="00880305"/>
    <w:rsid w:val="00883001"/>
    <w:rsid w:val="008845F2"/>
    <w:rsid w:val="00884A45"/>
    <w:rsid w:val="00893087"/>
    <w:rsid w:val="00893DFC"/>
    <w:rsid w:val="008A7EAB"/>
    <w:rsid w:val="008B2955"/>
    <w:rsid w:val="008C0A2D"/>
    <w:rsid w:val="008C2C80"/>
    <w:rsid w:val="008C2E8A"/>
    <w:rsid w:val="008C3561"/>
    <w:rsid w:val="008C66DF"/>
    <w:rsid w:val="008C7DF0"/>
    <w:rsid w:val="008D063C"/>
    <w:rsid w:val="008D163C"/>
    <w:rsid w:val="008E4F43"/>
    <w:rsid w:val="008E70DD"/>
    <w:rsid w:val="008F77B0"/>
    <w:rsid w:val="00904A62"/>
    <w:rsid w:val="00907074"/>
    <w:rsid w:val="0091398E"/>
    <w:rsid w:val="00914BED"/>
    <w:rsid w:val="0091735A"/>
    <w:rsid w:val="00920AEF"/>
    <w:rsid w:val="00920CC3"/>
    <w:rsid w:val="009219D0"/>
    <w:rsid w:val="00922E7B"/>
    <w:rsid w:val="00923E81"/>
    <w:rsid w:val="00924D41"/>
    <w:rsid w:val="00942272"/>
    <w:rsid w:val="00944B8F"/>
    <w:rsid w:val="00945A15"/>
    <w:rsid w:val="00945DC0"/>
    <w:rsid w:val="0095095D"/>
    <w:rsid w:val="00953946"/>
    <w:rsid w:val="009563D9"/>
    <w:rsid w:val="00960BB1"/>
    <w:rsid w:val="0096240A"/>
    <w:rsid w:val="00995FFB"/>
    <w:rsid w:val="009B7556"/>
    <w:rsid w:val="009C1267"/>
    <w:rsid w:val="009C1C92"/>
    <w:rsid w:val="009D15F7"/>
    <w:rsid w:val="009D1EB6"/>
    <w:rsid w:val="009D2D06"/>
    <w:rsid w:val="009D3955"/>
    <w:rsid w:val="009D3B38"/>
    <w:rsid w:val="009E7814"/>
    <w:rsid w:val="009F1D96"/>
    <w:rsid w:val="009F2434"/>
    <w:rsid w:val="009F310C"/>
    <w:rsid w:val="009F776E"/>
    <w:rsid w:val="009F7A93"/>
    <w:rsid w:val="00A00506"/>
    <w:rsid w:val="00A03150"/>
    <w:rsid w:val="00A0343F"/>
    <w:rsid w:val="00A10DD4"/>
    <w:rsid w:val="00A17873"/>
    <w:rsid w:val="00A23CAF"/>
    <w:rsid w:val="00A27B6A"/>
    <w:rsid w:val="00A3052B"/>
    <w:rsid w:val="00A311CA"/>
    <w:rsid w:val="00A32D72"/>
    <w:rsid w:val="00A337E3"/>
    <w:rsid w:val="00A341DE"/>
    <w:rsid w:val="00A405BB"/>
    <w:rsid w:val="00A40935"/>
    <w:rsid w:val="00A42B1A"/>
    <w:rsid w:val="00A443B7"/>
    <w:rsid w:val="00A477CE"/>
    <w:rsid w:val="00A54DBE"/>
    <w:rsid w:val="00A659AD"/>
    <w:rsid w:val="00A65F88"/>
    <w:rsid w:val="00A73408"/>
    <w:rsid w:val="00A75448"/>
    <w:rsid w:val="00A76FF1"/>
    <w:rsid w:val="00A80CAC"/>
    <w:rsid w:val="00A84726"/>
    <w:rsid w:val="00A86539"/>
    <w:rsid w:val="00A86A0A"/>
    <w:rsid w:val="00A90C38"/>
    <w:rsid w:val="00A90D75"/>
    <w:rsid w:val="00A90F08"/>
    <w:rsid w:val="00AA2EB6"/>
    <w:rsid w:val="00AA30EC"/>
    <w:rsid w:val="00AA479E"/>
    <w:rsid w:val="00AA4CA9"/>
    <w:rsid w:val="00AA5D2F"/>
    <w:rsid w:val="00AA7D15"/>
    <w:rsid w:val="00AB4382"/>
    <w:rsid w:val="00AC0BAB"/>
    <w:rsid w:val="00AC1EB5"/>
    <w:rsid w:val="00AC1FA3"/>
    <w:rsid w:val="00AC2CCA"/>
    <w:rsid w:val="00AD1FC3"/>
    <w:rsid w:val="00AD2163"/>
    <w:rsid w:val="00AD35AA"/>
    <w:rsid w:val="00AD4327"/>
    <w:rsid w:val="00AD561D"/>
    <w:rsid w:val="00AD74AC"/>
    <w:rsid w:val="00AF2EA3"/>
    <w:rsid w:val="00AF3C87"/>
    <w:rsid w:val="00AF5930"/>
    <w:rsid w:val="00B00D3B"/>
    <w:rsid w:val="00B03262"/>
    <w:rsid w:val="00B07C8A"/>
    <w:rsid w:val="00B10EBE"/>
    <w:rsid w:val="00B11A00"/>
    <w:rsid w:val="00B1336F"/>
    <w:rsid w:val="00B143AD"/>
    <w:rsid w:val="00B152BC"/>
    <w:rsid w:val="00B16DD2"/>
    <w:rsid w:val="00B317B3"/>
    <w:rsid w:val="00B326C9"/>
    <w:rsid w:val="00B32873"/>
    <w:rsid w:val="00B4002E"/>
    <w:rsid w:val="00B472A4"/>
    <w:rsid w:val="00B52764"/>
    <w:rsid w:val="00B52D99"/>
    <w:rsid w:val="00B52F69"/>
    <w:rsid w:val="00B53AD0"/>
    <w:rsid w:val="00B61774"/>
    <w:rsid w:val="00B642F6"/>
    <w:rsid w:val="00B67B36"/>
    <w:rsid w:val="00B71643"/>
    <w:rsid w:val="00B74A9F"/>
    <w:rsid w:val="00B74EDA"/>
    <w:rsid w:val="00B7503E"/>
    <w:rsid w:val="00B76C9D"/>
    <w:rsid w:val="00B7762F"/>
    <w:rsid w:val="00B9798F"/>
    <w:rsid w:val="00BA0A1B"/>
    <w:rsid w:val="00BA1620"/>
    <w:rsid w:val="00BA3D58"/>
    <w:rsid w:val="00BA6B18"/>
    <w:rsid w:val="00BB0D45"/>
    <w:rsid w:val="00BB7383"/>
    <w:rsid w:val="00BC1BC4"/>
    <w:rsid w:val="00BD29B2"/>
    <w:rsid w:val="00BD302B"/>
    <w:rsid w:val="00BD4095"/>
    <w:rsid w:val="00C00F60"/>
    <w:rsid w:val="00C014F8"/>
    <w:rsid w:val="00C02917"/>
    <w:rsid w:val="00C05DA9"/>
    <w:rsid w:val="00C0733D"/>
    <w:rsid w:val="00C1025A"/>
    <w:rsid w:val="00C1743F"/>
    <w:rsid w:val="00C22993"/>
    <w:rsid w:val="00C24381"/>
    <w:rsid w:val="00C2491B"/>
    <w:rsid w:val="00C250FA"/>
    <w:rsid w:val="00C32DC1"/>
    <w:rsid w:val="00C3473B"/>
    <w:rsid w:val="00C51BC8"/>
    <w:rsid w:val="00C52B52"/>
    <w:rsid w:val="00C57A57"/>
    <w:rsid w:val="00C6231D"/>
    <w:rsid w:val="00C63C12"/>
    <w:rsid w:val="00C65572"/>
    <w:rsid w:val="00C6571A"/>
    <w:rsid w:val="00C71709"/>
    <w:rsid w:val="00C73F7C"/>
    <w:rsid w:val="00C75339"/>
    <w:rsid w:val="00C75BE7"/>
    <w:rsid w:val="00C77ED9"/>
    <w:rsid w:val="00C92956"/>
    <w:rsid w:val="00C94E13"/>
    <w:rsid w:val="00CA123B"/>
    <w:rsid w:val="00CA2400"/>
    <w:rsid w:val="00CB05A4"/>
    <w:rsid w:val="00CB5365"/>
    <w:rsid w:val="00CB66F9"/>
    <w:rsid w:val="00CB6A8D"/>
    <w:rsid w:val="00CD0B40"/>
    <w:rsid w:val="00CD0F68"/>
    <w:rsid w:val="00CD75C5"/>
    <w:rsid w:val="00CE24B3"/>
    <w:rsid w:val="00CF3040"/>
    <w:rsid w:val="00CF48D1"/>
    <w:rsid w:val="00D02B8B"/>
    <w:rsid w:val="00D02ED8"/>
    <w:rsid w:val="00D15AF1"/>
    <w:rsid w:val="00D17F99"/>
    <w:rsid w:val="00D23B84"/>
    <w:rsid w:val="00D2416A"/>
    <w:rsid w:val="00D3013A"/>
    <w:rsid w:val="00D33285"/>
    <w:rsid w:val="00D3428F"/>
    <w:rsid w:val="00D37A35"/>
    <w:rsid w:val="00D44ECC"/>
    <w:rsid w:val="00D4731D"/>
    <w:rsid w:val="00D47493"/>
    <w:rsid w:val="00D500E9"/>
    <w:rsid w:val="00D643D5"/>
    <w:rsid w:val="00D702D4"/>
    <w:rsid w:val="00D71ADE"/>
    <w:rsid w:val="00D735B1"/>
    <w:rsid w:val="00D76790"/>
    <w:rsid w:val="00D77B45"/>
    <w:rsid w:val="00D80C97"/>
    <w:rsid w:val="00D85EBE"/>
    <w:rsid w:val="00D91E6E"/>
    <w:rsid w:val="00D91E80"/>
    <w:rsid w:val="00D9377B"/>
    <w:rsid w:val="00D93BE5"/>
    <w:rsid w:val="00DA181E"/>
    <w:rsid w:val="00DA39F0"/>
    <w:rsid w:val="00DA3CFF"/>
    <w:rsid w:val="00DA79DC"/>
    <w:rsid w:val="00DA7BCA"/>
    <w:rsid w:val="00DB5129"/>
    <w:rsid w:val="00DC223E"/>
    <w:rsid w:val="00DD001B"/>
    <w:rsid w:val="00DD2200"/>
    <w:rsid w:val="00DE04DE"/>
    <w:rsid w:val="00DE0793"/>
    <w:rsid w:val="00DE1376"/>
    <w:rsid w:val="00DE4ABF"/>
    <w:rsid w:val="00DF07F1"/>
    <w:rsid w:val="00DF4827"/>
    <w:rsid w:val="00E022B8"/>
    <w:rsid w:val="00E07F39"/>
    <w:rsid w:val="00E166CF"/>
    <w:rsid w:val="00E21C76"/>
    <w:rsid w:val="00E319D9"/>
    <w:rsid w:val="00E324FC"/>
    <w:rsid w:val="00E42355"/>
    <w:rsid w:val="00E42BC9"/>
    <w:rsid w:val="00E5498B"/>
    <w:rsid w:val="00E612E6"/>
    <w:rsid w:val="00E71A0B"/>
    <w:rsid w:val="00E73B6F"/>
    <w:rsid w:val="00E802E3"/>
    <w:rsid w:val="00E81695"/>
    <w:rsid w:val="00E81885"/>
    <w:rsid w:val="00E91D27"/>
    <w:rsid w:val="00E9559B"/>
    <w:rsid w:val="00EA2EF2"/>
    <w:rsid w:val="00EA601B"/>
    <w:rsid w:val="00EA7785"/>
    <w:rsid w:val="00EB3D68"/>
    <w:rsid w:val="00EB4BF5"/>
    <w:rsid w:val="00EC5CD8"/>
    <w:rsid w:val="00EC5D98"/>
    <w:rsid w:val="00ED0A79"/>
    <w:rsid w:val="00ED1360"/>
    <w:rsid w:val="00EE1331"/>
    <w:rsid w:val="00EE15C7"/>
    <w:rsid w:val="00EE3193"/>
    <w:rsid w:val="00EE73EE"/>
    <w:rsid w:val="00EF20BA"/>
    <w:rsid w:val="00EF229E"/>
    <w:rsid w:val="00EF48D0"/>
    <w:rsid w:val="00EF7515"/>
    <w:rsid w:val="00F0040A"/>
    <w:rsid w:val="00F2161F"/>
    <w:rsid w:val="00F217AD"/>
    <w:rsid w:val="00F2444A"/>
    <w:rsid w:val="00F34B23"/>
    <w:rsid w:val="00F36BAE"/>
    <w:rsid w:val="00F44705"/>
    <w:rsid w:val="00F502A0"/>
    <w:rsid w:val="00F5070E"/>
    <w:rsid w:val="00F53F8B"/>
    <w:rsid w:val="00F565AA"/>
    <w:rsid w:val="00F575EA"/>
    <w:rsid w:val="00F61F98"/>
    <w:rsid w:val="00F658A2"/>
    <w:rsid w:val="00F65DBC"/>
    <w:rsid w:val="00F664E3"/>
    <w:rsid w:val="00F73438"/>
    <w:rsid w:val="00F7530B"/>
    <w:rsid w:val="00F80F58"/>
    <w:rsid w:val="00F825DA"/>
    <w:rsid w:val="00F83F27"/>
    <w:rsid w:val="00F927FD"/>
    <w:rsid w:val="00F956BA"/>
    <w:rsid w:val="00F9663D"/>
    <w:rsid w:val="00FA5E11"/>
    <w:rsid w:val="00FB0118"/>
    <w:rsid w:val="00FB10D0"/>
    <w:rsid w:val="00FB2336"/>
    <w:rsid w:val="00FC1B33"/>
    <w:rsid w:val="00FC36F4"/>
    <w:rsid w:val="00FC45CD"/>
    <w:rsid w:val="00FD4C36"/>
    <w:rsid w:val="00FD5C0F"/>
    <w:rsid w:val="00FE2840"/>
    <w:rsid w:val="00FE458B"/>
    <w:rsid w:val="00FE66B5"/>
    <w:rsid w:val="00FE68DB"/>
    <w:rsid w:val="00FE7CE9"/>
    <w:rsid w:val="00FF5D02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D3F73"/>
  <w15:chartTrackingRefBased/>
  <w15:docId w15:val="{8E9F6546-43E3-4E0A-B2F7-BA10A63E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locked/>
    <w:rPr>
      <w:lang w:eastAsia="en-US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paragraph" w:styleId="List2">
    <w:name w:val="List 2"/>
    <w:basedOn w:val="Normal"/>
    <w:semiHidden/>
    <w:unhideWhenUsed/>
    <w:pPr>
      <w:ind w:left="566" w:hanging="283"/>
    </w:p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Pr>
      <w:sz w:val="24"/>
      <w:szCs w:val="24"/>
    </w:rPr>
  </w:style>
  <w:style w:type="paragraph" w:styleId="Subtitle">
    <w:name w:val="Subtitle"/>
    <w:basedOn w:val="Normal"/>
    <w:link w:val="SubtitleChar"/>
    <w:qFormat/>
    <w:pPr>
      <w:jc w:val="center"/>
    </w:pPr>
    <w:rPr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locked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F5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600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5703</Words>
  <Characters>3251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ZĀĻU VALSTS AĢENTŪRA</vt:lpstr>
    </vt:vector>
  </TitlesOfParts>
  <Company>Lattelecom</Company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ZĀĻU VALSTS AĢENTŪRA</dc:title>
  <dc:subject/>
  <dc:creator>Jurijs Savcuks</dc:creator>
  <cp:keywords/>
  <dc:description/>
  <cp:lastModifiedBy>Dita Okmane</cp:lastModifiedBy>
  <cp:revision>49</cp:revision>
  <dcterms:created xsi:type="dcterms:W3CDTF">2018-07-16T10:55:00Z</dcterms:created>
  <dcterms:modified xsi:type="dcterms:W3CDTF">2018-09-27T12:32:00Z</dcterms:modified>
</cp:coreProperties>
</file>