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40" w:rsidRDefault="00FE2840">
      <w:pPr>
        <w:pStyle w:val="Footer"/>
        <w:ind w:right="-622"/>
        <w:rPr>
          <w:b/>
          <w:sz w:val="22"/>
          <w:szCs w:val="22"/>
          <w:lang w:val="lv-LV"/>
        </w:rPr>
      </w:pPr>
    </w:p>
    <w:p w:rsidR="00FE2840" w:rsidRDefault="00FE2840">
      <w:pPr>
        <w:rPr>
          <w:b/>
          <w:sz w:val="22"/>
          <w:szCs w:val="22"/>
          <w:lang w:val="lv-LV"/>
        </w:rPr>
        <w:sectPr w:rsidR="00FE2840">
          <w:footerReference w:type="default" r:id="rId6"/>
          <w:pgSz w:w="16838" w:h="11906" w:orient="landscape"/>
          <w:pgMar w:top="1134" w:right="680" w:bottom="1134" w:left="680" w:header="709" w:footer="709" w:gutter="0"/>
          <w:cols w:space="708"/>
          <w:docGrid w:linePitch="360"/>
        </w:sectPr>
      </w:pPr>
    </w:p>
    <w:tbl>
      <w:tblPr>
        <w:tblStyle w:val="TableGrid"/>
        <w:tblW w:w="15876" w:type="dxa"/>
        <w:tblInd w:w="-5" w:type="dxa"/>
        <w:tblLayout w:type="fixed"/>
        <w:tblLook w:val="01E0" w:firstRow="1" w:lastRow="1" w:firstColumn="1" w:lastColumn="1" w:noHBand="0" w:noVBand="0"/>
      </w:tblPr>
      <w:tblGrid>
        <w:gridCol w:w="567"/>
        <w:gridCol w:w="993"/>
        <w:gridCol w:w="1842"/>
        <w:gridCol w:w="1701"/>
        <w:gridCol w:w="1560"/>
        <w:gridCol w:w="9213"/>
      </w:tblGrid>
      <w:tr w:rsidR="0008583C" w:rsidRPr="00DE4ABF" w:rsidTr="00953946">
        <w:tc>
          <w:tcPr>
            <w:tcW w:w="567" w:type="dxa"/>
            <w:tcBorders>
              <w:top w:val="single" w:sz="4" w:space="0" w:color="auto"/>
              <w:left w:val="single" w:sz="4" w:space="0" w:color="auto"/>
              <w:bottom w:val="single" w:sz="4" w:space="0" w:color="auto"/>
              <w:right w:val="single" w:sz="4" w:space="0" w:color="auto"/>
            </w:tcBorders>
            <w:hideMark/>
          </w:tcPr>
          <w:p w:rsidR="0008583C" w:rsidRPr="00DE4ABF" w:rsidRDefault="0008583C">
            <w:pPr>
              <w:jc w:val="center"/>
              <w:rPr>
                <w:sz w:val="20"/>
                <w:szCs w:val="20"/>
              </w:rPr>
            </w:pPr>
            <w:r w:rsidRPr="00DE4ABF">
              <w:rPr>
                <w:sz w:val="20"/>
                <w:szCs w:val="20"/>
              </w:rPr>
              <w:t>Nr. p.k.</w:t>
            </w:r>
          </w:p>
        </w:tc>
        <w:tc>
          <w:tcPr>
            <w:tcW w:w="993" w:type="dxa"/>
            <w:tcBorders>
              <w:top w:val="single" w:sz="4" w:space="0" w:color="auto"/>
              <w:left w:val="single" w:sz="4" w:space="0" w:color="auto"/>
              <w:bottom w:val="single" w:sz="4" w:space="0" w:color="auto"/>
              <w:right w:val="single" w:sz="4" w:space="0" w:color="auto"/>
            </w:tcBorders>
            <w:hideMark/>
          </w:tcPr>
          <w:p w:rsidR="0008583C" w:rsidRPr="00DE4ABF" w:rsidRDefault="0008583C">
            <w:pPr>
              <w:pStyle w:val="BodyText"/>
              <w:spacing w:after="0"/>
              <w:rPr>
                <w:sz w:val="20"/>
                <w:szCs w:val="20"/>
              </w:rPr>
            </w:pPr>
            <w:r w:rsidRPr="00DE4ABF">
              <w:rPr>
                <w:sz w:val="20"/>
                <w:szCs w:val="20"/>
              </w:rPr>
              <w:t>Reģ. numurs</w:t>
            </w:r>
          </w:p>
        </w:tc>
        <w:tc>
          <w:tcPr>
            <w:tcW w:w="1842" w:type="dxa"/>
            <w:tcBorders>
              <w:top w:val="single" w:sz="4" w:space="0" w:color="auto"/>
              <w:left w:val="single" w:sz="4" w:space="0" w:color="auto"/>
              <w:bottom w:val="single" w:sz="4" w:space="0" w:color="auto"/>
              <w:right w:val="single" w:sz="4" w:space="0" w:color="auto"/>
            </w:tcBorders>
            <w:hideMark/>
          </w:tcPr>
          <w:p w:rsidR="0008583C" w:rsidRPr="00DE4ABF" w:rsidRDefault="0008583C">
            <w:pPr>
              <w:pStyle w:val="BodyText"/>
              <w:spacing w:after="0"/>
              <w:rPr>
                <w:sz w:val="20"/>
                <w:szCs w:val="20"/>
              </w:rPr>
            </w:pPr>
            <w:r w:rsidRPr="00DE4ABF">
              <w:rPr>
                <w:sz w:val="20"/>
                <w:szCs w:val="20"/>
              </w:rPr>
              <w:t>Zāļu nosaukums, zāļu forma, stiprums/ koncentrācija</w:t>
            </w:r>
          </w:p>
        </w:tc>
        <w:tc>
          <w:tcPr>
            <w:tcW w:w="1701" w:type="dxa"/>
            <w:tcBorders>
              <w:top w:val="single" w:sz="4" w:space="0" w:color="auto"/>
              <w:left w:val="single" w:sz="4" w:space="0" w:color="auto"/>
              <w:bottom w:val="single" w:sz="4" w:space="0" w:color="auto"/>
              <w:right w:val="single" w:sz="4" w:space="0" w:color="auto"/>
            </w:tcBorders>
            <w:hideMark/>
          </w:tcPr>
          <w:p w:rsidR="0008583C" w:rsidRPr="00DE4ABF" w:rsidRDefault="0008583C">
            <w:pPr>
              <w:rPr>
                <w:bCs/>
                <w:sz w:val="20"/>
                <w:szCs w:val="20"/>
              </w:rPr>
            </w:pPr>
            <w:r w:rsidRPr="00DE4ABF">
              <w:rPr>
                <w:bCs/>
                <w:sz w:val="20"/>
                <w:szCs w:val="20"/>
              </w:rPr>
              <w:t>Aktīvās vielas nosaukums</w:t>
            </w:r>
          </w:p>
        </w:tc>
        <w:tc>
          <w:tcPr>
            <w:tcW w:w="1560" w:type="dxa"/>
            <w:tcBorders>
              <w:top w:val="single" w:sz="4" w:space="0" w:color="auto"/>
              <w:left w:val="single" w:sz="4" w:space="0" w:color="auto"/>
              <w:bottom w:val="single" w:sz="4" w:space="0" w:color="auto"/>
              <w:right w:val="single" w:sz="4" w:space="0" w:color="auto"/>
            </w:tcBorders>
            <w:hideMark/>
          </w:tcPr>
          <w:p w:rsidR="0008583C" w:rsidRPr="00DE4ABF" w:rsidRDefault="0008583C">
            <w:pPr>
              <w:rPr>
                <w:bCs/>
                <w:sz w:val="20"/>
                <w:szCs w:val="20"/>
              </w:rPr>
            </w:pPr>
            <w:r w:rsidRPr="00DE4ABF">
              <w:rPr>
                <w:bCs/>
                <w:sz w:val="20"/>
                <w:szCs w:val="20"/>
              </w:rPr>
              <w:t>Reģistrācijas apliecības īpašnieks, valsts</w:t>
            </w:r>
          </w:p>
        </w:tc>
        <w:tc>
          <w:tcPr>
            <w:tcW w:w="9213" w:type="dxa"/>
            <w:tcBorders>
              <w:top w:val="single" w:sz="4" w:space="0" w:color="auto"/>
              <w:left w:val="single" w:sz="4" w:space="0" w:color="auto"/>
              <w:bottom w:val="single" w:sz="4" w:space="0" w:color="auto"/>
              <w:right w:val="single" w:sz="4" w:space="0" w:color="auto"/>
            </w:tcBorders>
            <w:hideMark/>
          </w:tcPr>
          <w:p w:rsidR="0008583C" w:rsidRPr="00DE4ABF" w:rsidRDefault="0008583C">
            <w:pPr>
              <w:rPr>
                <w:sz w:val="20"/>
                <w:szCs w:val="20"/>
              </w:rPr>
            </w:pPr>
            <w:r w:rsidRPr="00DE4ABF">
              <w:rPr>
                <w:sz w:val="20"/>
                <w:szCs w:val="20"/>
              </w:rPr>
              <w:t>Izmaiņu būtība</w:t>
            </w:r>
          </w:p>
        </w:tc>
      </w:tr>
      <w:tr w:rsidR="00523BB8" w:rsidRPr="00DE4ABF" w:rsidTr="00B32873">
        <w:trPr>
          <w:trHeight w:val="1083"/>
        </w:trPr>
        <w:tc>
          <w:tcPr>
            <w:tcW w:w="567" w:type="dxa"/>
            <w:tcBorders>
              <w:top w:val="single" w:sz="4" w:space="0" w:color="auto"/>
              <w:left w:val="single" w:sz="4" w:space="0" w:color="auto"/>
              <w:right w:val="single" w:sz="4" w:space="0" w:color="auto"/>
            </w:tcBorders>
          </w:tcPr>
          <w:p w:rsidR="00523BB8" w:rsidRPr="00953946" w:rsidRDefault="009449D4" w:rsidP="00953946">
            <w:pPr>
              <w:rPr>
                <w:sz w:val="20"/>
                <w:szCs w:val="20"/>
              </w:rPr>
            </w:pPr>
            <w:r>
              <w:rPr>
                <w:sz w:val="20"/>
                <w:szCs w:val="20"/>
              </w:rPr>
              <w:t>1.</w:t>
            </w:r>
          </w:p>
        </w:tc>
        <w:tc>
          <w:tcPr>
            <w:tcW w:w="993" w:type="dxa"/>
            <w:tcBorders>
              <w:top w:val="single" w:sz="4" w:space="0" w:color="auto"/>
              <w:left w:val="single" w:sz="4" w:space="0" w:color="auto"/>
              <w:right w:val="single" w:sz="4" w:space="0" w:color="auto"/>
            </w:tcBorders>
            <w:shd w:val="clear" w:color="auto" w:fill="auto"/>
          </w:tcPr>
          <w:p w:rsidR="00523BB8" w:rsidRPr="0002497C" w:rsidRDefault="00523BB8" w:rsidP="00953946">
            <w:pPr>
              <w:rPr>
                <w:sz w:val="20"/>
                <w:szCs w:val="20"/>
              </w:rPr>
            </w:pPr>
            <w:r w:rsidRPr="0002497C">
              <w:rPr>
                <w:sz w:val="20"/>
                <w:szCs w:val="20"/>
              </w:rPr>
              <w:t>06-0021</w:t>
            </w:r>
          </w:p>
          <w:p w:rsidR="00523BB8" w:rsidRPr="0002497C" w:rsidRDefault="00523BB8" w:rsidP="00953946">
            <w:pPr>
              <w:rPr>
                <w:sz w:val="20"/>
                <w:szCs w:val="20"/>
              </w:rPr>
            </w:pPr>
            <w:r w:rsidRPr="0002497C">
              <w:rPr>
                <w:sz w:val="20"/>
                <w:szCs w:val="20"/>
              </w:rPr>
              <w:t>06-0020</w:t>
            </w:r>
          </w:p>
        </w:tc>
        <w:tc>
          <w:tcPr>
            <w:tcW w:w="1842" w:type="dxa"/>
            <w:tcBorders>
              <w:top w:val="single" w:sz="4" w:space="0" w:color="auto"/>
              <w:left w:val="single" w:sz="4" w:space="0" w:color="auto"/>
              <w:right w:val="single" w:sz="4" w:space="0" w:color="auto"/>
            </w:tcBorders>
            <w:shd w:val="clear" w:color="auto" w:fill="auto"/>
          </w:tcPr>
          <w:p w:rsidR="00523BB8" w:rsidRPr="0002497C" w:rsidRDefault="00523BB8" w:rsidP="00953946">
            <w:pPr>
              <w:rPr>
                <w:sz w:val="20"/>
                <w:szCs w:val="20"/>
              </w:rPr>
            </w:pPr>
            <w:r w:rsidRPr="0002497C">
              <w:rPr>
                <w:sz w:val="20"/>
                <w:szCs w:val="20"/>
              </w:rPr>
              <w:t>CADUET 10 mg/10</w:t>
            </w:r>
            <w:r w:rsidR="00B32873" w:rsidRPr="0002497C">
              <w:rPr>
                <w:sz w:val="20"/>
                <w:szCs w:val="20"/>
              </w:rPr>
              <w:t>mg; 5mg/10</w:t>
            </w:r>
            <w:r w:rsidRPr="0002497C">
              <w:rPr>
                <w:sz w:val="20"/>
                <w:szCs w:val="20"/>
              </w:rPr>
              <w:t xml:space="preserve"> mg apvalkotās tabletes</w:t>
            </w:r>
          </w:p>
          <w:p w:rsidR="00523BB8" w:rsidRPr="0002497C" w:rsidRDefault="00523BB8"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523BB8" w:rsidRPr="0002497C" w:rsidRDefault="00523BB8" w:rsidP="00953946">
            <w:pPr>
              <w:rPr>
                <w:sz w:val="20"/>
                <w:szCs w:val="20"/>
              </w:rPr>
            </w:pPr>
            <w:r w:rsidRPr="0002497C">
              <w:rPr>
                <w:sz w:val="20"/>
                <w:szCs w:val="20"/>
              </w:rPr>
              <w:t>Amlodipinum, Atorvastatinum</w:t>
            </w:r>
          </w:p>
        </w:tc>
        <w:tc>
          <w:tcPr>
            <w:tcW w:w="1560" w:type="dxa"/>
            <w:tcBorders>
              <w:top w:val="single" w:sz="4" w:space="0" w:color="auto"/>
              <w:left w:val="single" w:sz="4" w:space="0" w:color="auto"/>
              <w:right w:val="single" w:sz="4" w:space="0" w:color="auto"/>
            </w:tcBorders>
            <w:shd w:val="clear" w:color="auto" w:fill="auto"/>
          </w:tcPr>
          <w:p w:rsidR="00523BB8" w:rsidRPr="0002497C" w:rsidRDefault="00523BB8" w:rsidP="00953946">
            <w:pPr>
              <w:rPr>
                <w:sz w:val="20"/>
                <w:szCs w:val="20"/>
              </w:rPr>
            </w:pPr>
            <w:r w:rsidRPr="0002497C">
              <w:rPr>
                <w:sz w:val="20"/>
                <w:szCs w:val="20"/>
              </w:rPr>
              <w:t>Pfizer Europe MA EEIG, Lielbritānija</w:t>
            </w:r>
          </w:p>
        </w:tc>
        <w:tc>
          <w:tcPr>
            <w:tcW w:w="9213" w:type="dxa"/>
            <w:tcBorders>
              <w:top w:val="single" w:sz="4" w:space="0" w:color="auto"/>
              <w:left w:val="single" w:sz="4" w:space="0" w:color="auto"/>
              <w:right w:val="single" w:sz="4" w:space="0" w:color="auto"/>
            </w:tcBorders>
            <w:shd w:val="clear" w:color="auto" w:fill="auto"/>
          </w:tcPr>
          <w:p w:rsidR="00523BB8" w:rsidRPr="0002497C" w:rsidRDefault="00523BB8" w:rsidP="00523BB8">
            <w:pPr>
              <w:rPr>
                <w:sz w:val="20"/>
                <w:szCs w:val="20"/>
              </w:rPr>
            </w:pPr>
            <w:r w:rsidRPr="0002497C">
              <w:rPr>
                <w:sz w:val="20"/>
                <w:szCs w:val="20"/>
              </w:rPr>
              <w:t>Zāļu apraksta 4.5.apakšpunktā atjaunoti dati par vienlaicīgi lietoto zāļu ietekmi uz atorvastatīna farmakokinētiku un atorvastatīna ietekmi uz vienlaicīgi lietoto zāļu farmakokinētiku.</w:t>
            </w:r>
            <w:r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04-0345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Cirrus 5 mg/120 mg ilgstošās darbības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Cetirizini dihydrochloridum, Pseudoephedrini hydrochloridum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UCB Pharma Oy Finland, Somija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8C7DF0">
            <w:pPr>
              <w:rPr>
                <w:sz w:val="20"/>
                <w:szCs w:val="20"/>
              </w:rPr>
            </w:pPr>
            <w:r w:rsidRPr="0002497C">
              <w:rPr>
                <w:sz w:val="20"/>
                <w:szCs w:val="20"/>
              </w:rPr>
              <w:t>Zāļu aprakstā apakšpunkts 4.8 papildināts ar blakusparādību – sirdsklauves, apakšpunktā 4.6 un 5.3 precizēta informācija par</w:t>
            </w:r>
            <w:r w:rsidR="008C7DF0" w:rsidRPr="0002497C">
              <w:rPr>
                <w:sz w:val="20"/>
                <w:szCs w:val="20"/>
              </w:rPr>
              <w:t xml:space="preserve"> ietekmi uz fertilitāti žurkām.</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00-0906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Arilin rapid 1000 mg pesāriji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Metronidazolum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Dr. August Wolff GmbH &amp; Co. KG Arzneimittel,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8C7DF0">
            <w:pPr>
              <w:rPr>
                <w:sz w:val="20"/>
                <w:szCs w:val="20"/>
              </w:rPr>
            </w:pPr>
            <w:r w:rsidRPr="0002497C">
              <w:rPr>
                <w:sz w:val="20"/>
                <w:szCs w:val="20"/>
              </w:rPr>
              <w:t xml:space="preserve">Iekļauts brīdinājums par pesāriju, kuru sastāvā ir glicerīna trialkanoāts, iedarbīguma samazinājuma risku, lietojot vienlaikus ar lateksa izstrādājumiem.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05-0144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Vistabel 4 Allergan vienības/0,1 ml pulveris injekciju šķīduma pagatavošanai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Toxinum A Clostridii botulini haemagglutininum multiplex</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Allergan Pharmaceuticals Ireland, Īrija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122A11">
            <w:pPr>
              <w:spacing w:after="240"/>
              <w:rPr>
                <w:sz w:val="20"/>
                <w:szCs w:val="20"/>
              </w:rPr>
            </w:pPr>
            <w:r w:rsidRPr="0002497C">
              <w:rPr>
                <w:sz w:val="20"/>
                <w:szCs w:val="20"/>
              </w:rPr>
              <w:t xml:space="preserve">Pievienota jauna terapeitiskā indikācija: vidējas līdz dziļas pieres grumbas, kas redzamas, maksimāli paceļot uzacis, ja sejas grumbu dziļumam ir būtiska psiholoģiska ietekme uz pieaugušiem pacientiem, koriģētas apstiprinātās indikācijas, pievienotas zāļu devas jaunās indikācijas ārstēšanai, pievienotas blakusparādības un jauni klīnisko pētījumu dati. </w:t>
            </w:r>
          </w:p>
        </w:tc>
      </w:tr>
      <w:tr w:rsidR="00122A11" w:rsidRPr="00DE4ABF" w:rsidTr="002A0400">
        <w:trPr>
          <w:trHeight w:val="1380"/>
        </w:trPr>
        <w:tc>
          <w:tcPr>
            <w:tcW w:w="567" w:type="dxa"/>
            <w:tcBorders>
              <w:top w:val="single" w:sz="4" w:space="0" w:color="auto"/>
              <w:left w:val="single" w:sz="4" w:space="0" w:color="auto"/>
              <w:right w:val="single" w:sz="4" w:space="0" w:color="auto"/>
            </w:tcBorders>
          </w:tcPr>
          <w:p w:rsidR="00122A11" w:rsidRPr="00953946" w:rsidRDefault="009449D4" w:rsidP="00953946">
            <w:pPr>
              <w:rPr>
                <w:sz w:val="20"/>
                <w:szCs w:val="20"/>
              </w:rPr>
            </w:pPr>
            <w:r>
              <w:rPr>
                <w:sz w:val="20"/>
                <w:szCs w:val="20"/>
              </w:rPr>
              <w:t>5.</w:t>
            </w:r>
          </w:p>
        </w:tc>
        <w:tc>
          <w:tcPr>
            <w:tcW w:w="993" w:type="dxa"/>
            <w:tcBorders>
              <w:top w:val="single" w:sz="4" w:space="0" w:color="auto"/>
              <w:left w:val="single" w:sz="4" w:space="0" w:color="auto"/>
              <w:right w:val="single" w:sz="4" w:space="0" w:color="auto"/>
            </w:tcBorders>
            <w:shd w:val="clear" w:color="auto" w:fill="auto"/>
          </w:tcPr>
          <w:p w:rsidR="00122A11" w:rsidRPr="0002497C" w:rsidRDefault="00122A11" w:rsidP="00953946">
            <w:pPr>
              <w:rPr>
                <w:sz w:val="20"/>
                <w:szCs w:val="20"/>
              </w:rPr>
            </w:pPr>
            <w:r w:rsidRPr="0002497C">
              <w:rPr>
                <w:sz w:val="20"/>
                <w:szCs w:val="20"/>
              </w:rPr>
              <w:t>05-0259</w:t>
            </w:r>
          </w:p>
          <w:p w:rsidR="00122A11" w:rsidRPr="0002497C" w:rsidRDefault="00122A11" w:rsidP="00953946">
            <w:pPr>
              <w:rPr>
                <w:sz w:val="20"/>
                <w:szCs w:val="20"/>
              </w:rPr>
            </w:pPr>
            <w:r w:rsidRPr="0002497C">
              <w:rPr>
                <w:sz w:val="20"/>
                <w:szCs w:val="20"/>
              </w:rPr>
              <w:t>05-0258</w:t>
            </w:r>
          </w:p>
        </w:tc>
        <w:tc>
          <w:tcPr>
            <w:tcW w:w="1842" w:type="dxa"/>
            <w:tcBorders>
              <w:top w:val="single" w:sz="4" w:space="0" w:color="auto"/>
              <w:left w:val="single" w:sz="4" w:space="0" w:color="auto"/>
              <w:right w:val="single" w:sz="4" w:space="0" w:color="auto"/>
            </w:tcBorders>
            <w:shd w:val="clear" w:color="auto" w:fill="auto"/>
          </w:tcPr>
          <w:p w:rsidR="00122A11" w:rsidRPr="0002497C" w:rsidRDefault="00122A11" w:rsidP="00953946">
            <w:pPr>
              <w:rPr>
                <w:sz w:val="20"/>
                <w:szCs w:val="20"/>
              </w:rPr>
            </w:pPr>
            <w:r w:rsidRPr="0002497C">
              <w:rPr>
                <w:sz w:val="20"/>
                <w:szCs w:val="20"/>
              </w:rPr>
              <w:t>Doloproct 1 mg/20 mg/g rektālais krēms</w:t>
            </w:r>
          </w:p>
          <w:p w:rsidR="00122A11" w:rsidRPr="0002497C" w:rsidRDefault="00122A11" w:rsidP="00953946">
            <w:pPr>
              <w:rPr>
                <w:sz w:val="20"/>
                <w:szCs w:val="20"/>
              </w:rPr>
            </w:pPr>
            <w:r w:rsidRPr="0002497C">
              <w:rPr>
                <w:sz w:val="20"/>
                <w:szCs w:val="20"/>
              </w:rPr>
              <w:t>Doloproct 1 mg/40 mg supozitoriji</w:t>
            </w:r>
          </w:p>
        </w:tc>
        <w:tc>
          <w:tcPr>
            <w:tcW w:w="1701" w:type="dxa"/>
            <w:tcBorders>
              <w:top w:val="single" w:sz="4" w:space="0" w:color="auto"/>
              <w:left w:val="single" w:sz="4" w:space="0" w:color="auto"/>
              <w:right w:val="single" w:sz="4" w:space="0" w:color="auto"/>
            </w:tcBorders>
            <w:shd w:val="clear" w:color="auto" w:fill="auto"/>
          </w:tcPr>
          <w:p w:rsidR="00122A11" w:rsidRPr="0002497C" w:rsidRDefault="00122A11" w:rsidP="00953946">
            <w:pPr>
              <w:rPr>
                <w:sz w:val="20"/>
                <w:szCs w:val="20"/>
              </w:rPr>
            </w:pPr>
            <w:r w:rsidRPr="0002497C">
              <w:rPr>
                <w:sz w:val="20"/>
                <w:szCs w:val="20"/>
              </w:rPr>
              <w:t>Fluocortoloni pivalas, Lidocaini hydrochloridum</w:t>
            </w:r>
          </w:p>
        </w:tc>
        <w:tc>
          <w:tcPr>
            <w:tcW w:w="1560" w:type="dxa"/>
            <w:tcBorders>
              <w:top w:val="single" w:sz="4" w:space="0" w:color="auto"/>
              <w:left w:val="single" w:sz="4" w:space="0" w:color="auto"/>
              <w:right w:val="single" w:sz="4" w:space="0" w:color="auto"/>
            </w:tcBorders>
            <w:shd w:val="clear" w:color="auto" w:fill="auto"/>
          </w:tcPr>
          <w:p w:rsidR="00122A11" w:rsidRPr="0002497C" w:rsidRDefault="00122A11" w:rsidP="00953946">
            <w:pPr>
              <w:rPr>
                <w:sz w:val="20"/>
                <w:szCs w:val="20"/>
              </w:rPr>
            </w:pPr>
            <w:r w:rsidRPr="0002497C">
              <w:rPr>
                <w:sz w:val="20"/>
                <w:szCs w:val="20"/>
              </w:rPr>
              <w:t>Bayer AG, Vācija</w:t>
            </w:r>
          </w:p>
        </w:tc>
        <w:tc>
          <w:tcPr>
            <w:tcW w:w="9213" w:type="dxa"/>
            <w:tcBorders>
              <w:top w:val="single" w:sz="4" w:space="0" w:color="auto"/>
              <w:left w:val="single" w:sz="4" w:space="0" w:color="auto"/>
              <w:right w:val="single" w:sz="4" w:space="0" w:color="auto"/>
            </w:tcBorders>
            <w:shd w:val="clear" w:color="auto" w:fill="auto"/>
          </w:tcPr>
          <w:p w:rsidR="00122A11" w:rsidRPr="0002497C" w:rsidRDefault="00122A11" w:rsidP="00F7530B">
            <w:pPr>
              <w:rPr>
                <w:sz w:val="20"/>
                <w:szCs w:val="20"/>
              </w:rPr>
            </w:pPr>
            <w:r w:rsidRPr="0002497C">
              <w:rPr>
                <w:sz w:val="20"/>
                <w:szCs w:val="20"/>
              </w:rPr>
              <w:t>Papildināta drošuma informācija. Iekļauts brīdinājums, ka Doloproct rektālā krēma palīgvielas (polisorbāts 60, sorbitāna stearāts, baltais vazelīns un vazelīneļļa) var samazināt lateksa saturošu izstrādājumu, piemēram, prezervatīvu, efektivitāti.</w:t>
            </w:r>
            <w:r w:rsidRPr="0002497C">
              <w:rPr>
                <w:sz w:val="20"/>
                <w:szCs w:val="20"/>
              </w:rPr>
              <w:br/>
            </w:r>
            <w:r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95-0281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BCG Vaccine AJVaccines pulveris un šķīdinātājs injekciju suspensijas pagatavošanai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Vaccinum bacilli Calmette-Guérin (BCG)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AJ Vaccines A/S, Dānija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F7530B">
            <w:pPr>
              <w:rPr>
                <w:sz w:val="20"/>
                <w:szCs w:val="20"/>
              </w:rPr>
            </w:pPr>
            <w:r w:rsidRPr="0002497C">
              <w:rPr>
                <w:sz w:val="20"/>
                <w:szCs w:val="20"/>
              </w:rPr>
              <w:t>Papildināta drošuma informācija. Mainīts blakusparādības - strutains limfadenīts - sastopamība</w:t>
            </w:r>
            <w:r w:rsidR="00223DD5" w:rsidRPr="0002497C">
              <w:rPr>
                <w:sz w:val="20"/>
                <w:szCs w:val="20"/>
              </w:rPr>
              <w:t>s biežums no "reti" uz "retāk".</w:t>
            </w:r>
          </w:p>
        </w:tc>
      </w:tr>
      <w:tr w:rsidR="00652EE1" w:rsidRPr="00DE4ABF" w:rsidTr="00147771">
        <w:trPr>
          <w:trHeight w:val="1265"/>
        </w:trPr>
        <w:tc>
          <w:tcPr>
            <w:tcW w:w="567" w:type="dxa"/>
            <w:tcBorders>
              <w:top w:val="single" w:sz="4" w:space="0" w:color="auto"/>
              <w:left w:val="single" w:sz="4" w:space="0" w:color="auto"/>
              <w:right w:val="single" w:sz="4" w:space="0" w:color="auto"/>
            </w:tcBorders>
          </w:tcPr>
          <w:p w:rsidR="00652EE1" w:rsidRPr="00953946" w:rsidRDefault="00652EE1" w:rsidP="00953946">
            <w:pPr>
              <w:rPr>
                <w:sz w:val="20"/>
                <w:szCs w:val="20"/>
              </w:rPr>
            </w:pPr>
          </w:p>
        </w:tc>
        <w:tc>
          <w:tcPr>
            <w:tcW w:w="993" w:type="dxa"/>
            <w:tcBorders>
              <w:top w:val="single" w:sz="4" w:space="0" w:color="auto"/>
              <w:left w:val="single" w:sz="4" w:space="0" w:color="auto"/>
              <w:right w:val="single" w:sz="4" w:space="0" w:color="auto"/>
            </w:tcBorders>
            <w:shd w:val="clear" w:color="auto" w:fill="auto"/>
          </w:tcPr>
          <w:p w:rsidR="00652EE1" w:rsidRPr="0002497C" w:rsidRDefault="00652EE1" w:rsidP="00953946">
            <w:pPr>
              <w:rPr>
                <w:sz w:val="20"/>
                <w:szCs w:val="20"/>
              </w:rPr>
            </w:pPr>
            <w:r w:rsidRPr="0002497C">
              <w:rPr>
                <w:sz w:val="20"/>
                <w:szCs w:val="20"/>
              </w:rPr>
              <w:t>07-0350</w:t>
            </w:r>
          </w:p>
          <w:p w:rsidR="00652EE1" w:rsidRPr="0002497C" w:rsidRDefault="00652EE1" w:rsidP="00953946">
            <w:pPr>
              <w:rPr>
                <w:sz w:val="20"/>
                <w:szCs w:val="20"/>
              </w:rPr>
            </w:pPr>
            <w:r w:rsidRPr="0002497C">
              <w:rPr>
                <w:sz w:val="20"/>
                <w:szCs w:val="20"/>
              </w:rPr>
              <w:t>07-0351</w:t>
            </w:r>
          </w:p>
        </w:tc>
        <w:tc>
          <w:tcPr>
            <w:tcW w:w="1842" w:type="dxa"/>
            <w:tcBorders>
              <w:top w:val="single" w:sz="4" w:space="0" w:color="auto"/>
              <w:left w:val="single" w:sz="4" w:space="0" w:color="auto"/>
              <w:right w:val="single" w:sz="4" w:space="0" w:color="auto"/>
            </w:tcBorders>
            <w:shd w:val="clear" w:color="auto" w:fill="auto"/>
          </w:tcPr>
          <w:p w:rsidR="00652EE1" w:rsidRPr="0002497C" w:rsidRDefault="00652EE1" w:rsidP="00953946">
            <w:pPr>
              <w:rPr>
                <w:sz w:val="20"/>
                <w:szCs w:val="20"/>
              </w:rPr>
            </w:pPr>
            <w:r w:rsidRPr="0002497C">
              <w:rPr>
                <w:sz w:val="20"/>
                <w:szCs w:val="20"/>
              </w:rPr>
              <w:t>Zemplar 1 mikrograma</w:t>
            </w:r>
            <w:r w:rsidR="00B32873" w:rsidRPr="0002497C">
              <w:rPr>
                <w:sz w:val="20"/>
                <w:szCs w:val="20"/>
              </w:rPr>
              <w:t>; 2 mikrogramu</w:t>
            </w:r>
            <w:r w:rsidRPr="0002497C">
              <w:rPr>
                <w:sz w:val="20"/>
                <w:szCs w:val="20"/>
              </w:rPr>
              <w:t xml:space="preserve"> mīkstās kapsulas</w:t>
            </w:r>
          </w:p>
          <w:p w:rsidR="00652EE1" w:rsidRPr="0002497C" w:rsidRDefault="00652EE1"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652EE1" w:rsidRPr="0002497C" w:rsidRDefault="00652EE1" w:rsidP="00953946">
            <w:pPr>
              <w:rPr>
                <w:sz w:val="20"/>
                <w:szCs w:val="20"/>
              </w:rPr>
            </w:pPr>
            <w:r w:rsidRPr="0002497C">
              <w:rPr>
                <w:sz w:val="20"/>
                <w:szCs w:val="20"/>
              </w:rPr>
              <w:t>Paricalcitolum</w:t>
            </w:r>
          </w:p>
        </w:tc>
        <w:tc>
          <w:tcPr>
            <w:tcW w:w="1560" w:type="dxa"/>
            <w:tcBorders>
              <w:top w:val="single" w:sz="4" w:space="0" w:color="auto"/>
              <w:left w:val="single" w:sz="4" w:space="0" w:color="auto"/>
              <w:right w:val="single" w:sz="4" w:space="0" w:color="auto"/>
            </w:tcBorders>
            <w:shd w:val="clear" w:color="auto" w:fill="auto"/>
          </w:tcPr>
          <w:p w:rsidR="00652EE1" w:rsidRPr="0002497C" w:rsidRDefault="00652EE1" w:rsidP="00953946">
            <w:pPr>
              <w:rPr>
                <w:sz w:val="20"/>
                <w:szCs w:val="20"/>
              </w:rPr>
            </w:pPr>
            <w:r w:rsidRPr="0002497C">
              <w:rPr>
                <w:sz w:val="20"/>
                <w:szCs w:val="20"/>
              </w:rPr>
              <w:t>AbbVie, SIA, Latvija</w:t>
            </w:r>
          </w:p>
        </w:tc>
        <w:tc>
          <w:tcPr>
            <w:tcW w:w="9213" w:type="dxa"/>
            <w:tcBorders>
              <w:top w:val="single" w:sz="4" w:space="0" w:color="auto"/>
              <w:left w:val="single" w:sz="4" w:space="0" w:color="auto"/>
              <w:right w:val="single" w:sz="4" w:space="0" w:color="auto"/>
            </w:tcBorders>
            <w:shd w:val="clear" w:color="auto" w:fill="auto"/>
          </w:tcPr>
          <w:p w:rsidR="00652EE1" w:rsidRPr="0002497C" w:rsidRDefault="00652EE1" w:rsidP="00F7530B">
            <w:pPr>
              <w:rPr>
                <w:sz w:val="20"/>
                <w:szCs w:val="20"/>
              </w:rPr>
            </w:pPr>
            <w:r w:rsidRPr="0002497C">
              <w:rPr>
                <w:sz w:val="20"/>
                <w:szCs w:val="20"/>
              </w:rPr>
              <w:t xml:space="preserve">Papildināta drošuma informācija. Zāļu apraksta 4.1. apakšpunktā iekļauta informācija, ka zāles ir arī indicētas pediatriskiem pacientiem no 10 līdz 16 gadu vecumam, 4.2. apakšpunktā iekļauta informācija par devu titrēšanu pediatriskā populācijā, 4.8. apakšpunktā iekļauta informācija par blakusparādībām pediatriskā populācijā, 5.1. apakšpunktā iekļauti dati no klīniskājiem pētījumiem pediatriskā populācijā un 5.2. apakšpunktā iekļauta informācija par zāļu farmakokinētiku bērniem.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15-0265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Vesicare 1 mg/ml suspensija iekšķīgai lietošanai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Solifenacini succinas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Astellas Pharma AS, Dānija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652EE1">
            <w:pPr>
              <w:rPr>
                <w:sz w:val="20"/>
                <w:szCs w:val="20"/>
              </w:rPr>
            </w:pPr>
            <w:r w:rsidRPr="0002497C">
              <w:rPr>
                <w:sz w:val="20"/>
                <w:szCs w:val="20"/>
              </w:rPr>
              <w:t>Pievienota terapeitiskā indikācija bērniem no 2 līdz 18 gadu vecumam - neirogēna urīnpūšļa slēdzējmuskuļa pārlieku aktīva darbība, pamatojoties uz klīnisko pētījumu rezultāti</w:t>
            </w:r>
            <w:r w:rsidR="00652EE1" w:rsidRPr="0002497C">
              <w:rPr>
                <w:sz w:val="20"/>
                <w:szCs w:val="20"/>
              </w:rPr>
              <w:t>em (EMEA-000573-PIP02-13-M03).</w:t>
            </w:r>
            <w:r w:rsidR="00652EE1"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99-0502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Mirena 20 mikrogramu/24 stundās intrauterīna sistēma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Levonorgestrelum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Bayer AG,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A17873">
            <w:pPr>
              <w:rPr>
                <w:sz w:val="20"/>
                <w:szCs w:val="20"/>
              </w:rPr>
            </w:pPr>
            <w:r w:rsidRPr="0002497C">
              <w:rPr>
                <w:sz w:val="20"/>
                <w:szCs w:val="20"/>
              </w:rPr>
              <w:t>Papildināta drošuma informācija. Papildināts brīdinājums par dzemdes perforāciju ar</w:t>
            </w:r>
            <w:r w:rsidR="00A17873" w:rsidRPr="0002497C">
              <w:rPr>
                <w:sz w:val="20"/>
                <w:szCs w:val="20"/>
              </w:rPr>
              <w:t xml:space="preserve"> pētījuma pagarinājuma datiem.</w:t>
            </w:r>
            <w:r w:rsidR="00A17873"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95-0049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Zinnat 25 mg/ml granulas iekšķīgi lietojamās suspensijas pagatavošanai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Cefuroximum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GlaxoSmithKline Latvia, SIA, Latvija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EF229E">
            <w:pPr>
              <w:rPr>
                <w:sz w:val="20"/>
                <w:szCs w:val="20"/>
              </w:rPr>
            </w:pPr>
            <w:r w:rsidRPr="0002497C">
              <w:rPr>
                <w:sz w:val="20"/>
                <w:szCs w:val="20"/>
              </w:rPr>
              <w:t>Papildināta drošuma informācija. Zāļu apraksta 4.2.apakšpunktā pievienota tabula, kurā norādītas zāļu devas bērniem ml un mg, lietojot  pediatrisko dozēšanas šļirci.</w:t>
            </w:r>
            <w:r w:rsidRPr="0002497C">
              <w:rPr>
                <w:sz w:val="20"/>
                <w:szCs w:val="20"/>
              </w:rPr>
              <w:br/>
            </w:r>
          </w:p>
        </w:tc>
      </w:tr>
      <w:tr w:rsidR="00562D04" w:rsidRPr="00DE4ABF" w:rsidTr="00E730F6">
        <w:trPr>
          <w:trHeight w:val="920"/>
        </w:trPr>
        <w:tc>
          <w:tcPr>
            <w:tcW w:w="567" w:type="dxa"/>
            <w:tcBorders>
              <w:top w:val="single" w:sz="4" w:space="0" w:color="auto"/>
              <w:left w:val="single" w:sz="4" w:space="0" w:color="auto"/>
              <w:right w:val="single" w:sz="4" w:space="0" w:color="auto"/>
            </w:tcBorders>
          </w:tcPr>
          <w:p w:rsidR="00562D04" w:rsidRPr="00953946" w:rsidRDefault="009449D4" w:rsidP="00953946">
            <w:pPr>
              <w:rPr>
                <w:sz w:val="20"/>
                <w:szCs w:val="20"/>
              </w:rPr>
            </w:pPr>
            <w:r>
              <w:rPr>
                <w:sz w:val="20"/>
                <w:szCs w:val="20"/>
              </w:rPr>
              <w:t>10.</w:t>
            </w:r>
          </w:p>
        </w:tc>
        <w:tc>
          <w:tcPr>
            <w:tcW w:w="993" w:type="dxa"/>
            <w:tcBorders>
              <w:top w:val="single" w:sz="4" w:space="0" w:color="auto"/>
              <w:left w:val="single" w:sz="4" w:space="0" w:color="auto"/>
              <w:right w:val="single" w:sz="4" w:space="0" w:color="auto"/>
            </w:tcBorders>
            <w:shd w:val="clear" w:color="auto" w:fill="auto"/>
          </w:tcPr>
          <w:p w:rsidR="00562D04" w:rsidRPr="0002497C" w:rsidRDefault="00562D04" w:rsidP="00953946">
            <w:pPr>
              <w:rPr>
                <w:sz w:val="20"/>
                <w:szCs w:val="20"/>
              </w:rPr>
            </w:pPr>
            <w:r w:rsidRPr="0002497C">
              <w:rPr>
                <w:sz w:val="20"/>
                <w:szCs w:val="20"/>
              </w:rPr>
              <w:t>00-1274</w:t>
            </w:r>
          </w:p>
          <w:p w:rsidR="00562D04" w:rsidRPr="0002497C" w:rsidRDefault="00562D04" w:rsidP="00953946">
            <w:pPr>
              <w:rPr>
                <w:sz w:val="20"/>
                <w:szCs w:val="20"/>
              </w:rPr>
            </w:pPr>
            <w:r w:rsidRPr="0002497C">
              <w:rPr>
                <w:sz w:val="20"/>
                <w:szCs w:val="20"/>
              </w:rPr>
              <w:t>98-0799</w:t>
            </w:r>
          </w:p>
        </w:tc>
        <w:tc>
          <w:tcPr>
            <w:tcW w:w="1842" w:type="dxa"/>
            <w:tcBorders>
              <w:top w:val="single" w:sz="4" w:space="0" w:color="auto"/>
              <w:left w:val="single" w:sz="4" w:space="0" w:color="auto"/>
              <w:right w:val="single" w:sz="4" w:space="0" w:color="auto"/>
            </w:tcBorders>
            <w:shd w:val="clear" w:color="auto" w:fill="auto"/>
          </w:tcPr>
          <w:p w:rsidR="00562D04" w:rsidRPr="0002497C" w:rsidRDefault="00562D04" w:rsidP="00953946">
            <w:pPr>
              <w:rPr>
                <w:sz w:val="20"/>
                <w:szCs w:val="20"/>
              </w:rPr>
            </w:pPr>
            <w:r w:rsidRPr="0002497C">
              <w:rPr>
                <w:sz w:val="20"/>
                <w:szCs w:val="20"/>
              </w:rPr>
              <w:t>Imodium 2 mg cietās kapsulas N20</w:t>
            </w:r>
            <w:r w:rsidR="00147771" w:rsidRPr="0002497C">
              <w:rPr>
                <w:sz w:val="20"/>
                <w:szCs w:val="20"/>
              </w:rPr>
              <w:t>; N6</w:t>
            </w:r>
          </w:p>
          <w:p w:rsidR="00562D04" w:rsidRPr="0002497C" w:rsidRDefault="00147771" w:rsidP="00953946">
            <w:pPr>
              <w:rPr>
                <w:sz w:val="20"/>
                <w:szCs w:val="20"/>
              </w:rPr>
            </w:pPr>
            <w:r w:rsidRPr="0002497C">
              <w:rPr>
                <w:sz w:val="20"/>
                <w:szCs w:val="20"/>
              </w:rPr>
              <w:t>cietās kapsulas</w:t>
            </w:r>
          </w:p>
        </w:tc>
        <w:tc>
          <w:tcPr>
            <w:tcW w:w="1701" w:type="dxa"/>
            <w:tcBorders>
              <w:top w:val="single" w:sz="4" w:space="0" w:color="auto"/>
              <w:left w:val="single" w:sz="4" w:space="0" w:color="auto"/>
              <w:right w:val="single" w:sz="4" w:space="0" w:color="auto"/>
            </w:tcBorders>
            <w:shd w:val="clear" w:color="auto" w:fill="auto"/>
          </w:tcPr>
          <w:p w:rsidR="00562D04" w:rsidRPr="0002497C" w:rsidRDefault="00562D04" w:rsidP="00953946">
            <w:pPr>
              <w:rPr>
                <w:sz w:val="20"/>
                <w:szCs w:val="20"/>
              </w:rPr>
            </w:pPr>
            <w:r w:rsidRPr="0002497C">
              <w:rPr>
                <w:sz w:val="20"/>
                <w:szCs w:val="20"/>
              </w:rPr>
              <w:t>Loperamidi hydrochloridum</w:t>
            </w:r>
          </w:p>
        </w:tc>
        <w:tc>
          <w:tcPr>
            <w:tcW w:w="1560" w:type="dxa"/>
            <w:tcBorders>
              <w:top w:val="single" w:sz="4" w:space="0" w:color="auto"/>
              <w:left w:val="single" w:sz="4" w:space="0" w:color="auto"/>
              <w:right w:val="single" w:sz="4" w:space="0" w:color="auto"/>
            </w:tcBorders>
            <w:shd w:val="clear" w:color="auto" w:fill="auto"/>
          </w:tcPr>
          <w:p w:rsidR="00562D04" w:rsidRPr="0002497C" w:rsidRDefault="00562D04" w:rsidP="00953946">
            <w:pPr>
              <w:rPr>
                <w:sz w:val="20"/>
                <w:szCs w:val="20"/>
              </w:rPr>
            </w:pPr>
            <w:r w:rsidRPr="0002497C">
              <w:rPr>
                <w:sz w:val="20"/>
                <w:szCs w:val="20"/>
              </w:rPr>
              <w:t>McNeil Products Limited, Lielbritānija</w:t>
            </w:r>
          </w:p>
        </w:tc>
        <w:tc>
          <w:tcPr>
            <w:tcW w:w="9213" w:type="dxa"/>
            <w:tcBorders>
              <w:top w:val="single" w:sz="4" w:space="0" w:color="auto"/>
              <w:left w:val="single" w:sz="4" w:space="0" w:color="auto"/>
              <w:right w:val="single" w:sz="4" w:space="0" w:color="auto"/>
            </w:tcBorders>
            <w:shd w:val="clear" w:color="auto" w:fill="auto"/>
          </w:tcPr>
          <w:p w:rsidR="00562D04" w:rsidRPr="0002497C" w:rsidRDefault="00562D04" w:rsidP="00562D04">
            <w:pPr>
              <w:rPr>
                <w:sz w:val="20"/>
                <w:szCs w:val="20"/>
              </w:rPr>
            </w:pPr>
            <w:r w:rsidRPr="0002497C">
              <w:rPr>
                <w:sz w:val="20"/>
                <w:szCs w:val="20"/>
              </w:rPr>
              <w:t>Zāļu apraksta 5.1.apakšpunkts papildināts, norādot, ka loperamīda pretcaurejas darbība novērota  vienas stundas laikā pēc 4 mg devas lietošanas iekšķīgi.</w:t>
            </w:r>
            <w:r w:rsidRPr="0002497C">
              <w:rPr>
                <w:sz w:val="20"/>
                <w:szCs w:val="20"/>
              </w:rPr>
              <w:br/>
            </w:r>
            <w:r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02-0131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Imodium Instant 2 mg mutē disperģējamās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Loperamidi hydrochloridum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McNeil Products Limited c/o Johnson &amp; Johnson Limited, Lielbritānija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562D04">
            <w:pPr>
              <w:rPr>
                <w:sz w:val="20"/>
                <w:szCs w:val="20"/>
              </w:rPr>
            </w:pPr>
            <w:r w:rsidRPr="0002497C">
              <w:rPr>
                <w:sz w:val="20"/>
                <w:szCs w:val="20"/>
              </w:rPr>
              <w:t>Zāļu apraksta 5.1.apakšpunkts papildināts, norādot, ka loperamīda pretcaurejas darbība novērota  vienas stundas laikā pēc 4 mg devas lietošanas iekšķīgi.</w:t>
            </w:r>
            <w:r w:rsidRPr="0002497C">
              <w:rPr>
                <w:sz w:val="20"/>
                <w:szCs w:val="20"/>
              </w:rPr>
              <w:br/>
            </w:r>
            <w:r w:rsidRPr="0002497C">
              <w:rPr>
                <w:sz w:val="20"/>
                <w:szCs w:val="20"/>
              </w:rPr>
              <w:br/>
            </w:r>
          </w:p>
        </w:tc>
      </w:tr>
      <w:tr w:rsidR="00242B6F" w:rsidRPr="00DE4ABF" w:rsidTr="00816290">
        <w:trPr>
          <w:trHeight w:val="2257"/>
        </w:trPr>
        <w:tc>
          <w:tcPr>
            <w:tcW w:w="567" w:type="dxa"/>
            <w:tcBorders>
              <w:top w:val="single" w:sz="4" w:space="0" w:color="auto"/>
              <w:left w:val="single" w:sz="4" w:space="0" w:color="auto"/>
              <w:right w:val="single" w:sz="4" w:space="0" w:color="auto"/>
            </w:tcBorders>
          </w:tcPr>
          <w:p w:rsidR="00242B6F" w:rsidRPr="00953946" w:rsidRDefault="009449D4" w:rsidP="00953946">
            <w:pPr>
              <w:rPr>
                <w:sz w:val="20"/>
                <w:szCs w:val="20"/>
              </w:rPr>
            </w:pPr>
            <w:r>
              <w:rPr>
                <w:sz w:val="20"/>
                <w:szCs w:val="20"/>
              </w:rPr>
              <w:t>12.</w:t>
            </w:r>
          </w:p>
        </w:tc>
        <w:tc>
          <w:tcPr>
            <w:tcW w:w="993" w:type="dxa"/>
            <w:tcBorders>
              <w:top w:val="single" w:sz="4" w:space="0" w:color="auto"/>
              <w:left w:val="single" w:sz="4" w:space="0" w:color="auto"/>
              <w:right w:val="single" w:sz="4" w:space="0" w:color="auto"/>
            </w:tcBorders>
            <w:shd w:val="clear" w:color="auto" w:fill="auto"/>
          </w:tcPr>
          <w:p w:rsidR="00242B6F" w:rsidRPr="0002497C" w:rsidRDefault="00242B6F" w:rsidP="00953946">
            <w:pPr>
              <w:rPr>
                <w:sz w:val="20"/>
                <w:szCs w:val="20"/>
              </w:rPr>
            </w:pPr>
            <w:r w:rsidRPr="0002497C">
              <w:rPr>
                <w:sz w:val="20"/>
                <w:szCs w:val="20"/>
              </w:rPr>
              <w:t>00-0286</w:t>
            </w:r>
          </w:p>
          <w:p w:rsidR="00242B6F" w:rsidRPr="0002497C" w:rsidRDefault="00242B6F" w:rsidP="00953946">
            <w:pPr>
              <w:rPr>
                <w:sz w:val="20"/>
                <w:szCs w:val="20"/>
              </w:rPr>
            </w:pPr>
            <w:r w:rsidRPr="0002497C">
              <w:rPr>
                <w:sz w:val="20"/>
                <w:szCs w:val="20"/>
              </w:rPr>
              <w:t>93-0552</w:t>
            </w:r>
          </w:p>
        </w:tc>
        <w:tc>
          <w:tcPr>
            <w:tcW w:w="1842" w:type="dxa"/>
            <w:tcBorders>
              <w:top w:val="single" w:sz="4" w:space="0" w:color="auto"/>
              <w:left w:val="single" w:sz="4" w:space="0" w:color="auto"/>
              <w:right w:val="single" w:sz="4" w:space="0" w:color="auto"/>
            </w:tcBorders>
            <w:shd w:val="clear" w:color="auto" w:fill="auto"/>
          </w:tcPr>
          <w:p w:rsidR="00242B6F" w:rsidRPr="0002497C" w:rsidRDefault="005629AF" w:rsidP="00953946">
            <w:pPr>
              <w:rPr>
                <w:sz w:val="20"/>
                <w:szCs w:val="20"/>
              </w:rPr>
            </w:pPr>
            <w:r w:rsidRPr="0002497C">
              <w:rPr>
                <w:sz w:val="20"/>
                <w:szCs w:val="20"/>
              </w:rPr>
              <w:t xml:space="preserve">Leponex 100 mg; 25 mg </w:t>
            </w:r>
            <w:r w:rsidR="00242B6F" w:rsidRPr="0002497C">
              <w:rPr>
                <w:sz w:val="20"/>
                <w:szCs w:val="20"/>
              </w:rPr>
              <w:t>tabletes</w:t>
            </w:r>
          </w:p>
          <w:p w:rsidR="00242B6F" w:rsidRPr="0002497C" w:rsidRDefault="00242B6F"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242B6F" w:rsidRPr="0002497C" w:rsidRDefault="00242B6F" w:rsidP="00953946">
            <w:pPr>
              <w:rPr>
                <w:sz w:val="20"/>
                <w:szCs w:val="20"/>
              </w:rPr>
            </w:pPr>
            <w:r w:rsidRPr="0002497C">
              <w:rPr>
                <w:sz w:val="20"/>
                <w:szCs w:val="20"/>
              </w:rPr>
              <w:t>Clozapinum</w:t>
            </w:r>
          </w:p>
        </w:tc>
        <w:tc>
          <w:tcPr>
            <w:tcW w:w="1560" w:type="dxa"/>
            <w:tcBorders>
              <w:top w:val="single" w:sz="4" w:space="0" w:color="auto"/>
              <w:left w:val="single" w:sz="4" w:space="0" w:color="auto"/>
              <w:right w:val="single" w:sz="4" w:space="0" w:color="auto"/>
            </w:tcBorders>
            <w:shd w:val="clear" w:color="auto" w:fill="auto"/>
          </w:tcPr>
          <w:p w:rsidR="00242B6F" w:rsidRPr="0002497C" w:rsidRDefault="00242B6F" w:rsidP="00953946">
            <w:pPr>
              <w:rPr>
                <w:sz w:val="20"/>
                <w:szCs w:val="20"/>
              </w:rPr>
            </w:pPr>
            <w:r w:rsidRPr="0002497C">
              <w:rPr>
                <w:sz w:val="20"/>
                <w:szCs w:val="20"/>
              </w:rPr>
              <w:t>BGP Products, SIA, Latvija</w:t>
            </w:r>
          </w:p>
        </w:tc>
        <w:tc>
          <w:tcPr>
            <w:tcW w:w="9213" w:type="dxa"/>
            <w:tcBorders>
              <w:top w:val="single" w:sz="4" w:space="0" w:color="auto"/>
              <w:left w:val="single" w:sz="4" w:space="0" w:color="auto"/>
              <w:right w:val="single" w:sz="4" w:space="0" w:color="auto"/>
            </w:tcBorders>
            <w:shd w:val="clear" w:color="auto" w:fill="auto"/>
          </w:tcPr>
          <w:p w:rsidR="00242B6F" w:rsidRPr="0002497C" w:rsidRDefault="00242B6F" w:rsidP="00953946">
            <w:pPr>
              <w:rPr>
                <w:sz w:val="20"/>
                <w:szCs w:val="20"/>
              </w:rPr>
            </w:pPr>
            <w:r w:rsidRPr="0002497C">
              <w:rPr>
                <w:sz w:val="20"/>
                <w:szCs w:val="20"/>
              </w:rPr>
              <w:t>Zāļu aprakstā apakšpunkts 4.8 papildināts ar blakusparādībām – aptaukošanās un miega apnojas sindroms ar biežumu “reti”.</w:t>
            </w:r>
          </w:p>
          <w:p w:rsidR="00242B6F" w:rsidRPr="0002497C" w:rsidRDefault="00242B6F" w:rsidP="00242B6F">
            <w:pPr>
              <w:rPr>
                <w:sz w:val="20"/>
                <w:szCs w:val="20"/>
              </w:rPr>
            </w:pPr>
            <w:r w:rsidRPr="0002497C">
              <w:rPr>
                <w:sz w:val="20"/>
                <w:szCs w:val="20"/>
              </w:rPr>
              <w:t>Zāļu apraksta apakšpunkts 4.4 papildināts ar brīdinājumu, ka zāles var izraisīt krampjus, miegainību, ortostatisku hipotensiju, motoru un sensoru nestabilitāti, kuru dēļ var notikt kritieni un tādējādi rasties lūzumi vai citi ievainojumi. Pievienota blakusparādība – kritieni, biežums “retāk”.</w:t>
            </w:r>
            <w:r w:rsidRPr="0002497C">
              <w:rPr>
                <w:sz w:val="20"/>
                <w:szCs w:val="20"/>
              </w:rPr>
              <w:br/>
              <w:t>Zāļu apraksta apakšpunkts 4.4 un 4.8 papildināts ar pēcreģistrācijas uzraudzības laikā ziņotām blakusparādībām ar biežumu “nav zināmi” – megakolons, kas reizēm ir letāls, zarnu infarkts/išēmija, kas reizēm ir letāla, miokardīts, kas reizēm ir letāls,  pleiras izsvīdums, ramdomiolīze, poliserozīts.</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DD001B" w:rsidP="00953946">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97-0311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Zoloft 50 mg apvalkotās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Sertralinum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Pfizer Limited, Lielbritānija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816290">
            <w:pPr>
              <w:rPr>
                <w:sz w:val="20"/>
                <w:szCs w:val="20"/>
              </w:rPr>
            </w:pPr>
            <w:r w:rsidRPr="0002497C">
              <w:rPr>
                <w:sz w:val="20"/>
                <w:szCs w:val="20"/>
              </w:rPr>
              <w:t xml:space="preserve">Papildināta drošuma informācija, 5.1. apakšpunktā iekļaujot informāciju par QT intervāla pētījumu (pētījums A0501104), kura rezultāti parāda sertralīna palielinātu ietekmi uz QT intervāla pagarināšanās risku. Attiecīgi papildināts 4.4., 4.5., 4.8. un 4.9. apakšpunkts.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10-0196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Sevoflurane Baxter 100% inhalācijas tvaiki, šķidrums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Sevofluranum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Baxter S.A., Beļģija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4E6379">
            <w:pPr>
              <w:rPr>
                <w:sz w:val="20"/>
                <w:szCs w:val="20"/>
              </w:rPr>
            </w:pPr>
            <w:r w:rsidRPr="0002497C">
              <w:rPr>
                <w:sz w:val="20"/>
                <w:szCs w:val="20"/>
              </w:rPr>
              <w:t>Papildināta d</w:t>
            </w:r>
            <w:r w:rsidR="00260C38" w:rsidRPr="0002497C">
              <w:rPr>
                <w:sz w:val="20"/>
                <w:szCs w:val="20"/>
              </w:rPr>
              <w:t>rošuma informācija</w:t>
            </w:r>
            <w:r w:rsidRPr="0002497C">
              <w:rPr>
                <w:sz w:val="20"/>
                <w:szCs w:val="20"/>
              </w:rPr>
              <w:t xml:space="preserve">. Zāļu apraksta 4.6. apakšpunktā pievienota informācija par preklīniskajos pētījumos iegūtiem datiem par zāļu reproduktīvo toksicitāti un nelabvēlīgo ietekmi uz fertilitāti; 5.3. apakšpunkts papildināts ar informāciju par pētījumiem ar žurku tēviņiem, kas uzrāda samazinātu spermas kustīgumu un koncentrāciju, un palielinātu sēklinieku deģenerāciju pēc ilgstošas zāļu lietošanas, un par pētījumiem ar rēzus makaka pērtiķiem, kas uzrāda, ka zāļu lietošana palielina neiroapoptozes risku pēcnācēju smadzeņu attīstības laikā. </w:t>
            </w:r>
          </w:p>
        </w:tc>
      </w:tr>
      <w:tr w:rsidR="004E6379" w:rsidRPr="00DE4ABF" w:rsidTr="005629AF">
        <w:trPr>
          <w:trHeight w:val="740"/>
        </w:trPr>
        <w:tc>
          <w:tcPr>
            <w:tcW w:w="567" w:type="dxa"/>
            <w:tcBorders>
              <w:top w:val="single" w:sz="4" w:space="0" w:color="auto"/>
              <w:left w:val="single" w:sz="4" w:space="0" w:color="auto"/>
              <w:right w:val="single" w:sz="4" w:space="0" w:color="auto"/>
            </w:tcBorders>
          </w:tcPr>
          <w:p w:rsidR="004E6379" w:rsidRPr="00953946" w:rsidRDefault="009449D4" w:rsidP="00953946">
            <w:pPr>
              <w:rPr>
                <w:sz w:val="20"/>
                <w:szCs w:val="20"/>
              </w:rPr>
            </w:pPr>
            <w:r>
              <w:rPr>
                <w:sz w:val="20"/>
                <w:szCs w:val="20"/>
              </w:rPr>
              <w:t>14.</w:t>
            </w:r>
          </w:p>
        </w:tc>
        <w:tc>
          <w:tcPr>
            <w:tcW w:w="993" w:type="dxa"/>
            <w:tcBorders>
              <w:top w:val="single" w:sz="4" w:space="0" w:color="auto"/>
              <w:left w:val="single" w:sz="4" w:space="0" w:color="auto"/>
              <w:right w:val="single" w:sz="4" w:space="0" w:color="auto"/>
            </w:tcBorders>
            <w:shd w:val="clear" w:color="auto" w:fill="auto"/>
          </w:tcPr>
          <w:p w:rsidR="004E6379" w:rsidRPr="0002497C" w:rsidRDefault="004E6379" w:rsidP="00953946">
            <w:pPr>
              <w:rPr>
                <w:sz w:val="20"/>
                <w:szCs w:val="20"/>
              </w:rPr>
            </w:pPr>
            <w:r w:rsidRPr="0002497C">
              <w:rPr>
                <w:sz w:val="20"/>
                <w:szCs w:val="20"/>
              </w:rPr>
              <w:t>00-0921</w:t>
            </w:r>
          </w:p>
          <w:p w:rsidR="004E6379" w:rsidRPr="0002497C" w:rsidRDefault="004E6379" w:rsidP="00953946">
            <w:pPr>
              <w:rPr>
                <w:sz w:val="20"/>
                <w:szCs w:val="20"/>
              </w:rPr>
            </w:pPr>
            <w:r w:rsidRPr="0002497C">
              <w:rPr>
                <w:sz w:val="20"/>
                <w:szCs w:val="20"/>
              </w:rPr>
              <w:t>00-0922</w:t>
            </w:r>
          </w:p>
        </w:tc>
        <w:tc>
          <w:tcPr>
            <w:tcW w:w="1842" w:type="dxa"/>
            <w:tcBorders>
              <w:top w:val="single" w:sz="4" w:space="0" w:color="auto"/>
              <w:left w:val="single" w:sz="4" w:space="0" w:color="auto"/>
              <w:right w:val="single" w:sz="4" w:space="0" w:color="auto"/>
            </w:tcBorders>
            <w:shd w:val="clear" w:color="auto" w:fill="auto"/>
          </w:tcPr>
          <w:p w:rsidR="004E6379" w:rsidRPr="0002497C" w:rsidRDefault="004E6379" w:rsidP="00953946">
            <w:pPr>
              <w:rPr>
                <w:sz w:val="20"/>
                <w:szCs w:val="20"/>
              </w:rPr>
            </w:pPr>
            <w:r w:rsidRPr="0002497C">
              <w:rPr>
                <w:sz w:val="20"/>
                <w:szCs w:val="20"/>
              </w:rPr>
              <w:t>Halcion 0,125 mg</w:t>
            </w:r>
            <w:r w:rsidR="005629AF" w:rsidRPr="0002497C">
              <w:rPr>
                <w:sz w:val="20"/>
                <w:szCs w:val="20"/>
              </w:rPr>
              <w:t>; 0,25mg</w:t>
            </w:r>
            <w:r w:rsidRPr="0002497C">
              <w:rPr>
                <w:sz w:val="20"/>
                <w:szCs w:val="20"/>
              </w:rPr>
              <w:t xml:space="preserve"> tabletes</w:t>
            </w:r>
          </w:p>
          <w:p w:rsidR="004E6379" w:rsidRPr="0002497C" w:rsidRDefault="004E6379"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4E6379" w:rsidRPr="0002497C" w:rsidRDefault="004E6379" w:rsidP="00953946">
            <w:pPr>
              <w:rPr>
                <w:sz w:val="20"/>
                <w:szCs w:val="20"/>
              </w:rPr>
            </w:pPr>
            <w:r w:rsidRPr="0002497C">
              <w:rPr>
                <w:sz w:val="20"/>
                <w:szCs w:val="20"/>
              </w:rPr>
              <w:t>Triazolamum</w:t>
            </w:r>
          </w:p>
        </w:tc>
        <w:tc>
          <w:tcPr>
            <w:tcW w:w="1560" w:type="dxa"/>
            <w:tcBorders>
              <w:top w:val="single" w:sz="4" w:space="0" w:color="auto"/>
              <w:left w:val="single" w:sz="4" w:space="0" w:color="auto"/>
              <w:right w:val="single" w:sz="4" w:space="0" w:color="auto"/>
            </w:tcBorders>
            <w:shd w:val="clear" w:color="auto" w:fill="auto"/>
          </w:tcPr>
          <w:p w:rsidR="004E6379" w:rsidRPr="0002497C" w:rsidRDefault="004E6379" w:rsidP="00953946">
            <w:pPr>
              <w:rPr>
                <w:sz w:val="20"/>
                <w:szCs w:val="20"/>
              </w:rPr>
            </w:pPr>
            <w:r w:rsidRPr="0002497C">
              <w:rPr>
                <w:sz w:val="20"/>
                <w:szCs w:val="20"/>
              </w:rPr>
              <w:t>Pfizer Europe MA EEIG, Lielbritānija</w:t>
            </w:r>
          </w:p>
        </w:tc>
        <w:tc>
          <w:tcPr>
            <w:tcW w:w="9213" w:type="dxa"/>
            <w:tcBorders>
              <w:top w:val="single" w:sz="4" w:space="0" w:color="auto"/>
              <w:left w:val="single" w:sz="4" w:space="0" w:color="auto"/>
              <w:right w:val="single" w:sz="4" w:space="0" w:color="auto"/>
            </w:tcBorders>
            <w:shd w:val="clear" w:color="auto" w:fill="auto"/>
          </w:tcPr>
          <w:p w:rsidR="004E6379" w:rsidRPr="0002497C" w:rsidRDefault="004E6379" w:rsidP="004E6379">
            <w:pPr>
              <w:rPr>
                <w:sz w:val="20"/>
                <w:szCs w:val="20"/>
              </w:rPr>
            </w:pPr>
            <w:r w:rsidRPr="0002497C">
              <w:rPr>
                <w:sz w:val="20"/>
                <w:szCs w:val="20"/>
              </w:rPr>
              <w:t xml:space="preserve">Papildināta drošuma informācija. Zāļu apraksta 5.3. apakšpunktā iekļauta informācija par kancerogenitāti, mutagenitāti un ietekmi uz fertilitāti.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07-0241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Spiriva Respimat 2,5 mikrogrami šķīdums inhalācijām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Tiotropium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Boehringer Ingelheim International GmbH,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4E6379">
            <w:pPr>
              <w:rPr>
                <w:sz w:val="20"/>
                <w:szCs w:val="20"/>
              </w:rPr>
            </w:pPr>
            <w:r w:rsidRPr="0002497C">
              <w:rPr>
                <w:sz w:val="20"/>
                <w:szCs w:val="20"/>
              </w:rPr>
              <w:t xml:space="preserve">Zāļu aprakstā 4.1. apakšpunktā paplašināta indikācija – “Zāles ir indicētas papildus bronhus dilatējošai balstterapijai smagas astmas pacientiem no 6 gadu vecuma un vecākiem, kuriem bijis viens vai vairāki smagi astmas paasinājumi iepriekšējā gada laikā”; apakšpunktā 4.2 pievienota informācija par lietošanu bērniem. Zāļu apraksta 4.8. apakšpunktā koriģēts nevēlamo blakusparādību sastopamības biežums; apakšpunkts 5.1 papildināts ar datiem par septiņiem pediatriskiem pētījumiem. </w:t>
            </w:r>
          </w:p>
        </w:tc>
      </w:tr>
      <w:tr w:rsidR="00457FEB" w:rsidRPr="00DE4ABF" w:rsidTr="00A270DB">
        <w:trPr>
          <w:trHeight w:val="1390"/>
        </w:trPr>
        <w:tc>
          <w:tcPr>
            <w:tcW w:w="567" w:type="dxa"/>
            <w:tcBorders>
              <w:top w:val="single" w:sz="4" w:space="0" w:color="auto"/>
              <w:left w:val="single" w:sz="4" w:space="0" w:color="auto"/>
              <w:right w:val="single" w:sz="4" w:space="0" w:color="auto"/>
            </w:tcBorders>
          </w:tcPr>
          <w:p w:rsidR="00457FEB" w:rsidRPr="00953946" w:rsidRDefault="009449D4" w:rsidP="00953946">
            <w:pPr>
              <w:rPr>
                <w:sz w:val="20"/>
                <w:szCs w:val="20"/>
              </w:rPr>
            </w:pPr>
            <w:r>
              <w:rPr>
                <w:sz w:val="20"/>
                <w:szCs w:val="20"/>
              </w:rPr>
              <w:t>16.</w:t>
            </w:r>
          </w:p>
        </w:tc>
        <w:tc>
          <w:tcPr>
            <w:tcW w:w="993" w:type="dxa"/>
            <w:tcBorders>
              <w:top w:val="single" w:sz="4" w:space="0" w:color="auto"/>
              <w:left w:val="single" w:sz="4" w:space="0" w:color="auto"/>
              <w:right w:val="single" w:sz="4" w:space="0" w:color="auto"/>
            </w:tcBorders>
            <w:shd w:val="clear" w:color="auto" w:fill="auto"/>
          </w:tcPr>
          <w:p w:rsidR="00457FEB" w:rsidRPr="0002497C" w:rsidRDefault="00457FEB" w:rsidP="00953946">
            <w:pPr>
              <w:rPr>
                <w:sz w:val="20"/>
                <w:szCs w:val="20"/>
              </w:rPr>
            </w:pPr>
            <w:r w:rsidRPr="0002497C">
              <w:rPr>
                <w:sz w:val="20"/>
                <w:szCs w:val="20"/>
              </w:rPr>
              <w:t>99-0108</w:t>
            </w:r>
          </w:p>
          <w:p w:rsidR="00457FEB" w:rsidRPr="0002497C" w:rsidRDefault="00457FEB" w:rsidP="00953946">
            <w:pPr>
              <w:rPr>
                <w:sz w:val="20"/>
                <w:szCs w:val="20"/>
              </w:rPr>
            </w:pPr>
            <w:r w:rsidRPr="0002497C">
              <w:rPr>
                <w:sz w:val="20"/>
                <w:szCs w:val="20"/>
              </w:rPr>
              <w:t>03-0067</w:t>
            </w:r>
          </w:p>
          <w:p w:rsidR="00457FEB" w:rsidRPr="0002497C" w:rsidRDefault="00457FEB" w:rsidP="00953946">
            <w:pPr>
              <w:rPr>
                <w:sz w:val="20"/>
                <w:szCs w:val="20"/>
              </w:rPr>
            </w:pPr>
            <w:r w:rsidRPr="0002497C">
              <w:rPr>
                <w:sz w:val="20"/>
                <w:szCs w:val="20"/>
              </w:rPr>
              <w:t>99-0107</w:t>
            </w:r>
          </w:p>
        </w:tc>
        <w:tc>
          <w:tcPr>
            <w:tcW w:w="1842" w:type="dxa"/>
            <w:tcBorders>
              <w:top w:val="single" w:sz="4" w:space="0" w:color="auto"/>
              <w:left w:val="single" w:sz="4" w:space="0" w:color="auto"/>
              <w:right w:val="single" w:sz="4" w:space="0" w:color="auto"/>
            </w:tcBorders>
            <w:shd w:val="clear" w:color="auto" w:fill="auto"/>
          </w:tcPr>
          <w:p w:rsidR="00457FEB" w:rsidRPr="0002497C" w:rsidRDefault="00457FEB" w:rsidP="00953946">
            <w:pPr>
              <w:rPr>
                <w:sz w:val="20"/>
                <w:szCs w:val="20"/>
              </w:rPr>
            </w:pPr>
            <w:r w:rsidRPr="0002497C">
              <w:rPr>
                <w:sz w:val="20"/>
                <w:szCs w:val="20"/>
              </w:rPr>
              <w:t>Cardace 5 mg</w:t>
            </w:r>
            <w:r w:rsidR="005B329A" w:rsidRPr="0002497C">
              <w:rPr>
                <w:sz w:val="20"/>
                <w:szCs w:val="20"/>
              </w:rPr>
              <w:t>; 10mg; 2,5mg</w:t>
            </w:r>
            <w:r w:rsidRPr="0002497C">
              <w:rPr>
                <w:sz w:val="20"/>
                <w:szCs w:val="20"/>
              </w:rPr>
              <w:t xml:space="preserve"> tabletes</w:t>
            </w:r>
          </w:p>
          <w:p w:rsidR="00457FEB" w:rsidRPr="0002497C" w:rsidRDefault="00457FEB"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457FEB" w:rsidRPr="0002497C" w:rsidRDefault="00457FEB" w:rsidP="00953946">
            <w:pPr>
              <w:rPr>
                <w:sz w:val="20"/>
                <w:szCs w:val="20"/>
              </w:rPr>
            </w:pPr>
            <w:r w:rsidRPr="0002497C">
              <w:rPr>
                <w:sz w:val="20"/>
                <w:szCs w:val="20"/>
              </w:rPr>
              <w:t>Ramiprilum</w:t>
            </w:r>
          </w:p>
        </w:tc>
        <w:tc>
          <w:tcPr>
            <w:tcW w:w="1560" w:type="dxa"/>
            <w:tcBorders>
              <w:top w:val="single" w:sz="4" w:space="0" w:color="auto"/>
              <w:left w:val="single" w:sz="4" w:space="0" w:color="auto"/>
              <w:right w:val="single" w:sz="4" w:space="0" w:color="auto"/>
            </w:tcBorders>
            <w:shd w:val="clear" w:color="auto" w:fill="auto"/>
          </w:tcPr>
          <w:p w:rsidR="00457FEB" w:rsidRPr="0002497C" w:rsidRDefault="00457FEB" w:rsidP="00953946">
            <w:pPr>
              <w:rPr>
                <w:sz w:val="20"/>
                <w:szCs w:val="20"/>
              </w:rPr>
            </w:pPr>
            <w:r w:rsidRPr="0002497C">
              <w:rPr>
                <w:sz w:val="20"/>
                <w:szCs w:val="20"/>
              </w:rPr>
              <w:t>Sanofi-aventis Latvia, SIA, Latvija</w:t>
            </w:r>
          </w:p>
        </w:tc>
        <w:tc>
          <w:tcPr>
            <w:tcW w:w="9213" w:type="dxa"/>
            <w:tcBorders>
              <w:top w:val="single" w:sz="4" w:space="0" w:color="auto"/>
              <w:left w:val="single" w:sz="4" w:space="0" w:color="auto"/>
              <w:right w:val="single" w:sz="4" w:space="0" w:color="auto"/>
            </w:tcBorders>
            <w:shd w:val="clear" w:color="auto" w:fill="auto"/>
          </w:tcPr>
          <w:p w:rsidR="00457FEB" w:rsidRPr="0002497C" w:rsidRDefault="00457FEB" w:rsidP="00422AFD">
            <w:pPr>
              <w:rPr>
                <w:sz w:val="20"/>
                <w:szCs w:val="20"/>
              </w:rPr>
            </w:pPr>
            <w:r w:rsidRPr="0002497C">
              <w:rPr>
                <w:sz w:val="20"/>
                <w:szCs w:val="20"/>
              </w:rPr>
              <w:t>Papildināta drošuma informācija. Pievienota kontrindikācija - vienlaicīga lietošanu ar sakubitrilu/valsartānu. Attiecīgi iekļauts brīdinājums, ka angioedēmas riska dēļ kontrindicēta vienlaicīga lietošana ar sakubitrilu/valsartānu un zāļu apraksta 4.5. apakšpunktā iekļauta norāde, ka starp Cardace un sakubutrila/valsartāna lietošanu jābūt ne mazāk kā 36 stundu starplaikam.</w:t>
            </w:r>
            <w:r w:rsidRPr="0002497C">
              <w:rPr>
                <w:sz w:val="20"/>
                <w:szCs w:val="20"/>
              </w:rPr>
              <w:br/>
            </w:r>
          </w:p>
        </w:tc>
      </w:tr>
      <w:tr w:rsidR="00E612E6" w:rsidRPr="00DE4ABF" w:rsidTr="007F7C84">
        <w:trPr>
          <w:trHeight w:val="8509"/>
        </w:trPr>
        <w:tc>
          <w:tcPr>
            <w:tcW w:w="567" w:type="dxa"/>
            <w:tcBorders>
              <w:top w:val="single" w:sz="4" w:space="0" w:color="auto"/>
              <w:left w:val="single" w:sz="4" w:space="0" w:color="auto"/>
              <w:right w:val="single" w:sz="4" w:space="0" w:color="auto"/>
            </w:tcBorders>
          </w:tcPr>
          <w:p w:rsidR="00E612E6" w:rsidRPr="00953946" w:rsidRDefault="009449D4" w:rsidP="00953946">
            <w:pPr>
              <w:rPr>
                <w:sz w:val="20"/>
                <w:szCs w:val="20"/>
              </w:rPr>
            </w:pPr>
            <w:r>
              <w:rPr>
                <w:sz w:val="20"/>
                <w:szCs w:val="20"/>
              </w:rPr>
              <w:lastRenderedPageBreak/>
              <w:t>17.</w:t>
            </w:r>
          </w:p>
        </w:tc>
        <w:tc>
          <w:tcPr>
            <w:tcW w:w="993" w:type="dxa"/>
            <w:tcBorders>
              <w:top w:val="single" w:sz="4" w:space="0" w:color="auto"/>
              <w:left w:val="single" w:sz="4" w:space="0" w:color="auto"/>
              <w:right w:val="single" w:sz="4" w:space="0" w:color="auto"/>
            </w:tcBorders>
            <w:shd w:val="clear" w:color="auto" w:fill="auto"/>
          </w:tcPr>
          <w:p w:rsidR="00E612E6" w:rsidRPr="0002497C" w:rsidRDefault="00E612E6" w:rsidP="00953946">
            <w:pPr>
              <w:rPr>
                <w:sz w:val="20"/>
                <w:szCs w:val="20"/>
              </w:rPr>
            </w:pPr>
            <w:r w:rsidRPr="0002497C">
              <w:rPr>
                <w:sz w:val="20"/>
                <w:szCs w:val="20"/>
              </w:rPr>
              <w:t>11-0336</w:t>
            </w:r>
          </w:p>
        </w:tc>
        <w:tc>
          <w:tcPr>
            <w:tcW w:w="1842" w:type="dxa"/>
            <w:tcBorders>
              <w:top w:val="single" w:sz="4" w:space="0" w:color="auto"/>
              <w:left w:val="single" w:sz="4" w:space="0" w:color="auto"/>
              <w:right w:val="single" w:sz="4" w:space="0" w:color="auto"/>
            </w:tcBorders>
            <w:shd w:val="clear" w:color="auto" w:fill="auto"/>
          </w:tcPr>
          <w:p w:rsidR="00E612E6" w:rsidRPr="0002497C" w:rsidRDefault="00E612E6" w:rsidP="00953946">
            <w:pPr>
              <w:rPr>
                <w:sz w:val="20"/>
                <w:szCs w:val="20"/>
              </w:rPr>
            </w:pPr>
            <w:r w:rsidRPr="0002497C">
              <w:rPr>
                <w:sz w:val="20"/>
                <w:szCs w:val="20"/>
              </w:rPr>
              <w:t>Nutriflex Lipid peri emulsija infūzijām</w:t>
            </w:r>
          </w:p>
        </w:tc>
        <w:tc>
          <w:tcPr>
            <w:tcW w:w="1701" w:type="dxa"/>
            <w:tcBorders>
              <w:top w:val="single" w:sz="4" w:space="0" w:color="auto"/>
              <w:left w:val="single" w:sz="4" w:space="0" w:color="auto"/>
              <w:right w:val="single" w:sz="4" w:space="0" w:color="auto"/>
            </w:tcBorders>
            <w:shd w:val="clear" w:color="auto" w:fill="auto"/>
          </w:tcPr>
          <w:p w:rsidR="00E612E6" w:rsidRPr="0002497C" w:rsidRDefault="00E612E6" w:rsidP="00953946">
            <w:pPr>
              <w:rPr>
                <w:sz w:val="20"/>
                <w:szCs w:val="20"/>
              </w:rPr>
            </w:pPr>
            <w:r w:rsidRPr="0002497C">
              <w:rPr>
                <w:sz w:val="20"/>
                <w:szCs w:val="20"/>
              </w:rPr>
              <w:t>Glucosum monohydricum, Natrii dihydrogenophosphas dihydricus, Zinci acetas dihydricus, Sojae oleum, Triglycerida saturata media, Isoleucinum, Leucinum, Lysinum, Methioninum, Phenylalaninum, Threoninum, Tryptophanum, Valinum, Argininum, Histidinum, Alaninum, Acidum asparticum, Acidum glutamicum, Glycinum, Prolinum, Serinum, Calcii chloridum dihydricum, Magnesii acetas tetrahydricus, Natrii acetas trihydricus, Natrii chloridum, Kalii acetas, Natrii hydroxidum</w:t>
            </w:r>
          </w:p>
        </w:tc>
        <w:tc>
          <w:tcPr>
            <w:tcW w:w="1560" w:type="dxa"/>
            <w:tcBorders>
              <w:top w:val="single" w:sz="4" w:space="0" w:color="auto"/>
              <w:left w:val="single" w:sz="4" w:space="0" w:color="auto"/>
              <w:right w:val="single" w:sz="4" w:space="0" w:color="auto"/>
            </w:tcBorders>
            <w:shd w:val="clear" w:color="auto" w:fill="auto"/>
          </w:tcPr>
          <w:p w:rsidR="00E612E6" w:rsidRPr="0002497C" w:rsidRDefault="00E612E6" w:rsidP="00953946">
            <w:pPr>
              <w:rPr>
                <w:sz w:val="20"/>
                <w:szCs w:val="20"/>
              </w:rPr>
            </w:pPr>
            <w:r w:rsidRPr="0002497C">
              <w:rPr>
                <w:sz w:val="20"/>
                <w:szCs w:val="20"/>
              </w:rPr>
              <w:t>B.Braun Melsungen AG, Vācija</w:t>
            </w:r>
          </w:p>
        </w:tc>
        <w:tc>
          <w:tcPr>
            <w:tcW w:w="9213" w:type="dxa"/>
            <w:tcBorders>
              <w:top w:val="single" w:sz="4" w:space="0" w:color="auto"/>
              <w:left w:val="single" w:sz="4" w:space="0" w:color="auto"/>
              <w:right w:val="single" w:sz="4" w:space="0" w:color="auto"/>
            </w:tcBorders>
            <w:shd w:val="clear" w:color="auto" w:fill="auto"/>
          </w:tcPr>
          <w:p w:rsidR="00E612E6" w:rsidRPr="0002497C" w:rsidRDefault="00E612E6" w:rsidP="002E4190">
            <w:pPr>
              <w:rPr>
                <w:sz w:val="20"/>
                <w:szCs w:val="20"/>
              </w:rPr>
            </w:pPr>
            <w:r w:rsidRPr="0002497C">
              <w:rPr>
                <w:sz w:val="20"/>
                <w:szCs w:val="20"/>
              </w:rPr>
              <w:t>Atjaunota drošuma informācija. Zāļu apraksta 5.2. apakšpunkts papildināts ar informāciju par pētījumu datiem ar dzīvniekiem, kuriem tika ievadītas vidējo un garo ķēžu triglicerīdu emulsijas.</w:t>
            </w:r>
          </w:p>
          <w:p w:rsidR="00E612E6" w:rsidRPr="0002497C" w:rsidRDefault="00E612E6" w:rsidP="002E4190">
            <w:pPr>
              <w:rPr>
                <w:sz w:val="20"/>
                <w:szCs w:val="20"/>
              </w:rPr>
            </w:pPr>
            <w:r w:rsidRPr="0002497C">
              <w:rPr>
                <w:sz w:val="20"/>
                <w:szCs w:val="20"/>
              </w:rPr>
              <w:t xml:space="preserve">Zāļu apraksta 4.2. apakšpunktā pievienota informācija par maksimālo ievadīšanas ilgumu no viena parenterālās barošanas maisa; 4.3. apakšpunkts papildināts ar kontrindikāciju- smaga koagulopātija; 4.4. apakšpunktā papildināts brīdinājums pacientiem ar lipīdu vielmaiņas traucējumiem un pievienots brīdinājums par tromboflebīta risku; 4.5. apakšpunktā pievienots brīdinājums par pseidoaglutinācijas risku, ievadot zāles vienlaikus ar asinīm vienā infūzijas sistēmā; 4.8. apakšpunkts papildināts ar blakusparādībām- leikopēnija un trombocitopēnija, mainīts atsevišķu blakusparādību novērošanas biežums.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18-0059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Dr. Theiss efejas sīrups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Hederae helicis folii extractum siccum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Dr. Theiss Naturwaren GmbH,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Saskaņā ar apstiprināto HMPC monogrāfiju (European Union herbal monograph on Hedera helix L., folium), zāļu aprakstā apakšpunktā 5.3 iekļauta informācija, ka nav pieejami pētījumi par efejas lapas saturošu līdzekļu kancerogenitāti un reproduktīvo toksicitāti.</w:t>
            </w:r>
          </w:p>
        </w:tc>
      </w:tr>
      <w:tr w:rsidR="008E70DD" w:rsidRPr="00DE4ABF" w:rsidTr="0072382B">
        <w:trPr>
          <w:trHeight w:val="920"/>
        </w:trPr>
        <w:tc>
          <w:tcPr>
            <w:tcW w:w="567" w:type="dxa"/>
            <w:tcBorders>
              <w:top w:val="single" w:sz="4" w:space="0" w:color="auto"/>
              <w:left w:val="single" w:sz="4" w:space="0" w:color="auto"/>
              <w:right w:val="single" w:sz="4" w:space="0" w:color="auto"/>
            </w:tcBorders>
          </w:tcPr>
          <w:p w:rsidR="008E70DD" w:rsidRPr="00953946" w:rsidRDefault="009449D4" w:rsidP="00953946">
            <w:pPr>
              <w:rPr>
                <w:sz w:val="20"/>
                <w:szCs w:val="20"/>
              </w:rPr>
            </w:pPr>
            <w:r>
              <w:rPr>
                <w:sz w:val="20"/>
                <w:szCs w:val="20"/>
              </w:rPr>
              <w:lastRenderedPageBreak/>
              <w:t>19.</w:t>
            </w:r>
          </w:p>
        </w:tc>
        <w:tc>
          <w:tcPr>
            <w:tcW w:w="993" w:type="dxa"/>
            <w:tcBorders>
              <w:top w:val="single" w:sz="4" w:space="0" w:color="auto"/>
              <w:left w:val="single" w:sz="4" w:space="0" w:color="auto"/>
              <w:right w:val="single" w:sz="4" w:space="0" w:color="auto"/>
            </w:tcBorders>
            <w:shd w:val="clear" w:color="auto" w:fill="auto"/>
          </w:tcPr>
          <w:p w:rsidR="008E70DD" w:rsidRPr="0002497C" w:rsidRDefault="008E70DD" w:rsidP="00953946">
            <w:pPr>
              <w:rPr>
                <w:sz w:val="20"/>
                <w:szCs w:val="20"/>
              </w:rPr>
            </w:pPr>
            <w:r w:rsidRPr="0002497C">
              <w:rPr>
                <w:sz w:val="20"/>
                <w:szCs w:val="20"/>
              </w:rPr>
              <w:t>99-0279</w:t>
            </w:r>
          </w:p>
          <w:p w:rsidR="008E70DD" w:rsidRPr="0002497C" w:rsidRDefault="008E70DD" w:rsidP="00953946">
            <w:pPr>
              <w:rPr>
                <w:sz w:val="20"/>
                <w:szCs w:val="20"/>
              </w:rPr>
            </w:pPr>
            <w:r w:rsidRPr="0002497C">
              <w:rPr>
                <w:sz w:val="20"/>
                <w:szCs w:val="20"/>
              </w:rPr>
              <w:t>99-0280</w:t>
            </w:r>
          </w:p>
        </w:tc>
        <w:tc>
          <w:tcPr>
            <w:tcW w:w="1842" w:type="dxa"/>
            <w:tcBorders>
              <w:top w:val="single" w:sz="4" w:space="0" w:color="auto"/>
              <w:left w:val="single" w:sz="4" w:space="0" w:color="auto"/>
              <w:right w:val="single" w:sz="4" w:space="0" w:color="auto"/>
            </w:tcBorders>
            <w:shd w:val="clear" w:color="auto" w:fill="auto"/>
          </w:tcPr>
          <w:p w:rsidR="008E70DD" w:rsidRPr="0002497C" w:rsidRDefault="008E70DD" w:rsidP="00953946">
            <w:pPr>
              <w:rPr>
                <w:sz w:val="20"/>
                <w:szCs w:val="20"/>
              </w:rPr>
            </w:pPr>
            <w:r w:rsidRPr="0002497C">
              <w:rPr>
                <w:sz w:val="20"/>
                <w:szCs w:val="20"/>
              </w:rPr>
              <w:t>Trileptal 300 mg</w:t>
            </w:r>
            <w:r w:rsidR="004C1906" w:rsidRPr="0002497C">
              <w:rPr>
                <w:sz w:val="20"/>
                <w:szCs w:val="20"/>
              </w:rPr>
              <w:t>; 600mg</w:t>
            </w:r>
            <w:r w:rsidRPr="0002497C">
              <w:rPr>
                <w:sz w:val="20"/>
                <w:szCs w:val="20"/>
              </w:rPr>
              <w:t xml:space="preserve"> apvalkotās tabletes</w:t>
            </w:r>
          </w:p>
          <w:p w:rsidR="008E70DD" w:rsidRPr="0002497C" w:rsidRDefault="008E70DD"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8E70DD" w:rsidRPr="0002497C" w:rsidRDefault="008E70DD" w:rsidP="00953946">
            <w:pPr>
              <w:rPr>
                <w:sz w:val="20"/>
                <w:szCs w:val="20"/>
              </w:rPr>
            </w:pPr>
            <w:r w:rsidRPr="0002497C">
              <w:rPr>
                <w:sz w:val="20"/>
                <w:szCs w:val="20"/>
              </w:rPr>
              <w:t>Oxcarbazepinum</w:t>
            </w:r>
          </w:p>
        </w:tc>
        <w:tc>
          <w:tcPr>
            <w:tcW w:w="1560" w:type="dxa"/>
            <w:tcBorders>
              <w:top w:val="single" w:sz="4" w:space="0" w:color="auto"/>
              <w:left w:val="single" w:sz="4" w:space="0" w:color="auto"/>
              <w:right w:val="single" w:sz="4" w:space="0" w:color="auto"/>
            </w:tcBorders>
            <w:shd w:val="clear" w:color="auto" w:fill="auto"/>
          </w:tcPr>
          <w:p w:rsidR="008E70DD" w:rsidRPr="0002497C" w:rsidRDefault="008E70DD" w:rsidP="00953946">
            <w:pPr>
              <w:rPr>
                <w:sz w:val="20"/>
                <w:szCs w:val="20"/>
              </w:rPr>
            </w:pPr>
            <w:r w:rsidRPr="0002497C">
              <w:rPr>
                <w:sz w:val="20"/>
                <w:szCs w:val="20"/>
              </w:rPr>
              <w:t>Novartis Finland Oy, Somija</w:t>
            </w:r>
          </w:p>
        </w:tc>
        <w:tc>
          <w:tcPr>
            <w:tcW w:w="9213" w:type="dxa"/>
            <w:tcBorders>
              <w:top w:val="single" w:sz="4" w:space="0" w:color="auto"/>
              <w:left w:val="single" w:sz="4" w:space="0" w:color="auto"/>
              <w:right w:val="single" w:sz="4" w:space="0" w:color="auto"/>
            </w:tcBorders>
            <w:shd w:val="clear" w:color="auto" w:fill="auto"/>
          </w:tcPr>
          <w:p w:rsidR="008E70DD" w:rsidRPr="0002497C" w:rsidRDefault="008E70DD" w:rsidP="008E70DD">
            <w:pPr>
              <w:rPr>
                <w:sz w:val="20"/>
                <w:szCs w:val="20"/>
              </w:rPr>
            </w:pPr>
            <w:r w:rsidRPr="0002497C">
              <w:rPr>
                <w:sz w:val="20"/>
                <w:szCs w:val="20"/>
              </w:rPr>
              <w:t xml:space="preserve">Papildināta drošuma informācija. Pievienota blakusparādība - palielināta ķermeņa masa. </w:t>
            </w:r>
            <w:r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94-0169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Diane 2000 mikrogramu/35 mikrogramu apvalkotās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Cyproteroni acetas, Ethinylestradiolum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Bayer AG, Vācija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0E730F">
            <w:pPr>
              <w:rPr>
                <w:sz w:val="20"/>
                <w:szCs w:val="20"/>
              </w:rPr>
            </w:pPr>
            <w:r w:rsidRPr="0002497C">
              <w:rPr>
                <w:sz w:val="20"/>
                <w:szCs w:val="20"/>
              </w:rPr>
              <w:t xml:space="preserve">Papildināta drošuma informācija. Zāļu apraksta 4.5. apakšpunkts papildināts ar informāciju par mijiedarbību ar vielām, kas pazemina kombinēto perorālo kontracepcijas līdzekļu klīrensu, un estrogēna/progestagēna kombinācijas ietekmi uz citām zālēm.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99-0231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Plaquenil 200 mg apvalkotās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Hydroxychloroquini sulfas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Sanofi-aventis Latvia, SIA, Latvija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0E730F">
            <w:pPr>
              <w:rPr>
                <w:sz w:val="20"/>
                <w:szCs w:val="20"/>
              </w:rPr>
            </w:pPr>
            <w:r w:rsidRPr="0002497C">
              <w:rPr>
                <w:sz w:val="20"/>
                <w:szCs w:val="20"/>
              </w:rPr>
              <w:t>Papildināta drošuma informācija. Zāļu apraksta 4.4. apakšpunktā pievienots brīdinājums par potenciālu kancerogenitātes risku, 4.6. apakšpunktā papildināta informācija par lietošanu grūtniecības laikā un 5.3. apakšpunktā pievienoti preklīniskie dati par genotoksicitāti, kancerogenitāti un reprodukt</w:t>
            </w:r>
            <w:r w:rsidR="000E730F" w:rsidRPr="0002497C">
              <w:rPr>
                <w:sz w:val="20"/>
                <w:szCs w:val="20"/>
              </w:rPr>
              <w:t>īvo un attīstības toksicitāti.</w:t>
            </w:r>
          </w:p>
        </w:tc>
      </w:tr>
      <w:tr w:rsidR="0011317C" w:rsidRPr="00DE4ABF" w:rsidTr="00BA1620">
        <w:trPr>
          <w:trHeight w:val="2579"/>
        </w:trPr>
        <w:tc>
          <w:tcPr>
            <w:tcW w:w="567" w:type="dxa"/>
            <w:tcBorders>
              <w:top w:val="single" w:sz="4" w:space="0" w:color="auto"/>
              <w:left w:val="single" w:sz="4" w:space="0" w:color="auto"/>
              <w:right w:val="single" w:sz="4" w:space="0" w:color="auto"/>
            </w:tcBorders>
          </w:tcPr>
          <w:p w:rsidR="0011317C" w:rsidRPr="00953946" w:rsidRDefault="009449D4" w:rsidP="00953946">
            <w:pPr>
              <w:rPr>
                <w:sz w:val="20"/>
                <w:szCs w:val="20"/>
              </w:rPr>
            </w:pPr>
            <w:r>
              <w:rPr>
                <w:sz w:val="20"/>
                <w:szCs w:val="20"/>
              </w:rPr>
              <w:t>22.</w:t>
            </w:r>
          </w:p>
        </w:tc>
        <w:tc>
          <w:tcPr>
            <w:tcW w:w="993"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94-0058</w:t>
            </w:r>
          </w:p>
          <w:p w:rsidR="0011317C" w:rsidRPr="0002497C" w:rsidRDefault="0011317C" w:rsidP="00953946">
            <w:pPr>
              <w:rPr>
                <w:sz w:val="20"/>
                <w:szCs w:val="20"/>
              </w:rPr>
            </w:pPr>
            <w:r w:rsidRPr="0002497C">
              <w:rPr>
                <w:sz w:val="20"/>
                <w:szCs w:val="20"/>
              </w:rPr>
              <w:t>98-0430</w:t>
            </w:r>
          </w:p>
          <w:p w:rsidR="0011317C" w:rsidRPr="0002497C" w:rsidRDefault="0011317C" w:rsidP="00953946">
            <w:pPr>
              <w:rPr>
                <w:sz w:val="20"/>
                <w:szCs w:val="20"/>
              </w:rPr>
            </w:pPr>
            <w:r w:rsidRPr="0002497C">
              <w:rPr>
                <w:sz w:val="20"/>
                <w:szCs w:val="20"/>
              </w:rPr>
              <w:t>98-0429</w:t>
            </w:r>
          </w:p>
          <w:p w:rsidR="0011317C" w:rsidRPr="0002497C" w:rsidRDefault="0011317C" w:rsidP="00953946">
            <w:pPr>
              <w:rPr>
                <w:sz w:val="20"/>
                <w:szCs w:val="20"/>
              </w:rPr>
            </w:pPr>
            <w:r w:rsidRPr="0002497C">
              <w:rPr>
                <w:sz w:val="20"/>
                <w:szCs w:val="20"/>
              </w:rPr>
              <w:t>98-0428</w:t>
            </w:r>
          </w:p>
        </w:tc>
        <w:tc>
          <w:tcPr>
            <w:tcW w:w="1842"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Sandostatin 100 mikrogrami/ml šķīdums injekcijām/infūzijām</w:t>
            </w:r>
          </w:p>
          <w:p w:rsidR="0011317C" w:rsidRPr="0002497C" w:rsidRDefault="0011317C" w:rsidP="00953946">
            <w:pPr>
              <w:rPr>
                <w:sz w:val="20"/>
                <w:szCs w:val="20"/>
              </w:rPr>
            </w:pPr>
            <w:r w:rsidRPr="0002497C">
              <w:rPr>
                <w:sz w:val="20"/>
                <w:szCs w:val="20"/>
              </w:rPr>
              <w:t>Sandostatin LAR 30 mg</w:t>
            </w:r>
            <w:r w:rsidR="00BA1620" w:rsidRPr="0002497C">
              <w:rPr>
                <w:sz w:val="20"/>
                <w:szCs w:val="20"/>
              </w:rPr>
              <w:t>; 20mg; 10mg</w:t>
            </w:r>
            <w:r w:rsidRPr="0002497C">
              <w:rPr>
                <w:sz w:val="20"/>
                <w:szCs w:val="20"/>
              </w:rPr>
              <w:t xml:space="preserve"> pulveris un šķīdinātājs injekciju suspensijas pagatavošanai</w:t>
            </w:r>
          </w:p>
          <w:p w:rsidR="0011317C" w:rsidRPr="0002497C" w:rsidRDefault="0011317C"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Octreotidum</w:t>
            </w:r>
          </w:p>
        </w:tc>
        <w:tc>
          <w:tcPr>
            <w:tcW w:w="1560"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Novartis Baltics, SIA, Latvija</w:t>
            </w:r>
          </w:p>
        </w:tc>
        <w:tc>
          <w:tcPr>
            <w:tcW w:w="9213" w:type="dxa"/>
            <w:tcBorders>
              <w:top w:val="single" w:sz="4" w:space="0" w:color="auto"/>
              <w:left w:val="single" w:sz="4" w:space="0" w:color="auto"/>
              <w:right w:val="single" w:sz="4" w:space="0" w:color="auto"/>
            </w:tcBorders>
            <w:shd w:val="clear" w:color="auto" w:fill="auto"/>
          </w:tcPr>
          <w:p w:rsidR="0011317C" w:rsidRPr="0002497C" w:rsidRDefault="0011317C" w:rsidP="00A405BB">
            <w:pPr>
              <w:rPr>
                <w:sz w:val="20"/>
                <w:szCs w:val="20"/>
              </w:rPr>
            </w:pPr>
            <w:r w:rsidRPr="0002497C">
              <w:rPr>
                <w:sz w:val="20"/>
                <w:szCs w:val="20"/>
              </w:rPr>
              <w:t xml:space="preserve">Papildināta drošuma informācija. Zāļu apraksta 4.8. apakšpunktā iekļauts brīdinājums par paaugstinātas jutības un anafilaktiskām reakcijām. </w:t>
            </w:r>
          </w:p>
          <w:p w:rsidR="0011317C" w:rsidRPr="0002497C" w:rsidRDefault="0011317C" w:rsidP="00A405BB">
            <w:pPr>
              <w:rPr>
                <w:sz w:val="20"/>
                <w:szCs w:val="20"/>
              </w:rPr>
            </w:pPr>
            <w:r w:rsidRPr="0002497C">
              <w:rPr>
                <w:sz w:val="20"/>
                <w:szCs w:val="20"/>
              </w:rPr>
              <w:t>Pievienota blakusparādība trombocitopēnija.</w:t>
            </w:r>
          </w:p>
          <w:p w:rsidR="0011317C" w:rsidRPr="0002497C" w:rsidRDefault="0011317C" w:rsidP="00A405BB">
            <w:pPr>
              <w:rPr>
                <w:sz w:val="20"/>
                <w:szCs w:val="20"/>
              </w:rPr>
            </w:pPr>
            <w:r w:rsidRPr="0002497C">
              <w:rPr>
                <w:sz w:val="20"/>
                <w:szCs w:val="20"/>
              </w:rPr>
              <w:t>Zāļu apraksta 4.4. un 4.8. apakšpunktos iekļauts brīdinājums, ka  holelitiāze ir ļoti bieži sastopama blakusparādība  terapijas laikā un var būt saistīta ar holecistītu un žultsvadu dilatāciju.</w:t>
            </w:r>
            <w:r w:rsidRPr="0002497C">
              <w:rPr>
                <w:sz w:val="20"/>
                <w:szCs w:val="20"/>
              </w:rPr>
              <w:br/>
            </w:r>
          </w:p>
        </w:tc>
      </w:tr>
      <w:tr w:rsidR="0011317C" w:rsidRPr="00DE4ABF" w:rsidTr="00BA1620">
        <w:trPr>
          <w:trHeight w:val="946"/>
        </w:trPr>
        <w:tc>
          <w:tcPr>
            <w:tcW w:w="567" w:type="dxa"/>
            <w:tcBorders>
              <w:top w:val="single" w:sz="4" w:space="0" w:color="auto"/>
              <w:left w:val="single" w:sz="4" w:space="0" w:color="auto"/>
              <w:right w:val="single" w:sz="4" w:space="0" w:color="auto"/>
            </w:tcBorders>
          </w:tcPr>
          <w:p w:rsidR="0011317C" w:rsidRPr="00953946" w:rsidRDefault="009449D4" w:rsidP="00953946">
            <w:pPr>
              <w:rPr>
                <w:sz w:val="20"/>
                <w:szCs w:val="20"/>
              </w:rPr>
            </w:pPr>
            <w:r>
              <w:rPr>
                <w:sz w:val="20"/>
                <w:szCs w:val="20"/>
              </w:rPr>
              <w:t>23.</w:t>
            </w:r>
          </w:p>
        </w:tc>
        <w:tc>
          <w:tcPr>
            <w:tcW w:w="993"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00-1274</w:t>
            </w:r>
          </w:p>
          <w:p w:rsidR="0011317C" w:rsidRPr="0002497C" w:rsidRDefault="0011317C" w:rsidP="00953946">
            <w:pPr>
              <w:rPr>
                <w:sz w:val="20"/>
                <w:szCs w:val="20"/>
              </w:rPr>
            </w:pPr>
            <w:r w:rsidRPr="0002497C">
              <w:rPr>
                <w:sz w:val="20"/>
                <w:szCs w:val="20"/>
              </w:rPr>
              <w:t>98-0799</w:t>
            </w:r>
          </w:p>
        </w:tc>
        <w:tc>
          <w:tcPr>
            <w:tcW w:w="1842"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Imodium 2 mg cietās kapsulas N20</w:t>
            </w:r>
            <w:r w:rsidR="00BA1620" w:rsidRPr="0002497C">
              <w:rPr>
                <w:sz w:val="20"/>
                <w:szCs w:val="20"/>
              </w:rPr>
              <w:t>; N6</w:t>
            </w:r>
          </w:p>
          <w:p w:rsidR="0011317C" w:rsidRPr="0002497C" w:rsidRDefault="0011317C"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Loperamidi hydrochloridum</w:t>
            </w:r>
          </w:p>
        </w:tc>
        <w:tc>
          <w:tcPr>
            <w:tcW w:w="1560" w:type="dxa"/>
            <w:tcBorders>
              <w:top w:val="single" w:sz="4" w:space="0" w:color="auto"/>
              <w:left w:val="single" w:sz="4" w:space="0" w:color="auto"/>
              <w:right w:val="single" w:sz="4" w:space="0" w:color="auto"/>
            </w:tcBorders>
            <w:shd w:val="clear" w:color="auto" w:fill="auto"/>
          </w:tcPr>
          <w:p w:rsidR="0011317C" w:rsidRPr="0002497C" w:rsidRDefault="0011317C" w:rsidP="00953946">
            <w:pPr>
              <w:rPr>
                <w:sz w:val="20"/>
                <w:szCs w:val="20"/>
              </w:rPr>
            </w:pPr>
            <w:r w:rsidRPr="0002497C">
              <w:rPr>
                <w:sz w:val="20"/>
                <w:szCs w:val="20"/>
              </w:rPr>
              <w:t>McNeil Products Limited, Lielbritānija</w:t>
            </w:r>
          </w:p>
        </w:tc>
        <w:tc>
          <w:tcPr>
            <w:tcW w:w="9213" w:type="dxa"/>
            <w:tcBorders>
              <w:top w:val="single" w:sz="4" w:space="0" w:color="auto"/>
              <w:left w:val="single" w:sz="4" w:space="0" w:color="auto"/>
              <w:right w:val="single" w:sz="4" w:space="0" w:color="auto"/>
            </w:tcBorders>
            <w:shd w:val="clear" w:color="auto" w:fill="auto"/>
          </w:tcPr>
          <w:p w:rsidR="0011317C" w:rsidRPr="0002497C" w:rsidRDefault="0011317C" w:rsidP="0011317C">
            <w:pPr>
              <w:rPr>
                <w:sz w:val="20"/>
                <w:szCs w:val="20"/>
              </w:rPr>
            </w:pPr>
            <w:r w:rsidRPr="0002497C">
              <w:rPr>
                <w:sz w:val="20"/>
                <w:szCs w:val="20"/>
              </w:rPr>
              <w:t xml:space="preserve">Papildināta drošuma informācija. Iekļauts brīdinājums, ka iespējamās centrālās nervu sistēmas toksicitātes dēļ pacientiem ar aknu darbības traucējumiem Imodium jālieto ar piesardzību; sniegta informācija par gadījumiem, kad pacienti ar opioīdu atkarību ļaunprātīgi un nepareizi lietojuši loperamīdu, lietojot to kā opioīdu aizvietotāju. </w:t>
            </w:r>
            <w:r w:rsidRPr="0002497C">
              <w:rPr>
                <w:sz w:val="20"/>
                <w:szCs w:val="20"/>
              </w:rPr>
              <w:br/>
            </w:r>
            <w:r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02-0131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Imodium Instant 2 mg mutē disperģējamās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Loperamidi hydrochloridum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McNeil Products Limited c/o Johnson &amp; Johnson Limited, Lielbritānija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AA4CA9">
            <w:pPr>
              <w:rPr>
                <w:sz w:val="20"/>
                <w:szCs w:val="20"/>
              </w:rPr>
            </w:pPr>
            <w:r w:rsidRPr="0002497C">
              <w:rPr>
                <w:sz w:val="20"/>
                <w:szCs w:val="20"/>
              </w:rPr>
              <w:t xml:space="preserve">Papildināta drošuma informācija. Iekļauts brīdinājums, ka iespējamās centrālās nervu sistēmas toksicitātes dēļ pacientiem ar aknu darbības traucējumiem Imodium jālieto ar piesardzību; sniegta informācija par gadījumiem, kad pacienti ar opioīdu atkarību ļaunprātīgi un nepareizi lietojuši loperamīdu, lietojot to kā opioīdu aizvietotāju. </w:t>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07-0162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Vaxigrip suspensija injekcijām pilnšļircē</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 xml:space="preserve">Vaccinum influenzae inactivatum ex virorum </w:t>
            </w:r>
            <w:r w:rsidRPr="0002497C">
              <w:rPr>
                <w:sz w:val="20"/>
                <w:szCs w:val="20"/>
              </w:rPr>
              <w:lastRenderedPageBreak/>
              <w:t>fragmentis praeparatum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lastRenderedPageBreak/>
              <w:t>Sanofi Pasteur, Francija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34576D">
            <w:pPr>
              <w:rPr>
                <w:sz w:val="20"/>
                <w:szCs w:val="20"/>
              </w:rPr>
            </w:pPr>
            <w:r w:rsidRPr="0002497C">
              <w:rPr>
                <w:sz w:val="20"/>
                <w:szCs w:val="20"/>
              </w:rPr>
              <w:t xml:space="preserve">Papildināta drošuma informācija. Iekļauts brīdinājums par sinkopi kā psihogēnu reakciju uz injekciju ar adatu; papildinātas blakusparādības. </w:t>
            </w:r>
          </w:p>
        </w:tc>
      </w:tr>
      <w:tr w:rsidR="0034576D" w:rsidRPr="00DE4ABF" w:rsidTr="00631CB4">
        <w:trPr>
          <w:trHeight w:val="931"/>
        </w:trPr>
        <w:tc>
          <w:tcPr>
            <w:tcW w:w="567" w:type="dxa"/>
            <w:tcBorders>
              <w:top w:val="single" w:sz="4" w:space="0" w:color="auto"/>
              <w:left w:val="single" w:sz="4" w:space="0" w:color="auto"/>
              <w:right w:val="single" w:sz="4" w:space="0" w:color="auto"/>
            </w:tcBorders>
          </w:tcPr>
          <w:p w:rsidR="0034576D" w:rsidRPr="00953946" w:rsidRDefault="009449D4" w:rsidP="00953946">
            <w:pPr>
              <w:rPr>
                <w:sz w:val="20"/>
                <w:szCs w:val="20"/>
              </w:rPr>
            </w:pPr>
            <w:r>
              <w:rPr>
                <w:sz w:val="20"/>
                <w:szCs w:val="20"/>
              </w:rPr>
              <w:t>26.</w:t>
            </w:r>
          </w:p>
        </w:tc>
        <w:tc>
          <w:tcPr>
            <w:tcW w:w="993" w:type="dxa"/>
            <w:tcBorders>
              <w:top w:val="single" w:sz="4" w:space="0" w:color="auto"/>
              <w:left w:val="single" w:sz="4" w:space="0" w:color="auto"/>
              <w:right w:val="single" w:sz="4" w:space="0" w:color="auto"/>
            </w:tcBorders>
            <w:shd w:val="clear" w:color="auto" w:fill="auto"/>
          </w:tcPr>
          <w:p w:rsidR="0034576D" w:rsidRPr="0002497C" w:rsidRDefault="0034576D" w:rsidP="00953946">
            <w:pPr>
              <w:rPr>
                <w:sz w:val="20"/>
                <w:szCs w:val="20"/>
              </w:rPr>
            </w:pPr>
            <w:r w:rsidRPr="0002497C">
              <w:rPr>
                <w:sz w:val="20"/>
                <w:szCs w:val="20"/>
              </w:rPr>
              <w:t>97-0530</w:t>
            </w:r>
          </w:p>
          <w:p w:rsidR="0034576D" w:rsidRPr="0002497C" w:rsidRDefault="0034576D" w:rsidP="00953946">
            <w:pPr>
              <w:rPr>
                <w:sz w:val="20"/>
                <w:szCs w:val="20"/>
              </w:rPr>
            </w:pPr>
            <w:r w:rsidRPr="0002497C">
              <w:rPr>
                <w:sz w:val="20"/>
                <w:szCs w:val="20"/>
              </w:rPr>
              <w:t>02-0461</w:t>
            </w:r>
          </w:p>
        </w:tc>
        <w:tc>
          <w:tcPr>
            <w:tcW w:w="1842" w:type="dxa"/>
            <w:tcBorders>
              <w:top w:val="single" w:sz="4" w:space="0" w:color="auto"/>
              <w:left w:val="single" w:sz="4" w:space="0" w:color="auto"/>
              <w:right w:val="single" w:sz="4" w:space="0" w:color="auto"/>
            </w:tcBorders>
            <w:shd w:val="clear" w:color="auto" w:fill="auto"/>
          </w:tcPr>
          <w:p w:rsidR="0034576D" w:rsidRPr="0002497C" w:rsidRDefault="0034576D" w:rsidP="00953946">
            <w:pPr>
              <w:rPr>
                <w:sz w:val="20"/>
                <w:szCs w:val="20"/>
              </w:rPr>
            </w:pPr>
            <w:r w:rsidRPr="0002497C">
              <w:rPr>
                <w:sz w:val="20"/>
                <w:szCs w:val="20"/>
              </w:rPr>
              <w:t>Tegretol CR 200 mg</w:t>
            </w:r>
            <w:r w:rsidR="00BA1620" w:rsidRPr="0002497C">
              <w:rPr>
                <w:sz w:val="20"/>
                <w:szCs w:val="20"/>
              </w:rPr>
              <w:t>; 400</w:t>
            </w:r>
            <w:r w:rsidR="00631CB4" w:rsidRPr="0002497C">
              <w:rPr>
                <w:sz w:val="20"/>
                <w:szCs w:val="20"/>
              </w:rPr>
              <w:t xml:space="preserve"> </w:t>
            </w:r>
            <w:r w:rsidR="00BA1620" w:rsidRPr="0002497C">
              <w:rPr>
                <w:sz w:val="20"/>
                <w:szCs w:val="20"/>
              </w:rPr>
              <w:t>mg</w:t>
            </w:r>
            <w:r w:rsidRPr="0002497C">
              <w:rPr>
                <w:sz w:val="20"/>
                <w:szCs w:val="20"/>
              </w:rPr>
              <w:t xml:space="preserve"> ilgstošās darbības apvalkotās tabletes</w:t>
            </w:r>
          </w:p>
          <w:p w:rsidR="0034576D" w:rsidRPr="0002497C" w:rsidRDefault="0034576D"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34576D" w:rsidRPr="0002497C" w:rsidRDefault="0034576D" w:rsidP="00953946">
            <w:pPr>
              <w:rPr>
                <w:sz w:val="20"/>
                <w:szCs w:val="20"/>
              </w:rPr>
            </w:pPr>
            <w:r w:rsidRPr="0002497C">
              <w:rPr>
                <w:sz w:val="20"/>
                <w:szCs w:val="20"/>
              </w:rPr>
              <w:t>Carbamazepinum</w:t>
            </w:r>
          </w:p>
        </w:tc>
        <w:tc>
          <w:tcPr>
            <w:tcW w:w="1560" w:type="dxa"/>
            <w:tcBorders>
              <w:top w:val="single" w:sz="4" w:space="0" w:color="auto"/>
              <w:left w:val="single" w:sz="4" w:space="0" w:color="auto"/>
              <w:right w:val="single" w:sz="4" w:space="0" w:color="auto"/>
            </w:tcBorders>
            <w:shd w:val="clear" w:color="auto" w:fill="auto"/>
          </w:tcPr>
          <w:p w:rsidR="0034576D" w:rsidRPr="0002497C" w:rsidRDefault="0034576D" w:rsidP="00953946">
            <w:pPr>
              <w:rPr>
                <w:sz w:val="20"/>
                <w:szCs w:val="20"/>
              </w:rPr>
            </w:pPr>
            <w:r w:rsidRPr="0002497C">
              <w:rPr>
                <w:sz w:val="20"/>
                <w:szCs w:val="20"/>
              </w:rPr>
              <w:t>Novartis Baltics, SIA, Latvija</w:t>
            </w:r>
          </w:p>
        </w:tc>
        <w:tc>
          <w:tcPr>
            <w:tcW w:w="9213" w:type="dxa"/>
            <w:tcBorders>
              <w:top w:val="single" w:sz="4" w:space="0" w:color="auto"/>
              <w:left w:val="single" w:sz="4" w:space="0" w:color="auto"/>
              <w:right w:val="single" w:sz="4" w:space="0" w:color="auto"/>
            </w:tcBorders>
            <w:shd w:val="clear" w:color="auto" w:fill="auto"/>
          </w:tcPr>
          <w:p w:rsidR="0034576D" w:rsidRPr="0002497C" w:rsidRDefault="0034576D" w:rsidP="0034576D">
            <w:pPr>
              <w:rPr>
                <w:sz w:val="20"/>
                <w:szCs w:val="20"/>
              </w:rPr>
            </w:pPr>
            <w:r w:rsidRPr="0002497C">
              <w:rPr>
                <w:sz w:val="20"/>
                <w:szCs w:val="20"/>
              </w:rPr>
              <w:t>Papildināta drošuma informācija. Iekļauts brīdinājums par karbamazepīna lietošanas risku grūtniecības laikā un kontracepciju sievietēm reproduktīvā vecumā.</w:t>
            </w:r>
            <w:r w:rsidRPr="0002497C">
              <w:rPr>
                <w:sz w:val="20"/>
                <w:szCs w:val="20"/>
              </w:rPr>
              <w:br/>
            </w:r>
          </w:p>
        </w:tc>
      </w:tr>
      <w:tr w:rsidR="000D447C" w:rsidRPr="00DE4ABF" w:rsidTr="00AD1FC3">
        <w:trPr>
          <w:trHeight w:val="1471"/>
        </w:trPr>
        <w:tc>
          <w:tcPr>
            <w:tcW w:w="567" w:type="dxa"/>
            <w:tcBorders>
              <w:top w:val="single" w:sz="4" w:space="0" w:color="auto"/>
              <w:left w:val="single" w:sz="4" w:space="0" w:color="auto"/>
              <w:right w:val="single" w:sz="4" w:space="0" w:color="auto"/>
            </w:tcBorders>
          </w:tcPr>
          <w:p w:rsidR="000D447C" w:rsidRPr="00953946" w:rsidRDefault="009449D4" w:rsidP="00953946">
            <w:pPr>
              <w:rPr>
                <w:sz w:val="20"/>
                <w:szCs w:val="20"/>
              </w:rPr>
            </w:pPr>
            <w:r>
              <w:rPr>
                <w:sz w:val="20"/>
                <w:szCs w:val="20"/>
              </w:rPr>
              <w:t>27.</w:t>
            </w:r>
          </w:p>
        </w:tc>
        <w:tc>
          <w:tcPr>
            <w:tcW w:w="993" w:type="dxa"/>
            <w:tcBorders>
              <w:top w:val="single" w:sz="4" w:space="0" w:color="auto"/>
              <w:left w:val="single" w:sz="4" w:space="0" w:color="auto"/>
              <w:right w:val="single" w:sz="4" w:space="0" w:color="auto"/>
            </w:tcBorders>
            <w:shd w:val="clear" w:color="auto" w:fill="auto"/>
          </w:tcPr>
          <w:p w:rsidR="000D447C" w:rsidRPr="0002497C" w:rsidRDefault="000D447C" w:rsidP="00953946">
            <w:pPr>
              <w:rPr>
                <w:sz w:val="20"/>
                <w:szCs w:val="20"/>
              </w:rPr>
            </w:pPr>
            <w:r w:rsidRPr="0002497C">
              <w:rPr>
                <w:sz w:val="20"/>
                <w:szCs w:val="20"/>
              </w:rPr>
              <w:t>97-0589</w:t>
            </w:r>
          </w:p>
          <w:p w:rsidR="000D447C" w:rsidRPr="0002497C" w:rsidRDefault="000D447C" w:rsidP="00953946">
            <w:pPr>
              <w:rPr>
                <w:sz w:val="20"/>
                <w:szCs w:val="20"/>
              </w:rPr>
            </w:pPr>
            <w:r w:rsidRPr="0002497C">
              <w:rPr>
                <w:sz w:val="20"/>
                <w:szCs w:val="20"/>
              </w:rPr>
              <w:t>97-0588</w:t>
            </w:r>
          </w:p>
          <w:p w:rsidR="000D447C" w:rsidRPr="0002497C" w:rsidRDefault="000D447C" w:rsidP="00953946">
            <w:pPr>
              <w:rPr>
                <w:sz w:val="20"/>
                <w:szCs w:val="20"/>
              </w:rPr>
            </w:pPr>
            <w:r w:rsidRPr="0002497C">
              <w:rPr>
                <w:sz w:val="20"/>
                <w:szCs w:val="20"/>
              </w:rPr>
              <w:t>97-0587</w:t>
            </w:r>
          </w:p>
          <w:p w:rsidR="000D447C" w:rsidRPr="0002497C" w:rsidRDefault="000D447C" w:rsidP="00953946">
            <w:pPr>
              <w:rPr>
                <w:sz w:val="20"/>
                <w:szCs w:val="20"/>
              </w:rPr>
            </w:pPr>
            <w:r w:rsidRPr="0002497C">
              <w:rPr>
                <w:sz w:val="20"/>
                <w:szCs w:val="20"/>
              </w:rPr>
              <w:t>02-0401</w:t>
            </w:r>
          </w:p>
          <w:p w:rsidR="000D447C" w:rsidRPr="0002497C" w:rsidRDefault="000D447C" w:rsidP="00953946">
            <w:pPr>
              <w:rPr>
                <w:sz w:val="20"/>
                <w:szCs w:val="20"/>
              </w:rPr>
            </w:pPr>
            <w:r w:rsidRPr="0002497C">
              <w:rPr>
                <w:sz w:val="20"/>
                <w:szCs w:val="20"/>
              </w:rPr>
              <w:t>97-0591</w:t>
            </w:r>
          </w:p>
          <w:p w:rsidR="000D447C" w:rsidRPr="0002497C" w:rsidRDefault="000D447C" w:rsidP="00953946">
            <w:pPr>
              <w:rPr>
                <w:sz w:val="20"/>
                <w:szCs w:val="20"/>
              </w:rPr>
            </w:pPr>
            <w:r w:rsidRPr="0002497C">
              <w:rPr>
                <w:sz w:val="20"/>
                <w:szCs w:val="20"/>
              </w:rPr>
              <w:t>97-0590</w:t>
            </w:r>
          </w:p>
        </w:tc>
        <w:tc>
          <w:tcPr>
            <w:tcW w:w="1842" w:type="dxa"/>
            <w:tcBorders>
              <w:top w:val="single" w:sz="4" w:space="0" w:color="auto"/>
              <w:left w:val="single" w:sz="4" w:space="0" w:color="auto"/>
              <w:right w:val="single" w:sz="4" w:space="0" w:color="auto"/>
            </w:tcBorders>
            <w:shd w:val="clear" w:color="auto" w:fill="auto"/>
          </w:tcPr>
          <w:p w:rsidR="000D447C" w:rsidRPr="0002497C" w:rsidRDefault="000D447C" w:rsidP="00953946">
            <w:pPr>
              <w:rPr>
                <w:sz w:val="20"/>
                <w:szCs w:val="20"/>
              </w:rPr>
            </w:pPr>
            <w:r w:rsidRPr="0002497C">
              <w:rPr>
                <w:sz w:val="20"/>
                <w:szCs w:val="20"/>
              </w:rPr>
              <w:t>Lamictal 50 mg</w:t>
            </w:r>
            <w:r w:rsidR="00631CB4" w:rsidRPr="0002497C">
              <w:rPr>
                <w:sz w:val="20"/>
                <w:szCs w:val="20"/>
              </w:rPr>
              <w:t>; 25 mg; 5mg; 2mg; 200mg; 100 mg</w:t>
            </w:r>
            <w:r w:rsidRPr="0002497C">
              <w:rPr>
                <w:sz w:val="20"/>
                <w:szCs w:val="20"/>
              </w:rPr>
              <w:t xml:space="preserve"> košļājamās/disperģējamās tabletes</w:t>
            </w:r>
          </w:p>
          <w:p w:rsidR="000D447C" w:rsidRPr="0002497C" w:rsidRDefault="000D447C" w:rsidP="00953946">
            <w:pPr>
              <w:rPr>
                <w:sz w:val="20"/>
                <w:szCs w:val="20"/>
              </w:rPr>
            </w:pPr>
          </w:p>
        </w:tc>
        <w:tc>
          <w:tcPr>
            <w:tcW w:w="1701" w:type="dxa"/>
            <w:tcBorders>
              <w:top w:val="single" w:sz="4" w:space="0" w:color="auto"/>
              <w:left w:val="single" w:sz="4" w:space="0" w:color="auto"/>
              <w:right w:val="single" w:sz="4" w:space="0" w:color="auto"/>
            </w:tcBorders>
            <w:shd w:val="clear" w:color="auto" w:fill="auto"/>
          </w:tcPr>
          <w:p w:rsidR="000D447C" w:rsidRPr="0002497C" w:rsidRDefault="000D447C" w:rsidP="00953946">
            <w:pPr>
              <w:rPr>
                <w:sz w:val="20"/>
                <w:szCs w:val="20"/>
              </w:rPr>
            </w:pPr>
            <w:r w:rsidRPr="0002497C">
              <w:rPr>
                <w:sz w:val="20"/>
                <w:szCs w:val="20"/>
              </w:rPr>
              <w:t>Lamotriginum</w:t>
            </w:r>
          </w:p>
        </w:tc>
        <w:tc>
          <w:tcPr>
            <w:tcW w:w="1560" w:type="dxa"/>
            <w:tcBorders>
              <w:top w:val="single" w:sz="4" w:space="0" w:color="auto"/>
              <w:left w:val="single" w:sz="4" w:space="0" w:color="auto"/>
              <w:right w:val="single" w:sz="4" w:space="0" w:color="auto"/>
            </w:tcBorders>
            <w:shd w:val="clear" w:color="auto" w:fill="auto"/>
          </w:tcPr>
          <w:p w:rsidR="000D447C" w:rsidRPr="0002497C" w:rsidRDefault="000D447C" w:rsidP="00953946">
            <w:pPr>
              <w:rPr>
                <w:sz w:val="20"/>
                <w:szCs w:val="20"/>
              </w:rPr>
            </w:pPr>
            <w:r w:rsidRPr="0002497C">
              <w:rPr>
                <w:sz w:val="20"/>
                <w:szCs w:val="20"/>
              </w:rPr>
              <w:t>GlaxoSmithKline Latvia, SIA, Latvija</w:t>
            </w:r>
          </w:p>
        </w:tc>
        <w:tc>
          <w:tcPr>
            <w:tcW w:w="9213" w:type="dxa"/>
            <w:tcBorders>
              <w:top w:val="single" w:sz="4" w:space="0" w:color="auto"/>
              <w:left w:val="single" w:sz="4" w:space="0" w:color="auto"/>
              <w:right w:val="single" w:sz="4" w:space="0" w:color="auto"/>
            </w:tcBorders>
            <w:shd w:val="clear" w:color="auto" w:fill="auto"/>
          </w:tcPr>
          <w:p w:rsidR="000D447C" w:rsidRPr="0002497C" w:rsidRDefault="000D447C" w:rsidP="000D447C">
            <w:pPr>
              <w:rPr>
                <w:sz w:val="20"/>
                <w:szCs w:val="20"/>
              </w:rPr>
            </w:pPr>
            <w:r w:rsidRPr="0002497C">
              <w:rPr>
                <w:sz w:val="20"/>
                <w:szCs w:val="20"/>
              </w:rPr>
              <w:t xml:space="preserve">Papildināta drošuma informācija. Iekļauts brīdinājums par mijiedarbību ar zālēm, kuras inducē vai inhibē glikuronizāciju (citohroma P450 3A4 (CYP3A4) enzīma induktori vai inhibitori).  </w:t>
            </w:r>
            <w:r w:rsidRPr="0002497C">
              <w:rPr>
                <w:sz w:val="20"/>
                <w:szCs w:val="20"/>
              </w:rPr>
              <w:br/>
            </w:r>
            <w:r w:rsidRPr="0002497C">
              <w:rPr>
                <w:sz w:val="20"/>
                <w:szCs w:val="20"/>
              </w:rPr>
              <w:br/>
            </w:r>
          </w:p>
        </w:tc>
      </w:tr>
      <w:tr w:rsidR="00DD001B" w:rsidRPr="00DE4ABF" w:rsidTr="00953946">
        <w:tc>
          <w:tcPr>
            <w:tcW w:w="567" w:type="dxa"/>
            <w:tcBorders>
              <w:top w:val="single" w:sz="4" w:space="0" w:color="auto"/>
              <w:left w:val="single" w:sz="4" w:space="0" w:color="auto"/>
              <w:bottom w:val="single" w:sz="4" w:space="0" w:color="auto"/>
              <w:right w:val="single" w:sz="4" w:space="0" w:color="auto"/>
            </w:tcBorders>
          </w:tcPr>
          <w:p w:rsidR="00DD001B" w:rsidRPr="00953946" w:rsidRDefault="009449D4" w:rsidP="00953946">
            <w:pPr>
              <w:rPr>
                <w:sz w:val="20"/>
                <w:szCs w:val="20"/>
              </w:rPr>
            </w:pPr>
            <w:r>
              <w:rPr>
                <w:sz w:val="20"/>
                <w:szCs w:val="20"/>
              </w:rPr>
              <w:t>28.</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99-0958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Stugeron 25 mg tabletes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Cinnarizinum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953946">
            <w:pPr>
              <w:rPr>
                <w:sz w:val="20"/>
                <w:szCs w:val="20"/>
              </w:rPr>
            </w:pPr>
            <w:r w:rsidRPr="0002497C">
              <w:rPr>
                <w:sz w:val="20"/>
                <w:szCs w:val="20"/>
              </w:rPr>
              <w:t>Johnson &amp; Johnson, UAB, Lietuva</w:t>
            </w:r>
          </w:p>
        </w:tc>
        <w:tc>
          <w:tcPr>
            <w:tcW w:w="9213" w:type="dxa"/>
            <w:tcBorders>
              <w:top w:val="single" w:sz="4" w:space="0" w:color="auto"/>
              <w:left w:val="single" w:sz="4" w:space="0" w:color="auto"/>
              <w:bottom w:val="single" w:sz="4" w:space="0" w:color="auto"/>
              <w:right w:val="single" w:sz="4" w:space="0" w:color="auto"/>
            </w:tcBorders>
            <w:shd w:val="clear" w:color="auto" w:fill="auto"/>
          </w:tcPr>
          <w:p w:rsidR="00DD001B" w:rsidRPr="0002497C" w:rsidRDefault="00DD001B" w:rsidP="00F825DA">
            <w:pPr>
              <w:rPr>
                <w:sz w:val="20"/>
                <w:szCs w:val="20"/>
              </w:rPr>
            </w:pPr>
            <w:r w:rsidRPr="0002497C">
              <w:rPr>
                <w:sz w:val="20"/>
                <w:szCs w:val="20"/>
              </w:rPr>
              <w:t>Papildināta drošuma informācija. Pievienota blakusparādība - holestātiska dzelte.</w:t>
            </w:r>
            <w:r w:rsidRPr="0002497C">
              <w:rPr>
                <w:sz w:val="20"/>
                <w:szCs w:val="20"/>
              </w:rPr>
              <w:br/>
            </w:r>
            <w:r w:rsidRPr="0002497C">
              <w:rPr>
                <w:sz w:val="20"/>
                <w:szCs w:val="20"/>
              </w:rPr>
              <w:br/>
            </w:r>
          </w:p>
        </w:tc>
      </w:tr>
    </w:tbl>
    <w:p w:rsidR="00067900" w:rsidRDefault="00067900">
      <w:pPr>
        <w:ind w:right="-10"/>
        <w:jc w:val="both"/>
        <w:rPr>
          <w:b/>
          <w:sz w:val="22"/>
          <w:szCs w:val="22"/>
          <w:lang w:val="lv-LV"/>
        </w:rPr>
      </w:pPr>
    </w:p>
    <w:sectPr w:rsidR="00067900">
      <w:type w:val="continuous"/>
      <w:pgSz w:w="16838" w:h="11906" w:orient="landscape"/>
      <w:pgMar w:top="1134" w:right="680" w:bottom="1134"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73" w:rsidRDefault="002C5573" w:rsidP="002153D8">
      <w:r>
        <w:separator/>
      </w:r>
    </w:p>
  </w:endnote>
  <w:endnote w:type="continuationSeparator" w:id="0">
    <w:p w:rsidR="002C5573" w:rsidRDefault="002C5573" w:rsidP="002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5102"/>
      <w:docPartObj>
        <w:docPartGallery w:val="Page Numbers (Bottom of Page)"/>
        <w:docPartUnique/>
      </w:docPartObj>
    </w:sdtPr>
    <w:sdtEndPr>
      <w:rPr>
        <w:noProof/>
      </w:rPr>
    </w:sdtEndPr>
    <w:sdtContent>
      <w:p w:rsidR="00D702D4" w:rsidRDefault="00D702D4">
        <w:pPr>
          <w:pStyle w:val="Footer"/>
          <w:jc w:val="center"/>
        </w:pPr>
        <w:r>
          <w:fldChar w:fldCharType="begin"/>
        </w:r>
        <w:r>
          <w:instrText xml:space="preserve"> PAGE   \* MERGEFORMAT </w:instrText>
        </w:r>
        <w:r>
          <w:fldChar w:fldCharType="separate"/>
        </w:r>
        <w:r w:rsidR="009449D4">
          <w:rPr>
            <w:noProof/>
          </w:rPr>
          <w:t>4</w:t>
        </w:r>
        <w:r>
          <w:rPr>
            <w:noProof/>
          </w:rPr>
          <w:fldChar w:fldCharType="end"/>
        </w:r>
      </w:p>
    </w:sdtContent>
  </w:sdt>
  <w:p w:rsidR="00D702D4" w:rsidRDefault="00D7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73" w:rsidRDefault="002C5573" w:rsidP="002153D8">
      <w:r>
        <w:separator/>
      </w:r>
    </w:p>
  </w:footnote>
  <w:footnote w:type="continuationSeparator" w:id="0">
    <w:p w:rsidR="002C5573" w:rsidRDefault="002C5573" w:rsidP="0021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5"/>
    <w:rsid w:val="00002B80"/>
    <w:rsid w:val="000128EE"/>
    <w:rsid w:val="00013AB3"/>
    <w:rsid w:val="0002497C"/>
    <w:rsid w:val="00025DC9"/>
    <w:rsid w:val="00046C88"/>
    <w:rsid w:val="00050F5F"/>
    <w:rsid w:val="00064810"/>
    <w:rsid w:val="00067900"/>
    <w:rsid w:val="00073176"/>
    <w:rsid w:val="00083579"/>
    <w:rsid w:val="000843C6"/>
    <w:rsid w:val="0008583C"/>
    <w:rsid w:val="00091EC5"/>
    <w:rsid w:val="00093C84"/>
    <w:rsid w:val="00096625"/>
    <w:rsid w:val="000A0C9D"/>
    <w:rsid w:val="000A4671"/>
    <w:rsid w:val="000B7DD2"/>
    <w:rsid w:val="000C2269"/>
    <w:rsid w:val="000C3F7A"/>
    <w:rsid w:val="000D447C"/>
    <w:rsid w:val="000D5702"/>
    <w:rsid w:val="000E730F"/>
    <w:rsid w:val="000F0F2A"/>
    <w:rsid w:val="000F30E8"/>
    <w:rsid w:val="00101D11"/>
    <w:rsid w:val="00106BB2"/>
    <w:rsid w:val="0011317C"/>
    <w:rsid w:val="001207DE"/>
    <w:rsid w:val="0012279E"/>
    <w:rsid w:val="00122A11"/>
    <w:rsid w:val="00126D4D"/>
    <w:rsid w:val="001362B4"/>
    <w:rsid w:val="00141C44"/>
    <w:rsid w:val="00147771"/>
    <w:rsid w:val="00151B9A"/>
    <w:rsid w:val="001630D3"/>
    <w:rsid w:val="001632D0"/>
    <w:rsid w:val="001705B8"/>
    <w:rsid w:val="001731F9"/>
    <w:rsid w:val="00180FA8"/>
    <w:rsid w:val="00182298"/>
    <w:rsid w:val="001A0AEA"/>
    <w:rsid w:val="001A29ED"/>
    <w:rsid w:val="001B030B"/>
    <w:rsid w:val="001B5496"/>
    <w:rsid w:val="001B7609"/>
    <w:rsid w:val="001D5AC5"/>
    <w:rsid w:val="001E4FA7"/>
    <w:rsid w:val="001E681B"/>
    <w:rsid w:val="001E6CED"/>
    <w:rsid w:val="001F2DF3"/>
    <w:rsid w:val="0020149E"/>
    <w:rsid w:val="002052B5"/>
    <w:rsid w:val="002052F9"/>
    <w:rsid w:val="00214B08"/>
    <w:rsid w:val="002153D8"/>
    <w:rsid w:val="00223DD5"/>
    <w:rsid w:val="00225C74"/>
    <w:rsid w:val="002333B1"/>
    <w:rsid w:val="0023651B"/>
    <w:rsid w:val="00242B6F"/>
    <w:rsid w:val="002434A9"/>
    <w:rsid w:val="00245A9E"/>
    <w:rsid w:val="002504FB"/>
    <w:rsid w:val="00260497"/>
    <w:rsid w:val="00260893"/>
    <w:rsid w:val="00260C38"/>
    <w:rsid w:val="002630CF"/>
    <w:rsid w:val="00271C48"/>
    <w:rsid w:val="00285284"/>
    <w:rsid w:val="00285709"/>
    <w:rsid w:val="00290C41"/>
    <w:rsid w:val="002912F3"/>
    <w:rsid w:val="0029727D"/>
    <w:rsid w:val="002A4D70"/>
    <w:rsid w:val="002A6B86"/>
    <w:rsid w:val="002B4110"/>
    <w:rsid w:val="002C5573"/>
    <w:rsid w:val="002C57F9"/>
    <w:rsid w:val="002C581C"/>
    <w:rsid w:val="002D108C"/>
    <w:rsid w:val="002E3C04"/>
    <w:rsid w:val="002E4190"/>
    <w:rsid w:val="002F0833"/>
    <w:rsid w:val="00301FD2"/>
    <w:rsid w:val="0030608E"/>
    <w:rsid w:val="00314AD7"/>
    <w:rsid w:val="003365A3"/>
    <w:rsid w:val="00344852"/>
    <w:rsid w:val="0034576D"/>
    <w:rsid w:val="00347958"/>
    <w:rsid w:val="00352412"/>
    <w:rsid w:val="00354F7B"/>
    <w:rsid w:val="00356738"/>
    <w:rsid w:val="00356B47"/>
    <w:rsid w:val="003574E0"/>
    <w:rsid w:val="00387FA3"/>
    <w:rsid w:val="00397B54"/>
    <w:rsid w:val="003A63A5"/>
    <w:rsid w:val="003B706B"/>
    <w:rsid w:val="003B7366"/>
    <w:rsid w:val="003C2793"/>
    <w:rsid w:val="003E079B"/>
    <w:rsid w:val="003E7CC6"/>
    <w:rsid w:val="004020A2"/>
    <w:rsid w:val="004023A7"/>
    <w:rsid w:val="00406ADD"/>
    <w:rsid w:val="00410E5E"/>
    <w:rsid w:val="004150D5"/>
    <w:rsid w:val="00421074"/>
    <w:rsid w:val="00422AFD"/>
    <w:rsid w:val="00436438"/>
    <w:rsid w:val="004405CC"/>
    <w:rsid w:val="00457FEB"/>
    <w:rsid w:val="004868C5"/>
    <w:rsid w:val="004A401F"/>
    <w:rsid w:val="004A5E6A"/>
    <w:rsid w:val="004B00EF"/>
    <w:rsid w:val="004B3D12"/>
    <w:rsid w:val="004B7319"/>
    <w:rsid w:val="004C1906"/>
    <w:rsid w:val="004C2F57"/>
    <w:rsid w:val="004C3995"/>
    <w:rsid w:val="004C4A50"/>
    <w:rsid w:val="004C6D6D"/>
    <w:rsid w:val="004C76B6"/>
    <w:rsid w:val="004D40CB"/>
    <w:rsid w:val="004E0FD3"/>
    <w:rsid w:val="004E1EBC"/>
    <w:rsid w:val="004E6379"/>
    <w:rsid w:val="004F634F"/>
    <w:rsid w:val="005051D4"/>
    <w:rsid w:val="0051398E"/>
    <w:rsid w:val="0051585D"/>
    <w:rsid w:val="00520138"/>
    <w:rsid w:val="00523BB8"/>
    <w:rsid w:val="00526C11"/>
    <w:rsid w:val="005501CE"/>
    <w:rsid w:val="005629AF"/>
    <w:rsid w:val="00562D04"/>
    <w:rsid w:val="00565FC6"/>
    <w:rsid w:val="005722AF"/>
    <w:rsid w:val="005A025E"/>
    <w:rsid w:val="005B0029"/>
    <w:rsid w:val="005B329A"/>
    <w:rsid w:val="005B52C2"/>
    <w:rsid w:val="005B6A3D"/>
    <w:rsid w:val="005C1E88"/>
    <w:rsid w:val="005C2AA7"/>
    <w:rsid w:val="005C5FBD"/>
    <w:rsid w:val="005D488C"/>
    <w:rsid w:val="005E17DE"/>
    <w:rsid w:val="005E7DC8"/>
    <w:rsid w:val="005F1895"/>
    <w:rsid w:val="00600C03"/>
    <w:rsid w:val="006153F8"/>
    <w:rsid w:val="00631CB4"/>
    <w:rsid w:val="00633C96"/>
    <w:rsid w:val="00652EE1"/>
    <w:rsid w:val="00656496"/>
    <w:rsid w:val="0066508F"/>
    <w:rsid w:val="00673B9A"/>
    <w:rsid w:val="006743FF"/>
    <w:rsid w:val="00677F08"/>
    <w:rsid w:val="0068412F"/>
    <w:rsid w:val="006A2A5A"/>
    <w:rsid w:val="006A5F48"/>
    <w:rsid w:val="006A62EB"/>
    <w:rsid w:val="006B44AD"/>
    <w:rsid w:val="006B7880"/>
    <w:rsid w:val="006C1D88"/>
    <w:rsid w:val="006D347F"/>
    <w:rsid w:val="006D40C1"/>
    <w:rsid w:val="006D63A4"/>
    <w:rsid w:val="006E3430"/>
    <w:rsid w:val="006E3703"/>
    <w:rsid w:val="006E671B"/>
    <w:rsid w:val="006F2B61"/>
    <w:rsid w:val="00700F78"/>
    <w:rsid w:val="00706120"/>
    <w:rsid w:val="0070642B"/>
    <w:rsid w:val="00733DB6"/>
    <w:rsid w:val="00737707"/>
    <w:rsid w:val="00791908"/>
    <w:rsid w:val="0079494A"/>
    <w:rsid w:val="00795D65"/>
    <w:rsid w:val="00797EEF"/>
    <w:rsid w:val="007D3D75"/>
    <w:rsid w:val="007D7F74"/>
    <w:rsid w:val="007E05F6"/>
    <w:rsid w:val="007E1A01"/>
    <w:rsid w:val="007E7848"/>
    <w:rsid w:val="007F64A9"/>
    <w:rsid w:val="007F651E"/>
    <w:rsid w:val="00801919"/>
    <w:rsid w:val="00801EAA"/>
    <w:rsid w:val="00804F6D"/>
    <w:rsid w:val="00806587"/>
    <w:rsid w:val="0081289C"/>
    <w:rsid w:val="00816290"/>
    <w:rsid w:val="00817369"/>
    <w:rsid w:val="00824696"/>
    <w:rsid w:val="0082578F"/>
    <w:rsid w:val="008351A4"/>
    <w:rsid w:val="00844746"/>
    <w:rsid w:val="00844968"/>
    <w:rsid w:val="00853DBE"/>
    <w:rsid w:val="008543A6"/>
    <w:rsid w:val="00854626"/>
    <w:rsid w:val="00857C23"/>
    <w:rsid w:val="00866900"/>
    <w:rsid w:val="00867A5B"/>
    <w:rsid w:val="00877394"/>
    <w:rsid w:val="00880305"/>
    <w:rsid w:val="00883001"/>
    <w:rsid w:val="008845F2"/>
    <w:rsid w:val="00884A45"/>
    <w:rsid w:val="00893DFC"/>
    <w:rsid w:val="008B2955"/>
    <w:rsid w:val="008C2C80"/>
    <w:rsid w:val="008C2E8A"/>
    <w:rsid w:val="008C7DF0"/>
    <w:rsid w:val="008D063C"/>
    <w:rsid w:val="008D163C"/>
    <w:rsid w:val="008E4F43"/>
    <w:rsid w:val="008E70DD"/>
    <w:rsid w:val="0091398E"/>
    <w:rsid w:val="00914BED"/>
    <w:rsid w:val="0091735A"/>
    <w:rsid w:val="009219D0"/>
    <w:rsid w:val="00922E7B"/>
    <w:rsid w:val="00924D41"/>
    <w:rsid w:val="00942272"/>
    <w:rsid w:val="009449D4"/>
    <w:rsid w:val="00945A15"/>
    <w:rsid w:val="0095095D"/>
    <w:rsid w:val="00953946"/>
    <w:rsid w:val="00960BB1"/>
    <w:rsid w:val="0096240A"/>
    <w:rsid w:val="009C1C92"/>
    <w:rsid w:val="009D1EB6"/>
    <w:rsid w:val="009D2D06"/>
    <w:rsid w:val="009D3B38"/>
    <w:rsid w:val="009E7814"/>
    <w:rsid w:val="009F1D96"/>
    <w:rsid w:val="009F2434"/>
    <w:rsid w:val="00A00506"/>
    <w:rsid w:val="00A03150"/>
    <w:rsid w:val="00A10DD4"/>
    <w:rsid w:val="00A17873"/>
    <w:rsid w:val="00A27B6A"/>
    <w:rsid w:val="00A3052B"/>
    <w:rsid w:val="00A32D72"/>
    <w:rsid w:val="00A405BB"/>
    <w:rsid w:val="00A40935"/>
    <w:rsid w:val="00A42B1A"/>
    <w:rsid w:val="00A477CE"/>
    <w:rsid w:val="00A659AD"/>
    <w:rsid w:val="00A73408"/>
    <w:rsid w:val="00A75448"/>
    <w:rsid w:val="00A80CAC"/>
    <w:rsid w:val="00A84726"/>
    <w:rsid w:val="00A86A0A"/>
    <w:rsid w:val="00A90C38"/>
    <w:rsid w:val="00A90D75"/>
    <w:rsid w:val="00A90F08"/>
    <w:rsid w:val="00AA2EB6"/>
    <w:rsid w:val="00AA30EC"/>
    <w:rsid w:val="00AA4CA9"/>
    <w:rsid w:val="00AA5D2F"/>
    <w:rsid w:val="00AB4382"/>
    <w:rsid w:val="00AC0BAB"/>
    <w:rsid w:val="00AC1EB5"/>
    <w:rsid w:val="00AC1FA3"/>
    <w:rsid w:val="00AC2CCA"/>
    <w:rsid w:val="00AD1FC3"/>
    <w:rsid w:val="00AD2163"/>
    <w:rsid w:val="00AD35AA"/>
    <w:rsid w:val="00AD4327"/>
    <w:rsid w:val="00AF5930"/>
    <w:rsid w:val="00B03262"/>
    <w:rsid w:val="00B07C8A"/>
    <w:rsid w:val="00B11A00"/>
    <w:rsid w:val="00B1336F"/>
    <w:rsid w:val="00B143AD"/>
    <w:rsid w:val="00B16DD2"/>
    <w:rsid w:val="00B317B3"/>
    <w:rsid w:val="00B32873"/>
    <w:rsid w:val="00B52D99"/>
    <w:rsid w:val="00B52F69"/>
    <w:rsid w:val="00B53AD0"/>
    <w:rsid w:val="00B76C9D"/>
    <w:rsid w:val="00B9798F"/>
    <w:rsid w:val="00BA0A1B"/>
    <w:rsid w:val="00BA1620"/>
    <w:rsid w:val="00BB0D45"/>
    <w:rsid w:val="00BB7383"/>
    <w:rsid w:val="00BC1BC4"/>
    <w:rsid w:val="00BD29B2"/>
    <w:rsid w:val="00BD302B"/>
    <w:rsid w:val="00BD4095"/>
    <w:rsid w:val="00C014F8"/>
    <w:rsid w:val="00C02917"/>
    <w:rsid w:val="00C05DA9"/>
    <w:rsid w:val="00C1025A"/>
    <w:rsid w:val="00C22993"/>
    <w:rsid w:val="00C24381"/>
    <w:rsid w:val="00C32DC1"/>
    <w:rsid w:val="00C3473B"/>
    <w:rsid w:val="00C51BC8"/>
    <w:rsid w:val="00C6231D"/>
    <w:rsid w:val="00C6571A"/>
    <w:rsid w:val="00C71709"/>
    <w:rsid w:val="00C75BE7"/>
    <w:rsid w:val="00C77ED9"/>
    <w:rsid w:val="00C92956"/>
    <w:rsid w:val="00C94E13"/>
    <w:rsid w:val="00CA2400"/>
    <w:rsid w:val="00CB5365"/>
    <w:rsid w:val="00CD75C5"/>
    <w:rsid w:val="00CF3040"/>
    <w:rsid w:val="00CF48D1"/>
    <w:rsid w:val="00D02B8B"/>
    <w:rsid w:val="00D02ED8"/>
    <w:rsid w:val="00D15AF1"/>
    <w:rsid w:val="00D17F99"/>
    <w:rsid w:val="00D2416A"/>
    <w:rsid w:val="00D33285"/>
    <w:rsid w:val="00D3428F"/>
    <w:rsid w:val="00D37A35"/>
    <w:rsid w:val="00D4731D"/>
    <w:rsid w:val="00D47493"/>
    <w:rsid w:val="00D500E9"/>
    <w:rsid w:val="00D643D5"/>
    <w:rsid w:val="00D702D4"/>
    <w:rsid w:val="00D71ADE"/>
    <w:rsid w:val="00D735B1"/>
    <w:rsid w:val="00D85EBE"/>
    <w:rsid w:val="00D91E6E"/>
    <w:rsid w:val="00D91E80"/>
    <w:rsid w:val="00DA39F0"/>
    <w:rsid w:val="00DA3CFF"/>
    <w:rsid w:val="00DA79DC"/>
    <w:rsid w:val="00DA7BCA"/>
    <w:rsid w:val="00DC223E"/>
    <w:rsid w:val="00DD001B"/>
    <w:rsid w:val="00DE1376"/>
    <w:rsid w:val="00DE4ABF"/>
    <w:rsid w:val="00DF07F1"/>
    <w:rsid w:val="00E022B8"/>
    <w:rsid w:val="00E07F39"/>
    <w:rsid w:val="00E324FC"/>
    <w:rsid w:val="00E612E6"/>
    <w:rsid w:val="00E71A0B"/>
    <w:rsid w:val="00E81885"/>
    <w:rsid w:val="00E91D27"/>
    <w:rsid w:val="00E9559B"/>
    <w:rsid w:val="00EA601B"/>
    <w:rsid w:val="00EB3D68"/>
    <w:rsid w:val="00EC5D98"/>
    <w:rsid w:val="00ED0A79"/>
    <w:rsid w:val="00EE15C7"/>
    <w:rsid w:val="00EF20BA"/>
    <w:rsid w:val="00EF229E"/>
    <w:rsid w:val="00EF7515"/>
    <w:rsid w:val="00F217AD"/>
    <w:rsid w:val="00F2444A"/>
    <w:rsid w:val="00F36BAE"/>
    <w:rsid w:val="00F44705"/>
    <w:rsid w:val="00F502A0"/>
    <w:rsid w:val="00F5070E"/>
    <w:rsid w:val="00F53F8B"/>
    <w:rsid w:val="00F565AA"/>
    <w:rsid w:val="00F575EA"/>
    <w:rsid w:val="00F664E3"/>
    <w:rsid w:val="00F7530B"/>
    <w:rsid w:val="00F825DA"/>
    <w:rsid w:val="00F927FD"/>
    <w:rsid w:val="00F956BA"/>
    <w:rsid w:val="00FB2336"/>
    <w:rsid w:val="00FC1B33"/>
    <w:rsid w:val="00FC45CD"/>
    <w:rsid w:val="00FD5C0F"/>
    <w:rsid w:val="00FE2840"/>
    <w:rsid w:val="00FE458B"/>
    <w:rsid w:val="00FE68DB"/>
    <w:rsid w:val="00FE7CE9"/>
    <w:rsid w:val="00FF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AF59C"/>
  <w15:chartTrackingRefBased/>
  <w15:docId w15:val="{8E9F6546-43E3-4E0A-B2F7-BA10A63E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NormalIndent">
    <w:name w:val="Normal Indent"/>
    <w:basedOn w:val="Normal"/>
    <w:semiHidden/>
    <w:unhideWhenUsed/>
    <w:pPr>
      <w:ind w:left="720"/>
    </w:pPr>
  </w:style>
  <w:style w:type="paragraph" w:styleId="Header">
    <w:name w:val="header"/>
    <w:basedOn w:val="Normal"/>
    <w:link w:val="HeaderChar"/>
    <w:unhideWhenUsed/>
    <w:pPr>
      <w:tabs>
        <w:tab w:val="center" w:pos="4320"/>
        <w:tab w:val="right" w:pos="8640"/>
      </w:tabs>
    </w:pPr>
    <w:rPr>
      <w:sz w:val="20"/>
      <w:szCs w:val="20"/>
    </w:rPr>
  </w:style>
  <w:style w:type="character" w:customStyle="1" w:styleId="HeaderChar">
    <w:name w:val="Header Char"/>
    <w:basedOn w:val="DefaultParagraphFont"/>
    <w:link w:val="Header"/>
    <w:locked/>
    <w:rPr>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sz w:val="24"/>
      <w:szCs w:val="24"/>
    </w:rPr>
  </w:style>
  <w:style w:type="paragraph" w:styleId="List2">
    <w:name w:val="List 2"/>
    <w:basedOn w:val="Normal"/>
    <w:semiHidden/>
    <w:unhideWhenUsed/>
    <w:pPr>
      <w:ind w:left="566" w:hanging="283"/>
    </w:p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locked/>
    <w:rPr>
      <w:sz w:val="24"/>
      <w:szCs w:val="24"/>
    </w:rPr>
  </w:style>
  <w:style w:type="paragraph" w:styleId="Subtitle">
    <w:name w:val="Subtitle"/>
    <w:basedOn w:val="Normal"/>
    <w:link w:val="SubtitleChar"/>
    <w:qFormat/>
    <w:pPr>
      <w:jc w:val="center"/>
    </w:pPr>
    <w:rPr>
      <w:caps/>
      <w:sz w:val="28"/>
      <w:szCs w:val="28"/>
    </w:rPr>
  </w:style>
  <w:style w:type="character" w:customStyle="1" w:styleId="SubtitleChar">
    <w:name w:val="Subtitle Char"/>
    <w:basedOn w:val="DefaultParagraphFont"/>
    <w:link w:val="Subtitle"/>
    <w:locked/>
    <w:rPr>
      <w:rFonts w:ascii="Cambria" w:eastAsia="Times New Roman" w:hAnsi="Cambria" w:cs="Times New Roman" w:hint="default"/>
      <w:i/>
      <w:iCs/>
      <w:color w:val="4F81BD"/>
      <w:spacing w:val="15"/>
      <w:sz w:val="24"/>
      <w:szCs w:val="24"/>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F57"/>
    <w:pPr>
      <w:ind w:left="720"/>
      <w:contextualSpacing/>
    </w:pPr>
  </w:style>
  <w:style w:type="paragraph" w:styleId="BalloonText">
    <w:name w:val="Balloon Text"/>
    <w:basedOn w:val="Normal"/>
    <w:link w:val="BalloonTextChar"/>
    <w:semiHidden/>
    <w:unhideWhenUsed/>
    <w:rsid w:val="00600C03"/>
    <w:rPr>
      <w:rFonts w:ascii="Segoe UI" w:hAnsi="Segoe UI" w:cs="Segoe UI"/>
      <w:sz w:val="18"/>
      <w:szCs w:val="18"/>
    </w:rPr>
  </w:style>
  <w:style w:type="character" w:customStyle="1" w:styleId="BalloonTextChar">
    <w:name w:val="Balloon Text Char"/>
    <w:basedOn w:val="DefaultParagraphFont"/>
    <w:link w:val="BalloonText"/>
    <w:semiHidden/>
    <w:rsid w:val="00600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27736">
      <w:bodyDiv w:val="1"/>
      <w:marLeft w:val="0"/>
      <w:marRight w:val="0"/>
      <w:marTop w:val="0"/>
      <w:marBottom w:val="0"/>
      <w:divBdr>
        <w:top w:val="none" w:sz="0" w:space="0" w:color="auto"/>
        <w:left w:val="none" w:sz="0" w:space="0" w:color="auto"/>
        <w:bottom w:val="none" w:sz="0" w:space="0" w:color="auto"/>
        <w:right w:val="none" w:sz="0" w:space="0" w:color="auto"/>
      </w:divBdr>
    </w:div>
    <w:div w:id="1562330624">
      <w:bodyDiv w:val="1"/>
      <w:marLeft w:val="0"/>
      <w:marRight w:val="0"/>
      <w:marTop w:val="0"/>
      <w:marBottom w:val="0"/>
      <w:divBdr>
        <w:top w:val="none" w:sz="0" w:space="0" w:color="auto"/>
        <w:left w:val="none" w:sz="0" w:space="0" w:color="auto"/>
        <w:bottom w:val="none" w:sz="0" w:space="0" w:color="auto"/>
        <w:right w:val="none" w:sz="0" w:space="0" w:color="auto"/>
      </w:divBdr>
    </w:div>
    <w:div w:id="2008438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8207</Words>
  <Characters>4678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ZĀĻU VALSTS AĢENTŪRA</vt:lpstr>
    </vt:vector>
  </TitlesOfParts>
  <Company>Lattelecom</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VALSTS AĢENTŪRA</dc:title>
  <dc:subject/>
  <dc:creator>Jurijs Savcuks</dc:creator>
  <cp:keywords/>
  <dc:description/>
  <cp:lastModifiedBy>Dita Okmane</cp:lastModifiedBy>
  <cp:revision>39</cp:revision>
  <dcterms:created xsi:type="dcterms:W3CDTF">2017-11-28T19:29:00Z</dcterms:created>
  <dcterms:modified xsi:type="dcterms:W3CDTF">2018-09-27T12:37:00Z</dcterms:modified>
</cp:coreProperties>
</file>