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FF4C" w14:textId="77777777" w:rsidR="00FE2840" w:rsidRDefault="00FE2840">
      <w:pPr>
        <w:pStyle w:val="Footer"/>
        <w:ind w:right="-622"/>
        <w:rPr>
          <w:b/>
          <w:sz w:val="22"/>
          <w:szCs w:val="22"/>
          <w:lang w:val="lv-LV"/>
        </w:rPr>
      </w:pPr>
    </w:p>
    <w:p w14:paraId="6A2BE1B8" w14:textId="77777777" w:rsidR="00FE2840" w:rsidRDefault="00FE2840">
      <w:pPr>
        <w:rPr>
          <w:b/>
          <w:sz w:val="22"/>
          <w:szCs w:val="22"/>
          <w:lang w:val="lv-LV"/>
        </w:rPr>
        <w:sectPr w:rsidR="00FE2840">
          <w:footerReference w:type="default" r:id="rId6"/>
          <w:pgSz w:w="16838" w:h="11906" w:orient="landscape"/>
          <w:pgMar w:top="1134" w:right="680" w:bottom="1134" w:left="680" w:header="709" w:footer="709" w:gutter="0"/>
          <w:cols w:space="708"/>
          <w:docGrid w:linePitch="360"/>
        </w:sectPr>
      </w:pPr>
    </w:p>
    <w:tbl>
      <w:tblPr>
        <w:tblStyle w:val="TableGrid"/>
        <w:tblW w:w="158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842"/>
        <w:gridCol w:w="1701"/>
        <w:gridCol w:w="1560"/>
        <w:gridCol w:w="9213"/>
      </w:tblGrid>
      <w:tr w:rsidR="0008583C" w:rsidRPr="00DE4ABF" w14:paraId="3A5A6F7A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4B40" w14:textId="77777777" w:rsidR="0008583C" w:rsidRPr="00DE4ABF" w:rsidRDefault="0008583C">
            <w:pPr>
              <w:jc w:val="center"/>
              <w:rPr>
                <w:sz w:val="20"/>
                <w:szCs w:val="20"/>
              </w:rPr>
            </w:pPr>
            <w:proofErr w:type="spellStart"/>
            <w:r w:rsidRPr="00DE4ABF">
              <w:rPr>
                <w:sz w:val="20"/>
                <w:szCs w:val="20"/>
              </w:rPr>
              <w:t>Nr</w:t>
            </w:r>
            <w:proofErr w:type="spellEnd"/>
            <w:r w:rsidRPr="00DE4ABF">
              <w:rPr>
                <w:sz w:val="20"/>
                <w:szCs w:val="20"/>
              </w:rPr>
              <w:t xml:space="preserve">. </w:t>
            </w:r>
            <w:proofErr w:type="spellStart"/>
            <w:r w:rsidRPr="00DE4ABF">
              <w:rPr>
                <w:sz w:val="20"/>
                <w:szCs w:val="20"/>
              </w:rPr>
              <w:t>p.k</w:t>
            </w:r>
            <w:proofErr w:type="spellEnd"/>
            <w:r w:rsidRPr="00DE4AB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B64F" w14:textId="77777777" w:rsidR="0008583C" w:rsidRPr="00DE4ABF" w:rsidRDefault="0008583C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DE4ABF">
              <w:rPr>
                <w:sz w:val="20"/>
                <w:szCs w:val="20"/>
              </w:rPr>
              <w:t>Reģ</w:t>
            </w:r>
            <w:proofErr w:type="spellEnd"/>
            <w:r w:rsidRPr="00DE4ABF">
              <w:rPr>
                <w:sz w:val="20"/>
                <w:szCs w:val="20"/>
              </w:rPr>
              <w:t xml:space="preserve">. </w:t>
            </w:r>
            <w:proofErr w:type="spellStart"/>
            <w:r w:rsidRPr="00DE4ABF">
              <w:rPr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C94B" w14:textId="77777777" w:rsidR="0008583C" w:rsidRPr="00DE4ABF" w:rsidRDefault="0008583C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DE4ABF">
              <w:rPr>
                <w:sz w:val="20"/>
                <w:szCs w:val="20"/>
              </w:rPr>
              <w:t>Zāļu</w:t>
            </w:r>
            <w:proofErr w:type="spellEnd"/>
            <w:r w:rsidRPr="00DE4ABF">
              <w:rPr>
                <w:sz w:val="20"/>
                <w:szCs w:val="20"/>
              </w:rPr>
              <w:t xml:space="preserve"> </w:t>
            </w:r>
            <w:proofErr w:type="spellStart"/>
            <w:r w:rsidRPr="00DE4ABF">
              <w:rPr>
                <w:sz w:val="20"/>
                <w:szCs w:val="20"/>
              </w:rPr>
              <w:t>nosaukums</w:t>
            </w:r>
            <w:proofErr w:type="spellEnd"/>
            <w:r w:rsidRPr="00DE4ABF">
              <w:rPr>
                <w:sz w:val="20"/>
                <w:szCs w:val="20"/>
              </w:rPr>
              <w:t xml:space="preserve">, </w:t>
            </w:r>
            <w:proofErr w:type="spellStart"/>
            <w:r w:rsidRPr="00DE4ABF">
              <w:rPr>
                <w:sz w:val="20"/>
                <w:szCs w:val="20"/>
              </w:rPr>
              <w:t>zāļu</w:t>
            </w:r>
            <w:proofErr w:type="spellEnd"/>
            <w:r w:rsidRPr="00DE4ABF">
              <w:rPr>
                <w:sz w:val="20"/>
                <w:szCs w:val="20"/>
              </w:rPr>
              <w:t xml:space="preserve"> forma, </w:t>
            </w:r>
            <w:proofErr w:type="spellStart"/>
            <w:r w:rsidRPr="00DE4ABF">
              <w:rPr>
                <w:sz w:val="20"/>
                <w:szCs w:val="20"/>
              </w:rPr>
              <w:t>stiprums</w:t>
            </w:r>
            <w:proofErr w:type="spellEnd"/>
            <w:r w:rsidRPr="00DE4ABF">
              <w:rPr>
                <w:sz w:val="20"/>
                <w:szCs w:val="20"/>
              </w:rPr>
              <w:t xml:space="preserve">/ </w:t>
            </w:r>
            <w:proofErr w:type="spellStart"/>
            <w:r w:rsidRPr="00DE4ABF">
              <w:rPr>
                <w:sz w:val="20"/>
                <w:szCs w:val="20"/>
              </w:rPr>
              <w:t>koncentrācija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1EDB" w14:textId="77777777" w:rsidR="0008583C" w:rsidRPr="00DE4ABF" w:rsidRDefault="0008583C">
            <w:pPr>
              <w:rPr>
                <w:bCs/>
                <w:sz w:val="20"/>
                <w:szCs w:val="20"/>
              </w:rPr>
            </w:pPr>
            <w:proofErr w:type="spellStart"/>
            <w:r w:rsidRPr="00DE4ABF">
              <w:rPr>
                <w:bCs/>
                <w:sz w:val="20"/>
                <w:szCs w:val="20"/>
              </w:rPr>
              <w:t>Aktīvās</w:t>
            </w:r>
            <w:proofErr w:type="spellEnd"/>
            <w:r w:rsidRPr="00DE4A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4ABF">
              <w:rPr>
                <w:bCs/>
                <w:sz w:val="20"/>
                <w:szCs w:val="20"/>
              </w:rPr>
              <w:t>vielas</w:t>
            </w:r>
            <w:proofErr w:type="spellEnd"/>
            <w:r w:rsidRPr="00DE4A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4ABF">
              <w:rPr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A4E0" w14:textId="77777777" w:rsidR="0008583C" w:rsidRPr="00DE4ABF" w:rsidRDefault="0008583C">
            <w:pPr>
              <w:rPr>
                <w:bCs/>
                <w:sz w:val="20"/>
                <w:szCs w:val="20"/>
              </w:rPr>
            </w:pPr>
            <w:proofErr w:type="spellStart"/>
            <w:r w:rsidRPr="00DE4ABF">
              <w:rPr>
                <w:bCs/>
                <w:sz w:val="20"/>
                <w:szCs w:val="20"/>
              </w:rPr>
              <w:t>Reģistrācijas</w:t>
            </w:r>
            <w:proofErr w:type="spellEnd"/>
            <w:r w:rsidRPr="00DE4A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4ABF">
              <w:rPr>
                <w:bCs/>
                <w:sz w:val="20"/>
                <w:szCs w:val="20"/>
              </w:rPr>
              <w:t>apliecības</w:t>
            </w:r>
            <w:proofErr w:type="spellEnd"/>
            <w:r w:rsidRPr="00DE4AB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4ABF">
              <w:rPr>
                <w:bCs/>
                <w:sz w:val="20"/>
                <w:szCs w:val="20"/>
              </w:rPr>
              <w:t>īpašnieks</w:t>
            </w:r>
            <w:proofErr w:type="spellEnd"/>
            <w:r w:rsidRPr="00DE4AB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E4ABF">
              <w:rPr>
                <w:bCs/>
                <w:sz w:val="20"/>
                <w:szCs w:val="20"/>
              </w:rPr>
              <w:t>valsts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62E" w14:textId="77777777" w:rsidR="0008583C" w:rsidRPr="00DE4ABF" w:rsidRDefault="0008583C">
            <w:pPr>
              <w:rPr>
                <w:sz w:val="20"/>
                <w:szCs w:val="20"/>
              </w:rPr>
            </w:pPr>
            <w:proofErr w:type="spellStart"/>
            <w:r w:rsidRPr="00DE4ABF">
              <w:rPr>
                <w:sz w:val="20"/>
                <w:szCs w:val="20"/>
              </w:rPr>
              <w:t>Izmaiņu</w:t>
            </w:r>
            <w:proofErr w:type="spellEnd"/>
            <w:r w:rsidRPr="00DE4ABF">
              <w:rPr>
                <w:sz w:val="20"/>
                <w:szCs w:val="20"/>
              </w:rPr>
              <w:t xml:space="preserve"> </w:t>
            </w:r>
            <w:proofErr w:type="spellStart"/>
            <w:r w:rsidRPr="00DE4ABF">
              <w:rPr>
                <w:sz w:val="20"/>
                <w:szCs w:val="20"/>
              </w:rPr>
              <w:t>būtība</w:t>
            </w:r>
            <w:proofErr w:type="spellEnd"/>
          </w:p>
        </w:tc>
      </w:tr>
      <w:tr w:rsidR="000F702E" w:rsidRPr="00DE4ABF" w14:paraId="6FFFDB5A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345" w14:textId="5E45E110" w:rsidR="000F702E" w:rsidRPr="00DE4ABF" w:rsidRDefault="007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78C" w14:textId="77777777" w:rsidR="00E9608C" w:rsidRPr="00AB6B82" w:rsidRDefault="00E9608C" w:rsidP="00E9608C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10-0144</w:t>
            </w:r>
          </w:p>
          <w:p w14:paraId="1F340737" w14:textId="77777777" w:rsidR="005728F3" w:rsidRPr="00AB6B82" w:rsidRDefault="005728F3" w:rsidP="005728F3">
            <w:pPr>
              <w:rPr>
                <w:sz w:val="20"/>
                <w:szCs w:val="20"/>
              </w:rPr>
            </w:pPr>
          </w:p>
          <w:p w14:paraId="6108A97C" w14:textId="77777777" w:rsidR="005728F3" w:rsidRPr="00AB6B82" w:rsidRDefault="005728F3" w:rsidP="005728F3">
            <w:pPr>
              <w:rPr>
                <w:sz w:val="20"/>
                <w:szCs w:val="20"/>
              </w:rPr>
            </w:pPr>
          </w:p>
          <w:p w14:paraId="66D3FC1B" w14:textId="77777777" w:rsidR="005728F3" w:rsidRPr="00AB6B82" w:rsidRDefault="005728F3" w:rsidP="005728F3">
            <w:pPr>
              <w:rPr>
                <w:sz w:val="20"/>
                <w:szCs w:val="20"/>
              </w:rPr>
            </w:pPr>
          </w:p>
          <w:p w14:paraId="302D4F06" w14:textId="77777777" w:rsidR="005728F3" w:rsidRPr="00AB6B82" w:rsidRDefault="005728F3" w:rsidP="005728F3">
            <w:pPr>
              <w:rPr>
                <w:sz w:val="20"/>
                <w:szCs w:val="20"/>
              </w:rPr>
            </w:pPr>
          </w:p>
          <w:p w14:paraId="6F254C5F" w14:textId="37CF8BA7" w:rsidR="005728F3" w:rsidRPr="00AB6B82" w:rsidRDefault="005728F3" w:rsidP="005728F3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12-0051</w:t>
            </w:r>
          </w:p>
          <w:p w14:paraId="7510BEC4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8D9" w14:textId="4DAED817" w:rsidR="00E9608C" w:rsidRPr="00AB6B82" w:rsidRDefault="00E9608C" w:rsidP="00E9608C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Kalcipos</w:t>
            </w:r>
            <w:proofErr w:type="spellEnd"/>
            <w:r w:rsidRPr="00AB6B82">
              <w:rPr>
                <w:sz w:val="20"/>
                <w:szCs w:val="20"/>
              </w:rPr>
              <w:t xml:space="preserve">-D forte 500 mg/800 SV </w:t>
            </w:r>
            <w:proofErr w:type="spellStart"/>
            <w:r w:rsidRPr="00AB6B82">
              <w:rPr>
                <w:sz w:val="20"/>
                <w:szCs w:val="20"/>
              </w:rPr>
              <w:t>košļājamās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tabletes</w:t>
            </w:r>
            <w:proofErr w:type="spellEnd"/>
          </w:p>
          <w:p w14:paraId="47A4D308" w14:textId="34DDD27C" w:rsidR="005728F3" w:rsidRPr="00AB6B82" w:rsidRDefault="005728F3" w:rsidP="00E9608C">
            <w:pPr>
              <w:rPr>
                <w:sz w:val="20"/>
                <w:szCs w:val="20"/>
              </w:rPr>
            </w:pPr>
          </w:p>
          <w:p w14:paraId="3CE0A33B" w14:textId="53AD3987" w:rsidR="005728F3" w:rsidRPr="00AB6B82" w:rsidRDefault="005728F3" w:rsidP="00E9608C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Kalcipos</w:t>
            </w:r>
            <w:proofErr w:type="spellEnd"/>
            <w:r w:rsidRPr="00AB6B82">
              <w:rPr>
                <w:sz w:val="20"/>
                <w:szCs w:val="20"/>
              </w:rPr>
              <w:t xml:space="preserve">-D forte 500 mg/800 SV </w:t>
            </w:r>
            <w:proofErr w:type="spellStart"/>
            <w:r w:rsidRPr="00AB6B82">
              <w:rPr>
                <w:sz w:val="20"/>
                <w:szCs w:val="20"/>
              </w:rPr>
              <w:t>apvalkotās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tabletes</w:t>
            </w:r>
            <w:proofErr w:type="spellEnd"/>
          </w:p>
          <w:p w14:paraId="1E7367F5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D41" w14:textId="77777777" w:rsidR="00E9608C" w:rsidRPr="00AB6B82" w:rsidRDefault="00E9608C" w:rsidP="00E9608C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 xml:space="preserve">Calcium, </w:t>
            </w:r>
            <w:proofErr w:type="spellStart"/>
            <w:r w:rsidRPr="00AB6B82">
              <w:rPr>
                <w:sz w:val="20"/>
                <w:szCs w:val="20"/>
              </w:rPr>
              <w:t>Colecalciferolum</w:t>
            </w:r>
            <w:proofErr w:type="spellEnd"/>
          </w:p>
          <w:p w14:paraId="4C67D421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C8A" w14:textId="77777777" w:rsidR="007F42B1" w:rsidRPr="00AB6B82" w:rsidRDefault="007F42B1" w:rsidP="007F42B1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Meda</w:t>
            </w:r>
            <w:proofErr w:type="spellEnd"/>
            <w:r w:rsidRPr="00AB6B82">
              <w:rPr>
                <w:sz w:val="20"/>
                <w:szCs w:val="20"/>
              </w:rPr>
              <w:t xml:space="preserve"> AB, </w:t>
            </w:r>
            <w:proofErr w:type="spellStart"/>
            <w:r w:rsidRPr="00AB6B82">
              <w:rPr>
                <w:sz w:val="20"/>
                <w:szCs w:val="20"/>
              </w:rPr>
              <w:t>Zviedrija</w:t>
            </w:r>
            <w:proofErr w:type="spellEnd"/>
          </w:p>
          <w:p w14:paraId="4641E3AF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76A" w14:textId="350D2153" w:rsidR="000F702E" w:rsidRPr="00AB6B82" w:rsidRDefault="007F42B1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aprakstā</w:t>
            </w:r>
            <w:proofErr w:type="spellEnd"/>
            <w:r w:rsidRPr="00AB6B82">
              <w:rPr>
                <w:sz w:val="20"/>
                <w:szCs w:val="20"/>
              </w:rPr>
              <w:t xml:space="preserve"> 4.4. </w:t>
            </w:r>
            <w:proofErr w:type="spellStart"/>
            <w:r w:rsidRPr="00AB6B82">
              <w:rPr>
                <w:sz w:val="20"/>
                <w:szCs w:val="20"/>
              </w:rPr>
              <w:t>apakšpunktā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pievienots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brīdinājums</w:t>
            </w:r>
            <w:proofErr w:type="spellEnd"/>
            <w:r w:rsidRPr="00AB6B82">
              <w:rPr>
                <w:sz w:val="20"/>
                <w:szCs w:val="20"/>
              </w:rPr>
              <w:t xml:space="preserve"> par </w:t>
            </w:r>
            <w:proofErr w:type="spellStart"/>
            <w:r w:rsidRPr="00AB6B82">
              <w:rPr>
                <w:sz w:val="20"/>
                <w:szCs w:val="20"/>
              </w:rPr>
              <w:t>piena-sārmu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sindroma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rašanās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risku</w:t>
            </w:r>
            <w:proofErr w:type="spellEnd"/>
            <w:r w:rsidRPr="00AB6B82">
              <w:rPr>
                <w:sz w:val="20"/>
                <w:szCs w:val="20"/>
              </w:rPr>
              <w:t xml:space="preserve">. 4.6. </w:t>
            </w:r>
            <w:proofErr w:type="spellStart"/>
            <w:r w:rsidRPr="00AB6B82">
              <w:rPr>
                <w:sz w:val="20"/>
                <w:szCs w:val="20"/>
              </w:rPr>
              <w:t>apakšpunktā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norādīts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ka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Kalcipos</w:t>
            </w:r>
            <w:proofErr w:type="spellEnd"/>
            <w:r w:rsidRPr="00AB6B82">
              <w:rPr>
                <w:sz w:val="20"/>
                <w:szCs w:val="20"/>
              </w:rPr>
              <w:t xml:space="preserve">-D forte </w:t>
            </w:r>
            <w:proofErr w:type="spellStart"/>
            <w:r w:rsidRPr="00AB6B82">
              <w:rPr>
                <w:sz w:val="20"/>
                <w:szCs w:val="20"/>
              </w:rPr>
              <w:t>nav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indicēts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ikdienas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profilaksei</w:t>
            </w:r>
            <w:proofErr w:type="spellEnd"/>
            <w:r w:rsidRPr="00AB6B82">
              <w:rPr>
                <w:sz w:val="20"/>
                <w:szCs w:val="20"/>
              </w:rPr>
              <w:t xml:space="preserve">, bet to </w:t>
            </w:r>
            <w:proofErr w:type="spellStart"/>
            <w:r w:rsidRPr="00AB6B82">
              <w:rPr>
                <w:sz w:val="20"/>
                <w:szCs w:val="20"/>
              </w:rPr>
              <w:t>var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lietot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grūtnieces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kurām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pastāv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augsts</w:t>
            </w:r>
            <w:proofErr w:type="spellEnd"/>
            <w:r w:rsidRPr="00AB6B82">
              <w:rPr>
                <w:sz w:val="20"/>
                <w:szCs w:val="20"/>
              </w:rPr>
              <w:t xml:space="preserve"> risks </w:t>
            </w:r>
            <w:proofErr w:type="spellStart"/>
            <w:r w:rsidRPr="00AB6B82">
              <w:rPr>
                <w:sz w:val="20"/>
                <w:szCs w:val="20"/>
              </w:rPr>
              <w:t>attīstīties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hipokalciēmijai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vai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kurām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jau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konstatēts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kalcija</w:t>
            </w:r>
            <w:proofErr w:type="spellEnd"/>
            <w:r w:rsidRPr="00AB6B82">
              <w:rPr>
                <w:sz w:val="20"/>
                <w:szCs w:val="20"/>
              </w:rPr>
              <w:t xml:space="preserve"> un D </w:t>
            </w:r>
            <w:proofErr w:type="spellStart"/>
            <w:r w:rsidRPr="00AB6B82">
              <w:rPr>
                <w:sz w:val="20"/>
                <w:szCs w:val="20"/>
              </w:rPr>
              <w:t>vitamīna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trūkums</w:t>
            </w:r>
            <w:proofErr w:type="spellEnd"/>
            <w:r w:rsidRPr="00AB6B82">
              <w:rPr>
                <w:sz w:val="20"/>
                <w:szCs w:val="20"/>
              </w:rPr>
              <w:t xml:space="preserve">. </w:t>
            </w:r>
            <w:proofErr w:type="spellStart"/>
            <w:r w:rsidRPr="00AB6B82">
              <w:rPr>
                <w:sz w:val="20"/>
                <w:szCs w:val="20"/>
              </w:rPr>
              <w:t>Lietošanas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instrukc</w:t>
            </w:r>
            <w:r w:rsidR="00AF6736" w:rsidRPr="00AB6B82">
              <w:rPr>
                <w:sz w:val="20"/>
                <w:szCs w:val="20"/>
              </w:rPr>
              <w:t>ija</w:t>
            </w:r>
            <w:proofErr w:type="spellEnd"/>
            <w:r w:rsidR="00AF6736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AF6736" w:rsidRPr="00AB6B82">
              <w:rPr>
                <w:sz w:val="20"/>
                <w:szCs w:val="20"/>
              </w:rPr>
              <w:t>saskaņota</w:t>
            </w:r>
            <w:proofErr w:type="spellEnd"/>
            <w:r w:rsidR="00AF6736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AF6736" w:rsidRPr="00AB6B82">
              <w:rPr>
                <w:sz w:val="20"/>
                <w:szCs w:val="20"/>
              </w:rPr>
              <w:t>ar</w:t>
            </w:r>
            <w:proofErr w:type="spellEnd"/>
            <w:r w:rsidR="00AF6736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AF6736" w:rsidRPr="00AB6B82">
              <w:rPr>
                <w:sz w:val="20"/>
                <w:szCs w:val="20"/>
              </w:rPr>
              <w:t>zāļu</w:t>
            </w:r>
            <w:proofErr w:type="spellEnd"/>
            <w:r w:rsidR="00AF6736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AF6736" w:rsidRPr="00AB6B82">
              <w:rPr>
                <w:sz w:val="20"/>
                <w:szCs w:val="20"/>
              </w:rPr>
              <w:t>aprakstu</w:t>
            </w:r>
            <w:proofErr w:type="spellEnd"/>
            <w:r w:rsidR="00AF6736" w:rsidRPr="00AB6B82">
              <w:rPr>
                <w:sz w:val="20"/>
                <w:szCs w:val="20"/>
              </w:rPr>
              <w:t>.</w:t>
            </w:r>
            <w:r w:rsidRPr="00AB6B82">
              <w:rPr>
                <w:sz w:val="20"/>
                <w:szCs w:val="20"/>
              </w:rPr>
              <w:br/>
            </w:r>
          </w:p>
        </w:tc>
      </w:tr>
      <w:tr w:rsidR="000F702E" w:rsidRPr="00DE4ABF" w14:paraId="633CB824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894" w14:textId="49BA000F" w:rsidR="000F702E" w:rsidRPr="00DE4ABF" w:rsidRDefault="007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510A" w14:textId="77777777" w:rsidR="003A1DAC" w:rsidRPr="00AB6B82" w:rsidRDefault="003A1DAC" w:rsidP="003A1DAC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15-0135</w:t>
            </w:r>
          </w:p>
          <w:p w14:paraId="24C5209E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0645" w14:textId="0BFE5729" w:rsidR="000F702E" w:rsidRPr="00AB6B82" w:rsidRDefault="003A1DAC" w:rsidP="00AB6B82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 xml:space="preserve">Nasacort 55 </w:t>
            </w:r>
            <w:proofErr w:type="spellStart"/>
            <w:r w:rsidRPr="00AB6B82">
              <w:rPr>
                <w:sz w:val="20"/>
                <w:szCs w:val="20"/>
              </w:rPr>
              <w:t>mikrogrami</w:t>
            </w:r>
            <w:proofErr w:type="spellEnd"/>
            <w:r w:rsidRPr="00AB6B82">
              <w:rPr>
                <w:sz w:val="20"/>
                <w:szCs w:val="20"/>
              </w:rPr>
              <w:t>/</w:t>
            </w:r>
            <w:proofErr w:type="spellStart"/>
            <w:r w:rsidRPr="00AB6B82">
              <w:rPr>
                <w:sz w:val="20"/>
                <w:szCs w:val="20"/>
              </w:rPr>
              <w:t>devā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deguna</w:t>
            </w:r>
            <w:proofErr w:type="spellEnd"/>
            <w:r w:rsidRPr="00AB6B82">
              <w:rPr>
                <w:sz w:val="20"/>
                <w:szCs w:val="20"/>
              </w:rPr>
              <w:t xml:space="preserve"> aerosols, </w:t>
            </w:r>
            <w:proofErr w:type="spellStart"/>
            <w:r w:rsidRPr="00AB6B82">
              <w:rPr>
                <w:sz w:val="20"/>
                <w:szCs w:val="20"/>
              </w:rPr>
              <w:t>suspensija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C03" w14:textId="77777777" w:rsidR="0065777B" w:rsidRPr="00AB6B82" w:rsidRDefault="0065777B" w:rsidP="0065777B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Triamcinoloni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acetonidum</w:t>
            </w:r>
            <w:proofErr w:type="spellEnd"/>
          </w:p>
          <w:p w14:paraId="25DA59BD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C11" w14:textId="77777777" w:rsidR="0065777B" w:rsidRPr="00AB6B82" w:rsidRDefault="0065777B" w:rsidP="0065777B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Sanofi-aventis</w:t>
            </w:r>
            <w:proofErr w:type="spellEnd"/>
            <w:r w:rsidRPr="00AB6B82">
              <w:rPr>
                <w:sz w:val="20"/>
                <w:szCs w:val="20"/>
              </w:rPr>
              <w:t xml:space="preserve"> Latvia, SIA, </w:t>
            </w:r>
            <w:proofErr w:type="spellStart"/>
            <w:r w:rsidRPr="00AB6B82">
              <w:rPr>
                <w:sz w:val="20"/>
                <w:szCs w:val="20"/>
              </w:rPr>
              <w:t>Latvija</w:t>
            </w:r>
            <w:proofErr w:type="spellEnd"/>
          </w:p>
          <w:p w14:paraId="44B164E0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66E" w14:textId="75D17A6E" w:rsidR="0065777B" w:rsidRPr="00AB6B82" w:rsidRDefault="0065777B" w:rsidP="0065777B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aprakstā</w:t>
            </w:r>
            <w:proofErr w:type="spellEnd"/>
            <w:r w:rsidRPr="00AB6B82">
              <w:rPr>
                <w:sz w:val="20"/>
                <w:szCs w:val="20"/>
              </w:rPr>
              <w:t xml:space="preserve"> 4.8. </w:t>
            </w:r>
            <w:proofErr w:type="spellStart"/>
            <w:r w:rsidRPr="00AB6B82">
              <w:rPr>
                <w:sz w:val="20"/>
                <w:szCs w:val="20"/>
              </w:rPr>
              <w:t>apakšpunktā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pievienota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blakusparādība</w:t>
            </w:r>
            <w:proofErr w:type="spellEnd"/>
            <w:r w:rsidRPr="00AB6B82">
              <w:rPr>
                <w:sz w:val="20"/>
                <w:szCs w:val="20"/>
              </w:rPr>
              <w:t xml:space="preserve">- </w:t>
            </w:r>
            <w:proofErr w:type="spellStart"/>
            <w:r w:rsidRPr="00AB6B82">
              <w:rPr>
                <w:sz w:val="20"/>
                <w:szCs w:val="20"/>
              </w:rPr>
              <w:t>horioretinopātija</w:t>
            </w:r>
            <w:proofErr w:type="spellEnd"/>
            <w:r w:rsidRPr="00AB6B82">
              <w:rPr>
                <w:sz w:val="20"/>
                <w:szCs w:val="20"/>
              </w:rPr>
              <w:t>.</w:t>
            </w:r>
            <w:r w:rsidR="001F2656"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Lietošanas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instrukcija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saskaņota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aprakstu</w:t>
            </w:r>
            <w:proofErr w:type="spellEnd"/>
            <w:r w:rsidRPr="00AB6B82">
              <w:rPr>
                <w:sz w:val="20"/>
                <w:szCs w:val="20"/>
              </w:rPr>
              <w:t>.</w:t>
            </w:r>
          </w:p>
          <w:p w14:paraId="6477CE93" w14:textId="77777777" w:rsidR="000F702E" w:rsidRPr="00AB6B82" w:rsidRDefault="000F702E">
            <w:pPr>
              <w:rPr>
                <w:sz w:val="20"/>
                <w:szCs w:val="20"/>
              </w:rPr>
            </w:pPr>
          </w:p>
        </w:tc>
      </w:tr>
      <w:tr w:rsidR="000F702E" w:rsidRPr="00DE4ABF" w14:paraId="4BD40FAB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750" w14:textId="6F71C834" w:rsidR="000F702E" w:rsidRPr="00DE4ABF" w:rsidRDefault="007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9045" w14:textId="77777777" w:rsidR="004567C4" w:rsidRPr="00AB6B82" w:rsidRDefault="004567C4" w:rsidP="004567C4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02-0348</w:t>
            </w:r>
          </w:p>
          <w:p w14:paraId="3BE77E9E" w14:textId="77777777" w:rsidR="001F2656" w:rsidRPr="00AB6B82" w:rsidRDefault="001F2656" w:rsidP="001F2656">
            <w:pPr>
              <w:rPr>
                <w:sz w:val="20"/>
                <w:szCs w:val="20"/>
              </w:rPr>
            </w:pPr>
          </w:p>
          <w:p w14:paraId="395374AE" w14:textId="77777777" w:rsidR="001F2656" w:rsidRPr="00AB6B82" w:rsidRDefault="001F2656" w:rsidP="001F2656">
            <w:pPr>
              <w:rPr>
                <w:sz w:val="20"/>
                <w:szCs w:val="20"/>
              </w:rPr>
            </w:pPr>
          </w:p>
          <w:p w14:paraId="67786E02" w14:textId="2864AD27" w:rsidR="001F2656" w:rsidRPr="00AB6B82" w:rsidRDefault="001F2656" w:rsidP="001F2656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02-0349</w:t>
            </w:r>
          </w:p>
          <w:p w14:paraId="61F2CDF7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C8E" w14:textId="77777777" w:rsidR="004567C4" w:rsidRPr="00AB6B82" w:rsidRDefault="004567C4" w:rsidP="004567C4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Loratin</w:t>
            </w:r>
            <w:proofErr w:type="spellEnd"/>
            <w:r w:rsidRPr="00AB6B82">
              <w:rPr>
                <w:sz w:val="20"/>
                <w:szCs w:val="20"/>
              </w:rPr>
              <w:t xml:space="preserve"> 10 mg </w:t>
            </w:r>
            <w:proofErr w:type="spellStart"/>
            <w:r w:rsidRPr="00AB6B82">
              <w:rPr>
                <w:sz w:val="20"/>
                <w:szCs w:val="20"/>
              </w:rPr>
              <w:t>tabletes</w:t>
            </w:r>
            <w:proofErr w:type="spellEnd"/>
          </w:p>
          <w:p w14:paraId="04E9F6ED" w14:textId="77777777" w:rsidR="001F2656" w:rsidRPr="00AB6B82" w:rsidRDefault="001F2656" w:rsidP="001F2656">
            <w:pPr>
              <w:rPr>
                <w:sz w:val="20"/>
                <w:szCs w:val="20"/>
              </w:rPr>
            </w:pPr>
          </w:p>
          <w:p w14:paraId="2B6D1E17" w14:textId="4966B992" w:rsidR="001F2656" w:rsidRPr="00AB6B82" w:rsidRDefault="001F2656" w:rsidP="001F2656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Loratin</w:t>
            </w:r>
            <w:proofErr w:type="spellEnd"/>
            <w:r w:rsidRPr="00AB6B82">
              <w:rPr>
                <w:sz w:val="20"/>
                <w:szCs w:val="20"/>
              </w:rPr>
              <w:t xml:space="preserve"> express 10 mg </w:t>
            </w:r>
            <w:proofErr w:type="spellStart"/>
            <w:r w:rsidRPr="00AB6B82">
              <w:rPr>
                <w:sz w:val="20"/>
                <w:szCs w:val="20"/>
              </w:rPr>
              <w:t>tabletes</w:t>
            </w:r>
            <w:proofErr w:type="spellEnd"/>
          </w:p>
          <w:p w14:paraId="3AD457C5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31E" w14:textId="77777777" w:rsidR="004567C4" w:rsidRPr="00AB6B82" w:rsidRDefault="004567C4" w:rsidP="004567C4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Loratadinum</w:t>
            </w:r>
            <w:proofErr w:type="spellEnd"/>
          </w:p>
          <w:p w14:paraId="7F37EEA3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84F" w14:textId="77777777" w:rsidR="004567C4" w:rsidRPr="00AB6B82" w:rsidRDefault="004567C4" w:rsidP="004567C4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Hexal</w:t>
            </w:r>
            <w:proofErr w:type="spellEnd"/>
            <w:r w:rsidRPr="00AB6B82">
              <w:rPr>
                <w:sz w:val="20"/>
                <w:szCs w:val="20"/>
              </w:rPr>
              <w:t xml:space="preserve"> AG, </w:t>
            </w:r>
            <w:proofErr w:type="spellStart"/>
            <w:r w:rsidRPr="00AB6B82">
              <w:rPr>
                <w:sz w:val="20"/>
                <w:szCs w:val="20"/>
              </w:rPr>
              <w:t>Vācija</w:t>
            </w:r>
            <w:proofErr w:type="spellEnd"/>
          </w:p>
          <w:p w14:paraId="1FCAEDC2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FC5" w14:textId="68ADFBF0" w:rsidR="000F702E" w:rsidRPr="00AB6B82" w:rsidRDefault="004567C4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Papildināta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atjaunota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drošuma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informācija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saskaņā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atsauces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zālēm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kā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arī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saskaņā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Farmakovigilances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riska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vērtēšanas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komitejas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ieteikumiem</w:t>
            </w:r>
            <w:proofErr w:type="spellEnd"/>
            <w:r w:rsidRPr="00AB6B82">
              <w:rPr>
                <w:sz w:val="20"/>
                <w:szCs w:val="20"/>
              </w:rPr>
              <w:t xml:space="preserve"> (EMEA/PRAC/662551/2017) </w:t>
            </w:r>
            <w:proofErr w:type="spellStart"/>
            <w:r w:rsidRPr="00AB6B82">
              <w:rPr>
                <w:sz w:val="20"/>
                <w:szCs w:val="20"/>
              </w:rPr>
              <w:t>loratadīnu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saturošām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zālēm</w:t>
            </w:r>
            <w:proofErr w:type="spellEnd"/>
            <w:r w:rsidRPr="00AB6B82">
              <w:rPr>
                <w:sz w:val="20"/>
                <w:szCs w:val="20"/>
              </w:rPr>
              <w:t xml:space="preserve">. </w:t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apraksta</w:t>
            </w:r>
            <w:proofErr w:type="spellEnd"/>
            <w:r w:rsidRPr="00AB6B82">
              <w:rPr>
                <w:sz w:val="20"/>
                <w:szCs w:val="20"/>
              </w:rPr>
              <w:t xml:space="preserve"> 4.5. </w:t>
            </w:r>
            <w:proofErr w:type="spellStart"/>
            <w:r w:rsidRPr="00AB6B82">
              <w:rPr>
                <w:sz w:val="20"/>
                <w:szCs w:val="20"/>
              </w:rPr>
              <w:t>apakšpunktā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pievienota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informācija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ka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paaugstināta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loratadīna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koncentrācija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asinīs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tika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novērota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="001F2656" w:rsidRPr="00AB6B82">
              <w:rPr>
                <w:sz w:val="20"/>
                <w:szCs w:val="20"/>
              </w:rPr>
              <w:t>lietojot</w:t>
            </w:r>
            <w:proofErr w:type="spellEnd"/>
            <w:r w:rsidR="001F2656"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vienlaicīgi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ketokonazolu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eritromicīnu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cimetidīnu</w:t>
            </w:r>
            <w:proofErr w:type="spellEnd"/>
            <w:r w:rsidRPr="00AB6B82">
              <w:rPr>
                <w:sz w:val="20"/>
                <w:szCs w:val="20"/>
              </w:rPr>
              <w:t xml:space="preserve">; 4.8. </w:t>
            </w:r>
            <w:proofErr w:type="spellStart"/>
            <w:r w:rsidRPr="00AB6B82">
              <w:rPr>
                <w:sz w:val="20"/>
                <w:szCs w:val="20"/>
              </w:rPr>
              <w:t>apakšpunktā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pievienota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informācija</w:t>
            </w:r>
            <w:proofErr w:type="spellEnd"/>
            <w:r w:rsidRPr="00AB6B82">
              <w:rPr>
                <w:sz w:val="20"/>
                <w:szCs w:val="20"/>
              </w:rPr>
              <w:t xml:space="preserve"> par </w:t>
            </w:r>
            <w:proofErr w:type="spellStart"/>
            <w:r w:rsidRPr="00AB6B82">
              <w:rPr>
                <w:sz w:val="20"/>
                <w:szCs w:val="20"/>
              </w:rPr>
              <w:t>bieži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sastopamām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blakusparādībām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bērniem</w:t>
            </w:r>
            <w:proofErr w:type="spellEnd"/>
            <w:r w:rsidRPr="00AB6B82">
              <w:rPr>
                <w:sz w:val="20"/>
                <w:szCs w:val="20"/>
              </w:rPr>
              <w:t xml:space="preserve"> no 2 </w:t>
            </w:r>
            <w:proofErr w:type="spellStart"/>
            <w:r w:rsidRPr="00AB6B82">
              <w:rPr>
                <w:sz w:val="20"/>
                <w:szCs w:val="20"/>
              </w:rPr>
              <w:t>līdz</w:t>
            </w:r>
            <w:proofErr w:type="spellEnd"/>
            <w:r w:rsidRPr="00AB6B82">
              <w:rPr>
                <w:sz w:val="20"/>
                <w:szCs w:val="20"/>
              </w:rPr>
              <w:t xml:space="preserve"> 12 </w:t>
            </w:r>
            <w:proofErr w:type="spellStart"/>
            <w:r w:rsidRPr="00AB6B82">
              <w:rPr>
                <w:sz w:val="20"/>
                <w:szCs w:val="20"/>
              </w:rPr>
              <w:t>gadiem</w:t>
            </w:r>
            <w:proofErr w:type="spellEnd"/>
            <w:r w:rsidRPr="00AB6B82">
              <w:rPr>
                <w:sz w:val="20"/>
                <w:szCs w:val="20"/>
              </w:rPr>
              <w:t xml:space="preserve"> – </w:t>
            </w:r>
            <w:proofErr w:type="spellStart"/>
            <w:r w:rsidRPr="00AB6B82">
              <w:rPr>
                <w:sz w:val="20"/>
                <w:szCs w:val="20"/>
              </w:rPr>
              <w:t>galvassāpes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nervozitāte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nespēks</w:t>
            </w:r>
            <w:proofErr w:type="spellEnd"/>
            <w:r w:rsidRPr="00AB6B82">
              <w:rPr>
                <w:sz w:val="20"/>
                <w:szCs w:val="20"/>
              </w:rPr>
              <w:t xml:space="preserve">. </w:t>
            </w:r>
            <w:proofErr w:type="spellStart"/>
            <w:r w:rsidRPr="00AB6B82">
              <w:rPr>
                <w:sz w:val="20"/>
                <w:szCs w:val="20"/>
              </w:rPr>
              <w:t>Lietošanas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instrukcija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saskaņota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aprakstu</w:t>
            </w:r>
            <w:proofErr w:type="spellEnd"/>
            <w:r w:rsidRPr="00AB6B82">
              <w:rPr>
                <w:sz w:val="20"/>
                <w:szCs w:val="20"/>
              </w:rPr>
              <w:t>.</w:t>
            </w:r>
          </w:p>
        </w:tc>
      </w:tr>
      <w:tr w:rsidR="000F702E" w:rsidRPr="00DE4ABF" w14:paraId="74B84ABA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BAD" w14:textId="6C2B4F04" w:rsidR="000F702E" w:rsidRPr="00DE4ABF" w:rsidRDefault="007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25A" w14:textId="0246C38B" w:rsidR="00D8069A" w:rsidRPr="00AB6B82" w:rsidRDefault="00D8069A" w:rsidP="00D8069A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94-0179</w:t>
            </w:r>
          </w:p>
          <w:p w14:paraId="0AA12CCB" w14:textId="42BF9390" w:rsidR="00C26FA4" w:rsidRPr="00AB6B82" w:rsidRDefault="00C26FA4" w:rsidP="00D8069A">
            <w:pPr>
              <w:rPr>
                <w:sz w:val="20"/>
                <w:szCs w:val="20"/>
              </w:rPr>
            </w:pPr>
          </w:p>
          <w:p w14:paraId="32B476EE" w14:textId="77777777" w:rsidR="009F696C" w:rsidRPr="00AB6B82" w:rsidRDefault="009F696C" w:rsidP="009F696C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12-0188</w:t>
            </w:r>
          </w:p>
          <w:p w14:paraId="7B579203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7051" w14:textId="49DEAC80" w:rsidR="00C26FA4" w:rsidRPr="00AB6B82" w:rsidRDefault="00D8069A" w:rsidP="009F696C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Voltaren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Emulgel</w:t>
            </w:r>
            <w:proofErr w:type="spellEnd"/>
            <w:r w:rsidRPr="00AB6B82">
              <w:rPr>
                <w:sz w:val="20"/>
                <w:szCs w:val="20"/>
              </w:rPr>
              <w:t xml:space="preserve"> 11,6 mg/g gels</w:t>
            </w:r>
            <w:r w:rsidR="00FF3DDF" w:rsidRPr="00AB6B82">
              <w:rPr>
                <w:sz w:val="20"/>
                <w:szCs w:val="20"/>
              </w:rPr>
              <w:t xml:space="preserve">, </w:t>
            </w:r>
          </w:p>
          <w:p w14:paraId="0C19009D" w14:textId="4FC04F25" w:rsidR="009F696C" w:rsidRPr="00AB6B82" w:rsidRDefault="009F696C" w:rsidP="009F696C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23,2 mg/g gels</w:t>
            </w:r>
          </w:p>
          <w:p w14:paraId="698978F2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C06" w14:textId="77777777" w:rsidR="00D8069A" w:rsidRPr="00AB6B82" w:rsidRDefault="00D8069A" w:rsidP="00D8069A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Diclofenacum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diethylaminum</w:t>
            </w:r>
            <w:proofErr w:type="spellEnd"/>
          </w:p>
          <w:p w14:paraId="59F1BF7E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2DF9" w14:textId="178E9C22" w:rsidR="000F702E" w:rsidRPr="00AB6B82" w:rsidRDefault="00D8069A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 xml:space="preserve">GlaxoSmithKline Consumer Healthcare (UK) Trading Limited, </w:t>
            </w:r>
            <w:proofErr w:type="spellStart"/>
            <w:r w:rsidRPr="00AB6B82">
              <w:rPr>
                <w:sz w:val="20"/>
                <w:szCs w:val="20"/>
              </w:rPr>
              <w:t>Lielbritānija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394D" w14:textId="37D73439" w:rsidR="00547021" w:rsidRPr="00AB6B82" w:rsidRDefault="00547021" w:rsidP="00547021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apraksta</w:t>
            </w:r>
            <w:proofErr w:type="spellEnd"/>
            <w:r w:rsidRPr="00AB6B82">
              <w:rPr>
                <w:sz w:val="20"/>
                <w:szCs w:val="20"/>
              </w:rPr>
              <w:t xml:space="preserve"> 4.9. </w:t>
            </w:r>
            <w:proofErr w:type="spellStart"/>
            <w:r w:rsidRPr="00AB6B82">
              <w:rPr>
                <w:sz w:val="20"/>
                <w:szCs w:val="20"/>
              </w:rPr>
              <w:t>apakšpunktā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pievienota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informācija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ka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pārdozēšanas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gadījumā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turpmākas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rīcības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atkarīgas</w:t>
            </w:r>
            <w:proofErr w:type="spellEnd"/>
            <w:r w:rsidRPr="00AB6B82">
              <w:rPr>
                <w:sz w:val="20"/>
                <w:szCs w:val="20"/>
              </w:rPr>
              <w:t xml:space="preserve"> no </w:t>
            </w:r>
            <w:proofErr w:type="spellStart"/>
            <w:r w:rsidRPr="00AB6B82">
              <w:rPr>
                <w:sz w:val="20"/>
                <w:szCs w:val="20"/>
              </w:rPr>
              <w:t>klīnikas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ainas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vai</w:t>
            </w:r>
            <w:proofErr w:type="spellEnd"/>
            <w:r w:rsidRPr="00AB6B82">
              <w:rPr>
                <w:sz w:val="20"/>
                <w:szCs w:val="20"/>
              </w:rPr>
              <w:t xml:space="preserve">, ja </w:t>
            </w:r>
            <w:proofErr w:type="spellStart"/>
            <w:r w:rsidRPr="00AB6B82">
              <w:rPr>
                <w:sz w:val="20"/>
                <w:szCs w:val="20"/>
              </w:rPr>
              <w:t>piemērojams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atbilstoši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toksikoloģijas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centra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rekomendācijām</w:t>
            </w:r>
            <w:proofErr w:type="spellEnd"/>
            <w:r w:rsidRPr="00AB6B82">
              <w:rPr>
                <w:sz w:val="20"/>
                <w:szCs w:val="20"/>
              </w:rPr>
              <w:t xml:space="preserve">. </w:t>
            </w:r>
            <w:proofErr w:type="spellStart"/>
            <w:r w:rsidRPr="00AB6B82">
              <w:rPr>
                <w:sz w:val="20"/>
                <w:szCs w:val="20"/>
              </w:rPr>
              <w:t>Svītrotas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rekomendācijas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ka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ieteicams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veikt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kuņģa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skalošanu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lietot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aktivēto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ogli</w:t>
            </w:r>
            <w:proofErr w:type="spellEnd"/>
            <w:r w:rsidRPr="00AB6B82">
              <w:rPr>
                <w:sz w:val="20"/>
                <w:szCs w:val="20"/>
              </w:rPr>
              <w:t xml:space="preserve">. </w:t>
            </w:r>
            <w:r w:rsidRPr="00AB6B82">
              <w:rPr>
                <w:sz w:val="20"/>
                <w:szCs w:val="20"/>
              </w:rPr>
              <w:br/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apraksts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lietošanas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instrukcija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saskaņoti</w:t>
            </w:r>
            <w:proofErr w:type="spellEnd"/>
            <w:r w:rsidRPr="00AB6B82">
              <w:rPr>
                <w:sz w:val="20"/>
                <w:szCs w:val="20"/>
              </w:rPr>
              <w:t>.</w:t>
            </w:r>
          </w:p>
          <w:p w14:paraId="478C8432" w14:textId="77777777" w:rsidR="000F702E" w:rsidRPr="00AB6B82" w:rsidRDefault="000F702E">
            <w:pPr>
              <w:rPr>
                <w:sz w:val="20"/>
                <w:szCs w:val="20"/>
              </w:rPr>
            </w:pPr>
          </w:p>
        </w:tc>
      </w:tr>
      <w:tr w:rsidR="000F702E" w:rsidRPr="00DE4ABF" w14:paraId="504957A2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161" w14:textId="5A6BCEEB" w:rsidR="000F702E" w:rsidRPr="00DE4ABF" w:rsidRDefault="007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F26" w14:textId="77777777" w:rsidR="001024D0" w:rsidRPr="00AB6B82" w:rsidRDefault="001024D0" w:rsidP="001024D0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02-0416</w:t>
            </w:r>
          </w:p>
          <w:p w14:paraId="4F89A4B0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132" w14:textId="77777777" w:rsidR="001024D0" w:rsidRPr="00AB6B82" w:rsidRDefault="001024D0" w:rsidP="001024D0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Simvacor</w:t>
            </w:r>
            <w:proofErr w:type="spellEnd"/>
            <w:r w:rsidRPr="00AB6B82">
              <w:rPr>
                <w:sz w:val="20"/>
                <w:szCs w:val="20"/>
              </w:rPr>
              <w:t xml:space="preserve"> 20 mg </w:t>
            </w:r>
            <w:proofErr w:type="spellStart"/>
            <w:r w:rsidRPr="00AB6B82">
              <w:rPr>
                <w:sz w:val="20"/>
                <w:szCs w:val="20"/>
              </w:rPr>
              <w:t>apvalkotās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tabletes</w:t>
            </w:r>
            <w:proofErr w:type="spellEnd"/>
          </w:p>
          <w:p w14:paraId="6E7FD498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218" w14:textId="77777777" w:rsidR="001024D0" w:rsidRPr="00AB6B82" w:rsidRDefault="001024D0" w:rsidP="001024D0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Simvastatinum</w:t>
            </w:r>
            <w:proofErr w:type="spellEnd"/>
          </w:p>
          <w:p w14:paraId="390BB132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754" w14:textId="77777777" w:rsidR="001024D0" w:rsidRPr="00AB6B82" w:rsidRDefault="001024D0" w:rsidP="001024D0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Hexal</w:t>
            </w:r>
            <w:proofErr w:type="spellEnd"/>
            <w:r w:rsidRPr="00AB6B82">
              <w:rPr>
                <w:sz w:val="20"/>
                <w:szCs w:val="20"/>
              </w:rPr>
              <w:t xml:space="preserve"> AG, </w:t>
            </w:r>
            <w:proofErr w:type="spellStart"/>
            <w:r w:rsidRPr="00AB6B82">
              <w:rPr>
                <w:sz w:val="20"/>
                <w:szCs w:val="20"/>
              </w:rPr>
              <w:t>Vācija</w:t>
            </w:r>
            <w:proofErr w:type="spellEnd"/>
          </w:p>
          <w:p w14:paraId="1099AD40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FAA" w14:textId="46E9AEB6" w:rsidR="001024D0" w:rsidRPr="00AB6B82" w:rsidRDefault="001024D0" w:rsidP="001024D0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apraksta</w:t>
            </w:r>
            <w:proofErr w:type="spellEnd"/>
            <w:r w:rsidRPr="00AB6B82">
              <w:rPr>
                <w:sz w:val="20"/>
                <w:szCs w:val="20"/>
              </w:rPr>
              <w:t xml:space="preserve"> 4.4. un 4.5. </w:t>
            </w:r>
            <w:proofErr w:type="spellStart"/>
            <w:r w:rsidRPr="00AB6B82">
              <w:rPr>
                <w:sz w:val="20"/>
                <w:szCs w:val="20"/>
              </w:rPr>
              <w:t>apakšpunktā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papildināta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informāc</w:t>
            </w:r>
            <w:r w:rsidR="006A408B" w:rsidRPr="00AB6B82">
              <w:rPr>
                <w:sz w:val="20"/>
                <w:szCs w:val="20"/>
              </w:rPr>
              <w:t>ija</w:t>
            </w:r>
            <w:proofErr w:type="spellEnd"/>
            <w:r w:rsidR="006A408B" w:rsidRPr="00AB6B82">
              <w:rPr>
                <w:sz w:val="20"/>
                <w:szCs w:val="20"/>
              </w:rPr>
              <w:t xml:space="preserve"> par </w:t>
            </w:r>
            <w:proofErr w:type="spellStart"/>
            <w:r w:rsidR="006A408B" w:rsidRPr="00AB6B82">
              <w:rPr>
                <w:sz w:val="20"/>
                <w:szCs w:val="20"/>
              </w:rPr>
              <w:t>miopātijas</w:t>
            </w:r>
            <w:proofErr w:type="spellEnd"/>
            <w:r w:rsidR="006A408B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6A408B" w:rsidRPr="00AB6B82">
              <w:rPr>
                <w:sz w:val="20"/>
                <w:szCs w:val="20"/>
              </w:rPr>
              <w:t>mehānismiem</w:t>
            </w:r>
            <w:proofErr w:type="spellEnd"/>
            <w:r w:rsidR="006A408B" w:rsidRPr="00AB6B82">
              <w:rPr>
                <w:sz w:val="20"/>
                <w:szCs w:val="20"/>
              </w:rPr>
              <w:t>.</w:t>
            </w:r>
            <w:r w:rsidRPr="00AB6B82">
              <w:rPr>
                <w:sz w:val="20"/>
                <w:szCs w:val="20"/>
              </w:rPr>
              <w:br/>
            </w:r>
            <w:proofErr w:type="spellStart"/>
            <w:r w:rsidRPr="00AB6B82">
              <w:rPr>
                <w:sz w:val="20"/>
                <w:szCs w:val="20"/>
              </w:rPr>
              <w:t>Izmaiņas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lietošanas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instrukcijā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nav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nepieciešamas</w:t>
            </w:r>
            <w:proofErr w:type="spellEnd"/>
            <w:r w:rsidRPr="00AB6B82">
              <w:rPr>
                <w:sz w:val="20"/>
                <w:szCs w:val="20"/>
              </w:rPr>
              <w:t>.</w:t>
            </w:r>
          </w:p>
          <w:p w14:paraId="72981ACE" w14:textId="77777777" w:rsidR="000F702E" w:rsidRPr="00AB6B82" w:rsidRDefault="000F702E">
            <w:pPr>
              <w:rPr>
                <w:sz w:val="20"/>
                <w:szCs w:val="20"/>
              </w:rPr>
            </w:pPr>
          </w:p>
        </w:tc>
      </w:tr>
      <w:tr w:rsidR="000F702E" w:rsidRPr="00DE4ABF" w14:paraId="0252A0A6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F72" w14:textId="4F9FF8E6" w:rsidR="000F702E" w:rsidRPr="00DE4ABF" w:rsidRDefault="007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E4C" w14:textId="77777777" w:rsidR="00C37778" w:rsidRPr="00AB6B82" w:rsidRDefault="00C37778" w:rsidP="00C37778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03-0466</w:t>
            </w:r>
          </w:p>
          <w:p w14:paraId="6CC9D9FB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612" w14:textId="77777777" w:rsidR="00C37778" w:rsidRPr="00AB6B82" w:rsidRDefault="00C37778" w:rsidP="00C37778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Dalacin</w:t>
            </w:r>
            <w:proofErr w:type="spellEnd"/>
            <w:r w:rsidRPr="00AB6B82">
              <w:rPr>
                <w:sz w:val="20"/>
                <w:szCs w:val="20"/>
              </w:rPr>
              <w:t xml:space="preserve"> T 10 mg/ml </w:t>
            </w:r>
            <w:proofErr w:type="spellStart"/>
            <w:r w:rsidRPr="00AB6B82">
              <w:rPr>
                <w:sz w:val="20"/>
                <w:szCs w:val="20"/>
              </w:rPr>
              <w:t>šķīdums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ārīgai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lietošanai</w:t>
            </w:r>
            <w:proofErr w:type="spellEnd"/>
          </w:p>
          <w:p w14:paraId="16BC5A69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7AD" w14:textId="77777777" w:rsidR="00C37778" w:rsidRPr="00AB6B82" w:rsidRDefault="00C37778" w:rsidP="00C37778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Clindamycinum</w:t>
            </w:r>
            <w:proofErr w:type="spellEnd"/>
          </w:p>
          <w:p w14:paraId="52E53B18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E3A" w14:textId="77777777" w:rsidR="00C37778" w:rsidRPr="00AB6B82" w:rsidRDefault="00C37778" w:rsidP="00C37778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 xml:space="preserve">Pfizer Europe MA EEIG, </w:t>
            </w:r>
            <w:proofErr w:type="spellStart"/>
            <w:r w:rsidRPr="00AB6B82">
              <w:rPr>
                <w:sz w:val="20"/>
                <w:szCs w:val="20"/>
              </w:rPr>
              <w:t>Lielbritānija</w:t>
            </w:r>
            <w:proofErr w:type="spellEnd"/>
          </w:p>
          <w:p w14:paraId="3F18F677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DDF" w14:textId="501E08BF" w:rsidR="00C37778" w:rsidRPr="00AB6B82" w:rsidRDefault="00C37778" w:rsidP="00C37778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Veiktas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izmaiņas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apakšpunkā</w:t>
            </w:r>
            <w:proofErr w:type="spellEnd"/>
            <w:r w:rsidRPr="00AB6B82">
              <w:rPr>
                <w:sz w:val="20"/>
                <w:szCs w:val="20"/>
              </w:rPr>
              <w:t xml:space="preserve"> 5.1. - </w:t>
            </w:r>
            <w:proofErr w:type="spellStart"/>
            <w:r w:rsidRPr="00AB6B82">
              <w:rPr>
                <w:sz w:val="20"/>
                <w:szCs w:val="20"/>
              </w:rPr>
              <w:t>papildināti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darbības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mehānisma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farmakodinamiskās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iedarbības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dati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informācija</w:t>
            </w:r>
            <w:proofErr w:type="spellEnd"/>
            <w:r w:rsidRPr="00AB6B82">
              <w:rPr>
                <w:sz w:val="20"/>
                <w:szCs w:val="20"/>
              </w:rPr>
              <w:t xml:space="preserve"> par </w:t>
            </w:r>
            <w:proofErr w:type="spellStart"/>
            <w:r w:rsidRPr="00AB6B82">
              <w:rPr>
                <w:sz w:val="20"/>
                <w:szCs w:val="20"/>
              </w:rPr>
              <w:t>rezistenci</w:t>
            </w:r>
            <w:proofErr w:type="spellEnd"/>
            <w:r w:rsidRPr="00AB6B82">
              <w:rPr>
                <w:sz w:val="20"/>
                <w:szCs w:val="20"/>
              </w:rPr>
              <w:t>.</w:t>
            </w:r>
          </w:p>
          <w:p w14:paraId="3BB3F88A" w14:textId="77777777" w:rsidR="000F702E" w:rsidRPr="00AB6B82" w:rsidRDefault="000F702E">
            <w:pPr>
              <w:rPr>
                <w:sz w:val="20"/>
                <w:szCs w:val="20"/>
              </w:rPr>
            </w:pPr>
          </w:p>
        </w:tc>
      </w:tr>
      <w:tr w:rsidR="000F702E" w:rsidRPr="00DE4ABF" w14:paraId="423D1675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4A6" w14:textId="6373CEC0" w:rsidR="000F702E" w:rsidRPr="00DE4ABF" w:rsidRDefault="007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B76" w14:textId="29F2A517" w:rsidR="00C26FA4" w:rsidRPr="00AB6B82" w:rsidRDefault="00C672BF" w:rsidP="00C672BF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13-0002</w:t>
            </w:r>
          </w:p>
          <w:p w14:paraId="1C563585" w14:textId="15DEFD9A" w:rsidR="00FF3DDF" w:rsidRPr="00AB6B82" w:rsidRDefault="00FF3DDF" w:rsidP="00C672BF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13-0003</w:t>
            </w:r>
          </w:p>
          <w:p w14:paraId="0161FC64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32A" w14:textId="783FC114" w:rsidR="00C11294" w:rsidRPr="00AB6B82" w:rsidRDefault="00FF3DDF" w:rsidP="00C672BF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Palexia</w:t>
            </w:r>
            <w:proofErr w:type="spellEnd"/>
            <w:r w:rsidRPr="00AB6B82">
              <w:rPr>
                <w:sz w:val="20"/>
                <w:szCs w:val="20"/>
              </w:rPr>
              <w:t xml:space="preserve"> 20 mg/ml</w:t>
            </w:r>
            <w:r w:rsidR="00C012D0" w:rsidRPr="00AB6B82">
              <w:rPr>
                <w:sz w:val="20"/>
                <w:szCs w:val="20"/>
              </w:rPr>
              <w:t>,</w:t>
            </w:r>
          </w:p>
          <w:p w14:paraId="7882B64C" w14:textId="21401572" w:rsidR="00C672BF" w:rsidRPr="00AB6B82" w:rsidRDefault="00FF3DDF" w:rsidP="00C672BF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Palexia</w:t>
            </w:r>
            <w:proofErr w:type="spellEnd"/>
            <w:r w:rsidRPr="00AB6B82">
              <w:rPr>
                <w:sz w:val="20"/>
                <w:szCs w:val="20"/>
              </w:rPr>
              <w:t xml:space="preserve"> 4 mg/ml </w:t>
            </w:r>
            <w:proofErr w:type="spellStart"/>
            <w:r w:rsidR="00C672BF" w:rsidRPr="00AB6B82">
              <w:rPr>
                <w:sz w:val="20"/>
                <w:szCs w:val="20"/>
              </w:rPr>
              <w:t>šķīdums</w:t>
            </w:r>
            <w:proofErr w:type="spellEnd"/>
            <w:r w:rsidR="00C672B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C672BF" w:rsidRPr="00AB6B82">
              <w:rPr>
                <w:sz w:val="20"/>
                <w:szCs w:val="20"/>
              </w:rPr>
              <w:t>iekšķīgai</w:t>
            </w:r>
            <w:proofErr w:type="spellEnd"/>
            <w:r w:rsidR="00C672B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C672BF" w:rsidRPr="00AB6B82">
              <w:rPr>
                <w:sz w:val="20"/>
                <w:szCs w:val="20"/>
              </w:rPr>
              <w:t>lietošanai</w:t>
            </w:r>
            <w:proofErr w:type="spellEnd"/>
          </w:p>
          <w:p w14:paraId="271C31C4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AAB" w14:textId="77777777" w:rsidR="00C672BF" w:rsidRPr="00AB6B82" w:rsidRDefault="00C672BF" w:rsidP="00C672BF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lastRenderedPageBreak/>
              <w:t>Tapentadolum</w:t>
            </w:r>
            <w:proofErr w:type="spellEnd"/>
          </w:p>
          <w:p w14:paraId="7FADF0D6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215" w14:textId="77777777" w:rsidR="00C672BF" w:rsidRPr="00AB6B82" w:rsidRDefault="00C672BF" w:rsidP="00C672BF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Grünenthal</w:t>
            </w:r>
            <w:proofErr w:type="spellEnd"/>
            <w:r w:rsidRPr="00AB6B82">
              <w:rPr>
                <w:sz w:val="20"/>
                <w:szCs w:val="20"/>
              </w:rPr>
              <w:t xml:space="preserve"> GmbH, </w:t>
            </w:r>
            <w:proofErr w:type="spellStart"/>
            <w:r w:rsidRPr="00AB6B82">
              <w:rPr>
                <w:sz w:val="20"/>
                <w:szCs w:val="20"/>
              </w:rPr>
              <w:t>Vācija</w:t>
            </w:r>
            <w:proofErr w:type="spellEnd"/>
          </w:p>
          <w:p w14:paraId="4EFD35C5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F8A" w14:textId="52D29CB2" w:rsidR="00C672BF" w:rsidRPr="00AB6B82" w:rsidRDefault="00C672BF" w:rsidP="00C672BF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Grozīta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terapeitiskā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indikācija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saskaņā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apstiprināto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pediatrijas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pētījumu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plānu</w:t>
            </w:r>
            <w:proofErr w:type="spellEnd"/>
            <w:r w:rsidRPr="00AB6B82">
              <w:rPr>
                <w:sz w:val="20"/>
                <w:szCs w:val="20"/>
              </w:rPr>
              <w:t xml:space="preserve"> EMEA- 000018-PIP01-07-M13, </w:t>
            </w:r>
            <w:proofErr w:type="spellStart"/>
            <w:r w:rsidRPr="00AB6B82">
              <w:rPr>
                <w:sz w:val="20"/>
                <w:szCs w:val="20"/>
              </w:rPr>
              <w:t>iekļaujot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pediatrisko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populāciju</w:t>
            </w:r>
            <w:proofErr w:type="spellEnd"/>
            <w:r w:rsidRPr="00AB6B82">
              <w:rPr>
                <w:sz w:val="20"/>
                <w:szCs w:val="20"/>
              </w:rPr>
              <w:t xml:space="preserve"> no 2 </w:t>
            </w:r>
            <w:proofErr w:type="spellStart"/>
            <w:r w:rsidRPr="00AB6B82">
              <w:rPr>
                <w:sz w:val="20"/>
                <w:szCs w:val="20"/>
              </w:rPr>
              <w:t>gadu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vecuma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norādot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devu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rekomendācijas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atbilstoši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bērnu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ķermeņa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masai</w:t>
            </w:r>
            <w:proofErr w:type="spellEnd"/>
            <w:r w:rsidRPr="00AB6B82">
              <w:rPr>
                <w:sz w:val="20"/>
                <w:szCs w:val="20"/>
              </w:rPr>
              <w:t xml:space="preserve">. </w:t>
            </w:r>
            <w:proofErr w:type="spellStart"/>
            <w:r w:rsidRPr="00AB6B82">
              <w:rPr>
                <w:sz w:val="20"/>
                <w:szCs w:val="20"/>
              </w:rPr>
              <w:t>Iekļauts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brīdinājums</w:t>
            </w:r>
            <w:proofErr w:type="spellEnd"/>
            <w:r w:rsidRPr="00AB6B82">
              <w:rPr>
                <w:sz w:val="20"/>
                <w:szCs w:val="20"/>
              </w:rPr>
              <w:t xml:space="preserve"> par </w:t>
            </w:r>
            <w:proofErr w:type="spellStart"/>
            <w:r w:rsidRPr="00AB6B82">
              <w:rPr>
                <w:sz w:val="20"/>
                <w:szCs w:val="20"/>
              </w:rPr>
              <w:t>lietošanu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bērniem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aptaukošanos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aknu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nieru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darbības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traucējumiem</w:t>
            </w:r>
            <w:proofErr w:type="spellEnd"/>
            <w:r w:rsidRPr="00AB6B82">
              <w:rPr>
                <w:sz w:val="20"/>
                <w:szCs w:val="20"/>
              </w:rPr>
              <w:t>.</w:t>
            </w:r>
            <w:r w:rsidRPr="00AB6B82">
              <w:rPr>
                <w:sz w:val="20"/>
                <w:szCs w:val="20"/>
              </w:rPr>
              <w:br/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apraksts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lietošanas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instrukcija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saskaņoti</w:t>
            </w:r>
            <w:proofErr w:type="spellEnd"/>
            <w:r w:rsidRPr="00AB6B82">
              <w:rPr>
                <w:sz w:val="20"/>
                <w:szCs w:val="20"/>
              </w:rPr>
              <w:t>.</w:t>
            </w:r>
          </w:p>
          <w:p w14:paraId="630497B6" w14:textId="77777777" w:rsidR="000F702E" w:rsidRPr="00AB6B82" w:rsidRDefault="000F702E">
            <w:pPr>
              <w:rPr>
                <w:sz w:val="20"/>
                <w:szCs w:val="20"/>
              </w:rPr>
            </w:pPr>
          </w:p>
        </w:tc>
      </w:tr>
      <w:tr w:rsidR="000F702E" w:rsidRPr="00DE4ABF" w14:paraId="6E4BD610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22A" w14:textId="039F0A39" w:rsidR="000F702E" w:rsidRPr="00DE4ABF" w:rsidRDefault="007367CB" w:rsidP="0073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EF2" w14:textId="77777777" w:rsidR="00EE441C" w:rsidRPr="00AB6B82" w:rsidRDefault="00EE441C" w:rsidP="00EE441C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03-0508</w:t>
            </w:r>
          </w:p>
          <w:p w14:paraId="57B5AA57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C44" w14:textId="77777777" w:rsidR="00EE441C" w:rsidRPr="00AB6B82" w:rsidRDefault="00EE441C" w:rsidP="00EE441C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Pylokit</w:t>
            </w:r>
            <w:proofErr w:type="spellEnd"/>
          </w:p>
          <w:p w14:paraId="6F54B793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54C" w14:textId="77777777" w:rsidR="00EE441C" w:rsidRPr="00AB6B82" w:rsidRDefault="00EE441C" w:rsidP="00EE441C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Lansoprazolum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Tinidazolum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Clarithromycinum</w:t>
            </w:r>
            <w:proofErr w:type="spellEnd"/>
          </w:p>
          <w:p w14:paraId="201378CB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789" w14:textId="77777777" w:rsidR="00EE441C" w:rsidRPr="00AB6B82" w:rsidRDefault="00EE441C" w:rsidP="00EE441C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Unifarma</w:t>
            </w:r>
            <w:proofErr w:type="spellEnd"/>
            <w:r w:rsidRPr="00AB6B82">
              <w:rPr>
                <w:sz w:val="20"/>
                <w:szCs w:val="20"/>
              </w:rPr>
              <w:t xml:space="preserve">, SIA, </w:t>
            </w:r>
            <w:proofErr w:type="spellStart"/>
            <w:r w:rsidRPr="00AB6B82">
              <w:rPr>
                <w:sz w:val="20"/>
                <w:szCs w:val="20"/>
              </w:rPr>
              <w:t>Latvija</w:t>
            </w:r>
            <w:proofErr w:type="spellEnd"/>
          </w:p>
          <w:p w14:paraId="260DB6ED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AEB" w14:textId="285B1DFF" w:rsidR="00EE441C" w:rsidRPr="00AB6B82" w:rsidRDefault="00EE441C" w:rsidP="00EE441C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Iekļauts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brīdinājums</w:t>
            </w:r>
            <w:proofErr w:type="spellEnd"/>
            <w:r w:rsidRPr="00AB6B82">
              <w:rPr>
                <w:sz w:val="20"/>
                <w:szCs w:val="20"/>
              </w:rPr>
              <w:t xml:space="preserve"> par </w:t>
            </w:r>
            <w:proofErr w:type="spellStart"/>
            <w:r w:rsidRPr="00AB6B82">
              <w:rPr>
                <w:sz w:val="20"/>
                <w:szCs w:val="20"/>
              </w:rPr>
              <w:t>piesardzīgu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lietošanu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pacientiem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vidēji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smagiem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smagiem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aknu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darbības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traucējumiem</w:t>
            </w:r>
            <w:proofErr w:type="spellEnd"/>
            <w:r w:rsidRPr="00AB6B82">
              <w:rPr>
                <w:sz w:val="20"/>
                <w:szCs w:val="20"/>
              </w:rPr>
              <w:t xml:space="preserve">; </w:t>
            </w:r>
            <w:proofErr w:type="spellStart"/>
            <w:r w:rsidRPr="00AB6B82">
              <w:rPr>
                <w:sz w:val="20"/>
                <w:szCs w:val="20"/>
              </w:rPr>
              <w:t>mikroskopiska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kolīta</w:t>
            </w:r>
            <w:proofErr w:type="spellEnd"/>
            <w:r w:rsidRPr="00AB6B82">
              <w:rPr>
                <w:sz w:val="20"/>
                <w:szCs w:val="20"/>
              </w:rPr>
              <w:t xml:space="preserve">, QT </w:t>
            </w:r>
            <w:proofErr w:type="spellStart"/>
            <w:r w:rsidRPr="00AB6B82">
              <w:rPr>
                <w:sz w:val="20"/>
                <w:szCs w:val="20"/>
              </w:rPr>
              <w:t>intervāla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pagarināšanās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letālas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aknu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mazspējas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risku</w:t>
            </w:r>
            <w:proofErr w:type="spellEnd"/>
            <w:r w:rsidRPr="00AB6B82">
              <w:rPr>
                <w:sz w:val="20"/>
                <w:szCs w:val="20"/>
              </w:rPr>
              <w:t xml:space="preserve">; </w:t>
            </w:r>
            <w:proofErr w:type="spellStart"/>
            <w:r w:rsidRPr="00AB6B82">
              <w:rPr>
                <w:sz w:val="20"/>
                <w:szCs w:val="20"/>
              </w:rPr>
              <w:t>iekļauta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mijiedarbība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statīniem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hipoglikēmiskiem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līdzekļiem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perorāliem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antikoagulantiem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terfenadīnu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melnā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rudzu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grauda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alkaloīdiem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midazolāmu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kolhicīnu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u.c</w:t>
            </w:r>
            <w:proofErr w:type="spellEnd"/>
            <w:r w:rsidRPr="00AB6B82">
              <w:rPr>
                <w:sz w:val="20"/>
                <w:szCs w:val="20"/>
              </w:rPr>
              <w:t xml:space="preserve">. </w:t>
            </w:r>
            <w:proofErr w:type="spellStart"/>
            <w:r w:rsidRPr="00AB6B82">
              <w:rPr>
                <w:sz w:val="20"/>
                <w:szCs w:val="20"/>
              </w:rPr>
              <w:t>zālēm</w:t>
            </w:r>
            <w:proofErr w:type="spellEnd"/>
            <w:r w:rsidRPr="00AB6B82">
              <w:rPr>
                <w:sz w:val="20"/>
                <w:szCs w:val="20"/>
              </w:rPr>
              <w:t xml:space="preserve">; </w:t>
            </w:r>
            <w:proofErr w:type="spellStart"/>
            <w:r w:rsidRPr="00AB6B82">
              <w:rPr>
                <w:sz w:val="20"/>
                <w:szCs w:val="20"/>
              </w:rPr>
              <w:t>blakusparādības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sakārtotas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atbilstoši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atsevišķajām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aktīvajām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vielām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iekļauts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klaritromicīna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atsevišķu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blakusparādību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apraksts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drošuma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profila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kopsavilkums</w:t>
            </w:r>
            <w:proofErr w:type="spellEnd"/>
            <w:r w:rsidRPr="00AB6B82">
              <w:rPr>
                <w:sz w:val="20"/>
                <w:szCs w:val="20"/>
              </w:rPr>
              <w:t xml:space="preserve">. </w:t>
            </w:r>
            <w:r w:rsidRPr="00AB6B82">
              <w:rPr>
                <w:sz w:val="20"/>
                <w:szCs w:val="20"/>
              </w:rPr>
              <w:br/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apraksts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lietošanas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instrukcija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saskaņoti</w:t>
            </w:r>
            <w:proofErr w:type="spellEnd"/>
            <w:r w:rsidRPr="00AB6B82">
              <w:rPr>
                <w:sz w:val="20"/>
                <w:szCs w:val="20"/>
              </w:rPr>
              <w:t>.</w:t>
            </w:r>
          </w:p>
          <w:p w14:paraId="772F57E5" w14:textId="77777777" w:rsidR="000F702E" w:rsidRPr="00AB6B82" w:rsidRDefault="000F702E">
            <w:pPr>
              <w:rPr>
                <w:sz w:val="20"/>
                <w:szCs w:val="20"/>
              </w:rPr>
            </w:pPr>
          </w:p>
        </w:tc>
      </w:tr>
      <w:tr w:rsidR="000F702E" w:rsidRPr="00DE4ABF" w14:paraId="310862F4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2D5" w14:textId="198825F4" w:rsidR="000F702E" w:rsidRPr="00DE4ABF" w:rsidRDefault="007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94A" w14:textId="6D063BA9" w:rsidR="0057027A" w:rsidRPr="00AB6B82" w:rsidRDefault="003463B6" w:rsidP="0057027A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17-0040</w:t>
            </w:r>
          </w:p>
          <w:p w14:paraId="3C17D3EA" w14:textId="319D899D" w:rsidR="0057027A" w:rsidRPr="00AB6B82" w:rsidRDefault="0057027A" w:rsidP="0057027A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10-0531</w:t>
            </w:r>
          </w:p>
          <w:p w14:paraId="25EFDF78" w14:textId="34D61669" w:rsidR="0057027A" w:rsidRPr="00AB6B82" w:rsidRDefault="0057027A" w:rsidP="0057027A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17-0039</w:t>
            </w:r>
          </w:p>
          <w:p w14:paraId="575193CD" w14:textId="3313FF87" w:rsidR="0057027A" w:rsidRPr="00AB6B82" w:rsidRDefault="0057027A" w:rsidP="0057027A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14-0018</w:t>
            </w:r>
          </w:p>
          <w:p w14:paraId="57AA74BF" w14:textId="16CAB607" w:rsidR="0057027A" w:rsidRPr="00AB6B82" w:rsidRDefault="0057027A" w:rsidP="0057027A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10-0529</w:t>
            </w:r>
          </w:p>
          <w:p w14:paraId="77645CF1" w14:textId="4DA896B5" w:rsidR="0057027A" w:rsidRPr="00AB6B82" w:rsidRDefault="0057027A" w:rsidP="0057027A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10-0530</w:t>
            </w:r>
          </w:p>
          <w:p w14:paraId="33C72A60" w14:textId="75B0ADD9" w:rsidR="00641C86" w:rsidRPr="00AB6B82" w:rsidRDefault="006B715D" w:rsidP="00641C86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10-0528</w:t>
            </w:r>
          </w:p>
          <w:p w14:paraId="1E8E0255" w14:textId="56DCC27F" w:rsidR="006B715D" w:rsidRPr="00AB6B82" w:rsidRDefault="006B715D" w:rsidP="006B715D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14-0016</w:t>
            </w:r>
          </w:p>
          <w:p w14:paraId="26AB0008" w14:textId="61ED1A1A" w:rsidR="006B715D" w:rsidRPr="00AB6B82" w:rsidRDefault="006B715D" w:rsidP="006B715D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14-0017</w:t>
            </w:r>
          </w:p>
          <w:p w14:paraId="70F70841" w14:textId="562CA42F" w:rsidR="006B715D" w:rsidRPr="00AB6B82" w:rsidRDefault="006B715D">
            <w:pPr>
              <w:pStyle w:val="BodyText"/>
              <w:spacing w:after="0"/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14-0018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751" w14:textId="5E77A89E" w:rsidR="0057027A" w:rsidRPr="00AB6B82" w:rsidRDefault="003463B6" w:rsidP="0057027A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Targin</w:t>
            </w:r>
            <w:proofErr w:type="spellEnd"/>
            <w:r w:rsidRPr="00AB6B82">
              <w:rPr>
                <w:sz w:val="20"/>
                <w:szCs w:val="20"/>
              </w:rPr>
              <w:t xml:space="preserve"> 80 mg/40 mg</w:t>
            </w:r>
            <w:r w:rsidR="004A2F96" w:rsidRPr="00AB6B82">
              <w:rPr>
                <w:sz w:val="20"/>
                <w:szCs w:val="20"/>
              </w:rPr>
              <w:t>,</w:t>
            </w:r>
          </w:p>
          <w:p w14:paraId="1145CEED" w14:textId="5E8BD8E6" w:rsidR="0057027A" w:rsidRPr="00AB6B82" w:rsidRDefault="000B4E55" w:rsidP="0057027A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Targin</w:t>
            </w:r>
            <w:proofErr w:type="spellEnd"/>
            <w:r w:rsidRPr="00AB6B82">
              <w:rPr>
                <w:sz w:val="20"/>
                <w:szCs w:val="20"/>
              </w:rPr>
              <w:t xml:space="preserve"> 40 mg/20 mg,</w:t>
            </w:r>
          </w:p>
          <w:p w14:paraId="5F55FE5F" w14:textId="59BACA1A" w:rsidR="0057027A" w:rsidRPr="00AB6B82" w:rsidRDefault="0057027A" w:rsidP="0057027A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Targin</w:t>
            </w:r>
            <w:proofErr w:type="spellEnd"/>
            <w:r w:rsidRPr="00AB6B82">
              <w:rPr>
                <w:sz w:val="20"/>
                <w:szCs w:val="20"/>
              </w:rPr>
              <w:t xml:space="preserve"> 60 mg/30 </w:t>
            </w:r>
            <w:proofErr w:type="gramStart"/>
            <w:r w:rsidRPr="00AB6B82">
              <w:rPr>
                <w:sz w:val="20"/>
                <w:szCs w:val="20"/>
              </w:rPr>
              <w:t xml:space="preserve">mg </w:t>
            </w:r>
            <w:r w:rsidR="000B4E55" w:rsidRPr="00AB6B82">
              <w:rPr>
                <w:sz w:val="20"/>
                <w:szCs w:val="20"/>
              </w:rPr>
              <w:t>,</w:t>
            </w:r>
            <w:proofErr w:type="gramEnd"/>
          </w:p>
          <w:p w14:paraId="1B0E11EB" w14:textId="5AB39631" w:rsidR="0057027A" w:rsidRPr="00AB6B82" w:rsidRDefault="0057027A" w:rsidP="0057027A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Targin</w:t>
            </w:r>
            <w:proofErr w:type="spellEnd"/>
            <w:r w:rsidRPr="00AB6B82">
              <w:rPr>
                <w:sz w:val="20"/>
                <w:szCs w:val="20"/>
              </w:rPr>
              <w:t xml:space="preserve"> 30 mg/15 mg</w:t>
            </w:r>
            <w:r w:rsidR="000B4E55" w:rsidRPr="00AB6B82">
              <w:rPr>
                <w:sz w:val="20"/>
                <w:szCs w:val="20"/>
              </w:rPr>
              <w:t>,</w:t>
            </w:r>
            <w:r w:rsidRPr="00AB6B82">
              <w:rPr>
                <w:sz w:val="20"/>
                <w:szCs w:val="20"/>
              </w:rPr>
              <w:t xml:space="preserve"> </w:t>
            </w:r>
          </w:p>
          <w:p w14:paraId="73D37FEA" w14:textId="73642DDA" w:rsidR="0057027A" w:rsidRPr="00AB6B82" w:rsidRDefault="0057027A" w:rsidP="0057027A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Targin</w:t>
            </w:r>
            <w:proofErr w:type="spellEnd"/>
            <w:r w:rsidRPr="00AB6B82">
              <w:rPr>
                <w:sz w:val="20"/>
                <w:szCs w:val="20"/>
              </w:rPr>
              <w:t xml:space="preserve"> 10 mg/5 mg</w:t>
            </w:r>
            <w:r w:rsidR="000B4E55" w:rsidRPr="00AB6B82">
              <w:rPr>
                <w:sz w:val="20"/>
                <w:szCs w:val="20"/>
              </w:rPr>
              <w:t>,</w:t>
            </w:r>
            <w:r w:rsidRPr="00AB6B82">
              <w:rPr>
                <w:sz w:val="20"/>
                <w:szCs w:val="20"/>
              </w:rPr>
              <w:t xml:space="preserve"> </w:t>
            </w:r>
          </w:p>
          <w:p w14:paraId="0D0BC7B4" w14:textId="196ACF77" w:rsidR="00641C86" w:rsidRPr="00AB6B82" w:rsidRDefault="0057027A" w:rsidP="00641C86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Targin</w:t>
            </w:r>
            <w:proofErr w:type="spellEnd"/>
            <w:r w:rsidRPr="00AB6B82">
              <w:rPr>
                <w:sz w:val="20"/>
                <w:szCs w:val="20"/>
              </w:rPr>
              <w:t xml:space="preserve"> 20 mg/10 mg</w:t>
            </w:r>
            <w:r w:rsidR="000B4E55" w:rsidRPr="00AB6B82">
              <w:rPr>
                <w:sz w:val="20"/>
                <w:szCs w:val="20"/>
              </w:rPr>
              <w:t>,</w:t>
            </w:r>
            <w:r w:rsidRPr="00AB6B82">
              <w:rPr>
                <w:sz w:val="20"/>
                <w:szCs w:val="20"/>
              </w:rPr>
              <w:t xml:space="preserve"> </w:t>
            </w:r>
          </w:p>
          <w:p w14:paraId="0563C854" w14:textId="5625E587" w:rsidR="006B715D" w:rsidRPr="00AB6B82" w:rsidRDefault="006B715D" w:rsidP="006B715D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Targin</w:t>
            </w:r>
            <w:proofErr w:type="spellEnd"/>
            <w:r w:rsidRPr="00AB6B82">
              <w:rPr>
                <w:sz w:val="20"/>
                <w:szCs w:val="20"/>
              </w:rPr>
              <w:t xml:space="preserve"> 5 mg/2,5 mg</w:t>
            </w:r>
            <w:r w:rsidR="000B4E55" w:rsidRPr="00AB6B82">
              <w:rPr>
                <w:sz w:val="20"/>
                <w:szCs w:val="20"/>
              </w:rPr>
              <w:t>,</w:t>
            </w:r>
            <w:r w:rsidRPr="00AB6B82">
              <w:rPr>
                <w:sz w:val="20"/>
                <w:szCs w:val="20"/>
              </w:rPr>
              <w:t xml:space="preserve"> </w:t>
            </w:r>
          </w:p>
          <w:p w14:paraId="5EA52128" w14:textId="0E422256" w:rsidR="006B715D" w:rsidRPr="00AB6B82" w:rsidRDefault="006B715D" w:rsidP="006B715D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Targin</w:t>
            </w:r>
            <w:proofErr w:type="spellEnd"/>
            <w:r w:rsidRPr="00AB6B82">
              <w:rPr>
                <w:sz w:val="20"/>
                <w:szCs w:val="20"/>
              </w:rPr>
              <w:t xml:space="preserve"> 2,5 mg/1,25 mg</w:t>
            </w:r>
            <w:r w:rsidR="000B4E55" w:rsidRPr="00AB6B82">
              <w:rPr>
                <w:sz w:val="20"/>
                <w:szCs w:val="20"/>
              </w:rPr>
              <w:t>,</w:t>
            </w:r>
            <w:r w:rsidRPr="00AB6B82">
              <w:rPr>
                <w:sz w:val="20"/>
                <w:szCs w:val="20"/>
              </w:rPr>
              <w:t xml:space="preserve"> </w:t>
            </w:r>
          </w:p>
          <w:p w14:paraId="36EA057B" w14:textId="59A6CD5E" w:rsidR="006B715D" w:rsidRPr="00AB6B82" w:rsidRDefault="000B4E55" w:rsidP="006B715D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Targin</w:t>
            </w:r>
            <w:proofErr w:type="spellEnd"/>
            <w:r w:rsidRPr="00AB6B82">
              <w:rPr>
                <w:sz w:val="20"/>
                <w:szCs w:val="20"/>
              </w:rPr>
              <w:t xml:space="preserve"> 15 mg/7,5 mg,</w:t>
            </w:r>
          </w:p>
          <w:p w14:paraId="679203FE" w14:textId="7204A2E4" w:rsidR="006B715D" w:rsidRPr="00AB6B82" w:rsidRDefault="006B715D" w:rsidP="006B715D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Targin</w:t>
            </w:r>
            <w:proofErr w:type="spellEnd"/>
            <w:r w:rsidRPr="00AB6B82">
              <w:rPr>
                <w:sz w:val="20"/>
                <w:szCs w:val="20"/>
              </w:rPr>
              <w:t xml:space="preserve"> 30 mg/15 mg </w:t>
            </w:r>
            <w:proofErr w:type="spellStart"/>
            <w:r w:rsidRPr="00AB6B82">
              <w:rPr>
                <w:sz w:val="20"/>
                <w:szCs w:val="20"/>
              </w:rPr>
              <w:t>ilgstošās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darbības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tabletes</w:t>
            </w:r>
            <w:proofErr w:type="spellEnd"/>
          </w:p>
          <w:p w14:paraId="50048C44" w14:textId="72F8C7AB" w:rsidR="000F702E" w:rsidRPr="00AB6B82" w:rsidRDefault="000F702E" w:rsidP="006873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233" w14:textId="77777777" w:rsidR="003463B6" w:rsidRPr="00AB6B82" w:rsidRDefault="003463B6" w:rsidP="003463B6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Oxycodoni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hydrochloridum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Naloxoni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hydrochloridum</w:t>
            </w:r>
            <w:proofErr w:type="spellEnd"/>
          </w:p>
          <w:p w14:paraId="5985F7C6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22A" w14:textId="77777777" w:rsidR="003463B6" w:rsidRPr="00AB6B82" w:rsidRDefault="003463B6" w:rsidP="003463B6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Mundipharma</w:t>
            </w:r>
            <w:proofErr w:type="spellEnd"/>
            <w:r w:rsidRPr="00AB6B82">
              <w:rPr>
                <w:sz w:val="20"/>
                <w:szCs w:val="20"/>
              </w:rPr>
              <w:t xml:space="preserve"> GmbH, </w:t>
            </w:r>
            <w:proofErr w:type="spellStart"/>
            <w:r w:rsidRPr="00AB6B82">
              <w:rPr>
                <w:sz w:val="20"/>
                <w:szCs w:val="20"/>
              </w:rPr>
              <w:t>Austrija</w:t>
            </w:r>
            <w:proofErr w:type="spellEnd"/>
          </w:p>
          <w:p w14:paraId="037F566D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BD5" w14:textId="35F01928" w:rsidR="004F2B6F" w:rsidRPr="00AB6B82" w:rsidRDefault="003463B6" w:rsidP="003463B6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apraksta</w:t>
            </w:r>
            <w:proofErr w:type="spellEnd"/>
            <w:r w:rsidRPr="00AB6B82">
              <w:rPr>
                <w:sz w:val="20"/>
                <w:szCs w:val="20"/>
              </w:rPr>
              <w:t xml:space="preserve"> 4.4.apakšpunktā </w:t>
            </w:r>
            <w:proofErr w:type="spellStart"/>
            <w:r w:rsidRPr="00AB6B82">
              <w:rPr>
                <w:sz w:val="20"/>
                <w:szCs w:val="20"/>
              </w:rPr>
              <w:t>iekļauta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norāde</w:t>
            </w:r>
            <w:proofErr w:type="spellEnd"/>
            <w:r w:rsidRPr="00AB6B82">
              <w:rPr>
                <w:sz w:val="20"/>
                <w:szCs w:val="20"/>
              </w:rPr>
              <w:t xml:space="preserve"> par </w:t>
            </w:r>
            <w:proofErr w:type="spellStart"/>
            <w:r w:rsidRPr="00AB6B82">
              <w:rPr>
                <w:sz w:val="20"/>
                <w:szCs w:val="20"/>
              </w:rPr>
              <w:t>piesardzības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ievērošanu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lietojot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vienlaicīgi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monoaminoksidāzes</w:t>
            </w:r>
            <w:proofErr w:type="spellEnd"/>
            <w:r w:rsidRPr="00AB6B82">
              <w:rPr>
                <w:sz w:val="20"/>
                <w:szCs w:val="20"/>
              </w:rPr>
              <w:t xml:space="preserve"> (MAO) </w:t>
            </w:r>
            <w:proofErr w:type="spellStart"/>
            <w:r w:rsidRPr="00AB6B82">
              <w:rPr>
                <w:sz w:val="20"/>
                <w:szCs w:val="20"/>
              </w:rPr>
              <w:t>inhibitoriem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vai</w:t>
            </w:r>
            <w:proofErr w:type="spellEnd"/>
            <w:r w:rsidRPr="00AB6B82">
              <w:rPr>
                <w:sz w:val="20"/>
                <w:szCs w:val="20"/>
              </w:rPr>
              <w:t xml:space="preserve"> CNS </w:t>
            </w:r>
            <w:proofErr w:type="spellStart"/>
            <w:r w:rsidRPr="00AB6B82">
              <w:rPr>
                <w:sz w:val="20"/>
                <w:szCs w:val="20"/>
              </w:rPr>
              <w:t>nomācošajiem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līdzekļiem</w:t>
            </w:r>
            <w:proofErr w:type="spellEnd"/>
            <w:r w:rsidRPr="00AB6B82">
              <w:rPr>
                <w:sz w:val="20"/>
                <w:szCs w:val="20"/>
              </w:rPr>
              <w:t xml:space="preserve">; </w:t>
            </w:r>
            <w:proofErr w:type="spellStart"/>
            <w:r w:rsidRPr="00AB6B82">
              <w:rPr>
                <w:sz w:val="20"/>
                <w:szCs w:val="20"/>
              </w:rPr>
              <w:t>brīdinājums</w:t>
            </w:r>
            <w:proofErr w:type="spellEnd"/>
            <w:r w:rsidRPr="00AB6B82">
              <w:rPr>
                <w:sz w:val="20"/>
                <w:szCs w:val="20"/>
              </w:rPr>
              <w:t xml:space="preserve"> par </w:t>
            </w:r>
            <w:proofErr w:type="spellStart"/>
            <w:r w:rsidRPr="00AB6B82">
              <w:rPr>
                <w:sz w:val="20"/>
                <w:szCs w:val="20"/>
              </w:rPr>
              <w:t>sedācijas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elpošanas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nomākuma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komas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nāves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risku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lietojot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vienlaicīgi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sedatīvaji</w:t>
            </w:r>
            <w:r w:rsidR="0047105C" w:rsidRPr="00AB6B82">
              <w:rPr>
                <w:sz w:val="20"/>
                <w:szCs w:val="20"/>
              </w:rPr>
              <w:t>e</w:t>
            </w:r>
            <w:r w:rsidRPr="00AB6B82">
              <w:rPr>
                <w:sz w:val="20"/>
                <w:szCs w:val="20"/>
              </w:rPr>
              <w:t>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līdzekļiem</w:t>
            </w:r>
            <w:proofErr w:type="spellEnd"/>
            <w:r w:rsidRPr="00AB6B82">
              <w:rPr>
                <w:sz w:val="20"/>
                <w:szCs w:val="20"/>
              </w:rPr>
              <w:t xml:space="preserve"> (</w:t>
            </w:r>
            <w:proofErr w:type="spellStart"/>
            <w:r w:rsidRPr="00AB6B82">
              <w:rPr>
                <w:sz w:val="20"/>
                <w:szCs w:val="20"/>
              </w:rPr>
              <w:t>benzodiazepīniem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vai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līdzīgām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zālēm</w:t>
            </w:r>
            <w:proofErr w:type="spellEnd"/>
            <w:r w:rsidRPr="00AB6B82">
              <w:rPr>
                <w:sz w:val="20"/>
                <w:szCs w:val="20"/>
              </w:rPr>
              <w:t xml:space="preserve">); </w:t>
            </w:r>
            <w:proofErr w:type="spellStart"/>
            <w:r w:rsidRPr="00AB6B82">
              <w:rPr>
                <w:sz w:val="20"/>
                <w:szCs w:val="20"/>
              </w:rPr>
              <w:t>brīdinājums</w:t>
            </w:r>
            <w:proofErr w:type="spellEnd"/>
            <w:r w:rsidRPr="00AB6B82">
              <w:rPr>
                <w:sz w:val="20"/>
                <w:szCs w:val="20"/>
              </w:rPr>
              <w:t xml:space="preserve"> par </w:t>
            </w:r>
            <w:proofErr w:type="spellStart"/>
            <w:r w:rsidRPr="00AB6B82">
              <w:rPr>
                <w:sz w:val="20"/>
                <w:szCs w:val="20"/>
              </w:rPr>
              <w:t>ietekmi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uz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hipofīzes-hipotalāma-virsnieru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vai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dzimumdziedzeru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hormonu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regulējošo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asi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to </w:t>
            </w:r>
            <w:proofErr w:type="spellStart"/>
            <w:r w:rsidRPr="00AB6B82">
              <w:rPr>
                <w:sz w:val="20"/>
                <w:szCs w:val="20"/>
              </w:rPr>
              <w:t>saistītām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hormonālajām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izmaiņām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kuru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rezultātā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var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rasties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klīniski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simptomi</w:t>
            </w:r>
            <w:proofErr w:type="spellEnd"/>
            <w:r w:rsidRPr="00AB6B82">
              <w:rPr>
                <w:sz w:val="20"/>
                <w:szCs w:val="20"/>
              </w:rPr>
              <w:t xml:space="preserve">. </w:t>
            </w:r>
            <w:r w:rsidR="004F2B6F" w:rsidRPr="00AB6B82">
              <w:rPr>
                <w:sz w:val="20"/>
                <w:szCs w:val="20"/>
              </w:rPr>
              <w:t xml:space="preserve">4.5. </w:t>
            </w:r>
            <w:proofErr w:type="spellStart"/>
            <w:r w:rsidR="004F2B6F" w:rsidRPr="00AB6B82">
              <w:rPr>
                <w:sz w:val="20"/>
                <w:szCs w:val="20"/>
              </w:rPr>
              <w:t>apakšpunktā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iekļauta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mijiedarbība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ar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CNS </w:t>
            </w:r>
            <w:proofErr w:type="spellStart"/>
            <w:r w:rsidR="004F2B6F" w:rsidRPr="00AB6B82">
              <w:rPr>
                <w:sz w:val="20"/>
                <w:szCs w:val="20"/>
              </w:rPr>
              <w:t>nomācošajām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zālēm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. 5.1. </w:t>
            </w:r>
            <w:proofErr w:type="spellStart"/>
            <w:r w:rsidR="004F2B6F" w:rsidRPr="00AB6B82">
              <w:rPr>
                <w:sz w:val="20"/>
                <w:szCs w:val="20"/>
              </w:rPr>
              <w:t>apakšpunktā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svītrota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informācija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par </w:t>
            </w:r>
            <w:proofErr w:type="spellStart"/>
            <w:r w:rsidR="004F2B6F" w:rsidRPr="00AB6B82">
              <w:rPr>
                <w:sz w:val="20"/>
                <w:szCs w:val="20"/>
              </w:rPr>
              <w:t>opioīdu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ietekmi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uz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endokrīno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sistēmu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, </w:t>
            </w:r>
            <w:proofErr w:type="spellStart"/>
            <w:r w:rsidR="004F2B6F" w:rsidRPr="00AB6B82">
              <w:rPr>
                <w:sz w:val="20"/>
                <w:szCs w:val="20"/>
              </w:rPr>
              <w:t>norādot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atsauci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uz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4.4. </w:t>
            </w:r>
            <w:proofErr w:type="spellStart"/>
            <w:r w:rsidR="004F2B6F" w:rsidRPr="00AB6B82">
              <w:rPr>
                <w:sz w:val="20"/>
                <w:szCs w:val="20"/>
              </w:rPr>
              <w:t>apakšpunktā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iekļauto</w:t>
            </w:r>
            <w:proofErr w:type="spellEnd"/>
            <w:r w:rsidR="004F2B6F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4F2B6F" w:rsidRPr="00AB6B82">
              <w:rPr>
                <w:sz w:val="20"/>
                <w:szCs w:val="20"/>
              </w:rPr>
              <w:t>informāciju</w:t>
            </w:r>
            <w:proofErr w:type="spellEnd"/>
            <w:r w:rsidR="004F2B6F" w:rsidRPr="00AB6B82">
              <w:rPr>
                <w:sz w:val="20"/>
                <w:szCs w:val="20"/>
              </w:rPr>
              <w:t>.</w:t>
            </w:r>
          </w:p>
          <w:p w14:paraId="472351DD" w14:textId="651E7E72" w:rsidR="000F702E" w:rsidRPr="00AB6B82" w:rsidRDefault="00CE0A4E" w:rsidP="00CE0A4E">
            <w:pPr>
              <w:spacing w:after="240"/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 xml:space="preserve">4.8. </w:t>
            </w:r>
            <w:proofErr w:type="spellStart"/>
            <w:r w:rsidRPr="00AB6B82">
              <w:rPr>
                <w:sz w:val="20"/>
                <w:szCs w:val="20"/>
              </w:rPr>
              <w:t>apakšpunktā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nevēlamajai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blakusparādībai</w:t>
            </w:r>
            <w:proofErr w:type="spellEnd"/>
            <w:r w:rsidRPr="00AB6B82">
              <w:rPr>
                <w:sz w:val="20"/>
                <w:szCs w:val="20"/>
              </w:rPr>
              <w:t xml:space="preserve"> "</w:t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atkarība</w:t>
            </w:r>
            <w:proofErr w:type="spellEnd"/>
            <w:r w:rsidRPr="00AB6B82">
              <w:rPr>
                <w:sz w:val="20"/>
                <w:szCs w:val="20"/>
              </w:rPr>
              <w:t xml:space="preserve">" </w:t>
            </w:r>
            <w:proofErr w:type="spellStart"/>
            <w:r w:rsidRPr="00AB6B82">
              <w:rPr>
                <w:sz w:val="20"/>
                <w:szCs w:val="20"/>
              </w:rPr>
              <w:t>mainīts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biežums</w:t>
            </w:r>
            <w:proofErr w:type="spellEnd"/>
            <w:r w:rsidRPr="00AB6B82">
              <w:rPr>
                <w:sz w:val="20"/>
                <w:szCs w:val="20"/>
              </w:rPr>
              <w:t xml:space="preserve"> no "</w:t>
            </w:r>
            <w:proofErr w:type="spellStart"/>
            <w:r w:rsidRPr="00AB6B82">
              <w:rPr>
                <w:sz w:val="20"/>
                <w:szCs w:val="20"/>
              </w:rPr>
              <w:t>retāk</w:t>
            </w:r>
            <w:proofErr w:type="spellEnd"/>
            <w:r w:rsidRPr="00AB6B82">
              <w:rPr>
                <w:sz w:val="20"/>
                <w:szCs w:val="20"/>
              </w:rPr>
              <w:t xml:space="preserve">" </w:t>
            </w:r>
            <w:proofErr w:type="spellStart"/>
            <w:r w:rsidRPr="00AB6B82">
              <w:rPr>
                <w:sz w:val="20"/>
                <w:szCs w:val="20"/>
              </w:rPr>
              <w:t>uz</w:t>
            </w:r>
            <w:proofErr w:type="spellEnd"/>
            <w:r w:rsidRPr="00AB6B82">
              <w:rPr>
                <w:sz w:val="20"/>
                <w:szCs w:val="20"/>
              </w:rPr>
              <w:t xml:space="preserve"> "</w:t>
            </w:r>
            <w:proofErr w:type="spellStart"/>
            <w:r w:rsidRPr="00AB6B82">
              <w:rPr>
                <w:sz w:val="20"/>
                <w:szCs w:val="20"/>
              </w:rPr>
              <w:t>reti</w:t>
            </w:r>
            <w:proofErr w:type="spellEnd"/>
            <w:r w:rsidRPr="00AB6B82">
              <w:rPr>
                <w:sz w:val="20"/>
                <w:szCs w:val="20"/>
              </w:rPr>
              <w:t xml:space="preserve">", </w:t>
            </w:r>
            <w:proofErr w:type="spellStart"/>
            <w:r w:rsidRPr="00AB6B82">
              <w:rPr>
                <w:sz w:val="20"/>
                <w:szCs w:val="20"/>
              </w:rPr>
              <w:t>nevēlamā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blakusparādība</w:t>
            </w:r>
            <w:proofErr w:type="spellEnd"/>
            <w:r w:rsidRPr="00AB6B82">
              <w:rPr>
                <w:sz w:val="20"/>
                <w:szCs w:val="20"/>
              </w:rPr>
              <w:t xml:space="preserve"> "</w:t>
            </w:r>
            <w:proofErr w:type="spellStart"/>
            <w:r w:rsidRPr="00AB6B82">
              <w:rPr>
                <w:sz w:val="20"/>
                <w:szCs w:val="20"/>
              </w:rPr>
              <w:t>agresija</w:t>
            </w:r>
            <w:proofErr w:type="spellEnd"/>
            <w:r w:rsidRPr="00AB6B82">
              <w:rPr>
                <w:sz w:val="20"/>
                <w:szCs w:val="20"/>
              </w:rPr>
              <w:t xml:space="preserve">" </w:t>
            </w:r>
            <w:proofErr w:type="spellStart"/>
            <w:r w:rsidRPr="00AB6B82">
              <w:rPr>
                <w:sz w:val="20"/>
                <w:szCs w:val="20"/>
              </w:rPr>
              <w:t>norādīta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blakusparādību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kas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attiecināmas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uz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fiksēto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kombināciju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sarakstā</w:t>
            </w:r>
            <w:proofErr w:type="spellEnd"/>
            <w:r w:rsidRPr="00AB6B82">
              <w:rPr>
                <w:sz w:val="20"/>
                <w:szCs w:val="20"/>
              </w:rPr>
              <w:t xml:space="preserve">. </w:t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apraksts</w:t>
            </w:r>
            <w:proofErr w:type="spellEnd"/>
            <w:r w:rsidRPr="00AB6B82">
              <w:rPr>
                <w:sz w:val="20"/>
                <w:szCs w:val="20"/>
              </w:rPr>
              <w:t xml:space="preserve"> un </w:t>
            </w:r>
            <w:proofErr w:type="spellStart"/>
            <w:r w:rsidRPr="00AB6B82">
              <w:rPr>
                <w:sz w:val="20"/>
                <w:szCs w:val="20"/>
              </w:rPr>
              <w:t>lietošanas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instrukcija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saskaņoti</w:t>
            </w:r>
            <w:proofErr w:type="spellEnd"/>
            <w:r w:rsidRPr="00AB6B82">
              <w:rPr>
                <w:sz w:val="20"/>
                <w:szCs w:val="20"/>
              </w:rPr>
              <w:t>.</w:t>
            </w:r>
          </w:p>
        </w:tc>
      </w:tr>
      <w:tr w:rsidR="000F702E" w:rsidRPr="00DE4ABF" w14:paraId="78FF093B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66F9" w14:textId="787AD71F" w:rsidR="000F702E" w:rsidRPr="00DE4ABF" w:rsidRDefault="007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AD6" w14:textId="04009CB3" w:rsidR="00AE6B2B" w:rsidRPr="00AB6B82" w:rsidRDefault="00742C4B" w:rsidP="00742C4B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98-0099</w:t>
            </w:r>
          </w:p>
          <w:p w14:paraId="0A3F07DE" w14:textId="2ECD6A64" w:rsidR="00AE6B2B" w:rsidRPr="00AB6B82" w:rsidRDefault="002E7E40" w:rsidP="002E7E40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98-0100</w:t>
            </w:r>
          </w:p>
          <w:p w14:paraId="73E225DE" w14:textId="606E5425" w:rsidR="00AE6B2B" w:rsidRPr="00AB6B82" w:rsidRDefault="002E7E40" w:rsidP="002E7E40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98-0101</w:t>
            </w:r>
          </w:p>
          <w:p w14:paraId="45D71FF1" w14:textId="59F6C1A6" w:rsidR="002E7E40" w:rsidRPr="00AB6B82" w:rsidRDefault="00A538D6" w:rsidP="00742C4B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98-0102</w:t>
            </w:r>
          </w:p>
          <w:p w14:paraId="466FA193" w14:textId="77777777" w:rsidR="00335D95" w:rsidRPr="00AB6B82" w:rsidRDefault="00335D95" w:rsidP="00335D95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>01-0372</w:t>
            </w:r>
          </w:p>
          <w:p w14:paraId="2374324E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6AD" w14:textId="0E7190DB" w:rsidR="00AE6B2B" w:rsidRPr="00AB6B82" w:rsidRDefault="002E7E40" w:rsidP="00742C4B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Rispolept</w:t>
            </w:r>
            <w:proofErr w:type="spellEnd"/>
            <w:r w:rsidRPr="00AB6B82">
              <w:rPr>
                <w:sz w:val="20"/>
                <w:szCs w:val="20"/>
              </w:rPr>
              <w:t xml:space="preserve"> 1 mg, </w:t>
            </w:r>
          </w:p>
          <w:p w14:paraId="277FC4CD" w14:textId="339FFC2C" w:rsidR="00AE6B2B" w:rsidRPr="00AB6B82" w:rsidRDefault="002E7E40" w:rsidP="00742C4B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Rispolept</w:t>
            </w:r>
            <w:proofErr w:type="spellEnd"/>
            <w:r w:rsidRPr="00AB6B82">
              <w:rPr>
                <w:sz w:val="20"/>
                <w:szCs w:val="20"/>
              </w:rPr>
              <w:t xml:space="preserve"> 2 mg, </w:t>
            </w:r>
          </w:p>
          <w:p w14:paraId="212E2949" w14:textId="218883B8" w:rsidR="00AE6B2B" w:rsidRPr="00AB6B82" w:rsidRDefault="002E7E40" w:rsidP="00742C4B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Rispolept</w:t>
            </w:r>
            <w:proofErr w:type="spellEnd"/>
            <w:r w:rsidRPr="00AB6B82">
              <w:rPr>
                <w:sz w:val="20"/>
                <w:szCs w:val="20"/>
              </w:rPr>
              <w:t xml:space="preserve"> 3 mg</w:t>
            </w:r>
            <w:r w:rsidR="00A538D6" w:rsidRPr="00AB6B82">
              <w:rPr>
                <w:sz w:val="20"/>
                <w:szCs w:val="20"/>
              </w:rPr>
              <w:t xml:space="preserve">, </w:t>
            </w:r>
          </w:p>
          <w:p w14:paraId="15E80101" w14:textId="523D9FF4" w:rsidR="00742C4B" w:rsidRPr="00AB6B82" w:rsidRDefault="00A538D6" w:rsidP="00742C4B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Rispolept</w:t>
            </w:r>
            <w:proofErr w:type="spellEnd"/>
            <w:r w:rsidRPr="00AB6B82">
              <w:rPr>
                <w:sz w:val="20"/>
                <w:szCs w:val="20"/>
              </w:rPr>
              <w:t xml:space="preserve"> 4 mg </w:t>
            </w:r>
            <w:proofErr w:type="spellStart"/>
            <w:r w:rsidR="00742C4B" w:rsidRPr="00AB6B82">
              <w:rPr>
                <w:sz w:val="20"/>
                <w:szCs w:val="20"/>
              </w:rPr>
              <w:t>apvalkotās</w:t>
            </w:r>
            <w:proofErr w:type="spellEnd"/>
            <w:r w:rsidR="00742C4B" w:rsidRPr="00AB6B82">
              <w:rPr>
                <w:sz w:val="20"/>
                <w:szCs w:val="20"/>
              </w:rPr>
              <w:t xml:space="preserve"> </w:t>
            </w:r>
            <w:proofErr w:type="spellStart"/>
            <w:r w:rsidR="00742C4B" w:rsidRPr="00AB6B82">
              <w:rPr>
                <w:sz w:val="20"/>
                <w:szCs w:val="20"/>
              </w:rPr>
              <w:t>tabletes</w:t>
            </w:r>
            <w:proofErr w:type="spellEnd"/>
          </w:p>
          <w:p w14:paraId="2130002E" w14:textId="77777777" w:rsidR="00335D95" w:rsidRPr="00AB6B82" w:rsidRDefault="00335D95" w:rsidP="00335D95">
            <w:pPr>
              <w:rPr>
                <w:sz w:val="20"/>
                <w:szCs w:val="20"/>
              </w:rPr>
            </w:pPr>
          </w:p>
          <w:p w14:paraId="1ED45D3C" w14:textId="5218EC59" w:rsidR="00335D95" w:rsidRPr="00AB6B82" w:rsidRDefault="00335D95" w:rsidP="00335D95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Rispolept</w:t>
            </w:r>
            <w:proofErr w:type="spellEnd"/>
            <w:r w:rsidRPr="00AB6B82">
              <w:rPr>
                <w:sz w:val="20"/>
                <w:szCs w:val="20"/>
              </w:rPr>
              <w:t xml:space="preserve"> 1 mg/ml </w:t>
            </w:r>
            <w:proofErr w:type="spellStart"/>
            <w:r w:rsidRPr="00AB6B82">
              <w:rPr>
                <w:sz w:val="20"/>
                <w:szCs w:val="20"/>
              </w:rPr>
              <w:t>šķīdums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iekšķīgai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lietošanai</w:t>
            </w:r>
            <w:proofErr w:type="spellEnd"/>
          </w:p>
          <w:p w14:paraId="3BBA97A1" w14:textId="77777777" w:rsidR="000F702E" w:rsidRPr="00AB6B82" w:rsidRDefault="000F702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F2A" w14:textId="77777777" w:rsidR="00742C4B" w:rsidRPr="00AB6B82" w:rsidRDefault="00742C4B" w:rsidP="00742C4B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Risperidonum</w:t>
            </w:r>
            <w:proofErr w:type="spellEnd"/>
          </w:p>
          <w:p w14:paraId="0057C54C" w14:textId="3DBB2E19" w:rsidR="00742C4B" w:rsidRPr="00AB6B82" w:rsidRDefault="00742C4B">
            <w:pPr>
              <w:rPr>
                <w:bCs/>
                <w:sz w:val="20"/>
                <w:szCs w:val="20"/>
              </w:rPr>
            </w:pPr>
          </w:p>
          <w:p w14:paraId="50E43824" w14:textId="7206CC57" w:rsidR="00742C4B" w:rsidRPr="00AB6B82" w:rsidRDefault="00742C4B" w:rsidP="00742C4B">
            <w:pPr>
              <w:rPr>
                <w:sz w:val="20"/>
                <w:szCs w:val="20"/>
              </w:rPr>
            </w:pPr>
          </w:p>
          <w:p w14:paraId="09DA0BD0" w14:textId="77777777" w:rsidR="000F702E" w:rsidRPr="00AB6B82" w:rsidRDefault="000F702E" w:rsidP="00742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E4F" w14:textId="77777777" w:rsidR="00742C4B" w:rsidRPr="00AB6B82" w:rsidRDefault="00742C4B" w:rsidP="00742C4B">
            <w:pPr>
              <w:rPr>
                <w:sz w:val="20"/>
                <w:szCs w:val="20"/>
              </w:rPr>
            </w:pPr>
            <w:r w:rsidRPr="00AB6B82">
              <w:rPr>
                <w:sz w:val="20"/>
                <w:szCs w:val="20"/>
              </w:rPr>
              <w:t xml:space="preserve">Johnson &amp; Johnson, UAB, </w:t>
            </w:r>
            <w:proofErr w:type="spellStart"/>
            <w:r w:rsidRPr="00AB6B82">
              <w:rPr>
                <w:sz w:val="20"/>
                <w:szCs w:val="20"/>
              </w:rPr>
              <w:t>Lietuva</w:t>
            </w:r>
            <w:proofErr w:type="spellEnd"/>
          </w:p>
          <w:p w14:paraId="4238A4DD" w14:textId="77777777" w:rsidR="000F702E" w:rsidRPr="00AB6B82" w:rsidRDefault="000F702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939" w14:textId="0BDE8EFE" w:rsidR="00693F6D" w:rsidRPr="00AB6B82" w:rsidRDefault="00693F6D" w:rsidP="00693F6D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aprakstā</w:t>
            </w:r>
            <w:proofErr w:type="spellEnd"/>
            <w:r w:rsidRPr="00AB6B82">
              <w:rPr>
                <w:sz w:val="20"/>
                <w:szCs w:val="20"/>
              </w:rPr>
              <w:t xml:space="preserve"> 4.2. </w:t>
            </w:r>
            <w:proofErr w:type="spellStart"/>
            <w:r w:rsidRPr="00AB6B82">
              <w:rPr>
                <w:sz w:val="20"/>
                <w:szCs w:val="20"/>
              </w:rPr>
              <w:t>apakšpunktā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pievienots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skaidrojums</w:t>
            </w:r>
            <w:proofErr w:type="spellEnd"/>
            <w:r w:rsidRPr="00AB6B82">
              <w:rPr>
                <w:sz w:val="20"/>
                <w:szCs w:val="20"/>
              </w:rPr>
              <w:t xml:space="preserve">, </w:t>
            </w:r>
            <w:proofErr w:type="spellStart"/>
            <w:r w:rsidRPr="00AB6B82">
              <w:rPr>
                <w:sz w:val="20"/>
                <w:szCs w:val="20"/>
              </w:rPr>
              <w:t>ka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šķīdums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iekšķīgai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lietošanai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ieteicamā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forma, </w:t>
            </w:r>
            <w:proofErr w:type="spellStart"/>
            <w:r w:rsidRPr="00AB6B82">
              <w:rPr>
                <w:sz w:val="20"/>
                <w:szCs w:val="20"/>
              </w:rPr>
              <w:t>lai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saņemtu</w:t>
            </w:r>
            <w:proofErr w:type="spellEnd"/>
            <w:r w:rsidRPr="00AB6B82">
              <w:rPr>
                <w:sz w:val="20"/>
                <w:szCs w:val="20"/>
              </w:rPr>
              <w:t xml:space="preserve"> 0,25 mg. 4.9. </w:t>
            </w:r>
            <w:proofErr w:type="spellStart"/>
            <w:r w:rsidRPr="00AB6B82">
              <w:rPr>
                <w:sz w:val="20"/>
                <w:szCs w:val="20"/>
              </w:rPr>
              <w:t>apakšpunktā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svītrota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informācija</w:t>
            </w:r>
            <w:proofErr w:type="spellEnd"/>
            <w:r w:rsidRPr="00AB6B82">
              <w:rPr>
                <w:sz w:val="20"/>
                <w:szCs w:val="20"/>
              </w:rPr>
              <w:t>- "</w:t>
            </w:r>
            <w:proofErr w:type="spellStart"/>
            <w:r w:rsidRPr="00AB6B82">
              <w:rPr>
                <w:sz w:val="20"/>
                <w:szCs w:val="20"/>
              </w:rPr>
              <w:t>jāapsver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kuņģa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skalošanas</w:t>
            </w:r>
            <w:proofErr w:type="spellEnd"/>
            <w:r w:rsidRPr="00AB6B82">
              <w:rPr>
                <w:sz w:val="20"/>
                <w:szCs w:val="20"/>
              </w:rPr>
              <w:t xml:space="preserve"> (</w:t>
            </w:r>
            <w:proofErr w:type="spellStart"/>
            <w:r w:rsidRPr="00AB6B82">
              <w:rPr>
                <w:sz w:val="20"/>
                <w:szCs w:val="20"/>
              </w:rPr>
              <w:t>pēc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intubācijas</w:t>
            </w:r>
            <w:proofErr w:type="spellEnd"/>
            <w:r w:rsidRPr="00AB6B82">
              <w:rPr>
                <w:sz w:val="20"/>
                <w:szCs w:val="20"/>
              </w:rPr>
              <w:t xml:space="preserve">, ja </w:t>
            </w:r>
            <w:proofErr w:type="spellStart"/>
            <w:r w:rsidRPr="00AB6B82">
              <w:rPr>
                <w:sz w:val="20"/>
                <w:szCs w:val="20"/>
              </w:rPr>
              <w:t>pacients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bezsamaņā</w:t>
            </w:r>
            <w:proofErr w:type="spellEnd"/>
            <w:r w:rsidRPr="00AB6B82">
              <w:rPr>
                <w:sz w:val="20"/>
                <w:szCs w:val="20"/>
              </w:rPr>
              <w:t xml:space="preserve">) </w:t>
            </w:r>
            <w:proofErr w:type="spellStart"/>
            <w:r w:rsidRPr="00AB6B82">
              <w:rPr>
                <w:sz w:val="20"/>
                <w:szCs w:val="20"/>
              </w:rPr>
              <w:t>lietošana</w:t>
            </w:r>
            <w:proofErr w:type="spellEnd"/>
            <w:r w:rsidR="00335D95" w:rsidRPr="00AB6B82">
              <w:rPr>
                <w:sz w:val="20"/>
                <w:szCs w:val="20"/>
              </w:rPr>
              <w:t>”</w:t>
            </w:r>
            <w:r w:rsidRPr="00AB6B82">
              <w:rPr>
                <w:sz w:val="20"/>
                <w:szCs w:val="20"/>
              </w:rPr>
              <w:t xml:space="preserve">. </w:t>
            </w:r>
          </w:p>
          <w:p w14:paraId="3597F76A" w14:textId="77777777" w:rsidR="00B81840" w:rsidRPr="00AB6B82" w:rsidRDefault="00B81840" w:rsidP="00B81840">
            <w:pPr>
              <w:rPr>
                <w:sz w:val="20"/>
                <w:szCs w:val="20"/>
              </w:rPr>
            </w:pPr>
            <w:proofErr w:type="spellStart"/>
            <w:r w:rsidRPr="00AB6B82">
              <w:rPr>
                <w:sz w:val="20"/>
                <w:szCs w:val="20"/>
              </w:rPr>
              <w:t>Lietošanas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instrukcija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atjaunota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saskaņā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ar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zāļu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aprakstu</w:t>
            </w:r>
            <w:proofErr w:type="spellEnd"/>
            <w:r w:rsidRPr="00AB6B82">
              <w:rPr>
                <w:sz w:val="20"/>
                <w:szCs w:val="20"/>
              </w:rPr>
              <w:t xml:space="preserve">. </w:t>
            </w:r>
            <w:proofErr w:type="spellStart"/>
            <w:r w:rsidRPr="00AB6B82">
              <w:rPr>
                <w:sz w:val="20"/>
                <w:szCs w:val="20"/>
              </w:rPr>
              <w:t>Koriģēta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Rispolept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šķīduma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lietošanas</w:t>
            </w:r>
            <w:proofErr w:type="spellEnd"/>
            <w:r w:rsidRPr="00AB6B82">
              <w:rPr>
                <w:sz w:val="20"/>
                <w:szCs w:val="20"/>
              </w:rPr>
              <w:t xml:space="preserve"> </w:t>
            </w:r>
            <w:proofErr w:type="spellStart"/>
            <w:r w:rsidRPr="00AB6B82">
              <w:rPr>
                <w:sz w:val="20"/>
                <w:szCs w:val="20"/>
              </w:rPr>
              <w:t>shēma</w:t>
            </w:r>
            <w:proofErr w:type="spellEnd"/>
            <w:r w:rsidRPr="00AB6B82">
              <w:rPr>
                <w:sz w:val="20"/>
                <w:szCs w:val="20"/>
              </w:rPr>
              <w:t>.</w:t>
            </w:r>
          </w:p>
          <w:p w14:paraId="12198B3B" w14:textId="77777777" w:rsidR="000F702E" w:rsidRPr="00AB6B82" w:rsidRDefault="000F702E">
            <w:pPr>
              <w:rPr>
                <w:sz w:val="20"/>
                <w:szCs w:val="20"/>
              </w:rPr>
            </w:pPr>
          </w:p>
        </w:tc>
      </w:tr>
    </w:tbl>
    <w:p w14:paraId="00E8B7ED" w14:textId="77777777" w:rsidR="00067900" w:rsidRDefault="00067900" w:rsidP="00C26FA4">
      <w:pPr>
        <w:ind w:right="-10"/>
        <w:jc w:val="both"/>
        <w:rPr>
          <w:b/>
          <w:sz w:val="22"/>
          <w:szCs w:val="22"/>
          <w:lang w:val="lv-LV"/>
        </w:rPr>
      </w:pPr>
    </w:p>
    <w:sectPr w:rsidR="00067900">
      <w:type w:val="continuous"/>
      <w:pgSz w:w="16838" w:h="11906" w:orient="landscape"/>
      <w:pgMar w:top="1134" w:right="680" w:bottom="1134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C565F" w14:textId="77777777" w:rsidR="000E0341" w:rsidRDefault="000E0341" w:rsidP="002153D8">
      <w:r>
        <w:separator/>
      </w:r>
    </w:p>
  </w:endnote>
  <w:endnote w:type="continuationSeparator" w:id="0">
    <w:p w14:paraId="119BB873" w14:textId="77777777" w:rsidR="000E0341" w:rsidRDefault="000E0341" w:rsidP="0021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15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85BE3" w14:textId="1970AA96" w:rsidR="001E0CE9" w:rsidRDefault="001E0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9D374" w14:textId="77777777" w:rsidR="001E0CE9" w:rsidRDefault="001E0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4DA37" w14:textId="77777777" w:rsidR="000E0341" w:rsidRDefault="000E0341" w:rsidP="002153D8">
      <w:r>
        <w:separator/>
      </w:r>
    </w:p>
  </w:footnote>
  <w:footnote w:type="continuationSeparator" w:id="0">
    <w:p w14:paraId="39C4FEE8" w14:textId="77777777" w:rsidR="000E0341" w:rsidRDefault="000E0341" w:rsidP="0021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35"/>
    <w:rsid w:val="00002B80"/>
    <w:rsid w:val="000128EE"/>
    <w:rsid w:val="00013AB3"/>
    <w:rsid w:val="00025DC9"/>
    <w:rsid w:val="00032130"/>
    <w:rsid w:val="00043E5A"/>
    <w:rsid w:val="00046C88"/>
    <w:rsid w:val="00050F5F"/>
    <w:rsid w:val="00064810"/>
    <w:rsid w:val="00067900"/>
    <w:rsid w:val="00073176"/>
    <w:rsid w:val="00083579"/>
    <w:rsid w:val="00083B82"/>
    <w:rsid w:val="000843C6"/>
    <w:rsid w:val="0008583C"/>
    <w:rsid w:val="00091EC5"/>
    <w:rsid w:val="00093C84"/>
    <w:rsid w:val="00096625"/>
    <w:rsid w:val="000A0C9D"/>
    <w:rsid w:val="000A4671"/>
    <w:rsid w:val="000B4E55"/>
    <w:rsid w:val="000B7DD2"/>
    <w:rsid w:val="000C2269"/>
    <w:rsid w:val="000C3F7A"/>
    <w:rsid w:val="000D447C"/>
    <w:rsid w:val="000D5702"/>
    <w:rsid w:val="000E0341"/>
    <w:rsid w:val="000E730F"/>
    <w:rsid w:val="000F0F2A"/>
    <w:rsid w:val="000F30E8"/>
    <w:rsid w:val="000F702E"/>
    <w:rsid w:val="00100CF2"/>
    <w:rsid w:val="00101D11"/>
    <w:rsid w:val="00102222"/>
    <w:rsid w:val="001024D0"/>
    <w:rsid w:val="00106BB2"/>
    <w:rsid w:val="0011004E"/>
    <w:rsid w:val="0011317C"/>
    <w:rsid w:val="001207DE"/>
    <w:rsid w:val="0012279E"/>
    <w:rsid w:val="00122A11"/>
    <w:rsid w:val="00126D4D"/>
    <w:rsid w:val="001362B4"/>
    <w:rsid w:val="00141C44"/>
    <w:rsid w:val="00147771"/>
    <w:rsid w:val="00151B9A"/>
    <w:rsid w:val="001532A7"/>
    <w:rsid w:val="001556F4"/>
    <w:rsid w:val="001630D3"/>
    <w:rsid w:val="001632D0"/>
    <w:rsid w:val="001705B8"/>
    <w:rsid w:val="001731F9"/>
    <w:rsid w:val="00180FA8"/>
    <w:rsid w:val="00182298"/>
    <w:rsid w:val="001A0AEA"/>
    <w:rsid w:val="001A29ED"/>
    <w:rsid w:val="001A5B87"/>
    <w:rsid w:val="001B030B"/>
    <w:rsid w:val="001B5496"/>
    <w:rsid w:val="001B7609"/>
    <w:rsid w:val="001D5AC5"/>
    <w:rsid w:val="001D60F4"/>
    <w:rsid w:val="001E0CE9"/>
    <w:rsid w:val="001E4FA7"/>
    <w:rsid w:val="001E4FCD"/>
    <w:rsid w:val="001E681B"/>
    <w:rsid w:val="001E6CED"/>
    <w:rsid w:val="001F2656"/>
    <w:rsid w:val="001F2DF3"/>
    <w:rsid w:val="0020149E"/>
    <w:rsid w:val="002052B5"/>
    <w:rsid w:val="002052F9"/>
    <w:rsid w:val="00214B08"/>
    <w:rsid w:val="002153D8"/>
    <w:rsid w:val="002215C6"/>
    <w:rsid w:val="00223DD5"/>
    <w:rsid w:val="00225C74"/>
    <w:rsid w:val="002333B1"/>
    <w:rsid w:val="0023651B"/>
    <w:rsid w:val="002412C0"/>
    <w:rsid w:val="002419C4"/>
    <w:rsid w:val="00242B6F"/>
    <w:rsid w:val="002434A9"/>
    <w:rsid w:val="00245A9E"/>
    <w:rsid w:val="002504FB"/>
    <w:rsid w:val="0025421C"/>
    <w:rsid w:val="002566F9"/>
    <w:rsid w:val="00260497"/>
    <w:rsid w:val="00260893"/>
    <w:rsid w:val="00260C38"/>
    <w:rsid w:val="002630CF"/>
    <w:rsid w:val="00264B39"/>
    <w:rsid w:val="00271C48"/>
    <w:rsid w:val="00274EE8"/>
    <w:rsid w:val="00285284"/>
    <w:rsid w:val="00285709"/>
    <w:rsid w:val="00290C41"/>
    <w:rsid w:val="002912F3"/>
    <w:rsid w:val="0029727D"/>
    <w:rsid w:val="002A4D70"/>
    <w:rsid w:val="002A6B86"/>
    <w:rsid w:val="002B1754"/>
    <w:rsid w:val="002B1AD3"/>
    <w:rsid w:val="002B3F6D"/>
    <w:rsid w:val="002B4110"/>
    <w:rsid w:val="002C57F9"/>
    <w:rsid w:val="002C581C"/>
    <w:rsid w:val="002D108C"/>
    <w:rsid w:val="002E3C04"/>
    <w:rsid w:val="002E4190"/>
    <w:rsid w:val="002E7E40"/>
    <w:rsid w:val="002F0833"/>
    <w:rsid w:val="00301FD2"/>
    <w:rsid w:val="0030608E"/>
    <w:rsid w:val="00314AD7"/>
    <w:rsid w:val="00326D2A"/>
    <w:rsid w:val="00335D95"/>
    <w:rsid w:val="0033645E"/>
    <w:rsid w:val="003365A3"/>
    <w:rsid w:val="0034288F"/>
    <w:rsid w:val="00344852"/>
    <w:rsid w:val="0034576D"/>
    <w:rsid w:val="003463B6"/>
    <w:rsid w:val="00347958"/>
    <w:rsid w:val="00352412"/>
    <w:rsid w:val="00354F7B"/>
    <w:rsid w:val="00356738"/>
    <w:rsid w:val="00356B47"/>
    <w:rsid w:val="003574E0"/>
    <w:rsid w:val="00370AC9"/>
    <w:rsid w:val="00371F13"/>
    <w:rsid w:val="0037275A"/>
    <w:rsid w:val="00387FA3"/>
    <w:rsid w:val="00395B52"/>
    <w:rsid w:val="00396FC0"/>
    <w:rsid w:val="00397772"/>
    <w:rsid w:val="00397B54"/>
    <w:rsid w:val="003A1DAC"/>
    <w:rsid w:val="003A63A5"/>
    <w:rsid w:val="003B706B"/>
    <w:rsid w:val="003B7366"/>
    <w:rsid w:val="003C0275"/>
    <w:rsid w:val="003C2793"/>
    <w:rsid w:val="003D1F3F"/>
    <w:rsid w:val="003E079B"/>
    <w:rsid w:val="003E4C70"/>
    <w:rsid w:val="003E7CC6"/>
    <w:rsid w:val="004020A2"/>
    <w:rsid w:val="004023A7"/>
    <w:rsid w:val="00406ADD"/>
    <w:rsid w:val="00410E5E"/>
    <w:rsid w:val="00412205"/>
    <w:rsid w:val="004150D5"/>
    <w:rsid w:val="00416E4F"/>
    <w:rsid w:val="00421074"/>
    <w:rsid w:val="00422AFD"/>
    <w:rsid w:val="00433FE9"/>
    <w:rsid w:val="00436438"/>
    <w:rsid w:val="004405CC"/>
    <w:rsid w:val="004567C4"/>
    <w:rsid w:val="00457FEB"/>
    <w:rsid w:val="00466894"/>
    <w:rsid w:val="0047105C"/>
    <w:rsid w:val="0047634F"/>
    <w:rsid w:val="004868C5"/>
    <w:rsid w:val="00490330"/>
    <w:rsid w:val="004A2F96"/>
    <w:rsid w:val="004A401F"/>
    <w:rsid w:val="004A5E6A"/>
    <w:rsid w:val="004B00EF"/>
    <w:rsid w:val="004B3D12"/>
    <w:rsid w:val="004B7319"/>
    <w:rsid w:val="004C1906"/>
    <w:rsid w:val="004C2F57"/>
    <w:rsid w:val="004C3995"/>
    <w:rsid w:val="004C4A50"/>
    <w:rsid w:val="004C6D6D"/>
    <w:rsid w:val="004C76B6"/>
    <w:rsid w:val="004D40CB"/>
    <w:rsid w:val="004E0FD3"/>
    <w:rsid w:val="004E1EBC"/>
    <w:rsid w:val="004E6379"/>
    <w:rsid w:val="004F2B6F"/>
    <w:rsid w:val="004F634F"/>
    <w:rsid w:val="005051D4"/>
    <w:rsid w:val="0051073E"/>
    <w:rsid w:val="005117EC"/>
    <w:rsid w:val="0051398E"/>
    <w:rsid w:val="0051585D"/>
    <w:rsid w:val="00516926"/>
    <w:rsid w:val="00520138"/>
    <w:rsid w:val="00523BB8"/>
    <w:rsid w:val="005247A2"/>
    <w:rsid w:val="00526C11"/>
    <w:rsid w:val="00547021"/>
    <w:rsid w:val="005501CE"/>
    <w:rsid w:val="00560B69"/>
    <w:rsid w:val="005629AF"/>
    <w:rsid w:val="00562D04"/>
    <w:rsid w:val="00565FC6"/>
    <w:rsid w:val="0057027A"/>
    <w:rsid w:val="005722AF"/>
    <w:rsid w:val="005728F3"/>
    <w:rsid w:val="00581544"/>
    <w:rsid w:val="00593128"/>
    <w:rsid w:val="00597534"/>
    <w:rsid w:val="005A025E"/>
    <w:rsid w:val="005B0029"/>
    <w:rsid w:val="005B329A"/>
    <w:rsid w:val="005B52C2"/>
    <w:rsid w:val="005B6A3D"/>
    <w:rsid w:val="005C1E88"/>
    <w:rsid w:val="005C2AA7"/>
    <w:rsid w:val="005C5FBD"/>
    <w:rsid w:val="005D488C"/>
    <w:rsid w:val="005E17DE"/>
    <w:rsid w:val="005E7DC8"/>
    <w:rsid w:val="005F1895"/>
    <w:rsid w:val="00600C03"/>
    <w:rsid w:val="00602369"/>
    <w:rsid w:val="00606973"/>
    <w:rsid w:val="006153F8"/>
    <w:rsid w:val="00631BF3"/>
    <w:rsid w:val="00631CB4"/>
    <w:rsid w:val="00633C96"/>
    <w:rsid w:val="00641C86"/>
    <w:rsid w:val="00647F94"/>
    <w:rsid w:val="00652EE1"/>
    <w:rsid w:val="00656496"/>
    <w:rsid w:val="006570D3"/>
    <w:rsid w:val="0065777B"/>
    <w:rsid w:val="006630A8"/>
    <w:rsid w:val="00664C01"/>
    <w:rsid w:val="0066508F"/>
    <w:rsid w:val="00673B9A"/>
    <w:rsid w:val="006743FF"/>
    <w:rsid w:val="00677F08"/>
    <w:rsid w:val="0068412F"/>
    <w:rsid w:val="00685395"/>
    <w:rsid w:val="006873D7"/>
    <w:rsid w:val="00693F6D"/>
    <w:rsid w:val="006A2A5A"/>
    <w:rsid w:val="006A408B"/>
    <w:rsid w:val="006A5F48"/>
    <w:rsid w:val="006A62EB"/>
    <w:rsid w:val="006B44AD"/>
    <w:rsid w:val="006B715D"/>
    <w:rsid w:val="006B7880"/>
    <w:rsid w:val="006C1D88"/>
    <w:rsid w:val="006C3FBF"/>
    <w:rsid w:val="006D347F"/>
    <w:rsid w:val="006D40C1"/>
    <w:rsid w:val="006D63A4"/>
    <w:rsid w:val="006E0072"/>
    <w:rsid w:val="006E3430"/>
    <w:rsid w:val="006E3703"/>
    <w:rsid w:val="006E671B"/>
    <w:rsid w:val="006F2B61"/>
    <w:rsid w:val="00700F78"/>
    <w:rsid w:val="00706120"/>
    <w:rsid w:val="0070642B"/>
    <w:rsid w:val="00717511"/>
    <w:rsid w:val="007228CD"/>
    <w:rsid w:val="0072345A"/>
    <w:rsid w:val="00733DB6"/>
    <w:rsid w:val="007345F3"/>
    <w:rsid w:val="007367CB"/>
    <w:rsid w:val="00737707"/>
    <w:rsid w:val="00742C4B"/>
    <w:rsid w:val="0078144F"/>
    <w:rsid w:val="00791908"/>
    <w:rsid w:val="0079494A"/>
    <w:rsid w:val="00795D65"/>
    <w:rsid w:val="00797EEF"/>
    <w:rsid w:val="007A7CE9"/>
    <w:rsid w:val="007D3D75"/>
    <w:rsid w:val="007D7F74"/>
    <w:rsid w:val="007E05D1"/>
    <w:rsid w:val="007E05F6"/>
    <w:rsid w:val="007E1A01"/>
    <w:rsid w:val="007E55E1"/>
    <w:rsid w:val="007E577A"/>
    <w:rsid w:val="007E7848"/>
    <w:rsid w:val="007F0D5A"/>
    <w:rsid w:val="007F42B1"/>
    <w:rsid w:val="007F64A9"/>
    <w:rsid w:val="007F651E"/>
    <w:rsid w:val="00801919"/>
    <w:rsid w:val="00801EAA"/>
    <w:rsid w:val="00804F6D"/>
    <w:rsid w:val="00805A37"/>
    <w:rsid w:val="00806333"/>
    <w:rsid w:val="00806587"/>
    <w:rsid w:val="0081289C"/>
    <w:rsid w:val="00816290"/>
    <w:rsid w:val="00817369"/>
    <w:rsid w:val="00824696"/>
    <w:rsid w:val="0082578F"/>
    <w:rsid w:val="0082693F"/>
    <w:rsid w:val="008351A4"/>
    <w:rsid w:val="00844746"/>
    <w:rsid w:val="00844968"/>
    <w:rsid w:val="00853DBE"/>
    <w:rsid w:val="008543A6"/>
    <w:rsid w:val="00854626"/>
    <w:rsid w:val="00857C23"/>
    <w:rsid w:val="00866900"/>
    <w:rsid w:val="00867A5B"/>
    <w:rsid w:val="00877394"/>
    <w:rsid w:val="00880305"/>
    <w:rsid w:val="00883001"/>
    <w:rsid w:val="008845F2"/>
    <w:rsid w:val="00884A45"/>
    <w:rsid w:val="00893DFC"/>
    <w:rsid w:val="008977A9"/>
    <w:rsid w:val="008B2955"/>
    <w:rsid w:val="008C2C80"/>
    <w:rsid w:val="008C2E8A"/>
    <w:rsid w:val="008C7DF0"/>
    <w:rsid w:val="008D063C"/>
    <w:rsid w:val="008D163C"/>
    <w:rsid w:val="008E4F43"/>
    <w:rsid w:val="008E70DD"/>
    <w:rsid w:val="0091398E"/>
    <w:rsid w:val="00914BED"/>
    <w:rsid w:val="0091735A"/>
    <w:rsid w:val="009219D0"/>
    <w:rsid w:val="00921F9F"/>
    <w:rsid w:val="00922E7B"/>
    <w:rsid w:val="00924D41"/>
    <w:rsid w:val="00937A71"/>
    <w:rsid w:val="00942272"/>
    <w:rsid w:val="00945A15"/>
    <w:rsid w:val="0095095D"/>
    <w:rsid w:val="00953946"/>
    <w:rsid w:val="00960BB1"/>
    <w:rsid w:val="0096240A"/>
    <w:rsid w:val="009C1C92"/>
    <w:rsid w:val="009D1EB6"/>
    <w:rsid w:val="009D23E5"/>
    <w:rsid w:val="009D2D06"/>
    <w:rsid w:val="009D3B38"/>
    <w:rsid w:val="009E7814"/>
    <w:rsid w:val="009F1D96"/>
    <w:rsid w:val="009F2434"/>
    <w:rsid w:val="009F696C"/>
    <w:rsid w:val="00A00506"/>
    <w:rsid w:val="00A03150"/>
    <w:rsid w:val="00A10DD4"/>
    <w:rsid w:val="00A1227E"/>
    <w:rsid w:val="00A17873"/>
    <w:rsid w:val="00A24DCB"/>
    <w:rsid w:val="00A27B6A"/>
    <w:rsid w:val="00A3052B"/>
    <w:rsid w:val="00A32D72"/>
    <w:rsid w:val="00A34B6A"/>
    <w:rsid w:val="00A405BB"/>
    <w:rsid w:val="00A40935"/>
    <w:rsid w:val="00A42B1A"/>
    <w:rsid w:val="00A477CE"/>
    <w:rsid w:val="00A50C6B"/>
    <w:rsid w:val="00A538D6"/>
    <w:rsid w:val="00A659AD"/>
    <w:rsid w:val="00A73408"/>
    <w:rsid w:val="00A75448"/>
    <w:rsid w:val="00A80CAC"/>
    <w:rsid w:val="00A84726"/>
    <w:rsid w:val="00A86A0A"/>
    <w:rsid w:val="00A90C38"/>
    <w:rsid w:val="00A90D75"/>
    <w:rsid w:val="00A90F08"/>
    <w:rsid w:val="00AA2EB6"/>
    <w:rsid w:val="00AA30EC"/>
    <w:rsid w:val="00AA4CA9"/>
    <w:rsid w:val="00AA5D2F"/>
    <w:rsid w:val="00AB4382"/>
    <w:rsid w:val="00AB6B82"/>
    <w:rsid w:val="00AC0BAB"/>
    <w:rsid w:val="00AC1EB5"/>
    <w:rsid w:val="00AC1FA3"/>
    <w:rsid w:val="00AC2CCA"/>
    <w:rsid w:val="00AC3A0B"/>
    <w:rsid w:val="00AD1FC3"/>
    <w:rsid w:val="00AD2163"/>
    <w:rsid w:val="00AD35AA"/>
    <w:rsid w:val="00AD4327"/>
    <w:rsid w:val="00AE1DED"/>
    <w:rsid w:val="00AE6B2B"/>
    <w:rsid w:val="00AF5930"/>
    <w:rsid w:val="00AF6736"/>
    <w:rsid w:val="00AF6B68"/>
    <w:rsid w:val="00B03262"/>
    <w:rsid w:val="00B07C8A"/>
    <w:rsid w:val="00B11A00"/>
    <w:rsid w:val="00B12D80"/>
    <w:rsid w:val="00B1336F"/>
    <w:rsid w:val="00B143AD"/>
    <w:rsid w:val="00B16DD2"/>
    <w:rsid w:val="00B317B3"/>
    <w:rsid w:val="00B32873"/>
    <w:rsid w:val="00B360EB"/>
    <w:rsid w:val="00B47217"/>
    <w:rsid w:val="00B47735"/>
    <w:rsid w:val="00B52D99"/>
    <w:rsid w:val="00B52F69"/>
    <w:rsid w:val="00B53AD0"/>
    <w:rsid w:val="00B569FD"/>
    <w:rsid w:val="00B65248"/>
    <w:rsid w:val="00B70CAB"/>
    <w:rsid w:val="00B76C9D"/>
    <w:rsid w:val="00B81840"/>
    <w:rsid w:val="00B9798F"/>
    <w:rsid w:val="00BA0A1B"/>
    <w:rsid w:val="00BA1620"/>
    <w:rsid w:val="00BB0D45"/>
    <w:rsid w:val="00BB0EAD"/>
    <w:rsid w:val="00BB55A0"/>
    <w:rsid w:val="00BB6FAE"/>
    <w:rsid w:val="00BB7383"/>
    <w:rsid w:val="00BC1BC4"/>
    <w:rsid w:val="00BD29B2"/>
    <w:rsid w:val="00BD302B"/>
    <w:rsid w:val="00BD4095"/>
    <w:rsid w:val="00BE0ED8"/>
    <w:rsid w:val="00BF3EB9"/>
    <w:rsid w:val="00C012D0"/>
    <w:rsid w:val="00C014F8"/>
    <w:rsid w:val="00C02917"/>
    <w:rsid w:val="00C05DA9"/>
    <w:rsid w:val="00C1025A"/>
    <w:rsid w:val="00C10C19"/>
    <w:rsid w:val="00C11294"/>
    <w:rsid w:val="00C22993"/>
    <w:rsid w:val="00C22AD4"/>
    <w:rsid w:val="00C24381"/>
    <w:rsid w:val="00C26FA4"/>
    <w:rsid w:val="00C32DC1"/>
    <w:rsid w:val="00C3473B"/>
    <w:rsid w:val="00C37778"/>
    <w:rsid w:val="00C40B8C"/>
    <w:rsid w:val="00C51BC8"/>
    <w:rsid w:val="00C6231D"/>
    <w:rsid w:val="00C63BCD"/>
    <w:rsid w:val="00C6571A"/>
    <w:rsid w:val="00C672BF"/>
    <w:rsid w:val="00C71709"/>
    <w:rsid w:val="00C75BE7"/>
    <w:rsid w:val="00C77ED9"/>
    <w:rsid w:val="00C92956"/>
    <w:rsid w:val="00C94E13"/>
    <w:rsid w:val="00C953D5"/>
    <w:rsid w:val="00CA2400"/>
    <w:rsid w:val="00CA3D4E"/>
    <w:rsid w:val="00CA5CEF"/>
    <w:rsid w:val="00CB5365"/>
    <w:rsid w:val="00CB6088"/>
    <w:rsid w:val="00CC7A92"/>
    <w:rsid w:val="00CD75C5"/>
    <w:rsid w:val="00CD797F"/>
    <w:rsid w:val="00CE067C"/>
    <w:rsid w:val="00CE0A4E"/>
    <w:rsid w:val="00CE4907"/>
    <w:rsid w:val="00CE5A82"/>
    <w:rsid w:val="00CF3040"/>
    <w:rsid w:val="00CF48D1"/>
    <w:rsid w:val="00D02B8B"/>
    <w:rsid w:val="00D02ED8"/>
    <w:rsid w:val="00D15AF1"/>
    <w:rsid w:val="00D17F99"/>
    <w:rsid w:val="00D2416A"/>
    <w:rsid w:val="00D30AC6"/>
    <w:rsid w:val="00D33285"/>
    <w:rsid w:val="00D3428F"/>
    <w:rsid w:val="00D37A35"/>
    <w:rsid w:val="00D44B0E"/>
    <w:rsid w:val="00D46E05"/>
    <w:rsid w:val="00D4731D"/>
    <w:rsid w:val="00D47493"/>
    <w:rsid w:val="00D500E9"/>
    <w:rsid w:val="00D57DD6"/>
    <w:rsid w:val="00D627FD"/>
    <w:rsid w:val="00D643D5"/>
    <w:rsid w:val="00D702D4"/>
    <w:rsid w:val="00D71ADE"/>
    <w:rsid w:val="00D735B1"/>
    <w:rsid w:val="00D8069A"/>
    <w:rsid w:val="00D85EBE"/>
    <w:rsid w:val="00D91E6E"/>
    <w:rsid w:val="00D91E80"/>
    <w:rsid w:val="00D976C4"/>
    <w:rsid w:val="00DA1F09"/>
    <w:rsid w:val="00DA39F0"/>
    <w:rsid w:val="00DA3CFF"/>
    <w:rsid w:val="00DA79DC"/>
    <w:rsid w:val="00DA7BCA"/>
    <w:rsid w:val="00DC223E"/>
    <w:rsid w:val="00DD001B"/>
    <w:rsid w:val="00DD4F98"/>
    <w:rsid w:val="00DE1376"/>
    <w:rsid w:val="00DE4ABF"/>
    <w:rsid w:val="00DF07F1"/>
    <w:rsid w:val="00DF3E45"/>
    <w:rsid w:val="00DF4AE3"/>
    <w:rsid w:val="00DF5E0B"/>
    <w:rsid w:val="00E022B8"/>
    <w:rsid w:val="00E07F39"/>
    <w:rsid w:val="00E1138A"/>
    <w:rsid w:val="00E324FC"/>
    <w:rsid w:val="00E612E6"/>
    <w:rsid w:val="00E71A0B"/>
    <w:rsid w:val="00E71B8F"/>
    <w:rsid w:val="00E76C8C"/>
    <w:rsid w:val="00E81885"/>
    <w:rsid w:val="00E91D27"/>
    <w:rsid w:val="00E9559B"/>
    <w:rsid w:val="00E9608C"/>
    <w:rsid w:val="00EA601B"/>
    <w:rsid w:val="00EB3D68"/>
    <w:rsid w:val="00EC5D98"/>
    <w:rsid w:val="00EC7C00"/>
    <w:rsid w:val="00ED0A79"/>
    <w:rsid w:val="00ED768D"/>
    <w:rsid w:val="00EE15C7"/>
    <w:rsid w:val="00EE441C"/>
    <w:rsid w:val="00EF20BA"/>
    <w:rsid w:val="00EF229E"/>
    <w:rsid w:val="00EF408D"/>
    <w:rsid w:val="00EF7515"/>
    <w:rsid w:val="00EF770F"/>
    <w:rsid w:val="00F17A17"/>
    <w:rsid w:val="00F217AD"/>
    <w:rsid w:val="00F2444A"/>
    <w:rsid w:val="00F36BAE"/>
    <w:rsid w:val="00F44705"/>
    <w:rsid w:val="00F502A0"/>
    <w:rsid w:val="00F5070E"/>
    <w:rsid w:val="00F53F8B"/>
    <w:rsid w:val="00F565AA"/>
    <w:rsid w:val="00F575EA"/>
    <w:rsid w:val="00F664E3"/>
    <w:rsid w:val="00F7530B"/>
    <w:rsid w:val="00F825DA"/>
    <w:rsid w:val="00F92051"/>
    <w:rsid w:val="00F927FD"/>
    <w:rsid w:val="00F956BA"/>
    <w:rsid w:val="00FB2336"/>
    <w:rsid w:val="00FC15C5"/>
    <w:rsid w:val="00FC1B33"/>
    <w:rsid w:val="00FC45CD"/>
    <w:rsid w:val="00FD5C0F"/>
    <w:rsid w:val="00FE2840"/>
    <w:rsid w:val="00FE458B"/>
    <w:rsid w:val="00FE68DB"/>
    <w:rsid w:val="00FE7CE9"/>
    <w:rsid w:val="00FF3DDF"/>
    <w:rsid w:val="00FF55A5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72F27"/>
  <w15:chartTrackingRefBased/>
  <w15:docId w15:val="{8E9F6546-43E3-4E0A-B2F7-BA10A63E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Pr>
      <w:lang w:eastAsia="en-US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List2">
    <w:name w:val="List 2"/>
    <w:basedOn w:val="Normal"/>
    <w:semiHidden/>
    <w:unhideWhenUsed/>
    <w:pPr>
      <w:ind w:left="566" w:hanging="283"/>
    </w:p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Pr>
      <w:sz w:val="24"/>
      <w:szCs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F5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00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0C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763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3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3687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ZĀĻU VALSTS AĢENTŪRA</vt:lpstr>
    </vt:vector>
  </TitlesOfParts>
  <Company>Lattelecom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ZĀĻU VALSTS AĢENTŪRA</dc:title>
  <dc:subject/>
  <dc:creator>Jurijs Savcuks</dc:creator>
  <cp:keywords/>
  <dc:description/>
  <cp:lastModifiedBy>Dita Okmane</cp:lastModifiedBy>
  <cp:revision>74</cp:revision>
  <dcterms:created xsi:type="dcterms:W3CDTF">2017-11-28T19:29:00Z</dcterms:created>
  <dcterms:modified xsi:type="dcterms:W3CDTF">2018-09-27T12:51:00Z</dcterms:modified>
</cp:coreProperties>
</file>