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cs="Times New Roman"/>
          <w:color w:val="808080" w:themeColor="background1" w:themeShade="80"/>
        </w:rPr>
        <w:id w:val="486291277"/>
        <w:placeholder>
          <w:docPart w:val="DefaultPlaceholder_-1854013440"/>
        </w:placeholder>
        <w15:color w:val="000000"/>
        <w:text/>
      </w:sdtPr>
      <w:sdtEndPr/>
      <w:sdtContent>
        <w:p w14:paraId="15EE7D85" w14:textId="4B989ADC" w:rsidR="00CE00F1" w:rsidRPr="006C4262" w:rsidRDefault="008C19F5" w:rsidP="00CE00F1">
          <w:pPr>
            <w:pStyle w:val="BodyText"/>
            <w:spacing w:before="3"/>
            <w:rPr>
              <w:rFonts w:cs="Times New Roman"/>
              <w:color w:val="808080" w:themeColor="background1" w:themeShade="80"/>
            </w:rPr>
          </w:pPr>
          <w:r>
            <w:rPr>
              <w:rFonts w:cs="Times New Roman"/>
              <w:color w:val="808080" w:themeColor="background1" w:themeShade="80"/>
            </w:rPr>
            <w:t>October 10</w:t>
          </w:r>
          <w:r w:rsidR="006E3DF6">
            <w:rPr>
              <w:rFonts w:cs="Times New Roman"/>
              <w:color w:val="808080" w:themeColor="background1" w:themeShade="80"/>
            </w:rPr>
            <w:t>, 202</w:t>
          </w:r>
          <w:r w:rsidR="00911A06">
            <w:rPr>
              <w:rFonts w:cs="Times New Roman"/>
              <w:color w:val="808080" w:themeColor="background1" w:themeShade="80"/>
            </w:rPr>
            <w:t>1</w:t>
          </w:r>
        </w:p>
      </w:sdtContent>
    </w:sdt>
    <w:p w14:paraId="50A9FCCF" w14:textId="77777777" w:rsidR="006C4262" w:rsidRPr="006C4262" w:rsidRDefault="006C4262" w:rsidP="00CE00F1">
      <w:pPr>
        <w:pStyle w:val="BodyText"/>
        <w:spacing w:before="3"/>
        <w:rPr>
          <w:rFonts w:cs="Times New Roman"/>
        </w:rPr>
      </w:pPr>
    </w:p>
    <w:p w14:paraId="795201F3" w14:textId="555E12D1" w:rsidR="00CE00F1" w:rsidRPr="006C4262" w:rsidRDefault="00917805" w:rsidP="00917805">
      <w:pPr>
        <w:spacing w:before="101"/>
        <w:ind w:right="90"/>
        <w:jc w:val="center"/>
        <w:rPr>
          <w:rFonts w:cs="Times New Roman"/>
          <w:b/>
        </w:rPr>
      </w:pPr>
      <w:r w:rsidRPr="006C4262">
        <w:rPr>
          <w:rFonts w:cs="Times New Roman"/>
          <w:b/>
          <w:color w:val="FF0000"/>
        </w:rPr>
        <w:t xml:space="preserve">URGENT: </w:t>
      </w:r>
      <w:r w:rsidR="00BE0CAD">
        <w:rPr>
          <w:rFonts w:cs="Times New Roman"/>
          <w:b/>
          <w:color w:val="FF0000"/>
        </w:rPr>
        <w:t>FIELD SAFETY NOTICE</w:t>
      </w:r>
    </w:p>
    <w:p w14:paraId="5A21AEAD" w14:textId="0808F7E2" w:rsidR="00CE00F1" w:rsidRPr="006C4262" w:rsidRDefault="00CE00F1" w:rsidP="00917805">
      <w:pPr>
        <w:spacing w:before="98"/>
        <w:ind w:left="3576" w:right="3300"/>
        <w:jc w:val="center"/>
        <w:rPr>
          <w:rFonts w:cs="Times New Roman"/>
          <w:b/>
        </w:rPr>
      </w:pPr>
      <w:r w:rsidRPr="006C4262">
        <w:rPr>
          <w:rFonts w:cs="Times New Roman"/>
          <w:b/>
          <w:color w:val="1F487C"/>
        </w:rPr>
        <w:t xml:space="preserve">FSCA </w:t>
      </w:r>
      <w:r w:rsidR="00E03CD4">
        <w:rPr>
          <w:rFonts w:cs="Times New Roman"/>
          <w:b/>
          <w:color w:val="1F487C"/>
        </w:rPr>
        <w:t>5323</w:t>
      </w:r>
    </w:p>
    <w:p w14:paraId="59371629" w14:textId="77777777" w:rsidR="00CE00F1" w:rsidRPr="006C4262" w:rsidRDefault="00CE00F1" w:rsidP="00CE00F1">
      <w:pPr>
        <w:pStyle w:val="BodyText"/>
        <w:tabs>
          <w:tab w:val="left" w:pos="4800"/>
        </w:tabs>
        <w:jc w:val="center"/>
        <w:rPr>
          <w:rFonts w:cs="Times New Roman"/>
          <w:b/>
        </w:rPr>
      </w:pPr>
    </w:p>
    <w:p w14:paraId="51C16B90" w14:textId="59D05960" w:rsidR="006C4262" w:rsidRPr="00911A06" w:rsidRDefault="00911A06" w:rsidP="00CE00F1">
      <w:pPr>
        <w:ind w:left="668" w:right="176" w:hanging="202"/>
        <w:jc w:val="center"/>
        <w:rPr>
          <w:rFonts w:cs="Times New Roman"/>
          <w:b/>
        </w:rPr>
      </w:pPr>
      <w:r w:rsidRPr="00911A06">
        <w:rPr>
          <w:rFonts w:cs="Times New Roman"/>
          <w:b/>
        </w:rPr>
        <w:t xml:space="preserve">Increased risk of false positive </w:t>
      </w:r>
      <w:proofErr w:type="spellStart"/>
      <w:r w:rsidRPr="00911A06">
        <w:rPr>
          <w:rFonts w:cs="Times New Roman"/>
          <w:b/>
          <w:i/>
          <w:iCs/>
        </w:rPr>
        <w:t>Acinetobacter</w:t>
      </w:r>
      <w:proofErr w:type="spellEnd"/>
      <w:r w:rsidRPr="00911A06">
        <w:rPr>
          <w:rFonts w:cs="Times New Roman"/>
          <w:b/>
          <w:i/>
          <w:iCs/>
        </w:rPr>
        <w:t xml:space="preserve"> </w:t>
      </w:r>
      <w:proofErr w:type="spellStart"/>
      <w:r w:rsidRPr="00911A06">
        <w:rPr>
          <w:rFonts w:cs="Times New Roman"/>
          <w:b/>
          <w:i/>
          <w:iCs/>
        </w:rPr>
        <w:t>calcoaceticus-baumannii</w:t>
      </w:r>
      <w:proofErr w:type="spellEnd"/>
      <w:r w:rsidRPr="00911A06">
        <w:rPr>
          <w:rFonts w:cs="Times New Roman"/>
          <w:b/>
          <w:i/>
          <w:iCs/>
        </w:rPr>
        <w:t xml:space="preserve"> </w:t>
      </w:r>
      <w:r w:rsidRPr="00911A06">
        <w:rPr>
          <w:rFonts w:cs="Times New Roman"/>
          <w:b/>
        </w:rPr>
        <w:t xml:space="preserve">complex results using </w:t>
      </w:r>
      <w:proofErr w:type="spellStart"/>
      <w:r w:rsidRPr="00911A06">
        <w:rPr>
          <w:rFonts w:cs="Times New Roman"/>
          <w:b/>
        </w:rPr>
        <w:t>BioFire</w:t>
      </w:r>
      <w:proofErr w:type="spellEnd"/>
      <w:r w:rsidRPr="00911A06">
        <w:rPr>
          <w:rFonts w:cs="Times New Roman"/>
          <w:b/>
          <w:vertAlign w:val="superscript"/>
        </w:rPr>
        <w:t>®</w:t>
      </w:r>
      <w:r w:rsidRPr="00911A06">
        <w:rPr>
          <w:rFonts w:cs="Times New Roman"/>
          <w:b/>
        </w:rPr>
        <w:t xml:space="preserve"> Blood Culture Identification 2 (BCID2) Panel (Part No.: RFIT-ASY-0147) with BD BACTEC™ blood culture vials</w:t>
      </w:r>
    </w:p>
    <w:p w14:paraId="0779A756" w14:textId="0D4D46DB" w:rsidR="007079B3" w:rsidRPr="006C4262" w:rsidRDefault="007079B3" w:rsidP="00CE00F1">
      <w:pPr>
        <w:ind w:left="668" w:right="176" w:hanging="202"/>
        <w:jc w:val="center"/>
        <w:rPr>
          <w:rFonts w:cs="Times New Roman"/>
          <w:b/>
        </w:rPr>
      </w:pPr>
    </w:p>
    <w:p w14:paraId="6E460034" w14:textId="77777777" w:rsidR="00CE00F1" w:rsidRPr="006C4262" w:rsidRDefault="00CE00F1" w:rsidP="00911A06">
      <w:pPr>
        <w:pStyle w:val="BodyText"/>
        <w:ind w:right="430"/>
        <w:rPr>
          <w:rFonts w:cs="Times New Roman"/>
        </w:rPr>
      </w:pPr>
    </w:p>
    <w:p w14:paraId="6CC4F9C2" w14:textId="4EE5974E" w:rsidR="00911A06" w:rsidRPr="0081157D" w:rsidRDefault="00CE00F1" w:rsidP="0081157D">
      <w:pPr>
        <w:pStyle w:val="BodyText"/>
        <w:ind w:left="280" w:right="430"/>
        <w:rPr>
          <w:rFonts w:cs="Times New Roman"/>
          <w:bCs/>
        </w:rPr>
      </w:pPr>
      <w:proofErr w:type="gramStart"/>
      <w:r w:rsidRPr="006C4262">
        <w:rPr>
          <w:rFonts w:cs="Times New Roman"/>
        </w:rPr>
        <w:t xml:space="preserve">The purpose of this letter is to inform you that </w:t>
      </w:r>
      <w:proofErr w:type="spellStart"/>
      <w:r w:rsidRPr="006C4262">
        <w:rPr>
          <w:rFonts w:cs="Times New Roman"/>
        </w:rPr>
        <w:t>BioFire</w:t>
      </w:r>
      <w:proofErr w:type="spellEnd"/>
      <w:r w:rsidRPr="006C4262">
        <w:rPr>
          <w:rFonts w:cs="Times New Roman"/>
        </w:rPr>
        <w:t xml:space="preserve"> Diagnostics, LLC</w:t>
      </w:r>
      <w:r w:rsidR="009F4810" w:rsidRPr="006C4262">
        <w:rPr>
          <w:rFonts w:cs="Times New Roman"/>
        </w:rPr>
        <w:t xml:space="preserve">, a subsidiary of </w:t>
      </w:r>
      <w:proofErr w:type="spellStart"/>
      <w:r w:rsidR="009F4810" w:rsidRPr="006C4262">
        <w:rPr>
          <w:rFonts w:cs="Times New Roman"/>
        </w:rPr>
        <w:t>bioMérieux</w:t>
      </w:r>
      <w:proofErr w:type="spellEnd"/>
      <w:r w:rsidR="00911A06">
        <w:rPr>
          <w:rFonts w:cs="Times New Roman"/>
        </w:rPr>
        <w:t xml:space="preserve">, has identified an increased risk of false positive </w:t>
      </w:r>
      <w:proofErr w:type="spellStart"/>
      <w:r w:rsidR="00911A06">
        <w:rPr>
          <w:rFonts w:cs="Times New Roman"/>
          <w:i/>
          <w:iCs/>
        </w:rPr>
        <w:t>Acinteobacter</w:t>
      </w:r>
      <w:proofErr w:type="spellEnd"/>
      <w:r w:rsidR="00911A06">
        <w:rPr>
          <w:rFonts w:cs="Times New Roman"/>
          <w:i/>
          <w:iCs/>
        </w:rPr>
        <w:t xml:space="preserve"> </w:t>
      </w:r>
      <w:proofErr w:type="spellStart"/>
      <w:r w:rsidR="00911A06">
        <w:rPr>
          <w:rFonts w:cs="Times New Roman"/>
          <w:i/>
          <w:iCs/>
        </w:rPr>
        <w:t>calcoaceticus-baumannii</w:t>
      </w:r>
      <w:proofErr w:type="spellEnd"/>
      <w:r w:rsidR="00911A06">
        <w:rPr>
          <w:rFonts w:cs="Times New Roman"/>
          <w:i/>
          <w:iCs/>
        </w:rPr>
        <w:t xml:space="preserve"> </w:t>
      </w:r>
      <w:r w:rsidR="00911A06">
        <w:rPr>
          <w:rFonts w:cs="Times New Roman"/>
        </w:rPr>
        <w:t xml:space="preserve">complex results when the </w:t>
      </w:r>
      <w:proofErr w:type="spellStart"/>
      <w:r w:rsidR="00911A06">
        <w:rPr>
          <w:rFonts w:cs="Times New Roman"/>
        </w:rPr>
        <w:t>BioFire</w:t>
      </w:r>
      <w:proofErr w:type="spellEnd"/>
      <w:r w:rsidR="00911A06">
        <w:rPr>
          <w:rFonts w:cs="Times New Roman"/>
        </w:rPr>
        <w:t xml:space="preserve"> BCID2 Panel is used with some types of BD BACTEC</w:t>
      </w:r>
      <w:r w:rsidR="00911A06" w:rsidRPr="00911A06">
        <w:rPr>
          <w:rFonts w:cs="Times New Roman"/>
          <w:bCs/>
        </w:rPr>
        <w:t>™</w:t>
      </w:r>
      <w:r w:rsidR="00911A06">
        <w:rPr>
          <w:rFonts w:cs="Times New Roman"/>
          <w:bCs/>
        </w:rPr>
        <w:t xml:space="preserve"> blood culture vials</w:t>
      </w:r>
      <w:r w:rsidR="008C19F5">
        <w:rPr>
          <w:rFonts w:cs="Times New Roman"/>
          <w:bCs/>
        </w:rPr>
        <w:t xml:space="preserve"> including, but not limited to, the bottle types shown in Table 1</w:t>
      </w:r>
      <w:r w:rsidR="00911A06">
        <w:rPr>
          <w:rFonts w:cs="Times New Roman"/>
          <w:bCs/>
        </w:rPr>
        <w:t xml:space="preserve"> with expiration dates of </w:t>
      </w:r>
      <w:r w:rsidR="006C4A3B">
        <w:rPr>
          <w:rFonts w:cs="Times New Roman"/>
          <w:bCs/>
        </w:rPr>
        <w:t>April 30, 2022</w:t>
      </w:r>
      <w:r w:rsidR="008E0E86">
        <w:rPr>
          <w:rFonts w:cs="Times New Roman"/>
          <w:bCs/>
        </w:rPr>
        <w:t xml:space="preserve"> or earlier</w:t>
      </w:r>
      <w:r w:rsidR="0081157D">
        <w:rPr>
          <w:rFonts w:cs="Times New Roman"/>
          <w:bCs/>
        </w:rPr>
        <w:t>.</w:t>
      </w:r>
      <w:proofErr w:type="gramEnd"/>
      <w:r w:rsidR="00911A06">
        <w:rPr>
          <w:b/>
          <w:bCs/>
          <w:i/>
          <w:iCs/>
        </w:rPr>
        <w:t xml:space="preserve">  </w:t>
      </w:r>
    </w:p>
    <w:p w14:paraId="546E4696" w14:textId="77777777" w:rsidR="006C4A3B" w:rsidRDefault="006C4A3B" w:rsidP="006C4A3B">
      <w:pPr>
        <w:spacing w:after="3"/>
        <w:jc w:val="both"/>
        <w:rPr>
          <w:sz w:val="21"/>
        </w:rPr>
      </w:pPr>
    </w:p>
    <w:p w14:paraId="2596B944" w14:textId="77777777" w:rsidR="006C4A3B" w:rsidRPr="005F4246" w:rsidRDefault="006C4A3B" w:rsidP="006C4A3B">
      <w:pPr>
        <w:spacing w:after="3"/>
        <w:jc w:val="center"/>
        <w:rPr>
          <w:b/>
          <w:sz w:val="18"/>
        </w:rPr>
      </w:pPr>
      <w:r w:rsidRPr="005F4246">
        <w:rPr>
          <w:b/>
          <w:sz w:val="18"/>
        </w:rPr>
        <w:t xml:space="preserve">Table 1. Affected </w:t>
      </w:r>
      <w:r>
        <w:rPr>
          <w:b/>
          <w:sz w:val="18"/>
        </w:rPr>
        <w:t>M</w:t>
      </w:r>
      <w:r w:rsidRPr="005F4246">
        <w:rPr>
          <w:b/>
          <w:sz w:val="18"/>
        </w:rPr>
        <w:t xml:space="preserve">edia </w:t>
      </w:r>
      <w:r>
        <w:rPr>
          <w:b/>
          <w:sz w:val="18"/>
        </w:rPr>
        <w:t>T</w:t>
      </w:r>
      <w:r w:rsidRPr="005F4246">
        <w:rPr>
          <w:b/>
          <w:sz w:val="18"/>
        </w:rPr>
        <w:t>ypes</w:t>
      </w:r>
    </w:p>
    <w:tbl>
      <w:tblPr>
        <w:tblW w:w="701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4680"/>
      </w:tblGrid>
      <w:tr w:rsidR="008E0E86" w:rsidRPr="00B3062E" w14:paraId="43B35D72" w14:textId="77777777" w:rsidTr="008E0E86">
        <w:trPr>
          <w:trHeight w:val="232"/>
          <w:jc w:val="center"/>
        </w:trPr>
        <w:tc>
          <w:tcPr>
            <w:tcW w:w="2330" w:type="dxa"/>
            <w:shd w:val="clear" w:color="auto" w:fill="D0CECE" w:themeFill="background2" w:themeFillShade="E6"/>
            <w:vAlign w:val="center"/>
          </w:tcPr>
          <w:p w14:paraId="224E3834" w14:textId="77777777" w:rsidR="008E0E86" w:rsidRPr="00B3062E" w:rsidRDefault="008E0E86" w:rsidP="00A61E5F">
            <w:pPr>
              <w:pStyle w:val="TableParagraph"/>
              <w:jc w:val="center"/>
              <w:rPr>
                <w:b/>
                <w:sz w:val="18"/>
              </w:rPr>
            </w:pPr>
            <w:r w:rsidRPr="00B3062E">
              <w:rPr>
                <w:b/>
                <w:sz w:val="18"/>
              </w:rPr>
              <w:t>BD Blood Culture Media Catalog No.</w:t>
            </w:r>
          </w:p>
        </w:tc>
        <w:tc>
          <w:tcPr>
            <w:tcW w:w="4680" w:type="dxa"/>
            <w:shd w:val="clear" w:color="auto" w:fill="D0CECE" w:themeFill="background2" w:themeFillShade="E6"/>
            <w:vAlign w:val="center"/>
          </w:tcPr>
          <w:p w14:paraId="2DCED5D8" w14:textId="77777777" w:rsidR="008E0E86" w:rsidRPr="00B3062E" w:rsidRDefault="008E0E86" w:rsidP="00A61E5F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 w:rsidRPr="00B3062E">
              <w:rPr>
                <w:b/>
                <w:sz w:val="18"/>
              </w:rPr>
              <w:t>Description</w:t>
            </w:r>
          </w:p>
        </w:tc>
      </w:tr>
      <w:tr w:rsidR="008E0E86" w:rsidRPr="00B3062E" w14:paraId="230FB6C0" w14:textId="77777777" w:rsidTr="008E0E86">
        <w:trPr>
          <w:trHeight w:val="300"/>
          <w:jc w:val="center"/>
        </w:trPr>
        <w:tc>
          <w:tcPr>
            <w:tcW w:w="2330" w:type="dxa"/>
            <w:vAlign w:val="center"/>
          </w:tcPr>
          <w:p w14:paraId="5314AA2A" w14:textId="77777777" w:rsidR="008E0E86" w:rsidRPr="00B3062E" w:rsidRDefault="008E0E86" w:rsidP="00A61E5F">
            <w:pPr>
              <w:pStyle w:val="TableParagraph"/>
              <w:jc w:val="center"/>
              <w:rPr>
                <w:sz w:val="18"/>
              </w:rPr>
            </w:pPr>
            <w:r w:rsidRPr="00B3062E">
              <w:rPr>
                <w:sz w:val="18"/>
              </w:rPr>
              <w:t>442023</w:t>
            </w:r>
          </w:p>
        </w:tc>
        <w:tc>
          <w:tcPr>
            <w:tcW w:w="4680" w:type="dxa"/>
            <w:vAlign w:val="center"/>
          </w:tcPr>
          <w:p w14:paraId="5AD0FF99" w14:textId="77777777" w:rsidR="008E0E86" w:rsidRPr="00B3062E" w:rsidRDefault="008E0E86" w:rsidP="00A61E5F">
            <w:pPr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B3062E">
              <w:rPr>
                <w:sz w:val="20"/>
              </w:rPr>
              <w:t>BD BACTEC</w:t>
            </w:r>
            <w:r w:rsidRPr="00B3062E">
              <w:rPr>
                <w:rFonts w:cs="Calibri"/>
                <w:sz w:val="20"/>
              </w:rPr>
              <w:t>™</w:t>
            </w:r>
            <w:r w:rsidRPr="00B3062E">
              <w:rPr>
                <w:sz w:val="20"/>
              </w:rPr>
              <w:t xml:space="preserve"> Plus Aerobic medium in plastic vials</w:t>
            </w:r>
          </w:p>
        </w:tc>
      </w:tr>
      <w:tr w:rsidR="008E0E86" w:rsidRPr="00B3062E" w14:paraId="797C5C31" w14:textId="77777777" w:rsidTr="008E0E86">
        <w:trPr>
          <w:trHeight w:val="272"/>
          <w:jc w:val="center"/>
        </w:trPr>
        <w:tc>
          <w:tcPr>
            <w:tcW w:w="2330" w:type="dxa"/>
            <w:vAlign w:val="center"/>
          </w:tcPr>
          <w:p w14:paraId="2CE2B965" w14:textId="77777777" w:rsidR="008E0E86" w:rsidRPr="00B3062E" w:rsidRDefault="008E0E86" w:rsidP="00A61E5F">
            <w:pPr>
              <w:pStyle w:val="TableParagraph"/>
              <w:jc w:val="center"/>
              <w:rPr>
                <w:sz w:val="18"/>
              </w:rPr>
            </w:pPr>
            <w:r w:rsidRPr="00B3062E">
              <w:rPr>
                <w:sz w:val="18"/>
              </w:rPr>
              <w:t>442021</w:t>
            </w:r>
          </w:p>
        </w:tc>
        <w:tc>
          <w:tcPr>
            <w:tcW w:w="4680" w:type="dxa"/>
            <w:vAlign w:val="center"/>
          </w:tcPr>
          <w:p w14:paraId="10EF22C6" w14:textId="77777777" w:rsidR="008E0E86" w:rsidRPr="00B3062E" w:rsidRDefault="008E0E86" w:rsidP="00A61E5F">
            <w:pPr>
              <w:spacing w:line="259" w:lineRule="auto"/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B3062E">
              <w:rPr>
                <w:sz w:val="20"/>
              </w:rPr>
              <w:t>BD BACTEC</w:t>
            </w:r>
            <w:r w:rsidRPr="00B3062E">
              <w:rPr>
                <w:rFonts w:cs="Calibri"/>
                <w:sz w:val="20"/>
              </w:rPr>
              <w:t>™</w:t>
            </w:r>
            <w:r w:rsidRPr="00B3062E">
              <w:rPr>
                <w:sz w:val="20"/>
              </w:rPr>
              <w:t xml:space="preserve"> Lytic Anaerobic medium in plastic vials</w:t>
            </w:r>
          </w:p>
        </w:tc>
      </w:tr>
      <w:tr w:rsidR="008E0E86" w:rsidRPr="00B3062E" w14:paraId="7E63E9FC" w14:textId="77777777" w:rsidTr="008E0E86">
        <w:trPr>
          <w:trHeight w:val="272"/>
          <w:jc w:val="center"/>
        </w:trPr>
        <w:tc>
          <w:tcPr>
            <w:tcW w:w="2330" w:type="dxa"/>
            <w:vAlign w:val="center"/>
          </w:tcPr>
          <w:p w14:paraId="32E9BB50" w14:textId="77777777" w:rsidR="008E0E86" w:rsidRPr="00B3062E" w:rsidRDefault="008E0E86" w:rsidP="00A61E5F">
            <w:pPr>
              <w:pStyle w:val="TableParagraph"/>
              <w:jc w:val="center"/>
              <w:rPr>
                <w:sz w:val="18"/>
                <w:szCs w:val="18"/>
              </w:rPr>
            </w:pPr>
            <w:r w:rsidRPr="00B3062E">
              <w:rPr>
                <w:sz w:val="18"/>
                <w:szCs w:val="18"/>
              </w:rPr>
              <w:t>442192</w:t>
            </w:r>
          </w:p>
        </w:tc>
        <w:tc>
          <w:tcPr>
            <w:tcW w:w="4680" w:type="dxa"/>
            <w:vAlign w:val="center"/>
          </w:tcPr>
          <w:p w14:paraId="4BC3BB1D" w14:textId="77777777" w:rsidR="008E0E86" w:rsidRPr="00B3062E" w:rsidRDefault="008E0E86" w:rsidP="00A61E5F">
            <w:pPr>
              <w:jc w:val="center"/>
              <w:rPr>
                <w:rFonts w:eastAsiaTheme="minorEastAsia" w:cstheme="minorBidi"/>
                <w:sz w:val="21"/>
                <w:szCs w:val="21"/>
              </w:rPr>
            </w:pPr>
            <w:r w:rsidRPr="00B3062E">
              <w:rPr>
                <w:sz w:val="20"/>
              </w:rPr>
              <w:t>BD BACTEC</w:t>
            </w:r>
            <w:r w:rsidRPr="00B3062E">
              <w:rPr>
                <w:rFonts w:cs="Calibri"/>
                <w:sz w:val="20"/>
              </w:rPr>
              <w:t>™</w:t>
            </w:r>
            <w:r w:rsidRPr="00B3062E">
              <w:rPr>
                <w:sz w:val="20"/>
              </w:rPr>
              <w:t xml:space="preserve"> Plus Aerobic medium in glass vials</w:t>
            </w:r>
          </w:p>
        </w:tc>
      </w:tr>
      <w:tr w:rsidR="00C52675" w:rsidRPr="00B3062E" w14:paraId="40221BFF" w14:textId="77777777" w:rsidTr="008E0E86">
        <w:trPr>
          <w:trHeight w:val="272"/>
          <w:jc w:val="center"/>
        </w:trPr>
        <w:tc>
          <w:tcPr>
            <w:tcW w:w="2330" w:type="dxa"/>
            <w:vAlign w:val="center"/>
          </w:tcPr>
          <w:p w14:paraId="1CF8632A" w14:textId="287D8653" w:rsidR="00C52675" w:rsidRPr="00B3062E" w:rsidRDefault="00C52675" w:rsidP="00A61E5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442022</w:t>
            </w:r>
          </w:p>
        </w:tc>
        <w:tc>
          <w:tcPr>
            <w:tcW w:w="4680" w:type="dxa"/>
            <w:vAlign w:val="center"/>
          </w:tcPr>
          <w:p w14:paraId="0000F776" w14:textId="31A01363" w:rsidR="00C52675" w:rsidRPr="00B3062E" w:rsidRDefault="00C52675" w:rsidP="00A61E5F">
            <w:pPr>
              <w:jc w:val="center"/>
              <w:rPr>
                <w:sz w:val="20"/>
              </w:rPr>
            </w:pPr>
            <w:r w:rsidRPr="00B3062E">
              <w:rPr>
                <w:sz w:val="20"/>
              </w:rPr>
              <w:t>BD BACTEC</w:t>
            </w:r>
            <w:r w:rsidRPr="00B3062E">
              <w:rPr>
                <w:rFonts w:cs="Calibri"/>
                <w:sz w:val="20"/>
              </w:rPr>
              <w:t>™</w:t>
            </w:r>
            <w:r>
              <w:rPr>
                <w:rFonts w:cs="Calibri"/>
                <w:sz w:val="20"/>
              </w:rPr>
              <w:t xml:space="preserve"> </w:t>
            </w:r>
            <w:r w:rsidRPr="00B3062E">
              <w:rPr>
                <w:sz w:val="20"/>
              </w:rPr>
              <w:t>Plus</w:t>
            </w:r>
            <w:r>
              <w:rPr>
                <w:sz w:val="20"/>
              </w:rPr>
              <w:t xml:space="preserve"> </w:t>
            </w:r>
            <w:r w:rsidRPr="00B3062E">
              <w:rPr>
                <w:sz w:val="20"/>
              </w:rPr>
              <w:t>Anaerobic medium in plastic vials</w:t>
            </w:r>
          </w:p>
        </w:tc>
      </w:tr>
      <w:tr w:rsidR="008C19F5" w:rsidRPr="00B3062E" w14:paraId="73C9E3B4" w14:textId="77777777" w:rsidTr="008E0E86">
        <w:trPr>
          <w:trHeight w:val="272"/>
          <w:jc w:val="center"/>
        </w:trPr>
        <w:tc>
          <w:tcPr>
            <w:tcW w:w="2330" w:type="dxa"/>
            <w:vAlign w:val="center"/>
          </w:tcPr>
          <w:p w14:paraId="4D4E8D0A" w14:textId="4CF977AF" w:rsidR="008C19F5" w:rsidRDefault="008C19F5" w:rsidP="00A61E5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442020</w:t>
            </w:r>
          </w:p>
        </w:tc>
        <w:tc>
          <w:tcPr>
            <w:tcW w:w="4680" w:type="dxa"/>
            <w:vAlign w:val="center"/>
          </w:tcPr>
          <w:p w14:paraId="59858EF3" w14:textId="48B952AF" w:rsidR="008C19F5" w:rsidRPr="00B3062E" w:rsidRDefault="008C19F5" w:rsidP="00A61E5F">
            <w:pPr>
              <w:jc w:val="center"/>
              <w:rPr>
                <w:sz w:val="20"/>
              </w:rPr>
            </w:pPr>
            <w:r w:rsidRPr="00B3062E">
              <w:rPr>
                <w:sz w:val="20"/>
              </w:rPr>
              <w:t>BD BACTEC</w:t>
            </w:r>
            <w:r w:rsidRPr="00B3062E">
              <w:rPr>
                <w:rFonts w:cs="Calibri"/>
                <w:sz w:val="20"/>
              </w:rPr>
              <w:t>™</w:t>
            </w:r>
            <w:r>
              <w:rPr>
                <w:rFonts w:cs="Calibri"/>
                <w:sz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</w:rPr>
              <w:t>Peds</w:t>
            </w:r>
            <w:proofErr w:type="spellEnd"/>
            <w:r>
              <w:rPr>
                <w:rFonts w:cs="Calibri"/>
                <w:sz w:val="20"/>
              </w:rPr>
              <w:t xml:space="preserve"> Plus medium in plastic vials</w:t>
            </w:r>
          </w:p>
        </w:tc>
      </w:tr>
    </w:tbl>
    <w:p w14:paraId="5A1473EA" w14:textId="77777777" w:rsidR="006C4A3B" w:rsidRDefault="006C4A3B" w:rsidP="006C4A3B">
      <w:pPr>
        <w:pStyle w:val="BodyText"/>
        <w:spacing w:before="9"/>
        <w:rPr>
          <w:b/>
          <w:sz w:val="17"/>
        </w:rPr>
      </w:pPr>
    </w:p>
    <w:p w14:paraId="5DAFAC27" w14:textId="77777777" w:rsidR="006C4A3B" w:rsidRDefault="006C4A3B" w:rsidP="006C4A3B">
      <w:pPr>
        <w:pStyle w:val="BodyText"/>
        <w:ind w:left="119" w:right="30"/>
        <w:jc w:val="both"/>
      </w:pPr>
    </w:p>
    <w:p w14:paraId="376C2D55" w14:textId="77777777" w:rsidR="006C4A3B" w:rsidRDefault="006C4A3B" w:rsidP="006C4A3B">
      <w:pPr>
        <w:pStyle w:val="BodyText"/>
        <w:ind w:right="30"/>
        <w:jc w:val="both"/>
      </w:pPr>
      <w:r>
        <w:t xml:space="preserve">The most probable cause for this risk is the presence of an increased level of nucleic acid from non-viable </w:t>
      </w:r>
      <w:proofErr w:type="spellStart"/>
      <w:r w:rsidRPr="005D28C8">
        <w:rPr>
          <w:i/>
        </w:rPr>
        <w:t>Acinetobacter</w:t>
      </w:r>
      <w:proofErr w:type="spellEnd"/>
      <w:r w:rsidRPr="005D28C8">
        <w:rPr>
          <w:i/>
        </w:rPr>
        <w:t xml:space="preserve"> </w:t>
      </w:r>
      <w:proofErr w:type="spellStart"/>
      <w:r w:rsidRPr="005D28C8">
        <w:rPr>
          <w:i/>
        </w:rPr>
        <w:t>calcoaceticus</w:t>
      </w:r>
      <w:proofErr w:type="spellEnd"/>
      <w:r w:rsidRPr="005D28C8">
        <w:rPr>
          <w:i/>
        </w:rPr>
        <w:t xml:space="preserve">- </w:t>
      </w:r>
      <w:proofErr w:type="spellStart"/>
      <w:r w:rsidRPr="005D28C8">
        <w:rPr>
          <w:i/>
        </w:rPr>
        <w:t>baumannii</w:t>
      </w:r>
      <w:proofErr w:type="spellEnd"/>
      <w:r w:rsidRPr="005D28C8">
        <w:rPr>
          <w:i/>
        </w:rPr>
        <w:t xml:space="preserve"> complex </w:t>
      </w:r>
      <w:r>
        <w:rPr>
          <w:iCs/>
        </w:rPr>
        <w:t xml:space="preserve">targets </w:t>
      </w:r>
      <w:r w:rsidRPr="00B94C54">
        <w:t>i</w:t>
      </w:r>
      <w:r w:rsidRPr="007F2771">
        <w:t>n BD B</w:t>
      </w:r>
      <w:r>
        <w:t>ACTEC™</w:t>
      </w:r>
      <w:r w:rsidRPr="002815F9">
        <w:t xml:space="preserve"> </w:t>
      </w:r>
      <w:r>
        <w:t xml:space="preserve">blood culture vials (Table 1). </w:t>
      </w:r>
      <w:r w:rsidRPr="001154E4">
        <w:rPr>
          <w:b/>
        </w:rPr>
        <w:t xml:space="preserve">The presence of non- viable organism does not compromise the intended function of the </w:t>
      </w:r>
      <w:r>
        <w:rPr>
          <w:b/>
        </w:rPr>
        <w:t>b</w:t>
      </w:r>
      <w:r w:rsidRPr="001154E4">
        <w:rPr>
          <w:b/>
        </w:rPr>
        <w:t xml:space="preserve">lood </w:t>
      </w:r>
      <w:r>
        <w:rPr>
          <w:b/>
        </w:rPr>
        <w:t>c</w:t>
      </w:r>
      <w:r w:rsidRPr="001154E4">
        <w:rPr>
          <w:b/>
        </w:rPr>
        <w:t xml:space="preserve">ulture </w:t>
      </w:r>
      <w:r>
        <w:rPr>
          <w:b/>
        </w:rPr>
        <w:t>vials</w:t>
      </w:r>
      <w:r w:rsidRPr="001154E4">
        <w:rPr>
          <w:b/>
        </w:rPr>
        <w:t xml:space="preserve"> (culturing viable microorganisms)</w:t>
      </w:r>
      <w:r w:rsidRPr="002815F9">
        <w:t xml:space="preserve">. </w:t>
      </w:r>
      <w:r>
        <w:t xml:space="preserve">However, the </w:t>
      </w:r>
      <w:proofErr w:type="spellStart"/>
      <w:r>
        <w:t>BioFire</w:t>
      </w:r>
      <w:proofErr w:type="spellEnd"/>
      <w:r>
        <w:t xml:space="preserve"> BCID2 Panel detects nucleic acid from viable and non-viable organisms alike. Observed </w:t>
      </w:r>
      <w:proofErr w:type="spellStart"/>
      <w:r w:rsidRPr="00913896">
        <w:rPr>
          <w:i/>
        </w:rPr>
        <w:t>Acinetobacter</w:t>
      </w:r>
      <w:proofErr w:type="spellEnd"/>
      <w:r w:rsidRPr="00913896">
        <w:rPr>
          <w:i/>
        </w:rPr>
        <w:t xml:space="preserve"> </w:t>
      </w:r>
      <w:proofErr w:type="spellStart"/>
      <w:r w:rsidRPr="00913896">
        <w:rPr>
          <w:i/>
        </w:rPr>
        <w:t>calcoaceticus</w:t>
      </w:r>
      <w:proofErr w:type="spellEnd"/>
      <w:r w:rsidRPr="00913896">
        <w:rPr>
          <w:i/>
        </w:rPr>
        <w:t xml:space="preserve">- </w:t>
      </w:r>
      <w:proofErr w:type="spellStart"/>
      <w:r w:rsidRPr="00913896">
        <w:rPr>
          <w:i/>
        </w:rPr>
        <w:t>baumannii</w:t>
      </w:r>
      <w:proofErr w:type="spellEnd"/>
      <w:r>
        <w:t xml:space="preserve"> </w:t>
      </w:r>
      <w:r w:rsidRPr="00913896">
        <w:rPr>
          <w:i/>
        </w:rPr>
        <w:t>complex</w:t>
      </w:r>
      <w:r w:rsidRPr="00284B97">
        <w:t xml:space="preserve"> </w:t>
      </w:r>
      <w:r>
        <w:t xml:space="preserve">false positives </w:t>
      </w:r>
      <w:proofErr w:type="gramStart"/>
      <w:r>
        <w:t>are typically seen</w:t>
      </w:r>
      <w:proofErr w:type="gramEnd"/>
      <w:r>
        <w:t xml:space="preserve"> as multiple positives with the </w:t>
      </w:r>
      <w:proofErr w:type="spellStart"/>
      <w:r>
        <w:t>BioFire</w:t>
      </w:r>
      <w:proofErr w:type="spellEnd"/>
      <w:r>
        <w:t xml:space="preserve"> BCID2 Panel because a positive blood culture is a prerequisite to a </w:t>
      </w:r>
      <w:proofErr w:type="spellStart"/>
      <w:r>
        <w:t>BioFire</w:t>
      </w:r>
      <w:proofErr w:type="spellEnd"/>
      <w:r>
        <w:t xml:space="preserve"> BCID2 Panel test. </w:t>
      </w:r>
    </w:p>
    <w:p w14:paraId="4C13F590" w14:textId="77777777" w:rsidR="006C4A3B" w:rsidRDefault="006C4A3B" w:rsidP="006C4A3B">
      <w:pPr>
        <w:pStyle w:val="BodyText"/>
        <w:ind w:right="30"/>
        <w:jc w:val="both"/>
      </w:pPr>
    </w:p>
    <w:p w14:paraId="34C06D6E" w14:textId="77777777" w:rsidR="006C4A3B" w:rsidRDefault="006C4A3B" w:rsidP="006C4A3B">
      <w:pPr>
        <w:pStyle w:val="BodyText"/>
        <w:ind w:right="30"/>
        <w:jc w:val="both"/>
      </w:pPr>
      <w:proofErr w:type="gramStart"/>
      <w:r w:rsidRPr="001477B5">
        <w:t xml:space="preserve">The original </w:t>
      </w:r>
      <w:proofErr w:type="spellStart"/>
      <w:r w:rsidRPr="001477B5">
        <w:t>BioFire</w:t>
      </w:r>
      <w:proofErr w:type="spellEnd"/>
      <w:r w:rsidRPr="001477B5">
        <w:t>® Blood Culture Identification (BCID) Panel is not affected by this correction letter due to differences in the panel targets</w:t>
      </w:r>
      <w:proofErr w:type="gramEnd"/>
      <w:r w:rsidRPr="001477B5">
        <w:t xml:space="preserve">. The </w:t>
      </w:r>
      <w:proofErr w:type="spellStart"/>
      <w:r w:rsidRPr="001477B5">
        <w:t>BioFire</w:t>
      </w:r>
      <w:proofErr w:type="spellEnd"/>
      <w:r w:rsidRPr="001477B5">
        <w:t xml:space="preserve"> BCID2 Panel </w:t>
      </w:r>
      <w:proofErr w:type="spellStart"/>
      <w:r w:rsidRPr="00B3062E">
        <w:rPr>
          <w:i/>
        </w:rPr>
        <w:t>Acinetobacter</w:t>
      </w:r>
      <w:proofErr w:type="spellEnd"/>
      <w:r w:rsidRPr="00B3062E">
        <w:rPr>
          <w:i/>
        </w:rPr>
        <w:t xml:space="preserve"> </w:t>
      </w:r>
      <w:proofErr w:type="spellStart"/>
      <w:r w:rsidRPr="00B3062E">
        <w:rPr>
          <w:i/>
        </w:rPr>
        <w:t>calcoaceticus</w:t>
      </w:r>
      <w:proofErr w:type="spellEnd"/>
      <w:r w:rsidRPr="00B3062E">
        <w:rPr>
          <w:i/>
        </w:rPr>
        <w:t xml:space="preserve">- </w:t>
      </w:r>
      <w:proofErr w:type="spellStart"/>
      <w:r w:rsidRPr="00B3062E">
        <w:rPr>
          <w:i/>
        </w:rPr>
        <w:t>baumannii</w:t>
      </w:r>
      <w:proofErr w:type="spellEnd"/>
      <w:r w:rsidRPr="00B3062E">
        <w:rPr>
          <w:i/>
        </w:rPr>
        <w:t xml:space="preserve"> </w:t>
      </w:r>
      <w:r w:rsidRPr="001477B5">
        <w:t xml:space="preserve">complex has expanded inclusivity over the </w:t>
      </w:r>
      <w:proofErr w:type="spellStart"/>
      <w:r w:rsidRPr="001477B5">
        <w:t>BioFire</w:t>
      </w:r>
      <w:proofErr w:type="spellEnd"/>
      <w:r w:rsidRPr="001477B5">
        <w:t xml:space="preserve"> BCID Panel and is intended to reliably detect 6 species of the complex that are closely related, including </w:t>
      </w:r>
      <w:r w:rsidRPr="00B3062E">
        <w:rPr>
          <w:i/>
        </w:rPr>
        <w:t xml:space="preserve">A. </w:t>
      </w:r>
      <w:proofErr w:type="spellStart"/>
      <w:r w:rsidRPr="00B3062E">
        <w:rPr>
          <w:i/>
        </w:rPr>
        <w:t>baumannii</w:t>
      </w:r>
      <w:proofErr w:type="spellEnd"/>
      <w:r w:rsidRPr="001477B5">
        <w:t xml:space="preserve">, </w:t>
      </w:r>
      <w:r w:rsidRPr="00B3062E">
        <w:rPr>
          <w:i/>
        </w:rPr>
        <w:t xml:space="preserve">A. </w:t>
      </w:r>
      <w:proofErr w:type="spellStart"/>
      <w:r w:rsidRPr="00B3062E">
        <w:rPr>
          <w:i/>
        </w:rPr>
        <w:t>calcoaceticus</w:t>
      </w:r>
      <w:proofErr w:type="spellEnd"/>
      <w:r w:rsidRPr="001477B5">
        <w:t xml:space="preserve">, </w:t>
      </w:r>
      <w:r w:rsidRPr="00B3062E">
        <w:rPr>
          <w:i/>
        </w:rPr>
        <w:t xml:space="preserve">A. </w:t>
      </w:r>
      <w:proofErr w:type="spellStart"/>
      <w:r w:rsidRPr="00B3062E">
        <w:rPr>
          <w:i/>
        </w:rPr>
        <w:t>dijkshoorniae</w:t>
      </w:r>
      <w:proofErr w:type="spellEnd"/>
      <w:r w:rsidRPr="001477B5">
        <w:t xml:space="preserve">, </w:t>
      </w:r>
      <w:r w:rsidRPr="00B3062E">
        <w:rPr>
          <w:i/>
        </w:rPr>
        <w:t xml:space="preserve">A. </w:t>
      </w:r>
      <w:proofErr w:type="spellStart"/>
      <w:r w:rsidRPr="00B3062E">
        <w:rPr>
          <w:i/>
        </w:rPr>
        <w:t>nosocomialis</w:t>
      </w:r>
      <w:proofErr w:type="spellEnd"/>
      <w:r w:rsidRPr="001477B5">
        <w:t xml:space="preserve"> (</w:t>
      </w:r>
      <w:proofErr w:type="spellStart"/>
      <w:r w:rsidRPr="001477B5">
        <w:t>genomospecies</w:t>
      </w:r>
      <w:proofErr w:type="spellEnd"/>
      <w:r w:rsidRPr="001477B5">
        <w:t xml:space="preserve"> 13TU), </w:t>
      </w:r>
      <w:r w:rsidRPr="00B3062E">
        <w:rPr>
          <w:i/>
        </w:rPr>
        <w:t xml:space="preserve">A. </w:t>
      </w:r>
      <w:proofErr w:type="spellStart"/>
      <w:r w:rsidRPr="00B3062E">
        <w:rPr>
          <w:i/>
        </w:rPr>
        <w:t>pittii</w:t>
      </w:r>
      <w:proofErr w:type="spellEnd"/>
      <w:r w:rsidRPr="001477B5">
        <w:t xml:space="preserve"> (</w:t>
      </w:r>
      <w:proofErr w:type="spellStart"/>
      <w:r w:rsidRPr="001477B5">
        <w:t>genomospecies</w:t>
      </w:r>
      <w:proofErr w:type="spellEnd"/>
      <w:r w:rsidRPr="001477B5">
        <w:t xml:space="preserve"> 3), and </w:t>
      </w:r>
      <w:r w:rsidRPr="00B3062E">
        <w:rPr>
          <w:i/>
        </w:rPr>
        <w:t xml:space="preserve">A. </w:t>
      </w:r>
      <w:proofErr w:type="spellStart"/>
      <w:r w:rsidRPr="00B3062E">
        <w:rPr>
          <w:i/>
        </w:rPr>
        <w:t>seifertii</w:t>
      </w:r>
      <w:proofErr w:type="spellEnd"/>
    </w:p>
    <w:p w14:paraId="5532DFD0" w14:textId="77777777" w:rsidR="006C4A3B" w:rsidRDefault="006C4A3B" w:rsidP="006C4A3B">
      <w:pPr>
        <w:pStyle w:val="BodyText"/>
        <w:spacing w:before="1"/>
        <w:ind w:right="1030"/>
      </w:pPr>
    </w:p>
    <w:p w14:paraId="1BC11A03" w14:textId="77777777" w:rsidR="006C4A3B" w:rsidRDefault="006C4A3B" w:rsidP="006C4A3B">
      <w:pPr>
        <w:pStyle w:val="BodyText"/>
        <w:spacing w:before="1"/>
        <w:ind w:right="1030"/>
      </w:pPr>
      <w:r>
        <w:t xml:space="preserve">  </w:t>
      </w:r>
      <w:proofErr w:type="spellStart"/>
      <w:r>
        <w:t>BioFire</w:t>
      </w:r>
      <w:proofErr w:type="spellEnd"/>
      <w:r>
        <w:t xml:space="preserve"> BCID2 Panel product literature includes the following limitations: </w:t>
      </w:r>
    </w:p>
    <w:p w14:paraId="5A0FAAB2" w14:textId="77777777" w:rsidR="006C4A3B" w:rsidRDefault="006C4A3B" w:rsidP="006C4A3B">
      <w:pPr>
        <w:pStyle w:val="Default"/>
      </w:pPr>
    </w:p>
    <w:p w14:paraId="2614650D" w14:textId="77777777" w:rsidR="006C4A3B" w:rsidRDefault="006C4A3B" w:rsidP="006C4A3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Blood culture media may contain non-viable organisms and/or nucleic acid at levels that </w:t>
      </w:r>
      <w:proofErr w:type="gramStart"/>
      <w:r>
        <w:rPr>
          <w:sz w:val="22"/>
          <w:szCs w:val="22"/>
        </w:rPr>
        <w:t>can be detected</w:t>
      </w:r>
      <w:proofErr w:type="gramEnd"/>
      <w:r>
        <w:rPr>
          <w:sz w:val="22"/>
          <w:szCs w:val="22"/>
        </w:rPr>
        <w:t xml:space="preserve"> by the </w:t>
      </w:r>
      <w:proofErr w:type="spellStart"/>
      <w:r>
        <w:rPr>
          <w:sz w:val="22"/>
          <w:szCs w:val="22"/>
        </w:rPr>
        <w:t>BioFire</w:t>
      </w:r>
      <w:proofErr w:type="spellEnd"/>
      <w:r>
        <w:rPr>
          <w:sz w:val="22"/>
          <w:szCs w:val="22"/>
        </w:rPr>
        <w:t xml:space="preserve"> BCID2 Panel, leading to false positive test results. Typically, these false positives will be present with one or more additional true positive results because the </w:t>
      </w:r>
      <w:proofErr w:type="spellStart"/>
      <w:r>
        <w:rPr>
          <w:sz w:val="22"/>
          <w:szCs w:val="22"/>
        </w:rPr>
        <w:t>BioFire</w:t>
      </w:r>
      <w:proofErr w:type="spellEnd"/>
      <w:r>
        <w:rPr>
          <w:sz w:val="22"/>
          <w:szCs w:val="22"/>
        </w:rPr>
        <w:t xml:space="preserve"> BCID2 Panel will also detect the organism that is growing in the culture bottle. </w:t>
      </w:r>
    </w:p>
    <w:p w14:paraId="77757D42" w14:textId="77777777" w:rsidR="006C4A3B" w:rsidRDefault="006C4A3B" w:rsidP="006C4A3B">
      <w:pPr>
        <w:pStyle w:val="Default"/>
        <w:rPr>
          <w:sz w:val="22"/>
          <w:szCs w:val="22"/>
        </w:rPr>
      </w:pPr>
    </w:p>
    <w:p w14:paraId="71534F80" w14:textId="77777777" w:rsidR="006C4A3B" w:rsidRDefault="006C4A3B" w:rsidP="006C4A3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 some c</w:t>
      </w:r>
      <w:r w:rsidRPr="002D015A">
        <w:rPr>
          <w:sz w:val="22"/>
          <w:szCs w:val="22"/>
        </w:rPr>
        <w:t>ases, the Gram stain result and</w:t>
      </w:r>
      <w:r>
        <w:rPr>
          <w:sz w:val="22"/>
          <w:szCs w:val="22"/>
        </w:rPr>
        <w:t xml:space="preserve"> results of the </w:t>
      </w:r>
      <w:proofErr w:type="spellStart"/>
      <w:r>
        <w:rPr>
          <w:sz w:val="22"/>
          <w:szCs w:val="22"/>
        </w:rPr>
        <w:t>BioFire</w:t>
      </w:r>
      <w:proofErr w:type="spellEnd"/>
      <w:r>
        <w:rPr>
          <w:sz w:val="22"/>
          <w:szCs w:val="22"/>
        </w:rPr>
        <w:t xml:space="preserve"> </w:t>
      </w:r>
      <w:r w:rsidRPr="002D015A">
        <w:rPr>
          <w:sz w:val="22"/>
          <w:szCs w:val="22"/>
        </w:rPr>
        <w:t xml:space="preserve">BCID2 Panel may be discrepant (for example, detection of gram-positive cocci by the </w:t>
      </w:r>
      <w:proofErr w:type="spellStart"/>
      <w:r w:rsidRPr="002D015A">
        <w:rPr>
          <w:sz w:val="22"/>
          <w:szCs w:val="22"/>
        </w:rPr>
        <w:t>BioFire</w:t>
      </w:r>
      <w:proofErr w:type="spellEnd"/>
      <w:r>
        <w:rPr>
          <w:sz w:val="22"/>
          <w:szCs w:val="22"/>
        </w:rPr>
        <w:t xml:space="preserve"> BCID2</w:t>
      </w:r>
      <w:r w:rsidRPr="002D015A">
        <w:rPr>
          <w:sz w:val="22"/>
          <w:szCs w:val="22"/>
        </w:rPr>
        <w:t xml:space="preserve"> Panel when gram-positive cocci </w:t>
      </w:r>
      <w:proofErr w:type="gramStart"/>
      <w:r w:rsidRPr="002D015A">
        <w:rPr>
          <w:sz w:val="22"/>
          <w:szCs w:val="22"/>
        </w:rPr>
        <w:t>were not observed</w:t>
      </w:r>
      <w:proofErr w:type="gramEnd"/>
      <w:r w:rsidRPr="002D015A">
        <w:rPr>
          <w:sz w:val="22"/>
          <w:szCs w:val="22"/>
        </w:rPr>
        <w:t xml:space="preserve"> in the Gram stain). I</w:t>
      </w:r>
      <w:r>
        <w:rPr>
          <w:sz w:val="22"/>
          <w:szCs w:val="22"/>
        </w:rPr>
        <w:t xml:space="preserve">n these cases, the </w:t>
      </w:r>
      <w:proofErr w:type="spellStart"/>
      <w:r>
        <w:rPr>
          <w:sz w:val="22"/>
          <w:szCs w:val="22"/>
        </w:rPr>
        <w:t>BioFire</w:t>
      </w:r>
      <w:proofErr w:type="spellEnd"/>
      <w:r>
        <w:rPr>
          <w:sz w:val="22"/>
          <w:szCs w:val="22"/>
        </w:rPr>
        <w:t xml:space="preserve"> BCID2 Panel results should be confirmed (e.g. by culture) before reporting, unless the result is concordant with other laboratory, epidemiological, or clinical findings. </w:t>
      </w:r>
    </w:p>
    <w:p w14:paraId="2615AE6B" w14:textId="77777777" w:rsidR="006C4A3B" w:rsidRDefault="006C4A3B" w:rsidP="00CE00F1">
      <w:pPr>
        <w:pStyle w:val="Heading1"/>
        <w:spacing w:before="101"/>
        <w:rPr>
          <w:rFonts w:cs="Times New Roman"/>
        </w:rPr>
      </w:pPr>
    </w:p>
    <w:p w14:paraId="3F69723E" w14:textId="241DCB87" w:rsidR="00CE00F1" w:rsidRPr="006C4262" w:rsidRDefault="00CE00F1" w:rsidP="00CE00F1">
      <w:pPr>
        <w:pStyle w:val="Heading1"/>
        <w:spacing w:before="101"/>
        <w:rPr>
          <w:rFonts w:cs="Times New Roman"/>
        </w:rPr>
      </w:pPr>
      <w:r w:rsidRPr="006C4262">
        <w:rPr>
          <w:rFonts w:cs="Times New Roman"/>
        </w:rPr>
        <w:t xml:space="preserve">Actions to </w:t>
      </w:r>
      <w:proofErr w:type="gramStart"/>
      <w:r w:rsidRPr="006C4262">
        <w:rPr>
          <w:rFonts w:cs="Times New Roman"/>
        </w:rPr>
        <w:t>be taken</w:t>
      </w:r>
      <w:proofErr w:type="gramEnd"/>
      <w:r w:rsidRPr="006C4262">
        <w:rPr>
          <w:rFonts w:cs="Times New Roman"/>
        </w:rPr>
        <w:t xml:space="preserve"> by customer:</w:t>
      </w:r>
    </w:p>
    <w:p w14:paraId="6A13D2BE" w14:textId="77777777" w:rsidR="00CE00F1" w:rsidRPr="006C4262" w:rsidRDefault="00CE00F1" w:rsidP="00CE00F1">
      <w:pPr>
        <w:pStyle w:val="ListParagraph"/>
        <w:tabs>
          <w:tab w:val="left" w:pos="1000"/>
          <w:tab w:val="left" w:pos="1001"/>
        </w:tabs>
        <w:spacing w:before="92"/>
        <w:ind w:right="1123" w:firstLine="0"/>
        <w:rPr>
          <w:rFonts w:cs="Times New Roman"/>
        </w:rPr>
      </w:pPr>
    </w:p>
    <w:p w14:paraId="6592A565" w14:textId="68961981" w:rsidR="006C4262" w:rsidRPr="006C4262" w:rsidRDefault="00D16D58" w:rsidP="00CE00F1">
      <w:pPr>
        <w:pStyle w:val="ListParagraph"/>
        <w:numPr>
          <w:ilvl w:val="1"/>
          <w:numId w:val="1"/>
        </w:numPr>
        <w:tabs>
          <w:tab w:val="left" w:pos="1000"/>
          <w:tab w:val="left" w:pos="1001"/>
        </w:tabs>
        <w:ind w:right="1289"/>
        <w:rPr>
          <w:rFonts w:cs="Times New Roman"/>
        </w:rPr>
      </w:pPr>
      <w:r>
        <w:rPr>
          <w:rFonts w:cs="Times New Roman"/>
        </w:rPr>
        <w:t>If the BCID2 Panel is used to test BD BACTEC™ blood culture vials (</w:t>
      </w:r>
      <w:r w:rsidR="008C19F5">
        <w:rPr>
          <w:rFonts w:cs="Times New Roman"/>
        </w:rPr>
        <w:t xml:space="preserve">examples in </w:t>
      </w:r>
      <w:r>
        <w:rPr>
          <w:rFonts w:cs="Times New Roman"/>
        </w:rPr>
        <w:t>Table 1) with an expiration date of</w:t>
      </w:r>
      <w:r w:rsidR="00523378">
        <w:rPr>
          <w:rFonts w:cs="Times New Roman"/>
        </w:rPr>
        <w:t xml:space="preserve"> April 30</w:t>
      </w:r>
      <w:r>
        <w:rPr>
          <w:rFonts w:cs="Times New Roman"/>
        </w:rPr>
        <w:t>, 2022</w:t>
      </w:r>
      <w:r w:rsidR="008E0E86">
        <w:rPr>
          <w:rFonts w:cs="Times New Roman"/>
        </w:rPr>
        <w:t xml:space="preserve"> or earlier</w:t>
      </w:r>
      <w:r>
        <w:rPr>
          <w:rFonts w:cs="Times New Roman"/>
        </w:rPr>
        <w:t xml:space="preserve">, positive results for </w:t>
      </w:r>
      <w:proofErr w:type="spellStart"/>
      <w:r>
        <w:rPr>
          <w:rFonts w:cs="Times New Roman"/>
          <w:i/>
          <w:iCs/>
        </w:rPr>
        <w:t>Acinetobacter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calcoaceticus-baumannii</w:t>
      </w:r>
      <w:proofErr w:type="spellEnd"/>
      <w:r>
        <w:rPr>
          <w:rFonts w:cs="Times New Roman"/>
          <w:i/>
          <w:iCs/>
        </w:rPr>
        <w:t xml:space="preserve"> </w:t>
      </w:r>
      <w:r w:rsidRPr="00D16D58">
        <w:rPr>
          <w:rFonts w:cs="Times New Roman"/>
        </w:rPr>
        <w:t>complex should be confirmed by another method prior to reporting the test results</w:t>
      </w:r>
      <w:r w:rsidR="00BE0CAD">
        <w:rPr>
          <w:rFonts w:cs="Times New Roman"/>
        </w:rPr>
        <w:t>.</w:t>
      </w:r>
    </w:p>
    <w:p w14:paraId="1588B5F7" w14:textId="2B4C8531" w:rsidR="00CE00F1" w:rsidRPr="006C4262" w:rsidRDefault="00CE00F1" w:rsidP="00CE00F1">
      <w:pPr>
        <w:pStyle w:val="ListParagraph"/>
        <w:numPr>
          <w:ilvl w:val="1"/>
          <w:numId w:val="1"/>
        </w:numPr>
        <w:tabs>
          <w:tab w:val="left" w:pos="1000"/>
          <w:tab w:val="left" w:pos="1001"/>
        </w:tabs>
        <w:ind w:right="1289"/>
        <w:rPr>
          <w:rFonts w:cs="Times New Roman"/>
        </w:rPr>
      </w:pPr>
      <w:r w:rsidRPr="006C4262">
        <w:rPr>
          <w:rFonts w:cs="Times New Roman"/>
        </w:rPr>
        <w:t>Please</w:t>
      </w:r>
      <w:r w:rsidR="00BE0CAD">
        <w:rPr>
          <w:rFonts w:cs="Times New Roman"/>
        </w:rPr>
        <w:t xml:space="preserve"> complete</w:t>
      </w:r>
      <w:r w:rsidRPr="006C4262">
        <w:rPr>
          <w:rFonts w:cs="Times New Roman"/>
          <w:spacing w:val="-3"/>
        </w:rPr>
        <w:t xml:space="preserve"> </w:t>
      </w:r>
      <w:r w:rsidRPr="006C4262">
        <w:rPr>
          <w:rFonts w:cs="Times New Roman"/>
        </w:rPr>
        <w:t>the</w:t>
      </w:r>
      <w:r w:rsidRPr="006C4262">
        <w:rPr>
          <w:rFonts w:cs="Times New Roman"/>
          <w:spacing w:val="-4"/>
        </w:rPr>
        <w:t xml:space="preserve"> </w:t>
      </w:r>
      <w:r w:rsidRPr="006C4262">
        <w:rPr>
          <w:rFonts w:cs="Times New Roman"/>
        </w:rPr>
        <w:t>Acknowledgment</w:t>
      </w:r>
      <w:r w:rsidRPr="006C4262">
        <w:rPr>
          <w:rFonts w:cs="Times New Roman"/>
          <w:spacing w:val="-3"/>
        </w:rPr>
        <w:t xml:space="preserve"> </w:t>
      </w:r>
      <w:r w:rsidRPr="006C4262">
        <w:rPr>
          <w:rFonts w:cs="Times New Roman"/>
        </w:rPr>
        <w:t>of</w:t>
      </w:r>
      <w:r w:rsidRPr="006C4262">
        <w:rPr>
          <w:rFonts w:cs="Times New Roman"/>
          <w:spacing w:val="-2"/>
        </w:rPr>
        <w:t xml:space="preserve"> </w:t>
      </w:r>
      <w:r w:rsidRPr="006C4262">
        <w:rPr>
          <w:rFonts w:cs="Times New Roman"/>
        </w:rPr>
        <w:t>Receipt</w:t>
      </w:r>
      <w:r w:rsidRPr="006C4262">
        <w:rPr>
          <w:rFonts w:cs="Times New Roman"/>
          <w:spacing w:val="-5"/>
        </w:rPr>
        <w:t xml:space="preserve"> </w:t>
      </w:r>
      <w:r w:rsidRPr="006C4262">
        <w:rPr>
          <w:rFonts w:cs="Times New Roman"/>
        </w:rPr>
        <w:t>Form</w:t>
      </w:r>
      <w:r w:rsidRPr="006C4262">
        <w:rPr>
          <w:rFonts w:cs="Times New Roman"/>
          <w:spacing w:val="-4"/>
        </w:rPr>
        <w:t xml:space="preserve"> </w:t>
      </w:r>
      <w:r w:rsidRPr="006C4262">
        <w:rPr>
          <w:rFonts w:cs="Times New Roman"/>
        </w:rPr>
        <w:t>accompanied</w:t>
      </w:r>
      <w:r w:rsidRPr="006C4262">
        <w:rPr>
          <w:rFonts w:cs="Times New Roman"/>
          <w:spacing w:val="-3"/>
        </w:rPr>
        <w:t xml:space="preserve"> </w:t>
      </w:r>
      <w:r w:rsidRPr="006C4262">
        <w:rPr>
          <w:rFonts w:cs="Times New Roman"/>
        </w:rPr>
        <w:t>with</w:t>
      </w:r>
      <w:r w:rsidRPr="006C4262">
        <w:rPr>
          <w:rFonts w:cs="Times New Roman"/>
          <w:spacing w:val="-3"/>
        </w:rPr>
        <w:t xml:space="preserve"> </w:t>
      </w:r>
      <w:r w:rsidRPr="006C4262">
        <w:rPr>
          <w:rFonts w:cs="Times New Roman"/>
        </w:rPr>
        <w:t>this</w:t>
      </w:r>
      <w:r w:rsidRPr="006C4262">
        <w:rPr>
          <w:rFonts w:cs="Times New Roman"/>
          <w:spacing w:val="-2"/>
        </w:rPr>
        <w:t xml:space="preserve"> </w:t>
      </w:r>
      <w:r w:rsidRPr="006C4262">
        <w:rPr>
          <w:rFonts w:cs="Times New Roman"/>
        </w:rPr>
        <w:t>Field</w:t>
      </w:r>
      <w:r w:rsidRPr="006C4262">
        <w:rPr>
          <w:rFonts w:cs="Times New Roman"/>
          <w:spacing w:val="-2"/>
        </w:rPr>
        <w:t xml:space="preserve"> </w:t>
      </w:r>
      <w:r w:rsidRPr="006C4262">
        <w:rPr>
          <w:rFonts w:cs="Times New Roman"/>
        </w:rPr>
        <w:t>Safety</w:t>
      </w:r>
      <w:r w:rsidRPr="006C4262">
        <w:rPr>
          <w:rFonts w:cs="Times New Roman"/>
          <w:spacing w:val="-4"/>
        </w:rPr>
        <w:t xml:space="preserve"> </w:t>
      </w:r>
      <w:r w:rsidRPr="006C4262">
        <w:rPr>
          <w:rFonts w:cs="Times New Roman"/>
        </w:rPr>
        <w:t xml:space="preserve">Notice and return it to your local </w:t>
      </w:r>
      <w:proofErr w:type="spellStart"/>
      <w:r w:rsidRPr="006C4262">
        <w:rPr>
          <w:rFonts w:cs="Times New Roman"/>
        </w:rPr>
        <w:t>bioMérieux</w:t>
      </w:r>
      <w:proofErr w:type="spellEnd"/>
      <w:r w:rsidRPr="006C4262">
        <w:rPr>
          <w:rFonts w:cs="Times New Roman"/>
        </w:rPr>
        <w:t xml:space="preserve"> representative.</w:t>
      </w:r>
    </w:p>
    <w:p w14:paraId="38B990A2" w14:textId="77777777" w:rsidR="00CE00F1" w:rsidRPr="006C4262" w:rsidRDefault="00CE00F1" w:rsidP="00CE00F1">
      <w:pPr>
        <w:pStyle w:val="BodyText"/>
        <w:spacing w:before="6"/>
        <w:rPr>
          <w:rFonts w:cs="Times New Roman"/>
        </w:rPr>
      </w:pPr>
    </w:p>
    <w:p w14:paraId="41EE70C4" w14:textId="77777777" w:rsidR="00CE00F1" w:rsidRPr="006C4262" w:rsidRDefault="00CE00F1" w:rsidP="00CE00F1">
      <w:pPr>
        <w:pStyle w:val="Heading1"/>
        <w:ind w:left="207"/>
        <w:rPr>
          <w:rFonts w:cs="Times New Roman"/>
        </w:rPr>
      </w:pPr>
      <w:r w:rsidRPr="006C4262">
        <w:rPr>
          <w:rFonts w:cs="Times New Roman"/>
        </w:rPr>
        <w:t xml:space="preserve">Actions to </w:t>
      </w:r>
      <w:proofErr w:type="gramStart"/>
      <w:r w:rsidRPr="006C4262">
        <w:rPr>
          <w:rFonts w:cs="Times New Roman"/>
        </w:rPr>
        <w:t>be taken</w:t>
      </w:r>
      <w:proofErr w:type="gramEnd"/>
      <w:r w:rsidRPr="006C4262">
        <w:rPr>
          <w:rFonts w:cs="Times New Roman"/>
        </w:rPr>
        <w:t xml:space="preserve"> by </w:t>
      </w:r>
      <w:proofErr w:type="spellStart"/>
      <w:r w:rsidRPr="006C4262">
        <w:rPr>
          <w:rFonts w:cs="Times New Roman"/>
        </w:rPr>
        <w:t>BioFire</w:t>
      </w:r>
      <w:proofErr w:type="spellEnd"/>
      <w:r w:rsidRPr="006C4262">
        <w:rPr>
          <w:rFonts w:cs="Times New Roman"/>
        </w:rPr>
        <w:t>:</w:t>
      </w:r>
    </w:p>
    <w:p w14:paraId="7368E7D7" w14:textId="77777777" w:rsidR="00CE00F1" w:rsidRPr="006C4262" w:rsidRDefault="00CE00F1" w:rsidP="00CE00F1">
      <w:pPr>
        <w:pStyle w:val="BodyText"/>
        <w:spacing w:before="10"/>
        <w:rPr>
          <w:rFonts w:cs="Times New Roman"/>
          <w:b/>
        </w:rPr>
      </w:pPr>
    </w:p>
    <w:p w14:paraId="1A931EBD" w14:textId="0B8B2AF9" w:rsidR="00CE00F1" w:rsidRPr="006C4262" w:rsidRDefault="00BE0CAD" w:rsidP="00CE00F1">
      <w:pPr>
        <w:pStyle w:val="ListParagraph"/>
        <w:numPr>
          <w:ilvl w:val="1"/>
          <w:numId w:val="1"/>
        </w:numPr>
        <w:tabs>
          <w:tab w:val="left" w:pos="1000"/>
          <w:tab w:val="left" w:pos="1001"/>
        </w:tabs>
        <w:ind w:right="1520"/>
        <w:rPr>
          <w:rFonts w:cs="Times New Roman"/>
        </w:rPr>
      </w:pPr>
      <w:proofErr w:type="spellStart"/>
      <w:r>
        <w:rPr>
          <w:rFonts w:cs="Times New Roman"/>
        </w:rPr>
        <w:t>BioFire</w:t>
      </w:r>
      <w:proofErr w:type="spellEnd"/>
      <w:r>
        <w:rPr>
          <w:rFonts w:cs="Times New Roman"/>
        </w:rPr>
        <w:t xml:space="preserve"> and BD teams are coordinating efforts to resolve this issue. </w:t>
      </w:r>
    </w:p>
    <w:p w14:paraId="190F076A" w14:textId="77777777" w:rsidR="00CE00F1" w:rsidRPr="006C4262" w:rsidRDefault="00CE00F1" w:rsidP="00CE00F1">
      <w:pPr>
        <w:pStyle w:val="BodyText"/>
        <w:spacing w:before="8"/>
        <w:rPr>
          <w:rFonts w:cs="Times New Roman"/>
        </w:rPr>
      </w:pPr>
    </w:p>
    <w:p w14:paraId="709C1D4F" w14:textId="77777777" w:rsidR="00CE00F1" w:rsidRPr="006C4262" w:rsidRDefault="00CE00F1" w:rsidP="00CE00F1">
      <w:pPr>
        <w:pStyle w:val="BodyText"/>
        <w:ind w:left="280" w:right="1390"/>
        <w:rPr>
          <w:rFonts w:cs="Times New Roman"/>
        </w:rPr>
      </w:pPr>
      <w:r w:rsidRPr="006C4262">
        <w:rPr>
          <w:rFonts w:cs="Times New Roman"/>
        </w:rPr>
        <w:t xml:space="preserve">If you have any questions or concerns, please </w:t>
      </w:r>
      <w:proofErr w:type="gramStart"/>
      <w:r w:rsidRPr="006C4262">
        <w:rPr>
          <w:rFonts w:cs="Times New Roman"/>
        </w:rPr>
        <w:t>don’t</w:t>
      </w:r>
      <w:proofErr w:type="gramEnd"/>
      <w:r w:rsidRPr="006C4262">
        <w:rPr>
          <w:rFonts w:cs="Times New Roman"/>
        </w:rPr>
        <w:t xml:space="preserve"> hesitate to contact your local </w:t>
      </w:r>
      <w:proofErr w:type="spellStart"/>
      <w:r w:rsidRPr="006C4262">
        <w:rPr>
          <w:rFonts w:cs="Times New Roman"/>
        </w:rPr>
        <w:t>bioMérieux</w:t>
      </w:r>
      <w:proofErr w:type="spellEnd"/>
      <w:r w:rsidRPr="006C4262">
        <w:rPr>
          <w:rFonts w:cs="Times New Roman"/>
        </w:rPr>
        <w:t xml:space="preserve"> representative. The Competent (Regulatory) Authority of your country </w:t>
      </w:r>
      <w:proofErr w:type="gramStart"/>
      <w:r w:rsidRPr="006C4262">
        <w:rPr>
          <w:rFonts w:cs="Times New Roman"/>
        </w:rPr>
        <w:t>has been informed</w:t>
      </w:r>
      <w:proofErr w:type="gramEnd"/>
      <w:r w:rsidRPr="006C4262">
        <w:rPr>
          <w:rFonts w:cs="Times New Roman"/>
        </w:rPr>
        <w:t xml:space="preserve"> about this communication to customers.</w:t>
      </w:r>
    </w:p>
    <w:p w14:paraId="31B588F3" w14:textId="768A1EEC" w:rsidR="009F4810" w:rsidRPr="006C4262" w:rsidRDefault="009F4810" w:rsidP="003077C2">
      <w:pPr>
        <w:pStyle w:val="BodyText"/>
        <w:rPr>
          <w:rFonts w:cs="Times New Roman"/>
        </w:rPr>
      </w:pPr>
    </w:p>
    <w:p w14:paraId="714E3A2A" w14:textId="74FC52F8" w:rsidR="00CE00F1" w:rsidRDefault="00CE00F1" w:rsidP="00E10A42">
      <w:pPr>
        <w:pStyle w:val="BodyText"/>
        <w:ind w:firstLine="280"/>
        <w:rPr>
          <w:rFonts w:cs="Times New Roman"/>
        </w:rPr>
      </w:pPr>
      <w:r w:rsidRPr="006C4262">
        <w:rPr>
          <w:rFonts w:cs="Times New Roman"/>
        </w:rPr>
        <w:t>Thank you for your understanding and patience in this matter.</w:t>
      </w:r>
    </w:p>
    <w:p w14:paraId="0F07DCFF" w14:textId="3BB5E181" w:rsidR="00BE0CAD" w:rsidRDefault="00BE0CAD" w:rsidP="00E10A42">
      <w:pPr>
        <w:pStyle w:val="BodyText"/>
        <w:ind w:firstLine="280"/>
        <w:rPr>
          <w:rFonts w:cs="Times New Roman"/>
        </w:rPr>
      </w:pPr>
    </w:p>
    <w:p w14:paraId="4B98D48D" w14:textId="4B489EF9" w:rsidR="00BE0CAD" w:rsidRDefault="00BE0CAD" w:rsidP="00E10A42">
      <w:pPr>
        <w:pStyle w:val="BodyText"/>
        <w:ind w:firstLine="280"/>
        <w:rPr>
          <w:rFonts w:cs="Times New Roman"/>
        </w:rPr>
      </w:pPr>
      <w:r>
        <w:rPr>
          <w:rFonts w:cs="Times New Roman"/>
        </w:rPr>
        <w:t>Sincerely,</w:t>
      </w:r>
    </w:p>
    <w:p w14:paraId="55ED4AFD" w14:textId="5C7C0CE8" w:rsidR="00BE0CAD" w:rsidRDefault="00BE0CAD" w:rsidP="00BE0CAD">
      <w:pPr>
        <w:pStyle w:val="BodyText"/>
        <w:ind w:firstLine="280"/>
        <w:rPr>
          <w:rFonts w:cs="Times New Roman"/>
        </w:rPr>
      </w:pPr>
      <w:r>
        <w:rPr>
          <w:noProof/>
          <w:lang w:val="lv-LV" w:eastAsia="lv-LV" w:bidi="ar-SA"/>
        </w:rPr>
        <w:drawing>
          <wp:inline distT="0" distB="0" distL="0" distR="0" wp14:anchorId="43BA784F" wp14:editId="14A7FACF">
            <wp:extent cx="155257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7F58D" w14:textId="77777777" w:rsidR="00BE0CAD" w:rsidRDefault="00BE0CAD" w:rsidP="00BE0CAD">
      <w:pPr>
        <w:pStyle w:val="BodyText"/>
        <w:ind w:firstLine="280"/>
        <w:rPr>
          <w:rFonts w:cs="Times New Roman"/>
        </w:rPr>
      </w:pPr>
    </w:p>
    <w:p w14:paraId="65016B73" w14:textId="1F461B28" w:rsidR="00BE0CAD" w:rsidRDefault="00BE0CAD" w:rsidP="00E10A42">
      <w:pPr>
        <w:pStyle w:val="BodyText"/>
        <w:ind w:firstLine="280"/>
        <w:rPr>
          <w:rFonts w:cs="Times New Roman"/>
        </w:rPr>
      </w:pPr>
      <w:proofErr w:type="spellStart"/>
      <w:r>
        <w:rPr>
          <w:rFonts w:cs="Times New Roman"/>
        </w:rPr>
        <w:t>Aneta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Waliszewski</w:t>
      </w:r>
      <w:proofErr w:type="spellEnd"/>
    </w:p>
    <w:p w14:paraId="5F8C9E61" w14:textId="0BEEB7D4" w:rsidR="00BE0CAD" w:rsidRDefault="00BE0CAD" w:rsidP="00E10A42">
      <w:pPr>
        <w:pStyle w:val="BodyText"/>
        <w:ind w:firstLine="280"/>
        <w:rPr>
          <w:rFonts w:cs="Times New Roman"/>
        </w:rPr>
      </w:pPr>
      <w:r>
        <w:rPr>
          <w:rFonts w:cs="Times New Roman"/>
        </w:rPr>
        <w:t>Senior Quality Director</w:t>
      </w:r>
    </w:p>
    <w:p w14:paraId="600EF49D" w14:textId="5F644FB3" w:rsidR="00BE0CAD" w:rsidRPr="006C4262" w:rsidRDefault="00BE0CAD" w:rsidP="00E10A42">
      <w:pPr>
        <w:pStyle w:val="BodyText"/>
        <w:ind w:firstLine="280"/>
        <w:rPr>
          <w:rFonts w:cs="Times New Roman"/>
        </w:rPr>
      </w:pPr>
      <w:proofErr w:type="spellStart"/>
      <w:r>
        <w:rPr>
          <w:rFonts w:cs="Times New Roman"/>
        </w:rPr>
        <w:t>BioFire</w:t>
      </w:r>
      <w:proofErr w:type="spellEnd"/>
      <w:r>
        <w:rPr>
          <w:rFonts w:cs="Times New Roman"/>
        </w:rPr>
        <w:t xml:space="preserve"> Diagnostics, LLC</w:t>
      </w:r>
    </w:p>
    <w:p w14:paraId="08BC0251" w14:textId="77777777" w:rsidR="009F4810" w:rsidRPr="006C4262" w:rsidRDefault="009F4810" w:rsidP="003077C2">
      <w:pPr>
        <w:pStyle w:val="BodyText"/>
        <w:rPr>
          <w:rFonts w:cs="Times New Roman"/>
        </w:rPr>
      </w:pPr>
    </w:p>
    <w:p w14:paraId="205C1991" w14:textId="77777777" w:rsidR="009F4810" w:rsidRDefault="009F4810" w:rsidP="007054EA">
      <w:pPr>
        <w:pStyle w:val="BodyText"/>
      </w:pPr>
    </w:p>
    <w:p w14:paraId="084D9E0E" w14:textId="77777777" w:rsidR="009F4810" w:rsidRDefault="009F4810" w:rsidP="007054EA">
      <w:pPr>
        <w:pStyle w:val="BodyText"/>
      </w:pPr>
    </w:p>
    <w:sectPr w:rsidR="009F4810" w:rsidSect="00DA0166">
      <w:headerReference w:type="default" r:id="rId8"/>
      <w:footerReference w:type="default" r:id="rId9"/>
      <w:pgSz w:w="12240" w:h="15840"/>
      <w:pgMar w:top="720" w:right="720" w:bottom="720" w:left="72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11DBF" w14:textId="77777777" w:rsidR="00EB7B3D" w:rsidRDefault="00EB7B3D" w:rsidP="00283CF5">
      <w:r>
        <w:separator/>
      </w:r>
    </w:p>
  </w:endnote>
  <w:endnote w:type="continuationSeparator" w:id="0">
    <w:p w14:paraId="02D90F4C" w14:textId="77777777" w:rsidR="00EB7B3D" w:rsidRDefault="00EB7B3D" w:rsidP="0028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595D" w14:textId="1D432C8D" w:rsidR="00DA0166" w:rsidRPr="00DF5D47" w:rsidRDefault="005C2EBD" w:rsidP="005C2EBD">
    <w:pPr>
      <w:ind w:left="1440" w:firstLine="720"/>
      <w:rPr>
        <w:color w:val="BFBFBF" w:themeColor="background1" w:themeShade="BF"/>
      </w:rPr>
    </w:pPr>
    <w:r>
      <w:rPr>
        <w:i/>
        <w:iCs/>
      </w:rPr>
      <w:t>All product names and trademarks are property of their respective owners</w:t>
    </w:r>
    <w:r w:rsidR="00DA0166">
      <w:ptab w:relativeTo="margin" w:alignment="right" w:leader="none"/>
    </w:r>
    <w:r w:rsidR="00DA0166" w:rsidRPr="00DA0166">
      <w:rPr>
        <w:rFonts w:ascii="Century Gothic" w:hAnsi="Century Gothic" w:cs="Century Gothic"/>
        <w:color w:val="BFBFBF" w:themeColor="background1" w:themeShade="BF"/>
        <w:sz w:val="14"/>
        <w:szCs w:val="14"/>
      </w:rPr>
      <w:t xml:space="preserve"> </w:t>
    </w:r>
  </w:p>
  <w:p w14:paraId="3DD5A08D" w14:textId="3510CCE1" w:rsidR="00DA0166" w:rsidRDefault="000B3E4F">
    <w:pPr>
      <w:pStyle w:val="Footer"/>
    </w:pPr>
    <w:r>
      <w:rPr>
        <w:noProof/>
        <w:lang w:val="lv-LV" w:eastAsia="lv-LV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B7BE99" wp14:editId="7A518333">
              <wp:simplePos x="0" y="0"/>
              <wp:positionH relativeFrom="margin">
                <wp:posOffset>5857875</wp:posOffset>
              </wp:positionH>
              <wp:positionV relativeFrom="paragraph">
                <wp:posOffset>426720</wp:posOffset>
              </wp:positionV>
              <wp:extent cx="1114425" cy="2381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B2E36E" w14:textId="377B4A7E" w:rsidR="000B3E4F" w:rsidRPr="004432A8" w:rsidRDefault="000B3E4F" w:rsidP="000B3E4F">
                          <w:pPr>
                            <w:jc w:val="right"/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4432A8"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>BFR0001-</w:t>
                          </w:r>
                          <w:r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>5726</w:t>
                          </w:r>
                          <w:r w:rsidRPr="004432A8"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>-01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0B7BE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1.25pt;margin-top:33.6pt;width:87.75pt;height:18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" fillcolor="white [3201]" stroked="f" strokeweight=".5pt">
              <v:textbox>
                <w:txbxContent>
                  <w:p w14:paraId="1EB2E36E" w14:textId="377B4A7E" w:rsidR="000B3E4F" w:rsidRPr="004432A8" w:rsidRDefault="000B3E4F" w:rsidP="000B3E4F">
                    <w:pPr>
                      <w:jc w:val="right"/>
                      <w:rPr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4432A8">
                      <w:rPr>
                        <w:color w:val="BFBFBF" w:themeColor="background1" w:themeShade="BF"/>
                        <w:sz w:val="18"/>
                        <w:szCs w:val="18"/>
                      </w:rPr>
                      <w:t>BFR0001-</w:t>
                    </w:r>
                    <w:r>
                      <w:rPr>
                        <w:color w:val="BFBFBF" w:themeColor="background1" w:themeShade="BF"/>
                        <w:sz w:val="18"/>
                        <w:szCs w:val="18"/>
                      </w:rPr>
                      <w:t>5726</w:t>
                    </w:r>
                    <w:r w:rsidRPr="004432A8">
                      <w:rPr>
                        <w:color w:val="BFBFBF" w:themeColor="background1" w:themeShade="BF"/>
                        <w:sz w:val="18"/>
                        <w:szCs w:val="18"/>
                      </w:rPr>
                      <w:t>-01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A67F4" w14:textId="77777777" w:rsidR="00EB7B3D" w:rsidRDefault="00EB7B3D" w:rsidP="00283CF5">
      <w:r>
        <w:separator/>
      </w:r>
    </w:p>
  </w:footnote>
  <w:footnote w:type="continuationSeparator" w:id="0">
    <w:p w14:paraId="30ED3691" w14:textId="77777777" w:rsidR="00EB7B3D" w:rsidRDefault="00EB7B3D" w:rsidP="0028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65E7" w14:textId="77777777" w:rsidR="00283CF5" w:rsidRDefault="00283CF5">
    <w:pPr>
      <w:pStyle w:val="Header"/>
    </w:pPr>
    <w:r>
      <w:rPr>
        <w:noProof/>
        <w:lang w:val="lv-LV" w:eastAsia="lv-LV" w:bidi="ar-SA"/>
      </w:rPr>
      <w:drawing>
        <wp:anchor distT="0" distB="0" distL="114300" distR="114300" simplePos="0" relativeHeight="251658240" behindDoc="1" locked="0" layoutInCell="1" allowOverlap="1" wp14:anchorId="53AC236D" wp14:editId="0DD7E22B">
          <wp:simplePos x="0" y="0"/>
          <wp:positionH relativeFrom="column">
            <wp:posOffset>-467032</wp:posOffset>
          </wp:positionH>
          <wp:positionV relativeFrom="paragraph">
            <wp:posOffset>-914400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randed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8B03D1" w14:textId="77777777" w:rsidR="00283CF5" w:rsidRDefault="00283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85477"/>
    <w:multiLevelType w:val="hybridMultilevel"/>
    <w:tmpl w:val="4380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E587E"/>
    <w:multiLevelType w:val="hybridMultilevel"/>
    <w:tmpl w:val="5A1EC1E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6C496D41"/>
    <w:multiLevelType w:val="hybridMultilevel"/>
    <w:tmpl w:val="68A6397A"/>
    <w:lvl w:ilvl="0" w:tplc="8FD09668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46293D8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39164CD6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3" w:tplc="31725F42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en-US"/>
      </w:rPr>
    </w:lvl>
    <w:lvl w:ilvl="4" w:tplc="DD20C070">
      <w:numFmt w:val="bullet"/>
      <w:lvlText w:val="•"/>
      <w:lvlJc w:val="left"/>
      <w:pPr>
        <w:ind w:left="4366" w:hanging="361"/>
      </w:pPr>
      <w:rPr>
        <w:rFonts w:hint="default"/>
        <w:lang w:val="en-US" w:eastAsia="en-US" w:bidi="en-US"/>
      </w:rPr>
    </w:lvl>
    <w:lvl w:ilvl="5" w:tplc="15800C98">
      <w:numFmt w:val="bullet"/>
      <w:lvlText w:val="•"/>
      <w:lvlJc w:val="left"/>
      <w:pPr>
        <w:ind w:left="5488" w:hanging="361"/>
      </w:pPr>
      <w:rPr>
        <w:rFonts w:hint="default"/>
        <w:lang w:val="en-US" w:eastAsia="en-US" w:bidi="en-US"/>
      </w:rPr>
    </w:lvl>
    <w:lvl w:ilvl="6" w:tplc="6390FA4C">
      <w:numFmt w:val="bullet"/>
      <w:lvlText w:val="•"/>
      <w:lvlJc w:val="left"/>
      <w:pPr>
        <w:ind w:left="6611" w:hanging="361"/>
      </w:pPr>
      <w:rPr>
        <w:rFonts w:hint="default"/>
        <w:lang w:val="en-US" w:eastAsia="en-US" w:bidi="en-US"/>
      </w:rPr>
    </w:lvl>
    <w:lvl w:ilvl="7" w:tplc="F60CCC2A">
      <w:numFmt w:val="bullet"/>
      <w:lvlText w:val="•"/>
      <w:lvlJc w:val="left"/>
      <w:pPr>
        <w:ind w:left="7733" w:hanging="361"/>
      </w:pPr>
      <w:rPr>
        <w:rFonts w:hint="default"/>
        <w:lang w:val="en-US" w:eastAsia="en-US" w:bidi="en-US"/>
      </w:rPr>
    </w:lvl>
    <w:lvl w:ilvl="8" w:tplc="E96463EA">
      <w:numFmt w:val="bullet"/>
      <w:lvlText w:val="•"/>
      <w:lvlJc w:val="left"/>
      <w:pPr>
        <w:ind w:left="8855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2D"/>
    <w:rsid w:val="00013373"/>
    <w:rsid w:val="00081AC0"/>
    <w:rsid w:val="000A2089"/>
    <w:rsid w:val="000B2057"/>
    <w:rsid w:val="000B3E4F"/>
    <w:rsid w:val="000C4B83"/>
    <w:rsid w:val="001031B6"/>
    <w:rsid w:val="00181AFA"/>
    <w:rsid w:val="00194B24"/>
    <w:rsid w:val="001A7025"/>
    <w:rsid w:val="001C3D6F"/>
    <w:rsid w:val="001F402D"/>
    <w:rsid w:val="00283CF5"/>
    <w:rsid w:val="002D25F1"/>
    <w:rsid w:val="002F2DC0"/>
    <w:rsid w:val="003077C2"/>
    <w:rsid w:val="0036115E"/>
    <w:rsid w:val="003A7E84"/>
    <w:rsid w:val="003B6A05"/>
    <w:rsid w:val="00453388"/>
    <w:rsid w:val="00481D99"/>
    <w:rsid w:val="00496288"/>
    <w:rsid w:val="00523378"/>
    <w:rsid w:val="00534841"/>
    <w:rsid w:val="0055773D"/>
    <w:rsid w:val="005C2EBD"/>
    <w:rsid w:val="00606F08"/>
    <w:rsid w:val="006716CF"/>
    <w:rsid w:val="00680027"/>
    <w:rsid w:val="006A1D0E"/>
    <w:rsid w:val="006C062F"/>
    <w:rsid w:val="006C4262"/>
    <w:rsid w:val="006C4A3B"/>
    <w:rsid w:val="006E28E5"/>
    <w:rsid w:val="006E3DF6"/>
    <w:rsid w:val="006F0FB2"/>
    <w:rsid w:val="007054EA"/>
    <w:rsid w:val="007079B3"/>
    <w:rsid w:val="00781853"/>
    <w:rsid w:val="00784640"/>
    <w:rsid w:val="007C2EF5"/>
    <w:rsid w:val="0081157D"/>
    <w:rsid w:val="008C19F5"/>
    <w:rsid w:val="008E0E86"/>
    <w:rsid w:val="008F3012"/>
    <w:rsid w:val="00911A06"/>
    <w:rsid w:val="00917805"/>
    <w:rsid w:val="00931B10"/>
    <w:rsid w:val="00934766"/>
    <w:rsid w:val="009569DD"/>
    <w:rsid w:val="009C2CA2"/>
    <w:rsid w:val="009D6E62"/>
    <w:rsid w:val="009F4810"/>
    <w:rsid w:val="00AF66F1"/>
    <w:rsid w:val="00B05156"/>
    <w:rsid w:val="00B5143D"/>
    <w:rsid w:val="00B6455F"/>
    <w:rsid w:val="00B81AC7"/>
    <w:rsid w:val="00BA4550"/>
    <w:rsid w:val="00BC49D1"/>
    <w:rsid w:val="00BE0C5E"/>
    <w:rsid w:val="00BE0CAD"/>
    <w:rsid w:val="00C50CEC"/>
    <w:rsid w:val="00C52675"/>
    <w:rsid w:val="00CD763F"/>
    <w:rsid w:val="00CE00F1"/>
    <w:rsid w:val="00CE7AE2"/>
    <w:rsid w:val="00D16D58"/>
    <w:rsid w:val="00D45DCE"/>
    <w:rsid w:val="00DA0166"/>
    <w:rsid w:val="00E03CD4"/>
    <w:rsid w:val="00E10A42"/>
    <w:rsid w:val="00E31592"/>
    <w:rsid w:val="00E34712"/>
    <w:rsid w:val="00E8352E"/>
    <w:rsid w:val="00EA291E"/>
    <w:rsid w:val="00EB7B3D"/>
    <w:rsid w:val="00EC1403"/>
    <w:rsid w:val="00ED4272"/>
    <w:rsid w:val="00F4524B"/>
    <w:rsid w:val="00FB1602"/>
    <w:rsid w:val="00FC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B970C"/>
  <w14:defaultImageDpi w14:val="32767"/>
  <w15:chartTrackingRefBased/>
  <w15:docId w15:val="{9FEEC4B9-3978-44A5-A29E-DE424222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00F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CE00F1"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CF5"/>
  </w:style>
  <w:style w:type="paragraph" w:styleId="Footer">
    <w:name w:val="footer"/>
    <w:basedOn w:val="Normal"/>
    <w:link w:val="FooterChar"/>
    <w:uiPriority w:val="99"/>
    <w:unhideWhenUsed/>
    <w:rsid w:val="00283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CF5"/>
  </w:style>
  <w:style w:type="character" w:customStyle="1" w:styleId="Heading1Char">
    <w:name w:val="Heading 1 Char"/>
    <w:basedOn w:val="DefaultParagraphFont"/>
    <w:link w:val="Heading1"/>
    <w:uiPriority w:val="1"/>
    <w:rsid w:val="00CE00F1"/>
    <w:rPr>
      <w:rFonts w:ascii="Cambria" w:eastAsia="Cambria" w:hAnsi="Cambria" w:cs="Cambri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E00F1"/>
  </w:style>
  <w:style w:type="character" w:customStyle="1" w:styleId="BodyTextChar">
    <w:name w:val="Body Text Char"/>
    <w:basedOn w:val="DefaultParagraphFont"/>
    <w:link w:val="BodyText"/>
    <w:uiPriority w:val="1"/>
    <w:rsid w:val="00CE00F1"/>
    <w:rPr>
      <w:rFonts w:ascii="Cambria" w:eastAsia="Cambria" w:hAnsi="Cambria" w:cs="Cambria"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rsid w:val="00CE00F1"/>
    <w:pPr>
      <w:ind w:left="1000" w:right="270" w:hanging="361"/>
    </w:pPr>
  </w:style>
  <w:style w:type="paragraph" w:styleId="Caption">
    <w:name w:val="caption"/>
    <w:basedOn w:val="Normal"/>
    <w:next w:val="Normal"/>
    <w:uiPriority w:val="35"/>
    <w:unhideWhenUsed/>
    <w:qFormat/>
    <w:rsid w:val="006C062F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4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9D1"/>
    <w:rPr>
      <w:rFonts w:ascii="Cambria" w:eastAsia="Cambria" w:hAnsi="Cambria" w:cs="Cambr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9D1"/>
    <w:rPr>
      <w:rFonts w:ascii="Cambria" w:eastAsia="Cambria" w:hAnsi="Cambria" w:cs="Cambr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D1"/>
    <w:rPr>
      <w:rFonts w:ascii="Segoe UI" w:eastAsia="Cambria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5348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9B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4262"/>
    <w:rPr>
      <w:color w:val="808080"/>
    </w:rPr>
  </w:style>
  <w:style w:type="table" w:styleId="TableGrid">
    <w:name w:val="Table Grid"/>
    <w:basedOn w:val="TableNormal"/>
    <w:uiPriority w:val="39"/>
    <w:rsid w:val="00911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1157D"/>
    <w:pPr>
      <w:spacing w:before="27"/>
      <w:ind w:left="107"/>
    </w:pPr>
  </w:style>
  <w:style w:type="paragraph" w:customStyle="1" w:styleId="Default">
    <w:name w:val="Default"/>
    <w:rsid w:val="006C4A3B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_Aswad\Downloads\Cobranded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DEA2-D437-4CAD-841C-F3D45A8C920D}"/>
      </w:docPartPr>
      <w:docPartBody>
        <w:p w:rsidR="002A27B3" w:rsidRDefault="005C006C">
          <w:r w:rsidRPr="004A22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6C"/>
    <w:rsid w:val="002A27B3"/>
    <w:rsid w:val="00441D75"/>
    <w:rsid w:val="004536FE"/>
    <w:rsid w:val="005C006C"/>
    <w:rsid w:val="006A01F3"/>
    <w:rsid w:val="00AE2C10"/>
    <w:rsid w:val="00B4596D"/>
    <w:rsid w:val="00C75F7E"/>
    <w:rsid w:val="00F1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0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Cobranded_Letterhead</Template>
  <TotalTime>0</TotalTime>
  <Pages>2</Pages>
  <Words>2575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Aswad</dc:creator>
  <cp:keywords/>
  <dc:description/>
  <cp:lastModifiedBy>Silvija Kaugere</cp:lastModifiedBy>
  <cp:revision>2</cp:revision>
  <dcterms:created xsi:type="dcterms:W3CDTF">2021-10-18T11:52:00Z</dcterms:created>
  <dcterms:modified xsi:type="dcterms:W3CDTF">2021-10-18T11:52:00Z</dcterms:modified>
</cp:coreProperties>
</file>