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4FAA" w14:textId="77777777" w:rsidR="001956F8" w:rsidRPr="001956F8" w:rsidRDefault="001956F8" w:rsidP="001956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1956F8">
        <w:rPr>
          <w:rFonts w:ascii="Times New Roman" w:eastAsia="Times New Roman" w:hAnsi="Times New Roman" w:cs="Times New Roman"/>
          <w:color w:val="auto"/>
        </w:rPr>
        <w:t>9.pielikums</w:t>
      </w:r>
      <w:r w:rsidRPr="001956F8">
        <w:rPr>
          <w:rFonts w:ascii="Times New Roman" w:eastAsia="Times New Roman" w:hAnsi="Times New Roman" w:cs="Times New Roman"/>
          <w:color w:val="auto"/>
        </w:rPr>
        <w:br/>
        <w:t>Ministru kabineta</w:t>
      </w:r>
      <w:r w:rsidRPr="001956F8">
        <w:rPr>
          <w:rFonts w:ascii="Times New Roman" w:eastAsia="Times New Roman" w:hAnsi="Times New Roman" w:cs="Times New Roman"/>
          <w:color w:val="auto"/>
        </w:rPr>
        <w:br/>
        <w:t>2006.gada 9.maija noteikumiem Nr.376</w:t>
      </w:r>
      <w:bookmarkStart w:id="0" w:name="piel-480828"/>
      <w:bookmarkEnd w:id="0"/>
    </w:p>
    <w:p w14:paraId="60BE1BCD" w14:textId="77777777" w:rsidR="001956F8" w:rsidRPr="001956F8" w:rsidRDefault="001956F8" w:rsidP="00F835E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(Pielikums MK </w:t>
      </w:r>
      <w:hyperlink r:id="rId6" w:tgtFrame="_blank" w:history="1">
        <w:r w:rsidRPr="001956F8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>03.09.2013.</w:t>
        </w:r>
      </w:hyperlink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noteikumu Nr.710 redakcijā)</w:t>
      </w:r>
    </w:p>
    <w:p w14:paraId="783D68A7" w14:textId="77777777" w:rsidR="001956F8" w:rsidRPr="001956F8" w:rsidRDefault="001956F8" w:rsidP="001956F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956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Iesniegums</w:t>
      </w:r>
    </w:p>
    <w:p w14:paraId="66E4BF0F" w14:textId="77777777" w:rsidR="001956F8" w:rsidRPr="001956F8" w:rsidRDefault="001956F8" w:rsidP="00195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956F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saskaņā ar Ministru kabineta 2006.gada 9.maija noteikumu Nr.376 "Zāļu reģistrēšanas kārtība" </w:t>
      </w:r>
      <w:hyperlink r:id="rId7" w:anchor="p125_1 " w:history="1">
        <w:r w:rsidRPr="001956F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125.</w:t>
        </w:r>
        <w:r w:rsidRPr="001956F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</w:rPr>
          <w:t>1 </w:t>
        </w:r>
        <w:r w:rsidRPr="001956F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punktu</w:t>
        </w:r>
      </w:hyperlink>
      <w:r w:rsidRPr="001956F8">
        <w:rPr>
          <w:rFonts w:ascii="Times New Roman" w:eastAsia="Times New Roman" w:hAnsi="Times New Roman" w:cs="Times New Roman"/>
          <w:color w:val="auto"/>
          <w:sz w:val="20"/>
          <w:szCs w:val="20"/>
        </w:rPr>
        <w:t>*</w:t>
      </w:r>
    </w:p>
    <w:p w14:paraId="70828DF8" w14:textId="77777777" w:rsidR="001956F8" w:rsidRPr="001956F8" w:rsidRDefault="001956F8" w:rsidP="00195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Application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in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Accordance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with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Clause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125</w:t>
      </w:r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vertAlign w:val="superscript"/>
        </w:rPr>
        <w:t>1</w:t>
      </w:r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of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the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Cabinet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of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Minister’s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Regulation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No.376 "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Medicinal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Product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Registration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Procedure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"*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6"/>
        <w:gridCol w:w="2976"/>
        <w:gridCol w:w="2801"/>
      </w:tblGrid>
      <w:tr w:rsidR="001956F8" w:rsidRPr="001956F8" w14:paraId="582A6352" w14:textId="77777777" w:rsidTr="001956F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D5608" w14:textId="77777777" w:rsidR="001956F8" w:rsidRPr="001956F8" w:rsidRDefault="001956F8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Reģistrācijas apliecības īpašnieks/</w:t>
            </w:r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Marketing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authorization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holder</w:t>
            </w:r>
            <w:proofErr w:type="spellEnd"/>
          </w:p>
        </w:tc>
      </w:tr>
      <w:tr w:rsidR="001956F8" w:rsidRPr="001956F8" w14:paraId="11F0EBFB" w14:textId="77777777" w:rsidTr="001956F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81B79" w14:textId="77777777" w:rsidR="001956F8" w:rsidRDefault="001956F8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Nosaukums/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Name</w:t>
            </w:r>
            <w:proofErr w:type="spellEnd"/>
          </w:p>
          <w:p w14:paraId="6D3128A3" w14:textId="3B66D05D" w:rsidR="00F835ED" w:rsidRPr="001956F8" w:rsidRDefault="00F835ED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1956F8" w:rsidRPr="001956F8" w14:paraId="63CD07C3" w14:textId="77777777" w:rsidTr="001956F8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CCA06" w14:textId="77777777" w:rsidR="001956F8" w:rsidRDefault="001956F8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Adrese/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Address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14:paraId="6299ABE9" w14:textId="6FB95074" w:rsidR="00F835ED" w:rsidRPr="001956F8" w:rsidRDefault="00F835ED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_____________________________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AA824" w14:textId="77777777" w:rsidR="001956F8" w:rsidRDefault="001956F8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Pasta indekss/</w:t>
            </w:r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Postal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code</w:t>
            </w:r>
            <w:proofErr w:type="spellEnd"/>
          </w:p>
          <w:p w14:paraId="3C64FE89" w14:textId="4339EE29" w:rsidR="00F835ED" w:rsidRPr="001956F8" w:rsidRDefault="00F835ED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___________________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0ABDA" w14:textId="77777777" w:rsidR="001956F8" w:rsidRDefault="001956F8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Pilsēta/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City</w:t>
            </w:r>
            <w:proofErr w:type="spellEnd"/>
          </w:p>
          <w:p w14:paraId="09858F09" w14:textId="54EE7246" w:rsidR="00F835ED" w:rsidRPr="001956F8" w:rsidRDefault="00F835ED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_____________________</w:t>
            </w:r>
          </w:p>
        </w:tc>
      </w:tr>
      <w:tr w:rsidR="001956F8" w:rsidRPr="001956F8" w14:paraId="104DF808" w14:textId="77777777" w:rsidTr="001956F8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C03E7" w14:textId="77777777" w:rsidR="001956F8" w:rsidRDefault="001956F8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Kontaktpersona/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Contact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person</w:t>
            </w:r>
            <w:proofErr w:type="spellEnd"/>
          </w:p>
          <w:p w14:paraId="4BAFA638" w14:textId="19BAD59E" w:rsidR="00F835ED" w:rsidRPr="001956F8" w:rsidRDefault="00F835ED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_____________________________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CD12C" w14:textId="77777777" w:rsidR="001956F8" w:rsidRDefault="001956F8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Valsts/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Country</w:t>
            </w:r>
            <w:proofErr w:type="spellEnd"/>
          </w:p>
          <w:p w14:paraId="2C889F24" w14:textId="6599593E" w:rsidR="00F835ED" w:rsidRPr="001956F8" w:rsidRDefault="00F835ED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______________________________________________</w:t>
            </w:r>
          </w:p>
        </w:tc>
      </w:tr>
      <w:tr w:rsidR="001956F8" w:rsidRPr="001956F8" w14:paraId="7E8A826C" w14:textId="77777777" w:rsidTr="001956F8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3732F" w14:textId="77777777" w:rsidR="001956F8" w:rsidRDefault="001956F8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Tālruņa numurs/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Phone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14:paraId="1A30F71E" w14:textId="047A9DE3" w:rsidR="00F835ED" w:rsidRPr="001956F8" w:rsidRDefault="00F835ED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_____________________________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D489F" w14:textId="77777777" w:rsidR="001956F8" w:rsidRDefault="001956F8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Elektroniskā pasta adrese</w:t>
            </w:r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/E-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mail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address</w:t>
            </w:r>
            <w:proofErr w:type="spellEnd"/>
          </w:p>
          <w:p w14:paraId="6384F3D1" w14:textId="7A196484" w:rsidR="00F835ED" w:rsidRPr="001956F8" w:rsidRDefault="00F835ED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_____________________________________________</w:t>
            </w:r>
          </w:p>
        </w:tc>
      </w:tr>
    </w:tbl>
    <w:p w14:paraId="22BA5FD9" w14:textId="77777777" w:rsidR="001956F8" w:rsidRPr="001956F8" w:rsidRDefault="001956F8" w:rsidP="009C1DE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56F8">
        <w:rPr>
          <w:rFonts w:ascii="Times New Roman" w:eastAsia="Times New Roman" w:hAnsi="Times New Roman" w:cs="Times New Roman"/>
          <w:color w:val="auto"/>
          <w:sz w:val="24"/>
          <w:szCs w:val="24"/>
        </w:rPr>
        <w:t>Zāles, kuras trīs gadus nav bijušas Latvijas tirgū ar vismaz vienu iepakojumu</w:t>
      </w:r>
    </w:p>
    <w:p w14:paraId="62FBCFFC" w14:textId="77777777" w:rsidR="001956F8" w:rsidRPr="001956F8" w:rsidRDefault="001956F8" w:rsidP="009C1DE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The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medicinal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product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that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has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not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been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placed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on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the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Latvian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market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within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three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years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with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at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least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one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packaging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6"/>
        <w:gridCol w:w="3356"/>
        <w:gridCol w:w="3371"/>
      </w:tblGrid>
      <w:tr w:rsidR="001956F8" w:rsidRPr="001956F8" w14:paraId="159F1ABA" w14:textId="77777777" w:rsidTr="001956F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6F3AD" w14:textId="77777777" w:rsidR="001956F8" w:rsidRPr="001956F8" w:rsidRDefault="001956F8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Informācija par zālēm/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Information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on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medicinal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product</w:t>
            </w:r>
            <w:proofErr w:type="spellEnd"/>
          </w:p>
        </w:tc>
      </w:tr>
      <w:tr w:rsidR="001956F8" w:rsidRPr="001956F8" w14:paraId="584EFDCB" w14:textId="77777777" w:rsidTr="001956F8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1142F" w14:textId="77777777" w:rsidR="001956F8" w:rsidRPr="001956F8" w:rsidRDefault="001956F8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Zāļu nosaukums/</w:t>
            </w:r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Medicinal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product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014E8" w14:textId="77777777" w:rsidR="001956F8" w:rsidRPr="001956F8" w:rsidRDefault="001956F8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Zāļu stiprums, forma/</w:t>
            </w:r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Strength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form</w:t>
            </w:r>
            <w:proofErr w:type="spellEnd"/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EED36" w14:textId="77777777" w:rsidR="001956F8" w:rsidRPr="001956F8" w:rsidRDefault="001956F8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Reģistrācijas Nr./</w:t>
            </w:r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Marketing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authorization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No.</w:t>
            </w:r>
          </w:p>
        </w:tc>
      </w:tr>
      <w:tr w:rsidR="001956F8" w:rsidRPr="001956F8" w14:paraId="2702BDDC" w14:textId="77777777" w:rsidTr="001956F8">
        <w:trPr>
          <w:trHeight w:val="225"/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04FAB" w14:textId="77777777" w:rsidR="001956F8" w:rsidRDefault="001956F8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14:paraId="680388D7" w14:textId="77777777" w:rsidR="00F835ED" w:rsidRDefault="00F835ED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96B3208" w14:textId="4B9D2E3C" w:rsidR="00F835ED" w:rsidRPr="001956F8" w:rsidRDefault="00F835ED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B3C37" w14:textId="77777777" w:rsidR="001956F8" w:rsidRPr="001956F8" w:rsidRDefault="001956F8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1E59E" w14:textId="77777777" w:rsidR="001956F8" w:rsidRPr="001956F8" w:rsidRDefault="001956F8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</w:tbl>
    <w:p w14:paraId="384126D7" w14:textId="07F990EE" w:rsidR="00F835ED" w:rsidRDefault="00F835ED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67"/>
        <w:gridCol w:w="1456"/>
      </w:tblGrid>
      <w:tr w:rsidR="001956F8" w:rsidRPr="001956F8" w14:paraId="669BCB54" w14:textId="77777777" w:rsidTr="00F835ED">
        <w:trPr>
          <w:tblCellSpacing w:w="15" w:type="dxa"/>
        </w:trPr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04391" w14:textId="3B39ECE0" w:rsidR="001956F8" w:rsidRPr="001956F8" w:rsidRDefault="001956F8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Izņēmuma tiesību pamatojums (saskaņā ar Ministru kabineta 2006.gada 9.maija noteikumu Nr.376 "Zāļu reģistrēšanas kārtība" </w:t>
            </w:r>
            <w:hyperlink r:id="rId8" w:anchor="p125_1 " w:history="1">
              <w:r w:rsidRPr="001956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125.</w:t>
              </w:r>
              <w:r w:rsidRPr="001956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1 </w:t>
              </w:r>
              <w:r w:rsidRPr="001956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punktu</w:t>
              </w:r>
            </w:hyperlink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)/</w:t>
            </w:r>
          </w:p>
          <w:p w14:paraId="66CCFBFF" w14:textId="77777777" w:rsidR="001956F8" w:rsidRPr="001956F8" w:rsidRDefault="001956F8" w:rsidP="00195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Justification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for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exemption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/(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in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accordance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with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Clause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125.</w:t>
            </w:r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</w:rPr>
              <w:t>1</w:t>
            </w:r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of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the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Cabinet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of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Minister’s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Regulation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No.376 "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Medicinal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Product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Registration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Procedure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"</w:t>
            </w:r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C5C3F" w14:textId="77777777" w:rsidR="001956F8" w:rsidRPr="001956F8" w:rsidRDefault="001956F8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Pagarinājuma termiņš/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Possible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extension</w:t>
            </w:r>
            <w:proofErr w:type="spellEnd"/>
          </w:p>
        </w:tc>
      </w:tr>
      <w:tr w:rsidR="001956F8" w:rsidRPr="001956F8" w14:paraId="4F00C407" w14:textId="77777777" w:rsidTr="00F835ED">
        <w:trPr>
          <w:tblCellSpacing w:w="15" w:type="dxa"/>
        </w:trPr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44BAF" w14:textId="5E30596C" w:rsidR="001956F8" w:rsidRPr="001956F8" w:rsidRDefault="00EA2BDC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146696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956F8"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 Izņēmuma tiesības var piemērot zālēm, kuru </w:t>
            </w:r>
            <w:proofErr w:type="spellStart"/>
            <w:r w:rsidR="001956F8"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neesība</w:t>
            </w:r>
            <w:proofErr w:type="spellEnd"/>
            <w:r w:rsidR="001956F8"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var radīt risku sabiedrības veselībai vai kurām Latvijas zāļu reģistrā ir četri vai mazāk analogi (ņemot vērā ATĶ kodus, terapeitiskās alternatīvas, indikācijas, ievadīšanas veidu)/</w:t>
            </w:r>
          </w:p>
          <w:p w14:paraId="486816D8" w14:textId="77777777" w:rsidR="001956F8" w:rsidRPr="001956F8" w:rsidRDefault="001956F8" w:rsidP="00195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There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is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lack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of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suitable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alternative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medicinal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products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which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means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that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there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is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a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potential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for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adverse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impact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on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public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health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or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the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medicinal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product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has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four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or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lastRenderedPageBreak/>
              <w:t>fewer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analogues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in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the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Register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of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Medicinal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Products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of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the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Republic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of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Latvia (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in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view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of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ATC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codes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therapeutic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alternatives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indication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route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of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administration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)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144FF" w14:textId="77777777" w:rsidR="001956F8" w:rsidRPr="001956F8" w:rsidRDefault="001956F8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3 gadi/ 3 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years</w:t>
            </w:r>
            <w:proofErr w:type="spellEnd"/>
          </w:p>
        </w:tc>
      </w:tr>
      <w:tr w:rsidR="001956F8" w:rsidRPr="001956F8" w14:paraId="037F9FF6" w14:textId="77777777" w:rsidTr="00F835ED">
        <w:trPr>
          <w:tblCellSpacing w:w="15" w:type="dxa"/>
        </w:trPr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D0EC4" w14:textId="022075ED" w:rsidR="001956F8" w:rsidRPr="001956F8" w:rsidRDefault="00EA2BDC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148608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956F8"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 Izņēmuma tiesības var piemērot zālēm, kas ir daļa no valsts materiālo rezervju medikamentiem saskaņā ar normatīvajiem aktiem par neatliekamās medicīniskās palīdzības nodrošināšanu un </w:t>
            </w:r>
            <w:proofErr w:type="spellStart"/>
            <w:r w:rsidR="001956F8"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pretepidēmijas</w:t>
            </w:r>
            <w:proofErr w:type="spellEnd"/>
            <w:r w:rsidR="001956F8"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pasākumiem, medikamentu nodrošinājuma sistēmas sagatavošanu un darbu valsts apdraudējuma gadījumā, kā arī ģenēriskām zālēm, bioloģiskas izcelsmes zālēm, zālēm, kurām apstiprināta lietošana bērniem, retu slimību ārstēšanai paredzētajām zālēm, zālēm, kuras paredzētas </w:t>
            </w:r>
            <w:proofErr w:type="spellStart"/>
            <w:r w:rsidR="001956F8"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parenterālai</w:t>
            </w:r>
            <w:proofErr w:type="spellEnd"/>
            <w:r w:rsidR="001956F8"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ievadīšanai/</w:t>
            </w:r>
          </w:p>
          <w:p w14:paraId="51DC6751" w14:textId="77777777" w:rsidR="001956F8" w:rsidRPr="001956F8" w:rsidRDefault="001956F8" w:rsidP="00195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The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medicinal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product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is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a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part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of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national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reserves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of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medicinal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products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in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accordance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with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regulatory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enactments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on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ensuring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emergency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medicinal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aid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and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anti-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epidemic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measures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development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of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medicinal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product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provision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system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and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work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in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case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of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threat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to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state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security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generic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medicinal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products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biological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medicinal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products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medicinal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products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that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have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been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approved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for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paediatric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use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orphan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drugs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medicinal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products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intended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for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parenteral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administration</w:t>
            </w:r>
            <w:proofErr w:type="spellEnd"/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480D8" w14:textId="77777777" w:rsidR="001956F8" w:rsidRPr="001956F8" w:rsidRDefault="001956F8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 gadi/ 3 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years</w:t>
            </w:r>
            <w:proofErr w:type="spellEnd"/>
          </w:p>
        </w:tc>
      </w:tr>
      <w:tr w:rsidR="001956F8" w:rsidRPr="001956F8" w14:paraId="0DF02559" w14:textId="77777777" w:rsidTr="00F835ED">
        <w:trPr>
          <w:tblCellSpacing w:w="15" w:type="dxa"/>
        </w:trPr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84A67" w14:textId="73358B65" w:rsidR="001956F8" w:rsidRPr="001956F8" w:rsidRDefault="00EA2BDC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149629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956F8"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Izņēmuma tiesības var piemērot zālēm, kas paredzētas tiesiskam eksportam uz trešajām valstīm/</w:t>
            </w:r>
          </w:p>
          <w:p w14:paraId="6EBB276F" w14:textId="77777777" w:rsidR="001956F8" w:rsidRPr="001956F8" w:rsidRDefault="001956F8" w:rsidP="00195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The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medicinal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product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is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intended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for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certified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export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to non-EEA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countries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third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countries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)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4BB3F" w14:textId="77777777" w:rsidR="001956F8" w:rsidRPr="001956F8" w:rsidRDefault="001956F8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 gadi/ 3 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years</w:t>
            </w:r>
            <w:proofErr w:type="spellEnd"/>
          </w:p>
        </w:tc>
      </w:tr>
      <w:tr w:rsidR="001956F8" w:rsidRPr="001956F8" w14:paraId="2208712F" w14:textId="77777777" w:rsidTr="00F835ED">
        <w:trPr>
          <w:tblCellSpacing w:w="15" w:type="dxa"/>
        </w:trPr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5896B" w14:textId="3127B10A" w:rsidR="001956F8" w:rsidRPr="001956F8" w:rsidRDefault="00EA2BDC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113671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956F8"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Izņēmuma tiesības var piemērot zālēm, kas reģistrētas savstarpējās atzīšanas (MR) vai decentralizētajā (DC) reģistrācijas procedūrā ar Latviju kā atsauces valsti (zāļu izplatīšanas iespējas nodrošināšanai iesaistītajās dalībvalstīs)/</w:t>
            </w:r>
          </w:p>
          <w:p w14:paraId="2B05AFA7" w14:textId="77777777" w:rsidR="001956F8" w:rsidRPr="001956F8" w:rsidRDefault="001956F8" w:rsidP="00195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The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medicinal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product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has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been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mutually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recognised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through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the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mutual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recognition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(MR)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or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decentralized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(DC)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procedure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with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Latvia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as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RMS (to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ensure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supply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of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medicinal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products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in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participating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Member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States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)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07515" w14:textId="77777777" w:rsidR="001956F8" w:rsidRPr="001956F8" w:rsidRDefault="001956F8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 gadi/ 3 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years</w:t>
            </w:r>
            <w:proofErr w:type="spellEnd"/>
          </w:p>
        </w:tc>
      </w:tr>
      <w:tr w:rsidR="001956F8" w:rsidRPr="001956F8" w14:paraId="17C9D965" w14:textId="77777777" w:rsidTr="00F835ED">
        <w:trPr>
          <w:tblCellSpacing w:w="15" w:type="dxa"/>
        </w:trPr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AE7A6" w14:textId="270FD96F" w:rsidR="001956F8" w:rsidRPr="001956F8" w:rsidRDefault="00EA2BDC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30458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956F8"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Izņēmuma tiesības var piemērot zālēm gadījumos, ja notiek plānotas izmaiņas zāļu reģistrācijas dokumentācijā un spēkā esoša zāļu reģistrācijas apliecība ir nepieciešama, lai pacientus nodrošinātu ar zālēm/</w:t>
            </w:r>
          </w:p>
          <w:p w14:paraId="26C5A166" w14:textId="77777777" w:rsidR="001956F8" w:rsidRPr="001956F8" w:rsidRDefault="001956F8" w:rsidP="00195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The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medicinal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product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for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which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there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is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an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on-going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planned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variation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in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the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product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registration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dossier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and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valid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marketing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authorization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is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required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to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ensure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patients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with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the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medicinal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product</w:t>
            </w:r>
            <w:proofErr w:type="spellEnd"/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D9495" w14:textId="77777777" w:rsidR="001956F8" w:rsidRPr="001956F8" w:rsidRDefault="001956F8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no 1 gada līdz 3 gadiem/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from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 to 3 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years</w:t>
            </w:r>
            <w:proofErr w:type="spellEnd"/>
          </w:p>
        </w:tc>
      </w:tr>
    </w:tbl>
    <w:p w14:paraId="35A5B32F" w14:textId="77777777" w:rsidR="001956F8" w:rsidRPr="001956F8" w:rsidRDefault="001956F8" w:rsidP="009C1DE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56F8">
        <w:rPr>
          <w:rFonts w:ascii="Times New Roman" w:eastAsia="Times New Roman" w:hAnsi="Times New Roman" w:cs="Times New Roman"/>
          <w:color w:val="auto"/>
          <w:sz w:val="24"/>
          <w:szCs w:val="24"/>
        </w:rPr>
        <w:t>Iesnieguma iesniedzējs apliecina, ka iesniegumā norādītā informācija ir pareiza un to apstiprinošs pamatojums tiks iesniegts nedēļas laikā pēc Zāļu valsts aģentūras pieprasījuma.</w:t>
      </w:r>
    </w:p>
    <w:p w14:paraId="30D7F475" w14:textId="77777777" w:rsidR="001956F8" w:rsidRPr="001956F8" w:rsidRDefault="001956F8" w:rsidP="009C1DE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The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applicant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declares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that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the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above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information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is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correct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and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that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evidence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justifying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the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above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claims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will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be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provided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within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one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week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on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any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request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by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the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State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Agency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of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Medicines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16"/>
        <w:gridCol w:w="4021"/>
        <w:gridCol w:w="3086"/>
      </w:tblGrid>
      <w:tr w:rsidR="001956F8" w:rsidRPr="001956F8" w14:paraId="3866C3B5" w14:textId="77777777" w:rsidTr="001956F8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9F2EF" w14:textId="77777777" w:rsidR="001956F8" w:rsidRPr="001956F8" w:rsidRDefault="001956F8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Paraksts/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ignature</w:t>
            </w:r>
            <w:proofErr w:type="spellEnd"/>
          </w:p>
          <w:p w14:paraId="4979B123" w14:textId="77777777" w:rsidR="001956F8" w:rsidRPr="001956F8" w:rsidRDefault="001956F8" w:rsidP="00195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D5E49" w14:textId="77777777" w:rsidR="001956F8" w:rsidRPr="001956F8" w:rsidRDefault="001956F8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Vārds, uzvārds/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Name</w:t>
            </w:r>
            <w:proofErr w:type="spellEnd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surname</w:t>
            </w:r>
            <w:proofErr w:type="spellEnd"/>
          </w:p>
          <w:p w14:paraId="3666F6CE" w14:textId="77777777" w:rsidR="001956F8" w:rsidRPr="001956F8" w:rsidRDefault="001956F8" w:rsidP="00195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6FFF9" w14:textId="77777777" w:rsidR="001956F8" w:rsidRPr="001956F8" w:rsidRDefault="001956F8" w:rsidP="001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56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Datums/</w:t>
            </w:r>
            <w:proofErr w:type="spellStart"/>
            <w:r w:rsidRPr="001956F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Date</w:t>
            </w:r>
            <w:proofErr w:type="spellEnd"/>
          </w:p>
        </w:tc>
      </w:tr>
    </w:tbl>
    <w:p w14:paraId="596EBED5" w14:textId="6B555528" w:rsidR="001956F8" w:rsidRPr="001956F8" w:rsidRDefault="001956F8" w:rsidP="00195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56F8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Piezīmes. </w:t>
      </w:r>
    </w:p>
    <w:p w14:paraId="089BE78B" w14:textId="77777777" w:rsidR="001956F8" w:rsidRPr="001956F8" w:rsidRDefault="001956F8" w:rsidP="00195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56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 * Atbilst Eiropas Parlamenta un Padomes 2001.gada 6.novembra direktīvas </w:t>
      </w:r>
      <w:hyperlink r:id="rId9" w:tgtFrame="_blank" w:history="1">
        <w:r w:rsidRPr="00195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2001/83/EK</w:t>
        </w:r>
      </w:hyperlink>
      <w:r w:rsidRPr="001956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24.panta 4., 5. un 6.punktam (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In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accordance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with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Clause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4, 5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and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6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of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Article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24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of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Directive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2001/83/EC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of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the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European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Parliament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and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the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Council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as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of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6 </w:t>
      </w:r>
      <w:proofErr w:type="spellStart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November</w:t>
      </w:r>
      <w:proofErr w:type="spellEnd"/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2001</w:t>
      </w:r>
      <w:r w:rsidRPr="001956F8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1956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.</w:t>
      </w:r>
    </w:p>
    <w:p w14:paraId="600E8421" w14:textId="77777777" w:rsidR="001956F8" w:rsidRPr="001956F8" w:rsidRDefault="001956F8" w:rsidP="00195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56F8">
        <w:rPr>
          <w:rFonts w:ascii="Times New Roman" w:eastAsia="Times New Roman" w:hAnsi="Times New Roman" w:cs="Times New Roman"/>
          <w:color w:val="auto"/>
          <w:sz w:val="24"/>
          <w:szCs w:val="24"/>
        </w:rPr>
        <w:t>2. Dokumenta rekvizītu "paraksts" neaizpilda, ja dokuments ir sagatavots atbilstoši normatīvajiem aktiem par elektronisko dokumentu noformēšanu.</w:t>
      </w:r>
    </w:p>
    <w:p w14:paraId="58286F22" w14:textId="77777777" w:rsidR="001956F8" w:rsidRPr="001956F8" w:rsidRDefault="001956F8" w:rsidP="001956F8"/>
    <w:sectPr w:rsidR="001956F8" w:rsidRPr="001956F8" w:rsidSect="00694391">
      <w:footerReference w:type="default" r:id="rId10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DE09" w14:textId="77777777" w:rsidR="00323411" w:rsidRDefault="00323411" w:rsidP="009C1DE6">
      <w:pPr>
        <w:spacing w:after="0" w:line="240" w:lineRule="auto"/>
      </w:pPr>
      <w:r>
        <w:separator/>
      </w:r>
    </w:p>
  </w:endnote>
  <w:endnote w:type="continuationSeparator" w:id="0">
    <w:p w14:paraId="0A667B90" w14:textId="77777777" w:rsidR="00323411" w:rsidRDefault="00323411" w:rsidP="009C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56338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8D4F45C" w14:textId="1368E1EE" w:rsidR="009C1DE6" w:rsidRPr="009C1DE6" w:rsidRDefault="009C1DE6">
        <w:pPr>
          <w:pStyle w:val="Footer"/>
          <w:jc w:val="center"/>
          <w:rPr>
            <w:rFonts w:ascii="Times New Roman" w:hAnsi="Times New Roman" w:cs="Times New Roman"/>
          </w:rPr>
        </w:pPr>
        <w:r w:rsidRPr="009C1DE6">
          <w:rPr>
            <w:rFonts w:ascii="Times New Roman" w:hAnsi="Times New Roman" w:cs="Times New Roman"/>
          </w:rPr>
          <w:fldChar w:fldCharType="begin"/>
        </w:r>
        <w:r w:rsidRPr="009C1DE6">
          <w:rPr>
            <w:rFonts w:ascii="Times New Roman" w:hAnsi="Times New Roman" w:cs="Times New Roman"/>
          </w:rPr>
          <w:instrText xml:space="preserve"> PAGE   \* MERGEFORMAT </w:instrText>
        </w:r>
        <w:r w:rsidRPr="009C1DE6">
          <w:rPr>
            <w:rFonts w:ascii="Times New Roman" w:hAnsi="Times New Roman" w:cs="Times New Roman"/>
          </w:rPr>
          <w:fldChar w:fldCharType="separate"/>
        </w:r>
        <w:r w:rsidRPr="009C1DE6">
          <w:rPr>
            <w:rFonts w:ascii="Times New Roman" w:hAnsi="Times New Roman" w:cs="Times New Roman"/>
            <w:noProof/>
          </w:rPr>
          <w:t>2</w:t>
        </w:r>
        <w:r w:rsidRPr="009C1DE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6A36E8D" w14:textId="77777777" w:rsidR="009C1DE6" w:rsidRDefault="009C1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B578" w14:textId="77777777" w:rsidR="00323411" w:rsidRDefault="00323411" w:rsidP="009C1DE6">
      <w:pPr>
        <w:spacing w:after="0" w:line="240" w:lineRule="auto"/>
      </w:pPr>
      <w:r>
        <w:separator/>
      </w:r>
    </w:p>
  </w:footnote>
  <w:footnote w:type="continuationSeparator" w:id="0">
    <w:p w14:paraId="53DD3444" w14:textId="77777777" w:rsidR="00323411" w:rsidRDefault="00323411" w:rsidP="009C1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91"/>
    <w:rsid w:val="001956F8"/>
    <w:rsid w:val="00323411"/>
    <w:rsid w:val="00694391"/>
    <w:rsid w:val="009C1DE6"/>
    <w:rsid w:val="00EA2BDC"/>
    <w:rsid w:val="00ED4199"/>
    <w:rsid w:val="00F8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12C4"/>
  <w15:chartTrackingRefBased/>
  <w15:docId w15:val="{A1A3EC02-DC8A-4FF6-9E83-470760F0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391"/>
    <w:rPr>
      <w:rFonts w:ascii="Calibri" w:eastAsia="Calibri" w:hAnsi="Calibri" w:cs="Calibri"/>
      <w:color w:val="000000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1956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956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56F8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19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1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DE6"/>
    <w:rPr>
      <w:rFonts w:ascii="Calibri" w:eastAsia="Calibri" w:hAnsi="Calibri" w:cs="Calibri"/>
      <w:color w:val="00000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C1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DE6"/>
    <w:rPr>
      <w:rFonts w:ascii="Calibri" w:eastAsia="Calibri" w:hAnsi="Calibri" w:cs="Calibri"/>
      <w:color w:val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381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13814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59556-grozijumi-ministru-kabineta-2006-gada-9-maija-noteikumos-nr-376-zalu-registresanas-kartiba-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eur-lex.europa.eu/eli/dir/2001/83/oj/?locale=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3528</Words>
  <Characters>2011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Štrāls</dc:creator>
  <cp:keywords/>
  <dc:description/>
  <cp:lastModifiedBy>Toms Štrāls</cp:lastModifiedBy>
  <cp:revision>2</cp:revision>
  <dcterms:created xsi:type="dcterms:W3CDTF">2022-07-11T09:17:00Z</dcterms:created>
  <dcterms:modified xsi:type="dcterms:W3CDTF">2022-07-11T10:10:00Z</dcterms:modified>
</cp:coreProperties>
</file>