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4B" w:rsidRPr="00C36387" w:rsidRDefault="00DA024B" w:rsidP="00C36387">
      <w:pPr>
        <w:jc w:val="center"/>
        <w:rPr>
          <w:sz w:val="22"/>
        </w:rPr>
      </w:pPr>
      <w:bookmarkStart w:id="0" w:name="_GoBack"/>
      <w:bookmarkEnd w:id="0"/>
      <w:r w:rsidRPr="0012472A">
        <w:rPr>
          <w:b/>
          <w:color w:val="FF0000"/>
          <w:sz w:val="28"/>
          <w:szCs w:val="26"/>
          <w:u w:val="single"/>
        </w:rPr>
        <w:t xml:space="preserve">URGENT: </w:t>
      </w:r>
      <w:r>
        <w:rPr>
          <w:b/>
          <w:color w:val="FF0000"/>
          <w:sz w:val="28"/>
          <w:szCs w:val="26"/>
          <w:u w:val="single"/>
        </w:rPr>
        <w:t>FIELD SAFETY NOTICE</w:t>
      </w:r>
    </w:p>
    <w:p w:rsidR="00DA024B" w:rsidRPr="00755C5B" w:rsidRDefault="00DA024B" w:rsidP="00DA024B">
      <w:pPr>
        <w:tabs>
          <w:tab w:val="left" w:pos="2940"/>
        </w:tabs>
        <w:rPr>
          <w:b/>
          <w:sz w:val="22"/>
          <w:szCs w:val="22"/>
          <w:u w:val="single"/>
        </w:rPr>
      </w:pPr>
    </w:p>
    <w:p w:rsidR="00DA024B" w:rsidRPr="00755C5B" w:rsidRDefault="00DA024B" w:rsidP="00DA024B">
      <w:pPr>
        <w:jc w:val="center"/>
        <w:rPr>
          <w:b/>
          <w:sz w:val="22"/>
          <w:szCs w:val="22"/>
        </w:rPr>
      </w:pPr>
      <w:r w:rsidRPr="00755C5B">
        <w:rPr>
          <w:b/>
          <w:sz w:val="22"/>
          <w:szCs w:val="22"/>
        </w:rPr>
        <w:t xml:space="preserve">Increased risk of false positive </w:t>
      </w:r>
      <w:r w:rsidRPr="00755C5B">
        <w:rPr>
          <w:b/>
          <w:i/>
          <w:sz w:val="22"/>
          <w:szCs w:val="22"/>
        </w:rPr>
        <w:t>Enterobacteriaceae</w:t>
      </w:r>
      <w:r w:rsidRPr="00755C5B">
        <w:rPr>
          <w:b/>
          <w:sz w:val="22"/>
          <w:szCs w:val="22"/>
        </w:rPr>
        <w:t xml:space="preserve"> </w:t>
      </w:r>
      <w:r>
        <w:rPr>
          <w:b/>
          <w:sz w:val="22"/>
          <w:szCs w:val="22"/>
        </w:rPr>
        <w:t xml:space="preserve">and </w:t>
      </w:r>
      <w:r w:rsidRPr="00B25FDA">
        <w:rPr>
          <w:b/>
          <w:i/>
          <w:sz w:val="22"/>
          <w:szCs w:val="22"/>
        </w:rPr>
        <w:t>Escherichia coli</w:t>
      </w:r>
      <w:r>
        <w:rPr>
          <w:rFonts w:ascii="Arial" w:hAnsi="Arial" w:cs="Arial"/>
          <w:sz w:val="20"/>
          <w:szCs w:val="20"/>
        </w:rPr>
        <w:t xml:space="preserve"> </w:t>
      </w:r>
      <w:r w:rsidRPr="00755C5B">
        <w:rPr>
          <w:b/>
          <w:sz w:val="22"/>
          <w:szCs w:val="22"/>
        </w:rPr>
        <w:t>results</w:t>
      </w:r>
      <w:r w:rsidRPr="00755C5B">
        <w:rPr>
          <w:b/>
          <w:i/>
          <w:sz w:val="22"/>
          <w:szCs w:val="22"/>
        </w:rPr>
        <w:t xml:space="preserve"> </w:t>
      </w:r>
      <w:r w:rsidRPr="00755C5B">
        <w:rPr>
          <w:b/>
          <w:sz w:val="22"/>
          <w:szCs w:val="22"/>
        </w:rPr>
        <w:t>using</w:t>
      </w:r>
      <w:r>
        <w:rPr>
          <w:b/>
          <w:sz w:val="22"/>
          <w:szCs w:val="22"/>
        </w:rPr>
        <w:t xml:space="preserve"> the</w:t>
      </w:r>
      <w:r w:rsidRPr="00755C5B">
        <w:rPr>
          <w:b/>
          <w:sz w:val="22"/>
          <w:szCs w:val="22"/>
        </w:rPr>
        <w:t xml:space="preserve"> BioFire</w:t>
      </w:r>
      <w:r w:rsidRPr="00755C5B">
        <w:rPr>
          <w:b/>
          <w:sz w:val="22"/>
          <w:szCs w:val="22"/>
          <w:vertAlign w:val="superscript"/>
        </w:rPr>
        <w:t>®</w:t>
      </w:r>
      <w:r w:rsidRPr="00755C5B">
        <w:rPr>
          <w:b/>
          <w:sz w:val="22"/>
          <w:szCs w:val="22"/>
        </w:rPr>
        <w:t xml:space="preserve"> FilmArray</w:t>
      </w:r>
      <w:r w:rsidRPr="00755C5B">
        <w:rPr>
          <w:b/>
          <w:sz w:val="22"/>
          <w:szCs w:val="22"/>
          <w:vertAlign w:val="superscript"/>
        </w:rPr>
        <w:t>®</w:t>
      </w:r>
      <w:r w:rsidRPr="00755C5B">
        <w:rPr>
          <w:b/>
          <w:sz w:val="22"/>
          <w:szCs w:val="22"/>
        </w:rPr>
        <w:t xml:space="preserve"> Blood Culture Identification (BCID) Panel (Part No.: RFIT-ASY-0126 and RFIT-ASY-0127) with </w:t>
      </w:r>
      <w:r>
        <w:rPr>
          <w:b/>
          <w:sz w:val="22"/>
          <w:szCs w:val="22"/>
        </w:rPr>
        <w:t>b</w:t>
      </w:r>
      <w:r w:rsidRPr="00755C5B">
        <w:rPr>
          <w:b/>
          <w:sz w:val="22"/>
          <w:szCs w:val="22"/>
        </w:rPr>
        <w:t>ioMérieux BACT/ALERT</w:t>
      </w:r>
      <w:r w:rsidRPr="00755C5B">
        <w:rPr>
          <w:b/>
          <w:sz w:val="22"/>
          <w:szCs w:val="22"/>
          <w:vertAlign w:val="superscript"/>
        </w:rPr>
        <w:t>®</w:t>
      </w:r>
      <w:r w:rsidRPr="00755C5B">
        <w:rPr>
          <w:b/>
          <w:sz w:val="22"/>
          <w:szCs w:val="22"/>
        </w:rPr>
        <w:t xml:space="preserve"> blood culture bottles  </w:t>
      </w:r>
    </w:p>
    <w:p w:rsidR="00DA024B" w:rsidRPr="00755C5B" w:rsidRDefault="00DA024B" w:rsidP="00DA024B">
      <w:pPr>
        <w:rPr>
          <w:b/>
          <w:color w:val="FF0000"/>
          <w:sz w:val="22"/>
          <w:szCs w:val="22"/>
        </w:rPr>
      </w:pPr>
    </w:p>
    <w:p w:rsidR="00DA024B" w:rsidRPr="00755C5B" w:rsidRDefault="00DA024B" w:rsidP="00DA024B">
      <w:pPr>
        <w:rPr>
          <w:sz w:val="22"/>
          <w:szCs w:val="22"/>
        </w:rPr>
      </w:pPr>
      <w:r w:rsidRPr="00755C5B">
        <w:rPr>
          <w:sz w:val="22"/>
          <w:szCs w:val="22"/>
        </w:rPr>
        <w:t xml:space="preserve">The purpose of this letter is to inform you that BioFire Diagnostics, LLC has identified an increased risk of false positive </w:t>
      </w:r>
      <w:r w:rsidRPr="00E459B7">
        <w:rPr>
          <w:i/>
          <w:sz w:val="22"/>
          <w:szCs w:val="22"/>
        </w:rPr>
        <w:t xml:space="preserve">Enterobacteriaceae </w:t>
      </w:r>
      <w:r>
        <w:rPr>
          <w:sz w:val="22"/>
          <w:szCs w:val="22"/>
        </w:rPr>
        <w:t xml:space="preserve">and </w:t>
      </w:r>
      <w:r w:rsidRPr="00E459B7">
        <w:rPr>
          <w:i/>
          <w:sz w:val="22"/>
          <w:szCs w:val="22"/>
        </w:rPr>
        <w:t>Escherichia coli</w:t>
      </w:r>
      <w:r>
        <w:rPr>
          <w:rFonts w:ascii="Arial" w:hAnsi="Arial" w:cs="Arial"/>
          <w:sz w:val="20"/>
          <w:szCs w:val="20"/>
        </w:rPr>
        <w:t xml:space="preserve"> </w:t>
      </w:r>
      <w:r w:rsidRPr="00755C5B">
        <w:rPr>
          <w:sz w:val="22"/>
          <w:szCs w:val="22"/>
        </w:rPr>
        <w:t>results when the BioFire BCID Panel is used with</w:t>
      </w:r>
      <w:r>
        <w:rPr>
          <w:sz w:val="22"/>
          <w:szCs w:val="22"/>
        </w:rPr>
        <w:t xml:space="preserve"> </w:t>
      </w:r>
      <w:r w:rsidRPr="00B25FDA">
        <w:rPr>
          <w:sz w:val="22"/>
          <w:szCs w:val="22"/>
        </w:rPr>
        <w:t>bioMérieux</w:t>
      </w:r>
      <w:r w:rsidRPr="00755C5B">
        <w:rPr>
          <w:b/>
          <w:sz w:val="22"/>
          <w:szCs w:val="22"/>
        </w:rPr>
        <w:t xml:space="preserve"> </w:t>
      </w:r>
      <w:r w:rsidRPr="00755C5B">
        <w:rPr>
          <w:sz w:val="22"/>
          <w:szCs w:val="22"/>
        </w:rPr>
        <w:t>BACT/ALERT</w:t>
      </w:r>
      <w:r w:rsidRPr="00755C5B">
        <w:rPr>
          <w:sz w:val="22"/>
          <w:szCs w:val="22"/>
          <w:vertAlign w:val="superscript"/>
        </w:rPr>
        <w:t>®</w:t>
      </w:r>
      <w:r>
        <w:rPr>
          <w:sz w:val="22"/>
          <w:szCs w:val="22"/>
        </w:rPr>
        <w:t xml:space="preserve"> blood culture b</w:t>
      </w:r>
      <w:r w:rsidRPr="00755C5B">
        <w:rPr>
          <w:sz w:val="22"/>
          <w:szCs w:val="22"/>
        </w:rPr>
        <w:t>ottles</w:t>
      </w:r>
      <w:r>
        <w:rPr>
          <w:sz w:val="22"/>
          <w:szCs w:val="22"/>
        </w:rPr>
        <w:t xml:space="preserve"> identified in Table 1.  The false positive results are primarily </w:t>
      </w:r>
      <w:r>
        <w:rPr>
          <w:i/>
          <w:sz w:val="22"/>
          <w:szCs w:val="22"/>
        </w:rPr>
        <w:t>Enterobacteriaceae</w:t>
      </w:r>
      <w:r>
        <w:rPr>
          <w:sz w:val="22"/>
          <w:szCs w:val="22"/>
        </w:rPr>
        <w:t xml:space="preserve"> results with a lower rate of concurrent </w:t>
      </w:r>
      <w:r>
        <w:rPr>
          <w:i/>
          <w:sz w:val="22"/>
          <w:szCs w:val="22"/>
        </w:rPr>
        <w:t xml:space="preserve">E. coli </w:t>
      </w:r>
      <w:r>
        <w:rPr>
          <w:sz w:val="22"/>
          <w:szCs w:val="22"/>
        </w:rPr>
        <w:t xml:space="preserve">results. </w:t>
      </w:r>
    </w:p>
    <w:p w:rsidR="00DA024B" w:rsidRPr="00755C5B" w:rsidRDefault="00DA024B" w:rsidP="00DA024B">
      <w:pPr>
        <w:rPr>
          <w:sz w:val="22"/>
          <w:szCs w:val="22"/>
        </w:rPr>
      </w:pPr>
    </w:p>
    <w:p w:rsidR="00DA024B" w:rsidRDefault="00DA024B" w:rsidP="00DA024B">
      <w:pPr>
        <w:rPr>
          <w:sz w:val="22"/>
        </w:rPr>
      </w:pPr>
    </w:p>
    <w:p w:rsidR="00DA024B" w:rsidRPr="00EA1B75" w:rsidRDefault="00DA024B" w:rsidP="00DA024B">
      <w:pPr>
        <w:rPr>
          <w:sz w:val="22"/>
        </w:rPr>
      </w:pPr>
      <w:r>
        <w:rPr>
          <w:b/>
          <w:sz w:val="18"/>
          <w:szCs w:val="22"/>
        </w:rPr>
        <w:t xml:space="preserve">   </w:t>
      </w:r>
      <w:r w:rsidRPr="00EA1B75">
        <w:rPr>
          <w:b/>
          <w:sz w:val="18"/>
          <w:szCs w:val="22"/>
        </w:rPr>
        <w:t>Table 1. Affected media types</w:t>
      </w:r>
    </w:p>
    <w:tbl>
      <w:tblPr>
        <w:tblpPr w:leftFromText="189" w:rightFromText="189" w:vertAnchor="text" w:tblpXSpec="cente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5"/>
        <w:gridCol w:w="855"/>
        <w:gridCol w:w="8550"/>
      </w:tblGrid>
      <w:tr w:rsidR="00DA024B" w:rsidRPr="00053051" w:rsidTr="00B65401">
        <w:trPr>
          <w:trHeight w:val="422"/>
        </w:trPr>
        <w:tc>
          <w:tcPr>
            <w:tcW w:w="1385" w:type="dxa"/>
            <w:vAlign w:val="center"/>
          </w:tcPr>
          <w:p w:rsidR="00DA024B" w:rsidRPr="002D0D2E" w:rsidRDefault="00DA024B" w:rsidP="00B65401">
            <w:pPr>
              <w:jc w:val="center"/>
              <w:rPr>
                <w:b/>
                <w:bCs/>
                <w:color w:val="000000"/>
                <w:sz w:val="20"/>
                <w:szCs w:val="18"/>
              </w:rPr>
            </w:pPr>
            <w:r w:rsidRPr="002D0D2E">
              <w:rPr>
                <w:b/>
                <w:bCs/>
                <w:color w:val="000000"/>
                <w:sz w:val="20"/>
                <w:szCs w:val="18"/>
              </w:rPr>
              <w:t>Description</w:t>
            </w:r>
          </w:p>
        </w:tc>
        <w:tc>
          <w:tcPr>
            <w:tcW w:w="855" w:type="dxa"/>
          </w:tcPr>
          <w:p w:rsidR="00DA024B" w:rsidRPr="002D0D2E" w:rsidRDefault="00DA024B" w:rsidP="00B65401">
            <w:pPr>
              <w:jc w:val="center"/>
              <w:rPr>
                <w:b/>
                <w:bCs/>
                <w:color w:val="000000"/>
                <w:sz w:val="20"/>
                <w:szCs w:val="18"/>
              </w:rPr>
            </w:pPr>
            <w:r>
              <w:rPr>
                <w:b/>
                <w:bCs/>
                <w:color w:val="000000"/>
                <w:sz w:val="20"/>
                <w:szCs w:val="18"/>
              </w:rPr>
              <w:t>Part Number</w:t>
            </w:r>
          </w:p>
        </w:tc>
        <w:tc>
          <w:tcPr>
            <w:tcW w:w="8550" w:type="dxa"/>
            <w:noWrap/>
            <w:tcMar>
              <w:top w:w="0" w:type="dxa"/>
              <w:left w:w="108" w:type="dxa"/>
              <w:bottom w:w="0" w:type="dxa"/>
              <w:right w:w="108" w:type="dxa"/>
            </w:tcMar>
            <w:vAlign w:val="center"/>
            <w:hideMark/>
          </w:tcPr>
          <w:p w:rsidR="00DA024B" w:rsidRPr="002D0D2E" w:rsidRDefault="00DA024B" w:rsidP="00B65401">
            <w:pPr>
              <w:jc w:val="center"/>
              <w:rPr>
                <w:b/>
                <w:bCs/>
                <w:color w:val="000000"/>
                <w:sz w:val="20"/>
                <w:szCs w:val="18"/>
              </w:rPr>
            </w:pPr>
            <w:r w:rsidRPr="002D0D2E">
              <w:rPr>
                <w:b/>
                <w:bCs/>
                <w:color w:val="000000"/>
                <w:sz w:val="20"/>
                <w:szCs w:val="18"/>
              </w:rPr>
              <w:t>BACT/ALERT</w:t>
            </w:r>
            <w:r w:rsidRPr="002D0D2E">
              <w:rPr>
                <w:b/>
                <w:bCs/>
                <w:color w:val="000000"/>
                <w:sz w:val="20"/>
                <w:szCs w:val="18"/>
                <w:vertAlign w:val="superscript"/>
              </w:rPr>
              <w:t>®</w:t>
            </w:r>
            <w:r w:rsidRPr="002D0D2E">
              <w:rPr>
                <w:b/>
                <w:bCs/>
                <w:color w:val="000000"/>
                <w:sz w:val="20"/>
                <w:szCs w:val="18"/>
              </w:rPr>
              <w:t xml:space="preserve"> Blood Culture Bottle Lot No.</w:t>
            </w:r>
          </w:p>
        </w:tc>
      </w:tr>
      <w:tr w:rsidR="00DA024B" w:rsidRPr="00053051" w:rsidTr="00B65401">
        <w:trPr>
          <w:trHeight w:val="422"/>
        </w:trPr>
        <w:tc>
          <w:tcPr>
            <w:tcW w:w="1385" w:type="dxa"/>
            <w:vAlign w:val="center"/>
          </w:tcPr>
          <w:p w:rsidR="00DA024B" w:rsidRPr="002D0D2E" w:rsidRDefault="00DA024B" w:rsidP="00B65401">
            <w:pPr>
              <w:rPr>
                <w:b/>
                <w:color w:val="000000"/>
                <w:sz w:val="18"/>
                <w:szCs w:val="18"/>
                <w:highlight w:val="yellow"/>
              </w:rPr>
            </w:pPr>
            <w:r w:rsidRPr="002D0D2E">
              <w:rPr>
                <w:b/>
                <w:color w:val="000000"/>
                <w:sz w:val="18"/>
                <w:szCs w:val="18"/>
              </w:rPr>
              <w:t>BACT/ALERT</w:t>
            </w:r>
            <w:r w:rsidRPr="002D0D2E">
              <w:rPr>
                <w:b/>
                <w:color w:val="000000"/>
                <w:sz w:val="18"/>
                <w:szCs w:val="18"/>
                <w:vertAlign w:val="superscript"/>
              </w:rPr>
              <w:t>®</w:t>
            </w:r>
            <w:r w:rsidRPr="002D0D2E">
              <w:rPr>
                <w:b/>
                <w:color w:val="000000"/>
                <w:sz w:val="18"/>
                <w:szCs w:val="18"/>
              </w:rPr>
              <w:t xml:space="preserve"> FA Plus</w:t>
            </w:r>
          </w:p>
        </w:tc>
        <w:tc>
          <w:tcPr>
            <w:tcW w:w="855" w:type="dxa"/>
            <w:vAlign w:val="center"/>
          </w:tcPr>
          <w:p w:rsidR="00DA024B" w:rsidRPr="002D0D2E" w:rsidRDefault="00DA024B" w:rsidP="00B65401">
            <w:pPr>
              <w:jc w:val="center"/>
              <w:rPr>
                <w:color w:val="000000"/>
                <w:sz w:val="20"/>
                <w:szCs w:val="18"/>
              </w:rPr>
            </w:pPr>
            <w:r w:rsidRPr="00B25FDA">
              <w:rPr>
                <w:color w:val="000000"/>
                <w:sz w:val="20"/>
                <w:szCs w:val="18"/>
              </w:rPr>
              <w:t>410851</w:t>
            </w:r>
          </w:p>
        </w:tc>
        <w:tc>
          <w:tcPr>
            <w:tcW w:w="8550" w:type="dxa"/>
            <w:noWrap/>
            <w:tcMar>
              <w:top w:w="0" w:type="dxa"/>
              <w:left w:w="108" w:type="dxa"/>
              <w:bottom w:w="0" w:type="dxa"/>
              <w:right w:w="108" w:type="dxa"/>
            </w:tcMar>
            <w:vAlign w:val="center"/>
            <w:hideMark/>
          </w:tcPr>
          <w:p w:rsidR="00DA024B" w:rsidRPr="002D0D2E" w:rsidRDefault="00DA024B" w:rsidP="00B65401">
            <w:pPr>
              <w:rPr>
                <w:sz w:val="20"/>
              </w:rPr>
            </w:pPr>
            <w:r w:rsidRPr="002D0D2E">
              <w:rPr>
                <w:color w:val="000000"/>
                <w:sz w:val="20"/>
                <w:szCs w:val="18"/>
              </w:rPr>
              <w:t>4052663, 4052639, 4052640, 4052599, 4052598, 4052547, 4052546, 4052471, 4052472, 4052799, 4052800, 4052815, 4052816</w:t>
            </w:r>
          </w:p>
        </w:tc>
      </w:tr>
      <w:tr w:rsidR="00DA024B" w:rsidRPr="00053051" w:rsidTr="00B65401">
        <w:trPr>
          <w:trHeight w:val="422"/>
        </w:trPr>
        <w:tc>
          <w:tcPr>
            <w:tcW w:w="1385" w:type="dxa"/>
            <w:vAlign w:val="center"/>
          </w:tcPr>
          <w:p w:rsidR="00DA024B" w:rsidRPr="002D0D2E" w:rsidRDefault="00DA024B" w:rsidP="00B65401">
            <w:pPr>
              <w:rPr>
                <w:b/>
                <w:color w:val="000000"/>
                <w:sz w:val="18"/>
                <w:szCs w:val="18"/>
                <w:highlight w:val="yellow"/>
              </w:rPr>
            </w:pPr>
            <w:r w:rsidRPr="002D0D2E">
              <w:rPr>
                <w:b/>
                <w:color w:val="000000"/>
                <w:sz w:val="18"/>
                <w:szCs w:val="18"/>
              </w:rPr>
              <w:t>BACT/ALERT</w:t>
            </w:r>
            <w:r w:rsidRPr="002D0D2E">
              <w:rPr>
                <w:b/>
                <w:color w:val="000000"/>
                <w:sz w:val="18"/>
                <w:szCs w:val="18"/>
                <w:vertAlign w:val="superscript"/>
              </w:rPr>
              <w:t>®</w:t>
            </w:r>
            <w:r w:rsidRPr="002D0D2E">
              <w:rPr>
                <w:b/>
                <w:color w:val="000000"/>
                <w:sz w:val="18"/>
                <w:szCs w:val="18"/>
              </w:rPr>
              <w:t xml:space="preserve"> FN Plus</w:t>
            </w:r>
          </w:p>
        </w:tc>
        <w:tc>
          <w:tcPr>
            <w:tcW w:w="855" w:type="dxa"/>
            <w:vAlign w:val="center"/>
          </w:tcPr>
          <w:p w:rsidR="00DA024B" w:rsidRPr="002D0D2E" w:rsidRDefault="00DA024B" w:rsidP="00B65401">
            <w:pPr>
              <w:jc w:val="center"/>
              <w:rPr>
                <w:color w:val="000000"/>
                <w:sz w:val="20"/>
                <w:szCs w:val="18"/>
              </w:rPr>
            </w:pPr>
            <w:r w:rsidRPr="00B25FDA">
              <w:rPr>
                <w:color w:val="000000"/>
                <w:sz w:val="20"/>
                <w:szCs w:val="18"/>
              </w:rPr>
              <w:t>410852</w:t>
            </w:r>
          </w:p>
        </w:tc>
        <w:tc>
          <w:tcPr>
            <w:tcW w:w="8550" w:type="dxa"/>
            <w:noWrap/>
            <w:tcMar>
              <w:top w:w="0" w:type="dxa"/>
              <w:left w:w="108" w:type="dxa"/>
              <w:bottom w:w="0" w:type="dxa"/>
              <w:right w:w="108" w:type="dxa"/>
            </w:tcMar>
            <w:vAlign w:val="center"/>
          </w:tcPr>
          <w:p w:rsidR="00DA024B" w:rsidRPr="002D0D2E" w:rsidRDefault="00DA024B" w:rsidP="00B65401">
            <w:pPr>
              <w:rPr>
                <w:color w:val="000000"/>
                <w:sz w:val="20"/>
                <w:szCs w:val="18"/>
              </w:rPr>
            </w:pPr>
            <w:r w:rsidRPr="002D0D2E">
              <w:rPr>
                <w:color w:val="000000"/>
                <w:sz w:val="20"/>
                <w:szCs w:val="18"/>
              </w:rPr>
              <w:t>4052871, 4052872, 4052459, 4052458, 4052565, 4052564, 4052705, 4052704, 4052735, 4052617, 4052616</w:t>
            </w:r>
          </w:p>
        </w:tc>
      </w:tr>
      <w:tr w:rsidR="00DA024B" w:rsidRPr="0099015F" w:rsidTr="00B65401">
        <w:trPr>
          <w:trHeight w:val="422"/>
        </w:trPr>
        <w:tc>
          <w:tcPr>
            <w:tcW w:w="1385" w:type="dxa"/>
            <w:vAlign w:val="center"/>
          </w:tcPr>
          <w:p w:rsidR="00DA024B" w:rsidRPr="002D0D2E" w:rsidRDefault="00DA024B" w:rsidP="00B65401">
            <w:pPr>
              <w:rPr>
                <w:b/>
                <w:color w:val="000000"/>
                <w:sz w:val="18"/>
                <w:szCs w:val="18"/>
                <w:highlight w:val="yellow"/>
              </w:rPr>
            </w:pPr>
            <w:r w:rsidRPr="002D0D2E">
              <w:rPr>
                <w:b/>
                <w:color w:val="000000"/>
                <w:sz w:val="18"/>
                <w:szCs w:val="18"/>
              </w:rPr>
              <w:t>BACT/ALERT</w:t>
            </w:r>
            <w:r w:rsidRPr="002D0D2E">
              <w:rPr>
                <w:b/>
                <w:color w:val="000000"/>
                <w:sz w:val="18"/>
                <w:szCs w:val="18"/>
                <w:vertAlign w:val="superscript"/>
              </w:rPr>
              <w:t>®</w:t>
            </w:r>
            <w:r w:rsidRPr="002D0D2E">
              <w:rPr>
                <w:b/>
                <w:color w:val="000000"/>
                <w:sz w:val="18"/>
                <w:szCs w:val="18"/>
              </w:rPr>
              <w:t xml:space="preserve"> PF Plus</w:t>
            </w:r>
          </w:p>
        </w:tc>
        <w:tc>
          <w:tcPr>
            <w:tcW w:w="855" w:type="dxa"/>
            <w:vAlign w:val="center"/>
          </w:tcPr>
          <w:p w:rsidR="00DA024B" w:rsidRPr="002D0D2E" w:rsidRDefault="00DA024B" w:rsidP="00B65401">
            <w:pPr>
              <w:jc w:val="center"/>
              <w:rPr>
                <w:color w:val="000000"/>
                <w:sz w:val="20"/>
                <w:szCs w:val="18"/>
              </w:rPr>
            </w:pPr>
            <w:r w:rsidRPr="00B25FDA">
              <w:rPr>
                <w:color w:val="000000"/>
                <w:sz w:val="20"/>
                <w:szCs w:val="18"/>
              </w:rPr>
              <w:t>410853</w:t>
            </w:r>
          </w:p>
        </w:tc>
        <w:tc>
          <w:tcPr>
            <w:tcW w:w="8550" w:type="dxa"/>
            <w:noWrap/>
            <w:tcMar>
              <w:top w:w="0" w:type="dxa"/>
              <w:left w:w="108" w:type="dxa"/>
              <w:bottom w:w="0" w:type="dxa"/>
              <w:right w:w="108" w:type="dxa"/>
            </w:tcMar>
            <w:vAlign w:val="center"/>
          </w:tcPr>
          <w:p w:rsidR="00DA024B" w:rsidRPr="002D0D2E" w:rsidRDefault="00DA024B" w:rsidP="00B65401">
            <w:pPr>
              <w:rPr>
                <w:sz w:val="20"/>
              </w:rPr>
            </w:pPr>
            <w:r w:rsidRPr="002D0D2E">
              <w:rPr>
                <w:color w:val="000000"/>
                <w:sz w:val="20"/>
                <w:szCs w:val="18"/>
              </w:rPr>
              <w:t>4052717, 4052718, 4052503, 4052504</w:t>
            </w:r>
          </w:p>
        </w:tc>
      </w:tr>
    </w:tbl>
    <w:p w:rsidR="00DA024B" w:rsidRDefault="00DA024B" w:rsidP="00DA024B">
      <w:pPr>
        <w:rPr>
          <w:sz w:val="22"/>
          <w:szCs w:val="22"/>
        </w:rPr>
      </w:pPr>
    </w:p>
    <w:p w:rsidR="00DA024B" w:rsidRDefault="00DA024B" w:rsidP="00DA024B">
      <w:pPr>
        <w:rPr>
          <w:sz w:val="22"/>
          <w:szCs w:val="22"/>
        </w:rPr>
      </w:pPr>
    </w:p>
    <w:p w:rsidR="00DA024B" w:rsidRPr="00090910" w:rsidRDefault="00DA024B" w:rsidP="00DA024B">
      <w:pPr>
        <w:pStyle w:val="CommentText"/>
        <w:rPr>
          <w:sz w:val="22"/>
          <w:szCs w:val="22"/>
        </w:rPr>
      </w:pPr>
      <w:r w:rsidRPr="00755C5B">
        <w:rPr>
          <w:sz w:val="22"/>
          <w:szCs w:val="22"/>
        </w:rPr>
        <w:t xml:space="preserve">The most probable cause for this risk is the presence of an increased level of nucleic acid from non-viable </w:t>
      </w:r>
      <w:r w:rsidRPr="00E459B7">
        <w:rPr>
          <w:i/>
          <w:sz w:val="22"/>
          <w:szCs w:val="22"/>
        </w:rPr>
        <w:t>Escherichia coli</w:t>
      </w:r>
      <w:r>
        <w:rPr>
          <w:sz w:val="22"/>
          <w:szCs w:val="22"/>
        </w:rPr>
        <w:t xml:space="preserve"> </w:t>
      </w:r>
      <w:r w:rsidRPr="00755C5B">
        <w:rPr>
          <w:sz w:val="22"/>
          <w:szCs w:val="22"/>
        </w:rPr>
        <w:t xml:space="preserve">in </w:t>
      </w:r>
      <w:r>
        <w:rPr>
          <w:sz w:val="22"/>
          <w:szCs w:val="22"/>
        </w:rPr>
        <w:t xml:space="preserve">select </w:t>
      </w:r>
      <w:r w:rsidRPr="00755C5B">
        <w:rPr>
          <w:sz w:val="22"/>
          <w:szCs w:val="22"/>
        </w:rPr>
        <w:t>BACT/ALERT</w:t>
      </w:r>
      <w:r w:rsidRPr="00755C5B">
        <w:rPr>
          <w:sz w:val="22"/>
          <w:szCs w:val="22"/>
          <w:vertAlign w:val="superscript"/>
        </w:rPr>
        <w:t>®</w:t>
      </w:r>
      <w:r w:rsidRPr="00755C5B">
        <w:rPr>
          <w:sz w:val="22"/>
          <w:szCs w:val="22"/>
        </w:rPr>
        <w:t xml:space="preserve"> Blood Culture Bottles (Table 1). </w:t>
      </w:r>
      <w:r>
        <w:rPr>
          <w:i/>
          <w:sz w:val="22"/>
          <w:szCs w:val="22"/>
        </w:rPr>
        <w:t xml:space="preserve">E. coli </w:t>
      </w:r>
      <w:r>
        <w:rPr>
          <w:sz w:val="22"/>
          <w:szCs w:val="22"/>
        </w:rPr>
        <w:t xml:space="preserve">is a member of the </w:t>
      </w:r>
      <w:r>
        <w:rPr>
          <w:i/>
          <w:sz w:val="22"/>
          <w:szCs w:val="22"/>
        </w:rPr>
        <w:t xml:space="preserve">Enterobacteriaceae </w:t>
      </w:r>
      <w:r>
        <w:rPr>
          <w:sz w:val="22"/>
          <w:szCs w:val="22"/>
        </w:rPr>
        <w:t>taxonomic family.  T</w:t>
      </w:r>
      <w:r w:rsidRPr="00090910">
        <w:rPr>
          <w:sz w:val="22"/>
          <w:szCs w:val="22"/>
        </w:rPr>
        <w:t xml:space="preserve">wo types of false positive results </w:t>
      </w:r>
      <w:r>
        <w:rPr>
          <w:sz w:val="22"/>
          <w:szCs w:val="22"/>
        </w:rPr>
        <w:t xml:space="preserve">have been seen </w:t>
      </w:r>
      <w:r w:rsidRPr="00090910">
        <w:rPr>
          <w:sz w:val="22"/>
          <w:szCs w:val="22"/>
        </w:rPr>
        <w:t>with the latter being observed less frequently:</w:t>
      </w:r>
    </w:p>
    <w:p w:rsidR="00DA024B" w:rsidRPr="00090910" w:rsidRDefault="00DA024B" w:rsidP="00DA024B">
      <w:pPr>
        <w:pStyle w:val="CommentText"/>
        <w:numPr>
          <w:ilvl w:val="0"/>
          <w:numId w:val="3"/>
        </w:numPr>
        <w:rPr>
          <w:sz w:val="22"/>
          <w:szCs w:val="22"/>
        </w:rPr>
      </w:pPr>
      <w:r>
        <w:rPr>
          <w:sz w:val="22"/>
          <w:szCs w:val="22"/>
        </w:rPr>
        <w:t xml:space="preserve">false positive </w:t>
      </w:r>
      <w:r w:rsidRPr="00D41738">
        <w:rPr>
          <w:i/>
          <w:sz w:val="22"/>
          <w:szCs w:val="22"/>
        </w:rPr>
        <w:t>Enterobacteriaceae</w:t>
      </w:r>
      <w:r>
        <w:rPr>
          <w:sz w:val="22"/>
          <w:szCs w:val="22"/>
        </w:rPr>
        <w:t xml:space="preserve"> family-level assay with all </w:t>
      </w:r>
      <w:r w:rsidRPr="00D41738">
        <w:rPr>
          <w:i/>
          <w:sz w:val="22"/>
          <w:szCs w:val="22"/>
        </w:rPr>
        <w:t xml:space="preserve">Enterobacteriaceae </w:t>
      </w:r>
      <w:r>
        <w:rPr>
          <w:sz w:val="22"/>
          <w:szCs w:val="22"/>
        </w:rPr>
        <w:t>species-level assays being true negatives</w:t>
      </w:r>
    </w:p>
    <w:p w:rsidR="00DA024B" w:rsidRDefault="00DA024B" w:rsidP="00DA024B">
      <w:pPr>
        <w:pStyle w:val="CommentText"/>
        <w:numPr>
          <w:ilvl w:val="0"/>
          <w:numId w:val="3"/>
        </w:numPr>
        <w:rPr>
          <w:sz w:val="22"/>
          <w:szCs w:val="22"/>
        </w:rPr>
      </w:pPr>
      <w:r w:rsidRPr="00D41738">
        <w:rPr>
          <w:i/>
          <w:sz w:val="22"/>
          <w:szCs w:val="22"/>
        </w:rPr>
        <w:t>Enterobacteriaceae</w:t>
      </w:r>
      <w:r>
        <w:rPr>
          <w:sz w:val="22"/>
          <w:szCs w:val="22"/>
        </w:rPr>
        <w:t xml:space="preserve"> family-level assay and </w:t>
      </w:r>
      <w:r w:rsidRPr="00D41738">
        <w:rPr>
          <w:i/>
          <w:sz w:val="22"/>
          <w:szCs w:val="22"/>
        </w:rPr>
        <w:t>E. coli</w:t>
      </w:r>
      <w:r>
        <w:rPr>
          <w:sz w:val="22"/>
          <w:szCs w:val="22"/>
        </w:rPr>
        <w:t xml:space="preserve"> assay simultaneously providing false positive results.</w:t>
      </w:r>
    </w:p>
    <w:p w:rsidR="00DA024B" w:rsidRPr="00090910" w:rsidRDefault="00DA024B" w:rsidP="00DA024B">
      <w:pPr>
        <w:pStyle w:val="CommentText"/>
        <w:rPr>
          <w:sz w:val="22"/>
          <w:szCs w:val="22"/>
        </w:rPr>
      </w:pPr>
    </w:p>
    <w:p w:rsidR="00DA024B" w:rsidRDefault="00DA024B" w:rsidP="00DA024B">
      <w:pPr>
        <w:rPr>
          <w:sz w:val="22"/>
          <w:szCs w:val="22"/>
        </w:rPr>
      </w:pPr>
      <w:r w:rsidRPr="00755C5B">
        <w:rPr>
          <w:sz w:val="22"/>
          <w:szCs w:val="22"/>
        </w:rPr>
        <w:t xml:space="preserve">BioFire has confirmed the presence of </w:t>
      </w:r>
      <w:r w:rsidRPr="00E459B7">
        <w:rPr>
          <w:i/>
          <w:sz w:val="22"/>
          <w:szCs w:val="22"/>
        </w:rPr>
        <w:t>Escherichia coli</w:t>
      </w:r>
      <w:r>
        <w:rPr>
          <w:rFonts w:ascii="Arial" w:hAnsi="Arial" w:cs="Arial"/>
          <w:sz w:val="20"/>
          <w:szCs w:val="20"/>
        </w:rPr>
        <w:t xml:space="preserve"> </w:t>
      </w:r>
      <w:r w:rsidRPr="00755C5B">
        <w:rPr>
          <w:sz w:val="22"/>
          <w:szCs w:val="22"/>
        </w:rPr>
        <w:t xml:space="preserve">nucleic acid in </w:t>
      </w:r>
      <w:r>
        <w:rPr>
          <w:sz w:val="22"/>
          <w:szCs w:val="22"/>
        </w:rPr>
        <w:t>BAC</w:t>
      </w:r>
      <w:r w:rsidRPr="00755C5B">
        <w:rPr>
          <w:sz w:val="22"/>
          <w:szCs w:val="22"/>
        </w:rPr>
        <w:t xml:space="preserve">T/ALERT bottle lots using an independent PCR/bi-directional sequencing method.  </w:t>
      </w:r>
      <w:r w:rsidRPr="00BA315D">
        <w:rPr>
          <w:b/>
          <w:sz w:val="22"/>
          <w:szCs w:val="22"/>
        </w:rPr>
        <w:t>The presence of non-viable organism does not compromise the intended function of the blood culture bottles (culturing viable microorganisms)</w:t>
      </w:r>
      <w:r w:rsidRPr="00BA315D">
        <w:rPr>
          <w:sz w:val="22"/>
          <w:szCs w:val="22"/>
        </w:rPr>
        <w:t xml:space="preserve">.  </w:t>
      </w:r>
      <w:r w:rsidRPr="00755C5B">
        <w:rPr>
          <w:sz w:val="22"/>
          <w:szCs w:val="22"/>
        </w:rPr>
        <w:t xml:space="preserve">However, the BioFire BCID Panel detects nucleic acid from </w:t>
      </w:r>
      <w:r>
        <w:rPr>
          <w:sz w:val="22"/>
          <w:szCs w:val="22"/>
        </w:rPr>
        <w:t xml:space="preserve">both </w:t>
      </w:r>
      <w:r w:rsidRPr="00755C5B">
        <w:rPr>
          <w:sz w:val="22"/>
          <w:szCs w:val="22"/>
        </w:rPr>
        <w:t xml:space="preserve">viable and non-viable organisms. </w:t>
      </w:r>
      <w:r>
        <w:rPr>
          <w:sz w:val="22"/>
        </w:rPr>
        <w:t>Observed false positives are typically seen as multiple positives with the BioFire BCID Panel because a positive culture is a prerequisite to a BioFire BCID Panel test.</w:t>
      </w:r>
    </w:p>
    <w:p w:rsidR="00C36387" w:rsidRPr="00C36387" w:rsidRDefault="00C36387" w:rsidP="00DA024B">
      <w:pPr>
        <w:rPr>
          <w:sz w:val="22"/>
          <w:szCs w:val="22"/>
        </w:rPr>
      </w:pPr>
    </w:p>
    <w:p w:rsidR="006A0F1C" w:rsidRDefault="006A0F1C" w:rsidP="00DA024B">
      <w:pPr>
        <w:rPr>
          <w:sz w:val="22"/>
        </w:rPr>
      </w:pPr>
    </w:p>
    <w:p w:rsidR="00DA024B" w:rsidRPr="00805C03" w:rsidRDefault="00DA024B" w:rsidP="00DA024B">
      <w:pPr>
        <w:rPr>
          <w:sz w:val="22"/>
        </w:rPr>
      </w:pPr>
      <w:r>
        <w:rPr>
          <w:sz w:val="22"/>
        </w:rPr>
        <w:t xml:space="preserve">The </w:t>
      </w:r>
      <w:r w:rsidRPr="00805C03">
        <w:rPr>
          <w:sz w:val="22"/>
        </w:rPr>
        <w:t xml:space="preserve">BioFire BCID Panel product literature includes the following limitations: </w:t>
      </w:r>
    </w:p>
    <w:p w:rsidR="00DA024B" w:rsidRPr="00805C03" w:rsidRDefault="00DA024B" w:rsidP="00DA024B">
      <w:pPr>
        <w:rPr>
          <w:sz w:val="22"/>
        </w:rPr>
      </w:pPr>
    </w:p>
    <w:p w:rsidR="00DA024B" w:rsidRDefault="00DA024B" w:rsidP="00DA024B">
      <w:pPr>
        <w:pStyle w:val="ListParagraph"/>
        <w:numPr>
          <w:ilvl w:val="0"/>
          <w:numId w:val="1"/>
        </w:numPr>
        <w:rPr>
          <w:sz w:val="22"/>
        </w:rPr>
      </w:pPr>
      <w:r>
        <w:rPr>
          <w:sz w:val="22"/>
        </w:rPr>
        <w:t>B</w:t>
      </w:r>
      <w:r w:rsidRPr="00805C03">
        <w:rPr>
          <w:sz w:val="22"/>
        </w:rPr>
        <w:t xml:space="preserve">lood culture media may contain non-viable organisms and/or nucleic acid at levels that can be detected by the BioFire BCID Panel, leading to false positive test results. Typically, these false positives will be present with one or more additional true positive results because the BioFire BCID Panel will also detect the organism that is growing in the culture bottle. </w:t>
      </w:r>
    </w:p>
    <w:p w:rsidR="00C36387" w:rsidRDefault="00C36387" w:rsidP="00C36387">
      <w:pPr>
        <w:rPr>
          <w:sz w:val="22"/>
        </w:rPr>
      </w:pPr>
    </w:p>
    <w:p w:rsidR="00C36387" w:rsidRDefault="00C36387" w:rsidP="00C36387">
      <w:pPr>
        <w:rPr>
          <w:sz w:val="22"/>
        </w:rPr>
      </w:pPr>
    </w:p>
    <w:p w:rsidR="00C36387" w:rsidRDefault="00C36387" w:rsidP="00C36387">
      <w:pPr>
        <w:rPr>
          <w:sz w:val="22"/>
        </w:rPr>
      </w:pPr>
    </w:p>
    <w:p w:rsidR="00C36387" w:rsidRPr="00C36387" w:rsidRDefault="00C36387" w:rsidP="00C36387">
      <w:pPr>
        <w:rPr>
          <w:sz w:val="22"/>
        </w:rPr>
      </w:pPr>
    </w:p>
    <w:p w:rsidR="00DA024B" w:rsidRPr="00805C03" w:rsidRDefault="00DA024B" w:rsidP="00DA024B">
      <w:pPr>
        <w:rPr>
          <w:sz w:val="22"/>
        </w:rPr>
      </w:pPr>
    </w:p>
    <w:p w:rsidR="00DA024B" w:rsidRPr="002E3317" w:rsidRDefault="00DA024B" w:rsidP="00DA024B">
      <w:pPr>
        <w:pStyle w:val="ListParagraph"/>
        <w:numPr>
          <w:ilvl w:val="0"/>
          <w:numId w:val="1"/>
        </w:numPr>
        <w:rPr>
          <w:sz w:val="22"/>
        </w:rPr>
      </w:pPr>
      <w:r w:rsidRPr="00805C03">
        <w:rPr>
          <w:sz w:val="22"/>
        </w:rPr>
        <w:lastRenderedPageBreak/>
        <w:t xml:space="preserve">In some cases, the Gram stain result and results of the </w:t>
      </w:r>
      <w:r>
        <w:rPr>
          <w:sz w:val="22"/>
        </w:rPr>
        <w:t>BioFire</w:t>
      </w:r>
      <w:r w:rsidRPr="00805C03">
        <w:rPr>
          <w:sz w:val="22"/>
        </w:rPr>
        <w:t xml:space="preserve"> BCID Panel may be discrepant (for example, detection of gram-positive cocci by </w:t>
      </w:r>
      <w:r>
        <w:rPr>
          <w:sz w:val="22"/>
        </w:rPr>
        <w:t>the BioFire</w:t>
      </w:r>
      <w:r w:rsidRPr="00805C03">
        <w:rPr>
          <w:sz w:val="22"/>
        </w:rPr>
        <w:t xml:space="preserve"> BCID</w:t>
      </w:r>
      <w:r>
        <w:rPr>
          <w:sz w:val="22"/>
        </w:rPr>
        <w:t xml:space="preserve"> Panel</w:t>
      </w:r>
      <w:r w:rsidRPr="00805C03">
        <w:rPr>
          <w:sz w:val="22"/>
        </w:rPr>
        <w:t xml:space="preserve"> when gram-positive cocci were not observed in the Gram stain). In these cases, the </w:t>
      </w:r>
      <w:r>
        <w:rPr>
          <w:sz w:val="22"/>
        </w:rPr>
        <w:t>BioFire</w:t>
      </w:r>
      <w:r w:rsidRPr="00805C03">
        <w:rPr>
          <w:sz w:val="22"/>
        </w:rPr>
        <w:t xml:space="preserve"> BCID Panel results should be confirmed (e.g. by culture) before reporting, unless the result is concordant with other laboratory, epidemiological, or clinical findings.</w:t>
      </w:r>
    </w:p>
    <w:p w:rsidR="00DA024B" w:rsidRDefault="00DA024B" w:rsidP="00DA024B">
      <w:pPr>
        <w:ind w:right="1080"/>
      </w:pPr>
    </w:p>
    <w:p w:rsidR="00DA024B" w:rsidRPr="00942ED8" w:rsidRDefault="00DA024B" w:rsidP="00DA024B">
      <w:pPr>
        <w:rPr>
          <w:sz w:val="22"/>
        </w:rPr>
      </w:pPr>
      <w:r w:rsidRPr="00942ED8">
        <w:rPr>
          <w:sz w:val="22"/>
        </w:rPr>
        <w:t>Actions:</w:t>
      </w:r>
    </w:p>
    <w:p w:rsidR="00DA024B" w:rsidRPr="00942ED8" w:rsidRDefault="00DA024B" w:rsidP="00DA024B">
      <w:pPr>
        <w:rPr>
          <w:sz w:val="22"/>
        </w:rPr>
      </w:pPr>
    </w:p>
    <w:p w:rsidR="00DA024B" w:rsidRPr="00942ED8" w:rsidRDefault="00DA024B" w:rsidP="00DA024B">
      <w:pPr>
        <w:pStyle w:val="ListParagraph"/>
        <w:numPr>
          <w:ilvl w:val="0"/>
          <w:numId w:val="2"/>
        </w:numPr>
        <w:rPr>
          <w:sz w:val="22"/>
        </w:rPr>
      </w:pPr>
      <w:r w:rsidRPr="00942ED8">
        <w:rPr>
          <w:sz w:val="22"/>
        </w:rPr>
        <w:t>If the BioFire BCID Panel is used to test BACT/ALERT</w:t>
      </w:r>
      <w:r w:rsidRPr="00942ED8">
        <w:rPr>
          <w:sz w:val="22"/>
          <w:vertAlign w:val="superscript"/>
        </w:rPr>
        <w:t>®</w:t>
      </w:r>
      <w:r w:rsidRPr="00942ED8">
        <w:rPr>
          <w:sz w:val="22"/>
        </w:rPr>
        <w:t xml:space="preserve"> blood culture bottles from the lots listed in Table 1, positive results for </w:t>
      </w:r>
      <w:r w:rsidRPr="00942ED8">
        <w:rPr>
          <w:i/>
        </w:rPr>
        <w:t>Escherichia coli</w:t>
      </w:r>
      <w:r w:rsidRPr="00942ED8">
        <w:t xml:space="preserve"> and </w:t>
      </w:r>
      <w:r w:rsidRPr="00942ED8">
        <w:rPr>
          <w:i/>
          <w:sz w:val="22"/>
        </w:rPr>
        <w:t xml:space="preserve">Enterobacteriaceae </w:t>
      </w:r>
      <w:r w:rsidRPr="00942ED8">
        <w:rPr>
          <w:sz w:val="22"/>
        </w:rPr>
        <w:t xml:space="preserve">(if occurring without a specific genus/species reported other than </w:t>
      </w:r>
      <w:r w:rsidRPr="00942ED8">
        <w:rPr>
          <w:i/>
          <w:sz w:val="22"/>
        </w:rPr>
        <w:t>E. coli</w:t>
      </w:r>
      <w:r w:rsidRPr="00942ED8">
        <w:rPr>
          <w:sz w:val="22"/>
        </w:rPr>
        <w:t xml:space="preserve">; i.e. negative for all of the following: </w:t>
      </w:r>
      <w:r w:rsidRPr="00942ED8">
        <w:rPr>
          <w:i/>
          <w:sz w:val="22"/>
        </w:rPr>
        <w:t xml:space="preserve">Enterobacter cloacae </w:t>
      </w:r>
      <w:r w:rsidRPr="00942ED8">
        <w:rPr>
          <w:sz w:val="22"/>
        </w:rPr>
        <w:t>complex</w:t>
      </w:r>
      <w:r w:rsidRPr="00942ED8">
        <w:rPr>
          <w:i/>
          <w:sz w:val="22"/>
        </w:rPr>
        <w:t>, Klebsiella oxytoca</w:t>
      </w:r>
      <w:r w:rsidRPr="00942ED8">
        <w:rPr>
          <w:sz w:val="22"/>
        </w:rPr>
        <w:t xml:space="preserve">, </w:t>
      </w:r>
      <w:r w:rsidRPr="00942ED8">
        <w:rPr>
          <w:i/>
          <w:sz w:val="22"/>
        </w:rPr>
        <w:t>Klebsiella pneumoniae</w:t>
      </w:r>
      <w:r w:rsidRPr="00942ED8">
        <w:rPr>
          <w:sz w:val="22"/>
        </w:rPr>
        <w:t xml:space="preserve">, and </w:t>
      </w:r>
      <w:r w:rsidRPr="00942ED8">
        <w:rPr>
          <w:i/>
          <w:sz w:val="22"/>
        </w:rPr>
        <w:t>Serratia marcescens</w:t>
      </w:r>
      <w:r w:rsidRPr="00942ED8">
        <w:rPr>
          <w:sz w:val="22"/>
        </w:rPr>
        <w:t>)</w:t>
      </w:r>
      <w:r w:rsidRPr="00942ED8">
        <w:rPr>
          <w:i/>
          <w:sz w:val="22"/>
        </w:rPr>
        <w:t xml:space="preserve"> </w:t>
      </w:r>
      <w:r w:rsidRPr="00942ED8">
        <w:rPr>
          <w:sz w:val="22"/>
        </w:rPr>
        <w:t xml:space="preserve">should be confirmed by another method prior to reporting the test results. Confirmation is not required if the </w:t>
      </w:r>
      <w:r w:rsidRPr="00942ED8">
        <w:rPr>
          <w:i/>
          <w:sz w:val="22"/>
        </w:rPr>
        <w:t xml:space="preserve">Enterobacteriaceae </w:t>
      </w:r>
      <w:r w:rsidRPr="00942ED8">
        <w:rPr>
          <w:sz w:val="22"/>
        </w:rPr>
        <w:t xml:space="preserve">detected result is accompanied by a detected result for </w:t>
      </w:r>
      <w:r w:rsidRPr="00942ED8">
        <w:rPr>
          <w:i/>
          <w:sz w:val="22"/>
        </w:rPr>
        <w:t xml:space="preserve">Enterobacter cloacae </w:t>
      </w:r>
      <w:r w:rsidRPr="00942ED8">
        <w:rPr>
          <w:sz w:val="22"/>
        </w:rPr>
        <w:t>complex</w:t>
      </w:r>
      <w:r w:rsidRPr="00942ED8">
        <w:rPr>
          <w:i/>
          <w:sz w:val="22"/>
        </w:rPr>
        <w:t>, Klebsiella oxytoca</w:t>
      </w:r>
      <w:r w:rsidRPr="00942ED8">
        <w:rPr>
          <w:sz w:val="22"/>
        </w:rPr>
        <w:t xml:space="preserve">, </w:t>
      </w:r>
      <w:r w:rsidRPr="00942ED8">
        <w:rPr>
          <w:i/>
          <w:sz w:val="22"/>
        </w:rPr>
        <w:t>Klebsiella pneumoniae</w:t>
      </w:r>
      <w:r w:rsidRPr="00942ED8">
        <w:rPr>
          <w:sz w:val="22"/>
        </w:rPr>
        <w:t xml:space="preserve">, or </w:t>
      </w:r>
      <w:r w:rsidRPr="00942ED8">
        <w:rPr>
          <w:i/>
          <w:sz w:val="22"/>
        </w:rPr>
        <w:t>Serratia marcescens</w:t>
      </w:r>
      <w:r w:rsidRPr="00942ED8">
        <w:rPr>
          <w:sz w:val="22"/>
        </w:rPr>
        <w:t xml:space="preserve"> (refer to Table 2).</w:t>
      </w:r>
      <w:r w:rsidR="00A41EEF" w:rsidRPr="00942ED8">
        <w:rPr>
          <w:sz w:val="22"/>
        </w:rPr>
        <w:t xml:space="preserve"> For </w:t>
      </w:r>
      <w:r w:rsidR="00A41EEF" w:rsidRPr="00942ED8">
        <w:rPr>
          <w:i/>
          <w:sz w:val="22"/>
        </w:rPr>
        <w:t>Proteus</w:t>
      </w:r>
      <w:r w:rsidR="00A41EEF" w:rsidRPr="00942ED8">
        <w:rPr>
          <w:sz w:val="22"/>
        </w:rPr>
        <w:t xml:space="preserve"> detection using BACT/ALERT</w:t>
      </w:r>
      <w:r w:rsidR="00A41EEF" w:rsidRPr="00942ED8">
        <w:rPr>
          <w:sz w:val="22"/>
          <w:vertAlign w:val="superscript"/>
        </w:rPr>
        <w:t>®</w:t>
      </w:r>
      <w:r w:rsidR="00A41EEF" w:rsidRPr="00942ED8">
        <w:rPr>
          <w:sz w:val="22"/>
        </w:rPr>
        <w:t xml:space="preserve"> blood culture bottles, refer to Table 2 below.</w:t>
      </w:r>
    </w:p>
    <w:p w:rsidR="00DA024B" w:rsidRPr="00942ED8" w:rsidRDefault="00DA024B" w:rsidP="00DA024B">
      <w:pPr>
        <w:rPr>
          <w:sz w:val="22"/>
        </w:rPr>
      </w:pPr>
    </w:p>
    <w:p w:rsidR="00DA024B" w:rsidRPr="00942ED8" w:rsidRDefault="00DA024B" w:rsidP="00DA024B">
      <w:pPr>
        <w:rPr>
          <w:sz w:val="22"/>
        </w:rPr>
      </w:pPr>
      <w:r w:rsidRPr="00942ED8">
        <w:rPr>
          <w:b/>
          <w:sz w:val="18"/>
          <w:szCs w:val="22"/>
        </w:rPr>
        <w:t xml:space="preserve">   Table 2. Recommended confirmation testing for </w:t>
      </w:r>
      <w:r w:rsidRPr="00942ED8">
        <w:rPr>
          <w:b/>
          <w:bCs/>
          <w:i/>
          <w:iCs/>
          <w:sz w:val="18"/>
          <w:szCs w:val="22"/>
        </w:rPr>
        <w:t xml:space="preserve">Enterobacteriaceae </w:t>
      </w:r>
      <w:r w:rsidRPr="00942ED8">
        <w:rPr>
          <w:b/>
          <w:bCs/>
          <w:iCs/>
          <w:sz w:val="18"/>
          <w:szCs w:val="22"/>
        </w:rPr>
        <w:t>assay results</w:t>
      </w:r>
    </w:p>
    <w:tbl>
      <w:tblPr>
        <w:tblStyle w:val="TableGrid"/>
        <w:tblW w:w="0" w:type="auto"/>
        <w:tblLook w:val="04A0" w:firstRow="1" w:lastRow="0" w:firstColumn="1" w:lastColumn="0" w:noHBand="0" w:noVBand="1"/>
      </w:tblPr>
      <w:tblGrid>
        <w:gridCol w:w="5392"/>
        <w:gridCol w:w="5398"/>
      </w:tblGrid>
      <w:tr w:rsidR="00DA024B" w:rsidRPr="00942ED8" w:rsidTr="00B65401">
        <w:tc>
          <w:tcPr>
            <w:tcW w:w="5508" w:type="dxa"/>
          </w:tcPr>
          <w:p w:rsidR="00DA024B" w:rsidRPr="00942ED8" w:rsidRDefault="00DA024B" w:rsidP="00B65401">
            <w:pPr>
              <w:jc w:val="center"/>
              <w:rPr>
                <w:sz w:val="20"/>
                <w:szCs w:val="20"/>
              </w:rPr>
            </w:pPr>
            <w:r w:rsidRPr="00942ED8">
              <w:rPr>
                <w:rFonts w:eastAsiaTheme="minorHAnsi" w:cs="Arial"/>
                <w:b/>
                <w:bCs/>
                <w:sz w:val="20"/>
                <w:szCs w:val="20"/>
              </w:rPr>
              <w:t>BioFire  BCID Panel Interpretations</w:t>
            </w:r>
          </w:p>
        </w:tc>
        <w:tc>
          <w:tcPr>
            <w:tcW w:w="5508" w:type="dxa"/>
          </w:tcPr>
          <w:p w:rsidR="00DA024B" w:rsidRPr="00942ED8" w:rsidRDefault="00DA024B" w:rsidP="00B65401">
            <w:pPr>
              <w:jc w:val="center"/>
              <w:rPr>
                <w:sz w:val="20"/>
                <w:szCs w:val="20"/>
              </w:rPr>
            </w:pPr>
            <w:r w:rsidRPr="00942ED8">
              <w:rPr>
                <w:b/>
                <w:sz w:val="20"/>
                <w:szCs w:val="20"/>
              </w:rPr>
              <w:t>Recommended Confirmation Testing</w:t>
            </w:r>
          </w:p>
        </w:tc>
      </w:tr>
      <w:tr w:rsidR="00DA024B" w:rsidRPr="00942ED8" w:rsidTr="00B65401">
        <w:tc>
          <w:tcPr>
            <w:tcW w:w="5508" w:type="dxa"/>
          </w:tcPr>
          <w:p w:rsidR="00DA024B" w:rsidRPr="00942ED8" w:rsidRDefault="00DA024B" w:rsidP="00B65401">
            <w:pPr>
              <w:autoSpaceDE w:val="0"/>
              <w:autoSpaceDN w:val="0"/>
              <w:adjustRightInd w:val="0"/>
              <w:rPr>
                <w:rFonts w:eastAsiaTheme="minorHAnsi" w:cs="Arial"/>
                <w:b/>
                <w:bCs/>
                <w:i/>
                <w:iCs/>
                <w:sz w:val="20"/>
                <w:szCs w:val="20"/>
              </w:rPr>
            </w:pPr>
            <w:r w:rsidRPr="00942ED8">
              <w:rPr>
                <w:rFonts w:eastAsiaTheme="minorHAnsi" w:cs="Arial"/>
                <w:b/>
                <w:bCs/>
                <w:i/>
                <w:iCs/>
                <w:sz w:val="20"/>
                <w:szCs w:val="20"/>
              </w:rPr>
              <w:t xml:space="preserve">Enterobacteriaceae </w:t>
            </w:r>
            <w:r w:rsidRPr="00942ED8">
              <w:rPr>
                <w:rFonts w:eastAsiaTheme="minorHAnsi" w:cs="Arial"/>
                <w:b/>
                <w:bCs/>
                <w:iCs/>
                <w:sz w:val="20"/>
                <w:szCs w:val="20"/>
              </w:rPr>
              <w:t>Detected</w:t>
            </w:r>
          </w:p>
        </w:tc>
        <w:tc>
          <w:tcPr>
            <w:tcW w:w="5508" w:type="dxa"/>
            <w:vAlign w:val="center"/>
          </w:tcPr>
          <w:p w:rsidR="00DA024B" w:rsidRPr="00942ED8" w:rsidRDefault="00DA024B" w:rsidP="00B65401">
            <w:pPr>
              <w:rPr>
                <w:sz w:val="20"/>
                <w:szCs w:val="20"/>
              </w:rPr>
            </w:pPr>
            <w:r w:rsidRPr="00942ED8">
              <w:rPr>
                <w:sz w:val="20"/>
                <w:szCs w:val="20"/>
              </w:rPr>
              <w:t>Confirm by another method</w:t>
            </w:r>
          </w:p>
        </w:tc>
      </w:tr>
      <w:tr w:rsidR="00DA024B" w:rsidRPr="00942ED8" w:rsidTr="00B65401">
        <w:tc>
          <w:tcPr>
            <w:tcW w:w="5508" w:type="dxa"/>
          </w:tcPr>
          <w:p w:rsidR="00DA024B" w:rsidRPr="00942ED8" w:rsidRDefault="00DA024B" w:rsidP="00B65401">
            <w:pPr>
              <w:autoSpaceDE w:val="0"/>
              <w:autoSpaceDN w:val="0"/>
              <w:adjustRightInd w:val="0"/>
              <w:rPr>
                <w:rFonts w:eastAsiaTheme="minorHAnsi" w:cs="Arial"/>
                <w:b/>
                <w:bCs/>
                <w:sz w:val="20"/>
                <w:szCs w:val="20"/>
              </w:rPr>
            </w:pPr>
            <w:r w:rsidRPr="00942ED8">
              <w:rPr>
                <w:rFonts w:eastAsiaTheme="minorHAnsi" w:cs="Arial"/>
                <w:b/>
                <w:bCs/>
                <w:i/>
                <w:iCs/>
                <w:sz w:val="20"/>
                <w:szCs w:val="20"/>
              </w:rPr>
              <w:t xml:space="preserve">Enterobacteriaceae </w:t>
            </w:r>
            <w:r w:rsidRPr="00942ED8">
              <w:rPr>
                <w:rFonts w:eastAsiaTheme="minorHAnsi" w:cs="Arial"/>
                <w:b/>
                <w:bCs/>
                <w:sz w:val="20"/>
                <w:szCs w:val="20"/>
              </w:rPr>
              <w:t>Detected</w:t>
            </w:r>
          </w:p>
          <w:p w:rsidR="00DA024B" w:rsidRPr="00942ED8" w:rsidRDefault="00DA024B" w:rsidP="00B65401">
            <w:pPr>
              <w:autoSpaceDE w:val="0"/>
              <w:autoSpaceDN w:val="0"/>
              <w:adjustRightInd w:val="0"/>
              <w:rPr>
                <w:rFonts w:eastAsiaTheme="minorHAnsi" w:cs="Arial"/>
                <w:bCs/>
                <w:sz w:val="20"/>
                <w:szCs w:val="20"/>
              </w:rPr>
            </w:pPr>
            <w:r w:rsidRPr="00942ED8">
              <w:rPr>
                <w:rFonts w:eastAsiaTheme="minorHAnsi" w:cs="Arial"/>
                <w:bCs/>
                <w:sz w:val="20"/>
                <w:szCs w:val="20"/>
              </w:rPr>
              <w:t>and</w:t>
            </w:r>
          </w:p>
          <w:p w:rsidR="00DA024B" w:rsidRPr="00942ED8" w:rsidRDefault="00DA024B" w:rsidP="00B65401">
            <w:pPr>
              <w:autoSpaceDE w:val="0"/>
              <w:autoSpaceDN w:val="0"/>
              <w:adjustRightInd w:val="0"/>
              <w:rPr>
                <w:rFonts w:eastAsiaTheme="minorHAnsi" w:cs="Arial"/>
                <w:b/>
                <w:bCs/>
                <w:sz w:val="20"/>
                <w:szCs w:val="20"/>
              </w:rPr>
            </w:pPr>
            <w:r w:rsidRPr="00942ED8">
              <w:rPr>
                <w:rFonts w:eastAsiaTheme="minorHAnsi" w:cs="Arial"/>
                <w:b/>
                <w:bCs/>
                <w:i/>
                <w:iCs/>
                <w:sz w:val="20"/>
                <w:szCs w:val="20"/>
              </w:rPr>
              <w:t xml:space="preserve">Escherichia coli </w:t>
            </w:r>
            <w:r w:rsidRPr="00942ED8">
              <w:rPr>
                <w:rFonts w:eastAsiaTheme="minorHAnsi" w:cs="Arial"/>
                <w:b/>
                <w:bCs/>
                <w:sz w:val="20"/>
                <w:szCs w:val="20"/>
              </w:rPr>
              <w:t>Detected</w:t>
            </w:r>
          </w:p>
        </w:tc>
        <w:tc>
          <w:tcPr>
            <w:tcW w:w="5508" w:type="dxa"/>
            <w:vAlign w:val="center"/>
          </w:tcPr>
          <w:p w:rsidR="00DA024B" w:rsidRPr="00942ED8" w:rsidRDefault="00DA024B" w:rsidP="00B65401">
            <w:pPr>
              <w:rPr>
                <w:sz w:val="20"/>
                <w:szCs w:val="20"/>
              </w:rPr>
            </w:pPr>
            <w:r w:rsidRPr="00942ED8">
              <w:rPr>
                <w:sz w:val="20"/>
                <w:szCs w:val="20"/>
              </w:rPr>
              <w:t>Confirm by another method</w:t>
            </w:r>
          </w:p>
        </w:tc>
      </w:tr>
      <w:tr w:rsidR="00DA024B" w:rsidRPr="00942ED8" w:rsidTr="00B65401">
        <w:tc>
          <w:tcPr>
            <w:tcW w:w="5508" w:type="dxa"/>
          </w:tcPr>
          <w:p w:rsidR="00DA024B" w:rsidRPr="00942ED8" w:rsidRDefault="00DA024B" w:rsidP="00B65401">
            <w:pPr>
              <w:autoSpaceDE w:val="0"/>
              <w:autoSpaceDN w:val="0"/>
              <w:adjustRightInd w:val="0"/>
              <w:rPr>
                <w:rFonts w:eastAsiaTheme="minorHAnsi" w:cs="Arial"/>
                <w:b/>
                <w:bCs/>
                <w:sz w:val="20"/>
                <w:szCs w:val="20"/>
              </w:rPr>
            </w:pPr>
            <w:r w:rsidRPr="00942ED8">
              <w:rPr>
                <w:rFonts w:eastAsiaTheme="minorHAnsi" w:cs="Arial"/>
                <w:b/>
                <w:bCs/>
                <w:i/>
                <w:iCs/>
                <w:sz w:val="20"/>
                <w:szCs w:val="20"/>
              </w:rPr>
              <w:t xml:space="preserve">Enterobacteriaceae </w:t>
            </w:r>
            <w:r w:rsidRPr="00942ED8">
              <w:rPr>
                <w:rFonts w:eastAsiaTheme="minorHAnsi" w:cs="Arial"/>
                <w:b/>
                <w:bCs/>
                <w:sz w:val="20"/>
                <w:szCs w:val="20"/>
              </w:rPr>
              <w:t>Detected</w:t>
            </w:r>
          </w:p>
          <w:p w:rsidR="00DA024B" w:rsidRPr="00942ED8" w:rsidRDefault="00DA024B" w:rsidP="00B65401">
            <w:pPr>
              <w:autoSpaceDE w:val="0"/>
              <w:autoSpaceDN w:val="0"/>
              <w:adjustRightInd w:val="0"/>
              <w:rPr>
                <w:rFonts w:eastAsiaTheme="minorHAnsi" w:cs="Arial"/>
                <w:bCs/>
                <w:sz w:val="20"/>
                <w:szCs w:val="20"/>
              </w:rPr>
            </w:pPr>
            <w:r w:rsidRPr="00942ED8">
              <w:rPr>
                <w:rFonts w:eastAsiaTheme="minorHAnsi" w:cs="Arial"/>
                <w:bCs/>
                <w:sz w:val="20"/>
                <w:szCs w:val="20"/>
              </w:rPr>
              <w:t>and</w:t>
            </w:r>
          </w:p>
          <w:p w:rsidR="00DA024B" w:rsidRPr="00942ED8" w:rsidRDefault="00DA024B" w:rsidP="006A0F1C">
            <w:pPr>
              <w:autoSpaceDE w:val="0"/>
              <w:autoSpaceDN w:val="0"/>
              <w:adjustRightInd w:val="0"/>
              <w:rPr>
                <w:rFonts w:eastAsiaTheme="minorHAnsi" w:cs="Arial"/>
                <w:b/>
                <w:i/>
                <w:iCs/>
                <w:sz w:val="20"/>
                <w:szCs w:val="20"/>
              </w:rPr>
            </w:pPr>
            <w:r w:rsidRPr="00942ED8">
              <w:rPr>
                <w:rFonts w:eastAsiaTheme="minorHAnsi" w:cs="Arial"/>
                <w:b/>
                <w:i/>
                <w:iCs/>
                <w:sz w:val="20"/>
                <w:szCs w:val="20"/>
              </w:rPr>
              <w:t xml:space="preserve">Enterobacter cloacae complex </w:t>
            </w:r>
            <w:r w:rsidRPr="00942ED8">
              <w:rPr>
                <w:rFonts w:eastAsiaTheme="minorHAnsi" w:cs="Arial"/>
                <w:iCs/>
                <w:sz w:val="20"/>
                <w:szCs w:val="20"/>
              </w:rPr>
              <w:t>or</w:t>
            </w:r>
            <w:r w:rsidRPr="00942ED8">
              <w:rPr>
                <w:rFonts w:eastAsiaTheme="minorHAnsi" w:cs="Arial"/>
                <w:sz w:val="20"/>
                <w:szCs w:val="20"/>
              </w:rPr>
              <w:t xml:space="preserve"> </w:t>
            </w:r>
            <w:r w:rsidRPr="00942ED8">
              <w:rPr>
                <w:rFonts w:eastAsiaTheme="minorHAnsi" w:cs="Arial"/>
                <w:b/>
                <w:i/>
                <w:iCs/>
                <w:sz w:val="20"/>
                <w:szCs w:val="20"/>
              </w:rPr>
              <w:t xml:space="preserve">Klebsiella oxytoca </w:t>
            </w:r>
            <w:r w:rsidRPr="00942ED8">
              <w:rPr>
                <w:rFonts w:eastAsiaTheme="minorHAnsi" w:cs="Arial"/>
                <w:iCs/>
                <w:sz w:val="20"/>
                <w:szCs w:val="20"/>
              </w:rPr>
              <w:t>or</w:t>
            </w:r>
            <w:r w:rsidRPr="00942ED8">
              <w:rPr>
                <w:rFonts w:eastAsiaTheme="minorHAnsi" w:cs="Arial"/>
                <w:b/>
                <w:i/>
                <w:iCs/>
                <w:sz w:val="20"/>
                <w:szCs w:val="20"/>
              </w:rPr>
              <w:t xml:space="preserve"> </w:t>
            </w:r>
            <w:r w:rsidRPr="00942ED8">
              <w:rPr>
                <w:rFonts w:eastAsiaTheme="minorHAnsi" w:cs="Arial"/>
                <w:b/>
                <w:bCs/>
                <w:i/>
                <w:iCs/>
                <w:sz w:val="20"/>
                <w:szCs w:val="20"/>
              </w:rPr>
              <w:t xml:space="preserve">Klebsiella pneumoniae </w:t>
            </w:r>
            <w:r w:rsidRPr="00942ED8">
              <w:rPr>
                <w:rFonts w:eastAsiaTheme="minorHAnsi" w:cs="Arial"/>
                <w:iCs/>
                <w:sz w:val="20"/>
                <w:szCs w:val="20"/>
              </w:rPr>
              <w:t>or</w:t>
            </w:r>
            <w:r w:rsidRPr="00942ED8">
              <w:rPr>
                <w:rFonts w:eastAsiaTheme="minorHAnsi" w:cs="Arial"/>
                <w:i/>
                <w:iCs/>
                <w:sz w:val="20"/>
                <w:szCs w:val="20"/>
              </w:rPr>
              <w:t xml:space="preserve"> </w:t>
            </w:r>
            <w:r w:rsidRPr="00942ED8">
              <w:rPr>
                <w:rFonts w:eastAsiaTheme="minorHAnsi" w:cs="Arial"/>
                <w:b/>
                <w:i/>
                <w:iCs/>
                <w:sz w:val="20"/>
                <w:szCs w:val="20"/>
              </w:rPr>
              <w:t xml:space="preserve">Serratia marcescens </w:t>
            </w:r>
            <w:r w:rsidRPr="00942ED8">
              <w:rPr>
                <w:rFonts w:eastAsiaTheme="minorHAnsi" w:cs="Arial"/>
                <w:b/>
                <w:iCs/>
                <w:sz w:val="20"/>
                <w:szCs w:val="20"/>
              </w:rPr>
              <w:t>Detected</w:t>
            </w:r>
          </w:p>
        </w:tc>
        <w:tc>
          <w:tcPr>
            <w:tcW w:w="5508" w:type="dxa"/>
            <w:vAlign w:val="center"/>
          </w:tcPr>
          <w:p w:rsidR="00DA024B" w:rsidRPr="00942ED8" w:rsidRDefault="00DA024B" w:rsidP="00B65401">
            <w:pPr>
              <w:rPr>
                <w:sz w:val="20"/>
                <w:szCs w:val="20"/>
              </w:rPr>
            </w:pPr>
            <w:r w:rsidRPr="00942ED8">
              <w:rPr>
                <w:sz w:val="20"/>
                <w:szCs w:val="20"/>
              </w:rPr>
              <w:t xml:space="preserve">Confirmation not needed </w:t>
            </w:r>
          </w:p>
        </w:tc>
      </w:tr>
      <w:tr w:rsidR="00DA024B" w:rsidTr="00B65401">
        <w:tc>
          <w:tcPr>
            <w:tcW w:w="5508" w:type="dxa"/>
          </w:tcPr>
          <w:p w:rsidR="00621FA0" w:rsidRPr="00942ED8" w:rsidRDefault="00621FA0" w:rsidP="00621FA0">
            <w:pPr>
              <w:autoSpaceDE w:val="0"/>
              <w:autoSpaceDN w:val="0"/>
              <w:adjustRightInd w:val="0"/>
              <w:rPr>
                <w:rFonts w:eastAsiaTheme="minorHAnsi" w:cs="Arial"/>
                <w:b/>
                <w:bCs/>
                <w:sz w:val="20"/>
                <w:szCs w:val="20"/>
              </w:rPr>
            </w:pPr>
            <w:r w:rsidRPr="00942ED8">
              <w:rPr>
                <w:rFonts w:eastAsiaTheme="minorHAnsi" w:cs="Arial"/>
                <w:b/>
                <w:bCs/>
                <w:i/>
                <w:iCs/>
                <w:sz w:val="20"/>
                <w:szCs w:val="20"/>
              </w:rPr>
              <w:t xml:space="preserve">Enterobacteriaceae </w:t>
            </w:r>
            <w:r w:rsidRPr="00942ED8">
              <w:rPr>
                <w:rFonts w:eastAsiaTheme="minorHAnsi" w:cs="Arial"/>
                <w:b/>
                <w:bCs/>
                <w:sz w:val="20"/>
                <w:szCs w:val="20"/>
              </w:rPr>
              <w:t>Detected</w:t>
            </w:r>
          </w:p>
          <w:p w:rsidR="00621FA0" w:rsidRPr="00942ED8" w:rsidRDefault="00621FA0" w:rsidP="00621FA0">
            <w:pPr>
              <w:autoSpaceDE w:val="0"/>
              <w:autoSpaceDN w:val="0"/>
              <w:adjustRightInd w:val="0"/>
              <w:rPr>
                <w:rFonts w:eastAsiaTheme="minorHAnsi" w:cs="Arial"/>
                <w:bCs/>
                <w:sz w:val="20"/>
                <w:szCs w:val="20"/>
              </w:rPr>
            </w:pPr>
            <w:r w:rsidRPr="00942ED8">
              <w:rPr>
                <w:rFonts w:eastAsiaTheme="minorHAnsi" w:cs="Arial"/>
                <w:bCs/>
                <w:sz w:val="20"/>
                <w:szCs w:val="20"/>
              </w:rPr>
              <w:t>and</w:t>
            </w:r>
          </w:p>
          <w:p w:rsidR="00DA024B" w:rsidRPr="00942ED8" w:rsidRDefault="00DA024B" w:rsidP="00C835C4">
            <w:pPr>
              <w:autoSpaceDE w:val="0"/>
              <w:autoSpaceDN w:val="0"/>
              <w:adjustRightInd w:val="0"/>
              <w:rPr>
                <w:rFonts w:eastAsiaTheme="minorHAnsi" w:cs="Arial"/>
                <w:bCs/>
                <w:iCs/>
                <w:sz w:val="20"/>
                <w:szCs w:val="20"/>
              </w:rPr>
            </w:pPr>
            <w:r w:rsidRPr="00942ED8">
              <w:rPr>
                <w:rFonts w:eastAsiaTheme="minorHAnsi" w:cs="Arial"/>
                <w:b/>
                <w:bCs/>
                <w:i/>
                <w:iCs/>
                <w:sz w:val="20"/>
                <w:szCs w:val="20"/>
              </w:rPr>
              <w:t xml:space="preserve">Proteus </w:t>
            </w:r>
            <w:r w:rsidR="00C835C4" w:rsidRPr="00942ED8">
              <w:rPr>
                <w:rFonts w:eastAsiaTheme="minorHAnsi" w:cs="Arial"/>
                <w:b/>
                <w:bCs/>
                <w:iCs/>
                <w:sz w:val="20"/>
                <w:szCs w:val="20"/>
              </w:rPr>
              <w:t>Detected</w:t>
            </w:r>
          </w:p>
        </w:tc>
        <w:tc>
          <w:tcPr>
            <w:tcW w:w="5508" w:type="dxa"/>
            <w:vAlign w:val="center"/>
          </w:tcPr>
          <w:p w:rsidR="00DA024B" w:rsidRPr="00A746B2" w:rsidRDefault="00DA024B" w:rsidP="00B65401">
            <w:pPr>
              <w:rPr>
                <w:sz w:val="20"/>
                <w:szCs w:val="20"/>
              </w:rPr>
            </w:pPr>
            <w:r w:rsidRPr="00942ED8">
              <w:rPr>
                <w:sz w:val="20"/>
                <w:szCs w:val="20"/>
              </w:rPr>
              <w:t>Confirm by another method</w:t>
            </w:r>
            <w:r w:rsidR="00621FA0" w:rsidRPr="00942ED8">
              <w:rPr>
                <w:sz w:val="20"/>
                <w:szCs w:val="20"/>
              </w:rPr>
              <w:t xml:space="preserve"> as per previous notice</w:t>
            </w:r>
            <w:r w:rsidRPr="00942ED8">
              <w:rPr>
                <w:sz w:val="20"/>
                <w:szCs w:val="20"/>
              </w:rPr>
              <w:t xml:space="preserve"> (refer to: </w:t>
            </w:r>
            <w:hyperlink r:id="rId7" w:history="1">
              <w:r w:rsidRPr="00942ED8">
                <w:rPr>
                  <w:rStyle w:val="Hyperlink"/>
                  <w:sz w:val="20"/>
                  <w:szCs w:val="20"/>
                </w:rPr>
                <w:t>https://www.online-ifu.com/ITIBCID0270</w:t>
              </w:r>
            </w:hyperlink>
            <w:r w:rsidRPr="00942ED8">
              <w:rPr>
                <w:sz w:val="20"/>
                <w:szCs w:val="20"/>
              </w:rPr>
              <w:t>)</w:t>
            </w:r>
            <w:r>
              <w:rPr>
                <w:sz w:val="20"/>
                <w:szCs w:val="20"/>
              </w:rPr>
              <w:t xml:space="preserve">   </w:t>
            </w:r>
          </w:p>
        </w:tc>
      </w:tr>
    </w:tbl>
    <w:p w:rsidR="00DA024B" w:rsidRDefault="00DA024B" w:rsidP="00DA024B">
      <w:pPr>
        <w:rPr>
          <w:sz w:val="22"/>
        </w:rPr>
      </w:pPr>
    </w:p>
    <w:p w:rsidR="00DA024B" w:rsidRDefault="00DA024B" w:rsidP="00DA024B">
      <w:pPr>
        <w:rPr>
          <w:sz w:val="22"/>
          <w:szCs w:val="22"/>
        </w:rPr>
      </w:pPr>
      <w:r>
        <w:rPr>
          <w:sz w:val="22"/>
          <w:szCs w:val="22"/>
        </w:rPr>
        <w:t xml:space="preserve">A copy of this notification is also available here: </w:t>
      </w:r>
      <w:hyperlink r:id="rId8" w:history="1">
        <w:r w:rsidRPr="00CA51D7">
          <w:rPr>
            <w:rStyle w:val="Hyperlink"/>
            <w:sz w:val="22"/>
            <w:szCs w:val="22"/>
          </w:rPr>
          <w:t>https://www.online-ifu.com/</w:t>
        </w:r>
        <w:r w:rsidRPr="00CA51D7">
          <w:rPr>
            <w:rStyle w:val="Hyperlink"/>
          </w:rPr>
          <w:t>ITIBCID2286</w:t>
        </w:r>
      </w:hyperlink>
      <w:r>
        <w:rPr>
          <w:color w:val="000000"/>
        </w:rPr>
        <w:t xml:space="preserve"> </w:t>
      </w:r>
    </w:p>
    <w:p w:rsidR="00DA024B" w:rsidRDefault="00DA024B" w:rsidP="00DA024B">
      <w:pPr>
        <w:rPr>
          <w:sz w:val="22"/>
          <w:szCs w:val="22"/>
        </w:rPr>
      </w:pPr>
    </w:p>
    <w:p w:rsidR="00DA024B" w:rsidRPr="001261B0" w:rsidRDefault="00DA024B" w:rsidP="00DA024B">
      <w:pPr>
        <w:rPr>
          <w:sz w:val="22"/>
          <w:szCs w:val="22"/>
        </w:rPr>
      </w:pPr>
      <w:r w:rsidRPr="001261B0">
        <w:rPr>
          <w:sz w:val="22"/>
          <w:szCs w:val="22"/>
        </w:rPr>
        <w:t>If you have any questions or concerns, please don’t hesitate to contact your local bioMérieux representative.</w:t>
      </w:r>
    </w:p>
    <w:p w:rsidR="00DA024B" w:rsidRDefault="00DA024B" w:rsidP="00DA024B">
      <w:pPr>
        <w:rPr>
          <w:sz w:val="22"/>
        </w:rPr>
      </w:pPr>
    </w:p>
    <w:p w:rsidR="00DA024B" w:rsidRDefault="00DA024B" w:rsidP="00DA024B">
      <w:pPr>
        <w:rPr>
          <w:sz w:val="22"/>
        </w:rPr>
      </w:pPr>
      <w:r>
        <w:rPr>
          <w:sz w:val="22"/>
        </w:rPr>
        <w:t>Thank you for your understanding and patience in this matter.</w:t>
      </w:r>
    </w:p>
    <w:p w:rsidR="00DA024B" w:rsidRDefault="00DA024B" w:rsidP="00DA024B"/>
    <w:p w:rsidR="00DA024B" w:rsidRDefault="00DA024B" w:rsidP="00DA024B">
      <w:r w:rsidRPr="00F431DD">
        <w:rPr>
          <w:noProof/>
          <w:lang w:val="lv-LV" w:eastAsia="lv-LV"/>
        </w:rPr>
        <w:drawing>
          <wp:inline distT="0" distB="0" distL="0" distR="0" wp14:anchorId="18414521" wp14:editId="1B05D051">
            <wp:extent cx="2076450" cy="523875"/>
            <wp:effectExtent l="0" t="0" r="0" b="9525"/>
            <wp:docPr id="2" name="Picture 2" descr="C:\Users\erin_moseley\AppData\Local\Microsoft\Windows\Temporary Internet Files\Content.Outlook\MWDU0V14\Wad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_moseley\AppData\Local\Microsoft\Windows\Temporary Internet Files\Content.Outlook\MWDU0V14\Wade's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523875"/>
                    </a:xfrm>
                    <a:prstGeom prst="rect">
                      <a:avLst/>
                    </a:prstGeom>
                    <a:noFill/>
                    <a:ln>
                      <a:noFill/>
                    </a:ln>
                  </pic:spPr>
                </pic:pic>
              </a:graphicData>
            </a:graphic>
          </wp:inline>
        </w:drawing>
      </w:r>
    </w:p>
    <w:p w:rsidR="00C36387" w:rsidRPr="00CB5A1C" w:rsidRDefault="00C36387" w:rsidP="00C36387">
      <w:pPr>
        <w:rPr>
          <w:sz w:val="22"/>
        </w:rPr>
      </w:pPr>
      <w:r w:rsidRPr="00CB5A1C">
        <w:rPr>
          <w:sz w:val="22"/>
        </w:rPr>
        <w:t>Wade Stevenson</w:t>
      </w:r>
    </w:p>
    <w:p w:rsidR="00C36387" w:rsidRPr="00CB5A1C" w:rsidRDefault="00C36387" w:rsidP="00C36387">
      <w:pPr>
        <w:rPr>
          <w:sz w:val="22"/>
        </w:rPr>
      </w:pPr>
      <w:r>
        <w:rPr>
          <w:sz w:val="22"/>
        </w:rPr>
        <w:t xml:space="preserve">Sr. </w:t>
      </w:r>
      <w:r w:rsidRPr="00CB5A1C">
        <w:rPr>
          <w:sz w:val="22"/>
        </w:rPr>
        <w:t xml:space="preserve">Vice President of </w:t>
      </w:r>
      <w:r>
        <w:rPr>
          <w:sz w:val="22"/>
        </w:rPr>
        <w:t xml:space="preserve">Global </w:t>
      </w:r>
      <w:r w:rsidRPr="00CB5A1C">
        <w:rPr>
          <w:sz w:val="22"/>
        </w:rPr>
        <w:t>Marketing</w:t>
      </w:r>
      <w:r>
        <w:rPr>
          <w:sz w:val="22"/>
        </w:rPr>
        <w:t xml:space="preserve"> </w:t>
      </w:r>
    </w:p>
    <w:p w:rsidR="00C36387" w:rsidRPr="00CB5A1C" w:rsidRDefault="00C36387" w:rsidP="00C36387">
      <w:pPr>
        <w:rPr>
          <w:sz w:val="22"/>
        </w:rPr>
      </w:pPr>
      <w:r w:rsidRPr="00CB5A1C">
        <w:rPr>
          <w:sz w:val="22"/>
        </w:rPr>
        <w:t>BioFire Diagnostics</w:t>
      </w:r>
      <w:r>
        <w:rPr>
          <w:sz w:val="22"/>
        </w:rPr>
        <w:t>,</w:t>
      </w:r>
      <w:r w:rsidRPr="00CB5A1C">
        <w:rPr>
          <w:sz w:val="22"/>
        </w:rPr>
        <w:t xml:space="preserve"> </w:t>
      </w:r>
      <w:r>
        <w:rPr>
          <w:sz w:val="22"/>
        </w:rPr>
        <w:t>LLC</w:t>
      </w:r>
      <w:r w:rsidRPr="00CB5A1C">
        <w:rPr>
          <w:sz w:val="22"/>
        </w:rPr>
        <w:tab/>
      </w:r>
    </w:p>
    <w:p w:rsidR="00C36387" w:rsidRDefault="00C36387" w:rsidP="00C36387">
      <w:pPr>
        <w:rPr>
          <w:sz w:val="22"/>
        </w:rPr>
      </w:pPr>
      <w:r w:rsidRPr="00CB5A1C">
        <w:rPr>
          <w:sz w:val="22"/>
        </w:rPr>
        <w:t>Salt Lake City, UT 84108</w:t>
      </w:r>
    </w:p>
    <w:p w:rsidR="00F429F3" w:rsidRDefault="00DE55FE"/>
    <w:sectPr w:rsidR="00F429F3" w:rsidSect="00D45DCE">
      <w:headerReference w:type="default" r:id="rId10"/>
      <w:pgSz w:w="12240" w:h="15840"/>
      <w:pgMar w:top="720" w:right="720" w:bottom="720" w:left="720" w:header="1440" w:footer="1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FE" w:rsidRDefault="00DE55FE" w:rsidP="00283CF5">
      <w:r>
        <w:separator/>
      </w:r>
    </w:p>
  </w:endnote>
  <w:endnote w:type="continuationSeparator" w:id="0">
    <w:p w:rsidR="00DE55FE" w:rsidRDefault="00DE55FE" w:rsidP="0028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FE" w:rsidRDefault="00DE55FE" w:rsidP="00283CF5">
      <w:r>
        <w:separator/>
      </w:r>
    </w:p>
  </w:footnote>
  <w:footnote w:type="continuationSeparator" w:id="0">
    <w:p w:rsidR="00DE55FE" w:rsidRDefault="00DE55FE" w:rsidP="0028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F5" w:rsidRDefault="00283CF5">
    <w:pPr>
      <w:pStyle w:val="Header"/>
    </w:pPr>
    <w:r>
      <w:rPr>
        <w:noProof/>
        <w:lang w:val="lv-LV" w:eastAsia="lv-LV"/>
      </w:rPr>
      <w:drawing>
        <wp:anchor distT="0" distB="0" distL="114300" distR="114300" simplePos="0" relativeHeight="251658240" behindDoc="1" locked="0" layoutInCell="1" allowOverlap="1">
          <wp:simplePos x="0" y="0"/>
          <wp:positionH relativeFrom="column">
            <wp:posOffset>-466253</wp:posOffset>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e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83CF5" w:rsidRDefault="00283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4E10"/>
    <w:multiLevelType w:val="hybridMultilevel"/>
    <w:tmpl w:val="9AA6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6378E"/>
    <w:multiLevelType w:val="hybridMultilevel"/>
    <w:tmpl w:val="D95082B4"/>
    <w:lvl w:ilvl="0" w:tplc="4B5EEC46">
      <w:numFmt w:val="bullet"/>
      <w:lvlText w:val=""/>
      <w:lvlJc w:val="left"/>
      <w:pPr>
        <w:ind w:left="450" w:hanging="360"/>
      </w:pPr>
      <w:rPr>
        <w:rFonts w:ascii="Symbol" w:eastAsia="MS Mincho"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E0B3B35"/>
    <w:multiLevelType w:val="hybridMultilevel"/>
    <w:tmpl w:val="3A9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4B"/>
    <w:rsid w:val="0003286A"/>
    <w:rsid w:val="00181AFA"/>
    <w:rsid w:val="00283CF5"/>
    <w:rsid w:val="00621FA0"/>
    <w:rsid w:val="00652F19"/>
    <w:rsid w:val="006A0F1C"/>
    <w:rsid w:val="00931B10"/>
    <w:rsid w:val="00942ED8"/>
    <w:rsid w:val="00996ACA"/>
    <w:rsid w:val="00A41EEF"/>
    <w:rsid w:val="00B94376"/>
    <w:rsid w:val="00BA4550"/>
    <w:rsid w:val="00BE0C5E"/>
    <w:rsid w:val="00C23C99"/>
    <w:rsid w:val="00C36387"/>
    <w:rsid w:val="00C835C4"/>
    <w:rsid w:val="00D14FBC"/>
    <w:rsid w:val="00D45DCE"/>
    <w:rsid w:val="00DA024B"/>
    <w:rsid w:val="00DE55FE"/>
    <w:rsid w:val="00EA291E"/>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3BD69CE-0475-4D04-ABC4-72F30DC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4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F5"/>
    <w:pPr>
      <w:tabs>
        <w:tab w:val="center" w:pos="4680"/>
        <w:tab w:val="right" w:pos="9360"/>
      </w:tabs>
    </w:pPr>
  </w:style>
  <w:style w:type="character" w:customStyle="1" w:styleId="HeaderChar">
    <w:name w:val="Header Char"/>
    <w:basedOn w:val="DefaultParagraphFont"/>
    <w:link w:val="Header"/>
    <w:uiPriority w:val="99"/>
    <w:rsid w:val="00283CF5"/>
  </w:style>
  <w:style w:type="paragraph" w:styleId="Footer">
    <w:name w:val="footer"/>
    <w:basedOn w:val="Normal"/>
    <w:link w:val="FooterChar"/>
    <w:uiPriority w:val="99"/>
    <w:unhideWhenUsed/>
    <w:rsid w:val="00283CF5"/>
    <w:pPr>
      <w:tabs>
        <w:tab w:val="center" w:pos="4680"/>
        <w:tab w:val="right" w:pos="9360"/>
      </w:tabs>
    </w:pPr>
  </w:style>
  <w:style w:type="character" w:customStyle="1" w:styleId="FooterChar">
    <w:name w:val="Footer Char"/>
    <w:basedOn w:val="DefaultParagraphFont"/>
    <w:link w:val="Footer"/>
    <w:uiPriority w:val="99"/>
    <w:rsid w:val="00283CF5"/>
  </w:style>
  <w:style w:type="character" w:styleId="Hyperlink">
    <w:name w:val="Hyperlink"/>
    <w:rsid w:val="00DA024B"/>
    <w:rPr>
      <w:color w:val="0000FF"/>
      <w:u w:val="single"/>
    </w:rPr>
  </w:style>
  <w:style w:type="paragraph" w:styleId="CommentText">
    <w:name w:val="annotation text"/>
    <w:basedOn w:val="Normal"/>
    <w:link w:val="CommentTextChar"/>
    <w:uiPriority w:val="99"/>
    <w:semiHidden/>
    <w:unhideWhenUsed/>
    <w:rsid w:val="00DA024B"/>
    <w:rPr>
      <w:sz w:val="20"/>
      <w:szCs w:val="20"/>
    </w:rPr>
  </w:style>
  <w:style w:type="character" w:customStyle="1" w:styleId="CommentTextChar">
    <w:name w:val="Comment Text Char"/>
    <w:basedOn w:val="DefaultParagraphFont"/>
    <w:link w:val="CommentText"/>
    <w:uiPriority w:val="99"/>
    <w:semiHidden/>
    <w:rsid w:val="00DA024B"/>
    <w:rPr>
      <w:rFonts w:ascii="Cambria" w:eastAsia="MS Mincho" w:hAnsi="Cambria" w:cs="Times New Roman"/>
      <w:sz w:val="20"/>
      <w:szCs w:val="20"/>
    </w:rPr>
  </w:style>
  <w:style w:type="paragraph" w:styleId="ListParagraph">
    <w:name w:val="List Paragraph"/>
    <w:basedOn w:val="Normal"/>
    <w:uiPriority w:val="34"/>
    <w:qFormat/>
    <w:rsid w:val="00DA024B"/>
    <w:pPr>
      <w:ind w:left="720"/>
      <w:contextualSpacing/>
    </w:pPr>
  </w:style>
  <w:style w:type="table" w:styleId="TableGrid">
    <w:name w:val="Table Grid"/>
    <w:basedOn w:val="TableNormal"/>
    <w:uiPriority w:val="39"/>
    <w:rsid w:val="00DA02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ifu.com/ITIBCID2286" TargetMode="External"/><Relationship Id="rId3" Type="http://schemas.openxmlformats.org/officeDocument/2006/relationships/settings" Target="settings.xml"/><Relationship Id="rId7" Type="http://schemas.openxmlformats.org/officeDocument/2006/relationships/hyperlink" Target="https://www.online-ifu.com/ITIBCID02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ments\RegulatedProd\RegProd\Regulatory%20Affairs%20Group\Field%20Actions%20-%20working%20folder\Cobranded_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Cobranded_letterhead template</Template>
  <TotalTime>1</TotalTime>
  <Pages>2</Pages>
  <Words>3196</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Wood</dc:creator>
  <cp:keywords/>
  <dc:description/>
  <cp:lastModifiedBy>Silvija Kaugere</cp:lastModifiedBy>
  <cp:revision>2</cp:revision>
  <dcterms:created xsi:type="dcterms:W3CDTF">2019-07-24T11:18:00Z</dcterms:created>
  <dcterms:modified xsi:type="dcterms:W3CDTF">2019-07-24T11:18:00Z</dcterms:modified>
</cp:coreProperties>
</file>