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05D8" w14:textId="77777777" w:rsidR="00FA1065" w:rsidRDefault="00FA1065" w:rsidP="00DC3950">
      <w:pPr>
        <w:rPr>
          <w:rFonts w:ascii="Times New Roman" w:hAnsi="Times New Roman" w:cs="Times New Roman"/>
          <w:b/>
          <w:sz w:val="28"/>
          <w:szCs w:val="28"/>
        </w:rPr>
      </w:pPr>
    </w:p>
    <w:p w14:paraId="00BCDF6D" w14:textId="77777777" w:rsidR="00285414" w:rsidRDefault="00285414" w:rsidP="00770144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</w:p>
    <w:p w14:paraId="68D415A9" w14:textId="77777777" w:rsidR="00EC32F4" w:rsidRPr="00FA1065" w:rsidRDefault="00FA1065" w:rsidP="00770144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PĀRSKATS PAR TRANSPLANTĀCIJAS CENTRU DARBU 201</w:t>
      </w:r>
      <w:r w:rsidR="008050FC">
        <w:rPr>
          <w:rFonts w:ascii="Times New Roman" w:hAnsi="Times New Roman" w:cs="Times New Roman"/>
          <w:b/>
          <w:color w:val="16355A"/>
          <w:sz w:val="28"/>
          <w:szCs w:val="28"/>
        </w:rPr>
        <w:t>7</w:t>
      </w: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. GADĀ</w:t>
      </w:r>
    </w:p>
    <w:p w14:paraId="2B4FF606" w14:textId="77777777" w:rsidR="00770144" w:rsidRPr="005C5B1E" w:rsidRDefault="00770144" w:rsidP="0077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0C43" w14:textId="77777777" w:rsidR="00770144" w:rsidRPr="00081225" w:rsidRDefault="006D143E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C80E01" w:rsidRPr="00081225">
        <w:rPr>
          <w:rFonts w:ascii="Times New Roman" w:hAnsi="Times New Roman" w:cs="Times New Roman"/>
          <w:sz w:val="24"/>
          <w:szCs w:val="24"/>
        </w:rPr>
        <w:t>2013.</w:t>
      </w:r>
      <w:r w:rsidR="00FA1065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081225">
        <w:rPr>
          <w:rFonts w:ascii="Times New Roman" w:hAnsi="Times New Roman" w:cs="Times New Roman"/>
          <w:sz w:val="24"/>
          <w:szCs w:val="24"/>
        </w:rPr>
        <w:t xml:space="preserve">gada </w:t>
      </w:r>
      <w:r w:rsidRPr="00081225">
        <w:rPr>
          <w:rFonts w:ascii="Times New Roman" w:hAnsi="Times New Roman" w:cs="Times New Roman"/>
          <w:sz w:val="24"/>
          <w:szCs w:val="24"/>
        </w:rPr>
        <w:t>29.janvāra</w:t>
      </w:r>
      <w:r w:rsidR="00E01933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081225">
        <w:rPr>
          <w:rFonts w:ascii="Times New Roman" w:hAnsi="Times New Roman" w:cs="Times New Roman"/>
          <w:sz w:val="24"/>
          <w:szCs w:val="24"/>
        </w:rPr>
        <w:t>Ministru kabineta noteikum</w:t>
      </w:r>
      <w:r w:rsidRPr="00081225">
        <w:rPr>
          <w:rFonts w:ascii="Times New Roman" w:hAnsi="Times New Roman" w:cs="Times New Roman"/>
          <w:sz w:val="24"/>
          <w:szCs w:val="24"/>
        </w:rPr>
        <w:t>u</w:t>
      </w:r>
      <w:r w:rsidR="00C80E01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52D9" w:rsidRPr="00081225">
        <w:rPr>
          <w:rFonts w:ascii="Times New Roman" w:hAnsi="Times New Roman" w:cs="Times New Roman"/>
          <w:sz w:val="24"/>
          <w:szCs w:val="24"/>
        </w:rPr>
        <w:t xml:space="preserve">Nr. 70 „Noteikumi par cilvēka orgānu izmantošanu medicīnā, kā arī cilvēka orgānu un miruša cilvēka ķermeņa izmantošanu medicīnas studijām 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(turpmāk Noteikumi Nr. </w:t>
      </w:r>
      <w:r w:rsidR="00C852D9" w:rsidRPr="00081225">
        <w:rPr>
          <w:rFonts w:ascii="Times New Roman" w:hAnsi="Times New Roman" w:cs="Times New Roman"/>
          <w:sz w:val="24"/>
          <w:szCs w:val="24"/>
        </w:rPr>
        <w:t>70)</w:t>
      </w:r>
      <w:r w:rsidR="00A5158B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E26BE" w:rsidRPr="00081225">
        <w:rPr>
          <w:rFonts w:ascii="Times New Roman" w:hAnsi="Times New Roman" w:cs="Times New Roman"/>
          <w:sz w:val="24"/>
          <w:szCs w:val="24"/>
        </w:rPr>
        <w:t>4.</w:t>
      </w:r>
      <w:r w:rsidR="004D2D34" w:rsidRPr="00081225">
        <w:rPr>
          <w:rFonts w:ascii="Times New Roman" w:hAnsi="Times New Roman" w:cs="Times New Roman"/>
          <w:sz w:val="24"/>
          <w:szCs w:val="24"/>
        </w:rPr>
        <w:t>punkts paredz</w:t>
      </w:r>
      <w:r w:rsidR="001451DC" w:rsidRPr="00081225">
        <w:rPr>
          <w:rFonts w:ascii="Times New Roman" w:hAnsi="Times New Roman" w:cs="Times New Roman"/>
          <w:sz w:val="24"/>
          <w:szCs w:val="24"/>
        </w:rPr>
        <w:t>,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 ka </w:t>
      </w:r>
      <w:r w:rsidR="00CE26BE" w:rsidRPr="00081225">
        <w:rPr>
          <w:rFonts w:ascii="Times New Roman" w:hAnsi="Times New Roman" w:cs="Times New Roman"/>
          <w:sz w:val="24"/>
          <w:szCs w:val="24"/>
        </w:rPr>
        <w:t>orgānu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 ieguves organizāciju </w:t>
      </w:r>
      <w:r w:rsidR="00CE26BE" w:rsidRPr="00081225">
        <w:rPr>
          <w:rFonts w:ascii="Times New Roman" w:hAnsi="Times New Roman" w:cs="Times New Roman"/>
          <w:sz w:val="24"/>
          <w:szCs w:val="24"/>
        </w:rPr>
        <w:t xml:space="preserve">un transplantācijas centru 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atbilstību šajos noteikumos minētajām prasībām uzrauga Zāļu valsts aģentūra (turpmāk – </w:t>
      </w:r>
      <w:r w:rsidR="001451DC" w:rsidRPr="00081225">
        <w:rPr>
          <w:rFonts w:ascii="Times New Roman" w:hAnsi="Times New Roman" w:cs="Times New Roman"/>
          <w:sz w:val="24"/>
          <w:szCs w:val="24"/>
        </w:rPr>
        <w:t>A</w:t>
      </w:r>
      <w:r w:rsidR="004D2D34" w:rsidRPr="00081225">
        <w:rPr>
          <w:rFonts w:ascii="Times New Roman" w:hAnsi="Times New Roman" w:cs="Times New Roman"/>
          <w:sz w:val="24"/>
          <w:szCs w:val="24"/>
        </w:rPr>
        <w:t>ģentūra).</w:t>
      </w:r>
    </w:p>
    <w:p w14:paraId="0B493624" w14:textId="77777777" w:rsidR="006132DF" w:rsidRPr="00081225" w:rsidRDefault="009D78F7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>A</w:t>
      </w:r>
      <w:r w:rsidR="00B00D5C" w:rsidRPr="00081225">
        <w:rPr>
          <w:rFonts w:ascii="Times New Roman" w:hAnsi="Times New Roman" w:cs="Times New Roman"/>
          <w:sz w:val="24"/>
          <w:szCs w:val="24"/>
        </w:rPr>
        <w:t>ģentūra</w:t>
      </w:r>
      <w:r w:rsidR="001451DC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35024" w:rsidRPr="00081225">
        <w:rPr>
          <w:rFonts w:ascii="Times New Roman" w:hAnsi="Times New Roman" w:cs="Times New Roman"/>
          <w:sz w:val="24"/>
          <w:szCs w:val="24"/>
        </w:rPr>
        <w:t xml:space="preserve">savas kompetences ietvaros </w:t>
      </w:r>
      <w:r w:rsidR="00D11E45" w:rsidRPr="00081225">
        <w:rPr>
          <w:rFonts w:ascii="Times New Roman" w:hAnsi="Times New Roman" w:cs="Times New Roman"/>
          <w:sz w:val="24"/>
          <w:szCs w:val="24"/>
        </w:rPr>
        <w:t>ir</w:t>
      </w:r>
      <w:r w:rsidR="001C25C1" w:rsidRPr="00081225">
        <w:rPr>
          <w:rFonts w:ascii="Times New Roman" w:hAnsi="Times New Roman" w:cs="Times New Roman"/>
          <w:sz w:val="24"/>
          <w:szCs w:val="24"/>
        </w:rPr>
        <w:t xml:space="preserve"> novērtējusi atbilstību un</w:t>
      </w:r>
      <w:r w:rsidR="00386257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D11E45" w:rsidRPr="00081225">
        <w:rPr>
          <w:rFonts w:ascii="Times New Roman" w:hAnsi="Times New Roman" w:cs="Times New Roman"/>
          <w:sz w:val="24"/>
          <w:szCs w:val="24"/>
        </w:rPr>
        <w:t xml:space="preserve">izsniegusi </w:t>
      </w:r>
      <w:r w:rsidR="004C5148" w:rsidRPr="00081225">
        <w:rPr>
          <w:rFonts w:ascii="Times New Roman" w:hAnsi="Times New Roman" w:cs="Times New Roman"/>
          <w:sz w:val="24"/>
          <w:szCs w:val="24"/>
        </w:rPr>
        <w:t>Orgānu</w:t>
      </w:r>
      <w:r w:rsidR="001451DC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E918FB" w:rsidRPr="00081225">
        <w:rPr>
          <w:rFonts w:ascii="Times New Roman" w:hAnsi="Times New Roman" w:cs="Times New Roman"/>
          <w:sz w:val="24"/>
          <w:szCs w:val="24"/>
        </w:rPr>
        <w:t>izmantošanas atļauju Latvijas Transplantācijas centram</w:t>
      </w:r>
      <w:r w:rsidR="00BB0445" w:rsidRPr="00081225">
        <w:rPr>
          <w:rFonts w:ascii="Times New Roman" w:hAnsi="Times New Roman" w:cs="Times New Roman"/>
          <w:sz w:val="24"/>
          <w:szCs w:val="24"/>
        </w:rPr>
        <w:t xml:space="preserve"> un veic tā  darbības uzraudzību</w:t>
      </w:r>
      <w:r w:rsidR="006132DF" w:rsidRPr="00081225">
        <w:rPr>
          <w:rFonts w:ascii="Times New Roman" w:hAnsi="Times New Roman" w:cs="Times New Roman"/>
          <w:sz w:val="24"/>
          <w:szCs w:val="24"/>
        </w:rPr>
        <w:t>.</w:t>
      </w:r>
      <w:r w:rsidR="00BB0445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DB5438" w:rsidRPr="00081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EC7B7" w14:textId="77777777" w:rsidR="00C76198" w:rsidRPr="00081225" w:rsidRDefault="00C76198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>Saskaņā ar Noteikumu Nr.</w:t>
      </w:r>
      <w:r w:rsidR="00E918FB" w:rsidRPr="00081225">
        <w:rPr>
          <w:rFonts w:ascii="Times New Roman" w:hAnsi="Times New Roman" w:cs="Times New Roman"/>
          <w:sz w:val="24"/>
          <w:szCs w:val="24"/>
        </w:rPr>
        <w:t>70</w:t>
      </w:r>
      <w:r w:rsidRPr="00081225">
        <w:rPr>
          <w:rFonts w:ascii="Times New Roman" w:hAnsi="Times New Roman" w:cs="Times New Roman"/>
          <w:sz w:val="24"/>
          <w:szCs w:val="24"/>
        </w:rPr>
        <w:t xml:space="preserve"> prasībām </w:t>
      </w:r>
      <w:r w:rsidR="00A417A4" w:rsidRPr="00081225">
        <w:rPr>
          <w:rFonts w:ascii="Times New Roman" w:hAnsi="Times New Roman" w:cs="Times New Roman"/>
          <w:sz w:val="24"/>
          <w:szCs w:val="24"/>
        </w:rPr>
        <w:t>ieguves or</w:t>
      </w:r>
      <w:r w:rsidR="00FA1065" w:rsidRPr="00081225">
        <w:rPr>
          <w:rFonts w:ascii="Times New Roman" w:hAnsi="Times New Roman" w:cs="Times New Roman"/>
          <w:sz w:val="24"/>
          <w:szCs w:val="24"/>
        </w:rPr>
        <w:t>ganizācijas un transplantācijas</w:t>
      </w:r>
      <w:r w:rsidRPr="00081225">
        <w:rPr>
          <w:rFonts w:ascii="Times New Roman" w:hAnsi="Times New Roman" w:cs="Times New Roman"/>
          <w:sz w:val="24"/>
          <w:szCs w:val="24"/>
        </w:rPr>
        <w:t xml:space="preserve"> centri iesniedz </w:t>
      </w:r>
      <w:r w:rsidR="004A654A" w:rsidRPr="00081225">
        <w:rPr>
          <w:rFonts w:ascii="Times New Roman" w:hAnsi="Times New Roman" w:cs="Times New Roman"/>
          <w:sz w:val="24"/>
          <w:szCs w:val="24"/>
        </w:rPr>
        <w:t>A</w:t>
      </w:r>
      <w:r w:rsidRPr="00081225">
        <w:rPr>
          <w:rFonts w:ascii="Times New Roman" w:hAnsi="Times New Roman" w:cs="Times New Roman"/>
          <w:sz w:val="24"/>
          <w:szCs w:val="24"/>
        </w:rPr>
        <w:t>ģentūrā</w:t>
      </w:r>
      <w:r w:rsidR="0037327F" w:rsidRPr="00081225">
        <w:rPr>
          <w:rFonts w:ascii="Times New Roman" w:hAnsi="Times New Roman" w:cs="Times New Roman"/>
          <w:sz w:val="24"/>
          <w:szCs w:val="24"/>
        </w:rPr>
        <w:t xml:space="preserve"> pārskatu par darbību iepriekšējā gadā. Pārskatā iekļauj informāciju par dzīvo un mirušo donoru skaitu, iegūto un transplantēto vai iznīcināto orgānu veidu un skaitu</w:t>
      </w:r>
      <w:r w:rsidRPr="00081225">
        <w:rPr>
          <w:rFonts w:ascii="Times New Roman" w:hAnsi="Times New Roman" w:cs="Times New Roman"/>
          <w:sz w:val="24"/>
          <w:szCs w:val="24"/>
        </w:rPr>
        <w:t>.</w:t>
      </w:r>
      <w:r w:rsidR="004A654A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4336E" w:rsidRPr="00081225">
        <w:rPr>
          <w:rFonts w:ascii="Times New Roman" w:hAnsi="Times New Roman" w:cs="Times New Roman"/>
          <w:sz w:val="24"/>
          <w:szCs w:val="24"/>
        </w:rPr>
        <w:t>Aģentūra ir apkopojusi Latvijas Transplantācijas centra iesniegtos datus</w:t>
      </w:r>
      <w:r w:rsidR="00670450" w:rsidRPr="00081225">
        <w:rPr>
          <w:rFonts w:ascii="Times New Roman" w:hAnsi="Times New Roman" w:cs="Times New Roman"/>
          <w:sz w:val="24"/>
          <w:szCs w:val="24"/>
        </w:rPr>
        <w:t xml:space="preserve"> par transplant</w:t>
      </w:r>
      <w:r w:rsidR="008A1DE8" w:rsidRPr="00081225">
        <w:rPr>
          <w:rFonts w:ascii="Times New Roman" w:hAnsi="Times New Roman" w:cs="Times New Roman"/>
          <w:sz w:val="24"/>
          <w:szCs w:val="24"/>
        </w:rPr>
        <w:t>ētajiem</w:t>
      </w:r>
      <w:r w:rsidR="00670450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8A1DE8" w:rsidRPr="00081225">
        <w:rPr>
          <w:rFonts w:ascii="Times New Roman" w:hAnsi="Times New Roman" w:cs="Times New Roman"/>
          <w:sz w:val="24"/>
          <w:szCs w:val="24"/>
        </w:rPr>
        <w:t xml:space="preserve">orgāniem </w:t>
      </w:r>
      <w:r w:rsidR="00670450" w:rsidRPr="00081225">
        <w:rPr>
          <w:rFonts w:ascii="Times New Roman" w:hAnsi="Times New Roman" w:cs="Times New Roman"/>
          <w:sz w:val="24"/>
          <w:szCs w:val="24"/>
        </w:rPr>
        <w:t>201</w:t>
      </w:r>
      <w:r w:rsidR="008050FC">
        <w:rPr>
          <w:rFonts w:ascii="Times New Roman" w:hAnsi="Times New Roman" w:cs="Times New Roman"/>
          <w:sz w:val="24"/>
          <w:szCs w:val="24"/>
        </w:rPr>
        <w:t>7</w:t>
      </w:r>
      <w:r w:rsidR="00670450" w:rsidRPr="00081225">
        <w:rPr>
          <w:rFonts w:ascii="Times New Roman" w:hAnsi="Times New Roman" w:cs="Times New Roman"/>
          <w:sz w:val="24"/>
          <w:szCs w:val="24"/>
        </w:rPr>
        <w:t>.gadā salīdzinājumā ar 201</w:t>
      </w:r>
      <w:r w:rsidR="008050FC">
        <w:rPr>
          <w:rFonts w:ascii="Times New Roman" w:hAnsi="Times New Roman" w:cs="Times New Roman"/>
          <w:sz w:val="24"/>
          <w:szCs w:val="24"/>
        </w:rPr>
        <w:t>6</w:t>
      </w:r>
      <w:r w:rsidR="00670450" w:rsidRPr="00081225">
        <w:rPr>
          <w:rFonts w:ascii="Times New Roman" w:hAnsi="Times New Roman" w:cs="Times New Roman"/>
          <w:sz w:val="24"/>
          <w:szCs w:val="24"/>
        </w:rPr>
        <w:t>.gadu.</w:t>
      </w:r>
    </w:p>
    <w:p w14:paraId="563079A4" w14:textId="77777777" w:rsidR="001E4BCA" w:rsidRDefault="003F0CA3" w:rsidP="00EF3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77155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44837ACF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030B2222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5D29180A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0C8C1F7D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76A0BF72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0FDD6BBB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3C7AAD64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495AA19B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34F68DB4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71A6F66C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2D488ABE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52FF5817" w14:textId="77777777" w:rsidR="004E2607" w:rsidRDefault="004E2607" w:rsidP="00267506">
      <w:pPr>
        <w:rPr>
          <w:rFonts w:ascii="Times New Roman" w:hAnsi="Times New Roman" w:cs="Times New Roman"/>
          <w:sz w:val="24"/>
          <w:szCs w:val="24"/>
        </w:rPr>
      </w:pPr>
    </w:p>
    <w:p w14:paraId="28E3459F" w14:textId="77777777" w:rsidR="004E2607" w:rsidRPr="004E2607" w:rsidRDefault="004E2607" w:rsidP="004E2607">
      <w:pPr>
        <w:rPr>
          <w:rFonts w:ascii="Times New Roman" w:hAnsi="Times New Roman" w:cs="Times New Roman"/>
          <w:sz w:val="24"/>
          <w:szCs w:val="24"/>
        </w:rPr>
      </w:pPr>
    </w:p>
    <w:p w14:paraId="31F2A161" w14:textId="77777777" w:rsidR="004E2607" w:rsidRPr="004E2607" w:rsidRDefault="004479F2" w:rsidP="004E26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62866E" wp14:editId="01CC2CDD">
            <wp:extent cx="6120130" cy="4223153"/>
            <wp:effectExtent l="0" t="0" r="1397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AC6CCBF-7685-4BB2-A7A7-CEC10C01D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425DE0E" w14:textId="77777777" w:rsidR="004E2607" w:rsidRPr="004E2607" w:rsidRDefault="004E2607" w:rsidP="004E2607">
      <w:pPr>
        <w:rPr>
          <w:rFonts w:ascii="Times New Roman" w:hAnsi="Times New Roman" w:cs="Times New Roman"/>
          <w:sz w:val="24"/>
          <w:szCs w:val="24"/>
        </w:rPr>
      </w:pPr>
    </w:p>
    <w:p w14:paraId="7BC4946D" w14:textId="77777777" w:rsidR="004E2607" w:rsidRDefault="004E2607" w:rsidP="004E2607">
      <w:pPr>
        <w:rPr>
          <w:rFonts w:ascii="Times New Roman" w:hAnsi="Times New Roman" w:cs="Times New Roman"/>
          <w:sz w:val="24"/>
          <w:szCs w:val="24"/>
        </w:rPr>
      </w:pPr>
    </w:p>
    <w:p w14:paraId="3F7F1588" w14:textId="63ECD585" w:rsidR="00A40DE3" w:rsidRDefault="004E2607" w:rsidP="004E2607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02D">
        <w:rPr>
          <w:noProof/>
        </w:rPr>
        <w:drawing>
          <wp:inline distT="0" distB="0" distL="0" distR="0" wp14:anchorId="07F879A9" wp14:editId="411B3671">
            <wp:extent cx="6120130" cy="3225800"/>
            <wp:effectExtent l="0" t="0" r="1397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73F8594-1C24-4121-825A-C33C3DDCC7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C8445C" w14:textId="6A5E634C" w:rsidR="004E2607" w:rsidRDefault="004E2607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2144E39" w14:textId="2009C4F7" w:rsidR="00A40DE3" w:rsidRDefault="00A40DE3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1D5EC8E" w14:textId="76E0DF98" w:rsidR="00A40DE3" w:rsidRDefault="00A40DE3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BEECC85" w14:textId="77777777" w:rsidR="00A40DE3" w:rsidRPr="00A40DE3" w:rsidRDefault="00A40DE3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969C6AB" w14:textId="77777777" w:rsidR="004479F2" w:rsidRDefault="004479F2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BAA69C" wp14:editId="7C96B2C4">
            <wp:extent cx="6120130" cy="3509604"/>
            <wp:effectExtent l="0" t="0" r="13970" b="1524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0A8E7E8-781E-4D28-941F-EE33B6512D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F753CE" w14:textId="0328DF5D" w:rsidR="004479F2" w:rsidRDefault="004479F2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520DAC7B" w14:textId="77777777" w:rsidR="00A40DE3" w:rsidRDefault="00A40DE3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56DCD3" w14:textId="7E350631" w:rsidR="001E4BCA" w:rsidRPr="001E4BCA" w:rsidRDefault="005A09F0" w:rsidP="00892F6D">
      <w:pPr>
        <w:tabs>
          <w:tab w:val="left" w:pos="25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33B8002" wp14:editId="50801F32">
            <wp:extent cx="6120130" cy="3325495"/>
            <wp:effectExtent l="0" t="0" r="13970" b="825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8CE17E7-353A-43F6-98FF-C0840D7A03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E2607">
        <w:rPr>
          <w:rFonts w:ascii="Times New Roman" w:hAnsi="Times New Roman" w:cs="Times New Roman"/>
          <w:sz w:val="24"/>
          <w:szCs w:val="24"/>
        </w:rPr>
        <w:tab/>
      </w:r>
    </w:p>
    <w:sectPr w:rsidR="001E4BCA" w:rsidRPr="001E4BCA" w:rsidSect="004479F2"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C8D7" w14:textId="77777777" w:rsidR="00716C32" w:rsidRDefault="00716C32" w:rsidP="00FA1065">
      <w:pPr>
        <w:spacing w:after="0" w:line="240" w:lineRule="auto"/>
      </w:pPr>
      <w:r>
        <w:separator/>
      </w:r>
    </w:p>
  </w:endnote>
  <w:endnote w:type="continuationSeparator" w:id="0">
    <w:p w14:paraId="333E933C" w14:textId="77777777" w:rsidR="00716C32" w:rsidRDefault="00716C32" w:rsidP="00F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73A48" w14:textId="77777777" w:rsidR="00716C32" w:rsidRDefault="00716C32" w:rsidP="00FA1065">
      <w:pPr>
        <w:spacing w:after="0" w:line="240" w:lineRule="auto"/>
      </w:pPr>
      <w:r>
        <w:separator/>
      </w:r>
    </w:p>
  </w:footnote>
  <w:footnote w:type="continuationSeparator" w:id="0">
    <w:p w14:paraId="583B1916" w14:textId="77777777" w:rsidR="00716C32" w:rsidRDefault="00716C32" w:rsidP="00F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041C" w14:textId="77777777" w:rsidR="00716C32" w:rsidRDefault="00716C32" w:rsidP="00FA1065">
    <w:pPr>
      <w:pStyle w:val="Header"/>
      <w:tabs>
        <w:tab w:val="center" w:pos="4607"/>
        <w:tab w:val="right" w:pos="9214"/>
      </w:tabs>
    </w:pPr>
  </w:p>
  <w:p w14:paraId="6D828D33" w14:textId="77777777" w:rsidR="00716C32" w:rsidRDefault="0071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44"/>
    <w:rsid w:val="00007A01"/>
    <w:rsid w:val="00035AF3"/>
    <w:rsid w:val="00044334"/>
    <w:rsid w:val="00047EA4"/>
    <w:rsid w:val="00067419"/>
    <w:rsid w:val="00081225"/>
    <w:rsid w:val="000A4A56"/>
    <w:rsid w:val="001451DC"/>
    <w:rsid w:val="00166F98"/>
    <w:rsid w:val="00187269"/>
    <w:rsid w:val="001C25C1"/>
    <w:rsid w:val="001D27C7"/>
    <w:rsid w:val="001E4BCA"/>
    <w:rsid w:val="002410F7"/>
    <w:rsid w:val="00267506"/>
    <w:rsid w:val="00285414"/>
    <w:rsid w:val="002D459F"/>
    <w:rsid w:val="002E45E9"/>
    <w:rsid w:val="0037327F"/>
    <w:rsid w:val="00380CB1"/>
    <w:rsid w:val="00386257"/>
    <w:rsid w:val="003B1E6C"/>
    <w:rsid w:val="003F0CA3"/>
    <w:rsid w:val="00402A3F"/>
    <w:rsid w:val="004479F2"/>
    <w:rsid w:val="00447ABB"/>
    <w:rsid w:val="004700F3"/>
    <w:rsid w:val="004755F8"/>
    <w:rsid w:val="004A654A"/>
    <w:rsid w:val="004C5148"/>
    <w:rsid w:val="004D2D34"/>
    <w:rsid w:val="004E2607"/>
    <w:rsid w:val="00554861"/>
    <w:rsid w:val="00562B2F"/>
    <w:rsid w:val="005A09F0"/>
    <w:rsid w:val="005A709A"/>
    <w:rsid w:val="005C5B1E"/>
    <w:rsid w:val="005D217F"/>
    <w:rsid w:val="005E5DAC"/>
    <w:rsid w:val="00607141"/>
    <w:rsid w:val="006132DF"/>
    <w:rsid w:val="00664040"/>
    <w:rsid w:val="00670450"/>
    <w:rsid w:val="0067526B"/>
    <w:rsid w:val="006C3129"/>
    <w:rsid w:val="006D143E"/>
    <w:rsid w:val="006F5322"/>
    <w:rsid w:val="00716C32"/>
    <w:rsid w:val="00770144"/>
    <w:rsid w:val="008050FC"/>
    <w:rsid w:val="0088760F"/>
    <w:rsid w:val="0089286C"/>
    <w:rsid w:val="00892F6D"/>
    <w:rsid w:val="008A1DE8"/>
    <w:rsid w:val="008E4806"/>
    <w:rsid w:val="00905AF7"/>
    <w:rsid w:val="00926894"/>
    <w:rsid w:val="00963E42"/>
    <w:rsid w:val="00976EB6"/>
    <w:rsid w:val="009D78F7"/>
    <w:rsid w:val="009E382C"/>
    <w:rsid w:val="009E486F"/>
    <w:rsid w:val="00A40DE3"/>
    <w:rsid w:val="00A417A4"/>
    <w:rsid w:val="00A5158B"/>
    <w:rsid w:val="00AA4F76"/>
    <w:rsid w:val="00B00D5C"/>
    <w:rsid w:val="00B163A9"/>
    <w:rsid w:val="00B21960"/>
    <w:rsid w:val="00B5202D"/>
    <w:rsid w:val="00B54D66"/>
    <w:rsid w:val="00B8164F"/>
    <w:rsid w:val="00B8616B"/>
    <w:rsid w:val="00BB0445"/>
    <w:rsid w:val="00BC6A05"/>
    <w:rsid w:val="00BD12A5"/>
    <w:rsid w:val="00BE1872"/>
    <w:rsid w:val="00C03468"/>
    <w:rsid w:val="00C35024"/>
    <w:rsid w:val="00C4336E"/>
    <w:rsid w:val="00C52EA9"/>
    <w:rsid w:val="00C600EF"/>
    <w:rsid w:val="00C76198"/>
    <w:rsid w:val="00C80E01"/>
    <w:rsid w:val="00C852D9"/>
    <w:rsid w:val="00C96D1B"/>
    <w:rsid w:val="00CE082D"/>
    <w:rsid w:val="00CE26BE"/>
    <w:rsid w:val="00CE3ACB"/>
    <w:rsid w:val="00D11E45"/>
    <w:rsid w:val="00D12570"/>
    <w:rsid w:val="00D161F2"/>
    <w:rsid w:val="00D42D9E"/>
    <w:rsid w:val="00DB5438"/>
    <w:rsid w:val="00DC3950"/>
    <w:rsid w:val="00E01933"/>
    <w:rsid w:val="00E22804"/>
    <w:rsid w:val="00E41FA5"/>
    <w:rsid w:val="00E918FB"/>
    <w:rsid w:val="00EC32F4"/>
    <w:rsid w:val="00EF3E81"/>
    <w:rsid w:val="00F21FC8"/>
    <w:rsid w:val="00F432E8"/>
    <w:rsid w:val="00F77642"/>
    <w:rsid w:val="00FA1065"/>
    <w:rsid w:val="00FA1C6E"/>
    <w:rsid w:val="00FD41BD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DDF68E"/>
  <w15:docId w15:val="{D45CE53D-0437-4015-AFBA-A4C8AF8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65"/>
  </w:style>
  <w:style w:type="paragraph" w:styleId="Footer">
    <w:name w:val="footer"/>
    <w:basedOn w:val="Normal"/>
    <w:link w:val="Foot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65"/>
  </w:style>
  <w:style w:type="character" w:styleId="Hyperlink">
    <w:name w:val="Hyperlink"/>
    <w:basedOn w:val="DefaultParagraphFont"/>
    <w:uiPriority w:val="99"/>
    <w:semiHidden/>
    <w:unhideWhenUsed/>
    <w:rsid w:val="00C6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juha\work\Farm.%20darbibas%20atbilstibas%20novertesanas%20nodala\Cilveka_izcelsmes_substances_SoHO\GADA_PARSKATI\TC_O_gada_kopsavilkumi\2017\gada_kopsavilkums_2017_formate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juha\work\Farm.%20darbibas%20atbilstibas%20novertesanas%20nodala\Cilveka_izcelsmes_substances_SoHO\GADA_PARSKATI\TC_O_gada_kopsavilkumi\2017\gada_kopsavilkums_2017_formate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juha\work\Farm.%20darbibas%20atbilstibas%20novertesanas%20nodala\Cilveka_izcelsmes_substances_SoHO\GADA_PARSKATI\TC_O_gada_kopsavilkumi\2017\gada_kopsavilkums_2017_formate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juha\work\Farm.%20darbibas%20atbilstibas%20novertesanas%20nodala\Cilveka_izcelsmes_substances_SoHO\GADA_PARSKATI\TC_O_gada_kopsavilkumi\2017\gada_kopsavilkums_2017_formate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Nieru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organi!$B$4</c:f>
              <c:strCache>
                <c:ptCount val="1"/>
                <c:pt idx="0">
                  <c:v>2017.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organi!$C$4:$L$4</c:f>
              <c:numCache>
                <c:formatCode>General</c:formatCode>
                <c:ptCount val="10"/>
                <c:pt idx="0">
                  <c:v>13</c:v>
                </c:pt>
                <c:pt idx="1">
                  <c:v>0</c:v>
                </c:pt>
                <c:pt idx="3">
                  <c:v>48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</c:v>
                </c:pt>
                <c:pt idx="9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03-44F8-AF7B-D1CD642BE5B5}"/>
            </c:ext>
          </c:extLst>
        </c:ser>
        <c:ser>
          <c:idx val="2"/>
          <c:order val="1"/>
          <c:tx>
            <c:strRef>
              <c:f>organi!$B$6</c:f>
              <c:strCache>
                <c:ptCount val="1"/>
                <c:pt idx="0">
                  <c:v>2016.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organi!$C$6:$L$6</c:f>
              <c:numCache>
                <c:formatCode>General</c:formatCode>
                <c:ptCount val="10"/>
                <c:pt idx="0">
                  <c:v>11</c:v>
                </c:pt>
                <c:pt idx="1">
                  <c:v>0</c:v>
                </c:pt>
                <c:pt idx="2">
                  <c:v>18</c:v>
                </c:pt>
                <c:pt idx="3">
                  <c:v>38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03-44F8-AF7B-D1CD642BE5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Sirds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organi!$B$42</c:f>
              <c:strCache>
                <c:ptCount val="1"/>
                <c:pt idx="0">
                  <c:v>2017. gads 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organi!$F$43:$M$43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organi!$F$42:$L$42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0-4795-ABE3-DA0C5BDEB4D4}"/>
            </c:ext>
          </c:extLst>
        </c:ser>
        <c:ser>
          <c:idx val="2"/>
          <c:order val="1"/>
          <c:tx>
            <c:strRef>
              <c:f>organi!$B$44</c:f>
              <c:strCache>
                <c:ptCount val="1"/>
                <c:pt idx="0">
                  <c:v>2016. gads 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organi!$F$43:$M$43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organi!$F$44:$L$44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70-4795-ABE3-DA0C5BDEB4D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Aknu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organi!$B$76</c:f>
              <c:strCache>
                <c:ptCount val="1"/>
                <c:pt idx="0">
                  <c:v>2017. gads 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organi!$F$76:$L$76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8B-43DD-8610-0399C2FC99E5}"/>
            </c:ext>
          </c:extLst>
        </c:ser>
        <c:ser>
          <c:idx val="2"/>
          <c:order val="1"/>
          <c:tx>
            <c:strRef>
              <c:f>organi!$B$78</c:f>
              <c:strCache>
                <c:ptCount val="1"/>
                <c:pt idx="0">
                  <c:v>2016. gads 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organi!$F$78:$L$78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8B-43DD-8610-0399C2FC99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Aizkuņģa dziedzera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organi!$B$114</c:f>
              <c:strCache>
                <c:ptCount val="1"/>
                <c:pt idx="0">
                  <c:v>2017. gads 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organi!$F$114:$L$114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58-4981-BC71-2CF4803480B0}"/>
            </c:ext>
          </c:extLst>
        </c:ser>
        <c:ser>
          <c:idx val="2"/>
          <c:order val="1"/>
          <c:tx>
            <c:strRef>
              <c:f>organi!$B$116</c:f>
              <c:strCache>
                <c:ptCount val="1"/>
                <c:pt idx="0">
                  <c:v>2016. gads 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organi!$F$116:$L$116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58-4981-BC71-2CF4803480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ieva.bekere</dc:creator>
  <cp:lastModifiedBy>Ieva Beķere</cp:lastModifiedBy>
  <cp:revision>5</cp:revision>
  <dcterms:created xsi:type="dcterms:W3CDTF">2018-08-02T12:18:00Z</dcterms:created>
  <dcterms:modified xsi:type="dcterms:W3CDTF">2018-08-02T14:01:00Z</dcterms:modified>
</cp:coreProperties>
</file>