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FB35" w14:textId="77777777" w:rsidR="00EC32F4" w:rsidRPr="00FE17FC" w:rsidRDefault="00FE17FC" w:rsidP="00FD72A2">
      <w:pPr>
        <w:spacing w:after="120"/>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466A12">
        <w:rPr>
          <w:rFonts w:ascii="Times New Roman" w:hAnsi="Times New Roman" w:cs="Times New Roman"/>
          <w:b/>
          <w:color w:val="16355A"/>
          <w:sz w:val="28"/>
          <w:szCs w:val="28"/>
        </w:rPr>
        <w:t>6</w:t>
      </w:r>
      <w:r w:rsidRPr="00FE17FC">
        <w:rPr>
          <w:rFonts w:ascii="Times New Roman" w:hAnsi="Times New Roman" w:cs="Times New Roman"/>
          <w:b/>
          <w:color w:val="16355A"/>
          <w:sz w:val="28"/>
          <w:szCs w:val="28"/>
        </w:rPr>
        <w:t>. GADĀ</w:t>
      </w:r>
    </w:p>
    <w:p w14:paraId="24BC6AF3" w14:textId="77777777" w:rsidR="00770144" w:rsidRPr="00F77E5C" w:rsidRDefault="00C80E01" w:rsidP="00FD72A2">
      <w:pPr>
        <w:spacing w:after="120"/>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B5FB914" w14:textId="77777777" w:rsidR="00AC1FB4" w:rsidRPr="00F77E5C" w:rsidRDefault="00AC1FB4" w:rsidP="00FD72A2">
      <w:pPr>
        <w:spacing w:after="120"/>
        <w:jc w:val="both"/>
        <w:rPr>
          <w:rFonts w:ascii="Times New Roman" w:hAnsi="Times New Roman" w:cs="Times New Roman"/>
          <w:sz w:val="24"/>
          <w:szCs w:val="24"/>
        </w:rPr>
      </w:pPr>
      <w:r w:rsidRPr="00F77E5C">
        <w:rPr>
          <w:rFonts w:ascii="Times New Roman" w:hAnsi="Times New Roman" w:cs="Times New Roman"/>
          <w:sz w:val="24"/>
          <w:szCs w:val="24"/>
        </w:rPr>
        <w:t>201</w:t>
      </w:r>
      <w:r w:rsidR="00EC4F54" w:rsidRPr="00F77E5C">
        <w:rPr>
          <w:rFonts w:ascii="Times New Roman" w:hAnsi="Times New Roman" w:cs="Times New Roman"/>
          <w:sz w:val="24"/>
          <w:szCs w:val="24"/>
        </w:rPr>
        <w:t>6</w:t>
      </w:r>
      <w:r w:rsidRPr="00F77E5C">
        <w:rPr>
          <w:rFonts w:ascii="Times New Roman" w:hAnsi="Times New Roman" w:cs="Times New Roman"/>
          <w:sz w:val="24"/>
          <w:szCs w:val="24"/>
        </w:rPr>
        <w:t>.gadā</w:t>
      </w:r>
      <w:r w:rsidR="007114F1" w:rsidRPr="00F77E5C">
        <w:rPr>
          <w:rFonts w:ascii="Times New Roman" w:hAnsi="Times New Roman" w:cs="Times New Roman"/>
          <w:sz w:val="24"/>
          <w:szCs w:val="24"/>
        </w:rPr>
        <w:t xml:space="preserve"> Aģentūra savas kompetences ietvaros </w:t>
      </w:r>
      <w:r w:rsidR="009543A3" w:rsidRPr="00F77E5C">
        <w:rPr>
          <w:rFonts w:ascii="Times New Roman" w:hAnsi="Times New Roman" w:cs="Times New Roman"/>
          <w:sz w:val="24"/>
          <w:szCs w:val="24"/>
        </w:rPr>
        <w:t xml:space="preserve">ir novērtējusi atbilstību </w:t>
      </w:r>
      <w:r w:rsidR="002C3E53" w:rsidRPr="00F77E5C">
        <w:rPr>
          <w:rFonts w:ascii="Times New Roman" w:hAnsi="Times New Roman" w:cs="Times New Roman"/>
          <w:sz w:val="24"/>
          <w:szCs w:val="24"/>
        </w:rPr>
        <w:t xml:space="preserve">Noteikumu Nr. 1176 prasībām </w:t>
      </w:r>
      <w:r w:rsidR="009543A3" w:rsidRPr="00F77E5C">
        <w:rPr>
          <w:rFonts w:ascii="Times New Roman" w:hAnsi="Times New Roman" w:cs="Times New Roman"/>
          <w:sz w:val="24"/>
          <w:szCs w:val="24"/>
        </w:rPr>
        <w:t xml:space="preserve">un izsniegusi </w:t>
      </w:r>
      <w:r w:rsidR="008C2328" w:rsidRPr="00F77E5C">
        <w:rPr>
          <w:rFonts w:ascii="Times New Roman" w:hAnsi="Times New Roman" w:cs="Times New Roman"/>
          <w:sz w:val="24"/>
          <w:szCs w:val="24"/>
        </w:rPr>
        <w:t xml:space="preserve"> </w:t>
      </w:r>
      <w:r w:rsidR="009543A3" w:rsidRPr="00F77E5C">
        <w:rPr>
          <w:rFonts w:ascii="Times New Roman" w:hAnsi="Times New Roman" w:cs="Times New Roman"/>
          <w:sz w:val="24"/>
          <w:szCs w:val="24"/>
        </w:rPr>
        <w:t>Audu un šūnu  izmantošanas atļauj</w:t>
      </w:r>
      <w:r w:rsidR="008C2328" w:rsidRPr="00F77E5C">
        <w:rPr>
          <w:rFonts w:ascii="Times New Roman" w:hAnsi="Times New Roman" w:cs="Times New Roman"/>
          <w:sz w:val="24"/>
          <w:szCs w:val="24"/>
        </w:rPr>
        <w:t>as</w:t>
      </w:r>
      <w:r w:rsidR="005E65B0" w:rsidRPr="00F77E5C">
        <w:rPr>
          <w:rFonts w:ascii="Times New Roman" w:hAnsi="Times New Roman" w:cs="Times New Roman"/>
          <w:sz w:val="24"/>
          <w:szCs w:val="24"/>
        </w:rPr>
        <w:t xml:space="preserve"> 1</w:t>
      </w:r>
      <w:r w:rsidR="00E6029F" w:rsidRPr="00F77E5C">
        <w:rPr>
          <w:rFonts w:ascii="Times New Roman" w:hAnsi="Times New Roman" w:cs="Times New Roman"/>
          <w:sz w:val="24"/>
          <w:szCs w:val="24"/>
        </w:rPr>
        <w:t>2</w:t>
      </w:r>
      <w:r w:rsidR="005E65B0" w:rsidRPr="00F77E5C">
        <w:rPr>
          <w:rFonts w:ascii="Times New Roman" w:hAnsi="Times New Roman" w:cs="Times New Roman"/>
          <w:sz w:val="24"/>
          <w:szCs w:val="24"/>
        </w:rPr>
        <w:t xml:space="preserve"> audu centriem</w:t>
      </w:r>
      <w:r w:rsidR="008C2328" w:rsidRPr="00F77E5C">
        <w:rPr>
          <w:rFonts w:ascii="Times New Roman" w:hAnsi="Times New Roman" w:cs="Times New Roman"/>
          <w:sz w:val="24"/>
          <w:szCs w:val="24"/>
        </w:rPr>
        <w:t xml:space="preserve">, tai skaitā </w:t>
      </w:r>
      <w:r w:rsidR="005E65B0" w:rsidRPr="00F77E5C">
        <w:rPr>
          <w:rFonts w:ascii="Times New Roman" w:hAnsi="Times New Roman" w:cs="Times New Roman"/>
          <w:sz w:val="24"/>
          <w:szCs w:val="24"/>
        </w:rPr>
        <w:t>7</w:t>
      </w:r>
      <w:r w:rsidR="008C2328" w:rsidRPr="00F77E5C">
        <w:rPr>
          <w:rFonts w:ascii="Times New Roman" w:hAnsi="Times New Roman" w:cs="Times New Roman"/>
          <w:sz w:val="24"/>
          <w:szCs w:val="24"/>
        </w:rPr>
        <w:t xml:space="preserve"> </w:t>
      </w:r>
      <w:r w:rsidR="00F4657E" w:rsidRPr="00F77E5C">
        <w:rPr>
          <w:rFonts w:ascii="Times New Roman" w:hAnsi="Times New Roman" w:cs="Times New Roman"/>
          <w:sz w:val="24"/>
          <w:szCs w:val="24"/>
        </w:rPr>
        <w:t xml:space="preserve">atļaujas </w:t>
      </w:r>
      <w:r w:rsidR="008C2328" w:rsidRPr="00F77E5C">
        <w:rPr>
          <w:rFonts w:ascii="Times New Roman" w:hAnsi="Times New Roman" w:cs="Times New Roman"/>
          <w:sz w:val="24"/>
          <w:szCs w:val="24"/>
        </w:rPr>
        <w:t>audu centriem</w:t>
      </w:r>
      <w:r w:rsidR="006C6AAB" w:rsidRPr="00F77E5C">
        <w:rPr>
          <w:rFonts w:ascii="Times New Roman" w:hAnsi="Times New Roman" w:cs="Times New Roman"/>
          <w:sz w:val="24"/>
          <w:szCs w:val="24"/>
        </w:rPr>
        <w:t>, kuriem 201</w:t>
      </w:r>
      <w:r w:rsidR="00374744" w:rsidRPr="00F77E5C">
        <w:rPr>
          <w:rFonts w:ascii="Times New Roman" w:hAnsi="Times New Roman" w:cs="Times New Roman"/>
          <w:sz w:val="24"/>
          <w:szCs w:val="24"/>
        </w:rPr>
        <w:t>6</w:t>
      </w:r>
      <w:r w:rsidR="006C6AAB" w:rsidRPr="00F77E5C">
        <w:rPr>
          <w:rFonts w:ascii="Times New Roman" w:hAnsi="Times New Roman" w:cs="Times New Roman"/>
          <w:sz w:val="24"/>
          <w:szCs w:val="24"/>
        </w:rPr>
        <w:t xml:space="preserve">.gadā </w:t>
      </w:r>
      <w:r w:rsidR="008C2328" w:rsidRPr="00F77E5C">
        <w:rPr>
          <w:rFonts w:ascii="Times New Roman" w:hAnsi="Times New Roman" w:cs="Times New Roman"/>
          <w:sz w:val="24"/>
          <w:szCs w:val="24"/>
        </w:rPr>
        <w:t xml:space="preserve"> </w:t>
      </w:r>
      <w:r w:rsidR="006C6AAB" w:rsidRPr="00F77E5C">
        <w:rPr>
          <w:rFonts w:ascii="Times New Roman" w:hAnsi="Times New Roman" w:cs="Times New Roman"/>
          <w:sz w:val="24"/>
          <w:szCs w:val="24"/>
        </w:rPr>
        <w:t xml:space="preserve">bijusi papildus atbilstības novērtēšana </w:t>
      </w:r>
      <w:r w:rsidR="008C2328" w:rsidRPr="00F77E5C">
        <w:rPr>
          <w:rFonts w:ascii="Times New Roman" w:hAnsi="Times New Roman" w:cs="Times New Roman"/>
          <w:sz w:val="24"/>
          <w:szCs w:val="24"/>
        </w:rPr>
        <w:t>darbības izmaiņ</w:t>
      </w:r>
      <w:r w:rsidR="006C6AAB" w:rsidRPr="00F77E5C">
        <w:rPr>
          <w:rFonts w:ascii="Times New Roman" w:hAnsi="Times New Roman" w:cs="Times New Roman"/>
          <w:sz w:val="24"/>
          <w:szCs w:val="24"/>
        </w:rPr>
        <w:t>ām.</w:t>
      </w:r>
      <w:r w:rsidR="002C3E53" w:rsidRPr="00F77E5C">
        <w:rPr>
          <w:rFonts w:ascii="Times New Roman" w:hAnsi="Times New Roman" w:cs="Times New Roman"/>
          <w:sz w:val="24"/>
          <w:szCs w:val="24"/>
        </w:rPr>
        <w:t xml:space="preserve"> </w:t>
      </w:r>
      <w:r w:rsidR="008C2328" w:rsidRPr="00F77E5C">
        <w:rPr>
          <w:rFonts w:ascii="Times New Roman" w:hAnsi="Times New Roman" w:cs="Times New Roman"/>
          <w:sz w:val="24"/>
          <w:szCs w:val="24"/>
        </w:rPr>
        <w:t xml:space="preserve"> </w:t>
      </w:r>
      <w:r w:rsidR="007114F1" w:rsidRPr="00F77E5C">
        <w:rPr>
          <w:rFonts w:ascii="Times New Roman" w:hAnsi="Times New Roman" w:cs="Times New Roman"/>
          <w:sz w:val="24"/>
          <w:szCs w:val="24"/>
        </w:rPr>
        <w:t xml:space="preserve"> </w:t>
      </w:r>
    </w:p>
    <w:p w14:paraId="524C1512" w14:textId="77777777" w:rsidR="00AC1FB4" w:rsidRPr="00F77E5C" w:rsidRDefault="00A229F6" w:rsidP="00FD72A2">
      <w:pPr>
        <w:spacing w:after="120"/>
        <w:jc w:val="both"/>
        <w:rPr>
          <w:rFonts w:ascii="Times New Roman" w:hAnsi="Times New Roman" w:cs="Times New Roman"/>
          <w:sz w:val="24"/>
          <w:szCs w:val="24"/>
        </w:rPr>
      </w:pPr>
      <w:r w:rsidRPr="00F77E5C">
        <w:rPr>
          <w:rFonts w:ascii="Times New Roman" w:hAnsi="Times New Roman" w:cs="Times New Roman"/>
          <w:sz w:val="24"/>
          <w:szCs w:val="24"/>
        </w:rPr>
        <w:t>5</w:t>
      </w:r>
      <w:r w:rsidR="007212E3" w:rsidRPr="00F77E5C">
        <w:rPr>
          <w:rFonts w:ascii="Times New Roman" w:hAnsi="Times New Roman" w:cs="Times New Roman"/>
          <w:sz w:val="24"/>
          <w:szCs w:val="24"/>
        </w:rPr>
        <w:t xml:space="preserve"> audu centriem, kuriem Aģentūra iepriekšējā periodā bija izsniegusi </w:t>
      </w:r>
      <w:r w:rsidR="00AC351C" w:rsidRPr="00F77E5C">
        <w:rPr>
          <w:rFonts w:ascii="Times New Roman" w:hAnsi="Times New Roman" w:cs="Times New Roman"/>
          <w:sz w:val="24"/>
          <w:szCs w:val="24"/>
        </w:rPr>
        <w:t>Audu un šūnu izmantošanas atļauju</w:t>
      </w:r>
      <w:r w:rsidR="007212E3" w:rsidRPr="00F77E5C">
        <w:rPr>
          <w:rFonts w:ascii="Times New Roman" w:hAnsi="Times New Roman" w:cs="Times New Roman"/>
          <w:sz w:val="24"/>
          <w:szCs w:val="24"/>
        </w:rPr>
        <w:t>, 201</w:t>
      </w:r>
      <w:r w:rsidR="00AC351C" w:rsidRPr="00F77E5C">
        <w:rPr>
          <w:rFonts w:ascii="Times New Roman" w:hAnsi="Times New Roman" w:cs="Times New Roman"/>
          <w:sz w:val="24"/>
          <w:szCs w:val="24"/>
        </w:rPr>
        <w:t>6</w:t>
      </w:r>
      <w:r w:rsidR="007212E3" w:rsidRPr="00F77E5C">
        <w:rPr>
          <w:rFonts w:ascii="Times New Roman" w:hAnsi="Times New Roman" w:cs="Times New Roman"/>
          <w:sz w:val="24"/>
          <w:szCs w:val="24"/>
        </w:rPr>
        <w:t>.gadā veikta darbību atbilstības uzraudzība</w:t>
      </w:r>
      <w:r w:rsidR="00D34A49" w:rsidRPr="00F77E5C">
        <w:rPr>
          <w:rFonts w:ascii="Times New Roman" w:hAnsi="Times New Roman" w:cs="Times New Roman"/>
          <w:sz w:val="24"/>
          <w:szCs w:val="24"/>
        </w:rPr>
        <w:t>.</w:t>
      </w:r>
    </w:p>
    <w:p w14:paraId="4BD14774" w14:textId="77777777" w:rsidR="00D1254D" w:rsidRPr="00F77E5C" w:rsidRDefault="00C76198" w:rsidP="00FD72A2">
      <w:pPr>
        <w:spacing w:after="120"/>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61E8E69A" w14:textId="134E43D4" w:rsidR="008E2487" w:rsidRDefault="008E2487" w:rsidP="00FD72A2">
      <w:pPr>
        <w:spacing w:after="0" w:line="240" w:lineRule="auto"/>
        <w:rPr>
          <w:rFonts w:ascii="Times New Roman" w:hAnsi="Times New Roman" w:cs="Times New Roman"/>
          <w:b/>
          <w:sz w:val="24"/>
          <w:szCs w:val="24"/>
        </w:rPr>
      </w:pPr>
    </w:p>
    <w:p w14:paraId="3EE38813" w14:textId="77777777" w:rsidR="00044334" w:rsidRPr="00FE17FC" w:rsidRDefault="00FE17FC" w:rsidP="00FD72A2">
      <w:pPr>
        <w:spacing w:after="120"/>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05E07954" w:rsidR="007E312E" w:rsidRPr="00F77E5C" w:rsidRDefault="006942D9" w:rsidP="00FD72A2">
      <w:pPr>
        <w:spacing w:after="120"/>
        <w:jc w:val="both"/>
        <w:rPr>
          <w:rFonts w:ascii="Times New Roman" w:hAnsi="Times New Roman" w:cs="Times New Roman"/>
          <w:sz w:val="24"/>
          <w:szCs w:val="24"/>
        </w:rPr>
      </w:pPr>
      <w:r w:rsidRPr="00F77E5C">
        <w:rPr>
          <w:rFonts w:ascii="Times New Roman" w:hAnsi="Times New Roman" w:cs="Times New Roman"/>
          <w:sz w:val="24"/>
          <w:szCs w:val="24"/>
        </w:rPr>
        <w:t>201</w:t>
      </w:r>
      <w:r w:rsidR="00D32CF6" w:rsidRPr="00F77E5C">
        <w:rPr>
          <w:rFonts w:ascii="Times New Roman" w:hAnsi="Times New Roman" w:cs="Times New Roman"/>
          <w:sz w:val="24"/>
          <w:szCs w:val="24"/>
        </w:rPr>
        <w:t>6</w:t>
      </w:r>
      <w:r w:rsidRPr="00F77E5C">
        <w:rPr>
          <w:rFonts w:ascii="Times New Roman" w:hAnsi="Times New Roman" w:cs="Times New Roman"/>
          <w:sz w:val="24"/>
          <w:szCs w:val="24"/>
        </w:rPr>
        <w:t>.gadā Aģentūra novērtēja atbilstību Noteikumu Nr. 1176 prasībā</w:t>
      </w:r>
      <w:r w:rsidR="008B756C" w:rsidRPr="00F77E5C">
        <w:rPr>
          <w:rFonts w:ascii="Times New Roman" w:hAnsi="Times New Roman" w:cs="Times New Roman"/>
          <w:sz w:val="24"/>
          <w:szCs w:val="24"/>
        </w:rPr>
        <w:t>m</w:t>
      </w:r>
      <w:r w:rsidRPr="00F77E5C">
        <w:rPr>
          <w:rFonts w:ascii="Times New Roman" w:hAnsi="Times New Roman" w:cs="Times New Roman"/>
          <w:sz w:val="24"/>
          <w:szCs w:val="24"/>
        </w:rPr>
        <w:t xml:space="preserve"> un izsniedza Audu un šūnu izmantošanas atļauju </w:t>
      </w:r>
      <w:r w:rsidR="00D44BFC" w:rsidRPr="00F77E5C">
        <w:rPr>
          <w:rFonts w:ascii="Times New Roman" w:hAnsi="Times New Roman" w:cs="Times New Roman"/>
          <w:sz w:val="24"/>
          <w:szCs w:val="24"/>
        </w:rPr>
        <w:t>4 audu centriem</w:t>
      </w:r>
      <w:r w:rsidR="004F0CFD" w:rsidRPr="00F77E5C">
        <w:rPr>
          <w:rFonts w:ascii="Times New Roman" w:hAnsi="Times New Roman" w:cs="Times New Roman"/>
          <w:sz w:val="24"/>
          <w:szCs w:val="24"/>
        </w:rPr>
        <w:t xml:space="preserve"> </w:t>
      </w:r>
      <w:r w:rsidR="00D44BFC" w:rsidRPr="00F77E5C">
        <w:rPr>
          <w:rFonts w:ascii="Times New Roman" w:hAnsi="Times New Roman" w:cs="Times New Roman"/>
          <w:sz w:val="24"/>
          <w:szCs w:val="24"/>
        </w:rPr>
        <w:t xml:space="preserve">- </w:t>
      </w:r>
      <w:r w:rsidR="007B5210" w:rsidRPr="00F77E5C">
        <w:rPr>
          <w:rFonts w:ascii="Times New Roman" w:hAnsi="Times New Roman" w:cs="Times New Roman"/>
          <w:sz w:val="24"/>
          <w:szCs w:val="24"/>
        </w:rPr>
        <w:t>1 audu centram nabassaites asiņu un audu ieguvei, k</w:t>
      </w:r>
      <w:r w:rsidR="00EA0A87" w:rsidRPr="00F77E5C">
        <w:rPr>
          <w:rFonts w:ascii="Times New Roman" w:hAnsi="Times New Roman" w:cs="Times New Roman"/>
          <w:sz w:val="24"/>
          <w:szCs w:val="24"/>
        </w:rPr>
        <w:t>uram</w:t>
      </w:r>
      <w:r w:rsidR="007B5210" w:rsidRPr="00F77E5C">
        <w:rPr>
          <w:rFonts w:ascii="Times New Roman" w:hAnsi="Times New Roman" w:cs="Times New Roman"/>
          <w:sz w:val="24"/>
          <w:szCs w:val="24"/>
        </w:rPr>
        <w:t xml:space="preserve"> </w:t>
      </w:r>
      <w:r w:rsidR="00781C56" w:rsidRPr="00F77E5C">
        <w:rPr>
          <w:rFonts w:ascii="Times New Roman" w:hAnsi="Times New Roman" w:cs="Times New Roman"/>
          <w:sz w:val="24"/>
          <w:szCs w:val="24"/>
        </w:rPr>
        <w:t>Aģentūra iepriekšējā periodā bija izsniegusi atbilstības sertifikātu</w:t>
      </w:r>
      <w:r w:rsidR="00EA0A87" w:rsidRPr="00F77E5C">
        <w:rPr>
          <w:rFonts w:ascii="Times New Roman" w:hAnsi="Times New Roman" w:cs="Times New Roman"/>
          <w:sz w:val="24"/>
          <w:szCs w:val="24"/>
        </w:rPr>
        <w:t>,</w:t>
      </w:r>
      <w:r w:rsidR="007B5210" w:rsidRPr="00F77E5C">
        <w:rPr>
          <w:rFonts w:ascii="Times New Roman" w:hAnsi="Times New Roman" w:cs="Times New Roman"/>
          <w:sz w:val="24"/>
          <w:szCs w:val="24"/>
        </w:rPr>
        <w:t xml:space="preserve"> </w:t>
      </w:r>
      <w:r w:rsidR="005E107F" w:rsidRPr="00F77E5C">
        <w:rPr>
          <w:rFonts w:ascii="Times New Roman" w:hAnsi="Times New Roman" w:cs="Times New Roman"/>
          <w:sz w:val="24"/>
          <w:szCs w:val="24"/>
        </w:rPr>
        <w:t xml:space="preserve">1 </w:t>
      </w:r>
      <w:r w:rsidR="00862299" w:rsidRPr="00F77E5C">
        <w:rPr>
          <w:rFonts w:ascii="Times New Roman" w:hAnsi="Times New Roman" w:cs="Times New Roman"/>
          <w:sz w:val="24"/>
          <w:szCs w:val="24"/>
        </w:rPr>
        <w:t xml:space="preserve">audu centram </w:t>
      </w:r>
      <w:r w:rsidR="00E71E60" w:rsidRPr="00F77E5C">
        <w:rPr>
          <w:rFonts w:ascii="Times New Roman" w:hAnsi="Times New Roman" w:cs="Times New Roman"/>
          <w:sz w:val="24"/>
          <w:szCs w:val="24"/>
        </w:rPr>
        <w:t>acu aud</w:t>
      </w:r>
      <w:r w:rsidR="00273331" w:rsidRPr="00F77E5C">
        <w:rPr>
          <w:rFonts w:ascii="Times New Roman" w:hAnsi="Times New Roman" w:cs="Times New Roman"/>
          <w:sz w:val="24"/>
          <w:szCs w:val="24"/>
        </w:rPr>
        <w:t>u izmantošana</w:t>
      </w:r>
      <w:r w:rsidR="00862299" w:rsidRPr="00F77E5C">
        <w:rPr>
          <w:rFonts w:ascii="Times New Roman" w:hAnsi="Times New Roman" w:cs="Times New Roman"/>
          <w:sz w:val="24"/>
          <w:szCs w:val="24"/>
        </w:rPr>
        <w:t>s darbībām</w:t>
      </w:r>
      <w:r w:rsidR="00EF3E81" w:rsidRPr="00F77E5C">
        <w:rPr>
          <w:rFonts w:ascii="Times New Roman" w:hAnsi="Times New Roman" w:cs="Times New Roman"/>
          <w:sz w:val="24"/>
          <w:szCs w:val="24"/>
        </w:rPr>
        <w:t xml:space="preserve">, </w:t>
      </w:r>
      <w:r w:rsidR="00887DCD" w:rsidRPr="00F77E5C">
        <w:rPr>
          <w:rFonts w:ascii="Times New Roman" w:hAnsi="Times New Roman" w:cs="Times New Roman"/>
          <w:sz w:val="24"/>
          <w:szCs w:val="24"/>
        </w:rPr>
        <w:t>2</w:t>
      </w:r>
      <w:r w:rsidR="00EF3E81" w:rsidRPr="00F77E5C">
        <w:rPr>
          <w:rFonts w:ascii="Times New Roman" w:hAnsi="Times New Roman" w:cs="Times New Roman"/>
          <w:sz w:val="24"/>
          <w:szCs w:val="24"/>
        </w:rPr>
        <w:t xml:space="preserve"> audu centr</w:t>
      </w:r>
      <w:r w:rsidR="00887DCD" w:rsidRPr="00F77E5C">
        <w:rPr>
          <w:rFonts w:ascii="Times New Roman" w:hAnsi="Times New Roman" w:cs="Times New Roman"/>
          <w:sz w:val="24"/>
          <w:szCs w:val="24"/>
        </w:rPr>
        <w:t>iem</w:t>
      </w:r>
      <w:r w:rsidR="00EF3E81" w:rsidRPr="00F77E5C">
        <w:rPr>
          <w:rFonts w:ascii="Times New Roman" w:hAnsi="Times New Roman" w:cs="Times New Roman"/>
          <w:sz w:val="24"/>
          <w:szCs w:val="24"/>
        </w:rPr>
        <w:t xml:space="preserve"> audu ieg</w:t>
      </w:r>
      <w:r w:rsidR="00EA0A87" w:rsidRPr="00F77E5C">
        <w:rPr>
          <w:rFonts w:ascii="Times New Roman" w:hAnsi="Times New Roman" w:cs="Times New Roman"/>
          <w:sz w:val="24"/>
          <w:szCs w:val="24"/>
        </w:rPr>
        <w:t>uvei klīniskā pētījuma ietvaros</w:t>
      </w:r>
      <w:r w:rsidR="00695FEA" w:rsidRPr="00F77E5C">
        <w:rPr>
          <w:rFonts w:ascii="Times New Roman" w:hAnsi="Times New Roman" w:cs="Times New Roman"/>
          <w:sz w:val="24"/>
          <w:szCs w:val="24"/>
        </w:rPr>
        <w:t>.</w:t>
      </w:r>
      <w:r w:rsidR="007E312E" w:rsidRPr="00F77E5C">
        <w:rPr>
          <w:rFonts w:ascii="Times New Roman" w:hAnsi="Times New Roman" w:cs="Times New Roman"/>
          <w:sz w:val="24"/>
          <w:szCs w:val="24"/>
        </w:rPr>
        <w:t xml:space="preserve"> 2016.gada beigās nereproduktīvo audu un šūnu izmantošanas darbības bija tiesīgi veikt</w:t>
      </w:r>
      <w:r w:rsidR="00695FEA" w:rsidRPr="00F77E5C">
        <w:rPr>
          <w:rFonts w:ascii="Times New Roman" w:hAnsi="Times New Roman" w:cs="Times New Roman"/>
          <w:sz w:val="24"/>
          <w:szCs w:val="24"/>
        </w:rPr>
        <w:t xml:space="preserve"> </w:t>
      </w:r>
      <w:r w:rsidR="000A1A01" w:rsidRPr="00F77E5C">
        <w:rPr>
          <w:rFonts w:ascii="Times New Roman" w:hAnsi="Times New Roman" w:cs="Times New Roman"/>
          <w:sz w:val="24"/>
          <w:szCs w:val="24"/>
        </w:rPr>
        <w:t>10 audu centri.</w:t>
      </w:r>
    </w:p>
    <w:p w14:paraId="58E20FC7" w14:textId="2B596028" w:rsidR="00E024B0" w:rsidRDefault="00695FEA" w:rsidP="00FD72A2">
      <w:pPr>
        <w:spacing w:after="120"/>
        <w:jc w:val="both"/>
        <w:rPr>
          <w:rFonts w:ascii="Times New Roman" w:hAnsi="Times New Roman" w:cs="Times New Roman"/>
          <w:sz w:val="24"/>
          <w:szCs w:val="24"/>
        </w:rPr>
      </w:pPr>
      <w:r w:rsidRPr="00F77E5C">
        <w:rPr>
          <w:rFonts w:ascii="Times New Roman" w:hAnsi="Times New Roman" w:cs="Times New Roman"/>
          <w:sz w:val="24"/>
          <w:szCs w:val="24"/>
        </w:rPr>
        <w:t xml:space="preserve">2016.gada laikā veikta audu centru darbības izmaiņu novērtēšana un </w:t>
      </w:r>
      <w:r w:rsidR="0099579F" w:rsidRPr="00F77E5C">
        <w:rPr>
          <w:rFonts w:ascii="Times New Roman" w:hAnsi="Times New Roman" w:cs="Times New Roman"/>
          <w:sz w:val="24"/>
          <w:szCs w:val="24"/>
        </w:rPr>
        <w:t xml:space="preserve"> </w:t>
      </w:r>
      <w:r w:rsidRPr="00F77E5C">
        <w:rPr>
          <w:rFonts w:ascii="Times New Roman" w:hAnsi="Times New Roman" w:cs="Times New Roman"/>
          <w:sz w:val="24"/>
          <w:szCs w:val="24"/>
        </w:rPr>
        <w:t>izsniegta</w:t>
      </w:r>
      <w:r w:rsidR="00170EBE" w:rsidRPr="00F77E5C">
        <w:rPr>
          <w:rFonts w:ascii="Times New Roman" w:hAnsi="Times New Roman" w:cs="Times New Roman"/>
          <w:sz w:val="24"/>
          <w:szCs w:val="24"/>
        </w:rPr>
        <w:t>s</w:t>
      </w:r>
      <w:r w:rsidRPr="00F77E5C">
        <w:rPr>
          <w:rFonts w:ascii="Times New Roman" w:hAnsi="Times New Roman" w:cs="Times New Roman"/>
          <w:sz w:val="24"/>
          <w:szCs w:val="24"/>
        </w:rPr>
        <w:t xml:space="preserve"> </w:t>
      </w:r>
      <w:r w:rsidR="007E682D" w:rsidRPr="00F77E5C">
        <w:rPr>
          <w:rFonts w:ascii="Times New Roman" w:hAnsi="Times New Roman" w:cs="Times New Roman"/>
          <w:sz w:val="24"/>
          <w:szCs w:val="24"/>
        </w:rPr>
        <w:t xml:space="preserve">arī </w:t>
      </w:r>
      <w:r w:rsidR="00C5250D" w:rsidRPr="00F77E5C">
        <w:rPr>
          <w:rFonts w:ascii="Times New Roman" w:hAnsi="Times New Roman" w:cs="Times New Roman"/>
          <w:sz w:val="24"/>
          <w:szCs w:val="24"/>
        </w:rPr>
        <w:t>3</w:t>
      </w:r>
      <w:r w:rsidR="00170EBE" w:rsidRPr="00F77E5C">
        <w:rPr>
          <w:rFonts w:ascii="Times New Roman" w:hAnsi="Times New Roman" w:cs="Times New Roman"/>
          <w:sz w:val="24"/>
          <w:szCs w:val="24"/>
        </w:rPr>
        <w:t xml:space="preserve"> </w:t>
      </w:r>
      <w:r w:rsidR="0099579F" w:rsidRPr="00F77E5C">
        <w:rPr>
          <w:rFonts w:ascii="Times New Roman" w:hAnsi="Times New Roman" w:cs="Times New Roman"/>
          <w:sz w:val="24"/>
          <w:szCs w:val="24"/>
        </w:rPr>
        <w:t xml:space="preserve">Audu un šūnu izmantošanas </w:t>
      </w:r>
      <w:r w:rsidRPr="00F77E5C">
        <w:rPr>
          <w:rFonts w:ascii="Times New Roman" w:hAnsi="Times New Roman" w:cs="Times New Roman"/>
          <w:sz w:val="24"/>
          <w:szCs w:val="24"/>
        </w:rPr>
        <w:t>atļauja</w:t>
      </w:r>
      <w:r w:rsidR="00170EBE" w:rsidRPr="00F77E5C">
        <w:rPr>
          <w:rFonts w:ascii="Times New Roman" w:hAnsi="Times New Roman" w:cs="Times New Roman"/>
          <w:sz w:val="24"/>
          <w:szCs w:val="24"/>
        </w:rPr>
        <w:t>s</w:t>
      </w:r>
      <w:r w:rsidR="0099579F" w:rsidRPr="00F77E5C">
        <w:rPr>
          <w:rFonts w:ascii="Times New Roman" w:hAnsi="Times New Roman" w:cs="Times New Roman"/>
          <w:sz w:val="24"/>
          <w:szCs w:val="24"/>
        </w:rPr>
        <w:t xml:space="preserve"> sakarā ar audu centr</w:t>
      </w:r>
      <w:r w:rsidR="00F92F94" w:rsidRPr="00F77E5C">
        <w:rPr>
          <w:rFonts w:ascii="Times New Roman" w:hAnsi="Times New Roman" w:cs="Times New Roman"/>
          <w:sz w:val="24"/>
          <w:szCs w:val="24"/>
        </w:rPr>
        <w:t>u</w:t>
      </w:r>
      <w:r w:rsidR="0099579F" w:rsidRPr="00F77E5C">
        <w:rPr>
          <w:rFonts w:ascii="Times New Roman" w:hAnsi="Times New Roman" w:cs="Times New Roman"/>
          <w:sz w:val="24"/>
          <w:szCs w:val="24"/>
        </w:rPr>
        <w:t xml:space="preserve"> darbības izmaiņām</w:t>
      </w:r>
      <w:r w:rsidR="00170EBE" w:rsidRPr="00F77E5C">
        <w:rPr>
          <w:rFonts w:ascii="Times New Roman" w:hAnsi="Times New Roman" w:cs="Times New Roman"/>
          <w:sz w:val="24"/>
          <w:szCs w:val="24"/>
        </w:rPr>
        <w:t>, tostarp nabassaites asiņu apstrādes uzsākšana</w:t>
      </w:r>
      <w:r w:rsidR="009A06EF" w:rsidRPr="00F77E5C">
        <w:rPr>
          <w:rFonts w:ascii="Times New Roman" w:hAnsi="Times New Roman" w:cs="Times New Roman"/>
          <w:sz w:val="24"/>
          <w:szCs w:val="24"/>
        </w:rPr>
        <w:t>i</w:t>
      </w:r>
      <w:r w:rsidR="003E1325" w:rsidRPr="00F77E5C">
        <w:rPr>
          <w:rFonts w:ascii="Times New Roman" w:hAnsi="Times New Roman" w:cs="Times New Roman"/>
          <w:sz w:val="24"/>
          <w:szCs w:val="24"/>
        </w:rPr>
        <w:t xml:space="preserve">. </w:t>
      </w:r>
      <w:r w:rsidR="007A4860" w:rsidRPr="00F77E5C">
        <w:rPr>
          <w:rFonts w:ascii="Times New Roman" w:hAnsi="Times New Roman" w:cs="Times New Roman"/>
          <w:sz w:val="24"/>
          <w:szCs w:val="24"/>
        </w:rPr>
        <w:t>3</w:t>
      </w:r>
      <w:r w:rsidR="000D1956" w:rsidRPr="00F77E5C">
        <w:rPr>
          <w:rFonts w:ascii="Times New Roman" w:hAnsi="Times New Roman" w:cs="Times New Roman"/>
          <w:sz w:val="24"/>
          <w:szCs w:val="24"/>
        </w:rPr>
        <w:t xml:space="preserve"> audu centriem 2016.gadā veikta darbību </w:t>
      </w:r>
      <w:r w:rsidR="00273331" w:rsidRPr="00F77E5C">
        <w:rPr>
          <w:rFonts w:ascii="Times New Roman" w:hAnsi="Times New Roman" w:cs="Times New Roman"/>
          <w:sz w:val="24"/>
          <w:szCs w:val="24"/>
        </w:rPr>
        <w:t xml:space="preserve">atbilstības </w:t>
      </w:r>
      <w:r w:rsidR="005300EF" w:rsidRPr="00F77E5C">
        <w:rPr>
          <w:rFonts w:ascii="Times New Roman" w:hAnsi="Times New Roman" w:cs="Times New Roman"/>
          <w:sz w:val="24"/>
          <w:szCs w:val="24"/>
        </w:rPr>
        <w:t xml:space="preserve">kārtējā </w:t>
      </w:r>
      <w:r w:rsidR="00273331" w:rsidRPr="00F77E5C">
        <w:rPr>
          <w:rFonts w:ascii="Times New Roman" w:hAnsi="Times New Roman" w:cs="Times New Roman"/>
          <w:sz w:val="24"/>
          <w:szCs w:val="24"/>
        </w:rPr>
        <w:t>uzraudzība</w:t>
      </w:r>
      <w:r w:rsidR="00E024B0" w:rsidRPr="00F77E5C">
        <w:rPr>
          <w:rFonts w:ascii="Times New Roman" w:hAnsi="Times New Roman" w:cs="Times New Roman"/>
          <w:sz w:val="24"/>
          <w:szCs w:val="24"/>
        </w:rPr>
        <w:t>.</w:t>
      </w:r>
    </w:p>
    <w:p w14:paraId="1ECAA065" w14:textId="77777777" w:rsidR="00FD72A2" w:rsidRPr="00D34A49" w:rsidRDefault="00FD72A2" w:rsidP="00FD72A2">
      <w:pPr>
        <w:spacing w:after="0" w:line="240" w:lineRule="auto"/>
        <w:rPr>
          <w:rFonts w:ascii="Times New Roman" w:hAnsi="Times New Roman" w:cs="Times New Roman"/>
          <w:sz w:val="24"/>
          <w:szCs w:val="24"/>
        </w:rPr>
      </w:pPr>
    </w:p>
    <w:p w14:paraId="48B9B56B" w14:textId="77777777" w:rsidR="00FD72A2" w:rsidRDefault="009652A3" w:rsidP="00787BA6">
      <w:pPr>
        <w:jc w:val="center"/>
        <w:rPr>
          <w:rFonts w:ascii="Times New Roman" w:hAnsi="Times New Roman" w:cs="Times New Roman"/>
          <w:b/>
          <w:color w:val="16355A"/>
          <w:sz w:val="24"/>
          <w:szCs w:val="24"/>
          <w:u w:val="single"/>
        </w:rPr>
      </w:pPr>
      <w:r w:rsidRPr="00FE17FC">
        <w:rPr>
          <w:rFonts w:ascii="Times New Roman" w:hAnsi="Times New Roman" w:cs="Times New Roman"/>
          <w:b/>
          <w:color w:val="16355A"/>
          <w:sz w:val="24"/>
          <w:szCs w:val="24"/>
          <w:u w:val="single"/>
        </w:rPr>
        <w:t>Nereproduktīvo audu izmantošana</w:t>
      </w:r>
      <w:r w:rsidR="004B16ED" w:rsidRPr="00FE17FC">
        <w:rPr>
          <w:rFonts w:ascii="Times New Roman" w:hAnsi="Times New Roman" w:cs="Times New Roman"/>
          <w:b/>
          <w:color w:val="16355A"/>
          <w:sz w:val="24"/>
          <w:szCs w:val="24"/>
          <w:u w:val="single"/>
        </w:rPr>
        <w:t xml:space="preserve">s </w:t>
      </w:r>
      <w:r w:rsidR="0015185D" w:rsidRPr="00FE17FC">
        <w:rPr>
          <w:rFonts w:ascii="Times New Roman" w:hAnsi="Times New Roman" w:cs="Times New Roman"/>
          <w:b/>
          <w:color w:val="16355A"/>
          <w:sz w:val="24"/>
          <w:szCs w:val="24"/>
          <w:u w:val="single"/>
        </w:rPr>
        <w:t>darbības 201</w:t>
      </w:r>
      <w:r w:rsidR="008C03F8">
        <w:rPr>
          <w:rFonts w:ascii="Times New Roman" w:hAnsi="Times New Roman" w:cs="Times New Roman"/>
          <w:b/>
          <w:color w:val="16355A"/>
          <w:sz w:val="24"/>
          <w:szCs w:val="24"/>
          <w:u w:val="single"/>
        </w:rPr>
        <w:t>6</w:t>
      </w:r>
      <w:r w:rsidR="0015185D" w:rsidRPr="00FE17FC">
        <w:rPr>
          <w:rFonts w:ascii="Times New Roman" w:hAnsi="Times New Roman" w:cs="Times New Roman"/>
          <w:b/>
          <w:color w:val="16355A"/>
          <w:sz w:val="24"/>
          <w:szCs w:val="24"/>
          <w:u w:val="single"/>
        </w:rPr>
        <w:t>.</w:t>
      </w:r>
      <w:r w:rsidR="00787BA6" w:rsidRPr="00FE17FC">
        <w:rPr>
          <w:rFonts w:ascii="Times New Roman" w:hAnsi="Times New Roman" w:cs="Times New Roman"/>
          <w:b/>
          <w:color w:val="16355A"/>
          <w:sz w:val="24"/>
          <w:szCs w:val="24"/>
          <w:u w:val="single"/>
        </w:rPr>
        <w:t xml:space="preserve"> </w:t>
      </w:r>
      <w:r w:rsidR="0015185D" w:rsidRPr="00FE17FC">
        <w:rPr>
          <w:rFonts w:ascii="Times New Roman" w:hAnsi="Times New Roman" w:cs="Times New Roman"/>
          <w:b/>
          <w:color w:val="16355A"/>
          <w:sz w:val="24"/>
          <w:szCs w:val="24"/>
          <w:u w:val="single"/>
        </w:rPr>
        <w:t>gadā salīdzinājumā ar 201</w:t>
      </w:r>
      <w:r w:rsidR="008C03F8">
        <w:rPr>
          <w:rFonts w:ascii="Times New Roman" w:hAnsi="Times New Roman" w:cs="Times New Roman"/>
          <w:b/>
          <w:color w:val="16355A"/>
          <w:sz w:val="24"/>
          <w:szCs w:val="24"/>
          <w:u w:val="single"/>
        </w:rPr>
        <w:t>5</w:t>
      </w:r>
      <w:r w:rsidR="0015185D" w:rsidRPr="00FE17FC">
        <w:rPr>
          <w:rFonts w:ascii="Times New Roman" w:hAnsi="Times New Roman" w:cs="Times New Roman"/>
          <w:b/>
          <w:color w:val="16355A"/>
          <w:sz w:val="24"/>
          <w:szCs w:val="24"/>
          <w:u w:val="single"/>
        </w:rPr>
        <w:t>.</w:t>
      </w:r>
      <w:r w:rsidR="00787BA6" w:rsidRPr="00FE17FC">
        <w:rPr>
          <w:rFonts w:ascii="Times New Roman" w:hAnsi="Times New Roman" w:cs="Times New Roman"/>
          <w:b/>
          <w:color w:val="16355A"/>
          <w:sz w:val="24"/>
          <w:szCs w:val="24"/>
          <w:u w:val="single"/>
        </w:rPr>
        <w:t xml:space="preserve"> </w:t>
      </w:r>
      <w:r w:rsidR="0015185D" w:rsidRPr="00FE17FC">
        <w:rPr>
          <w:rFonts w:ascii="Times New Roman" w:hAnsi="Times New Roman" w:cs="Times New Roman"/>
          <w:b/>
          <w:color w:val="16355A"/>
          <w:sz w:val="24"/>
          <w:szCs w:val="24"/>
          <w:u w:val="single"/>
        </w:rPr>
        <w:t>gadu</w:t>
      </w:r>
    </w:p>
    <w:p w14:paraId="31FE06BF" w14:textId="04767F04" w:rsidR="00BB51C8" w:rsidRPr="00787BA6" w:rsidRDefault="00751106" w:rsidP="00787BA6">
      <w:pPr>
        <w:jc w:val="center"/>
        <w:rPr>
          <w:rFonts w:ascii="Times New Roman" w:hAnsi="Times New Roman" w:cs="Times New Roman"/>
          <w:b/>
          <w:sz w:val="24"/>
          <w:szCs w:val="24"/>
        </w:rPr>
      </w:pPr>
      <w:r>
        <w:rPr>
          <w:noProof/>
        </w:rPr>
        <w:drawing>
          <wp:inline distT="0" distB="0" distL="0" distR="0" wp14:anchorId="2BC32B55" wp14:editId="555F4616">
            <wp:extent cx="6120130" cy="2867025"/>
            <wp:effectExtent l="0" t="0" r="13970" b="9525"/>
            <wp:docPr id="2" name="Chart 2">
              <a:extLst xmlns:a="http://schemas.openxmlformats.org/drawingml/2006/main">
                <a:ext uri="{FF2B5EF4-FFF2-40B4-BE49-F238E27FC236}">
                  <a16:creationId xmlns:a16="http://schemas.microsoft.com/office/drawing/2014/main" id="{CD257D6A-A332-4E75-9820-588DECB98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F2C878" w14:textId="32A92790" w:rsidR="00CE3ACB" w:rsidRDefault="00751106" w:rsidP="00751106">
      <w:pPr>
        <w:jc w:val="center"/>
        <w:rPr>
          <w:rFonts w:ascii="Times New Roman" w:hAnsi="Times New Roman" w:cs="Times New Roman"/>
          <w:b/>
          <w:color w:val="16355A"/>
          <w:sz w:val="24"/>
          <w:szCs w:val="24"/>
          <w:u w:val="single"/>
        </w:rPr>
      </w:pPr>
      <w:r>
        <w:rPr>
          <w:rFonts w:ascii="Times New Roman" w:hAnsi="Times New Roman" w:cs="Times New Roman"/>
          <w:b/>
          <w:color w:val="16355A"/>
          <w:sz w:val="24"/>
          <w:szCs w:val="24"/>
          <w:u w:val="single"/>
        </w:rPr>
        <w:br w:type="page"/>
      </w:r>
      <w:r w:rsidR="00E842A5" w:rsidRPr="00FE17FC">
        <w:rPr>
          <w:rFonts w:ascii="Times New Roman" w:hAnsi="Times New Roman" w:cs="Times New Roman"/>
          <w:b/>
          <w:color w:val="16355A"/>
          <w:sz w:val="24"/>
          <w:szCs w:val="24"/>
          <w:u w:val="single"/>
        </w:rPr>
        <w:lastRenderedPageBreak/>
        <w:t xml:space="preserve">Nereproduktīvo audu izmantošana </w:t>
      </w:r>
      <w:r w:rsidR="00BB51C8" w:rsidRPr="00FE17FC">
        <w:rPr>
          <w:rFonts w:ascii="Times New Roman" w:hAnsi="Times New Roman" w:cs="Times New Roman"/>
          <w:b/>
          <w:color w:val="16355A"/>
          <w:sz w:val="24"/>
          <w:szCs w:val="24"/>
          <w:u w:val="single"/>
        </w:rPr>
        <w:t>201</w:t>
      </w:r>
      <w:r w:rsidR="006F286F">
        <w:rPr>
          <w:rFonts w:ascii="Times New Roman" w:hAnsi="Times New Roman" w:cs="Times New Roman"/>
          <w:b/>
          <w:color w:val="16355A"/>
          <w:sz w:val="24"/>
          <w:szCs w:val="24"/>
          <w:u w:val="single"/>
        </w:rPr>
        <w:t>6</w:t>
      </w:r>
      <w:r w:rsidR="00BB51C8" w:rsidRPr="00FE17FC">
        <w:rPr>
          <w:rFonts w:ascii="Times New Roman" w:hAnsi="Times New Roman" w:cs="Times New Roman"/>
          <w:b/>
          <w:color w:val="16355A"/>
          <w:sz w:val="24"/>
          <w:szCs w:val="24"/>
          <w:u w:val="single"/>
        </w:rPr>
        <w:t>.</w:t>
      </w:r>
      <w:r w:rsidR="004C5363" w:rsidRPr="00FE17FC">
        <w:rPr>
          <w:rFonts w:ascii="Times New Roman" w:hAnsi="Times New Roman" w:cs="Times New Roman"/>
          <w:b/>
          <w:color w:val="16355A"/>
          <w:sz w:val="24"/>
          <w:szCs w:val="24"/>
          <w:u w:val="single"/>
        </w:rPr>
        <w:t xml:space="preserve"> </w:t>
      </w:r>
      <w:r w:rsidR="00BD421F">
        <w:rPr>
          <w:rFonts w:ascii="Times New Roman" w:hAnsi="Times New Roman" w:cs="Times New Roman"/>
          <w:b/>
          <w:color w:val="16355A"/>
          <w:sz w:val="24"/>
          <w:szCs w:val="24"/>
          <w:u w:val="single"/>
        </w:rPr>
        <w:t>gadā pa audu veidiem</w:t>
      </w:r>
    </w:p>
    <w:p w14:paraId="1E5F80E1" w14:textId="77777777" w:rsidR="00791CA9" w:rsidRPr="00BD421F" w:rsidRDefault="00791CA9" w:rsidP="00751106">
      <w:pPr>
        <w:jc w:val="center"/>
        <w:rPr>
          <w:rFonts w:ascii="Times New Roman" w:hAnsi="Times New Roman" w:cs="Times New Roman"/>
          <w:b/>
          <w:color w:val="16355A"/>
          <w:sz w:val="24"/>
          <w:szCs w:val="24"/>
          <w:u w:val="single"/>
        </w:rPr>
      </w:pPr>
    </w:p>
    <w:p w14:paraId="68018F0A" w14:textId="18B8818D" w:rsidR="0067526B" w:rsidRDefault="00822666" w:rsidP="00903132">
      <w:pPr>
        <w:rPr>
          <w:rFonts w:ascii="Times New Roman" w:hAnsi="Times New Roman" w:cs="Times New Roman"/>
          <w:sz w:val="24"/>
          <w:szCs w:val="24"/>
        </w:rPr>
      </w:pPr>
      <w:r>
        <w:rPr>
          <w:noProof/>
        </w:rPr>
        <w:drawing>
          <wp:inline distT="0" distB="0" distL="0" distR="0" wp14:anchorId="794EB0F2" wp14:editId="61922016">
            <wp:extent cx="5924550" cy="3876675"/>
            <wp:effectExtent l="0" t="0" r="0" b="9525"/>
            <wp:docPr id="5" name="Chart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0F3056" w14:textId="535B6435" w:rsidR="0088760F" w:rsidRDefault="002536AC" w:rsidP="00C80E01">
      <w:pPr>
        <w:jc w:val="both"/>
        <w:rPr>
          <w:rFonts w:ascii="Times New Roman" w:hAnsi="Times New Roman" w:cs="Times New Roman"/>
          <w:sz w:val="24"/>
          <w:szCs w:val="24"/>
        </w:rPr>
      </w:pPr>
      <w:r w:rsidRPr="00903132">
        <w:rPr>
          <w:noProof/>
        </w:rPr>
        <w:t xml:space="preserve"> </w:t>
      </w:r>
    </w:p>
    <w:p w14:paraId="25BE066C" w14:textId="49DD47E5" w:rsidR="004A4986" w:rsidRDefault="00822666" w:rsidP="00C80E01">
      <w:pPr>
        <w:jc w:val="both"/>
        <w:rPr>
          <w:rFonts w:ascii="Times New Roman" w:hAnsi="Times New Roman" w:cs="Times New Roman"/>
          <w:sz w:val="24"/>
          <w:szCs w:val="24"/>
        </w:rPr>
      </w:pPr>
      <w:r>
        <w:rPr>
          <w:noProof/>
        </w:rPr>
        <w:drawing>
          <wp:inline distT="0" distB="0" distL="0" distR="0" wp14:anchorId="491BFD86" wp14:editId="4CF1107A">
            <wp:extent cx="6019800" cy="3600450"/>
            <wp:effectExtent l="0" t="0" r="9525" b="0"/>
            <wp:docPr id="6" name="Chart 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C2F98" w14:textId="023F2BB4" w:rsidR="00D27017" w:rsidRDefault="00D27017" w:rsidP="0088760F">
      <w:pPr>
        <w:rPr>
          <w:rFonts w:ascii="Times New Roman" w:hAnsi="Times New Roman" w:cs="Times New Roman"/>
          <w:sz w:val="24"/>
          <w:szCs w:val="24"/>
        </w:rPr>
      </w:pPr>
    </w:p>
    <w:p w14:paraId="71CA1A9D" w14:textId="4554F6D4" w:rsidR="00822666" w:rsidRDefault="00A96DE4" w:rsidP="00903132">
      <w:pPr>
        <w:rPr>
          <w:rFonts w:ascii="Times New Roman" w:hAnsi="Times New Roman" w:cs="Times New Roman"/>
          <w:sz w:val="24"/>
          <w:szCs w:val="24"/>
        </w:rPr>
      </w:pPr>
      <w:r>
        <w:rPr>
          <w:rFonts w:ascii="Times New Roman" w:hAnsi="Times New Roman" w:cs="Times New Roman"/>
          <w:sz w:val="24"/>
          <w:szCs w:val="24"/>
        </w:rPr>
        <w:br w:type="page"/>
      </w:r>
      <w:r w:rsidR="00A66B49">
        <w:rPr>
          <w:noProof/>
        </w:rPr>
        <w:lastRenderedPageBreak/>
        <w:drawing>
          <wp:inline distT="0" distB="0" distL="0" distR="0" wp14:anchorId="58B2955D" wp14:editId="5618F2CA">
            <wp:extent cx="5934075" cy="4114800"/>
            <wp:effectExtent l="0" t="0" r="9525" b="0"/>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980937" w14:textId="77777777" w:rsidR="00822666" w:rsidRDefault="00822666">
      <w:pPr>
        <w:rPr>
          <w:rFonts w:ascii="Times New Roman" w:hAnsi="Times New Roman" w:cs="Times New Roman"/>
          <w:sz w:val="24"/>
          <w:szCs w:val="24"/>
        </w:rPr>
      </w:pPr>
    </w:p>
    <w:p w14:paraId="552BB794" w14:textId="61A28F3B" w:rsidR="00822666" w:rsidRDefault="00A66B49">
      <w:pPr>
        <w:rPr>
          <w:rFonts w:ascii="Times New Roman" w:hAnsi="Times New Roman" w:cs="Times New Roman"/>
          <w:sz w:val="24"/>
          <w:szCs w:val="24"/>
        </w:rPr>
      </w:pPr>
      <w:r>
        <w:rPr>
          <w:noProof/>
        </w:rPr>
        <w:drawing>
          <wp:inline distT="0" distB="0" distL="0" distR="0" wp14:anchorId="33E00492" wp14:editId="218CA208">
            <wp:extent cx="6120130" cy="4171950"/>
            <wp:effectExtent l="0" t="0" r="13970" b="0"/>
            <wp:docPr id="4" name="Chart 4">
              <a:extLst xmlns:a="http://schemas.openxmlformats.org/drawingml/2006/main">
                <a:ext uri="{FF2B5EF4-FFF2-40B4-BE49-F238E27FC236}">
                  <a16:creationId xmlns:a16="http://schemas.microsoft.com/office/drawing/2014/main" id="{4A883476-4809-48E7-A539-A277D2F655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22666">
        <w:rPr>
          <w:rFonts w:ascii="Times New Roman" w:hAnsi="Times New Roman" w:cs="Times New Roman"/>
          <w:sz w:val="24"/>
          <w:szCs w:val="24"/>
        </w:rPr>
        <w:br w:type="page"/>
      </w:r>
    </w:p>
    <w:p w14:paraId="5C5A57AE" w14:textId="77777777" w:rsidR="00822666" w:rsidRDefault="00822666">
      <w:pPr>
        <w:rPr>
          <w:rFonts w:ascii="Times New Roman" w:hAnsi="Times New Roman" w:cs="Times New Roman"/>
          <w:sz w:val="24"/>
          <w:szCs w:val="24"/>
        </w:rPr>
      </w:pPr>
    </w:p>
    <w:p w14:paraId="3CBCBE08" w14:textId="716BF1E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77777777" w:rsidR="008307D4" w:rsidRDefault="00B51A23" w:rsidP="00837935">
      <w:pPr>
        <w:jc w:val="both"/>
        <w:rPr>
          <w:rFonts w:ascii="Times New Roman" w:hAnsi="Times New Roman" w:cs="Times New Roman"/>
          <w:sz w:val="24"/>
          <w:szCs w:val="24"/>
        </w:rPr>
      </w:pPr>
      <w:r w:rsidRPr="00B51A23">
        <w:rPr>
          <w:rFonts w:ascii="Times New Roman" w:hAnsi="Times New Roman" w:cs="Times New Roman"/>
          <w:sz w:val="24"/>
          <w:szCs w:val="24"/>
        </w:rPr>
        <w:t>2016.gadā asistēto reproduktīvo tehnoloģiju (ART) pakalpojumus nodrošināja 6 audu centri.</w:t>
      </w:r>
      <w:r w:rsidR="00837935">
        <w:rPr>
          <w:rFonts w:ascii="Times New Roman" w:hAnsi="Times New Roman" w:cs="Times New Roman"/>
          <w:sz w:val="24"/>
          <w:szCs w:val="24"/>
        </w:rPr>
        <w:t xml:space="preserve"> </w:t>
      </w:r>
    </w:p>
    <w:p w14:paraId="2FD302C9" w14:textId="032F8954" w:rsidR="00837935" w:rsidRDefault="008307D4" w:rsidP="00837935">
      <w:pPr>
        <w:jc w:val="both"/>
        <w:rPr>
          <w:rFonts w:ascii="Times New Roman" w:hAnsi="Times New Roman" w:cs="Times New Roman"/>
          <w:sz w:val="24"/>
          <w:szCs w:val="24"/>
        </w:rPr>
      </w:pPr>
      <w:r w:rsidRPr="00FF233F">
        <w:rPr>
          <w:rFonts w:ascii="Times New Roman" w:hAnsi="Times New Roman" w:cs="Times New Roman"/>
          <w:sz w:val="24"/>
          <w:szCs w:val="24"/>
        </w:rPr>
        <w:t>Aģentūra 201</w:t>
      </w:r>
      <w:r w:rsidR="00FF233F" w:rsidRPr="00FF233F">
        <w:rPr>
          <w:rFonts w:ascii="Times New Roman" w:hAnsi="Times New Roman" w:cs="Times New Roman"/>
          <w:sz w:val="24"/>
          <w:szCs w:val="24"/>
        </w:rPr>
        <w:t>6</w:t>
      </w:r>
      <w:r w:rsidRPr="00FF233F">
        <w:rPr>
          <w:rFonts w:ascii="Times New Roman" w:hAnsi="Times New Roman" w:cs="Times New Roman"/>
          <w:sz w:val="24"/>
          <w:szCs w:val="24"/>
        </w:rPr>
        <w:t>.gadā novērtējusi atbilstību un izsniegusi Audu un šūnu izmantošanas atļauju</w:t>
      </w:r>
      <w:r w:rsidR="00FF233F" w:rsidRPr="00FF233F">
        <w:rPr>
          <w:rFonts w:ascii="Times New Roman" w:hAnsi="Times New Roman" w:cs="Times New Roman"/>
          <w:sz w:val="24"/>
          <w:szCs w:val="24"/>
        </w:rPr>
        <w:t xml:space="preserve"> audu centram, kuram  Aģentūra iepriekšējā periodā bija izsniegusi atbilstības sertifikātu uz noteiktu laiku</w:t>
      </w:r>
      <w:r w:rsidRPr="00AC1FB4">
        <w:rPr>
          <w:rFonts w:ascii="Times New Roman" w:hAnsi="Times New Roman" w:cs="Times New Roman"/>
          <w:color w:val="00B050"/>
          <w:sz w:val="24"/>
          <w:szCs w:val="24"/>
        </w:rPr>
        <w:t xml:space="preserve">. </w:t>
      </w:r>
      <w:r w:rsidR="00DB44B6">
        <w:rPr>
          <w:rFonts w:ascii="Times New Roman" w:hAnsi="Times New Roman" w:cs="Times New Roman"/>
          <w:sz w:val="24"/>
          <w:szCs w:val="24"/>
        </w:rPr>
        <w:t xml:space="preserve">2016.gada laikā veikta audu centru darbības izmaiņu novērtēšana un  izsniegtas 2 Audu un šūnu izmantošanas atļaujas sakarā ar audu centru darbības izmaiņām, </w:t>
      </w:r>
      <w:r w:rsidR="00FF771B">
        <w:rPr>
          <w:rFonts w:ascii="Times New Roman" w:hAnsi="Times New Roman" w:cs="Times New Roman"/>
          <w:sz w:val="24"/>
          <w:szCs w:val="24"/>
        </w:rPr>
        <w:t>2</w:t>
      </w:r>
      <w:r w:rsidR="00DB44B6">
        <w:rPr>
          <w:rFonts w:ascii="Times New Roman" w:hAnsi="Times New Roman" w:cs="Times New Roman"/>
          <w:sz w:val="24"/>
          <w:szCs w:val="24"/>
        </w:rPr>
        <w:t xml:space="preserve"> audu centr</w:t>
      </w:r>
      <w:r w:rsidR="00FF771B">
        <w:rPr>
          <w:rFonts w:ascii="Times New Roman" w:hAnsi="Times New Roman" w:cs="Times New Roman"/>
          <w:sz w:val="24"/>
          <w:szCs w:val="24"/>
        </w:rPr>
        <w:t>os</w:t>
      </w:r>
      <w:r w:rsidR="00DB44B6">
        <w:rPr>
          <w:rFonts w:ascii="Times New Roman" w:hAnsi="Times New Roman" w:cs="Times New Roman"/>
          <w:sz w:val="24"/>
          <w:szCs w:val="24"/>
        </w:rPr>
        <w:t xml:space="preserve"> veikta darbību</w:t>
      </w:r>
      <w:r w:rsidR="00DB44B6" w:rsidRPr="00B51A23">
        <w:rPr>
          <w:rFonts w:ascii="Times New Roman" w:hAnsi="Times New Roman" w:cs="Times New Roman"/>
          <w:sz w:val="24"/>
          <w:szCs w:val="24"/>
        </w:rPr>
        <w:t xml:space="preserve"> </w:t>
      </w:r>
      <w:r w:rsidR="00DB44B6" w:rsidRPr="00D34A49">
        <w:rPr>
          <w:rFonts w:ascii="Times New Roman" w:hAnsi="Times New Roman" w:cs="Times New Roman"/>
          <w:sz w:val="24"/>
          <w:szCs w:val="24"/>
        </w:rPr>
        <w:t xml:space="preserve">atbilstības </w:t>
      </w:r>
      <w:r w:rsidR="00BB4598">
        <w:rPr>
          <w:rFonts w:ascii="Times New Roman" w:hAnsi="Times New Roman" w:cs="Times New Roman"/>
          <w:sz w:val="24"/>
          <w:szCs w:val="24"/>
        </w:rPr>
        <w:t xml:space="preserve">kārtējā </w:t>
      </w:r>
      <w:r w:rsidR="00DB44B6" w:rsidRPr="00D34A49">
        <w:rPr>
          <w:rFonts w:ascii="Times New Roman" w:hAnsi="Times New Roman" w:cs="Times New Roman"/>
          <w:sz w:val="24"/>
          <w:szCs w:val="24"/>
        </w:rPr>
        <w:t>uzraudzība</w:t>
      </w:r>
      <w:r w:rsidR="00DB44B6">
        <w:rPr>
          <w:rFonts w:ascii="Times New Roman" w:hAnsi="Times New Roman" w:cs="Times New Roman"/>
          <w:sz w:val="24"/>
          <w:szCs w:val="24"/>
        </w:rPr>
        <w:t>.</w:t>
      </w:r>
    </w:p>
    <w:p w14:paraId="4D1EB69B" w14:textId="77777777" w:rsidR="00735253" w:rsidRPr="00FE17FC" w:rsidRDefault="00735253" w:rsidP="00284D1F">
      <w:pPr>
        <w:jc w:val="center"/>
        <w:rPr>
          <w:rFonts w:ascii="Times New Roman" w:hAnsi="Times New Roman" w:cs="Times New Roman"/>
          <w:b/>
          <w:color w:val="16355A"/>
          <w:sz w:val="24"/>
          <w:szCs w:val="24"/>
          <w:u w:val="single"/>
        </w:rPr>
      </w:pPr>
      <w:r w:rsidRPr="00FE17FC">
        <w:rPr>
          <w:rFonts w:ascii="Times New Roman" w:hAnsi="Times New Roman" w:cs="Times New Roman"/>
          <w:b/>
          <w:color w:val="16355A"/>
          <w:sz w:val="24"/>
          <w:szCs w:val="24"/>
          <w:u w:val="single"/>
        </w:rPr>
        <w:t>Reproduktīvo audu izmantošanas darbības 201</w:t>
      </w:r>
      <w:r w:rsidR="00DB44B6">
        <w:rPr>
          <w:rFonts w:ascii="Times New Roman" w:hAnsi="Times New Roman" w:cs="Times New Roman"/>
          <w:b/>
          <w:color w:val="16355A"/>
          <w:sz w:val="24"/>
          <w:szCs w:val="24"/>
          <w:u w:val="single"/>
        </w:rPr>
        <w:t>6</w:t>
      </w:r>
      <w:r w:rsidRPr="00FE17FC">
        <w:rPr>
          <w:rFonts w:ascii="Times New Roman" w:hAnsi="Times New Roman" w:cs="Times New Roman"/>
          <w:b/>
          <w:color w:val="16355A"/>
          <w:sz w:val="24"/>
          <w:szCs w:val="24"/>
          <w:u w:val="single"/>
        </w:rPr>
        <w:t>.</w:t>
      </w:r>
      <w:r w:rsidR="00284D1F" w:rsidRPr="00FE17FC">
        <w:rPr>
          <w:rFonts w:ascii="Times New Roman" w:hAnsi="Times New Roman" w:cs="Times New Roman"/>
          <w:b/>
          <w:color w:val="16355A"/>
          <w:sz w:val="24"/>
          <w:szCs w:val="24"/>
          <w:u w:val="single"/>
        </w:rPr>
        <w:t xml:space="preserve"> </w:t>
      </w:r>
      <w:r w:rsidRPr="00FE17FC">
        <w:rPr>
          <w:rFonts w:ascii="Times New Roman" w:hAnsi="Times New Roman" w:cs="Times New Roman"/>
          <w:b/>
          <w:color w:val="16355A"/>
          <w:sz w:val="24"/>
          <w:szCs w:val="24"/>
          <w:u w:val="single"/>
        </w:rPr>
        <w:t>gadā salīdzinājumā ar 201</w:t>
      </w:r>
      <w:r w:rsidR="00DB44B6">
        <w:rPr>
          <w:rFonts w:ascii="Times New Roman" w:hAnsi="Times New Roman" w:cs="Times New Roman"/>
          <w:b/>
          <w:color w:val="16355A"/>
          <w:sz w:val="24"/>
          <w:szCs w:val="24"/>
          <w:u w:val="single"/>
        </w:rPr>
        <w:t>5</w:t>
      </w:r>
      <w:r w:rsidRPr="00FE17FC">
        <w:rPr>
          <w:rFonts w:ascii="Times New Roman" w:hAnsi="Times New Roman" w:cs="Times New Roman"/>
          <w:b/>
          <w:color w:val="16355A"/>
          <w:sz w:val="24"/>
          <w:szCs w:val="24"/>
          <w:u w:val="single"/>
        </w:rPr>
        <w:t>.</w:t>
      </w:r>
      <w:r w:rsidR="00284D1F" w:rsidRPr="00FE17FC">
        <w:rPr>
          <w:rFonts w:ascii="Times New Roman" w:hAnsi="Times New Roman" w:cs="Times New Roman"/>
          <w:b/>
          <w:color w:val="16355A"/>
          <w:sz w:val="24"/>
          <w:szCs w:val="24"/>
          <w:u w:val="single"/>
        </w:rPr>
        <w:t xml:space="preserve"> </w:t>
      </w:r>
      <w:r w:rsidRPr="00FE17FC">
        <w:rPr>
          <w:rFonts w:ascii="Times New Roman" w:hAnsi="Times New Roman" w:cs="Times New Roman"/>
          <w:b/>
          <w:color w:val="16355A"/>
          <w:sz w:val="24"/>
          <w:szCs w:val="24"/>
          <w:u w:val="single"/>
        </w:rPr>
        <w:t>gadu</w:t>
      </w:r>
    </w:p>
    <w:p w14:paraId="2E502D21" w14:textId="799A4936" w:rsidR="00D161F2" w:rsidRPr="0016729F" w:rsidRDefault="00D161F2" w:rsidP="0016729F">
      <w:pPr>
        <w:jc w:val="both"/>
        <w:rPr>
          <w:rFonts w:ascii="Times New Roman" w:hAnsi="Times New Roman" w:cs="Times New Roman"/>
          <w:sz w:val="24"/>
          <w:szCs w:val="24"/>
        </w:rPr>
      </w:pPr>
    </w:p>
    <w:p w14:paraId="54E01624" w14:textId="0D216B5E" w:rsidR="00D161F2" w:rsidRPr="00B96D5D" w:rsidRDefault="001E55A2" w:rsidP="0088760F">
      <w:pPr>
        <w:tabs>
          <w:tab w:val="left" w:pos="2025"/>
        </w:tabs>
        <w:rPr>
          <w:rFonts w:ascii="Times New Roman" w:hAnsi="Times New Roman" w:cs="Times New Roman"/>
          <w:sz w:val="24"/>
          <w:szCs w:val="24"/>
        </w:rPr>
      </w:pPr>
      <w:r>
        <w:rPr>
          <w:noProof/>
        </w:rPr>
        <w:drawing>
          <wp:inline distT="0" distB="0" distL="0" distR="0" wp14:anchorId="56209B49" wp14:editId="0BE549CF">
            <wp:extent cx="6120130" cy="4722495"/>
            <wp:effectExtent l="0" t="0" r="13970" b="1905"/>
            <wp:docPr id="1"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BE4409" w14:textId="3BE1EEAB" w:rsidR="00D161F2" w:rsidRDefault="00D161F2" w:rsidP="0088760F">
      <w:pPr>
        <w:tabs>
          <w:tab w:val="left" w:pos="2025"/>
        </w:tabs>
        <w:rPr>
          <w:rFonts w:ascii="Times New Roman" w:hAnsi="Times New Roman" w:cs="Times New Roman"/>
          <w:b/>
          <w:noProof/>
          <w:sz w:val="24"/>
          <w:szCs w:val="24"/>
          <w:lang w:val="en-US"/>
        </w:rPr>
      </w:pPr>
    </w:p>
    <w:p w14:paraId="5FFEF3BE" w14:textId="2EF79A33" w:rsidR="008573F6" w:rsidRDefault="008573F6" w:rsidP="0088760F">
      <w:pPr>
        <w:tabs>
          <w:tab w:val="left" w:pos="2025"/>
        </w:tabs>
        <w:rPr>
          <w:rFonts w:ascii="Times New Roman" w:hAnsi="Times New Roman" w:cs="Times New Roman"/>
          <w:b/>
          <w:noProof/>
          <w:sz w:val="24"/>
          <w:szCs w:val="24"/>
          <w:lang w:val="en-US"/>
        </w:rPr>
      </w:pPr>
    </w:p>
    <w:p w14:paraId="48D617A1" w14:textId="4A4888E4" w:rsidR="00DE59E0" w:rsidRDefault="00FD72A2"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5BB881CC" wp14:editId="77F53D13">
            <wp:extent cx="6120130" cy="3752850"/>
            <wp:effectExtent l="0" t="0" r="13970" b="0"/>
            <wp:docPr id="19" name="Chart 1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69F98A" w14:textId="7518395B" w:rsidR="001E55A2" w:rsidRDefault="001E55A2" w:rsidP="0088760F">
      <w:pPr>
        <w:tabs>
          <w:tab w:val="left" w:pos="2025"/>
        </w:tabs>
        <w:rPr>
          <w:rFonts w:ascii="Times New Roman" w:hAnsi="Times New Roman" w:cs="Times New Roman"/>
          <w:b/>
          <w:noProof/>
          <w:sz w:val="24"/>
          <w:szCs w:val="24"/>
          <w:lang w:val="en-US"/>
        </w:rPr>
      </w:pPr>
    </w:p>
    <w:p w14:paraId="3D5D4CA6" w14:textId="6B8E1431" w:rsidR="001E55A2" w:rsidRDefault="00E348D6" w:rsidP="0088760F">
      <w:pPr>
        <w:tabs>
          <w:tab w:val="left" w:pos="2025"/>
        </w:tabs>
        <w:rPr>
          <w:rFonts w:ascii="Times New Roman" w:hAnsi="Times New Roman" w:cs="Times New Roman"/>
          <w:b/>
          <w:noProof/>
          <w:sz w:val="24"/>
          <w:szCs w:val="24"/>
          <w:lang w:val="en-US"/>
        </w:rPr>
      </w:pPr>
      <w:r>
        <w:rPr>
          <w:noProof/>
        </w:rPr>
        <w:drawing>
          <wp:inline distT="0" distB="0" distL="0" distR="0" wp14:anchorId="44A998DB" wp14:editId="7A5F37C7">
            <wp:extent cx="6120130" cy="4314825"/>
            <wp:effectExtent l="0" t="0" r="13970" b="9525"/>
            <wp:docPr id="21" name="Chart 21">
              <a:extLst xmlns:a="http://schemas.openxmlformats.org/drawingml/2006/main">
                <a:ext uri="{FF2B5EF4-FFF2-40B4-BE49-F238E27FC236}">
                  <a16:creationId xmlns:a16="http://schemas.microsoft.com/office/drawing/2014/main" id="{B0FD66CB-D41A-477F-9FC0-CE8463B257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1E55A2"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17FC" w14:textId="77777777" w:rsidR="00306147" w:rsidRDefault="00306147" w:rsidP="007E0516">
      <w:pPr>
        <w:spacing w:after="0" w:line="240" w:lineRule="auto"/>
      </w:pPr>
      <w:r>
        <w:separator/>
      </w:r>
    </w:p>
  </w:endnote>
  <w:endnote w:type="continuationSeparator" w:id="0">
    <w:p w14:paraId="62250A3D" w14:textId="77777777" w:rsidR="00306147" w:rsidRDefault="00306147"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CACF" w14:textId="77777777" w:rsidR="00306147" w:rsidRDefault="00306147" w:rsidP="007E0516">
      <w:pPr>
        <w:spacing w:after="0" w:line="240" w:lineRule="auto"/>
      </w:pPr>
      <w:r>
        <w:separator/>
      </w:r>
    </w:p>
  </w:footnote>
  <w:footnote w:type="continuationSeparator" w:id="0">
    <w:p w14:paraId="3694E6F3" w14:textId="77777777" w:rsidR="00306147" w:rsidRDefault="00306147"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20E9D"/>
    <w:rsid w:val="00021F29"/>
    <w:rsid w:val="00031AA0"/>
    <w:rsid w:val="00034F7C"/>
    <w:rsid w:val="00044334"/>
    <w:rsid w:val="000511C5"/>
    <w:rsid w:val="00054B1E"/>
    <w:rsid w:val="000674D7"/>
    <w:rsid w:val="000958B1"/>
    <w:rsid w:val="00097520"/>
    <w:rsid w:val="000A1A01"/>
    <w:rsid w:val="000B6621"/>
    <w:rsid w:val="000C45A3"/>
    <w:rsid w:val="000D1956"/>
    <w:rsid w:val="00101049"/>
    <w:rsid w:val="0010153B"/>
    <w:rsid w:val="00106DDA"/>
    <w:rsid w:val="001208CF"/>
    <w:rsid w:val="00124EBA"/>
    <w:rsid w:val="001416C4"/>
    <w:rsid w:val="001451DC"/>
    <w:rsid w:val="00146BD1"/>
    <w:rsid w:val="0015185D"/>
    <w:rsid w:val="00153CD3"/>
    <w:rsid w:val="0016729F"/>
    <w:rsid w:val="00167E62"/>
    <w:rsid w:val="00170EBE"/>
    <w:rsid w:val="00187269"/>
    <w:rsid w:val="001B2BB5"/>
    <w:rsid w:val="001C25C1"/>
    <w:rsid w:val="001D27C7"/>
    <w:rsid w:val="001D760A"/>
    <w:rsid w:val="001E3230"/>
    <w:rsid w:val="001E55A2"/>
    <w:rsid w:val="001F0039"/>
    <w:rsid w:val="001F2DA4"/>
    <w:rsid w:val="00212506"/>
    <w:rsid w:val="00213848"/>
    <w:rsid w:val="002303A0"/>
    <w:rsid w:val="002410F7"/>
    <w:rsid w:val="002536AC"/>
    <w:rsid w:val="0026695B"/>
    <w:rsid w:val="00273331"/>
    <w:rsid w:val="0027502D"/>
    <w:rsid w:val="00283978"/>
    <w:rsid w:val="00284D1F"/>
    <w:rsid w:val="002C3E53"/>
    <w:rsid w:val="002E0490"/>
    <w:rsid w:val="002F0956"/>
    <w:rsid w:val="002F29BF"/>
    <w:rsid w:val="00306147"/>
    <w:rsid w:val="00330813"/>
    <w:rsid w:val="00332BE3"/>
    <w:rsid w:val="0036085B"/>
    <w:rsid w:val="00374744"/>
    <w:rsid w:val="0038465B"/>
    <w:rsid w:val="00390ACA"/>
    <w:rsid w:val="003B1E6C"/>
    <w:rsid w:val="003C7C12"/>
    <w:rsid w:val="003E1325"/>
    <w:rsid w:val="003F0CA3"/>
    <w:rsid w:val="00402D6F"/>
    <w:rsid w:val="00415428"/>
    <w:rsid w:val="004231F8"/>
    <w:rsid w:val="00430E2D"/>
    <w:rsid w:val="0043407D"/>
    <w:rsid w:val="004401B4"/>
    <w:rsid w:val="00451D3E"/>
    <w:rsid w:val="00464324"/>
    <w:rsid w:val="00466A12"/>
    <w:rsid w:val="00470702"/>
    <w:rsid w:val="00475416"/>
    <w:rsid w:val="0049253E"/>
    <w:rsid w:val="004A4986"/>
    <w:rsid w:val="004A654A"/>
    <w:rsid w:val="004B16ED"/>
    <w:rsid w:val="004C0B59"/>
    <w:rsid w:val="004C5363"/>
    <w:rsid w:val="004D2D34"/>
    <w:rsid w:val="004E2BBF"/>
    <w:rsid w:val="004E6EAD"/>
    <w:rsid w:val="004F0CFD"/>
    <w:rsid w:val="004F5B8E"/>
    <w:rsid w:val="004F73A9"/>
    <w:rsid w:val="00522990"/>
    <w:rsid w:val="005300EF"/>
    <w:rsid w:val="00535CD6"/>
    <w:rsid w:val="00543394"/>
    <w:rsid w:val="00545FA8"/>
    <w:rsid w:val="005512B9"/>
    <w:rsid w:val="00562B2F"/>
    <w:rsid w:val="00563262"/>
    <w:rsid w:val="0057617F"/>
    <w:rsid w:val="0059046D"/>
    <w:rsid w:val="005A709A"/>
    <w:rsid w:val="005D217F"/>
    <w:rsid w:val="005E107F"/>
    <w:rsid w:val="005E2CE4"/>
    <w:rsid w:val="005E562D"/>
    <w:rsid w:val="005E65B0"/>
    <w:rsid w:val="00612491"/>
    <w:rsid w:val="00613FF4"/>
    <w:rsid w:val="00624CC0"/>
    <w:rsid w:val="0062674E"/>
    <w:rsid w:val="00674791"/>
    <w:rsid w:val="0067526B"/>
    <w:rsid w:val="006942D9"/>
    <w:rsid w:val="00695FEA"/>
    <w:rsid w:val="006A2C4F"/>
    <w:rsid w:val="006B7592"/>
    <w:rsid w:val="006C0BA3"/>
    <w:rsid w:val="006C6AAB"/>
    <w:rsid w:val="006D1CEC"/>
    <w:rsid w:val="006E3CF0"/>
    <w:rsid w:val="006F286F"/>
    <w:rsid w:val="006F5322"/>
    <w:rsid w:val="007114F1"/>
    <w:rsid w:val="00715EEF"/>
    <w:rsid w:val="007212E3"/>
    <w:rsid w:val="00732D6A"/>
    <w:rsid w:val="00735253"/>
    <w:rsid w:val="00751106"/>
    <w:rsid w:val="00770144"/>
    <w:rsid w:val="00777DF6"/>
    <w:rsid w:val="00781C56"/>
    <w:rsid w:val="00785072"/>
    <w:rsid w:val="00785114"/>
    <w:rsid w:val="00787BA6"/>
    <w:rsid w:val="00791CA9"/>
    <w:rsid w:val="00794922"/>
    <w:rsid w:val="007A4860"/>
    <w:rsid w:val="007B4877"/>
    <w:rsid w:val="007B5210"/>
    <w:rsid w:val="007D20E3"/>
    <w:rsid w:val="007E0516"/>
    <w:rsid w:val="007E312E"/>
    <w:rsid w:val="007E682D"/>
    <w:rsid w:val="008011F9"/>
    <w:rsid w:val="00804D20"/>
    <w:rsid w:val="00810CEF"/>
    <w:rsid w:val="008134E9"/>
    <w:rsid w:val="00822666"/>
    <w:rsid w:val="008307D4"/>
    <w:rsid w:val="00837935"/>
    <w:rsid w:val="008573F6"/>
    <w:rsid w:val="00857604"/>
    <w:rsid w:val="00862299"/>
    <w:rsid w:val="00863515"/>
    <w:rsid w:val="0088760F"/>
    <w:rsid w:val="00887DCD"/>
    <w:rsid w:val="008963FC"/>
    <w:rsid w:val="008A5803"/>
    <w:rsid w:val="008B22E9"/>
    <w:rsid w:val="008B756C"/>
    <w:rsid w:val="008C03F8"/>
    <w:rsid w:val="008C2328"/>
    <w:rsid w:val="008E2487"/>
    <w:rsid w:val="008F7B48"/>
    <w:rsid w:val="009030C0"/>
    <w:rsid w:val="00903132"/>
    <w:rsid w:val="00905AF7"/>
    <w:rsid w:val="0091606F"/>
    <w:rsid w:val="00926894"/>
    <w:rsid w:val="009543A3"/>
    <w:rsid w:val="00955F04"/>
    <w:rsid w:val="009567A1"/>
    <w:rsid w:val="00963E42"/>
    <w:rsid w:val="009652A3"/>
    <w:rsid w:val="00971B98"/>
    <w:rsid w:val="00974EB3"/>
    <w:rsid w:val="00976EB6"/>
    <w:rsid w:val="0099579F"/>
    <w:rsid w:val="009A06EF"/>
    <w:rsid w:val="009D78F7"/>
    <w:rsid w:val="009E382C"/>
    <w:rsid w:val="00A031B6"/>
    <w:rsid w:val="00A04C07"/>
    <w:rsid w:val="00A229F6"/>
    <w:rsid w:val="00A37581"/>
    <w:rsid w:val="00A51FC5"/>
    <w:rsid w:val="00A57A52"/>
    <w:rsid w:val="00A66B49"/>
    <w:rsid w:val="00A70613"/>
    <w:rsid w:val="00A70EC8"/>
    <w:rsid w:val="00A96DE4"/>
    <w:rsid w:val="00AA4F76"/>
    <w:rsid w:val="00AB013B"/>
    <w:rsid w:val="00AC1FB4"/>
    <w:rsid w:val="00AC351C"/>
    <w:rsid w:val="00B00D5C"/>
    <w:rsid w:val="00B163A9"/>
    <w:rsid w:val="00B17363"/>
    <w:rsid w:val="00B51A23"/>
    <w:rsid w:val="00B61CAA"/>
    <w:rsid w:val="00B675C7"/>
    <w:rsid w:val="00B8616B"/>
    <w:rsid w:val="00B96D5D"/>
    <w:rsid w:val="00BB4598"/>
    <w:rsid w:val="00BB51C8"/>
    <w:rsid w:val="00BD421F"/>
    <w:rsid w:val="00C225BE"/>
    <w:rsid w:val="00C279B6"/>
    <w:rsid w:val="00C30296"/>
    <w:rsid w:val="00C5250D"/>
    <w:rsid w:val="00C66930"/>
    <w:rsid w:val="00C76198"/>
    <w:rsid w:val="00C80E01"/>
    <w:rsid w:val="00C92451"/>
    <w:rsid w:val="00CC46C1"/>
    <w:rsid w:val="00CE3ACB"/>
    <w:rsid w:val="00D11E45"/>
    <w:rsid w:val="00D1254D"/>
    <w:rsid w:val="00D12570"/>
    <w:rsid w:val="00D161F2"/>
    <w:rsid w:val="00D27017"/>
    <w:rsid w:val="00D32CF6"/>
    <w:rsid w:val="00D34A49"/>
    <w:rsid w:val="00D42D9E"/>
    <w:rsid w:val="00D44BFC"/>
    <w:rsid w:val="00D451B0"/>
    <w:rsid w:val="00D87C09"/>
    <w:rsid w:val="00DA4972"/>
    <w:rsid w:val="00DB44B6"/>
    <w:rsid w:val="00DC5201"/>
    <w:rsid w:val="00DE59E0"/>
    <w:rsid w:val="00E024B0"/>
    <w:rsid w:val="00E30C4E"/>
    <w:rsid w:val="00E348D6"/>
    <w:rsid w:val="00E6029F"/>
    <w:rsid w:val="00E64BAC"/>
    <w:rsid w:val="00E709B3"/>
    <w:rsid w:val="00E71E60"/>
    <w:rsid w:val="00E842A5"/>
    <w:rsid w:val="00E84C12"/>
    <w:rsid w:val="00E955D3"/>
    <w:rsid w:val="00E96412"/>
    <w:rsid w:val="00EA0A87"/>
    <w:rsid w:val="00EA3BE2"/>
    <w:rsid w:val="00EC32F4"/>
    <w:rsid w:val="00EC4F54"/>
    <w:rsid w:val="00ED430D"/>
    <w:rsid w:val="00ED6212"/>
    <w:rsid w:val="00EF1362"/>
    <w:rsid w:val="00EF3E81"/>
    <w:rsid w:val="00EF579A"/>
    <w:rsid w:val="00F16695"/>
    <w:rsid w:val="00F21FC8"/>
    <w:rsid w:val="00F35D83"/>
    <w:rsid w:val="00F4657E"/>
    <w:rsid w:val="00F61225"/>
    <w:rsid w:val="00F62EF1"/>
    <w:rsid w:val="00F66855"/>
    <w:rsid w:val="00F77E5C"/>
    <w:rsid w:val="00F87F5B"/>
    <w:rsid w:val="00F92F94"/>
    <w:rsid w:val="00F9634B"/>
    <w:rsid w:val="00FA1C6E"/>
    <w:rsid w:val="00FA3085"/>
    <w:rsid w:val="00FD2303"/>
    <w:rsid w:val="00FD6150"/>
    <w:rsid w:val="00FD72A2"/>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_precizetais_formatets_2020.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6\gada_kopsavilkums_2016_precizetais_formatets_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1"/>
          <c:order val="0"/>
          <c:tx>
            <c:strRef>
              <c:f>nereproduktivie!$A$24</c:f>
              <c:strCache>
                <c:ptCount val="1"/>
                <c:pt idx="0">
                  <c:v>Nereproduktīvie audi un šūnas 2016.gads</c:v>
                </c:pt>
              </c:strCache>
            </c:strRef>
          </c:tx>
          <c:spPr>
            <a:solidFill>
              <a:srgbClr val="FFFF00"/>
            </a:solidFill>
          </c:spPr>
          <c:invertIfNegative val="0"/>
          <c:dLbls>
            <c:dLbl>
              <c:idx val="0"/>
              <c:layout>
                <c:manualLayout>
                  <c:x val="3.42759165400324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C2-4948-B88C-FF7644405EED}"/>
                </c:ext>
              </c:extLst>
            </c:dLbl>
            <c:dLbl>
              <c:idx val="1"/>
              <c:layout>
                <c:manualLayout>
                  <c:x val="6.8551833080064579E-3"/>
                  <c:y val="-5.94748468695824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C2-4948-B88C-FF7644405EED}"/>
                </c:ext>
              </c:extLst>
            </c:dLbl>
            <c:dLbl>
              <c:idx val="2"/>
              <c:layout>
                <c:manualLayout>
                  <c:x val="1.5424162443014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C2-4948-B88C-FF7644405EED}"/>
                </c:ext>
              </c:extLst>
            </c:dLbl>
            <c:dLbl>
              <c:idx val="3"/>
              <c:layout>
                <c:manualLayout>
                  <c:x val="1.0282774962009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C2-4948-B88C-FF7644405EED}"/>
                </c:ext>
              </c:extLst>
            </c:dLbl>
            <c:dLbl>
              <c:idx val="6"/>
              <c:layout>
                <c:manualLayout>
                  <c:x val="5.14138748100486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C2-4948-B88C-FF7644405E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nereproduktivie!$D$26:$J$26</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nereproduktivie!$D$24:$J$24</c:f>
              <c:numCache>
                <c:formatCode>General</c:formatCode>
                <c:ptCount val="7"/>
                <c:pt idx="0">
                  <c:v>337</c:v>
                </c:pt>
                <c:pt idx="1">
                  <c:v>109</c:v>
                </c:pt>
                <c:pt idx="2">
                  <c:v>215</c:v>
                </c:pt>
                <c:pt idx="3">
                  <c:v>248</c:v>
                </c:pt>
                <c:pt idx="4">
                  <c:v>4</c:v>
                </c:pt>
                <c:pt idx="5">
                  <c:v>123</c:v>
                </c:pt>
                <c:pt idx="6">
                  <c:v>211</c:v>
                </c:pt>
              </c:numCache>
            </c:numRef>
          </c:val>
          <c:extLst>
            <c:ext xmlns:c16="http://schemas.microsoft.com/office/drawing/2014/chart" uri="{C3380CC4-5D6E-409C-BE32-E72D297353CC}">
              <c16:uniqueId val="{00000005-9FC2-4948-B88C-FF7644405EED}"/>
            </c:ext>
          </c:extLst>
        </c:ser>
        <c:ser>
          <c:idx val="0"/>
          <c:order val="1"/>
          <c:tx>
            <c:strRef>
              <c:f>nereproduktivie!$A$25</c:f>
              <c:strCache>
                <c:ptCount val="1"/>
                <c:pt idx="0">
                  <c:v>Nereproduktīvie audi un šūnas 2015.gads</c:v>
                </c:pt>
              </c:strCache>
            </c:strRef>
          </c:tx>
          <c:spPr>
            <a:solidFill>
              <a:schemeClr val="bg1">
                <a:lumMod val="85000"/>
              </a:schemeClr>
            </a:solidFill>
          </c:spPr>
          <c:invertIfNegative val="0"/>
          <c:dLbls>
            <c:dLbl>
              <c:idx val="0"/>
              <c:layout>
                <c:manualLayout>
                  <c:x val="2.05655499240194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C2-4948-B88C-FF7644405EED}"/>
                </c:ext>
              </c:extLst>
            </c:dLbl>
            <c:dLbl>
              <c:idx val="2"/>
              <c:layout>
                <c:manualLayout>
                  <c:x val="1.3710366616012916E-2"/>
                  <c:y val="-5.94748468695824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C2-4948-B88C-FF7644405EED}"/>
                </c:ext>
              </c:extLst>
            </c:dLbl>
            <c:dLbl>
              <c:idx val="3"/>
              <c:layout>
                <c:manualLayout>
                  <c:x val="1.7003688439475483E-2"/>
                  <c:y val="3.244120032441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C2-4948-B88C-FF7644405EED}"/>
                </c:ext>
              </c:extLst>
            </c:dLbl>
            <c:dLbl>
              <c:idx val="5"/>
              <c:layout>
                <c:manualLayout>
                  <c:x val="1.0282774962009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C2-4948-B88C-FF7644405EED}"/>
                </c:ext>
              </c:extLst>
            </c:dLbl>
            <c:dLbl>
              <c:idx val="6"/>
              <c:layout>
                <c:manualLayout>
                  <c:x val="8.56897913500811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FC2-4948-B88C-FF7644405E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nereproduktivie!$D$26:$J$26</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nereproduktivie!$D$25:$J$25</c:f>
              <c:numCache>
                <c:formatCode>General</c:formatCode>
                <c:ptCount val="7"/>
                <c:pt idx="0">
                  <c:v>233</c:v>
                </c:pt>
                <c:pt idx="1">
                  <c:v>76</c:v>
                </c:pt>
                <c:pt idx="2">
                  <c:v>154</c:v>
                </c:pt>
                <c:pt idx="3">
                  <c:v>199</c:v>
                </c:pt>
                <c:pt idx="4">
                  <c:v>40</c:v>
                </c:pt>
                <c:pt idx="5">
                  <c:v>47</c:v>
                </c:pt>
                <c:pt idx="6">
                  <c:v>151</c:v>
                </c:pt>
              </c:numCache>
            </c:numRef>
          </c:val>
          <c:extLst>
            <c:ext xmlns:c16="http://schemas.microsoft.com/office/drawing/2014/chart" uri="{C3380CC4-5D6E-409C-BE32-E72D297353CC}">
              <c16:uniqueId val="{0000000B-9FC2-4948-B88C-FF7644405EED}"/>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69</c:v>
                </c:pt>
                <c:pt idx="2">
                  <c:v>69</c:v>
                </c:pt>
                <c:pt idx="3">
                  <c:v>69</c:v>
                </c:pt>
                <c:pt idx="4">
                  <c:v>126</c:v>
                </c:pt>
                <c:pt idx="5">
                  <c:v>4</c:v>
                </c:pt>
                <c:pt idx="6">
                  <c:v>63</c:v>
                </c:pt>
                <c:pt idx="7">
                  <c:v>15</c:v>
                </c:pt>
              </c:numCache>
            </c:numRef>
          </c:val>
          <c:extLst>
            <c:ext xmlns:c16="http://schemas.microsoft.com/office/drawing/2014/chart" uri="{C3380CC4-5D6E-409C-BE32-E72D297353CC}">
              <c16:uniqueId val="{00000000-672B-479D-87F5-A508872F26B8}"/>
            </c:ext>
          </c:extLst>
        </c:ser>
        <c:ser>
          <c:idx val="0"/>
          <c:order val="1"/>
          <c:tx>
            <c:strRef>
              <c:f>nereproduktivie!$A$7</c:f>
              <c:strCache>
                <c:ptCount val="1"/>
                <c:pt idx="0">
                  <c:v>Kaulaudi</c:v>
                </c:pt>
              </c:strCache>
            </c:strRef>
          </c:tx>
          <c:spPr>
            <a:solidFill>
              <a:schemeClr val="accent5">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43</c:v>
                </c:pt>
                <c:pt idx="1">
                  <c:v>0</c:v>
                </c:pt>
                <c:pt idx="2">
                  <c:v>0</c:v>
                </c:pt>
                <c:pt idx="3">
                  <c:v>43</c:v>
                </c:pt>
                <c:pt idx="4">
                  <c:v>0</c:v>
                </c:pt>
                <c:pt idx="5">
                  <c:v>0</c:v>
                </c:pt>
                <c:pt idx="6">
                  <c:v>0</c:v>
                </c:pt>
                <c:pt idx="7">
                  <c:v>0</c:v>
                </c:pt>
              </c:numCache>
            </c:numRef>
          </c:val>
          <c:extLst>
            <c:ext xmlns:c16="http://schemas.microsoft.com/office/drawing/2014/chart" uri="{C3380CC4-5D6E-409C-BE32-E72D297353CC}">
              <c16:uniqueId val="{00000001-672B-479D-87F5-A508872F26B8}"/>
            </c:ext>
          </c:extLst>
        </c:ser>
        <c:dLbls>
          <c:dLblPos val="outEnd"/>
          <c:showLegendKey val="0"/>
          <c:showVal val="1"/>
          <c:showCatName val="0"/>
          <c:showSerName val="0"/>
          <c:showPercent val="0"/>
          <c:showBubbleSize val="0"/>
        </c:dLbls>
        <c:gapWidth val="150"/>
        <c:axId val="84468864"/>
        <c:axId val="84470400"/>
      </c:barChart>
      <c:catAx>
        <c:axId val="84468864"/>
        <c:scaling>
          <c:orientation val="minMax"/>
        </c:scaling>
        <c:delete val="0"/>
        <c:axPos val="b"/>
        <c:numFmt formatCode="General" sourceLinked="1"/>
        <c:majorTickMark val="out"/>
        <c:minorTickMark val="none"/>
        <c:tickLblPos val="nextTo"/>
        <c:crossAx val="84470400"/>
        <c:crosses val="autoZero"/>
        <c:auto val="1"/>
        <c:lblAlgn val="ctr"/>
        <c:lblOffset val="100"/>
        <c:noMultiLvlLbl val="0"/>
      </c:catAx>
      <c:valAx>
        <c:axId val="84470400"/>
        <c:scaling>
          <c:orientation val="minMax"/>
        </c:scaling>
        <c:delete val="0"/>
        <c:axPos val="l"/>
        <c:majorGridlines/>
        <c:numFmt formatCode="General" sourceLinked="1"/>
        <c:majorTickMark val="out"/>
        <c:minorTickMark val="none"/>
        <c:tickLblPos val="nextTo"/>
        <c:crossAx val="8446886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14</c:v>
                </c:pt>
                <c:pt idx="2">
                  <c:v>0</c:v>
                </c:pt>
                <c:pt idx="3">
                  <c:v>14</c:v>
                </c:pt>
                <c:pt idx="4">
                  <c:v>14</c:v>
                </c:pt>
                <c:pt idx="5">
                  <c:v>0</c:v>
                </c:pt>
                <c:pt idx="6">
                  <c:v>0</c:v>
                </c:pt>
                <c:pt idx="7">
                  <c:v>14</c:v>
                </c:pt>
              </c:numCache>
            </c:numRef>
          </c:val>
          <c:extLst>
            <c:ext xmlns:c16="http://schemas.microsoft.com/office/drawing/2014/chart" uri="{C3380CC4-5D6E-409C-BE32-E72D297353CC}">
              <c16:uniqueId val="{00000000-C678-4E58-8C43-E1ECC0D81BA0}"/>
            </c:ext>
          </c:extLst>
        </c:ser>
        <c:ser>
          <c:idx val="1"/>
          <c:order val="1"/>
          <c:tx>
            <c:strRef>
              <c:f>nereproduktivie!$A$14</c:f>
              <c:strCache>
                <c:ptCount val="1"/>
                <c:pt idx="0">
                  <c:v>Radzene</c:v>
                </c:pt>
              </c:strCache>
            </c:strRef>
          </c:tx>
          <c:spPr>
            <a:solidFill>
              <a:srgbClr val="C0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5</c:v>
                </c:pt>
                <c:pt idx="1">
                  <c:v>6</c:v>
                </c:pt>
                <c:pt idx="3">
                  <c:v>6</c:v>
                </c:pt>
                <c:pt idx="4">
                  <c:v>5</c:v>
                </c:pt>
                <c:pt idx="5">
                  <c:v>0</c:v>
                </c:pt>
                <c:pt idx="6">
                  <c:v>11</c:v>
                </c:pt>
                <c:pt idx="7">
                  <c:v>0</c:v>
                </c:pt>
              </c:numCache>
            </c:numRef>
          </c:val>
          <c:extLst>
            <c:ext xmlns:c16="http://schemas.microsoft.com/office/drawing/2014/chart" uri="{C3380CC4-5D6E-409C-BE32-E72D297353CC}">
              <c16:uniqueId val="{00000001-C678-4E58-8C43-E1ECC0D81BA0}"/>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C0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0">
                  <c:v>0</c:v>
                </c:pt>
                <c:pt idx="1">
                  <c:v>169</c:v>
                </c:pt>
                <c:pt idx="2">
                  <c:v>38</c:v>
                </c:pt>
                <c:pt idx="3">
                  <c:v>38</c:v>
                </c:pt>
                <c:pt idx="4">
                  <c:v>0</c:v>
                </c:pt>
                <c:pt idx="5">
                  <c:v>0</c:v>
                </c:pt>
                <c:pt idx="6">
                  <c:v>0</c:v>
                </c:pt>
                <c:pt idx="7">
                  <c:v>131</c:v>
                </c:pt>
              </c:numCache>
            </c:numRef>
          </c:val>
          <c:extLst>
            <c:ext xmlns:c16="http://schemas.microsoft.com/office/drawing/2014/chart" uri="{C3380CC4-5D6E-409C-BE32-E72D297353CC}">
              <c16:uniqueId val="{00000000-3C2E-4EC6-805A-573053E7843A}"/>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0">
                  <c:v>0</c:v>
                </c:pt>
                <c:pt idx="1">
                  <c:v>7</c:v>
                </c:pt>
                <c:pt idx="2">
                  <c:v>0</c:v>
                </c:pt>
                <c:pt idx="3">
                  <c:v>0</c:v>
                </c:pt>
                <c:pt idx="4">
                  <c:v>0</c:v>
                </c:pt>
                <c:pt idx="5">
                  <c:v>0</c:v>
                </c:pt>
                <c:pt idx="6">
                  <c:v>0</c:v>
                </c:pt>
                <c:pt idx="7">
                  <c:v>7</c:v>
                </c:pt>
              </c:numCache>
            </c:numRef>
          </c:val>
          <c:extLst>
            <c:ext xmlns:c16="http://schemas.microsoft.com/office/drawing/2014/chart" uri="{C3380CC4-5D6E-409C-BE32-E72D297353CC}">
              <c16:uniqueId val="{00000001-3C2E-4EC6-805A-573053E7843A}"/>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0">
                  <c:v>0</c:v>
                </c:pt>
                <c:pt idx="1">
                  <c:v>38</c:v>
                </c:pt>
                <c:pt idx="2">
                  <c:v>0</c:v>
                </c:pt>
                <c:pt idx="3">
                  <c:v>0</c:v>
                </c:pt>
                <c:pt idx="4">
                  <c:v>38</c:v>
                </c:pt>
                <c:pt idx="5">
                  <c:v>0</c:v>
                </c:pt>
                <c:pt idx="6">
                  <c:v>0</c:v>
                </c:pt>
                <c:pt idx="7">
                  <c:v>0</c:v>
                </c:pt>
              </c:numCache>
            </c:numRef>
          </c:val>
          <c:extLst>
            <c:ext xmlns:c16="http://schemas.microsoft.com/office/drawing/2014/chart" uri="{C3380CC4-5D6E-409C-BE32-E72D297353CC}">
              <c16:uniqueId val="{00000002-3C2E-4EC6-805A-573053E7843A}"/>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076887868580462E-2"/>
          <c:y val="3.5330213794874686E-2"/>
          <c:w val="0.8076006779806475"/>
          <c:h val="0.6479008262392022"/>
        </c:manualLayout>
      </c:layout>
      <c:barChart>
        <c:barDir val="col"/>
        <c:grouping val="clustered"/>
        <c:varyColors val="0"/>
        <c:ser>
          <c:idx val="1"/>
          <c:order val="0"/>
          <c:tx>
            <c:strRef>
              <c:f>nereproduktivie!$A$15</c:f>
              <c:strCache>
                <c:ptCount val="1"/>
                <c:pt idx="0">
                  <c:v>Kaula smadzenes (ieguve)</c:v>
                </c:pt>
              </c:strCache>
            </c:strRef>
          </c:tx>
          <c:spPr>
            <a:solidFill>
              <a:schemeClr val="accent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nereproduktivie!$C$15:$J$15</c:f>
              <c:numCache>
                <c:formatCode>General</c:formatCode>
                <c:ptCount val="8"/>
                <c:pt idx="0">
                  <c:v>0</c:v>
                </c:pt>
                <c:pt idx="1">
                  <c:v>29</c:v>
                </c:pt>
                <c:pt idx="2">
                  <c:v>0</c:v>
                </c:pt>
                <c:pt idx="3">
                  <c:v>0</c:v>
                </c:pt>
                <c:pt idx="4">
                  <c:v>0</c:v>
                </c:pt>
                <c:pt idx="5">
                  <c:v>0</c:v>
                </c:pt>
                <c:pt idx="6">
                  <c:v>29</c:v>
                </c:pt>
                <c:pt idx="7">
                  <c:v>0</c:v>
                </c:pt>
              </c:numCache>
            </c:numRef>
          </c:val>
          <c:extLst>
            <c:ext xmlns:c16="http://schemas.microsoft.com/office/drawing/2014/chart" uri="{C3380CC4-5D6E-409C-BE32-E72D297353CC}">
              <c16:uniqueId val="{00000000-169B-45D9-A17E-19E4213AE660}"/>
            </c:ext>
          </c:extLst>
        </c:ser>
        <c:ser>
          <c:idx val="2"/>
          <c:order val="1"/>
          <c:tx>
            <c:strRef>
              <c:f>nereproduktivie!$A$20</c:f>
              <c:strCache>
                <c:ptCount val="1"/>
                <c:pt idx="0">
                  <c:v>Locītavu veidojošie kaulaudi un skrimšļaudi (ieguve)</c:v>
                </c:pt>
              </c:strCache>
            </c:strRef>
          </c:tx>
          <c:spPr>
            <a:solidFill>
              <a:schemeClr val="accent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nereproduktivie!$C$20:$J$20</c:f>
              <c:numCache>
                <c:formatCode>General</c:formatCode>
                <c:ptCount val="8"/>
                <c:pt idx="0">
                  <c:v>0</c:v>
                </c:pt>
                <c:pt idx="1">
                  <c:v>2</c:v>
                </c:pt>
                <c:pt idx="2">
                  <c:v>0</c:v>
                </c:pt>
                <c:pt idx="3">
                  <c:v>0</c:v>
                </c:pt>
                <c:pt idx="4">
                  <c:v>0</c:v>
                </c:pt>
                <c:pt idx="5">
                  <c:v>0</c:v>
                </c:pt>
                <c:pt idx="6">
                  <c:v>0</c:v>
                </c:pt>
                <c:pt idx="7">
                  <c:v>2</c:v>
                </c:pt>
              </c:numCache>
            </c:numRef>
          </c:val>
          <c:extLst>
            <c:ext xmlns:c16="http://schemas.microsoft.com/office/drawing/2014/chart" uri="{C3380CC4-5D6E-409C-BE32-E72D297353CC}">
              <c16:uniqueId val="{00000001-169B-45D9-A17E-19E4213AE660}"/>
            </c:ext>
          </c:extLst>
        </c:ser>
        <c:ser>
          <c:idx val="0"/>
          <c:order val="2"/>
          <c:tx>
            <c:strRef>
              <c:f>nereproduktivie!$A$19</c:f>
              <c:strCache>
                <c:ptCount val="1"/>
                <c:pt idx="0">
                  <c:v>Placenta (ieguve)</c:v>
                </c:pt>
              </c:strCache>
            </c:strRef>
          </c:tx>
          <c:spPr>
            <a:solidFill>
              <a:schemeClr val="accent6"/>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nereproduktivie!$C$19:$J$19</c:f>
              <c:numCache>
                <c:formatCode>General</c:formatCode>
                <c:ptCount val="8"/>
                <c:pt idx="0">
                  <c:v>0</c:v>
                </c:pt>
                <c:pt idx="1">
                  <c:v>0</c:v>
                </c:pt>
                <c:pt idx="2">
                  <c:v>0</c:v>
                </c:pt>
                <c:pt idx="3">
                  <c:v>0</c:v>
                </c:pt>
                <c:pt idx="4">
                  <c:v>20</c:v>
                </c:pt>
                <c:pt idx="5">
                  <c:v>0</c:v>
                </c:pt>
                <c:pt idx="6">
                  <c:v>20</c:v>
                </c:pt>
                <c:pt idx="7">
                  <c:v>0</c:v>
                </c:pt>
              </c:numCache>
            </c:numRef>
          </c:val>
          <c:extLst>
            <c:ext xmlns:c16="http://schemas.microsoft.com/office/drawing/2014/chart" uri="{C3380CC4-5D6E-409C-BE32-E72D297353CC}">
              <c16:uniqueId val="{00000002-169B-45D9-A17E-19E4213AE660}"/>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layout>
        <c:manualLayout>
          <c:xMode val="edge"/>
          <c:yMode val="edge"/>
          <c:x val="0.17170746708432563"/>
          <c:y val="0.83744498524796573"/>
          <c:w val="0.48038147138964576"/>
          <c:h val="0.1339153966136094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reproduktivie_2016_2015!$B$9</c:f>
              <c:strCache>
                <c:ptCount val="1"/>
                <c:pt idx="0">
                  <c:v>2016.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reproduktivie_2016_2015!$D$9:$G$9</c:f>
              <c:numCache>
                <c:formatCode>General</c:formatCode>
                <c:ptCount val="4"/>
                <c:pt idx="0">
                  <c:v>1919</c:v>
                </c:pt>
                <c:pt idx="1">
                  <c:v>36</c:v>
                </c:pt>
                <c:pt idx="2">
                  <c:v>23325</c:v>
                </c:pt>
                <c:pt idx="3">
                  <c:v>13673</c:v>
                </c:pt>
              </c:numCache>
            </c:numRef>
          </c:val>
          <c:extLst>
            <c:ext xmlns:c16="http://schemas.microsoft.com/office/drawing/2014/chart" uri="{C3380CC4-5D6E-409C-BE32-E72D297353CC}">
              <c16:uniqueId val="{00000000-D8BB-4812-916E-FC7AE94B03B0}"/>
            </c:ext>
          </c:extLst>
        </c:ser>
        <c:ser>
          <c:idx val="1"/>
          <c:order val="1"/>
          <c:tx>
            <c:strRef>
              <c:f>reproduktivie_2016_2015!$B$11</c:f>
              <c:strCache>
                <c:ptCount val="1"/>
                <c:pt idx="0">
                  <c:v>2015.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reproduktivie_2016_2015!$D$11:$G$11</c:f>
              <c:numCache>
                <c:formatCode>General</c:formatCode>
                <c:ptCount val="4"/>
                <c:pt idx="0">
                  <c:v>1970</c:v>
                </c:pt>
                <c:pt idx="1">
                  <c:v>30</c:v>
                </c:pt>
                <c:pt idx="2">
                  <c:v>23382</c:v>
                </c:pt>
                <c:pt idx="3">
                  <c:v>13434</c:v>
                </c:pt>
              </c:numCache>
            </c:numRef>
          </c:val>
          <c:extLst>
            <c:ext xmlns:c16="http://schemas.microsoft.com/office/drawing/2014/chart" uri="{C3380CC4-5D6E-409C-BE32-E72D297353CC}">
              <c16:uniqueId val="{00000001-D8BB-4812-916E-FC7AE94B03B0}"/>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reproduktivie_2016_2015!$B$107</c:f>
              <c:strCache>
                <c:ptCount val="1"/>
                <c:pt idx="0">
                  <c:v>2016.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reproduktivie_2016_2015!$C$107:$E$107</c:f>
              <c:numCache>
                <c:formatCode>General</c:formatCode>
                <c:ptCount val="3"/>
                <c:pt idx="0">
                  <c:v>1532</c:v>
                </c:pt>
                <c:pt idx="1">
                  <c:v>1356</c:v>
                </c:pt>
                <c:pt idx="2">
                  <c:v>5723</c:v>
                </c:pt>
              </c:numCache>
            </c:numRef>
          </c:val>
          <c:extLst>
            <c:ext xmlns:c16="http://schemas.microsoft.com/office/drawing/2014/chart" uri="{C3380CC4-5D6E-409C-BE32-E72D297353CC}">
              <c16:uniqueId val="{00000000-45D9-4E6E-A98C-9685769D042E}"/>
            </c:ext>
          </c:extLst>
        </c:ser>
        <c:ser>
          <c:idx val="2"/>
          <c:order val="1"/>
          <c:tx>
            <c:strRef>
              <c:f>reproduktivie_2016_2015!$B$109</c:f>
              <c:strCache>
                <c:ptCount val="1"/>
                <c:pt idx="0">
                  <c:v>2015.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reproduktivie_2016_2015!$C$109:$E$109</c:f>
              <c:numCache>
                <c:formatCode>General</c:formatCode>
                <c:ptCount val="3"/>
                <c:pt idx="0">
                  <c:v>1449</c:v>
                </c:pt>
                <c:pt idx="1">
                  <c:v>1207</c:v>
                </c:pt>
                <c:pt idx="2">
                  <c:v>5572</c:v>
                </c:pt>
              </c:numCache>
            </c:numRef>
          </c:val>
          <c:extLst>
            <c:ext xmlns:c16="http://schemas.microsoft.com/office/drawing/2014/chart" uri="{C3380CC4-5D6E-409C-BE32-E72D297353CC}">
              <c16:uniqueId val="{00000001-45D9-4E6E-A98C-9685769D042E}"/>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reproduktivie_2016_2015!$B$158</c:f>
              <c:strCache>
                <c:ptCount val="1"/>
                <c:pt idx="0">
                  <c:v>2015. gads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1772</c:v>
                </c:pt>
                <c:pt idx="1">
                  <c:v>24</c:v>
                </c:pt>
                <c:pt idx="2">
                  <c:v>511</c:v>
                </c:pt>
                <c:pt idx="3">
                  <c:v>19038</c:v>
                </c:pt>
                <c:pt idx="4">
                  <c:v>839</c:v>
                </c:pt>
                <c:pt idx="5">
                  <c:v>2454</c:v>
                </c:pt>
                <c:pt idx="6">
                  <c:v>1611</c:v>
                </c:pt>
              </c:numCache>
            </c:numRef>
          </c:val>
          <c:extLst>
            <c:ext xmlns:c16="http://schemas.microsoft.com/office/drawing/2014/chart" uri="{C3380CC4-5D6E-409C-BE32-E72D297353CC}">
              <c16:uniqueId val="{00000000-ECA9-4BD3-9584-097107C5D431}"/>
            </c:ext>
          </c:extLst>
        </c:ser>
        <c:ser>
          <c:idx val="2"/>
          <c:order val="1"/>
          <c:tx>
            <c:strRef>
              <c:f>reproduktivie_2016_2015!$B$156</c:f>
              <c:strCache>
                <c:ptCount val="1"/>
                <c:pt idx="0">
                  <c:v>2016.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1845</c:v>
                </c:pt>
                <c:pt idx="1">
                  <c:v>25</c:v>
                </c:pt>
                <c:pt idx="2" formatCode="0">
                  <c:v>567</c:v>
                </c:pt>
                <c:pt idx="3">
                  <c:v>18386</c:v>
                </c:pt>
                <c:pt idx="4">
                  <c:v>1000</c:v>
                </c:pt>
                <c:pt idx="5">
                  <c:v>2133</c:v>
                </c:pt>
                <c:pt idx="6">
                  <c:v>1650</c:v>
                </c:pt>
              </c:numCache>
            </c:numRef>
          </c:val>
          <c:extLst>
            <c:ext xmlns:c16="http://schemas.microsoft.com/office/drawing/2014/chart" uri="{C3380CC4-5D6E-409C-BE32-E72D297353CC}">
              <c16:uniqueId val="{00000001-ECA9-4BD3-9584-097107C5D431}"/>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39771087704945973"/>
          <c:y val="0.93887743991920847"/>
          <c:w val="0.20457810955448752"/>
          <c:h val="6.11225600807915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2</cp:revision>
  <cp:lastPrinted>2017-12-20T10:47:00Z</cp:lastPrinted>
  <dcterms:created xsi:type="dcterms:W3CDTF">2020-11-23T06:41:00Z</dcterms:created>
  <dcterms:modified xsi:type="dcterms:W3CDTF">2020-11-23T06:41:00Z</dcterms:modified>
</cp:coreProperties>
</file>