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AB4939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AB4939" w14:paraId="5F2F09F9" w14:textId="76E2C80C" w:rsidTr="003F62E1">
        <w:trPr>
          <w:trHeight w:val="306"/>
        </w:trPr>
        <w:tc>
          <w:tcPr>
            <w:tcW w:w="8534" w:type="dxa"/>
            <w:gridSpan w:val="5"/>
          </w:tcPr>
          <w:p w14:paraId="71081C35" w14:textId="22E55095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AB49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2178C1" w14:textId="77777777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B30574" w:rsidRPr="00AC1984" w14:paraId="5C0E85DF" w14:textId="77777777" w:rsidTr="005019D1">
        <w:trPr>
          <w:trHeight w:val="306"/>
        </w:trPr>
        <w:tc>
          <w:tcPr>
            <w:tcW w:w="1305" w:type="dxa"/>
          </w:tcPr>
          <w:p w14:paraId="65A57547" w14:textId="654D26D9" w:rsidR="00B30574" w:rsidRPr="00AC1984" w:rsidRDefault="00B30574" w:rsidP="005019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</w:t>
            </w:r>
            <w:r w:rsidR="00246765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276" w:type="dxa"/>
          </w:tcPr>
          <w:p w14:paraId="17910454" w14:textId="424C7BE5" w:rsidR="00B30574" w:rsidRPr="00AC1984" w:rsidRDefault="0010547D" w:rsidP="005019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009DB">
              <w:rPr>
                <w:rFonts w:ascii="Times New Roman" w:hAnsi="Times New Roman"/>
                <w:sz w:val="20"/>
                <w:szCs w:val="20"/>
              </w:rPr>
              <w:t>3</w:t>
            </w:r>
            <w:r w:rsidR="00B30574" w:rsidRPr="00AC1984">
              <w:rPr>
                <w:rFonts w:ascii="Times New Roman" w:hAnsi="Times New Roman"/>
                <w:sz w:val="20"/>
                <w:szCs w:val="20"/>
              </w:rPr>
              <w:t>.1</w:t>
            </w:r>
            <w:r w:rsidR="00B30574">
              <w:rPr>
                <w:rFonts w:ascii="Times New Roman" w:hAnsi="Times New Roman"/>
                <w:sz w:val="20"/>
                <w:szCs w:val="20"/>
              </w:rPr>
              <w:t>2</w:t>
            </w:r>
            <w:r w:rsidR="00B30574" w:rsidRPr="00AC1984">
              <w:rPr>
                <w:rFonts w:ascii="Times New Roman" w:hAnsi="Times New Roman"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315FD4B2" w14:textId="4717A370" w:rsidR="00B30574" w:rsidRPr="00AC1984" w:rsidRDefault="00B30574" w:rsidP="005019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15</w:t>
            </w:r>
            <w:r w:rsidR="004009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14:paraId="446F83C2" w14:textId="7BFD8752" w:rsidR="00B30574" w:rsidRPr="00AC1984" w:rsidRDefault="00343EDE" w:rsidP="005019D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Skolas iela 4A, Ikšķile, Ogres novads</w:t>
            </w:r>
          </w:p>
        </w:tc>
        <w:tc>
          <w:tcPr>
            <w:tcW w:w="1843" w:type="dxa"/>
          </w:tcPr>
          <w:p w14:paraId="051E942E" w14:textId="1468AD59" w:rsidR="00B30574" w:rsidRPr="00AC1984" w:rsidRDefault="00B30574" w:rsidP="005019D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Aptiekas nosaukuma (no </w:t>
            </w:r>
            <w:r w:rsidR="004009DB">
              <w:rPr>
                <w:rFonts w:ascii="Times New Roman" w:hAnsi="Times New Roman"/>
                <w:sz w:val="20"/>
                <w:szCs w:val="20"/>
              </w:rPr>
              <w:t>Mēness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aptieka</w:t>
            </w:r>
            <w:r w:rsidR="002A72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9DB">
              <w:rPr>
                <w:rFonts w:ascii="Times New Roman" w:hAnsi="Times New Roman"/>
                <w:sz w:val="20"/>
                <w:szCs w:val="20"/>
              </w:rPr>
              <w:t>Ikšķilē</w:t>
            </w:r>
            <w:r>
              <w:rPr>
                <w:rFonts w:ascii="Times New Roman" w:hAnsi="Times New Roman"/>
                <w:sz w:val="20"/>
                <w:szCs w:val="20"/>
              </w:rPr>
              <w:t>) maiņa,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 FDV adreses </w:t>
            </w:r>
            <w:r w:rsidR="004009DB">
              <w:rPr>
                <w:rFonts w:ascii="Times New Roman" w:eastAsia="Times New Roman" w:hAnsi="Times New Roman"/>
                <w:sz w:val="20"/>
                <w:szCs w:val="20"/>
              </w:rPr>
              <w:t xml:space="preserve">pieraksta precizēšana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saskaņā ar Administratīvo teritoriju un apdzīvoto vietu likumu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9DB">
              <w:rPr>
                <w:rFonts w:ascii="Times New Roman" w:hAnsi="Times New Roman"/>
                <w:sz w:val="20"/>
                <w:szCs w:val="20"/>
              </w:rPr>
              <w:t xml:space="preserve"> (iepriekš </w:t>
            </w:r>
            <w:r w:rsidR="004009DB" w:rsidRPr="004009DB">
              <w:rPr>
                <w:rFonts w:ascii="Times New Roman" w:hAnsi="Times New Roman"/>
                <w:sz w:val="20"/>
                <w:szCs w:val="20"/>
              </w:rPr>
              <w:t>APN-426/11</w:t>
            </w:r>
            <w:r w:rsidR="004009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1274F01" w14:textId="3269EAAA" w:rsidR="00B30574" w:rsidRPr="00AC1984" w:rsidRDefault="002A722C" w:rsidP="005019D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4009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  <w:r w:rsidR="00B30574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.12.2021.</w:t>
            </w:r>
          </w:p>
        </w:tc>
      </w:tr>
      <w:tr w:rsidR="00B30574" w:rsidRPr="00AC1984" w14:paraId="581A3CAC" w14:textId="77777777" w:rsidTr="003F62E1">
        <w:trPr>
          <w:trHeight w:val="306"/>
        </w:trPr>
        <w:tc>
          <w:tcPr>
            <w:tcW w:w="1305" w:type="dxa"/>
          </w:tcPr>
          <w:p w14:paraId="2762A9CD" w14:textId="25BE517D" w:rsidR="00B30574" w:rsidRDefault="002A722C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343EDE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276" w:type="dxa"/>
          </w:tcPr>
          <w:p w14:paraId="0F18D6CC" w14:textId="37FC6D87" w:rsidR="00B30574" w:rsidRDefault="00394FB8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43ED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.12.2021.</w:t>
            </w:r>
          </w:p>
        </w:tc>
        <w:tc>
          <w:tcPr>
            <w:tcW w:w="2127" w:type="dxa"/>
          </w:tcPr>
          <w:p w14:paraId="46F501DD" w14:textId="255F116D" w:rsidR="00B30574" w:rsidRPr="00B30574" w:rsidRDefault="00343EDE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Sabiedrības ar ierobežotu atbildību 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Alante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” Salacas aptieka</w:t>
            </w:r>
          </w:p>
        </w:tc>
        <w:tc>
          <w:tcPr>
            <w:tcW w:w="1983" w:type="dxa"/>
          </w:tcPr>
          <w:p w14:paraId="40554624" w14:textId="2770970B" w:rsidR="00B30574" w:rsidRDefault="00343EDE" w:rsidP="006015A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Briežu iela 11-2, Salacgrīva, </w:t>
            </w:r>
            <w:r w:rsidR="003B4F5B">
              <w:rPr>
                <w:rFonts w:ascii="Times New Roman" w:eastAsiaTheme="minorHAnsi" w:hAnsi="Times New Roman"/>
                <w:sz w:val="20"/>
                <w:szCs w:val="20"/>
              </w:rPr>
              <w:t>Limbažu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novads</w:t>
            </w:r>
          </w:p>
        </w:tc>
        <w:tc>
          <w:tcPr>
            <w:tcW w:w="1843" w:type="dxa"/>
          </w:tcPr>
          <w:p w14:paraId="2270982A" w14:textId="5444B0B7" w:rsidR="00B30574" w:rsidRDefault="00343EDE" w:rsidP="006015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Licences turētāja </w:t>
            </w:r>
            <w:r w:rsidR="003B4F5B">
              <w:rPr>
                <w:rFonts w:ascii="Times New Roman" w:eastAsia="Times New Roman" w:hAnsi="Times New Roman"/>
                <w:sz w:val="20"/>
                <w:szCs w:val="20"/>
              </w:rPr>
              <w:t>un aptiekas nosaukuma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(no</w:t>
            </w:r>
            <w:r w:rsidR="003B4F5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B4F5B" w:rsidRPr="003B4F5B">
              <w:rPr>
                <w:rFonts w:ascii="Times New Roman" w:eastAsia="Times New Roman" w:hAnsi="Times New Roman"/>
                <w:sz w:val="20"/>
                <w:szCs w:val="20"/>
              </w:rPr>
              <w:t>M.</w:t>
            </w:r>
            <w:r w:rsidR="003B4F5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B4F5B" w:rsidRPr="003B4F5B">
              <w:rPr>
                <w:rFonts w:ascii="Times New Roman" w:eastAsia="Times New Roman" w:hAnsi="Times New Roman"/>
                <w:sz w:val="20"/>
                <w:szCs w:val="20"/>
              </w:rPr>
              <w:t>Liepiņas ārstniecisko pakalpojumu uzņēmum</w:t>
            </w:r>
            <w:r w:rsidR="003B4F5B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3B4F5B" w:rsidRPr="003B4F5B">
              <w:rPr>
                <w:rFonts w:ascii="Times New Roman" w:eastAsia="Times New Roman" w:hAnsi="Times New Roman"/>
                <w:sz w:val="20"/>
                <w:szCs w:val="20"/>
              </w:rPr>
              <w:t xml:space="preserve"> “LIEP” SIA</w:t>
            </w:r>
            <w:r w:rsidR="003B4F5B">
              <w:rPr>
                <w:rFonts w:ascii="Times New Roman" w:eastAsia="Times New Roman" w:hAnsi="Times New Roman"/>
                <w:sz w:val="20"/>
                <w:szCs w:val="20"/>
              </w:rPr>
              <w:t xml:space="preserve"> aptieka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="003B4F5B">
              <w:rPr>
                <w:rFonts w:ascii="Times New Roman" w:eastAsia="Times New Roman" w:hAnsi="Times New Roman"/>
                <w:sz w:val="20"/>
                <w:szCs w:val="20"/>
              </w:rPr>
              <w:t xml:space="preserve"> maiņa, juridiskās adreses (no Briežu iela 11, Salacgrīva, Salacgrīvas novads)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maiņa, </w:t>
            </w:r>
            <w:r w:rsidR="002A722C"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FDV adreses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pieraksta precizēšana</w:t>
            </w:r>
            <w:r w:rsidR="002A722C"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 saskaņā ar Administratīvo teritoriju un apdzīvoto vietu likumu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(iepriekš </w:t>
            </w:r>
            <w:r w:rsidRPr="00343EDE">
              <w:rPr>
                <w:rFonts w:ascii="Times New Roman" w:eastAsia="Times New Roman" w:hAnsi="Times New Roman"/>
                <w:sz w:val="20"/>
                <w:szCs w:val="20"/>
              </w:rPr>
              <w:t>AP-863/2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48A48DE" w14:textId="02AA963A" w:rsidR="00B30574" w:rsidRDefault="00394FB8" w:rsidP="006015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343ED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.12.2021.</w:t>
            </w:r>
          </w:p>
        </w:tc>
      </w:tr>
      <w:tr w:rsidR="006015A5" w:rsidRPr="00AC1984" w14:paraId="63F5EF13" w14:textId="77777777" w:rsidTr="003F62E1">
        <w:trPr>
          <w:trHeight w:val="306"/>
        </w:trPr>
        <w:tc>
          <w:tcPr>
            <w:tcW w:w="1305" w:type="dxa"/>
          </w:tcPr>
          <w:p w14:paraId="0528825F" w14:textId="7DB4FD69" w:rsidR="006015A5" w:rsidRPr="00AC1984" w:rsidRDefault="006015A5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</w:t>
            </w:r>
            <w:r w:rsidR="00246765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276" w:type="dxa"/>
          </w:tcPr>
          <w:p w14:paraId="7E1E1797" w14:textId="0E907AD5" w:rsidR="006015A5" w:rsidRPr="00AC1984" w:rsidRDefault="002A722C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46765">
              <w:rPr>
                <w:rFonts w:ascii="Times New Roman" w:hAnsi="Times New Roman"/>
                <w:sz w:val="20"/>
                <w:szCs w:val="20"/>
              </w:rPr>
              <w:t>3</w:t>
            </w:r>
            <w:r w:rsidR="006015A5" w:rsidRPr="00AC1984">
              <w:rPr>
                <w:rFonts w:ascii="Times New Roman" w:hAnsi="Times New Roman"/>
                <w:sz w:val="20"/>
                <w:szCs w:val="20"/>
              </w:rPr>
              <w:t>.1</w:t>
            </w:r>
            <w:r w:rsidR="001123E7">
              <w:rPr>
                <w:rFonts w:ascii="Times New Roman" w:hAnsi="Times New Roman"/>
                <w:sz w:val="20"/>
                <w:szCs w:val="20"/>
              </w:rPr>
              <w:t>2</w:t>
            </w:r>
            <w:r w:rsidR="006015A5" w:rsidRPr="00AC1984">
              <w:rPr>
                <w:rFonts w:ascii="Times New Roman" w:hAnsi="Times New Roman"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37BF054" w14:textId="724D6980" w:rsidR="006015A5" w:rsidRPr="004009DB" w:rsidRDefault="00246765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09DB">
              <w:rPr>
                <w:rFonts w:ascii="Times New Roman" w:eastAsia="Times New Roman" w:hAnsi="Times New Roman"/>
                <w:sz w:val="20"/>
                <w:szCs w:val="20"/>
              </w:rPr>
              <w:t>Apotheka</w:t>
            </w:r>
            <w:proofErr w:type="spellEnd"/>
            <w:r w:rsidRPr="004009DB">
              <w:rPr>
                <w:rFonts w:ascii="Times New Roman" w:eastAsia="Times New Roman" w:hAnsi="Times New Roman"/>
                <w:sz w:val="20"/>
                <w:szCs w:val="20"/>
              </w:rPr>
              <w:t xml:space="preserve"> SIA</w:t>
            </w:r>
            <w:r w:rsidRPr="004009D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09DB">
              <w:rPr>
                <w:rFonts w:ascii="Times New Roman" w:eastAsia="Times New Roman" w:hAnsi="Times New Roman"/>
                <w:sz w:val="20"/>
                <w:szCs w:val="20"/>
              </w:rPr>
              <w:t>Apotheka</w:t>
            </w:r>
            <w:proofErr w:type="spellEnd"/>
            <w:r w:rsidRPr="004009DB">
              <w:rPr>
                <w:rFonts w:ascii="Times New Roman" w:eastAsia="Times New Roman" w:hAnsi="Times New Roman"/>
                <w:sz w:val="20"/>
                <w:szCs w:val="20"/>
              </w:rPr>
              <w:t xml:space="preserve"> 41</w:t>
            </w:r>
          </w:p>
        </w:tc>
        <w:tc>
          <w:tcPr>
            <w:tcW w:w="1983" w:type="dxa"/>
          </w:tcPr>
          <w:p w14:paraId="24BFC17A" w14:textId="2C1F2B08" w:rsidR="006015A5" w:rsidRPr="004009DB" w:rsidRDefault="00246765" w:rsidP="006015A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09DB">
              <w:rPr>
                <w:rFonts w:ascii="Times New Roman" w:eastAsia="Times New Roman" w:hAnsi="Times New Roman"/>
                <w:sz w:val="20"/>
                <w:szCs w:val="20"/>
              </w:rPr>
              <w:t>Mūkusalas iela 71, Rīga</w:t>
            </w:r>
          </w:p>
        </w:tc>
        <w:tc>
          <w:tcPr>
            <w:tcW w:w="1843" w:type="dxa"/>
          </w:tcPr>
          <w:p w14:paraId="6B6E1B91" w14:textId="78BFEE1C" w:rsidR="006015A5" w:rsidRPr="004009DB" w:rsidRDefault="00246765" w:rsidP="006015A5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4009DB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4009DB">
              <w:rPr>
                <w:rFonts w:ascii="Times New Roman" w:eastAsia="Times New Roman" w:hAnsi="Times New Roman"/>
                <w:sz w:val="20"/>
                <w:szCs w:val="20"/>
              </w:rPr>
              <w:t>peciālās darbības nosacījuma – zāļu izgatavošana aptiekā – darbības atjaunošan</w:t>
            </w:r>
            <w:r w:rsidRPr="004009DB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14:paraId="7A2476FE" w14:textId="07F6BFBB" w:rsidR="006015A5" w:rsidRPr="004009DB" w:rsidRDefault="004009DB" w:rsidP="006015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4009DB">
              <w:rPr>
                <w:rFonts w:ascii="Times New Roman" w:eastAsia="Times New Roman" w:hAnsi="Times New Roman"/>
                <w:sz w:val="20"/>
                <w:szCs w:val="20"/>
              </w:rPr>
              <w:t>ēmums stājas spēkā ar brīdi, kad tas paziņots adresātam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bookmarkEnd w:id="0"/>
      <w:bookmarkEnd w:id="1"/>
    </w:tbl>
    <w:p w14:paraId="6844B33E" w14:textId="77777777" w:rsidR="000014F1" w:rsidRPr="006D563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6D563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635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6D5635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268FC801" w:rsidR="000014F1" w:rsidRPr="006D5635" w:rsidRDefault="00A53FC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0E6BAE70" w:rsidR="00A73910" w:rsidRPr="00A73910" w:rsidRDefault="003B4F5B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53FC5" w:rsidRPr="00C87650">
          <w:rPr>
            <w:rStyle w:val="Hyperlink"/>
            <w:sz w:val="16"/>
            <w:szCs w:val="16"/>
          </w:rPr>
          <w:t>Ineta.Zaščirinska@zva.gov.lv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1146"/>
    <w:rsid w:val="00140F88"/>
    <w:rsid w:val="001429E8"/>
    <w:rsid w:val="00143E60"/>
    <w:rsid w:val="00144C6D"/>
    <w:rsid w:val="00146F60"/>
    <w:rsid w:val="00157162"/>
    <w:rsid w:val="001678C0"/>
    <w:rsid w:val="00170432"/>
    <w:rsid w:val="00172C27"/>
    <w:rsid w:val="00184ED3"/>
    <w:rsid w:val="00185F3C"/>
    <w:rsid w:val="00186359"/>
    <w:rsid w:val="0019113C"/>
    <w:rsid w:val="001A256A"/>
    <w:rsid w:val="001A3272"/>
    <w:rsid w:val="001A5B98"/>
    <w:rsid w:val="001A7530"/>
    <w:rsid w:val="001B6116"/>
    <w:rsid w:val="001B64B5"/>
    <w:rsid w:val="001C0329"/>
    <w:rsid w:val="001C0608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117F"/>
    <w:rsid w:val="002517B5"/>
    <w:rsid w:val="00252016"/>
    <w:rsid w:val="00254ED1"/>
    <w:rsid w:val="002612B0"/>
    <w:rsid w:val="00262C61"/>
    <w:rsid w:val="00264EC2"/>
    <w:rsid w:val="00270793"/>
    <w:rsid w:val="00270F98"/>
    <w:rsid w:val="00280C54"/>
    <w:rsid w:val="00284231"/>
    <w:rsid w:val="002846D4"/>
    <w:rsid w:val="00285350"/>
    <w:rsid w:val="00285BE1"/>
    <w:rsid w:val="0028680A"/>
    <w:rsid w:val="00291665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3ED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25F2"/>
    <w:rsid w:val="00373DCC"/>
    <w:rsid w:val="003741C3"/>
    <w:rsid w:val="00376532"/>
    <w:rsid w:val="0037780D"/>
    <w:rsid w:val="003821D6"/>
    <w:rsid w:val="003853F0"/>
    <w:rsid w:val="00385A45"/>
    <w:rsid w:val="00387A3F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C29"/>
    <w:rsid w:val="003F044B"/>
    <w:rsid w:val="003F621A"/>
    <w:rsid w:val="003F62E1"/>
    <w:rsid w:val="004009DA"/>
    <w:rsid w:val="004009DB"/>
    <w:rsid w:val="004059D9"/>
    <w:rsid w:val="00410F78"/>
    <w:rsid w:val="004169CC"/>
    <w:rsid w:val="00420F22"/>
    <w:rsid w:val="0042108B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2950"/>
    <w:rsid w:val="004951B5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7611"/>
    <w:rsid w:val="0056007D"/>
    <w:rsid w:val="00563A29"/>
    <w:rsid w:val="005710F9"/>
    <w:rsid w:val="00573B8A"/>
    <w:rsid w:val="00581F4E"/>
    <w:rsid w:val="005839DC"/>
    <w:rsid w:val="00585032"/>
    <w:rsid w:val="0059060B"/>
    <w:rsid w:val="005922B7"/>
    <w:rsid w:val="00594D49"/>
    <w:rsid w:val="005A2490"/>
    <w:rsid w:val="005A7B91"/>
    <w:rsid w:val="005B075C"/>
    <w:rsid w:val="005B1C47"/>
    <w:rsid w:val="005C1C60"/>
    <w:rsid w:val="005C1CC4"/>
    <w:rsid w:val="005C4A67"/>
    <w:rsid w:val="005E1245"/>
    <w:rsid w:val="005E6244"/>
    <w:rsid w:val="005E631E"/>
    <w:rsid w:val="005E6D9F"/>
    <w:rsid w:val="005E6F4D"/>
    <w:rsid w:val="006015A5"/>
    <w:rsid w:val="006020E7"/>
    <w:rsid w:val="00604CE2"/>
    <w:rsid w:val="00604E25"/>
    <w:rsid w:val="00604FB6"/>
    <w:rsid w:val="00611149"/>
    <w:rsid w:val="0062228F"/>
    <w:rsid w:val="006242A1"/>
    <w:rsid w:val="006248FE"/>
    <w:rsid w:val="00631A72"/>
    <w:rsid w:val="00632F41"/>
    <w:rsid w:val="0063773C"/>
    <w:rsid w:val="00641096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45DF"/>
    <w:rsid w:val="006B6EBC"/>
    <w:rsid w:val="006C14AF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A0B"/>
    <w:rsid w:val="00866CB3"/>
    <w:rsid w:val="00871D06"/>
    <w:rsid w:val="00873554"/>
    <w:rsid w:val="008778DC"/>
    <w:rsid w:val="00880B12"/>
    <w:rsid w:val="00882AF2"/>
    <w:rsid w:val="00885772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7C67"/>
    <w:rsid w:val="0093093A"/>
    <w:rsid w:val="00931522"/>
    <w:rsid w:val="00933F14"/>
    <w:rsid w:val="00940D33"/>
    <w:rsid w:val="00940F47"/>
    <w:rsid w:val="00941065"/>
    <w:rsid w:val="00942110"/>
    <w:rsid w:val="009526A3"/>
    <w:rsid w:val="009548A0"/>
    <w:rsid w:val="009575C1"/>
    <w:rsid w:val="009612FF"/>
    <w:rsid w:val="00962B3F"/>
    <w:rsid w:val="00965C15"/>
    <w:rsid w:val="009661D1"/>
    <w:rsid w:val="009671E6"/>
    <w:rsid w:val="0097102B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10491"/>
    <w:rsid w:val="00A106EC"/>
    <w:rsid w:val="00A1199A"/>
    <w:rsid w:val="00A12144"/>
    <w:rsid w:val="00A154BB"/>
    <w:rsid w:val="00A24221"/>
    <w:rsid w:val="00A348DB"/>
    <w:rsid w:val="00A37CD9"/>
    <w:rsid w:val="00A42A3D"/>
    <w:rsid w:val="00A46101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3512"/>
    <w:rsid w:val="00B03F16"/>
    <w:rsid w:val="00B0645F"/>
    <w:rsid w:val="00B1205B"/>
    <w:rsid w:val="00B22284"/>
    <w:rsid w:val="00B23E49"/>
    <w:rsid w:val="00B25DAF"/>
    <w:rsid w:val="00B30574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61C3F"/>
    <w:rsid w:val="00B62023"/>
    <w:rsid w:val="00B62CEE"/>
    <w:rsid w:val="00B650CA"/>
    <w:rsid w:val="00B71F63"/>
    <w:rsid w:val="00B7227D"/>
    <w:rsid w:val="00B76FE2"/>
    <w:rsid w:val="00B81377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7944"/>
    <w:rsid w:val="00C41304"/>
    <w:rsid w:val="00C42E83"/>
    <w:rsid w:val="00C44BBE"/>
    <w:rsid w:val="00C45DA7"/>
    <w:rsid w:val="00C464B8"/>
    <w:rsid w:val="00C509A0"/>
    <w:rsid w:val="00C61BBE"/>
    <w:rsid w:val="00C6745D"/>
    <w:rsid w:val="00C67DAB"/>
    <w:rsid w:val="00C740FC"/>
    <w:rsid w:val="00C7449F"/>
    <w:rsid w:val="00C811AF"/>
    <w:rsid w:val="00C816A3"/>
    <w:rsid w:val="00C9024A"/>
    <w:rsid w:val="00C928F0"/>
    <w:rsid w:val="00C93561"/>
    <w:rsid w:val="00C97491"/>
    <w:rsid w:val="00CA0824"/>
    <w:rsid w:val="00CA1806"/>
    <w:rsid w:val="00CA3337"/>
    <w:rsid w:val="00CA3EAA"/>
    <w:rsid w:val="00CA40B8"/>
    <w:rsid w:val="00CA619C"/>
    <w:rsid w:val="00CA6F3A"/>
    <w:rsid w:val="00CA78A3"/>
    <w:rsid w:val="00CB0B8B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6FA1"/>
    <w:rsid w:val="00DB7BB3"/>
    <w:rsid w:val="00DC264F"/>
    <w:rsid w:val="00DC716C"/>
    <w:rsid w:val="00DD161A"/>
    <w:rsid w:val="00DD1DA6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CBE"/>
    <w:rsid w:val="00E9365F"/>
    <w:rsid w:val="00E95F87"/>
    <w:rsid w:val="00E965F9"/>
    <w:rsid w:val="00E97B2F"/>
    <w:rsid w:val="00E97CE4"/>
    <w:rsid w:val="00EA10F1"/>
    <w:rsid w:val="00EA3BBE"/>
    <w:rsid w:val="00EB16C4"/>
    <w:rsid w:val="00EB57F9"/>
    <w:rsid w:val="00EC06B7"/>
    <w:rsid w:val="00EC675D"/>
    <w:rsid w:val="00ED0FEC"/>
    <w:rsid w:val="00ED4349"/>
    <w:rsid w:val="00ED4631"/>
    <w:rsid w:val="00ED5CA5"/>
    <w:rsid w:val="00ED6955"/>
    <w:rsid w:val="00EE0093"/>
    <w:rsid w:val="00EE34DD"/>
    <w:rsid w:val="00EF224C"/>
    <w:rsid w:val="00EF3D70"/>
    <w:rsid w:val="00EF50EB"/>
    <w:rsid w:val="00EF51E4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352B"/>
    <w:rsid w:val="00F35AC2"/>
    <w:rsid w:val="00F35D11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78C0"/>
    <w:rsid w:val="00FA7FC0"/>
    <w:rsid w:val="00FB2E78"/>
    <w:rsid w:val="00FB3A6D"/>
    <w:rsid w:val="00FC0D63"/>
    <w:rsid w:val="00FC3142"/>
    <w:rsid w:val="00FC3690"/>
    <w:rsid w:val="00FD1F22"/>
    <w:rsid w:val="00FD483E"/>
    <w:rsid w:val="00FD4DAA"/>
    <w:rsid w:val="00FE3F7E"/>
    <w:rsid w:val="00FE60CD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&#353;&#269;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67</cp:revision>
  <cp:lastPrinted>2016-09-15T10:27:00Z</cp:lastPrinted>
  <dcterms:created xsi:type="dcterms:W3CDTF">2021-09-04T12:33:00Z</dcterms:created>
  <dcterms:modified xsi:type="dcterms:W3CDTF">2021-12-14T09:28:00Z</dcterms:modified>
</cp:coreProperties>
</file>