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44" w:rsidRPr="003D7244" w:rsidRDefault="003D7244" w:rsidP="003D724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20"/>
          <w:szCs w:val="24"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08FBD283" wp14:editId="3FC7B060">
            <wp:simplePos x="0" y="0"/>
            <wp:positionH relativeFrom="column">
              <wp:posOffset>-102358</wp:posOffset>
            </wp:positionH>
            <wp:positionV relativeFrom="paragraph">
              <wp:posOffset>-225189</wp:posOffset>
            </wp:positionV>
            <wp:extent cx="1364776" cy="579387"/>
            <wp:effectExtent l="0" t="0" r="698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91" cy="58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244" w:rsidRPr="003D7244" w:rsidRDefault="003D7244" w:rsidP="003D7244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3D7244" w:rsidRPr="003D7244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73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2483A" w:rsidRPr="00C2450C" w:rsidRDefault="00665089" w:rsidP="00F94C2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ind w:left="720"/>
        <w:jc w:val="right"/>
        <w:rPr>
          <w:rFonts w:ascii="Arial" w:hAnsi="Arial" w:cs="Arial"/>
        </w:rPr>
      </w:pPr>
      <w:r>
        <w:rPr>
          <w:rFonts w:ascii="Arial" w:hAnsi="Arial"/>
        </w:rPr>
        <w:t xml:space="preserve">2017. gada </w:t>
      </w:r>
      <w:r w:rsidR="00A93B82">
        <w:rPr>
          <w:rFonts w:ascii="Arial" w:hAnsi="Arial"/>
        </w:rPr>
        <w:t>18</w:t>
      </w:r>
      <w:r>
        <w:rPr>
          <w:rFonts w:ascii="Arial" w:hAnsi="Arial"/>
        </w:rPr>
        <w:t> aprīlī</w:t>
      </w:r>
    </w:p>
    <w:p w:rsidR="00F94C20" w:rsidRPr="00C2450C" w:rsidRDefault="00F94C20" w:rsidP="00F94C20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ind w:left="720"/>
        <w:jc w:val="right"/>
        <w:rPr>
          <w:rFonts w:ascii="Arial" w:hAnsi="Arial" w:cs="Arial"/>
        </w:rPr>
      </w:pPr>
    </w:p>
    <w:p w:rsidR="00C2483A" w:rsidRPr="00C2450C" w:rsidRDefault="00066C7D" w:rsidP="00C2483A">
      <w:pPr>
        <w:keepNext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center"/>
        <w:outlineLvl w:val="3"/>
        <w:rPr>
          <w:rFonts w:ascii="Arial" w:hAnsi="Arial" w:cs="Arial"/>
          <w:b/>
        </w:rPr>
      </w:pPr>
      <w:r>
        <w:rPr>
          <w:rFonts w:ascii="Arial" w:hAnsi="Arial"/>
          <w:b/>
        </w:rPr>
        <w:t>STEIDZAMS PAZIŅOJUMS DROŠĪBAS JOMĀ</w:t>
      </w:r>
    </w:p>
    <w:p w:rsidR="00E81ACC" w:rsidRPr="00C2450C" w:rsidRDefault="00B66134" w:rsidP="00E81AC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/>
        </w:rPr>
        <w:t>Synchron holesterīna, kreatinīna, ABL holesterīna, laktāta, triglicerīdu, urīnskābes un salicilātu reaktīvu sistēmas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2070"/>
        <w:gridCol w:w="2070"/>
      </w:tblGrid>
      <w:tr w:rsidR="0039382B" w:rsidRPr="00C2450C" w:rsidTr="00F4043F">
        <w:trPr>
          <w:trHeight w:hRule="exact" w:val="40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483A" w:rsidRPr="00C2450C" w:rsidRDefault="00C2483A" w:rsidP="00F404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ATSAUCE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483A" w:rsidRPr="00C2450C" w:rsidRDefault="00C24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w:drawing>
                <wp:anchor distT="0" distB="0" distL="114300" distR="114300" simplePos="0" relativeHeight="251667456" behindDoc="0" locked="0" layoutInCell="1" allowOverlap="1" wp14:anchorId="244F7E26" wp14:editId="18A73CD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52705</wp:posOffset>
                  </wp:positionV>
                  <wp:extent cx="253365" cy="167005"/>
                  <wp:effectExtent l="0" t="0" r="0" b="4445"/>
                  <wp:wrapNone/>
                  <wp:docPr id="12" name="Picture 12" descr="Description: lot_b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ot_b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6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2483A" w:rsidRPr="00C2450C" w:rsidRDefault="00C248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en-US" w:eastAsia="en-US" w:bidi="ar-SA"/>
              </w:rPr>
              <w:drawing>
                <wp:anchor distT="0" distB="0" distL="114300" distR="114300" simplePos="0" relativeHeight="251666432" behindDoc="0" locked="0" layoutInCell="1" allowOverlap="1" wp14:anchorId="62D4DC90" wp14:editId="1B1E7AD3">
                  <wp:simplePos x="0" y="0"/>
                  <wp:positionH relativeFrom="column">
                    <wp:posOffset>539750</wp:posOffset>
                  </wp:positionH>
                  <wp:positionV relativeFrom="line">
                    <wp:posOffset>50800</wp:posOffset>
                  </wp:positionV>
                  <wp:extent cx="99695" cy="172085"/>
                  <wp:effectExtent l="0" t="0" r="0" b="0"/>
                  <wp:wrapNone/>
                  <wp:docPr id="11" name="Picture 11" descr="Description: use_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use_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D72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467825 (CHOL)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 w:rsidP="00C15B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Visas partijas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 w:rsidP="00C15B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NA</w:t>
            </w: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B57" w:rsidRPr="00C2450C" w:rsidRDefault="0039017A" w:rsidP="004269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A60298 (CR-E)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D72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A15625 (HDL)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12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A95550 (LACT)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12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445850 (TG un TG-B)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12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442785 (URIC)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</w:tr>
      <w:tr w:rsidR="0039382B" w:rsidRPr="00C2450C" w:rsidTr="00F4043F">
        <w:trPr>
          <w:trHeight w:hRule="exact" w:val="3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124E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378194 (SALY)</w:t>
            </w:r>
          </w:p>
          <w:p w:rsidR="00C15B57" w:rsidRPr="00C2450C" w:rsidRDefault="00C15B57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57" w:rsidRPr="00C2450C" w:rsidRDefault="00C15B57">
            <w:pPr>
              <w:rPr>
                <w:rFonts w:ascii="Arial" w:hAnsi="Arial" w:cs="Arial"/>
              </w:rPr>
            </w:pPr>
          </w:p>
        </w:tc>
      </w:tr>
    </w:tbl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5E01BD" w:rsidRPr="00C2450C" w:rsidRDefault="00792C48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Uzmanību, „Beckman Coulter” klient!</w:t>
      </w:r>
    </w:p>
    <w:p w:rsidR="00E81ACC" w:rsidRPr="00C2450C" w:rsidRDefault="00E81ACC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ind w:right="-90"/>
        <w:rPr>
          <w:rFonts w:ascii="Arial" w:eastAsia="Times New Roman" w:hAnsi="Arial" w:cs="Arial"/>
        </w:rPr>
      </w:pPr>
    </w:p>
    <w:p w:rsidR="003D7244" w:rsidRPr="00C2450C" w:rsidRDefault="00792C48" w:rsidP="00792C48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ind w:right="-90"/>
        <w:rPr>
          <w:rFonts w:ascii="Arial" w:eastAsia="Times New Roman" w:hAnsi="Arial" w:cs="Arial"/>
        </w:rPr>
      </w:pPr>
      <w:r>
        <w:rPr>
          <w:rFonts w:ascii="Arial" w:hAnsi="Arial"/>
        </w:rPr>
        <w:t>Uzņēmums „Beckman Coulter” attiecībā uz iepriekš minētajiem produktiem uzsāk korektīvu darbību drošības jomā. Šajā vēstulē izklāstīta svarīga informācija, kurai lūdzam Jūs pievērst nekavējošu uzmanību.</w:t>
      </w: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ind w:right="-90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763"/>
      </w:tblGrid>
      <w:tr w:rsidR="003D7244" w:rsidRPr="00C2450C" w:rsidTr="007205AE">
        <w:tc>
          <w:tcPr>
            <w:tcW w:w="1594" w:type="dxa"/>
            <w:shd w:val="clear" w:color="auto" w:fill="auto"/>
          </w:tcPr>
          <w:p w:rsidR="003D7244" w:rsidRPr="00C2450C" w:rsidRDefault="003D7244" w:rsidP="003D7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PROBLĒMA:</w:t>
            </w:r>
          </w:p>
        </w:tc>
        <w:tc>
          <w:tcPr>
            <w:tcW w:w="7982" w:type="dxa"/>
            <w:shd w:val="clear" w:color="auto" w:fill="auto"/>
          </w:tcPr>
          <w:p w:rsidR="00784BF7" w:rsidRPr="00C2450C" w:rsidRDefault="0062121E" w:rsidP="00283C0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„Beckman Coulter” konstatējis, ka iespējami mijiedarbības avoti ir šādi medikamenti:</w:t>
            </w:r>
          </w:p>
          <w:p w:rsidR="00F2222C" w:rsidRPr="00C2450C" w:rsidRDefault="006B5476" w:rsidP="00283C0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metamizols (dipirons) – sāpes remdinošs/pretspazmu/pretdrudža līdzeklis </w:t>
            </w:r>
          </w:p>
          <w:p w:rsidR="00784BF7" w:rsidRPr="00C2450C" w:rsidRDefault="00F2222C" w:rsidP="00283C00">
            <w:p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Piezīme.</w:t>
            </w:r>
            <w:r w:rsidR="0044058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Tirdzniecības apstiprinājums vairs nav spēkā dažās teritorijās, piemēram, ASV un Kanādā.</w:t>
            </w:r>
          </w:p>
          <w:p w:rsidR="00784BF7" w:rsidRPr="00C2450C" w:rsidRDefault="00784BF7" w:rsidP="00283C00">
            <w:pPr>
              <w:pStyle w:val="ListParagraph"/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92041A" w:rsidRPr="00C2450C" w:rsidRDefault="0013752E" w:rsidP="00283C0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sulfasalazīns – pretiekaisuma līdzeklis</w:t>
            </w:r>
          </w:p>
          <w:p w:rsidR="0013752E" w:rsidRPr="00C2450C" w:rsidRDefault="0013752E" w:rsidP="00283C00">
            <w:pPr>
              <w:pStyle w:val="ListParagraph"/>
              <w:ind w:left="360"/>
              <w:rPr>
                <w:rFonts w:ascii="Arial" w:eastAsia="Times New Roman" w:hAnsi="Arial" w:cs="Arial"/>
              </w:rPr>
            </w:pPr>
          </w:p>
          <w:p w:rsidR="0013752E" w:rsidRPr="00C2450C" w:rsidRDefault="0013752E" w:rsidP="00283C00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suppressAutoHyphens/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sulfapiridīns – sulfonamīdu antibiotika</w:t>
            </w:r>
          </w:p>
          <w:p w:rsidR="00F703AE" w:rsidRPr="00C2450C" w:rsidRDefault="00440583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D7244" w:rsidRPr="00C2450C" w:rsidTr="00C2483A">
        <w:trPr>
          <w:trHeight w:val="60"/>
        </w:trPr>
        <w:tc>
          <w:tcPr>
            <w:tcW w:w="1594" w:type="dxa"/>
            <w:shd w:val="clear" w:color="auto" w:fill="auto"/>
          </w:tcPr>
          <w:p w:rsidR="003D7244" w:rsidRPr="00C2450C" w:rsidRDefault="003D7244" w:rsidP="003D7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IETEKME:</w:t>
            </w:r>
          </w:p>
        </w:tc>
        <w:tc>
          <w:tcPr>
            <w:tcW w:w="7982" w:type="dxa"/>
            <w:shd w:val="clear" w:color="auto" w:fill="auto"/>
          </w:tcPr>
          <w:p w:rsidR="00F94C20" w:rsidRPr="00C2450C" w:rsidRDefault="00330749" w:rsidP="00283C00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iedarbība uz pacientu analītiem pēc šo medikamentu lietošanas ir šāda:</w:t>
            </w:r>
          </w:p>
          <w:p w:rsidR="00F94C20" w:rsidRPr="00C2450C" w:rsidRDefault="00AD56DE" w:rsidP="00283C00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metamizols (dipirons) – var radīt nepatiesi zemus holesterīna, fermentu katalizēta kreatinīna, ABL holesterīna, laktāta, triglicerīdu un urīnskābes rezultātus;</w:t>
            </w:r>
          </w:p>
          <w:p w:rsidR="00F94C20" w:rsidRPr="00C2450C" w:rsidRDefault="00AD56DE" w:rsidP="00283C00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sulfasalazīns – var radīt nepatiesi augstus salicilātu rezultātus;</w:t>
            </w:r>
          </w:p>
          <w:p w:rsidR="00AE41B0" w:rsidRPr="00C2450C" w:rsidRDefault="00FD1850" w:rsidP="00283C00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sulfapiridīns – var radīt nepatiesi zemus salicilātu rezultātus.</w:t>
            </w:r>
          </w:p>
        </w:tc>
      </w:tr>
      <w:tr w:rsidR="003D7244" w:rsidRPr="00C2450C" w:rsidTr="007205AE">
        <w:tc>
          <w:tcPr>
            <w:tcW w:w="1594" w:type="dxa"/>
            <w:shd w:val="clear" w:color="auto" w:fill="auto"/>
          </w:tcPr>
          <w:p w:rsidR="003D7244" w:rsidRPr="00C2450C" w:rsidRDefault="003D7244" w:rsidP="003D7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lastRenderedPageBreak/>
              <w:t>RĪCĪBA:</w:t>
            </w:r>
          </w:p>
        </w:tc>
        <w:tc>
          <w:tcPr>
            <w:tcW w:w="7982" w:type="dxa"/>
            <w:shd w:val="clear" w:color="auto" w:fill="auto"/>
          </w:tcPr>
          <w:p w:rsidR="00F6735B" w:rsidRPr="00C2450C" w:rsidRDefault="00927AC4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440"/>
              </w:tabs>
              <w:suppressAutoHyphens/>
              <w:spacing w:after="0" w:line="240" w:lineRule="auto"/>
              <w:ind w:right="360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Jūsu laboratorijai nekas nav jādara. Retrospektīvs rezultātu pārskats nav ieteicams.</w:t>
            </w:r>
          </w:p>
          <w:p w:rsidR="003D7244" w:rsidRPr="00C2450C" w:rsidRDefault="00927AC4" w:rsidP="00C2483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440"/>
              </w:tabs>
              <w:suppressAutoHyphens/>
              <w:spacing w:after="0" w:line="240" w:lineRule="auto"/>
              <w:ind w:right="360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D7244" w:rsidRPr="00C2450C" w:rsidTr="00C2483A">
        <w:trPr>
          <w:trHeight w:val="179"/>
        </w:trPr>
        <w:tc>
          <w:tcPr>
            <w:tcW w:w="1594" w:type="dxa"/>
            <w:shd w:val="clear" w:color="auto" w:fill="auto"/>
          </w:tcPr>
          <w:p w:rsidR="003D7244" w:rsidRPr="00C2450C" w:rsidRDefault="003D7244" w:rsidP="003D724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LĒMUMS:</w:t>
            </w:r>
          </w:p>
        </w:tc>
        <w:tc>
          <w:tcPr>
            <w:tcW w:w="7982" w:type="dxa"/>
            <w:shd w:val="clear" w:color="auto" w:fill="auto"/>
          </w:tcPr>
          <w:p w:rsidR="00927AC4" w:rsidRPr="00C2450C" w:rsidRDefault="00A35BF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Attiecīgajās CHOL, CR-E, HDL, LACT, TG, TG-B un URIC* ķīmiskās analīzes informācijas lapu (Chemistry Information Sheets – CIS) MIJIEDARBĪBU sadaļās tiks pievienots šāds paziņojums:</w:t>
            </w:r>
          </w:p>
          <w:p w:rsidR="00CD7258" w:rsidRPr="00C2450C" w:rsidRDefault="00927AC4" w:rsidP="00283C00">
            <w:pPr>
              <w:ind w:left="7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Vēnas punkcija uzreiz pēc metamizola (dipirona) ievades vai tās laikā var radīt nepatiesi zemus [analīta nosaukums*] rezultātus. Vēnas punkcija jāveic pirms metamizola ievades.</w:t>
            </w:r>
          </w:p>
          <w:p w:rsidR="00927AC4" w:rsidRPr="00C2450C" w:rsidRDefault="0042690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Attiecīgajā SALY ķīmiskās analīzes informācijas lapu (CIS) MIJIEDARBĪBU sadaļā tiks pievienoti šādi paziņojumi:</w:t>
            </w:r>
          </w:p>
          <w:p w:rsidR="00927AC4" w:rsidRPr="00C2450C" w:rsidRDefault="00927AC4" w:rsidP="00283C00">
            <w:pPr>
              <w:ind w:left="7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Pacientiem, kas ārstēti ar sulfasalazīnu, var būt nepatiesi augsti salicilātu rezultāti.</w:t>
            </w:r>
          </w:p>
          <w:p w:rsidR="00927AC4" w:rsidRPr="00C2450C" w:rsidRDefault="00927AC4" w:rsidP="00283C00">
            <w:pPr>
              <w:ind w:left="720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i/>
              </w:rPr>
              <w:t>Pacientiem, kas ārstēti ar sulfapiridīnu, var būt nepatiesi zemi salicilātu rezultāti.</w:t>
            </w:r>
          </w:p>
          <w:p w:rsidR="003D7244" w:rsidRPr="00C2450C" w:rsidRDefault="00927AC4" w:rsidP="00927AC4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 xml:space="preserve">Šis paziņojums kalpo kā pagaidu marķējums līdz ķīmiskās analīzes informācijas lapu (Chemistry Information Sheets – CIS) atjaunināšanai. CIS pieejamas „Beckman Coulter” tīmekļa vietnes lapā „Tehniskie dokumenti”: </w:t>
            </w:r>
            <w:hyperlink r:id="rId11">
              <w:r>
                <w:rPr>
                  <w:rStyle w:val="Hyperlink"/>
                  <w:rFonts w:ascii="Arial" w:hAnsi="Arial"/>
                </w:rPr>
                <w:t>https://www.beckmancoulter.com/wsrportal/page/techdocSearch</w:t>
              </w:r>
            </w:hyperlink>
            <w:r w:rsidR="00440583">
              <w:rPr>
                <w:rFonts w:ascii="Arial" w:hAnsi="Arial"/>
              </w:rPr>
              <w:t xml:space="preserve"> </w:t>
            </w:r>
          </w:p>
        </w:tc>
      </w:tr>
    </w:tbl>
    <w:p w:rsidR="00BD7FBC" w:rsidRPr="00C2450C" w:rsidRDefault="00BD7FBC" w:rsidP="003D724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color w:val="000000"/>
        </w:rPr>
      </w:pPr>
    </w:p>
    <w:p w:rsidR="00BD7FBC" w:rsidRPr="00C2450C" w:rsidRDefault="00BD7FBC">
      <w:pPr>
        <w:rPr>
          <w:rFonts w:ascii="Arial" w:eastAsia="Times New Roman" w:hAnsi="Arial" w:cs="Arial"/>
          <w:color w:val="000000"/>
        </w:rPr>
      </w:pPr>
      <w:r>
        <w:br w:type="page"/>
      </w:r>
    </w:p>
    <w:p w:rsidR="0039382B" w:rsidRPr="00C2450C" w:rsidRDefault="0039382B" w:rsidP="00C15B57">
      <w:p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Valsts kompetentā iestāde ir informēta par šo korektīvo darbību drošības jomā. </w:t>
      </w:r>
    </w:p>
    <w:p w:rsidR="003D7244" w:rsidRPr="00C2450C" w:rsidRDefault="003D7244" w:rsidP="0039382B">
      <w:pPr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Lūdzu, nododiet šo informāciju laboratorijas personālam, kā arī saglabājiet šo paziņojumu kā daļu no Jūsu laboratorijas Kvalitātes sistēmas dokumentācijas. Gadījumā, ja kādu no iepriekš minētajiem </w:t>
      </w:r>
      <w:r>
        <w:rPr>
          <w:rFonts w:ascii="Arial" w:hAnsi="Arial"/>
        </w:rPr>
        <w:t xml:space="preserve">produktiem esat </w:t>
      </w:r>
      <w:r>
        <w:rPr>
          <w:rFonts w:ascii="Arial" w:hAnsi="Arial"/>
          <w:color w:val="000000"/>
        </w:rPr>
        <w:t xml:space="preserve">pārsūtījuši uz citu laboratoriju, lūdzu, nosūtiet tai arī šīs vēstules kopiju. </w:t>
      </w:r>
    </w:p>
    <w:p w:rsidR="003D7244" w:rsidRPr="00C2450C" w:rsidRDefault="003D7244" w:rsidP="0039382B">
      <w:pPr>
        <w:tabs>
          <w:tab w:val="left" w:pos="0"/>
        </w:tabs>
        <w:suppressAutoHyphens/>
        <w:spacing w:after="240" w:line="240" w:lineRule="auto"/>
        <w:rPr>
          <w:rFonts w:ascii="Arial" w:eastAsia="Times New Roman" w:hAnsi="Arial" w:cs="Arial"/>
        </w:rPr>
      </w:pPr>
      <w:r>
        <w:rPr>
          <w:rFonts w:ascii="Arial" w:hAnsi="Arial"/>
          <w:color w:val="000000"/>
        </w:rPr>
        <w:t xml:space="preserve">Lūdzu, aizpildiet un nosūtiet atpakaļ vēstulei klāt pievienoto Atbildes veidlapu 10 dienu laikā, lai mēs </w:t>
      </w:r>
      <w:r>
        <w:rPr>
          <w:rFonts w:ascii="Arial" w:hAnsi="Arial"/>
        </w:rPr>
        <w:t xml:space="preserve">būtu droši, ka esat saņēmuši šo svarīgo paziņojumu. </w:t>
      </w:r>
    </w:p>
    <w:p w:rsidR="003D7244" w:rsidRPr="0000461C" w:rsidRDefault="003D7244" w:rsidP="003D7244">
      <w:pPr>
        <w:autoSpaceDE w:val="0"/>
        <w:autoSpaceDN w:val="0"/>
        <w:adjustRightInd w:val="0"/>
        <w:spacing w:after="180" w:line="240" w:lineRule="auto"/>
        <w:rPr>
          <w:rFonts w:ascii="Arial" w:eastAsia="Times New Roman" w:hAnsi="Arial" w:cs="Arial"/>
          <w:bCs/>
        </w:rPr>
      </w:pPr>
      <w:r>
        <w:rPr>
          <w:rFonts w:ascii="Arial" w:hAnsi="Arial"/>
        </w:rPr>
        <w:t xml:space="preserve">Neskaidrību un jautājumu gadījumā, lūdzu, sazinieties ar klientu atbalsta dienestu </w:t>
      </w:r>
    </w:p>
    <w:p w:rsidR="003D7244" w:rsidRPr="0000461C" w:rsidRDefault="0039382B" w:rsidP="003D72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hAnsi="Arial"/>
        </w:rPr>
        <w:t xml:space="preserve">mūsu vietnē: </w:t>
      </w:r>
      <w:hyperlink r:id="rId12">
        <w:r>
          <w:rPr>
            <w:rFonts w:ascii="Arial" w:hAnsi="Arial"/>
            <w:color w:val="0000FF"/>
            <w:u w:val="single"/>
          </w:rPr>
          <w:t>http://www.beckmancoulter.com/customersupport/support</w:t>
        </w:r>
      </w:hyperlink>
    </w:p>
    <w:p w:rsidR="003D7244" w:rsidRPr="0000461C" w:rsidRDefault="006332DF" w:rsidP="003D7244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spacing w:after="0" w:line="240" w:lineRule="auto"/>
        <w:ind w:left="720" w:right="360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 xml:space="preserve">Sazinieties ar vietējo „Beckman Coulter” pārstāvi. </w:t>
      </w:r>
    </w:p>
    <w:p w:rsidR="003D7244" w:rsidRPr="00C2450C" w:rsidRDefault="003D7244" w:rsidP="003D7244">
      <w:pPr>
        <w:tabs>
          <w:tab w:val="left" w:pos="0"/>
          <w:tab w:val="left" w:pos="720"/>
        </w:tabs>
        <w:suppressAutoHyphens/>
        <w:spacing w:after="0" w:line="240" w:lineRule="auto"/>
        <w:ind w:right="360"/>
        <w:rPr>
          <w:rFonts w:ascii="Arial" w:eastAsia="Times New Roman" w:hAnsi="Arial" w:cs="Arial"/>
          <w:color w:val="000000"/>
        </w:rPr>
      </w:pPr>
    </w:p>
    <w:p w:rsidR="003D7244" w:rsidRPr="00C2450C" w:rsidRDefault="003D7244" w:rsidP="003D7244">
      <w:pPr>
        <w:tabs>
          <w:tab w:val="left" w:pos="0"/>
          <w:tab w:val="left" w:pos="720"/>
        </w:tabs>
        <w:suppressAutoHyphens/>
        <w:spacing w:after="0" w:line="240" w:lineRule="auto"/>
        <w:ind w:right="360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Mēs atvainojamies par visām Jūsu laboratorijai sagādātajām neērtībām!</w:t>
      </w: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Ar cieņu,</w:t>
      </w: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A45944" w:rsidRPr="00C2450C" w:rsidRDefault="00A459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A45944" w:rsidRPr="00C2450C" w:rsidRDefault="00A459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2702EC" w:rsidRPr="00C2450C" w:rsidRDefault="002702EC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D7244" w:rsidRPr="00C2450C" w:rsidRDefault="00C2483A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Deivids Deiviss (David Davis),</w:t>
      </w:r>
    </w:p>
    <w:p w:rsidR="003D7244" w:rsidRPr="00C2450C" w:rsidRDefault="00C2483A" w:rsidP="003D724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Normatīvo aktu nodaļas vadītājs</w:t>
      </w: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Pielikums: </w:t>
      </w:r>
    </w:p>
    <w:p w:rsidR="003D7244" w:rsidRPr="00C2450C" w:rsidRDefault="003D7244" w:rsidP="003D7244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Atbildes veidlapa</w:t>
      </w:r>
    </w:p>
    <w:p w:rsidR="0039017A" w:rsidRPr="00C2450C" w:rsidRDefault="00320313" w:rsidP="00D1541B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63360" behindDoc="1" locked="1" layoutInCell="1" allowOverlap="1" wp14:anchorId="44CF1321" wp14:editId="571DC496">
                <wp:simplePos x="0" y="0"/>
                <wp:positionH relativeFrom="page">
                  <wp:posOffset>826770</wp:posOffset>
                </wp:positionH>
                <wp:positionV relativeFrom="page">
                  <wp:posOffset>8451850</wp:posOffset>
                </wp:positionV>
                <wp:extent cx="6120765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17A" w:rsidRPr="00D1541B" w:rsidRDefault="0039017A" w:rsidP="0032031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„Beckman Coulter”, stilizētais logotips un šeit minētās „Beckman Coulter” produktu un pakalpojumu zīmes ir „Beckman Coulter, Inc.” prečzīmes vai reģistrētas prečzīmes Amerikas Savienotajās Valstīs un citās valstīs.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F132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5.1pt;margin-top:665.5pt;width:481.95pt;height:28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" stroked="f" strokeweight=".5pt">
                <v:textbox>
                  <w:txbxContent>
                    <w:p w:rsidR="0039017A" w:rsidRPr="00D1541B" w:rsidRDefault="0039017A" w:rsidP="0032031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„Beckman Coulter”, stilizētais logotips un šeit minētās „Beckman Coulter” produktu un pakalpojumu zīmes ir „Beckman Coulter, Inc.” prečzīmes vai reģistrētas prečzīmes Amerikas Savienotajās Valstīs un citās valstīs.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9017A" w:rsidRPr="00C2450C" w:rsidSect="00B517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A6" w:rsidRDefault="00C17CA6">
      <w:pPr>
        <w:spacing w:after="0" w:line="240" w:lineRule="auto"/>
      </w:pPr>
      <w:r>
        <w:separator/>
      </w:r>
    </w:p>
  </w:endnote>
  <w:endnote w:type="continuationSeparator" w:id="0">
    <w:p w:rsidR="00C17CA6" w:rsidRDefault="00C1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1C" w:rsidRDefault="009F1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7A" w:rsidRPr="0039382B" w:rsidRDefault="0039382B" w:rsidP="009F191C">
    <w:pPr>
      <w:pStyle w:val="Footer"/>
      <w:pBdr>
        <w:top w:val="single" w:sz="8" w:space="1" w:color="FF0000"/>
      </w:pBdr>
      <w:tabs>
        <w:tab w:val="left" w:pos="3240"/>
        <w:tab w:val="left" w:pos="6030"/>
      </w:tabs>
      <w:jc w:val="right"/>
      <w:rPr>
        <w:rFonts w:cs="Arial"/>
        <w:sz w:val="16"/>
      </w:rPr>
    </w:pPr>
    <w:r>
      <w:rPr>
        <w:sz w:val="16"/>
      </w:rPr>
      <w:t>FSN-29156</w:t>
    </w:r>
  </w:p>
  <w:p w:rsidR="0039017A" w:rsidRPr="00BD5046" w:rsidRDefault="0039017A" w:rsidP="009F191C">
    <w:pPr>
      <w:pStyle w:val="Footer"/>
      <w:jc w:val="center"/>
      <w:rPr>
        <w:rFonts w:cs="Arial"/>
        <w:sz w:val="16"/>
      </w:rPr>
    </w:pPr>
    <w:r w:rsidRPr="00BD5046">
      <w:rPr>
        <w:rFonts w:cs="Arial"/>
        <w:bCs/>
        <w:sz w:val="16"/>
      </w:rPr>
      <w:fldChar w:fldCharType="begin"/>
    </w:r>
    <w:r w:rsidRPr="00BD5046">
      <w:rPr>
        <w:rFonts w:cs="Arial"/>
        <w:bCs/>
        <w:sz w:val="16"/>
      </w:rPr>
      <w:instrText xml:space="preserve"> PAGE  \* Arabic  \* MERGEFORMAT </w:instrText>
    </w:r>
    <w:r w:rsidRPr="00BD5046">
      <w:rPr>
        <w:rFonts w:cs="Arial"/>
        <w:bCs/>
        <w:sz w:val="16"/>
      </w:rPr>
      <w:fldChar w:fldCharType="separate"/>
    </w:r>
    <w:r w:rsidR="0083071B">
      <w:rPr>
        <w:rFonts w:cs="Arial"/>
        <w:bCs/>
        <w:noProof/>
        <w:sz w:val="16"/>
      </w:rPr>
      <w:t>1</w:t>
    </w:r>
    <w:r w:rsidRPr="00BD5046">
      <w:rPr>
        <w:rFonts w:cs="Arial"/>
        <w:bCs/>
        <w:sz w:val="16"/>
      </w:rPr>
      <w:fldChar w:fldCharType="end"/>
    </w:r>
    <w:r>
      <w:rPr>
        <w:sz w:val="16"/>
      </w:rPr>
      <w:t xml:space="preserve">. lpp. no </w:t>
    </w:r>
    <w:r w:rsidRPr="00BD5046">
      <w:rPr>
        <w:rFonts w:cs="Arial"/>
        <w:bCs/>
        <w:sz w:val="16"/>
      </w:rPr>
      <w:fldChar w:fldCharType="begin"/>
    </w:r>
    <w:r w:rsidRPr="00BD5046">
      <w:rPr>
        <w:rFonts w:cs="Arial"/>
        <w:bCs/>
        <w:sz w:val="16"/>
      </w:rPr>
      <w:instrText xml:space="preserve"> NUMPAGES  \* Arabic  \* MERGEFORMAT </w:instrText>
    </w:r>
    <w:r w:rsidRPr="00BD5046">
      <w:rPr>
        <w:rFonts w:cs="Arial"/>
        <w:bCs/>
        <w:sz w:val="16"/>
      </w:rPr>
      <w:fldChar w:fldCharType="separate"/>
    </w:r>
    <w:r w:rsidR="0083071B">
      <w:rPr>
        <w:rFonts w:cs="Arial"/>
        <w:bCs/>
        <w:noProof/>
        <w:sz w:val="16"/>
      </w:rPr>
      <w:t>3</w:t>
    </w:r>
    <w:r w:rsidRPr="00BD5046">
      <w:rPr>
        <w:rFonts w:cs="Arial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1C" w:rsidRDefault="009F1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A6" w:rsidRDefault="00C17CA6">
      <w:pPr>
        <w:spacing w:after="0" w:line="240" w:lineRule="auto"/>
      </w:pPr>
      <w:r>
        <w:separator/>
      </w:r>
    </w:p>
  </w:footnote>
  <w:footnote w:type="continuationSeparator" w:id="0">
    <w:p w:rsidR="00C17CA6" w:rsidRDefault="00C1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1C" w:rsidRDefault="009F1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1C" w:rsidRDefault="009F1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1C" w:rsidRDefault="009F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0ADA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C5B2C"/>
    <w:multiLevelType w:val="hybridMultilevel"/>
    <w:tmpl w:val="D47AD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C22A2"/>
    <w:multiLevelType w:val="hybridMultilevel"/>
    <w:tmpl w:val="D5BC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4FA3"/>
    <w:multiLevelType w:val="hybridMultilevel"/>
    <w:tmpl w:val="AEC6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4E4"/>
    <w:multiLevelType w:val="hybridMultilevel"/>
    <w:tmpl w:val="FCE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73E8"/>
    <w:multiLevelType w:val="hybridMultilevel"/>
    <w:tmpl w:val="A3C8C9F4"/>
    <w:lvl w:ilvl="0" w:tplc="7AFC9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71C5"/>
    <w:multiLevelType w:val="hybridMultilevel"/>
    <w:tmpl w:val="BB261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207B9A"/>
    <w:multiLevelType w:val="hybridMultilevel"/>
    <w:tmpl w:val="362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0315"/>
    <w:multiLevelType w:val="hybridMultilevel"/>
    <w:tmpl w:val="3C8E6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003AE"/>
    <w:multiLevelType w:val="hybridMultilevel"/>
    <w:tmpl w:val="3DECD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753"/>
    <w:multiLevelType w:val="hybridMultilevel"/>
    <w:tmpl w:val="C04CA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5A4855"/>
    <w:multiLevelType w:val="hybridMultilevel"/>
    <w:tmpl w:val="7018A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A05996"/>
    <w:multiLevelType w:val="hybridMultilevel"/>
    <w:tmpl w:val="DB0A99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51E35"/>
    <w:multiLevelType w:val="hybridMultilevel"/>
    <w:tmpl w:val="09DA7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02D15"/>
    <w:multiLevelType w:val="hybridMultilevel"/>
    <w:tmpl w:val="2D8A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44"/>
    <w:rsid w:val="0000461C"/>
    <w:rsid w:val="00033C42"/>
    <w:rsid w:val="00047A4D"/>
    <w:rsid w:val="00064140"/>
    <w:rsid w:val="00066C7D"/>
    <w:rsid w:val="00087D3B"/>
    <w:rsid w:val="000E0C49"/>
    <w:rsid w:val="00124E1A"/>
    <w:rsid w:val="0013514E"/>
    <w:rsid w:val="0013752E"/>
    <w:rsid w:val="001935BE"/>
    <w:rsid w:val="002333DC"/>
    <w:rsid w:val="002702EC"/>
    <w:rsid w:val="00283439"/>
    <w:rsid w:val="00283C00"/>
    <w:rsid w:val="002C120F"/>
    <w:rsid w:val="002C300A"/>
    <w:rsid w:val="002E7D9A"/>
    <w:rsid w:val="00314EE5"/>
    <w:rsid w:val="00320313"/>
    <w:rsid w:val="00330749"/>
    <w:rsid w:val="003335A2"/>
    <w:rsid w:val="003430C3"/>
    <w:rsid w:val="00352C34"/>
    <w:rsid w:val="0039017A"/>
    <w:rsid w:val="0039382B"/>
    <w:rsid w:val="003D7244"/>
    <w:rsid w:val="003E6850"/>
    <w:rsid w:val="00426906"/>
    <w:rsid w:val="00440583"/>
    <w:rsid w:val="00485611"/>
    <w:rsid w:val="00485AE3"/>
    <w:rsid w:val="004C6297"/>
    <w:rsid w:val="004D77F0"/>
    <w:rsid w:val="004E3258"/>
    <w:rsid w:val="00553DCD"/>
    <w:rsid w:val="005908F4"/>
    <w:rsid w:val="005942D5"/>
    <w:rsid w:val="005A5E46"/>
    <w:rsid w:val="005B60E9"/>
    <w:rsid w:val="005C35AA"/>
    <w:rsid w:val="005E01BD"/>
    <w:rsid w:val="005E5277"/>
    <w:rsid w:val="006116DC"/>
    <w:rsid w:val="0062121E"/>
    <w:rsid w:val="006332DF"/>
    <w:rsid w:val="0066265B"/>
    <w:rsid w:val="00665089"/>
    <w:rsid w:val="006B5476"/>
    <w:rsid w:val="006E2387"/>
    <w:rsid w:val="006E644E"/>
    <w:rsid w:val="006F40E5"/>
    <w:rsid w:val="006F5AB6"/>
    <w:rsid w:val="007205AE"/>
    <w:rsid w:val="00784BF7"/>
    <w:rsid w:val="00792C48"/>
    <w:rsid w:val="007D160D"/>
    <w:rsid w:val="007F35C0"/>
    <w:rsid w:val="007F7365"/>
    <w:rsid w:val="00810900"/>
    <w:rsid w:val="00817366"/>
    <w:rsid w:val="00822570"/>
    <w:rsid w:val="0083071B"/>
    <w:rsid w:val="008A41D8"/>
    <w:rsid w:val="00905C27"/>
    <w:rsid w:val="00915750"/>
    <w:rsid w:val="0092041A"/>
    <w:rsid w:val="00927AC4"/>
    <w:rsid w:val="00993274"/>
    <w:rsid w:val="009D3F7A"/>
    <w:rsid w:val="009F191C"/>
    <w:rsid w:val="00A12173"/>
    <w:rsid w:val="00A35BF6"/>
    <w:rsid w:val="00A45944"/>
    <w:rsid w:val="00A542A0"/>
    <w:rsid w:val="00A644C3"/>
    <w:rsid w:val="00A93B82"/>
    <w:rsid w:val="00AA1874"/>
    <w:rsid w:val="00AA26CE"/>
    <w:rsid w:val="00AB40F7"/>
    <w:rsid w:val="00AD56DE"/>
    <w:rsid w:val="00AE41B0"/>
    <w:rsid w:val="00AE62C2"/>
    <w:rsid w:val="00B07826"/>
    <w:rsid w:val="00B24DE3"/>
    <w:rsid w:val="00B26D14"/>
    <w:rsid w:val="00B5172D"/>
    <w:rsid w:val="00B55D49"/>
    <w:rsid w:val="00B66134"/>
    <w:rsid w:val="00B75724"/>
    <w:rsid w:val="00B865E9"/>
    <w:rsid w:val="00BB335B"/>
    <w:rsid w:val="00BC0C13"/>
    <w:rsid w:val="00BD7FBC"/>
    <w:rsid w:val="00BF2462"/>
    <w:rsid w:val="00C077E0"/>
    <w:rsid w:val="00C15B57"/>
    <w:rsid w:val="00C17CA6"/>
    <w:rsid w:val="00C2450C"/>
    <w:rsid w:val="00C2483A"/>
    <w:rsid w:val="00C33817"/>
    <w:rsid w:val="00CD06ED"/>
    <w:rsid w:val="00CD7258"/>
    <w:rsid w:val="00CF0597"/>
    <w:rsid w:val="00CF3E06"/>
    <w:rsid w:val="00CF7A78"/>
    <w:rsid w:val="00D1541B"/>
    <w:rsid w:val="00D305AF"/>
    <w:rsid w:val="00D45823"/>
    <w:rsid w:val="00D506FF"/>
    <w:rsid w:val="00D5717E"/>
    <w:rsid w:val="00D7204D"/>
    <w:rsid w:val="00D72890"/>
    <w:rsid w:val="00D92093"/>
    <w:rsid w:val="00DD3DEB"/>
    <w:rsid w:val="00E01D0E"/>
    <w:rsid w:val="00E2329A"/>
    <w:rsid w:val="00E759CE"/>
    <w:rsid w:val="00E81ACC"/>
    <w:rsid w:val="00E85D36"/>
    <w:rsid w:val="00E93C33"/>
    <w:rsid w:val="00E95F3B"/>
    <w:rsid w:val="00EA5475"/>
    <w:rsid w:val="00EE0770"/>
    <w:rsid w:val="00F01FAF"/>
    <w:rsid w:val="00F13D6A"/>
    <w:rsid w:val="00F2222C"/>
    <w:rsid w:val="00F34CEE"/>
    <w:rsid w:val="00F4043F"/>
    <w:rsid w:val="00F6083D"/>
    <w:rsid w:val="00F6735B"/>
    <w:rsid w:val="00F703AE"/>
    <w:rsid w:val="00F83DD6"/>
    <w:rsid w:val="00F94C20"/>
    <w:rsid w:val="00FD068D"/>
    <w:rsid w:val="00FD185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7D5B5-8A8E-45EB-82AA-49BEC1C7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lv-LV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7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4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724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7244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83A"/>
  </w:style>
  <w:style w:type="character" w:styleId="Hyperlink">
    <w:name w:val="Hyperlink"/>
    <w:basedOn w:val="DefaultParagraphFont"/>
    <w:uiPriority w:val="99"/>
    <w:unhideWhenUsed/>
    <w:rsid w:val="00F94C2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C4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C4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ckmancoulter.com/customersupport/suppor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ckmancoulter.com/wsrportal/page/techdoc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E735-0069-4E2D-B043-03D365F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Coulter, Inc.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Bautista, Ted (Teodoro) O</dc:creator>
  <cp:lastModifiedBy>Inese Vectirāne</cp:lastModifiedBy>
  <cp:revision>2</cp:revision>
  <cp:lastPrinted>2016-04-28T00:43:00Z</cp:lastPrinted>
  <dcterms:created xsi:type="dcterms:W3CDTF">2017-04-28T09:06:00Z</dcterms:created>
  <dcterms:modified xsi:type="dcterms:W3CDTF">2017-04-28T09:06:00Z</dcterms:modified>
</cp:coreProperties>
</file>