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0D51CF" w14:textId="77777777" w:rsidR="00CD10AA" w:rsidRPr="00716FAD" w:rsidRDefault="00CD10AA" w:rsidP="00716FAD">
      <w:pPr>
        <w:spacing w:line="240" w:lineRule="auto"/>
        <w:jc w:val="center"/>
        <w:rPr>
          <w:color w:val="000000"/>
          <w:szCs w:val="22"/>
        </w:rPr>
      </w:pPr>
      <w:r w:rsidRPr="00716FAD">
        <w:rPr>
          <w:b/>
          <w:color w:val="000000"/>
          <w:szCs w:val="22"/>
        </w:rPr>
        <w:t>ZĀĻU APRAKSTS</w:t>
      </w:r>
    </w:p>
    <w:p w14:paraId="2F084286" w14:textId="77777777" w:rsidR="008871B0" w:rsidRPr="00716FAD" w:rsidRDefault="008871B0" w:rsidP="00716FAD">
      <w:pPr>
        <w:spacing w:line="240" w:lineRule="auto"/>
        <w:jc w:val="both"/>
        <w:rPr>
          <w:color w:val="000000"/>
          <w:szCs w:val="22"/>
        </w:rPr>
      </w:pPr>
    </w:p>
    <w:p w14:paraId="6AECDDBA" w14:textId="77777777" w:rsidR="00716FAD" w:rsidRPr="00716FAD" w:rsidRDefault="00716FAD" w:rsidP="00716FAD">
      <w:pPr>
        <w:spacing w:line="240" w:lineRule="auto"/>
        <w:jc w:val="both"/>
        <w:rPr>
          <w:color w:val="000000"/>
          <w:szCs w:val="22"/>
        </w:rPr>
      </w:pPr>
    </w:p>
    <w:p w14:paraId="1C031A9D" w14:textId="77777777" w:rsidR="00CD10AA" w:rsidRPr="00716FAD" w:rsidRDefault="00CD10AA" w:rsidP="00716FAD">
      <w:pPr>
        <w:spacing w:line="240" w:lineRule="auto"/>
        <w:jc w:val="both"/>
        <w:rPr>
          <w:b/>
          <w:color w:val="000000"/>
          <w:szCs w:val="22"/>
        </w:rPr>
      </w:pPr>
      <w:r w:rsidRPr="00716FAD">
        <w:rPr>
          <w:b/>
          <w:color w:val="000000"/>
          <w:szCs w:val="22"/>
        </w:rPr>
        <w:t>1.</w:t>
      </w:r>
      <w:r w:rsidRPr="00716FAD">
        <w:rPr>
          <w:b/>
          <w:color w:val="000000"/>
          <w:szCs w:val="22"/>
        </w:rPr>
        <w:tab/>
        <w:t>ZĀĻU NOSAUKUMS</w:t>
      </w:r>
    </w:p>
    <w:p w14:paraId="3E20BE32" w14:textId="77777777" w:rsidR="00716FAD" w:rsidRPr="00716FAD" w:rsidRDefault="00716FAD" w:rsidP="00716FAD">
      <w:pPr>
        <w:pStyle w:val="NormalWeb"/>
        <w:spacing w:before="0" w:beforeAutospacing="0" w:after="0" w:afterAutospacing="0"/>
        <w:jc w:val="both"/>
        <w:rPr>
          <w:b/>
          <w:bCs/>
          <w:color w:val="000000"/>
          <w:sz w:val="22"/>
          <w:szCs w:val="22"/>
          <w:lang w:val="lv-LV"/>
        </w:rPr>
      </w:pPr>
    </w:p>
    <w:p w14:paraId="092D50BF" w14:textId="77777777" w:rsidR="00AB7241" w:rsidRPr="00716FAD" w:rsidRDefault="00AB7241" w:rsidP="00716FAD">
      <w:pPr>
        <w:pStyle w:val="NormalWeb"/>
        <w:spacing w:before="0" w:beforeAutospacing="0" w:after="0" w:afterAutospacing="0"/>
        <w:jc w:val="both"/>
        <w:rPr>
          <w:b/>
          <w:color w:val="000000"/>
          <w:sz w:val="22"/>
          <w:szCs w:val="22"/>
          <w:lang w:val="lv-LV"/>
        </w:rPr>
      </w:pPr>
      <w:r w:rsidRPr="00716FAD">
        <w:rPr>
          <w:b/>
          <w:bCs/>
          <w:color w:val="000000"/>
          <w:sz w:val="22"/>
          <w:szCs w:val="22"/>
          <w:lang w:val="lv-LV"/>
        </w:rPr>
        <w:t>Ascophen</w:t>
      </w:r>
      <w:r w:rsidRPr="00716FAD">
        <w:rPr>
          <w:b/>
          <w:color w:val="000000"/>
          <w:sz w:val="22"/>
          <w:szCs w:val="22"/>
          <w:lang w:val="lv-LV"/>
        </w:rPr>
        <w:t xml:space="preserve"> </w:t>
      </w:r>
      <w:r w:rsidRPr="00716FAD">
        <w:rPr>
          <w:b/>
          <w:caps/>
          <w:color w:val="000000"/>
          <w:sz w:val="22"/>
          <w:szCs w:val="22"/>
          <w:lang w:val="lv-LV"/>
        </w:rPr>
        <w:t>P</w:t>
      </w:r>
      <w:r w:rsidRPr="00716FAD">
        <w:rPr>
          <w:b/>
          <w:color w:val="000000"/>
          <w:sz w:val="22"/>
          <w:szCs w:val="22"/>
          <w:lang w:val="lv-LV"/>
        </w:rPr>
        <w:t xml:space="preserve"> tabletes</w:t>
      </w:r>
    </w:p>
    <w:p w14:paraId="2A7F54ED" w14:textId="77777777" w:rsidR="00CD10AA" w:rsidRPr="00716FAD" w:rsidRDefault="00CD10AA" w:rsidP="00716FAD">
      <w:pPr>
        <w:spacing w:line="240" w:lineRule="auto"/>
        <w:jc w:val="both"/>
        <w:rPr>
          <w:color w:val="000000"/>
          <w:szCs w:val="22"/>
        </w:rPr>
      </w:pPr>
    </w:p>
    <w:p w14:paraId="71E9E202" w14:textId="77777777" w:rsidR="00716FAD" w:rsidRPr="00716FAD" w:rsidRDefault="00716FAD" w:rsidP="00716FAD">
      <w:pPr>
        <w:spacing w:line="240" w:lineRule="auto"/>
        <w:jc w:val="both"/>
        <w:rPr>
          <w:color w:val="000000"/>
          <w:szCs w:val="22"/>
        </w:rPr>
      </w:pPr>
    </w:p>
    <w:p w14:paraId="349065BB" w14:textId="77777777" w:rsidR="00CD10AA" w:rsidRPr="00716FAD" w:rsidRDefault="00CD10AA" w:rsidP="00716FAD">
      <w:pPr>
        <w:spacing w:line="240" w:lineRule="auto"/>
        <w:jc w:val="both"/>
        <w:rPr>
          <w:b/>
          <w:color w:val="000000"/>
          <w:szCs w:val="22"/>
        </w:rPr>
      </w:pPr>
      <w:r w:rsidRPr="00716FAD">
        <w:rPr>
          <w:b/>
          <w:color w:val="000000"/>
          <w:szCs w:val="22"/>
        </w:rPr>
        <w:t>2.</w:t>
      </w:r>
      <w:r w:rsidRPr="00716FAD">
        <w:rPr>
          <w:b/>
          <w:color w:val="000000"/>
          <w:szCs w:val="22"/>
        </w:rPr>
        <w:tab/>
        <w:t>KVALITATĪVAIS UN KVANTITATĪVAIS SASTĀVS</w:t>
      </w:r>
    </w:p>
    <w:p w14:paraId="229B8C47" w14:textId="77777777" w:rsidR="00716FAD" w:rsidRPr="00716FAD" w:rsidRDefault="00716FAD" w:rsidP="00716FAD">
      <w:pPr>
        <w:pStyle w:val="Default"/>
        <w:jc w:val="both"/>
        <w:rPr>
          <w:sz w:val="22"/>
          <w:szCs w:val="22"/>
          <w:lang w:val="lv-LV"/>
        </w:rPr>
      </w:pPr>
    </w:p>
    <w:p w14:paraId="4461555C" w14:textId="77777777" w:rsidR="00AB7241" w:rsidRPr="00716FAD" w:rsidRDefault="00AB7241" w:rsidP="00716FAD">
      <w:pPr>
        <w:pStyle w:val="Default"/>
        <w:jc w:val="both"/>
        <w:rPr>
          <w:sz w:val="22"/>
          <w:szCs w:val="22"/>
          <w:lang w:val="lv-LV"/>
        </w:rPr>
      </w:pPr>
      <w:r w:rsidRPr="00716FAD">
        <w:rPr>
          <w:sz w:val="22"/>
          <w:szCs w:val="22"/>
          <w:lang w:val="lv-LV"/>
        </w:rPr>
        <w:t>Katra tablete satur 200 mg paracetamola (</w:t>
      </w:r>
      <w:r w:rsidRPr="00716FAD">
        <w:rPr>
          <w:i/>
          <w:iCs/>
          <w:sz w:val="22"/>
          <w:szCs w:val="22"/>
          <w:lang w:val="lv-LV"/>
        </w:rPr>
        <w:t>Paracetamolum</w:t>
      </w:r>
      <w:r w:rsidRPr="00716FAD">
        <w:rPr>
          <w:sz w:val="22"/>
          <w:szCs w:val="22"/>
          <w:lang w:val="lv-LV"/>
        </w:rPr>
        <w:t>), 200 mg acetilsalicilskābes (</w:t>
      </w:r>
      <w:r w:rsidRPr="00716FAD">
        <w:rPr>
          <w:i/>
          <w:iCs/>
          <w:sz w:val="22"/>
          <w:szCs w:val="22"/>
          <w:lang w:val="lv-LV"/>
        </w:rPr>
        <w:t>Acidum acetylsalicylicum</w:t>
      </w:r>
      <w:r w:rsidRPr="00716FAD">
        <w:rPr>
          <w:sz w:val="22"/>
          <w:szCs w:val="22"/>
          <w:lang w:val="lv-LV"/>
        </w:rPr>
        <w:t>) un 40 mg kofeīna (</w:t>
      </w:r>
      <w:r w:rsidRPr="00716FAD">
        <w:rPr>
          <w:i/>
          <w:iCs/>
          <w:sz w:val="22"/>
          <w:szCs w:val="22"/>
          <w:lang w:val="lv-LV"/>
        </w:rPr>
        <w:t>Coffeinum</w:t>
      </w:r>
      <w:r w:rsidRPr="00716FAD">
        <w:rPr>
          <w:sz w:val="22"/>
          <w:szCs w:val="22"/>
          <w:lang w:val="lv-LV"/>
        </w:rPr>
        <w:t>).</w:t>
      </w:r>
    </w:p>
    <w:p w14:paraId="651494E5" w14:textId="77777777" w:rsidR="00CD10AA" w:rsidRPr="00716FAD" w:rsidRDefault="00CD10AA" w:rsidP="00716FAD">
      <w:pPr>
        <w:spacing w:line="240" w:lineRule="auto"/>
        <w:jc w:val="both"/>
        <w:rPr>
          <w:color w:val="000000"/>
          <w:szCs w:val="22"/>
        </w:rPr>
      </w:pPr>
    </w:p>
    <w:p w14:paraId="61A0F34D" w14:textId="77777777" w:rsidR="00CD10AA" w:rsidRPr="00716FAD" w:rsidRDefault="00CD10AA" w:rsidP="00716FAD">
      <w:pPr>
        <w:spacing w:line="240" w:lineRule="auto"/>
        <w:jc w:val="both"/>
        <w:rPr>
          <w:color w:val="000000"/>
          <w:szCs w:val="22"/>
        </w:rPr>
      </w:pPr>
      <w:r w:rsidRPr="00716FAD">
        <w:rPr>
          <w:color w:val="000000"/>
          <w:szCs w:val="22"/>
        </w:rPr>
        <w:t xml:space="preserve">Pilnu palīgvielu sarakstu skatīt </w:t>
      </w:r>
      <w:r w:rsidR="0020587A" w:rsidRPr="00716FAD">
        <w:rPr>
          <w:color w:val="000000"/>
          <w:szCs w:val="22"/>
        </w:rPr>
        <w:t>6.1</w:t>
      </w:r>
      <w:r w:rsidR="00F41868" w:rsidRPr="00716FAD">
        <w:rPr>
          <w:color w:val="000000"/>
          <w:szCs w:val="22"/>
        </w:rPr>
        <w:t>.</w:t>
      </w:r>
      <w:r w:rsidR="0020587A" w:rsidRPr="00716FAD">
        <w:rPr>
          <w:color w:val="000000"/>
          <w:szCs w:val="22"/>
        </w:rPr>
        <w:t xml:space="preserve"> </w:t>
      </w:r>
      <w:r w:rsidRPr="00716FAD">
        <w:rPr>
          <w:color w:val="000000"/>
          <w:szCs w:val="22"/>
        </w:rPr>
        <w:t>apakšpunktā</w:t>
      </w:r>
      <w:r w:rsidR="0020587A" w:rsidRPr="00716FAD">
        <w:rPr>
          <w:color w:val="000000"/>
          <w:szCs w:val="22"/>
        </w:rPr>
        <w:t>.</w:t>
      </w:r>
    </w:p>
    <w:p w14:paraId="76A2B034" w14:textId="77777777" w:rsidR="00CD10AA" w:rsidRPr="00716FAD" w:rsidRDefault="00CD10AA" w:rsidP="00716FAD">
      <w:pPr>
        <w:spacing w:line="240" w:lineRule="auto"/>
        <w:jc w:val="both"/>
        <w:rPr>
          <w:color w:val="000000"/>
          <w:szCs w:val="22"/>
        </w:rPr>
      </w:pPr>
    </w:p>
    <w:p w14:paraId="5A4EB5EC" w14:textId="77777777" w:rsidR="00716FAD" w:rsidRPr="00716FAD" w:rsidRDefault="00716FAD" w:rsidP="00716FAD">
      <w:pPr>
        <w:spacing w:line="240" w:lineRule="auto"/>
        <w:jc w:val="both"/>
        <w:rPr>
          <w:color w:val="000000"/>
          <w:szCs w:val="22"/>
        </w:rPr>
      </w:pPr>
    </w:p>
    <w:p w14:paraId="18A60277" w14:textId="77777777" w:rsidR="00CD10AA" w:rsidRPr="00716FAD" w:rsidRDefault="00CD10AA" w:rsidP="00716FAD">
      <w:pPr>
        <w:spacing w:line="240" w:lineRule="auto"/>
        <w:jc w:val="both"/>
        <w:rPr>
          <w:b/>
          <w:caps/>
          <w:color w:val="000000"/>
          <w:szCs w:val="22"/>
        </w:rPr>
      </w:pPr>
      <w:r w:rsidRPr="00716FAD">
        <w:rPr>
          <w:b/>
          <w:color w:val="000000"/>
          <w:szCs w:val="22"/>
        </w:rPr>
        <w:t>3.</w:t>
      </w:r>
      <w:r w:rsidRPr="00716FAD">
        <w:rPr>
          <w:b/>
          <w:color w:val="000000"/>
          <w:szCs w:val="22"/>
        </w:rPr>
        <w:tab/>
        <w:t>ZĀĻU FORMA</w:t>
      </w:r>
    </w:p>
    <w:p w14:paraId="33B96001" w14:textId="77777777" w:rsidR="00716FAD" w:rsidRPr="00716FAD" w:rsidRDefault="00716FAD" w:rsidP="00716FAD">
      <w:pPr>
        <w:pStyle w:val="Default"/>
        <w:jc w:val="both"/>
        <w:rPr>
          <w:sz w:val="22"/>
          <w:szCs w:val="22"/>
          <w:lang w:val="lv-LV"/>
        </w:rPr>
      </w:pPr>
    </w:p>
    <w:p w14:paraId="69A4D8DB" w14:textId="77777777" w:rsidR="00FB3670" w:rsidRPr="00716FAD" w:rsidRDefault="00FB3670" w:rsidP="00716FAD">
      <w:pPr>
        <w:pStyle w:val="Default"/>
        <w:jc w:val="both"/>
        <w:rPr>
          <w:sz w:val="22"/>
          <w:szCs w:val="22"/>
          <w:lang w:val="lv-LV"/>
        </w:rPr>
      </w:pPr>
      <w:r w:rsidRPr="00716FAD">
        <w:rPr>
          <w:sz w:val="22"/>
          <w:szCs w:val="22"/>
          <w:lang w:val="lv-LV"/>
        </w:rPr>
        <w:t>Tablete.</w:t>
      </w:r>
    </w:p>
    <w:p w14:paraId="7420493C" w14:textId="77777777" w:rsidR="00FB3670" w:rsidRPr="00716FAD" w:rsidRDefault="00FB3670" w:rsidP="00716FAD">
      <w:pPr>
        <w:pStyle w:val="Default"/>
        <w:jc w:val="both"/>
        <w:rPr>
          <w:sz w:val="22"/>
          <w:szCs w:val="22"/>
          <w:lang w:val="lv-LV"/>
        </w:rPr>
      </w:pPr>
    </w:p>
    <w:p w14:paraId="15A6706B" w14:textId="77777777" w:rsidR="00FB3670" w:rsidRPr="00716FAD" w:rsidRDefault="00FB3670" w:rsidP="00716FAD">
      <w:pPr>
        <w:pStyle w:val="Default"/>
        <w:jc w:val="both"/>
        <w:rPr>
          <w:sz w:val="22"/>
          <w:szCs w:val="22"/>
          <w:lang w:val="lv-LV"/>
        </w:rPr>
      </w:pPr>
      <w:r w:rsidRPr="00716FAD">
        <w:rPr>
          <w:sz w:val="22"/>
          <w:szCs w:val="22"/>
          <w:lang w:val="lv-LV"/>
        </w:rPr>
        <w:t>Baltas vai baltas tabletes ar dzeltenīgu vai sārtu nokrāsu un dalījuma līniju. Pieļaujama specifiska tablešu smarža un grumbuļaina virsma.</w:t>
      </w:r>
    </w:p>
    <w:p w14:paraId="2D3388D2" w14:textId="77777777" w:rsidR="00CD10AA" w:rsidRPr="00716FAD" w:rsidRDefault="00CD10AA" w:rsidP="00716FAD">
      <w:pPr>
        <w:tabs>
          <w:tab w:val="clear" w:pos="567"/>
          <w:tab w:val="left" w:pos="0"/>
        </w:tabs>
        <w:spacing w:line="240" w:lineRule="auto"/>
        <w:jc w:val="both"/>
        <w:rPr>
          <w:color w:val="000000"/>
          <w:szCs w:val="22"/>
        </w:rPr>
      </w:pPr>
      <w:r w:rsidRPr="00716FAD">
        <w:rPr>
          <w:color w:val="000000"/>
          <w:szCs w:val="22"/>
        </w:rPr>
        <w:t>Dalījuma līnija paredzēta tikai tabletes sa</w:t>
      </w:r>
      <w:r w:rsidR="00F41868" w:rsidRPr="00716FAD">
        <w:rPr>
          <w:color w:val="000000"/>
          <w:szCs w:val="22"/>
        </w:rPr>
        <w:t>l</w:t>
      </w:r>
      <w:r w:rsidR="00F41868" w:rsidRPr="00716FAD">
        <w:rPr>
          <w:noProof/>
          <w:color w:val="000000"/>
          <w:szCs w:val="22"/>
        </w:rPr>
        <w:t>au</w:t>
      </w:r>
      <w:r w:rsidR="00F41868" w:rsidRPr="00716FAD">
        <w:rPr>
          <w:color w:val="000000"/>
          <w:szCs w:val="22"/>
        </w:rPr>
        <w:t>šanai</w:t>
      </w:r>
      <w:r w:rsidRPr="00716FAD">
        <w:rPr>
          <w:color w:val="000000"/>
          <w:szCs w:val="22"/>
        </w:rPr>
        <w:t>, lai atvieglotu tās norīšanu, nevis tab</w:t>
      </w:r>
      <w:r w:rsidR="003F45AD" w:rsidRPr="00716FAD">
        <w:rPr>
          <w:color w:val="000000"/>
          <w:szCs w:val="22"/>
        </w:rPr>
        <w:t>letes dalīšanai vienādās devās.</w:t>
      </w:r>
    </w:p>
    <w:p w14:paraId="2D14B2DD" w14:textId="77777777" w:rsidR="00CD10AA" w:rsidRPr="00716FAD" w:rsidRDefault="00CD10AA" w:rsidP="00716FAD">
      <w:pPr>
        <w:spacing w:line="240" w:lineRule="auto"/>
        <w:jc w:val="both"/>
        <w:rPr>
          <w:color w:val="000000"/>
          <w:szCs w:val="22"/>
        </w:rPr>
      </w:pPr>
    </w:p>
    <w:p w14:paraId="0E1E8235" w14:textId="77777777" w:rsidR="00716FAD" w:rsidRPr="00716FAD" w:rsidRDefault="00716FAD" w:rsidP="00716FAD">
      <w:pPr>
        <w:spacing w:line="240" w:lineRule="auto"/>
        <w:jc w:val="both"/>
        <w:rPr>
          <w:color w:val="000000"/>
          <w:szCs w:val="22"/>
        </w:rPr>
      </w:pPr>
    </w:p>
    <w:p w14:paraId="4375EE64" w14:textId="77777777" w:rsidR="00CD10AA" w:rsidRPr="00716FAD" w:rsidRDefault="00CD10AA" w:rsidP="00716FAD">
      <w:pPr>
        <w:tabs>
          <w:tab w:val="clear" w:pos="567"/>
        </w:tabs>
        <w:spacing w:line="240" w:lineRule="auto"/>
        <w:jc w:val="both"/>
        <w:rPr>
          <w:b/>
          <w:color w:val="000000"/>
          <w:szCs w:val="22"/>
        </w:rPr>
      </w:pPr>
      <w:r w:rsidRPr="00716FAD">
        <w:rPr>
          <w:b/>
          <w:caps/>
          <w:color w:val="000000"/>
          <w:szCs w:val="22"/>
        </w:rPr>
        <w:t>4.</w:t>
      </w:r>
      <w:r w:rsidRPr="00716FAD">
        <w:rPr>
          <w:b/>
          <w:caps/>
          <w:color w:val="000000"/>
          <w:szCs w:val="22"/>
        </w:rPr>
        <w:tab/>
        <w:t>KLĪNISKĀ INFORMĀCIJA</w:t>
      </w:r>
    </w:p>
    <w:p w14:paraId="1E474294" w14:textId="77777777" w:rsidR="00716FAD" w:rsidRPr="00716FAD" w:rsidRDefault="00716FAD" w:rsidP="00716FAD">
      <w:pPr>
        <w:tabs>
          <w:tab w:val="clear" w:pos="567"/>
        </w:tabs>
        <w:spacing w:line="240" w:lineRule="auto"/>
        <w:jc w:val="both"/>
        <w:rPr>
          <w:b/>
          <w:color w:val="000000"/>
          <w:szCs w:val="22"/>
        </w:rPr>
      </w:pPr>
    </w:p>
    <w:p w14:paraId="2ED1EFD9" w14:textId="77777777" w:rsidR="00CD10AA" w:rsidRPr="00716FAD" w:rsidRDefault="00CD10AA" w:rsidP="00716FAD">
      <w:pPr>
        <w:tabs>
          <w:tab w:val="clear" w:pos="567"/>
        </w:tabs>
        <w:spacing w:line="240" w:lineRule="auto"/>
        <w:jc w:val="both"/>
        <w:rPr>
          <w:color w:val="000000"/>
          <w:szCs w:val="22"/>
        </w:rPr>
      </w:pPr>
      <w:r w:rsidRPr="00716FAD">
        <w:rPr>
          <w:b/>
          <w:color w:val="000000"/>
          <w:szCs w:val="22"/>
        </w:rPr>
        <w:t>4.1</w:t>
      </w:r>
      <w:r w:rsidR="003B0FF0" w:rsidRPr="00716FAD">
        <w:rPr>
          <w:b/>
          <w:color w:val="000000"/>
          <w:szCs w:val="22"/>
        </w:rPr>
        <w:t>.</w:t>
      </w:r>
      <w:r w:rsidRPr="00716FAD">
        <w:rPr>
          <w:b/>
          <w:color w:val="000000"/>
          <w:szCs w:val="22"/>
        </w:rPr>
        <w:tab/>
        <w:t>Terapeitiskās indikācijas</w:t>
      </w:r>
    </w:p>
    <w:p w14:paraId="46EB27A1" w14:textId="77777777" w:rsidR="00716FAD" w:rsidRPr="00716FAD" w:rsidRDefault="00716FAD" w:rsidP="00716FAD">
      <w:pPr>
        <w:pStyle w:val="Default"/>
        <w:jc w:val="both"/>
        <w:rPr>
          <w:sz w:val="22"/>
          <w:szCs w:val="22"/>
          <w:lang w:val="lv-LV"/>
        </w:rPr>
      </w:pPr>
    </w:p>
    <w:p w14:paraId="465C367C" w14:textId="77777777" w:rsidR="00FB3670" w:rsidRPr="00716FAD" w:rsidRDefault="00FB3670" w:rsidP="00716FAD">
      <w:pPr>
        <w:pStyle w:val="Default"/>
        <w:jc w:val="both"/>
        <w:rPr>
          <w:sz w:val="22"/>
          <w:szCs w:val="22"/>
          <w:lang w:val="lv-LV"/>
        </w:rPr>
      </w:pPr>
      <w:r w:rsidRPr="00716FAD">
        <w:rPr>
          <w:sz w:val="22"/>
          <w:szCs w:val="22"/>
          <w:lang w:val="lv-LV"/>
        </w:rPr>
        <w:t>Ascophen P lieto simptomātiskai vieglu līdz vidēji stipru sāpju (piemēram, galvassāpes, zobu sāpes, locītavu sāpes, neiralģija, mialģija, dismenoreja u.c.) un drudža ārstēšanai.</w:t>
      </w:r>
    </w:p>
    <w:p w14:paraId="5AA31B92" w14:textId="77777777" w:rsidR="00CD10AA" w:rsidRPr="00716FAD" w:rsidRDefault="00CD10AA" w:rsidP="00716FAD">
      <w:pPr>
        <w:tabs>
          <w:tab w:val="clear" w:pos="567"/>
        </w:tabs>
        <w:spacing w:line="240" w:lineRule="auto"/>
        <w:jc w:val="both"/>
        <w:rPr>
          <w:color w:val="000000"/>
          <w:szCs w:val="22"/>
        </w:rPr>
      </w:pPr>
    </w:p>
    <w:p w14:paraId="3E6598CA" w14:textId="77777777" w:rsidR="00CD10AA" w:rsidRPr="00716FAD" w:rsidRDefault="00CD10AA" w:rsidP="00716FAD">
      <w:pPr>
        <w:tabs>
          <w:tab w:val="clear" w:pos="567"/>
        </w:tabs>
        <w:spacing w:line="240" w:lineRule="auto"/>
        <w:jc w:val="both"/>
        <w:rPr>
          <w:b/>
          <w:color w:val="000000"/>
          <w:szCs w:val="22"/>
        </w:rPr>
      </w:pPr>
      <w:r w:rsidRPr="00716FAD">
        <w:rPr>
          <w:b/>
          <w:color w:val="000000"/>
          <w:szCs w:val="22"/>
        </w:rPr>
        <w:t>4.2</w:t>
      </w:r>
      <w:r w:rsidR="00FB475A" w:rsidRPr="00716FAD">
        <w:rPr>
          <w:b/>
          <w:color w:val="000000"/>
          <w:szCs w:val="22"/>
        </w:rPr>
        <w:t>.</w:t>
      </w:r>
      <w:r w:rsidRPr="00716FAD">
        <w:rPr>
          <w:b/>
          <w:color w:val="000000"/>
          <w:szCs w:val="22"/>
        </w:rPr>
        <w:tab/>
        <w:t>Devas un lietošanas veids</w:t>
      </w:r>
    </w:p>
    <w:p w14:paraId="5AA354AC" w14:textId="77777777" w:rsidR="00716FAD" w:rsidRPr="00716FAD" w:rsidRDefault="00716FAD" w:rsidP="00716FAD">
      <w:pPr>
        <w:tabs>
          <w:tab w:val="clear" w:pos="567"/>
        </w:tabs>
        <w:spacing w:line="240" w:lineRule="auto"/>
        <w:jc w:val="both"/>
        <w:rPr>
          <w:color w:val="000000"/>
          <w:szCs w:val="22"/>
          <w:u w:val="single"/>
        </w:rPr>
      </w:pPr>
    </w:p>
    <w:p w14:paraId="46F43BC7" w14:textId="77777777" w:rsidR="0097548A" w:rsidRPr="00716FAD" w:rsidRDefault="003F45AD" w:rsidP="00716FAD">
      <w:pPr>
        <w:tabs>
          <w:tab w:val="clear" w:pos="567"/>
        </w:tabs>
        <w:spacing w:line="240" w:lineRule="auto"/>
        <w:jc w:val="both"/>
        <w:rPr>
          <w:color w:val="000000"/>
          <w:szCs w:val="22"/>
          <w:u w:val="single"/>
        </w:rPr>
      </w:pPr>
      <w:r w:rsidRPr="00716FAD">
        <w:rPr>
          <w:color w:val="000000"/>
          <w:szCs w:val="22"/>
          <w:u w:val="single"/>
        </w:rPr>
        <w:t>Devas</w:t>
      </w:r>
    </w:p>
    <w:p w14:paraId="22A60D59" w14:textId="77777777" w:rsidR="00FB3670" w:rsidRPr="00716FAD" w:rsidRDefault="00FB3670" w:rsidP="00716FAD">
      <w:pPr>
        <w:pStyle w:val="Default"/>
        <w:jc w:val="both"/>
        <w:rPr>
          <w:sz w:val="22"/>
          <w:szCs w:val="22"/>
          <w:lang w:val="lv-LV"/>
        </w:rPr>
      </w:pPr>
      <w:r w:rsidRPr="00716FAD">
        <w:rPr>
          <w:i/>
          <w:iCs/>
          <w:sz w:val="22"/>
          <w:szCs w:val="22"/>
          <w:lang w:val="lv-LV"/>
        </w:rPr>
        <w:t>Pieaugušie, gados vecāki pacienti, pusaudži, kuri vecāki par 16 gadiem</w:t>
      </w:r>
    </w:p>
    <w:p w14:paraId="575AD0D1" w14:textId="77777777" w:rsidR="00FB3670" w:rsidRPr="00716FAD" w:rsidRDefault="00FB3670" w:rsidP="00716FAD">
      <w:pPr>
        <w:pStyle w:val="Default"/>
        <w:jc w:val="both"/>
        <w:rPr>
          <w:sz w:val="22"/>
          <w:szCs w:val="22"/>
          <w:lang w:val="lv-LV"/>
        </w:rPr>
      </w:pPr>
      <w:r w:rsidRPr="00716FAD">
        <w:rPr>
          <w:sz w:val="22"/>
          <w:szCs w:val="22"/>
          <w:lang w:val="lv-LV"/>
        </w:rPr>
        <w:t>l -2 tabletes 2-3 reizes dienā. Maksimālā diennakts deva ir 6 tabletes. Pārtraukums starp lietošanas reizēm nedrīkst būt mazāks kā 6 stundas.</w:t>
      </w:r>
    </w:p>
    <w:p w14:paraId="5209D8B0" w14:textId="77777777" w:rsidR="00FB3670" w:rsidRPr="00716FAD" w:rsidRDefault="00FB3670" w:rsidP="00716FAD">
      <w:pPr>
        <w:pStyle w:val="Default"/>
        <w:jc w:val="both"/>
        <w:rPr>
          <w:sz w:val="22"/>
          <w:szCs w:val="22"/>
          <w:lang w:val="lv-LV"/>
        </w:rPr>
      </w:pPr>
    </w:p>
    <w:p w14:paraId="5ECAADF4" w14:textId="77777777" w:rsidR="00FB3670" w:rsidRPr="00716FAD" w:rsidRDefault="00FB3670" w:rsidP="00716FAD">
      <w:pPr>
        <w:pStyle w:val="Default"/>
        <w:jc w:val="both"/>
        <w:rPr>
          <w:sz w:val="22"/>
          <w:szCs w:val="22"/>
          <w:lang w:val="lv-LV"/>
        </w:rPr>
      </w:pPr>
      <w:r w:rsidRPr="00716FAD">
        <w:rPr>
          <w:i/>
          <w:iCs/>
          <w:sz w:val="22"/>
          <w:szCs w:val="22"/>
          <w:lang w:val="lv-LV"/>
        </w:rPr>
        <w:t>Pacienti ar nieru un/vai aknu darbības traucējumiem</w:t>
      </w:r>
    </w:p>
    <w:p w14:paraId="20805790" w14:textId="77777777" w:rsidR="00FB3670" w:rsidRPr="00716FAD" w:rsidRDefault="00FB3670" w:rsidP="00716FAD">
      <w:pPr>
        <w:pStyle w:val="Default"/>
        <w:jc w:val="both"/>
        <w:rPr>
          <w:sz w:val="22"/>
          <w:szCs w:val="22"/>
          <w:lang w:val="lv-LV"/>
        </w:rPr>
      </w:pPr>
      <w:r w:rsidRPr="00716FAD">
        <w:rPr>
          <w:sz w:val="22"/>
          <w:szCs w:val="22"/>
          <w:lang w:val="lv-LV"/>
        </w:rPr>
        <w:t>Ja pacientam ir aknu vai nieru darbības traucējumi, jāsamazina devu un starplaiks starp lietošanas reizēm nedrīkst būt mazāks kā 8 stundas.</w:t>
      </w:r>
    </w:p>
    <w:p w14:paraId="76ABF4B1" w14:textId="77777777" w:rsidR="00FB3670" w:rsidRPr="00716FAD" w:rsidRDefault="00FB3670" w:rsidP="00716FAD">
      <w:pPr>
        <w:pStyle w:val="Default"/>
        <w:jc w:val="both"/>
        <w:rPr>
          <w:sz w:val="22"/>
          <w:szCs w:val="22"/>
          <w:lang w:val="lv-LV"/>
        </w:rPr>
      </w:pPr>
    </w:p>
    <w:p w14:paraId="3DD73225" w14:textId="77777777" w:rsidR="00FB3670" w:rsidRPr="00716FAD" w:rsidRDefault="00FB3670" w:rsidP="00716FAD">
      <w:pPr>
        <w:tabs>
          <w:tab w:val="clear" w:pos="567"/>
        </w:tabs>
        <w:spacing w:line="240" w:lineRule="auto"/>
        <w:jc w:val="both"/>
        <w:rPr>
          <w:bCs/>
          <w:i/>
          <w:iCs/>
          <w:color w:val="000000"/>
          <w:szCs w:val="22"/>
        </w:rPr>
      </w:pPr>
      <w:r w:rsidRPr="00716FAD">
        <w:rPr>
          <w:bCs/>
          <w:i/>
          <w:iCs/>
          <w:color w:val="000000"/>
          <w:szCs w:val="22"/>
        </w:rPr>
        <w:t>Pediatriskā populācija</w:t>
      </w:r>
    </w:p>
    <w:p w14:paraId="03AB9B6C" w14:textId="77777777" w:rsidR="00FB3670" w:rsidRPr="00716FAD" w:rsidRDefault="00FB3670" w:rsidP="00716FAD">
      <w:pPr>
        <w:pStyle w:val="Default"/>
        <w:jc w:val="both"/>
        <w:rPr>
          <w:sz w:val="22"/>
          <w:szCs w:val="22"/>
          <w:lang w:val="lv-LV"/>
        </w:rPr>
      </w:pPr>
      <w:r w:rsidRPr="00716FAD">
        <w:rPr>
          <w:sz w:val="22"/>
          <w:szCs w:val="22"/>
          <w:lang w:val="lv-LV"/>
        </w:rPr>
        <w:t>Ascophen P nedrīkst lietot bērniem, kuri jaunāki par 16 gadiem (skatīt 4.3. apakšpunktu).</w:t>
      </w:r>
    </w:p>
    <w:p w14:paraId="697639E0" w14:textId="77777777" w:rsidR="00FB3670" w:rsidRPr="00716FAD" w:rsidRDefault="00FB3670" w:rsidP="00716FAD">
      <w:pPr>
        <w:pStyle w:val="Default"/>
        <w:jc w:val="both"/>
        <w:rPr>
          <w:sz w:val="22"/>
          <w:szCs w:val="22"/>
          <w:lang w:val="lv-LV"/>
        </w:rPr>
      </w:pPr>
    </w:p>
    <w:p w14:paraId="779736B0" w14:textId="77777777" w:rsidR="0097548A" w:rsidRPr="00716FAD" w:rsidRDefault="0097548A" w:rsidP="00716FAD">
      <w:pPr>
        <w:tabs>
          <w:tab w:val="clear" w:pos="567"/>
        </w:tabs>
        <w:spacing w:line="240" w:lineRule="auto"/>
        <w:jc w:val="both"/>
        <w:rPr>
          <w:color w:val="000000"/>
          <w:szCs w:val="22"/>
          <w:u w:val="single"/>
        </w:rPr>
      </w:pPr>
      <w:r w:rsidRPr="00716FAD">
        <w:rPr>
          <w:color w:val="000000"/>
          <w:szCs w:val="22"/>
          <w:u w:val="single"/>
        </w:rPr>
        <w:t>Lietošanas veids</w:t>
      </w:r>
    </w:p>
    <w:p w14:paraId="7F1A08DA" w14:textId="77777777" w:rsidR="00FB3670" w:rsidRPr="00716FAD" w:rsidRDefault="00FB3670" w:rsidP="00716FAD">
      <w:pPr>
        <w:pStyle w:val="Default"/>
        <w:jc w:val="both"/>
        <w:rPr>
          <w:sz w:val="22"/>
          <w:szCs w:val="22"/>
          <w:lang w:val="lv-LV"/>
        </w:rPr>
      </w:pPr>
      <w:r w:rsidRPr="00716FAD">
        <w:rPr>
          <w:sz w:val="22"/>
          <w:szCs w:val="22"/>
          <w:lang w:val="lv-LV"/>
        </w:rPr>
        <w:t>Iekšķīgai lietošanai.</w:t>
      </w:r>
    </w:p>
    <w:p w14:paraId="24D28A69" w14:textId="77777777" w:rsidR="00FB3670" w:rsidRPr="00716FAD" w:rsidRDefault="00FB3670" w:rsidP="00716FAD">
      <w:pPr>
        <w:pStyle w:val="Default"/>
        <w:jc w:val="both"/>
        <w:rPr>
          <w:sz w:val="22"/>
          <w:szCs w:val="22"/>
          <w:lang w:val="lv-LV"/>
        </w:rPr>
      </w:pPr>
      <w:r w:rsidRPr="00716FAD">
        <w:rPr>
          <w:sz w:val="22"/>
          <w:szCs w:val="22"/>
          <w:lang w:val="lv-LV"/>
        </w:rPr>
        <w:t>Tabletes jānorij veselas, uzdzerot pietiekamu daudzumu ūdens, un tās jālieto pēc ēdienreizēm.</w:t>
      </w:r>
    </w:p>
    <w:p w14:paraId="3C149152" w14:textId="77777777" w:rsidR="0097548A" w:rsidRPr="00716FAD" w:rsidRDefault="0097548A" w:rsidP="00716FAD">
      <w:pPr>
        <w:tabs>
          <w:tab w:val="clear" w:pos="567"/>
        </w:tabs>
        <w:spacing w:line="240" w:lineRule="auto"/>
        <w:jc w:val="both"/>
        <w:rPr>
          <w:b/>
          <w:color w:val="000000"/>
          <w:szCs w:val="22"/>
        </w:rPr>
      </w:pPr>
    </w:p>
    <w:p w14:paraId="7C17D2F3" w14:textId="77777777" w:rsidR="00FB3670" w:rsidRPr="00716FAD" w:rsidRDefault="00FB3670" w:rsidP="00716FAD">
      <w:pPr>
        <w:pStyle w:val="Default"/>
        <w:jc w:val="both"/>
        <w:rPr>
          <w:sz w:val="22"/>
          <w:szCs w:val="22"/>
          <w:lang w:val="lv-LV"/>
        </w:rPr>
      </w:pPr>
      <w:r w:rsidRPr="00716FAD">
        <w:rPr>
          <w:sz w:val="22"/>
          <w:szCs w:val="22"/>
          <w:lang w:val="lv-LV"/>
        </w:rPr>
        <w:t>Ascophen P nav ieteicams lietot ilgāk kā 5 dienas kā pretsāpju līdzekli un ilgāk kā 3 dienas kā temperatūru pazeminošu līdzekli.</w:t>
      </w:r>
    </w:p>
    <w:p w14:paraId="39049E27" w14:textId="77777777" w:rsidR="00FB3670" w:rsidRPr="00716FAD" w:rsidRDefault="00FB3670" w:rsidP="00716FAD">
      <w:pPr>
        <w:tabs>
          <w:tab w:val="clear" w:pos="567"/>
        </w:tabs>
        <w:spacing w:line="240" w:lineRule="auto"/>
        <w:jc w:val="both"/>
        <w:rPr>
          <w:b/>
          <w:color w:val="000000"/>
          <w:szCs w:val="22"/>
        </w:rPr>
      </w:pPr>
    </w:p>
    <w:p w14:paraId="01340AF9" w14:textId="77777777" w:rsidR="00CD10AA" w:rsidRPr="00716FAD" w:rsidRDefault="00CD10AA" w:rsidP="00716FAD">
      <w:pPr>
        <w:tabs>
          <w:tab w:val="clear" w:pos="567"/>
        </w:tabs>
        <w:spacing w:line="240" w:lineRule="auto"/>
        <w:jc w:val="both"/>
        <w:rPr>
          <w:b/>
          <w:color w:val="000000"/>
          <w:szCs w:val="22"/>
        </w:rPr>
      </w:pPr>
      <w:r w:rsidRPr="00716FAD">
        <w:rPr>
          <w:b/>
          <w:color w:val="000000"/>
          <w:szCs w:val="22"/>
        </w:rPr>
        <w:t>4.3</w:t>
      </w:r>
      <w:r w:rsidR="004D591D" w:rsidRPr="00716FAD">
        <w:rPr>
          <w:b/>
          <w:color w:val="000000"/>
          <w:szCs w:val="22"/>
        </w:rPr>
        <w:t>.</w:t>
      </w:r>
      <w:r w:rsidRPr="00716FAD">
        <w:rPr>
          <w:b/>
          <w:color w:val="000000"/>
          <w:szCs w:val="22"/>
        </w:rPr>
        <w:tab/>
        <w:t>Kontrindikācijas</w:t>
      </w:r>
    </w:p>
    <w:p w14:paraId="4495ACE7" w14:textId="77777777" w:rsidR="00716FAD" w:rsidRPr="00716FAD" w:rsidRDefault="00716FAD" w:rsidP="00716FAD">
      <w:pPr>
        <w:tabs>
          <w:tab w:val="clear" w:pos="567"/>
        </w:tabs>
        <w:spacing w:line="240" w:lineRule="auto"/>
        <w:jc w:val="both"/>
        <w:rPr>
          <w:color w:val="000000"/>
          <w:szCs w:val="22"/>
        </w:rPr>
      </w:pPr>
    </w:p>
    <w:p w14:paraId="3D16E778" w14:textId="77777777" w:rsidR="003F45AD" w:rsidRPr="00716FAD" w:rsidRDefault="00FB3670" w:rsidP="00716FAD">
      <w:pPr>
        <w:numPr>
          <w:ilvl w:val="0"/>
          <w:numId w:val="32"/>
        </w:numPr>
        <w:tabs>
          <w:tab w:val="clear" w:pos="567"/>
          <w:tab w:val="left" w:pos="709"/>
        </w:tabs>
        <w:spacing w:line="240" w:lineRule="auto"/>
        <w:jc w:val="both"/>
        <w:rPr>
          <w:color w:val="000000"/>
          <w:szCs w:val="22"/>
        </w:rPr>
      </w:pPr>
      <w:r w:rsidRPr="00716FAD">
        <w:rPr>
          <w:color w:val="000000"/>
          <w:szCs w:val="22"/>
        </w:rPr>
        <w:lastRenderedPageBreak/>
        <w:t>Paaugstināta jutība pret aktīvajām</w:t>
      </w:r>
      <w:r w:rsidR="00CD10AA" w:rsidRPr="00716FAD">
        <w:rPr>
          <w:color w:val="000000"/>
          <w:szCs w:val="22"/>
        </w:rPr>
        <w:t xml:space="preserve"> viel</w:t>
      </w:r>
      <w:r w:rsidRPr="00716FAD">
        <w:rPr>
          <w:color w:val="000000"/>
          <w:szCs w:val="22"/>
        </w:rPr>
        <w:t>ām</w:t>
      </w:r>
      <w:r w:rsidR="00CD10AA" w:rsidRPr="00716FAD">
        <w:rPr>
          <w:color w:val="000000"/>
          <w:szCs w:val="22"/>
        </w:rPr>
        <w:t xml:space="preserve"> vai jebkuru no </w:t>
      </w:r>
      <w:r w:rsidR="00870E9B" w:rsidRPr="00716FAD">
        <w:rPr>
          <w:color w:val="000000"/>
          <w:szCs w:val="22"/>
        </w:rPr>
        <w:t>6.1</w:t>
      </w:r>
      <w:r w:rsidR="004D591D" w:rsidRPr="00716FAD">
        <w:rPr>
          <w:color w:val="000000"/>
          <w:szCs w:val="22"/>
        </w:rPr>
        <w:t>.</w:t>
      </w:r>
      <w:r w:rsidR="00870E9B" w:rsidRPr="00716FAD">
        <w:rPr>
          <w:color w:val="000000"/>
          <w:szCs w:val="22"/>
        </w:rPr>
        <w:t xml:space="preserve"> apakšpunktā uzskaitītajām </w:t>
      </w:r>
      <w:r w:rsidR="00CD10AA" w:rsidRPr="00716FAD">
        <w:rPr>
          <w:color w:val="000000"/>
          <w:szCs w:val="22"/>
        </w:rPr>
        <w:t>palīgvielām</w:t>
      </w:r>
      <w:r w:rsidR="003F45AD" w:rsidRPr="00716FAD">
        <w:rPr>
          <w:color w:val="000000"/>
          <w:szCs w:val="22"/>
        </w:rPr>
        <w:t>.</w:t>
      </w:r>
    </w:p>
    <w:p w14:paraId="32BACBD3" w14:textId="77777777" w:rsidR="00FB3670" w:rsidRPr="00716FAD" w:rsidRDefault="00FB3670" w:rsidP="00716FAD">
      <w:pPr>
        <w:pStyle w:val="Default"/>
        <w:numPr>
          <w:ilvl w:val="0"/>
          <w:numId w:val="32"/>
        </w:numPr>
        <w:tabs>
          <w:tab w:val="left" w:pos="709"/>
        </w:tabs>
        <w:jc w:val="both"/>
        <w:rPr>
          <w:sz w:val="22"/>
          <w:szCs w:val="22"/>
          <w:lang w:val="lv-LV"/>
        </w:rPr>
      </w:pPr>
      <w:r w:rsidRPr="00716FAD">
        <w:rPr>
          <w:sz w:val="22"/>
          <w:szCs w:val="22"/>
          <w:lang w:val="lv-LV"/>
        </w:rPr>
        <w:t>Kuņģa un divpadsmitpirkstu zarnas čūlas slimība vai šī slimība anamnēzē.</w:t>
      </w:r>
    </w:p>
    <w:p w14:paraId="432A2057" w14:textId="77777777" w:rsidR="00FB3670" w:rsidRPr="00716FAD" w:rsidRDefault="00FB3670" w:rsidP="00716FAD">
      <w:pPr>
        <w:pStyle w:val="Default"/>
        <w:numPr>
          <w:ilvl w:val="0"/>
          <w:numId w:val="32"/>
        </w:numPr>
        <w:tabs>
          <w:tab w:val="left" w:pos="709"/>
        </w:tabs>
        <w:jc w:val="both"/>
        <w:rPr>
          <w:sz w:val="22"/>
          <w:szCs w:val="22"/>
          <w:lang w:val="lv-LV"/>
        </w:rPr>
      </w:pPr>
      <w:r w:rsidRPr="00716FAD">
        <w:rPr>
          <w:sz w:val="22"/>
          <w:szCs w:val="22"/>
          <w:lang w:val="lv-LV"/>
        </w:rPr>
        <w:t>Kuņģa - zarnu trakta asiņošana.</w:t>
      </w:r>
    </w:p>
    <w:p w14:paraId="42277668" w14:textId="77777777" w:rsidR="00FB3670" w:rsidRPr="00716FAD" w:rsidRDefault="00FB3670" w:rsidP="00716FAD">
      <w:pPr>
        <w:pStyle w:val="Default"/>
        <w:numPr>
          <w:ilvl w:val="0"/>
          <w:numId w:val="32"/>
        </w:numPr>
        <w:tabs>
          <w:tab w:val="left" w:pos="709"/>
        </w:tabs>
        <w:jc w:val="both"/>
        <w:rPr>
          <w:sz w:val="22"/>
          <w:szCs w:val="22"/>
          <w:lang w:val="lv-LV"/>
        </w:rPr>
      </w:pPr>
      <w:r w:rsidRPr="00716FAD">
        <w:rPr>
          <w:sz w:val="22"/>
          <w:szCs w:val="22"/>
          <w:lang w:val="lv-LV"/>
        </w:rPr>
        <w:t>Portāla hipertensija.</w:t>
      </w:r>
    </w:p>
    <w:p w14:paraId="7EF65496" w14:textId="77777777" w:rsidR="00FB3670" w:rsidRPr="00716FAD" w:rsidRDefault="00FB3670" w:rsidP="00716FAD">
      <w:pPr>
        <w:pStyle w:val="Default"/>
        <w:numPr>
          <w:ilvl w:val="0"/>
          <w:numId w:val="32"/>
        </w:numPr>
        <w:tabs>
          <w:tab w:val="left" w:pos="709"/>
        </w:tabs>
        <w:jc w:val="both"/>
        <w:rPr>
          <w:sz w:val="22"/>
          <w:szCs w:val="22"/>
          <w:lang w:val="lv-LV"/>
        </w:rPr>
      </w:pPr>
      <w:r w:rsidRPr="00716FAD">
        <w:rPr>
          <w:sz w:val="22"/>
          <w:szCs w:val="22"/>
          <w:lang w:val="lv-LV"/>
        </w:rPr>
        <w:t>K vitamīna deficīts.</w:t>
      </w:r>
    </w:p>
    <w:p w14:paraId="4B17F268" w14:textId="77777777" w:rsidR="00FB3670" w:rsidRPr="00716FAD" w:rsidRDefault="00FB3670" w:rsidP="00716FAD">
      <w:pPr>
        <w:pStyle w:val="Default"/>
        <w:numPr>
          <w:ilvl w:val="0"/>
          <w:numId w:val="32"/>
        </w:numPr>
        <w:tabs>
          <w:tab w:val="left" w:pos="709"/>
        </w:tabs>
        <w:jc w:val="both"/>
        <w:rPr>
          <w:sz w:val="22"/>
          <w:szCs w:val="22"/>
          <w:lang w:val="lv-LV"/>
        </w:rPr>
      </w:pPr>
      <w:r w:rsidRPr="00716FAD">
        <w:rPr>
          <w:sz w:val="22"/>
          <w:szCs w:val="22"/>
          <w:lang w:val="lv-LV"/>
        </w:rPr>
        <w:t>Smaga nieru vai aknu mazspēja.</w:t>
      </w:r>
    </w:p>
    <w:p w14:paraId="70BB599E" w14:textId="77777777" w:rsidR="00FB3670" w:rsidRPr="00716FAD" w:rsidRDefault="00FB3670" w:rsidP="00716FAD">
      <w:pPr>
        <w:pStyle w:val="Default"/>
        <w:numPr>
          <w:ilvl w:val="0"/>
          <w:numId w:val="32"/>
        </w:numPr>
        <w:tabs>
          <w:tab w:val="left" w:pos="709"/>
        </w:tabs>
        <w:jc w:val="both"/>
        <w:rPr>
          <w:sz w:val="22"/>
          <w:szCs w:val="22"/>
          <w:lang w:val="lv-LV"/>
        </w:rPr>
      </w:pPr>
      <w:r w:rsidRPr="00716FAD">
        <w:rPr>
          <w:sz w:val="22"/>
          <w:szCs w:val="22"/>
          <w:lang w:val="lv-LV"/>
        </w:rPr>
        <w:t>Glikozes – 6 – fosfātdehidrogenāzes deficīts.</w:t>
      </w:r>
    </w:p>
    <w:p w14:paraId="5E69FA6F" w14:textId="77777777" w:rsidR="00FB3670" w:rsidRPr="00716FAD" w:rsidRDefault="00FB3670" w:rsidP="00716FAD">
      <w:pPr>
        <w:pStyle w:val="Default"/>
        <w:numPr>
          <w:ilvl w:val="0"/>
          <w:numId w:val="32"/>
        </w:numPr>
        <w:tabs>
          <w:tab w:val="left" w:pos="709"/>
        </w:tabs>
        <w:jc w:val="both"/>
        <w:rPr>
          <w:sz w:val="22"/>
          <w:szCs w:val="22"/>
          <w:lang w:val="lv-LV"/>
        </w:rPr>
      </w:pPr>
      <w:r w:rsidRPr="00716FAD">
        <w:rPr>
          <w:sz w:val="22"/>
          <w:szCs w:val="22"/>
          <w:lang w:val="lv-LV"/>
        </w:rPr>
        <w:t>Asins saslimšanas ar noslieci uz zemādas asiņošanu un asiņošanu.</w:t>
      </w:r>
    </w:p>
    <w:p w14:paraId="22B94DDE" w14:textId="77777777" w:rsidR="00FB3670" w:rsidRPr="00716FAD" w:rsidRDefault="00FB3670" w:rsidP="00716FAD">
      <w:pPr>
        <w:pStyle w:val="Default"/>
        <w:numPr>
          <w:ilvl w:val="0"/>
          <w:numId w:val="32"/>
        </w:numPr>
        <w:tabs>
          <w:tab w:val="left" w:pos="709"/>
        </w:tabs>
        <w:jc w:val="both"/>
        <w:rPr>
          <w:sz w:val="22"/>
          <w:szCs w:val="22"/>
          <w:lang w:val="lv-LV"/>
        </w:rPr>
      </w:pPr>
      <w:r w:rsidRPr="00716FAD">
        <w:rPr>
          <w:sz w:val="22"/>
          <w:szCs w:val="22"/>
          <w:lang w:val="lv-LV"/>
        </w:rPr>
        <w:t>Glaukoma.</w:t>
      </w:r>
    </w:p>
    <w:p w14:paraId="39ECF373" w14:textId="77777777" w:rsidR="00FB3670" w:rsidRPr="00716FAD" w:rsidRDefault="00FB3670" w:rsidP="00716FAD">
      <w:pPr>
        <w:pStyle w:val="Default"/>
        <w:numPr>
          <w:ilvl w:val="0"/>
          <w:numId w:val="32"/>
        </w:numPr>
        <w:tabs>
          <w:tab w:val="left" w:pos="709"/>
        </w:tabs>
        <w:jc w:val="both"/>
        <w:rPr>
          <w:sz w:val="22"/>
          <w:szCs w:val="22"/>
          <w:lang w:val="lv-LV"/>
        </w:rPr>
      </w:pPr>
      <w:r w:rsidRPr="00716FAD">
        <w:rPr>
          <w:sz w:val="22"/>
          <w:szCs w:val="22"/>
          <w:lang w:val="lv-LV"/>
        </w:rPr>
        <w:t>Bronhiālā astma.</w:t>
      </w:r>
    </w:p>
    <w:p w14:paraId="52444649" w14:textId="77777777" w:rsidR="00FB3670" w:rsidRPr="00716FAD" w:rsidRDefault="00FB3670" w:rsidP="00716FAD">
      <w:pPr>
        <w:pStyle w:val="Default"/>
        <w:numPr>
          <w:ilvl w:val="0"/>
          <w:numId w:val="32"/>
        </w:numPr>
        <w:tabs>
          <w:tab w:val="left" w:pos="709"/>
        </w:tabs>
        <w:jc w:val="both"/>
        <w:rPr>
          <w:sz w:val="22"/>
          <w:szCs w:val="22"/>
          <w:lang w:val="lv-LV"/>
        </w:rPr>
      </w:pPr>
      <w:r w:rsidRPr="00716FAD">
        <w:rPr>
          <w:sz w:val="22"/>
          <w:szCs w:val="22"/>
          <w:lang w:val="lv-LV"/>
        </w:rPr>
        <w:t>Hemorāģiska diatēze.</w:t>
      </w:r>
    </w:p>
    <w:p w14:paraId="2049519D" w14:textId="77777777" w:rsidR="00FB3670" w:rsidRPr="00716FAD" w:rsidRDefault="00FB3670" w:rsidP="00716FAD">
      <w:pPr>
        <w:pStyle w:val="Default"/>
        <w:numPr>
          <w:ilvl w:val="0"/>
          <w:numId w:val="32"/>
        </w:numPr>
        <w:tabs>
          <w:tab w:val="left" w:pos="709"/>
        </w:tabs>
        <w:jc w:val="both"/>
        <w:rPr>
          <w:sz w:val="22"/>
          <w:szCs w:val="22"/>
          <w:lang w:val="lv-LV"/>
        </w:rPr>
      </w:pPr>
      <w:r w:rsidRPr="00716FAD">
        <w:rPr>
          <w:sz w:val="22"/>
          <w:szCs w:val="22"/>
          <w:lang w:val="lv-LV"/>
        </w:rPr>
        <w:t>Hemofīlija.</w:t>
      </w:r>
    </w:p>
    <w:p w14:paraId="37CCA783" w14:textId="77777777" w:rsidR="00FB3670" w:rsidRPr="00716FAD" w:rsidRDefault="00FB3670" w:rsidP="00716FAD">
      <w:pPr>
        <w:pStyle w:val="Default"/>
        <w:numPr>
          <w:ilvl w:val="0"/>
          <w:numId w:val="32"/>
        </w:numPr>
        <w:tabs>
          <w:tab w:val="left" w:pos="709"/>
        </w:tabs>
        <w:jc w:val="both"/>
        <w:rPr>
          <w:sz w:val="22"/>
          <w:szCs w:val="22"/>
          <w:lang w:val="lv-LV"/>
        </w:rPr>
      </w:pPr>
      <w:r w:rsidRPr="00716FAD">
        <w:rPr>
          <w:sz w:val="22"/>
          <w:szCs w:val="22"/>
          <w:lang w:val="lv-LV"/>
        </w:rPr>
        <w:t>Podagra.</w:t>
      </w:r>
    </w:p>
    <w:p w14:paraId="41431E43" w14:textId="77777777" w:rsidR="00FB3670" w:rsidRPr="00716FAD" w:rsidRDefault="00FB3670" w:rsidP="00716FAD">
      <w:pPr>
        <w:pStyle w:val="Default"/>
        <w:numPr>
          <w:ilvl w:val="0"/>
          <w:numId w:val="32"/>
        </w:numPr>
        <w:tabs>
          <w:tab w:val="left" w:pos="709"/>
        </w:tabs>
        <w:jc w:val="both"/>
        <w:rPr>
          <w:sz w:val="22"/>
          <w:szCs w:val="22"/>
          <w:lang w:val="lv-LV"/>
        </w:rPr>
      </w:pPr>
      <w:r w:rsidRPr="00716FAD">
        <w:rPr>
          <w:sz w:val="22"/>
          <w:szCs w:val="22"/>
          <w:lang w:val="lv-LV"/>
        </w:rPr>
        <w:t>Vienlaicīga antikoagulantu lietošana.</w:t>
      </w:r>
    </w:p>
    <w:p w14:paraId="46ECC9BB" w14:textId="77777777" w:rsidR="00FB3670" w:rsidRPr="00716FAD" w:rsidRDefault="00FB3670" w:rsidP="00716FAD">
      <w:pPr>
        <w:pStyle w:val="Default"/>
        <w:numPr>
          <w:ilvl w:val="0"/>
          <w:numId w:val="32"/>
        </w:numPr>
        <w:tabs>
          <w:tab w:val="left" w:pos="709"/>
        </w:tabs>
        <w:jc w:val="both"/>
        <w:rPr>
          <w:sz w:val="22"/>
          <w:szCs w:val="22"/>
          <w:lang w:val="lv-LV"/>
        </w:rPr>
      </w:pPr>
      <w:r w:rsidRPr="00716FAD">
        <w:rPr>
          <w:sz w:val="22"/>
          <w:szCs w:val="22"/>
          <w:lang w:val="lv-LV"/>
        </w:rPr>
        <w:t>Smagi sirds-asinsvadu sistēmas traucējumi.</w:t>
      </w:r>
    </w:p>
    <w:p w14:paraId="0503D92A" w14:textId="77777777" w:rsidR="00FB3670" w:rsidRPr="00716FAD" w:rsidRDefault="00FB3670" w:rsidP="00716FAD">
      <w:pPr>
        <w:pStyle w:val="Default"/>
        <w:numPr>
          <w:ilvl w:val="0"/>
          <w:numId w:val="32"/>
        </w:numPr>
        <w:tabs>
          <w:tab w:val="left" w:pos="709"/>
        </w:tabs>
        <w:jc w:val="both"/>
        <w:rPr>
          <w:sz w:val="22"/>
          <w:szCs w:val="22"/>
          <w:lang w:val="lv-LV"/>
        </w:rPr>
      </w:pPr>
      <w:r w:rsidRPr="00716FAD">
        <w:rPr>
          <w:sz w:val="22"/>
          <w:szCs w:val="22"/>
          <w:lang w:val="lv-LV"/>
        </w:rPr>
        <w:t>Astma vai alerģiskas reakcijas (angioedēma, bronhospa</w:t>
      </w:r>
      <w:r w:rsidR="002E7A04" w:rsidRPr="00716FAD">
        <w:rPr>
          <w:sz w:val="22"/>
          <w:szCs w:val="22"/>
          <w:lang w:val="lv-LV"/>
        </w:rPr>
        <w:t>z</w:t>
      </w:r>
      <w:r w:rsidRPr="00716FAD">
        <w:rPr>
          <w:sz w:val="22"/>
          <w:szCs w:val="22"/>
          <w:lang w:val="lv-LV"/>
        </w:rPr>
        <w:t>mas, nātrene, rīnīts) anamnēzē, ko izraisījusi salicilātu vai tiem līdzīgas iedarbības zāļu lietošana, it īpaši nesteroīdo pretiekaisuma līdzekļu lietošana.</w:t>
      </w:r>
    </w:p>
    <w:p w14:paraId="7FAEC5A5" w14:textId="77777777" w:rsidR="00FB3670" w:rsidRPr="00716FAD" w:rsidRDefault="00FB3670" w:rsidP="00716FAD">
      <w:pPr>
        <w:pStyle w:val="Default"/>
        <w:numPr>
          <w:ilvl w:val="0"/>
          <w:numId w:val="32"/>
        </w:numPr>
        <w:tabs>
          <w:tab w:val="left" w:pos="709"/>
        </w:tabs>
        <w:jc w:val="both"/>
        <w:rPr>
          <w:sz w:val="22"/>
          <w:szCs w:val="22"/>
          <w:lang w:val="lv-LV"/>
        </w:rPr>
      </w:pPr>
      <w:r w:rsidRPr="00716FAD">
        <w:rPr>
          <w:sz w:val="22"/>
          <w:szCs w:val="22"/>
          <w:lang w:val="lv-LV"/>
        </w:rPr>
        <w:t>Acetilsalicilskābi saturošas zāles ir kontrindicētas pirms un pēc operācijām vai zobu izraušanas.</w:t>
      </w:r>
    </w:p>
    <w:p w14:paraId="6EE13D48" w14:textId="77777777" w:rsidR="00FB3670" w:rsidRPr="00716FAD" w:rsidRDefault="00FB3670" w:rsidP="00716FAD">
      <w:pPr>
        <w:pStyle w:val="Default"/>
        <w:numPr>
          <w:ilvl w:val="0"/>
          <w:numId w:val="32"/>
        </w:numPr>
        <w:tabs>
          <w:tab w:val="left" w:pos="709"/>
        </w:tabs>
        <w:jc w:val="both"/>
        <w:rPr>
          <w:sz w:val="22"/>
          <w:szCs w:val="22"/>
          <w:lang w:val="lv-LV"/>
        </w:rPr>
      </w:pPr>
      <w:r w:rsidRPr="00716FAD">
        <w:rPr>
          <w:sz w:val="22"/>
          <w:szCs w:val="22"/>
          <w:lang w:val="lv-LV"/>
        </w:rPr>
        <w:t xml:space="preserve">Grūtniecība un </w:t>
      </w:r>
      <w:r w:rsidR="00EC5914" w:rsidRPr="00716FAD">
        <w:rPr>
          <w:sz w:val="22"/>
          <w:szCs w:val="22"/>
          <w:lang w:val="lv-LV"/>
        </w:rPr>
        <w:t>krūt</w:t>
      </w:r>
      <w:r w:rsidR="002C6D5E" w:rsidRPr="00716FAD">
        <w:rPr>
          <w:sz w:val="22"/>
          <w:szCs w:val="22"/>
          <w:lang w:val="lv-LV"/>
        </w:rPr>
        <w:t>s barošanas</w:t>
      </w:r>
      <w:r w:rsidR="00EC5914" w:rsidRPr="00716FAD">
        <w:rPr>
          <w:sz w:val="22"/>
          <w:szCs w:val="22"/>
          <w:lang w:val="lv-LV"/>
        </w:rPr>
        <w:t xml:space="preserve"> </w:t>
      </w:r>
      <w:r w:rsidRPr="00716FAD">
        <w:rPr>
          <w:sz w:val="22"/>
          <w:szCs w:val="22"/>
          <w:lang w:val="lv-LV"/>
        </w:rPr>
        <w:t>periods.</w:t>
      </w:r>
    </w:p>
    <w:p w14:paraId="51F8D430" w14:textId="77777777" w:rsidR="00FB3670" w:rsidRPr="00716FAD" w:rsidRDefault="00FB3670" w:rsidP="00716FAD">
      <w:pPr>
        <w:pStyle w:val="Default"/>
        <w:numPr>
          <w:ilvl w:val="0"/>
          <w:numId w:val="32"/>
        </w:numPr>
        <w:tabs>
          <w:tab w:val="left" w:pos="709"/>
        </w:tabs>
        <w:jc w:val="both"/>
        <w:rPr>
          <w:sz w:val="22"/>
          <w:szCs w:val="22"/>
          <w:lang w:val="lv-LV"/>
        </w:rPr>
      </w:pPr>
      <w:r w:rsidRPr="00716FAD">
        <w:rPr>
          <w:sz w:val="22"/>
          <w:szCs w:val="22"/>
          <w:lang w:val="lv-LV"/>
        </w:rPr>
        <w:t>Bērni, kuri jaunāki par 16 gadiem.</w:t>
      </w:r>
    </w:p>
    <w:p w14:paraId="51F117F8" w14:textId="77777777" w:rsidR="00CD10AA" w:rsidRPr="00716FAD" w:rsidRDefault="00CD10AA" w:rsidP="00716FAD">
      <w:pPr>
        <w:tabs>
          <w:tab w:val="clear" w:pos="567"/>
        </w:tabs>
        <w:spacing w:line="240" w:lineRule="auto"/>
        <w:jc w:val="both"/>
        <w:rPr>
          <w:color w:val="000000"/>
          <w:szCs w:val="22"/>
        </w:rPr>
      </w:pPr>
    </w:p>
    <w:p w14:paraId="29315977" w14:textId="77777777" w:rsidR="00CD10AA" w:rsidRPr="00716FAD" w:rsidRDefault="00CD10AA" w:rsidP="00716FAD">
      <w:pPr>
        <w:tabs>
          <w:tab w:val="clear" w:pos="567"/>
        </w:tabs>
        <w:spacing w:line="240" w:lineRule="auto"/>
        <w:jc w:val="both"/>
        <w:rPr>
          <w:b/>
          <w:color w:val="000000"/>
          <w:szCs w:val="22"/>
        </w:rPr>
      </w:pPr>
      <w:r w:rsidRPr="00716FAD">
        <w:rPr>
          <w:b/>
          <w:color w:val="000000"/>
          <w:szCs w:val="22"/>
        </w:rPr>
        <w:t>4.4</w:t>
      </w:r>
      <w:r w:rsidR="004D591D" w:rsidRPr="00716FAD">
        <w:rPr>
          <w:b/>
          <w:color w:val="000000"/>
          <w:szCs w:val="22"/>
        </w:rPr>
        <w:t>.</w:t>
      </w:r>
      <w:r w:rsidRPr="00716FAD">
        <w:rPr>
          <w:b/>
          <w:color w:val="000000"/>
          <w:szCs w:val="22"/>
        </w:rPr>
        <w:tab/>
        <w:t>Īpaši brīdinājumi un piesardzība lietošanā</w:t>
      </w:r>
    </w:p>
    <w:p w14:paraId="6541F1EF" w14:textId="77777777" w:rsidR="00716FAD" w:rsidRPr="00716FAD" w:rsidRDefault="00716FAD" w:rsidP="00716FAD">
      <w:pPr>
        <w:pStyle w:val="Default"/>
        <w:jc w:val="both"/>
        <w:rPr>
          <w:sz w:val="22"/>
          <w:szCs w:val="22"/>
          <w:lang w:val="lv-LV"/>
        </w:rPr>
      </w:pPr>
    </w:p>
    <w:p w14:paraId="2DEB5782" w14:textId="77777777" w:rsidR="00FB3670" w:rsidRPr="00716FAD" w:rsidRDefault="00FB3670" w:rsidP="00716FAD">
      <w:pPr>
        <w:pStyle w:val="Default"/>
        <w:jc w:val="both"/>
        <w:rPr>
          <w:sz w:val="22"/>
          <w:szCs w:val="22"/>
          <w:lang w:val="lv-LV"/>
        </w:rPr>
      </w:pPr>
      <w:r w:rsidRPr="00716FAD">
        <w:rPr>
          <w:sz w:val="22"/>
          <w:szCs w:val="22"/>
          <w:lang w:val="lv-LV"/>
        </w:rPr>
        <w:t>Ascophen P piesardzīgi jālieto:</w:t>
      </w:r>
    </w:p>
    <w:p w14:paraId="3888EF78" w14:textId="77777777" w:rsidR="00FB3670" w:rsidRPr="00716FAD" w:rsidRDefault="00FB3670" w:rsidP="00716FAD">
      <w:pPr>
        <w:pStyle w:val="Default"/>
        <w:numPr>
          <w:ilvl w:val="0"/>
          <w:numId w:val="33"/>
        </w:numPr>
        <w:tabs>
          <w:tab w:val="left" w:pos="709"/>
        </w:tabs>
        <w:jc w:val="both"/>
        <w:rPr>
          <w:sz w:val="22"/>
          <w:szCs w:val="22"/>
          <w:lang w:val="lv-LV"/>
        </w:rPr>
      </w:pPr>
      <w:r w:rsidRPr="00716FAD">
        <w:rPr>
          <w:sz w:val="22"/>
          <w:szCs w:val="22"/>
          <w:lang w:val="lv-LV"/>
        </w:rPr>
        <w:t>pacientiem ar nieru darbības traucējumiem;</w:t>
      </w:r>
    </w:p>
    <w:p w14:paraId="78578EE1" w14:textId="77777777" w:rsidR="00FB3670" w:rsidRPr="00716FAD" w:rsidRDefault="00FB3670" w:rsidP="00716FAD">
      <w:pPr>
        <w:pStyle w:val="Default"/>
        <w:numPr>
          <w:ilvl w:val="0"/>
          <w:numId w:val="33"/>
        </w:numPr>
        <w:tabs>
          <w:tab w:val="left" w:pos="709"/>
        </w:tabs>
        <w:jc w:val="both"/>
        <w:rPr>
          <w:sz w:val="22"/>
          <w:szCs w:val="22"/>
          <w:lang w:val="lv-LV"/>
        </w:rPr>
      </w:pPr>
      <w:r w:rsidRPr="00716FAD">
        <w:rPr>
          <w:sz w:val="22"/>
          <w:szCs w:val="22"/>
          <w:lang w:val="lv-LV"/>
        </w:rPr>
        <w:t>pacientiem ar aknu darbības traucējumiem;</w:t>
      </w:r>
    </w:p>
    <w:p w14:paraId="52114818" w14:textId="77777777" w:rsidR="00FB3670" w:rsidRPr="00716FAD" w:rsidRDefault="00FB3670" w:rsidP="00716FAD">
      <w:pPr>
        <w:pStyle w:val="Default"/>
        <w:numPr>
          <w:ilvl w:val="0"/>
          <w:numId w:val="33"/>
        </w:numPr>
        <w:tabs>
          <w:tab w:val="left" w:pos="709"/>
        </w:tabs>
        <w:jc w:val="both"/>
        <w:rPr>
          <w:sz w:val="22"/>
          <w:szCs w:val="22"/>
          <w:lang w:val="lv-LV"/>
        </w:rPr>
      </w:pPr>
      <w:r w:rsidRPr="00716FAD">
        <w:rPr>
          <w:sz w:val="22"/>
          <w:szCs w:val="22"/>
          <w:lang w:val="lv-LV"/>
        </w:rPr>
        <w:t>pacientiem ar sirds mazspēju;</w:t>
      </w:r>
    </w:p>
    <w:p w14:paraId="7C07B262" w14:textId="77777777" w:rsidR="00FB3670" w:rsidRPr="00716FAD" w:rsidRDefault="00FB3670" w:rsidP="00716FAD">
      <w:pPr>
        <w:pStyle w:val="Default"/>
        <w:numPr>
          <w:ilvl w:val="0"/>
          <w:numId w:val="33"/>
        </w:numPr>
        <w:tabs>
          <w:tab w:val="left" w:pos="709"/>
        </w:tabs>
        <w:jc w:val="both"/>
        <w:rPr>
          <w:sz w:val="22"/>
          <w:szCs w:val="22"/>
          <w:lang w:val="lv-LV"/>
        </w:rPr>
      </w:pPr>
      <w:r w:rsidRPr="00716FAD">
        <w:rPr>
          <w:sz w:val="22"/>
          <w:szCs w:val="22"/>
          <w:lang w:val="lv-LV"/>
        </w:rPr>
        <w:t>pacientiem ar nekontrolētu hipertensiju;</w:t>
      </w:r>
    </w:p>
    <w:p w14:paraId="4E53487F" w14:textId="77777777" w:rsidR="00FB3670" w:rsidRPr="00716FAD" w:rsidRDefault="00FB3670" w:rsidP="00716FAD">
      <w:pPr>
        <w:pStyle w:val="Default"/>
        <w:numPr>
          <w:ilvl w:val="0"/>
          <w:numId w:val="33"/>
        </w:numPr>
        <w:tabs>
          <w:tab w:val="left" w:pos="709"/>
        </w:tabs>
        <w:jc w:val="both"/>
        <w:rPr>
          <w:sz w:val="22"/>
          <w:szCs w:val="22"/>
          <w:lang w:val="lv-LV"/>
        </w:rPr>
      </w:pPr>
      <w:r w:rsidRPr="00716FAD">
        <w:rPr>
          <w:sz w:val="22"/>
          <w:szCs w:val="22"/>
          <w:lang w:val="lv-LV"/>
        </w:rPr>
        <w:t>pacientiem ar sirds ritma traucējumiem;</w:t>
      </w:r>
    </w:p>
    <w:p w14:paraId="6C110361" w14:textId="77777777" w:rsidR="00FB3670" w:rsidRPr="00716FAD" w:rsidRDefault="00FB3670" w:rsidP="00716FAD">
      <w:pPr>
        <w:pStyle w:val="Default"/>
        <w:numPr>
          <w:ilvl w:val="0"/>
          <w:numId w:val="33"/>
        </w:numPr>
        <w:tabs>
          <w:tab w:val="left" w:pos="709"/>
        </w:tabs>
        <w:jc w:val="both"/>
        <w:rPr>
          <w:sz w:val="22"/>
          <w:szCs w:val="22"/>
          <w:lang w:val="lv-LV"/>
        </w:rPr>
      </w:pPr>
      <w:r w:rsidRPr="00716FAD">
        <w:rPr>
          <w:sz w:val="22"/>
          <w:szCs w:val="22"/>
          <w:lang w:val="lv-LV"/>
        </w:rPr>
        <w:t>pacientiem ar aplastisku anēmiju;</w:t>
      </w:r>
    </w:p>
    <w:p w14:paraId="63BB98DF" w14:textId="77777777" w:rsidR="00FB3670" w:rsidRPr="00716FAD" w:rsidRDefault="00FB3670" w:rsidP="00716FAD">
      <w:pPr>
        <w:pStyle w:val="Default"/>
        <w:numPr>
          <w:ilvl w:val="0"/>
          <w:numId w:val="33"/>
        </w:numPr>
        <w:tabs>
          <w:tab w:val="left" w:pos="709"/>
        </w:tabs>
        <w:jc w:val="both"/>
        <w:rPr>
          <w:sz w:val="22"/>
          <w:szCs w:val="22"/>
          <w:lang w:val="lv-LV"/>
        </w:rPr>
      </w:pPr>
      <w:r w:rsidRPr="00716FAD">
        <w:rPr>
          <w:sz w:val="22"/>
          <w:szCs w:val="22"/>
          <w:lang w:val="lv-LV"/>
        </w:rPr>
        <w:t>pacientiem ar pancitopēniju;</w:t>
      </w:r>
    </w:p>
    <w:p w14:paraId="2EE48DF0" w14:textId="77777777" w:rsidR="00FB3670" w:rsidRPr="00716FAD" w:rsidRDefault="00FB3670" w:rsidP="00716FAD">
      <w:pPr>
        <w:pStyle w:val="Default"/>
        <w:numPr>
          <w:ilvl w:val="0"/>
          <w:numId w:val="33"/>
        </w:numPr>
        <w:tabs>
          <w:tab w:val="left" w:pos="709"/>
        </w:tabs>
        <w:jc w:val="both"/>
        <w:rPr>
          <w:sz w:val="22"/>
          <w:szCs w:val="22"/>
          <w:lang w:val="lv-LV"/>
        </w:rPr>
      </w:pPr>
      <w:r w:rsidRPr="00716FAD">
        <w:rPr>
          <w:sz w:val="22"/>
          <w:szCs w:val="22"/>
          <w:lang w:val="lv-LV"/>
        </w:rPr>
        <w:t>pacientiem ar nesen pārciestu miokarda infarktu (pirmo dienu līdz nedēļu laikā);</w:t>
      </w:r>
    </w:p>
    <w:p w14:paraId="1125EB62" w14:textId="77777777" w:rsidR="00FB3670" w:rsidRPr="00716FAD" w:rsidRDefault="00FB3670" w:rsidP="00716FAD">
      <w:pPr>
        <w:pStyle w:val="Default"/>
        <w:numPr>
          <w:ilvl w:val="0"/>
          <w:numId w:val="33"/>
        </w:numPr>
        <w:tabs>
          <w:tab w:val="left" w:pos="709"/>
        </w:tabs>
        <w:jc w:val="both"/>
        <w:rPr>
          <w:sz w:val="22"/>
          <w:szCs w:val="22"/>
          <w:lang w:val="lv-LV"/>
        </w:rPr>
      </w:pPr>
      <w:r w:rsidRPr="00716FAD">
        <w:rPr>
          <w:sz w:val="22"/>
          <w:szCs w:val="22"/>
          <w:lang w:val="lv-LV"/>
        </w:rPr>
        <w:t>pacientiem ar cukura diabētu;</w:t>
      </w:r>
    </w:p>
    <w:p w14:paraId="76C3D51B" w14:textId="77777777" w:rsidR="00FB3670" w:rsidRPr="00716FAD" w:rsidRDefault="00FB3670" w:rsidP="00716FAD">
      <w:pPr>
        <w:pStyle w:val="Default"/>
        <w:numPr>
          <w:ilvl w:val="0"/>
          <w:numId w:val="33"/>
        </w:numPr>
        <w:tabs>
          <w:tab w:val="left" w:pos="709"/>
        </w:tabs>
        <w:jc w:val="both"/>
        <w:rPr>
          <w:sz w:val="22"/>
          <w:szCs w:val="22"/>
          <w:lang w:val="lv-LV"/>
        </w:rPr>
      </w:pPr>
      <w:r w:rsidRPr="00716FAD">
        <w:rPr>
          <w:sz w:val="22"/>
          <w:szCs w:val="22"/>
          <w:lang w:val="lv-LV"/>
        </w:rPr>
        <w:t>pacientiem ar hipertireo</w:t>
      </w:r>
      <w:r w:rsidR="002A5C9E" w:rsidRPr="00716FAD">
        <w:rPr>
          <w:sz w:val="22"/>
          <w:szCs w:val="22"/>
          <w:lang w:val="lv-LV"/>
        </w:rPr>
        <w:t>zi</w:t>
      </w:r>
      <w:r w:rsidRPr="00716FAD">
        <w:rPr>
          <w:sz w:val="22"/>
          <w:szCs w:val="22"/>
          <w:lang w:val="lv-LV"/>
        </w:rPr>
        <w:t>;</w:t>
      </w:r>
    </w:p>
    <w:p w14:paraId="51D36A17" w14:textId="77777777" w:rsidR="00FB3670" w:rsidRPr="00716FAD" w:rsidRDefault="00FB3670" w:rsidP="00716FAD">
      <w:pPr>
        <w:pStyle w:val="Default"/>
        <w:numPr>
          <w:ilvl w:val="0"/>
          <w:numId w:val="33"/>
        </w:numPr>
        <w:tabs>
          <w:tab w:val="left" w:pos="709"/>
        </w:tabs>
        <w:jc w:val="both"/>
        <w:rPr>
          <w:sz w:val="22"/>
          <w:szCs w:val="22"/>
          <w:lang w:val="lv-LV"/>
        </w:rPr>
      </w:pPr>
      <w:r w:rsidRPr="00716FAD">
        <w:rPr>
          <w:sz w:val="22"/>
          <w:szCs w:val="22"/>
          <w:lang w:val="lv-LV"/>
        </w:rPr>
        <w:t>gados vecākiem pacientiem;</w:t>
      </w:r>
    </w:p>
    <w:p w14:paraId="3699C2CE" w14:textId="77777777" w:rsidR="00FB3670" w:rsidRPr="00716FAD" w:rsidRDefault="00FB3670" w:rsidP="00716FAD">
      <w:pPr>
        <w:pStyle w:val="Default"/>
        <w:numPr>
          <w:ilvl w:val="0"/>
          <w:numId w:val="33"/>
        </w:numPr>
        <w:tabs>
          <w:tab w:val="left" w:pos="709"/>
        </w:tabs>
        <w:jc w:val="both"/>
        <w:rPr>
          <w:sz w:val="22"/>
          <w:szCs w:val="22"/>
          <w:lang w:val="lv-LV"/>
        </w:rPr>
      </w:pPr>
      <w:r w:rsidRPr="00716FAD">
        <w:rPr>
          <w:sz w:val="22"/>
          <w:szCs w:val="22"/>
          <w:lang w:val="lv-LV"/>
        </w:rPr>
        <w:t>pacientiem ar palielinātu asiņošanas risku;</w:t>
      </w:r>
    </w:p>
    <w:p w14:paraId="43D3397E" w14:textId="77777777" w:rsidR="00FB3670" w:rsidRPr="00716FAD" w:rsidRDefault="00FB3670" w:rsidP="00716FAD">
      <w:pPr>
        <w:pStyle w:val="Default"/>
        <w:numPr>
          <w:ilvl w:val="0"/>
          <w:numId w:val="33"/>
        </w:numPr>
        <w:tabs>
          <w:tab w:val="left" w:pos="709"/>
        </w:tabs>
        <w:jc w:val="both"/>
        <w:rPr>
          <w:sz w:val="22"/>
          <w:szCs w:val="22"/>
          <w:lang w:val="lv-LV"/>
        </w:rPr>
      </w:pPr>
      <w:r w:rsidRPr="00716FAD">
        <w:rPr>
          <w:sz w:val="22"/>
          <w:szCs w:val="22"/>
          <w:lang w:val="lv-LV"/>
        </w:rPr>
        <w:t>pacientiem, kuri lieto lielu daudzumu alkohola (alkohola atkarība);</w:t>
      </w:r>
    </w:p>
    <w:p w14:paraId="19517CC1" w14:textId="77777777" w:rsidR="00FB3670" w:rsidRPr="00716FAD" w:rsidRDefault="00FB3670" w:rsidP="00716FAD">
      <w:pPr>
        <w:pStyle w:val="Default"/>
        <w:numPr>
          <w:ilvl w:val="0"/>
          <w:numId w:val="33"/>
        </w:numPr>
        <w:tabs>
          <w:tab w:val="left" w:pos="709"/>
        </w:tabs>
        <w:jc w:val="both"/>
        <w:rPr>
          <w:sz w:val="22"/>
          <w:szCs w:val="22"/>
          <w:lang w:val="lv-LV"/>
        </w:rPr>
      </w:pPr>
      <w:r w:rsidRPr="00716FAD">
        <w:rPr>
          <w:sz w:val="22"/>
          <w:szCs w:val="22"/>
          <w:lang w:val="lv-LV"/>
        </w:rPr>
        <w:t>pacientiem ar alerģiskām slimībām anamnēzē;</w:t>
      </w:r>
    </w:p>
    <w:p w14:paraId="662BB3C1" w14:textId="77777777" w:rsidR="00FB3670" w:rsidRPr="00716FAD" w:rsidRDefault="00FB3670" w:rsidP="00716FAD">
      <w:pPr>
        <w:pStyle w:val="Default"/>
        <w:numPr>
          <w:ilvl w:val="0"/>
          <w:numId w:val="33"/>
        </w:numPr>
        <w:tabs>
          <w:tab w:val="left" w:pos="709"/>
        </w:tabs>
        <w:jc w:val="both"/>
        <w:rPr>
          <w:sz w:val="22"/>
          <w:szCs w:val="22"/>
          <w:lang w:val="lv-LV"/>
        </w:rPr>
      </w:pPr>
      <w:r w:rsidRPr="00716FAD">
        <w:rPr>
          <w:sz w:val="22"/>
          <w:szCs w:val="22"/>
          <w:lang w:val="lv-LV"/>
        </w:rPr>
        <w:t>dehidratētiem pacientiem;</w:t>
      </w:r>
    </w:p>
    <w:p w14:paraId="359BE36F" w14:textId="77777777" w:rsidR="00FB3670" w:rsidRPr="00716FAD" w:rsidRDefault="00FB3670" w:rsidP="00716FAD">
      <w:pPr>
        <w:pStyle w:val="Default"/>
        <w:numPr>
          <w:ilvl w:val="0"/>
          <w:numId w:val="33"/>
        </w:numPr>
        <w:tabs>
          <w:tab w:val="left" w:pos="709"/>
        </w:tabs>
        <w:jc w:val="both"/>
        <w:rPr>
          <w:sz w:val="22"/>
          <w:szCs w:val="22"/>
          <w:lang w:val="lv-LV"/>
        </w:rPr>
      </w:pPr>
      <w:r w:rsidRPr="00716FAD">
        <w:rPr>
          <w:sz w:val="22"/>
          <w:szCs w:val="22"/>
          <w:lang w:val="lv-LV"/>
        </w:rPr>
        <w:t>pacientiem ar trauksmi.</w:t>
      </w:r>
    </w:p>
    <w:p w14:paraId="3870D784" w14:textId="77777777" w:rsidR="00FB3670" w:rsidRPr="00716FAD" w:rsidRDefault="00FB3670" w:rsidP="00716FAD">
      <w:pPr>
        <w:pStyle w:val="Default"/>
        <w:jc w:val="both"/>
        <w:rPr>
          <w:sz w:val="22"/>
          <w:szCs w:val="22"/>
          <w:lang w:val="lv-LV"/>
        </w:rPr>
      </w:pPr>
    </w:p>
    <w:p w14:paraId="5C08B3A6" w14:textId="77777777" w:rsidR="00FB3670" w:rsidRPr="00716FAD" w:rsidRDefault="00FB3670" w:rsidP="00716FAD">
      <w:pPr>
        <w:pStyle w:val="Default"/>
        <w:jc w:val="both"/>
        <w:rPr>
          <w:sz w:val="22"/>
          <w:szCs w:val="22"/>
          <w:lang w:val="lv-LV"/>
        </w:rPr>
      </w:pPr>
      <w:r w:rsidRPr="00716FAD">
        <w:rPr>
          <w:sz w:val="22"/>
          <w:szCs w:val="22"/>
          <w:lang w:val="lv-LV"/>
        </w:rPr>
        <w:t>Stipra drudža, sekundāras infekcijas pazīmju, simptomu pasliktināšanās vai citu traucējumu gadījumā, jānosaka šo traucējumu cēlonis.</w:t>
      </w:r>
    </w:p>
    <w:p w14:paraId="54E0D932" w14:textId="77777777" w:rsidR="00FB3670" w:rsidRPr="00716FAD" w:rsidRDefault="00FB3670" w:rsidP="00716FAD">
      <w:pPr>
        <w:pStyle w:val="Default"/>
        <w:jc w:val="both"/>
        <w:rPr>
          <w:sz w:val="22"/>
          <w:szCs w:val="22"/>
          <w:lang w:val="lv-LV"/>
        </w:rPr>
      </w:pPr>
    </w:p>
    <w:p w14:paraId="50F93099" w14:textId="77777777" w:rsidR="00FB3670" w:rsidRPr="00716FAD" w:rsidRDefault="00FB3670" w:rsidP="00716FAD">
      <w:pPr>
        <w:pStyle w:val="Default"/>
        <w:jc w:val="both"/>
        <w:rPr>
          <w:sz w:val="22"/>
          <w:szCs w:val="22"/>
          <w:lang w:val="lv-LV"/>
        </w:rPr>
      </w:pPr>
      <w:r w:rsidRPr="00716FAD">
        <w:rPr>
          <w:sz w:val="22"/>
          <w:szCs w:val="22"/>
          <w:lang w:val="lv-LV"/>
        </w:rPr>
        <w:t>Paracetamolu saturošas zāles parasti drīkst lietot tikai dažas dienas. Nav pieļaujama ilgstoša lietošana. Pacientiem jāiesaka nepārsniegt ieteicamo devu un nelietot citas paracetamolu saturošas zāles.</w:t>
      </w:r>
    </w:p>
    <w:p w14:paraId="02CA4AD5" w14:textId="77777777" w:rsidR="00FB3670" w:rsidRPr="00716FAD" w:rsidRDefault="00FB3670" w:rsidP="00716FAD">
      <w:pPr>
        <w:pStyle w:val="Default"/>
        <w:jc w:val="both"/>
        <w:rPr>
          <w:sz w:val="22"/>
          <w:szCs w:val="22"/>
          <w:lang w:val="lv-LV"/>
        </w:rPr>
      </w:pPr>
    </w:p>
    <w:p w14:paraId="25A57A6A" w14:textId="77777777" w:rsidR="00FB3670" w:rsidRPr="00716FAD" w:rsidRDefault="00FB3670" w:rsidP="00716FAD">
      <w:pPr>
        <w:pStyle w:val="Default"/>
        <w:jc w:val="both"/>
        <w:rPr>
          <w:sz w:val="22"/>
          <w:szCs w:val="22"/>
          <w:lang w:val="lv-LV"/>
        </w:rPr>
      </w:pPr>
      <w:r w:rsidRPr="00716FAD">
        <w:rPr>
          <w:sz w:val="22"/>
          <w:szCs w:val="22"/>
          <w:lang w:val="lv-LV"/>
        </w:rPr>
        <w:t>Ilgstoši lietojot pretsāpju līdzekļus lielās devās, pārsniedzot ieteicamās devas, var izraisīt galvassāpes, ko nedrīkst ārstēt</w:t>
      </w:r>
      <w:r w:rsidR="00157080" w:rsidRPr="00716FAD">
        <w:rPr>
          <w:sz w:val="22"/>
          <w:szCs w:val="22"/>
          <w:lang w:val="lv-LV"/>
        </w:rPr>
        <w:t>,</w:t>
      </w:r>
      <w:r w:rsidRPr="00716FAD">
        <w:rPr>
          <w:sz w:val="22"/>
          <w:szCs w:val="22"/>
          <w:lang w:val="lv-LV"/>
        </w:rPr>
        <w:t xml:space="preserve"> palielinot zāļu devu.</w:t>
      </w:r>
    </w:p>
    <w:p w14:paraId="5855EE5B" w14:textId="77777777" w:rsidR="00FB3670" w:rsidRPr="00716FAD" w:rsidRDefault="00FB3670" w:rsidP="00716FAD">
      <w:pPr>
        <w:pStyle w:val="Default"/>
        <w:jc w:val="both"/>
        <w:rPr>
          <w:sz w:val="22"/>
          <w:szCs w:val="22"/>
          <w:lang w:val="lv-LV"/>
        </w:rPr>
      </w:pPr>
    </w:p>
    <w:p w14:paraId="73A5EC3A" w14:textId="77777777" w:rsidR="00FB3670" w:rsidRPr="00716FAD" w:rsidRDefault="00FB3670" w:rsidP="00716FAD">
      <w:pPr>
        <w:pStyle w:val="Default"/>
        <w:jc w:val="both"/>
        <w:rPr>
          <w:sz w:val="22"/>
          <w:szCs w:val="22"/>
          <w:lang w:val="lv-LV"/>
        </w:rPr>
      </w:pPr>
      <w:r w:rsidRPr="00716FAD">
        <w:rPr>
          <w:i/>
          <w:iCs/>
          <w:sz w:val="22"/>
          <w:szCs w:val="22"/>
          <w:lang w:val="lv-LV"/>
        </w:rPr>
        <w:t>Brīdinājumi</w:t>
      </w:r>
    </w:p>
    <w:p w14:paraId="3F645EBD" w14:textId="77777777" w:rsidR="00FB3670" w:rsidRPr="00716FAD" w:rsidRDefault="00FB3670" w:rsidP="00716FAD">
      <w:pPr>
        <w:pStyle w:val="Default"/>
        <w:jc w:val="both"/>
        <w:rPr>
          <w:sz w:val="22"/>
          <w:szCs w:val="22"/>
          <w:lang w:val="lv-LV"/>
        </w:rPr>
      </w:pPr>
      <w:r w:rsidRPr="00716FAD">
        <w:rPr>
          <w:sz w:val="22"/>
          <w:szCs w:val="22"/>
          <w:lang w:val="lv-LV"/>
        </w:rPr>
        <w:t>Tāpat kā lietojot citas paracetamolu saturošas zāles, lietojot lielāku devu par ieteicamo, iespējami smagi aknu bojājumi. Šajā gadījumā nepieciešama tūlītēja ārstēšana.</w:t>
      </w:r>
    </w:p>
    <w:p w14:paraId="08934145" w14:textId="77777777" w:rsidR="00FB3670" w:rsidRPr="00716FAD" w:rsidRDefault="00FB3670" w:rsidP="00716FAD">
      <w:pPr>
        <w:pStyle w:val="Default"/>
        <w:jc w:val="both"/>
        <w:rPr>
          <w:sz w:val="22"/>
          <w:szCs w:val="22"/>
          <w:lang w:val="lv-LV"/>
        </w:rPr>
      </w:pPr>
    </w:p>
    <w:p w14:paraId="143BA7EB" w14:textId="77777777" w:rsidR="00FB3670" w:rsidRPr="00716FAD" w:rsidRDefault="00FB3670" w:rsidP="00716FAD">
      <w:pPr>
        <w:tabs>
          <w:tab w:val="clear" w:pos="567"/>
        </w:tabs>
        <w:spacing w:line="240" w:lineRule="auto"/>
        <w:jc w:val="both"/>
        <w:rPr>
          <w:bCs/>
          <w:i/>
          <w:iCs/>
          <w:color w:val="000000"/>
          <w:szCs w:val="22"/>
        </w:rPr>
      </w:pPr>
      <w:r w:rsidRPr="00716FAD">
        <w:rPr>
          <w:bCs/>
          <w:iCs/>
          <w:color w:val="000000"/>
          <w:szCs w:val="22"/>
          <w:u w:val="single"/>
        </w:rPr>
        <w:t>Pediatriskā populācija</w:t>
      </w:r>
    </w:p>
    <w:p w14:paraId="4FA5B085" w14:textId="77777777" w:rsidR="00FB3670" w:rsidRPr="00716FAD" w:rsidRDefault="00FB3670" w:rsidP="00716FAD">
      <w:pPr>
        <w:pStyle w:val="Default"/>
        <w:jc w:val="both"/>
        <w:rPr>
          <w:sz w:val="22"/>
          <w:szCs w:val="22"/>
          <w:lang w:val="lv-LV"/>
        </w:rPr>
      </w:pPr>
      <w:r w:rsidRPr="00716FAD">
        <w:rPr>
          <w:sz w:val="22"/>
          <w:szCs w:val="22"/>
          <w:lang w:val="lv-LV"/>
        </w:rPr>
        <w:lastRenderedPageBreak/>
        <w:t>Saistībā ar acetilsalicilskābes lietošanu ir ziņots par Reja sindromu bērniem. Reja sindroms ir ļoti reta slimība (iespējamie simptomi ir letarģija, miegainība, sāpes vēderā, vemšana, agresivitāte, krampji un koma), kas ietekmē smadzenes un aknas un šī slimība var būt letāla. Tāpēc acetilsalicilskābi nedrīkst lietot bērniem, kuri jaunāki par 16 gadiem.</w:t>
      </w:r>
    </w:p>
    <w:p w14:paraId="2271C977" w14:textId="77777777" w:rsidR="00CD10AA" w:rsidRPr="00716FAD" w:rsidRDefault="00CD10AA" w:rsidP="00716FAD">
      <w:pPr>
        <w:tabs>
          <w:tab w:val="clear" w:pos="567"/>
        </w:tabs>
        <w:spacing w:line="240" w:lineRule="auto"/>
        <w:jc w:val="both"/>
        <w:rPr>
          <w:color w:val="000000"/>
          <w:szCs w:val="22"/>
        </w:rPr>
      </w:pPr>
    </w:p>
    <w:p w14:paraId="024AAA55" w14:textId="77777777" w:rsidR="00CD10AA" w:rsidRPr="00716FAD" w:rsidRDefault="00CD10AA" w:rsidP="00716FAD">
      <w:pPr>
        <w:tabs>
          <w:tab w:val="clear" w:pos="567"/>
        </w:tabs>
        <w:spacing w:line="240" w:lineRule="auto"/>
        <w:jc w:val="both"/>
        <w:rPr>
          <w:b/>
          <w:color w:val="000000"/>
          <w:szCs w:val="22"/>
        </w:rPr>
      </w:pPr>
      <w:r w:rsidRPr="00716FAD">
        <w:rPr>
          <w:b/>
          <w:color w:val="000000"/>
          <w:szCs w:val="22"/>
        </w:rPr>
        <w:t>4.5</w:t>
      </w:r>
      <w:r w:rsidR="004D591D" w:rsidRPr="00716FAD">
        <w:rPr>
          <w:b/>
          <w:color w:val="000000"/>
          <w:szCs w:val="22"/>
        </w:rPr>
        <w:t>.</w:t>
      </w:r>
      <w:r w:rsidRPr="00716FAD">
        <w:rPr>
          <w:b/>
          <w:color w:val="000000"/>
          <w:szCs w:val="22"/>
        </w:rPr>
        <w:tab/>
        <w:t>Mijiedarbība ar citām zālēm un citi mijiedarbības veidi</w:t>
      </w:r>
    </w:p>
    <w:p w14:paraId="05753907" w14:textId="77777777" w:rsidR="00716FAD" w:rsidRPr="00716FAD" w:rsidRDefault="00716FAD" w:rsidP="00716FAD">
      <w:pPr>
        <w:pStyle w:val="Default"/>
        <w:jc w:val="both"/>
        <w:rPr>
          <w:sz w:val="22"/>
          <w:szCs w:val="22"/>
          <w:lang w:val="lv-LV"/>
        </w:rPr>
      </w:pPr>
    </w:p>
    <w:p w14:paraId="7D197338" w14:textId="77777777" w:rsidR="00FB3670" w:rsidRPr="00716FAD" w:rsidRDefault="00FB3670" w:rsidP="00716FAD">
      <w:pPr>
        <w:pStyle w:val="Default"/>
        <w:jc w:val="both"/>
        <w:rPr>
          <w:sz w:val="22"/>
          <w:szCs w:val="22"/>
          <w:lang w:val="lv-LV"/>
        </w:rPr>
      </w:pPr>
      <w:r w:rsidRPr="00716FAD">
        <w:rPr>
          <w:sz w:val="22"/>
          <w:szCs w:val="22"/>
          <w:lang w:val="lv-LV"/>
        </w:rPr>
        <w:t>Zināma sekojoša mijiedarbība, katrai Ascophen P sastāvā ietilpstošajai aktīvajai vielai:</w:t>
      </w:r>
    </w:p>
    <w:p w14:paraId="54662C96" w14:textId="77777777" w:rsidR="00FB3670" w:rsidRPr="00716FAD" w:rsidRDefault="00FB3670" w:rsidP="00716FAD">
      <w:pPr>
        <w:pStyle w:val="Default"/>
        <w:jc w:val="both"/>
        <w:rPr>
          <w:sz w:val="22"/>
          <w:szCs w:val="22"/>
          <w:u w:val="single"/>
          <w:lang w:val="lv-LV"/>
        </w:rPr>
      </w:pPr>
      <w:r w:rsidRPr="00716FAD">
        <w:rPr>
          <w:sz w:val="22"/>
          <w:szCs w:val="22"/>
          <w:u w:val="single"/>
          <w:lang w:val="lv-LV"/>
        </w:rPr>
        <w:t>Paracetamols</w:t>
      </w:r>
    </w:p>
    <w:p w14:paraId="6EC94DC8" w14:textId="77777777" w:rsidR="00FB3670" w:rsidRPr="00716FAD" w:rsidRDefault="00FB3670" w:rsidP="00716FAD">
      <w:pPr>
        <w:pStyle w:val="Default"/>
        <w:numPr>
          <w:ilvl w:val="0"/>
          <w:numId w:val="34"/>
        </w:numPr>
        <w:tabs>
          <w:tab w:val="left" w:pos="709"/>
        </w:tabs>
        <w:jc w:val="both"/>
        <w:rPr>
          <w:sz w:val="22"/>
          <w:szCs w:val="22"/>
          <w:lang w:val="lv-LV"/>
        </w:rPr>
      </w:pPr>
      <w:r w:rsidRPr="00716FAD">
        <w:rPr>
          <w:sz w:val="22"/>
          <w:szCs w:val="22"/>
          <w:lang w:val="lv-LV"/>
        </w:rPr>
        <w:t>Paracetamols tiek plaši metabolizēts aknās un tāpēc tas var mijiedarboties ar zālēm, kas tiek metabolizētas šāda pat veidā, vai arī ar zālēm, kas spēj nomākt vai inducēt šo metabolisma ceļu. Novērots, ka enzīmu induktori samazina paracetamola koncentrāciju plazmā pat par 60 %.</w:t>
      </w:r>
    </w:p>
    <w:p w14:paraId="3BB9E2F3" w14:textId="77777777" w:rsidR="00FB3670" w:rsidRPr="00716FAD" w:rsidRDefault="00FB3670" w:rsidP="00716FAD">
      <w:pPr>
        <w:pStyle w:val="Default"/>
        <w:numPr>
          <w:ilvl w:val="0"/>
          <w:numId w:val="34"/>
        </w:numPr>
        <w:tabs>
          <w:tab w:val="left" w:pos="709"/>
        </w:tabs>
        <w:jc w:val="both"/>
        <w:rPr>
          <w:sz w:val="22"/>
          <w:szCs w:val="22"/>
          <w:lang w:val="lv-LV"/>
        </w:rPr>
      </w:pPr>
      <w:r w:rsidRPr="00716FAD">
        <w:rPr>
          <w:sz w:val="22"/>
          <w:szCs w:val="22"/>
          <w:lang w:val="lv-LV"/>
        </w:rPr>
        <w:t>Ilgstoša alkohola lietošana vai lietojot zāles, kas var inducēt aknu enzīmus, piemēram, barbiturātus, karbamazepīnu, fenitoīnu, rifampicīnu, izoniazīdu un divšķautņu asinszāli (</w:t>
      </w:r>
      <w:r w:rsidRPr="00716FAD">
        <w:rPr>
          <w:i/>
          <w:iCs/>
          <w:sz w:val="22"/>
          <w:szCs w:val="22"/>
          <w:lang w:val="lv-LV"/>
        </w:rPr>
        <w:t>Hypericum perforatum</w:t>
      </w:r>
      <w:r w:rsidRPr="00716FAD">
        <w:rPr>
          <w:sz w:val="22"/>
          <w:szCs w:val="22"/>
          <w:lang w:val="lv-LV"/>
        </w:rPr>
        <w:t>), var pastiprināt paracetamola hepatotoksicitāti, jo šajā gadījumā palielinās un ātrāk veidojas toksiski metabolīti. Tāpēc, lietojot vienlaicīgi enzīmus nomācošas zāles jāievēro piesardzība (skatīt 4.9. apakšpunktu).</w:t>
      </w:r>
    </w:p>
    <w:p w14:paraId="65445054" w14:textId="77777777" w:rsidR="00FB3670" w:rsidRPr="00716FAD" w:rsidRDefault="00FB3670" w:rsidP="00716FAD">
      <w:pPr>
        <w:pStyle w:val="Default"/>
        <w:numPr>
          <w:ilvl w:val="0"/>
          <w:numId w:val="34"/>
        </w:numPr>
        <w:tabs>
          <w:tab w:val="left" w:pos="709"/>
        </w:tabs>
        <w:jc w:val="both"/>
        <w:rPr>
          <w:sz w:val="22"/>
          <w:szCs w:val="22"/>
          <w:lang w:val="lv-LV"/>
        </w:rPr>
      </w:pPr>
      <w:r w:rsidRPr="00716FAD">
        <w:rPr>
          <w:sz w:val="22"/>
          <w:szCs w:val="22"/>
          <w:lang w:val="lv-LV"/>
        </w:rPr>
        <w:t>Lietojot vienlaicīgi ar probenecīdu, jāapsver devas samazināšana, jo probenecīds, nomācot saistīšanos ar glikuronskābi, gandrīz uz pusi samazina paracetamola klīrensu.</w:t>
      </w:r>
    </w:p>
    <w:p w14:paraId="08CA8E5F" w14:textId="77777777" w:rsidR="00FB3670" w:rsidRPr="00716FAD" w:rsidRDefault="00FB3670" w:rsidP="00716FAD">
      <w:pPr>
        <w:pStyle w:val="Default"/>
        <w:numPr>
          <w:ilvl w:val="0"/>
          <w:numId w:val="34"/>
        </w:numPr>
        <w:tabs>
          <w:tab w:val="left" w:pos="709"/>
        </w:tabs>
        <w:jc w:val="both"/>
        <w:rPr>
          <w:sz w:val="22"/>
          <w:szCs w:val="22"/>
          <w:lang w:val="lv-LV"/>
        </w:rPr>
      </w:pPr>
      <w:r w:rsidRPr="00716FAD">
        <w:rPr>
          <w:sz w:val="22"/>
          <w:szCs w:val="22"/>
          <w:lang w:val="lv-LV"/>
        </w:rPr>
        <w:t>Salicilamīdi var pagarināt paracetamola eliminācijas pusperiodu.</w:t>
      </w:r>
    </w:p>
    <w:p w14:paraId="5DC47C8C" w14:textId="77777777" w:rsidR="00FB3670" w:rsidRPr="00716FAD" w:rsidRDefault="00FB3670" w:rsidP="00716FAD">
      <w:pPr>
        <w:pStyle w:val="Default"/>
        <w:numPr>
          <w:ilvl w:val="0"/>
          <w:numId w:val="34"/>
        </w:numPr>
        <w:tabs>
          <w:tab w:val="left" w:pos="709"/>
        </w:tabs>
        <w:jc w:val="both"/>
        <w:rPr>
          <w:sz w:val="22"/>
          <w:szCs w:val="22"/>
          <w:lang w:val="lv-LV"/>
        </w:rPr>
      </w:pPr>
      <w:r w:rsidRPr="00716FAD">
        <w:rPr>
          <w:sz w:val="22"/>
          <w:szCs w:val="22"/>
          <w:lang w:val="lv-LV"/>
        </w:rPr>
        <w:t>Paracetamols var samazināt lamotrigīna biopieejamību ar iespējamu tā iedarbības samazināšanos, kam pamatā ir nomākts lamotrigīna metabolisms aknās.</w:t>
      </w:r>
    </w:p>
    <w:p w14:paraId="55EADCE0" w14:textId="77777777" w:rsidR="00FB3670" w:rsidRPr="00716FAD" w:rsidRDefault="00FB3670" w:rsidP="00716FAD">
      <w:pPr>
        <w:pStyle w:val="Default"/>
        <w:numPr>
          <w:ilvl w:val="0"/>
          <w:numId w:val="34"/>
        </w:numPr>
        <w:tabs>
          <w:tab w:val="left" w:pos="709"/>
        </w:tabs>
        <w:jc w:val="both"/>
        <w:rPr>
          <w:sz w:val="22"/>
          <w:szCs w:val="22"/>
          <w:lang w:val="lv-LV"/>
        </w:rPr>
      </w:pPr>
      <w:r w:rsidRPr="00716FAD">
        <w:rPr>
          <w:sz w:val="22"/>
          <w:szCs w:val="22"/>
          <w:lang w:val="lv-LV"/>
        </w:rPr>
        <w:t>Paracetamols var būtiski pagarināt hloramfenikola eliminācijas pusperiodu. Vienlaicīgas paracetamola lietošanas un hloramfenikola injekcijas gadījumā ieteicams kontrolēt hloramfenikola koncentrāciju plazmā.</w:t>
      </w:r>
    </w:p>
    <w:p w14:paraId="2E286B4C" w14:textId="77777777" w:rsidR="00FB3670" w:rsidRPr="00716FAD" w:rsidRDefault="00FB3670" w:rsidP="00716FAD">
      <w:pPr>
        <w:pStyle w:val="Default"/>
        <w:numPr>
          <w:ilvl w:val="0"/>
          <w:numId w:val="34"/>
        </w:numPr>
        <w:tabs>
          <w:tab w:val="left" w:pos="709"/>
        </w:tabs>
        <w:jc w:val="both"/>
        <w:rPr>
          <w:sz w:val="22"/>
          <w:szCs w:val="22"/>
          <w:lang w:val="lv-LV"/>
        </w:rPr>
      </w:pPr>
      <w:r w:rsidRPr="00716FAD">
        <w:rPr>
          <w:sz w:val="22"/>
          <w:szCs w:val="22"/>
          <w:lang w:val="lv-LV"/>
        </w:rPr>
        <w:t>Paracetamola uzsūkšanos var paātrināt metoklopramīds vai domperidons un uzsūkšanos var samazināt holestiramīns. Lai iegūtu maksimālo efektu, starp holestiramīna un paracetamola lietošanu jāievēro vismaz vienas stundas starplaiks. Lietojot vienlaicīgi zāles, kas aizkavē kuņģa iztukšošanos, var samazināties paracetamola uzsūkšanās un tā iedarbības sākums.</w:t>
      </w:r>
    </w:p>
    <w:p w14:paraId="5FA907FE" w14:textId="77777777" w:rsidR="00FB3670" w:rsidRPr="00716FAD" w:rsidRDefault="00FB3670" w:rsidP="00716FAD">
      <w:pPr>
        <w:pStyle w:val="Default"/>
        <w:numPr>
          <w:ilvl w:val="0"/>
          <w:numId w:val="34"/>
        </w:numPr>
        <w:tabs>
          <w:tab w:val="left" w:pos="709"/>
        </w:tabs>
        <w:jc w:val="both"/>
        <w:rPr>
          <w:sz w:val="22"/>
          <w:szCs w:val="22"/>
          <w:lang w:val="lv-LV"/>
        </w:rPr>
      </w:pPr>
      <w:r w:rsidRPr="00716FAD">
        <w:rPr>
          <w:sz w:val="22"/>
          <w:szCs w:val="22"/>
          <w:lang w:val="lv-LV"/>
        </w:rPr>
        <w:t>Ilgstošas un regulāras paracetamola lietošanas gadījumā var pastiprināties varfarīna un citu kumarīnu asinsreci samazinošā iedarbība, kā rezultātā iespējams palielināts asiņošanas risks. Šī iedarbība iespējama pat lietojot 1,5 – 2 g lielas paracetamola dienas devas 5 – 7 dienas ilgi. Atsevišķu devu lietošanai nav būtiskas nozīmes.</w:t>
      </w:r>
    </w:p>
    <w:p w14:paraId="72A47CC1" w14:textId="77777777" w:rsidR="00FB3670" w:rsidRPr="00716FAD" w:rsidRDefault="00FB3670" w:rsidP="00716FAD">
      <w:pPr>
        <w:pStyle w:val="Default"/>
        <w:numPr>
          <w:ilvl w:val="0"/>
          <w:numId w:val="34"/>
        </w:numPr>
        <w:tabs>
          <w:tab w:val="left" w:pos="709"/>
        </w:tabs>
        <w:jc w:val="both"/>
        <w:rPr>
          <w:sz w:val="22"/>
          <w:szCs w:val="22"/>
          <w:lang w:val="lv-LV"/>
        </w:rPr>
      </w:pPr>
      <w:r w:rsidRPr="00716FAD">
        <w:rPr>
          <w:sz w:val="22"/>
          <w:szCs w:val="22"/>
          <w:lang w:val="lv-LV"/>
        </w:rPr>
        <w:t>Izoniazīds var izraisīt smagu acetaminofēna toksicitāti.</w:t>
      </w:r>
    </w:p>
    <w:p w14:paraId="2B52DE04" w14:textId="77777777" w:rsidR="00FB3670" w:rsidRPr="00716FAD" w:rsidRDefault="00FB3670" w:rsidP="00716FAD">
      <w:pPr>
        <w:pStyle w:val="Default"/>
        <w:numPr>
          <w:ilvl w:val="0"/>
          <w:numId w:val="34"/>
        </w:numPr>
        <w:tabs>
          <w:tab w:val="left" w:pos="709"/>
        </w:tabs>
        <w:jc w:val="both"/>
        <w:rPr>
          <w:sz w:val="22"/>
          <w:szCs w:val="22"/>
          <w:lang w:val="lv-LV"/>
        </w:rPr>
      </w:pPr>
      <w:r w:rsidRPr="00716FAD">
        <w:rPr>
          <w:sz w:val="22"/>
          <w:szCs w:val="22"/>
          <w:lang w:val="lv-LV"/>
        </w:rPr>
        <w:t>Paracetamols pazemina glutationa koncentrāciju asinīs un audos un tādejādi, lietojot vienlaicīgi ar busulfānu, var samazināt busulfāna klīrensu.</w:t>
      </w:r>
    </w:p>
    <w:p w14:paraId="251C1A7E" w14:textId="77777777" w:rsidR="00FB3670" w:rsidRPr="00716FAD" w:rsidRDefault="00FB3670" w:rsidP="00716FAD">
      <w:pPr>
        <w:pStyle w:val="Default"/>
        <w:jc w:val="both"/>
        <w:rPr>
          <w:sz w:val="22"/>
          <w:szCs w:val="22"/>
          <w:lang w:val="lv-LV"/>
        </w:rPr>
      </w:pPr>
    </w:p>
    <w:p w14:paraId="423121D9" w14:textId="77777777" w:rsidR="00FB3670" w:rsidRPr="00716FAD" w:rsidRDefault="00FB3670" w:rsidP="00716FAD">
      <w:pPr>
        <w:pStyle w:val="Default"/>
        <w:jc w:val="both"/>
        <w:rPr>
          <w:sz w:val="22"/>
          <w:szCs w:val="22"/>
          <w:lang w:val="lv-LV"/>
        </w:rPr>
      </w:pPr>
      <w:r w:rsidRPr="00716FAD">
        <w:rPr>
          <w:i/>
          <w:iCs/>
          <w:sz w:val="22"/>
          <w:szCs w:val="22"/>
          <w:lang w:val="lv-LV"/>
        </w:rPr>
        <w:t>Ietekme uz laboratoriskajiem izmeklējumiem</w:t>
      </w:r>
    </w:p>
    <w:p w14:paraId="71EC6602" w14:textId="77777777" w:rsidR="00FB3670" w:rsidRPr="00716FAD" w:rsidRDefault="00FB3670" w:rsidP="00716FAD">
      <w:pPr>
        <w:pStyle w:val="Default"/>
        <w:jc w:val="both"/>
        <w:rPr>
          <w:sz w:val="22"/>
          <w:szCs w:val="22"/>
          <w:lang w:val="lv-LV"/>
        </w:rPr>
      </w:pPr>
      <w:r w:rsidRPr="00716FAD">
        <w:rPr>
          <w:sz w:val="22"/>
          <w:szCs w:val="22"/>
          <w:lang w:val="lv-LV"/>
        </w:rPr>
        <w:t>Paracetamols var ietekmēt urīnskābes noteikšanu asinīs ar ortofosforskābes metodi un glikozes noteikšanu asinīs, izmantojot glikozes – oksidāzes – peroksidāzes metodi.</w:t>
      </w:r>
    </w:p>
    <w:p w14:paraId="15125550" w14:textId="77777777" w:rsidR="00FB3670" w:rsidRPr="00716FAD" w:rsidRDefault="00FB3670" w:rsidP="00716FAD">
      <w:pPr>
        <w:pStyle w:val="Default"/>
        <w:jc w:val="both"/>
        <w:rPr>
          <w:sz w:val="22"/>
          <w:szCs w:val="22"/>
          <w:lang w:val="lv-LV"/>
        </w:rPr>
      </w:pPr>
    </w:p>
    <w:p w14:paraId="7B5F97D4" w14:textId="77777777" w:rsidR="00FB3670" w:rsidRPr="00716FAD" w:rsidRDefault="00FB3670" w:rsidP="00716FAD">
      <w:pPr>
        <w:pStyle w:val="Default"/>
        <w:jc w:val="both"/>
        <w:rPr>
          <w:sz w:val="22"/>
          <w:szCs w:val="22"/>
          <w:u w:val="single"/>
          <w:lang w:val="lv-LV"/>
        </w:rPr>
      </w:pPr>
      <w:r w:rsidRPr="00716FAD">
        <w:rPr>
          <w:sz w:val="22"/>
          <w:szCs w:val="22"/>
          <w:u w:val="single"/>
          <w:lang w:val="lv-LV"/>
        </w:rPr>
        <w:t>Acetilsalicilskābe</w:t>
      </w:r>
    </w:p>
    <w:p w14:paraId="1D50A1F2" w14:textId="77777777" w:rsidR="00FB3670" w:rsidRPr="00716FAD" w:rsidRDefault="00FB3670" w:rsidP="00716FAD">
      <w:pPr>
        <w:pStyle w:val="Default"/>
        <w:numPr>
          <w:ilvl w:val="0"/>
          <w:numId w:val="35"/>
        </w:numPr>
        <w:tabs>
          <w:tab w:val="left" w:pos="709"/>
        </w:tabs>
        <w:jc w:val="both"/>
        <w:rPr>
          <w:sz w:val="22"/>
          <w:szCs w:val="22"/>
          <w:lang w:val="lv-LV"/>
        </w:rPr>
      </w:pPr>
      <w:r w:rsidRPr="00716FAD">
        <w:rPr>
          <w:sz w:val="22"/>
          <w:szCs w:val="22"/>
          <w:lang w:val="lv-LV"/>
        </w:rPr>
        <w:t>Serotonīna atpakaļsaistīšanās inhibitori: vienlaicīga serotonīna atpakaļsaistīšanās inhibitoru lietošana palielina asiņošanas risku.</w:t>
      </w:r>
    </w:p>
    <w:p w14:paraId="39617331" w14:textId="77777777" w:rsidR="00FB3670" w:rsidRPr="00716FAD" w:rsidRDefault="00FB3670" w:rsidP="00716FAD">
      <w:pPr>
        <w:pStyle w:val="Default"/>
        <w:numPr>
          <w:ilvl w:val="0"/>
          <w:numId w:val="35"/>
        </w:numPr>
        <w:tabs>
          <w:tab w:val="left" w:pos="709"/>
        </w:tabs>
        <w:jc w:val="both"/>
        <w:rPr>
          <w:sz w:val="22"/>
          <w:szCs w:val="22"/>
          <w:lang w:val="lv-LV"/>
        </w:rPr>
      </w:pPr>
      <w:r w:rsidRPr="00716FAD">
        <w:rPr>
          <w:sz w:val="22"/>
          <w:szCs w:val="22"/>
          <w:lang w:val="lv-LV"/>
        </w:rPr>
        <w:t>Venlafaksīns: vienlaicīga venlafaksīna lietošana palielina asiņošanas risku.</w:t>
      </w:r>
    </w:p>
    <w:p w14:paraId="6A8CF411" w14:textId="77777777" w:rsidR="00FB3670" w:rsidRPr="00716FAD" w:rsidRDefault="00FB3670" w:rsidP="00716FAD">
      <w:pPr>
        <w:pStyle w:val="Default"/>
        <w:numPr>
          <w:ilvl w:val="0"/>
          <w:numId w:val="35"/>
        </w:numPr>
        <w:tabs>
          <w:tab w:val="left" w:pos="709"/>
        </w:tabs>
        <w:jc w:val="both"/>
        <w:rPr>
          <w:sz w:val="22"/>
          <w:szCs w:val="22"/>
          <w:lang w:val="lv-LV"/>
        </w:rPr>
      </w:pPr>
      <w:r w:rsidRPr="00716FAD">
        <w:rPr>
          <w:sz w:val="22"/>
          <w:szCs w:val="22"/>
          <w:lang w:val="lv-LV"/>
        </w:rPr>
        <w:t>Citi antiagreganti (piemēram, tiklopidīns, klopidogrels): vienlaicīga citu antiagregantu lietošana var palielināt asiņošanas risku.</w:t>
      </w:r>
    </w:p>
    <w:p w14:paraId="3C7C2524" w14:textId="77777777" w:rsidR="00FB3670" w:rsidRPr="00716FAD" w:rsidRDefault="00FB3670" w:rsidP="00716FAD">
      <w:pPr>
        <w:pStyle w:val="Default"/>
        <w:numPr>
          <w:ilvl w:val="0"/>
          <w:numId w:val="35"/>
        </w:numPr>
        <w:tabs>
          <w:tab w:val="left" w:pos="709"/>
        </w:tabs>
        <w:jc w:val="both"/>
        <w:rPr>
          <w:sz w:val="22"/>
          <w:szCs w:val="22"/>
          <w:lang w:val="lv-LV"/>
        </w:rPr>
      </w:pPr>
      <w:r w:rsidRPr="00716FAD">
        <w:rPr>
          <w:sz w:val="22"/>
          <w:szCs w:val="22"/>
          <w:lang w:val="lv-LV"/>
        </w:rPr>
        <w:t>Urikozūriski līdzekļi (benzbromarons, probenecīds): vienlaicīga urikozūrisku līdzekļu lietošana samazina urīnskābes izvadīšanas efektivitāti.</w:t>
      </w:r>
    </w:p>
    <w:p w14:paraId="01A99E50" w14:textId="77777777" w:rsidR="00FB3670" w:rsidRPr="00716FAD" w:rsidRDefault="00FB3670" w:rsidP="00716FAD">
      <w:pPr>
        <w:pStyle w:val="Default"/>
        <w:numPr>
          <w:ilvl w:val="0"/>
          <w:numId w:val="35"/>
        </w:numPr>
        <w:tabs>
          <w:tab w:val="left" w:pos="709"/>
        </w:tabs>
        <w:jc w:val="both"/>
        <w:rPr>
          <w:sz w:val="22"/>
          <w:szCs w:val="22"/>
          <w:lang w:val="lv-LV"/>
        </w:rPr>
      </w:pPr>
      <w:r w:rsidRPr="00716FAD">
        <w:rPr>
          <w:sz w:val="22"/>
          <w:szCs w:val="22"/>
          <w:lang w:val="lv-LV"/>
        </w:rPr>
        <w:t>Valproīnskābe: lietojot vienlaicīgi ar valproīnskābi palielinās valproīnskābes toksicitāte.</w:t>
      </w:r>
    </w:p>
    <w:p w14:paraId="632B1A6F" w14:textId="77777777" w:rsidR="00FB3670" w:rsidRPr="00716FAD" w:rsidRDefault="00FB3670" w:rsidP="00716FAD">
      <w:pPr>
        <w:pStyle w:val="Default"/>
        <w:numPr>
          <w:ilvl w:val="0"/>
          <w:numId w:val="35"/>
        </w:numPr>
        <w:tabs>
          <w:tab w:val="left" w:pos="709"/>
        </w:tabs>
        <w:jc w:val="both"/>
        <w:rPr>
          <w:sz w:val="22"/>
          <w:szCs w:val="22"/>
          <w:lang w:val="lv-LV"/>
        </w:rPr>
      </w:pPr>
      <w:r w:rsidRPr="00716FAD">
        <w:rPr>
          <w:sz w:val="22"/>
          <w:szCs w:val="22"/>
          <w:lang w:val="lv-LV"/>
        </w:rPr>
        <w:t>Cilostazols: lietojot vienlaicīgi ar cilostazolu, acetilsalicilskābes devas nedrīkst pārsniegt 80 mg dienā).</w:t>
      </w:r>
    </w:p>
    <w:p w14:paraId="07A1F716" w14:textId="77777777" w:rsidR="00FB3670" w:rsidRPr="00716FAD" w:rsidRDefault="00FB3670" w:rsidP="00716FAD">
      <w:pPr>
        <w:pStyle w:val="Default"/>
        <w:numPr>
          <w:ilvl w:val="0"/>
          <w:numId w:val="35"/>
        </w:numPr>
        <w:tabs>
          <w:tab w:val="left" w:pos="709"/>
        </w:tabs>
        <w:jc w:val="both"/>
        <w:rPr>
          <w:sz w:val="22"/>
          <w:szCs w:val="22"/>
          <w:lang w:val="lv-LV"/>
        </w:rPr>
      </w:pPr>
      <w:r w:rsidRPr="00716FAD">
        <w:rPr>
          <w:sz w:val="22"/>
          <w:szCs w:val="22"/>
          <w:lang w:val="lv-LV"/>
        </w:rPr>
        <w:t>Absorbenti (kaolīns): Lietojot vienlaicīgi ar absorbentiem, samazinās acetilsalicilskābes uzsūkšanās.</w:t>
      </w:r>
    </w:p>
    <w:p w14:paraId="6B90AF00" w14:textId="77777777" w:rsidR="00FB3670" w:rsidRPr="00716FAD" w:rsidRDefault="00FB3670" w:rsidP="00716FAD">
      <w:pPr>
        <w:pStyle w:val="Default"/>
        <w:numPr>
          <w:ilvl w:val="0"/>
          <w:numId w:val="35"/>
        </w:numPr>
        <w:tabs>
          <w:tab w:val="left" w:pos="709"/>
        </w:tabs>
        <w:jc w:val="both"/>
        <w:rPr>
          <w:sz w:val="22"/>
          <w:szCs w:val="22"/>
          <w:lang w:val="lv-LV"/>
        </w:rPr>
      </w:pPr>
      <w:r w:rsidRPr="00716FAD">
        <w:rPr>
          <w:sz w:val="22"/>
          <w:szCs w:val="22"/>
          <w:lang w:val="lv-LV"/>
        </w:rPr>
        <w:t>Antacīdi: Lietojot vienlaicīgi ar antacīdiem, sārmainas urīna reakcijas gadījumā var tikt veicināta acetilsalicilskābes izvadīšana.</w:t>
      </w:r>
    </w:p>
    <w:p w14:paraId="2896930E" w14:textId="77777777" w:rsidR="00FB3670" w:rsidRPr="00716FAD" w:rsidRDefault="00FB3670" w:rsidP="00716FAD">
      <w:pPr>
        <w:pStyle w:val="Default"/>
        <w:numPr>
          <w:ilvl w:val="0"/>
          <w:numId w:val="35"/>
        </w:numPr>
        <w:tabs>
          <w:tab w:val="left" w:pos="709"/>
        </w:tabs>
        <w:jc w:val="both"/>
        <w:rPr>
          <w:sz w:val="22"/>
          <w:szCs w:val="22"/>
          <w:lang w:val="lv-LV"/>
        </w:rPr>
      </w:pPr>
      <w:r w:rsidRPr="00716FAD">
        <w:rPr>
          <w:sz w:val="22"/>
          <w:szCs w:val="22"/>
          <w:lang w:val="lv-LV"/>
        </w:rPr>
        <w:t xml:space="preserve">Citi nesteroīdie pretiekaisuma līdzekļi (NPL) un kortikosteroīdi: vienlaicīga citu NPL un </w:t>
      </w:r>
      <w:r w:rsidRPr="00716FAD">
        <w:rPr>
          <w:sz w:val="22"/>
          <w:szCs w:val="22"/>
          <w:lang w:val="lv-LV"/>
        </w:rPr>
        <w:lastRenderedPageBreak/>
        <w:t>kortikosteroīdus lietošana var palielināt kuņģa – zarnu trakta blakusparādību risku.</w:t>
      </w:r>
    </w:p>
    <w:p w14:paraId="339443E6" w14:textId="77777777" w:rsidR="00FB3670" w:rsidRPr="00716FAD" w:rsidRDefault="00FB3670" w:rsidP="00716FAD">
      <w:pPr>
        <w:pStyle w:val="Default"/>
        <w:numPr>
          <w:ilvl w:val="0"/>
          <w:numId w:val="35"/>
        </w:numPr>
        <w:tabs>
          <w:tab w:val="left" w:pos="709"/>
        </w:tabs>
        <w:jc w:val="both"/>
        <w:rPr>
          <w:sz w:val="22"/>
          <w:szCs w:val="22"/>
          <w:lang w:val="lv-LV"/>
        </w:rPr>
      </w:pPr>
      <w:r w:rsidRPr="00716FAD">
        <w:rPr>
          <w:sz w:val="22"/>
          <w:szCs w:val="22"/>
          <w:lang w:val="lv-LV"/>
        </w:rPr>
        <w:t>Diurētiskie līdzekļi: var pavājināties diurētisko līdzekļu iedarbība.</w:t>
      </w:r>
    </w:p>
    <w:p w14:paraId="59FD90CA" w14:textId="77777777" w:rsidR="00FB3670" w:rsidRPr="00716FAD" w:rsidRDefault="00FB3670" w:rsidP="00716FAD">
      <w:pPr>
        <w:pStyle w:val="Default"/>
        <w:numPr>
          <w:ilvl w:val="0"/>
          <w:numId w:val="35"/>
        </w:numPr>
        <w:tabs>
          <w:tab w:val="left" w:pos="709"/>
        </w:tabs>
        <w:jc w:val="both"/>
        <w:rPr>
          <w:sz w:val="22"/>
          <w:szCs w:val="22"/>
          <w:lang w:val="lv-LV"/>
        </w:rPr>
      </w:pPr>
      <w:r w:rsidRPr="00716FAD">
        <w:rPr>
          <w:sz w:val="22"/>
          <w:szCs w:val="22"/>
          <w:lang w:val="lv-LV"/>
        </w:rPr>
        <w:t>Kumarīna tipa antikoagulanti un heparīns: pastiprinās šo zāļu antikoagulējošā iedarbība un nomāktas trombocītu darbības rezultātā palielinās asiņošanas risks.</w:t>
      </w:r>
    </w:p>
    <w:p w14:paraId="6FA88519" w14:textId="77777777" w:rsidR="00FB3670" w:rsidRPr="00716FAD" w:rsidRDefault="00FB3670" w:rsidP="00716FAD">
      <w:pPr>
        <w:pStyle w:val="Default"/>
        <w:numPr>
          <w:ilvl w:val="0"/>
          <w:numId w:val="35"/>
        </w:numPr>
        <w:tabs>
          <w:tab w:val="left" w:pos="709"/>
        </w:tabs>
        <w:jc w:val="both"/>
        <w:rPr>
          <w:sz w:val="22"/>
          <w:szCs w:val="22"/>
          <w:lang w:val="lv-LV"/>
        </w:rPr>
      </w:pPr>
      <w:r w:rsidRPr="00716FAD">
        <w:rPr>
          <w:sz w:val="22"/>
          <w:szCs w:val="22"/>
          <w:lang w:val="lv-LV"/>
        </w:rPr>
        <w:t>Metoklopramīds: metoklopramīds paātrina acetilsalicilskābes uzsūkšanos, tomēr nav jāizvairās no vienlaicīgas lietošanas.</w:t>
      </w:r>
    </w:p>
    <w:p w14:paraId="2F07099E" w14:textId="77777777" w:rsidR="00FB3670" w:rsidRPr="00716FAD" w:rsidRDefault="00FB3670" w:rsidP="00716FAD">
      <w:pPr>
        <w:pStyle w:val="Default"/>
        <w:numPr>
          <w:ilvl w:val="0"/>
          <w:numId w:val="35"/>
        </w:numPr>
        <w:tabs>
          <w:tab w:val="left" w:pos="709"/>
        </w:tabs>
        <w:jc w:val="both"/>
        <w:rPr>
          <w:sz w:val="22"/>
          <w:szCs w:val="22"/>
          <w:lang w:val="lv-LV"/>
        </w:rPr>
      </w:pPr>
      <w:r w:rsidRPr="00716FAD">
        <w:rPr>
          <w:sz w:val="22"/>
          <w:szCs w:val="22"/>
          <w:lang w:val="lv-LV"/>
        </w:rPr>
        <w:t>Fenitoīns: acetilsalicilskābe var pastiprināt fenitoīna iedarbību, tomēr nav nepieciešams ievērot īpašus piesardzības pasākumus.</w:t>
      </w:r>
    </w:p>
    <w:p w14:paraId="3C08BDDA" w14:textId="77777777" w:rsidR="00FB3670" w:rsidRPr="00716FAD" w:rsidRDefault="00FB3670" w:rsidP="00716FAD">
      <w:pPr>
        <w:pStyle w:val="Default"/>
        <w:numPr>
          <w:ilvl w:val="0"/>
          <w:numId w:val="35"/>
        </w:numPr>
        <w:tabs>
          <w:tab w:val="left" w:pos="709"/>
        </w:tabs>
        <w:jc w:val="both"/>
        <w:rPr>
          <w:sz w:val="22"/>
          <w:szCs w:val="22"/>
          <w:lang w:val="lv-LV"/>
        </w:rPr>
      </w:pPr>
      <w:r w:rsidRPr="00716FAD">
        <w:rPr>
          <w:sz w:val="22"/>
          <w:szCs w:val="22"/>
          <w:lang w:val="lv-LV"/>
        </w:rPr>
        <w:t>Pretepilepsijas līdzekļi: acetilsalicilskābe var pastiprināt valproāta un fenitoīna iedarbību.</w:t>
      </w:r>
    </w:p>
    <w:p w14:paraId="36682AAA" w14:textId="77777777" w:rsidR="00FB3670" w:rsidRPr="00716FAD" w:rsidRDefault="00FB3670" w:rsidP="00716FAD">
      <w:pPr>
        <w:pStyle w:val="Default"/>
        <w:numPr>
          <w:ilvl w:val="0"/>
          <w:numId w:val="35"/>
        </w:numPr>
        <w:tabs>
          <w:tab w:val="left" w:pos="709"/>
        </w:tabs>
        <w:jc w:val="both"/>
        <w:rPr>
          <w:sz w:val="22"/>
          <w:szCs w:val="22"/>
          <w:lang w:val="lv-LV"/>
        </w:rPr>
      </w:pPr>
      <w:r w:rsidRPr="00716FAD">
        <w:rPr>
          <w:sz w:val="22"/>
          <w:szCs w:val="22"/>
          <w:lang w:val="lv-LV"/>
        </w:rPr>
        <w:t>Metotreksāts: iespējama aizkavēta metotreksāta izdalīšanās un pastiprināta toksicitāte.</w:t>
      </w:r>
    </w:p>
    <w:p w14:paraId="553986C3" w14:textId="77777777" w:rsidR="00FB3670" w:rsidRPr="00716FAD" w:rsidRDefault="00FB3670" w:rsidP="00716FAD">
      <w:pPr>
        <w:pStyle w:val="Default"/>
        <w:numPr>
          <w:ilvl w:val="0"/>
          <w:numId w:val="35"/>
        </w:numPr>
        <w:tabs>
          <w:tab w:val="left" w:pos="709"/>
        </w:tabs>
        <w:jc w:val="both"/>
        <w:rPr>
          <w:sz w:val="22"/>
          <w:szCs w:val="22"/>
          <w:lang w:val="lv-LV"/>
        </w:rPr>
      </w:pPr>
      <w:r w:rsidRPr="00716FAD">
        <w:rPr>
          <w:sz w:val="22"/>
          <w:szCs w:val="22"/>
          <w:lang w:val="lv-LV"/>
        </w:rPr>
        <w:t xml:space="preserve">Eksperimentālie dati liecina, ka vienlaicīgas lietošanas gadījumā ibuprofēns var nomākt mazu devu acetilsalicilskābes iedarbību uz trombocītu agregāciju. Tomēr, ņemot vērā ierobežoto informāciju un neskaidrību par ekstrapolāciju no </w:t>
      </w:r>
      <w:r w:rsidRPr="00716FAD">
        <w:rPr>
          <w:i/>
          <w:iCs/>
          <w:sz w:val="22"/>
          <w:szCs w:val="22"/>
          <w:lang w:val="lv-LV"/>
        </w:rPr>
        <w:t>ex vivo</w:t>
      </w:r>
      <w:r w:rsidRPr="00716FAD">
        <w:rPr>
          <w:sz w:val="22"/>
          <w:szCs w:val="22"/>
          <w:lang w:val="lv-LV"/>
        </w:rPr>
        <w:t xml:space="preserve"> datiem uz klīnisko situāciju, tas netieši norāda, ka nav iespējams izdarīt galīgo slēdzienu par regulāru ibuprofēna lietošanu un īslaicīgas ibuprofēna lietošanas gadījumā nav sagaidāma jebkāda klīniski nozīmīga iedarbība (skatīt 5.1. apakšpunktu).</w:t>
      </w:r>
    </w:p>
    <w:p w14:paraId="1AF3B9DD" w14:textId="77777777" w:rsidR="00FB3670" w:rsidRPr="00716FAD" w:rsidRDefault="00FB3670" w:rsidP="00716FAD">
      <w:pPr>
        <w:pStyle w:val="Default"/>
        <w:jc w:val="both"/>
        <w:rPr>
          <w:sz w:val="22"/>
          <w:szCs w:val="22"/>
          <w:lang w:val="lv-LV"/>
        </w:rPr>
      </w:pPr>
    </w:p>
    <w:p w14:paraId="132E10A8" w14:textId="77777777" w:rsidR="00FB3670" w:rsidRPr="00716FAD" w:rsidRDefault="00FB3670" w:rsidP="00716FAD">
      <w:pPr>
        <w:pStyle w:val="Default"/>
        <w:jc w:val="both"/>
        <w:rPr>
          <w:sz w:val="22"/>
          <w:szCs w:val="22"/>
          <w:u w:val="single"/>
          <w:lang w:val="lv-LV"/>
        </w:rPr>
      </w:pPr>
      <w:r w:rsidRPr="00716FAD">
        <w:rPr>
          <w:sz w:val="22"/>
          <w:szCs w:val="22"/>
          <w:u w:val="single"/>
          <w:lang w:val="lv-LV"/>
        </w:rPr>
        <w:t>Kofeīns</w:t>
      </w:r>
    </w:p>
    <w:p w14:paraId="6941A770" w14:textId="77777777" w:rsidR="00FB3670" w:rsidRPr="00716FAD" w:rsidRDefault="00FB3670" w:rsidP="00716FAD">
      <w:pPr>
        <w:pStyle w:val="Default"/>
        <w:numPr>
          <w:ilvl w:val="0"/>
          <w:numId w:val="36"/>
        </w:numPr>
        <w:tabs>
          <w:tab w:val="left" w:pos="709"/>
        </w:tabs>
        <w:jc w:val="both"/>
        <w:rPr>
          <w:sz w:val="22"/>
          <w:szCs w:val="22"/>
          <w:lang w:val="lv-LV"/>
        </w:rPr>
      </w:pPr>
      <w:r w:rsidRPr="00716FAD">
        <w:rPr>
          <w:sz w:val="22"/>
          <w:szCs w:val="22"/>
          <w:lang w:val="lv-LV"/>
        </w:rPr>
        <w:t>Kofeīns var pavājināt dažu vielu, piemēram, barbiturātu, antihistamīnu, u.c., sedatīvo iedarbību.</w:t>
      </w:r>
    </w:p>
    <w:p w14:paraId="16C16C8D" w14:textId="77777777" w:rsidR="00FB3670" w:rsidRPr="00716FAD" w:rsidRDefault="00FB3670" w:rsidP="00716FAD">
      <w:pPr>
        <w:pStyle w:val="Default"/>
        <w:numPr>
          <w:ilvl w:val="0"/>
          <w:numId w:val="36"/>
        </w:numPr>
        <w:tabs>
          <w:tab w:val="left" w:pos="709"/>
        </w:tabs>
        <w:jc w:val="both"/>
        <w:rPr>
          <w:sz w:val="22"/>
          <w:szCs w:val="22"/>
          <w:lang w:val="lv-LV"/>
        </w:rPr>
      </w:pPr>
      <w:r w:rsidRPr="00716FAD">
        <w:rPr>
          <w:sz w:val="22"/>
          <w:szCs w:val="22"/>
          <w:lang w:val="lv-LV"/>
        </w:rPr>
        <w:t>Kofeīns sinerģiski iedarbojas uz simpatomimētisko, tiroksīna, u.c. līdzekļu izraisīto tahikardisko iedarbību.</w:t>
      </w:r>
    </w:p>
    <w:p w14:paraId="156E102D" w14:textId="77777777" w:rsidR="00FB3670" w:rsidRPr="00716FAD" w:rsidRDefault="00FB3670" w:rsidP="00716FAD">
      <w:pPr>
        <w:pStyle w:val="Default"/>
        <w:numPr>
          <w:ilvl w:val="0"/>
          <w:numId w:val="36"/>
        </w:numPr>
        <w:tabs>
          <w:tab w:val="left" w:pos="709"/>
        </w:tabs>
        <w:jc w:val="both"/>
        <w:rPr>
          <w:sz w:val="22"/>
          <w:szCs w:val="22"/>
          <w:lang w:val="lv-LV"/>
        </w:rPr>
      </w:pPr>
      <w:r w:rsidRPr="00716FAD">
        <w:rPr>
          <w:sz w:val="22"/>
          <w:szCs w:val="22"/>
          <w:lang w:val="lv-LV"/>
        </w:rPr>
        <w:t>Vienlaicīgas teofilīna lietošanas gadījumā samazinās teofilīna eliminācija.</w:t>
      </w:r>
    </w:p>
    <w:p w14:paraId="3A6F559B" w14:textId="77777777" w:rsidR="00FB3670" w:rsidRPr="00716FAD" w:rsidRDefault="00FB3670" w:rsidP="00716FAD">
      <w:pPr>
        <w:pStyle w:val="Default"/>
        <w:numPr>
          <w:ilvl w:val="0"/>
          <w:numId w:val="36"/>
        </w:numPr>
        <w:tabs>
          <w:tab w:val="left" w:pos="709"/>
        </w:tabs>
        <w:jc w:val="both"/>
        <w:rPr>
          <w:sz w:val="22"/>
          <w:szCs w:val="22"/>
          <w:lang w:val="lv-LV"/>
        </w:rPr>
      </w:pPr>
      <w:r w:rsidRPr="00716FAD">
        <w:rPr>
          <w:sz w:val="22"/>
          <w:szCs w:val="22"/>
          <w:lang w:val="lv-LV"/>
        </w:rPr>
        <w:t>Kofeīns pastiprina efedrīna tipa vielu papildinošo iedarbību.</w:t>
      </w:r>
    </w:p>
    <w:p w14:paraId="5C33EB2E" w14:textId="77777777" w:rsidR="00FB3670" w:rsidRPr="00716FAD" w:rsidRDefault="00FB3670" w:rsidP="00716FAD">
      <w:pPr>
        <w:pStyle w:val="Default"/>
        <w:numPr>
          <w:ilvl w:val="0"/>
          <w:numId w:val="36"/>
        </w:numPr>
        <w:tabs>
          <w:tab w:val="left" w:pos="709"/>
        </w:tabs>
        <w:jc w:val="both"/>
        <w:rPr>
          <w:sz w:val="22"/>
          <w:szCs w:val="22"/>
          <w:lang w:val="lv-LV"/>
        </w:rPr>
      </w:pPr>
      <w:r w:rsidRPr="00716FAD">
        <w:rPr>
          <w:sz w:val="22"/>
          <w:szCs w:val="22"/>
          <w:lang w:val="lv-LV"/>
        </w:rPr>
        <w:t>Vienlaicīga kofeīna un vielu, ar plašu darbības spektru (piemēram, benzodiazepīnu), lietošana, katram pacientam individuāli var izraisīt savādāku un neparedzamu mijiedarbību.</w:t>
      </w:r>
    </w:p>
    <w:p w14:paraId="4ED235AD" w14:textId="77777777" w:rsidR="00FB3670" w:rsidRPr="00716FAD" w:rsidRDefault="00FB3670" w:rsidP="00716FAD">
      <w:pPr>
        <w:pStyle w:val="Default"/>
        <w:numPr>
          <w:ilvl w:val="0"/>
          <w:numId w:val="36"/>
        </w:numPr>
        <w:tabs>
          <w:tab w:val="left" w:pos="709"/>
        </w:tabs>
        <w:jc w:val="both"/>
        <w:rPr>
          <w:sz w:val="22"/>
          <w:szCs w:val="22"/>
          <w:lang w:val="lv-LV"/>
        </w:rPr>
      </w:pPr>
      <w:r w:rsidRPr="00716FAD">
        <w:rPr>
          <w:sz w:val="22"/>
          <w:szCs w:val="22"/>
          <w:lang w:val="lv-LV"/>
        </w:rPr>
        <w:t>Perorālie kontracepcijas līdzekļi, cimetidīns un disulfirams kavē kofeīna sadalīšanos aknās, savukārt barbiturāti un nikotīns veicina to.</w:t>
      </w:r>
    </w:p>
    <w:p w14:paraId="71621240" w14:textId="77777777" w:rsidR="00FB3670" w:rsidRPr="00716FAD" w:rsidRDefault="00FB3670" w:rsidP="00716FAD">
      <w:pPr>
        <w:pStyle w:val="Default"/>
        <w:numPr>
          <w:ilvl w:val="0"/>
          <w:numId w:val="36"/>
        </w:numPr>
        <w:tabs>
          <w:tab w:val="left" w:pos="709"/>
        </w:tabs>
        <w:jc w:val="both"/>
        <w:rPr>
          <w:sz w:val="22"/>
          <w:szCs w:val="22"/>
          <w:lang w:val="lv-LV"/>
        </w:rPr>
      </w:pPr>
      <w:r w:rsidRPr="00716FAD">
        <w:rPr>
          <w:sz w:val="22"/>
          <w:szCs w:val="22"/>
          <w:lang w:val="lv-LV"/>
        </w:rPr>
        <w:t>Vienlaicīga hinolona karboksilskābes tipa girāzes inhibitoru lietošana var samazināt kofeīna un tā metabolīta paraksantīna izdalīšanos.</w:t>
      </w:r>
    </w:p>
    <w:p w14:paraId="5A630A60" w14:textId="77777777" w:rsidR="00FB3670" w:rsidRPr="00716FAD" w:rsidRDefault="00FB3670" w:rsidP="00716FAD">
      <w:pPr>
        <w:pStyle w:val="Default"/>
        <w:numPr>
          <w:ilvl w:val="0"/>
          <w:numId w:val="36"/>
        </w:numPr>
        <w:tabs>
          <w:tab w:val="left" w:pos="709"/>
        </w:tabs>
        <w:jc w:val="both"/>
        <w:rPr>
          <w:sz w:val="22"/>
          <w:szCs w:val="22"/>
          <w:lang w:val="lv-LV"/>
        </w:rPr>
      </w:pPr>
      <w:r w:rsidRPr="00716FAD">
        <w:rPr>
          <w:sz w:val="22"/>
          <w:szCs w:val="22"/>
          <w:lang w:val="lv-LV"/>
        </w:rPr>
        <w:t>Disulfirāms pastiprina kofeīna ietekmi uz kardiovaskulāro sistēmu un kofeīna centrālo nervu sistēmu stimulējošo iedarbību. Pacientiem jāiesaka izvairīties no kofeīna lietošanas, ja vienlaicīgi tiek lietos disulfirāms, it īpaši, ja viņiem novērojams pārmērīgs uzbudinājums, nervozitāte un bezmiegs.</w:t>
      </w:r>
    </w:p>
    <w:p w14:paraId="2491D8B9" w14:textId="77777777" w:rsidR="00FB3670" w:rsidRPr="00716FAD" w:rsidRDefault="00FB3670" w:rsidP="00716FAD">
      <w:pPr>
        <w:pStyle w:val="Default"/>
        <w:numPr>
          <w:ilvl w:val="0"/>
          <w:numId w:val="36"/>
        </w:numPr>
        <w:tabs>
          <w:tab w:val="left" w:pos="709"/>
        </w:tabs>
        <w:jc w:val="both"/>
        <w:rPr>
          <w:sz w:val="22"/>
          <w:szCs w:val="22"/>
          <w:lang w:val="lv-LV"/>
        </w:rPr>
      </w:pPr>
      <w:r w:rsidRPr="00716FAD">
        <w:rPr>
          <w:sz w:val="22"/>
          <w:szCs w:val="22"/>
          <w:lang w:val="lv-LV"/>
        </w:rPr>
        <w:t>Kofeīna lietošanas pārtraukšana var palielināt litija koncentrāciju asinīs. Pārtraucot kofeīna lietošanu pacientiem, kuri lieto litiju, jāievēro piesardzība.</w:t>
      </w:r>
    </w:p>
    <w:p w14:paraId="0A33EE81" w14:textId="77777777" w:rsidR="00FB3670" w:rsidRPr="00716FAD" w:rsidRDefault="00FB3670" w:rsidP="00716FAD">
      <w:pPr>
        <w:pStyle w:val="Default"/>
        <w:numPr>
          <w:ilvl w:val="0"/>
          <w:numId w:val="36"/>
        </w:numPr>
        <w:tabs>
          <w:tab w:val="left" w:pos="709"/>
        </w:tabs>
        <w:jc w:val="both"/>
        <w:rPr>
          <w:sz w:val="22"/>
          <w:szCs w:val="22"/>
          <w:lang w:val="lv-LV"/>
        </w:rPr>
      </w:pPr>
      <w:r w:rsidRPr="00716FAD">
        <w:rPr>
          <w:sz w:val="22"/>
          <w:szCs w:val="22"/>
          <w:lang w:val="lv-LV"/>
        </w:rPr>
        <w:t>Vienlaicīga monoaminooksidāzes inhibitoru lietošana var pastiprināt kofeīna iedarbību.</w:t>
      </w:r>
    </w:p>
    <w:p w14:paraId="05516E4F" w14:textId="77777777" w:rsidR="00CD10AA" w:rsidRPr="00716FAD" w:rsidRDefault="00CD10AA" w:rsidP="00716FAD">
      <w:pPr>
        <w:tabs>
          <w:tab w:val="clear" w:pos="567"/>
          <w:tab w:val="left" w:pos="709"/>
        </w:tabs>
        <w:spacing w:line="240" w:lineRule="auto"/>
        <w:jc w:val="both"/>
        <w:rPr>
          <w:color w:val="000000"/>
          <w:szCs w:val="22"/>
        </w:rPr>
      </w:pPr>
    </w:p>
    <w:p w14:paraId="20017CF5" w14:textId="77777777" w:rsidR="00CD10AA" w:rsidRPr="00716FAD" w:rsidRDefault="00CD10AA" w:rsidP="00716FAD">
      <w:pPr>
        <w:tabs>
          <w:tab w:val="clear" w:pos="567"/>
        </w:tabs>
        <w:spacing w:line="240" w:lineRule="auto"/>
        <w:jc w:val="both"/>
        <w:rPr>
          <w:color w:val="000000"/>
          <w:szCs w:val="22"/>
        </w:rPr>
      </w:pPr>
      <w:r w:rsidRPr="00716FAD">
        <w:rPr>
          <w:b/>
          <w:color w:val="000000"/>
          <w:szCs w:val="22"/>
        </w:rPr>
        <w:t>4.6</w:t>
      </w:r>
      <w:r w:rsidR="00E2542E" w:rsidRPr="00716FAD">
        <w:rPr>
          <w:b/>
          <w:color w:val="000000"/>
          <w:szCs w:val="22"/>
        </w:rPr>
        <w:t>.</w:t>
      </w:r>
      <w:r w:rsidRPr="00716FAD">
        <w:rPr>
          <w:b/>
          <w:color w:val="000000"/>
          <w:szCs w:val="22"/>
        </w:rPr>
        <w:tab/>
      </w:r>
      <w:r w:rsidR="0097548A" w:rsidRPr="00716FAD">
        <w:rPr>
          <w:b/>
          <w:color w:val="000000"/>
          <w:szCs w:val="22"/>
        </w:rPr>
        <w:t xml:space="preserve">Fertilitāte, grūtniecība </w:t>
      </w:r>
      <w:r w:rsidRPr="00716FAD">
        <w:rPr>
          <w:b/>
          <w:color w:val="000000"/>
          <w:szCs w:val="22"/>
        </w:rPr>
        <w:t xml:space="preserve">un </w:t>
      </w:r>
      <w:r w:rsidR="00E2542E" w:rsidRPr="00716FAD">
        <w:rPr>
          <w:b/>
          <w:noProof/>
          <w:color w:val="000000"/>
          <w:szCs w:val="22"/>
        </w:rPr>
        <w:t>barošana ar krūti</w:t>
      </w:r>
    </w:p>
    <w:p w14:paraId="74237594" w14:textId="77777777" w:rsidR="00716FAD" w:rsidRPr="00716FAD" w:rsidRDefault="00716FAD" w:rsidP="00716FAD">
      <w:pPr>
        <w:tabs>
          <w:tab w:val="clear" w:pos="567"/>
        </w:tabs>
        <w:spacing w:line="240" w:lineRule="auto"/>
        <w:jc w:val="both"/>
        <w:rPr>
          <w:color w:val="000000"/>
          <w:szCs w:val="22"/>
          <w:u w:val="single"/>
        </w:rPr>
      </w:pPr>
    </w:p>
    <w:p w14:paraId="0F629FE9" w14:textId="77777777" w:rsidR="0097548A" w:rsidRPr="00716FAD" w:rsidRDefault="003F45AD" w:rsidP="00716FAD">
      <w:pPr>
        <w:tabs>
          <w:tab w:val="clear" w:pos="567"/>
        </w:tabs>
        <w:spacing w:line="240" w:lineRule="auto"/>
        <w:jc w:val="both"/>
        <w:rPr>
          <w:color w:val="000000"/>
          <w:szCs w:val="22"/>
          <w:u w:val="single"/>
        </w:rPr>
      </w:pPr>
      <w:r w:rsidRPr="00716FAD">
        <w:rPr>
          <w:color w:val="000000"/>
          <w:szCs w:val="22"/>
          <w:u w:val="single"/>
        </w:rPr>
        <w:t>Grūtniecība</w:t>
      </w:r>
    </w:p>
    <w:p w14:paraId="559D6BE9" w14:textId="77777777" w:rsidR="00FB3670" w:rsidRPr="00716FAD" w:rsidRDefault="00FB3670" w:rsidP="00716FAD">
      <w:pPr>
        <w:pStyle w:val="Default"/>
        <w:jc w:val="both"/>
        <w:rPr>
          <w:sz w:val="22"/>
          <w:szCs w:val="22"/>
          <w:lang w:val="lv-LV"/>
        </w:rPr>
      </w:pPr>
      <w:r w:rsidRPr="00716FAD">
        <w:rPr>
          <w:sz w:val="22"/>
          <w:szCs w:val="22"/>
          <w:lang w:val="lv-LV"/>
        </w:rPr>
        <w:t>Ascophen P lietošana ir kontrindicēta grūtniecības laikā (skatīt 4.3. apakšpunktu).</w:t>
      </w:r>
    </w:p>
    <w:p w14:paraId="1341A150" w14:textId="77777777" w:rsidR="00FB3670" w:rsidRPr="00716FAD" w:rsidRDefault="00FB3670" w:rsidP="00716FAD">
      <w:pPr>
        <w:pStyle w:val="Default"/>
        <w:jc w:val="both"/>
        <w:rPr>
          <w:sz w:val="22"/>
          <w:szCs w:val="22"/>
          <w:lang w:val="lv-LV"/>
        </w:rPr>
      </w:pPr>
    </w:p>
    <w:p w14:paraId="57D64178" w14:textId="77777777" w:rsidR="00FB3670" w:rsidRPr="00716FAD" w:rsidRDefault="00FB3670" w:rsidP="00716FAD">
      <w:pPr>
        <w:tabs>
          <w:tab w:val="clear" w:pos="567"/>
        </w:tabs>
        <w:spacing w:line="240" w:lineRule="auto"/>
        <w:jc w:val="both"/>
        <w:rPr>
          <w:noProof/>
          <w:color w:val="000000"/>
          <w:szCs w:val="22"/>
          <w:u w:val="single"/>
        </w:rPr>
      </w:pPr>
      <w:r w:rsidRPr="00716FAD">
        <w:rPr>
          <w:noProof/>
          <w:color w:val="000000"/>
          <w:szCs w:val="22"/>
          <w:u w:val="single"/>
        </w:rPr>
        <w:t>Barošana ar krūti</w:t>
      </w:r>
    </w:p>
    <w:p w14:paraId="519A7667" w14:textId="77777777" w:rsidR="00FB3670" w:rsidRPr="00716FAD" w:rsidRDefault="00FB3670" w:rsidP="00716FAD">
      <w:pPr>
        <w:pStyle w:val="Default"/>
        <w:jc w:val="both"/>
        <w:rPr>
          <w:sz w:val="22"/>
          <w:szCs w:val="22"/>
          <w:lang w:val="lv-LV"/>
        </w:rPr>
      </w:pPr>
      <w:r w:rsidRPr="00716FAD">
        <w:rPr>
          <w:sz w:val="22"/>
          <w:szCs w:val="22"/>
          <w:lang w:val="lv-LV"/>
        </w:rPr>
        <w:t>Ascophen P lietošana ir kontrindicēta mātēm, kuras baro bērnu ar krūti (skatīt 4.3. apakšpunktu).</w:t>
      </w:r>
    </w:p>
    <w:p w14:paraId="2DBD3725" w14:textId="77777777" w:rsidR="00CD10AA" w:rsidRPr="00716FAD" w:rsidRDefault="00CD10AA" w:rsidP="00716FAD">
      <w:pPr>
        <w:tabs>
          <w:tab w:val="clear" w:pos="567"/>
        </w:tabs>
        <w:spacing w:line="240" w:lineRule="auto"/>
        <w:jc w:val="both"/>
        <w:rPr>
          <w:color w:val="000000"/>
          <w:szCs w:val="22"/>
        </w:rPr>
      </w:pPr>
    </w:p>
    <w:p w14:paraId="4EF9453B" w14:textId="77777777" w:rsidR="00CD10AA" w:rsidRPr="00716FAD" w:rsidRDefault="00CD10AA" w:rsidP="00716FAD">
      <w:pPr>
        <w:tabs>
          <w:tab w:val="clear" w:pos="567"/>
        </w:tabs>
        <w:spacing w:line="240" w:lineRule="auto"/>
        <w:jc w:val="both"/>
        <w:rPr>
          <w:color w:val="000000"/>
          <w:szCs w:val="22"/>
        </w:rPr>
      </w:pPr>
      <w:r w:rsidRPr="00716FAD">
        <w:rPr>
          <w:b/>
          <w:color w:val="000000"/>
          <w:szCs w:val="22"/>
        </w:rPr>
        <w:t>4.7</w:t>
      </w:r>
      <w:r w:rsidR="00ED4652" w:rsidRPr="00716FAD">
        <w:rPr>
          <w:b/>
          <w:color w:val="000000"/>
          <w:szCs w:val="22"/>
        </w:rPr>
        <w:t>.</w:t>
      </w:r>
      <w:r w:rsidRPr="00716FAD">
        <w:rPr>
          <w:b/>
          <w:color w:val="000000"/>
          <w:szCs w:val="22"/>
        </w:rPr>
        <w:tab/>
        <w:t>Ietekme uz spēju vadīt transportlīdzekļus un apkalpot mehānismus</w:t>
      </w:r>
    </w:p>
    <w:p w14:paraId="4BE1CA84" w14:textId="77777777" w:rsidR="00716FAD" w:rsidRPr="00716FAD" w:rsidRDefault="00716FAD" w:rsidP="00716FAD">
      <w:pPr>
        <w:pStyle w:val="Default"/>
        <w:jc w:val="both"/>
        <w:rPr>
          <w:sz w:val="22"/>
          <w:szCs w:val="22"/>
          <w:lang w:val="lv-LV"/>
        </w:rPr>
      </w:pPr>
    </w:p>
    <w:p w14:paraId="3022FAE1" w14:textId="77777777" w:rsidR="00FB3670" w:rsidRPr="00716FAD" w:rsidRDefault="00FB3670" w:rsidP="00716FAD">
      <w:pPr>
        <w:pStyle w:val="Default"/>
        <w:jc w:val="both"/>
        <w:rPr>
          <w:sz w:val="22"/>
          <w:szCs w:val="22"/>
          <w:lang w:val="lv-LV"/>
        </w:rPr>
      </w:pPr>
      <w:r w:rsidRPr="00716FAD">
        <w:rPr>
          <w:sz w:val="22"/>
          <w:szCs w:val="22"/>
          <w:lang w:val="lv-LV"/>
        </w:rPr>
        <w:t>Ascophen P neietekmē spēju vadīt transportlīdzekļus un apkalpot mehānismus.</w:t>
      </w:r>
    </w:p>
    <w:p w14:paraId="48FF43CF" w14:textId="77777777" w:rsidR="00CD10AA" w:rsidRPr="00716FAD" w:rsidRDefault="00CD10AA" w:rsidP="00716FAD">
      <w:pPr>
        <w:tabs>
          <w:tab w:val="clear" w:pos="567"/>
        </w:tabs>
        <w:spacing w:line="240" w:lineRule="auto"/>
        <w:jc w:val="both"/>
        <w:rPr>
          <w:color w:val="000000"/>
          <w:szCs w:val="22"/>
        </w:rPr>
      </w:pPr>
    </w:p>
    <w:p w14:paraId="03D92D47" w14:textId="77777777" w:rsidR="00CD10AA" w:rsidRPr="00716FAD" w:rsidRDefault="00CD10AA" w:rsidP="00716FAD">
      <w:pPr>
        <w:tabs>
          <w:tab w:val="clear" w:pos="567"/>
        </w:tabs>
        <w:spacing w:line="240" w:lineRule="auto"/>
        <w:jc w:val="both"/>
        <w:rPr>
          <w:b/>
          <w:color w:val="000000"/>
          <w:szCs w:val="22"/>
        </w:rPr>
      </w:pPr>
      <w:r w:rsidRPr="00716FAD">
        <w:rPr>
          <w:b/>
          <w:color w:val="000000"/>
          <w:szCs w:val="22"/>
        </w:rPr>
        <w:t>4.8</w:t>
      </w:r>
      <w:r w:rsidR="002A61E1" w:rsidRPr="00716FAD">
        <w:rPr>
          <w:b/>
          <w:color w:val="000000"/>
          <w:szCs w:val="22"/>
        </w:rPr>
        <w:t>.</w:t>
      </w:r>
      <w:r w:rsidRPr="00716FAD">
        <w:rPr>
          <w:b/>
          <w:color w:val="000000"/>
          <w:szCs w:val="22"/>
        </w:rPr>
        <w:tab/>
        <w:t>Nevēlamās blakusparādības</w:t>
      </w:r>
    </w:p>
    <w:p w14:paraId="3DAA9E70" w14:textId="77777777" w:rsidR="00716FAD" w:rsidRPr="00716FAD" w:rsidRDefault="00716FAD" w:rsidP="00716FAD">
      <w:pPr>
        <w:pStyle w:val="Default"/>
        <w:jc w:val="both"/>
        <w:rPr>
          <w:sz w:val="22"/>
          <w:szCs w:val="22"/>
          <w:lang w:val="lv-LV"/>
        </w:rPr>
      </w:pPr>
    </w:p>
    <w:p w14:paraId="558CF784" w14:textId="77777777" w:rsidR="003F45AD" w:rsidRPr="00716FAD" w:rsidRDefault="00FB3670" w:rsidP="00716FAD">
      <w:pPr>
        <w:pStyle w:val="Default"/>
        <w:jc w:val="both"/>
        <w:rPr>
          <w:sz w:val="22"/>
          <w:szCs w:val="22"/>
          <w:lang w:val="lv-LV"/>
        </w:rPr>
      </w:pPr>
      <w:r w:rsidRPr="00716FAD">
        <w:rPr>
          <w:sz w:val="22"/>
          <w:szCs w:val="22"/>
          <w:lang w:val="lv-LV"/>
        </w:rPr>
        <w:t xml:space="preserve">Šajā apakšpunktā nevēlamās blakusparādības ir sakārtotas atbilstoši orgānu sistēmām un to sastopamības biežumam, kas definēts sekojoši: </w:t>
      </w:r>
      <w:r w:rsidR="003F45AD" w:rsidRPr="00716FAD">
        <w:rPr>
          <w:bCs/>
          <w:noProof/>
          <w:sz w:val="22"/>
          <w:szCs w:val="22"/>
          <w:lang w:val="lv-LV"/>
        </w:rPr>
        <w:t>ļoti bieži (</w:t>
      </w:r>
      <w:r w:rsidR="003F45AD" w:rsidRPr="00716FAD">
        <w:rPr>
          <w:bCs/>
          <w:noProof/>
          <w:sz w:val="22"/>
          <w:szCs w:val="22"/>
          <w:lang w:val="lv-LV"/>
        </w:rPr>
        <w:sym w:font="Symbol" w:char="F0B3"/>
      </w:r>
      <w:r w:rsidR="003F45AD" w:rsidRPr="00716FAD">
        <w:rPr>
          <w:bCs/>
          <w:noProof/>
          <w:sz w:val="22"/>
          <w:szCs w:val="22"/>
          <w:lang w:val="lv-LV"/>
        </w:rPr>
        <w:t>1/10), bieži (</w:t>
      </w:r>
      <w:r w:rsidR="003F45AD" w:rsidRPr="00716FAD">
        <w:rPr>
          <w:bCs/>
          <w:noProof/>
          <w:sz w:val="22"/>
          <w:szCs w:val="22"/>
          <w:lang w:val="lv-LV"/>
        </w:rPr>
        <w:sym w:font="Symbol" w:char="F0B3"/>
      </w:r>
      <w:r w:rsidR="003F45AD" w:rsidRPr="00716FAD">
        <w:rPr>
          <w:bCs/>
          <w:noProof/>
          <w:sz w:val="22"/>
          <w:szCs w:val="22"/>
          <w:lang w:val="lv-LV"/>
        </w:rPr>
        <w:t>1/100 līdz &lt;1/10), retāk (</w:t>
      </w:r>
      <w:r w:rsidR="003F45AD" w:rsidRPr="00716FAD">
        <w:rPr>
          <w:bCs/>
          <w:noProof/>
          <w:sz w:val="22"/>
          <w:szCs w:val="22"/>
          <w:lang w:val="lv-LV"/>
        </w:rPr>
        <w:sym w:font="Symbol" w:char="F0B3"/>
      </w:r>
      <w:r w:rsidR="003F45AD" w:rsidRPr="00716FAD">
        <w:rPr>
          <w:bCs/>
          <w:noProof/>
          <w:sz w:val="22"/>
          <w:szCs w:val="22"/>
          <w:lang w:val="lv-LV"/>
        </w:rPr>
        <w:t>1/1 000 līdz &lt;1/100), reti (</w:t>
      </w:r>
      <w:r w:rsidR="003F45AD" w:rsidRPr="00716FAD">
        <w:rPr>
          <w:bCs/>
          <w:noProof/>
          <w:sz w:val="22"/>
          <w:szCs w:val="22"/>
          <w:lang w:val="lv-LV"/>
        </w:rPr>
        <w:sym w:font="Symbol" w:char="F0B3"/>
      </w:r>
      <w:r w:rsidR="003F45AD" w:rsidRPr="00716FAD">
        <w:rPr>
          <w:bCs/>
          <w:noProof/>
          <w:sz w:val="22"/>
          <w:szCs w:val="22"/>
          <w:lang w:val="lv-LV"/>
        </w:rPr>
        <w:t xml:space="preserve">1/10 000 līdz &lt;1/1 000), </w:t>
      </w:r>
      <w:r w:rsidRPr="00716FAD">
        <w:rPr>
          <w:bCs/>
          <w:noProof/>
          <w:sz w:val="22"/>
          <w:szCs w:val="22"/>
          <w:lang w:val="lv-LV"/>
        </w:rPr>
        <w:t>ļoti reti (&lt;1/10 000) un</w:t>
      </w:r>
      <w:r w:rsidR="003F45AD" w:rsidRPr="00716FAD">
        <w:rPr>
          <w:bCs/>
          <w:noProof/>
          <w:sz w:val="22"/>
          <w:szCs w:val="22"/>
          <w:lang w:val="lv-LV"/>
        </w:rPr>
        <w:t xml:space="preserve"> nav zināmi (nevar noteikt pēc pieejamiem datiem)</w:t>
      </w:r>
      <w:r w:rsidRPr="00716FAD">
        <w:rPr>
          <w:bCs/>
          <w:noProof/>
          <w:sz w:val="22"/>
          <w:szCs w:val="22"/>
          <w:lang w:val="lv-LV"/>
        </w:rPr>
        <w:t>.</w:t>
      </w:r>
    </w:p>
    <w:p w14:paraId="1C007213" w14:textId="77777777" w:rsidR="003F45AD" w:rsidRPr="00716FAD" w:rsidRDefault="003F45AD" w:rsidP="00716FAD">
      <w:pPr>
        <w:pStyle w:val="EMEAEnBodyText"/>
        <w:spacing w:before="0" w:after="0"/>
        <w:rPr>
          <w:bCs/>
          <w:noProof/>
          <w:color w:val="000000"/>
          <w:szCs w:val="22"/>
          <w:lang w:val="lv-LV"/>
        </w:rPr>
      </w:pPr>
    </w:p>
    <w:p w14:paraId="582504B0" w14:textId="77777777" w:rsidR="00FB3670" w:rsidRPr="00716FAD" w:rsidRDefault="00FB3670" w:rsidP="00716FAD">
      <w:pPr>
        <w:pStyle w:val="Default"/>
        <w:jc w:val="both"/>
        <w:rPr>
          <w:sz w:val="22"/>
          <w:szCs w:val="22"/>
          <w:u w:val="single"/>
          <w:lang w:val="lv-LV"/>
        </w:rPr>
      </w:pPr>
      <w:r w:rsidRPr="00716FAD">
        <w:rPr>
          <w:sz w:val="22"/>
          <w:szCs w:val="22"/>
          <w:u w:val="single"/>
          <w:lang w:val="lv-LV"/>
        </w:rPr>
        <w:t>Asins un limfātiskās sistēmas traucējumi</w:t>
      </w:r>
    </w:p>
    <w:p w14:paraId="1F31C036" w14:textId="77777777" w:rsidR="00FB3670" w:rsidRPr="00716FAD" w:rsidRDefault="00FB3670" w:rsidP="00716FAD">
      <w:pPr>
        <w:pStyle w:val="Default"/>
        <w:jc w:val="both"/>
        <w:rPr>
          <w:sz w:val="22"/>
          <w:szCs w:val="22"/>
          <w:lang w:val="lv-LV"/>
        </w:rPr>
      </w:pPr>
      <w:r w:rsidRPr="00716FAD">
        <w:rPr>
          <w:i/>
          <w:sz w:val="22"/>
          <w:szCs w:val="22"/>
          <w:lang w:val="lv-LV"/>
        </w:rPr>
        <w:lastRenderedPageBreak/>
        <w:t>Ļoti reti</w:t>
      </w:r>
      <w:r w:rsidRPr="00716FAD">
        <w:rPr>
          <w:sz w:val="22"/>
          <w:szCs w:val="22"/>
          <w:lang w:val="lv-LV"/>
        </w:rPr>
        <w:t>: izmaiņas asinsainā, piemēram, pagarināts asiņošanas laiks, agranulocitoze, trombocitopēnija, trombocitopēniska purpura, hemorāģisks sindroms.</w:t>
      </w:r>
    </w:p>
    <w:p w14:paraId="52A79D26" w14:textId="77777777" w:rsidR="00FB3670" w:rsidRPr="00716FAD" w:rsidRDefault="00FB3670" w:rsidP="00716FAD">
      <w:pPr>
        <w:pStyle w:val="Default"/>
        <w:jc w:val="both"/>
        <w:rPr>
          <w:sz w:val="22"/>
          <w:szCs w:val="22"/>
          <w:lang w:val="lv-LV"/>
        </w:rPr>
      </w:pPr>
    </w:p>
    <w:p w14:paraId="0344AA3A" w14:textId="77777777" w:rsidR="00FB3670" w:rsidRPr="00716FAD" w:rsidRDefault="00FB3670" w:rsidP="00716FAD">
      <w:pPr>
        <w:pStyle w:val="Default"/>
        <w:jc w:val="both"/>
        <w:rPr>
          <w:sz w:val="22"/>
          <w:szCs w:val="22"/>
          <w:u w:val="single"/>
          <w:lang w:val="lv-LV"/>
        </w:rPr>
      </w:pPr>
      <w:r w:rsidRPr="00716FAD">
        <w:rPr>
          <w:sz w:val="22"/>
          <w:szCs w:val="22"/>
          <w:u w:val="single"/>
          <w:lang w:val="lv-LV"/>
        </w:rPr>
        <w:t>Imūnās sistēmas traucējumi</w:t>
      </w:r>
    </w:p>
    <w:p w14:paraId="7C432A5D" w14:textId="77777777" w:rsidR="00FB3670" w:rsidRPr="00716FAD" w:rsidRDefault="00FB3670" w:rsidP="00716FAD">
      <w:pPr>
        <w:pStyle w:val="Default"/>
        <w:jc w:val="both"/>
        <w:rPr>
          <w:sz w:val="22"/>
          <w:szCs w:val="22"/>
          <w:lang w:val="lv-LV"/>
        </w:rPr>
      </w:pPr>
      <w:r w:rsidRPr="00716FAD">
        <w:rPr>
          <w:i/>
          <w:sz w:val="22"/>
          <w:szCs w:val="22"/>
          <w:lang w:val="lv-LV"/>
        </w:rPr>
        <w:t>Ļoti reti</w:t>
      </w:r>
      <w:r w:rsidRPr="00716FAD">
        <w:rPr>
          <w:sz w:val="22"/>
          <w:szCs w:val="22"/>
          <w:lang w:val="lv-LV"/>
        </w:rPr>
        <w:t>: paaugstināta jutība pret gaismu. Paracetamols var izraisīt smagas paaugstinātas jutības reakcijas (angioedēmu, elpas trūkumu, svīšanu, sliktu dūšu, hipotensiju, kas var progresēt līdz asinsrites mazspējai un anafilaktiskam šokam).</w:t>
      </w:r>
    </w:p>
    <w:p w14:paraId="37BD33F0" w14:textId="77777777" w:rsidR="00FB3670" w:rsidRPr="00716FAD" w:rsidRDefault="00FB3670" w:rsidP="00716FAD">
      <w:pPr>
        <w:pStyle w:val="Default"/>
        <w:jc w:val="both"/>
        <w:rPr>
          <w:sz w:val="22"/>
          <w:szCs w:val="22"/>
          <w:lang w:val="lv-LV"/>
        </w:rPr>
      </w:pPr>
    </w:p>
    <w:p w14:paraId="707E5C38" w14:textId="77777777" w:rsidR="00FB3670" w:rsidRPr="00716FAD" w:rsidRDefault="00FB3670" w:rsidP="00716FAD">
      <w:pPr>
        <w:pStyle w:val="Default"/>
        <w:jc w:val="both"/>
        <w:rPr>
          <w:sz w:val="22"/>
          <w:szCs w:val="22"/>
          <w:u w:val="single"/>
          <w:lang w:val="lv-LV"/>
        </w:rPr>
      </w:pPr>
      <w:r w:rsidRPr="00716FAD">
        <w:rPr>
          <w:sz w:val="22"/>
          <w:szCs w:val="22"/>
          <w:u w:val="single"/>
          <w:lang w:val="lv-LV"/>
        </w:rPr>
        <w:t>Vielmaiņas un uztures traucējumi</w:t>
      </w:r>
    </w:p>
    <w:p w14:paraId="3AA4CEF9" w14:textId="77777777" w:rsidR="00FB3670" w:rsidRPr="00716FAD" w:rsidRDefault="00FB3670" w:rsidP="00716FAD">
      <w:pPr>
        <w:pStyle w:val="Default"/>
        <w:jc w:val="both"/>
        <w:rPr>
          <w:sz w:val="22"/>
          <w:szCs w:val="22"/>
          <w:lang w:val="lv-LV"/>
        </w:rPr>
      </w:pPr>
      <w:r w:rsidRPr="00716FAD">
        <w:rPr>
          <w:i/>
          <w:sz w:val="22"/>
          <w:szCs w:val="22"/>
          <w:lang w:val="lv-LV"/>
        </w:rPr>
        <w:t>Ļoti reti</w:t>
      </w:r>
      <w:r w:rsidRPr="00716FAD">
        <w:rPr>
          <w:sz w:val="22"/>
          <w:szCs w:val="22"/>
          <w:lang w:val="lv-LV"/>
        </w:rPr>
        <w:t>: samazināta apetīte. Jutīgiem pacientiem acetilsalicilskābe var izraisīt podagru.</w:t>
      </w:r>
    </w:p>
    <w:p w14:paraId="5FA4FF65" w14:textId="77777777" w:rsidR="00FB3670" w:rsidRPr="00716FAD" w:rsidRDefault="00FB3670" w:rsidP="00716FAD">
      <w:pPr>
        <w:pStyle w:val="Default"/>
        <w:jc w:val="both"/>
        <w:rPr>
          <w:sz w:val="22"/>
          <w:szCs w:val="22"/>
          <w:lang w:val="lv-LV"/>
        </w:rPr>
      </w:pPr>
    </w:p>
    <w:p w14:paraId="57E6B6D5" w14:textId="77777777" w:rsidR="00FB3670" w:rsidRPr="00716FAD" w:rsidRDefault="00FB3670" w:rsidP="00716FAD">
      <w:pPr>
        <w:pStyle w:val="Default"/>
        <w:jc w:val="both"/>
        <w:rPr>
          <w:sz w:val="22"/>
          <w:szCs w:val="22"/>
          <w:u w:val="single"/>
          <w:lang w:val="lv-LV"/>
        </w:rPr>
      </w:pPr>
      <w:r w:rsidRPr="00716FAD">
        <w:rPr>
          <w:iCs/>
          <w:sz w:val="22"/>
          <w:szCs w:val="22"/>
          <w:u w:val="single"/>
          <w:lang w:val="lv-LV"/>
        </w:rPr>
        <w:t>Psihiskie traucējumi</w:t>
      </w:r>
    </w:p>
    <w:p w14:paraId="4900EDDC" w14:textId="77777777" w:rsidR="00FB3670" w:rsidRPr="00716FAD" w:rsidRDefault="00FB3670" w:rsidP="00716FAD">
      <w:pPr>
        <w:pStyle w:val="Default"/>
        <w:jc w:val="both"/>
        <w:rPr>
          <w:sz w:val="22"/>
          <w:szCs w:val="22"/>
          <w:lang w:val="lv-LV"/>
        </w:rPr>
      </w:pPr>
      <w:r w:rsidRPr="00716FAD">
        <w:rPr>
          <w:i/>
          <w:sz w:val="22"/>
          <w:szCs w:val="22"/>
          <w:lang w:val="lv-LV"/>
        </w:rPr>
        <w:t>Nav zināmi</w:t>
      </w:r>
      <w:r w:rsidRPr="00716FAD">
        <w:rPr>
          <w:sz w:val="22"/>
          <w:szCs w:val="22"/>
          <w:lang w:val="lv-LV"/>
        </w:rPr>
        <w:t>: iekšējs nemiers, depresija, bezmiegs.</w:t>
      </w:r>
    </w:p>
    <w:p w14:paraId="43B1DAA7" w14:textId="77777777" w:rsidR="00FB3670" w:rsidRPr="00716FAD" w:rsidRDefault="00FB3670" w:rsidP="00716FAD">
      <w:pPr>
        <w:pStyle w:val="Default"/>
        <w:jc w:val="both"/>
        <w:rPr>
          <w:sz w:val="22"/>
          <w:szCs w:val="22"/>
          <w:lang w:val="lv-LV"/>
        </w:rPr>
      </w:pPr>
    </w:p>
    <w:p w14:paraId="191E0852" w14:textId="77777777" w:rsidR="00FB3670" w:rsidRPr="00716FAD" w:rsidRDefault="00FB3670" w:rsidP="00716FAD">
      <w:pPr>
        <w:pStyle w:val="Default"/>
        <w:jc w:val="both"/>
        <w:rPr>
          <w:sz w:val="22"/>
          <w:szCs w:val="22"/>
          <w:u w:val="single"/>
          <w:lang w:val="lv-LV"/>
        </w:rPr>
      </w:pPr>
      <w:r w:rsidRPr="00716FAD">
        <w:rPr>
          <w:sz w:val="22"/>
          <w:szCs w:val="22"/>
          <w:u w:val="single"/>
          <w:lang w:val="lv-LV"/>
        </w:rPr>
        <w:t>Nervu sistēmas traucējumi</w:t>
      </w:r>
    </w:p>
    <w:p w14:paraId="3031E87D" w14:textId="77777777" w:rsidR="00FB3670" w:rsidRPr="00716FAD" w:rsidRDefault="00FB3670" w:rsidP="00716FAD">
      <w:pPr>
        <w:pStyle w:val="Default"/>
        <w:jc w:val="both"/>
        <w:rPr>
          <w:sz w:val="22"/>
          <w:szCs w:val="22"/>
          <w:lang w:val="lv-LV"/>
        </w:rPr>
      </w:pPr>
      <w:r w:rsidRPr="00716FAD">
        <w:rPr>
          <w:i/>
          <w:sz w:val="22"/>
          <w:szCs w:val="22"/>
          <w:lang w:val="lv-LV"/>
        </w:rPr>
        <w:t>Nav zināmi</w:t>
      </w:r>
      <w:r w:rsidRPr="00716FAD">
        <w:rPr>
          <w:sz w:val="22"/>
          <w:szCs w:val="22"/>
          <w:lang w:val="lv-LV"/>
        </w:rPr>
        <w:t>: nervozitāte, reibonis, trīce, galvassāpes.</w:t>
      </w:r>
    </w:p>
    <w:p w14:paraId="05B0CDD1" w14:textId="77777777" w:rsidR="00FB3670" w:rsidRPr="00716FAD" w:rsidRDefault="00FB3670" w:rsidP="00716FAD">
      <w:pPr>
        <w:pStyle w:val="Default"/>
        <w:jc w:val="both"/>
        <w:rPr>
          <w:sz w:val="22"/>
          <w:szCs w:val="22"/>
          <w:lang w:val="lv-LV"/>
        </w:rPr>
      </w:pPr>
    </w:p>
    <w:p w14:paraId="6AD48C90" w14:textId="77777777" w:rsidR="00FB3670" w:rsidRPr="00716FAD" w:rsidRDefault="00FB3670" w:rsidP="00716FAD">
      <w:pPr>
        <w:pStyle w:val="Default"/>
        <w:jc w:val="both"/>
        <w:rPr>
          <w:sz w:val="22"/>
          <w:szCs w:val="22"/>
          <w:u w:val="single"/>
          <w:lang w:val="lv-LV"/>
        </w:rPr>
      </w:pPr>
      <w:r w:rsidRPr="00716FAD">
        <w:rPr>
          <w:sz w:val="22"/>
          <w:szCs w:val="22"/>
          <w:u w:val="single"/>
          <w:lang w:val="lv-LV"/>
        </w:rPr>
        <w:t>Acu bojājumi</w:t>
      </w:r>
    </w:p>
    <w:p w14:paraId="77214EA5" w14:textId="77777777" w:rsidR="00FB3670" w:rsidRPr="00716FAD" w:rsidRDefault="00FB3670" w:rsidP="00716FAD">
      <w:pPr>
        <w:pStyle w:val="Default"/>
        <w:jc w:val="both"/>
        <w:rPr>
          <w:sz w:val="22"/>
          <w:szCs w:val="22"/>
          <w:lang w:val="lv-LV"/>
        </w:rPr>
      </w:pPr>
      <w:r w:rsidRPr="00716FAD">
        <w:rPr>
          <w:i/>
          <w:sz w:val="22"/>
          <w:szCs w:val="22"/>
          <w:lang w:val="lv-LV"/>
        </w:rPr>
        <w:t>Nav zināmi</w:t>
      </w:r>
      <w:r w:rsidRPr="00716FAD">
        <w:rPr>
          <w:sz w:val="22"/>
          <w:szCs w:val="22"/>
          <w:lang w:val="lv-LV"/>
        </w:rPr>
        <w:t>: pārejoši redzes traucējumi.</w:t>
      </w:r>
    </w:p>
    <w:p w14:paraId="53D30428" w14:textId="77777777" w:rsidR="00FB3670" w:rsidRPr="00716FAD" w:rsidRDefault="00FB3670" w:rsidP="00716FAD">
      <w:pPr>
        <w:pStyle w:val="Default"/>
        <w:jc w:val="both"/>
        <w:rPr>
          <w:sz w:val="22"/>
          <w:szCs w:val="22"/>
          <w:lang w:val="lv-LV"/>
        </w:rPr>
      </w:pPr>
    </w:p>
    <w:p w14:paraId="615341E1" w14:textId="77777777" w:rsidR="00FB3670" w:rsidRPr="00716FAD" w:rsidRDefault="00FB3670" w:rsidP="00716FAD">
      <w:pPr>
        <w:pStyle w:val="Default"/>
        <w:jc w:val="both"/>
        <w:rPr>
          <w:sz w:val="22"/>
          <w:szCs w:val="22"/>
          <w:u w:val="single"/>
          <w:lang w:val="lv-LV"/>
        </w:rPr>
      </w:pPr>
      <w:r w:rsidRPr="00716FAD">
        <w:rPr>
          <w:sz w:val="22"/>
          <w:szCs w:val="22"/>
          <w:u w:val="single"/>
          <w:lang w:val="lv-LV"/>
        </w:rPr>
        <w:t>Ausu un labirinta bojājumi</w:t>
      </w:r>
    </w:p>
    <w:p w14:paraId="52133C4A" w14:textId="77777777" w:rsidR="00FB3670" w:rsidRPr="00716FAD" w:rsidRDefault="00FB3670" w:rsidP="00716FAD">
      <w:pPr>
        <w:pStyle w:val="Default"/>
        <w:jc w:val="both"/>
        <w:rPr>
          <w:sz w:val="22"/>
          <w:szCs w:val="22"/>
          <w:lang w:val="lv-LV"/>
        </w:rPr>
      </w:pPr>
      <w:r w:rsidRPr="00716FAD">
        <w:rPr>
          <w:i/>
          <w:sz w:val="22"/>
          <w:szCs w:val="22"/>
          <w:lang w:val="lv-LV"/>
        </w:rPr>
        <w:t>Nav zināmi</w:t>
      </w:r>
      <w:r w:rsidRPr="00716FAD">
        <w:rPr>
          <w:sz w:val="22"/>
          <w:szCs w:val="22"/>
          <w:lang w:val="lv-LV"/>
        </w:rPr>
        <w:t>: pārejoši dzirdes traucējumi.</w:t>
      </w:r>
    </w:p>
    <w:p w14:paraId="46FCBDC5" w14:textId="77777777" w:rsidR="00FB3670" w:rsidRPr="00716FAD" w:rsidRDefault="00FB3670" w:rsidP="00716FAD">
      <w:pPr>
        <w:pStyle w:val="Default"/>
        <w:jc w:val="both"/>
        <w:rPr>
          <w:sz w:val="22"/>
          <w:szCs w:val="22"/>
          <w:lang w:val="lv-LV"/>
        </w:rPr>
      </w:pPr>
    </w:p>
    <w:p w14:paraId="69091511" w14:textId="77777777" w:rsidR="00FB3670" w:rsidRPr="00716FAD" w:rsidRDefault="00FB3670" w:rsidP="00716FAD">
      <w:pPr>
        <w:pStyle w:val="Default"/>
        <w:jc w:val="both"/>
        <w:rPr>
          <w:sz w:val="22"/>
          <w:szCs w:val="22"/>
          <w:u w:val="single"/>
          <w:lang w:val="lv-LV"/>
        </w:rPr>
      </w:pPr>
      <w:r w:rsidRPr="00716FAD">
        <w:rPr>
          <w:sz w:val="22"/>
          <w:szCs w:val="22"/>
          <w:u w:val="single"/>
          <w:lang w:val="lv-LV"/>
        </w:rPr>
        <w:t>Sirds funkcijas traucējumi</w:t>
      </w:r>
    </w:p>
    <w:p w14:paraId="1C7A1999" w14:textId="77777777" w:rsidR="00FB3670" w:rsidRPr="00716FAD" w:rsidRDefault="00FB3670" w:rsidP="00716FAD">
      <w:pPr>
        <w:pStyle w:val="Default"/>
        <w:jc w:val="both"/>
        <w:rPr>
          <w:sz w:val="22"/>
          <w:szCs w:val="22"/>
          <w:lang w:val="lv-LV"/>
        </w:rPr>
      </w:pPr>
      <w:r w:rsidRPr="00716FAD">
        <w:rPr>
          <w:i/>
          <w:sz w:val="22"/>
          <w:szCs w:val="22"/>
          <w:lang w:val="lv-LV"/>
        </w:rPr>
        <w:t>Ļoti reti</w:t>
      </w:r>
      <w:r w:rsidRPr="00716FAD">
        <w:rPr>
          <w:sz w:val="22"/>
          <w:szCs w:val="22"/>
          <w:lang w:val="lv-LV"/>
        </w:rPr>
        <w:t>: sirdsklauves, paaugstināts asinsspiediens.</w:t>
      </w:r>
    </w:p>
    <w:p w14:paraId="1334D60E" w14:textId="77777777" w:rsidR="00FB3670" w:rsidRPr="00716FAD" w:rsidRDefault="00FB3670" w:rsidP="00716FAD">
      <w:pPr>
        <w:pStyle w:val="Default"/>
        <w:jc w:val="both"/>
        <w:rPr>
          <w:sz w:val="22"/>
          <w:szCs w:val="22"/>
          <w:lang w:val="lv-LV"/>
        </w:rPr>
      </w:pPr>
    </w:p>
    <w:p w14:paraId="6D0497E6" w14:textId="77777777" w:rsidR="00FB3670" w:rsidRPr="00716FAD" w:rsidRDefault="00FB3670" w:rsidP="00716FAD">
      <w:pPr>
        <w:pStyle w:val="Default"/>
        <w:jc w:val="both"/>
        <w:rPr>
          <w:sz w:val="22"/>
          <w:szCs w:val="22"/>
          <w:u w:val="single"/>
          <w:lang w:val="lv-LV"/>
        </w:rPr>
      </w:pPr>
      <w:r w:rsidRPr="00716FAD">
        <w:rPr>
          <w:sz w:val="22"/>
          <w:szCs w:val="22"/>
          <w:u w:val="single"/>
          <w:lang w:val="lv-LV"/>
        </w:rPr>
        <w:t>Elpošanas sistēmas traucējumi, krūšu kurvja un videnes slimības</w:t>
      </w:r>
    </w:p>
    <w:p w14:paraId="644430F6" w14:textId="77777777" w:rsidR="00FB3670" w:rsidRPr="00716FAD" w:rsidRDefault="00FB3670" w:rsidP="00716FAD">
      <w:pPr>
        <w:pStyle w:val="Default"/>
        <w:jc w:val="both"/>
        <w:rPr>
          <w:sz w:val="22"/>
          <w:szCs w:val="22"/>
          <w:lang w:val="lv-LV"/>
        </w:rPr>
      </w:pPr>
      <w:r w:rsidRPr="00716FAD">
        <w:rPr>
          <w:i/>
          <w:sz w:val="22"/>
          <w:szCs w:val="22"/>
          <w:lang w:val="lv-LV"/>
        </w:rPr>
        <w:t>Ļoti reti</w:t>
      </w:r>
      <w:r w:rsidRPr="00716FAD">
        <w:rPr>
          <w:sz w:val="22"/>
          <w:szCs w:val="22"/>
          <w:lang w:val="lv-LV"/>
        </w:rPr>
        <w:t>: alveolīts, plaušu eozinof</w:t>
      </w:r>
      <w:r w:rsidR="00B658EA" w:rsidRPr="00716FAD">
        <w:rPr>
          <w:sz w:val="22"/>
          <w:szCs w:val="22"/>
          <w:lang w:val="lv-LV"/>
        </w:rPr>
        <w:t>ī</w:t>
      </w:r>
      <w:r w:rsidRPr="00716FAD">
        <w:rPr>
          <w:sz w:val="22"/>
          <w:szCs w:val="22"/>
          <w:lang w:val="lv-LV"/>
        </w:rPr>
        <w:t>lija. Paracetamola un acetilsalicilskābes lietošana var izraisīt bronhospazmas (alerģiska astma) predisponētiem pacientiem.</w:t>
      </w:r>
    </w:p>
    <w:p w14:paraId="2717487A" w14:textId="77777777" w:rsidR="00FB3670" w:rsidRPr="00716FAD" w:rsidRDefault="00FB3670" w:rsidP="00716FAD">
      <w:pPr>
        <w:pStyle w:val="Default"/>
        <w:jc w:val="both"/>
        <w:rPr>
          <w:sz w:val="22"/>
          <w:szCs w:val="22"/>
          <w:lang w:val="lv-LV"/>
        </w:rPr>
      </w:pPr>
    </w:p>
    <w:p w14:paraId="43443481" w14:textId="77777777" w:rsidR="00FB3670" w:rsidRPr="00716FAD" w:rsidRDefault="00FB3670" w:rsidP="00716FAD">
      <w:pPr>
        <w:pStyle w:val="Default"/>
        <w:jc w:val="both"/>
        <w:rPr>
          <w:sz w:val="22"/>
          <w:szCs w:val="22"/>
          <w:u w:val="single"/>
          <w:lang w:val="lv-LV"/>
        </w:rPr>
      </w:pPr>
      <w:r w:rsidRPr="00716FAD">
        <w:rPr>
          <w:sz w:val="22"/>
          <w:szCs w:val="22"/>
          <w:u w:val="single"/>
          <w:lang w:val="lv-LV"/>
        </w:rPr>
        <w:t>Kuņģa-zarnu trakta traucējumi</w:t>
      </w:r>
    </w:p>
    <w:p w14:paraId="2A9F1DF1" w14:textId="77777777" w:rsidR="00FB3670" w:rsidRPr="00716FAD" w:rsidRDefault="00FB3670" w:rsidP="00716FAD">
      <w:pPr>
        <w:pStyle w:val="Default"/>
        <w:jc w:val="both"/>
        <w:rPr>
          <w:sz w:val="22"/>
          <w:szCs w:val="22"/>
          <w:lang w:val="lv-LV"/>
        </w:rPr>
      </w:pPr>
      <w:r w:rsidRPr="00716FAD">
        <w:rPr>
          <w:i/>
          <w:sz w:val="22"/>
          <w:szCs w:val="22"/>
          <w:lang w:val="lv-LV"/>
        </w:rPr>
        <w:t>Ļoti reti</w:t>
      </w:r>
      <w:r w:rsidRPr="00716FAD">
        <w:rPr>
          <w:sz w:val="22"/>
          <w:szCs w:val="22"/>
          <w:lang w:val="lv-LV"/>
        </w:rPr>
        <w:t>: slikta dūša, vemšana, caureja, sāpes vēderā, kuņģa – zarnu trakta asiņošana, akūts pankreatīts.</w:t>
      </w:r>
    </w:p>
    <w:p w14:paraId="354C81AA" w14:textId="77777777" w:rsidR="00FB3670" w:rsidRPr="00716FAD" w:rsidRDefault="00FB3670" w:rsidP="00716FAD">
      <w:pPr>
        <w:pStyle w:val="Default"/>
        <w:jc w:val="both"/>
        <w:rPr>
          <w:sz w:val="22"/>
          <w:szCs w:val="22"/>
          <w:lang w:val="lv-LV"/>
        </w:rPr>
      </w:pPr>
      <w:r w:rsidRPr="00716FAD">
        <w:rPr>
          <w:sz w:val="22"/>
          <w:szCs w:val="22"/>
          <w:lang w:val="lv-LV"/>
        </w:rPr>
        <w:t>Lietojot ilgstoši, iespējami erozīvi bojājumi un čūla.</w:t>
      </w:r>
    </w:p>
    <w:p w14:paraId="53172BCD" w14:textId="77777777" w:rsidR="00FB3670" w:rsidRPr="00716FAD" w:rsidRDefault="00FB3670" w:rsidP="00716FAD">
      <w:pPr>
        <w:pStyle w:val="Default"/>
        <w:jc w:val="both"/>
        <w:rPr>
          <w:sz w:val="22"/>
          <w:szCs w:val="22"/>
          <w:lang w:val="lv-LV"/>
        </w:rPr>
      </w:pPr>
    </w:p>
    <w:p w14:paraId="3AF83788" w14:textId="77777777" w:rsidR="00FB3670" w:rsidRPr="00716FAD" w:rsidRDefault="00FB3670" w:rsidP="00716FAD">
      <w:pPr>
        <w:pStyle w:val="Default"/>
        <w:jc w:val="both"/>
        <w:rPr>
          <w:sz w:val="22"/>
          <w:szCs w:val="22"/>
          <w:u w:val="single"/>
          <w:lang w:val="lv-LV"/>
        </w:rPr>
      </w:pPr>
      <w:r w:rsidRPr="00716FAD">
        <w:rPr>
          <w:sz w:val="22"/>
          <w:szCs w:val="22"/>
          <w:u w:val="single"/>
          <w:lang w:val="lv-LV"/>
        </w:rPr>
        <w:t>Aknu un/vai žults izvades sistēmas traucējumi</w:t>
      </w:r>
    </w:p>
    <w:p w14:paraId="5F773100" w14:textId="77777777" w:rsidR="00FB3670" w:rsidRPr="00716FAD" w:rsidRDefault="00FB3670" w:rsidP="00716FAD">
      <w:pPr>
        <w:pStyle w:val="Default"/>
        <w:jc w:val="both"/>
        <w:rPr>
          <w:sz w:val="22"/>
          <w:szCs w:val="22"/>
          <w:lang w:val="lv-LV"/>
        </w:rPr>
      </w:pPr>
      <w:r w:rsidRPr="00716FAD">
        <w:rPr>
          <w:i/>
          <w:sz w:val="22"/>
          <w:szCs w:val="22"/>
          <w:lang w:val="lv-LV"/>
        </w:rPr>
        <w:t>Reti</w:t>
      </w:r>
      <w:r w:rsidRPr="00716FAD">
        <w:rPr>
          <w:sz w:val="22"/>
          <w:szCs w:val="22"/>
          <w:lang w:val="lv-LV"/>
        </w:rPr>
        <w:t>: paaugstināts aknu transamināžu līmenis.</w:t>
      </w:r>
    </w:p>
    <w:p w14:paraId="7A9FA99C" w14:textId="77777777" w:rsidR="00FB3670" w:rsidRPr="00716FAD" w:rsidRDefault="00FB3670" w:rsidP="00716FAD">
      <w:pPr>
        <w:pStyle w:val="Default"/>
        <w:jc w:val="both"/>
        <w:rPr>
          <w:sz w:val="22"/>
          <w:szCs w:val="22"/>
          <w:lang w:val="lv-LV"/>
        </w:rPr>
      </w:pPr>
      <w:r w:rsidRPr="00716FAD">
        <w:rPr>
          <w:i/>
          <w:sz w:val="22"/>
          <w:szCs w:val="22"/>
          <w:lang w:val="lv-LV"/>
        </w:rPr>
        <w:t>Ļoti reti</w:t>
      </w:r>
      <w:r w:rsidRPr="00716FAD">
        <w:rPr>
          <w:sz w:val="22"/>
          <w:szCs w:val="22"/>
          <w:lang w:val="lv-LV"/>
        </w:rPr>
        <w:t>: ilgstoši lietojot lielas devas vai pārdozēšanas gadījumā iespējami aknu bojājumi. Bērniem, kuri jaunāki par 16 gadiem, iespējams Reja sindroms.</w:t>
      </w:r>
    </w:p>
    <w:p w14:paraId="5A3AB2FE" w14:textId="77777777" w:rsidR="00FB3670" w:rsidRPr="00716FAD" w:rsidRDefault="00FB3670" w:rsidP="00716FAD">
      <w:pPr>
        <w:pStyle w:val="Default"/>
        <w:jc w:val="both"/>
        <w:rPr>
          <w:sz w:val="22"/>
          <w:szCs w:val="22"/>
          <w:lang w:val="lv-LV"/>
        </w:rPr>
      </w:pPr>
    </w:p>
    <w:p w14:paraId="18F194B7" w14:textId="77777777" w:rsidR="00FB3670" w:rsidRPr="00716FAD" w:rsidRDefault="00FB3670" w:rsidP="00716FAD">
      <w:pPr>
        <w:pStyle w:val="Default"/>
        <w:jc w:val="both"/>
        <w:rPr>
          <w:sz w:val="22"/>
          <w:szCs w:val="22"/>
          <w:u w:val="single"/>
          <w:lang w:val="lv-LV"/>
        </w:rPr>
      </w:pPr>
      <w:r w:rsidRPr="00716FAD">
        <w:rPr>
          <w:iCs/>
          <w:sz w:val="22"/>
          <w:szCs w:val="22"/>
          <w:u w:val="single"/>
          <w:lang w:val="lv-LV"/>
        </w:rPr>
        <w:t>Ādas un zemādas audu bojājumi</w:t>
      </w:r>
    </w:p>
    <w:p w14:paraId="06E2ED2D" w14:textId="77777777" w:rsidR="00FB3670" w:rsidRPr="00716FAD" w:rsidRDefault="00FB3670" w:rsidP="00716FAD">
      <w:pPr>
        <w:pStyle w:val="Default"/>
        <w:jc w:val="both"/>
        <w:rPr>
          <w:sz w:val="22"/>
          <w:szCs w:val="22"/>
          <w:lang w:val="lv-LV"/>
        </w:rPr>
      </w:pPr>
      <w:r w:rsidRPr="00716FAD">
        <w:rPr>
          <w:i/>
          <w:sz w:val="22"/>
          <w:szCs w:val="22"/>
          <w:lang w:val="lv-LV"/>
        </w:rPr>
        <w:t>Retāk</w:t>
      </w:r>
      <w:r w:rsidRPr="00716FAD">
        <w:rPr>
          <w:sz w:val="22"/>
          <w:szCs w:val="22"/>
          <w:lang w:val="lv-LV"/>
        </w:rPr>
        <w:t>: alerģiskas ādas reakcijas (izsitumi uz ādas, angioedēma un sejas pietūkums).</w:t>
      </w:r>
    </w:p>
    <w:p w14:paraId="4AB18FC5" w14:textId="77777777" w:rsidR="00FB3670" w:rsidRPr="00716FAD" w:rsidRDefault="00FB3670" w:rsidP="00716FAD">
      <w:pPr>
        <w:pStyle w:val="Default"/>
        <w:jc w:val="both"/>
        <w:rPr>
          <w:sz w:val="22"/>
          <w:szCs w:val="22"/>
          <w:lang w:val="lv-LV"/>
        </w:rPr>
      </w:pPr>
      <w:r w:rsidRPr="00716FAD">
        <w:rPr>
          <w:i/>
          <w:sz w:val="22"/>
          <w:szCs w:val="22"/>
          <w:lang w:val="lv-LV"/>
        </w:rPr>
        <w:t>Ļoti reti</w:t>
      </w:r>
      <w:r w:rsidRPr="00716FAD">
        <w:rPr>
          <w:sz w:val="22"/>
          <w:szCs w:val="22"/>
          <w:lang w:val="lv-LV"/>
        </w:rPr>
        <w:t>: ziņots par smagām ādas reakcijām.</w:t>
      </w:r>
    </w:p>
    <w:p w14:paraId="18E549CB" w14:textId="77777777" w:rsidR="00FB3670" w:rsidRPr="00716FAD" w:rsidRDefault="00FB3670" w:rsidP="00716FAD">
      <w:pPr>
        <w:pStyle w:val="Default"/>
        <w:jc w:val="both"/>
        <w:rPr>
          <w:sz w:val="22"/>
          <w:szCs w:val="22"/>
          <w:lang w:val="lv-LV"/>
        </w:rPr>
      </w:pPr>
      <w:r w:rsidRPr="00716FAD">
        <w:rPr>
          <w:i/>
          <w:sz w:val="22"/>
          <w:szCs w:val="22"/>
          <w:lang w:val="lv-LV"/>
        </w:rPr>
        <w:t>Nav zināmi</w:t>
      </w:r>
      <w:r w:rsidRPr="00716FAD">
        <w:rPr>
          <w:sz w:val="22"/>
          <w:szCs w:val="22"/>
          <w:lang w:val="lv-LV"/>
        </w:rPr>
        <w:t>: atsevišķos gadījumos novērotas bullozas ādas reakcijas, piemēram, Stīvensa – Džonsona sindroms un toksiska epidermāla nekrolīze/Laiela sindroms.</w:t>
      </w:r>
    </w:p>
    <w:p w14:paraId="2F4CA054" w14:textId="77777777" w:rsidR="00FB3670" w:rsidRPr="00716FAD" w:rsidRDefault="00FB3670" w:rsidP="00716FAD">
      <w:pPr>
        <w:pStyle w:val="Default"/>
        <w:jc w:val="both"/>
        <w:rPr>
          <w:sz w:val="22"/>
          <w:szCs w:val="22"/>
          <w:lang w:val="lv-LV"/>
        </w:rPr>
      </w:pPr>
    </w:p>
    <w:p w14:paraId="29AF771B" w14:textId="77777777" w:rsidR="00FB3670" w:rsidRPr="00716FAD" w:rsidRDefault="00FB3670" w:rsidP="00716FAD">
      <w:pPr>
        <w:pStyle w:val="Default"/>
        <w:jc w:val="both"/>
        <w:rPr>
          <w:sz w:val="22"/>
          <w:szCs w:val="22"/>
          <w:u w:val="single"/>
          <w:lang w:val="lv-LV"/>
        </w:rPr>
      </w:pPr>
      <w:r w:rsidRPr="00716FAD">
        <w:rPr>
          <w:sz w:val="22"/>
          <w:szCs w:val="22"/>
          <w:u w:val="single"/>
          <w:lang w:val="lv-LV"/>
        </w:rPr>
        <w:t>Nieru un urīnizvades sistēmas traucējumi</w:t>
      </w:r>
    </w:p>
    <w:p w14:paraId="4B791050" w14:textId="77777777" w:rsidR="00FB3670" w:rsidRPr="00716FAD" w:rsidRDefault="00FB3670" w:rsidP="00716FAD">
      <w:pPr>
        <w:pStyle w:val="Default"/>
        <w:jc w:val="both"/>
        <w:rPr>
          <w:sz w:val="22"/>
          <w:szCs w:val="22"/>
          <w:lang w:val="lv-LV"/>
        </w:rPr>
      </w:pPr>
      <w:r w:rsidRPr="00716FAD">
        <w:rPr>
          <w:i/>
          <w:sz w:val="22"/>
          <w:szCs w:val="22"/>
          <w:lang w:val="lv-LV"/>
        </w:rPr>
        <w:t>Ļoti reti</w:t>
      </w:r>
      <w:r w:rsidRPr="00716FAD">
        <w:rPr>
          <w:sz w:val="22"/>
          <w:szCs w:val="22"/>
          <w:lang w:val="lv-LV"/>
        </w:rPr>
        <w:t>: urinācijas traucējumi, hematūrija, nieru kapilāru nekroze un intersticiāla fibroze (it īpaši pacientiem ar nieru darbības traucējumiem anamnēzē).</w:t>
      </w:r>
    </w:p>
    <w:p w14:paraId="7E73AE2B" w14:textId="77777777" w:rsidR="00FB3670" w:rsidRPr="00716FAD" w:rsidRDefault="00FB3670" w:rsidP="00716FAD">
      <w:pPr>
        <w:pStyle w:val="Default"/>
        <w:jc w:val="both"/>
        <w:rPr>
          <w:sz w:val="22"/>
          <w:szCs w:val="22"/>
          <w:lang w:val="lv-LV"/>
        </w:rPr>
      </w:pPr>
      <w:r w:rsidRPr="00716FAD">
        <w:rPr>
          <w:sz w:val="22"/>
          <w:szCs w:val="22"/>
          <w:lang w:val="lv-LV"/>
        </w:rPr>
        <w:t>Ilgstoši lietojot lielas devas iespējami nieru bojājumi.</w:t>
      </w:r>
    </w:p>
    <w:p w14:paraId="36ED910C" w14:textId="77777777" w:rsidR="002A61E1" w:rsidRPr="00716FAD" w:rsidRDefault="002A61E1" w:rsidP="00716FAD">
      <w:pPr>
        <w:tabs>
          <w:tab w:val="clear" w:pos="567"/>
        </w:tabs>
        <w:spacing w:line="240" w:lineRule="auto"/>
        <w:jc w:val="both"/>
        <w:rPr>
          <w:color w:val="000000"/>
          <w:szCs w:val="22"/>
          <w:u w:val="single"/>
        </w:rPr>
      </w:pPr>
    </w:p>
    <w:p w14:paraId="52E242B7" w14:textId="77777777" w:rsidR="0048297B" w:rsidRPr="00716FAD" w:rsidRDefault="0048297B" w:rsidP="00716FAD">
      <w:pPr>
        <w:autoSpaceDE w:val="0"/>
        <w:autoSpaceDN w:val="0"/>
        <w:adjustRightInd w:val="0"/>
        <w:spacing w:line="240" w:lineRule="auto"/>
        <w:jc w:val="both"/>
        <w:rPr>
          <w:color w:val="000000"/>
          <w:szCs w:val="22"/>
          <w:u w:val="single"/>
        </w:rPr>
      </w:pPr>
      <w:r w:rsidRPr="00716FAD">
        <w:rPr>
          <w:color w:val="000000"/>
          <w:szCs w:val="22"/>
          <w:u w:val="single"/>
        </w:rPr>
        <w:t>Ziņošana par iespējamām nevēlamām blakusparādībām</w:t>
      </w:r>
    </w:p>
    <w:p w14:paraId="4D2639A7" w14:textId="77777777" w:rsidR="0048297B" w:rsidRPr="00716FAD" w:rsidRDefault="0048297B" w:rsidP="00716FAD">
      <w:pPr>
        <w:autoSpaceDE w:val="0"/>
        <w:autoSpaceDN w:val="0"/>
        <w:adjustRightInd w:val="0"/>
        <w:spacing w:line="240" w:lineRule="auto"/>
        <w:jc w:val="both"/>
        <w:rPr>
          <w:rFonts w:eastAsia="Calibri"/>
          <w:color w:val="000000"/>
          <w:szCs w:val="22"/>
          <w:lang w:eastAsia="zh-CN"/>
        </w:rPr>
      </w:pPr>
      <w:r w:rsidRPr="00716FAD">
        <w:rPr>
          <w:color w:val="000000"/>
          <w:szCs w:val="22"/>
        </w:rPr>
        <w:t>Ir svarīgi ziņot par iespējamām nevēlamām blakusparādībām pēc zāļu reģistrācijas. Tādējādi zāļu ieguvumu/riska attiecība tiek nepārtraukti uzraudzīta. Veselības aprūpes speciālisti tiek lūgti ziņot par jebkādām iespējamām nevēlamām blakusparādībām Zāļu valsts aģentūrai, Jersikas ielā</w:t>
      </w:r>
      <w:r w:rsidR="005F1F82" w:rsidRPr="00716FAD">
        <w:rPr>
          <w:color w:val="000000"/>
          <w:szCs w:val="22"/>
        </w:rPr>
        <w:t xml:space="preserve"> </w:t>
      </w:r>
      <w:r w:rsidRPr="00716FAD">
        <w:rPr>
          <w:color w:val="000000"/>
          <w:szCs w:val="22"/>
        </w:rPr>
        <w:t xml:space="preserve">15, Rīgā, LV 1003. </w:t>
      </w:r>
      <w:r w:rsidRPr="00716FAD">
        <w:rPr>
          <w:rFonts w:eastAsia="Calibri"/>
          <w:color w:val="000000"/>
          <w:szCs w:val="22"/>
          <w:lang w:eastAsia="zh-CN"/>
        </w:rPr>
        <w:t xml:space="preserve">Tīmekļa vietne: </w:t>
      </w:r>
      <w:hyperlink r:id="rId9" w:history="1">
        <w:r w:rsidRPr="00716FAD">
          <w:rPr>
            <w:rFonts w:eastAsia="Calibri"/>
            <w:color w:val="000000"/>
            <w:szCs w:val="22"/>
            <w:u w:val="single"/>
            <w:lang w:eastAsia="zh-CN"/>
          </w:rPr>
          <w:t>www.zva.gov.lv</w:t>
        </w:r>
      </w:hyperlink>
    </w:p>
    <w:p w14:paraId="4E7E86F8" w14:textId="77777777" w:rsidR="00CD10AA" w:rsidRPr="00716FAD" w:rsidRDefault="00CD10AA" w:rsidP="00716FAD">
      <w:pPr>
        <w:tabs>
          <w:tab w:val="clear" w:pos="567"/>
        </w:tabs>
        <w:spacing w:line="240" w:lineRule="auto"/>
        <w:jc w:val="both"/>
        <w:rPr>
          <w:color w:val="000000"/>
          <w:szCs w:val="22"/>
        </w:rPr>
      </w:pPr>
    </w:p>
    <w:p w14:paraId="670CC6FC" w14:textId="77777777" w:rsidR="00CD10AA" w:rsidRPr="00716FAD" w:rsidRDefault="00CD10AA" w:rsidP="00716FAD">
      <w:pPr>
        <w:tabs>
          <w:tab w:val="clear" w:pos="567"/>
        </w:tabs>
        <w:spacing w:line="240" w:lineRule="auto"/>
        <w:jc w:val="both"/>
        <w:rPr>
          <w:color w:val="000000"/>
          <w:szCs w:val="22"/>
        </w:rPr>
      </w:pPr>
      <w:r w:rsidRPr="00716FAD">
        <w:rPr>
          <w:b/>
          <w:color w:val="000000"/>
          <w:szCs w:val="22"/>
        </w:rPr>
        <w:t>4.9</w:t>
      </w:r>
      <w:r w:rsidR="002A61E1" w:rsidRPr="00716FAD">
        <w:rPr>
          <w:b/>
          <w:color w:val="000000"/>
          <w:szCs w:val="22"/>
        </w:rPr>
        <w:t>.</w:t>
      </w:r>
      <w:r w:rsidRPr="00716FAD">
        <w:rPr>
          <w:b/>
          <w:color w:val="000000"/>
          <w:szCs w:val="22"/>
        </w:rPr>
        <w:tab/>
        <w:t>Pārdozēšana</w:t>
      </w:r>
    </w:p>
    <w:p w14:paraId="703AAB27" w14:textId="77777777" w:rsidR="00716FAD" w:rsidRPr="00716FAD" w:rsidRDefault="00716FAD" w:rsidP="00716FAD">
      <w:pPr>
        <w:pStyle w:val="Default"/>
        <w:jc w:val="both"/>
        <w:rPr>
          <w:i/>
          <w:iCs/>
          <w:sz w:val="22"/>
          <w:szCs w:val="22"/>
          <w:lang w:val="lv-LV"/>
        </w:rPr>
      </w:pPr>
    </w:p>
    <w:p w14:paraId="15C4EFCE" w14:textId="77777777" w:rsidR="00FB3670" w:rsidRPr="00716FAD" w:rsidRDefault="00FB3670" w:rsidP="00716FAD">
      <w:pPr>
        <w:pStyle w:val="Default"/>
        <w:jc w:val="both"/>
        <w:rPr>
          <w:sz w:val="22"/>
          <w:szCs w:val="22"/>
          <w:lang w:val="lv-LV"/>
        </w:rPr>
      </w:pPr>
      <w:r w:rsidRPr="00716FAD">
        <w:rPr>
          <w:i/>
          <w:iCs/>
          <w:sz w:val="22"/>
          <w:szCs w:val="22"/>
          <w:lang w:val="lv-LV"/>
        </w:rPr>
        <w:t>Simptomi</w:t>
      </w:r>
    </w:p>
    <w:p w14:paraId="3F307665" w14:textId="77777777" w:rsidR="00FB3670" w:rsidRPr="00716FAD" w:rsidRDefault="00FB3670" w:rsidP="00716FAD">
      <w:pPr>
        <w:pStyle w:val="Default"/>
        <w:jc w:val="both"/>
        <w:rPr>
          <w:sz w:val="22"/>
          <w:szCs w:val="22"/>
          <w:lang w:val="lv-LV"/>
        </w:rPr>
      </w:pPr>
      <w:r w:rsidRPr="00716FAD">
        <w:rPr>
          <w:sz w:val="22"/>
          <w:szCs w:val="22"/>
          <w:lang w:val="lv-LV"/>
        </w:rPr>
        <w:t>Ascophen P pārdozēšanas simptomi ir aprakstīti katrai aktīvajai vielai atsevišķi.</w:t>
      </w:r>
    </w:p>
    <w:p w14:paraId="413AE240" w14:textId="77777777" w:rsidR="00FB3670" w:rsidRPr="00716FAD" w:rsidRDefault="00FB3670" w:rsidP="00716FAD">
      <w:pPr>
        <w:pStyle w:val="Default"/>
        <w:jc w:val="both"/>
        <w:rPr>
          <w:sz w:val="22"/>
          <w:szCs w:val="22"/>
          <w:lang w:val="lv-LV"/>
        </w:rPr>
      </w:pPr>
    </w:p>
    <w:p w14:paraId="0B0677C3" w14:textId="77777777" w:rsidR="00FB3670" w:rsidRPr="00716FAD" w:rsidRDefault="00FB3670" w:rsidP="00716FAD">
      <w:pPr>
        <w:pStyle w:val="Default"/>
        <w:jc w:val="both"/>
        <w:rPr>
          <w:sz w:val="22"/>
          <w:szCs w:val="22"/>
          <w:lang w:val="lv-LV"/>
        </w:rPr>
      </w:pPr>
      <w:r w:rsidRPr="00716FAD">
        <w:rPr>
          <w:sz w:val="22"/>
          <w:szCs w:val="22"/>
          <w:u w:val="single"/>
          <w:lang w:val="lv-LV"/>
        </w:rPr>
        <w:t>Paracetamols</w:t>
      </w:r>
    </w:p>
    <w:p w14:paraId="122D2466" w14:textId="77777777" w:rsidR="00FB3670" w:rsidRPr="00716FAD" w:rsidRDefault="00FB3670" w:rsidP="00716FAD">
      <w:pPr>
        <w:pStyle w:val="Default"/>
        <w:jc w:val="both"/>
        <w:rPr>
          <w:sz w:val="22"/>
          <w:szCs w:val="22"/>
          <w:lang w:val="lv-LV"/>
        </w:rPr>
      </w:pPr>
      <w:r w:rsidRPr="00716FAD">
        <w:rPr>
          <w:sz w:val="22"/>
          <w:szCs w:val="22"/>
          <w:lang w:val="lv-LV"/>
        </w:rPr>
        <w:t>Lietojot paracetamolu, pastāv intoksikācijas risks, it īpaši gados vecākiem pacientiem, maziem bērniem, pacientiem ar aknu slimībām, hroniskiem alkoholiķiem, pacientiem, kuri ilgstoši badojas, un pacientiem, kuri lieto enzīmus inducējošas vielas. Pārdozēšana var būt letāla.</w:t>
      </w:r>
    </w:p>
    <w:p w14:paraId="68DA0524" w14:textId="77777777" w:rsidR="00FB3670" w:rsidRPr="00716FAD" w:rsidRDefault="00FB3670" w:rsidP="00716FAD">
      <w:pPr>
        <w:pStyle w:val="Default"/>
        <w:jc w:val="both"/>
        <w:rPr>
          <w:sz w:val="22"/>
          <w:szCs w:val="22"/>
          <w:lang w:val="lv-LV"/>
        </w:rPr>
      </w:pPr>
    </w:p>
    <w:p w14:paraId="0F0416BD" w14:textId="77777777" w:rsidR="00FB3670" w:rsidRPr="00716FAD" w:rsidRDefault="00FB3670" w:rsidP="00716FAD">
      <w:pPr>
        <w:pStyle w:val="Default"/>
        <w:jc w:val="both"/>
        <w:rPr>
          <w:sz w:val="22"/>
          <w:szCs w:val="22"/>
          <w:lang w:val="lv-LV"/>
        </w:rPr>
      </w:pPr>
      <w:r w:rsidRPr="00716FAD">
        <w:rPr>
          <w:sz w:val="22"/>
          <w:szCs w:val="22"/>
          <w:lang w:val="lv-LV"/>
        </w:rPr>
        <w:t>Paracetamola pārdozēšanas simptomi ir slikta dūša, vemšana, anoreksija, bālums un sāpes vēderā. Šie simptomi parasti novērojami 24 stundu laikā pēc zāļu lietošanas. Pārdozēšana ar 7,5 g vai vairāk paracetamola, lietojot vienā reizē, pieaugušajiem vai 140 mg/kg ķermeņa masas, lietojot vienā reizē, bērniem, izraisa aknu citolīzi, kas var izraisīt pilnīgu un neatgriezenisku nekrozi, kā rezultātā iespējama hepatocelulāra mazspēja, metaboliska acidoze un encefalopātija, kas savukārt var izraisīt komu vai nāvi. Novērots arī vienlaicīgi palielināts aknu transamināžu (</w:t>
      </w:r>
      <w:r w:rsidR="00B658EA" w:rsidRPr="00716FAD">
        <w:rPr>
          <w:sz w:val="22"/>
          <w:szCs w:val="22"/>
          <w:lang w:val="lv-LV"/>
        </w:rPr>
        <w:t>AsAT</w:t>
      </w:r>
      <w:r w:rsidRPr="00716FAD">
        <w:rPr>
          <w:sz w:val="22"/>
          <w:szCs w:val="22"/>
          <w:lang w:val="lv-LV"/>
        </w:rPr>
        <w:t xml:space="preserve">, </w:t>
      </w:r>
      <w:r w:rsidR="00B658EA" w:rsidRPr="00716FAD">
        <w:rPr>
          <w:sz w:val="22"/>
          <w:szCs w:val="22"/>
          <w:lang w:val="lv-LV"/>
        </w:rPr>
        <w:t>AlAT</w:t>
      </w:r>
      <w:r w:rsidRPr="00716FAD">
        <w:rPr>
          <w:sz w:val="22"/>
          <w:szCs w:val="22"/>
          <w:lang w:val="lv-LV"/>
        </w:rPr>
        <w:t>), laktāta dehidrogenāzes un bilirubīna līmenis, ko pavada samazināts protrombīna līmenis, kas var rasties 12 līdz 48 stundu laikā pēc lietošanas. Aknu bojājuma klīniskās pazīmes pirmo reizi parasti novērojamas pēc divām dienām un visizteiktākās tās ir pēc 4 līdz 6 dienām. Arī gadījumos, kad nerodas nopietni aknu bojājumi, tomēr iespējama akūta nieru mazspēja ar tubulāro nieru nekrozi. Citi paracetamola pārdozēšanas simptomi, kas nav saistīti ar aknām ir miokarda traucējumi un pankreatīts.</w:t>
      </w:r>
    </w:p>
    <w:p w14:paraId="2AE91047" w14:textId="77777777" w:rsidR="00FB3670" w:rsidRPr="00716FAD" w:rsidRDefault="00FB3670" w:rsidP="00716FAD">
      <w:pPr>
        <w:pStyle w:val="Default"/>
        <w:jc w:val="both"/>
        <w:rPr>
          <w:sz w:val="22"/>
          <w:szCs w:val="22"/>
          <w:lang w:val="lv-LV"/>
        </w:rPr>
      </w:pPr>
    </w:p>
    <w:p w14:paraId="4A222F70" w14:textId="77777777" w:rsidR="00FB3670" w:rsidRPr="00716FAD" w:rsidRDefault="00FB3670" w:rsidP="00716FAD">
      <w:pPr>
        <w:pStyle w:val="Default"/>
        <w:jc w:val="both"/>
        <w:rPr>
          <w:sz w:val="22"/>
          <w:szCs w:val="22"/>
          <w:lang w:val="lv-LV"/>
        </w:rPr>
      </w:pPr>
      <w:r w:rsidRPr="00716FAD">
        <w:rPr>
          <w:sz w:val="22"/>
          <w:szCs w:val="22"/>
          <w:u w:val="single"/>
          <w:lang w:val="lv-LV"/>
        </w:rPr>
        <w:t>Acetilsalicilskābe</w:t>
      </w:r>
    </w:p>
    <w:p w14:paraId="1C82A5A5" w14:textId="77777777" w:rsidR="00FB3670" w:rsidRPr="00716FAD" w:rsidRDefault="00FB3670" w:rsidP="00716FAD">
      <w:pPr>
        <w:pStyle w:val="Default"/>
        <w:jc w:val="both"/>
        <w:rPr>
          <w:sz w:val="22"/>
          <w:szCs w:val="22"/>
          <w:lang w:val="lv-LV"/>
        </w:rPr>
      </w:pPr>
      <w:r w:rsidRPr="00716FAD">
        <w:rPr>
          <w:sz w:val="22"/>
          <w:szCs w:val="22"/>
          <w:lang w:val="lv-LV"/>
        </w:rPr>
        <w:t>Bieži novērojami pārdozēšanas simptomi ir vemšana, dehidratācija, troksnis ausīs, vertigo, kurlums, svīšana, siltas un pulsējošas ekstremitātes, paātrināta elpošana, hiperventilācija, skābju līdzsvara traucējumi, jaukta elpošanas alkaloze un metaboliska acidoze ar paaugstinātu arteriālo pH.</w:t>
      </w:r>
    </w:p>
    <w:p w14:paraId="5B196921" w14:textId="77777777" w:rsidR="00FB3670" w:rsidRPr="00716FAD" w:rsidRDefault="00FB3670" w:rsidP="00716FAD">
      <w:pPr>
        <w:pStyle w:val="Default"/>
        <w:jc w:val="both"/>
        <w:rPr>
          <w:sz w:val="22"/>
          <w:szCs w:val="22"/>
          <w:lang w:val="lv-LV"/>
        </w:rPr>
      </w:pPr>
      <w:r w:rsidRPr="00716FAD">
        <w:rPr>
          <w:sz w:val="22"/>
          <w:szCs w:val="22"/>
          <w:lang w:val="lv-LV"/>
        </w:rPr>
        <w:t>Reti novērojami pārdozēšanas simptomi ir hematemēze, hiperpireksija, hipoglikēmija, hipokaliēmija, trombocitopēnija, palielināts INR/protrombīna laiks, intravaskulāra koagulācija, nieru mazspēja, nekardiāla plaušu tūska, apjukums, dezorientācija, koma un krampji, kas biežāk rodas bērniem nekā pieaugušajiem.</w:t>
      </w:r>
    </w:p>
    <w:p w14:paraId="78E30E0C" w14:textId="77777777" w:rsidR="00FB3670" w:rsidRPr="00716FAD" w:rsidRDefault="00FB3670" w:rsidP="00716FAD">
      <w:pPr>
        <w:pStyle w:val="Default"/>
        <w:jc w:val="both"/>
        <w:rPr>
          <w:sz w:val="22"/>
          <w:szCs w:val="22"/>
          <w:lang w:val="lv-LV"/>
        </w:rPr>
      </w:pPr>
    </w:p>
    <w:p w14:paraId="399ED440" w14:textId="77777777" w:rsidR="00FB3670" w:rsidRPr="00716FAD" w:rsidRDefault="00FB3670" w:rsidP="00716FAD">
      <w:pPr>
        <w:pStyle w:val="Default"/>
        <w:jc w:val="both"/>
        <w:rPr>
          <w:sz w:val="22"/>
          <w:szCs w:val="22"/>
          <w:lang w:val="lv-LV"/>
        </w:rPr>
      </w:pPr>
      <w:r w:rsidRPr="00716FAD">
        <w:rPr>
          <w:sz w:val="22"/>
          <w:szCs w:val="22"/>
          <w:lang w:val="lv-LV"/>
        </w:rPr>
        <w:t>Acidozes gadījumā var palielināties salicilātu plūsma caur asins – smadzeņu barjeru.</w:t>
      </w:r>
    </w:p>
    <w:p w14:paraId="1D4178B0" w14:textId="77777777" w:rsidR="00FB3670" w:rsidRPr="00716FAD" w:rsidRDefault="00FB3670" w:rsidP="00716FAD">
      <w:pPr>
        <w:pStyle w:val="Default"/>
        <w:jc w:val="both"/>
        <w:rPr>
          <w:sz w:val="22"/>
          <w:szCs w:val="22"/>
          <w:lang w:val="lv-LV"/>
        </w:rPr>
      </w:pPr>
    </w:p>
    <w:p w14:paraId="73BFBED1" w14:textId="77777777" w:rsidR="00FB3670" w:rsidRPr="00716FAD" w:rsidRDefault="00FB3670" w:rsidP="00716FAD">
      <w:pPr>
        <w:pStyle w:val="Default"/>
        <w:jc w:val="both"/>
        <w:rPr>
          <w:sz w:val="22"/>
          <w:szCs w:val="22"/>
          <w:lang w:val="lv-LV"/>
        </w:rPr>
      </w:pPr>
      <w:r w:rsidRPr="00716FAD">
        <w:rPr>
          <w:sz w:val="22"/>
          <w:szCs w:val="22"/>
          <w:u w:val="single"/>
          <w:lang w:val="lv-LV"/>
        </w:rPr>
        <w:t>Kofeīns</w:t>
      </w:r>
    </w:p>
    <w:p w14:paraId="1E0851B0" w14:textId="77777777" w:rsidR="00FB3670" w:rsidRPr="00716FAD" w:rsidRDefault="00FB3670" w:rsidP="00716FAD">
      <w:pPr>
        <w:pStyle w:val="Default"/>
        <w:jc w:val="both"/>
        <w:rPr>
          <w:sz w:val="22"/>
          <w:szCs w:val="22"/>
          <w:lang w:val="lv-LV"/>
        </w:rPr>
      </w:pPr>
      <w:r w:rsidRPr="00716FAD">
        <w:rPr>
          <w:sz w:val="22"/>
          <w:szCs w:val="22"/>
          <w:lang w:val="lv-LV"/>
        </w:rPr>
        <w:t>Lietojot 1 g kofeīna vai vairāk īsā laika periodā iespējami pārdozēšanas simptomi: trīce, CNS simptomi, kardiovaskulāras reakcijas (tahikardija, miokarda bojājumi).</w:t>
      </w:r>
    </w:p>
    <w:p w14:paraId="403286DB" w14:textId="77777777" w:rsidR="00FB3670" w:rsidRPr="00716FAD" w:rsidRDefault="00FB3670" w:rsidP="00716FAD">
      <w:pPr>
        <w:pStyle w:val="Default"/>
        <w:jc w:val="both"/>
        <w:rPr>
          <w:sz w:val="22"/>
          <w:szCs w:val="22"/>
          <w:lang w:val="lv-LV"/>
        </w:rPr>
      </w:pPr>
    </w:p>
    <w:p w14:paraId="6D6C690E" w14:textId="77777777" w:rsidR="00FB3670" w:rsidRPr="00716FAD" w:rsidRDefault="00FB3670" w:rsidP="00716FAD">
      <w:pPr>
        <w:pStyle w:val="Default"/>
        <w:jc w:val="both"/>
        <w:rPr>
          <w:sz w:val="22"/>
          <w:szCs w:val="22"/>
          <w:lang w:val="lv-LV"/>
        </w:rPr>
      </w:pPr>
      <w:r w:rsidRPr="00716FAD">
        <w:rPr>
          <w:i/>
          <w:iCs/>
          <w:sz w:val="22"/>
          <w:szCs w:val="22"/>
          <w:lang w:val="lv-LV"/>
        </w:rPr>
        <w:t>Ārstēšana</w:t>
      </w:r>
    </w:p>
    <w:p w14:paraId="730734B2" w14:textId="77777777" w:rsidR="00FB3670" w:rsidRPr="00716FAD" w:rsidRDefault="00FB3670" w:rsidP="00716FAD">
      <w:pPr>
        <w:pStyle w:val="Default"/>
        <w:jc w:val="both"/>
        <w:rPr>
          <w:sz w:val="22"/>
          <w:szCs w:val="22"/>
          <w:lang w:val="lv-LV"/>
        </w:rPr>
      </w:pPr>
      <w:r w:rsidRPr="00716FAD">
        <w:rPr>
          <w:sz w:val="22"/>
          <w:szCs w:val="22"/>
          <w:lang w:val="lv-LV"/>
        </w:rPr>
        <w:t>Pārdozēšanas ārstēšanai jābūt simptomātiskai.</w:t>
      </w:r>
    </w:p>
    <w:p w14:paraId="767D7F2E" w14:textId="77777777" w:rsidR="00FB3670" w:rsidRPr="00716FAD" w:rsidRDefault="00FB3670" w:rsidP="00716FAD">
      <w:pPr>
        <w:pStyle w:val="Default"/>
        <w:jc w:val="both"/>
        <w:rPr>
          <w:sz w:val="22"/>
          <w:szCs w:val="22"/>
          <w:lang w:val="lv-LV"/>
        </w:rPr>
      </w:pPr>
    </w:p>
    <w:p w14:paraId="478504EA" w14:textId="77777777" w:rsidR="00FB3670" w:rsidRPr="00716FAD" w:rsidRDefault="00FB3670" w:rsidP="00716FAD">
      <w:pPr>
        <w:pStyle w:val="Default"/>
        <w:jc w:val="both"/>
        <w:rPr>
          <w:sz w:val="22"/>
          <w:szCs w:val="22"/>
          <w:lang w:val="lv-LV"/>
        </w:rPr>
      </w:pPr>
      <w:r w:rsidRPr="00716FAD">
        <w:rPr>
          <w:sz w:val="22"/>
          <w:szCs w:val="22"/>
          <w:lang w:val="lv-LV"/>
        </w:rPr>
        <w:t>Paracetamola pārdozēšanas gadījumā jāveic sekojoši pasākumi:</w:t>
      </w:r>
    </w:p>
    <w:p w14:paraId="551A72ED" w14:textId="77777777" w:rsidR="00FB3670" w:rsidRPr="00716FAD" w:rsidRDefault="00FB3670" w:rsidP="00716FAD">
      <w:pPr>
        <w:pStyle w:val="Default"/>
        <w:numPr>
          <w:ilvl w:val="0"/>
          <w:numId w:val="37"/>
        </w:numPr>
        <w:tabs>
          <w:tab w:val="left" w:pos="709"/>
        </w:tabs>
        <w:jc w:val="both"/>
        <w:rPr>
          <w:sz w:val="22"/>
          <w:szCs w:val="22"/>
          <w:lang w:val="lv-LV"/>
        </w:rPr>
      </w:pPr>
      <w:r w:rsidRPr="00716FAD">
        <w:rPr>
          <w:sz w:val="22"/>
          <w:szCs w:val="22"/>
          <w:lang w:val="lv-LV"/>
        </w:rPr>
        <w:t>Tūlītēja hospitalizācija.</w:t>
      </w:r>
    </w:p>
    <w:p w14:paraId="72B7D9D7" w14:textId="77777777" w:rsidR="00FB3670" w:rsidRPr="00716FAD" w:rsidRDefault="00FB3670" w:rsidP="00716FAD">
      <w:pPr>
        <w:pStyle w:val="Default"/>
        <w:numPr>
          <w:ilvl w:val="0"/>
          <w:numId w:val="37"/>
        </w:numPr>
        <w:tabs>
          <w:tab w:val="left" w:pos="709"/>
        </w:tabs>
        <w:jc w:val="both"/>
        <w:rPr>
          <w:sz w:val="22"/>
          <w:szCs w:val="22"/>
          <w:lang w:val="lv-LV"/>
        </w:rPr>
      </w:pPr>
      <w:r w:rsidRPr="00716FAD">
        <w:rPr>
          <w:sz w:val="22"/>
          <w:szCs w:val="22"/>
          <w:lang w:val="lv-LV"/>
        </w:rPr>
        <w:t>Pēc pārdozēšanas, pēc iespējas ātrāk, jāveic asins analīzes, lai noteiktu paracetamola koncentrāciju, pirms uzsākt ārstēšanu.</w:t>
      </w:r>
    </w:p>
    <w:p w14:paraId="122D14F4" w14:textId="77777777" w:rsidR="00FB3670" w:rsidRPr="00716FAD" w:rsidRDefault="00FB3670" w:rsidP="00716FAD">
      <w:pPr>
        <w:pStyle w:val="Default"/>
        <w:numPr>
          <w:ilvl w:val="0"/>
          <w:numId w:val="37"/>
        </w:numPr>
        <w:tabs>
          <w:tab w:val="left" w:pos="709"/>
        </w:tabs>
        <w:jc w:val="both"/>
        <w:rPr>
          <w:sz w:val="22"/>
          <w:szCs w:val="22"/>
          <w:lang w:val="lv-LV"/>
        </w:rPr>
      </w:pPr>
      <w:r w:rsidRPr="00716FAD">
        <w:rPr>
          <w:sz w:val="22"/>
          <w:szCs w:val="22"/>
          <w:lang w:val="lv-LV"/>
        </w:rPr>
        <w:t>Ātra lietoto zāļu izvadīšana, veicot kuņģa skalošanu, kam seko aktivētās ogles (absorbents) un nātrija sulfāta (caureju veicinošs līdzeklis) lietošana.</w:t>
      </w:r>
    </w:p>
    <w:p w14:paraId="66899441" w14:textId="77777777" w:rsidR="00FB3670" w:rsidRPr="00716FAD" w:rsidRDefault="00FB3670" w:rsidP="00716FAD">
      <w:pPr>
        <w:pStyle w:val="Default"/>
        <w:numPr>
          <w:ilvl w:val="0"/>
          <w:numId w:val="37"/>
        </w:numPr>
        <w:tabs>
          <w:tab w:val="left" w:pos="709"/>
        </w:tabs>
        <w:jc w:val="both"/>
        <w:rPr>
          <w:sz w:val="22"/>
          <w:szCs w:val="22"/>
          <w:lang w:val="lv-LV"/>
        </w:rPr>
      </w:pPr>
      <w:r w:rsidRPr="00716FAD">
        <w:rPr>
          <w:sz w:val="22"/>
          <w:szCs w:val="22"/>
          <w:lang w:val="lv-LV"/>
        </w:rPr>
        <w:t>Dialīze var samazināt paracetamola koncentrāciju plazmā.</w:t>
      </w:r>
    </w:p>
    <w:p w14:paraId="4709639F" w14:textId="77777777" w:rsidR="00FB3670" w:rsidRPr="00716FAD" w:rsidRDefault="00FB3670" w:rsidP="00716FAD">
      <w:pPr>
        <w:pStyle w:val="Default"/>
        <w:numPr>
          <w:ilvl w:val="0"/>
          <w:numId w:val="37"/>
        </w:numPr>
        <w:tabs>
          <w:tab w:val="left" w:pos="709"/>
        </w:tabs>
        <w:jc w:val="both"/>
        <w:rPr>
          <w:sz w:val="22"/>
          <w:szCs w:val="22"/>
          <w:lang w:val="lv-LV"/>
        </w:rPr>
      </w:pPr>
      <w:r w:rsidRPr="00716FAD">
        <w:rPr>
          <w:sz w:val="22"/>
          <w:szCs w:val="22"/>
          <w:lang w:val="lv-LV"/>
        </w:rPr>
        <w:t>Terapija sastāv no intravenozi vai iekšķīgi lietojama antidota – N-acetilcisteīna (NAC), ja iespējams, desmit stundu laikā pēc zāļu lietošanas. NAC var nodrošināt aizsardzību arī tad, ja to lieto pēc 10 stundas, bet šajā gadījumā nepieciešama ilgstoša terapija.</w:t>
      </w:r>
    </w:p>
    <w:p w14:paraId="4E3F94B7" w14:textId="77777777" w:rsidR="00FB3670" w:rsidRPr="00716FAD" w:rsidRDefault="00FB3670" w:rsidP="00716FAD">
      <w:pPr>
        <w:pStyle w:val="Default"/>
        <w:numPr>
          <w:ilvl w:val="0"/>
          <w:numId w:val="37"/>
        </w:numPr>
        <w:tabs>
          <w:tab w:val="left" w:pos="709"/>
        </w:tabs>
        <w:jc w:val="both"/>
        <w:rPr>
          <w:sz w:val="22"/>
          <w:szCs w:val="22"/>
          <w:lang w:val="lv-LV"/>
        </w:rPr>
      </w:pPr>
      <w:r w:rsidRPr="00716FAD">
        <w:rPr>
          <w:sz w:val="22"/>
          <w:szCs w:val="22"/>
          <w:lang w:val="lv-LV"/>
        </w:rPr>
        <w:t>Simptomātiska terapija.</w:t>
      </w:r>
    </w:p>
    <w:p w14:paraId="78391508" w14:textId="77777777" w:rsidR="00FB3670" w:rsidRPr="00716FAD" w:rsidRDefault="00FB3670" w:rsidP="00716FAD">
      <w:pPr>
        <w:pStyle w:val="Default"/>
        <w:numPr>
          <w:ilvl w:val="0"/>
          <w:numId w:val="37"/>
        </w:numPr>
        <w:tabs>
          <w:tab w:val="left" w:pos="709"/>
        </w:tabs>
        <w:jc w:val="both"/>
        <w:rPr>
          <w:sz w:val="22"/>
          <w:szCs w:val="22"/>
          <w:lang w:val="lv-LV"/>
        </w:rPr>
      </w:pPr>
      <w:r w:rsidRPr="00716FAD">
        <w:rPr>
          <w:sz w:val="22"/>
          <w:szCs w:val="22"/>
          <w:lang w:val="lv-LV"/>
        </w:rPr>
        <w:t>Pirms terapijas jāveic aknu pārbaudes un tās jāatkārto ik pēc 24 stundām. Vairumā gadījumu aknu transamināzes atgriezīsies normas robežās vienas līdz divu nedēļu laikā ar pilnīgu aknu darbības normalizēšanos. Neskatoties uz to, ļoti retos gadījumos var būt nepieciešama aknu pārstādīšana.</w:t>
      </w:r>
    </w:p>
    <w:p w14:paraId="40E8CAF8" w14:textId="77777777" w:rsidR="00CD10AA" w:rsidRPr="00716FAD" w:rsidRDefault="00CD10AA" w:rsidP="00716FAD">
      <w:pPr>
        <w:tabs>
          <w:tab w:val="clear" w:pos="567"/>
        </w:tabs>
        <w:spacing w:line="240" w:lineRule="auto"/>
        <w:jc w:val="both"/>
        <w:rPr>
          <w:color w:val="000000"/>
          <w:szCs w:val="22"/>
        </w:rPr>
      </w:pPr>
    </w:p>
    <w:p w14:paraId="3DBF57B2" w14:textId="77777777" w:rsidR="00716FAD" w:rsidRPr="00716FAD" w:rsidRDefault="00716FAD" w:rsidP="00716FAD">
      <w:pPr>
        <w:tabs>
          <w:tab w:val="clear" w:pos="567"/>
        </w:tabs>
        <w:spacing w:line="240" w:lineRule="auto"/>
        <w:jc w:val="both"/>
        <w:rPr>
          <w:color w:val="000000"/>
          <w:szCs w:val="22"/>
        </w:rPr>
      </w:pPr>
    </w:p>
    <w:p w14:paraId="70942C11" w14:textId="77777777" w:rsidR="00CD10AA" w:rsidRPr="00716FAD" w:rsidRDefault="00846D85" w:rsidP="00716FAD">
      <w:pPr>
        <w:tabs>
          <w:tab w:val="clear" w:pos="567"/>
        </w:tabs>
        <w:spacing w:line="240" w:lineRule="auto"/>
        <w:jc w:val="both"/>
        <w:rPr>
          <w:b/>
          <w:color w:val="000000"/>
          <w:szCs w:val="22"/>
        </w:rPr>
      </w:pPr>
      <w:r w:rsidRPr="00716FAD">
        <w:rPr>
          <w:b/>
          <w:color w:val="000000"/>
          <w:szCs w:val="22"/>
        </w:rPr>
        <w:t>5.</w:t>
      </w:r>
      <w:r w:rsidRPr="00716FAD">
        <w:rPr>
          <w:b/>
          <w:color w:val="000000"/>
          <w:szCs w:val="22"/>
        </w:rPr>
        <w:tab/>
        <w:t>FARMAKOLOĢISKĀS ĪPAŠĪBAS</w:t>
      </w:r>
    </w:p>
    <w:p w14:paraId="7F6B714C" w14:textId="77777777" w:rsidR="00716FAD" w:rsidRPr="00716FAD" w:rsidRDefault="00716FAD" w:rsidP="00716FAD">
      <w:pPr>
        <w:tabs>
          <w:tab w:val="clear" w:pos="567"/>
        </w:tabs>
        <w:spacing w:line="240" w:lineRule="auto"/>
        <w:jc w:val="both"/>
        <w:rPr>
          <w:b/>
          <w:color w:val="000000"/>
          <w:szCs w:val="22"/>
        </w:rPr>
      </w:pPr>
    </w:p>
    <w:p w14:paraId="57E66AD1" w14:textId="77777777" w:rsidR="00CD10AA" w:rsidRPr="00716FAD" w:rsidRDefault="00CD10AA" w:rsidP="00716FAD">
      <w:pPr>
        <w:tabs>
          <w:tab w:val="clear" w:pos="567"/>
        </w:tabs>
        <w:spacing w:line="240" w:lineRule="auto"/>
        <w:jc w:val="both"/>
        <w:rPr>
          <w:color w:val="000000"/>
          <w:szCs w:val="22"/>
        </w:rPr>
      </w:pPr>
      <w:r w:rsidRPr="00716FAD">
        <w:rPr>
          <w:b/>
          <w:color w:val="000000"/>
          <w:szCs w:val="22"/>
        </w:rPr>
        <w:t>5.1</w:t>
      </w:r>
      <w:r w:rsidR="00F311D8" w:rsidRPr="00716FAD">
        <w:rPr>
          <w:b/>
          <w:color w:val="000000"/>
          <w:szCs w:val="22"/>
        </w:rPr>
        <w:t>.</w:t>
      </w:r>
      <w:r w:rsidRPr="00716FAD">
        <w:rPr>
          <w:b/>
          <w:color w:val="000000"/>
          <w:szCs w:val="22"/>
        </w:rPr>
        <w:tab/>
        <w:t>Farmakodinamiskās īpašības</w:t>
      </w:r>
    </w:p>
    <w:p w14:paraId="3D9CB7A8" w14:textId="77777777" w:rsidR="00716FAD" w:rsidRPr="00716FAD" w:rsidRDefault="00716FAD" w:rsidP="00716FAD">
      <w:pPr>
        <w:tabs>
          <w:tab w:val="clear" w:pos="567"/>
        </w:tabs>
        <w:spacing w:line="240" w:lineRule="auto"/>
        <w:jc w:val="both"/>
        <w:rPr>
          <w:b/>
          <w:color w:val="000000"/>
          <w:szCs w:val="22"/>
        </w:rPr>
      </w:pPr>
    </w:p>
    <w:p w14:paraId="403E78CE" w14:textId="77777777" w:rsidR="003F45AD" w:rsidRPr="00716FAD" w:rsidRDefault="00CD10AA" w:rsidP="00716FAD">
      <w:pPr>
        <w:tabs>
          <w:tab w:val="clear" w:pos="567"/>
        </w:tabs>
        <w:spacing w:line="240" w:lineRule="auto"/>
        <w:jc w:val="both"/>
        <w:rPr>
          <w:color w:val="000000"/>
          <w:szCs w:val="22"/>
        </w:rPr>
      </w:pPr>
      <w:r w:rsidRPr="00716FAD">
        <w:rPr>
          <w:b/>
          <w:color w:val="000000"/>
          <w:szCs w:val="22"/>
        </w:rPr>
        <w:t>Farmakoterapeitiskā grupa</w:t>
      </w:r>
      <w:r w:rsidRPr="00716FAD">
        <w:rPr>
          <w:color w:val="000000"/>
          <w:szCs w:val="22"/>
        </w:rPr>
        <w:t xml:space="preserve">: </w:t>
      </w:r>
      <w:r w:rsidR="00297227">
        <w:rPr>
          <w:color w:val="000000"/>
          <w:szCs w:val="22"/>
        </w:rPr>
        <w:t xml:space="preserve">anilīna atvasinājumi, </w:t>
      </w:r>
      <w:r w:rsidR="004B7FE1" w:rsidRPr="00716FAD">
        <w:rPr>
          <w:color w:val="000000"/>
          <w:szCs w:val="22"/>
          <w:lang w:eastAsia="en-GB"/>
        </w:rPr>
        <w:t>p</w:t>
      </w:r>
      <w:r w:rsidR="00FB3670" w:rsidRPr="00716FAD">
        <w:rPr>
          <w:color w:val="000000"/>
          <w:szCs w:val="22"/>
          <w:lang w:eastAsia="en-GB"/>
        </w:rPr>
        <w:t>aracetamola</w:t>
      </w:r>
      <w:r w:rsidR="00FB3670" w:rsidRPr="00716FAD">
        <w:rPr>
          <w:color w:val="000000"/>
          <w:szCs w:val="22"/>
        </w:rPr>
        <w:t xml:space="preserve"> kombinācijas, izņemot </w:t>
      </w:r>
      <w:r w:rsidR="00297227">
        <w:rPr>
          <w:color w:val="000000"/>
          <w:szCs w:val="22"/>
          <w:lang w:eastAsia="en-GB"/>
        </w:rPr>
        <w:t>psiholpetiskos</w:t>
      </w:r>
      <w:r w:rsidR="00297227" w:rsidRPr="00716FAD">
        <w:rPr>
          <w:color w:val="000000"/>
          <w:szCs w:val="22"/>
          <w:lang w:eastAsia="en-GB"/>
        </w:rPr>
        <w:t xml:space="preserve"> </w:t>
      </w:r>
      <w:r w:rsidR="00A951E9" w:rsidRPr="00716FAD">
        <w:rPr>
          <w:color w:val="000000"/>
          <w:szCs w:val="22"/>
          <w:lang w:eastAsia="en-GB"/>
        </w:rPr>
        <w:t>līdzekļus</w:t>
      </w:r>
      <w:r w:rsidR="00FB3670" w:rsidRPr="00716FAD">
        <w:rPr>
          <w:color w:val="000000"/>
          <w:szCs w:val="22"/>
        </w:rPr>
        <w:t>.</w:t>
      </w:r>
    </w:p>
    <w:p w14:paraId="37AD4955" w14:textId="77777777" w:rsidR="00CD10AA" w:rsidRPr="00716FAD" w:rsidRDefault="00CD10AA" w:rsidP="00716FAD">
      <w:pPr>
        <w:tabs>
          <w:tab w:val="clear" w:pos="567"/>
        </w:tabs>
        <w:spacing w:line="240" w:lineRule="auto"/>
        <w:jc w:val="both"/>
        <w:rPr>
          <w:color w:val="000000"/>
          <w:szCs w:val="22"/>
        </w:rPr>
      </w:pPr>
      <w:r w:rsidRPr="00716FAD">
        <w:rPr>
          <w:b/>
          <w:color w:val="000000"/>
          <w:szCs w:val="22"/>
        </w:rPr>
        <w:t>ATĶ kods</w:t>
      </w:r>
      <w:r w:rsidRPr="00716FAD">
        <w:rPr>
          <w:color w:val="000000"/>
          <w:szCs w:val="22"/>
        </w:rPr>
        <w:t xml:space="preserve">: </w:t>
      </w:r>
      <w:r w:rsidR="00FB3670" w:rsidRPr="00716FAD">
        <w:rPr>
          <w:color w:val="000000"/>
          <w:szCs w:val="22"/>
        </w:rPr>
        <w:t>N02BE51</w:t>
      </w:r>
    </w:p>
    <w:p w14:paraId="0DE31B32" w14:textId="77777777" w:rsidR="00CD10AA" w:rsidRPr="00716FAD" w:rsidRDefault="00CD10AA" w:rsidP="00716FAD">
      <w:pPr>
        <w:tabs>
          <w:tab w:val="clear" w:pos="567"/>
        </w:tabs>
        <w:spacing w:line="240" w:lineRule="auto"/>
        <w:jc w:val="both"/>
        <w:rPr>
          <w:color w:val="000000"/>
          <w:szCs w:val="22"/>
        </w:rPr>
      </w:pPr>
    </w:p>
    <w:p w14:paraId="5C97146B" w14:textId="77777777" w:rsidR="00AB7241" w:rsidRPr="00716FAD" w:rsidRDefault="00AB7241" w:rsidP="00716FAD">
      <w:pPr>
        <w:pStyle w:val="Default"/>
        <w:jc w:val="both"/>
        <w:rPr>
          <w:sz w:val="22"/>
          <w:szCs w:val="22"/>
          <w:lang w:val="lv-LV"/>
        </w:rPr>
      </w:pPr>
      <w:r w:rsidRPr="00716FAD">
        <w:rPr>
          <w:sz w:val="22"/>
          <w:szCs w:val="22"/>
          <w:u w:val="single"/>
          <w:lang w:val="lv-LV"/>
        </w:rPr>
        <w:t>Paracetamols</w:t>
      </w:r>
    </w:p>
    <w:p w14:paraId="2AF7431C" w14:textId="77777777" w:rsidR="00AB7241" w:rsidRPr="00716FAD" w:rsidRDefault="00AB7241" w:rsidP="00716FAD">
      <w:pPr>
        <w:pStyle w:val="Default"/>
        <w:jc w:val="both"/>
        <w:rPr>
          <w:sz w:val="22"/>
          <w:szCs w:val="22"/>
          <w:lang w:val="lv-LV"/>
        </w:rPr>
      </w:pPr>
      <w:r w:rsidRPr="00716FAD">
        <w:rPr>
          <w:sz w:val="22"/>
          <w:szCs w:val="22"/>
          <w:lang w:val="lv-LV"/>
        </w:rPr>
        <w:t>Paracetamolam piemīt gan pretsāpju, gan pretdrudža iedarbība. Tomēr, tam nepiemīt pretiekaisuma iedarbība. Pretsāpju iedarbības mehānisms nav pilnībā noskaidrots. Galvenais paracetamola darbības mehānisms ir ciklo-oksigenāzes (enzīma, kam ir būtiska loma prostaglandīnu sintēzē) nomākums. Centrālās nervu sistēmas ciklo-oksigenāze ir daudz jutīgāka pret paracetamolu nekā perifērās nervu sistēmas ciklo-oksigenāze un tas izskaidro kāpēc paracetamolam piemīt pretdrudža un pretsāpju iedarbība. Iespējams, ka paracetamola pretdrudža iedarbības pamatā ir centrālā iedarbība uz hipotalamisko siltuma regulācijas centru.</w:t>
      </w:r>
    </w:p>
    <w:p w14:paraId="6AD654C6" w14:textId="77777777" w:rsidR="00AB7241" w:rsidRPr="00716FAD" w:rsidRDefault="00AB7241" w:rsidP="00716FAD">
      <w:pPr>
        <w:pStyle w:val="Default"/>
        <w:jc w:val="both"/>
        <w:rPr>
          <w:sz w:val="22"/>
          <w:szCs w:val="22"/>
          <w:lang w:val="lv-LV"/>
        </w:rPr>
      </w:pPr>
    </w:p>
    <w:p w14:paraId="3B7F1456" w14:textId="77777777" w:rsidR="00AB7241" w:rsidRPr="00716FAD" w:rsidRDefault="00AB7241" w:rsidP="00716FAD">
      <w:pPr>
        <w:pStyle w:val="Default"/>
        <w:jc w:val="both"/>
        <w:rPr>
          <w:sz w:val="22"/>
          <w:szCs w:val="22"/>
          <w:lang w:val="lv-LV"/>
        </w:rPr>
      </w:pPr>
      <w:r w:rsidRPr="00716FAD">
        <w:rPr>
          <w:sz w:val="22"/>
          <w:szCs w:val="22"/>
          <w:u w:val="single"/>
          <w:lang w:val="lv-LV"/>
        </w:rPr>
        <w:t>Acetilsalicilskābe</w:t>
      </w:r>
    </w:p>
    <w:p w14:paraId="153BEA02" w14:textId="77777777" w:rsidR="00AB7241" w:rsidRPr="00716FAD" w:rsidRDefault="00AB7241" w:rsidP="00716FAD">
      <w:pPr>
        <w:pStyle w:val="Default"/>
        <w:jc w:val="both"/>
        <w:rPr>
          <w:sz w:val="22"/>
          <w:szCs w:val="22"/>
          <w:lang w:val="lv-LV"/>
        </w:rPr>
      </w:pPr>
      <w:r w:rsidRPr="00716FAD">
        <w:rPr>
          <w:sz w:val="22"/>
          <w:szCs w:val="22"/>
          <w:lang w:val="lv-LV"/>
        </w:rPr>
        <w:t>Darbības mehānisms: salicilāti nomāc ciklo-oksigenāzes enzīma aktivitāti samazinot prostaglandīnu un tromboksānu veidošanos no arahidroīnskābes. Lai gan galvenā terapeitiskā iedarbība rodas prostaglandīnu sintēzēs nomākuma rezultātā (ar tai sekojošu samazināto prostaglandīnu aktivitāti) daudzos audos, cita iedarbība arī nodrošina terapeitisko iedarbību.</w:t>
      </w:r>
    </w:p>
    <w:p w14:paraId="368CFC22" w14:textId="77777777" w:rsidR="00AB7241" w:rsidRPr="00716FAD" w:rsidRDefault="00AB7241" w:rsidP="00716FAD">
      <w:pPr>
        <w:pStyle w:val="Default"/>
        <w:jc w:val="both"/>
        <w:rPr>
          <w:sz w:val="22"/>
          <w:szCs w:val="22"/>
          <w:lang w:val="lv-LV"/>
        </w:rPr>
      </w:pPr>
    </w:p>
    <w:p w14:paraId="59B18109" w14:textId="77777777" w:rsidR="00AB7241" w:rsidRPr="00716FAD" w:rsidRDefault="00AB7241" w:rsidP="00716FAD">
      <w:pPr>
        <w:pStyle w:val="Default"/>
        <w:jc w:val="both"/>
        <w:rPr>
          <w:sz w:val="22"/>
          <w:szCs w:val="22"/>
          <w:lang w:val="lv-LV"/>
        </w:rPr>
      </w:pPr>
      <w:r w:rsidRPr="00716FAD">
        <w:rPr>
          <w:sz w:val="22"/>
          <w:szCs w:val="22"/>
          <w:lang w:val="lv-LV"/>
        </w:rPr>
        <w:t>Pretsāpju iedarbība: pretsāpju iedarbība rodas perifēras iedarbības rezultātā, bloķējot sāpju impulsu veidošanos un centrālās darbības rezultātā, kas notiek iespējams hipotalāmā.</w:t>
      </w:r>
    </w:p>
    <w:p w14:paraId="09B02A90" w14:textId="77777777" w:rsidR="00AB7241" w:rsidRPr="00716FAD" w:rsidRDefault="00AB7241" w:rsidP="00716FAD">
      <w:pPr>
        <w:pStyle w:val="Default"/>
        <w:jc w:val="both"/>
        <w:rPr>
          <w:sz w:val="22"/>
          <w:szCs w:val="22"/>
          <w:lang w:val="lv-LV"/>
        </w:rPr>
      </w:pPr>
    </w:p>
    <w:p w14:paraId="465D8631" w14:textId="77777777" w:rsidR="00AB7241" w:rsidRPr="00716FAD" w:rsidRDefault="00AB7241" w:rsidP="00716FAD">
      <w:pPr>
        <w:pStyle w:val="Default"/>
        <w:jc w:val="both"/>
        <w:rPr>
          <w:sz w:val="22"/>
          <w:szCs w:val="22"/>
          <w:lang w:val="lv-LV"/>
        </w:rPr>
      </w:pPr>
      <w:r w:rsidRPr="00716FAD">
        <w:rPr>
          <w:sz w:val="22"/>
          <w:szCs w:val="22"/>
          <w:lang w:val="lv-LV"/>
        </w:rPr>
        <w:t>Pretiekaisuma iedarbība: nav pierādīts precīzs pretiekaisuma iedarbības mehānisms. Salicilāti var iedarboties perifēri iekaisušajos audos, kā pamatā</w:t>
      </w:r>
      <w:r w:rsidR="00FB3670" w:rsidRPr="00716FAD">
        <w:rPr>
          <w:sz w:val="22"/>
          <w:szCs w:val="22"/>
          <w:lang w:val="lv-LV"/>
        </w:rPr>
        <w:t>,</w:t>
      </w:r>
      <w:r w:rsidRPr="00716FAD">
        <w:rPr>
          <w:sz w:val="22"/>
          <w:szCs w:val="22"/>
          <w:lang w:val="lv-LV"/>
        </w:rPr>
        <w:t xml:space="preserve"> iespējams</w:t>
      </w:r>
      <w:r w:rsidR="00FB3670" w:rsidRPr="00716FAD">
        <w:rPr>
          <w:sz w:val="22"/>
          <w:szCs w:val="22"/>
          <w:lang w:val="lv-LV"/>
        </w:rPr>
        <w:t>,</w:t>
      </w:r>
      <w:r w:rsidRPr="00716FAD">
        <w:rPr>
          <w:sz w:val="22"/>
          <w:szCs w:val="22"/>
          <w:lang w:val="lv-LV"/>
        </w:rPr>
        <w:t xml:space="preserve"> ir prostaglandīnu sintēzes nomākums un iespējams arī sintēzes un/vai citu iekaisuma atbildes reakcijas mediatoru iedarbības nomākums.</w:t>
      </w:r>
    </w:p>
    <w:p w14:paraId="0CF1E244" w14:textId="77777777" w:rsidR="00AB7241" w:rsidRPr="00716FAD" w:rsidRDefault="00AB7241" w:rsidP="00716FAD">
      <w:pPr>
        <w:pStyle w:val="Default"/>
        <w:jc w:val="both"/>
        <w:rPr>
          <w:sz w:val="22"/>
          <w:szCs w:val="22"/>
          <w:lang w:val="lv-LV"/>
        </w:rPr>
      </w:pPr>
    </w:p>
    <w:p w14:paraId="368203B9" w14:textId="77777777" w:rsidR="00AB7241" w:rsidRPr="00716FAD" w:rsidRDefault="00AB7241" w:rsidP="00716FAD">
      <w:pPr>
        <w:pStyle w:val="Default"/>
        <w:jc w:val="both"/>
        <w:rPr>
          <w:sz w:val="22"/>
          <w:szCs w:val="22"/>
          <w:lang w:val="lv-LV"/>
        </w:rPr>
      </w:pPr>
      <w:r w:rsidRPr="00716FAD">
        <w:rPr>
          <w:sz w:val="22"/>
          <w:szCs w:val="22"/>
          <w:lang w:val="lv-LV"/>
        </w:rPr>
        <w:t>Pretdrudža iedarbība: iespējama pretdrudža iedarbība, centrāli iedarbojoties uz hipotalmisko siltuma regulējošo centru, izraisot perifēro vazodilatāciju, kā rezultātā palielinās asins plūsmu ādā, rodas svīšana un siltuma zudums.</w:t>
      </w:r>
    </w:p>
    <w:p w14:paraId="34D5B2D0" w14:textId="77777777" w:rsidR="00AB7241" w:rsidRPr="00716FAD" w:rsidRDefault="00AB7241" w:rsidP="00716FAD">
      <w:pPr>
        <w:pStyle w:val="Default"/>
        <w:jc w:val="both"/>
        <w:rPr>
          <w:sz w:val="22"/>
          <w:szCs w:val="22"/>
          <w:lang w:val="lv-LV"/>
        </w:rPr>
      </w:pPr>
    </w:p>
    <w:p w14:paraId="0539B0E7" w14:textId="77777777" w:rsidR="00AB7241" w:rsidRPr="00716FAD" w:rsidRDefault="00AB7241" w:rsidP="00716FAD">
      <w:pPr>
        <w:pStyle w:val="Default"/>
        <w:jc w:val="both"/>
        <w:rPr>
          <w:sz w:val="22"/>
          <w:szCs w:val="22"/>
          <w:lang w:val="lv-LV"/>
        </w:rPr>
      </w:pPr>
      <w:r w:rsidRPr="00716FAD">
        <w:rPr>
          <w:sz w:val="22"/>
          <w:szCs w:val="22"/>
          <w:lang w:val="lv-LV"/>
        </w:rPr>
        <w:t xml:space="preserve">Eksperimentālie dati liecina, ka vienlaicīga ibuprofēna lietošana var nomākt mazu aspirīna devu iedarbību uz trombocītu agregāciju. Vienā pētījumā, kad vienreizēja 400 mg liela ibuprofēna deva tika lietota 8 stundu laikā pirms vai 30 minūšu laikā pēc tūlītējas iedarbības acetilsalicilskābes (ASA) devas (81 mg) lietošanas, novēroja samazinātu ASA iedarbību uz tromboksāna veidošanos vai trombocītu agregāciju. Tomēr, ņemot vērā ierobežoto informāciju un neskaidrību par ekstrapolāciju no </w:t>
      </w:r>
      <w:r w:rsidRPr="00716FAD">
        <w:rPr>
          <w:i/>
          <w:iCs/>
          <w:sz w:val="22"/>
          <w:szCs w:val="22"/>
          <w:lang w:val="lv-LV"/>
        </w:rPr>
        <w:t>ex vivo</w:t>
      </w:r>
      <w:r w:rsidRPr="00716FAD">
        <w:rPr>
          <w:sz w:val="22"/>
          <w:szCs w:val="22"/>
          <w:lang w:val="lv-LV"/>
        </w:rPr>
        <w:t xml:space="preserve"> datiem uz klīnisko situāciju, tas netieši norāda, ka nav iespējams izdarīt galīgo slēdzienu par regulāru ibuprofēna lietošanu un īslaicīgas ibuprofēna lietošanas gadījumā nav sagaidāma jebkāda klīniski nozīmīga iedarbība.</w:t>
      </w:r>
    </w:p>
    <w:p w14:paraId="11445182" w14:textId="77777777" w:rsidR="00AB7241" w:rsidRPr="00716FAD" w:rsidRDefault="00AB7241" w:rsidP="00716FAD">
      <w:pPr>
        <w:pStyle w:val="Default"/>
        <w:jc w:val="both"/>
        <w:rPr>
          <w:sz w:val="22"/>
          <w:szCs w:val="22"/>
          <w:lang w:val="lv-LV"/>
        </w:rPr>
      </w:pPr>
    </w:p>
    <w:p w14:paraId="04F79590" w14:textId="77777777" w:rsidR="00AB7241" w:rsidRPr="00716FAD" w:rsidRDefault="00AB7241" w:rsidP="00716FAD">
      <w:pPr>
        <w:pStyle w:val="Default"/>
        <w:jc w:val="both"/>
        <w:rPr>
          <w:sz w:val="22"/>
          <w:szCs w:val="22"/>
          <w:lang w:val="lv-LV"/>
        </w:rPr>
      </w:pPr>
      <w:r w:rsidRPr="00716FAD">
        <w:rPr>
          <w:sz w:val="22"/>
          <w:szCs w:val="22"/>
          <w:u w:val="single"/>
          <w:lang w:val="lv-LV"/>
        </w:rPr>
        <w:t>Kofeīns</w:t>
      </w:r>
    </w:p>
    <w:p w14:paraId="293164AB" w14:textId="77777777" w:rsidR="00AB7241" w:rsidRPr="00716FAD" w:rsidRDefault="00AB7241" w:rsidP="00716FAD">
      <w:pPr>
        <w:pStyle w:val="Default"/>
        <w:jc w:val="both"/>
        <w:rPr>
          <w:sz w:val="22"/>
          <w:szCs w:val="22"/>
          <w:lang w:val="lv-LV"/>
        </w:rPr>
      </w:pPr>
      <w:r w:rsidRPr="00716FAD">
        <w:rPr>
          <w:sz w:val="22"/>
          <w:szCs w:val="22"/>
          <w:lang w:val="lv-LV"/>
        </w:rPr>
        <w:t>Kofeīns ir ksantīna atvasinājums un tas pastiprina paracetamola pretsāpju iedarbību.</w:t>
      </w:r>
    </w:p>
    <w:p w14:paraId="66EFC62A" w14:textId="77777777" w:rsidR="0097548A" w:rsidRPr="00716FAD" w:rsidRDefault="0097548A" w:rsidP="00716FAD">
      <w:pPr>
        <w:spacing w:line="240" w:lineRule="auto"/>
        <w:jc w:val="both"/>
        <w:rPr>
          <w:color w:val="000000"/>
          <w:szCs w:val="22"/>
        </w:rPr>
      </w:pPr>
    </w:p>
    <w:p w14:paraId="1792357E" w14:textId="77777777" w:rsidR="00CD10AA" w:rsidRPr="00716FAD" w:rsidRDefault="00CD10AA" w:rsidP="00716FAD">
      <w:pPr>
        <w:tabs>
          <w:tab w:val="clear" w:pos="567"/>
        </w:tabs>
        <w:spacing w:line="240" w:lineRule="auto"/>
        <w:jc w:val="both"/>
        <w:rPr>
          <w:b/>
          <w:color w:val="000000"/>
          <w:szCs w:val="22"/>
        </w:rPr>
      </w:pPr>
      <w:r w:rsidRPr="00716FAD">
        <w:rPr>
          <w:b/>
          <w:color w:val="000000"/>
          <w:szCs w:val="22"/>
        </w:rPr>
        <w:t>5.2</w:t>
      </w:r>
      <w:r w:rsidR="00565B11" w:rsidRPr="00716FAD">
        <w:rPr>
          <w:b/>
          <w:color w:val="000000"/>
          <w:szCs w:val="22"/>
        </w:rPr>
        <w:t>.</w:t>
      </w:r>
      <w:r w:rsidRPr="00716FAD">
        <w:rPr>
          <w:b/>
          <w:color w:val="000000"/>
          <w:szCs w:val="22"/>
        </w:rPr>
        <w:tab/>
        <w:t>Farmakokinētiskās īpašības</w:t>
      </w:r>
    </w:p>
    <w:p w14:paraId="5F1ADC64" w14:textId="77777777" w:rsidR="00716FAD" w:rsidRPr="00716FAD" w:rsidRDefault="00716FAD" w:rsidP="00716FAD">
      <w:pPr>
        <w:pStyle w:val="Default"/>
        <w:jc w:val="both"/>
        <w:rPr>
          <w:sz w:val="22"/>
          <w:szCs w:val="22"/>
          <w:u w:val="single"/>
          <w:lang w:val="lv-LV"/>
        </w:rPr>
      </w:pPr>
    </w:p>
    <w:p w14:paraId="2485DC52" w14:textId="77777777" w:rsidR="00AB7241" w:rsidRPr="00716FAD" w:rsidRDefault="00AB7241" w:rsidP="00716FAD">
      <w:pPr>
        <w:pStyle w:val="Default"/>
        <w:jc w:val="both"/>
        <w:rPr>
          <w:sz w:val="22"/>
          <w:szCs w:val="22"/>
          <w:u w:val="single"/>
          <w:lang w:val="lv-LV"/>
        </w:rPr>
      </w:pPr>
      <w:r w:rsidRPr="00716FAD">
        <w:rPr>
          <w:sz w:val="22"/>
          <w:szCs w:val="22"/>
          <w:u w:val="single"/>
          <w:lang w:val="lv-LV"/>
        </w:rPr>
        <w:t>Paracetamols</w:t>
      </w:r>
    </w:p>
    <w:p w14:paraId="3E61F029" w14:textId="77777777" w:rsidR="00AB7241" w:rsidRPr="00716FAD" w:rsidRDefault="00AB7241" w:rsidP="00716FAD">
      <w:pPr>
        <w:tabs>
          <w:tab w:val="clear" w:pos="567"/>
        </w:tabs>
        <w:spacing w:line="240" w:lineRule="auto"/>
        <w:jc w:val="both"/>
        <w:rPr>
          <w:i/>
          <w:color w:val="000000"/>
          <w:szCs w:val="22"/>
        </w:rPr>
      </w:pPr>
      <w:r w:rsidRPr="00716FAD">
        <w:rPr>
          <w:i/>
          <w:color w:val="000000"/>
          <w:szCs w:val="22"/>
        </w:rPr>
        <w:t>Uzsūkšanās</w:t>
      </w:r>
    </w:p>
    <w:p w14:paraId="4E471B7A" w14:textId="77777777" w:rsidR="00AB7241" w:rsidRPr="00716FAD" w:rsidRDefault="00AB7241" w:rsidP="00716FAD">
      <w:pPr>
        <w:pStyle w:val="Default"/>
        <w:jc w:val="both"/>
        <w:rPr>
          <w:sz w:val="22"/>
          <w:szCs w:val="22"/>
          <w:lang w:val="lv-LV"/>
        </w:rPr>
      </w:pPr>
      <w:r w:rsidRPr="00716FAD">
        <w:rPr>
          <w:sz w:val="22"/>
          <w:szCs w:val="22"/>
          <w:lang w:val="lv-LV"/>
        </w:rPr>
        <w:t>Pēc iekšķīgas lietošanas paracetamols uzsūcas ātri un gandrīz pilnībā. Maksimālā koncentrācija plazmā tiek sasniegta 30 minūšu līdz 2 stundu laikā.</w:t>
      </w:r>
    </w:p>
    <w:p w14:paraId="18F5F535" w14:textId="77777777" w:rsidR="00AB7241" w:rsidRPr="00716FAD" w:rsidRDefault="00AB7241" w:rsidP="00716FAD">
      <w:pPr>
        <w:pStyle w:val="Default"/>
        <w:jc w:val="both"/>
        <w:rPr>
          <w:sz w:val="22"/>
          <w:szCs w:val="22"/>
          <w:lang w:val="lv-LV"/>
        </w:rPr>
      </w:pPr>
    </w:p>
    <w:p w14:paraId="2ECCBC96" w14:textId="77777777" w:rsidR="00AB7241" w:rsidRPr="00716FAD" w:rsidRDefault="00AB7241" w:rsidP="00716FAD">
      <w:pPr>
        <w:tabs>
          <w:tab w:val="clear" w:pos="567"/>
        </w:tabs>
        <w:spacing w:line="240" w:lineRule="auto"/>
        <w:jc w:val="both"/>
        <w:rPr>
          <w:i/>
          <w:color w:val="000000"/>
          <w:szCs w:val="22"/>
        </w:rPr>
      </w:pPr>
      <w:r w:rsidRPr="00716FAD">
        <w:rPr>
          <w:i/>
          <w:color w:val="000000"/>
          <w:szCs w:val="22"/>
        </w:rPr>
        <w:t>Izkliede</w:t>
      </w:r>
    </w:p>
    <w:p w14:paraId="7F6B8128" w14:textId="77777777" w:rsidR="00AB7241" w:rsidRPr="00716FAD" w:rsidRDefault="00AB7241" w:rsidP="00716FAD">
      <w:pPr>
        <w:pStyle w:val="Default"/>
        <w:jc w:val="both"/>
        <w:rPr>
          <w:sz w:val="22"/>
          <w:szCs w:val="22"/>
          <w:lang w:val="lv-LV"/>
        </w:rPr>
      </w:pPr>
      <w:r w:rsidRPr="00716FAD">
        <w:rPr>
          <w:sz w:val="22"/>
          <w:szCs w:val="22"/>
          <w:lang w:val="lv-LV"/>
        </w:rPr>
        <w:t>Paracetamols ātri izplatās visos audos. Koncentrācija asinīs, siekalās un plazmā ir salīdzināma. Paracetamola izkliedes tilpums ir aptuveni 1 l/kg ķermeņa masas. Lietojot terapeitiskās devas, saistīšanās ar plazmas olbaltumvielām ir niecīga.</w:t>
      </w:r>
    </w:p>
    <w:p w14:paraId="5A46E459" w14:textId="77777777" w:rsidR="00AB7241" w:rsidRPr="00716FAD" w:rsidRDefault="00AB7241" w:rsidP="00716FAD">
      <w:pPr>
        <w:pStyle w:val="Default"/>
        <w:jc w:val="both"/>
        <w:rPr>
          <w:sz w:val="22"/>
          <w:szCs w:val="22"/>
          <w:lang w:val="lv-LV"/>
        </w:rPr>
      </w:pPr>
    </w:p>
    <w:p w14:paraId="6CB31E3E" w14:textId="77777777" w:rsidR="00AB7241" w:rsidRPr="00716FAD" w:rsidRDefault="00AB7241" w:rsidP="00716FAD">
      <w:pPr>
        <w:tabs>
          <w:tab w:val="clear" w:pos="567"/>
        </w:tabs>
        <w:spacing w:line="240" w:lineRule="auto"/>
        <w:jc w:val="both"/>
        <w:rPr>
          <w:i/>
          <w:color w:val="000000"/>
          <w:szCs w:val="22"/>
        </w:rPr>
      </w:pPr>
      <w:r w:rsidRPr="00716FAD">
        <w:rPr>
          <w:i/>
          <w:color w:val="000000"/>
          <w:szCs w:val="22"/>
        </w:rPr>
        <w:lastRenderedPageBreak/>
        <w:t>Biotransformācija</w:t>
      </w:r>
    </w:p>
    <w:p w14:paraId="2E9C30A7" w14:textId="77777777" w:rsidR="00AB7241" w:rsidRPr="00716FAD" w:rsidRDefault="00AB7241" w:rsidP="00716FAD">
      <w:pPr>
        <w:pStyle w:val="Default"/>
        <w:jc w:val="both"/>
        <w:rPr>
          <w:sz w:val="22"/>
          <w:szCs w:val="22"/>
          <w:lang w:val="lv-LV"/>
        </w:rPr>
      </w:pPr>
      <w:r w:rsidRPr="00716FAD">
        <w:rPr>
          <w:sz w:val="22"/>
          <w:szCs w:val="22"/>
          <w:lang w:val="lv-LV"/>
        </w:rPr>
        <w:t xml:space="preserve">Pieaugušajiem paracetamols tiek metabolizēts aknās divu galveno metabolisma ceļu rezultātā: savienojoties ar glikuronskābi (apmēram 60%), sulfātiem (apmēram 35%). Pēdējais no tiem tiek ātri piesātināts, ja tiek lietotas lielākas devas nekā terapeitiskās devas. Mazāk nozīmīga metabolisma ceļa, kas notiek ar P450 citohroma starpniecību, rezultātā veidojas starpposma </w:t>
      </w:r>
      <w:r w:rsidR="00FE3B75" w:rsidRPr="00716FAD">
        <w:rPr>
          <w:sz w:val="22"/>
          <w:szCs w:val="22"/>
          <w:lang w:val="lv-LV"/>
        </w:rPr>
        <w:t xml:space="preserve">metabolīts </w:t>
      </w:r>
      <w:r w:rsidRPr="00716FAD">
        <w:rPr>
          <w:sz w:val="22"/>
          <w:szCs w:val="22"/>
          <w:lang w:val="lv-LV"/>
        </w:rPr>
        <w:t>(N-acetil-p-benzohino</w:t>
      </w:r>
      <w:r w:rsidR="00613277" w:rsidRPr="00716FAD">
        <w:rPr>
          <w:sz w:val="22"/>
          <w:szCs w:val="22"/>
          <w:lang w:val="lv-LV"/>
        </w:rPr>
        <w:t>na i</w:t>
      </w:r>
      <w:r w:rsidRPr="00716FAD">
        <w:rPr>
          <w:sz w:val="22"/>
          <w:szCs w:val="22"/>
          <w:lang w:val="lv-LV"/>
        </w:rPr>
        <w:t xml:space="preserve">mīns), kas normālos apstākļos pēc saistīšanās ar cisteīnu (apmēram 3%) un merkaptopurīnskābi tiek </w:t>
      </w:r>
      <w:r w:rsidR="00892EEB" w:rsidRPr="00716FAD">
        <w:rPr>
          <w:sz w:val="22"/>
          <w:szCs w:val="22"/>
          <w:lang w:val="lv-LV"/>
        </w:rPr>
        <w:t xml:space="preserve">detoksicēts </w:t>
      </w:r>
      <w:r w:rsidRPr="00716FAD">
        <w:rPr>
          <w:sz w:val="22"/>
          <w:szCs w:val="22"/>
          <w:lang w:val="lv-LV"/>
        </w:rPr>
        <w:t>ar glutationu un izdalās ar urīnu. Jaundzimušajiem un bērniem, kuri jaunāki par 12 gadiem, sulfātu savienojums ir galvenais eliminācijas ceļš un glikuronidācija ir mazāka nekā pieaugušajiem. Kopējā eliminācija bērniem ir salīdzināma ar pieaugušajiem, kam pamatā ir palielināta spēja veidot sulfātu savienojumus.</w:t>
      </w:r>
    </w:p>
    <w:p w14:paraId="39034186" w14:textId="77777777" w:rsidR="00AB7241" w:rsidRPr="00716FAD" w:rsidRDefault="00AB7241" w:rsidP="00716FAD">
      <w:pPr>
        <w:pStyle w:val="Default"/>
        <w:jc w:val="both"/>
        <w:rPr>
          <w:sz w:val="22"/>
          <w:szCs w:val="22"/>
          <w:lang w:val="lv-LV"/>
        </w:rPr>
      </w:pPr>
    </w:p>
    <w:p w14:paraId="4CF576C3" w14:textId="77777777" w:rsidR="00AB7241" w:rsidRPr="00716FAD" w:rsidRDefault="00AB7241" w:rsidP="00716FAD">
      <w:pPr>
        <w:tabs>
          <w:tab w:val="clear" w:pos="567"/>
        </w:tabs>
        <w:spacing w:line="240" w:lineRule="auto"/>
        <w:jc w:val="both"/>
        <w:rPr>
          <w:i/>
          <w:color w:val="000000"/>
          <w:szCs w:val="22"/>
        </w:rPr>
      </w:pPr>
      <w:r w:rsidRPr="00716FAD">
        <w:rPr>
          <w:i/>
          <w:color w:val="000000"/>
          <w:szCs w:val="22"/>
        </w:rPr>
        <w:t>Eliminācija</w:t>
      </w:r>
    </w:p>
    <w:p w14:paraId="7FDA02CF" w14:textId="77777777" w:rsidR="00AB7241" w:rsidRPr="00716FAD" w:rsidRDefault="00AB7241" w:rsidP="00716FAD">
      <w:pPr>
        <w:pStyle w:val="Default"/>
        <w:jc w:val="both"/>
        <w:rPr>
          <w:sz w:val="22"/>
          <w:szCs w:val="22"/>
          <w:lang w:val="lv-LV"/>
        </w:rPr>
      </w:pPr>
      <w:r w:rsidRPr="00716FAD">
        <w:rPr>
          <w:sz w:val="22"/>
          <w:szCs w:val="22"/>
          <w:lang w:val="lv-LV"/>
        </w:rPr>
        <w:t>Paracetamols izdalās ar urīnu, galvenokārt glikuronīdu un sulfātu savienojumu veidā. 90% no lietotās devas izdalās caur nierēm 24 stundu laikā, galvenokārt glikuronīdu (60 līdz 80%) un sulfātu (20 līdz 30%) savienojumu veidā. Mazāk kā 5% izdalās neizmainītā veidā. Eliminācijas pusperiods ir apmēram 2 stundas. Nieru vai aknu mazspējas gadījumā, pārdozēšanas gadījumā un jaundzimušajiem paracetamola eliminācijas pusperiods ir garāks. Maksimālā iedarbība ir atbilstoša koncentrācijai plazmā. Smagas nieru mazspējas (kreatinīna klīrenss mazāks par 10 ml/min) gadījumā paracetamola un tā metabolītu eliminācija ir ilgāka.</w:t>
      </w:r>
    </w:p>
    <w:p w14:paraId="69AAB595" w14:textId="77777777" w:rsidR="00AB7241" w:rsidRPr="00716FAD" w:rsidRDefault="00AB7241" w:rsidP="00716FAD">
      <w:pPr>
        <w:pStyle w:val="Default"/>
        <w:jc w:val="both"/>
        <w:rPr>
          <w:sz w:val="22"/>
          <w:szCs w:val="22"/>
          <w:lang w:val="lv-LV"/>
        </w:rPr>
      </w:pPr>
      <w:r w:rsidRPr="00716FAD">
        <w:rPr>
          <w:sz w:val="22"/>
          <w:szCs w:val="22"/>
          <w:lang w:val="lv-LV"/>
        </w:rPr>
        <w:t>Gados vecākiem pacientiem konjugācijas spējas nav izmainītas.</w:t>
      </w:r>
    </w:p>
    <w:p w14:paraId="55051508" w14:textId="77777777" w:rsidR="00AB7241" w:rsidRPr="00716FAD" w:rsidRDefault="00AB7241" w:rsidP="00716FAD">
      <w:pPr>
        <w:pStyle w:val="Default"/>
        <w:jc w:val="both"/>
        <w:rPr>
          <w:sz w:val="22"/>
          <w:szCs w:val="22"/>
          <w:lang w:val="lv-LV"/>
        </w:rPr>
      </w:pPr>
    </w:p>
    <w:p w14:paraId="3F04B012" w14:textId="77777777" w:rsidR="00AB7241" w:rsidRPr="00716FAD" w:rsidRDefault="00AB7241" w:rsidP="00716FAD">
      <w:pPr>
        <w:pStyle w:val="Default"/>
        <w:jc w:val="both"/>
        <w:rPr>
          <w:sz w:val="22"/>
          <w:szCs w:val="22"/>
          <w:lang w:val="lv-LV"/>
        </w:rPr>
      </w:pPr>
      <w:r w:rsidRPr="00716FAD">
        <w:rPr>
          <w:sz w:val="22"/>
          <w:szCs w:val="22"/>
          <w:u w:val="single"/>
          <w:lang w:val="lv-LV"/>
        </w:rPr>
        <w:t>Acetilsalicilskābe</w:t>
      </w:r>
    </w:p>
    <w:p w14:paraId="31E3660D" w14:textId="77777777" w:rsidR="00AB7241" w:rsidRPr="00716FAD" w:rsidRDefault="00AB7241" w:rsidP="00716FAD">
      <w:pPr>
        <w:tabs>
          <w:tab w:val="clear" w:pos="567"/>
        </w:tabs>
        <w:spacing w:line="240" w:lineRule="auto"/>
        <w:jc w:val="both"/>
        <w:rPr>
          <w:i/>
          <w:color w:val="000000"/>
          <w:szCs w:val="22"/>
        </w:rPr>
      </w:pPr>
      <w:r w:rsidRPr="00716FAD">
        <w:rPr>
          <w:i/>
          <w:color w:val="000000"/>
          <w:szCs w:val="22"/>
        </w:rPr>
        <w:t>Uzsūkšanās</w:t>
      </w:r>
    </w:p>
    <w:p w14:paraId="7BCECD72" w14:textId="77777777" w:rsidR="00AB7241" w:rsidRPr="00716FAD" w:rsidRDefault="00AB7241" w:rsidP="00716FAD">
      <w:pPr>
        <w:pStyle w:val="Default"/>
        <w:jc w:val="both"/>
        <w:rPr>
          <w:sz w:val="22"/>
          <w:szCs w:val="22"/>
          <w:lang w:val="lv-LV"/>
        </w:rPr>
      </w:pPr>
      <w:r w:rsidRPr="00716FAD">
        <w:rPr>
          <w:sz w:val="22"/>
          <w:szCs w:val="22"/>
          <w:lang w:val="lv-LV"/>
        </w:rPr>
        <w:t>Pēc iekšķīgas lietošanas acetilsalicilskābe uzsūcas ātri un tā daļēji uzsūcas no kuņģa, bet galvenokārt no augšējām tievajām zarnām. Maksimālā koncentrācija tiek sasniegta 20 - 40 minūšu laikā. Ēdiena klātbūtne aizkavē salicilātu uzsūkšanos.</w:t>
      </w:r>
    </w:p>
    <w:p w14:paraId="47AC8E9E" w14:textId="77777777" w:rsidR="00AB7241" w:rsidRPr="00716FAD" w:rsidRDefault="00AB7241" w:rsidP="00716FAD">
      <w:pPr>
        <w:pStyle w:val="Default"/>
        <w:jc w:val="both"/>
        <w:rPr>
          <w:sz w:val="22"/>
          <w:szCs w:val="22"/>
          <w:lang w:val="lv-LV"/>
        </w:rPr>
      </w:pPr>
    </w:p>
    <w:p w14:paraId="41E81525" w14:textId="77777777" w:rsidR="00AB7241" w:rsidRPr="00716FAD" w:rsidRDefault="00AB7241" w:rsidP="00716FAD">
      <w:pPr>
        <w:pStyle w:val="Default"/>
        <w:jc w:val="both"/>
        <w:rPr>
          <w:sz w:val="22"/>
          <w:szCs w:val="22"/>
          <w:lang w:val="lv-LV"/>
        </w:rPr>
      </w:pPr>
      <w:r w:rsidRPr="00716FAD">
        <w:rPr>
          <w:sz w:val="22"/>
          <w:szCs w:val="22"/>
          <w:lang w:val="lv-LV"/>
        </w:rPr>
        <w:t>Plazmā acetilsalicilskābe tiek ātri hidrolizēta par salicilskābi. Maksimālā koncentrācija asinīs tiek sasniegta 2 – 4 stundu laikā, neatkarīgi vai to lieto tukšā dūšā vai pēc ēšanas.</w:t>
      </w:r>
    </w:p>
    <w:p w14:paraId="7F800CCC" w14:textId="77777777" w:rsidR="00AB7241" w:rsidRPr="00716FAD" w:rsidRDefault="00AB7241" w:rsidP="00716FAD">
      <w:pPr>
        <w:pStyle w:val="Default"/>
        <w:jc w:val="both"/>
        <w:rPr>
          <w:sz w:val="22"/>
          <w:szCs w:val="22"/>
          <w:lang w:val="lv-LV"/>
        </w:rPr>
      </w:pPr>
    </w:p>
    <w:p w14:paraId="6E77DE93" w14:textId="77777777" w:rsidR="00AB7241" w:rsidRPr="00716FAD" w:rsidRDefault="00AB7241" w:rsidP="00716FAD">
      <w:pPr>
        <w:tabs>
          <w:tab w:val="clear" w:pos="567"/>
        </w:tabs>
        <w:spacing w:line="240" w:lineRule="auto"/>
        <w:jc w:val="both"/>
        <w:rPr>
          <w:i/>
          <w:color w:val="000000"/>
          <w:szCs w:val="22"/>
        </w:rPr>
      </w:pPr>
      <w:r w:rsidRPr="00716FAD">
        <w:rPr>
          <w:i/>
          <w:color w:val="000000"/>
          <w:szCs w:val="22"/>
        </w:rPr>
        <w:t>Izkliede</w:t>
      </w:r>
    </w:p>
    <w:p w14:paraId="07A29FF9" w14:textId="77777777" w:rsidR="00AB7241" w:rsidRPr="00716FAD" w:rsidRDefault="00AB7241" w:rsidP="00716FAD">
      <w:pPr>
        <w:pStyle w:val="Default"/>
        <w:jc w:val="both"/>
        <w:rPr>
          <w:sz w:val="22"/>
          <w:szCs w:val="22"/>
          <w:lang w:val="lv-LV"/>
        </w:rPr>
      </w:pPr>
      <w:r w:rsidRPr="00716FAD">
        <w:rPr>
          <w:sz w:val="22"/>
          <w:szCs w:val="22"/>
          <w:lang w:val="lv-LV"/>
        </w:rPr>
        <w:t>Pēc uzsūkšanās salicilāti izkliedējas gandrīz visos organisma audos un vairumā transcelulāro šķīdumu (sinoviālajā šķīdumā, peritoneālajā šķīdumā, cerebrospinālajā šķīdumā).</w:t>
      </w:r>
    </w:p>
    <w:p w14:paraId="04DFBC99" w14:textId="77777777" w:rsidR="00AB7241" w:rsidRPr="00716FAD" w:rsidRDefault="00AB7241" w:rsidP="00716FAD">
      <w:pPr>
        <w:pStyle w:val="Default"/>
        <w:jc w:val="both"/>
        <w:rPr>
          <w:sz w:val="22"/>
          <w:szCs w:val="22"/>
          <w:lang w:val="lv-LV"/>
        </w:rPr>
      </w:pPr>
    </w:p>
    <w:p w14:paraId="1652E259" w14:textId="77777777" w:rsidR="00AB7241" w:rsidRPr="00716FAD" w:rsidRDefault="00AB7241" w:rsidP="00716FAD">
      <w:pPr>
        <w:pStyle w:val="Default"/>
        <w:jc w:val="both"/>
        <w:rPr>
          <w:sz w:val="22"/>
          <w:szCs w:val="22"/>
          <w:lang w:val="lv-LV"/>
        </w:rPr>
      </w:pPr>
      <w:r w:rsidRPr="00716FAD">
        <w:rPr>
          <w:sz w:val="22"/>
          <w:szCs w:val="22"/>
          <w:lang w:val="lv-LV"/>
        </w:rPr>
        <w:t>Izkliedes tilpums mainās atbilstoši lietotajai devai un tas ir robežās no 0,1 – 0,2 l/kg. Klīniski nozīmīgā koncentrācijā 50 – 90% salicilātu saistās ar plazmas olbaltumvielām, galvenokārt albumīnu.</w:t>
      </w:r>
    </w:p>
    <w:p w14:paraId="04C21C9E" w14:textId="77777777" w:rsidR="00AB7241" w:rsidRPr="00716FAD" w:rsidRDefault="00AB7241" w:rsidP="00716FAD">
      <w:pPr>
        <w:pStyle w:val="Default"/>
        <w:jc w:val="both"/>
        <w:rPr>
          <w:sz w:val="22"/>
          <w:szCs w:val="22"/>
          <w:lang w:val="lv-LV"/>
        </w:rPr>
      </w:pPr>
    </w:p>
    <w:p w14:paraId="25D09A4A" w14:textId="77777777" w:rsidR="00AB7241" w:rsidRPr="00716FAD" w:rsidRDefault="00AB7241" w:rsidP="00716FAD">
      <w:pPr>
        <w:pStyle w:val="Default"/>
        <w:jc w:val="both"/>
        <w:rPr>
          <w:sz w:val="22"/>
          <w:szCs w:val="22"/>
          <w:lang w:val="lv-LV"/>
        </w:rPr>
      </w:pPr>
      <w:r w:rsidRPr="00716FAD">
        <w:rPr>
          <w:sz w:val="22"/>
          <w:szCs w:val="22"/>
          <w:lang w:val="lv-LV"/>
        </w:rPr>
        <w:t>Biopieejamība ir 80 līdz 90%.</w:t>
      </w:r>
    </w:p>
    <w:p w14:paraId="4EBBC7E6" w14:textId="77777777" w:rsidR="00AB7241" w:rsidRPr="00716FAD" w:rsidRDefault="00AB7241" w:rsidP="00716FAD">
      <w:pPr>
        <w:pStyle w:val="Default"/>
        <w:jc w:val="both"/>
        <w:rPr>
          <w:sz w:val="22"/>
          <w:szCs w:val="22"/>
          <w:lang w:val="lv-LV"/>
        </w:rPr>
      </w:pPr>
    </w:p>
    <w:p w14:paraId="14F0932E" w14:textId="77777777" w:rsidR="00AB7241" w:rsidRPr="00716FAD" w:rsidRDefault="00AB7241" w:rsidP="00716FAD">
      <w:pPr>
        <w:tabs>
          <w:tab w:val="clear" w:pos="567"/>
        </w:tabs>
        <w:spacing w:line="240" w:lineRule="auto"/>
        <w:jc w:val="both"/>
        <w:rPr>
          <w:i/>
          <w:color w:val="000000"/>
          <w:szCs w:val="22"/>
        </w:rPr>
      </w:pPr>
      <w:r w:rsidRPr="00716FAD">
        <w:rPr>
          <w:i/>
          <w:color w:val="000000"/>
          <w:szCs w:val="22"/>
        </w:rPr>
        <w:t>Biotransformācija</w:t>
      </w:r>
    </w:p>
    <w:p w14:paraId="6C4B1045" w14:textId="77777777" w:rsidR="00AB7241" w:rsidRPr="00716FAD" w:rsidRDefault="00AB7241" w:rsidP="00716FAD">
      <w:pPr>
        <w:pStyle w:val="Default"/>
        <w:jc w:val="both"/>
        <w:rPr>
          <w:sz w:val="22"/>
          <w:szCs w:val="22"/>
          <w:lang w:val="lv-LV"/>
        </w:rPr>
      </w:pPr>
      <w:r w:rsidRPr="00716FAD">
        <w:rPr>
          <w:sz w:val="22"/>
          <w:szCs w:val="22"/>
          <w:lang w:val="lv-LV"/>
        </w:rPr>
        <w:t>Liels daudzums no iekšķīgi lietotās acetilsalicilskābes devas tiek hidrolizēta presistēmiski, atlikusī daļa tiek hidrolizēta tūlīt pēc uzsūkšanās (t</w:t>
      </w:r>
      <w:r w:rsidRPr="00716FAD">
        <w:rPr>
          <w:sz w:val="22"/>
          <w:szCs w:val="22"/>
          <w:vertAlign w:val="subscript"/>
          <w:lang w:val="lv-LV"/>
        </w:rPr>
        <w:t>½</w:t>
      </w:r>
      <w:r w:rsidRPr="00716FAD">
        <w:rPr>
          <w:sz w:val="22"/>
          <w:szCs w:val="22"/>
          <w:lang w:val="lv-LV"/>
        </w:rPr>
        <w:t xml:space="preserve"> ir apmēram 15 minūtes). Salicilātu biotransformācija notiek daudzos audos, bet galvenokārt aknu šūnās. Trīs galvenie metabolisma produkti ir salicilurīnskābe (glicīna konjugāts), glikuronīda ēteris vai fenolglikuronīds un glikuronīda esteris vai acilglikuronīds, gentizīnskābe un gentizīnurīnskābe (glicīna konjugāts).</w:t>
      </w:r>
    </w:p>
    <w:p w14:paraId="16BC08A0" w14:textId="77777777" w:rsidR="00AB7241" w:rsidRPr="00716FAD" w:rsidRDefault="00AB7241" w:rsidP="00716FAD">
      <w:pPr>
        <w:pStyle w:val="Default"/>
        <w:jc w:val="both"/>
        <w:rPr>
          <w:sz w:val="22"/>
          <w:szCs w:val="22"/>
          <w:lang w:val="lv-LV"/>
        </w:rPr>
      </w:pPr>
    </w:p>
    <w:p w14:paraId="46A3A8C8" w14:textId="77777777" w:rsidR="00AB7241" w:rsidRPr="00716FAD" w:rsidRDefault="00AB7241" w:rsidP="00716FAD">
      <w:pPr>
        <w:tabs>
          <w:tab w:val="clear" w:pos="567"/>
        </w:tabs>
        <w:spacing w:line="240" w:lineRule="auto"/>
        <w:jc w:val="both"/>
        <w:rPr>
          <w:i/>
          <w:color w:val="000000"/>
          <w:szCs w:val="22"/>
        </w:rPr>
      </w:pPr>
      <w:r w:rsidRPr="00716FAD">
        <w:rPr>
          <w:i/>
          <w:color w:val="000000"/>
          <w:szCs w:val="22"/>
        </w:rPr>
        <w:t>Eliminācija</w:t>
      </w:r>
    </w:p>
    <w:p w14:paraId="0F8EE583" w14:textId="77777777" w:rsidR="00AB7241" w:rsidRPr="00716FAD" w:rsidRDefault="00AB7241" w:rsidP="00716FAD">
      <w:pPr>
        <w:pStyle w:val="Default"/>
        <w:jc w:val="both"/>
        <w:rPr>
          <w:sz w:val="22"/>
          <w:szCs w:val="22"/>
          <w:lang w:val="lv-LV"/>
        </w:rPr>
      </w:pPr>
      <w:r w:rsidRPr="00716FAD">
        <w:rPr>
          <w:sz w:val="22"/>
          <w:szCs w:val="22"/>
          <w:lang w:val="lv-LV"/>
        </w:rPr>
        <w:t>Salicilāti izdalās ar urīnu brīvas salicilskābes viedā (apmēram 3 – 10%), salicilurīnskābes veidā (70 – 75 %) un glikuronīdu veidā (10 – 20%).</w:t>
      </w:r>
    </w:p>
    <w:p w14:paraId="780798CB" w14:textId="77777777" w:rsidR="00AB7241" w:rsidRPr="00716FAD" w:rsidRDefault="00AB7241" w:rsidP="00716FAD">
      <w:pPr>
        <w:pStyle w:val="Default"/>
        <w:jc w:val="both"/>
        <w:rPr>
          <w:sz w:val="22"/>
          <w:szCs w:val="22"/>
          <w:lang w:val="lv-LV"/>
        </w:rPr>
      </w:pPr>
    </w:p>
    <w:p w14:paraId="567DAB84" w14:textId="77777777" w:rsidR="00AB7241" w:rsidRPr="00716FAD" w:rsidRDefault="00AB7241" w:rsidP="00716FAD">
      <w:pPr>
        <w:pStyle w:val="Default"/>
        <w:jc w:val="both"/>
        <w:rPr>
          <w:sz w:val="22"/>
          <w:szCs w:val="22"/>
          <w:lang w:val="lv-LV"/>
        </w:rPr>
      </w:pPr>
      <w:r w:rsidRPr="00716FAD">
        <w:rPr>
          <w:sz w:val="22"/>
          <w:szCs w:val="22"/>
          <w:lang w:val="lv-LV"/>
        </w:rPr>
        <w:t>Salicilātu izdalīšanās ir atkarīga no urīna pH līmeņa un tā ir vislielākā, ja pH ir vienāds vai lielāks par 7.</w:t>
      </w:r>
    </w:p>
    <w:p w14:paraId="2E29C5E4" w14:textId="77777777" w:rsidR="00AB7241" w:rsidRPr="00716FAD" w:rsidRDefault="00AB7241" w:rsidP="00716FAD">
      <w:pPr>
        <w:pStyle w:val="Default"/>
        <w:jc w:val="both"/>
        <w:rPr>
          <w:sz w:val="22"/>
          <w:szCs w:val="22"/>
          <w:lang w:val="lv-LV"/>
        </w:rPr>
      </w:pPr>
    </w:p>
    <w:p w14:paraId="139974A0" w14:textId="77777777" w:rsidR="00AB7241" w:rsidRPr="00716FAD" w:rsidRDefault="00AB7241" w:rsidP="00716FAD">
      <w:pPr>
        <w:pStyle w:val="Default"/>
        <w:jc w:val="both"/>
        <w:rPr>
          <w:sz w:val="22"/>
          <w:szCs w:val="22"/>
          <w:lang w:val="lv-LV"/>
        </w:rPr>
      </w:pPr>
      <w:r w:rsidRPr="00716FAD">
        <w:rPr>
          <w:sz w:val="22"/>
          <w:szCs w:val="22"/>
          <w:lang w:val="lv-LV"/>
        </w:rPr>
        <w:t>Acetilsalicilskābes plazmas eliminācijas pusperiods ir apmēram 15 minūtes, mazu devu salicilskābes eliminācijas pusperiods ir 2 līdz 3 stundas un tas pagarinās, lietojot lielākas devas.</w:t>
      </w:r>
    </w:p>
    <w:p w14:paraId="011BEBD4" w14:textId="77777777" w:rsidR="00AB7241" w:rsidRPr="00716FAD" w:rsidRDefault="00AB7241" w:rsidP="00716FAD">
      <w:pPr>
        <w:pStyle w:val="Default"/>
        <w:jc w:val="both"/>
        <w:rPr>
          <w:sz w:val="22"/>
          <w:szCs w:val="22"/>
          <w:lang w:val="lv-LV"/>
        </w:rPr>
      </w:pPr>
    </w:p>
    <w:p w14:paraId="2732E55B" w14:textId="77777777" w:rsidR="00AB7241" w:rsidRPr="00716FAD" w:rsidRDefault="00AB7241" w:rsidP="00716FAD">
      <w:pPr>
        <w:pStyle w:val="Default"/>
        <w:jc w:val="both"/>
        <w:rPr>
          <w:sz w:val="22"/>
          <w:szCs w:val="22"/>
          <w:lang w:val="lv-LV"/>
        </w:rPr>
      </w:pPr>
      <w:r w:rsidRPr="00716FAD">
        <w:rPr>
          <w:sz w:val="22"/>
          <w:szCs w:val="22"/>
          <w:lang w:val="lv-LV"/>
        </w:rPr>
        <w:t xml:space="preserve">Šīs, no devas atkarīgās eliminācijas, pamatā ir ierobežotā aknu spēja veidot salicilurīnskābi un </w:t>
      </w:r>
      <w:r w:rsidRPr="00716FAD">
        <w:rPr>
          <w:sz w:val="22"/>
          <w:szCs w:val="22"/>
          <w:lang w:val="lv-LV"/>
        </w:rPr>
        <w:lastRenderedPageBreak/>
        <w:t>fenolglikuronīdu.</w:t>
      </w:r>
    </w:p>
    <w:p w14:paraId="66959685" w14:textId="77777777" w:rsidR="00AB7241" w:rsidRPr="00716FAD" w:rsidRDefault="00AB7241" w:rsidP="00716FAD">
      <w:pPr>
        <w:pStyle w:val="Default"/>
        <w:jc w:val="both"/>
        <w:rPr>
          <w:sz w:val="22"/>
          <w:szCs w:val="22"/>
          <w:lang w:val="lv-LV"/>
        </w:rPr>
      </w:pPr>
    </w:p>
    <w:p w14:paraId="13BC5615" w14:textId="77777777" w:rsidR="00AB7241" w:rsidRPr="00716FAD" w:rsidRDefault="00AB7241" w:rsidP="00716FAD">
      <w:pPr>
        <w:pStyle w:val="Default"/>
        <w:jc w:val="both"/>
        <w:rPr>
          <w:sz w:val="22"/>
          <w:szCs w:val="22"/>
          <w:lang w:val="lv-LV"/>
        </w:rPr>
      </w:pPr>
      <w:r w:rsidRPr="00716FAD">
        <w:rPr>
          <w:sz w:val="22"/>
          <w:szCs w:val="22"/>
          <w:u w:val="single"/>
          <w:lang w:val="lv-LV"/>
        </w:rPr>
        <w:t>Kofeīns</w:t>
      </w:r>
    </w:p>
    <w:p w14:paraId="3B3F12AF" w14:textId="77777777" w:rsidR="00AB7241" w:rsidRPr="00716FAD" w:rsidRDefault="00AB7241" w:rsidP="00716FAD">
      <w:pPr>
        <w:tabs>
          <w:tab w:val="clear" w:pos="567"/>
        </w:tabs>
        <w:spacing w:line="240" w:lineRule="auto"/>
        <w:jc w:val="both"/>
        <w:rPr>
          <w:i/>
          <w:color w:val="000000"/>
          <w:szCs w:val="22"/>
        </w:rPr>
      </w:pPr>
      <w:r w:rsidRPr="00716FAD">
        <w:rPr>
          <w:i/>
          <w:color w:val="000000"/>
          <w:szCs w:val="22"/>
        </w:rPr>
        <w:t>Uzsūkšanās</w:t>
      </w:r>
    </w:p>
    <w:p w14:paraId="7DBCA01B" w14:textId="77777777" w:rsidR="00AB7241" w:rsidRPr="00716FAD" w:rsidRDefault="00AB7241" w:rsidP="00716FAD">
      <w:pPr>
        <w:pStyle w:val="Default"/>
        <w:jc w:val="both"/>
        <w:rPr>
          <w:sz w:val="22"/>
          <w:szCs w:val="22"/>
          <w:lang w:val="lv-LV"/>
        </w:rPr>
      </w:pPr>
      <w:r w:rsidRPr="00716FAD">
        <w:rPr>
          <w:sz w:val="22"/>
          <w:szCs w:val="22"/>
          <w:lang w:val="lv-LV"/>
        </w:rPr>
        <w:t>Pēc iekšķīgas lietošanas kofeīns uzsūcas ātri un gandrīz pilnībā (t½ = 2 – 13 minūtes) un biopieejamība ir gandrīz pilnīga. Pēc 5 mg/kg lielas kofeīna devas lietošanas C</w:t>
      </w:r>
      <w:r w:rsidRPr="00716FAD">
        <w:rPr>
          <w:sz w:val="22"/>
          <w:szCs w:val="22"/>
          <w:vertAlign w:val="subscript"/>
          <w:lang w:val="lv-LV"/>
        </w:rPr>
        <w:t>max</w:t>
      </w:r>
      <w:r w:rsidRPr="00716FAD">
        <w:rPr>
          <w:sz w:val="22"/>
          <w:szCs w:val="22"/>
          <w:lang w:val="lv-LV"/>
        </w:rPr>
        <w:t xml:space="preserve"> tika sasniegts 30 – 40 minūšu laikā.</w:t>
      </w:r>
    </w:p>
    <w:p w14:paraId="48573886" w14:textId="77777777" w:rsidR="00AB7241" w:rsidRPr="00716FAD" w:rsidRDefault="00AB7241" w:rsidP="00716FAD">
      <w:pPr>
        <w:pStyle w:val="Default"/>
        <w:jc w:val="both"/>
        <w:rPr>
          <w:sz w:val="22"/>
          <w:szCs w:val="22"/>
          <w:lang w:val="lv-LV"/>
        </w:rPr>
      </w:pPr>
    </w:p>
    <w:p w14:paraId="55204B50" w14:textId="77777777" w:rsidR="00AB7241" w:rsidRPr="00716FAD" w:rsidRDefault="00AB7241" w:rsidP="00716FAD">
      <w:pPr>
        <w:tabs>
          <w:tab w:val="clear" w:pos="567"/>
        </w:tabs>
        <w:spacing w:line="240" w:lineRule="auto"/>
        <w:jc w:val="both"/>
        <w:rPr>
          <w:i/>
          <w:color w:val="000000"/>
          <w:szCs w:val="22"/>
        </w:rPr>
      </w:pPr>
      <w:r w:rsidRPr="00716FAD">
        <w:rPr>
          <w:i/>
          <w:color w:val="000000"/>
          <w:szCs w:val="22"/>
        </w:rPr>
        <w:t>Izkliede</w:t>
      </w:r>
    </w:p>
    <w:p w14:paraId="52F625B6" w14:textId="77777777" w:rsidR="00AB7241" w:rsidRPr="00716FAD" w:rsidRDefault="00AB7241" w:rsidP="00716FAD">
      <w:pPr>
        <w:pStyle w:val="Default"/>
        <w:jc w:val="both"/>
        <w:rPr>
          <w:sz w:val="22"/>
          <w:szCs w:val="22"/>
          <w:lang w:val="lv-LV"/>
        </w:rPr>
      </w:pPr>
      <w:r w:rsidRPr="00716FAD">
        <w:rPr>
          <w:sz w:val="22"/>
          <w:szCs w:val="22"/>
          <w:lang w:val="lv-LV"/>
        </w:rPr>
        <w:t xml:space="preserve">Saistīšanās ar plazmas olbaltumvielām ir mainīga (30 līdz 40%) un izplatības tilpums ir 0,52 – 1,06 l/kg. Kofeīns izplatās pa visu organismu un tas ātri šķērso </w:t>
      </w:r>
      <w:r w:rsidR="006E71C5" w:rsidRPr="00716FAD">
        <w:rPr>
          <w:sz w:val="22"/>
          <w:szCs w:val="22"/>
          <w:lang w:val="lv-LV"/>
        </w:rPr>
        <w:t>hematoencefālo</w:t>
      </w:r>
      <w:r w:rsidRPr="00716FAD">
        <w:rPr>
          <w:sz w:val="22"/>
          <w:szCs w:val="22"/>
          <w:lang w:val="lv-LV"/>
        </w:rPr>
        <w:t xml:space="preserve"> barjeru, placentu un tas izdalās ar mātes pienu.</w:t>
      </w:r>
    </w:p>
    <w:p w14:paraId="4811954D" w14:textId="77777777" w:rsidR="00AB7241" w:rsidRPr="00716FAD" w:rsidRDefault="00AB7241" w:rsidP="00716FAD">
      <w:pPr>
        <w:pStyle w:val="Default"/>
        <w:jc w:val="both"/>
        <w:rPr>
          <w:sz w:val="22"/>
          <w:szCs w:val="22"/>
          <w:lang w:val="lv-LV"/>
        </w:rPr>
      </w:pPr>
    </w:p>
    <w:p w14:paraId="6599912C" w14:textId="77777777" w:rsidR="00AB7241" w:rsidRPr="00716FAD" w:rsidRDefault="00AB7241" w:rsidP="00716FAD">
      <w:pPr>
        <w:tabs>
          <w:tab w:val="clear" w:pos="567"/>
        </w:tabs>
        <w:spacing w:line="240" w:lineRule="auto"/>
        <w:jc w:val="both"/>
        <w:rPr>
          <w:i/>
          <w:color w:val="000000"/>
          <w:szCs w:val="22"/>
        </w:rPr>
      </w:pPr>
      <w:r w:rsidRPr="00716FAD">
        <w:rPr>
          <w:i/>
          <w:color w:val="000000"/>
          <w:szCs w:val="22"/>
        </w:rPr>
        <w:t>Eliminācija</w:t>
      </w:r>
    </w:p>
    <w:p w14:paraId="4F633BE5" w14:textId="77777777" w:rsidR="00AB7241" w:rsidRPr="00716FAD" w:rsidRDefault="00AB7241" w:rsidP="00716FAD">
      <w:pPr>
        <w:pStyle w:val="Default"/>
        <w:jc w:val="both"/>
        <w:rPr>
          <w:sz w:val="22"/>
          <w:szCs w:val="22"/>
          <w:lang w:val="lv-LV"/>
        </w:rPr>
      </w:pPr>
      <w:r w:rsidRPr="00716FAD">
        <w:rPr>
          <w:sz w:val="22"/>
          <w:szCs w:val="22"/>
          <w:lang w:val="lv-LV"/>
        </w:rPr>
        <w:t>Plazmas eliminācijas pusperiods ir robežās starp 4,1 līdz 5,17 stundām, lai gan intra – un interindividuālas svārstības ir izraisījušas par 9 līdz 10 stundu ilgu eliminācijas pusperiodu.</w:t>
      </w:r>
    </w:p>
    <w:p w14:paraId="2CFDA426" w14:textId="77777777" w:rsidR="00AB7241" w:rsidRPr="00716FAD" w:rsidRDefault="00AB7241" w:rsidP="00716FAD">
      <w:pPr>
        <w:pStyle w:val="Default"/>
        <w:jc w:val="both"/>
        <w:rPr>
          <w:sz w:val="22"/>
          <w:szCs w:val="22"/>
          <w:lang w:val="lv-LV"/>
        </w:rPr>
      </w:pPr>
    </w:p>
    <w:p w14:paraId="198F051F" w14:textId="77777777" w:rsidR="00AB7241" w:rsidRPr="00716FAD" w:rsidRDefault="00AB7241" w:rsidP="00716FAD">
      <w:pPr>
        <w:pStyle w:val="Default"/>
        <w:jc w:val="both"/>
        <w:rPr>
          <w:sz w:val="22"/>
          <w:szCs w:val="22"/>
          <w:lang w:val="lv-LV"/>
        </w:rPr>
      </w:pPr>
      <w:r w:rsidRPr="00716FAD">
        <w:rPr>
          <w:sz w:val="22"/>
          <w:szCs w:val="22"/>
          <w:lang w:val="lv-LV"/>
        </w:rPr>
        <w:t>Kofeīns un tā metabolīti tiek izvadīti galvenokārt ar urīnu. 48 stundu laikā savāktajā urīna tika konstatēts 86% lietotās devas, no kuras ne vairāk kā 1,8% bija neizmainīts kofeīns. Galveni metabolīti ir 1 – metilurīnskābe (12 – 38%), 1 – metilksantīns (8 – 19%) un 5 – acetilamino– 6 – amino – 3 metil – uracils (15%). Izkārnījumos konstatēja tikai 2 – 5% no lietotās devas. Tika konstatēts, ka 1,7 dimetilurīnskābe ir galvenais metabolīts, kas sastāda 44% no kopējā daudzuma.</w:t>
      </w:r>
    </w:p>
    <w:p w14:paraId="1EC43C66" w14:textId="77777777" w:rsidR="00CD10AA" w:rsidRPr="00716FAD" w:rsidRDefault="00CD10AA" w:rsidP="00716FAD">
      <w:pPr>
        <w:spacing w:line="240" w:lineRule="auto"/>
        <w:jc w:val="both"/>
        <w:rPr>
          <w:color w:val="000000"/>
          <w:szCs w:val="22"/>
        </w:rPr>
      </w:pPr>
    </w:p>
    <w:p w14:paraId="694DC921" w14:textId="77777777" w:rsidR="00CD10AA" w:rsidRPr="00716FAD" w:rsidRDefault="00CD10AA" w:rsidP="00716FAD">
      <w:pPr>
        <w:tabs>
          <w:tab w:val="clear" w:pos="567"/>
        </w:tabs>
        <w:spacing w:line="240" w:lineRule="auto"/>
        <w:jc w:val="both"/>
        <w:rPr>
          <w:color w:val="000000"/>
          <w:szCs w:val="22"/>
        </w:rPr>
      </w:pPr>
      <w:r w:rsidRPr="00716FAD">
        <w:rPr>
          <w:b/>
          <w:color w:val="000000"/>
          <w:szCs w:val="22"/>
        </w:rPr>
        <w:t>5.3</w:t>
      </w:r>
      <w:r w:rsidR="008C59E2" w:rsidRPr="00716FAD">
        <w:rPr>
          <w:b/>
          <w:color w:val="000000"/>
          <w:szCs w:val="22"/>
        </w:rPr>
        <w:t>.</w:t>
      </w:r>
      <w:r w:rsidRPr="00716FAD">
        <w:rPr>
          <w:b/>
          <w:color w:val="000000"/>
          <w:szCs w:val="22"/>
        </w:rPr>
        <w:tab/>
        <w:t>Preklīniskie dati par droš</w:t>
      </w:r>
      <w:r w:rsidR="00E53972" w:rsidRPr="00716FAD">
        <w:rPr>
          <w:b/>
          <w:color w:val="000000"/>
          <w:szCs w:val="22"/>
        </w:rPr>
        <w:t>umu</w:t>
      </w:r>
    </w:p>
    <w:p w14:paraId="6829DA0B" w14:textId="77777777" w:rsidR="00716FAD" w:rsidRPr="00716FAD" w:rsidRDefault="00716FAD" w:rsidP="00716FAD">
      <w:pPr>
        <w:pStyle w:val="Default"/>
        <w:jc w:val="both"/>
        <w:rPr>
          <w:sz w:val="22"/>
          <w:szCs w:val="22"/>
          <w:u w:val="single"/>
          <w:lang w:val="lv-LV"/>
        </w:rPr>
      </w:pPr>
    </w:p>
    <w:p w14:paraId="289EB6C8" w14:textId="77777777" w:rsidR="00AB7241" w:rsidRPr="00716FAD" w:rsidRDefault="00AB7241" w:rsidP="00716FAD">
      <w:pPr>
        <w:pStyle w:val="Default"/>
        <w:jc w:val="both"/>
        <w:rPr>
          <w:sz w:val="22"/>
          <w:szCs w:val="22"/>
          <w:u w:val="single"/>
          <w:lang w:val="lv-LV"/>
        </w:rPr>
      </w:pPr>
      <w:r w:rsidRPr="00716FAD">
        <w:rPr>
          <w:sz w:val="22"/>
          <w:szCs w:val="22"/>
          <w:u w:val="single"/>
          <w:lang w:val="lv-LV"/>
        </w:rPr>
        <w:t>Paracetamols</w:t>
      </w:r>
    </w:p>
    <w:p w14:paraId="6BD6E7E0" w14:textId="77777777" w:rsidR="00AB7241" w:rsidRPr="00716FAD" w:rsidRDefault="00AB7241" w:rsidP="00716FAD">
      <w:pPr>
        <w:pStyle w:val="Default"/>
        <w:jc w:val="both"/>
        <w:rPr>
          <w:sz w:val="22"/>
          <w:szCs w:val="22"/>
          <w:lang w:val="lv-LV"/>
        </w:rPr>
      </w:pPr>
      <w:r w:rsidRPr="00716FAD">
        <w:rPr>
          <w:sz w:val="22"/>
          <w:szCs w:val="22"/>
          <w:lang w:val="lv-LV"/>
        </w:rPr>
        <w:t>Pētījumos ar dzīvniekiem, izvērtējot paracetamola akūto, subhronisko un hronisko toksicitāti žurkām un pelēm, tika novēroti kuņģa – zarnu trakta bojājumi, izmaiņas asinsainā, aknu un nieru parenhīmas bojājumi un nekroze. No vienas puses šīs izmaiņas ir attiecināmas uz darbības mehānismu, no otras puses uz paracetamola metabolismu.</w:t>
      </w:r>
    </w:p>
    <w:p w14:paraId="2E8A78AF" w14:textId="77777777" w:rsidR="00AB7241" w:rsidRPr="00716FAD" w:rsidRDefault="00AB7241" w:rsidP="00716FAD">
      <w:pPr>
        <w:pStyle w:val="Default"/>
        <w:jc w:val="both"/>
        <w:rPr>
          <w:sz w:val="22"/>
          <w:szCs w:val="22"/>
          <w:lang w:val="lv-LV"/>
        </w:rPr>
      </w:pPr>
    </w:p>
    <w:p w14:paraId="1144923E" w14:textId="77777777" w:rsidR="00AB7241" w:rsidRPr="00716FAD" w:rsidRDefault="00AB7241" w:rsidP="00716FAD">
      <w:pPr>
        <w:pStyle w:val="Default"/>
        <w:jc w:val="both"/>
        <w:rPr>
          <w:sz w:val="22"/>
          <w:szCs w:val="22"/>
          <w:lang w:val="lv-LV"/>
        </w:rPr>
      </w:pPr>
      <w:r w:rsidRPr="00716FAD">
        <w:rPr>
          <w:sz w:val="22"/>
          <w:szCs w:val="22"/>
          <w:lang w:val="lv-LV"/>
        </w:rPr>
        <w:t>Plaši izmeklējumi, lietojot paracetamolu terapeitiskajās devās (netoksiskās devās), neuzrādīja nekādu nozīmīgu paracetamola genotoksicitātes risku.</w:t>
      </w:r>
    </w:p>
    <w:p w14:paraId="0EAAFEA3" w14:textId="77777777" w:rsidR="00AB7241" w:rsidRPr="00716FAD" w:rsidRDefault="00AB7241" w:rsidP="00716FAD">
      <w:pPr>
        <w:pStyle w:val="Default"/>
        <w:jc w:val="both"/>
        <w:rPr>
          <w:sz w:val="22"/>
          <w:szCs w:val="22"/>
          <w:lang w:val="lv-LV"/>
        </w:rPr>
      </w:pPr>
    </w:p>
    <w:p w14:paraId="50F769D6" w14:textId="77777777" w:rsidR="00AB7241" w:rsidRPr="00716FAD" w:rsidRDefault="00AB7241" w:rsidP="00716FAD">
      <w:pPr>
        <w:pStyle w:val="Default"/>
        <w:jc w:val="both"/>
        <w:rPr>
          <w:sz w:val="22"/>
          <w:szCs w:val="22"/>
          <w:lang w:val="lv-LV"/>
        </w:rPr>
      </w:pPr>
      <w:r w:rsidRPr="00716FAD">
        <w:rPr>
          <w:sz w:val="22"/>
          <w:szCs w:val="22"/>
          <w:lang w:val="lv-LV"/>
        </w:rPr>
        <w:t>Ilgstošos pētījumos ar žurkām un pelēm, lietojot ne-hepatotoksiskas paracetamola devas, netika novērota nekāda būtiska kancerogēna iedarbība.</w:t>
      </w:r>
    </w:p>
    <w:p w14:paraId="3EA4208B" w14:textId="77777777" w:rsidR="00AB7241" w:rsidRPr="00716FAD" w:rsidRDefault="00AB7241" w:rsidP="00716FAD">
      <w:pPr>
        <w:pStyle w:val="Default"/>
        <w:jc w:val="both"/>
        <w:rPr>
          <w:sz w:val="22"/>
          <w:szCs w:val="22"/>
          <w:lang w:val="lv-LV"/>
        </w:rPr>
      </w:pPr>
    </w:p>
    <w:p w14:paraId="39813A41" w14:textId="77777777" w:rsidR="00AB7241" w:rsidRPr="00716FAD" w:rsidRDefault="00AB7241" w:rsidP="00716FAD">
      <w:pPr>
        <w:pStyle w:val="Default"/>
        <w:jc w:val="both"/>
        <w:rPr>
          <w:sz w:val="22"/>
          <w:szCs w:val="22"/>
          <w:lang w:val="lv-LV"/>
        </w:rPr>
      </w:pPr>
      <w:r w:rsidRPr="00716FAD">
        <w:rPr>
          <w:sz w:val="22"/>
          <w:szCs w:val="22"/>
          <w:lang w:val="lv-LV"/>
        </w:rPr>
        <w:t xml:space="preserve">Paracetamols šķērso </w:t>
      </w:r>
      <w:r w:rsidR="00F402BF" w:rsidRPr="00716FAD">
        <w:rPr>
          <w:sz w:val="22"/>
          <w:szCs w:val="22"/>
          <w:lang w:val="lv-LV"/>
        </w:rPr>
        <w:t xml:space="preserve">placentāro </w:t>
      </w:r>
      <w:r w:rsidRPr="00716FAD">
        <w:rPr>
          <w:sz w:val="22"/>
          <w:szCs w:val="22"/>
          <w:lang w:val="lv-LV"/>
        </w:rPr>
        <w:t>barjeru.</w:t>
      </w:r>
    </w:p>
    <w:p w14:paraId="2DA4AD93" w14:textId="77777777" w:rsidR="00AB7241" w:rsidRPr="00716FAD" w:rsidRDefault="00AB7241" w:rsidP="00716FAD">
      <w:pPr>
        <w:pStyle w:val="Default"/>
        <w:jc w:val="both"/>
        <w:rPr>
          <w:sz w:val="22"/>
          <w:szCs w:val="22"/>
          <w:lang w:val="lv-LV"/>
        </w:rPr>
      </w:pPr>
      <w:r w:rsidRPr="00716FAD">
        <w:rPr>
          <w:sz w:val="22"/>
          <w:szCs w:val="22"/>
          <w:lang w:val="lv-LV"/>
        </w:rPr>
        <w:t>Pētījumi ar dzīvniekiem neliecina par reproduktīvo toksicitāti.</w:t>
      </w:r>
    </w:p>
    <w:p w14:paraId="21A3B1B4" w14:textId="77777777" w:rsidR="00AB7241" w:rsidRPr="00716FAD" w:rsidRDefault="00AB7241" w:rsidP="00716FAD">
      <w:pPr>
        <w:pStyle w:val="Default"/>
        <w:jc w:val="both"/>
        <w:rPr>
          <w:sz w:val="22"/>
          <w:szCs w:val="22"/>
          <w:lang w:val="lv-LV"/>
        </w:rPr>
      </w:pPr>
    </w:p>
    <w:p w14:paraId="1FE4FCF1" w14:textId="77777777" w:rsidR="00AB7241" w:rsidRPr="00716FAD" w:rsidRDefault="00AB7241" w:rsidP="00716FAD">
      <w:pPr>
        <w:pStyle w:val="Default"/>
        <w:jc w:val="both"/>
        <w:rPr>
          <w:sz w:val="22"/>
          <w:szCs w:val="22"/>
          <w:lang w:val="lv-LV"/>
        </w:rPr>
      </w:pPr>
      <w:r w:rsidRPr="00716FAD">
        <w:rPr>
          <w:sz w:val="22"/>
          <w:szCs w:val="22"/>
          <w:u w:val="single"/>
          <w:lang w:val="lv-LV"/>
        </w:rPr>
        <w:t>Acetilsalicilskābe</w:t>
      </w:r>
    </w:p>
    <w:p w14:paraId="2EC86605" w14:textId="77777777" w:rsidR="00AB7241" w:rsidRPr="00716FAD" w:rsidRDefault="00AB7241" w:rsidP="00716FAD">
      <w:pPr>
        <w:pStyle w:val="Default"/>
        <w:jc w:val="both"/>
        <w:rPr>
          <w:sz w:val="22"/>
          <w:szCs w:val="22"/>
          <w:lang w:val="lv-LV"/>
        </w:rPr>
      </w:pPr>
      <w:r w:rsidRPr="00716FAD">
        <w:rPr>
          <w:sz w:val="22"/>
          <w:szCs w:val="22"/>
          <w:lang w:val="lv-LV"/>
        </w:rPr>
        <w:t>Pētījumos ar dzīvniekiem, liela salicilātu devu lietošana, izraisīja nieru bojājumus, bet ne organiskus bojājumus.</w:t>
      </w:r>
    </w:p>
    <w:p w14:paraId="58FE97B2" w14:textId="77777777" w:rsidR="00AB7241" w:rsidRPr="00716FAD" w:rsidRDefault="00AB7241" w:rsidP="00716FAD">
      <w:pPr>
        <w:pStyle w:val="Default"/>
        <w:jc w:val="both"/>
        <w:rPr>
          <w:sz w:val="22"/>
          <w:szCs w:val="22"/>
          <w:lang w:val="lv-LV"/>
        </w:rPr>
      </w:pPr>
    </w:p>
    <w:p w14:paraId="3A0E6540" w14:textId="77777777" w:rsidR="00AB7241" w:rsidRPr="00716FAD" w:rsidRDefault="00AB7241" w:rsidP="00716FAD">
      <w:pPr>
        <w:pStyle w:val="Default"/>
        <w:jc w:val="both"/>
        <w:rPr>
          <w:sz w:val="22"/>
          <w:szCs w:val="22"/>
          <w:lang w:val="lv-LV"/>
        </w:rPr>
      </w:pPr>
      <w:r w:rsidRPr="00716FAD">
        <w:rPr>
          <w:sz w:val="22"/>
          <w:szCs w:val="22"/>
          <w:lang w:val="lv-LV"/>
        </w:rPr>
        <w:t>Ilgstoša acetilsalicilskābes lietošana 5 peļu paaudzēs 3 dažādās devās (130 mg/kg dienā, 625 mg/kg dienā, 1270 mg/kg dienā) novēroja ķermeņa masas zudumu, anoreksiju, depresiju un īsāku dzīves ilgumu.</w:t>
      </w:r>
    </w:p>
    <w:p w14:paraId="554F1D11" w14:textId="77777777" w:rsidR="00AB7241" w:rsidRPr="00716FAD" w:rsidRDefault="00AB7241" w:rsidP="00716FAD">
      <w:pPr>
        <w:pStyle w:val="Default"/>
        <w:jc w:val="both"/>
        <w:rPr>
          <w:sz w:val="22"/>
          <w:szCs w:val="22"/>
          <w:lang w:val="lv-LV"/>
        </w:rPr>
      </w:pPr>
    </w:p>
    <w:p w14:paraId="571B06B1" w14:textId="77777777" w:rsidR="00AB7241" w:rsidRPr="00716FAD" w:rsidRDefault="00AB7241" w:rsidP="00716FAD">
      <w:pPr>
        <w:pStyle w:val="Default"/>
        <w:jc w:val="both"/>
        <w:rPr>
          <w:sz w:val="22"/>
          <w:szCs w:val="22"/>
          <w:lang w:val="lv-LV"/>
        </w:rPr>
      </w:pPr>
      <w:r w:rsidRPr="00716FAD">
        <w:rPr>
          <w:sz w:val="22"/>
          <w:szCs w:val="22"/>
          <w:lang w:val="lv-LV"/>
        </w:rPr>
        <w:t>Papilāra nekroze dzīvniekiem novērota tikai atkārtoti lietojot subletālas acetilsalicilskābes devas.</w:t>
      </w:r>
    </w:p>
    <w:p w14:paraId="42DC9542" w14:textId="77777777" w:rsidR="00AB7241" w:rsidRPr="00716FAD" w:rsidRDefault="00AB7241" w:rsidP="00716FAD">
      <w:pPr>
        <w:pStyle w:val="Default"/>
        <w:jc w:val="both"/>
        <w:rPr>
          <w:sz w:val="22"/>
          <w:szCs w:val="22"/>
          <w:lang w:val="lv-LV"/>
        </w:rPr>
      </w:pPr>
    </w:p>
    <w:p w14:paraId="2356E077" w14:textId="77777777" w:rsidR="00AB7241" w:rsidRPr="00716FAD" w:rsidRDefault="00AB7241" w:rsidP="00716FAD">
      <w:pPr>
        <w:pStyle w:val="Default"/>
        <w:jc w:val="both"/>
        <w:rPr>
          <w:sz w:val="22"/>
          <w:szCs w:val="22"/>
          <w:lang w:val="lv-LV"/>
        </w:rPr>
      </w:pPr>
      <w:r w:rsidRPr="00716FAD">
        <w:rPr>
          <w:i/>
          <w:iCs/>
          <w:sz w:val="22"/>
          <w:szCs w:val="22"/>
          <w:lang w:val="lv-LV"/>
        </w:rPr>
        <w:t>In vitro</w:t>
      </w:r>
      <w:r w:rsidRPr="00716FAD">
        <w:rPr>
          <w:sz w:val="22"/>
          <w:szCs w:val="22"/>
          <w:lang w:val="lv-LV"/>
        </w:rPr>
        <w:t xml:space="preserve"> un </w:t>
      </w:r>
      <w:r w:rsidRPr="00716FAD">
        <w:rPr>
          <w:i/>
          <w:iCs/>
          <w:sz w:val="22"/>
          <w:szCs w:val="22"/>
          <w:lang w:val="lv-LV"/>
        </w:rPr>
        <w:t>in vivo</w:t>
      </w:r>
      <w:r w:rsidRPr="00716FAD">
        <w:rPr>
          <w:sz w:val="22"/>
          <w:szCs w:val="22"/>
          <w:lang w:val="lv-LV"/>
        </w:rPr>
        <w:t xml:space="preserve"> pētījumos ir pietiekami izpētīta acetilsalicilskābes mutagenitāte un nav novērots mutagēns potenciāls.</w:t>
      </w:r>
    </w:p>
    <w:p w14:paraId="56EE06C0" w14:textId="77777777" w:rsidR="00AB7241" w:rsidRPr="00716FAD" w:rsidRDefault="00AB7241" w:rsidP="00716FAD">
      <w:pPr>
        <w:pStyle w:val="Default"/>
        <w:jc w:val="both"/>
        <w:rPr>
          <w:sz w:val="22"/>
          <w:szCs w:val="22"/>
          <w:lang w:val="lv-LV"/>
        </w:rPr>
      </w:pPr>
    </w:p>
    <w:p w14:paraId="0485E592" w14:textId="77777777" w:rsidR="00AB7241" w:rsidRPr="00716FAD" w:rsidRDefault="00AB7241" w:rsidP="00716FAD">
      <w:pPr>
        <w:pStyle w:val="Default"/>
        <w:jc w:val="both"/>
        <w:rPr>
          <w:sz w:val="22"/>
          <w:szCs w:val="22"/>
          <w:lang w:val="lv-LV"/>
        </w:rPr>
      </w:pPr>
      <w:r w:rsidRPr="00716FAD">
        <w:rPr>
          <w:sz w:val="22"/>
          <w:szCs w:val="22"/>
          <w:lang w:val="lv-LV"/>
        </w:rPr>
        <w:t>Acetilsalicilskābe tikai nedaudz ietekmē auglību.</w:t>
      </w:r>
    </w:p>
    <w:p w14:paraId="1FC4C225" w14:textId="77777777" w:rsidR="00AB7241" w:rsidRPr="00716FAD" w:rsidRDefault="00AB7241" w:rsidP="00716FAD">
      <w:pPr>
        <w:pStyle w:val="Default"/>
        <w:jc w:val="both"/>
        <w:rPr>
          <w:sz w:val="22"/>
          <w:szCs w:val="22"/>
          <w:lang w:val="lv-LV"/>
        </w:rPr>
      </w:pPr>
    </w:p>
    <w:p w14:paraId="5A58D071" w14:textId="77777777" w:rsidR="00AB7241" w:rsidRPr="00716FAD" w:rsidRDefault="00AB7241" w:rsidP="00716FAD">
      <w:pPr>
        <w:pStyle w:val="Default"/>
        <w:jc w:val="both"/>
        <w:rPr>
          <w:sz w:val="22"/>
          <w:szCs w:val="22"/>
          <w:lang w:val="lv-LV"/>
        </w:rPr>
      </w:pPr>
      <w:r w:rsidRPr="00716FAD">
        <w:rPr>
          <w:sz w:val="22"/>
          <w:szCs w:val="22"/>
          <w:lang w:val="lv-LV"/>
        </w:rPr>
        <w:t>Dažādām dzīvnieku sugām acetilsalicilskābe neuzrādīja teratogenitāti, ja tā tika lietot lielās, arī subletālās devās.</w:t>
      </w:r>
    </w:p>
    <w:p w14:paraId="1C417870" w14:textId="77777777" w:rsidR="00AB7241" w:rsidRPr="00716FAD" w:rsidRDefault="00AB7241" w:rsidP="00716FAD">
      <w:pPr>
        <w:pStyle w:val="Default"/>
        <w:jc w:val="both"/>
        <w:rPr>
          <w:sz w:val="22"/>
          <w:szCs w:val="22"/>
          <w:lang w:val="lv-LV"/>
        </w:rPr>
      </w:pPr>
    </w:p>
    <w:p w14:paraId="16B61E0E" w14:textId="77777777" w:rsidR="00AB7241" w:rsidRPr="00716FAD" w:rsidRDefault="00AB7241" w:rsidP="00716FAD">
      <w:pPr>
        <w:pStyle w:val="Default"/>
        <w:jc w:val="both"/>
        <w:rPr>
          <w:sz w:val="22"/>
          <w:szCs w:val="22"/>
          <w:lang w:val="lv-LV"/>
        </w:rPr>
      </w:pPr>
      <w:r w:rsidRPr="00716FAD">
        <w:rPr>
          <w:sz w:val="22"/>
          <w:szCs w:val="22"/>
          <w:lang w:val="lv-LV"/>
        </w:rPr>
        <w:lastRenderedPageBreak/>
        <w:t>Salicilāti izraisa iedzimtus bojājumus, tajā skaitā mugurkaula un galvaskausa lūzumus, sejās šķeltni, acu bojājumus un CNS, iekšējo orgānu un skeleta pataloģijas.</w:t>
      </w:r>
    </w:p>
    <w:p w14:paraId="63ABCFDB" w14:textId="77777777" w:rsidR="00AB7241" w:rsidRPr="00716FAD" w:rsidRDefault="00AB7241" w:rsidP="00716FAD">
      <w:pPr>
        <w:pStyle w:val="Default"/>
        <w:jc w:val="both"/>
        <w:rPr>
          <w:sz w:val="22"/>
          <w:szCs w:val="22"/>
          <w:lang w:val="lv-LV"/>
        </w:rPr>
      </w:pPr>
    </w:p>
    <w:p w14:paraId="5151FD6B" w14:textId="77777777" w:rsidR="00AB7241" w:rsidRPr="00716FAD" w:rsidRDefault="00AB7241" w:rsidP="00716FAD">
      <w:pPr>
        <w:pStyle w:val="Default"/>
        <w:jc w:val="both"/>
        <w:rPr>
          <w:sz w:val="22"/>
          <w:szCs w:val="22"/>
          <w:lang w:val="lv-LV"/>
        </w:rPr>
      </w:pPr>
      <w:r w:rsidRPr="00716FAD">
        <w:rPr>
          <w:sz w:val="22"/>
          <w:szCs w:val="22"/>
          <w:lang w:val="lv-LV"/>
        </w:rPr>
        <w:t>Turklāt, vairāki autori ir ziņojuši, ka acetilsalicilskābes lietošana vēlīna grūtniecības periodā izraisīja pagarinātas dzemdības un prenatālās un postnatālās asiņošanas risku.</w:t>
      </w:r>
    </w:p>
    <w:p w14:paraId="5173CB2F" w14:textId="77777777" w:rsidR="00AB7241" w:rsidRPr="00716FAD" w:rsidRDefault="00AB7241" w:rsidP="00716FAD">
      <w:pPr>
        <w:pStyle w:val="Default"/>
        <w:jc w:val="both"/>
        <w:rPr>
          <w:sz w:val="22"/>
          <w:szCs w:val="22"/>
          <w:lang w:val="lv-LV"/>
        </w:rPr>
      </w:pPr>
    </w:p>
    <w:p w14:paraId="6246B7B1" w14:textId="77777777" w:rsidR="00AB7241" w:rsidRPr="00716FAD" w:rsidRDefault="00AB7241" w:rsidP="00716FAD">
      <w:pPr>
        <w:pStyle w:val="Default"/>
        <w:jc w:val="both"/>
        <w:rPr>
          <w:sz w:val="22"/>
          <w:szCs w:val="22"/>
          <w:lang w:val="lv-LV"/>
        </w:rPr>
      </w:pPr>
      <w:r w:rsidRPr="00716FAD">
        <w:rPr>
          <w:sz w:val="22"/>
          <w:szCs w:val="22"/>
          <w:u w:val="single"/>
          <w:lang w:val="lv-LV"/>
        </w:rPr>
        <w:t>Kofeīns</w:t>
      </w:r>
    </w:p>
    <w:p w14:paraId="4E01F789" w14:textId="77777777" w:rsidR="00AB7241" w:rsidRPr="00716FAD" w:rsidRDefault="00AB7241" w:rsidP="00716FAD">
      <w:pPr>
        <w:pStyle w:val="Default"/>
        <w:jc w:val="both"/>
        <w:rPr>
          <w:sz w:val="22"/>
          <w:szCs w:val="22"/>
          <w:lang w:val="lv-LV"/>
        </w:rPr>
      </w:pPr>
      <w:r w:rsidRPr="00716FAD">
        <w:rPr>
          <w:sz w:val="22"/>
          <w:szCs w:val="22"/>
          <w:lang w:val="lv-LV"/>
        </w:rPr>
        <w:t>Pētījumos ar dzīvniekiem, ilgstošas lietošanas gadījumā, lietojot terapeitiski nepamatotas lielas devas) kofeīns izraisa kuņģa – zarnu trakta čūlas, aknu un nieru bojājumus.</w:t>
      </w:r>
    </w:p>
    <w:p w14:paraId="3C8234BC" w14:textId="77777777" w:rsidR="00AB7241" w:rsidRPr="00716FAD" w:rsidRDefault="00AB7241" w:rsidP="00716FAD">
      <w:pPr>
        <w:pStyle w:val="Default"/>
        <w:jc w:val="both"/>
        <w:rPr>
          <w:sz w:val="22"/>
          <w:szCs w:val="22"/>
          <w:lang w:val="lv-LV"/>
        </w:rPr>
      </w:pPr>
    </w:p>
    <w:p w14:paraId="6A2DF4B3" w14:textId="77777777" w:rsidR="00AB7241" w:rsidRPr="00716FAD" w:rsidRDefault="00AB7241" w:rsidP="00716FAD">
      <w:pPr>
        <w:pStyle w:val="Default"/>
        <w:jc w:val="both"/>
        <w:rPr>
          <w:sz w:val="22"/>
          <w:szCs w:val="22"/>
          <w:lang w:val="lv-LV"/>
        </w:rPr>
      </w:pPr>
      <w:r w:rsidRPr="00716FAD">
        <w:rPr>
          <w:sz w:val="22"/>
          <w:szCs w:val="22"/>
          <w:lang w:val="lv-LV"/>
        </w:rPr>
        <w:t>Līdzīgi citiem metilksantīniem, kofeīnam</w:t>
      </w:r>
      <w:r w:rsidRPr="00716FAD">
        <w:rPr>
          <w:i/>
          <w:iCs/>
          <w:sz w:val="22"/>
          <w:szCs w:val="22"/>
          <w:lang w:val="lv-LV"/>
        </w:rPr>
        <w:t xml:space="preserve"> in vitro</w:t>
      </w:r>
      <w:r w:rsidRPr="00716FAD">
        <w:rPr>
          <w:sz w:val="22"/>
          <w:szCs w:val="22"/>
          <w:lang w:val="lv-LV"/>
        </w:rPr>
        <w:t xml:space="preserve"> piemīt potenciāls sašķelt hromosomas. Zinātnisko pētījumu apkopojums par kofeīna metabolismu un mutagenitātes potenciālu liecina, ka</w:t>
      </w:r>
      <w:r w:rsidRPr="00716FAD">
        <w:rPr>
          <w:i/>
          <w:iCs/>
          <w:sz w:val="22"/>
          <w:szCs w:val="22"/>
          <w:lang w:val="lv-LV"/>
        </w:rPr>
        <w:t xml:space="preserve"> in vivo </w:t>
      </w:r>
      <w:r w:rsidRPr="00716FAD">
        <w:rPr>
          <w:sz w:val="22"/>
          <w:szCs w:val="22"/>
          <w:lang w:val="lv-LV"/>
        </w:rPr>
        <w:t>nav sagaidāma mutagēna iedarbība. Ilgtermiņa pētījumi neliecina par kofeīna kancerogēno potenciālu.</w:t>
      </w:r>
    </w:p>
    <w:p w14:paraId="00116028" w14:textId="77777777" w:rsidR="00AB7241" w:rsidRPr="00716FAD" w:rsidRDefault="00AB7241" w:rsidP="00716FAD">
      <w:pPr>
        <w:pStyle w:val="Default"/>
        <w:jc w:val="both"/>
        <w:rPr>
          <w:sz w:val="22"/>
          <w:szCs w:val="22"/>
          <w:lang w:val="lv-LV"/>
        </w:rPr>
      </w:pPr>
    </w:p>
    <w:p w14:paraId="35A28BF0" w14:textId="77777777" w:rsidR="00AB7241" w:rsidRPr="00716FAD" w:rsidRDefault="00AB7241" w:rsidP="00716FAD">
      <w:pPr>
        <w:pStyle w:val="Default"/>
        <w:jc w:val="both"/>
        <w:rPr>
          <w:sz w:val="22"/>
          <w:szCs w:val="22"/>
          <w:lang w:val="lv-LV"/>
        </w:rPr>
      </w:pPr>
      <w:r w:rsidRPr="00716FAD">
        <w:rPr>
          <w:sz w:val="22"/>
          <w:szCs w:val="22"/>
          <w:lang w:val="lv-LV"/>
        </w:rPr>
        <w:t>Kofeīns šķērso placentu. Lietojot ļoti lielas kofeīna devas, dažādām dzīvnieku sugām (žurkām, pelēm, trušiem) tika novēroti pretrunīgi rezultāti attiecībā uz iedarbību, kas izraisa augļa bojājumus. Ievadot žurkām ļoti lielas kofeīna devas (vairāk kā 100 mg/kg ķermeņa masas) tika novērota emrbiotoksiska un fetotoksiska iedarbība, savukārt teratogēnu iedarbību nenovēroja. Terapeitiski nozīmīgas kofeīna devās vai dzerot kafiju, nav novērots palielināts risks attiecībā uz grūtniecības gaitu vai bērna attīstību.</w:t>
      </w:r>
    </w:p>
    <w:p w14:paraId="37DF52E0" w14:textId="77777777" w:rsidR="00CD10AA" w:rsidRPr="00716FAD" w:rsidRDefault="00CD10AA" w:rsidP="00716FAD">
      <w:pPr>
        <w:tabs>
          <w:tab w:val="clear" w:pos="567"/>
        </w:tabs>
        <w:spacing w:line="240" w:lineRule="auto"/>
        <w:jc w:val="both"/>
        <w:rPr>
          <w:color w:val="000000"/>
          <w:szCs w:val="22"/>
        </w:rPr>
      </w:pPr>
    </w:p>
    <w:p w14:paraId="0D7B36F1" w14:textId="77777777" w:rsidR="00716FAD" w:rsidRPr="00716FAD" w:rsidRDefault="00716FAD" w:rsidP="00716FAD">
      <w:pPr>
        <w:tabs>
          <w:tab w:val="clear" w:pos="567"/>
        </w:tabs>
        <w:spacing w:line="240" w:lineRule="auto"/>
        <w:jc w:val="both"/>
        <w:rPr>
          <w:color w:val="000000"/>
          <w:szCs w:val="22"/>
        </w:rPr>
      </w:pPr>
    </w:p>
    <w:p w14:paraId="4AF76DAD" w14:textId="77777777" w:rsidR="00CD10AA" w:rsidRPr="00716FAD" w:rsidRDefault="00CD10AA" w:rsidP="00716FAD">
      <w:pPr>
        <w:tabs>
          <w:tab w:val="clear" w:pos="567"/>
        </w:tabs>
        <w:spacing w:line="240" w:lineRule="auto"/>
        <w:jc w:val="both"/>
        <w:rPr>
          <w:b/>
          <w:color w:val="000000"/>
          <w:szCs w:val="22"/>
        </w:rPr>
      </w:pPr>
      <w:r w:rsidRPr="00716FAD">
        <w:rPr>
          <w:b/>
          <w:color w:val="000000"/>
          <w:szCs w:val="22"/>
        </w:rPr>
        <w:t>6.</w:t>
      </w:r>
      <w:r w:rsidRPr="00716FAD">
        <w:rPr>
          <w:b/>
          <w:color w:val="000000"/>
          <w:szCs w:val="22"/>
        </w:rPr>
        <w:tab/>
        <w:t>FARMACEITISKĀ INFORMĀCIJA</w:t>
      </w:r>
    </w:p>
    <w:p w14:paraId="1137738C" w14:textId="77777777" w:rsidR="00716FAD" w:rsidRPr="00716FAD" w:rsidRDefault="00716FAD" w:rsidP="00716FAD">
      <w:pPr>
        <w:tabs>
          <w:tab w:val="clear" w:pos="567"/>
        </w:tabs>
        <w:spacing w:line="240" w:lineRule="auto"/>
        <w:jc w:val="both"/>
        <w:rPr>
          <w:b/>
          <w:color w:val="000000"/>
          <w:szCs w:val="22"/>
        </w:rPr>
      </w:pPr>
    </w:p>
    <w:p w14:paraId="17587257" w14:textId="77777777" w:rsidR="00CD10AA" w:rsidRPr="00716FAD" w:rsidRDefault="00CD10AA" w:rsidP="00716FAD">
      <w:pPr>
        <w:tabs>
          <w:tab w:val="clear" w:pos="567"/>
        </w:tabs>
        <w:spacing w:line="240" w:lineRule="auto"/>
        <w:jc w:val="both"/>
        <w:rPr>
          <w:color w:val="000000"/>
          <w:szCs w:val="22"/>
        </w:rPr>
      </w:pPr>
      <w:r w:rsidRPr="00716FAD">
        <w:rPr>
          <w:b/>
          <w:color w:val="000000"/>
          <w:szCs w:val="22"/>
        </w:rPr>
        <w:t>6.1</w:t>
      </w:r>
      <w:r w:rsidR="00980C1E" w:rsidRPr="00716FAD">
        <w:rPr>
          <w:b/>
          <w:color w:val="000000"/>
          <w:szCs w:val="22"/>
        </w:rPr>
        <w:t>.</w:t>
      </w:r>
      <w:r w:rsidRPr="00716FAD">
        <w:rPr>
          <w:b/>
          <w:color w:val="000000"/>
          <w:szCs w:val="22"/>
        </w:rPr>
        <w:tab/>
        <w:t>Palīgvielu saraksts</w:t>
      </w:r>
    </w:p>
    <w:p w14:paraId="37273B17" w14:textId="77777777" w:rsidR="00716FAD" w:rsidRPr="00716FAD" w:rsidRDefault="00716FAD" w:rsidP="00716FAD">
      <w:pPr>
        <w:pStyle w:val="Default"/>
        <w:jc w:val="both"/>
        <w:rPr>
          <w:sz w:val="22"/>
          <w:szCs w:val="22"/>
          <w:lang w:val="lv-LV"/>
        </w:rPr>
      </w:pPr>
    </w:p>
    <w:p w14:paraId="77129FC5" w14:textId="77777777" w:rsidR="00AB7241" w:rsidRPr="00716FAD" w:rsidRDefault="00AB7241" w:rsidP="00716FAD">
      <w:pPr>
        <w:pStyle w:val="Default"/>
        <w:jc w:val="both"/>
        <w:rPr>
          <w:sz w:val="22"/>
          <w:szCs w:val="22"/>
          <w:lang w:val="lv-LV"/>
        </w:rPr>
      </w:pPr>
      <w:r w:rsidRPr="00716FAD">
        <w:rPr>
          <w:sz w:val="22"/>
          <w:szCs w:val="22"/>
          <w:lang w:val="lv-LV"/>
        </w:rPr>
        <w:t>Kartupeļu ciete</w:t>
      </w:r>
    </w:p>
    <w:p w14:paraId="20882E2C" w14:textId="77777777" w:rsidR="00AB7241" w:rsidRPr="00716FAD" w:rsidRDefault="00AB7241" w:rsidP="00716FAD">
      <w:pPr>
        <w:pStyle w:val="Default"/>
        <w:jc w:val="both"/>
        <w:rPr>
          <w:sz w:val="22"/>
          <w:szCs w:val="22"/>
          <w:lang w:val="lv-LV"/>
        </w:rPr>
      </w:pPr>
      <w:r w:rsidRPr="00716FAD">
        <w:rPr>
          <w:sz w:val="22"/>
          <w:szCs w:val="22"/>
          <w:lang w:val="lv-LV"/>
        </w:rPr>
        <w:t>Povidons</w:t>
      </w:r>
    </w:p>
    <w:p w14:paraId="23600D27" w14:textId="77777777" w:rsidR="00AB7241" w:rsidRPr="00716FAD" w:rsidRDefault="00AB7241" w:rsidP="00716FAD">
      <w:pPr>
        <w:pStyle w:val="Default"/>
        <w:jc w:val="both"/>
        <w:rPr>
          <w:sz w:val="22"/>
          <w:szCs w:val="22"/>
          <w:lang w:val="lv-LV"/>
        </w:rPr>
      </w:pPr>
      <w:r w:rsidRPr="00716FAD">
        <w:rPr>
          <w:sz w:val="22"/>
          <w:szCs w:val="22"/>
          <w:lang w:val="lv-LV"/>
        </w:rPr>
        <w:t>Talks</w:t>
      </w:r>
    </w:p>
    <w:p w14:paraId="36E5495D" w14:textId="77777777" w:rsidR="00AB7241" w:rsidRPr="00716FAD" w:rsidRDefault="00AB7241" w:rsidP="00716FAD">
      <w:pPr>
        <w:pStyle w:val="Default"/>
        <w:jc w:val="both"/>
        <w:rPr>
          <w:sz w:val="22"/>
          <w:szCs w:val="22"/>
          <w:lang w:val="lv-LV"/>
        </w:rPr>
      </w:pPr>
      <w:r w:rsidRPr="00716FAD">
        <w:rPr>
          <w:sz w:val="22"/>
          <w:szCs w:val="22"/>
          <w:lang w:val="lv-LV"/>
        </w:rPr>
        <w:t>Kalcija stearāts</w:t>
      </w:r>
    </w:p>
    <w:p w14:paraId="153C5778" w14:textId="77777777" w:rsidR="00AB7241" w:rsidRPr="00716FAD" w:rsidRDefault="00AB7241" w:rsidP="00716FAD">
      <w:pPr>
        <w:pStyle w:val="Default"/>
        <w:jc w:val="both"/>
        <w:rPr>
          <w:sz w:val="22"/>
          <w:szCs w:val="22"/>
          <w:lang w:val="lv-LV"/>
        </w:rPr>
      </w:pPr>
      <w:r w:rsidRPr="00716FAD">
        <w:rPr>
          <w:sz w:val="22"/>
          <w:szCs w:val="22"/>
          <w:lang w:val="lv-LV"/>
        </w:rPr>
        <w:t>Stearīnskābe</w:t>
      </w:r>
    </w:p>
    <w:p w14:paraId="46F45289" w14:textId="77777777" w:rsidR="00AB7241" w:rsidRPr="00716FAD" w:rsidRDefault="00AB7241" w:rsidP="00716FAD">
      <w:pPr>
        <w:pStyle w:val="Default"/>
        <w:jc w:val="both"/>
        <w:rPr>
          <w:sz w:val="22"/>
          <w:szCs w:val="22"/>
          <w:lang w:val="lv-LV"/>
        </w:rPr>
      </w:pPr>
      <w:r w:rsidRPr="00716FAD">
        <w:rPr>
          <w:sz w:val="22"/>
          <w:szCs w:val="22"/>
          <w:lang w:val="lv-LV"/>
        </w:rPr>
        <w:t>Emulsija KE-10-12</w:t>
      </w:r>
    </w:p>
    <w:p w14:paraId="260F3799" w14:textId="77777777" w:rsidR="00AB7241" w:rsidRPr="00716FAD" w:rsidRDefault="00AB7241" w:rsidP="00716FAD">
      <w:pPr>
        <w:pStyle w:val="Default"/>
        <w:jc w:val="both"/>
        <w:rPr>
          <w:sz w:val="22"/>
          <w:szCs w:val="22"/>
          <w:lang w:val="lv-LV"/>
        </w:rPr>
      </w:pPr>
      <w:r w:rsidRPr="00716FAD">
        <w:rPr>
          <w:sz w:val="22"/>
          <w:szCs w:val="22"/>
          <w:lang w:val="lv-LV"/>
        </w:rPr>
        <w:t>Šķidrais parafīns</w:t>
      </w:r>
    </w:p>
    <w:p w14:paraId="30D4BCA7" w14:textId="77777777" w:rsidR="00CD10AA" w:rsidRPr="00716FAD" w:rsidRDefault="00CD10AA" w:rsidP="00716FAD">
      <w:pPr>
        <w:tabs>
          <w:tab w:val="clear" w:pos="567"/>
        </w:tabs>
        <w:spacing w:line="240" w:lineRule="auto"/>
        <w:jc w:val="both"/>
        <w:rPr>
          <w:color w:val="000000"/>
          <w:szCs w:val="22"/>
        </w:rPr>
      </w:pPr>
    </w:p>
    <w:p w14:paraId="6C5624DD" w14:textId="77777777" w:rsidR="00CD10AA" w:rsidRPr="00716FAD" w:rsidRDefault="00CD10AA" w:rsidP="00716FAD">
      <w:pPr>
        <w:tabs>
          <w:tab w:val="clear" w:pos="567"/>
        </w:tabs>
        <w:spacing w:line="240" w:lineRule="auto"/>
        <w:jc w:val="both"/>
        <w:rPr>
          <w:color w:val="000000"/>
          <w:szCs w:val="22"/>
        </w:rPr>
      </w:pPr>
      <w:r w:rsidRPr="00716FAD">
        <w:rPr>
          <w:b/>
          <w:color w:val="000000"/>
          <w:szCs w:val="22"/>
        </w:rPr>
        <w:t>6.2</w:t>
      </w:r>
      <w:r w:rsidR="00980C1E" w:rsidRPr="00716FAD">
        <w:rPr>
          <w:b/>
          <w:color w:val="000000"/>
          <w:szCs w:val="22"/>
        </w:rPr>
        <w:t>.</w:t>
      </w:r>
      <w:r w:rsidRPr="00716FAD">
        <w:rPr>
          <w:b/>
          <w:color w:val="000000"/>
          <w:szCs w:val="22"/>
        </w:rPr>
        <w:tab/>
        <w:t>Nesaderība</w:t>
      </w:r>
    </w:p>
    <w:p w14:paraId="3FD11617" w14:textId="77777777" w:rsidR="00716FAD" w:rsidRPr="00716FAD" w:rsidRDefault="00716FAD" w:rsidP="00716FAD">
      <w:pPr>
        <w:tabs>
          <w:tab w:val="clear" w:pos="567"/>
        </w:tabs>
        <w:spacing w:line="240" w:lineRule="auto"/>
        <w:jc w:val="both"/>
        <w:rPr>
          <w:color w:val="000000"/>
          <w:szCs w:val="22"/>
        </w:rPr>
      </w:pPr>
    </w:p>
    <w:p w14:paraId="53494818" w14:textId="77777777" w:rsidR="00CD10AA" w:rsidRPr="00716FAD" w:rsidRDefault="003F45AD" w:rsidP="00716FAD">
      <w:pPr>
        <w:tabs>
          <w:tab w:val="clear" w:pos="567"/>
        </w:tabs>
        <w:spacing w:line="240" w:lineRule="auto"/>
        <w:jc w:val="both"/>
        <w:rPr>
          <w:color w:val="000000"/>
          <w:szCs w:val="22"/>
        </w:rPr>
      </w:pPr>
      <w:r w:rsidRPr="00716FAD">
        <w:rPr>
          <w:color w:val="000000"/>
          <w:szCs w:val="22"/>
        </w:rPr>
        <w:t>Nav piemērojama.</w:t>
      </w:r>
    </w:p>
    <w:p w14:paraId="3D5FB575" w14:textId="77777777" w:rsidR="00CD10AA" w:rsidRPr="00716FAD" w:rsidRDefault="00CD10AA" w:rsidP="00716FAD">
      <w:pPr>
        <w:tabs>
          <w:tab w:val="clear" w:pos="567"/>
        </w:tabs>
        <w:spacing w:line="240" w:lineRule="auto"/>
        <w:jc w:val="both"/>
        <w:rPr>
          <w:color w:val="000000"/>
          <w:szCs w:val="22"/>
        </w:rPr>
      </w:pPr>
    </w:p>
    <w:p w14:paraId="1BC12332" w14:textId="77777777" w:rsidR="00CD10AA" w:rsidRPr="00716FAD" w:rsidRDefault="00CD10AA" w:rsidP="00716FAD">
      <w:pPr>
        <w:tabs>
          <w:tab w:val="clear" w:pos="567"/>
        </w:tabs>
        <w:spacing w:line="240" w:lineRule="auto"/>
        <w:jc w:val="both"/>
        <w:rPr>
          <w:color w:val="000000"/>
          <w:szCs w:val="22"/>
        </w:rPr>
      </w:pPr>
      <w:r w:rsidRPr="00716FAD">
        <w:rPr>
          <w:b/>
          <w:color w:val="000000"/>
          <w:szCs w:val="22"/>
        </w:rPr>
        <w:t>6.3</w:t>
      </w:r>
      <w:r w:rsidR="00980C1E" w:rsidRPr="00716FAD">
        <w:rPr>
          <w:b/>
          <w:color w:val="000000"/>
          <w:szCs w:val="22"/>
        </w:rPr>
        <w:t>.</w:t>
      </w:r>
      <w:r w:rsidRPr="00716FAD">
        <w:rPr>
          <w:b/>
          <w:color w:val="000000"/>
          <w:szCs w:val="22"/>
        </w:rPr>
        <w:tab/>
        <w:t>Uzglabāšanas laiks</w:t>
      </w:r>
    </w:p>
    <w:p w14:paraId="5B6FF8E6" w14:textId="77777777" w:rsidR="00716FAD" w:rsidRPr="00716FAD" w:rsidRDefault="00716FAD" w:rsidP="00716FAD">
      <w:pPr>
        <w:tabs>
          <w:tab w:val="clear" w:pos="567"/>
        </w:tabs>
        <w:spacing w:line="240" w:lineRule="auto"/>
        <w:jc w:val="both"/>
        <w:rPr>
          <w:color w:val="000000"/>
          <w:szCs w:val="22"/>
        </w:rPr>
      </w:pPr>
    </w:p>
    <w:p w14:paraId="71AC712F" w14:textId="77777777" w:rsidR="00CD10AA" w:rsidRPr="00716FAD" w:rsidRDefault="00AB7241" w:rsidP="00716FAD">
      <w:pPr>
        <w:tabs>
          <w:tab w:val="clear" w:pos="567"/>
        </w:tabs>
        <w:spacing w:line="240" w:lineRule="auto"/>
        <w:jc w:val="both"/>
        <w:rPr>
          <w:color w:val="000000"/>
          <w:szCs w:val="22"/>
        </w:rPr>
      </w:pPr>
      <w:r w:rsidRPr="00716FAD">
        <w:rPr>
          <w:color w:val="000000"/>
          <w:szCs w:val="22"/>
        </w:rPr>
        <w:t>2</w:t>
      </w:r>
      <w:r w:rsidR="00B944A8" w:rsidRPr="00716FAD">
        <w:rPr>
          <w:color w:val="000000"/>
          <w:szCs w:val="22"/>
        </w:rPr>
        <w:t xml:space="preserve"> gadi.</w:t>
      </w:r>
    </w:p>
    <w:p w14:paraId="7F7F0BE9" w14:textId="77777777" w:rsidR="00CD10AA" w:rsidRPr="00716FAD" w:rsidRDefault="00CD10AA" w:rsidP="00716FAD">
      <w:pPr>
        <w:tabs>
          <w:tab w:val="clear" w:pos="567"/>
        </w:tabs>
        <w:spacing w:line="240" w:lineRule="auto"/>
        <w:jc w:val="both"/>
        <w:rPr>
          <w:color w:val="000000"/>
          <w:szCs w:val="22"/>
        </w:rPr>
      </w:pPr>
    </w:p>
    <w:p w14:paraId="47F8E2F4" w14:textId="77777777" w:rsidR="00CD10AA" w:rsidRPr="00716FAD" w:rsidRDefault="00CD10AA" w:rsidP="00716FAD">
      <w:pPr>
        <w:tabs>
          <w:tab w:val="clear" w:pos="567"/>
        </w:tabs>
        <w:spacing w:line="240" w:lineRule="auto"/>
        <w:jc w:val="both"/>
        <w:rPr>
          <w:color w:val="000000"/>
          <w:szCs w:val="22"/>
        </w:rPr>
      </w:pPr>
      <w:r w:rsidRPr="00716FAD">
        <w:rPr>
          <w:b/>
          <w:color w:val="000000"/>
          <w:szCs w:val="22"/>
        </w:rPr>
        <w:t>6.4</w:t>
      </w:r>
      <w:r w:rsidR="00980C1E" w:rsidRPr="00716FAD">
        <w:rPr>
          <w:b/>
          <w:color w:val="000000"/>
          <w:szCs w:val="22"/>
        </w:rPr>
        <w:t>.</w:t>
      </w:r>
      <w:r w:rsidRPr="00716FAD">
        <w:rPr>
          <w:b/>
          <w:color w:val="000000"/>
          <w:szCs w:val="22"/>
        </w:rPr>
        <w:tab/>
        <w:t>Īpaši uzglabāšanas nosacījumi</w:t>
      </w:r>
    </w:p>
    <w:p w14:paraId="3227877A" w14:textId="77777777" w:rsidR="00716FAD" w:rsidRPr="00716FAD" w:rsidRDefault="00716FAD" w:rsidP="00716FAD">
      <w:pPr>
        <w:spacing w:line="240" w:lineRule="auto"/>
        <w:jc w:val="both"/>
        <w:rPr>
          <w:color w:val="000000"/>
          <w:szCs w:val="22"/>
        </w:rPr>
      </w:pPr>
    </w:p>
    <w:p w14:paraId="31852F2F" w14:textId="77777777" w:rsidR="00C54BD0" w:rsidRPr="00716FAD" w:rsidRDefault="00C54BD0" w:rsidP="00716FAD">
      <w:pPr>
        <w:spacing w:line="240" w:lineRule="auto"/>
        <w:jc w:val="both"/>
        <w:rPr>
          <w:color w:val="000000"/>
          <w:szCs w:val="22"/>
        </w:rPr>
      </w:pPr>
      <w:r w:rsidRPr="00716FAD">
        <w:rPr>
          <w:color w:val="000000"/>
          <w:szCs w:val="22"/>
        </w:rPr>
        <w:t>Uzglabāt temperatūrā līdz 25°C.</w:t>
      </w:r>
    </w:p>
    <w:p w14:paraId="5D6FEC13" w14:textId="77777777" w:rsidR="00C54BD0" w:rsidRPr="00716FAD" w:rsidRDefault="00C54BD0" w:rsidP="00716FAD">
      <w:pPr>
        <w:spacing w:line="240" w:lineRule="auto"/>
        <w:jc w:val="both"/>
        <w:rPr>
          <w:color w:val="000000"/>
          <w:szCs w:val="22"/>
        </w:rPr>
      </w:pPr>
      <w:r w:rsidRPr="00716FAD">
        <w:rPr>
          <w:color w:val="000000"/>
          <w:szCs w:val="22"/>
        </w:rPr>
        <w:t>Uzglabāt oriģinālā iepakojumā</w:t>
      </w:r>
      <w:r w:rsidR="00716FAD" w:rsidRPr="00716FAD">
        <w:rPr>
          <w:color w:val="000000"/>
          <w:szCs w:val="22"/>
        </w:rPr>
        <w:t>, lai pas</w:t>
      </w:r>
      <w:r w:rsidRPr="00716FAD">
        <w:rPr>
          <w:color w:val="000000"/>
          <w:szCs w:val="22"/>
        </w:rPr>
        <w:t>argāt</w:t>
      </w:r>
      <w:r w:rsidR="00716FAD" w:rsidRPr="00716FAD">
        <w:rPr>
          <w:color w:val="000000"/>
          <w:szCs w:val="22"/>
        </w:rPr>
        <w:t>u</w:t>
      </w:r>
      <w:r w:rsidRPr="00716FAD">
        <w:rPr>
          <w:color w:val="000000"/>
          <w:szCs w:val="22"/>
        </w:rPr>
        <w:t xml:space="preserve"> no gaismas un mitruma.</w:t>
      </w:r>
    </w:p>
    <w:p w14:paraId="29C0721D" w14:textId="77777777" w:rsidR="00CD10AA" w:rsidRPr="00716FAD" w:rsidRDefault="00CD10AA" w:rsidP="00716FAD">
      <w:pPr>
        <w:spacing w:line="240" w:lineRule="auto"/>
        <w:jc w:val="both"/>
        <w:rPr>
          <w:i/>
          <w:color w:val="000000"/>
          <w:szCs w:val="22"/>
        </w:rPr>
      </w:pPr>
    </w:p>
    <w:p w14:paraId="56E69AE0" w14:textId="77777777" w:rsidR="00CD10AA" w:rsidRPr="00716FAD" w:rsidRDefault="00CD10AA" w:rsidP="00716FAD">
      <w:pPr>
        <w:tabs>
          <w:tab w:val="clear" w:pos="567"/>
        </w:tabs>
        <w:spacing w:line="240" w:lineRule="auto"/>
        <w:jc w:val="both"/>
        <w:rPr>
          <w:color w:val="000000"/>
          <w:szCs w:val="22"/>
        </w:rPr>
      </w:pPr>
      <w:r w:rsidRPr="00716FAD">
        <w:rPr>
          <w:b/>
          <w:color w:val="000000"/>
          <w:szCs w:val="22"/>
        </w:rPr>
        <w:t>6.5</w:t>
      </w:r>
      <w:r w:rsidR="00980C1E" w:rsidRPr="00716FAD">
        <w:rPr>
          <w:b/>
          <w:color w:val="000000"/>
          <w:szCs w:val="22"/>
        </w:rPr>
        <w:t>.</w:t>
      </w:r>
      <w:r w:rsidRPr="00716FAD">
        <w:rPr>
          <w:b/>
          <w:color w:val="000000"/>
          <w:szCs w:val="22"/>
        </w:rPr>
        <w:tab/>
        <w:t>Iepakojuma veids un saturs</w:t>
      </w:r>
    </w:p>
    <w:p w14:paraId="67D06322" w14:textId="77777777" w:rsidR="00716FAD" w:rsidRPr="00716FAD" w:rsidRDefault="00716FAD" w:rsidP="00716FAD">
      <w:pPr>
        <w:pStyle w:val="Default"/>
        <w:jc w:val="both"/>
        <w:rPr>
          <w:sz w:val="22"/>
          <w:szCs w:val="22"/>
          <w:lang w:val="lv-LV"/>
        </w:rPr>
      </w:pPr>
    </w:p>
    <w:p w14:paraId="4077EE70" w14:textId="77777777" w:rsidR="00AB7241" w:rsidRPr="00716FAD" w:rsidRDefault="00AB7241" w:rsidP="00716FAD">
      <w:pPr>
        <w:pStyle w:val="Default"/>
        <w:jc w:val="both"/>
        <w:rPr>
          <w:sz w:val="22"/>
          <w:szCs w:val="22"/>
          <w:lang w:val="lv-LV"/>
        </w:rPr>
      </w:pPr>
      <w:r w:rsidRPr="00716FAD">
        <w:rPr>
          <w:sz w:val="22"/>
          <w:szCs w:val="22"/>
          <w:lang w:val="lv-LV"/>
        </w:rPr>
        <w:t>PVH/Alumīnija blisteri.</w:t>
      </w:r>
    </w:p>
    <w:p w14:paraId="5403056B" w14:textId="77777777" w:rsidR="00AB7241" w:rsidRPr="00716FAD" w:rsidRDefault="00AB7241" w:rsidP="00716FAD">
      <w:pPr>
        <w:pStyle w:val="Default"/>
        <w:jc w:val="both"/>
        <w:rPr>
          <w:sz w:val="22"/>
          <w:szCs w:val="22"/>
          <w:lang w:val="lv-LV"/>
        </w:rPr>
      </w:pPr>
      <w:r w:rsidRPr="00716FAD">
        <w:rPr>
          <w:sz w:val="22"/>
          <w:szCs w:val="22"/>
          <w:lang w:val="lv-LV"/>
        </w:rPr>
        <w:t>Iepakojumā 10 vai 20 tabletes.</w:t>
      </w:r>
    </w:p>
    <w:p w14:paraId="12F3C5B2" w14:textId="77777777" w:rsidR="00CD10AA" w:rsidRPr="00716FAD" w:rsidRDefault="00CD10AA" w:rsidP="00716FAD">
      <w:pPr>
        <w:tabs>
          <w:tab w:val="clear" w:pos="567"/>
        </w:tabs>
        <w:spacing w:line="240" w:lineRule="auto"/>
        <w:jc w:val="both"/>
        <w:rPr>
          <w:color w:val="000000"/>
          <w:szCs w:val="22"/>
        </w:rPr>
      </w:pPr>
    </w:p>
    <w:p w14:paraId="2CF3FFC1" w14:textId="77777777" w:rsidR="00CD10AA" w:rsidRPr="00716FAD" w:rsidRDefault="00CD10AA" w:rsidP="00716FAD">
      <w:pPr>
        <w:tabs>
          <w:tab w:val="clear" w:pos="567"/>
        </w:tabs>
        <w:spacing w:line="240" w:lineRule="auto"/>
        <w:jc w:val="both"/>
        <w:rPr>
          <w:color w:val="000000"/>
          <w:szCs w:val="22"/>
        </w:rPr>
      </w:pPr>
      <w:r w:rsidRPr="00716FAD">
        <w:rPr>
          <w:color w:val="000000"/>
          <w:szCs w:val="22"/>
        </w:rPr>
        <w:t>Visi iepakojuma li</w:t>
      </w:r>
      <w:r w:rsidR="00B944A8" w:rsidRPr="00716FAD">
        <w:rPr>
          <w:color w:val="000000"/>
          <w:szCs w:val="22"/>
        </w:rPr>
        <w:t>elumi tirgū var nebūt pieejami.</w:t>
      </w:r>
    </w:p>
    <w:p w14:paraId="27A74A89" w14:textId="77777777" w:rsidR="00CD10AA" w:rsidRPr="00716FAD" w:rsidRDefault="00CD10AA" w:rsidP="00716FAD">
      <w:pPr>
        <w:tabs>
          <w:tab w:val="clear" w:pos="567"/>
        </w:tabs>
        <w:spacing w:line="240" w:lineRule="auto"/>
        <w:jc w:val="both"/>
        <w:rPr>
          <w:color w:val="000000"/>
          <w:szCs w:val="22"/>
        </w:rPr>
      </w:pPr>
    </w:p>
    <w:p w14:paraId="57E31ED1" w14:textId="77777777" w:rsidR="00716FAD" w:rsidRPr="00716FAD" w:rsidRDefault="00716FAD" w:rsidP="00716FAD">
      <w:pPr>
        <w:tabs>
          <w:tab w:val="clear" w:pos="567"/>
        </w:tabs>
        <w:spacing w:line="240" w:lineRule="auto"/>
        <w:jc w:val="both"/>
        <w:rPr>
          <w:color w:val="000000"/>
          <w:szCs w:val="22"/>
        </w:rPr>
      </w:pPr>
    </w:p>
    <w:p w14:paraId="3F2228D8" w14:textId="77777777" w:rsidR="00CD10AA" w:rsidRPr="00716FAD" w:rsidRDefault="00CD10AA" w:rsidP="00716FAD">
      <w:pPr>
        <w:tabs>
          <w:tab w:val="clear" w:pos="567"/>
        </w:tabs>
        <w:spacing w:line="240" w:lineRule="auto"/>
        <w:jc w:val="both"/>
        <w:rPr>
          <w:b/>
          <w:color w:val="000000"/>
          <w:szCs w:val="22"/>
        </w:rPr>
      </w:pPr>
      <w:r w:rsidRPr="00716FAD">
        <w:rPr>
          <w:b/>
          <w:color w:val="000000"/>
          <w:szCs w:val="22"/>
        </w:rPr>
        <w:t>6.6</w:t>
      </w:r>
      <w:r w:rsidR="00980C1E" w:rsidRPr="00716FAD">
        <w:rPr>
          <w:b/>
          <w:color w:val="000000"/>
          <w:szCs w:val="22"/>
        </w:rPr>
        <w:t>.</w:t>
      </w:r>
      <w:r w:rsidRPr="00716FAD">
        <w:rPr>
          <w:b/>
          <w:color w:val="000000"/>
          <w:szCs w:val="22"/>
        </w:rPr>
        <w:tab/>
        <w:t>Īpaši norādījumi atkritumu likvidēšanai</w:t>
      </w:r>
    </w:p>
    <w:p w14:paraId="1C85B60C" w14:textId="77777777" w:rsidR="00716FAD" w:rsidRPr="00716FAD" w:rsidRDefault="00716FAD" w:rsidP="00716FAD">
      <w:pPr>
        <w:tabs>
          <w:tab w:val="clear" w:pos="567"/>
        </w:tabs>
        <w:spacing w:line="240" w:lineRule="auto"/>
        <w:jc w:val="both"/>
        <w:rPr>
          <w:color w:val="000000"/>
          <w:szCs w:val="22"/>
        </w:rPr>
      </w:pPr>
    </w:p>
    <w:p w14:paraId="50A59A17" w14:textId="77777777" w:rsidR="00CD10AA" w:rsidRPr="00716FAD" w:rsidRDefault="00CD10AA" w:rsidP="00716FAD">
      <w:pPr>
        <w:tabs>
          <w:tab w:val="clear" w:pos="567"/>
        </w:tabs>
        <w:spacing w:line="240" w:lineRule="auto"/>
        <w:jc w:val="both"/>
        <w:rPr>
          <w:color w:val="000000"/>
          <w:szCs w:val="22"/>
        </w:rPr>
      </w:pPr>
      <w:r w:rsidRPr="00716FAD">
        <w:rPr>
          <w:color w:val="000000"/>
          <w:szCs w:val="22"/>
        </w:rPr>
        <w:t>Nav īpašu</w:t>
      </w:r>
      <w:r w:rsidR="00CC4E9B" w:rsidRPr="00716FAD">
        <w:rPr>
          <w:color w:val="000000"/>
          <w:szCs w:val="22"/>
        </w:rPr>
        <w:t xml:space="preserve"> </w:t>
      </w:r>
      <w:r w:rsidR="00B944A8" w:rsidRPr="00716FAD">
        <w:rPr>
          <w:color w:val="000000"/>
          <w:szCs w:val="22"/>
        </w:rPr>
        <w:t>prasību.</w:t>
      </w:r>
    </w:p>
    <w:p w14:paraId="7C1532E1" w14:textId="77777777" w:rsidR="00CD10AA" w:rsidRPr="00716FAD" w:rsidRDefault="00CD10AA" w:rsidP="00716FAD">
      <w:pPr>
        <w:tabs>
          <w:tab w:val="clear" w:pos="567"/>
        </w:tabs>
        <w:spacing w:line="240" w:lineRule="auto"/>
        <w:jc w:val="both"/>
        <w:rPr>
          <w:color w:val="000000"/>
          <w:szCs w:val="22"/>
        </w:rPr>
      </w:pPr>
    </w:p>
    <w:p w14:paraId="544DC95D" w14:textId="77777777" w:rsidR="00716FAD" w:rsidRPr="00716FAD" w:rsidRDefault="00716FAD" w:rsidP="00716FAD">
      <w:pPr>
        <w:tabs>
          <w:tab w:val="clear" w:pos="567"/>
        </w:tabs>
        <w:spacing w:line="240" w:lineRule="auto"/>
        <w:jc w:val="both"/>
        <w:rPr>
          <w:color w:val="000000"/>
          <w:szCs w:val="22"/>
        </w:rPr>
      </w:pPr>
    </w:p>
    <w:p w14:paraId="4732D6B7" w14:textId="77777777" w:rsidR="00CD10AA" w:rsidRPr="00716FAD" w:rsidRDefault="00CD10AA" w:rsidP="00716FAD">
      <w:pPr>
        <w:tabs>
          <w:tab w:val="clear" w:pos="567"/>
        </w:tabs>
        <w:spacing w:line="240" w:lineRule="auto"/>
        <w:jc w:val="both"/>
        <w:rPr>
          <w:color w:val="000000"/>
          <w:szCs w:val="22"/>
        </w:rPr>
      </w:pPr>
      <w:r w:rsidRPr="00716FAD">
        <w:rPr>
          <w:b/>
          <w:color w:val="000000"/>
          <w:szCs w:val="22"/>
        </w:rPr>
        <w:t>7.</w:t>
      </w:r>
      <w:r w:rsidRPr="00716FAD">
        <w:rPr>
          <w:b/>
          <w:color w:val="000000"/>
          <w:szCs w:val="22"/>
        </w:rPr>
        <w:tab/>
        <w:t>REĢISTRĀCIJAS APLIECĪBAS ĪPAŠNIEKS</w:t>
      </w:r>
    </w:p>
    <w:p w14:paraId="046413D5" w14:textId="77777777" w:rsidR="00716FAD" w:rsidRPr="00716FAD" w:rsidRDefault="00716FAD" w:rsidP="00716FAD">
      <w:pPr>
        <w:pStyle w:val="CM4"/>
        <w:spacing w:line="240" w:lineRule="auto"/>
        <w:jc w:val="both"/>
        <w:rPr>
          <w:color w:val="000000"/>
          <w:sz w:val="22"/>
          <w:szCs w:val="22"/>
        </w:rPr>
      </w:pPr>
    </w:p>
    <w:p w14:paraId="0E5994B2" w14:textId="720338CC" w:rsidR="00AB7241" w:rsidRPr="00716FAD" w:rsidRDefault="005C4AF7" w:rsidP="00716FAD">
      <w:pPr>
        <w:pStyle w:val="CM4"/>
        <w:spacing w:line="240" w:lineRule="auto"/>
        <w:jc w:val="both"/>
        <w:rPr>
          <w:color w:val="000000"/>
          <w:sz w:val="22"/>
          <w:szCs w:val="22"/>
        </w:rPr>
      </w:pPr>
      <w:r w:rsidRPr="006E4ED7">
        <w:rPr>
          <w:color w:val="000000"/>
        </w:rPr>
        <w:t>VIP Pharma Eesti OÜ, Uusaru 5, Saue 76505, Harjumaa, Igaunija</w:t>
      </w:r>
    </w:p>
    <w:p w14:paraId="1DAA1AA0" w14:textId="77777777" w:rsidR="00CD10AA" w:rsidRPr="00716FAD" w:rsidRDefault="00CD10AA" w:rsidP="00716FAD">
      <w:pPr>
        <w:spacing w:line="240" w:lineRule="auto"/>
        <w:jc w:val="both"/>
        <w:rPr>
          <w:color w:val="000000"/>
          <w:szCs w:val="22"/>
        </w:rPr>
      </w:pPr>
    </w:p>
    <w:p w14:paraId="21CC3B2D" w14:textId="77777777" w:rsidR="00716FAD" w:rsidRPr="00716FAD" w:rsidRDefault="00716FAD" w:rsidP="00716FAD">
      <w:pPr>
        <w:spacing w:line="240" w:lineRule="auto"/>
        <w:jc w:val="both"/>
        <w:rPr>
          <w:color w:val="000000"/>
          <w:szCs w:val="22"/>
        </w:rPr>
      </w:pPr>
    </w:p>
    <w:p w14:paraId="3306F907" w14:textId="77777777" w:rsidR="00CD10AA" w:rsidRPr="00716FAD" w:rsidRDefault="00CD10AA" w:rsidP="00716FAD">
      <w:pPr>
        <w:tabs>
          <w:tab w:val="clear" w:pos="567"/>
        </w:tabs>
        <w:spacing w:line="240" w:lineRule="auto"/>
        <w:jc w:val="both"/>
        <w:rPr>
          <w:b/>
          <w:color w:val="000000"/>
          <w:szCs w:val="22"/>
        </w:rPr>
      </w:pPr>
      <w:r w:rsidRPr="00716FAD">
        <w:rPr>
          <w:b/>
          <w:color w:val="000000"/>
          <w:szCs w:val="22"/>
        </w:rPr>
        <w:t>8.</w:t>
      </w:r>
      <w:r w:rsidRPr="00716FAD">
        <w:rPr>
          <w:b/>
          <w:color w:val="000000"/>
          <w:szCs w:val="22"/>
        </w:rPr>
        <w:tab/>
        <w:t>REĢISTRĀCIJAS</w:t>
      </w:r>
      <w:r w:rsidR="0082246A" w:rsidRPr="00716FAD">
        <w:rPr>
          <w:b/>
          <w:color w:val="000000"/>
          <w:szCs w:val="22"/>
        </w:rPr>
        <w:t xml:space="preserve"> APLIECĪBAS</w:t>
      </w:r>
      <w:r w:rsidR="00AB7241" w:rsidRPr="00716FAD">
        <w:rPr>
          <w:b/>
          <w:color w:val="000000"/>
          <w:szCs w:val="22"/>
        </w:rPr>
        <w:t xml:space="preserve"> NUMURS</w:t>
      </w:r>
    </w:p>
    <w:p w14:paraId="2D8C468E" w14:textId="77777777" w:rsidR="00716FAD" w:rsidRPr="00716FAD" w:rsidRDefault="00716FAD" w:rsidP="00716FAD">
      <w:pPr>
        <w:tabs>
          <w:tab w:val="clear" w:pos="567"/>
        </w:tabs>
        <w:spacing w:line="240" w:lineRule="auto"/>
        <w:jc w:val="both"/>
        <w:rPr>
          <w:rStyle w:val="apple-style-span"/>
          <w:color w:val="000000"/>
          <w:szCs w:val="22"/>
        </w:rPr>
      </w:pPr>
    </w:p>
    <w:p w14:paraId="797B7439" w14:textId="77777777" w:rsidR="00CD10AA" w:rsidRPr="00716FAD" w:rsidRDefault="00AB7241" w:rsidP="00716FAD">
      <w:pPr>
        <w:tabs>
          <w:tab w:val="clear" w:pos="567"/>
        </w:tabs>
        <w:spacing w:line="240" w:lineRule="auto"/>
        <w:jc w:val="both"/>
        <w:rPr>
          <w:rStyle w:val="apple-style-span"/>
          <w:color w:val="000000"/>
          <w:szCs w:val="22"/>
        </w:rPr>
      </w:pPr>
      <w:r w:rsidRPr="00716FAD">
        <w:rPr>
          <w:rStyle w:val="apple-style-span"/>
          <w:color w:val="000000"/>
          <w:szCs w:val="22"/>
        </w:rPr>
        <w:t>98-0107</w:t>
      </w:r>
    </w:p>
    <w:p w14:paraId="1026A938" w14:textId="77777777" w:rsidR="00AB7241" w:rsidRPr="00716FAD" w:rsidRDefault="00AB7241" w:rsidP="00716FAD">
      <w:pPr>
        <w:tabs>
          <w:tab w:val="clear" w:pos="567"/>
        </w:tabs>
        <w:spacing w:line="240" w:lineRule="auto"/>
        <w:jc w:val="both"/>
        <w:rPr>
          <w:color w:val="000000"/>
          <w:szCs w:val="22"/>
        </w:rPr>
      </w:pPr>
    </w:p>
    <w:p w14:paraId="36367C39" w14:textId="77777777" w:rsidR="00716FAD" w:rsidRPr="00716FAD" w:rsidRDefault="00716FAD" w:rsidP="00716FAD">
      <w:pPr>
        <w:tabs>
          <w:tab w:val="clear" w:pos="567"/>
        </w:tabs>
        <w:spacing w:line="240" w:lineRule="auto"/>
        <w:jc w:val="both"/>
        <w:rPr>
          <w:color w:val="000000"/>
          <w:szCs w:val="22"/>
        </w:rPr>
      </w:pPr>
    </w:p>
    <w:p w14:paraId="634856FE" w14:textId="77777777" w:rsidR="00CD10AA" w:rsidRPr="00716FAD" w:rsidRDefault="00CD10AA" w:rsidP="00716FAD">
      <w:pPr>
        <w:tabs>
          <w:tab w:val="clear" w:pos="567"/>
        </w:tabs>
        <w:spacing w:line="240" w:lineRule="auto"/>
        <w:jc w:val="both"/>
        <w:rPr>
          <w:b/>
          <w:color w:val="000000"/>
          <w:szCs w:val="22"/>
        </w:rPr>
      </w:pPr>
      <w:r w:rsidRPr="00716FAD">
        <w:rPr>
          <w:b/>
          <w:color w:val="000000"/>
          <w:szCs w:val="22"/>
        </w:rPr>
        <w:t>9.</w:t>
      </w:r>
      <w:r w:rsidRPr="00716FAD">
        <w:rPr>
          <w:b/>
          <w:color w:val="000000"/>
          <w:szCs w:val="22"/>
        </w:rPr>
        <w:tab/>
      </w:r>
      <w:r w:rsidR="00980C1E" w:rsidRPr="00716FAD">
        <w:rPr>
          <w:b/>
          <w:color w:val="000000"/>
          <w:szCs w:val="22"/>
        </w:rPr>
        <w:t xml:space="preserve">PIRMĀS </w:t>
      </w:r>
      <w:r w:rsidRPr="00716FAD">
        <w:rPr>
          <w:b/>
          <w:color w:val="000000"/>
          <w:szCs w:val="22"/>
        </w:rPr>
        <w:t>REĢISTRĀCIJAS/PĀRREĢISTRĀCIJAS DATUMS</w:t>
      </w:r>
    </w:p>
    <w:p w14:paraId="693E48A1" w14:textId="77777777" w:rsidR="00716FAD" w:rsidRPr="00716FAD" w:rsidRDefault="00716FAD" w:rsidP="00716FAD">
      <w:pPr>
        <w:spacing w:line="240" w:lineRule="auto"/>
        <w:jc w:val="both"/>
        <w:rPr>
          <w:color w:val="000000"/>
          <w:szCs w:val="22"/>
        </w:rPr>
      </w:pPr>
    </w:p>
    <w:p w14:paraId="15753A15" w14:textId="77777777" w:rsidR="00B944A8" w:rsidRPr="00716FAD" w:rsidRDefault="0082246A" w:rsidP="00716FAD">
      <w:pPr>
        <w:spacing w:line="240" w:lineRule="auto"/>
        <w:jc w:val="both"/>
        <w:rPr>
          <w:color w:val="000000"/>
          <w:szCs w:val="22"/>
        </w:rPr>
      </w:pPr>
      <w:r w:rsidRPr="00716FAD">
        <w:rPr>
          <w:color w:val="000000"/>
          <w:szCs w:val="22"/>
        </w:rPr>
        <w:t xml:space="preserve">Reģistrācijas datums: </w:t>
      </w:r>
      <w:r w:rsidR="00AB7241" w:rsidRPr="00716FAD">
        <w:rPr>
          <w:color w:val="000000"/>
          <w:szCs w:val="22"/>
        </w:rPr>
        <w:t>1998.gada 25.februāris.</w:t>
      </w:r>
    </w:p>
    <w:p w14:paraId="4D41F931" w14:textId="77777777" w:rsidR="00CD10AA" w:rsidRPr="00716FAD" w:rsidRDefault="0082246A" w:rsidP="00716FAD">
      <w:pPr>
        <w:spacing w:line="240" w:lineRule="auto"/>
        <w:jc w:val="both"/>
        <w:rPr>
          <w:noProof/>
          <w:color w:val="000000"/>
          <w:szCs w:val="22"/>
        </w:rPr>
      </w:pPr>
      <w:r w:rsidRPr="00716FAD">
        <w:rPr>
          <w:color w:val="000000"/>
          <w:szCs w:val="22"/>
        </w:rPr>
        <w:t xml:space="preserve">Pēdējās pārreģistrācijas datums: </w:t>
      </w:r>
      <w:r w:rsidR="00AB7241" w:rsidRPr="00716FAD">
        <w:rPr>
          <w:color w:val="000000"/>
          <w:szCs w:val="22"/>
        </w:rPr>
        <w:t>2011.gada 28.septembris.</w:t>
      </w:r>
    </w:p>
    <w:p w14:paraId="7701A42A" w14:textId="77777777" w:rsidR="00CD10AA" w:rsidRPr="00716FAD" w:rsidRDefault="00CD10AA" w:rsidP="00716FAD">
      <w:pPr>
        <w:tabs>
          <w:tab w:val="clear" w:pos="567"/>
        </w:tabs>
        <w:spacing w:line="240" w:lineRule="auto"/>
        <w:jc w:val="both"/>
        <w:rPr>
          <w:color w:val="000000"/>
          <w:szCs w:val="22"/>
        </w:rPr>
      </w:pPr>
    </w:p>
    <w:p w14:paraId="1503D785" w14:textId="77777777" w:rsidR="00716FAD" w:rsidRPr="00716FAD" w:rsidRDefault="00716FAD" w:rsidP="00716FAD">
      <w:pPr>
        <w:tabs>
          <w:tab w:val="clear" w:pos="567"/>
        </w:tabs>
        <w:spacing w:line="240" w:lineRule="auto"/>
        <w:jc w:val="both"/>
        <w:rPr>
          <w:color w:val="000000"/>
          <w:szCs w:val="22"/>
        </w:rPr>
      </w:pPr>
    </w:p>
    <w:p w14:paraId="4F6FD152" w14:textId="77777777" w:rsidR="00CD10AA" w:rsidRPr="00716FAD" w:rsidRDefault="00CD10AA" w:rsidP="00716FAD">
      <w:pPr>
        <w:tabs>
          <w:tab w:val="clear" w:pos="567"/>
        </w:tabs>
        <w:spacing w:line="240" w:lineRule="auto"/>
        <w:jc w:val="both"/>
        <w:rPr>
          <w:b/>
          <w:color w:val="000000"/>
          <w:szCs w:val="22"/>
        </w:rPr>
      </w:pPr>
      <w:r w:rsidRPr="00716FAD">
        <w:rPr>
          <w:b/>
          <w:color w:val="000000"/>
          <w:szCs w:val="22"/>
        </w:rPr>
        <w:t>10.</w:t>
      </w:r>
      <w:r w:rsidRPr="00716FAD">
        <w:rPr>
          <w:b/>
          <w:color w:val="000000"/>
          <w:szCs w:val="22"/>
        </w:rPr>
        <w:tab/>
        <w:t>TEKSTA</w:t>
      </w:r>
      <w:r w:rsidR="00171350" w:rsidRPr="00716FAD">
        <w:rPr>
          <w:b/>
          <w:color w:val="000000"/>
          <w:szCs w:val="22"/>
        </w:rPr>
        <w:t xml:space="preserve"> </w:t>
      </w:r>
      <w:r w:rsidRPr="00716FAD">
        <w:rPr>
          <w:b/>
          <w:color w:val="000000"/>
          <w:szCs w:val="22"/>
        </w:rPr>
        <w:t>PĀRSKATĪŠANAS DATUMS</w:t>
      </w:r>
    </w:p>
    <w:p w14:paraId="0FBE25FC" w14:textId="77777777" w:rsidR="00716FAD" w:rsidRPr="00716FAD" w:rsidRDefault="00716FAD" w:rsidP="00716FAD">
      <w:pPr>
        <w:tabs>
          <w:tab w:val="clear" w:pos="567"/>
        </w:tabs>
        <w:spacing w:line="240" w:lineRule="auto"/>
        <w:jc w:val="both"/>
        <w:rPr>
          <w:color w:val="000000"/>
          <w:szCs w:val="22"/>
        </w:rPr>
      </w:pPr>
    </w:p>
    <w:p w14:paraId="0CC3FD4E" w14:textId="6880245D" w:rsidR="006B6344" w:rsidRPr="00716FAD" w:rsidRDefault="005C4AF7" w:rsidP="00716FAD">
      <w:pPr>
        <w:tabs>
          <w:tab w:val="clear" w:pos="567"/>
        </w:tabs>
        <w:spacing w:line="240" w:lineRule="auto"/>
        <w:jc w:val="both"/>
        <w:rPr>
          <w:color w:val="000000"/>
          <w:szCs w:val="22"/>
        </w:rPr>
      </w:pPr>
      <w:r>
        <w:rPr>
          <w:color w:val="000000"/>
          <w:szCs w:val="22"/>
        </w:rPr>
        <w:t>1</w:t>
      </w:r>
      <w:r w:rsidR="00725834">
        <w:rPr>
          <w:color w:val="000000"/>
          <w:szCs w:val="22"/>
        </w:rPr>
        <w:t>2</w:t>
      </w:r>
      <w:r>
        <w:rPr>
          <w:color w:val="000000"/>
          <w:szCs w:val="22"/>
        </w:rPr>
        <w:t>/</w:t>
      </w:r>
      <w:r w:rsidR="00C92DF3" w:rsidRPr="00716FAD">
        <w:rPr>
          <w:color w:val="000000"/>
          <w:szCs w:val="22"/>
        </w:rPr>
        <w:t>20</w:t>
      </w:r>
      <w:r>
        <w:rPr>
          <w:color w:val="000000"/>
          <w:szCs w:val="22"/>
        </w:rPr>
        <w:t>2</w:t>
      </w:r>
      <w:r w:rsidR="00C92DF3" w:rsidRPr="00716FAD">
        <w:rPr>
          <w:color w:val="000000"/>
          <w:szCs w:val="22"/>
        </w:rPr>
        <w:t>1</w:t>
      </w:r>
    </w:p>
    <w:p w14:paraId="55D95B1F" w14:textId="77777777" w:rsidR="00716FAD" w:rsidRPr="00716FAD" w:rsidRDefault="00716FAD" w:rsidP="00716FAD">
      <w:pPr>
        <w:tabs>
          <w:tab w:val="clear" w:pos="567"/>
        </w:tabs>
        <w:spacing w:line="240" w:lineRule="auto"/>
        <w:jc w:val="both"/>
        <w:rPr>
          <w:color w:val="000000"/>
          <w:szCs w:val="22"/>
        </w:rPr>
      </w:pPr>
    </w:p>
    <w:p w14:paraId="0E89A089" w14:textId="77777777" w:rsidR="00716FAD" w:rsidRPr="00716FAD" w:rsidRDefault="00716FAD" w:rsidP="00716FAD">
      <w:pPr>
        <w:tabs>
          <w:tab w:val="clear" w:pos="567"/>
        </w:tabs>
        <w:spacing w:line="240" w:lineRule="auto"/>
        <w:jc w:val="both"/>
        <w:rPr>
          <w:color w:val="000000"/>
          <w:szCs w:val="22"/>
        </w:rPr>
      </w:pPr>
    </w:p>
    <w:sectPr w:rsidR="00716FAD" w:rsidRPr="00716FAD" w:rsidSect="00FB3670">
      <w:headerReference w:type="even" r:id="rId10"/>
      <w:headerReference w:type="default" r:id="rId11"/>
      <w:footerReference w:type="even" r:id="rId12"/>
      <w:footerReference w:type="default" r:id="rId13"/>
      <w:headerReference w:type="first" r:id="rId14"/>
      <w:footerReference w:type="first" r:id="rId15"/>
      <w:endnotePr>
        <w:numFmt w:val="decimal"/>
      </w:endnotePr>
      <w:type w:val="continuous"/>
      <w:pgSz w:w="11907" w:h="16840"/>
      <w:pgMar w:top="1134" w:right="1134" w:bottom="1134" w:left="170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14C78F" w14:textId="77777777" w:rsidR="004201E5" w:rsidRDefault="004201E5">
      <w:r>
        <w:separator/>
      </w:r>
    </w:p>
  </w:endnote>
  <w:endnote w:type="continuationSeparator" w:id="0">
    <w:p w14:paraId="75B1E912" w14:textId="77777777" w:rsidR="004201E5" w:rsidRDefault="00420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BC20C" w14:textId="77777777" w:rsidR="00683131" w:rsidRDefault="006831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52D35A" w14:textId="7484AB87" w:rsidR="00E26133" w:rsidRPr="0095064B" w:rsidRDefault="00E26133">
    <w:pPr>
      <w:pStyle w:val="Footer"/>
      <w:tabs>
        <w:tab w:val="clear" w:pos="8930"/>
        <w:tab w:val="right" w:pos="8931"/>
      </w:tabs>
      <w:ind w:right="96"/>
      <w:jc w:val="center"/>
      <w:rPr>
        <w:rFonts w:ascii="Times New Roman" w:hAnsi="Times New Roman"/>
        <w:sz w:val="20"/>
      </w:rPr>
    </w:pPr>
    <w:r w:rsidRPr="0095064B">
      <w:rPr>
        <w:rFonts w:ascii="Times New Roman" w:hAnsi="Times New Roman"/>
        <w:sz w:val="20"/>
      </w:rPr>
      <w:t>98-0107/I</w:t>
    </w:r>
    <w:r w:rsidR="005C4AF7">
      <w:rPr>
        <w:rFonts w:ascii="Times New Roman" w:hAnsi="Times New Roman"/>
        <w:sz w:val="20"/>
      </w:rPr>
      <w:t>I</w:t>
    </w:r>
    <w:r w:rsidRPr="0095064B">
      <w:rPr>
        <w:rFonts w:ascii="Times New Roman" w:hAnsi="Times New Roman"/>
        <w:sz w:val="20"/>
      </w:rPr>
      <w:t>/0</w:t>
    </w:r>
    <w:r w:rsidR="005C4AF7">
      <w:rPr>
        <w:rFonts w:ascii="Times New Roman" w:hAnsi="Times New Roman"/>
        <w:sz w:val="20"/>
      </w:rPr>
      <w:t>30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CC8511" w14:textId="77777777" w:rsidR="00E26133" w:rsidRDefault="00E26133">
    <w:pPr>
      <w:pStyle w:val="Footer"/>
      <w:tabs>
        <w:tab w:val="clear" w:pos="8930"/>
        <w:tab w:val="right" w:pos="8931"/>
      </w:tabs>
      <w:ind w:right="96"/>
      <w:jc w:val="center"/>
    </w:pPr>
    <w:r>
      <w:fldChar w:fldCharType="begin"/>
    </w:r>
    <w:r>
      <w:instrText xml:space="preserve"> EQ </w:instrText>
    </w:r>
    <w:r>
      <w:fldChar w:fldCharType="end"/>
    </w:r>
    <w:r>
      <w:rPr>
        <w:rStyle w:val="PageNumber"/>
        <w:rFonts w:ascii="Arial" w:hAnsi="Arial" w:cs="Arial"/>
      </w:rPr>
      <w:fldChar w:fldCharType="begin"/>
    </w:r>
    <w:r>
      <w:rPr>
        <w:rStyle w:val="PageNumber"/>
        <w:rFonts w:ascii="Arial" w:hAnsi="Arial" w:cs="Arial"/>
      </w:rPr>
      <w:instrText xml:space="preserve">PAGE  </w:instrText>
    </w:r>
    <w:r>
      <w:rPr>
        <w:rStyle w:val="PageNumber"/>
        <w:rFonts w:ascii="Arial" w:hAnsi="Arial" w:cs="Arial"/>
      </w:rPr>
      <w:fldChar w:fldCharType="separate"/>
    </w:r>
    <w:r>
      <w:rPr>
        <w:rStyle w:val="PageNumber"/>
        <w:rFonts w:ascii="Arial" w:hAnsi="Arial" w:cs="Arial"/>
        <w:noProof/>
      </w:rPr>
      <w:t>1</w:t>
    </w:r>
    <w:r>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1B1B86" w14:textId="77777777" w:rsidR="004201E5" w:rsidRDefault="004201E5">
      <w:r>
        <w:separator/>
      </w:r>
    </w:p>
  </w:footnote>
  <w:footnote w:type="continuationSeparator" w:id="0">
    <w:p w14:paraId="426574AB" w14:textId="77777777" w:rsidR="004201E5" w:rsidRDefault="004201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174FBE" w14:textId="77777777" w:rsidR="00683131" w:rsidRDefault="006831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44F29" w14:textId="43BDEED4" w:rsidR="00E26133" w:rsidRPr="00683131" w:rsidRDefault="00683131" w:rsidP="00FB2E87">
    <w:pPr>
      <w:pStyle w:val="Header"/>
      <w:jc w:val="right"/>
      <w:rPr>
        <w:rFonts w:ascii="Times New Roman" w:hAnsi="Times New Roman"/>
        <w:sz w:val="24"/>
        <w:szCs w:val="24"/>
        <w:lang w:val="en-US"/>
      </w:rPr>
    </w:pPr>
    <w:r>
      <w:rPr>
        <w:rFonts w:ascii="Times New Roman" w:hAnsi="Times New Roman"/>
        <w:sz w:val="24"/>
        <w:szCs w:val="24"/>
        <w:lang w:val="en-US"/>
      </w:rPr>
      <w:t>SASKAŅOTS ZVA 14-12-2021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EE161" w14:textId="77777777" w:rsidR="00683131" w:rsidRDefault="006831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87C594C"/>
    <w:multiLevelType w:val="hybridMultilevel"/>
    <w:tmpl w:val="916245D0"/>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C848ED8F"/>
    <w:multiLevelType w:val="hybridMultilevel"/>
    <w:tmpl w:val="6A99F02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D0E79C0F"/>
    <w:multiLevelType w:val="hybridMultilevel"/>
    <w:tmpl w:val="2F1BADF2"/>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FC2808CF"/>
    <w:multiLevelType w:val="hybridMultilevel"/>
    <w:tmpl w:val="42913CF5"/>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FFFFFFFE"/>
    <w:multiLevelType w:val="singleLevel"/>
    <w:tmpl w:val="FFFFFFFF"/>
    <w:lvl w:ilvl="0">
      <w:numFmt w:val="decimal"/>
      <w:lvlText w:val="*"/>
      <w:lvlJc w:val="left"/>
    </w:lvl>
  </w:abstractNum>
  <w:abstractNum w:abstractNumId="5" w15:restartNumberingAfterBreak="0">
    <w:nsid w:val="02883AD1"/>
    <w:multiLevelType w:val="hybridMultilevel"/>
    <w:tmpl w:val="48569F9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545762"/>
    <w:multiLevelType w:val="hybridMultilevel"/>
    <w:tmpl w:val="069CEFF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B66B22"/>
    <w:multiLevelType w:val="multilevel"/>
    <w:tmpl w:val="A2AE694E"/>
    <w:lvl w:ilvl="0">
      <w:start w:val="5"/>
      <w:numFmt w:val="decimal"/>
      <w:lvlText w:val="%1"/>
      <w:lvlJc w:val="left"/>
      <w:pPr>
        <w:tabs>
          <w:tab w:val="num" w:pos="570"/>
        </w:tabs>
        <w:ind w:left="570" w:hanging="570"/>
      </w:pPr>
      <w:rPr>
        <w:rFonts w:hint="default"/>
        <w:b/>
      </w:rPr>
    </w:lvl>
    <w:lvl w:ilvl="1">
      <w:start w:val="3"/>
      <w:numFmt w:val="decimal"/>
      <w:lvlText w:val="%1.%2"/>
      <w:lvlJc w:val="left"/>
      <w:pPr>
        <w:tabs>
          <w:tab w:val="num" w:pos="570"/>
        </w:tabs>
        <w:ind w:left="570" w:hanging="57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8" w15:restartNumberingAfterBreak="0">
    <w:nsid w:val="0BB77EF6"/>
    <w:multiLevelType w:val="hybridMultilevel"/>
    <w:tmpl w:val="175F74F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0F351A5E"/>
    <w:multiLevelType w:val="hybridMultilevel"/>
    <w:tmpl w:val="754424AA"/>
    <w:lvl w:ilvl="0" w:tplc="28D84054">
      <w:start w:val="4"/>
      <w:numFmt w:val="decimal"/>
      <w:lvlText w:val="%1."/>
      <w:lvlJc w:val="left"/>
      <w:pPr>
        <w:tabs>
          <w:tab w:val="num" w:pos="930"/>
        </w:tabs>
        <w:ind w:left="930" w:hanging="570"/>
      </w:pPr>
      <w:rPr>
        <w:rFonts w:hint="default"/>
      </w:rPr>
    </w:lvl>
    <w:lvl w:ilvl="1" w:tplc="2B942BF8" w:tentative="1">
      <w:start w:val="1"/>
      <w:numFmt w:val="lowerLetter"/>
      <w:lvlText w:val="%2."/>
      <w:lvlJc w:val="left"/>
      <w:pPr>
        <w:tabs>
          <w:tab w:val="num" w:pos="1440"/>
        </w:tabs>
        <w:ind w:left="1440" w:hanging="360"/>
      </w:pPr>
    </w:lvl>
    <w:lvl w:ilvl="2" w:tplc="346A58FE" w:tentative="1">
      <w:start w:val="1"/>
      <w:numFmt w:val="lowerRoman"/>
      <w:lvlText w:val="%3."/>
      <w:lvlJc w:val="right"/>
      <w:pPr>
        <w:tabs>
          <w:tab w:val="num" w:pos="2160"/>
        </w:tabs>
        <w:ind w:left="2160" w:hanging="180"/>
      </w:pPr>
    </w:lvl>
    <w:lvl w:ilvl="3" w:tplc="85AEEFC8" w:tentative="1">
      <w:start w:val="1"/>
      <w:numFmt w:val="decimal"/>
      <w:lvlText w:val="%4."/>
      <w:lvlJc w:val="left"/>
      <w:pPr>
        <w:tabs>
          <w:tab w:val="num" w:pos="2880"/>
        </w:tabs>
        <w:ind w:left="2880" w:hanging="360"/>
      </w:pPr>
    </w:lvl>
    <w:lvl w:ilvl="4" w:tplc="5A6EAF30" w:tentative="1">
      <w:start w:val="1"/>
      <w:numFmt w:val="lowerLetter"/>
      <w:lvlText w:val="%5."/>
      <w:lvlJc w:val="left"/>
      <w:pPr>
        <w:tabs>
          <w:tab w:val="num" w:pos="3600"/>
        </w:tabs>
        <w:ind w:left="3600" w:hanging="360"/>
      </w:pPr>
    </w:lvl>
    <w:lvl w:ilvl="5" w:tplc="5A829F64" w:tentative="1">
      <w:start w:val="1"/>
      <w:numFmt w:val="lowerRoman"/>
      <w:lvlText w:val="%6."/>
      <w:lvlJc w:val="right"/>
      <w:pPr>
        <w:tabs>
          <w:tab w:val="num" w:pos="4320"/>
        </w:tabs>
        <w:ind w:left="4320" w:hanging="180"/>
      </w:pPr>
    </w:lvl>
    <w:lvl w:ilvl="6" w:tplc="561AB860" w:tentative="1">
      <w:start w:val="1"/>
      <w:numFmt w:val="decimal"/>
      <w:lvlText w:val="%7."/>
      <w:lvlJc w:val="left"/>
      <w:pPr>
        <w:tabs>
          <w:tab w:val="num" w:pos="5040"/>
        </w:tabs>
        <w:ind w:left="5040" w:hanging="360"/>
      </w:pPr>
    </w:lvl>
    <w:lvl w:ilvl="7" w:tplc="B524A4EC" w:tentative="1">
      <w:start w:val="1"/>
      <w:numFmt w:val="lowerLetter"/>
      <w:lvlText w:val="%8."/>
      <w:lvlJc w:val="left"/>
      <w:pPr>
        <w:tabs>
          <w:tab w:val="num" w:pos="5760"/>
        </w:tabs>
        <w:ind w:left="5760" w:hanging="360"/>
      </w:pPr>
    </w:lvl>
    <w:lvl w:ilvl="8" w:tplc="8AF8ECDA" w:tentative="1">
      <w:start w:val="1"/>
      <w:numFmt w:val="lowerRoman"/>
      <w:lvlText w:val="%9."/>
      <w:lvlJc w:val="right"/>
      <w:pPr>
        <w:tabs>
          <w:tab w:val="num" w:pos="6480"/>
        </w:tabs>
        <w:ind w:left="6480" w:hanging="180"/>
      </w:pPr>
    </w:lvl>
  </w:abstractNum>
  <w:abstractNum w:abstractNumId="10" w15:restartNumberingAfterBreak="0">
    <w:nsid w:val="11A16F69"/>
    <w:multiLevelType w:val="hybridMultilevel"/>
    <w:tmpl w:val="AAB8F5F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440B01"/>
    <w:multiLevelType w:val="hybridMultilevel"/>
    <w:tmpl w:val="87AE81D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CF7278"/>
    <w:multiLevelType w:val="hybridMultilevel"/>
    <w:tmpl w:val="4AD408E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A37FC5"/>
    <w:multiLevelType w:val="singleLevel"/>
    <w:tmpl w:val="FFFFFFFF"/>
    <w:lvl w:ilvl="0">
      <w:start w:val="1"/>
      <w:numFmt w:val="bullet"/>
      <w:lvlText w:val="-"/>
      <w:legacy w:legacy="1" w:legacySpace="0" w:legacyIndent="360"/>
      <w:lvlJc w:val="left"/>
      <w:pPr>
        <w:ind w:left="1800" w:hanging="360"/>
      </w:pPr>
    </w:lvl>
  </w:abstractNum>
  <w:abstractNum w:abstractNumId="14" w15:restartNumberingAfterBreak="0">
    <w:nsid w:val="1F8D2DAC"/>
    <w:multiLevelType w:val="hybridMultilevel"/>
    <w:tmpl w:val="A1A82BE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0A62EA6"/>
    <w:multiLevelType w:val="hybridMultilevel"/>
    <w:tmpl w:val="9B4E972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19A3667"/>
    <w:multiLevelType w:val="multilevel"/>
    <w:tmpl w:val="FFFFFFFF"/>
    <w:lvl w:ilvl="0">
      <w:start w:val="1"/>
      <w:numFmt w:val="bullet"/>
      <w:lvlText w:val=""/>
      <w:legacy w:legacy="1" w:legacySpace="0" w:legacyIndent="284"/>
      <w:lvlJc w:val="left"/>
      <w:pPr>
        <w:ind w:left="284" w:hanging="284"/>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C9C260D"/>
    <w:multiLevelType w:val="hybridMultilevel"/>
    <w:tmpl w:val="FC7E04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6A670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0444BCF"/>
    <w:multiLevelType w:val="hybridMultilevel"/>
    <w:tmpl w:val="F4E238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AB85591"/>
    <w:multiLevelType w:val="hybridMultilevel"/>
    <w:tmpl w:val="E24E7F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552C46"/>
    <w:multiLevelType w:val="hybridMultilevel"/>
    <w:tmpl w:val="79041E2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49688D"/>
    <w:multiLevelType w:val="hybridMultilevel"/>
    <w:tmpl w:val="5680084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9D6658"/>
    <w:multiLevelType w:val="hybridMultilevel"/>
    <w:tmpl w:val="17F8F9DC"/>
    <w:lvl w:ilvl="0" w:tplc="A696719E">
      <w:start w:val="1"/>
      <w:numFmt w:val="bullet"/>
      <w:lvlText w:val=""/>
      <w:lvlJc w:val="left"/>
      <w:pPr>
        <w:tabs>
          <w:tab w:val="num" w:pos="567"/>
        </w:tabs>
        <w:ind w:left="567" w:hanging="454"/>
      </w:pPr>
      <w:rPr>
        <w:rFonts w:ascii="Symbol" w:hAnsi="Symbol" w:hint="default"/>
      </w:rPr>
    </w:lvl>
    <w:lvl w:ilvl="1" w:tplc="4DE84E1A">
      <w:start w:val="1"/>
      <w:numFmt w:val="bullet"/>
      <w:lvlText w:val="o"/>
      <w:lvlJc w:val="left"/>
      <w:pPr>
        <w:tabs>
          <w:tab w:val="num" w:pos="1440"/>
        </w:tabs>
        <w:ind w:left="1440" w:hanging="360"/>
      </w:pPr>
      <w:rPr>
        <w:rFonts w:ascii="Courier New" w:hAnsi="Courier New" w:hint="default"/>
      </w:rPr>
    </w:lvl>
    <w:lvl w:ilvl="2" w:tplc="A704E622" w:tentative="1">
      <w:start w:val="1"/>
      <w:numFmt w:val="bullet"/>
      <w:lvlText w:val=""/>
      <w:lvlJc w:val="left"/>
      <w:pPr>
        <w:tabs>
          <w:tab w:val="num" w:pos="2160"/>
        </w:tabs>
        <w:ind w:left="2160" w:hanging="360"/>
      </w:pPr>
      <w:rPr>
        <w:rFonts w:ascii="Wingdings" w:hAnsi="Wingdings" w:hint="default"/>
      </w:rPr>
    </w:lvl>
    <w:lvl w:ilvl="3" w:tplc="4478FE0A" w:tentative="1">
      <w:start w:val="1"/>
      <w:numFmt w:val="bullet"/>
      <w:lvlText w:val=""/>
      <w:lvlJc w:val="left"/>
      <w:pPr>
        <w:tabs>
          <w:tab w:val="num" w:pos="2880"/>
        </w:tabs>
        <w:ind w:left="2880" w:hanging="360"/>
      </w:pPr>
      <w:rPr>
        <w:rFonts w:ascii="Symbol" w:hAnsi="Symbol" w:hint="default"/>
      </w:rPr>
    </w:lvl>
    <w:lvl w:ilvl="4" w:tplc="84FC2CDA" w:tentative="1">
      <w:start w:val="1"/>
      <w:numFmt w:val="bullet"/>
      <w:lvlText w:val="o"/>
      <w:lvlJc w:val="left"/>
      <w:pPr>
        <w:tabs>
          <w:tab w:val="num" w:pos="3600"/>
        </w:tabs>
        <w:ind w:left="3600" w:hanging="360"/>
      </w:pPr>
      <w:rPr>
        <w:rFonts w:ascii="Courier New" w:hAnsi="Courier New" w:hint="default"/>
      </w:rPr>
    </w:lvl>
    <w:lvl w:ilvl="5" w:tplc="2C620A7E" w:tentative="1">
      <w:start w:val="1"/>
      <w:numFmt w:val="bullet"/>
      <w:lvlText w:val=""/>
      <w:lvlJc w:val="left"/>
      <w:pPr>
        <w:tabs>
          <w:tab w:val="num" w:pos="4320"/>
        </w:tabs>
        <w:ind w:left="4320" w:hanging="360"/>
      </w:pPr>
      <w:rPr>
        <w:rFonts w:ascii="Wingdings" w:hAnsi="Wingdings" w:hint="default"/>
      </w:rPr>
    </w:lvl>
    <w:lvl w:ilvl="6" w:tplc="BF383C6E" w:tentative="1">
      <w:start w:val="1"/>
      <w:numFmt w:val="bullet"/>
      <w:lvlText w:val=""/>
      <w:lvlJc w:val="left"/>
      <w:pPr>
        <w:tabs>
          <w:tab w:val="num" w:pos="5040"/>
        </w:tabs>
        <w:ind w:left="5040" w:hanging="360"/>
      </w:pPr>
      <w:rPr>
        <w:rFonts w:ascii="Symbol" w:hAnsi="Symbol" w:hint="default"/>
      </w:rPr>
    </w:lvl>
    <w:lvl w:ilvl="7" w:tplc="CA049F40" w:tentative="1">
      <w:start w:val="1"/>
      <w:numFmt w:val="bullet"/>
      <w:lvlText w:val="o"/>
      <w:lvlJc w:val="left"/>
      <w:pPr>
        <w:tabs>
          <w:tab w:val="num" w:pos="5760"/>
        </w:tabs>
        <w:ind w:left="5760" w:hanging="360"/>
      </w:pPr>
      <w:rPr>
        <w:rFonts w:ascii="Courier New" w:hAnsi="Courier New" w:hint="default"/>
      </w:rPr>
    </w:lvl>
    <w:lvl w:ilvl="8" w:tplc="E816254E"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7E27F9F"/>
    <w:multiLevelType w:val="hybridMultilevel"/>
    <w:tmpl w:val="731EAD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810019"/>
    <w:multiLevelType w:val="singleLevel"/>
    <w:tmpl w:val="FFFFFFFF"/>
    <w:lvl w:ilvl="0">
      <w:start w:val="1"/>
      <w:numFmt w:val="bullet"/>
      <w:lvlText w:val="-"/>
      <w:legacy w:legacy="1" w:legacySpace="0" w:legacyIndent="360"/>
      <w:lvlJc w:val="left"/>
      <w:pPr>
        <w:ind w:left="1800" w:hanging="360"/>
      </w:pPr>
    </w:lvl>
  </w:abstractNum>
  <w:abstractNum w:abstractNumId="26" w15:restartNumberingAfterBreak="0">
    <w:nsid w:val="4BE54AFE"/>
    <w:multiLevelType w:val="hybridMultilevel"/>
    <w:tmpl w:val="B1A46980"/>
    <w:lvl w:ilvl="0" w:tplc="9DAE9636">
      <w:start w:val="8"/>
      <w:numFmt w:val="decimal"/>
      <w:lvlText w:val="%1."/>
      <w:lvlJc w:val="left"/>
      <w:pPr>
        <w:tabs>
          <w:tab w:val="num" w:pos="570"/>
        </w:tabs>
        <w:ind w:left="570" w:hanging="570"/>
      </w:pPr>
      <w:rPr>
        <w:rFonts w:hint="default"/>
      </w:rPr>
    </w:lvl>
    <w:lvl w:ilvl="1" w:tplc="3A96E872" w:tentative="1">
      <w:start w:val="1"/>
      <w:numFmt w:val="lowerLetter"/>
      <w:lvlText w:val="%2."/>
      <w:lvlJc w:val="left"/>
      <w:pPr>
        <w:tabs>
          <w:tab w:val="num" w:pos="1080"/>
        </w:tabs>
        <w:ind w:left="1080" w:hanging="360"/>
      </w:pPr>
    </w:lvl>
    <w:lvl w:ilvl="2" w:tplc="1C961C6C" w:tentative="1">
      <w:start w:val="1"/>
      <w:numFmt w:val="lowerRoman"/>
      <w:lvlText w:val="%3."/>
      <w:lvlJc w:val="right"/>
      <w:pPr>
        <w:tabs>
          <w:tab w:val="num" w:pos="1800"/>
        </w:tabs>
        <w:ind w:left="1800" w:hanging="180"/>
      </w:pPr>
    </w:lvl>
    <w:lvl w:ilvl="3" w:tplc="DB4C7A96" w:tentative="1">
      <w:start w:val="1"/>
      <w:numFmt w:val="decimal"/>
      <w:lvlText w:val="%4."/>
      <w:lvlJc w:val="left"/>
      <w:pPr>
        <w:tabs>
          <w:tab w:val="num" w:pos="2520"/>
        </w:tabs>
        <w:ind w:left="2520" w:hanging="360"/>
      </w:pPr>
    </w:lvl>
    <w:lvl w:ilvl="4" w:tplc="4782BFFC" w:tentative="1">
      <w:start w:val="1"/>
      <w:numFmt w:val="lowerLetter"/>
      <w:lvlText w:val="%5."/>
      <w:lvlJc w:val="left"/>
      <w:pPr>
        <w:tabs>
          <w:tab w:val="num" w:pos="3240"/>
        </w:tabs>
        <w:ind w:left="3240" w:hanging="360"/>
      </w:pPr>
    </w:lvl>
    <w:lvl w:ilvl="5" w:tplc="9CCA94D6" w:tentative="1">
      <w:start w:val="1"/>
      <w:numFmt w:val="lowerRoman"/>
      <w:lvlText w:val="%6."/>
      <w:lvlJc w:val="right"/>
      <w:pPr>
        <w:tabs>
          <w:tab w:val="num" w:pos="3960"/>
        </w:tabs>
        <w:ind w:left="3960" w:hanging="180"/>
      </w:pPr>
    </w:lvl>
    <w:lvl w:ilvl="6" w:tplc="6A4EAA22" w:tentative="1">
      <w:start w:val="1"/>
      <w:numFmt w:val="decimal"/>
      <w:lvlText w:val="%7."/>
      <w:lvlJc w:val="left"/>
      <w:pPr>
        <w:tabs>
          <w:tab w:val="num" w:pos="4680"/>
        </w:tabs>
        <w:ind w:left="4680" w:hanging="360"/>
      </w:pPr>
    </w:lvl>
    <w:lvl w:ilvl="7" w:tplc="79FAFF76" w:tentative="1">
      <w:start w:val="1"/>
      <w:numFmt w:val="lowerLetter"/>
      <w:lvlText w:val="%8."/>
      <w:lvlJc w:val="left"/>
      <w:pPr>
        <w:tabs>
          <w:tab w:val="num" w:pos="5400"/>
        </w:tabs>
        <w:ind w:left="5400" w:hanging="360"/>
      </w:pPr>
    </w:lvl>
    <w:lvl w:ilvl="8" w:tplc="FA4251B8" w:tentative="1">
      <w:start w:val="1"/>
      <w:numFmt w:val="lowerRoman"/>
      <w:lvlText w:val="%9."/>
      <w:lvlJc w:val="right"/>
      <w:pPr>
        <w:tabs>
          <w:tab w:val="num" w:pos="6120"/>
        </w:tabs>
        <w:ind w:left="6120" w:hanging="180"/>
      </w:pPr>
    </w:lvl>
  </w:abstractNum>
  <w:abstractNum w:abstractNumId="27" w15:restartNumberingAfterBreak="0">
    <w:nsid w:val="4F715EA8"/>
    <w:multiLevelType w:val="hybridMultilevel"/>
    <w:tmpl w:val="85242A24"/>
    <w:lvl w:ilvl="0" w:tplc="BBBA4678">
      <w:start w:val="4"/>
      <w:numFmt w:val="decimal"/>
      <w:lvlText w:val="%1."/>
      <w:lvlJc w:val="left"/>
      <w:pPr>
        <w:tabs>
          <w:tab w:val="num" w:pos="720"/>
        </w:tabs>
        <w:ind w:left="720" w:hanging="360"/>
      </w:pPr>
      <w:rPr>
        <w:rFonts w:hint="default"/>
      </w:rPr>
    </w:lvl>
    <w:lvl w:ilvl="1" w:tplc="E53E3ED6" w:tentative="1">
      <w:start w:val="1"/>
      <w:numFmt w:val="lowerLetter"/>
      <w:lvlText w:val="%2."/>
      <w:lvlJc w:val="left"/>
      <w:pPr>
        <w:tabs>
          <w:tab w:val="num" w:pos="1440"/>
        </w:tabs>
        <w:ind w:left="1440" w:hanging="360"/>
      </w:pPr>
    </w:lvl>
    <w:lvl w:ilvl="2" w:tplc="110A119A" w:tentative="1">
      <w:start w:val="1"/>
      <w:numFmt w:val="lowerRoman"/>
      <w:lvlText w:val="%3."/>
      <w:lvlJc w:val="right"/>
      <w:pPr>
        <w:tabs>
          <w:tab w:val="num" w:pos="2160"/>
        </w:tabs>
        <w:ind w:left="2160" w:hanging="180"/>
      </w:pPr>
    </w:lvl>
    <w:lvl w:ilvl="3" w:tplc="8BF853E6" w:tentative="1">
      <w:start w:val="1"/>
      <w:numFmt w:val="decimal"/>
      <w:lvlText w:val="%4."/>
      <w:lvlJc w:val="left"/>
      <w:pPr>
        <w:tabs>
          <w:tab w:val="num" w:pos="2880"/>
        </w:tabs>
        <w:ind w:left="2880" w:hanging="360"/>
      </w:pPr>
    </w:lvl>
    <w:lvl w:ilvl="4" w:tplc="FCB4152A" w:tentative="1">
      <w:start w:val="1"/>
      <w:numFmt w:val="lowerLetter"/>
      <w:lvlText w:val="%5."/>
      <w:lvlJc w:val="left"/>
      <w:pPr>
        <w:tabs>
          <w:tab w:val="num" w:pos="3600"/>
        </w:tabs>
        <w:ind w:left="3600" w:hanging="360"/>
      </w:pPr>
    </w:lvl>
    <w:lvl w:ilvl="5" w:tplc="53BCBB86" w:tentative="1">
      <w:start w:val="1"/>
      <w:numFmt w:val="lowerRoman"/>
      <w:lvlText w:val="%6."/>
      <w:lvlJc w:val="right"/>
      <w:pPr>
        <w:tabs>
          <w:tab w:val="num" w:pos="4320"/>
        </w:tabs>
        <w:ind w:left="4320" w:hanging="180"/>
      </w:pPr>
    </w:lvl>
    <w:lvl w:ilvl="6" w:tplc="95707B14" w:tentative="1">
      <w:start w:val="1"/>
      <w:numFmt w:val="decimal"/>
      <w:lvlText w:val="%7."/>
      <w:lvlJc w:val="left"/>
      <w:pPr>
        <w:tabs>
          <w:tab w:val="num" w:pos="5040"/>
        </w:tabs>
        <w:ind w:left="5040" w:hanging="360"/>
      </w:pPr>
    </w:lvl>
    <w:lvl w:ilvl="7" w:tplc="2BE0BCB2" w:tentative="1">
      <w:start w:val="1"/>
      <w:numFmt w:val="lowerLetter"/>
      <w:lvlText w:val="%8."/>
      <w:lvlJc w:val="left"/>
      <w:pPr>
        <w:tabs>
          <w:tab w:val="num" w:pos="5760"/>
        </w:tabs>
        <w:ind w:left="5760" w:hanging="360"/>
      </w:pPr>
    </w:lvl>
    <w:lvl w:ilvl="8" w:tplc="86141840" w:tentative="1">
      <w:start w:val="1"/>
      <w:numFmt w:val="lowerRoman"/>
      <w:lvlText w:val="%9."/>
      <w:lvlJc w:val="right"/>
      <w:pPr>
        <w:tabs>
          <w:tab w:val="num" w:pos="6480"/>
        </w:tabs>
        <w:ind w:left="6480" w:hanging="180"/>
      </w:pPr>
    </w:lvl>
  </w:abstractNum>
  <w:abstractNum w:abstractNumId="28" w15:restartNumberingAfterBreak="0">
    <w:nsid w:val="51A2718F"/>
    <w:multiLevelType w:val="hybridMultilevel"/>
    <w:tmpl w:val="7736C3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241E65"/>
    <w:multiLevelType w:val="hybridMultilevel"/>
    <w:tmpl w:val="A65A5E4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486820"/>
    <w:multiLevelType w:val="hybridMultilevel"/>
    <w:tmpl w:val="A62A44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0C4365"/>
    <w:multiLevelType w:val="singleLevel"/>
    <w:tmpl w:val="FFFFFFFF"/>
    <w:lvl w:ilvl="0">
      <w:start w:val="1"/>
      <w:numFmt w:val="bullet"/>
      <w:lvlText w:val="-"/>
      <w:legacy w:legacy="1" w:legacySpace="0" w:legacyIndent="360"/>
      <w:lvlJc w:val="left"/>
      <w:pPr>
        <w:ind w:left="1800" w:hanging="360"/>
      </w:pPr>
    </w:lvl>
  </w:abstractNum>
  <w:abstractNum w:abstractNumId="32" w15:restartNumberingAfterBreak="0">
    <w:nsid w:val="5CBB3F0F"/>
    <w:multiLevelType w:val="hybridMultilevel"/>
    <w:tmpl w:val="E7ECFBC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D56755A"/>
    <w:multiLevelType w:val="hybridMultilevel"/>
    <w:tmpl w:val="332A37D2"/>
    <w:lvl w:ilvl="0" w:tplc="7B16593E">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FF57617"/>
    <w:multiLevelType w:val="hybridMultilevel"/>
    <w:tmpl w:val="4A90E4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BDF3E9"/>
    <w:multiLevelType w:val="hybridMultilevel"/>
    <w:tmpl w:val="CB489A5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15:restartNumberingAfterBreak="0">
    <w:nsid w:val="68247730"/>
    <w:multiLevelType w:val="singleLevel"/>
    <w:tmpl w:val="6096C72A"/>
    <w:lvl w:ilvl="0">
      <w:start w:val="5"/>
      <w:numFmt w:val="decimal"/>
      <w:lvlText w:val="%1."/>
      <w:lvlJc w:val="left"/>
      <w:pPr>
        <w:tabs>
          <w:tab w:val="num" w:pos="570"/>
        </w:tabs>
        <w:ind w:left="570" w:hanging="570"/>
      </w:pPr>
      <w:rPr>
        <w:rFonts w:hint="default"/>
      </w:rPr>
    </w:lvl>
  </w:abstractNum>
  <w:abstractNum w:abstractNumId="37" w15:restartNumberingAfterBreak="0">
    <w:nsid w:val="6BEB7447"/>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8" w15:restartNumberingAfterBreak="0">
    <w:nsid w:val="6D4F3A43"/>
    <w:multiLevelType w:val="hybridMultilevel"/>
    <w:tmpl w:val="44EA2960"/>
    <w:lvl w:ilvl="0" w:tplc="539E307E">
      <w:start w:val="5"/>
      <w:numFmt w:val="decimal"/>
      <w:lvlText w:val="%1."/>
      <w:lvlJc w:val="left"/>
      <w:pPr>
        <w:tabs>
          <w:tab w:val="num" w:pos="930"/>
        </w:tabs>
        <w:ind w:left="930" w:hanging="570"/>
      </w:pPr>
      <w:rPr>
        <w:rFonts w:hint="default"/>
        <w:color w:val="auto"/>
      </w:rPr>
    </w:lvl>
    <w:lvl w:ilvl="1" w:tplc="B7A85040" w:tentative="1">
      <w:start w:val="1"/>
      <w:numFmt w:val="lowerLetter"/>
      <w:lvlText w:val="%2."/>
      <w:lvlJc w:val="left"/>
      <w:pPr>
        <w:tabs>
          <w:tab w:val="num" w:pos="1440"/>
        </w:tabs>
        <w:ind w:left="1440" w:hanging="360"/>
      </w:pPr>
    </w:lvl>
    <w:lvl w:ilvl="2" w:tplc="28CA2DDA" w:tentative="1">
      <w:start w:val="1"/>
      <w:numFmt w:val="lowerRoman"/>
      <w:lvlText w:val="%3."/>
      <w:lvlJc w:val="right"/>
      <w:pPr>
        <w:tabs>
          <w:tab w:val="num" w:pos="2160"/>
        </w:tabs>
        <w:ind w:left="2160" w:hanging="180"/>
      </w:pPr>
    </w:lvl>
    <w:lvl w:ilvl="3" w:tplc="53265A2C" w:tentative="1">
      <w:start w:val="1"/>
      <w:numFmt w:val="decimal"/>
      <w:lvlText w:val="%4."/>
      <w:lvlJc w:val="left"/>
      <w:pPr>
        <w:tabs>
          <w:tab w:val="num" w:pos="2880"/>
        </w:tabs>
        <w:ind w:left="2880" w:hanging="360"/>
      </w:pPr>
    </w:lvl>
    <w:lvl w:ilvl="4" w:tplc="D89432CE" w:tentative="1">
      <w:start w:val="1"/>
      <w:numFmt w:val="lowerLetter"/>
      <w:lvlText w:val="%5."/>
      <w:lvlJc w:val="left"/>
      <w:pPr>
        <w:tabs>
          <w:tab w:val="num" w:pos="3600"/>
        </w:tabs>
        <w:ind w:left="3600" w:hanging="360"/>
      </w:pPr>
    </w:lvl>
    <w:lvl w:ilvl="5" w:tplc="73587E42" w:tentative="1">
      <w:start w:val="1"/>
      <w:numFmt w:val="lowerRoman"/>
      <w:lvlText w:val="%6."/>
      <w:lvlJc w:val="right"/>
      <w:pPr>
        <w:tabs>
          <w:tab w:val="num" w:pos="4320"/>
        </w:tabs>
        <w:ind w:left="4320" w:hanging="180"/>
      </w:pPr>
    </w:lvl>
    <w:lvl w:ilvl="6" w:tplc="1E364A7C" w:tentative="1">
      <w:start w:val="1"/>
      <w:numFmt w:val="decimal"/>
      <w:lvlText w:val="%7."/>
      <w:lvlJc w:val="left"/>
      <w:pPr>
        <w:tabs>
          <w:tab w:val="num" w:pos="5040"/>
        </w:tabs>
        <w:ind w:left="5040" w:hanging="360"/>
      </w:pPr>
    </w:lvl>
    <w:lvl w:ilvl="7" w:tplc="FA9E3784" w:tentative="1">
      <w:start w:val="1"/>
      <w:numFmt w:val="lowerLetter"/>
      <w:lvlText w:val="%8."/>
      <w:lvlJc w:val="left"/>
      <w:pPr>
        <w:tabs>
          <w:tab w:val="num" w:pos="5760"/>
        </w:tabs>
        <w:ind w:left="5760" w:hanging="360"/>
      </w:pPr>
    </w:lvl>
    <w:lvl w:ilvl="8" w:tplc="09D20E06" w:tentative="1">
      <w:start w:val="1"/>
      <w:numFmt w:val="lowerRoman"/>
      <w:lvlText w:val="%9."/>
      <w:lvlJc w:val="right"/>
      <w:pPr>
        <w:tabs>
          <w:tab w:val="num" w:pos="6480"/>
        </w:tabs>
        <w:ind w:left="6480" w:hanging="180"/>
      </w:pPr>
    </w:lvl>
  </w:abstractNum>
  <w:abstractNum w:abstractNumId="39" w15:restartNumberingAfterBreak="0">
    <w:nsid w:val="6D941758"/>
    <w:multiLevelType w:val="singleLevel"/>
    <w:tmpl w:val="98907B74"/>
    <w:lvl w:ilvl="0">
      <w:start w:val="1"/>
      <w:numFmt w:val="decimal"/>
      <w:lvlText w:val="%1."/>
      <w:lvlJc w:val="left"/>
      <w:pPr>
        <w:tabs>
          <w:tab w:val="num" w:pos="360"/>
        </w:tabs>
        <w:ind w:left="360" w:hanging="360"/>
      </w:pPr>
      <w:rPr>
        <w:rFonts w:hint="default"/>
        <w:b/>
      </w:rPr>
    </w:lvl>
  </w:abstractNum>
  <w:abstractNum w:abstractNumId="40" w15:restartNumberingAfterBreak="0">
    <w:nsid w:val="762709E1"/>
    <w:multiLevelType w:val="hybridMultilevel"/>
    <w:tmpl w:val="440A813E"/>
    <w:lvl w:ilvl="0" w:tplc="80B4EB38">
      <w:start w:val="4"/>
      <w:numFmt w:val="decimal"/>
      <w:lvlText w:val="%1."/>
      <w:lvlJc w:val="left"/>
      <w:pPr>
        <w:tabs>
          <w:tab w:val="num" w:pos="720"/>
        </w:tabs>
        <w:ind w:left="720" w:hanging="360"/>
      </w:pPr>
      <w:rPr>
        <w:rFonts w:hint="default"/>
      </w:rPr>
    </w:lvl>
    <w:lvl w:ilvl="1" w:tplc="447EFAAE" w:tentative="1">
      <w:start w:val="1"/>
      <w:numFmt w:val="lowerLetter"/>
      <w:lvlText w:val="%2."/>
      <w:lvlJc w:val="left"/>
      <w:pPr>
        <w:tabs>
          <w:tab w:val="num" w:pos="1440"/>
        </w:tabs>
        <w:ind w:left="1440" w:hanging="360"/>
      </w:pPr>
    </w:lvl>
    <w:lvl w:ilvl="2" w:tplc="90361442" w:tentative="1">
      <w:start w:val="1"/>
      <w:numFmt w:val="lowerRoman"/>
      <w:lvlText w:val="%3."/>
      <w:lvlJc w:val="right"/>
      <w:pPr>
        <w:tabs>
          <w:tab w:val="num" w:pos="2160"/>
        </w:tabs>
        <w:ind w:left="2160" w:hanging="180"/>
      </w:pPr>
    </w:lvl>
    <w:lvl w:ilvl="3" w:tplc="84BC8D58" w:tentative="1">
      <w:start w:val="1"/>
      <w:numFmt w:val="decimal"/>
      <w:lvlText w:val="%4."/>
      <w:lvlJc w:val="left"/>
      <w:pPr>
        <w:tabs>
          <w:tab w:val="num" w:pos="2880"/>
        </w:tabs>
        <w:ind w:left="2880" w:hanging="360"/>
      </w:pPr>
    </w:lvl>
    <w:lvl w:ilvl="4" w:tplc="0108FE50" w:tentative="1">
      <w:start w:val="1"/>
      <w:numFmt w:val="lowerLetter"/>
      <w:lvlText w:val="%5."/>
      <w:lvlJc w:val="left"/>
      <w:pPr>
        <w:tabs>
          <w:tab w:val="num" w:pos="3600"/>
        </w:tabs>
        <w:ind w:left="3600" w:hanging="360"/>
      </w:pPr>
    </w:lvl>
    <w:lvl w:ilvl="5" w:tplc="0FFA6A7C" w:tentative="1">
      <w:start w:val="1"/>
      <w:numFmt w:val="lowerRoman"/>
      <w:lvlText w:val="%6."/>
      <w:lvlJc w:val="right"/>
      <w:pPr>
        <w:tabs>
          <w:tab w:val="num" w:pos="4320"/>
        </w:tabs>
        <w:ind w:left="4320" w:hanging="180"/>
      </w:pPr>
    </w:lvl>
    <w:lvl w:ilvl="6" w:tplc="993E88D4" w:tentative="1">
      <w:start w:val="1"/>
      <w:numFmt w:val="decimal"/>
      <w:lvlText w:val="%7."/>
      <w:lvlJc w:val="left"/>
      <w:pPr>
        <w:tabs>
          <w:tab w:val="num" w:pos="5040"/>
        </w:tabs>
        <w:ind w:left="5040" w:hanging="360"/>
      </w:pPr>
    </w:lvl>
    <w:lvl w:ilvl="7" w:tplc="AC244C5C" w:tentative="1">
      <w:start w:val="1"/>
      <w:numFmt w:val="lowerLetter"/>
      <w:lvlText w:val="%8."/>
      <w:lvlJc w:val="left"/>
      <w:pPr>
        <w:tabs>
          <w:tab w:val="num" w:pos="5760"/>
        </w:tabs>
        <w:ind w:left="5760" w:hanging="360"/>
      </w:pPr>
    </w:lvl>
    <w:lvl w:ilvl="8" w:tplc="BB3A26B0" w:tentative="1">
      <w:start w:val="1"/>
      <w:numFmt w:val="lowerRoman"/>
      <w:lvlText w:val="%9."/>
      <w:lvlJc w:val="right"/>
      <w:pPr>
        <w:tabs>
          <w:tab w:val="num" w:pos="6480"/>
        </w:tabs>
        <w:ind w:left="6480" w:hanging="180"/>
      </w:pPr>
    </w:lvl>
  </w:abstractNum>
  <w:abstractNum w:abstractNumId="41" w15:restartNumberingAfterBreak="0">
    <w:nsid w:val="7DFB52F6"/>
    <w:multiLevelType w:val="hybridMultilevel"/>
    <w:tmpl w:val="B7EC6880"/>
    <w:lvl w:ilvl="0" w:tplc="24ECC4B0">
      <w:start w:val="1"/>
      <w:numFmt w:val="decimal"/>
      <w:lvlText w:val="%1."/>
      <w:lvlJc w:val="left"/>
      <w:pPr>
        <w:tabs>
          <w:tab w:val="num" w:pos="360"/>
        </w:tabs>
        <w:ind w:left="360" w:hanging="360"/>
      </w:pPr>
    </w:lvl>
    <w:lvl w:ilvl="1" w:tplc="1E1A4460" w:tentative="1">
      <w:start w:val="1"/>
      <w:numFmt w:val="lowerLetter"/>
      <w:lvlText w:val="%2."/>
      <w:lvlJc w:val="left"/>
      <w:pPr>
        <w:tabs>
          <w:tab w:val="num" w:pos="1080"/>
        </w:tabs>
        <w:ind w:left="1080" w:hanging="360"/>
      </w:pPr>
    </w:lvl>
    <w:lvl w:ilvl="2" w:tplc="621080AC" w:tentative="1">
      <w:start w:val="1"/>
      <w:numFmt w:val="lowerRoman"/>
      <w:lvlText w:val="%3."/>
      <w:lvlJc w:val="right"/>
      <w:pPr>
        <w:tabs>
          <w:tab w:val="num" w:pos="1800"/>
        </w:tabs>
        <w:ind w:left="1800" w:hanging="180"/>
      </w:pPr>
    </w:lvl>
    <w:lvl w:ilvl="3" w:tplc="D090C7B2" w:tentative="1">
      <w:start w:val="1"/>
      <w:numFmt w:val="decimal"/>
      <w:lvlText w:val="%4."/>
      <w:lvlJc w:val="left"/>
      <w:pPr>
        <w:tabs>
          <w:tab w:val="num" w:pos="2520"/>
        </w:tabs>
        <w:ind w:left="2520" w:hanging="360"/>
      </w:pPr>
    </w:lvl>
    <w:lvl w:ilvl="4" w:tplc="6B96B5EC" w:tentative="1">
      <w:start w:val="1"/>
      <w:numFmt w:val="lowerLetter"/>
      <w:lvlText w:val="%5."/>
      <w:lvlJc w:val="left"/>
      <w:pPr>
        <w:tabs>
          <w:tab w:val="num" w:pos="3240"/>
        </w:tabs>
        <w:ind w:left="3240" w:hanging="360"/>
      </w:pPr>
    </w:lvl>
    <w:lvl w:ilvl="5" w:tplc="A746C05C" w:tentative="1">
      <w:start w:val="1"/>
      <w:numFmt w:val="lowerRoman"/>
      <w:lvlText w:val="%6."/>
      <w:lvlJc w:val="right"/>
      <w:pPr>
        <w:tabs>
          <w:tab w:val="num" w:pos="3960"/>
        </w:tabs>
        <w:ind w:left="3960" w:hanging="180"/>
      </w:pPr>
    </w:lvl>
    <w:lvl w:ilvl="6" w:tplc="39143466" w:tentative="1">
      <w:start w:val="1"/>
      <w:numFmt w:val="decimal"/>
      <w:lvlText w:val="%7."/>
      <w:lvlJc w:val="left"/>
      <w:pPr>
        <w:tabs>
          <w:tab w:val="num" w:pos="4680"/>
        </w:tabs>
        <w:ind w:left="4680" w:hanging="360"/>
      </w:pPr>
    </w:lvl>
    <w:lvl w:ilvl="7" w:tplc="A1641D3A" w:tentative="1">
      <w:start w:val="1"/>
      <w:numFmt w:val="lowerLetter"/>
      <w:lvlText w:val="%8."/>
      <w:lvlJc w:val="left"/>
      <w:pPr>
        <w:tabs>
          <w:tab w:val="num" w:pos="5400"/>
        </w:tabs>
        <w:ind w:left="5400" w:hanging="360"/>
      </w:pPr>
    </w:lvl>
    <w:lvl w:ilvl="8" w:tplc="8286AFE0" w:tentative="1">
      <w:start w:val="1"/>
      <w:numFmt w:val="lowerRoman"/>
      <w:lvlText w:val="%9."/>
      <w:lvlJc w:val="right"/>
      <w:pPr>
        <w:tabs>
          <w:tab w:val="num" w:pos="6120"/>
        </w:tabs>
        <w:ind w:left="6120" w:hanging="180"/>
      </w:pPr>
    </w:lvl>
  </w:abstractNum>
  <w:num w:numId="1">
    <w:abstractNumId w:val="4"/>
    <w:lvlOverride w:ilvl="0">
      <w:lvl w:ilvl="0">
        <w:start w:val="1"/>
        <w:numFmt w:val="bullet"/>
        <w:lvlText w:val="-"/>
        <w:legacy w:legacy="1" w:legacySpace="0" w:legacyIndent="360"/>
        <w:lvlJc w:val="left"/>
        <w:pPr>
          <w:ind w:left="360" w:hanging="360"/>
        </w:pPr>
      </w:lvl>
    </w:lvlOverride>
  </w:num>
  <w:num w:numId="2">
    <w:abstractNumId w:val="4"/>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39"/>
  </w:num>
  <w:num w:numId="4">
    <w:abstractNumId w:val="37"/>
  </w:num>
  <w:num w:numId="5">
    <w:abstractNumId w:val="18"/>
  </w:num>
  <w:num w:numId="6">
    <w:abstractNumId w:val="31"/>
  </w:num>
  <w:num w:numId="7">
    <w:abstractNumId w:val="25"/>
  </w:num>
  <w:num w:numId="8">
    <w:abstractNumId w:val="13"/>
  </w:num>
  <w:num w:numId="9">
    <w:abstractNumId w:val="36"/>
  </w:num>
  <w:num w:numId="10">
    <w:abstractNumId w:val="26"/>
  </w:num>
  <w:num w:numId="11">
    <w:abstractNumId w:val="38"/>
  </w:num>
  <w:num w:numId="12">
    <w:abstractNumId w:val="9"/>
  </w:num>
  <w:num w:numId="13">
    <w:abstractNumId w:val="16"/>
  </w:num>
  <w:num w:numId="14">
    <w:abstractNumId w:val="41"/>
  </w:num>
  <w:num w:numId="15">
    <w:abstractNumId w:val="40"/>
  </w:num>
  <w:num w:numId="16">
    <w:abstractNumId w:val="27"/>
  </w:num>
  <w:num w:numId="17">
    <w:abstractNumId w:val="23"/>
  </w:num>
  <w:num w:numId="18">
    <w:abstractNumId w:val="7"/>
  </w:num>
  <w:num w:numId="19">
    <w:abstractNumId w:val="15"/>
  </w:num>
  <w:num w:numId="20">
    <w:abstractNumId w:val="19"/>
  </w:num>
  <w:num w:numId="21">
    <w:abstractNumId w:val="33"/>
  </w:num>
  <w:num w:numId="22">
    <w:abstractNumId w:val="32"/>
  </w:num>
  <w:num w:numId="23">
    <w:abstractNumId w:val="14"/>
  </w:num>
  <w:num w:numId="24">
    <w:abstractNumId w:val="11"/>
  </w:num>
  <w:num w:numId="25">
    <w:abstractNumId w:val="20"/>
  </w:num>
  <w:num w:numId="26">
    <w:abstractNumId w:val="28"/>
  </w:num>
  <w:num w:numId="27">
    <w:abstractNumId w:val="17"/>
  </w:num>
  <w:num w:numId="28">
    <w:abstractNumId w:val="34"/>
  </w:num>
  <w:num w:numId="29">
    <w:abstractNumId w:val="30"/>
  </w:num>
  <w:num w:numId="30">
    <w:abstractNumId w:val="24"/>
  </w:num>
  <w:num w:numId="31">
    <w:abstractNumId w:val="12"/>
  </w:num>
  <w:num w:numId="32">
    <w:abstractNumId w:val="29"/>
  </w:num>
  <w:num w:numId="33">
    <w:abstractNumId w:val="10"/>
  </w:num>
  <w:num w:numId="34">
    <w:abstractNumId w:val="21"/>
  </w:num>
  <w:num w:numId="35">
    <w:abstractNumId w:val="6"/>
  </w:num>
  <w:num w:numId="36">
    <w:abstractNumId w:val="5"/>
  </w:num>
  <w:num w:numId="37">
    <w:abstractNumId w:val="22"/>
  </w:num>
  <w:num w:numId="38">
    <w:abstractNumId w:val="0"/>
  </w:num>
  <w:num w:numId="39">
    <w:abstractNumId w:val="3"/>
  </w:num>
  <w:num w:numId="40">
    <w:abstractNumId w:val="2"/>
  </w:num>
  <w:num w:numId="41">
    <w:abstractNumId w:val="1"/>
  </w:num>
  <w:num w:numId="42">
    <w:abstractNumId w:val="35"/>
  </w:num>
  <w:num w:numId="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8" w:dllVersion="513" w:checkStyle="1"/>
  <w:activeWritingStyle w:appName="MSWord" w:lang="it-IT" w:vendorID="3" w:dllVersion="512" w:checkStyle="1"/>
  <w:activeWritingStyle w:appName="MSWord" w:lang="en-AU" w:vendorID="8" w:dllVersion="513" w:checkStyle="1"/>
  <w:activeWritingStyle w:appName="MSWord" w:lang="es-ES" w:vendorID="9" w:dllVersion="512" w:checkStyle="1"/>
  <w:activeWritingStyle w:appName="MSWord" w:lang="es-ES_tradnl" w:vendorID="9" w:dllVersion="512" w:checkStyle="1"/>
  <w:activeWritingStyle w:appName="MSWord" w:lang="en-US" w:vendorID="8" w:dllVersion="513" w:checkStyle="1"/>
  <w:activeWritingStyle w:appName="MSWord" w:lang="hu-HU" w:vendorID="7" w:dllVersion="513" w:checkStyle="1"/>
  <w:activeWritingStyle w:appName="MSWord" w:lang="it-IT" w:vendorID="3" w:dllVersion="517" w:checkStyle="1"/>
  <w:activeWritingStyle w:appName="MSWord" w:lang="fr-FR" w:vendorID="9" w:dllVersion="512" w:checkStyle="1"/>
  <w:activeWritingStyle w:appName="MSWord" w:lang="pl-PL" w:vendorID="12" w:dllVersion="512" w:checkStyle="1"/>
  <w:activeWritingStyle w:appName="MSWord" w:lang="sv-SE" w:vendorID="0" w:dllVersion="512" w:checkStyle="1"/>
  <w:activeWritingStyle w:appName="MSWord" w:lang="lv-LV" w:vendorID="7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110"/>
  <w:displayHorizontalDrawingGridEvery w:val="0"/>
  <w:displayVerticalDrawingGridEvery w:val="0"/>
  <w:noPunctuationKerning/>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egistered" w:val="-1"/>
    <w:docVar w:name="Version" w:val="0"/>
  </w:docVars>
  <w:rsids>
    <w:rsidRoot w:val="00CD10AA"/>
    <w:rsid w:val="00001D78"/>
    <w:rsid w:val="00010846"/>
    <w:rsid w:val="00015B14"/>
    <w:rsid w:val="000174DB"/>
    <w:rsid w:val="00020C95"/>
    <w:rsid w:val="000235FD"/>
    <w:rsid w:val="00033061"/>
    <w:rsid w:val="00033516"/>
    <w:rsid w:val="000535C0"/>
    <w:rsid w:val="00067D94"/>
    <w:rsid w:val="000802BB"/>
    <w:rsid w:val="00081F8A"/>
    <w:rsid w:val="00083B2F"/>
    <w:rsid w:val="000A5FA6"/>
    <w:rsid w:val="000B367B"/>
    <w:rsid w:val="000B3AFC"/>
    <w:rsid w:val="000D7A48"/>
    <w:rsid w:val="000E09A7"/>
    <w:rsid w:val="000E51B4"/>
    <w:rsid w:val="000E6CD5"/>
    <w:rsid w:val="000E72E4"/>
    <w:rsid w:val="000F4516"/>
    <w:rsid w:val="00106DE1"/>
    <w:rsid w:val="00113A9A"/>
    <w:rsid w:val="00117E6F"/>
    <w:rsid w:val="00121C5E"/>
    <w:rsid w:val="00127324"/>
    <w:rsid w:val="00132092"/>
    <w:rsid w:val="00135C1E"/>
    <w:rsid w:val="00152D0E"/>
    <w:rsid w:val="00157080"/>
    <w:rsid w:val="0016329F"/>
    <w:rsid w:val="00165887"/>
    <w:rsid w:val="001667D2"/>
    <w:rsid w:val="00171350"/>
    <w:rsid w:val="0017355A"/>
    <w:rsid w:val="00176DD3"/>
    <w:rsid w:val="001B3C0B"/>
    <w:rsid w:val="001D0FE7"/>
    <w:rsid w:val="001D37B5"/>
    <w:rsid w:val="001F5487"/>
    <w:rsid w:val="00200E68"/>
    <w:rsid w:val="00203B70"/>
    <w:rsid w:val="00204C37"/>
    <w:rsid w:val="0020587A"/>
    <w:rsid w:val="00214716"/>
    <w:rsid w:val="00235C08"/>
    <w:rsid w:val="002362A1"/>
    <w:rsid w:val="002460CB"/>
    <w:rsid w:val="00261D24"/>
    <w:rsid w:val="00273FDB"/>
    <w:rsid w:val="0027668E"/>
    <w:rsid w:val="00282286"/>
    <w:rsid w:val="00297227"/>
    <w:rsid w:val="002A02BD"/>
    <w:rsid w:val="002A3AEB"/>
    <w:rsid w:val="002A5C9E"/>
    <w:rsid w:val="002A61E1"/>
    <w:rsid w:val="002B7FDE"/>
    <w:rsid w:val="002C629B"/>
    <w:rsid w:val="002C6B01"/>
    <w:rsid w:val="002C6D5E"/>
    <w:rsid w:val="002C6FC2"/>
    <w:rsid w:val="002C76AA"/>
    <w:rsid w:val="002C784E"/>
    <w:rsid w:val="002E7A04"/>
    <w:rsid w:val="00304243"/>
    <w:rsid w:val="00313513"/>
    <w:rsid w:val="00320750"/>
    <w:rsid w:val="00320AF5"/>
    <w:rsid w:val="00335456"/>
    <w:rsid w:val="00344AA6"/>
    <w:rsid w:val="0035750F"/>
    <w:rsid w:val="003642F4"/>
    <w:rsid w:val="00364DCD"/>
    <w:rsid w:val="003662BE"/>
    <w:rsid w:val="00366581"/>
    <w:rsid w:val="00371955"/>
    <w:rsid w:val="00384EF9"/>
    <w:rsid w:val="00392D1F"/>
    <w:rsid w:val="00397B67"/>
    <w:rsid w:val="003A34E9"/>
    <w:rsid w:val="003B0FF0"/>
    <w:rsid w:val="003B5C38"/>
    <w:rsid w:val="003B71D7"/>
    <w:rsid w:val="003B7CEB"/>
    <w:rsid w:val="003C0ED4"/>
    <w:rsid w:val="003F45AD"/>
    <w:rsid w:val="0040795C"/>
    <w:rsid w:val="00413A30"/>
    <w:rsid w:val="004201E5"/>
    <w:rsid w:val="00432AFE"/>
    <w:rsid w:val="00434CCE"/>
    <w:rsid w:val="00450E77"/>
    <w:rsid w:val="0045126D"/>
    <w:rsid w:val="00456979"/>
    <w:rsid w:val="00457F98"/>
    <w:rsid w:val="00464F25"/>
    <w:rsid w:val="00465F40"/>
    <w:rsid w:val="0048297B"/>
    <w:rsid w:val="00487D7A"/>
    <w:rsid w:val="004B7FE1"/>
    <w:rsid w:val="004D591D"/>
    <w:rsid w:val="004E4FFD"/>
    <w:rsid w:val="004E764D"/>
    <w:rsid w:val="004F5A01"/>
    <w:rsid w:val="00507519"/>
    <w:rsid w:val="005106F5"/>
    <w:rsid w:val="0051084B"/>
    <w:rsid w:val="00524BD9"/>
    <w:rsid w:val="005317F7"/>
    <w:rsid w:val="00551EC9"/>
    <w:rsid w:val="00565B11"/>
    <w:rsid w:val="00570396"/>
    <w:rsid w:val="00570814"/>
    <w:rsid w:val="005742C8"/>
    <w:rsid w:val="00596D4B"/>
    <w:rsid w:val="005A5B8A"/>
    <w:rsid w:val="005A7532"/>
    <w:rsid w:val="005C4AF7"/>
    <w:rsid w:val="005C4F0F"/>
    <w:rsid w:val="005C7C3A"/>
    <w:rsid w:val="005D4E04"/>
    <w:rsid w:val="005E427C"/>
    <w:rsid w:val="005E6E3A"/>
    <w:rsid w:val="005E6E82"/>
    <w:rsid w:val="005F1F82"/>
    <w:rsid w:val="00603F13"/>
    <w:rsid w:val="00612CD2"/>
    <w:rsid w:val="00613277"/>
    <w:rsid w:val="00644D26"/>
    <w:rsid w:val="00645687"/>
    <w:rsid w:val="00652C87"/>
    <w:rsid w:val="00660140"/>
    <w:rsid w:val="0068129F"/>
    <w:rsid w:val="00683131"/>
    <w:rsid w:val="006878EC"/>
    <w:rsid w:val="006A6775"/>
    <w:rsid w:val="006B35EF"/>
    <w:rsid w:val="006B5B51"/>
    <w:rsid w:val="006B6344"/>
    <w:rsid w:val="006B7DCE"/>
    <w:rsid w:val="006E71C5"/>
    <w:rsid w:val="006E77CB"/>
    <w:rsid w:val="007021A0"/>
    <w:rsid w:val="0071303C"/>
    <w:rsid w:val="00716FAD"/>
    <w:rsid w:val="00720C04"/>
    <w:rsid w:val="007240AA"/>
    <w:rsid w:val="0072506A"/>
    <w:rsid w:val="00725834"/>
    <w:rsid w:val="00726EB7"/>
    <w:rsid w:val="007419C2"/>
    <w:rsid w:val="007468FB"/>
    <w:rsid w:val="007A0102"/>
    <w:rsid w:val="007A559B"/>
    <w:rsid w:val="007B0320"/>
    <w:rsid w:val="007B2648"/>
    <w:rsid w:val="007B627F"/>
    <w:rsid w:val="007C3E4F"/>
    <w:rsid w:val="007D6DAC"/>
    <w:rsid w:val="007E1441"/>
    <w:rsid w:val="007E14AB"/>
    <w:rsid w:val="007E5E80"/>
    <w:rsid w:val="007F2126"/>
    <w:rsid w:val="00806DB9"/>
    <w:rsid w:val="00811464"/>
    <w:rsid w:val="008168A7"/>
    <w:rsid w:val="008205CF"/>
    <w:rsid w:val="00821D0A"/>
    <w:rsid w:val="0082246A"/>
    <w:rsid w:val="00822DC9"/>
    <w:rsid w:val="00846418"/>
    <w:rsid w:val="00846D85"/>
    <w:rsid w:val="0084776A"/>
    <w:rsid w:val="00855AAD"/>
    <w:rsid w:val="00870E9B"/>
    <w:rsid w:val="008806F9"/>
    <w:rsid w:val="0088508A"/>
    <w:rsid w:val="008871B0"/>
    <w:rsid w:val="00892EEB"/>
    <w:rsid w:val="008A6E13"/>
    <w:rsid w:val="008B1EB3"/>
    <w:rsid w:val="008B4A52"/>
    <w:rsid w:val="008C59E2"/>
    <w:rsid w:val="008C5A6D"/>
    <w:rsid w:val="008F26B5"/>
    <w:rsid w:val="00910F65"/>
    <w:rsid w:val="0091143B"/>
    <w:rsid w:val="00911DDF"/>
    <w:rsid w:val="00915A9E"/>
    <w:rsid w:val="00926AC5"/>
    <w:rsid w:val="009356B2"/>
    <w:rsid w:val="009419C3"/>
    <w:rsid w:val="0095064B"/>
    <w:rsid w:val="00952955"/>
    <w:rsid w:val="0096452F"/>
    <w:rsid w:val="009658CD"/>
    <w:rsid w:val="0097039A"/>
    <w:rsid w:val="009710D6"/>
    <w:rsid w:val="00972808"/>
    <w:rsid w:val="0097548A"/>
    <w:rsid w:val="00975CD2"/>
    <w:rsid w:val="00980C1E"/>
    <w:rsid w:val="00985101"/>
    <w:rsid w:val="0098512F"/>
    <w:rsid w:val="009865A6"/>
    <w:rsid w:val="00987C7B"/>
    <w:rsid w:val="009A5E66"/>
    <w:rsid w:val="009B2E3C"/>
    <w:rsid w:val="009D4620"/>
    <w:rsid w:val="009E70C5"/>
    <w:rsid w:val="009F5AF3"/>
    <w:rsid w:val="009F66E2"/>
    <w:rsid w:val="00A12EA6"/>
    <w:rsid w:val="00A146BB"/>
    <w:rsid w:val="00A152BC"/>
    <w:rsid w:val="00A16429"/>
    <w:rsid w:val="00A170C5"/>
    <w:rsid w:val="00A37E07"/>
    <w:rsid w:val="00A42B03"/>
    <w:rsid w:val="00A56529"/>
    <w:rsid w:val="00A71FBA"/>
    <w:rsid w:val="00A72E52"/>
    <w:rsid w:val="00A85D34"/>
    <w:rsid w:val="00A951E9"/>
    <w:rsid w:val="00A9691A"/>
    <w:rsid w:val="00AB5426"/>
    <w:rsid w:val="00AB7241"/>
    <w:rsid w:val="00AC430B"/>
    <w:rsid w:val="00AD7124"/>
    <w:rsid w:val="00AE2AFB"/>
    <w:rsid w:val="00AE33F7"/>
    <w:rsid w:val="00B04772"/>
    <w:rsid w:val="00B06BDE"/>
    <w:rsid w:val="00B16B44"/>
    <w:rsid w:val="00B305FD"/>
    <w:rsid w:val="00B35171"/>
    <w:rsid w:val="00B4112D"/>
    <w:rsid w:val="00B47451"/>
    <w:rsid w:val="00B54420"/>
    <w:rsid w:val="00B55366"/>
    <w:rsid w:val="00B566FA"/>
    <w:rsid w:val="00B658EA"/>
    <w:rsid w:val="00B65CD0"/>
    <w:rsid w:val="00B73742"/>
    <w:rsid w:val="00B944A8"/>
    <w:rsid w:val="00BA7CC7"/>
    <w:rsid w:val="00BD2B18"/>
    <w:rsid w:val="00BE403C"/>
    <w:rsid w:val="00BE5A91"/>
    <w:rsid w:val="00BF6367"/>
    <w:rsid w:val="00C037D2"/>
    <w:rsid w:val="00C1388A"/>
    <w:rsid w:val="00C14365"/>
    <w:rsid w:val="00C15DAF"/>
    <w:rsid w:val="00C45907"/>
    <w:rsid w:val="00C511AF"/>
    <w:rsid w:val="00C54BD0"/>
    <w:rsid w:val="00C7465E"/>
    <w:rsid w:val="00C846BC"/>
    <w:rsid w:val="00C87B84"/>
    <w:rsid w:val="00C92DF3"/>
    <w:rsid w:val="00CA0696"/>
    <w:rsid w:val="00CC4E9B"/>
    <w:rsid w:val="00CD10AA"/>
    <w:rsid w:val="00CD2E1C"/>
    <w:rsid w:val="00D04831"/>
    <w:rsid w:val="00D228D2"/>
    <w:rsid w:val="00D257F8"/>
    <w:rsid w:val="00D6136B"/>
    <w:rsid w:val="00D6219F"/>
    <w:rsid w:val="00D816C4"/>
    <w:rsid w:val="00D834A4"/>
    <w:rsid w:val="00D87F44"/>
    <w:rsid w:val="00D9220D"/>
    <w:rsid w:val="00DC072C"/>
    <w:rsid w:val="00DD75E5"/>
    <w:rsid w:val="00DF15FB"/>
    <w:rsid w:val="00E11F9F"/>
    <w:rsid w:val="00E1735A"/>
    <w:rsid w:val="00E215EC"/>
    <w:rsid w:val="00E2542E"/>
    <w:rsid w:val="00E25F94"/>
    <w:rsid w:val="00E26133"/>
    <w:rsid w:val="00E40DB0"/>
    <w:rsid w:val="00E53972"/>
    <w:rsid w:val="00E569E6"/>
    <w:rsid w:val="00E754AC"/>
    <w:rsid w:val="00E87F00"/>
    <w:rsid w:val="00E9666B"/>
    <w:rsid w:val="00EA4EDE"/>
    <w:rsid w:val="00EB142D"/>
    <w:rsid w:val="00EB14BB"/>
    <w:rsid w:val="00EB4D97"/>
    <w:rsid w:val="00EC5914"/>
    <w:rsid w:val="00ED4652"/>
    <w:rsid w:val="00EE4872"/>
    <w:rsid w:val="00EF5B2C"/>
    <w:rsid w:val="00F03511"/>
    <w:rsid w:val="00F050ED"/>
    <w:rsid w:val="00F23FCF"/>
    <w:rsid w:val="00F26AAD"/>
    <w:rsid w:val="00F27009"/>
    <w:rsid w:val="00F311D8"/>
    <w:rsid w:val="00F36843"/>
    <w:rsid w:val="00F402BF"/>
    <w:rsid w:val="00F41417"/>
    <w:rsid w:val="00F41868"/>
    <w:rsid w:val="00F42F5D"/>
    <w:rsid w:val="00F44A1A"/>
    <w:rsid w:val="00F6484C"/>
    <w:rsid w:val="00F70660"/>
    <w:rsid w:val="00F70A53"/>
    <w:rsid w:val="00F74717"/>
    <w:rsid w:val="00F7536C"/>
    <w:rsid w:val="00F817AB"/>
    <w:rsid w:val="00F8203C"/>
    <w:rsid w:val="00F835F2"/>
    <w:rsid w:val="00F90620"/>
    <w:rsid w:val="00F93DA7"/>
    <w:rsid w:val="00FA03F8"/>
    <w:rsid w:val="00FA0D4C"/>
    <w:rsid w:val="00FA2F9F"/>
    <w:rsid w:val="00FA3562"/>
    <w:rsid w:val="00FB2E87"/>
    <w:rsid w:val="00FB3670"/>
    <w:rsid w:val="00FB475A"/>
    <w:rsid w:val="00FB67DA"/>
    <w:rsid w:val="00FB6BDA"/>
    <w:rsid w:val="00FC3C89"/>
    <w:rsid w:val="00FC78CD"/>
    <w:rsid w:val="00FD0B28"/>
    <w:rsid w:val="00FE3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DD933B"/>
  <w15:chartTrackingRefBased/>
  <w15:docId w15:val="{B2FB5CA7-2E92-447E-ABB3-30AA2FADD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5B14"/>
    <w:pPr>
      <w:tabs>
        <w:tab w:val="left" w:pos="567"/>
      </w:tabs>
      <w:spacing w:line="260" w:lineRule="exact"/>
    </w:pPr>
    <w:rPr>
      <w:sz w:val="22"/>
      <w:lang w:val="lv-LV"/>
    </w:rPr>
  </w:style>
  <w:style w:type="paragraph" w:styleId="Heading1">
    <w:name w:val="heading 1"/>
    <w:basedOn w:val="Normal"/>
    <w:next w:val="Normal"/>
    <w:qFormat/>
    <w:pPr>
      <w:spacing w:before="240" w:after="120"/>
      <w:ind w:left="357" w:hanging="357"/>
      <w:outlineLvl w:val="0"/>
    </w:pPr>
    <w:rPr>
      <w:b/>
      <w:caps/>
      <w:sz w:val="26"/>
      <w:lang w:val="en-US"/>
    </w:rPr>
  </w:style>
  <w:style w:type="paragraph" w:styleId="Heading2">
    <w:name w:val="heading 2"/>
    <w:basedOn w:val="Normal"/>
    <w:next w:val="Normal"/>
    <w:qFormat/>
    <w:pPr>
      <w:keepNext/>
      <w:spacing w:before="240" w:after="60"/>
      <w:outlineLvl w:val="1"/>
    </w:pPr>
    <w:rPr>
      <w:rFonts w:ascii="Helvetica" w:hAnsi="Helvetica"/>
      <w:b/>
      <w:i/>
      <w:sz w:val="24"/>
    </w:rPr>
  </w:style>
  <w:style w:type="paragraph" w:styleId="Heading3">
    <w:name w:val="heading 3"/>
    <w:basedOn w:val="Normal"/>
    <w:next w:val="Normal"/>
    <w:qFormat/>
    <w:pPr>
      <w:keepNext/>
      <w:keepLines/>
      <w:spacing w:before="120" w:after="80"/>
      <w:outlineLvl w:val="2"/>
    </w:pPr>
    <w:rPr>
      <w:b/>
      <w:kern w:val="28"/>
      <w:sz w:val="24"/>
      <w:lang w:val="en-US"/>
    </w:rPr>
  </w:style>
  <w:style w:type="paragraph" w:styleId="Heading4">
    <w:name w:val="heading 4"/>
    <w:basedOn w:val="Normal"/>
    <w:next w:val="Normal"/>
    <w:qFormat/>
    <w:pPr>
      <w:keepNext/>
      <w:jc w:val="both"/>
      <w:outlineLvl w:val="3"/>
    </w:pPr>
    <w:rPr>
      <w:b/>
      <w:noProof/>
    </w:rPr>
  </w:style>
  <w:style w:type="paragraph" w:styleId="Heading5">
    <w:name w:val="heading 5"/>
    <w:basedOn w:val="Normal"/>
    <w:next w:val="Normal"/>
    <w:qFormat/>
    <w:pPr>
      <w:keepNext/>
      <w:jc w:val="both"/>
      <w:outlineLvl w:val="4"/>
    </w:pPr>
    <w:rPr>
      <w:noProof/>
    </w:rPr>
  </w:style>
  <w:style w:type="paragraph" w:styleId="Heading6">
    <w:name w:val="heading 6"/>
    <w:basedOn w:val="Normal"/>
    <w:next w:val="Normal"/>
    <w:qFormat/>
    <w:pPr>
      <w:keepNext/>
      <w:tabs>
        <w:tab w:val="left" w:pos="-720"/>
        <w:tab w:val="left" w:pos="4536"/>
      </w:tabs>
      <w:suppressAutoHyphens/>
      <w:outlineLvl w:val="5"/>
    </w:pPr>
    <w:rPr>
      <w:i/>
    </w:rPr>
  </w:style>
  <w:style w:type="paragraph" w:styleId="Heading7">
    <w:name w:val="heading 7"/>
    <w:basedOn w:val="Normal"/>
    <w:next w:val="Normal"/>
    <w:qFormat/>
    <w:pPr>
      <w:keepNext/>
      <w:tabs>
        <w:tab w:val="left" w:pos="-720"/>
        <w:tab w:val="left" w:pos="4536"/>
      </w:tabs>
      <w:suppressAutoHyphens/>
      <w:jc w:val="both"/>
      <w:outlineLvl w:val="6"/>
    </w:pPr>
    <w:rPr>
      <w:i/>
    </w:rPr>
  </w:style>
  <w:style w:type="paragraph" w:styleId="Heading8">
    <w:name w:val="heading 8"/>
    <w:basedOn w:val="Normal"/>
    <w:next w:val="Normal"/>
    <w:qFormat/>
    <w:pPr>
      <w:keepNext/>
      <w:ind w:left="567" w:hanging="567"/>
      <w:jc w:val="both"/>
      <w:outlineLvl w:val="7"/>
    </w:pPr>
    <w:rPr>
      <w:b/>
      <w:i/>
    </w:rPr>
  </w:style>
  <w:style w:type="paragraph" w:styleId="Heading9">
    <w:name w:val="heading 9"/>
    <w:basedOn w:val="Normal"/>
    <w:next w:val="Normal"/>
    <w:qFormat/>
    <w:pPr>
      <w:keepNext/>
      <w:jc w:val="both"/>
      <w:outlineLvl w:val="8"/>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15B14"/>
    <w:pPr>
      <w:tabs>
        <w:tab w:val="center" w:pos="4153"/>
        <w:tab w:val="right" w:pos="8306"/>
      </w:tabs>
      <w:spacing w:line="240" w:lineRule="auto"/>
    </w:pPr>
    <w:rPr>
      <w:rFonts w:ascii="Helvetica" w:hAnsi="Helvetica"/>
      <w:sz w:val="20"/>
    </w:rPr>
  </w:style>
  <w:style w:type="paragraph" w:styleId="Footer">
    <w:name w:val="footer"/>
    <w:basedOn w:val="Normal"/>
    <w:link w:val="FooterChar"/>
    <w:uiPriority w:val="99"/>
    <w:rsid w:val="00015B14"/>
    <w:pPr>
      <w:tabs>
        <w:tab w:val="center" w:pos="4536"/>
        <w:tab w:val="center" w:pos="8930"/>
      </w:tabs>
      <w:spacing w:line="240" w:lineRule="auto"/>
    </w:pPr>
    <w:rPr>
      <w:rFonts w:ascii="Helvetica" w:hAnsi="Helvetica"/>
      <w:sz w:val="16"/>
    </w:rPr>
  </w:style>
  <w:style w:type="character" w:styleId="PageNumber">
    <w:name w:val="page number"/>
    <w:basedOn w:val="DefaultParagraphFont"/>
  </w:style>
  <w:style w:type="character" w:styleId="Hyperlink">
    <w:name w:val="Hyperlink"/>
    <w:rPr>
      <w:color w:val="0000FF"/>
      <w:u w:val="single"/>
    </w:rPr>
  </w:style>
  <w:style w:type="paragraph" w:customStyle="1" w:styleId="EMEAEnBodyText">
    <w:name w:val="EMEA En Body Text"/>
    <w:basedOn w:val="Normal"/>
    <w:pPr>
      <w:tabs>
        <w:tab w:val="clear" w:pos="567"/>
      </w:tabs>
      <w:spacing w:before="120" w:after="120" w:line="240" w:lineRule="auto"/>
      <w:jc w:val="both"/>
    </w:pPr>
    <w:rPr>
      <w:lang w:val="en-US"/>
    </w:rPr>
  </w:style>
  <w:style w:type="paragraph" w:styleId="BalloonText">
    <w:name w:val="Balloon Text"/>
    <w:basedOn w:val="Normal"/>
    <w:link w:val="BalloonTextChar"/>
    <w:uiPriority w:val="99"/>
    <w:semiHidden/>
    <w:rsid w:val="00015B14"/>
    <w:rPr>
      <w:rFonts w:ascii="Tahoma" w:hAnsi="Tahoma"/>
      <w:sz w:val="16"/>
      <w:szCs w:val="16"/>
    </w:rPr>
  </w:style>
  <w:style w:type="character" w:styleId="FollowedHyperlink">
    <w:name w:val="FollowedHyperlink"/>
    <w:rPr>
      <w:color w:val="800080"/>
      <w:u w:val="single"/>
    </w:rPr>
  </w:style>
  <w:style w:type="paragraph" w:customStyle="1" w:styleId="Default">
    <w:name w:val="Default"/>
    <w:rsid w:val="007A559B"/>
    <w:pPr>
      <w:widowControl w:val="0"/>
      <w:autoSpaceDE w:val="0"/>
      <w:autoSpaceDN w:val="0"/>
      <w:adjustRightInd w:val="0"/>
    </w:pPr>
    <w:rPr>
      <w:color w:val="000000"/>
      <w:sz w:val="24"/>
      <w:szCs w:val="24"/>
      <w:lang w:val="en-GB" w:eastAsia="en-GB"/>
    </w:rPr>
  </w:style>
  <w:style w:type="paragraph" w:styleId="NormalWeb">
    <w:name w:val="Normal (Web)"/>
    <w:basedOn w:val="Normal"/>
    <w:rsid w:val="00AB7241"/>
    <w:pPr>
      <w:tabs>
        <w:tab w:val="clear" w:pos="567"/>
      </w:tabs>
      <w:spacing w:before="100" w:beforeAutospacing="1" w:after="100" w:afterAutospacing="1" w:line="240" w:lineRule="auto"/>
    </w:pPr>
    <w:rPr>
      <w:sz w:val="24"/>
      <w:szCs w:val="24"/>
      <w:lang w:val="ru-RU" w:eastAsia="ru-RU"/>
    </w:rPr>
  </w:style>
  <w:style w:type="paragraph" w:customStyle="1" w:styleId="CM4">
    <w:name w:val="CM4"/>
    <w:basedOn w:val="Default"/>
    <w:next w:val="Default"/>
    <w:uiPriority w:val="99"/>
    <w:rsid w:val="00AB7241"/>
    <w:pPr>
      <w:spacing w:line="276" w:lineRule="atLeast"/>
    </w:pPr>
    <w:rPr>
      <w:color w:val="auto"/>
      <w:lang w:val="lv-LV" w:eastAsia="lv-LV"/>
    </w:rPr>
  </w:style>
  <w:style w:type="character" w:customStyle="1" w:styleId="apple-style-span">
    <w:name w:val="apple-style-span"/>
    <w:basedOn w:val="DefaultParagraphFont"/>
    <w:rsid w:val="00AB7241"/>
  </w:style>
  <w:style w:type="character" w:customStyle="1" w:styleId="HeaderChar">
    <w:name w:val="Header Char"/>
    <w:link w:val="Header"/>
    <w:uiPriority w:val="99"/>
    <w:rsid w:val="00015B14"/>
    <w:rPr>
      <w:rFonts w:ascii="Helvetica" w:hAnsi="Helvetica"/>
      <w:lang w:val="lv-LV" w:eastAsia="en-US"/>
    </w:rPr>
  </w:style>
  <w:style w:type="character" w:customStyle="1" w:styleId="FooterChar">
    <w:name w:val="Footer Char"/>
    <w:link w:val="Footer"/>
    <w:uiPriority w:val="99"/>
    <w:rsid w:val="00015B14"/>
    <w:rPr>
      <w:rFonts w:ascii="Helvetica" w:hAnsi="Helvetica"/>
      <w:sz w:val="16"/>
      <w:lang w:val="lv-LV" w:eastAsia="en-US"/>
    </w:rPr>
  </w:style>
  <w:style w:type="character" w:customStyle="1" w:styleId="BalloonTextChar">
    <w:name w:val="Balloon Text Char"/>
    <w:link w:val="BalloonText"/>
    <w:uiPriority w:val="99"/>
    <w:semiHidden/>
    <w:rsid w:val="00015B14"/>
    <w:rPr>
      <w:rFonts w:ascii="Tahoma" w:hAnsi="Tahoma" w:cs="Tahoma"/>
      <w:sz w:val="16"/>
      <w:szCs w:val="16"/>
      <w:lang w:val="lv-LV" w:eastAsia="en-US"/>
    </w:rPr>
  </w:style>
  <w:style w:type="character" w:styleId="CommentReference">
    <w:name w:val="annotation reference"/>
    <w:rsid w:val="002C6D5E"/>
    <w:rPr>
      <w:sz w:val="16"/>
      <w:szCs w:val="16"/>
    </w:rPr>
  </w:style>
  <w:style w:type="paragraph" w:styleId="CommentText">
    <w:name w:val="annotation text"/>
    <w:basedOn w:val="Normal"/>
    <w:link w:val="CommentTextChar"/>
    <w:rsid w:val="002C6D5E"/>
    <w:rPr>
      <w:sz w:val="20"/>
    </w:rPr>
  </w:style>
  <w:style w:type="character" w:customStyle="1" w:styleId="CommentTextChar">
    <w:name w:val="Comment Text Char"/>
    <w:link w:val="CommentText"/>
    <w:rsid w:val="002C6D5E"/>
    <w:rPr>
      <w:lang w:val="lv-LV" w:eastAsia="en-US"/>
    </w:rPr>
  </w:style>
  <w:style w:type="paragraph" w:styleId="CommentSubject">
    <w:name w:val="annotation subject"/>
    <w:basedOn w:val="CommentText"/>
    <w:next w:val="CommentText"/>
    <w:link w:val="CommentSubjectChar"/>
    <w:rsid w:val="002C6D5E"/>
    <w:rPr>
      <w:b/>
      <w:bCs/>
    </w:rPr>
  </w:style>
  <w:style w:type="character" w:customStyle="1" w:styleId="CommentSubjectChar">
    <w:name w:val="Comment Subject Char"/>
    <w:link w:val="CommentSubject"/>
    <w:rsid w:val="002C6D5E"/>
    <w:rPr>
      <w:b/>
      <w:bCs/>
      <w:lang w:val="lv-LV" w:eastAsia="en-US"/>
    </w:rPr>
  </w:style>
  <w:style w:type="paragraph" w:styleId="Revision">
    <w:name w:val="Revision"/>
    <w:hidden/>
    <w:uiPriority w:val="99"/>
    <w:semiHidden/>
    <w:rsid w:val="002C76AA"/>
    <w:rPr>
      <w:sz w:val="22"/>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zva.gov.l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0FD624-6E33-46CB-AE1A-433BAA162CD5}">
  <ds:schemaRefs>
    <ds:schemaRef ds:uri="http://schemas.openxmlformats.org/officeDocument/2006/bibliography"/>
  </ds:schemaRefs>
</ds:datastoreItem>
</file>

<file path=customXml/itemProps2.xml><?xml version="1.0" encoding="utf-8"?>
<ds:datastoreItem xmlns:ds="http://schemas.openxmlformats.org/officeDocument/2006/customXml" ds:itemID="{DF0380FD-C34F-469F-81A8-2C761F1DC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3544</Words>
  <Characters>25307</Characters>
  <Application>Microsoft Office Word</Application>
  <DocSecurity>0</DocSecurity>
  <Lines>210</Lines>
  <Paragraphs>57</Paragraphs>
  <ScaleCrop>false</ScaleCrop>
  <HeadingPairs>
    <vt:vector size="2" baseType="variant">
      <vt:variant>
        <vt:lpstr>Title</vt:lpstr>
      </vt:variant>
      <vt:variant>
        <vt:i4>1</vt:i4>
      </vt:variant>
    </vt:vector>
  </HeadingPairs>
  <TitlesOfParts>
    <vt:vector size="1" baseType="lpstr">
      <vt:lpstr>Hreferralspccleanlv</vt:lpstr>
    </vt:vector>
  </TitlesOfParts>
  <Company>EMEA</Company>
  <LinksUpToDate>false</LinksUpToDate>
  <CharactersWithSpaces>28794</CharactersWithSpaces>
  <SharedDoc>false</SharedDoc>
  <HLinks>
    <vt:vector size="6" baseType="variant">
      <vt:variant>
        <vt:i4>6422591</vt:i4>
      </vt:variant>
      <vt:variant>
        <vt:i4>0</vt:i4>
      </vt:variant>
      <vt:variant>
        <vt:i4>0</vt:i4>
      </vt:variant>
      <vt:variant>
        <vt:i4>5</vt:i4>
      </vt:variant>
      <vt:variant>
        <vt:lpwstr>http://www.zva.gov.lv/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Hreferralspccleanlv</dc:title>
  <dc:subject>General-EMA/53557/2010</dc:subject>
  <dc:creator>Vippharma</dc:creator>
  <cp:keywords/>
  <cp:lastModifiedBy>Skaidrīte Lapsenīte</cp:lastModifiedBy>
  <cp:revision>6</cp:revision>
  <cp:lastPrinted>2021-11-13T10:06:00Z</cp:lastPrinted>
  <dcterms:created xsi:type="dcterms:W3CDTF">2021-11-13T10:06:00Z</dcterms:created>
  <dcterms:modified xsi:type="dcterms:W3CDTF">2021-12-13T11:17:00Z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Status">
    <vt:lpwstr/>
  </property>
  <property fmtid="{D5CDD505-2E9C-101B-9397-08002B2CF9AE}" pid="3" name="DM_Authors">
    <vt:lpwstr/>
  </property>
  <property fmtid="{D5CDD505-2E9C-101B-9397-08002B2CF9AE}" pid="4" name="DM_Keywords">
    <vt:lpwstr/>
  </property>
  <property fmtid="{D5CDD505-2E9C-101B-9397-08002B2CF9AE}" pid="5" name="DM_Title">
    <vt:lpwstr/>
  </property>
  <property fmtid="{D5CDD505-2E9C-101B-9397-08002B2CF9AE}" pid="6" name="DM_Language">
    <vt:lpwstr/>
  </property>
  <property fmtid="{D5CDD505-2E9C-101B-9397-08002B2CF9AE}" pid="7" name="DM_Owner">
    <vt:lpwstr>Espinasse Claire</vt:lpwstr>
  </property>
  <property fmtid="{D5CDD505-2E9C-101B-9397-08002B2CF9AE}" pid="8" name="DM_emea_cc">
    <vt:lpwstr/>
  </property>
  <property fmtid="{D5CDD505-2E9C-101B-9397-08002B2CF9AE}" pid="9" name="DM_emea_message_subject">
    <vt:lpwstr/>
  </property>
  <property fmtid="{D5CDD505-2E9C-101B-9397-08002B2CF9AE}" pid="10" name="DM_emea_doc_number">
    <vt:lpwstr>53557</vt:lpwstr>
  </property>
  <property fmtid="{D5CDD505-2E9C-101B-9397-08002B2CF9AE}" pid="11" name="DM_emea_received_date">
    <vt:lpwstr>nulldate</vt:lpwstr>
  </property>
  <property fmtid="{D5CDD505-2E9C-101B-9397-08002B2CF9AE}" pid="12" name="DM_emea_resp_body">
    <vt:lpwstr/>
  </property>
  <property fmtid="{D5CDD505-2E9C-101B-9397-08002B2CF9AE}" pid="13" name="DM_emea_revision_label">
    <vt:lpwstr/>
  </property>
  <property fmtid="{D5CDD505-2E9C-101B-9397-08002B2CF9AE}" pid="14" name="DM_emea_to">
    <vt:lpwstr/>
  </property>
  <property fmtid="{D5CDD505-2E9C-101B-9397-08002B2CF9AE}" pid="15" name="DM_emea_bcc">
    <vt:lpwstr/>
  </property>
  <property fmtid="{D5CDD505-2E9C-101B-9397-08002B2CF9AE}" pid="16" name="DM_emea_doc_category">
    <vt:lpwstr>General</vt:lpwstr>
  </property>
  <property fmtid="{D5CDD505-2E9C-101B-9397-08002B2CF9AE}" pid="17" name="DM_emea_from">
    <vt:lpwstr/>
  </property>
  <property fmtid="{D5CDD505-2E9C-101B-9397-08002B2CF9AE}" pid="18" name="DM_emea_internal_label">
    <vt:lpwstr>EMA</vt:lpwstr>
  </property>
  <property fmtid="{D5CDD505-2E9C-101B-9397-08002B2CF9AE}" pid="19" name="DM_emea_legal_date">
    <vt:lpwstr>nulldate</vt:lpwstr>
  </property>
  <property fmtid="{D5CDD505-2E9C-101B-9397-08002B2CF9AE}" pid="20" name="DM_emea_year">
    <vt:lpwstr>2010</vt:lpwstr>
  </property>
  <property fmtid="{D5CDD505-2E9C-101B-9397-08002B2CF9AE}" pid="21" name="DM_emea_sent_date">
    <vt:lpwstr>nulldate</vt:lpwstr>
  </property>
  <property fmtid="{D5CDD505-2E9C-101B-9397-08002B2CF9AE}" pid="22" name="DM_emea_doc_lang">
    <vt:lpwstr/>
  </property>
  <property fmtid="{D5CDD505-2E9C-101B-9397-08002B2CF9AE}" pid="23" name="DM_emea_meeting_status">
    <vt:lpwstr/>
  </property>
  <property fmtid="{D5CDD505-2E9C-101B-9397-08002B2CF9AE}" pid="24" name="DM_emea_meeting_action">
    <vt:lpwstr/>
  </property>
  <property fmtid="{D5CDD505-2E9C-101B-9397-08002B2CF9AE}" pid="25" name="DM_emea_meeting_hyperlink">
    <vt:lpwstr/>
  </property>
  <property fmtid="{D5CDD505-2E9C-101B-9397-08002B2CF9AE}" pid="26" name="DM_emea_meeting_title">
    <vt:lpwstr/>
  </property>
  <property fmtid="{D5CDD505-2E9C-101B-9397-08002B2CF9AE}" pid="27" name="DM_emea_meeting_ref">
    <vt:lpwstr/>
  </property>
  <property fmtid="{D5CDD505-2E9C-101B-9397-08002B2CF9AE}" pid="28" name="DM_emea_meeting_flags">
    <vt:lpwstr/>
  </property>
  <property fmtid="{D5CDD505-2E9C-101B-9397-08002B2CF9AE}" pid="29" name="DM_Subject">
    <vt:lpwstr>General-EMA/53557/2010</vt:lpwstr>
  </property>
  <property fmtid="{D5CDD505-2E9C-101B-9397-08002B2CF9AE}" pid="30" name="DM_Version">
    <vt:lpwstr>CURRENT,1.0</vt:lpwstr>
  </property>
  <property fmtid="{D5CDD505-2E9C-101B-9397-08002B2CF9AE}" pid="31" name="DM_Name">
    <vt:lpwstr>Hreferralspccleanlv</vt:lpwstr>
  </property>
  <property fmtid="{D5CDD505-2E9C-101B-9397-08002B2CF9AE}" pid="32" name="DM_Creation_Date">
    <vt:lpwstr>04/04/2013 16:47:54</vt:lpwstr>
  </property>
  <property fmtid="{D5CDD505-2E9C-101B-9397-08002B2CF9AE}" pid="33" name="DM_Modify_Date">
    <vt:lpwstr>04/04/2013 16:47:54</vt:lpwstr>
  </property>
  <property fmtid="{D5CDD505-2E9C-101B-9397-08002B2CF9AE}" pid="34" name="DM_Creator_Name">
    <vt:lpwstr>Horemans Karina</vt:lpwstr>
  </property>
  <property fmtid="{D5CDD505-2E9C-101B-9397-08002B2CF9AE}" pid="35" name="DM_Modifier_Name">
    <vt:lpwstr>Horemans Karina</vt:lpwstr>
  </property>
  <property fmtid="{D5CDD505-2E9C-101B-9397-08002B2CF9AE}" pid="36" name="DM_Type">
    <vt:lpwstr>emea_document</vt:lpwstr>
  </property>
  <property fmtid="{D5CDD505-2E9C-101B-9397-08002B2CF9AE}" pid="37" name="DM_DocRefId">
    <vt:lpwstr>EMA/213722/2013</vt:lpwstr>
  </property>
  <property fmtid="{D5CDD505-2E9C-101B-9397-08002B2CF9AE}" pid="38" name="DM_Category">
    <vt:lpwstr>Product Information</vt:lpwstr>
  </property>
  <property fmtid="{D5CDD505-2E9C-101B-9397-08002B2CF9AE}" pid="39" name="DM_Path">
    <vt:lpwstr>/02b. Administration of Scientific Meeting/WPs SAGs DGs and other WGs/CxMP - QRD/3. Other activities/02. Procedures/01. QRD PI templates/03 QRD H-Referral templates/05 H Referral template v 3.0 (Phvig)/03 Final templates for publication/Clean templates</vt:lpwstr>
  </property>
  <property fmtid="{D5CDD505-2E9C-101B-9397-08002B2CF9AE}" pid="40" name="DM_emea_doc_ref_id">
    <vt:lpwstr>EMA/213722/2013</vt:lpwstr>
  </property>
  <property fmtid="{D5CDD505-2E9C-101B-9397-08002B2CF9AE}" pid="41" name="DM_Modifer_Name">
    <vt:lpwstr>Horemans Karina</vt:lpwstr>
  </property>
  <property fmtid="{D5CDD505-2E9C-101B-9397-08002B2CF9AE}" pid="42" name="DM_Modified_Date">
    <vt:lpwstr>04/04/2013 16:47:54</vt:lpwstr>
  </property>
</Properties>
</file>