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2F" w:rsidRPr="001C7AA5" w:rsidRDefault="00597C2F" w:rsidP="00597C2F">
      <w:pPr>
        <w:pStyle w:val="Heading2"/>
        <w:jc w:val="center"/>
        <w:rPr>
          <w:i/>
        </w:rPr>
      </w:pPr>
      <w:r w:rsidRPr="001C7AA5">
        <w:t>ZĀĻU APRAKSTS</w:t>
      </w:r>
    </w:p>
    <w:p w:rsidR="00597C2F" w:rsidRPr="0027724D" w:rsidRDefault="00597C2F" w:rsidP="00597C2F">
      <w:pPr>
        <w:jc w:val="both"/>
        <w:rPr>
          <w:b/>
          <w:szCs w:val="22"/>
          <w:lang w:val="lv-LV"/>
        </w:rPr>
      </w:pPr>
    </w:p>
    <w:p w:rsidR="00597C2F" w:rsidRPr="0027724D" w:rsidRDefault="00597C2F" w:rsidP="00597C2F">
      <w:pPr>
        <w:numPr>
          <w:ilvl w:val="0"/>
          <w:numId w:val="15"/>
        </w:numPr>
        <w:tabs>
          <w:tab w:val="clear" w:pos="720"/>
          <w:tab w:val="num" w:pos="567"/>
        </w:tabs>
        <w:ind w:left="567" w:hanging="567"/>
        <w:jc w:val="both"/>
        <w:rPr>
          <w:b/>
          <w:caps/>
          <w:szCs w:val="22"/>
          <w:lang w:val="lv-LV"/>
        </w:rPr>
      </w:pPr>
      <w:r w:rsidRPr="0027724D">
        <w:rPr>
          <w:b/>
          <w:caps/>
          <w:szCs w:val="22"/>
          <w:lang w:val="lv-LV"/>
        </w:rPr>
        <w:t>Zāļu nosaukums</w:t>
      </w:r>
    </w:p>
    <w:p w:rsidR="00597C2F" w:rsidRPr="0027724D" w:rsidRDefault="00597C2F" w:rsidP="00597C2F">
      <w:pPr>
        <w:tabs>
          <w:tab w:val="num" w:pos="567"/>
        </w:tabs>
        <w:ind w:left="567" w:hanging="567"/>
        <w:jc w:val="both"/>
        <w:rPr>
          <w:b/>
          <w:caps/>
          <w:szCs w:val="22"/>
          <w:lang w:val="lv-LV"/>
        </w:rPr>
      </w:pPr>
    </w:p>
    <w:p w:rsidR="00597C2F" w:rsidRPr="0027724D" w:rsidRDefault="00597C2F" w:rsidP="00597C2F">
      <w:pPr>
        <w:tabs>
          <w:tab w:val="num" w:pos="567"/>
        </w:tabs>
        <w:ind w:left="567" w:hanging="567"/>
        <w:rPr>
          <w:bCs/>
          <w:szCs w:val="22"/>
          <w:lang w:val="lv-LV"/>
        </w:rPr>
      </w:pPr>
      <w:r w:rsidRPr="0027724D">
        <w:rPr>
          <w:bCs/>
          <w:szCs w:val="22"/>
          <w:lang w:val="lv-LV"/>
        </w:rPr>
        <w:t>Alpicort 2 mg/4 mg/ml uz ādas lietojams šķīdums</w:t>
      </w:r>
    </w:p>
    <w:p w:rsidR="00597C2F" w:rsidRPr="0027724D" w:rsidRDefault="00597C2F" w:rsidP="00597C2F">
      <w:pPr>
        <w:tabs>
          <w:tab w:val="num" w:pos="567"/>
        </w:tabs>
        <w:ind w:left="567" w:hanging="567"/>
        <w:rPr>
          <w:i/>
          <w:iCs/>
          <w:szCs w:val="22"/>
          <w:lang w:val="lv-LV"/>
        </w:rPr>
      </w:pPr>
    </w:p>
    <w:p w:rsidR="00597C2F" w:rsidRPr="0027724D" w:rsidRDefault="00597C2F" w:rsidP="00597C2F">
      <w:pPr>
        <w:tabs>
          <w:tab w:val="num" w:pos="567"/>
        </w:tabs>
        <w:ind w:left="567" w:hanging="567"/>
        <w:rPr>
          <w:i/>
          <w:iCs/>
          <w:szCs w:val="22"/>
          <w:lang w:val="lv-LV"/>
        </w:rPr>
      </w:pPr>
    </w:p>
    <w:p w:rsidR="00597C2F" w:rsidRPr="0027724D" w:rsidRDefault="00597C2F" w:rsidP="00597C2F">
      <w:pPr>
        <w:numPr>
          <w:ilvl w:val="0"/>
          <w:numId w:val="15"/>
        </w:numPr>
        <w:tabs>
          <w:tab w:val="clear" w:pos="720"/>
          <w:tab w:val="num" w:pos="567"/>
        </w:tabs>
        <w:ind w:left="567" w:hanging="567"/>
        <w:jc w:val="both"/>
        <w:rPr>
          <w:b/>
          <w:caps/>
          <w:szCs w:val="22"/>
          <w:lang w:val="lv-LV"/>
        </w:rPr>
      </w:pPr>
      <w:r w:rsidRPr="0027724D">
        <w:rPr>
          <w:b/>
          <w:caps/>
          <w:szCs w:val="22"/>
          <w:lang w:val="lv-LV"/>
        </w:rPr>
        <w:t>Kvalitatīvais un kvantitatīvais sastāvs</w:t>
      </w:r>
    </w:p>
    <w:p w:rsidR="00597C2F" w:rsidRPr="0027724D" w:rsidRDefault="00597C2F" w:rsidP="00597C2F">
      <w:pPr>
        <w:tabs>
          <w:tab w:val="num" w:pos="567"/>
        </w:tabs>
        <w:ind w:left="567" w:hanging="567"/>
        <w:jc w:val="both"/>
        <w:rPr>
          <w:b/>
          <w:caps/>
          <w:szCs w:val="22"/>
          <w:lang w:val="lv-LV"/>
        </w:rPr>
      </w:pPr>
    </w:p>
    <w:p w:rsidR="00597C2F" w:rsidRPr="0027724D" w:rsidRDefault="00597C2F" w:rsidP="00597C2F">
      <w:pPr>
        <w:rPr>
          <w:szCs w:val="22"/>
          <w:lang w:val="lv-LV"/>
        </w:rPr>
      </w:pPr>
      <w:r w:rsidRPr="0027724D">
        <w:rPr>
          <w:szCs w:val="22"/>
          <w:lang w:val="lv-LV"/>
        </w:rPr>
        <w:t xml:space="preserve">1 ml šķīduma satur aktīvās vielas 2 mg prednizolona </w:t>
      </w:r>
      <w:r w:rsidRPr="0027724D">
        <w:rPr>
          <w:i/>
          <w:iCs/>
          <w:szCs w:val="22"/>
          <w:lang w:val="lv-LV"/>
        </w:rPr>
        <w:t>(Prednisolonum)</w:t>
      </w:r>
      <w:r w:rsidRPr="0027724D">
        <w:rPr>
          <w:szCs w:val="22"/>
          <w:lang w:val="lv-LV"/>
        </w:rPr>
        <w:t xml:space="preserve"> un 4 mg salicilskābi </w:t>
      </w:r>
      <w:r w:rsidRPr="0027724D">
        <w:rPr>
          <w:i/>
          <w:iCs/>
          <w:szCs w:val="22"/>
          <w:lang w:val="lv-LV"/>
        </w:rPr>
        <w:t>(Acidum salicylicum)</w:t>
      </w:r>
      <w:r w:rsidRPr="0027724D">
        <w:rPr>
          <w:szCs w:val="22"/>
          <w:lang w:val="lv-LV"/>
        </w:rPr>
        <w:t>.</w:t>
      </w:r>
    </w:p>
    <w:p w:rsidR="00597C2F" w:rsidRPr="0027724D" w:rsidRDefault="00597C2F" w:rsidP="00597C2F">
      <w:pPr>
        <w:rPr>
          <w:iCs/>
          <w:szCs w:val="22"/>
          <w:lang w:val="lv-LV"/>
        </w:rPr>
      </w:pPr>
      <w:r w:rsidRPr="0027724D">
        <w:rPr>
          <w:iCs/>
          <w:szCs w:val="22"/>
          <w:lang w:val="lv-LV"/>
        </w:rPr>
        <w:t>Palīgviela(-s) ar zināmu iedarbību</w:t>
      </w:r>
      <w:r w:rsidRPr="0027724D">
        <w:rPr>
          <w:i/>
          <w:iCs/>
          <w:szCs w:val="22"/>
          <w:lang w:val="lv-LV"/>
        </w:rPr>
        <w:t xml:space="preserve">: </w:t>
      </w:r>
      <w:r w:rsidRPr="0027724D">
        <w:rPr>
          <w:iCs/>
          <w:szCs w:val="22"/>
          <w:lang w:val="lv-LV"/>
        </w:rPr>
        <w:t>propilēnglikols 5 g.</w:t>
      </w:r>
    </w:p>
    <w:p w:rsidR="00597C2F" w:rsidRPr="0027724D" w:rsidRDefault="00597C2F" w:rsidP="00597C2F">
      <w:pPr>
        <w:rPr>
          <w:szCs w:val="22"/>
          <w:lang w:val="lv-LV"/>
        </w:rPr>
      </w:pPr>
      <w:r w:rsidRPr="0027724D">
        <w:rPr>
          <w:szCs w:val="22"/>
          <w:lang w:val="lv-LV"/>
        </w:rPr>
        <w:t>Pilnu palīgvielu sarakstu skatīt 6.1. apakšpunktā.</w:t>
      </w:r>
    </w:p>
    <w:p w:rsidR="00597C2F" w:rsidRPr="0027724D" w:rsidRDefault="00597C2F" w:rsidP="00597C2F">
      <w:pPr>
        <w:jc w:val="both"/>
        <w:rPr>
          <w:szCs w:val="22"/>
          <w:lang w:val="lv-LV"/>
        </w:rPr>
      </w:pPr>
    </w:p>
    <w:p w:rsidR="00597C2F" w:rsidRPr="0027724D" w:rsidRDefault="00597C2F" w:rsidP="00597C2F">
      <w:pPr>
        <w:jc w:val="both"/>
        <w:rPr>
          <w:szCs w:val="22"/>
          <w:lang w:val="lv-LV"/>
        </w:rPr>
      </w:pPr>
    </w:p>
    <w:p w:rsidR="00597C2F" w:rsidRPr="0027724D" w:rsidRDefault="00597C2F" w:rsidP="00597C2F">
      <w:pPr>
        <w:numPr>
          <w:ilvl w:val="0"/>
          <w:numId w:val="15"/>
        </w:numPr>
        <w:tabs>
          <w:tab w:val="clear" w:pos="720"/>
        </w:tabs>
        <w:ind w:left="567" w:hanging="567"/>
        <w:jc w:val="both"/>
        <w:rPr>
          <w:b/>
          <w:caps/>
          <w:szCs w:val="22"/>
          <w:lang w:val="lv-LV"/>
        </w:rPr>
      </w:pPr>
      <w:r w:rsidRPr="0027724D">
        <w:rPr>
          <w:b/>
          <w:caps/>
          <w:szCs w:val="22"/>
          <w:lang w:val="lv-LV"/>
        </w:rPr>
        <w:t>Zāļu forma</w:t>
      </w:r>
    </w:p>
    <w:p w:rsidR="00597C2F" w:rsidRPr="0027724D" w:rsidRDefault="00597C2F" w:rsidP="00597C2F">
      <w:pPr>
        <w:ind w:left="360"/>
        <w:jc w:val="both"/>
        <w:rPr>
          <w:b/>
          <w:caps/>
          <w:szCs w:val="22"/>
          <w:lang w:val="lv-LV"/>
        </w:rPr>
      </w:pPr>
    </w:p>
    <w:p w:rsidR="00597C2F" w:rsidRPr="0027724D" w:rsidRDefault="00597C2F" w:rsidP="00597C2F">
      <w:pPr>
        <w:jc w:val="both"/>
        <w:rPr>
          <w:szCs w:val="22"/>
          <w:lang w:val="lv-LV"/>
        </w:rPr>
      </w:pPr>
      <w:r w:rsidRPr="0027724D">
        <w:rPr>
          <w:szCs w:val="22"/>
          <w:lang w:val="lv-LV"/>
        </w:rPr>
        <w:t>Uz ādas lietojams šķīdums.</w:t>
      </w:r>
    </w:p>
    <w:p w:rsidR="00597C2F" w:rsidRPr="0027724D" w:rsidRDefault="00597C2F" w:rsidP="00597C2F">
      <w:pPr>
        <w:jc w:val="both"/>
        <w:rPr>
          <w:szCs w:val="22"/>
          <w:lang w:val="lv-LV"/>
        </w:rPr>
      </w:pPr>
      <w:r w:rsidRPr="0027724D">
        <w:rPr>
          <w:szCs w:val="22"/>
          <w:lang w:val="lv-LV"/>
        </w:rPr>
        <w:t>Dzidrs, bezkrāsains šķīdums.</w:t>
      </w:r>
    </w:p>
    <w:p w:rsidR="00597C2F" w:rsidRPr="0027724D" w:rsidRDefault="00597C2F" w:rsidP="00597C2F">
      <w:pPr>
        <w:jc w:val="both"/>
        <w:rPr>
          <w:szCs w:val="22"/>
          <w:lang w:val="lv-LV"/>
        </w:rPr>
      </w:pPr>
    </w:p>
    <w:p w:rsidR="00597C2F" w:rsidRPr="0027724D" w:rsidRDefault="00597C2F" w:rsidP="00597C2F">
      <w:pPr>
        <w:jc w:val="both"/>
        <w:rPr>
          <w:szCs w:val="22"/>
          <w:lang w:val="lv-LV"/>
        </w:rPr>
      </w:pPr>
    </w:p>
    <w:p w:rsidR="00597C2F" w:rsidRPr="0027724D" w:rsidRDefault="00597C2F" w:rsidP="00597C2F">
      <w:pPr>
        <w:numPr>
          <w:ilvl w:val="0"/>
          <w:numId w:val="15"/>
        </w:numPr>
        <w:tabs>
          <w:tab w:val="clear" w:pos="720"/>
          <w:tab w:val="num" w:pos="567"/>
        </w:tabs>
        <w:ind w:left="567" w:hanging="567"/>
        <w:jc w:val="both"/>
        <w:rPr>
          <w:b/>
          <w:caps/>
          <w:szCs w:val="22"/>
          <w:lang w:val="lv-LV"/>
        </w:rPr>
      </w:pPr>
      <w:r w:rsidRPr="0027724D">
        <w:rPr>
          <w:b/>
          <w:caps/>
          <w:szCs w:val="22"/>
          <w:lang w:val="lv-LV"/>
        </w:rPr>
        <w:t>Klīniskā informācija</w:t>
      </w:r>
    </w:p>
    <w:p w:rsidR="00597C2F" w:rsidRPr="0027724D" w:rsidRDefault="00597C2F" w:rsidP="00597C2F">
      <w:pPr>
        <w:tabs>
          <w:tab w:val="num" w:pos="567"/>
        </w:tabs>
        <w:ind w:left="567" w:hanging="567"/>
        <w:jc w:val="both"/>
        <w:rPr>
          <w:b/>
          <w:caps/>
          <w:szCs w:val="22"/>
          <w:lang w:val="lv-LV"/>
        </w:rPr>
      </w:pPr>
    </w:p>
    <w:p w:rsidR="00597C2F" w:rsidRDefault="00597C2F" w:rsidP="00597C2F">
      <w:pPr>
        <w:numPr>
          <w:ilvl w:val="1"/>
          <w:numId w:val="15"/>
        </w:numPr>
        <w:tabs>
          <w:tab w:val="num" w:pos="567"/>
        </w:tabs>
        <w:ind w:left="567" w:hanging="567"/>
        <w:jc w:val="both"/>
        <w:rPr>
          <w:b/>
          <w:szCs w:val="22"/>
          <w:lang w:val="lv-LV"/>
        </w:rPr>
      </w:pPr>
      <w:r w:rsidRPr="0027724D">
        <w:rPr>
          <w:b/>
          <w:szCs w:val="22"/>
          <w:lang w:val="lv-LV"/>
        </w:rPr>
        <w:t>Terapeitiskās indikācijas</w:t>
      </w:r>
    </w:p>
    <w:p w:rsidR="00597C2F" w:rsidRPr="0027724D" w:rsidRDefault="00597C2F" w:rsidP="00597C2F">
      <w:pPr>
        <w:tabs>
          <w:tab w:val="num" w:pos="780"/>
        </w:tabs>
        <w:ind w:left="567"/>
        <w:jc w:val="both"/>
        <w:rPr>
          <w:b/>
          <w:szCs w:val="22"/>
          <w:lang w:val="lv-LV"/>
        </w:rPr>
      </w:pPr>
    </w:p>
    <w:p w:rsidR="00597C2F" w:rsidRPr="0027724D" w:rsidRDefault="00597C2F" w:rsidP="00597C2F">
      <w:pPr>
        <w:tabs>
          <w:tab w:val="num" w:pos="567"/>
        </w:tabs>
        <w:rPr>
          <w:szCs w:val="22"/>
          <w:lang w:val="lv-LV"/>
        </w:rPr>
      </w:pPr>
      <w:r w:rsidRPr="0027724D">
        <w:rPr>
          <w:szCs w:val="22"/>
          <w:lang w:val="lv-LV"/>
        </w:rPr>
        <w:t>Vidēji stipri galvas matainās daļas iekaisuma procesi, simptomātiskai-vieglai kortikosteroīdu terapijai.</w:t>
      </w:r>
    </w:p>
    <w:p w:rsidR="00597C2F" w:rsidRPr="0027724D" w:rsidRDefault="00597C2F" w:rsidP="00597C2F">
      <w:pPr>
        <w:rPr>
          <w:szCs w:val="22"/>
          <w:lang w:val="lv-LV"/>
        </w:rPr>
      </w:pPr>
      <w:r w:rsidRPr="0027724D">
        <w:rPr>
          <w:szCs w:val="22"/>
          <w:lang w:val="lv-LV"/>
        </w:rPr>
        <w:t>Alpicort</w:t>
      </w:r>
      <w:r w:rsidRPr="0027724D">
        <w:rPr>
          <w:color w:val="000000"/>
          <w:szCs w:val="22"/>
          <w:lang w:val="lv-LV"/>
        </w:rPr>
        <w:t xml:space="preserve"> ir paredzēts lietošanai pieaugušajiem un bērniem </w:t>
      </w:r>
      <w:r w:rsidRPr="0027724D">
        <w:rPr>
          <w:szCs w:val="22"/>
          <w:lang w:val="lv-LV"/>
        </w:rPr>
        <w:t>no 2 gadu vecuma.</w:t>
      </w:r>
    </w:p>
    <w:p w:rsidR="00597C2F" w:rsidRPr="0027724D" w:rsidRDefault="00597C2F" w:rsidP="00597C2F">
      <w:pPr>
        <w:tabs>
          <w:tab w:val="num" w:pos="567"/>
        </w:tabs>
        <w:rPr>
          <w:szCs w:val="22"/>
          <w:lang w:val="lv-LV"/>
        </w:rPr>
      </w:pPr>
    </w:p>
    <w:p w:rsidR="00597C2F" w:rsidRPr="0027724D" w:rsidRDefault="00597C2F" w:rsidP="00597C2F">
      <w:pPr>
        <w:tabs>
          <w:tab w:val="num" w:pos="567"/>
        </w:tabs>
        <w:ind w:left="567" w:hanging="567"/>
        <w:jc w:val="both"/>
        <w:rPr>
          <w:szCs w:val="22"/>
          <w:lang w:val="lv-LV"/>
        </w:rPr>
      </w:pPr>
    </w:p>
    <w:p w:rsidR="00597C2F" w:rsidRPr="0027724D" w:rsidRDefault="00597C2F" w:rsidP="00597C2F">
      <w:pPr>
        <w:numPr>
          <w:ilvl w:val="1"/>
          <w:numId w:val="15"/>
        </w:numPr>
        <w:tabs>
          <w:tab w:val="num" w:pos="567"/>
        </w:tabs>
        <w:ind w:left="567" w:hanging="567"/>
        <w:jc w:val="both"/>
        <w:rPr>
          <w:b/>
          <w:szCs w:val="22"/>
          <w:lang w:val="lv-LV"/>
        </w:rPr>
      </w:pPr>
      <w:r w:rsidRPr="0027724D">
        <w:rPr>
          <w:b/>
          <w:szCs w:val="22"/>
          <w:lang w:val="lv-LV"/>
        </w:rPr>
        <w:t>Devas un lietošanas veids</w:t>
      </w:r>
    </w:p>
    <w:p w:rsidR="00597C2F" w:rsidRPr="0027724D" w:rsidRDefault="00597C2F" w:rsidP="00597C2F">
      <w:pPr>
        <w:jc w:val="both"/>
        <w:rPr>
          <w:b/>
          <w:szCs w:val="22"/>
          <w:lang w:val="lv-LV"/>
        </w:rPr>
      </w:pPr>
    </w:p>
    <w:p w:rsidR="00597C2F" w:rsidRPr="0027724D" w:rsidRDefault="00597C2F" w:rsidP="00597C2F">
      <w:pPr>
        <w:jc w:val="both"/>
        <w:rPr>
          <w:szCs w:val="22"/>
          <w:u w:val="single"/>
          <w:lang w:val="lv-LV"/>
        </w:rPr>
      </w:pPr>
      <w:r w:rsidRPr="0027724D">
        <w:rPr>
          <w:szCs w:val="22"/>
          <w:u w:val="single"/>
          <w:lang w:val="lv-LV"/>
        </w:rPr>
        <w:t>Devas</w:t>
      </w:r>
    </w:p>
    <w:p w:rsidR="00597C2F" w:rsidRPr="0027724D" w:rsidRDefault="00597C2F" w:rsidP="00597C2F">
      <w:pPr>
        <w:jc w:val="both"/>
        <w:rPr>
          <w:szCs w:val="22"/>
          <w:lang w:val="lv-LV"/>
        </w:rPr>
      </w:pPr>
      <w:r w:rsidRPr="0027724D">
        <w:rPr>
          <w:szCs w:val="22"/>
          <w:lang w:val="lv-LV"/>
        </w:rPr>
        <w:t>Lieto 1 reizi dienā, ja iespējams – vakarā. Mazinoties iekaisuma simptomiem, šķīdumu var lietot 2</w:t>
      </w:r>
      <w:r w:rsidR="00540CED">
        <w:rPr>
          <w:szCs w:val="22"/>
          <w:lang w:val="lv-LV"/>
        </w:rPr>
        <w:t>–</w:t>
      </w:r>
      <w:r w:rsidRPr="0027724D">
        <w:rPr>
          <w:szCs w:val="22"/>
          <w:lang w:val="lv-LV"/>
        </w:rPr>
        <w:t>3 reizes nedēļā.</w:t>
      </w:r>
    </w:p>
    <w:p w:rsidR="00597C2F" w:rsidRPr="0027724D" w:rsidRDefault="00597C2F" w:rsidP="00597C2F">
      <w:pPr>
        <w:jc w:val="both"/>
        <w:rPr>
          <w:szCs w:val="22"/>
          <w:lang w:val="lv-LV"/>
        </w:rPr>
      </w:pPr>
      <w:r w:rsidRPr="0027724D">
        <w:rPr>
          <w:szCs w:val="22"/>
          <w:lang w:val="lv-LV"/>
        </w:rPr>
        <w:t>Uzklājiet šķīdumu, turot aplikatora uzgali uz leju un saudzīgi virzot pāri ādas apvidiem, kam nepieciešama ārstēšana.</w:t>
      </w:r>
    </w:p>
    <w:p w:rsidR="00597C2F" w:rsidRPr="0027724D" w:rsidRDefault="00597C2F" w:rsidP="00597C2F">
      <w:pPr>
        <w:jc w:val="both"/>
        <w:rPr>
          <w:szCs w:val="22"/>
          <w:lang w:val="lv-LV"/>
        </w:rPr>
      </w:pPr>
      <w:r w:rsidRPr="0027724D">
        <w:rPr>
          <w:szCs w:val="22"/>
          <w:lang w:val="lv-LV"/>
        </w:rPr>
        <w:t>Zāles satur kortikosteroīdus, to lietošanu uz nelieliem ādas apvidiem nav ieteicams turpināt ilgāk par 2</w:t>
      </w:r>
      <w:r w:rsidR="00540CED">
        <w:rPr>
          <w:szCs w:val="22"/>
          <w:lang w:val="lv-LV"/>
        </w:rPr>
        <w:t>–</w:t>
      </w:r>
      <w:r w:rsidRPr="0027724D">
        <w:rPr>
          <w:szCs w:val="22"/>
          <w:lang w:val="lv-LV"/>
        </w:rPr>
        <w:t>3 nedēļām. Pieejami klīniskās pieredzes dati par ārstēšanu laika periodā līdz 6 mēnešiem. Nav veikti pētījumi par to, cik ilgi saglabājas efekts, pārtraucot zāļu lietošanu.</w:t>
      </w:r>
    </w:p>
    <w:p w:rsidR="00597C2F" w:rsidRPr="001C7AA5" w:rsidRDefault="00597C2F" w:rsidP="00597C2F">
      <w:pPr>
        <w:pStyle w:val="BodyText"/>
        <w:rPr>
          <w:i/>
          <w:lang w:val="lv-LV"/>
        </w:rPr>
      </w:pPr>
    </w:p>
    <w:p w:rsidR="00597C2F" w:rsidRPr="001C7AA5" w:rsidRDefault="00597C2F" w:rsidP="00597C2F">
      <w:pPr>
        <w:pStyle w:val="BodyText"/>
        <w:rPr>
          <w:lang w:val="lv-LV"/>
        </w:rPr>
      </w:pPr>
      <w:r w:rsidRPr="001C7AA5">
        <w:rPr>
          <w:lang w:val="lv-LV"/>
        </w:rPr>
        <w:t>Pediatriskā populācija</w:t>
      </w:r>
    </w:p>
    <w:p w:rsidR="00597C2F" w:rsidRPr="001C7AA5" w:rsidRDefault="00597C2F" w:rsidP="00597C2F">
      <w:pPr>
        <w:pStyle w:val="BodyText"/>
        <w:rPr>
          <w:i/>
          <w:lang w:val="lv-LV"/>
        </w:rPr>
      </w:pPr>
      <w:r w:rsidRPr="001C7AA5">
        <w:rPr>
          <w:lang w:val="lv-LV"/>
        </w:rPr>
        <w:t>Alpicort nav ieteicams bērniem līdz 2 gadu vecumam (skatīt 5.1. un 5.2. apakšpunktu).</w:t>
      </w:r>
    </w:p>
    <w:p w:rsidR="00597C2F" w:rsidRPr="001C7AA5" w:rsidRDefault="00597C2F" w:rsidP="00597C2F">
      <w:pPr>
        <w:pStyle w:val="BodyText"/>
        <w:rPr>
          <w:lang w:val="lv-LV"/>
        </w:rPr>
      </w:pPr>
    </w:p>
    <w:p w:rsidR="00597C2F" w:rsidRPr="001C7AA5" w:rsidRDefault="00597C2F" w:rsidP="00597C2F">
      <w:pPr>
        <w:pStyle w:val="BodyText"/>
        <w:rPr>
          <w:i/>
          <w:lang w:val="lv-LV"/>
        </w:rPr>
      </w:pPr>
      <w:r w:rsidRPr="001C7AA5">
        <w:rPr>
          <w:u w:val="single"/>
          <w:lang w:val="lv-LV"/>
        </w:rPr>
        <w:t>Lietošanas veids</w:t>
      </w:r>
    </w:p>
    <w:p w:rsidR="00597C2F" w:rsidRPr="0027724D" w:rsidRDefault="00597C2F" w:rsidP="00597C2F">
      <w:pPr>
        <w:jc w:val="both"/>
        <w:rPr>
          <w:szCs w:val="22"/>
          <w:lang w:val="lv-LV"/>
        </w:rPr>
      </w:pPr>
      <w:r w:rsidRPr="0027724D">
        <w:rPr>
          <w:szCs w:val="22"/>
          <w:lang w:val="lv-LV"/>
        </w:rPr>
        <w:t>Lietošanai uz ādas. Zāles nedrīkst lietot iekšķīgi.</w:t>
      </w:r>
    </w:p>
    <w:p w:rsidR="00597C2F" w:rsidRPr="001C7AA5" w:rsidRDefault="00597C2F" w:rsidP="00597C2F">
      <w:pPr>
        <w:pStyle w:val="BodyText"/>
        <w:rPr>
          <w:i/>
          <w:lang w:val="lv-LV"/>
        </w:rPr>
      </w:pPr>
    </w:p>
    <w:p w:rsidR="00597C2F" w:rsidRDefault="00597C2F" w:rsidP="00597C2F">
      <w:pPr>
        <w:numPr>
          <w:ilvl w:val="1"/>
          <w:numId w:val="15"/>
        </w:numPr>
        <w:tabs>
          <w:tab w:val="clear" w:pos="780"/>
        </w:tabs>
        <w:ind w:left="567" w:hanging="567"/>
        <w:jc w:val="both"/>
        <w:rPr>
          <w:b/>
          <w:szCs w:val="22"/>
          <w:lang w:val="lv-LV"/>
        </w:rPr>
      </w:pPr>
      <w:r w:rsidRPr="0027724D">
        <w:rPr>
          <w:b/>
          <w:szCs w:val="22"/>
          <w:lang w:val="lv-LV"/>
        </w:rPr>
        <w:t>Kontrindikācijas</w:t>
      </w:r>
    </w:p>
    <w:p w:rsidR="00597C2F" w:rsidRPr="0027724D" w:rsidRDefault="00597C2F" w:rsidP="00597C2F">
      <w:pPr>
        <w:ind w:left="567"/>
        <w:jc w:val="both"/>
        <w:rPr>
          <w:b/>
          <w:szCs w:val="22"/>
          <w:lang w:val="lv-LV"/>
        </w:rPr>
      </w:pPr>
    </w:p>
    <w:p w:rsidR="00597C2F" w:rsidRPr="0027724D" w:rsidRDefault="00597C2F" w:rsidP="00597C2F">
      <w:pPr>
        <w:jc w:val="both"/>
        <w:rPr>
          <w:bCs/>
          <w:szCs w:val="22"/>
          <w:lang w:val="lv-LV"/>
        </w:rPr>
      </w:pPr>
      <w:r w:rsidRPr="0027724D">
        <w:rPr>
          <w:bCs/>
          <w:szCs w:val="22"/>
          <w:lang w:val="lv-LV"/>
        </w:rPr>
        <w:t>Alpicort nedrīkst lietot šādos gadījumos:</w:t>
      </w:r>
    </w:p>
    <w:p w:rsidR="00597C2F" w:rsidRPr="0027724D" w:rsidRDefault="00597C2F" w:rsidP="008246E2">
      <w:pPr>
        <w:pStyle w:val="ListParagraph"/>
        <w:numPr>
          <w:ilvl w:val="0"/>
          <w:numId w:val="19"/>
        </w:numPr>
        <w:rPr>
          <w:noProof/>
          <w:sz w:val="22"/>
          <w:szCs w:val="22"/>
          <w:lang w:val="lv-LV"/>
        </w:rPr>
      </w:pPr>
      <w:r w:rsidRPr="0027724D">
        <w:rPr>
          <w:sz w:val="22"/>
          <w:szCs w:val="22"/>
          <w:lang w:val="lv-LV"/>
        </w:rPr>
        <w:lastRenderedPageBreak/>
        <w:t>paaugstināta jutība pret aktīvajām vielām vai jebkuru no 6.1. apakšpunktā uzskaitītajām palīgvielām</w:t>
      </w:r>
    </w:p>
    <w:p w:rsidR="00597C2F" w:rsidRPr="0027724D" w:rsidRDefault="00597C2F" w:rsidP="008246E2">
      <w:pPr>
        <w:pStyle w:val="ListParagraph"/>
        <w:numPr>
          <w:ilvl w:val="0"/>
          <w:numId w:val="19"/>
        </w:numPr>
        <w:rPr>
          <w:bCs/>
          <w:szCs w:val="22"/>
          <w:lang w:val="lv-LV"/>
        </w:rPr>
      </w:pPr>
      <w:r w:rsidRPr="0027724D">
        <w:rPr>
          <w:bCs/>
          <w:szCs w:val="22"/>
          <w:lang w:val="lv-LV"/>
        </w:rPr>
        <w:t>bērniem līdz 2 gadu vecumam;</w:t>
      </w:r>
    </w:p>
    <w:p w:rsidR="00597C2F" w:rsidRPr="0027724D" w:rsidRDefault="00597C2F" w:rsidP="008246E2">
      <w:pPr>
        <w:numPr>
          <w:ilvl w:val="0"/>
          <w:numId w:val="19"/>
        </w:numPr>
        <w:jc w:val="both"/>
        <w:rPr>
          <w:bCs/>
          <w:szCs w:val="22"/>
          <w:lang w:val="lv-LV"/>
        </w:rPr>
      </w:pPr>
      <w:r w:rsidRPr="0027724D">
        <w:rPr>
          <w:bCs/>
          <w:szCs w:val="22"/>
          <w:lang w:val="lv-LV"/>
        </w:rPr>
        <w:t>uz gļotādām, mutes dobumā, acīs vai ādas apvidū ap acīm, dzimumorgānu apvidū vai iekšķīgi;</w:t>
      </w:r>
    </w:p>
    <w:p w:rsidR="00597C2F" w:rsidRPr="0027724D" w:rsidRDefault="00597C2F" w:rsidP="008246E2">
      <w:pPr>
        <w:numPr>
          <w:ilvl w:val="0"/>
          <w:numId w:val="19"/>
        </w:numPr>
        <w:jc w:val="both"/>
        <w:rPr>
          <w:bCs/>
          <w:szCs w:val="22"/>
          <w:lang w:val="lv-LV"/>
        </w:rPr>
      </w:pPr>
      <w:r w:rsidRPr="0027724D">
        <w:rPr>
          <w:bCs/>
          <w:i/>
          <w:szCs w:val="22"/>
          <w:lang w:val="lv-LV"/>
        </w:rPr>
        <w:t>varicella</w:t>
      </w:r>
      <w:r w:rsidRPr="0027724D">
        <w:rPr>
          <w:bCs/>
          <w:szCs w:val="22"/>
          <w:lang w:val="lv-LV"/>
        </w:rPr>
        <w:t xml:space="preserve"> vīrusu infekcija, specifiski ādas bojājumi (tuberkuloze, sifiliss) un iekaisīga reakcija pēc vakcīnu lietošanas;</w:t>
      </w:r>
    </w:p>
    <w:p w:rsidR="00597C2F" w:rsidRPr="0027724D" w:rsidRDefault="00597C2F" w:rsidP="008246E2">
      <w:pPr>
        <w:numPr>
          <w:ilvl w:val="0"/>
          <w:numId w:val="19"/>
        </w:numPr>
        <w:jc w:val="both"/>
        <w:rPr>
          <w:bCs/>
          <w:szCs w:val="22"/>
          <w:lang w:val="lv-LV"/>
        </w:rPr>
      </w:pPr>
      <w:r w:rsidRPr="0027724D">
        <w:rPr>
          <w:bCs/>
          <w:szCs w:val="22"/>
          <w:lang w:val="lv-LV"/>
        </w:rPr>
        <w:t>sēnīšu izraisīti ādas bojājumi (mikozes) un bakteriālās ādas infekcijas;</w:t>
      </w:r>
    </w:p>
    <w:p w:rsidR="00597C2F" w:rsidRPr="0027724D" w:rsidRDefault="00597C2F" w:rsidP="008246E2">
      <w:pPr>
        <w:numPr>
          <w:ilvl w:val="0"/>
          <w:numId w:val="19"/>
        </w:numPr>
        <w:jc w:val="both"/>
        <w:rPr>
          <w:bCs/>
          <w:szCs w:val="22"/>
          <w:lang w:val="lv-LV"/>
        </w:rPr>
      </w:pPr>
      <w:r w:rsidRPr="0027724D">
        <w:rPr>
          <w:bCs/>
          <w:szCs w:val="22"/>
          <w:lang w:val="lv-LV"/>
        </w:rPr>
        <w:t xml:space="preserve">periorāls dermatīts (iekaisīgi ādas simptomi ap muti ar eritēmas un papulu veidošanos) un </w:t>
      </w:r>
      <w:r w:rsidRPr="0027724D">
        <w:rPr>
          <w:bCs/>
          <w:i/>
          <w:szCs w:val="22"/>
          <w:lang w:val="lv-LV"/>
        </w:rPr>
        <w:t xml:space="preserve">rosacea </w:t>
      </w:r>
      <w:r w:rsidRPr="0027724D">
        <w:rPr>
          <w:bCs/>
          <w:szCs w:val="22"/>
          <w:lang w:val="lv-LV"/>
        </w:rPr>
        <w:t>(sejas apsārtums, dažkārt ar iekaisumu vai pustulu veidošanos);</w:t>
      </w:r>
    </w:p>
    <w:p w:rsidR="00597C2F" w:rsidRPr="0027724D" w:rsidRDefault="00597C2F" w:rsidP="008246E2">
      <w:pPr>
        <w:numPr>
          <w:ilvl w:val="0"/>
          <w:numId w:val="19"/>
        </w:numPr>
        <w:jc w:val="both"/>
        <w:rPr>
          <w:bCs/>
          <w:szCs w:val="22"/>
          <w:lang w:val="lv-LV"/>
        </w:rPr>
      </w:pPr>
      <w:r w:rsidRPr="0027724D">
        <w:rPr>
          <w:bCs/>
          <w:szCs w:val="22"/>
          <w:lang w:val="lv-LV"/>
        </w:rPr>
        <w:t>nelietot ilgāk par 3 nedēļām bez pārtraukuma;</w:t>
      </w:r>
    </w:p>
    <w:p w:rsidR="00597C2F" w:rsidRPr="0027724D" w:rsidRDefault="00597C2F" w:rsidP="008246E2">
      <w:pPr>
        <w:numPr>
          <w:ilvl w:val="0"/>
          <w:numId w:val="19"/>
        </w:numPr>
        <w:jc w:val="both"/>
        <w:rPr>
          <w:bCs/>
          <w:szCs w:val="22"/>
          <w:lang w:val="lv-LV"/>
        </w:rPr>
      </w:pPr>
      <w:r w:rsidRPr="0027724D">
        <w:rPr>
          <w:bCs/>
          <w:iCs/>
          <w:szCs w:val="22"/>
          <w:lang w:val="lv-LV"/>
        </w:rPr>
        <w:t>pacientiem ar aknu un nieru mazspēju.</w:t>
      </w:r>
    </w:p>
    <w:p w:rsidR="00597C2F" w:rsidRPr="0027724D" w:rsidRDefault="00597C2F" w:rsidP="00597C2F">
      <w:pPr>
        <w:jc w:val="both"/>
        <w:rPr>
          <w:szCs w:val="22"/>
          <w:lang w:val="lv-LV"/>
        </w:rPr>
      </w:pPr>
    </w:p>
    <w:p w:rsidR="00597C2F" w:rsidRDefault="00597C2F" w:rsidP="00597C2F">
      <w:pPr>
        <w:numPr>
          <w:ilvl w:val="1"/>
          <w:numId w:val="15"/>
        </w:numPr>
        <w:tabs>
          <w:tab w:val="clear" w:pos="780"/>
        </w:tabs>
        <w:ind w:left="567" w:hanging="567"/>
        <w:jc w:val="both"/>
        <w:rPr>
          <w:b/>
          <w:szCs w:val="22"/>
          <w:lang w:val="lv-LV"/>
        </w:rPr>
      </w:pPr>
      <w:r w:rsidRPr="0027724D">
        <w:rPr>
          <w:b/>
          <w:szCs w:val="22"/>
          <w:lang w:val="lv-LV"/>
        </w:rPr>
        <w:t>Īpaši brīdinājumi un piesardzība lietošanā</w:t>
      </w:r>
    </w:p>
    <w:p w:rsidR="00597C2F" w:rsidRPr="0027724D" w:rsidRDefault="00597C2F" w:rsidP="00597C2F">
      <w:pPr>
        <w:ind w:left="567"/>
        <w:jc w:val="both"/>
        <w:rPr>
          <w:b/>
          <w:szCs w:val="22"/>
          <w:lang w:val="lv-LV"/>
        </w:rPr>
      </w:pPr>
    </w:p>
    <w:p w:rsidR="00597C2F" w:rsidRPr="0027724D" w:rsidRDefault="00597C2F" w:rsidP="00597C2F">
      <w:pPr>
        <w:spacing w:before="120"/>
        <w:rPr>
          <w:szCs w:val="22"/>
          <w:lang w:val="lv-LV"/>
        </w:rPr>
      </w:pPr>
      <w:r w:rsidRPr="0027724D">
        <w:rPr>
          <w:szCs w:val="22"/>
          <w:lang w:val="lv-LV"/>
        </w:rPr>
        <w:t>Tikai ārīgai lietošanai.</w:t>
      </w:r>
    </w:p>
    <w:p w:rsidR="00597C2F" w:rsidRPr="0027724D" w:rsidRDefault="00597C2F" w:rsidP="00597C2F">
      <w:pPr>
        <w:spacing w:before="120"/>
        <w:rPr>
          <w:szCs w:val="22"/>
          <w:lang w:val="lv-LV"/>
        </w:rPr>
      </w:pPr>
      <w:r w:rsidRPr="0027724D">
        <w:rPr>
          <w:iCs/>
          <w:szCs w:val="22"/>
          <w:lang w:val="lv-LV"/>
        </w:rPr>
        <w:t>Jāizvairās no</w:t>
      </w:r>
      <w:r w:rsidRPr="0027724D">
        <w:rPr>
          <w:i/>
          <w:szCs w:val="22"/>
          <w:lang w:val="lv-LV"/>
        </w:rPr>
        <w:t xml:space="preserve"> </w:t>
      </w:r>
      <w:r w:rsidRPr="0027724D">
        <w:rPr>
          <w:bCs/>
          <w:szCs w:val="22"/>
          <w:lang w:val="lv-LV"/>
        </w:rPr>
        <w:t xml:space="preserve">Alpicort </w:t>
      </w:r>
      <w:r w:rsidRPr="0027724D">
        <w:rPr>
          <w:szCs w:val="22"/>
          <w:lang w:val="lv-LV"/>
        </w:rPr>
        <w:t>nokļūšanas uz acu, deguna un mutes gļotādām.</w:t>
      </w:r>
    </w:p>
    <w:p w:rsidR="00597C2F" w:rsidRPr="0027724D" w:rsidRDefault="00597C2F" w:rsidP="00597C2F">
      <w:pPr>
        <w:spacing w:before="120"/>
        <w:rPr>
          <w:iCs/>
          <w:szCs w:val="22"/>
          <w:lang w:val="lv-LV"/>
        </w:rPr>
      </w:pPr>
      <w:r w:rsidRPr="0027724D">
        <w:rPr>
          <w:bCs/>
          <w:szCs w:val="22"/>
          <w:lang w:val="lv-LV"/>
        </w:rPr>
        <w:t>Alpicort n</w:t>
      </w:r>
      <w:r w:rsidRPr="0027724D">
        <w:rPr>
          <w:iCs/>
          <w:szCs w:val="22"/>
          <w:lang w:val="lv-LV"/>
        </w:rPr>
        <w:t>evajadzētu uzklāt uz jutīgām ādas virsmām (nelietot lielos ādas laukumos un kompresēs).</w:t>
      </w:r>
    </w:p>
    <w:p w:rsidR="00597C2F" w:rsidRPr="0027724D" w:rsidRDefault="00597C2F" w:rsidP="00597C2F">
      <w:pPr>
        <w:spacing w:before="120"/>
        <w:rPr>
          <w:iCs/>
          <w:szCs w:val="22"/>
          <w:u w:val="single"/>
          <w:lang w:val="lv-LV"/>
        </w:rPr>
      </w:pPr>
      <w:r w:rsidRPr="0027724D">
        <w:rPr>
          <w:iCs/>
          <w:szCs w:val="22"/>
          <w:u w:val="single"/>
          <w:lang w:val="lv-LV"/>
        </w:rPr>
        <w:t>Redzes traucējumi</w:t>
      </w:r>
    </w:p>
    <w:p w:rsidR="00597C2F" w:rsidRPr="0027724D" w:rsidRDefault="00597C2F" w:rsidP="00597C2F">
      <w:pPr>
        <w:rPr>
          <w:iCs/>
          <w:szCs w:val="22"/>
          <w:lang w:val="lv-LV"/>
        </w:rPr>
      </w:pPr>
      <w:r w:rsidRPr="0027724D">
        <w:rPr>
          <w:iCs/>
          <w:szCs w:val="22"/>
          <w:lang w:val="lv-LV"/>
        </w:rPr>
        <w:t>Saistībā ar sistēmisku un lokālu kortikosteroīdu lietošanu var tikt ziņots par redzes traucējumiem. Ja pacientam ir tādi simptomi kā neskaidra redze vai citi redzes traucējumi, jāapsver pacienta norīkošana pie oftalmologa, lai novērtētu to iespējamos cēloņus, kas var būt, piemēram, katarakta, glaukoma vai tādas retas slimības kā centrāla seroza horioretinopātija (CSHR), par ko ir ziņots pēc kortikosteroīdu sistēmiskas un lokālas lietošanas.</w:t>
      </w:r>
    </w:p>
    <w:p w:rsidR="00597C2F" w:rsidRPr="0027724D" w:rsidRDefault="00597C2F" w:rsidP="00597C2F">
      <w:pPr>
        <w:spacing w:before="120"/>
        <w:rPr>
          <w:iCs/>
          <w:szCs w:val="22"/>
          <w:u w:val="single"/>
          <w:lang w:val="lv-LV"/>
        </w:rPr>
      </w:pPr>
      <w:r w:rsidRPr="0027724D">
        <w:rPr>
          <w:iCs/>
          <w:szCs w:val="22"/>
          <w:u w:val="single"/>
          <w:lang w:val="lv-LV"/>
        </w:rPr>
        <w:t>Pediatriskā populācija</w:t>
      </w:r>
    </w:p>
    <w:p w:rsidR="00597C2F" w:rsidRPr="0027724D" w:rsidRDefault="00597C2F" w:rsidP="00597C2F">
      <w:pPr>
        <w:jc w:val="both"/>
        <w:rPr>
          <w:b/>
          <w:bCs/>
          <w:i/>
          <w:iCs/>
          <w:szCs w:val="22"/>
          <w:lang w:val="lv-LV"/>
        </w:rPr>
      </w:pPr>
      <w:r w:rsidRPr="0027724D">
        <w:rPr>
          <w:szCs w:val="22"/>
          <w:lang w:val="lv-LV"/>
        </w:rPr>
        <w:t>Ja ir nepieciešamība, var lietot bērniem, tikai jāievēro, ka apjomam un laika periodam jābūt mazākam.</w:t>
      </w:r>
    </w:p>
    <w:p w:rsidR="00597C2F" w:rsidRPr="0027724D" w:rsidRDefault="00597C2F" w:rsidP="00597C2F">
      <w:pPr>
        <w:rPr>
          <w:iCs/>
          <w:szCs w:val="22"/>
          <w:lang w:val="lv-LV"/>
        </w:rPr>
      </w:pPr>
      <w:r w:rsidRPr="0027724D">
        <w:rPr>
          <w:iCs/>
          <w:szCs w:val="22"/>
          <w:lang w:val="lv-LV"/>
        </w:rPr>
        <w:t>Palīgvielu sastāvā esošais propilēnglikols var izraisīt ādas kairinājumu.</w:t>
      </w:r>
    </w:p>
    <w:p w:rsidR="00597C2F" w:rsidRPr="0027724D" w:rsidRDefault="00597C2F" w:rsidP="00597C2F">
      <w:pPr>
        <w:ind w:left="360"/>
        <w:jc w:val="both"/>
        <w:rPr>
          <w:b/>
          <w:szCs w:val="22"/>
          <w:lang w:val="lv-LV"/>
        </w:rPr>
      </w:pPr>
    </w:p>
    <w:p w:rsidR="00597C2F" w:rsidRPr="0027724D" w:rsidRDefault="00597C2F" w:rsidP="00597C2F">
      <w:pPr>
        <w:numPr>
          <w:ilvl w:val="1"/>
          <w:numId w:val="15"/>
        </w:numPr>
        <w:tabs>
          <w:tab w:val="clear" w:pos="780"/>
        </w:tabs>
        <w:ind w:left="567" w:hanging="567"/>
        <w:jc w:val="both"/>
        <w:rPr>
          <w:b/>
          <w:szCs w:val="22"/>
          <w:lang w:val="lv-LV"/>
        </w:rPr>
      </w:pPr>
      <w:r w:rsidRPr="0027724D">
        <w:rPr>
          <w:b/>
          <w:szCs w:val="22"/>
          <w:lang w:val="lv-LV"/>
        </w:rPr>
        <w:t>Mijiedarbība ar citām zālēm un citi mijiedarbības veidi</w:t>
      </w:r>
    </w:p>
    <w:p w:rsidR="00597C2F" w:rsidRPr="0027724D" w:rsidRDefault="00597C2F" w:rsidP="00597C2F">
      <w:pPr>
        <w:jc w:val="both"/>
        <w:rPr>
          <w:b/>
          <w:szCs w:val="22"/>
          <w:lang w:val="lv-LV"/>
        </w:rPr>
      </w:pPr>
    </w:p>
    <w:p w:rsidR="00597C2F" w:rsidRPr="0027724D" w:rsidRDefault="00597C2F" w:rsidP="00597C2F">
      <w:pPr>
        <w:jc w:val="both"/>
        <w:rPr>
          <w:szCs w:val="22"/>
          <w:lang w:val="lv-LV"/>
        </w:rPr>
      </w:pPr>
      <w:r w:rsidRPr="0027724D">
        <w:rPr>
          <w:szCs w:val="22"/>
          <w:lang w:val="lv-LV"/>
        </w:rPr>
        <w:t>Salicilskābe var pastiprināt citu lokāli lietojamu zāļu uzsūkšanos, un to nedrīkst lietot kombinācijā ar citām lokāli lietojamām zālēm galvas matainajā daļā.</w:t>
      </w:r>
    </w:p>
    <w:p w:rsidR="00597C2F" w:rsidRPr="0027724D" w:rsidRDefault="00597C2F" w:rsidP="00597C2F">
      <w:pPr>
        <w:jc w:val="both"/>
        <w:rPr>
          <w:szCs w:val="22"/>
          <w:lang w:val="lv-LV"/>
        </w:rPr>
      </w:pPr>
      <w:r w:rsidRPr="0027724D">
        <w:rPr>
          <w:szCs w:val="22"/>
          <w:lang w:val="lv-LV"/>
        </w:rPr>
        <w:t>Sistēmiski absorbēta salicilskābe var palielināt metotreksāta toksicitāti un pastiprināt sufonilurīnvielas atvasinājumu hipoglikēmisko iedarbību.</w:t>
      </w:r>
    </w:p>
    <w:p w:rsidR="00597C2F" w:rsidRPr="0027724D" w:rsidRDefault="00597C2F" w:rsidP="00597C2F">
      <w:pPr>
        <w:jc w:val="both"/>
        <w:rPr>
          <w:szCs w:val="22"/>
          <w:lang w:val="lv-LV"/>
        </w:rPr>
      </w:pPr>
      <w:r w:rsidRPr="0027724D">
        <w:rPr>
          <w:szCs w:val="22"/>
          <w:lang w:val="lv-LV"/>
        </w:rPr>
        <w:t>Salicilskābe ir nesaderīga ar dažādām aktīvām un neaktīvām sastāvdaļām, kas var ietekmēt aktīvo sastāvdaļu atbrīvošanu. Tās ir šādas vielas: akriflavīna sāļi, svina sāļi, kampars, hlorālhidrāts, dzelzs sāļi, etakridīna sāļi, želatīns, jods, jodīdi, jodoforms, bēta-naftols, polietilēnglikols, rezorcinols, cinka oksīds.</w:t>
      </w:r>
    </w:p>
    <w:p w:rsidR="00597C2F" w:rsidRPr="0027724D" w:rsidRDefault="00597C2F" w:rsidP="00597C2F">
      <w:pPr>
        <w:jc w:val="both"/>
        <w:rPr>
          <w:szCs w:val="22"/>
          <w:lang w:val="lv-LV"/>
        </w:rPr>
      </w:pPr>
    </w:p>
    <w:p w:rsidR="00597C2F" w:rsidRPr="001C7AA5" w:rsidRDefault="00597C2F" w:rsidP="00597C2F">
      <w:pPr>
        <w:pStyle w:val="ListParagraph"/>
        <w:tabs>
          <w:tab w:val="left" w:pos="567"/>
        </w:tabs>
        <w:ind w:left="0"/>
        <w:rPr>
          <w:b/>
          <w:sz w:val="22"/>
          <w:lang w:val="it-IT"/>
        </w:rPr>
      </w:pPr>
      <w:r w:rsidRPr="0027724D">
        <w:rPr>
          <w:b/>
          <w:sz w:val="22"/>
          <w:szCs w:val="22"/>
          <w:lang w:val="lv-LV"/>
        </w:rPr>
        <w:t>4.6</w:t>
      </w:r>
      <w:r w:rsidRPr="0027724D">
        <w:rPr>
          <w:b/>
          <w:sz w:val="22"/>
          <w:szCs w:val="22"/>
          <w:lang w:val="lv-LV"/>
        </w:rPr>
        <w:tab/>
      </w:r>
      <w:r w:rsidRPr="0027724D">
        <w:rPr>
          <w:b/>
          <w:sz w:val="22"/>
          <w:szCs w:val="22"/>
          <w:lang w:val="it-IT"/>
        </w:rPr>
        <w:t>Fertilitāte, g</w:t>
      </w:r>
      <w:r w:rsidRPr="0027724D">
        <w:rPr>
          <w:b/>
          <w:sz w:val="22"/>
          <w:szCs w:val="22"/>
          <w:lang w:val="lv-LV"/>
        </w:rPr>
        <w:t xml:space="preserve">rūtniecība un </w:t>
      </w:r>
      <w:r w:rsidRPr="0027724D">
        <w:rPr>
          <w:b/>
          <w:sz w:val="22"/>
          <w:szCs w:val="22"/>
          <w:lang w:val="it-IT"/>
        </w:rPr>
        <w:t>barošana ar krūti</w:t>
      </w:r>
    </w:p>
    <w:p w:rsidR="00597C2F" w:rsidRPr="0027724D" w:rsidRDefault="00597C2F" w:rsidP="00597C2F">
      <w:pPr>
        <w:pStyle w:val="ListParagraph"/>
        <w:tabs>
          <w:tab w:val="left" w:pos="567"/>
        </w:tabs>
        <w:ind w:left="0"/>
        <w:rPr>
          <w:noProof/>
          <w:sz w:val="22"/>
          <w:szCs w:val="22"/>
          <w:u w:val="single"/>
          <w:lang w:val="lv-LV"/>
        </w:rPr>
      </w:pPr>
    </w:p>
    <w:p w:rsidR="00597C2F" w:rsidRPr="0027724D" w:rsidRDefault="00597C2F" w:rsidP="00597C2F">
      <w:pPr>
        <w:rPr>
          <w:noProof/>
          <w:szCs w:val="22"/>
          <w:u w:val="single"/>
          <w:lang w:val="lv-LV"/>
        </w:rPr>
      </w:pPr>
      <w:r w:rsidRPr="0027724D">
        <w:rPr>
          <w:noProof/>
          <w:szCs w:val="22"/>
          <w:u w:val="single"/>
          <w:lang w:val="lv-LV"/>
        </w:rPr>
        <w:t>Grūtniecība</w:t>
      </w:r>
    </w:p>
    <w:p w:rsidR="00597C2F" w:rsidRPr="0027724D" w:rsidRDefault="00597C2F" w:rsidP="00597C2F">
      <w:pPr>
        <w:jc w:val="both"/>
        <w:rPr>
          <w:szCs w:val="22"/>
          <w:lang w:val="lv-LV"/>
        </w:rPr>
      </w:pPr>
      <w:r w:rsidRPr="0027724D">
        <w:rPr>
          <w:szCs w:val="22"/>
          <w:lang w:val="lv-LV"/>
        </w:rPr>
        <w:t>Tā kā Alpicort</w:t>
      </w:r>
      <w:r w:rsidRPr="0027724D">
        <w:rPr>
          <w:bCs/>
          <w:szCs w:val="22"/>
          <w:lang w:val="lv-LV"/>
        </w:rPr>
        <w:t xml:space="preserve"> </w:t>
      </w:r>
      <w:r w:rsidRPr="0027724D">
        <w:rPr>
          <w:szCs w:val="22"/>
          <w:lang w:val="lv-LV"/>
        </w:rPr>
        <w:t>satur salicilskābi, tas nav indicēts grūtniecības laikā, ja vien to nelieto ļoti nelielā ādas apvidū (mazākā par 5 cm²).</w:t>
      </w:r>
    </w:p>
    <w:p w:rsidR="00597C2F" w:rsidRPr="0027724D" w:rsidRDefault="00597C2F" w:rsidP="00597C2F">
      <w:pPr>
        <w:jc w:val="both"/>
        <w:rPr>
          <w:szCs w:val="22"/>
          <w:lang w:val="lv-LV"/>
        </w:rPr>
      </w:pPr>
      <w:r w:rsidRPr="0027724D">
        <w:rPr>
          <w:szCs w:val="22"/>
          <w:lang w:val="lv-LV"/>
        </w:rPr>
        <w:t>Ilgstoši lietojot kortikosteroīdus grūtniecības laikā, nevar izslēgt augšanas defektus auglim. Pētījumos ar dzīvniekiem prednizolons izraisīja šķeltu aukslēju veidošanos (skatīt 5.3. apakšpunktu). Joprojām tiek diskutēts, vai kortikosteroīdu lietošana grūtniecības pirmajā trimestrī veicina paaugstinātu orālo fisūru veidošanās risku auglim. Ja kortikosteroīdus lieto grūtniecības beigās, pastāv virsnieru garozas atrofijas risks auglim un vēlāk jaundzimušajam, iespējami vajadzēs uzsākt substitūcijas terapiju ar pakāpenisku atteikšanos no tās.</w:t>
      </w:r>
    </w:p>
    <w:p w:rsidR="00597C2F" w:rsidRPr="0027724D" w:rsidRDefault="00597C2F" w:rsidP="00597C2F">
      <w:pPr>
        <w:jc w:val="both"/>
        <w:rPr>
          <w:szCs w:val="22"/>
          <w:lang w:val="lv-LV"/>
        </w:rPr>
      </w:pPr>
    </w:p>
    <w:p w:rsidR="00597C2F" w:rsidRPr="0027724D" w:rsidRDefault="00597C2F" w:rsidP="00597C2F">
      <w:pPr>
        <w:jc w:val="both"/>
        <w:rPr>
          <w:szCs w:val="22"/>
          <w:lang w:val="lv-LV"/>
        </w:rPr>
      </w:pPr>
      <w:r w:rsidRPr="0027724D">
        <w:rPr>
          <w:noProof/>
          <w:szCs w:val="22"/>
          <w:u w:val="single"/>
          <w:lang w:val="lv-LV"/>
        </w:rPr>
        <w:t>Barošana ar krūti</w:t>
      </w:r>
    </w:p>
    <w:p w:rsidR="00597C2F" w:rsidRPr="0027724D" w:rsidRDefault="00597C2F" w:rsidP="00597C2F">
      <w:pPr>
        <w:jc w:val="both"/>
        <w:rPr>
          <w:szCs w:val="22"/>
          <w:lang w:val="lv-LV"/>
        </w:rPr>
      </w:pPr>
      <w:r w:rsidRPr="0027724D">
        <w:rPr>
          <w:szCs w:val="22"/>
          <w:lang w:val="lv-LV"/>
        </w:rPr>
        <w:t>Kortoksteroīdi nelielā daudzumā izdalās krūts pienā (līdz 23% no individuālās devas). Lietojot līdz 10 mg dienā, zāļu daudzums pienā ir pārāk mazs, lai to varētu noteikt. Līdz šim nav datu par iespējamo kaitējumu zīdaiņiem. Tomēr nepieciešams noteikt stingrus kritērijus šo zāļu indikācijām barošanas ar krūti laikā. Tā kā lielākas devas gadījumā pieaug piena/plazmas koncentrācijas attiecībā (25% no seruma koncentrācijas izdalās pienā, lietojot 80 mg prednizolona dienā), šādos apstākļos ieteicams pārtraukt bērna barošanu ar krūti.</w:t>
      </w:r>
    </w:p>
    <w:p w:rsidR="00597C2F" w:rsidRPr="0027724D" w:rsidRDefault="00597C2F" w:rsidP="00597C2F">
      <w:pPr>
        <w:jc w:val="both"/>
        <w:rPr>
          <w:szCs w:val="22"/>
          <w:lang w:val="lv-LV"/>
        </w:rPr>
      </w:pPr>
    </w:p>
    <w:p w:rsidR="00597C2F" w:rsidRDefault="00597C2F" w:rsidP="00597C2F">
      <w:pPr>
        <w:numPr>
          <w:ilvl w:val="1"/>
          <w:numId w:val="17"/>
        </w:numPr>
        <w:tabs>
          <w:tab w:val="clear" w:pos="780"/>
          <w:tab w:val="num" w:pos="567"/>
        </w:tabs>
        <w:ind w:hanging="780"/>
        <w:jc w:val="both"/>
        <w:rPr>
          <w:b/>
          <w:szCs w:val="22"/>
          <w:lang w:val="lv-LV"/>
        </w:rPr>
      </w:pPr>
      <w:r w:rsidRPr="0027724D">
        <w:rPr>
          <w:b/>
          <w:szCs w:val="22"/>
          <w:lang w:val="lv-LV"/>
        </w:rPr>
        <w:t>Ietekme uz spēju vadīt transportlīdzekļus un apkalpot mehānismus</w:t>
      </w:r>
    </w:p>
    <w:p w:rsidR="00597C2F" w:rsidRPr="0027724D" w:rsidRDefault="00597C2F" w:rsidP="00597C2F">
      <w:pPr>
        <w:ind w:left="780"/>
        <w:jc w:val="both"/>
        <w:rPr>
          <w:b/>
          <w:szCs w:val="22"/>
          <w:lang w:val="lv-LV"/>
        </w:rPr>
      </w:pPr>
    </w:p>
    <w:p w:rsidR="00597C2F" w:rsidRPr="001C7AA5" w:rsidRDefault="00597C2F" w:rsidP="00597C2F">
      <w:pPr>
        <w:pStyle w:val="BodyText"/>
        <w:ind w:left="567" w:hanging="567"/>
        <w:rPr>
          <w:i/>
          <w:lang w:val="lv-LV"/>
        </w:rPr>
      </w:pPr>
      <w:r w:rsidRPr="001C7AA5">
        <w:rPr>
          <w:lang w:val="lv-LV"/>
        </w:rPr>
        <w:t>Neietekmē spēju vadīt transportlīdzekļus un apkalpot mehānismus.</w:t>
      </w:r>
    </w:p>
    <w:p w:rsidR="00597C2F" w:rsidRPr="0027724D" w:rsidRDefault="00597C2F" w:rsidP="00597C2F">
      <w:pPr>
        <w:ind w:left="567" w:hanging="567"/>
        <w:jc w:val="both"/>
        <w:rPr>
          <w:b/>
          <w:szCs w:val="22"/>
          <w:lang w:val="lv-LV"/>
        </w:rPr>
      </w:pPr>
    </w:p>
    <w:p w:rsidR="00597C2F" w:rsidRPr="0027724D" w:rsidRDefault="00597C2F" w:rsidP="00597C2F">
      <w:pPr>
        <w:numPr>
          <w:ilvl w:val="1"/>
          <w:numId w:val="17"/>
        </w:numPr>
        <w:ind w:left="567" w:hanging="567"/>
        <w:jc w:val="both"/>
        <w:rPr>
          <w:b/>
          <w:szCs w:val="22"/>
          <w:lang w:val="lv-LV"/>
        </w:rPr>
      </w:pPr>
      <w:r w:rsidRPr="0027724D">
        <w:rPr>
          <w:b/>
          <w:szCs w:val="22"/>
          <w:lang w:val="lv-LV"/>
        </w:rPr>
        <w:t>Nevēlamās blakusparādības</w:t>
      </w:r>
    </w:p>
    <w:p w:rsidR="00597C2F" w:rsidRDefault="00597C2F" w:rsidP="00597C2F">
      <w:pPr>
        <w:jc w:val="both"/>
        <w:rPr>
          <w:szCs w:val="22"/>
          <w:lang w:val="lv-LV"/>
        </w:rPr>
      </w:pPr>
    </w:p>
    <w:p w:rsidR="00597C2F" w:rsidRDefault="00597C2F" w:rsidP="00597C2F">
      <w:pPr>
        <w:pStyle w:val="WW-Default"/>
        <w:jc w:val="both"/>
        <w:rPr>
          <w:sz w:val="22"/>
          <w:szCs w:val="22"/>
          <w:lang w:val="lv-LV"/>
        </w:rPr>
      </w:pPr>
      <w:r>
        <w:rPr>
          <w:sz w:val="22"/>
          <w:szCs w:val="22"/>
          <w:lang w:val="lv-LV"/>
        </w:rPr>
        <w:t>Blakusparādību biežuma grupas definētas šādi: ļoti bieži (≥1/10); bieži (≥1/100 līdz &lt;1/10); retāk (≥1/1</w:t>
      </w:r>
      <w:r w:rsidR="00540CED">
        <w:rPr>
          <w:sz w:val="22"/>
          <w:szCs w:val="22"/>
          <w:lang w:val="lv-LV"/>
        </w:rPr>
        <w:t xml:space="preserve"> </w:t>
      </w:r>
      <w:r>
        <w:rPr>
          <w:sz w:val="22"/>
          <w:szCs w:val="22"/>
          <w:lang w:val="lv-LV"/>
        </w:rPr>
        <w:t>000 līdz &lt;1/100); reti (≥1/10 000 līdz &lt;1/1</w:t>
      </w:r>
      <w:r w:rsidR="00540CED">
        <w:rPr>
          <w:sz w:val="22"/>
          <w:szCs w:val="22"/>
          <w:lang w:val="lv-LV"/>
        </w:rPr>
        <w:t xml:space="preserve"> </w:t>
      </w:r>
      <w:r>
        <w:rPr>
          <w:sz w:val="22"/>
          <w:szCs w:val="22"/>
          <w:lang w:val="lv-LV"/>
        </w:rPr>
        <w:t xml:space="preserve">000); ļoti reti (&lt;1/10 000) un nav zināms (nevar noteikt pēc pieejamiem datiem). </w:t>
      </w:r>
    </w:p>
    <w:p w:rsidR="00597C2F" w:rsidRPr="0027724D" w:rsidRDefault="00597C2F" w:rsidP="00597C2F">
      <w:pPr>
        <w:jc w:val="both"/>
        <w:rPr>
          <w:szCs w:val="22"/>
          <w:lang w:val="lv-LV"/>
        </w:rPr>
      </w:pPr>
    </w:p>
    <w:p w:rsidR="00597C2F" w:rsidRPr="0027724D" w:rsidRDefault="00597C2F" w:rsidP="00597C2F">
      <w:pPr>
        <w:jc w:val="both"/>
        <w:rPr>
          <w:szCs w:val="22"/>
          <w:lang w:val="lv-LV"/>
        </w:rPr>
      </w:pPr>
      <w:r w:rsidRPr="0027724D">
        <w:rPr>
          <w:szCs w:val="22"/>
          <w:lang w:val="lv-LV"/>
        </w:rPr>
        <w:t>Iespējamās blakusparādības:</w:t>
      </w:r>
    </w:p>
    <w:p w:rsidR="00597C2F" w:rsidRPr="0027724D" w:rsidRDefault="00597C2F" w:rsidP="00597C2F">
      <w:pPr>
        <w:jc w:val="both"/>
        <w:rPr>
          <w:b/>
          <w:szCs w:val="22"/>
          <w:lang w:val="lv-LV"/>
        </w:rPr>
      </w:pPr>
    </w:p>
    <w:p w:rsidR="00597C2F" w:rsidRPr="0027724D" w:rsidRDefault="00597C2F" w:rsidP="00597C2F">
      <w:pPr>
        <w:jc w:val="both"/>
        <w:rPr>
          <w:szCs w:val="22"/>
          <w:u w:val="single"/>
          <w:lang w:val="lv-LV"/>
        </w:rPr>
      </w:pPr>
      <w:r w:rsidRPr="0027724D">
        <w:rPr>
          <w:szCs w:val="22"/>
          <w:u w:val="single"/>
          <w:lang w:val="lv-LV"/>
        </w:rPr>
        <w:t>Ādas un zemādas audu bojājumi</w:t>
      </w:r>
    </w:p>
    <w:p w:rsidR="00597C2F" w:rsidRPr="00A52326" w:rsidRDefault="00597C2F" w:rsidP="00597C2F">
      <w:pPr>
        <w:pStyle w:val="BodyText"/>
        <w:spacing w:before="120" w:after="0"/>
        <w:rPr>
          <w:i/>
          <w:szCs w:val="22"/>
          <w:lang w:val="lv-LV"/>
        </w:rPr>
      </w:pPr>
      <w:r w:rsidRPr="00A52326">
        <w:rPr>
          <w:i/>
          <w:szCs w:val="22"/>
          <w:lang w:val="lv-LV"/>
        </w:rPr>
        <w:t xml:space="preserve">Reti: </w:t>
      </w:r>
    </w:p>
    <w:p w:rsidR="00597C2F" w:rsidRPr="0027724D" w:rsidRDefault="00597C2F" w:rsidP="008246E2">
      <w:pPr>
        <w:pStyle w:val="ListParagraph"/>
        <w:numPr>
          <w:ilvl w:val="0"/>
          <w:numId w:val="16"/>
        </w:numPr>
        <w:jc w:val="both"/>
        <w:rPr>
          <w:szCs w:val="22"/>
          <w:lang w:val="lv-LV"/>
        </w:rPr>
      </w:pPr>
      <w:r w:rsidRPr="0027724D">
        <w:rPr>
          <w:szCs w:val="22"/>
          <w:lang w:val="lv-LV"/>
        </w:rPr>
        <w:t>Var novērot paaugstinātas jutības reakcijas uz ādas (alerģiska kontaktekzēma).</w:t>
      </w:r>
    </w:p>
    <w:p w:rsidR="00597C2F" w:rsidRPr="0027724D" w:rsidRDefault="00597C2F" w:rsidP="00597C2F">
      <w:pPr>
        <w:jc w:val="both"/>
        <w:rPr>
          <w:szCs w:val="22"/>
          <w:lang w:val="lv-LV"/>
        </w:rPr>
      </w:pPr>
    </w:p>
    <w:p w:rsidR="00597C2F" w:rsidRPr="00A52326" w:rsidRDefault="00597C2F" w:rsidP="00597C2F">
      <w:pPr>
        <w:jc w:val="both"/>
        <w:rPr>
          <w:i/>
          <w:szCs w:val="22"/>
          <w:lang w:val="lv-LV"/>
        </w:rPr>
      </w:pPr>
      <w:r w:rsidRPr="00A52326">
        <w:rPr>
          <w:i/>
          <w:szCs w:val="22"/>
          <w:lang w:val="lv-LV"/>
        </w:rPr>
        <w:t>Ļoti reti:</w:t>
      </w:r>
    </w:p>
    <w:p w:rsidR="00597C2F" w:rsidRPr="0027724D" w:rsidRDefault="00597C2F" w:rsidP="008246E2">
      <w:pPr>
        <w:pStyle w:val="ListParagraph"/>
        <w:numPr>
          <w:ilvl w:val="0"/>
          <w:numId w:val="16"/>
        </w:numPr>
        <w:jc w:val="both"/>
        <w:rPr>
          <w:szCs w:val="22"/>
          <w:lang w:val="lv-LV"/>
        </w:rPr>
      </w:pPr>
      <w:r w:rsidRPr="0027724D">
        <w:rPr>
          <w:szCs w:val="22"/>
          <w:lang w:val="lv-LV"/>
        </w:rPr>
        <w:t>Tāpat kā visiem kortikosteroīdus saturošiem preparātiem, var rasties ādas pārmaiņas (ādas biezuma mazināšanās, sīko asinsvadu paplašināšanās, striju veidošanās, steroīdaknes, periorāls dermatīts, pastiprināts ķermeņa apmatojums).</w:t>
      </w:r>
    </w:p>
    <w:p w:rsidR="00597C2F" w:rsidRPr="0027724D" w:rsidRDefault="00597C2F" w:rsidP="008246E2">
      <w:pPr>
        <w:pStyle w:val="ListParagraph"/>
        <w:numPr>
          <w:ilvl w:val="0"/>
          <w:numId w:val="16"/>
        </w:numPr>
        <w:jc w:val="both"/>
        <w:rPr>
          <w:szCs w:val="22"/>
          <w:lang w:val="lv-LV"/>
        </w:rPr>
      </w:pPr>
      <w:r w:rsidRPr="0027724D">
        <w:rPr>
          <w:szCs w:val="22"/>
          <w:lang w:val="lv-LV"/>
        </w:rPr>
        <w:t>Pārejošs ādas kairinājums (piemēram, dedzināšana, apsārtums).</w:t>
      </w:r>
    </w:p>
    <w:p w:rsidR="00597C2F" w:rsidRPr="0027724D" w:rsidRDefault="00597C2F" w:rsidP="00597C2F">
      <w:pPr>
        <w:jc w:val="both"/>
        <w:rPr>
          <w:szCs w:val="22"/>
          <w:lang w:val="lv-LV"/>
        </w:rPr>
      </w:pPr>
    </w:p>
    <w:p w:rsidR="00597C2F" w:rsidRPr="0027724D" w:rsidRDefault="00597C2F" w:rsidP="00597C2F">
      <w:pPr>
        <w:jc w:val="both"/>
        <w:rPr>
          <w:szCs w:val="22"/>
          <w:u w:val="single"/>
          <w:lang w:val="lv-LV"/>
        </w:rPr>
      </w:pPr>
      <w:r w:rsidRPr="0027724D">
        <w:rPr>
          <w:szCs w:val="22"/>
          <w:u w:val="single"/>
          <w:lang w:val="lv-LV"/>
        </w:rPr>
        <w:t>Acu bojājumi</w:t>
      </w:r>
    </w:p>
    <w:p w:rsidR="00597C2F" w:rsidRPr="00A52326" w:rsidRDefault="00597C2F" w:rsidP="00597C2F">
      <w:pPr>
        <w:spacing w:before="120"/>
        <w:jc w:val="both"/>
        <w:rPr>
          <w:i/>
          <w:szCs w:val="22"/>
          <w:lang w:val="lv-LV"/>
        </w:rPr>
      </w:pPr>
      <w:r w:rsidRPr="00A52326">
        <w:rPr>
          <w:i/>
          <w:szCs w:val="22"/>
          <w:lang w:val="lv-LV"/>
        </w:rPr>
        <w:t>Nav zināmi:</w:t>
      </w:r>
    </w:p>
    <w:p w:rsidR="00597C2F" w:rsidRPr="00A52326" w:rsidRDefault="00597C2F" w:rsidP="008246E2">
      <w:pPr>
        <w:pStyle w:val="ListParagraph"/>
        <w:numPr>
          <w:ilvl w:val="0"/>
          <w:numId w:val="16"/>
        </w:numPr>
        <w:jc w:val="both"/>
        <w:rPr>
          <w:szCs w:val="22"/>
          <w:lang w:val="lv-LV"/>
        </w:rPr>
      </w:pPr>
      <w:r w:rsidRPr="00A52326">
        <w:rPr>
          <w:szCs w:val="22"/>
          <w:lang w:val="lv-LV"/>
        </w:rPr>
        <w:t>Neskaidra redze (skatīt arī 4.4. apakšpunktu)</w:t>
      </w:r>
      <w:r>
        <w:rPr>
          <w:szCs w:val="22"/>
          <w:lang w:val="lv-LV"/>
        </w:rPr>
        <w:t>.</w:t>
      </w:r>
    </w:p>
    <w:p w:rsidR="00597C2F" w:rsidRDefault="00597C2F" w:rsidP="00597C2F">
      <w:pPr>
        <w:jc w:val="both"/>
        <w:rPr>
          <w:szCs w:val="22"/>
          <w:lang w:val="lv-LV"/>
        </w:rPr>
      </w:pPr>
    </w:p>
    <w:p w:rsidR="00597C2F" w:rsidRPr="0027724D" w:rsidRDefault="00597C2F" w:rsidP="00597C2F">
      <w:pPr>
        <w:jc w:val="both"/>
        <w:rPr>
          <w:szCs w:val="22"/>
          <w:lang w:val="lv-LV"/>
        </w:rPr>
      </w:pPr>
      <w:r w:rsidRPr="0027724D">
        <w:rPr>
          <w:szCs w:val="22"/>
          <w:lang w:val="lv-LV"/>
        </w:rPr>
        <w:t>Lietojot lielas devas ilgstoši (ilgāk par 2</w:t>
      </w:r>
      <w:r w:rsidR="00540CED">
        <w:rPr>
          <w:szCs w:val="22"/>
          <w:lang w:val="lv-LV"/>
        </w:rPr>
        <w:t>–</w:t>
      </w:r>
      <w:r w:rsidRPr="0027724D">
        <w:rPr>
          <w:szCs w:val="22"/>
          <w:lang w:val="lv-LV"/>
        </w:rPr>
        <w:t>3 nedēļām) vai lietojot lielos ādas laukumos (aplicējot uz visas galvas ādas), un arī neatbilstošas lietošanas gadījumā, jāņem vērā, ka glikokortikoīdiem iespējama vispārīga sistēmiska iedarbība.</w:t>
      </w:r>
    </w:p>
    <w:p w:rsidR="00597C2F" w:rsidRPr="0027724D" w:rsidRDefault="00597C2F" w:rsidP="00597C2F">
      <w:pPr>
        <w:jc w:val="both"/>
        <w:rPr>
          <w:szCs w:val="22"/>
          <w:lang w:val="lv-LV"/>
        </w:rPr>
      </w:pPr>
    </w:p>
    <w:p w:rsidR="003A5993" w:rsidRDefault="00597C2F" w:rsidP="003A5993">
      <w:pPr>
        <w:ind w:left="567" w:hanging="567"/>
      </w:pPr>
      <w:r w:rsidRPr="0027724D">
        <w:rPr>
          <w:szCs w:val="22"/>
          <w:u w:val="single"/>
          <w:lang w:val="lv-LV"/>
        </w:rPr>
        <w:t>Ziņošana par iespējamām nevēlamām blakusparādībām</w:t>
      </w:r>
      <w:r w:rsidRPr="0027724D">
        <w:rPr>
          <w:szCs w:val="22"/>
          <w:lang w:val="lv-LV"/>
        </w:rPr>
        <w:t xml:space="preserve">Ir svarīgi ziņot par iespējamām nevēlamām blakusparādībām pēc zāļu reģistrācijas. Tādējādizāļu ieguvumu/riska attiecība tiek nepārtraukti uzraudzīta. </w:t>
      </w:r>
      <w:r w:rsidR="003A5993" w:rsidRPr="005B742C">
        <w:t xml:space="preserve">Veselības aprūpes speciālisti tiek </w:t>
      </w:r>
    </w:p>
    <w:p w:rsidR="003A5993" w:rsidRDefault="003A5993" w:rsidP="003A5993">
      <w:pPr>
        <w:ind w:left="567" w:hanging="567"/>
      </w:pPr>
      <w:r w:rsidRPr="005B742C">
        <w:t xml:space="preserve">lūgti ziņot par jebkādām iespējamām nevēlamām blakusparādībām, izmantojot šādu </w:t>
      </w:r>
    </w:p>
    <w:p w:rsidR="003A5993" w:rsidRDefault="003A5993" w:rsidP="003A5993">
      <w:r w:rsidRPr="005B742C">
        <w:t xml:space="preserve">kontaktinformāciju: Zāļu valsts aģentūra, Jersikas iela 15, Rīga, LV 1003, tīmekļa vietne: </w:t>
      </w:r>
    </w:p>
    <w:p w:rsidR="003A5993" w:rsidRDefault="003F4004" w:rsidP="003A5993">
      <w:pPr>
        <w:ind w:left="567" w:hanging="567"/>
      </w:pPr>
      <w:hyperlink r:id="rId7" w:history="1">
        <w:r w:rsidR="003A5993" w:rsidRPr="005B742C">
          <w:rPr>
            <w:color w:val="0000FF"/>
            <w:u w:val="single"/>
          </w:rPr>
          <w:t>www.zva.gov.lv</w:t>
        </w:r>
      </w:hyperlink>
      <w:r w:rsidR="003A5993" w:rsidRPr="005B742C">
        <w:t>.</w:t>
      </w:r>
    </w:p>
    <w:p w:rsidR="00597C2F" w:rsidRPr="0027724D" w:rsidRDefault="00597C2F" w:rsidP="003A5993">
      <w:pPr>
        <w:spacing w:line="276" w:lineRule="auto"/>
        <w:ind w:right="-284"/>
        <w:rPr>
          <w:i/>
          <w:iCs/>
          <w:szCs w:val="22"/>
          <w:lang w:val="lv-LV"/>
        </w:rPr>
      </w:pPr>
    </w:p>
    <w:p w:rsidR="00597C2F" w:rsidRDefault="00597C2F" w:rsidP="00597C2F">
      <w:pPr>
        <w:numPr>
          <w:ilvl w:val="1"/>
          <w:numId w:val="17"/>
        </w:numPr>
        <w:ind w:left="567" w:hanging="567"/>
        <w:jc w:val="both"/>
        <w:rPr>
          <w:b/>
          <w:szCs w:val="22"/>
          <w:lang w:val="lv-LV"/>
        </w:rPr>
      </w:pPr>
      <w:r w:rsidRPr="0027724D">
        <w:rPr>
          <w:b/>
          <w:szCs w:val="22"/>
          <w:lang w:val="lv-LV"/>
        </w:rPr>
        <w:t>Pārdozēšana</w:t>
      </w:r>
    </w:p>
    <w:p w:rsidR="00597C2F" w:rsidRPr="0027724D" w:rsidRDefault="00597C2F" w:rsidP="00597C2F">
      <w:pPr>
        <w:ind w:left="567"/>
        <w:jc w:val="both"/>
        <w:rPr>
          <w:b/>
          <w:szCs w:val="22"/>
          <w:lang w:val="lv-LV"/>
        </w:rPr>
      </w:pPr>
    </w:p>
    <w:p w:rsidR="00597C2F" w:rsidRPr="0027724D" w:rsidRDefault="00597C2F" w:rsidP="00597C2F">
      <w:pPr>
        <w:jc w:val="both"/>
        <w:rPr>
          <w:szCs w:val="22"/>
          <w:lang w:val="lv-LV"/>
        </w:rPr>
      </w:pPr>
      <w:r w:rsidRPr="0027724D">
        <w:rPr>
          <w:szCs w:val="22"/>
          <w:lang w:val="lv-LV"/>
        </w:rPr>
        <w:t xml:space="preserve">Pēc </w:t>
      </w:r>
      <w:r w:rsidRPr="0027724D">
        <w:rPr>
          <w:bCs/>
          <w:szCs w:val="22"/>
          <w:lang w:val="lv-LV"/>
        </w:rPr>
        <w:t xml:space="preserve">Alpicort </w:t>
      </w:r>
      <w:r w:rsidRPr="0027724D">
        <w:rPr>
          <w:szCs w:val="22"/>
          <w:lang w:val="lv-LV"/>
        </w:rPr>
        <w:t xml:space="preserve">lokālas lietošanas intoksikācija līdz šim nav novērota. Ja pārskatīšanās dēļ tas lietots iekšķīgi, jāņem vērā, īpaši tas attiecas uz bērniem, ka </w:t>
      </w:r>
      <w:r w:rsidRPr="0027724D">
        <w:rPr>
          <w:bCs/>
          <w:szCs w:val="22"/>
          <w:lang w:val="lv-LV"/>
        </w:rPr>
        <w:t>Alpicort s</w:t>
      </w:r>
      <w:r w:rsidRPr="0027724D">
        <w:rPr>
          <w:szCs w:val="22"/>
          <w:lang w:val="lv-LV"/>
        </w:rPr>
        <w:t>atur izopropilspirtu.</w:t>
      </w:r>
    </w:p>
    <w:p w:rsidR="00597C2F" w:rsidRPr="0027724D" w:rsidRDefault="00597C2F" w:rsidP="00597C2F">
      <w:pPr>
        <w:tabs>
          <w:tab w:val="num" w:pos="567"/>
        </w:tabs>
        <w:ind w:left="567" w:hanging="567"/>
        <w:jc w:val="both"/>
        <w:rPr>
          <w:b/>
          <w:szCs w:val="22"/>
          <w:lang w:val="lv-LV"/>
        </w:rPr>
      </w:pPr>
    </w:p>
    <w:p w:rsidR="00597C2F" w:rsidRPr="0027724D" w:rsidRDefault="00597C2F" w:rsidP="00597C2F">
      <w:pPr>
        <w:tabs>
          <w:tab w:val="num" w:pos="567"/>
        </w:tabs>
        <w:ind w:left="567" w:hanging="567"/>
        <w:jc w:val="both"/>
        <w:rPr>
          <w:b/>
          <w:szCs w:val="22"/>
          <w:lang w:val="lv-LV"/>
        </w:rPr>
      </w:pPr>
    </w:p>
    <w:p w:rsidR="00597C2F" w:rsidRPr="0027724D" w:rsidRDefault="00597C2F" w:rsidP="00597C2F">
      <w:pPr>
        <w:numPr>
          <w:ilvl w:val="0"/>
          <w:numId w:val="17"/>
        </w:numPr>
        <w:ind w:left="567" w:hanging="567"/>
        <w:jc w:val="both"/>
        <w:rPr>
          <w:b/>
          <w:caps/>
          <w:szCs w:val="22"/>
          <w:lang w:val="lv-LV"/>
        </w:rPr>
      </w:pPr>
      <w:r w:rsidRPr="0027724D">
        <w:rPr>
          <w:b/>
          <w:caps/>
          <w:szCs w:val="22"/>
          <w:lang w:val="lv-LV"/>
        </w:rPr>
        <w:t>Farmakoloģiskās īpašības</w:t>
      </w:r>
    </w:p>
    <w:p w:rsidR="00597C2F" w:rsidRPr="0027724D" w:rsidRDefault="00597C2F" w:rsidP="00597C2F">
      <w:pPr>
        <w:tabs>
          <w:tab w:val="num" w:pos="567"/>
        </w:tabs>
        <w:ind w:left="567" w:hanging="567"/>
        <w:jc w:val="both"/>
        <w:rPr>
          <w:b/>
          <w:caps/>
          <w:szCs w:val="22"/>
          <w:lang w:val="lv-LV"/>
        </w:rPr>
      </w:pPr>
    </w:p>
    <w:p w:rsidR="00597C2F" w:rsidRDefault="00597C2F" w:rsidP="00597C2F">
      <w:pPr>
        <w:numPr>
          <w:ilvl w:val="1"/>
          <w:numId w:val="18"/>
        </w:numPr>
        <w:tabs>
          <w:tab w:val="clear" w:pos="780"/>
          <w:tab w:val="num" w:pos="567"/>
        </w:tabs>
        <w:ind w:hanging="780"/>
        <w:jc w:val="both"/>
        <w:rPr>
          <w:b/>
          <w:szCs w:val="22"/>
          <w:lang w:val="lv-LV"/>
        </w:rPr>
      </w:pPr>
      <w:r w:rsidRPr="0027724D">
        <w:rPr>
          <w:b/>
          <w:szCs w:val="22"/>
          <w:lang w:val="lv-LV"/>
        </w:rPr>
        <w:t>Farmakodinamiskās īpašības</w:t>
      </w:r>
    </w:p>
    <w:p w:rsidR="00597C2F" w:rsidRPr="0027724D" w:rsidRDefault="00597C2F" w:rsidP="00597C2F">
      <w:pPr>
        <w:ind w:left="780"/>
        <w:jc w:val="both"/>
        <w:rPr>
          <w:b/>
          <w:szCs w:val="22"/>
          <w:lang w:val="lv-LV"/>
        </w:rPr>
      </w:pPr>
    </w:p>
    <w:p w:rsidR="00597C2F" w:rsidRPr="0027724D" w:rsidRDefault="00597C2F" w:rsidP="00597C2F">
      <w:pPr>
        <w:jc w:val="both"/>
        <w:rPr>
          <w:szCs w:val="22"/>
          <w:lang w:val="lv-LV"/>
        </w:rPr>
      </w:pPr>
      <w:r w:rsidRPr="0027724D">
        <w:rPr>
          <w:szCs w:val="22"/>
          <w:lang w:val="lv-LV"/>
        </w:rPr>
        <w:t>Dermatoloģisks līdzeklis. Vājas darbības kortikosteroīdu citas kombinācijas. Prednizolons.</w:t>
      </w:r>
    </w:p>
    <w:p w:rsidR="00597C2F" w:rsidRPr="0027724D" w:rsidRDefault="00597C2F" w:rsidP="00597C2F">
      <w:pPr>
        <w:jc w:val="both"/>
        <w:rPr>
          <w:szCs w:val="22"/>
          <w:lang w:val="lv-LV"/>
        </w:rPr>
      </w:pPr>
      <w:r w:rsidRPr="0027724D">
        <w:rPr>
          <w:szCs w:val="22"/>
          <w:lang w:val="lv-LV"/>
        </w:rPr>
        <w:t>ATĶ kods: D07XA02.</w:t>
      </w:r>
    </w:p>
    <w:p w:rsidR="00597C2F" w:rsidRPr="0027724D" w:rsidRDefault="00597C2F" w:rsidP="00597C2F">
      <w:pPr>
        <w:jc w:val="both"/>
        <w:rPr>
          <w:szCs w:val="22"/>
          <w:lang w:val="lv-LV"/>
        </w:rPr>
      </w:pPr>
    </w:p>
    <w:p w:rsidR="00597C2F" w:rsidRPr="0027724D" w:rsidRDefault="00597C2F" w:rsidP="00597C2F">
      <w:pPr>
        <w:jc w:val="both"/>
        <w:rPr>
          <w:szCs w:val="22"/>
          <w:lang w:val="lv-LV"/>
        </w:rPr>
      </w:pPr>
      <w:r w:rsidRPr="0027724D">
        <w:rPr>
          <w:szCs w:val="22"/>
          <w:lang w:val="lv-LV"/>
        </w:rPr>
        <w:t>Zāles satur glikokortikoīdu un keratolītisku līdzekli.</w:t>
      </w:r>
    </w:p>
    <w:p w:rsidR="00597C2F" w:rsidRPr="0027724D" w:rsidRDefault="00597C2F" w:rsidP="00597C2F">
      <w:pPr>
        <w:jc w:val="both"/>
        <w:rPr>
          <w:szCs w:val="22"/>
          <w:lang w:val="lv-LV"/>
        </w:rPr>
      </w:pPr>
      <w:r w:rsidRPr="0027724D">
        <w:rPr>
          <w:szCs w:val="22"/>
          <w:lang w:val="lv-LV"/>
        </w:rPr>
        <w:t xml:space="preserve">Prednizolons ir kortikosteroīds, kam piemīt vāji izteikta lokālā iedarbība, un tas ir īpaši piemērots, lai ārstētu dermatozes ar iekaisumu, kad nav hiperproliferatīvu parādību. </w:t>
      </w:r>
    </w:p>
    <w:p w:rsidR="00597C2F" w:rsidRPr="0027724D" w:rsidRDefault="00597C2F" w:rsidP="00597C2F">
      <w:pPr>
        <w:jc w:val="both"/>
        <w:rPr>
          <w:szCs w:val="22"/>
          <w:lang w:val="lv-LV"/>
        </w:rPr>
      </w:pPr>
      <w:r w:rsidRPr="0027724D">
        <w:rPr>
          <w:szCs w:val="22"/>
          <w:lang w:val="lv-LV"/>
        </w:rPr>
        <w:t xml:space="preserve">Salicilskābei, lietojot to lokāli uz ādas, ir keratolītiska un pretiekaisuma darbība un arī vāja </w:t>
      </w:r>
      <w:r w:rsidRPr="0027724D">
        <w:rPr>
          <w:bCs/>
          <w:szCs w:val="22"/>
          <w:lang w:val="lv-LV"/>
        </w:rPr>
        <w:t>pretmikrobu</w:t>
      </w:r>
      <w:r w:rsidRPr="0027724D">
        <w:rPr>
          <w:szCs w:val="22"/>
          <w:lang w:val="lv-LV"/>
        </w:rPr>
        <w:t xml:space="preserve"> iedarbība pret grampozitīvām un gramnegatīvām baktērijām, patogēnām sēnītēm, dermatofītiem un pelējuma sēnītēm. Keratolītiskā iedarbība ir saistīta ar tiešu ietekmi uz intracelulāru šūnas ragvielas substanci vai desmosomām, kas veicina pārragošanās procesu.</w:t>
      </w:r>
    </w:p>
    <w:p w:rsidR="00597C2F" w:rsidRPr="0027724D" w:rsidRDefault="00597C2F" w:rsidP="00597C2F">
      <w:pPr>
        <w:jc w:val="both"/>
        <w:rPr>
          <w:szCs w:val="22"/>
          <w:lang w:val="lv-LV"/>
        </w:rPr>
      </w:pPr>
    </w:p>
    <w:p w:rsidR="00597C2F" w:rsidRPr="0027724D" w:rsidRDefault="00597C2F" w:rsidP="00597C2F">
      <w:pPr>
        <w:numPr>
          <w:ilvl w:val="1"/>
          <w:numId w:val="18"/>
        </w:numPr>
        <w:ind w:left="567" w:hanging="567"/>
        <w:jc w:val="both"/>
        <w:rPr>
          <w:bCs/>
          <w:szCs w:val="22"/>
          <w:lang w:val="lv-LV"/>
        </w:rPr>
      </w:pPr>
      <w:r w:rsidRPr="0027724D">
        <w:rPr>
          <w:b/>
          <w:szCs w:val="22"/>
          <w:lang w:val="lv-LV"/>
        </w:rPr>
        <w:t>Farmakokinētiskās īpašības</w:t>
      </w:r>
    </w:p>
    <w:p w:rsidR="00597C2F" w:rsidRPr="0027724D" w:rsidRDefault="00597C2F" w:rsidP="00597C2F">
      <w:pPr>
        <w:jc w:val="both"/>
        <w:rPr>
          <w:b/>
          <w:szCs w:val="22"/>
          <w:lang w:val="lv-LV"/>
        </w:rPr>
      </w:pPr>
    </w:p>
    <w:p w:rsidR="00597C2F" w:rsidRPr="0027724D" w:rsidRDefault="00597C2F" w:rsidP="00597C2F">
      <w:pPr>
        <w:textAlignment w:val="top"/>
        <w:rPr>
          <w:szCs w:val="22"/>
          <w:lang w:val="lv-LV"/>
        </w:rPr>
      </w:pPr>
      <w:r w:rsidRPr="009F5B45">
        <w:rPr>
          <w:szCs w:val="22"/>
          <w:u w:val="single"/>
          <w:lang w:val="lv-LV"/>
        </w:rPr>
        <w:t>Uzsūkšanās</w:t>
      </w:r>
      <w:r w:rsidRPr="009F5B45">
        <w:rPr>
          <w:szCs w:val="22"/>
          <w:lang w:val="lv-LV"/>
        </w:rPr>
        <w:br/>
        <w:t>Tiek uzskatīts, ka prednizolona absorbcija un uzsūkšanās ir līdzīga kā citiem kortikosteroīdiem, to lietojot ārīgi. Absorbcija ievērojami augstāka ir skalpā, uz vēdera un apakšdelma. Penetrācija oklūzijas gadījumā var pieaugt par 10</w:t>
      </w:r>
      <w:r w:rsidR="00540CED">
        <w:rPr>
          <w:szCs w:val="22"/>
          <w:lang w:val="lv-LV"/>
        </w:rPr>
        <w:t xml:space="preserve"> </w:t>
      </w:r>
      <w:r w:rsidRPr="009F5B45">
        <w:rPr>
          <w:szCs w:val="22"/>
          <w:lang w:val="lv-LV"/>
        </w:rPr>
        <w:t>%.</w:t>
      </w:r>
      <w:r w:rsidRPr="009F5B45">
        <w:rPr>
          <w:szCs w:val="22"/>
          <w:lang w:val="lv-LV"/>
        </w:rPr>
        <w:br/>
        <w:t>Farmakokinētikas pētījumi ar dzīvniekiem un cilvēkiem liecina, ka salicilskābe uzsūcas ātri, atkarībā no virsmas un citiem faktoriem, kas ietekmē absorbciju (piemēram, ādas stāvoklis). Absorbcija caur ādu ir ātrāka pie psoriātiskas eritrodermijas un dermatozes, kas ir saistīts ar ādas izmaiņām (iekaisumu un eroziju). Salicilskābe sekmē prednizolona uzsūkšanos caur ādu, iespaidojot prednizolona resorbciju.</w:t>
      </w:r>
      <w:r w:rsidRPr="009F5B45">
        <w:rPr>
          <w:szCs w:val="22"/>
          <w:lang w:val="lv-LV"/>
        </w:rPr>
        <w:br/>
      </w:r>
      <w:r w:rsidRPr="009F5B45">
        <w:rPr>
          <w:szCs w:val="22"/>
          <w:lang w:val="lv-LV"/>
        </w:rPr>
        <w:br/>
      </w:r>
      <w:r w:rsidRPr="009F5B45">
        <w:rPr>
          <w:szCs w:val="22"/>
          <w:u w:val="single"/>
          <w:lang w:val="lv-LV"/>
        </w:rPr>
        <w:t>Izkliede</w:t>
      </w:r>
      <w:r w:rsidRPr="009F5B45">
        <w:rPr>
          <w:szCs w:val="22"/>
          <w:lang w:val="lv-LV"/>
        </w:rPr>
        <w:br/>
        <w:t xml:space="preserve">Prednizolonam piemīt augstas plazmas proteīnu saistīšanas spējas, galvenokārt ar </w:t>
      </w:r>
      <w:r w:rsidRPr="009F5B45">
        <w:rPr>
          <w:szCs w:val="22"/>
        </w:rPr>
        <w:sym w:font="Symbol" w:char="F061"/>
      </w:r>
      <w:r w:rsidRPr="009F5B45">
        <w:rPr>
          <w:szCs w:val="22"/>
          <w:lang w:val="lv-LV"/>
        </w:rPr>
        <w:t>2globulīnu (transkortīnu) un albumīnu. Eliminācijas pusperiods prednizolonam ir 2</w:t>
      </w:r>
      <w:r w:rsidR="00540CED">
        <w:rPr>
          <w:szCs w:val="22"/>
          <w:lang w:val="lv-LV"/>
        </w:rPr>
        <w:t>–</w:t>
      </w:r>
      <w:r w:rsidRPr="009F5B45">
        <w:rPr>
          <w:szCs w:val="22"/>
          <w:lang w:val="lv-LV"/>
        </w:rPr>
        <w:t>4 stundas, un bioloģiskais pusperiods ir 12</w:t>
      </w:r>
      <w:r w:rsidR="00540CED">
        <w:rPr>
          <w:szCs w:val="22"/>
          <w:lang w:val="lv-LV"/>
        </w:rPr>
        <w:t>–</w:t>
      </w:r>
      <w:r w:rsidRPr="009F5B45">
        <w:rPr>
          <w:szCs w:val="22"/>
          <w:lang w:val="lv-LV"/>
        </w:rPr>
        <w:t>36 stundas, jo ar citozolola receptoru kompleksu saistītais steroīds šūnā saglabājas ilgāk. Prednizolons šķērso hematoencefālisko-barjeru, sasniedzot vienu desmito daļu no plazmas koncentrācijas. Zāles šķērso placentu un ir konstatējamas mātes pienā.</w:t>
      </w:r>
      <w:r w:rsidRPr="009F5B45">
        <w:rPr>
          <w:szCs w:val="22"/>
          <w:lang w:val="lv-LV"/>
        </w:rPr>
        <w:br/>
        <w:t>Salicilāti strauji izplatās ārpusšūnu šķidrumā un lielākajā daļā ķermeņa audos, saglabājoties augstā koncentrācijā aknās un nierēs. Salicilāti viegli šķērso placentu un nokļūst augļa serumā, kur to koncentrācija var pārsniegt koncentrāciju mātes serumā.</w:t>
      </w:r>
      <w:r w:rsidRPr="009F5B45">
        <w:rPr>
          <w:szCs w:val="22"/>
          <w:lang w:val="lv-LV"/>
        </w:rPr>
        <w:br/>
      </w:r>
      <w:r w:rsidRPr="009F5B45">
        <w:rPr>
          <w:szCs w:val="22"/>
          <w:lang w:val="lv-LV"/>
        </w:rPr>
        <w:br/>
      </w:r>
      <w:r w:rsidRPr="009F5B45">
        <w:rPr>
          <w:szCs w:val="22"/>
          <w:u w:val="single"/>
          <w:lang w:val="lv-LV"/>
        </w:rPr>
        <w:t>Biotransformācija</w:t>
      </w:r>
      <w:r w:rsidRPr="009F5B45">
        <w:rPr>
          <w:szCs w:val="22"/>
          <w:lang w:val="lv-LV"/>
        </w:rPr>
        <w:br/>
        <w:t>Prednizolons tiek metabolizēts aknās līdz bioloģiski neaktīviem savienojumiem.</w:t>
      </w:r>
      <w:r w:rsidRPr="009F5B45">
        <w:rPr>
          <w:szCs w:val="22"/>
          <w:lang w:val="lv-LV"/>
        </w:rPr>
        <w:br/>
        <w:t>Salicilskābe tiek metabolizēta aknās par salicilurīnskābi, glikuronīdiem, gentizīnskābi un dihidroksibenzoskābi. Tās sabrukšanas pusperiods ir 2</w:t>
      </w:r>
      <w:r w:rsidR="00540CED">
        <w:rPr>
          <w:szCs w:val="22"/>
          <w:lang w:val="lv-LV"/>
        </w:rPr>
        <w:t>–</w:t>
      </w:r>
      <w:r w:rsidRPr="009F5B45">
        <w:rPr>
          <w:szCs w:val="22"/>
          <w:lang w:val="lv-LV"/>
        </w:rPr>
        <w:t>3 stundas.</w:t>
      </w:r>
      <w:r w:rsidRPr="009F5B45">
        <w:rPr>
          <w:szCs w:val="22"/>
          <w:lang w:val="lv-LV"/>
        </w:rPr>
        <w:br/>
      </w:r>
      <w:r w:rsidRPr="009F5B45">
        <w:rPr>
          <w:szCs w:val="22"/>
          <w:lang w:val="lv-LV"/>
        </w:rPr>
        <w:br/>
      </w:r>
      <w:r w:rsidRPr="009F5B45">
        <w:rPr>
          <w:szCs w:val="22"/>
          <w:u w:val="single"/>
          <w:lang w:val="lv-LV"/>
        </w:rPr>
        <w:t>Eliminācija</w:t>
      </w:r>
      <w:r w:rsidRPr="009F5B45">
        <w:rPr>
          <w:szCs w:val="22"/>
          <w:lang w:val="lv-LV"/>
        </w:rPr>
        <w:br/>
        <w:t>Pēc metaboliskiem procesiem prednizolons un salicilskābe galvenokārt izdalās caur nierēm.</w:t>
      </w:r>
    </w:p>
    <w:p w:rsidR="00597C2F" w:rsidRPr="0027724D" w:rsidRDefault="00597C2F" w:rsidP="00597C2F">
      <w:pPr>
        <w:jc w:val="both"/>
        <w:rPr>
          <w:bCs/>
          <w:szCs w:val="22"/>
          <w:lang w:val="lv-LV"/>
        </w:rPr>
      </w:pPr>
    </w:p>
    <w:p w:rsidR="00597C2F" w:rsidRPr="0027724D" w:rsidRDefault="00597C2F" w:rsidP="00597C2F">
      <w:pPr>
        <w:numPr>
          <w:ilvl w:val="1"/>
          <w:numId w:val="18"/>
        </w:numPr>
        <w:ind w:left="567" w:hanging="567"/>
        <w:jc w:val="both"/>
        <w:rPr>
          <w:b/>
          <w:szCs w:val="22"/>
          <w:lang w:val="lv-LV"/>
        </w:rPr>
      </w:pPr>
      <w:r w:rsidRPr="0027724D">
        <w:rPr>
          <w:b/>
          <w:szCs w:val="22"/>
          <w:lang w:val="lv-LV"/>
        </w:rPr>
        <w:t>Preklīniskie dati par drošumu</w:t>
      </w:r>
    </w:p>
    <w:p w:rsidR="00597C2F" w:rsidRPr="0027724D" w:rsidRDefault="00597C2F" w:rsidP="00597C2F">
      <w:pPr>
        <w:jc w:val="both"/>
        <w:rPr>
          <w:b/>
          <w:szCs w:val="22"/>
          <w:lang w:val="lv-LV"/>
        </w:rPr>
      </w:pPr>
    </w:p>
    <w:p w:rsidR="00597C2F" w:rsidRPr="0027724D" w:rsidRDefault="00597C2F" w:rsidP="00597C2F">
      <w:pPr>
        <w:textAlignment w:val="top"/>
        <w:rPr>
          <w:b/>
          <w:szCs w:val="22"/>
          <w:lang w:val="lv-LV"/>
        </w:rPr>
      </w:pPr>
      <w:r w:rsidRPr="0027724D">
        <w:rPr>
          <w:b/>
          <w:szCs w:val="22"/>
          <w:lang w:val="lv-LV"/>
        </w:rPr>
        <w:t>Akūtā toksicitāte</w:t>
      </w:r>
      <w:r w:rsidRPr="0027724D">
        <w:rPr>
          <w:b/>
          <w:szCs w:val="22"/>
          <w:lang w:val="lv-LV"/>
        </w:rPr>
        <w:br/>
      </w:r>
      <w:r w:rsidRPr="0027724D">
        <w:rPr>
          <w:szCs w:val="22"/>
          <w:lang w:val="lv-LV"/>
        </w:rPr>
        <w:t>Pirmsklīniskie prednizolona pētījumi neliecina par īpašu risku cilvēkam.</w:t>
      </w:r>
      <w:r w:rsidRPr="0027724D">
        <w:rPr>
          <w:szCs w:val="22"/>
          <w:lang w:val="lv-LV"/>
        </w:rPr>
        <w:br/>
        <w:t>Lokāli lietojot salicilskābi, retos gadījumos ziņots par toksicitāti. Iespējamā toksicitāte atkarīga no attiecīgās farmaceitiskās formas un salicilskābes daudzuma, platības, kas tiek apstrādāta ar salicilskābi, apstrādes veida un lietošanas biežuma, kā arī ādas stāvokļa. Agrīnie salicilāta saindēšanās simptomi parādās tikai tad, kad koncentrācija asins seruma pārsniedz 30 mg/dl. Ja zāles lieto kā paredzēts, seruma koncentrācija parasti nepārsniedz 5 mg/dl. Lietojot līdzekli, kas satur vairāk nekā 5% salicilskābes, var izraisīt vietēju kairinājumu ādai.</w:t>
      </w:r>
      <w:r w:rsidRPr="0027724D">
        <w:rPr>
          <w:szCs w:val="22"/>
          <w:lang w:val="lv-LV"/>
        </w:rPr>
        <w:br/>
      </w:r>
      <w:r w:rsidRPr="0027724D">
        <w:rPr>
          <w:szCs w:val="22"/>
          <w:lang w:val="lv-LV"/>
        </w:rPr>
        <w:br/>
      </w:r>
      <w:r w:rsidRPr="0027724D">
        <w:rPr>
          <w:b/>
          <w:szCs w:val="22"/>
          <w:lang w:val="lv-LV"/>
        </w:rPr>
        <w:t>Subakūtā/hroniskā toksicitāte</w:t>
      </w:r>
    </w:p>
    <w:p w:rsidR="00597C2F" w:rsidRPr="009F5B45" w:rsidRDefault="00597C2F" w:rsidP="00597C2F">
      <w:pPr>
        <w:rPr>
          <w:szCs w:val="22"/>
          <w:lang w:val="lv-LV"/>
        </w:rPr>
      </w:pPr>
      <w:r w:rsidRPr="009F5B45">
        <w:rPr>
          <w:szCs w:val="22"/>
          <w:lang w:val="lv-LV"/>
        </w:rPr>
        <w:t>Žurkām, lietojot ārīgi devu 33 mg/kg ķermeņa masas 7</w:t>
      </w:r>
      <w:r w:rsidR="00540CED">
        <w:rPr>
          <w:szCs w:val="22"/>
          <w:lang w:val="lv-LV"/>
        </w:rPr>
        <w:t>–</w:t>
      </w:r>
      <w:r w:rsidRPr="009F5B45">
        <w:rPr>
          <w:szCs w:val="22"/>
          <w:lang w:val="lv-LV"/>
        </w:rPr>
        <w:t>14 dienas, gaismas un elektron- mikroskopā tika konstatētas histoliģiskas izmaiņas aizkuņģa dziedzera Langerhansa saliņās.</w:t>
      </w:r>
    </w:p>
    <w:p w:rsidR="00597C2F" w:rsidRPr="009F5B45" w:rsidRDefault="00597C2F" w:rsidP="00597C2F">
      <w:pPr>
        <w:textAlignment w:val="top"/>
        <w:rPr>
          <w:szCs w:val="22"/>
          <w:lang w:val="lv-LV"/>
        </w:rPr>
      </w:pPr>
      <w:r w:rsidRPr="009F5B45">
        <w:rPr>
          <w:szCs w:val="22"/>
          <w:lang w:val="lv-LV"/>
        </w:rPr>
        <w:t>Trušiem, lietojot ārīgi devu 2</w:t>
      </w:r>
      <w:r w:rsidR="00540CED">
        <w:rPr>
          <w:szCs w:val="22"/>
          <w:lang w:val="lv-LV"/>
        </w:rPr>
        <w:t>–</w:t>
      </w:r>
      <w:r w:rsidRPr="009F5B45">
        <w:rPr>
          <w:szCs w:val="22"/>
          <w:lang w:val="lv-LV"/>
        </w:rPr>
        <w:t>3 mg/kg ķermeņa masas 2</w:t>
      </w:r>
      <w:r w:rsidR="00540CED">
        <w:rPr>
          <w:szCs w:val="22"/>
          <w:lang w:val="lv-LV"/>
        </w:rPr>
        <w:t>–</w:t>
      </w:r>
      <w:r w:rsidRPr="009F5B45">
        <w:rPr>
          <w:szCs w:val="22"/>
          <w:lang w:val="lv-LV"/>
        </w:rPr>
        <w:t>4 nedēļas, tika konstatēti aknu bojājumi.</w:t>
      </w:r>
    </w:p>
    <w:p w:rsidR="00597C2F" w:rsidRPr="009F5B45" w:rsidRDefault="00597C2F" w:rsidP="00597C2F">
      <w:pPr>
        <w:textAlignment w:val="top"/>
        <w:rPr>
          <w:szCs w:val="22"/>
          <w:lang w:val="lv-LV"/>
        </w:rPr>
      </w:pPr>
      <w:r w:rsidRPr="009F5B45">
        <w:rPr>
          <w:szCs w:val="22"/>
          <w:lang w:val="lv-LV"/>
        </w:rPr>
        <w:t xml:space="preserve"> Nav datu par histotoksisku iedarbību, piemēram, jūrascūciņām un suņiem, lietojot ārīgi devu 0,5</w:t>
      </w:r>
      <w:r w:rsidR="00540CED">
        <w:rPr>
          <w:szCs w:val="22"/>
          <w:lang w:val="lv-LV"/>
        </w:rPr>
        <w:t>–</w:t>
      </w:r>
      <w:r w:rsidRPr="009F5B45">
        <w:rPr>
          <w:szCs w:val="22"/>
          <w:lang w:val="lv-LV"/>
        </w:rPr>
        <w:t>5 mg/kg un 4 mg/kg ķermeņa masas vairākas nedēļas, tika konstatēta muskuļu nekroze.</w:t>
      </w:r>
    </w:p>
    <w:p w:rsidR="00597C2F" w:rsidRPr="009F5B45" w:rsidRDefault="00597C2F" w:rsidP="00597C2F">
      <w:pPr>
        <w:textAlignment w:val="top"/>
        <w:rPr>
          <w:b/>
          <w:szCs w:val="22"/>
          <w:lang w:val="lv-LV"/>
        </w:rPr>
      </w:pPr>
      <w:r w:rsidRPr="009F5B45">
        <w:rPr>
          <w:szCs w:val="22"/>
          <w:lang w:val="lv-LV"/>
        </w:rPr>
        <w:t>Nav pieejami dati par salicilskābes ilgtermiņa lietošanu dzīvniekiem epikutāni. (skat „Akūtā toksicitāte”).</w:t>
      </w:r>
      <w:r w:rsidRPr="009F5B45">
        <w:rPr>
          <w:szCs w:val="22"/>
          <w:lang w:val="lv-LV"/>
        </w:rPr>
        <w:br/>
      </w:r>
      <w:r w:rsidRPr="009F5B45">
        <w:rPr>
          <w:szCs w:val="22"/>
          <w:lang w:val="lv-LV"/>
        </w:rPr>
        <w:br/>
      </w:r>
      <w:r w:rsidRPr="009F5B45">
        <w:rPr>
          <w:b/>
          <w:szCs w:val="22"/>
          <w:lang w:val="lv-LV"/>
        </w:rPr>
        <w:t>Mutagenitāte un kancerogenitāte</w:t>
      </w:r>
    </w:p>
    <w:p w:rsidR="00597C2F" w:rsidRPr="009F5B45" w:rsidRDefault="00597C2F" w:rsidP="00597C2F">
      <w:pPr>
        <w:textAlignment w:val="top"/>
        <w:rPr>
          <w:szCs w:val="22"/>
          <w:lang w:val="lv-LV"/>
        </w:rPr>
      </w:pPr>
      <w:r w:rsidRPr="009F5B45">
        <w:rPr>
          <w:szCs w:val="22"/>
          <w:lang w:val="lv-LV"/>
        </w:rPr>
        <w:t>Salicilskābes un prednizolona pētījumi neliecina par ģenētiskās toksicitātes klīniski nozīmīgu apdraudējumu.</w:t>
      </w:r>
      <w:r w:rsidRPr="009F5B45">
        <w:rPr>
          <w:szCs w:val="22"/>
          <w:lang w:val="lv-LV"/>
        </w:rPr>
        <w:br/>
      </w:r>
      <w:r w:rsidRPr="009F5B45">
        <w:rPr>
          <w:szCs w:val="22"/>
          <w:lang w:val="lv-LV"/>
        </w:rPr>
        <w:br/>
      </w:r>
      <w:r w:rsidRPr="009F5B45">
        <w:rPr>
          <w:b/>
          <w:szCs w:val="22"/>
          <w:lang w:val="lv-LV"/>
        </w:rPr>
        <w:t>Reproduktīvā toksicitāte</w:t>
      </w:r>
      <w:r w:rsidRPr="009F5B45">
        <w:rPr>
          <w:b/>
          <w:szCs w:val="22"/>
          <w:lang w:val="lv-LV"/>
        </w:rPr>
        <w:br/>
      </w:r>
      <w:r w:rsidRPr="009F5B45">
        <w:rPr>
          <w:szCs w:val="22"/>
          <w:lang w:val="lv-LV"/>
        </w:rPr>
        <w:t>Eksperimenti ar pelēm, žurkām un trušiem pierādīja, ka prednizolons var izraisīt aukslēju šķeltni. Pēc parenterālās ievadīšanas žurkām tika konstatētas mazas galvaskausa anomālijas, žokļu un mēles patoloģijas. Ir pieejami dati par augļa attīstības traucējumiem dzemdē (skatīt arī 4.6. apakšpunktu).</w:t>
      </w:r>
    </w:p>
    <w:p w:rsidR="00597C2F" w:rsidRPr="0027724D" w:rsidRDefault="00597C2F" w:rsidP="00597C2F">
      <w:pPr>
        <w:textAlignment w:val="top"/>
        <w:rPr>
          <w:szCs w:val="22"/>
          <w:lang w:val="lv-LV"/>
        </w:rPr>
      </w:pPr>
      <w:r w:rsidRPr="009F5B45">
        <w:rPr>
          <w:szCs w:val="22"/>
          <w:lang w:val="lv-LV"/>
        </w:rPr>
        <w:t>Ir pierādīts, ka ilgstoša prednizolona lietošana lielās devās (30 mg/dienā vismaz 4 nedēļas) var izraisīt spermatoģenēzes  traucējumus. Pārtraucot produkta lietošanu, spermatoģenēzes traucējumi turpinājās vairākas nedēļas.</w:t>
      </w:r>
      <w:r w:rsidRPr="009F5B45">
        <w:rPr>
          <w:szCs w:val="22"/>
          <w:lang w:val="lv-LV"/>
        </w:rPr>
        <w:br/>
        <w:t>Pētījumi ar dzīvniekiem pierāda, ka, lietojot iekšķīgi lielās devās, salicilskābei ir teratogēna iedarbība. Parenterāli ievadot zāles, novēroja implantācijas defektu embrijiem un fetotoksisku ietekmi (zemāks augļa svars dzimšanas brīdī), kā arī traucējumus mācīšanās procesā pēcnācējiem. Ja salicilskābi lieto ārīgi, par šādām reakcijām nav ziņojumu, ja seruma koncentrācija nepārsniedz toksisko (skatīt „Akūtā toksicitāte”).</w:t>
      </w:r>
    </w:p>
    <w:p w:rsidR="00597C2F" w:rsidRPr="0027724D" w:rsidRDefault="00597C2F" w:rsidP="00597C2F">
      <w:pPr>
        <w:jc w:val="both"/>
        <w:rPr>
          <w:b/>
          <w:szCs w:val="22"/>
          <w:lang w:val="lv-LV"/>
        </w:rPr>
      </w:pPr>
    </w:p>
    <w:p w:rsidR="00597C2F" w:rsidRPr="0027724D" w:rsidRDefault="00597C2F" w:rsidP="00597C2F">
      <w:pPr>
        <w:jc w:val="both"/>
        <w:rPr>
          <w:b/>
          <w:szCs w:val="22"/>
          <w:lang w:val="lv-LV"/>
        </w:rPr>
      </w:pPr>
    </w:p>
    <w:p w:rsidR="00597C2F" w:rsidRPr="0027724D" w:rsidRDefault="00597C2F" w:rsidP="00597C2F">
      <w:pPr>
        <w:numPr>
          <w:ilvl w:val="0"/>
          <w:numId w:val="18"/>
        </w:numPr>
        <w:ind w:left="567" w:hanging="567"/>
        <w:jc w:val="both"/>
        <w:rPr>
          <w:b/>
          <w:caps/>
          <w:szCs w:val="22"/>
          <w:lang w:val="lv-LV"/>
        </w:rPr>
      </w:pPr>
      <w:r w:rsidRPr="0027724D">
        <w:rPr>
          <w:b/>
          <w:caps/>
          <w:szCs w:val="22"/>
          <w:lang w:val="lv-LV"/>
        </w:rPr>
        <w:t>FarmaceitiskĀ INFORMĀCIJA</w:t>
      </w:r>
    </w:p>
    <w:p w:rsidR="00597C2F" w:rsidRPr="0027724D" w:rsidRDefault="00597C2F" w:rsidP="00597C2F">
      <w:pPr>
        <w:ind w:left="567" w:hanging="567"/>
        <w:jc w:val="both"/>
        <w:rPr>
          <w:b/>
          <w:caps/>
          <w:szCs w:val="22"/>
          <w:lang w:val="lv-LV"/>
        </w:rPr>
      </w:pPr>
    </w:p>
    <w:p w:rsidR="00597C2F" w:rsidRDefault="00597C2F" w:rsidP="00597C2F">
      <w:pPr>
        <w:numPr>
          <w:ilvl w:val="1"/>
          <w:numId w:val="18"/>
        </w:numPr>
        <w:ind w:left="567" w:hanging="567"/>
        <w:jc w:val="both"/>
        <w:rPr>
          <w:b/>
          <w:szCs w:val="22"/>
          <w:lang w:val="lv-LV"/>
        </w:rPr>
      </w:pPr>
      <w:r w:rsidRPr="0027724D">
        <w:rPr>
          <w:b/>
          <w:szCs w:val="22"/>
          <w:lang w:val="lv-LV"/>
        </w:rPr>
        <w:t>Palīgvielu saraksts</w:t>
      </w:r>
    </w:p>
    <w:p w:rsidR="00540CED" w:rsidRPr="0027724D" w:rsidRDefault="00540CED" w:rsidP="008246E2">
      <w:pPr>
        <w:ind w:left="567"/>
        <w:jc w:val="both"/>
        <w:rPr>
          <w:b/>
          <w:szCs w:val="22"/>
          <w:lang w:val="lv-LV"/>
        </w:rPr>
      </w:pPr>
    </w:p>
    <w:p w:rsidR="00597C2F" w:rsidRPr="0027724D" w:rsidRDefault="00597C2F" w:rsidP="00597C2F">
      <w:pPr>
        <w:ind w:left="567" w:hanging="567"/>
        <w:rPr>
          <w:szCs w:val="22"/>
          <w:lang w:val="lv-LV"/>
        </w:rPr>
      </w:pPr>
      <w:r w:rsidRPr="0027724D">
        <w:rPr>
          <w:szCs w:val="22"/>
          <w:lang w:val="lv-LV"/>
        </w:rPr>
        <w:t>Izopropilspirts, propilēnglikols, arginīns, attīrīts ūdens.</w:t>
      </w:r>
    </w:p>
    <w:p w:rsidR="00597C2F" w:rsidRPr="0027724D" w:rsidRDefault="00597C2F" w:rsidP="00597C2F">
      <w:pPr>
        <w:ind w:left="567" w:hanging="567"/>
        <w:jc w:val="both"/>
        <w:rPr>
          <w:b/>
          <w:szCs w:val="22"/>
          <w:lang w:val="lv-LV"/>
        </w:rPr>
      </w:pPr>
    </w:p>
    <w:p w:rsidR="00597C2F" w:rsidRPr="0027724D" w:rsidRDefault="00597C2F" w:rsidP="00597C2F">
      <w:pPr>
        <w:numPr>
          <w:ilvl w:val="1"/>
          <w:numId w:val="18"/>
        </w:numPr>
        <w:ind w:left="567" w:hanging="567"/>
        <w:jc w:val="both"/>
        <w:rPr>
          <w:b/>
          <w:szCs w:val="22"/>
          <w:lang w:val="lv-LV"/>
        </w:rPr>
      </w:pPr>
      <w:r w:rsidRPr="0027724D">
        <w:rPr>
          <w:b/>
          <w:szCs w:val="22"/>
          <w:lang w:val="lv-LV"/>
        </w:rPr>
        <w:t>Nesaderība</w:t>
      </w:r>
    </w:p>
    <w:p w:rsidR="00597C2F" w:rsidRPr="0027724D" w:rsidRDefault="00597C2F" w:rsidP="00597C2F">
      <w:pPr>
        <w:jc w:val="both"/>
        <w:rPr>
          <w:b/>
          <w:szCs w:val="22"/>
          <w:lang w:val="lv-LV"/>
        </w:rPr>
      </w:pPr>
    </w:p>
    <w:p w:rsidR="00597C2F" w:rsidRPr="0027724D" w:rsidRDefault="00597C2F" w:rsidP="00597C2F">
      <w:pPr>
        <w:jc w:val="both"/>
        <w:rPr>
          <w:szCs w:val="22"/>
          <w:lang w:val="lv-LV"/>
        </w:rPr>
      </w:pPr>
      <w:r w:rsidRPr="0027724D">
        <w:rPr>
          <w:szCs w:val="22"/>
          <w:lang w:val="lv-LV"/>
        </w:rPr>
        <w:t>Salicilskābe ir nesaderīga ar dažādām aktīvām un neaktīvām sastāvdaļām, kas var ietekmēt aktīvo sastāvdaļu atbrīvošanu. Tās ir šādas vielas: akriflavīna sāļi, svina sāļi, kampars, hlorālhidrāts, dzelzs sāļi, etakridīna sāļi, želatīns, jods, jodīdi, jodoforms, beta-naftols, polietilēnglikols, rezorcinols, cinka oksīds.</w:t>
      </w:r>
    </w:p>
    <w:p w:rsidR="00597C2F" w:rsidRPr="0027724D" w:rsidRDefault="00597C2F" w:rsidP="00597C2F">
      <w:pPr>
        <w:jc w:val="both"/>
        <w:rPr>
          <w:szCs w:val="22"/>
          <w:lang w:val="lv-LV"/>
        </w:rPr>
      </w:pPr>
    </w:p>
    <w:p w:rsidR="00597C2F" w:rsidRDefault="00597C2F" w:rsidP="00597C2F">
      <w:pPr>
        <w:numPr>
          <w:ilvl w:val="1"/>
          <w:numId w:val="18"/>
        </w:numPr>
        <w:ind w:left="567" w:hanging="567"/>
        <w:jc w:val="both"/>
        <w:rPr>
          <w:b/>
          <w:szCs w:val="22"/>
          <w:lang w:val="lv-LV"/>
        </w:rPr>
      </w:pPr>
      <w:r w:rsidRPr="0027724D">
        <w:rPr>
          <w:b/>
          <w:szCs w:val="22"/>
          <w:lang w:val="lv-LV"/>
        </w:rPr>
        <w:t>Uzglabāšanas laiks</w:t>
      </w:r>
    </w:p>
    <w:p w:rsidR="00597C2F" w:rsidRPr="0027724D" w:rsidRDefault="00597C2F" w:rsidP="00597C2F">
      <w:pPr>
        <w:ind w:left="567"/>
        <w:jc w:val="both"/>
        <w:rPr>
          <w:b/>
          <w:szCs w:val="22"/>
          <w:lang w:val="lv-LV"/>
        </w:rPr>
      </w:pPr>
    </w:p>
    <w:p w:rsidR="00597C2F" w:rsidRPr="001C7AA5" w:rsidRDefault="00597C2F" w:rsidP="00597C2F">
      <w:pPr>
        <w:pStyle w:val="BodyText"/>
        <w:ind w:left="567" w:hanging="567"/>
        <w:rPr>
          <w:i/>
          <w:lang w:val="lv-LV"/>
        </w:rPr>
      </w:pPr>
      <w:r w:rsidRPr="001C7AA5">
        <w:rPr>
          <w:lang w:val="lv-LV"/>
        </w:rPr>
        <w:t>2 gadi.</w:t>
      </w:r>
    </w:p>
    <w:p w:rsidR="00597C2F" w:rsidRPr="001C7AA5" w:rsidRDefault="00597C2F" w:rsidP="00597C2F">
      <w:pPr>
        <w:pStyle w:val="BodyText"/>
        <w:rPr>
          <w:i/>
          <w:lang w:val="lv-LV"/>
        </w:rPr>
      </w:pPr>
      <w:r w:rsidRPr="001C7AA5">
        <w:rPr>
          <w:lang w:val="lv-LV"/>
        </w:rPr>
        <w:t>Pēc pirmās atvēršanas pudeli uzglabāt līdz derīguma termiņa beigām, kas norādīts uz kastītes.</w:t>
      </w:r>
    </w:p>
    <w:p w:rsidR="00597C2F" w:rsidRPr="0027724D" w:rsidRDefault="00597C2F" w:rsidP="00597C2F">
      <w:pPr>
        <w:ind w:left="567" w:hanging="567"/>
        <w:jc w:val="both"/>
        <w:rPr>
          <w:b/>
          <w:szCs w:val="22"/>
          <w:lang w:val="lv-LV"/>
        </w:rPr>
      </w:pPr>
    </w:p>
    <w:p w:rsidR="00597C2F" w:rsidRDefault="00597C2F" w:rsidP="00597C2F">
      <w:pPr>
        <w:numPr>
          <w:ilvl w:val="1"/>
          <w:numId w:val="18"/>
        </w:numPr>
        <w:ind w:left="567" w:hanging="567"/>
        <w:jc w:val="both"/>
        <w:rPr>
          <w:b/>
          <w:szCs w:val="22"/>
          <w:lang w:val="lv-LV"/>
        </w:rPr>
      </w:pPr>
      <w:r w:rsidRPr="0027724D">
        <w:rPr>
          <w:b/>
          <w:szCs w:val="22"/>
          <w:lang w:val="lv-LV"/>
        </w:rPr>
        <w:t>Īpaši uzglabāšanas nosacījumi</w:t>
      </w:r>
    </w:p>
    <w:p w:rsidR="00597C2F" w:rsidRPr="0027724D" w:rsidRDefault="00597C2F" w:rsidP="00597C2F">
      <w:pPr>
        <w:ind w:left="567"/>
        <w:jc w:val="both"/>
        <w:rPr>
          <w:b/>
          <w:szCs w:val="22"/>
          <w:lang w:val="lv-LV"/>
        </w:rPr>
      </w:pPr>
    </w:p>
    <w:p w:rsidR="00597C2F" w:rsidRPr="0027724D" w:rsidRDefault="00597C2F" w:rsidP="00597C2F">
      <w:pPr>
        <w:ind w:left="567" w:hanging="567"/>
        <w:jc w:val="both"/>
        <w:rPr>
          <w:szCs w:val="22"/>
          <w:lang w:val="lv-LV"/>
        </w:rPr>
      </w:pPr>
      <w:r w:rsidRPr="0027724D">
        <w:rPr>
          <w:szCs w:val="22"/>
          <w:lang w:val="lv-LV"/>
        </w:rPr>
        <w:t>Uzglabāt temperatūrā līdz 30 °C.</w:t>
      </w:r>
    </w:p>
    <w:p w:rsidR="00597C2F" w:rsidRPr="0027724D" w:rsidRDefault="00597C2F" w:rsidP="00597C2F">
      <w:pPr>
        <w:ind w:left="567" w:hanging="567"/>
        <w:jc w:val="both"/>
        <w:rPr>
          <w:szCs w:val="22"/>
          <w:lang w:val="lv-LV"/>
        </w:rPr>
      </w:pPr>
      <w:r w:rsidRPr="0027724D">
        <w:rPr>
          <w:szCs w:val="22"/>
          <w:lang w:val="lv-LV"/>
        </w:rPr>
        <w:t>Uzglabāt oriģinālajā iepakojumā, lai pasargātu no gaismas.</w:t>
      </w:r>
    </w:p>
    <w:p w:rsidR="00597C2F" w:rsidRPr="0027724D" w:rsidRDefault="00597C2F" w:rsidP="00597C2F">
      <w:pPr>
        <w:ind w:left="567" w:hanging="567"/>
        <w:jc w:val="both"/>
        <w:rPr>
          <w:bCs/>
          <w:szCs w:val="22"/>
          <w:lang w:val="lv-LV"/>
        </w:rPr>
      </w:pPr>
    </w:p>
    <w:p w:rsidR="00597C2F" w:rsidRDefault="00597C2F" w:rsidP="00597C2F">
      <w:pPr>
        <w:numPr>
          <w:ilvl w:val="1"/>
          <w:numId w:val="18"/>
        </w:numPr>
        <w:ind w:left="567" w:hanging="567"/>
        <w:jc w:val="both"/>
        <w:rPr>
          <w:b/>
          <w:szCs w:val="22"/>
          <w:lang w:val="lv-LV"/>
        </w:rPr>
      </w:pPr>
      <w:r w:rsidRPr="0027724D">
        <w:rPr>
          <w:b/>
          <w:szCs w:val="22"/>
          <w:lang w:val="lv-LV"/>
        </w:rPr>
        <w:t>Iepakojuma veids un saturs</w:t>
      </w:r>
    </w:p>
    <w:p w:rsidR="00597C2F" w:rsidRPr="0027724D" w:rsidRDefault="00597C2F" w:rsidP="00597C2F">
      <w:pPr>
        <w:ind w:left="567"/>
        <w:jc w:val="both"/>
        <w:rPr>
          <w:b/>
          <w:szCs w:val="22"/>
          <w:lang w:val="lv-LV"/>
        </w:rPr>
      </w:pPr>
    </w:p>
    <w:p w:rsidR="00597C2F" w:rsidRPr="001C7AA5" w:rsidRDefault="00597C2F" w:rsidP="00597C2F">
      <w:pPr>
        <w:pStyle w:val="BodyText"/>
        <w:rPr>
          <w:i/>
          <w:lang w:val="lv-LV"/>
        </w:rPr>
      </w:pPr>
      <w:r w:rsidRPr="001C7AA5">
        <w:rPr>
          <w:lang w:val="lv-LV"/>
        </w:rPr>
        <w:t>Dzidrs, bezkrāsains šķidrums brūnā stikla (III klase) pudelē ar polipropilēna aplikatoru un korķi.</w:t>
      </w:r>
    </w:p>
    <w:p w:rsidR="00597C2F" w:rsidRPr="001C7AA5" w:rsidRDefault="00597C2F" w:rsidP="00597C2F">
      <w:pPr>
        <w:pStyle w:val="BodyText"/>
        <w:rPr>
          <w:rFonts w:eastAsia="Calibri"/>
          <w:i/>
          <w:lang w:val="lv-LV"/>
        </w:rPr>
      </w:pPr>
      <w:r w:rsidRPr="001C7AA5">
        <w:rPr>
          <w:lang w:val="lv-LV"/>
        </w:rPr>
        <w:t xml:space="preserve">Iepakojuma lielumi: </w:t>
      </w:r>
      <w:r w:rsidRPr="001C7AA5">
        <w:rPr>
          <w:rFonts w:eastAsia="Calibri"/>
          <w:lang w:val="lv-LV"/>
        </w:rPr>
        <w:t>50, 100 vai 200 ml stikla pudeles.</w:t>
      </w:r>
    </w:p>
    <w:p w:rsidR="00597C2F" w:rsidRPr="0027724D" w:rsidRDefault="00597C2F" w:rsidP="00597C2F">
      <w:pPr>
        <w:ind w:right="-2"/>
        <w:rPr>
          <w:rFonts w:eastAsia="Calibri"/>
          <w:szCs w:val="22"/>
          <w:lang w:val="lv-LV" w:eastAsia="lv-LV"/>
        </w:rPr>
      </w:pPr>
      <w:r w:rsidRPr="0027724D">
        <w:rPr>
          <w:rFonts w:eastAsia="Calibri"/>
          <w:szCs w:val="22"/>
          <w:lang w:val="lv-LV" w:eastAsia="lv-LV"/>
        </w:rPr>
        <w:t>Visi iepakojuma lielumi tirgū var nebūt pieejami.</w:t>
      </w:r>
    </w:p>
    <w:p w:rsidR="00597C2F" w:rsidRPr="0027724D" w:rsidRDefault="00597C2F" w:rsidP="00597C2F">
      <w:pPr>
        <w:ind w:right="-2"/>
        <w:rPr>
          <w:rFonts w:eastAsia="Calibri"/>
          <w:szCs w:val="22"/>
          <w:lang w:val="lv-LV" w:eastAsia="lv-LV"/>
        </w:rPr>
      </w:pPr>
    </w:p>
    <w:p w:rsidR="00597C2F" w:rsidRDefault="00597C2F" w:rsidP="00597C2F">
      <w:pPr>
        <w:numPr>
          <w:ilvl w:val="1"/>
          <w:numId w:val="18"/>
        </w:numPr>
        <w:ind w:left="567" w:hanging="567"/>
        <w:jc w:val="both"/>
        <w:rPr>
          <w:b/>
          <w:bCs/>
          <w:szCs w:val="22"/>
          <w:lang w:val="lv-LV"/>
        </w:rPr>
      </w:pPr>
      <w:r w:rsidRPr="0027724D">
        <w:rPr>
          <w:b/>
          <w:bCs/>
          <w:szCs w:val="22"/>
          <w:lang w:val="lv-LV"/>
        </w:rPr>
        <w:t>Īpaši norādījumi atkritumu likvidēšanai</w:t>
      </w:r>
    </w:p>
    <w:p w:rsidR="00597C2F" w:rsidRPr="0027724D" w:rsidRDefault="00597C2F" w:rsidP="00597C2F">
      <w:pPr>
        <w:ind w:left="567"/>
        <w:jc w:val="both"/>
        <w:rPr>
          <w:b/>
          <w:bCs/>
          <w:szCs w:val="22"/>
          <w:lang w:val="lv-LV"/>
        </w:rPr>
      </w:pPr>
    </w:p>
    <w:p w:rsidR="00597C2F" w:rsidRPr="001C7AA5" w:rsidRDefault="00597C2F" w:rsidP="00597C2F">
      <w:pPr>
        <w:pStyle w:val="BodyText"/>
        <w:rPr>
          <w:i/>
        </w:rPr>
      </w:pPr>
      <w:r w:rsidRPr="001C7AA5">
        <w:t>Nav īpašu prasību.</w:t>
      </w:r>
    </w:p>
    <w:p w:rsidR="00597C2F" w:rsidRPr="001C7AA5" w:rsidRDefault="00597C2F" w:rsidP="00597C2F">
      <w:pPr>
        <w:pStyle w:val="BodyText"/>
      </w:pPr>
    </w:p>
    <w:p w:rsidR="00597C2F" w:rsidRPr="0027724D" w:rsidRDefault="00597C2F" w:rsidP="00597C2F">
      <w:pPr>
        <w:numPr>
          <w:ilvl w:val="0"/>
          <w:numId w:val="18"/>
        </w:numPr>
        <w:ind w:left="567" w:hanging="567"/>
        <w:jc w:val="both"/>
        <w:rPr>
          <w:b/>
          <w:bCs/>
          <w:caps/>
          <w:szCs w:val="22"/>
          <w:lang w:val="lv-LV"/>
        </w:rPr>
      </w:pPr>
      <w:r w:rsidRPr="0027724D">
        <w:rPr>
          <w:b/>
          <w:bCs/>
          <w:caps/>
          <w:szCs w:val="22"/>
          <w:lang w:val="lv-LV"/>
        </w:rPr>
        <w:t>Reģistrācijas apliecības īpašnieks</w:t>
      </w:r>
    </w:p>
    <w:p w:rsidR="00597C2F" w:rsidRPr="0027724D" w:rsidRDefault="00597C2F" w:rsidP="00597C2F">
      <w:pPr>
        <w:ind w:left="360"/>
        <w:jc w:val="both"/>
        <w:rPr>
          <w:b/>
          <w:bCs/>
          <w:caps/>
          <w:szCs w:val="22"/>
          <w:lang w:val="lv-LV"/>
        </w:rPr>
      </w:pPr>
    </w:p>
    <w:p w:rsidR="00597C2F" w:rsidRPr="0027724D" w:rsidRDefault="00597C2F" w:rsidP="00597C2F">
      <w:pPr>
        <w:rPr>
          <w:iCs/>
          <w:szCs w:val="22"/>
          <w:lang w:val="lv-LV"/>
        </w:rPr>
      </w:pPr>
      <w:r w:rsidRPr="0027724D">
        <w:rPr>
          <w:iCs/>
          <w:szCs w:val="22"/>
          <w:lang w:val="lv-LV"/>
        </w:rPr>
        <w:t>Dr. August Wolff GmbH &amp; Co, KG Arzneimittel</w:t>
      </w:r>
    </w:p>
    <w:p w:rsidR="00597C2F" w:rsidRPr="0027724D" w:rsidRDefault="00597C2F" w:rsidP="00597C2F">
      <w:pPr>
        <w:rPr>
          <w:iCs/>
          <w:szCs w:val="22"/>
          <w:lang w:val="lv-LV"/>
        </w:rPr>
      </w:pPr>
      <w:r w:rsidRPr="0027724D">
        <w:rPr>
          <w:iCs/>
          <w:szCs w:val="22"/>
          <w:lang w:val="lv-LV"/>
        </w:rPr>
        <w:t>Sudbrackstra</w:t>
      </w:r>
      <w:r w:rsidR="00540CED">
        <w:rPr>
          <w:iCs/>
          <w:szCs w:val="22"/>
          <w:lang w:val="lv-LV"/>
        </w:rPr>
        <w:t>ss</w:t>
      </w:r>
      <w:r w:rsidRPr="0027724D">
        <w:rPr>
          <w:iCs/>
          <w:szCs w:val="22"/>
          <w:lang w:val="lv-LV"/>
        </w:rPr>
        <w:t xml:space="preserve">e 5633611 Bielefeld, </w:t>
      </w:r>
      <w:r w:rsidRPr="008246E2">
        <w:rPr>
          <w:iCs/>
          <w:caps/>
          <w:szCs w:val="22"/>
          <w:lang w:val="lv-LV"/>
        </w:rPr>
        <w:t>Vācija</w:t>
      </w:r>
    </w:p>
    <w:p w:rsidR="00597C2F" w:rsidRPr="0027724D" w:rsidRDefault="00597C2F" w:rsidP="00597C2F">
      <w:pPr>
        <w:pStyle w:val="Default"/>
        <w:rPr>
          <w:sz w:val="22"/>
          <w:szCs w:val="22"/>
          <w:lang w:val="lv-LV"/>
        </w:rPr>
      </w:pPr>
      <w:r w:rsidRPr="0027724D">
        <w:rPr>
          <w:sz w:val="22"/>
          <w:szCs w:val="22"/>
          <w:lang w:val="lv-LV"/>
        </w:rPr>
        <w:t>Tālrunis: +49 521 8808-05</w:t>
      </w:r>
    </w:p>
    <w:p w:rsidR="00597C2F" w:rsidRPr="0027724D" w:rsidRDefault="00597C2F" w:rsidP="00597C2F">
      <w:pPr>
        <w:pStyle w:val="Default"/>
        <w:rPr>
          <w:sz w:val="22"/>
          <w:szCs w:val="22"/>
          <w:lang w:val="lv-LV"/>
        </w:rPr>
      </w:pPr>
      <w:r w:rsidRPr="0027724D">
        <w:rPr>
          <w:sz w:val="22"/>
          <w:szCs w:val="22"/>
          <w:lang w:val="lv-LV"/>
        </w:rPr>
        <w:t>Fakss: +49 521 8808-334</w:t>
      </w:r>
    </w:p>
    <w:p w:rsidR="00597C2F" w:rsidRPr="0027724D" w:rsidRDefault="00597C2F" w:rsidP="00597C2F">
      <w:pPr>
        <w:pStyle w:val="Default"/>
        <w:rPr>
          <w:sz w:val="22"/>
          <w:szCs w:val="22"/>
          <w:u w:val="single"/>
          <w:lang w:val="pt-PT"/>
        </w:rPr>
      </w:pPr>
      <w:r w:rsidRPr="0027724D">
        <w:rPr>
          <w:sz w:val="22"/>
          <w:szCs w:val="22"/>
          <w:lang w:val="pt-PT"/>
        </w:rPr>
        <w:t xml:space="preserve">E-pasts: </w:t>
      </w:r>
      <w:r w:rsidRPr="000C40CA">
        <w:rPr>
          <w:sz w:val="22"/>
          <w:szCs w:val="22"/>
          <w:u w:val="single"/>
          <w:lang w:val="pt-PT"/>
        </w:rPr>
        <w:t>aw-info@drwolffgroup.com</w:t>
      </w:r>
    </w:p>
    <w:p w:rsidR="00597C2F" w:rsidRPr="0027724D" w:rsidRDefault="00597C2F" w:rsidP="00597C2F">
      <w:pPr>
        <w:jc w:val="both"/>
        <w:rPr>
          <w:b/>
          <w:bCs/>
          <w:caps/>
          <w:szCs w:val="22"/>
          <w:lang w:val="lv-LV"/>
        </w:rPr>
      </w:pPr>
    </w:p>
    <w:p w:rsidR="00597C2F" w:rsidRPr="0027724D" w:rsidRDefault="00597C2F" w:rsidP="00597C2F">
      <w:pPr>
        <w:jc w:val="both"/>
        <w:rPr>
          <w:b/>
          <w:bCs/>
          <w:caps/>
          <w:szCs w:val="22"/>
          <w:lang w:val="lv-LV"/>
        </w:rPr>
      </w:pPr>
    </w:p>
    <w:p w:rsidR="00597C2F" w:rsidRPr="0027724D" w:rsidRDefault="00597C2F" w:rsidP="00597C2F">
      <w:pPr>
        <w:numPr>
          <w:ilvl w:val="0"/>
          <w:numId w:val="18"/>
        </w:numPr>
        <w:ind w:left="567" w:hanging="567"/>
        <w:jc w:val="both"/>
        <w:rPr>
          <w:b/>
          <w:bCs/>
          <w:caps/>
          <w:szCs w:val="22"/>
          <w:lang w:val="lv-LV"/>
        </w:rPr>
      </w:pPr>
      <w:r w:rsidRPr="0027724D">
        <w:rPr>
          <w:b/>
          <w:bCs/>
          <w:caps/>
          <w:szCs w:val="22"/>
          <w:lang w:val="lv-LV"/>
        </w:rPr>
        <w:t>Reģistrācijas APLIECĪBAS numurs(-I)</w:t>
      </w:r>
    </w:p>
    <w:p w:rsidR="00597C2F" w:rsidRPr="0027724D" w:rsidRDefault="00597C2F" w:rsidP="00597C2F">
      <w:pPr>
        <w:ind w:left="567" w:hanging="567"/>
        <w:jc w:val="both"/>
        <w:rPr>
          <w:b/>
          <w:bCs/>
          <w:caps/>
          <w:szCs w:val="22"/>
          <w:lang w:val="lv-LV"/>
        </w:rPr>
      </w:pPr>
    </w:p>
    <w:p w:rsidR="00597C2F" w:rsidRPr="0027724D" w:rsidRDefault="00597C2F" w:rsidP="00597C2F">
      <w:pPr>
        <w:ind w:left="567" w:hanging="567"/>
        <w:jc w:val="both"/>
        <w:rPr>
          <w:bCs/>
          <w:szCs w:val="22"/>
          <w:lang w:val="lv-LV"/>
        </w:rPr>
      </w:pPr>
      <w:r w:rsidRPr="0027724D">
        <w:rPr>
          <w:bCs/>
          <w:szCs w:val="22"/>
          <w:lang w:val="lv-LV"/>
        </w:rPr>
        <w:t>95-0182</w:t>
      </w:r>
    </w:p>
    <w:p w:rsidR="00597C2F" w:rsidRPr="0027724D" w:rsidRDefault="00597C2F" w:rsidP="00597C2F">
      <w:pPr>
        <w:ind w:left="567" w:hanging="567"/>
        <w:jc w:val="both"/>
        <w:rPr>
          <w:b/>
          <w:szCs w:val="22"/>
          <w:lang w:val="lv-LV"/>
        </w:rPr>
      </w:pPr>
    </w:p>
    <w:p w:rsidR="00597C2F" w:rsidRPr="0027724D" w:rsidRDefault="00597C2F" w:rsidP="00597C2F">
      <w:pPr>
        <w:ind w:left="567" w:hanging="567"/>
        <w:jc w:val="both"/>
        <w:rPr>
          <w:b/>
          <w:szCs w:val="22"/>
          <w:lang w:val="lv-LV"/>
        </w:rPr>
      </w:pPr>
    </w:p>
    <w:p w:rsidR="00597C2F" w:rsidRPr="0027724D" w:rsidRDefault="00597C2F" w:rsidP="00597C2F">
      <w:pPr>
        <w:numPr>
          <w:ilvl w:val="0"/>
          <w:numId w:val="18"/>
        </w:numPr>
        <w:ind w:left="567" w:hanging="567"/>
        <w:jc w:val="both"/>
        <w:rPr>
          <w:b/>
          <w:bCs/>
          <w:caps/>
          <w:szCs w:val="22"/>
          <w:lang w:val="lv-LV"/>
        </w:rPr>
      </w:pPr>
      <w:r w:rsidRPr="0027724D">
        <w:rPr>
          <w:b/>
          <w:bCs/>
          <w:caps/>
          <w:szCs w:val="22"/>
          <w:lang w:val="lv-LV"/>
        </w:rPr>
        <w:t>PIRMĀS Reģistrācijas/pārreģistrācijas datums</w:t>
      </w:r>
    </w:p>
    <w:p w:rsidR="00597C2F" w:rsidRPr="0027724D" w:rsidRDefault="00597C2F" w:rsidP="00597C2F">
      <w:pPr>
        <w:ind w:left="567" w:hanging="567"/>
        <w:jc w:val="both"/>
        <w:rPr>
          <w:b/>
          <w:bCs/>
          <w:caps/>
          <w:szCs w:val="22"/>
          <w:lang w:val="lv-LV"/>
        </w:rPr>
      </w:pPr>
    </w:p>
    <w:p w:rsidR="00597C2F" w:rsidRPr="0027724D" w:rsidRDefault="00597C2F" w:rsidP="00597C2F">
      <w:pPr>
        <w:ind w:left="567" w:hanging="567"/>
        <w:jc w:val="both"/>
        <w:rPr>
          <w:caps/>
          <w:szCs w:val="22"/>
          <w:lang w:val="lv-LV"/>
        </w:rPr>
      </w:pPr>
      <w:r w:rsidRPr="0027724D">
        <w:rPr>
          <w:caps/>
          <w:szCs w:val="22"/>
          <w:lang w:val="lv-LV"/>
        </w:rPr>
        <w:t>26.06.1995/20.12.2000/20.12.2005/03.03.2011</w:t>
      </w:r>
    </w:p>
    <w:p w:rsidR="00597C2F" w:rsidRPr="0027724D" w:rsidRDefault="00597C2F" w:rsidP="00597C2F">
      <w:pPr>
        <w:ind w:left="567" w:hanging="567"/>
        <w:jc w:val="both"/>
        <w:rPr>
          <w:caps/>
          <w:szCs w:val="22"/>
          <w:lang w:val="lv-LV"/>
        </w:rPr>
      </w:pPr>
    </w:p>
    <w:p w:rsidR="00597C2F" w:rsidRPr="0027724D" w:rsidRDefault="00597C2F" w:rsidP="00597C2F">
      <w:pPr>
        <w:ind w:left="567" w:hanging="567"/>
        <w:jc w:val="both"/>
        <w:rPr>
          <w:caps/>
          <w:szCs w:val="22"/>
          <w:lang w:val="lv-LV"/>
        </w:rPr>
      </w:pPr>
    </w:p>
    <w:p w:rsidR="00597C2F" w:rsidRPr="0027724D" w:rsidRDefault="00597C2F" w:rsidP="00597C2F">
      <w:pPr>
        <w:numPr>
          <w:ilvl w:val="0"/>
          <w:numId w:val="18"/>
        </w:numPr>
        <w:ind w:left="567" w:hanging="567"/>
        <w:jc w:val="both"/>
        <w:rPr>
          <w:b/>
          <w:bCs/>
          <w:caps/>
          <w:szCs w:val="22"/>
          <w:lang w:val="lv-LV"/>
        </w:rPr>
      </w:pPr>
      <w:r w:rsidRPr="0027724D">
        <w:rPr>
          <w:b/>
          <w:bCs/>
          <w:caps/>
          <w:szCs w:val="22"/>
          <w:lang w:val="lv-LV"/>
        </w:rPr>
        <w:t>Teksta pārskatīšanas datums</w:t>
      </w:r>
    </w:p>
    <w:p w:rsidR="00597C2F" w:rsidRPr="0027724D" w:rsidRDefault="00597C2F" w:rsidP="00597C2F">
      <w:pPr>
        <w:ind w:left="360"/>
        <w:jc w:val="both"/>
        <w:rPr>
          <w:b/>
          <w:bCs/>
          <w:caps/>
          <w:szCs w:val="22"/>
          <w:lang w:val="lv-LV"/>
        </w:rPr>
      </w:pPr>
    </w:p>
    <w:p w:rsidR="00597C2F" w:rsidRPr="00C64884" w:rsidRDefault="00A86E25" w:rsidP="00597C2F">
      <w:pPr>
        <w:pStyle w:val="BodyText"/>
        <w:rPr>
          <w:i/>
          <w:szCs w:val="22"/>
        </w:rPr>
      </w:pPr>
      <w:r>
        <w:rPr>
          <w:szCs w:val="22"/>
        </w:rPr>
        <w:t>04</w:t>
      </w:r>
      <w:r w:rsidR="00597C2F" w:rsidRPr="0027724D">
        <w:rPr>
          <w:szCs w:val="22"/>
        </w:rPr>
        <w:t>/</w:t>
      </w:r>
      <w:r w:rsidRPr="0027724D">
        <w:rPr>
          <w:szCs w:val="22"/>
        </w:rPr>
        <w:t>201</w:t>
      </w:r>
      <w:r>
        <w:rPr>
          <w:szCs w:val="22"/>
        </w:rPr>
        <w:t>8</w:t>
      </w:r>
    </w:p>
    <w:p w:rsidR="00597C2F" w:rsidRPr="00691558" w:rsidRDefault="00597C2F" w:rsidP="00597C2F"/>
    <w:p w:rsidR="00597C2F" w:rsidRPr="00BB528C" w:rsidRDefault="00597C2F" w:rsidP="00597C2F">
      <w:pPr>
        <w:ind w:right="-1"/>
        <w:rPr>
          <w:noProof/>
        </w:rPr>
      </w:pPr>
    </w:p>
    <w:p w:rsidR="00482315" w:rsidRPr="00597C2F" w:rsidRDefault="00482315" w:rsidP="00597C2F"/>
    <w:sectPr w:rsidR="00482315" w:rsidRPr="00597C2F" w:rsidSect="002E75BA">
      <w:headerReference w:type="even" r:id="rId8"/>
      <w:headerReference w:type="default" r:id="rId9"/>
      <w:footerReference w:type="even" r:id="rId10"/>
      <w:footerReference w:type="default" r:id="rId11"/>
      <w:headerReference w:type="first" r:id="rId12"/>
      <w:footerReference w:type="first" r:id="rId13"/>
      <w:pgSz w:w="11901" w:h="16840" w:code="9"/>
      <w:pgMar w:top="1134" w:right="1418" w:bottom="1134" w:left="1418" w:header="737" w:footer="737"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10" w:rsidRDefault="00C70810">
      <w:r>
        <w:separator/>
      </w:r>
    </w:p>
  </w:endnote>
  <w:endnote w:type="continuationSeparator" w:id="0">
    <w:p w:rsidR="00C70810" w:rsidRDefault="00C7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80" w:rsidRDefault="00007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15" w:rsidRDefault="004F7FDE">
    <w:pPr>
      <w:pStyle w:val="Footer"/>
      <w:jc w:val="center"/>
    </w:pPr>
    <w:r>
      <w:fldChar w:fldCharType="begin"/>
    </w:r>
    <w:r w:rsidR="00482315">
      <w:instrText xml:space="preserve"> EQ </w:instrText>
    </w:r>
    <w:r>
      <w:fldChar w:fldCharType="end"/>
    </w:r>
    <w:r w:rsidRPr="0089197E">
      <w:rPr>
        <w:rStyle w:val="PageNumber"/>
        <w:rFonts w:ascii="Arial" w:hAnsi="Arial" w:cs="Arial"/>
      </w:rPr>
      <w:fldChar w:fldCharType="begin"/>
    </w:r>
    <w:r w:rsidR="00482315" w:rsidRPr="0089197E">
      <w:rPr>
        <w:rStyle w:val="PageNumber"/>
        <w:rFonts w:ascii="Arial" w:hAnsi="Arial" w:cs="Arial"/>
      </w:rPr>
      <w:instrText xml:space="preserve">PAGE  </w:instrText>
    </w:r>
    <w:r w:rsidRPr="0089197E">
      <w:rPr>
        <w:rStyle w:val="PageNumber"/>
        <w:rFonts w:ascii="Arial" w:hAnsi="Arial" w:cs="Arial"/>
      </w:rPr>
      <w:fldChar w:fldCharType="separate"/>
    </w:r>
    <w:r w:rsidR="003F4004">
      <w:rPr>
        <w:rStyle w:val="PageNumber"/>
        <w:rFonts w:ascii="Arial" w:hAnsi="Arial" w:cs="Arial"/>
        <w:noProof/>
      </w:rPr>
      <w:t>1</w:t>
    </w:r>
    <w:r w:rsidRPr="0089197E">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15" w:rsidRDefault="004F7FDE">
    <w:pPr>
      <w:pStyle w:val="Footer"/>
      <w:jc w:val="center"/>
    </w:pPr>
    <w:r>
      <w:fldChar w:fldCharType="begin"/>
    </w:r>
    <w:r w:rsidR="00482315">
      <w:instrText xml:space="preserve"> EQ </w:instrText>
    </w:r>
    <w:r>
      <w:fldChar w:fldCharType="end"/>
    </w:r>
    <w:r w:rsidRPr="00CF70DB">
      <w:rPr>
        <w:rStyle w:val="PageNumber"/>
        <w:rFonts w:ascii="Times New Roman" w:hAnsi="Times New Roman"/>
      </w:rPr>
      <w:fldChar w:fldCharType="begin"/>
    </w:r>
    <w:r w:rsidR="00482315" w:rsidRPr="00CF70DB">
      <w:rPr>
        <w:rStyle w:val="PageNumber"/>
        <w:rFonts w:ascii="Times New Roman" w:hAnsi="Times New Roman"/>
      </w:rPr>
      <w:instrText xml:space="preserve">PAGE  </w:instrText>
    </w:r>
    <w:r w:rsidRPr="00CF70DB">
      <w:rPr>
        <w:rStyle w:val="PageNumber"/>
        <w:rFonts w:ascii="Times New Roman" w:hAnsi="Times New Roman"/>
      </w:rPr>
      <w:fldChar w:fldCharType="separate"/>
    </w:r>
    <w:r w:rsidR="002E75BA">
      <w:rPr>
        <w:rStyle w:val="PageNumber"/>
        <w:rFonts w:ascii="Times New Roman" w:hAnsi="Times New Roman"/>
        <w:noProof/>
      </w:rPr>
      <w:t>1</w:t>
    </w:r>
    <w:r w:rsidRPr="00CF70DB">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10" w:rsidRDefault="00C70810">
      <w:r>
        <w:separator/>
      </w:r>
    </w:p>
  </w:footnote>
  <w:footnote w:type="continuationSeparator" w:id="0">
    <w:p w:rsidR="00C70810" w:rsidRDefault="00C7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80" w:rsidRDefault="00007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80" w:rsidRPr="003F4004" w:rsidRDefault="00D66538" w:rsidP="003F4004">
    <w:pPr>
      <w:pStyle w:val="Header"/>
      <w:jc w:val="right"/>
      <w:rPr>
        <w:sz w:val="24"/>
        <w:szCs w:val="24"/>
      </w:rPr>
    </w:pPr>
    <w:r>
      <w:rPr>
        <w:sz w:val="24"/>
        <w:szCs w:val="24"/>
      </w:rPr>
      <w:t>SASKA</w:t>
    </w:r>
    <w:r w:rsidR="003F4004">
      <w:rPr>
        <w:sz w:val="24"/>
        <w:szCs w:val="24"/>
      </w:rPr>
      <w:t>ŅOTS 19-04-2018</w:t>
    </w:r>
    <w:bookmarkStart w:id="0" w:name="_GoBack"/>
    <w:bookmarkEnd w:id="0"/>
  </w:p>
  <w:p w:rsidR="002E75BA" w:rsidRDefault="002E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5784"/>
      <w:gridCol w:w="1928"/>
    </w:tblGrid>
    <w:tr w:rsidR="00BB528C" w:rsidRPr="002C06BF" w:rsidTr="003A1E8E">
      <w:trPr>
        <w:trHeight w:val="851"/>
      </w:trPr>
      <w:tc>
        <w:tcPr>
          <w:tcW w:w="1927" w:type="dxa"/>
          <w:shd w:val="clear" w:color="auto" w:fill="auto"/>
        </w:tcPr>
        <w:p w:rsidR="00BB528C" w:rsidRPr="008E676C" w:rsidRDefault="00020C41" w:rsidP="003A1E8E">
          <w:pPr>
            <w:pStyle w:val="Header"/>
            <w:jc w:val="center"/>
            <w:rPr>
              <w:rFonts w:eastAsia="Calibri"/>
              <w:kern w:val="22"/>
              <w:szCs w:val="22"/>
            </w:rPr>
          </w:pPr>
          <w:r>
            <w:rPr>
              <w:rFonts w:eastAsia="Calibri"/>
              <w:noProof/>
              <w:kern w:val="22"/>
              <w:szCs w:val="22"/>
              <w:lang w:val="en-US"/>
            </w:rPr>
            <w:drawing>
              <wp:anchor distT="0" distB="0" distL="114300" distR="114300" simplePos="0" relativeHeight="251657728" behindDoc="0" locked="0" layoutInCell="1" allowOverlap="1">
                <wp:simplePos x="0" y="0"/>
                <wp:positionH relativeFrom="margin">
                  <wp:posOffset>5080</wp:posOffset>
                </wp:positionH>
                <wp:positionV relativeFrom="margin">
                  <wp:posOffset>107315</wp:posOffset>
                </wp:positionV>
                <wp:extent cx="1076325" cy="276225"/>
                <wp:effectExtent l="0" t="0" r="9525" b="9525"/>
                <wp:wrapSquare wrapText="bothSides"/>
                <wp:docPr id="1" name="Grafik 18" descr="DrAugustWolff-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DrAugustWolff-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anchor>
            </w:drawing>
          </w:r>
        </w:p>
      </w:tc>
      <w:tc>
        <w:tcPr>
          <w:tcW w:w="5784" w:type="dxa"/>
          <w:shd w:val="clear" w:color="auto" w:fill="auto"/>
        </w:tcPr>
        <w:p w:rsidR="00CF70DB" w:rsidRPr="00110332" w:rsidRDefault="00CF70DB" w:rsidP="00CF70DB">
          <w:pPr>
            <w:jc w:val="center"/>
            <w:rPr>
              <w:rFonts w:eastAsia="Calibri"/>
              <w:b/>
              <w:kern w:val="22"/>
              <w:szCs w:val="22"/>
            </w:rPr>
          </w:pPr>
          <w:r w:rsidRPr="00110332">
            <w:rPr>
              <w:rFonts w:eastAsia="Calibri"/>
              <w:b/>
              <w:kern w:val="22"/>
              <w:szCs w:val="22"/>
            </w:rPr>
            <w:t>“Produktname”</w:t>
          </w:r>
        </w:p>
        <w:p w:rsidR="00CF70DB" w:rsidRPr="00110332" w:rsidRDefault="00CF70DB" w:rsidP="00CF70DB">
          <w:pPr>
            <w:jc w:val="center"/>
            <w:rPr>
              <w:rFonts w:eastAsia="Calibri"/>
              <w:b/>
              <w:kern w:val="22"/>
              <w:szCs w:val="22"/>
            </w:rPr>
          </w:pPr>
        </w:p>
        <w:p w:rsidR="00020C41" w:rsidRPr="00110332" w:rsidRDefault="003F4004" w:rsidP="00020C41">
          <w:pPr>
            <w:jc w:val="center"/>
            <w:rPr>
              <w:rFonts w:eastAsia="Calibri"/>
              <w:kern w:val="22"/>
              <w:szCs w:val="22"/>
            </w:rPr>
          </w:pPr>
          <w:sdt>
            <w:sdtPr>
              <w:rPr>
                <w:rFonts w:eastAsia="Calibri"/>
                <w:kern w:val="22"/>
                <w:szCs w:val="22"/>
              </w:rPr>
              <w:alias w:val="dvelop_DDF_33"/>
              <w:tag w:val="dvelop_DDF_33"/>
              <w:id w:val="787086049"/>
              <w:placeholder>
                <w:docPart w:val="DefaultPlaceholder_1082065158"/>
              </w:placeholder>
            </w:sdtPr>
            <w:sdtEndPr/>
            <w:sdtContent>
              <w:r w:rsidR="00020C41" w:rsidRPr="00110332">
                <w:rPr>
                  <w:rFonts w:eastAsia="Calibri"/>
                  <w:kern w:val="22"/>
                  <w:szCs w:val="22"/>
                </w:rPr>
                <w:t>@Dokumentart (Ebene 4)@</w:t>
              </w:r>
            </w:sdtContent>
          </w:sdt>
          <w:r w:rsidR="00020C41" w:rsidRPr="00110332">
            <w:rPr>
              <w:rFonts w:eastAsia="Calibri"/>
              <w:kern w:val="22"/>
              <w:szCs w:val="22"/>
            </w:rPr>
            <w:t xml:space="preserve"> </w:t>
          </w:r>
        </w:p>
        <w:sdt>
          <w:sdtPr>
            <w:rPr>
              <w:rFonts w:eastAsia="Calibri"/>
              <w:kern w:val="22"/>
              <w:szCs w:val="22"/>
            </w:rPr>
            <w:alias w:val="dvelop_DDF_32"/>
            <w:tag w:val="dvelop_DDF_32"/>
            <w:id w:val="-1781253919"/>
            <w:placeholder>
              <w:docPart w:val="DefaultPlaceholder_1082065158"/>
            </w:placeholder>
          </w:sdtPr>
          <w:sdtEndPr/>
          <w:sdtContent>
            <w:p w:rsidR="00BB528C" w:rsidRPr="00110332" w:rsidRDefault="00020C41" w:rsidP="00020C41">
              <w:pPr>
                <w:jc w:val="center"/>
                <w:rPr>
                  <w:rFonts w:eastAsia="Calibri"/>
                  <w:kern w:val="22"/>
                  <w:szCs w:val="22"/>
                </w:rPr>
              </w:pPr>
              <w:r w:rsidRPr="00110332">
                <w:rPr>
                  <w:rFonts w:eastAsia="Calibri"/>
                  <w:kern w:val="22"/>
                  <w:szCs w:val="22"/>
                </w:rPr>
                <w:t>@Dokumentartverfeinerung (Ebene 5)@</w:t>
              </w:r>
            </w:p>
          </w:sdtContent>
        </w:sdt>
      </w:tc>
      <w:tc>
        <w:tcPr>
          <w:tcW w:w="1928" w:type="dxa"/>
          <w:shd w:val="clear" w:color="auto" w:fill="auto"/>
        </w:tcPr>
        <w:p w:rsidR="00BB528C" w:rsidRPr="008E676C" w:rsidRDefault="00BB528C" w:rsidP="003A1E8E">
          <w:pPr>
            <w:ind w:right="139"/>
            <w:jc w:val="right"/>
            <w:rPr>
              <w:rStyle w:val="PageNumber"/>
              <w:rFonts w:eastAsia="Calibri"/>
              <w:b/>
              <w:kern w:val="22"/>
              <w:szCs w:val="22"/>
              <w:lang w:val="fr-CH"/>
            </w:rPr>
          </w:pPr>
          <w:r w:rsidRPr="008E676C">
            <w:rPr>
              <w:rStyle w:val="PageNumber"/>
              <w:rFonts w:eastAsia="Calibri"/>
              <w:kern w:val="22"/>
              <w:szCs w:val="22"/>
              <w:lang w:val="fr-CH"/>
            </w:rPr>
            <w:t xml:space="preserve">Page </w:t>
          </w:r>
          <w:r w:rsidR="004F7FDE" w:rsidRPr="008E676C">
            <w:rPr>
              <w:rStyle w:val="PageNumber"/>
              <w:rFonts w:eastAsia="Calibri"/>
              <w:b/>
              <w:kern w:val="22"/>
              <w:szCs w:val="22"/>
            </w:rPr>
            <w:fldChar w:fldCharType="begin"/>
          </w:r>
          <w:r w:rsidRPr="008E676C">
            <w:rPr>
              <w:rStyle w:val="PageNumber"/>
              <w:rFonts w:eastAsia="Calibri"/>
              <w:b/>
              <w:kern w:val="22"/>
              <w:szCs w:val="22"/>
              <w:lang w:val="fr-CH"/>
            </w:rPr>
            <w:instrText xml:space="preserve"> PAGE </w:instrText>
          </w:r>
          <w:r w:rsidR="004F7FDE" w:rsidRPr="008E676C">
            <w:rPr>
              <w:rStyle w:val="PageNumber"/>
              <w:rFonts w:eastAsia="Calibri"/>
              <w:b/>
              <w:kern w:val="22"/>
              <w:szCs w:val="22"/>
            </w:rPr>
            <w:fldChar w:fldCharType="separate"/>
          </w:r>
          <w:r w:rsidR="002E75BA">
            <w:rPr>
              <w:rStyle w:val="PageNumber"/>
              <w:rFonts w:eastAsia="Calibri"/>
              <w:b/>
              <w:noProof/>
              <w:kern w:val="22"/>
              <w:szCs w:val="22"/>
              <w:lang w:val="fr-CH"/>
            </w:rPr>
            <w:t>1</w:t>
          </w:r>
          <w:r w:rsidR="004F7FDE" w:rsidRPr="008E676C">
            <w:rPr>
              <w:rStyle w:val="PageNumber"/>
              <w:rFonts w:eastAsia="Calibri"/>
              <w:b/>
              <w:kern w:val="22"/>
              <w:szCs w:val="22"/>
            </w:rPr>
            <w:fldChar w:fldCharType="end"/>
          </w:r>
        </w:p>
        <w:p w:rsidR="00BB528C" w:rsidRPr="008E676C" w:rsidRDefault="00BB528C" w:rsidP="003A1E8E">
          <w:pPr>
            <w:ind w:right="139"/>
            <w:jc w:val="right"/>
            <w:rPr>
              <w:rStyle w:val="PageNumber"/>
              <w:rFonts w:eastAsia="Calibri"/>
              <w:noProof/>
              <w:kern w:val="22"/>
              <w:szCs w:val="22"/>
              <w:lang w:val="fr-CH"/>
            </w:rPr>
          </w:pPr>
        </w:p>
        <w:p w:rsidR="00BB528C" w:rsidRPr="008E676C" w:rsidRDefault="00BB528C" w:rsidP="003A1E8E">
          <w:pPr>
            <w:pStyle w:val="Header"/>
            <w:jc w:val="right"/>
            <w:rPr>
              <w:rFonts w:eastAsia="Calibri"/>
              <w:kern w:val="22"/>
              <w:szCs w:val="24"/>
            </w:rPr>
          </w:pPr>
          <w:r w:rsidRPr="008E676C">
            <w:rPr>
              <w:rStyle w:val="PageNumber"/>
              <w:rFonts w:eastAsia="Calibri"/>
              <w:kern w:val="22"/>
              <w:szCs w:val="22"/>
              <w:lang w:val="fr-CH"/>
            </w:rPr>
            <w:t>MM/JJJJ</w:t>
          </w:r>
        </w:p>
      </w:tc>
    </w:tr>
  </w:tbl>
  <w:p w:rsidR="001F275D" w:rsidRDefault="001F2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F70EB"/>
    <w:multiLevelType w:val="multilevel"/>
    <w:tmpl w:val="6A5600B8"/>
    <w:lvl w:ilvl="0">
      <w:start w:val="4"/>
      <w:numFmt w:val="decimal"/>
      <w:lvlText w:val="%1."/>
      <w:lvlJc w:val="left"/>
      <w:pPr>
        <w:tabs>
          <w:tab w:val="num" w:pos="720"/>
        </w:tabs>
        <w:ind w:left="720" w:hanging="360"/>
      </w:pPr>
      <w:rPr>
        <w:rFonts w:hint="default"/>
      </w:r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BC4F3F"/>
    <w:multiLevelType w:val="multilevel"/>
    <w:tmpl w:val="1CB252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25F0D59"/>
    <w:multiLevelType w:val="multilevel"/>
    <w:tmpl w:val="B970A16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6"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3B9909EF"/>
    <w:multiLevelType w:val="multilevel"/>
    <w:tmpl w:val="A350E4E4"/>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4233E"/>
    <w:multiLevelType w:val="hybridMultilevel"/>
    <w:tmpl w:val="81C017F8"/>
    <w:lvl w:ilvl="0" w:tplc="2F1496B4">
      <w:start w:val="1"/>
      <w:numFmt w:val="bullet"/>
      <w:lvlText w:val="–"/>
      <w:lvlJc w:val="left"/>
      <w:pPr>
        <w:tabs>
          <w:tab w:val="num" w:pos="369"/>
        </w:tabs>
        <w:ind w:left="369" w:hanging="360"/>
      </w:pPr>
      <w:rPr>
        <w:rFonts w:ascii="Times New Roman" w:hAnsi="Times New Roman" w:cs="Times New Roman" w:hint="default"/>
        <w:b w:val="0"/>
        <w:i w:val="0"/>
        <w:spacing w:val="20"/>
        <w:sz w:val="24"/>
      </w:rPr>
    </w:lvl>
    <w:lvl w:ilvl="1" w:tplc="04260003" w:tentative="1">
      <w:start w:val="1"/>
      <w:numFmt w:val="bullet"/>
      <w:lvlText w:val="o"/>
      <w:lvlJc w:val="left"/>
      <w:pPr>
        <w:tabs>
          <w:tab w:val="num" w:pos="1089"/>
        </w:tabs>
        <w:ind w:left="1089" w:hanging="360"/>
      </w:pPr>
      <w:rPr>
        <w:rFonts w:ascii="Courier New" w:hAnsi="Courier New" w:cs="Courier New" w:hint="default"/>
      </w:rPr>
    </w:lvl>
    <w:lvl w:ilvl="2" w:tplc="04260005" w:tentative="1">
      <w:start w:val="1"/>
      <w:numFmt w:val="bullet"/>
      <w:lvlText w:val=""/>
      <w:lvlJc w:val="left"/>
      <w:pPr>
        <w:tabs>
          <w:tab w:val="num" w:pos="1809"/>
        </w:tabs>
        <w:ind w:left="1809" w:hanging="360"/>
      </w:pPr>
      <w:rPr>
        <w:rFonts w:ascii="Wingdings" w:hAnsi="Wingdings" w:hint="default"/>
      </w:rPr>
    </w:lvl>
    <w:lvl w:ilvl="3" w:tplc="04260001" w:tentative="1">
      <w:start w:val="1"/>
      <w:numFmt w:val="bullet"/>
      <w:lvlText w:val=""/>
      <w:lvlJc w:val="left"/>
      <w:pPr>
        <w:tabs>
          <w:tab w:val="num" w:pos="2529"/>
        </w:tabs>
        <w:ind w:left="2529" w:hanging="360"/>
      </w:pPr>
      <w:rPr>
        <w:rFonts w:ascii="Symbol" w:hAnsi="Symbol" w:hint="default"/>
      </w:rPr>
    </w:lvl>
    <w:lvl w:ilvl="4" w:tplc="04260003" w:tentative="1">
      <w:start w:val="1"/>
      <w:numFmt w:val="bullet"/>
      <w:lvlText w:val="o"/>
      <w:lvlJc w:val="left"/>
      <w:pPr>
        <w:tabs>
          <w:tab w:val="num" w:pos="3249"/>
        </w:tabs>
        <w:ind w:left="3249" w:hanging="360"/>
      </w:pPr>
      <w:rPr>
        <w:rFonts w:ascii="Courier New" w:hAnsi="Courier New" w:cs="Courier New" w:hint="default"/>
      </w:rPr>
    </w:lvl>
    <w:lvl w:ilvl="5" w:tplc="04260005" w:tentative="1">
      <w:start w:val="1"/>
      <w:numFmt w:val="bullet"/>
      <w:lvlText w:val=""/>
      <w:lvlJc w:val="left"/>
      <w:pPr>
        <w:tabs>
          <w:tab w:val="num" w:pos="3969"/>
        </w:tabs>
        <w:ind w:left="3969" w:hanging="360"/>
      </w:pPr>
      <w:rPr>
        <w:rFonts w:ascii="Wingdings" w:hAnsi="Wingdings" w:hint="default"/>
      </w:rPr>
    </w:lvl>
    <w:lvl w:ilvl="6" w:tplc="04260001" w:tentative="1">
      <w:start w:val="1"/>
      <w:numFmt w:val="bullet"/>
      <w:lvlText w:val=""/>
      <w:lvlJc w:val="left"/>
      <w:pPr>
        <w:tabs>
          <w:tab w:val="num" w:pos="4689"/>
        </w:tabs>
        <w:ind w:left="4689" w:hanging="360"/>
      </w:pPr>
      <w:rPr>
        <w:rFonts w:ascii="Symbol" w:hAnsi="Symbol" w:hint="default"/>
      </w:rPr>
    </w:lvl>
    <w:lvl w:ilvl="7" w:tplc="04260003" w:tentative="1">
      <w:start w:val="1"/>
      <w:numFmt w:val="bullet"/>
      <w:lvlText w:val="o"/>
      <w:lvlJc w:val="left"/>
      <w:pPr>
        <w:tabs>
          <w:tab w:val="num" w:pos="5409"/>
        </w:tabs>
        <w:ind w:left="5409" w:hanging="360"/>
      </w:pPr>
      <w:rPr>
        <w:rFonts w:ascii="Courier New" w:hAnsi="Courier New" w:cs="Courier New" w:hint="default"/>
      </w:rPr>
    </w:lvl>
    <w:lvl w:ilvl="8" w:tplc="04260005" w:tentative="1">
      <w:start w:val="1"/>
      <w:numFmt w:val="bullet"/>
      <w:lvlText w:val=""/>
      <w:lvlJc w:val="left"/>
      <w:pPr>
        <w:tabs>
          <w:tab w:val="num" w:pos="6129"/>
        </w:tabs>
        <w:ind w:left="6129" w:hanging="360"/>
      </w:pPr>
      <w:rPr>
        <w:rFonts w:ascii="Wingdings" w:hAnsi="Wingdings" w:hint="default"/>
      </w:rPr>
    </w:lvl>
  </w:abstractNum>
  <w:abstractNum w:abstractNumId="1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2" w15:restartNumberingAfterBreak="0">
    <w:nsid w:val="58AA343E"/>
    <w:multiLevelType w:val="hybridMultilevel"/>
    <w:tmpl w:val="E86E81F8"/>
    <w:lvl w:ilvl="0" w:tplc="2F1496B4">
      <w:start w:val="1"/>
      <w:numFmt w:val="bullet"/>
      <w:lvlText w:val="–"/>
      <w:lvlJc w:val="left"/>
      <w:pPr>
        <w:tabs>
          <w:tab w:val="num" w:pos="360"/>
        </w:tabs>
        <w:ind w:left="360" w:hanging="360"/>
      </w:pPr>
      <w:rPr>
        <w:rFonts w:ascii="Times New Roman" w:hAnsi="Times New Roman" w:cs="Times New Roman" w:hint="default"/>
        <w:b w:val="0"/>
        <w:i w:val="0"/>
        <w:spacing w:val="20"/>
        <w:sz w:val="24"/>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AF4295"/>
    <w:multiLevelType w:val="multilevel"/>
    <w:tmpl w:val="065E850C"/>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5"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15"/>
  </w:num>
  <w:num w:numId="5">
    <w:abstractNumId w:val="6"/>
  </w:num>
  <w:num w:numId="6">
    <w:abstractNumId w:val="11"/>
  </w:num>
  <w:num w:numId="7">
    <w:abstractNumId w:val="10"/>
  </w:num>
  <w:num w:numId="8">
    <w:abstractNumId w:val="5"/>
  </w:num>
  <w:num w:numId="9">
    <w:abstractNumId w:val="14"/>
  </w:num>
  <w:num w:numId="10">
    <w:abstractNumId w:val="2"/>
  </w:num>
  <w:num w:numId="11">
    <w:abstractNumId w:val="8"/>
  </w:num>
  <w:num w:numId="12">
    <w:abstractNumId w:val="13"/>
  </w:num>
  <w:num w:numId="13">
    <w:abstractNumId w:val="7"/>
  </w:num>
  <w:num w:numId="14">
    <w:abstractNumId w:val="0"/>
    <w:lvlOverride w:ilvl="0">
      <w:lvl w:ilvl="0">
        <w:start w:val="1"/>
        <w:numFmt w:val="bullet"/>
        <w:lvlText w:val="-"/>
        <w:lvlJc w:val="left"/>
        <w:pPr>
          <w:ind w:left="360" w:hanging="360"/>
        </w:pPr>
      </w:lvl>
    </w:lvlOverride>
  </w:num>
  <w:num w:numId="15">
    <w:abstractNumId w:val="3"/>
  </w:num>
  <w:num w:numId="16">
    <w:abstractNumId w:val="9"/>
  </w:num>
  <w:num w:numId="17">
    <w:abstractNumId w:val="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nl-NL"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sv-SE" w:vendorID="0" w:dllVersion="512" w:checkStyle="1"/>
  <w:activeWritingStyle w:appName="MSWord" w:lang="it-IT" w:vendorID="3" w:dllVersion="517"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docVars>
    <w:docVar w:name="Registered" w:val="-1"/>
    <w:docVar w:name="Version" w:val="0"/>
  </w:docVars>
  <w:rsids>
    <w:rsidRoot w:val="00482315"/>
    <w:rsid w:val="00007F80"/>
    <w:rsid w:val="00020C41"/>
    <w:rsid w:val="0003028E"/>
    <w:rsid w:val="00077695"/>
    <w:rsid w:val="00110332"/>
    <w:rsid w:val="00117159"/>
    <w:rsid w:val="00141B77"/>
    <w:rsid w:val="001425A7"/>
    <w:rsid w:val="0014271A"/>
    <w:rsid w:val="0016038C"/>
    <w:rsid w:val="00194A9C"/>
    <w:rsid w:val="001B01E7"/>
    <w:rsid w:val="001F275D"/>
    <w:rsid w:val="00212AF3"/>
    <w:rsid w:val="0023359E"/>
    <w:rsid w:val="002A48DC"/>
    <w:rsid w:val="002C2A13"/>
    <w:rsid w:val="002E75BA"/>
    <w:rsid w:val="00315D69"/>
    <w:rsid w:val="00336EFC"/>
    <w:rsid w:val="003746A1"/>
    <w:rsid w:val="003943D1"/>
    <w:rsid w:val="003A1E8E"/>
    <w:rsid w:val="003A5993"/>
    <w:rsid w:val="003B0AE3"/>
    <w:rsid w:val="003D597B"/>
    <w:rsid w:val="003F4004"/>
    <w:rsid w:val="004021C1"/>
    <w:rsid w:val="00402910"/>
    <w:rsid w:val="004134D4"/>
    <w:rsid w:val="00427A92"/>
    <w:rsid w:val="004819A0"/>
    <w:rsid w:val="00482315"/>
    <w:rsid w:val="004E6E06"/>
    <w:rsid w:val="004F7FDE"/>
    <w:rsid w:val="00540CED"/>
    <w:rsid w:val="005412F2"/>
    <w:rsid w:val="00556685"/>
    <w:rsid w:val="00597C2F"/>
    <w:rsid w:val="005B6164"/>
    <w:rsid w:val="005C54DE"/>
    <w:rsid w:val="006C1FC9"/>
    <w:rsid w:val="006D7246"/>
    <w:rsid w:val="00746308"/>
    <w:rsid w:val="007648E6"/>
    <w:rsid w:val="00790A82"/>
    <w:rsid w:val="007B2B53"/>
    <w:rsid w:val="007D66A5"/>
    <w:rsid w:val="007E62BA"/>
    <w:rsid w:val="008246E2"/>
    <w:rsid w:val="0085036B"/>
    <w:rsid w:val="00860674"/>
    <w:rsid w:val="0089197E"/>
    <w:rsid w:val="008D51EA"/>
    <w:rsid w:val="0090401A"/>
    <w:rsid w:val="00906956"/>
    <w:rsid w:val="009161AA"/>
    <w:rsid w:val="009C6CB2"/>
    <w:rsid w:val="009C7FB5"/>
    <w:rsid w:val="00A02D71"/>
    <w:rsid w:val="00A24558"/>
    <w:rsid w:val="00A82A56"/>
    <w:rsid w:val="00A82E53"/>
    <w:rsid w:val="00A858A1"/>
    <w:rsid w:val="00A86E25"/>
    <w:rsid w:val="00AF0A05"/>
    <w:rsid w:val="00B06984"/>
    <w:rsid w:val="00B23B97"/>
    <w:rsid w:val="00B30B07"/>
    <w:rsid w:val="00B43786"/>
    <w:rsid w:val="00B4646D"/>
    <w:rsid w:val="00B55FB5"/>
    <w:rsid w:val="00B81350"/>
    <w:rsid w:val="00BB528C"/>
    <w:rsid w:val="00BC25E7"/>
    <w:rsid w:val="00BC4418"/>
    <w:rsid w:val="00C5404D"/>
    <w:rsid w:val="00C70810"/>
    <w:rsid w:val="00C93419"/>
    <w:rsid w:val="00CA064B"/>
    <w:rsid w:val="00CD15B9"/>
    <w:rsid w:val="00CE6DEC"/>
    <w:rsid w:val="00CF70DB"/>
    <w:rsid w:val="00D05EA5"/>
    <w:rsid w:val="00D37D67"/>
    <w:rsid w:val="00D627C9"/>
    <w:rsid w:val="00D66538"/>
    <w:rsid w:val="00D76CD1"/>
    <w:rsid w:val="00D92476"/>
    <w:rsid w:val="00DD09C3"/>
    <w:rsid w:val="00E041A3"/>
    <w:rsid w:val="00E26021"/>
    <w:rsid w:val="00E26A7B"/>
    <w:rsid w:val="00E8099B"/>
    <w:rsid w:val="00EA45CD"/>
    <w:rsid w:val="00EE6C54"/>
    <w:rsid w:val="00F56380"/>
    <w:rsid w:val="00FB5125"/>
    <w:rsid w:val="00FD4878"/>
    <w:rsid w:val="00FE1A11"/>
    <w:rsid w:val="00FF2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839EB64"/>
  <w15:docId w15:val="{D868383D-A056-4944-9540-613780B1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DE"/>
    <w:rPr>
      <w:sz w:val="22"/>
      <w:lang w:eastAsia="en-US"/>
    </w:rPr>
  </w:style>
  <w:style w:type="paragraph" w:styleId="Heading1">
    <w:name w:val="heading 1"/>
    <w:basedOn w:val="Normal"/>
    <w:next w:val="Normal"/>
    <w:qFormat/>
    <w:rsid w:val="004F7FDE"/>
    <w:pPr>
      <w:keepNext/>
      <w:spacing w:line="260" w:lineRule="exact"/>
      <w:jc w:val="both"/>
      <w:outlineLvl w:val="0"/>
    </w:pPr>
    <w:rPr>
      <w:b/>
    </w:rPr>
  </w:style>
  <w:style w:type="paragraph" w:styleId="Heading2">
    <w:name w:val="heading 2"/>
    <w:basedOn w:val="Normal"/>
    <w:next w:val="Normal"/>
    <w:qFormat/>
    <w:rsid w:val="004F7FDE"/>
    <w:pPr>
      <w:keepNext/>
      <w:tabs>
        <w:tab w:val="left" w:pos="567"/>
      </w:tabs>
      <w:outlineLvl w:val="1"/>
    </w:pPr>
    <w:rPr>
      <w:b/>
    </w:rPr>
  </w:style>
  <w:style w:type="paragraph" w:styleId="Heading3">
    <w:name w:val="heading 3"/>
    <w:basedOn w:val="Normal"/>
    <w:next w:val="Normal"/>
    <w:qFormat/>
    <w:rsid w:val="004F7FDE"/>
    <w:pPr>
      <w:keepNext/>
      <w:spacing w:line="260" w:lineRule="exact"/>
      <w:jc w:val="both"/>
      <w:outlineLvl w:val="2"/>
    </w:pPr>
  </w:style>
  <w:style w:type="paragraph" w:styleId="Heading4">
    <w:name w:val="heading 4"/>
    <w:basedOn w:val="Normal"/>
    <w:next w:val="Normal"/>
    <w:qFormat/>
    <w:rsid w:val="004F7FDE"/>
    <w:pPr>
      <w:keepNext/>
      <w:tabs>
        <w:tab w:val="left" w:pos="567"/>
      </w:tabs>
      <w:spacing w:line="260" w:lineRule="exact"/>
      <w:jc w:val="both"/>
      <w:outlineLvl w:val="3"/>
    </w:pPr>
    <w:rPr>
      <w:b/>
      <w:noProof/>
    </w:rPr>
  </w:style>
  <w:style w:type="paragraph" w:styleId="Heading5">
    <w:name w:val="heading 5"/>
    <w:basedOn w:val="Normal"/>
    <w:next w:val="Normal"/>
    <w:qFormat/>
    <w:rsid w:val="004F7FDE"/>
    <w:pPr>
      <w:keepNext/>
      <w:jc w:val="center"/>
      <w:outlineLvl w:val="4"/>
    </w:pPr>
    <w:rPr>
      <w:b/>
    </w:rPr>
  </w:style>
  <w:style w:type="paragraph" w:styleId="Heading6">
    <w:name w:val="heading 6"/>
    <w:basedOn w:val="Normal"/>
    <w:next w:val="Normal"/>
    <w:qFormat/>
    <w:rsid w:val="004F7FDE"/>
    <w:pPr>
      <w:keepNext/>
      <w:tabs>
        <w:tab w:val="left" w:pos="-720"/>
        <w:tab w:val="left" w:pos="567"/>
        <w:tab w:val="left" w:pos="4536"/>
      </w:tabs>
      <w:suppressAutoHyphens/>
      <w:spacing w:line="260" w:lineRule="exact"/>
      <w:outlineLvl w:val="5"/>
    </w:pPr>
    <w:rPr>
      <w:i/>
      <w:lang w:val="en-GB"/>
    </w:rPr>
  </w:style>
  <w:style w:type="paragraph" w:styleId="Heading7">
    <w:name w:val="heading 7"/>
    <w:basedOn w:val="Normal"/>
    <w:next w:val="Normal"/>
    <w:qFormat/>
    <w:rsid w:val="004F7FDE"/>
    <w:pPr>
      <w:keepNext/>
      <w:tabs>
        <w:tab w:val="left" w:pos="-720"/>
        <w:tab w:val="left" w:pos="567"/>
        <w:tab w:val="left" w:pos="4536"/>
      </w:tabs>
      <w:suppressAutoHyphens/>
      <w:spacing w:line="260" w:lineRule="exact"/>
      <w:jc w:val="both"/>
      <w:outlineLvl w:val="6"/>
    </w:pPr>
    <w:rPr>
      <w:i/>
      <w:lang w:val="en-GB"/>
    </w:rPr>
  </w:style>
  <w:style w:type="paragraph" w:styleId="Heading8">
    <w:name w:val="heading 8"/>
    <w:basedOn w:val="Normal"/>
    <w:next w:val="Normal"/>
    <w:qFormat/>
    <w:rsid w:val="004F7FDE"/>
    <w:pPr>
      <w:keepNext/>
      <w:ind w:left="1494" w:hanging="360"/>
      <w:outlineLvl w:val="7"/>
    </w:pPr>
    <w:rPr>
      <w:b/>
    </w:rPr>
  </w:style>
  <w:style w:type="paragraph" w:styleId="Heading9">
    <w:name w:val="heading 9"/>
    <w:basedOn w:val="Normal"/>
    <w:next w:val="Normal"/>
    <w:qFormat/>
    <w:rsid w:val="004F7FDE"/>
    <w:pPr>
      <w:keepNext/>
      <w:shd w:val="pct25" w:color="000000" w:fill="FFFFFF"/>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F7FDE"/>
  </w:style>
  <w:style w:type="paragraph" w:styleId="Header">
    <w:name w:val="header"/>
    <w:basedOn w:val="Normal"/>
    <w:link w:val="HeaderChar"/>
    <w:uiPriority w:val="99"/>
    <w:rsid w:val="004F7FDE"/>
    <w:pPr>
      <w:tabs>
        <w:tab w:val="center" w:pos="4320"/>
        <w:tab w:val="right" w:pos="8640"/>
      </w:tabs>
    </w:pPr>
  </w:style>
  <w:style w:type="paragraph" w:styleId="Footer">
    <w:name w:val="footer"/>
    <w:basedOn w:val="Normal"/>
    <w:rsid w:val="004F7FDE"/>
    <w:pPr>
      <w:tabs>
        <w:tab w:val="center" w:pos="4536"/>
        <w:tab w:val="center" w:pos="8930"/>
      </w:tabs>
    </w:pPr>
    <w:rPr>
      <w:rFonts w:ascii="Helvetica" w:hAnsi="Helvetica"/>
      <w:sz w:val="16"/>
      <w:lang w:val="es-ES_tradnl"/>
    </w:rPr>
  </w:style>
  <w:style w:type="paragraph" w:styleId="BodyTextIndent">
    <w:name w:val="Body Text Indent"/>
    <w:basedOn w:val="Normal"/>
    <w:rsid w:val="004F7FDE"/>
    <w:pPr>
      <w:shd w:val="pct25" w:color="000000" w:fill="FFFFFF"/>
      <w:ind w:left="567" w:hanging="567"/>
    </w:pPr>
    <w:rPr>
      <w:b/>
    </w:rPr>
  </w:style>
  <w:style w:type="character" w:styleId="Hyperlink">
    <w:name w:val="Hyperlink"/>
    <w:rsid w:val="004F7FDE"/>
    <w:rPr>
      <w:color w:val="0000FF"/>
      <w:u w:val="single"/>
    </w:rPr>
  </w:style>
  <w:style w:type="paragraph" w:customStyle="1" w:styleId="EMEAEnBodyText">
    <w:name w:val="EMEA En Body Text"/>
    <w:basedOn w:val="Normal"/>
    <w:rsid w:val="004F7FDE"/>
    <w:pPr>
      <w:spacing w:before="120" w:after="120"/>
      <w:jc w:val="both"/>
    </w:pPr>
    <w:rPr>
      <w:lang w:val="en-US"/>
    </w:rPr>
  </w:style>
  <w:style w:type="paragraph" w:styleId="BalloonText">
    <w:name w:val="Balloon Text"/>
    <w:basedOn w:val="Normal"/>
    <w:semiHidden/>
    <w:rsid w:val="004F7FDE"/>
    <w:rPr>
      <w:rFonts w:ascii="Tahoma" w:hAnsi="Tahoma" w:cs="Tahoma"/>
      <w:sz w:val="16"/>
      <w:szCs w:val="16"/>
    </w:rPr>
  </w:style>
  <w:style w:type="character" w:styleId="FollowedHyperlink">
    <w:name w:val="FollowedHyperlink"/>
    <w:rsid w:val="004F7FDE"/>
    <w:rPr>
      <w:color w:val="800080"/>
      <w:u w:val="single"/>
    </w:rPr>
  </w:style>
  <w:style w:type="character" w:styleId="CommentReference">
    <w:name w:val="annotation reference"/>
    <w:uiPriority w:val="99"/>
    <w:semiHidden/>
    <w:unhideWhenUsed/>
    <w:rsid w:val="004F7FDE"/>
    <w:rPr>
      <w:sz w:val="16"/>
      <w:szCs w:val="16"/>
    </w:rPr>
  </w:style>
  <w:style w:type="paragraph" w:styleId="CommentText">
    <w:name w:val="annotation text"/>
    <w:basedOn w:val="Normal"/>
    <w:link w:val="CommentTextChar"/>
    <w:uiPriority w:val="99"/>
    <w:semiHidden/>
    <w:unhideWhenUsed/>
    <w:rsid w:val="004F7FDE"/>
    <w:rPr>
      <w:sz w:val="20"/>
    </w:rPr>
  </w:style>
  <w:style w:type="character" w:customStyle="1" w:styleId="CommentTextChar">
    <w:name w:val="Comment Text Char"/>
    <w:link w:val="CommentText"/>
    <w:uiPriority w:val="99"/>
    <w:semiHidden/>
    <w:rsid w:val="004F7FDE"/>
    <w:rPr>
      <w:lang w:eastAsia="en-US"/>
    </w:rPr>
  </w:style>
  <w:style w:type="paragraph" w:styleId="CommentSubject">
    <w:name w:val="annotation subject"/>
    <w:basedOn w:val="CommentText"/>
    <w:next w:val="CommentText"/>
    <w:link w:val="CommentSubjectChar"/>
    <w:uiPriority w:val="99"/>
    <w:semiHidden/>
    <w:unhideWhenUsed/>
    <w:rsid w:val="004F7FDE"/>
    <w:rPr>
      <w:b/>
      <w:bCs/>
    </w:rPr>
  </w:style>
  <w:style w:type="character" w:customStyle="1" w:styleId="CommentSubjectChar">
    <w:name w:val="Comment Subject Char"/>
    <w:link w:val="CommentSubject"/>
    <w:uiPriority w:val="99"/>
    <w:semiHidden/>
    <w:rsid w:val="004F7FDE"/>
    <w:rPr>
      <w:b/>
      <w:bCs/>
      <w:lang w:eastAsia="en-US"/>
    </w:rPr>
  </w:style>
  <w:style w:type="character" w:customStyle="1" w:styleId="HeaderChar">
    <w:name w:val="Header Char"/>
    <w:link w:val="Header"/>
    <w:uiPriority w:val="99"/>
    <w:rsid w:val="00BB528C"/>
    <w:rPr>
      <w:sz w:val="22"/>
      <w:lang w:eastAsia="en-US"/>
    </w:rPr>
  </w:style>
  <w:style w:type="character" w:styleId="PlaceholderText">
    <w:name w:val="Placeholder Text"/>
    <w:basedOn w:val="DefaultParagraphFont"/>
    <w:uiPriority w:val="99"/>
    <w:semiHidden/>
    <w:rsid w:val="00110332"/>
    <w:rPr>
      <w:color w:val="808080"/>
    </w:rPr>
  </w:style>
  <w:style w:type="paragraph" w:styleId="BodyText">
    <w:name w:val="Body Text"/>
    <w:basedOn w:val="Normal"/>
    <w:link w:val="BodyTextChar"/>
    <w:rsid w:val="002C2A13"/>
    <w:pPr>
      <w:spacing w:after="120"/>
    </w:pPr>
  </w:style>
  <w:style w:type="character" w:customStyle="1" w:styleId="BodyTextChar">
    <w:name w:val="Body Text Char"/>
    <w:basedOn w:val="DefaultParagraphFont"/>
    <w:link w:val="BodyText"/>
    <w:rsid w:val="002C2A13"/>
    <w:rPr>
      <w:sz w:val="22"/>
      <w:lang w:eastAsia="en-US"/>
    </w:rPr>
  </w:style>
  <w:style w:type="paragraph" w:customStyle="1" w:styleId="Default">
    <w:name w:val="Default"/>
    <w:rsid w:val="002C2A13"/>
    <w:pPr>
      <w:autoSpaceDE w:val="0"/>
      <w:autoSpaceDN w:val="0"/>
      <w:adjustRightInd w:val="0"/>
    </w:pPr>
    <w:rPr>
      <w:lang w:val="en-US" w:eastAsia="en-US"/>
    </w:rPr>
  </w:style>
  <w:style w:type="paragraph" w:styleId="ListParagraph">
    <w:name w:val="List Paragraph"/>
    <w:basedOn w:val="Normal"/>
    <w:uiPriority w:val="34"/>
    <w:qFormat/>
    <w:rsid w:val="002C2A13"/>
    <w:pPr>
      <w:ind w:left="720"/>
      <w:contextualSpacing/>
    </w:pPr>
    <w:rPr>
      <w:sz w:val="24"/>
      <w:szCs w:val="24"/>
      <w:lang w:val="en-GB"/>
    </w:rPr>
  </w:style>
  <w:style w:type="paragraph" w:customStyle="1" w:styleId="WW-Default">
    <w:name w:val="WW-Default"/>
    <w:rsid w:val="00597C2F"/>
    <w:pPr>
      <w:suppressAutoHyphens/>
      <w:autoSpaceDE w:val="0"/>
    </w:pPr>
    <w:rPr>
      <w:rFonts w:eastAsia="Calibri"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A43984E0-4B73-4B09-A247-48C0BAB148C6}"/>
      </w:docPartPr>
      <w:docPartBody>
        <w:p w:rsidR="00BB6EBD" w:rsidRDefault="00450785">
          <w:r w:rsidRPr="0089138B">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450785"/>
    <w:rsid w:val="002A1F57"/>
    <w:rsid w:val="00381600"/>
    <w:rsid w:val="00450785"/>
    <w:rsid w:val="00A5643C"/>
    <w:rsid w:val="00BB6EBD"/>
    <w:rsid w:val="00C26B54"/>
    <w:rsid w:val="00D31BF1"/>
    <w:rsid w:val="00D74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EBD"/>
    <w:rPr>
      <w:color w:val="808080"/>
    </w:rPr>
  </w:style>
  <w:style w:type="paragraph" w:customStyle="1" w:styleId="EF67056416AF4410925EF245E3FB228D">
    <w:name w:val="EF67056416AF4410925EF245E3FB228D"/>
    <w:rsid w:val="00BB6EBD"/>
  </w:style>
  <w:style w:type="paragraph" w:customStyle="1" w:styleId="914DAE7F5AF14DF48A7417DB329AD2B6">
    <w:name w:val="914DAE7F5AF14DF48A7417DB329AD2B6"/>
    <w:rsid w:val="00A5643C"/>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1953</Words>
  <Characters>11135</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Hreferralspccleande</vt:lpstr>
      <vt:lpstr>Hreferralspccleande</vt:lpstr>
    </vt:vector>
  </TitlesOfParts>
  <Company>EMEA</Company>
  <LinksUpToDate>false</LinksUpToDate>
  <CharactersWithSpaces>13062</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Hreferralspccleande</dc:title>
  <dc:subject>RA_1.3.1_00000338</dc:subject>
  <dc:creator>Offermann, Rita</dc:creator>
  <cp:lastModifiedBy>Skaidrīte Lapsenīte</cp:lastModifiedBy>
  <cp:revision>4</cp:revision>
  <cp:lastPrinted>2003-12-17T11:32:00Z</cp:lastPrinted>
  <dcterms:created xsi:type="dcterms:W3CDTF">2018-04-09T07:58:00Z</dcterms:created>
  <dcterms:modified xsi:type="dcterms:W3CDTF">2018-04-18T05:17:00Z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53546</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General-EMA/53546/2010</vt:lpwstr>
  </property>
  <property fmtid="{D5CDD505-2E9C-101B-9397-08002B2CF9AE}" pid="30" name="DM_Version">
    <vt:lpwstr>CURRENT,1.0</vt:lpwstr>
  </property>
  <property fmtid="{D5CDD505-2E9C-101B-9397-08002B2CF9AE}" pid="31" name="DM_Name">
    <vt:lpwstr>Hreferralspccleande</vt:lpwstr>
  </property>
  <property fmtid="{D5CDD505-2E9C-101B-9397-08002B2CF9AE}" pid="32" name="DM_Creation_Date">
    <vt:lpwstr>04/04/2013 15:45:01</vt:lpwstr>
  </property>
  <property fmtid="{D5CDD505-2E9C-101B-9397-08002B2CF9AE}" pid="33" name="DM_Modify_Date">
    <vt:lpwstr>04/04/2013 15:45:02</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EMA/213249/2013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EMA/213249/2013</vt:lpwstr>
  </property>
  <property fmtid="{D5CDD505-2E9C-101B-9397-08002B2CF9AE}" pid="41" name="DM_Modifer_Name">
    <vt:lpwstr>Horemans Karina</vt:lpwstr>
  </property>
  <property fmtid="{D5CDD505-2E9C-101B-9397-08002B2CF9AE}" pid="42" name="DM_Modified_Date">
    <vt:lpwstr>04/04/2013 15:45:02</vt:lpwstr>
  </property>
</Properties>
</file>