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74899" w14:textId="77777777" w:rsidR="00CD10AA" w:rsidRPr="00595075" w:rsidRDefault="00CD10AA" w:rsidP="00F70B36">
      <w:pPr>
        <w:spacing w:line="240" w:lineRule="auto"/>
        <w:jc w:val="center"/>
        <w:rPr>
          <w:color w:val="000000" w:themeColor="text1"/>
          <w:szCs w:val="22"/>
        </w:rPr>
      </w:pPr>
      <w:r w:rsidRPr="00595075">
        <w:rPr>
          <w:b/>
          <w:color w:val="000000" w:themeColor="text1"/>
          <w:szCs w:val="22"/>
        </w:rPr>
        <w:t>ZĀĻU APRAKSTS</w:t>
      </w:r>
    </w:p>
    <w:p w14:paraId="6568F856" w14:textId="77777777" w:rsidR="00FD187E" w:rsidRPr="00595075" w:rsidRDefault="00FD187E" w:rsidP="00F70B36">
      <w:pPr>
        <w:spacing w:line="240" w:lineRule="auto"/>
        <w:jc w:val="both"/>
        <w:rPr>
          <w:color w:val="000000" w:themeColor="text1"/>
          <w:szCs w:val="22"/>
        </w:rPr>
      </w:pPr>
    </w:p>
    <w:p w14:paraId="6E503D66" w14:textId="77777777" w:rsidR="008871B0" w:rsidRPr="00595075" w:rsidRDefault="008871B0" w:rsidP="00F70B36">
      <w:pPr>
        <w:spacing w:line="240" w:lineRule="auto"/>
        <w:jc w:val="both"/>
        <w:rPr>
          <w:color w:val="000000" w:themeColor="text1"/>
          <w:szCs w:val="22"/>
        </w:rPr>
      </w:pPr>
    </w:p>
    <w:p w14:paraId="1750649F" w14:textId="77777777" w:rsidR="00CD10AA" w:rsidRPr="00595075" w:rsidRDefault="00CD10AA" w:rsidP="00F70B36">
      <w:pPr>
        <w:spacing w:line="240" w:lineRule="auto"/>
        <w:jc w:val="both"/>
        <w:rPr>
          <w:b/>
          <w:color w:val="000000" w:themeColor="text1"/>
          <w:szCs w:val="22"/>
        </w:rPr>
      </w:pPr>
      <w:r w:rsidRPr="00595075">
        <w:rPr>
          <w:b/>
          <w:color w:val="000000" w:themeColor="text1"/>
          <w:szCs w:val="22"/>
        </w:rPr>
        <w:t>1.</w:t>
      </w:r>
      <w:r w:rsidRPr="00595075">
        <w:rPr>
          <w:b/>
          <w:color w:val="000000" w:themeColor="text1"/>
          <w:szCs w:val="22"/>
        </w:rPr>
        <w:tab/>
        <w:t>ZĀĻU NOSAUKUMS</w:t>
      </w:r>
    </w:p>
    <w:p w14:paraId="184D95A1" w14:textId="77777777" w:rsidR="000766F6" w:rsidRPr="00595075" w:rsidRDefault="000766F6" w:rsidP="00F70B36">
      <w:pPr>
        <w:spacing w:line="240" w:lineRule="auto"/>
        <w:jc w:val="both"/>
        <w:rPr>
          <w:b/>
          <w:color w:val="000000" w:themeColor="text1"/>
          <w:szCs w:val="22"/>
        </w:rPr>
      </w:pPr>
    </w:p>
    <w:p w14:paraId="3F2F4D31" w14:textId="144025D3" w:rsidR="000766F6" w:rsidRPr="00595075" w:rsidRDefault="00F66376" w:rsidP="00F70B36">
      <w:pPr>
        <w:spacing w:line="240" w:lineRule="auto"/>
        <w:jc w:val="both"/>
        <w:rPr>
          <w:b/>
          <w:i/>
          <w:color w:val="000000" w:themeColor="text1"/>
          <w:szCs w:val="22"/>
        </w:rPr>
      </w:pPr>
      <w:r w:rsidRPr="00595075">
        <w:rPr>
          <w:b/>
          <w:color w:val="000000" w:themeColor="text1"/>
          <w:szCs w:val="22"/>
        </w:rPr>
        <w:t>Aciclovir Medochemie</w:t>
      </w:r>
      <w:r w:rsidR="000766F6" w:rsidRPr="00595075">
        <w:rPr>
          <w:b/>
          <w:color w:val="000000" w:themeColor="text1"/>
          <w:szCs w:val="22"/>
        </w:rPr>
        <w:t xml:space="preserve"> 250 mg pulveris infūziju šķīduma pagatavošanai</w:t>
      </w:r>
    </w:p>
    <w:p w14:paraId="2B8A9477" w14:textId="3025180E" w:rsidR="00CD10AA" w:rsidRPr="00595075" w:rsidRDefault="00CD10AA" w:rsidP="00F70B36">
      <w:pPr>
        <w:spacing w:line="240" w:lineRule="auto"/>
        <w:jc w:val="both"/>
        <w:rPr>
          <w:color w:val="000000" w:themeColor="text1"/>
          <w:szCs w:val="22"/>
        </w:rPr>
      </w:pPr>
    </w:p>
    <w:p w14:paraId="1A188E01" w14:textId="77777777" w:rsidR="000766F6" w:rsidRPr="00595075" w:rsidRDefault="000766F6" w:rsidP="00F70B36">
      <w:pPr>
        <w:spacing w:line="240" w:lineRule="auto"/>
        <w:jc w:val="both"/>
        <w:rPr>
          <w:color w:val="000000" w:themeColor="text1"/>
          <w:szCs w:val="22"/>
        </w:rPr>
      </w:pPr>
    </w:p>
    <w:p w14:paraId="7E6E6BE0" w14:textId="77777777" w:rsidR="00CD10AA" w:rsidRPr="00595075" w:rsidRDefault="00CD10AA" w:rsidP="00F70B36">
      <w:pPr>
        <w:spacing w:line="240" w:lineRule="auto"/>
        <w:jc w:val="both"/>
        <w:rPr>
          <w:b/>
          <w:color w:val="000000" w:themeColor="text1"/>
          <w:szCs w:val="22"/>
        </w:rPr>
      </w:pPr>
      <w:r w:rsidRPr="00595075">
        <w:rPr>
          <w:b/>
          <w:color w:val="000000" w:themeColor="text1"/>
          <w:szCs w:val="22"/>
        </w:rPr>
        <w:t>2.</w:t>
      </w:r>
      <w:r w:rsidRPr="00595075">
        <w:rPr>
          <w:b/>
          <w:color w:val="000000" w:themeColor="text1"/>
          <w:szCs w:val="22"/>
        </w:rPr>
        <w:tab/>
        <w:t>KVALITATĪVAIS UN KVANTITATĪVAIS SASTĀVS</w:t>
      </w:r>
    </w:p>
    <w:p w14:paraId="6D2D6EA0" w14:textId="77777777" w:rsidR="00CD10AA" w:rsidRPr="00595075" w:rsidRDefault="00CD10AA" w:rsidP="00F70B36">
      <w:pPr>
        <w:spacing w:line="240" w:lineRule="auto"/>
        <w:jc w:val="both"/>
        <w:rPr>
          <w:color w:val="000000" w:themeColor="text1"/>
          <w:szCs w:val="22"/>
        </w:rPr>
      </w:pPr>
    </w:p>
    <w:p w14:paraId="2277CBF7" w14:textId="38AD941B" w:rsidR="000766F6" w:rsidRPr="00595075" w:rsidRDefault="000766F6" w:rsidP="00F70B36">
      <w:pPr>
        <w:spacing w:line="240" w:lineRule="auto"/>
        <w:jc w:val="both"/>
        <w:rPr>
          <w:noProof/>
          <w:color w:val="000000" w:themeColor="text1"/>
          <w:szCs w:val="22"/>
        </w:rPr>
      </w:pPr>
      <w:r w:rsidRPr="00595075">
        <w:rPr>
          <w:iCs/>
          <w:color w:val="000000" w:themeColor="text1"/>
          <w:szCs w:val="22"/>
        </w:rPr>
        <w:t>Katrs flakons satur 250 mg aciklovīra (</w:t>
      </w:r>
      <w:r w:rsidRPr="00595075">
        <w:rPr>
          <w:i/>
          <w:color w:val="000000" w:themeColor="text1"/>
          <w:szCs w:val="22"/>
        </w:rPr>
        <w:t>Aciclovirum</w:t>
      </w:r>
      <w:r w:rsidRPr="00595075">
        <w:rPr>
          <w:iCs/>
          <w:color w:val="000000" w:themeColor="text1"/>
          <w:szCs w:val="22"/>
        </w:rPr>
        <w:t>) (aciklovīra nātrija sāls veidā).</w:t>
      </w:r>
    </w:p>
    <w:p w14:paraId="23B32847" w14:textId="65BE100B" w:rsidR="000766F6" w:rsidRPr="00595075" w:rsidRDefault="000766F6" w:rsidP="00F70B36">
      <w:pPr>
        <w:pStyle w:val="EMEAEnBodyText"/>
        <w:autoSpaceDE w:val="0"/>
        <w:autoSpaceDN w:val="0"/>
        <w:adjustRightInd w:val="0"/>
        <w:spacing w:before="0" w:after="0"/>
        <w:rPr>
          <w:iCs/>
          <w:color w:val="000000" w:themeColor="text1"/>
          <w:szCs w:val="22"/>
          <w:lang w:val="lv-LV"/>
        </w:rPr>
      </w:pPr>
      <w:r w:rsidRPr="00595075">
        <w:rPr>
          <w:iCs/>
          <w:color w:val="000000" w:themeColor="text1"/>
          <w:szCs w:val="22"/>
          <w:lang w:val="lv-LV"/>
        </w:rPr>
        <w:t>Viens ml izšķīdināta šķīduma satur 25 mg aciklovīra.</w:t>
      </w:r>
    </w:p>
    <w:p w14:paraId="477A6317" w14:textId="77777777" w:rsidR="000766F6" w:rsidRPr="00595075" w:rsidRDefault="000766F6" w:rsidP="00F70B36">
      <w:pPr>
        <w:pStyle w:val="EMEAEnBodyText"/>
        <w:autoSpaceDE w:val="0"/>
        <w:autoSpaceDN w:val="0"/>
        <w:adjustRightInd w:val="0"/>
        <w:spacing w:before="0" w:after="0"/>
        <w:rPr>
          <w:iCs/>
          <w:color w:val="000000" w:themeColor="text1"/>
          <w:szCs w:val="22"/>
          <w:lang w:val="lv-LV"/>
        </w:rPr>
      </w:pPr>
    </w:p>
    <w:p w14:paraId="02F9F2E1" w14:textId="337D3AE0" w:rsidR="00CD10AA" w:rsidRPr="00595075" w:rsidRDefault="00CD10AA" w:rsidP="00F70B36">
      <w:pPr>
        <w:pStyle w:val="EMEAEnBodyText"/>
        <w:autoSpaceDE w:val="0"/>
        <w:autoSpaceDN w:val="0"/>
        <w:adjustRightInd w:val="0"/>
        <w:spacing w:before="0" w:after="0"/>
        <w:rPr>
          <w:color w:val="000000" w:themeColor="text1"/>
          <w:szCs w:val="22"/>
          <w:lang w:val="lv-LV"/>
        </w:rPr>
      </w:pPr>
      <w:r w:rsidRPr="00595075">
        <w:rPr>
          <w:color w:val="000000" w:themeColor="text1"/>
          <w:szCs w:val="22"/>
          <w:u w:val="single"/>
          <w:lang w:val="lv-LV"/>
        </w:rPr>
        <w:t>Palīgviela</w:t>
      </w:r>
      <w:r w:rsidR="007240AA" w:rsidRPr="00595075">
        <w:rPr>
          <w:color w:val="000000" w:themeColor="text1"/>
          <w:szCs w:val="22"/>
          <w:u w:val="single"/>
          <w:lang w:val="lv-LV"/>
        </w:rPr>
        <w:t xml:space="preserve"> ar zināmu iedarbību</w:t>
      </w:r>
      <w:r w:rsidR="000766F6" w:rsidRPr="00595075">
        <w:rPr>
          <w:color w:val="000000" w:themeColor="text1"/>
          <w:szCs w:val="22"/>
          <w:lang w:val="lv-LV"/>
        </w:rPr>
        <w:t>: satur mazāk par 1 mmol nātrija (23 mg) katrā devā.</w:t>
      </w:r>
    </w:p>
    <w:p w14:paraId="49E753DD" w14:textId="77777777" w:rsidR="00FD187E" w:rsidRPr="00595075" w:rsidRDefault="00FD187E" w:rsidP="00F70B36">
      <w:pPr>
        <w:pStyle w:val="EMEAEnBodyText"/>
        <w:autoSpaceDE w:val="0"/>
        <w:autoSpaceDN w:val="0"/>
        <w:adjustRightInd w:val="0"/>
        <w:spacing w:before="0" w:after="0"/>
        <w:rPr>
          <w:color w:val="000000" w:themeColor="text1"/>
          <w:szCs w:val="22"/>
          <w:u w:val="single"/>
          <w:lang w:val="lv-LV"/>
        </w:rPr>
      </w:pPr>
    </w:p>
    <w:p w14:paraId="4A8932FB" w14:textId="77777777" w:rsidR="00CD10AA" w:rsidRPr="00595075" w:rsidRDefault="00CD10AA" w:rsidP="00F70B36">
      <w:pPr>
        <w:spacing w:line="240" w:lineRule="auto"/>
        <w:jc w:val="both"/>
        <w:rPr>
          <w:color w:val="000000" w:themeColor="text1"/>
          <w:szCs w:val="22"/>
        </w:rPr>
      </w:pPr>
      <w:r w:rsidRPr="00595075">
        <w:rPr>
          <w:color w:val="000000" w:themeColor="text1"/>
          <w:szCs w:val="22"/>
        </w:rPr>
        <w:t xml:space="preserve">Pilnu palīgvielu sarakstu skatīt </w:t>
      </w:r>
      <w:r w:rsidR="0020587A" w:rsidRPr="00595075">
        <w:rPr>
          <w:color w:val="000000" w:themeColor="text1"/>
          <w:szCs w:val="22"/>
        </w:rPr>
        <w:t>6.1</w:t>
      </w:r>
      <w:r w:rsidR="00F41868" w:rsidRPr="00595075">
        <w:rPr>
          <w:color w:val="000000" w:themeColor="text1"/>
          <w:szCs w:val="22"/>
        </w:rPr>
        <w:t>.</w:t>
      </w:r>
      <w:r w:rsidR="0020587A" w:rsidRPr="00595075">
        <w:rPr>
          <w:color w:val="000000" w:themeColor="text1"/>
          <w:szCs w:val="22"/>
        </w:rPr>
        <w:t xml:space="preserve"> </w:t>
      </w:r>
      <w:r w:rsidRPr="00595075">
        <w:rPr>
          <w:color w:val="000000" w:themeColor="text1"/>
          <w:szCs w:val="22"/>
        </w:rPr>
        <w:t>apakšpunktā</w:t>
      </w:r>
      <w:r w:rsidR="0020587A" w:rsidRPr="00595075">
        <w:rPr>
          <w:color w:val="000000" w:themeColor="text1"/>
          <w:szCs w:val="22"/>
        </w:rPr>
        <w:t>.</w:t>
      </w:r>
    </w:p>
    <w:p w14:paraId="0C75B508" w14:textId="664876C5" w:rsidR="00CD10AA" w:rsidRPr="00595075" w:rsidRDefault="00CD10AA" w:rsidP="00F70B36">
      <w:pPr>
        <w:spacing w:line="240" w:lineRule="auto"/>
        <w:jc w:val="both"/>
        <w:rPr>
          <w:color w:val="000000" w:themeColor="text1"/>
          <w:szCs w:val="22"/>
        </w:rPr>
      </w:pPr>
    </w:p>
    <w:p w14:paraId="050143C7" w14:textId="77777777" w:rsidR="000766F6" w:rsidRPr="00595075" w:rsidRDefault="000766F6" w:rsidP="00F70B36">
      <w:pPr>
        <w:spacing w:line="240" w:lineRule="auto"/>
        <w:jc w:val="both"/>
        <w:rPr>
          <w:color w:val="000000" w:themeColor="text1"/>
          <w:szCs w:val="22"/>
        </w:rPr>
      </w:pPr>
    </w:p>
    <w:p w14:paraId="1AAEB253" w14:textId="77777777" w:rsidR="00CD10AA" w:rsidRPr="00595075" w:rsidRDefault="00CD10AA" w:rsidP="00F70B36">
      <w:pPr>
        <w:spacing w:line="240" w:lineRule="auto"/>
        <w:jc w:val="both"/>
        <w:rPr>
          <w:b/>
          <w:caps/>
          <w:color w:val="000000" w:themeColor="text1"/>
          <w:szCs w:val="22"/>
        </w:rPr>
      </w:pPr>
      <w:r w:rsidRPr="00595075">
        <w:rPr>
          <w:b/>
          <w:color w:val="000000" w:themeColor="text1"/>
          <w:szCs w:val="22"/>
        </w:rPr>
        <w:t>3.</w:t>
      </w:r>
      <w:r w:rsidRPr="00595075">
        <w:rPr>
          <w:b/>
          <w:color w:val="000000" w:themeColor="text1"/>
          <w:szCs w:val="22"/>
        </w:rPr>
        <w:tab/>
        <w:t>ZĀĻU FORMA</w:t>
      </w:r>
    </w:p>
    <w:p w14:paraId="3AFBD964" w14:textId="77777777" w:rsidR="00CD10AA" w:rsidRPr="00595075" w:rsidRDefault="00CD10AA" w:rsidP="00F70B36">
      <w:pPr>
        <w:spacing w:line="240" w:lineRule="auto"/>
        <w:jc w:val="both"/>
        <w:rPr>
          <w:color w:val="000000" w:themeColor="text1"/>
          <w:szCs w:val="22"/>
        </w:rPr>
      </w:pPr>
    </w:p>
    <w:p w14:paraId="44ECCAD0" w14:textId="769F3A08" w:rsidR="00CD10AA" w:rsidRPr="00595075" w:rsidRDefault="000766F6" w:rsidP="00F70B36">
      <w:pPr>
        <w:spacing w:line="240" w:lineRule="auto"/>
        <w:jc w:val="both"/>
        <w:rPr>
          <w:bCs/>
          <w:color w:val="000000" w:themeColor="text1"/>
          <w:szCs w:val="22"/>
        </w:rPr>
      </w:pPr>
      <w:r w:rsidRPr="00595075">
        <w:rPr>
          <w:bCs/>
          <w:color w:val="000000" w:themeColor="text1"/>
          <w:szCs w:val="22"/>
        </w:rPr>
        <w:t>Pulveris infūziju šķīduma pagatavošanai.</w:t>
      </w:r>
    </w:p>
    <w:p w14:paraId="4FF80995" w14:textId="77777777" w:rsidR="000766F6" w:rsidRPr="00595075" w:rsidRDefault="000766F6" w:rsidP="00F70B36">
      <w:pPr>
        <w:tabs>
          <w:tab w:val="clear" w:pos="567"/>
        </w:tabs>
        <w:spacing w:line="240" w:lineRule="auto"/>
        <w:jc w:val="both"/>
        <w:rPr>
          <w:bCs/>
          <w:color w:val="000000" w:themeColor="text1"/>
          <w:szCs w:val="22"/>
        </w:rPr>
      </w:pPr>
      <w:r w:rsidRPr="00595075">
        <w:rPr>
          <w:bCs/>
          <w:color w:val="000000" w:themeColor="text1"/>
          <w:szCs w:val="22"/>
        </w:rPr>
        <w:t>Balts liofilizēts pulveris.</w:t>
      </w:r>
    </w:p>
    <w:p w14:paraId="27A26FA6" w14:textId="0371F342" w:rsidR="000766F6" w:rsidRPr="00595075" w:rsidRDefault="000766F6" w:rsidP="00F70B36">
      <w:pPr>
        <w:spacing w:line="240" w:lineRule="auto"/>
        <w:jc w:val="both"/>
        <w:rPr>
          <w:color w:val="000000" w:themeColor="text1"/>
          <w:szCs w:val="22"/>
        </w:rPr>
      </w:pPr>
    </w:p>
    <w:p w14:paraId="458DCFD7" w14:textId="77777777" w:rsidR="000766F6" w:rsidRPr="00595075" w:rsidRDefault="000766F6" w:rsidP="00F70B36">
      <w:pPr>
        <w:spacing w:line="240" w:lineRule="auto"/>
        <w:jc w:val="both"/>
        <w:rPr>
          <w:color w:val="000000" w:themeColor="text1"/>
          <w:szCs w:val="22"/>
        </w:rPr>
      </w:pPr>
    </w:p>
    <w:p w14:paraId="4B2D6B26" w14:textId="77777777" w:rsidR="00CD10AA" w:rsidRPr="00595075" w:rsidRDefault="00CD10AA" w:rsidP="00F70B36">
      <w:pPr>
        <w:tabs>
          <w:tab w:val="clear" w:pos="567"/>
        </w:tabs>
        <w:spacing w:line="240" w:lineRule="auto"/>
        <w:jc w:val="both"/>
        <w:rPr>
          <w:b/>
          <w:color w:val="000000" w:themeColor="text1"/>
          <w:szCs w:val="22"/>
        </w:rPr>
      </w:pPr>
      <w:r w:rsidRPr="00595075">
        <w:rPr>
          <w:b/>
          <w:caps/>
          <w:color w:val="000000" w:themeColor="text1"/>
          <w:szCs w:val="22"/>
        </w:rPr>
        <w:t>4.</w:t>
      </w:r>
      <w:r w:rsidRPr="00595075">
        <w:rPr>
          <w:b/>
          <w:caps/>
          <w:color w:val="000000" w:themeColor="text1"/>
          <w:szCs w:val="22"/>
        </w:rPr>
        <w:tab/>
        <w:t>KLĪNISKĀ INFORMĀCIJA</w:t>
      </w:r>
    </w:p>
    <w:p w14:paraId="5FDB1C8B" w14:textId="77777777" w:rsidR="000766F6" w:rsidRPr="00595075" w:rsidRDefault="000766F6" w:rsidP="00F70B36">
      <w:pPr>
        <w:tabs>
          <w:tab w:val="clear" w:pos="567"/>
        </w:tabs>
        <w:spacing w:line="240" w:lineRule="auto"/>
        <w:jc w:val="both"/>
        <w:rPr>
          <w:b/>
          <w:color w:val="000000" w:themeColor="text1"/>
          <w:szCs w:val="22"/>
        </w:rPr>
      </w:pPr>
    </w:p>
    <w:p w14:paraId="287465A0" w14:textId="2C69547D" w:rsidR="00CD10AA" w:rsidRPr="00595075" w:rsidRDefault="00CD10AA" w:rsidP="00F70B36">
      <w:pPr>
        <w:tabs>
          <w:tab w:val="clear" w:pos="567"/>
        </w:tabs>
        <w:spacing w:line="240" w:lineRule="auto"/>
        <w:jc w:val="both"/>
        <w:rPr>
          <w:color w:val="000000" w:themeColor="text1"/>
          <w:szCs w:val="22"/>
        </w:rPr>
      </w:pPr>
      <w:r w:rsidRPr="00595075">
        <w:rPr>
          <w:b/>
          <w:color w:val="000000" w:themeColor="text1"/>
          <w:szCs w:val="22"/>
        </w:rPr>
        <w:t>4.1</w:t>
      </w:r>
      <w:r w:rsidR="003B0FF0" w:rsidRPr="00595075">
        <w:rPr>
          <w:b/>
          <w:color w:val="000000" w:themeColor="text1"/>
          <w:szCs w:val="22"/>
        </w:rPr>
        <w:t>.</w:t>
      </w:r>
      <w:r w:rsidRPr="00595075">
        <w:rPr>
          <w:b/>
          <w:color w:val="000000" w:themeColor="text1"/>
          <w:szCs w:val="22"/>
        </w:rPr>
        <w:tab/>
        <w:t>Terapeitiskās indikācijas</w:t>
      </w:r>
    </w:p>
    <w:p w14:paraId="146B7648" w14:textId="04EC1E11" w:rsidR="00CD10AA" w:rsidRPr="00595075" w:rsidRDefault="00CD10AA" w:rsidP="00F70B36">
      <w:pPr>
        <w:tabs>
          <w:tab w:val="clear" w:pos="567"/>
        </w:tabs>
        <w:spacing w:line="240" w:lineRule="auto"/>
        <w:jc w:val="both"/>
        <w:rPr>
          <w:color w:val="000000" w:themeColor="text1"/>
          <w:szCs w:val="22"/>
        </w:rPr>
      </w:pPr>
    </w:p>
    <w:p w14:paraId="44038FCE" w14:textId="6C3C0CB1" w:rsidR="00090207" w:rsidRPr="00595075" w:rsidRDefault="00F66376" w:rsidP="00F70B36">
      <w:pPr>
        <w:spacing w:line="240" w:lineRule="auto"/>
        <w:jc w:val="both"/>
        <w:rPr>
          <w:color w:val="000000" w:themeColor="text1"/>
          <w:szCs w:val="22"/>
        </w:rPr>
      </w:pPr>
      <w:r w:rsidRPr="00595075">
        <w:rPr>
          <w:iCs/>
          <w:color w:val="000000" w:themeColor="text1"/>
          <w:szCs w:val="22"/>
        </w:rPr>
        <w:t>Aciclovir Medochemie</w:t>
      </w:r>
      <w:r w:rsidR="00090207" w:rsidRPr="00595075">
        <w:rPr>
          <w:color w:val="000000" w:themeColor="text1"/>
          <w:szCs w:val="22"/>
        </w:rPr>
        <w:t xml:space="preserve"> ir indicēts:</w:t>
      </w:r>
    </w:p>
    <w:p w14:paraId="57B0B976" w14:textId="4EADED7D" w:rsidR="00090207" w:rsidRPr="00595075" w:rsidRDefault="000B2521" w:rsidP="00F70B36">
      <w:pPr>
        <w:numPr>
          <w:ilvl w:val="0"/>
          <w:numId w:val="27"/>
        </w:numPr>
        <w:tabs>
          <w:tab w:val="clear" w:pos="567"/>
          <w:tab w:val="left" w:pos="709"/>
        </w:tabs>
        <w:spacing w:line="240" w:lineRule="auto"/>
        <w:jc w:val="both"/>
        <w:rPr>
          <w:i/>
          <w:color w:val="000000" w:themeColor="text1"/>
          <w:szCs w:val="22"/>
        </w:rPr>
      </w:pPr>
      <w:bookmarkStart w:id="0" w:name="_Hlk52350360"/>
      <w:r w:rsidRPr="00595075">
        <w:rPr>
          <w:i/>
          <w:color w:val="000000" w:themeColor="text1"/>
          <w:szCs w:val="22"/>
        </w:rPr>
        <w:t xml:space="preserve">herpes </w:t>
      </w:r>
      <w:r w:rsidR="00090207" w:rsidRPr="00595075">
        <w:rPr>
          <w:i/>
          <w:color w:val="000000" w:themeColor="text1"/>
          <w:szCs w:val="22"/>
        </w:rPr>
        <w:t>simplex</w:t>
      </w:r>
      <w:r w:rsidR="00090207" w:rsidRPr="00595075">
        <w:rPr>
          <w:color w:val="000000" w:themeColor="text1"/>
          <w:szCs w:val="22"/>
        </w:rPr>
        <w:t xml:space="preserve"> infekcijas </w:t>
      </w:r>
      <w:bookmarkEnd w:id="0"/>
      <w:r w:rsidR="00090207" w:rsidRPr="00595075">
        <w:rPr>
          <w:color w:val="000000" w:themeColor="text1"/>
          <w:szCs w:val="22"/>
        </w:rPr>
        <w:t>ārstēšanai</w:t>
      </w:r>
      <w:r w:rsidR="00633DA8" w:rsidRPr="00595075">
        <w:rPr>
          <w:color w:val="000000" w:themeColor="text1"/>
          <w:szCs w:val="22"/>
        </w:rPr>
        <w:t xml:space="preserve"> pacientiem ar nomāktu imunitāti un smagas pirmreizējās dzimumorgānu </w:t>
      </w:r>
      <w:r w:rsidR="00633DA8" w:rsidRPr="00595075">
        <w:rPr>
          <w:i/>
          <w:iCs/>
          <w:color w:val="000000" w:themeColor="text1"/>
          <w:szCs w:val="22"/>
        </w:rPr>
        <w:t>herpes</w:t>
      </w:r>
      <w:r w:rsidR="00633DA8" w:rsidRPr="00595075">
        <w:rPr>
          <w:color w:val="000000" w:themeColor="text1"/>
          <w:szCs w:val="22"/>
        </w:rPr>
        <w:t xml:space="preserve"> ārstēšanai pacientiem ar normālu imūnās sistēmas darbību</w:t>
      </w:r>
      <w:r w:rsidR="00090207" w:rsidRPr="00595075">
        <w:rPr>
          <w:color w:val="000000" w:themeColor="text1"/>
          <w:szCs w:val="22"/>
        </w:rPr>
        <w:t>;</w:t>
      </w:r>
    </w:p>
    <w:p w14:paraId="31C7C5BA" w14:textId="0198D9A5" w:rsidR="00090207" w:rsidRPr="00595075" w:rsidRDefault="000B2521" w:rsidP="00F70B36">
      <w:pPr>
        <w:numPr>
          <w:ilvl w:val="0"/>
          <w:numId w:val="27"/>
        </w:numPr>
        <w:tabs>
          <w:tab w:val="clear" w:pos="567"/>
          <w:tab w:val="left" w:pos="709"/>
        </w:tabs>
        <w:spacing w:line="240" w:lineRule="auto"/>
        <w:jc w:val="both"/>
        <w:rPr>
          <w:i/>
          <w:color w:val="000000" w:themeColor="text1"/>
          <w:szCs w:val="22"/>
        </w:rPr>
      </w:pPr>
      <w:r w:rsidRPr="00595075">
        <w:rPr>
          <w:i/>
          <w:color w:val="000000" w:themeColor="text1"/>
          <w:szCs w:val="22"/>
        </w:rPr>
        <w:t xml:space="preserve">herpes </w:t>
      </w:r>
      <w:r w:rsidR="00090207" w:rsidRPr="00595075">
        <w:rPr>
          <w:i/>
          <w:color w:val="000000" w:themeColor="text1"/>
          <w:szCs w:val="22"/>
        </w:rPr>
        <w:t>simplex</w:t>
      </w:r>
      <w:r w:rsidR="00090207" w:rsidRPr="00595075">
        <w:rPr>
          <w:color w:val="000000" w:themeColor="text1"/>
          <w:szCs w:val="22"/>
        </w:rPr>
        <w:t xml:space="preserve"> infekcijas profilaksei pacientiem ar nomāktu imunitāti;</w:t>
      </w:r>
    </w:p>
    <w:p w14:paraId="57F92C96" w14:textId="32BD84E2" w:rsidR="00090207" w:rsidRPr="00595075" w:rsidRDefault="000B2521" w:rsidP="00F70B36">
      <w:pPr>
        <w:numPr>
          <w:ilvl w:val="0"/>
          <w:numId w:val="27"/>
        </w:numPr>
        <w:tabs>
          <w:tab w:val="clear" w:pos="567"/>
          <w:tab w:val="left" w:pos="709"/>
        </w:tabs>
        <w:spacing w:line="240" w:lineRule="auto"/>
        <w:jc w:val="both"/>
        <w:rPr>
          <w:i/>
          <w:color w:val="000000" w:themeColor="text1"/>
          <w:szCs w:val="22"/>
        </w:rPr>
      </w:pPr>
      <w:bookmarkStart w:id="1" w:name="_Hlk52351902"/>
      <w:r w:rsidRPr="00595075">
        <w:rPr>
          <w:i/>
          <w:color w:val="000000" w:themeColor="text1"/>
          <w:szCs w:val="22"/>
        </w:rPr>
        <w:t>varicella</w:t>
      </w:r>
      <w:r w:rsidRPr="00595075">
        <w:rPr>
          <w:color w:val="000000" w:themeColor="text1"/>
          <w:szCs w:val="22"/>
        </w:rPr>
        <w:t xml:space="preserve"> </w:t>
      </w:r>
      <w:r w:rsidR="00090207" w:rsidRPr="00595075">
        <w:rPr>
          <w:i/>
          <w:color w:val="000000" w:themeColor="text1"/>
          <w:szCs w:val="22"/>
        </w:rPr>
        <w:t>zoster</w:t>
      </w:r>
      <w:r w:rsidR="00090207" w:rsidRPr="00595075">
        <w:rPr>
          <w:color w:val="000000" w:themeColor="text1"/>
          <w:szCs w:val="22"/>
        </w:rPr>
        <w:t xml:space="preserve"> infekcijas</w:t>
      </w:r>
      <w:r w:rsidR="00633DA8" w:rsidRPr="00595075">
        <w:rPr>
          <w:color w:val="000000" w:themeColor="text1"/>
          <w:szCs w:val="22"/>
        </w:rPr>
        <w:t xml:space="preserve"> recidīva</w:t>
      </w:r>
      <w:r w:rsidR="00090207" w:rsidRPr="00595075">
        <w:rPr>
          <w:color w:val="000000" w:themeColor="text1"/>
          <w:szCs w:val="22"/>
        </w:rPr>
        <w:t xml:space="preserve"> ārstēšana</w:t>
      </w:r>
      <w:bookmarkEnd w:id="1"/>
      <w:r w:rsidR="00090207" w:rsidRPr="00595075">
        <w:rPr>
          <w:color w:val="000000" w:themeColor="text1"/>
          <w:szCs w:val="22"/>
        </w:rPr>
        <w:t>i</w:t>
      </w:r>
      <w:r w:rsidR="00633DA8" w:rsidRPr="00595075">
        <w:rPr>
          <w:color w:val="000000" w:themeColor="text1"/>
          <w:szCs w:val="22"/>
        </w:rPr>
        <w:t xml:space="preserve"> </w:t>
      </w:r>
      <w:r w:rsidR="005F677B" w:rsidRPr="00595075">
        <w:rPr>
          <w:color w:val="000000" w:themeColor="text1"/>
          <w:szCs w:val="22"/>
        </w:rPr>
        <w:t>pacientiem ar normālu imūnās sistēmas darbību</w:t>
      </w:r>
      <w:r w:rsidR="00090207" w:rsidRPr="00595075">
        <w:rPr>
          <w:color w:val="000000" w:themeColor="text1"/>
          <w:szCs w:val="22"/>
        </w:rPr>
        <w:t>;</w:t>
      </w:r>
    </w:p>
    <w:p w14:paraId="430E8881" w14:textId="433C3CE8" w:rsidR="00633DA8" w:rsidRPr="00595075" w:rsidRDefault="00633DA8" w:rsidP="00633DA8">
      <w:pPr>
        <w:numPr>
          <w:ilvl w:val="0"/>
          <w:numId w:val="27"/>
        </w:numPr>
        <w:tabs>
          <w:tab w:val="clear" w:pos="567"/>
          <w:tab w:val="left" w:pos="709"/>
        </w:tabs>
        <w:spacing w:line="240" w:lineRule="auto"/>
        <w:jc w:val="both"/>
        <w:rPr>
          <w:i/>
          <w:color w:val="000000" w:themeColor="text1"/>
          <w:szCs w:val="22"/>
        </w:rPr>
      </w:pPr>
      <w:r w:rsidRPr="00595075">
        <w:rPr>
          <w:color w:val="000000" w:themeColor="text1"/>
          <w:szCs w:val="22"/>
        </w:rPr>
        <w:t xml:space="preserve">pirmreizējas </w:t>
      </w:r>
      <w:r w:rsidR="000B2521" w:rsidRPr="00595075">
        <w:rPr>
          <w:i/>
          <w:color w:val="000000" w:themeColor="text1"/>
          <w:szCs w:val="22"/>
        </w:rPr>
        <w:t>varicella</w:t>
      </w:r>
      <w:r w:rsidR="000B2521" w:rsidRPr="00595075">
        <w:rPr>
          <w:color w:val="000000" w:themeColor="text1"/>
          <w:szCs w:val="22"/>
        </w:rPr>
        <w:t xml:space="preserve"> </w:t>
      </w:r>
      <w:r w:rsidRPr="00595075">
        <w:rPr>
          <w:i/>
          <w:color w:val="000000" w:themeColor="text1"/>
          <w:szCs w:val="22"/>
        </w:rPr>
        <w:t>zoster</w:t>
      </w:r>
      <w:r w:rsidRPr="00595075">
        <w:rPr>
          <w:color w:val="000000" w:themeColor="text1"/>
          <w:szCs w:val="22"/>
        </w:rPr>
        <w:t xml:space="preserve"> infekcijas un tās recidīva ārstēšanai pacientiem ar nomāktu imunitāti;</w:t>
      </w:r>
    </w:p>
    <w:p w14:paraId="145DDDD6" w14:textId="1A6ADC1E" w:rsidR="00090207" w:rsidRPr="00595075" w:rsidRDefault="000B2521" w:rsidP="000B2521">
      <w:pPr>
        <w:numPr>
          <w:ilvl w:val="0"/>
          <w:numId w:val="27"/>
        </w:numPr>
        <w:tabs>
          <w:tab w:val="clear" w:pos="567"/>
          <w:tab w:val="left" w:pos="709"/>
        </w:tabs>
        <w:spacing w:line="240" w:lineRule="auto"/>
        <w:jc w:val="both"/>
        <w:rPr>
          <w:color w:val="000000" w:themeColor="text1"/>
          <w:szCs w:val="22"/>
        </w:rPr>
      </w:pPr>
      <w:r w:rsidRPr="00595075">
        <w:rPr>
          <w:i/>
          <w:color w:val="000000" w:themeColor="text1"/>
          <w:szCs w:val="22"/>
        </w:rPr>
        <w:t xml:space="preserve">herpes </w:t>
      </w:r>
      <w:r w:rsidRPr="00595075">
        <w:rPr>
          <w:color w:val="000000" w:themeColor="text1"/>
          <w:szCs w:val="22"/>
        </w:rPr>
        <w:t xml:space="preserve">encefalīta </w:t>
      </w:r>
      <w:r w:rsidR="00090207" w:rsidRPr="00595075">
        <w:rPr>
          <w:color w:val="000000" w:themeColor="text1"/>
          <w:szCs w:val="22"/>
        </w:rPr>
        <w:t xml:space="preserve">ārstēšanai </w:t>
      </w:r>
      <w:r w:rsidRPr="00595075">
        <w:rPr>
          <w:color w:val="000000" w:themeColor="text1"/>
          <w:szCs w:val="22"/>
        </w:rPr>
        <w:t>pacientiem ar nomāktu imunitāti un pacientiem ar normālu imūnās sistēmas darbību</w:t>
      </w:r>
      <w:r w:rsidR="00090207" w:rsidRPr="00595075">
        <w:rPr>
          <w:color w:val="000000" w:themeColor="text1"/>
          <w:szCs w:val="22"/>
        </w:rPr>
        <w:t>.</w:t>
      </w:r>
    </w:p>
    <w:p w14:paraId="714A21E7" w14:textId="77777777" w:rsidR="00090207" w:rsidRPr="00595075" w:rsidRDefault="00090207" w:rsidP="00F70B36">
      <w:pPr>
        <w:tabs>
          <w:tab w:val="clear" w:pos="567"/>
        </w:tabs>
        <w:spacing w:line="240" w:lineRule="auto"/>
        <w:jc w:val="both"/>
        <w:rPr>
          <w:color w:val="000000" w:themeColor="text1"/>
          <w:szCs w:val="22"/>
        </w:rPr>
      </w:pPr>
    </w:p>
    <w:p w14:paraId="79A562BF" w14:textId="77777777" w:rsidR="00CD10AA" w:rsidRPr="00595075" w:rsidRDefault="00CD10AA" w:rsidP="00F70B36">
      <w:pPr>
        <w:tabs>
          <w:tab w:val="clear" w:pos="567"/>
        </w:tabs>
        <w:spacing w:line="240" w:lineRule="auto"/>
        <w:jc w:val="both"/>
        <w:rPr>
          <w:b/>
          <w:color w:val="000000" w:themeColor="text1"/>
          <w:szCs w:val="22"/>
        </w:rPr>
      </w:pPr>
      <w:r w:rsidRPr="00595075">
        <w:rPr>
          <w:b/>
          <w:color w:val="000000" w:themeColor="text1"/>
          <w:szCs w:val="22"/>
        </w:rPr>
        <w:t>4.2</w:t>
      </w:r>
      <w:r w:rsidR="00FB475A" w:rsidRPr="00595075">
        <w:rPr>
          <w:b/>
          <w:color w:val="000000" w:themeColor="text1"/>
          <w:szCs w:val="22"/>
        </w:rPr>
        <w:t>.</w:t>
      </w:r>
      <w:r w:rsidRPr="00595075">
        <w:rPr>
          <w:b/>
          <w:color w:val="000000" w:themeColor="text1"/>
          <w:szCs w:val="22"/>
        </w:rPr>
        <w:tab/>
        <w:t>Devas un lietošanas veids</w:t>
      </w:r>
    </w:p>
    <w:p w14:paraId="613EC662" w14:textId="77777777" w:rsidR="00090207" w:rsidRPr="00595075" w:rsidRDefault="00090207" w:rsidP="00F70B36">
      <w:pPr>
        <w:tabs>
          <w:tab w:val="clear" w:pos="567"/>
        </w:tabs>
        <w:spacing w:line="240" w:lineRule="auto"/>
        <w:jc w:val="both"/>
        <w:rPr>
          <w:color w:val="000000" w:themeColor="text1"/>
          <w:szCs w:val="22"/>
          <w:u w:val="single"/>
        </w:rPr>
      </w:pPr>
    </w:p>
    <w:p w14:paraId="58CA3B3C" w14:textId="5F97E526" w:rsidR="0097548A" w:rsidRPr="00595075" w:rsidRDefault="00FD187E" w:rsidP="00F70B36">
      <w:pPr>
        <w:tabs>
          <w:tab w:val="clear" w:pos="567"/>
        </w:tabs>
        <w:spacing w:line="240" w:lineRule="auto"/>
        <w:jc w:val="both"/>
        <w:rPr>
          <w:color w:val="000000" w:themeColor="text1"/>
          <w:szCs w:val="22"/>
          <w:u w:val="single"/>
        </w:rPr>
      </w:pPr>
      <w:r w:rsidRPr="00595075">
        <w:rPr>
          <w:color w:val="000000" w:themeColor="text1"/>
          <w:szCs w:val="22"/>
          <w:u w:val="single"/>
        </w:rPr>
        <w:t>Devas</w:t>
      </w:r>
    </w:p>
    <w:p w14:paraId="5D52E945" w14:textId="2F228186" w:rsidR="000B2521" w:rsidRPr="00595075" w:rsidRDefault="000B2521" w:rsidP="000B2521">
      <w:pPr>
        <w:spacing w:line="240" w:lineRule="auto"/>
        <w:jc w:val="both"/>
        <w:rPr>
          <w:color w:val="000000" w:themeColor="text1"/>
          <w:szCs w:val="22"/>
        </w:rPr>
      </w:pPr>
      <w:r w:rsidRPr="00595075">
        <w:rPr>
          <w:color w:val="000000" w:themeColor="text1"/>
          <w:szCs w:val="22"/>
        </w:rPr>
        <w:t xml:space="preserve">Pacientiem ar </w:t>
      </w:r>
      <w:r w:rsidRPr="00595075">
        <w:rPr>
          <w:i/>
          <w:color w:val="000000" w:themeColor="text1"/>
          <w:szCs w:val="22"/>
        </w:rPr>
        <w:t>herpes simplex</w:t>
      </w:r>
      <w:r w:rsidRPr="00595075">
        <w:rPr>
          <w:color w:val="000000" w:themeColor="text1"/>
          <w:szCs w:val="22"/>
        </w:rPr>
        <w:t xml:space="preserve"> (izņemot </w:t>
      </w:r>
      <w:r w:rsidRPr="00595075">
        <w:rPr>
          <w:i/>
          <w:color w:val="000000" w:themeColor="text1"/>
          <w:szCs w:val="22"/>
        </w:rPr>
        <w:t xml:space="preserve">herpes </w:t>
      </w:r>
      <w:r w:rsidRPr="00595075">
        <w:rPr>
          <w:color w:val="000000" w:themeColor="text1"/>
          <w:szCs w:val="22"/>
        </w:rPr>
        <w:t xml:space="preserve">encefalītu) vai </w:t>
      </w:r>
      <w:r w:rsidRPr="00595075">
        <w:rPr>
          <w:i/>
          <w:color w:val="000000" w:themeColor="text1"/>
          <w:szCs w:val="22"/>
        </w:rPr>
        <w:t>varicella</w:t>
      </w:r>
      <w:r w:rsidRPr="00595075">
        <w:rPr>
          <w:color w:val="000000" w:themeColor="text1"/>
          <w:szCs w:val="22"/>
        </w:rPr>
        <w:t xml:space="preserve"> </w:t>
      </w:r>
      <w:r w:rsidRPr="00595075">
        <w:rPr>
          <w:i/>
          <w:color w:val="000000" w:themeColor="text1"/>
          <w:szCs w:val="22"/>
        </w:rPr>
        <w:t>zoster</w:t>
      </w:r>
      <w:r w:rsidRPr="00595075">
        <w:rPr>
          <w:color w:val="000000" w:themeColor="text1"/>
          <w:szCs w:val="22"/>
        </w:rPr>
        <w:t xml:space="preserve"> infekciju jāievada 5 mg/kg ķermeņa masas aciklovīra devas ik pēc 8 stundām, ja nav nieru darbības traucējumi (skatīt sadaļu “</w:t>
      </w:r>
      <w:r w:rsidRPr="00595075">
        <w:rPr>
          <w:i/>
          <w:iCs/>
          <w:color w:val="000000" w:themeColor="text1"/>
          <w:szCs w:val="22"/>
        </w:rPr>
        <w:t>Nieru darbības traucējumi</w:t>
      </w:r>
      <w:r w:rsidRPr="00595075">
        <w:rPr>
          <w:color w:val="000000" w:themeColor="text1"/>
          <w:szCs w:val="22"/>
        </w:rPr>
        <w:t>”).</w:t>
      </w:r>
    </w:p>
    <w:p w14:paraId="3AC7E07B" w14:textId="77777777" w:rsidR="000B2521" w:rsidRPr="00595075" w:rsidRDefault="000B2521" w:rsidP="00F70B36">
      <w:pPr>
        <w:spacing w:line="240" w:lineRule="auto"/>
        <w:jc w:val="both"/>
        <w:rPr>
          <w:bCs/>
          <w:i/>
          <w:color w:val="000000" w:themeColor="text1"/>
          <w:szCs w:val="22"/>
          <w:u w:val="single"/>
        </w:rPr>
      </w:pPr>
    </w:p>
    <w:p w14:paraId="05342C6B" w14:textId="77777777" w:rsidR="000B2521" w:rsidRPr="00595075" w:rsidRDefault="000B2521" w:rsidP="000B2521">
      <w:pPr>
        <w:spacing w:line="240" w:lineRule="auto"/>
        <w:jc w:val="both"/>
        <w:rPr>
          <w:color w:val="000000" w:themeColor="text1"/>
          <w:szCs w:val="22"/>
        </w:rPr>
      </w:pPr>
      <w:r w:rsidRPr="00595075">
        <w:rPr>
          <w:i/>
          <w:color w:val="000000" w:themeColor="text1"/>
          <w:szCs w:val="22"/>
        </w:rPr>
        <w:t>Varicella</w:t>
      </w:r>
      <w:r w:rsidRPr="00595075">
        <w:rPr>
          <w:color w:val="000000" w:themeColor="text1"/>
          <w:szCs w:val="22"/>
        </w:rPr>
        <w:t xml:space="preserve"> </w:t>
      </w:r>
      <w:r w:rsidRPr="00595075">
        <w:rPr>
          <w:i/>
          <w:color w:val="000000" w:themeColor="text1"/>
          <w:szCs w:val="22"/>
        </w:rPr>
        <w:t>zoster</w:t>
      </w:r>
      <w:r w:rsidRPr="00595075">
        <w:rPr>
          <w:color w:val="000000" w:themeColor="text1"/>
          <w:szCs w:val="22"/>
        </w:rPr>
        <w:t xml:space="preserve"> infekcijas pacientiem ar nomāktu imunitāti un pacientiem ar </w:t>
      </w:r>
      <w:r w:rsidRPr="00595075">
        <w:rPr>
          <w:i/>
          <w:color w:val="000000" w:themeColor="text1"/>
          <w:szCs w:val="22"/>
        </w:rPr>
        <w:t xml:space="preserve">herpes </w:t>
      </w:r>
      <w:r w:rsidRPr="00595075">
        <w:rPr>
          <w:color w:val="000000" w:themeColor="text1"/>
          <w:szCs w:val="22"/>
        </w:rPr>
        <w:t>encefalītu jāievada 10 mg/kg ķermeņa masas aciklovīra devas ik pēc 8 stundām, ja nav nieru darbības traucējumi (skatīt sadaļu “</w:t>
      </w:r>
      <w:r w:rsidRPr="00595075">
        <w:rPr>
          <w:i/>
          <w:iCs/>
          <w:color w:val="000000" w:themeColor="text1"/>
          <w:szCs w:val="22"/>
        </w:rPr>
        <w:t>Nieru darbības traucējumi</w:t>
      </w:r>
      <w:r w:rsidRPr="00595075">
        <w:rPr>
          <w:color w:val="000000" w:themeColor="text1"/>
          <w:szCs w:val="22"/>
        </w:rPr>
        <w:t>”).</w:t>
      </w:r>
    </w:p>
    <w:p w14:paraId="72F57D68" w14:textId="77777777" w:rsidR="000B2521" w:rsidRPr="00595075" w:rsidRDefault="000B2521" w:rsidP="00F70B36">
      <w:pPr>
        <w:spacing w:line="240" w:lineRule="auto"/>
        <w:jc w:val="both"/>
        <w:rPr>
          <w:bCs/>
          <w:i/>
          <w:color w:val="000000" w:themeColor="text1"/>
          <w:szCs w:val="22"/>
          <w:u w:val="single"/>
        </w:rPr>
      </w:pPr>
    </w:p>
    <w:p w14:paraId="703BDD05" w14:textId="42101E6E" w:rsidR="000B2521" w:rsidRPr="00595075" w:rsidRDefault="000B2521" w:rsidP="000B2521">
      <w:pPr>
        <w:spacing w:line="240" w:lineRule="auto"/>
        <w:jc w:val="both"/>
        <w:rPr>
          <w:color w:val="000000" w:themeColor="text1"/>
          <w:szCs w:val="22"/>
        </w:rPr>
      </w:pPr>
      <w:r w:rsidRPr="00595075">
        <w:rPr>
          <w:color w:val="000000" w:themeColor="text1"/>
          <w:szCs w:val="22"/>
        </w:rPr>
        <w:t xml:space="preserve">Tukliem pacientiem, kuriem intravenozi ievadāmā aciklovīra deva ir noteikta </w:t>
      </w:r>
      <w:r w:rsidR="00F605C9" w:rsidRPr="00595075">
        <w:rPr>
          <w:color w:val="000000" w:themeColor="text1"/>
          <w:szCs w:val="22"/>
        </w:rPr>
        <w:t>pamatojoties uz</w:t>
      </w:r>
      <w:r w:rsidRPr="00595075">
        <w:rPr>
          <w:color w:val="000000" w:themeColor="text1"/>
          <w:szCs w:val="22"/>
        </w:rPr>
        <w:t xml:space="preserve"> viņu faktisko ķermeņa masu, iespējama augstāka koncentrācija plazmā (skatīt 5.2. apakšpunktu). Tāpēc tukliem pacientiem jāapsver </w:t>
      </w:r>
      <w:r w:rsidR="00F605C9" w:rsidRPr="00595075">
        <w:rPr>
          <w:color w:val="000000" w:themeColor="text1"/>
          <w:szCs w:val="22"/>
        </w:rPr>
        <w:t>devas samazināšana</w:t>
      </w:r>
      <w:r w:rsidRPr="00595075">
        <w:rPr>
          <w:color w:val="000000" w:themeColor="text1"/>
          <w:szCs w:val="22"/>
        </w:rPr>
        <w:t>, īpaši pacientiem ar nieru darbības traucējumiem vai gados vecākiem pacientiem.</w:t>
      </w:r>
    </w:p>
    <w:p w14:paraId="753F40C7" w14:textId="77777777" w:rsidR="000B2521" w:rsidRPr="00595075" w:rsidRDefault="000B2521" w:rsidP="00F70B36">
      <w:pPr>
        <w:spacing w:line="240" w:lineRule="auto"/>
        <w:jc w:val="both"/>
        <w:rPr>
          <w:bCs/>
          <w:i/>
          <w:color w:val="000000" w:themeColor="text1"/>
          <w:szCs w:val="22"/>
          <w:u w:val="single"/>
        </w:rPr>
      </w:pPr>
    </w:p>
    <w:p w14:paraId="27C15B5E" w14:textId="77777777" w:rsidR="000B2521" w:rsidRPr="00595075" w:rsidRDefault="000B2521" w:rsidP="000B2521">
      <w:pPr>
        <w:numPr>
          <w:ilvl w:val="12"/>
          <w:numId w:val="0"/>
        </w:numPr>
        <w:tabs>
          <w:tab w:val="clear" w:pos="567"/>
        </w:tabs>
        <w:spacing w:line="240" w:lineRule="auto"/>
        <w:jc w:val="both"/>
        <w:rPr>
          <w:bCs/>
          <w:i/>
          <w:iCs/>
          <w:noProof/>
          <w:color w:val="000000" w:themeColor="text1"/>
          <w:szCs w:val="22"/>
        </w:rPr>
      </w:pPr>
      <w:r w:rsidRPr="00595075">
        <w:rPr>
          <w:bCs/>
          <w:i/>
          <w:iCs/>
          <w:noProof/>
          <w:color w:val="000000" w:themeColor="text1"/>
          <w:szCs w:val="22"/>
        </w:rPr>
        <w:t>Pediatriskā populācija</w:t>
      </w:r>
    </w:p>
    <w:p w14:paraId="3FDAE2D1" w14:textId="77F9A53A" w:rsidR="000B2521" w:rsidRPr="00595075" w:rsidRDefault="000B2521" w:rsidP="000B2521">
      <w:pPr>
        <w:spacing w:line="240" w:lineRule="auto"/>
        <w:jc w:val="both"/>
        <w:rPr>
          <w:color w:val="000000" w:themeColor="text1"/>
          <w:szCs w:val="22"/>
        </w:rPr>
      </w:pPr>
      <w:r w:rsidRPr="00595075">
        <w:rPr>
          <w:color w:val="000000" w:themeColor="text1"/>
          <w:szCs w:val="22"/>
        </w:rPr>
        <w:t xml:space="preserve">Aciklovīra deva jaundzimušajiem un bērniem vecumā no 3 mēnešiem līdz 12 gadiem tiek aprēķināta </w:t>
      </w:r>
      <w:r w:rsidR="00F605C9" w:rsidRPr="00595075">
        <w:rPr>
          <w:color w:val="000000" w:themeColor="text1"/>
          <w:szCs w:val="22"/>
        </w:rPr>
        <w:t xml:space="preserve">pamatojoties uz </w:t>
      </w:r>
      <w:r w:rsidRPr="00595075">
        <w:rPr>
          <w:color w:val="000000" w:themeColor="text1"/>
          <w:szCs w:val="22"/>
        </w:rPr>
        <w:t>ķermeņa virsmas laukum</w:t>
      </w:r>
      <w:r w:rsidR="00F605C9" w:rsidRPr="00595075">
        <w:rPr>
          <w:color w:val="000000" w:themeColor="text1"/>
          <w:szCs w:val="22"/>
        </w:rPr>
        <w:t>u</w:t>
      </w:r>
      <w:r w:rsidRPr="00595075">
        <w:rPr>
          <w:color w:val="000000" w:themeColor="text1"/>
          <w:szCs w:val="22"/>
        </w:rPr>
        <w:t>.</w:t>
      </w:r>
    </w:p>
    <w:p w14:paraId="53819DF4" w14:textId="77777777" w:rsidR="000B2521" w:rsidRPr="00595075" w:rsidRDefault="000B2521" w:rsidP="00F70B36">
      <w:pPr>
        <w:spacing w:line="240" w:lineRule="auto"/>
        <w:jc w:val="both"/>
        <w:rPr>
          <w:bCs/>
          <w:i/>
          <w:color w:val="000000" w:themeColor="text1"/>
          <w:szCs w:val="22"/>
          <w:u w:val="single"/>
        </w:rPr>
      </w:pPr>
    </w:p>
    <w:p w14:paraId="61522FE3" w14:textId="3F448CFE" w:rsidR="000B2521" w:rsidRPr="00595075" w:rsidRDefault="00863FA5" w:rsidP="000B2521">
      <w:pPr>
        <w:spacing w:line="240" w:lineRule="auto"/>
        <w:jc w:val="both"/>
        <w:rPr>
          <w:color w:val="000000" w:themeColor="text1"/>
          <w:szCs w:val="22"/>
        </w:rPr>
      </w:pPr>
      <w:r w:rsidRPr="00595075">
        <w:rPr>
          <w:color w:val="000000" w:themeColor="text1"/>
          <w:szCs w:val="22"/>
        </w:rPr>
        <w:t xml:space="preserve">Zīdaiņiem </w:t>
      </w:r>
      <w:r w:rsidR="000B2521" w:rsidRPr="00595075">
        <w:rPr>
          <w:color w:val="000000" w:themeColor="text1"/>
          <w:szCs w:val="22"/>
        </w:rPr>
        <w:t xml:space="preserve">un 3 mēnešus veciem un vecākiem bērniem ar </w:t>
      </w:r>
      <w:r w:rsidR="000B2521" w:rsidRPr="00595075">
        <w:rPr>
          <w:i/>
          <w:color w:val="000000" w:themeColor="text1"/>
          <w:szCs w:val="22"/>
        </w:rPr>
        <w:t>herpes simplex</w:t>
      </w:r>
      <w:r w:rsidR="000B2521" w:rsidRPr="00595075">
        <w:rPr>
          <w:color w:val="000000" w:themeColor="text1"/>
          <w:szCs w:val="22"/>
        </w:rPr>
        <w:t xml:space="preserve"> infekciju (izņemot </w:t>
      </w:r>
      <w:r w:rsidR="000B2521" w:rsidRPr="00595075">
        <w:rPr>
          <w:i/>
          <w:color w:val="000000" w:themeColor="text1"/>
          <w:szCs w:val="22"/>
        </w:rPr>
        <w:t>herpes simplex</w:t>
      </w:r>
      <w:r w:rsidR="000B2521" w:rsidRPr="00595075">
        <w:rPr>
          <w:color w:val="000000" w:themeColor="text1"/>
          <w:szCs w:val="22"/>
        </w:rPr>
        <w:t xml:space="preserve"> encefalītu) vai </w:t>
      </w:r>
      <w:r w:rsidR="000B2521" w:rsidRPr="00595075">
        <w:rPr>
          <w:i/>
          <w:color w:val="000000" w:themeColor="text1"/>
          <w:szCs w:val="22"/>
        </w:rPr>
        <w:t>varicella</w:t>
      </w:r>
      <w:r w:rsidR="000B2521" w:rsidRPr="00595075">
        <w:rPr>
          <w:color w:val="000000" w:themeColor="text1"/>
          <w:szCs w:val="22"/>
        </w:rPr>
        <w:t xml:space="preserve"> </w:t>
      </w:r>
      <w:r w:rsidR="000B2521" w:rsidRPr="00595075">
        <w:rPr>
          <w:i/>
          <w:color w:val="000000" w:themeColor="text1"/>
          <w:szCs w:val="22"/>
        </w:rPr>
        <w:t>zoster</w:t>
      </w:r>
      <w:r w:rsidR="000B2521" w:rsidRPr="00595075">
        <w:rPr>
          <w:color w:val="000000" w:themeColor="text1"/>
          <w:szCs w:val="22"/>
        </w:rPr>
        <w:t xml:space="preserve"> infekcij</w:t>
      </w:r>
      <w:r w:rsidR="005C330E" w:rsidRPr="00595075">
        <w:rPr>
          <w:color w:val="000000" w:themeColor="text1"/>
          <w:szCs w:val="22"/>
        </w:rPr>
        <w:t>u</w:t>
      </w:r>
      <w:r w:rsidR="000B2521" w:rsidRPr="00595075">
        <w:rPr>
          <w:color w:val="000000" w:themeColor="text1"/>
          <w:szCs w:val="22"/>
        </w:rPr>
        <w:t xml:space="preserve"> jāievada 250 mg aciklovīra uz katru ķermeņa virsmas laukuma kvadrātmetru ik pēc 8 stundām, ja nav nieru darbības traucējumi.</w:t>
      </w:r>
    </w:p>
    <w:p w14:paraId="3628AB1B" w14:textId="2904022A" w:rsidR="000B2521" w:rsidRPr="00595075" w:rsidRDefault="000B2521" w:rsidP="00F70B36">
      <w:pPr>
        <w:spacing w:line="240" w:lineRule="auto"/>
        <w:jc w:val="both"/>
        <w:rPr>
          <w:bCs/>
          <w:i/>
          <w:color w:val="000000" w:themeColor="text1"/>
          <w:szCs w:val="22"/>
          <w:u w:val="single"/>
        </w:rPr>
      </w:pPr>
    </w:p>
    <w:p w14:paraId="3008E875" w14:textId="73421512" w:rsidR="005C330E" w:rsidRPr="00595075" w:rsidRDefault="000B2521" w:rsidP="005C330E">
      <w:pPr>
        <w:spacing w:line="240" w:lineRule="auto"/>
        <w:jc w:val="both"/>
        <w:rPr>
          <w:color w:val="000000" w:themeColor="text1"/>
          <w:szCs w:val="22"/>
        </w:rPr>
      </w:pPr>
      <w:r w:rsidRPr="00595075">
        <w:rPr>
          <w:color w:val="000000" w:themeColor="text1"/>
          <w:szCs w:val="22"/>
        </w:rPr>
        <w:t>Zīdaiņiem ar nomāktu imunitāti un bēr</w:t>
      </w:r>
      <w:r w:rsidR="005C330E" w:rsidRPr="00595075">
        <w:rPr>
          <w:color w:val="000000" w:themeColor="text1"/>
          <w:szCs w:val="22"/>
        </w:rPr>
        <w:t xml:space="preserve">niem ar </w:t>
      </w:r>
      <w:r w:rsidR="005C330E" w:rsidRPr="00595075">
        <w:rPr>
          <w:i/>
          <w:color w:val="000000" w:themeColor="text1"/>
          <w:szCs w:val="22"/>
        </w:rPr>
        <w:t>varicella</w:t>
      </w:r>
      <w:r w:rsidR="005C330E" w:rsidRPr="00595075">
        <w:rPr>
          <w:color w:val="000000" w:themeColor="text1"/>
          <w:szCs w:val="22"/>
        </w:rPr>
        <w:t xml:space="preserve"> </w:t>
      </w:r>
      <w:r w:rsidR="005C330E" w:rsidRPr="00595075">
        <w:rPr>
          <w:i/>
          <w:color w:val="000000" w:themeColor="text1"/>
          <w:szCs w:val="22"/>
        </w:rPr>
        <w:t>zoster</w:t>
      </w:r>
      <w:r w:rsidR="005C330E" w:rsidRPr="00595075">
        <w:rPr>
          <w:color w:val="000000" w:themeColor="text1"/>
          <w:szCs w:val="22"/>
        </w:rPr>
        <w:t xml:space="preserve"> infekciju vai zīdaiņiem un bērniem ar </w:t>
      </w:r>
      <w:r w:rsidR="005C330E" w:rsidRPr="00595075">
        <w:rPr>
          <w:i/>
          <w:color w:val="000000" w:themeColor="text1"/>
          <w:szCs w:val="22"/>
        </w:rPr>
        <w:t xml:space="preserve">herpes </w:t>
      </w:r>
      <w:r w:rsidR="005C330E" w:rsidRPr="00595075">
        <w:rPr>
          <w:color w:val="000000" w:themeColor="text1"/>
          <w:szCs w:val="22"/>
        </w:rPr>
        <w:t>encefalītu jāievada 500 mg aciklovīra uz katru ķermeņa virsmas laukuma kvadrātmetru ik pēc 8 stundām, ja nav nieru darbības traucējumi.</w:t>
      </w:r>
    </w:p>
    <w:p w14:paraId="19D3DD60" w14:textId="60CA9D74" w:rsidR="000B2521" w:rsidRPr="00595075" w:rsidRDefault="000B2521" w:rsidP="00F70B36">
      <w:pPr>
        <w:spacing w:line="240" w:lineRule="auto"/>
        <w:jc w:val="both"/>
        <w:rPr>
          <w:bCs/>
          <w:i/>
          <w:color w:val="000000" w:themeColor="text1"/>
          <w:szCs w:val="22"/>
          <w:u w:val="single"/>
        </w:rPr>
      </w:pPr>
    </w:p>
    <w:p w14:paraId="4F4669C9" w14:textId="77777777" w:rsidR="005C330E" w:rsidRPr="00595075" w:rsidRDefault="005C330E" w:rsidP="005C330E">
      <w:pPr>
        <w:spacing w:line="240" w:lineRule="auto"/>
        <w:jc w:val="both"/>
        <w:rPr>
          <w:color w:val="000000" w:themeColor="text1"/>
          <w:szCs w:val="22"/>
        </w:rPr>
      </w:pPr>
      <w:r w:rsidRPr="00595075">
        <w:rPr>
          <w:color w:val="000000" w:themeColor="text1"/>
          <w:szCs w:val="22"/>
        </w:rPr>
        <w:t>Aciklovīra deva jaundzimušajiem un zīdaiņiem līdz 3 mēnešu vecumam tiek aprēķināta atbilstoši ķermeņa masai.</w:t>
      </w:r>
    </w:p>
    <w:p w14:paraId="1137A905" w14:textId="1F5BEA94" w:rsidR="000B2521" w:rsidRPr="00595075" w:rsidRDefault="000B2521" w:rsidP="00F70B36">
      <w:pPr>
        <w:spacing w:line="240" w:lineRule="auto"/>
        <w:jc w:val="both"/>
        <w:rPr>
          <w:bCs/>
          <w:i/>
          <w:color w:val="000000" w:themeColor="text1"/>
          <w:szCs w:val="22"/>
          <w:u w:val="single"/>
        </w:rPr>
      </w:pPr>
    </w:p>
    <w:p w14:paraId="4ACF8CF4" w14:textId="3AEB62B0" w:rsidR="005C330E" w:rsidRPr="00595075" w:rsidRDefault="005C330E" w:rsidP="005C330E">
      <w:pPr>
        <w:pStyle w:val="NormalIndent"/>
        <w:suppressAutoHyphens w:val="0"/>
        <w:spacing w:after="0"/>
        <w:ind w:left="0"/>
        <w:jc w:val="both"/>
        <w:rPr>
          <w:color w:val="000000" w:themeColor="text1"/>
          <w:szCs w:val="22"/>
          <w:lang w:val="lv-LV"/>
        </w:rPr>
      </w:pPr>
      <w:r w:rsidRPr="00595075">
        <w:rPr>
          <w:color w:val="000000" w:themeColor="text1"/>
          <w:szCs w:val="22"/>
          <w:lang w:val="lv-LV"/>
        </w:rPr>
        <w:t xml:space="preserve">Ieteicamā </w:t>
      </w:r>
      <w:r w:rsidR="00863FA5" w:rsidRPr="00595075">
        <w:rPr>
          <w:color w:val="000000" w:themeColor="text1"/>
          <w:szCs w:val="22"/>
          <w:lang w:val="lv-LV"/>
        </w:rPr>
        <w:t xml:space="preserve">terapijas </w:t>
      </w:r>
      <w:r w:rsidRPr="00595075">
        <w:rPr>
          <w:rFonts w:eastAsia="Times New Roman"/>
          <w:color w:val="000000" w:themeColor="text1"/>
          <w:szCs w:val="22"/>
          <w:lang w:val="lv-LV"/>
        </w:rPr>
        <w:t xml:space="preserve">shēma zīdaiņiem, kuriem tiek ārstēta apstiprināta vai iespējama jaundzimušo </w:t>
      </w:r>
      <w:r w:rsidRPr="00595075">
        <w:rPr>
          <w:rFonts w:eastAsia="Times New Roman"/>
          <w:i/>
          <w:iCs/>
          <w:color w:val="000000" w:themeColor="text1"/>
          <w:szCs w:val="22"/>
          <w:lang w:val="lv-LV"/>
        </w:rPr>
        <w:t>herpes</w:t>
      </w:r>
      <w:r w:rsidRPr="00595075">
        <w:rPr>
          <w:rFonts w:eastAsia="Times New Roman"/>
          <w:color w:val="000000" w:themeColor="text1"/>
          <w:szCs w:val="22"/>
          <w:lang w:val="lv-LV"/>
        </w:rPr>
        <w:t xml:space="preserve"> infekcija, ir </w:t>
      </w:r>
      <w:r w:rsidRPr="00595075">
        <w:rPr>
          <w:color w:val="000000" w:themeColor="text1"/>
          <w:szCs w:val="22"/>
          <w:lang w:val="lv-LV"/>
        </w:rPr>
        <w:t>20 mg/kg ķermeņa masas aciklovīra intravenozi ik pēc 8 stundām 21 dienu diseminētas un CNS slimības gadījumā vai14 dienas, ja slimība ir skārusi tikai ādu un gļotādas.</w:t>
      </w:r>
    </w:p>
    <w:p w14:paraId="2442E75D" w14:textId="35B2AC15" w:rsidR="000B2521" w:rsidRPr="00595075" w:rsidRDefault="000B2521" w:rsidP="00F70B36">
      <w:pPr>
        <w:spacing w:line="240" w:lineRule="auto"/>
        <w:jc w:val="both"/>
        <w:rPr>
          <w:bCs/>
          <w:i/>
          <w:color w:val="000000" w:themeColor="text1"/>
          <w:szCs w:val="22"/>
          <w:u w:val="single"/>
        </w:rPr>
      </w:pPr>
    </w:p>
    <w:p w14:paraId="3C08DAE7" w14:textId="303FA342" w:rsidR="005C330E" w:rsidRPr="00595075" w:rsidRDefault="005C330E" w:rsidP="005C330E">
      <w:pPr>
        <w:spacing w:line="240" w:lineRule="auto"/>
        <w:jc w:val="both"/>
        <w:rPr>
          <w:color w:val="000000" w:themeColor="text1"/>
          <w:szCs w:val="22"/>
        </w:rPr>
      </w:pPr>
      <w:r w:rsidRPr="00595075">
        <w:rPr>
          <w:color w:val="000000" w:themeColor="text1"/>
          <w:szCs w:val="22"/>
        </w:rPr>
        <w:t>Pacientiem ar nieru darbības traucējumiem nepieciešama devas pielāgošana atbilstoši nieru darbības traucējumu smaguma pakāpei (skatīt sadaļu “</w:t>
      </w:r>
      <w:r w:rsidRPr="00595075">
        <w:rPr>
          <w:i/>
          <w:iCs/>
          <w:color w:val="000000" w:themeColor="text1"/>
          <w:szCs w:val="22"/>
        </w:rPr>
        <w:t>Nieru darbības traucējumi</w:t>
      </w:r>
      <w:r w:rsidRPr="00595075">
        <w:rPr>
          <w:color w:val="000000" w:themeColor="text1"/>
          <w:szCs w:val="22"/>
        </w:rPr>
        <w:t>”).</w:t>
      </w:r>
    </w:p>
    <w:p w14:paraId="22807E8B" w14:textId="368356F7" w:rsidR="000B2521" w:rsidRPr="00595075" w:rsidRDefault="000B2521" w:rsidP="00F70B36">
      <w:pPr>
        <w:spacing w:line="240" w:lineRule="auto"/>
        <w:jc w:val="both"/>
        <w:rPr>
          <w:bCs/>
          <w:i/>
          <w:color w:val="000000" w:themeColor="text1"/>
          <w:szCs w:val="22"/>
          <w:u w:val="single"/>
        </w:rPr>
      </w:pPr>
    </w:p>
    <w:p w14:paraId="71D71308" w14:textId="77777777" w:rsidR="005C330E" w:rsidRPr="00595075" w:rsidRDefault="005C330E" w:rsidP="005C330E">
      <w:pPr>
        <w:spacing w:line="240" w:lineRule="auto"/>
        <w:jc w:val="both"/>
        <w:rPr>
          <w:i/>
          <w:iCs/>
          <w:color w:val="000000" w:themeColor="text1"/>
          <w:szCs w:val="22"/>
        </w:rPr>
      </w:pPr>
      <w:r w:rsidRPr="00595075">
        <w:rPr>
          <w:i/>
          <w:iCs/>
          <w:color w:val="000000" w:themeColor="text1"/>
          <w:szCs w:val="22"/>
        </w:rPr>
        <w:t>Gados vecāki cilvēki</w:t>
      </w:r>
    </w:p>
    <w:p w14:paraId="630204AD" w14:textId="74634771" w:rsidR="005C330E" w:rsidRPr="00595075" w:rsidRDefault="005C330E" w:rsidP="005C330E">
      <w:pPr>
        <w:spacing w:line="240" w:lineRule="auto"/>
        <w:jc w:val="both"/>
        <w:rPr>
          <w:color w:val="000000" w:themeColor="text1"/>
          <w:szCs w:val="22"/>
        </w:rPr>
      </w:pPr>
      <w:r w:rsidRPr="00595075">
        <w:rPr>
          <w:color w:val="000000" w:themeColor="text1"/>
          <w:szCs w:val="22"/>
        </w:rPr>
        <w:t>Gados vecākiem cilvēkiem ir jāapsver nieru darbības traucējumu iespējamība un atbilstoši jāpielāgo deva (skatīt zemāk sadaļu “</w:t>
      </w:r>
      <w:r w:rsidRPr="00595075">
        <w:rPr>
          <w:i/>
          <w:iCs/>
          <w:color w:val="000000" w:themeColor="text1"/>
          <w:szCs w:val="22"/>
        </w:rPr>
        <w:t>Nieru darbības traucējumi</w:t>
      </w:r>
      <w:r w:rsidRPr="00595075">
        <w:rPr>
          <w:color w:val="000000" w:themeColor="text1"/>
          <w:szCs w:val="22"/>
        </w:rPr>
        <w:t>”).</w:t>
      </w:r>
    </w:p>
    <w:p w14:paraId="5F7A5AE7" w14:textId="4B55D43B" w:rsidR="005C330E" w:rsidRPr="00595075" w:rsidRDefault="005C330E" w:rsidP="005C330E">
      <w:pPr>
        <w:spacing w:line="240" w:lineRule="auto"/>
        <w:jc w:val="both"/>
        <w:rPr>
          <w:color w:val="000000" w:themeColor="text1"/>
          <w:szCs w:val="22"/>
        </w:rPr>
      </w:pPr>
      <w:r w:rsidRPr="00595075">
        <w:rPr>
          <w:color w:val="000000" w:themeColor="text1"/>
          <w:szCs w:val="22"/>
        </w:rPr>
        <w:t>Jānodrošina pietiekama hidratācija.</w:t>
      </w:r>
    </w:p>
    <w:p w14:paraId="36BBB054" w14:textId="596858A3" w:rsidR="005C330E" w:rsidRPr="00595075" w:rsidRDefault="005C330E" w:rsidP="005C330E">
      <w:pPr>
        <w:spacing w:line="240" w:lineRule="auto"/>
        <w:jc w:val="both"/>
        <w:rPr>
          <w:color w:val="000000" w:themeColor="text1"/>
          <w:szCs w:val="22"/>
        </w:rPr>
      </w:pPr>
    </w:p>
    <w:p w14:paraId="6CD87222" w14:textId="77777777" w:rsidR="005C330E" w:rsidRPr="00595075" w:rsidRDefault="005C330E" w:rsidP="005C330E">
      <w:pPr>
        <w:spacing w:line="240" w:lineRule="auto"/>
        <w:jc w:val="both"/>
        <w:rPr>
          <w:i/>
          <w:iCs/>
          <w:color w:val="000000" w:themeColor="text1"/>
          <w:szCs w:val="22"/>
        </w:rPr>
      </w:pPr>
      <w:r w:rsidRPr="00595075">
        <w:rPr>
          <w:i/>
          <w:iCs/>
          <w:color w:val="000000" w:themeColor="text1"/>
          <w:szCs w:val="22"/>
        </w:rPr>
        <w:t>Nieru darbības traucējumi</w:t>
      </w:r>
    </w:p>
    <w:p w14:paraId="469F7C1C" w14:textId="77777777" w:rsidR="005C330E" w:rsidRPr="00595075" w:rsidRDefault="005C330E" w:rsidP="005C330E">
      <w:pPr>
        <w:spacing w:line="240" w:lineRule="auto"/>
        <w:jc w:val="both"/>
        <w:rPr>
          <w:color w:val="000000" w:themeColor="text1"/>
          <w:szCs w:val="22"/>
        </w:rPr>
      </w:pPr>
      <w:r w:rsidRPr="00595075">
        <w:rPr>
          <w:color w:val="000000" w:themeColor="text1"/>
          <w:szCs w:val="22"/>
        </w:rPr>
        <w:t>Ievadot aciklovīru intravenozi pacientiem ar nieru darbības traucējumiem, jāievēro piesardzība.</w:t>
      </w:r>
    </w:p>
    <w:p w14:paraId="6F691E74" w14:textId="77777777" w:rsidR="005C330E" w:rsidRPr="00595075" w:rsidRDefault="005C330E" w:rsidP="005C330E">
      <w:pPr>
        <w:spacing w:line="240" w:lineRule="auto"/>
        <w:jc w:val="both"/>
        <w:rPr>
          <w:color w:val="000000" w:themeColor="text1"/>
          <w:szCs w:val="22"/>
        </w:rPr>
      </w:pPr>
      <w:r w:rsidRPr="00595075">
        <w:rPr>
          <w:color w:val="000000" w:themeColor="text1"/>
          <w:szCs w:val="22"/>
        </w:rPr>
        <w:t>Jānodrošina pietiekama hidratācija.</w:t>
      </w:r>
    </w:p>
    <w:p w14:paraId="131D420E" w14:textId="77777777" w:rsidR="005C330E" w:rsidRPr="00595075" w:rsidRDefault="005C330E" w:rsidP="005C330E">
      <w:pPr>
        <w:spacing w:line="240" w:lineRule="auto"/>
        <w:jc w:val="both"/>
        <w:rPr>
          <w:color w:val="000000" w:themeColor="text1"/>
          <w:szCs w:val="22"/>
        </w:rPr>
      </w:pPr>
    </w:p>
    <w:p w14:paraId="77E5DD16" w14:textId="711ED81F" w:rsidR="005C330E" w:rsidRPr="00595075" w:rsidRDefault="005B4341" w:rsidP="005C330E">
      <w:pPr>
        <w:spacing w:line="240" w:lineRule="auto"/>
        <w:jc w:val="both"/>
        <w:rPr>
          <w:color w:val="000000" w:themeColor="text1"/>
          <w:szCs w:val="22"/>
        </w:rPr>
      </w:pPr>
      <w:r w:rsidRPr="00595075">
        <w:rPr>
          <w:color w:val="000000" w:themeColor="text1"/>
          <w:szCs w:val="22"/>
        </w:rPr>
        <w:t>P</w:t>
      </w:r>
      <w:r w:rsidR="005C330E" w:rsidRPr="00595075">
        <w:rPr>
          <w:color w:val="000000" w:themeColor="text1"/>
          <w:szCs w:val="22"/>
        </w:rPr>
        <w:t>acientiem ar nieru darbības traucējumiem</w:t>
      </w:r>
      <w:r w:rsidRPr="00595075">
        <w:rPr>
          <w:color w:val="000000" w:themeColor="text1"/>
          <w:szCs w:val="22"/>
        </w:rPr>
        <w:t xml:space="preserve"> deva</w:t>
      </w:r>
      <w:r w:rsidR="005C330E" w:rsidRPr="00595075">
        <w:rPr>
          <w:color w:val="000000" w:themeColor="text1"/>
          <w:szCs w:val="22"/>
        </w:rPr>
        <w:t xml:space="preserve"> jā</w:t>
      </w:r>
      <w:r w:rsidRPr="00595075">
        <w:rPr>
          <w:color w:val="000000" w:themeColor="text1"/>
          <w:szCs w:val="22"/>
        </w:rPr>
        <w:t>pielāgo</w:t>
      </w:r>
      <w:r w:rsidR="005C330E" w:rsidRPr="00595075">
        <w:rPr>
          <w:color w:val="000000" w:themeColor="text1"/>
          <w:szCs w:val="22"/>
        </w:rPr>
        <w:t xml:space="preserve">, </w:t>
      </w:r>
      <w:r w:rsidRPr="00595075">
        <w:rPr>
          <w:color w:val="000000" w:themeColor="text1"/>
          <w:szCs w:val="22"/>
        </w:rPr>
        <w:t>pamatojoties uz</w:t>
      </w:r>
      <w:r w:rsidR="005C330E" w:rsidRPr="00595075">
        <w:rPr>
          <w:color w:val="000000" w:themeColor="text1"/>
          <w:szCs w:val="22"/>
        </w:rPr>
        <w:t xml:space="preserve"> kreatinīna klīrensu (ml/min vienībās pieaugušajiem un pusaudžiem un ml/min/1,73 m</w:t>
      </w:r>
      <w:r w:rsidR="005C330E" w:rsidRPr="00595075">
        <w:rPr>
          <w:color w:val="000000" w:themeColor="text1"/>
          <w:szCs w:val="22"/>
          <w:vertAlign w:val="superscript"/>
        </w:rPr>
        <w:t>2</w:t>
      </w:r>
      <w:r w:rsidR="005C330E" w:rsidRPr="00595075">
        <w:rPr>
          <w:color w:val="000000" w:themeColor="text1"/>
          <w:szCs w:val="22"/>
        </w:rPr>
        <w:t xml:space="preserve"> vienībās zīdaiņiem un bērniem, kuri jaunāki par 13 gadiem).</w:t>
      </w:r>
    </w:p>
    <w:p w14:paraId="485F998A" w14:textId="77777777" w:rsidR="005C330E" w:rsidRPr="00595075" w:rsidRDefault="005C330E" w:rsidP="005C330E">
      <w:pPr>
        <w:spacing w:line="240" w:lineRule="auto"/>
        <w:jc w:val="both"/>
        <w:rPr>
          <w:color w:val="000000" w:themeColor="text1"/>
          <w:szCs w:val="22"/>
        </w:rPr>
      </w:pPr>
    </w:p>
    <w:p w14:paraId="1692296A" w14:textId="4976A0DD" w:rsidR="005C330E" w:rsidRPr="00595075" w:rsidRDefault="005C330E" w:rsidP="005C330E">
      <w:pPr>
        <w:spacing w:line="240" w:lineRule="auto"/>
        <w:jc w:val="both"/>
        <w:rPr>
          <w:color w:val="000000" w:themeColor="text1"/>
          <w:szCs w:val="22"/>
        </w:rPr>
      </w:pPr>
      <w:r w:rsidRPr="00595075">
        <w:rPr>
          <w:color w:val="000000" w:themeColor="text1"/>
          <w:szCs w:val="22"/>
        </w:rPr>
        <w:t>Ieteicama šāda devas pielāgošana:</w:t>
      </w:r>
    </w:p>
    <w:p w14:paraId="67AC0B9C" w14:textId="2EC231A4" w:rsidR="000B2521" w:rsidRPr="00595075" w:rsidRDefault="000B2521" w:rsidP="00F70B36">
      <w:pPr>
        <w:spacing w:line="240" w:lineRule="auto"/>
        <w:jc w:val="both"/>
        <w:rPr>
          <w:bCs/>
          <w:i/>
          <w:color w:val="000000" w:themeColor="text1"/>
          <w:szCs w:val="22"/>
          <w:u w:val="single"/>
        </w:rPr>
      </w:pPr>
    </w:p>
    <w:p w14:paraId="323FC037" w14:textId="77777777" w:rsidR="00691CB1" w:rsidRPr="00595075" w:rsidRDefault="00691CB1" w:rsidP="00691CB1">
      <w:pPr>
        <w:spacing w:line="240" w:lineRule="auto"/>
        <w:jc w:val="both"/>
        <w:rPr>
          <w:color w:val="000000" w:themeColor="text1"/>
          <w:szCs w:val="22"/>
        </w:rPr>
      </w:pPr>
    </w:p>
    <w:tbl>
      <w:tblPr>
        <w:tblStyle w:val="TableGrid"/>
        <w:tblW w:w="0" w:type="auto"/>
        <w:tblLook w:val="04A0" w:firstRow="1" w:lastRow="0" w:firstColumn="1" w:lastColumn="0" w:noHBand="0" w:noVBand="1"/>
      </w:tblPr>
      <w:tblGrid>
        <w:gridCol w:w="4315"/>
        <w:gridCol w:w="4315"/>
      </w:tblGrid>
      <w:tr w:rsidR="00691CB1" w:rsidRPr="00595075" w14:paraId="553065F0" w14:textId="77777777" w:rsidTr="00105EF0">
        <w:tc>
          <w:tcPr>
            <w:tcW w:w="8630" w:type="dxa"/>
            <w:gridSpan w:val="2"/>
            <w:vAlign w:val="center"/>
          </w:tcPr>
          <w:p w14:paraId="52BDC4B6" w14:textId="67060F81" w:rsidR="00691CB1" w:rsidRPr="00595075" w:rsidRDefault="00691CB1" w:rsidP="00105EF0">
            <w:pPr>
              <w:numPr>
                <w:ilvl w:val="12"/>
                <w:numId w:val="0"/>
              </w:numPr>
              <w:tabs>
                <w:tab w:val="clear" w:pos="567"/>
              </w:tabs>
              <w:spacing w:line="240" w:lineRule="auto"/>
              <w:jc w:val="center"/>
              <w:rPr>
                <w:bCs/>
                <w:i/>
                <w:iCs/>
                <w:noProof/>
                <w:color w:val="000000" w:themeColor="text1"/>
                <w:szCs w:val="22"/>
              </w:rPr>
            </w:pPr>
            <w:r w:rsidRPr="00595075">
              <w:rPr>
                <w:bCs/>
                <w:i/>
                <w:iCs/>
                <w:noProof/>
                <w:color w:val="000000" w:themeColor="text1"/>
                <w:szCs w:val="22"/>
              </w:rPr>
              <w:t>Intravenoz</w:t>
            </w:r>
            <w:r w:rsidR="005B4341" w:rsidRPr="00595075">
              <w:rPr>
                <w:bCs/>
                <w:i/>
                <w:iCs/>
                <w:noProof/>
                <w:color w:val="000000" w:themeColor="text1"/>
                <w:szCs w:val="22"/>
              </w:rPr>
              <w:t>ā</w:t>
            </w:r>
            <w:r w:rsidRPr="00595075">
              <w:rPr>
                <w:bCs/>
                <w:i/>
                <w:iCs/>
                <w:noProof/>
                <w:color w:val="000000" w:themeColor="text1"/>
                <w:szCs w:val="22"/>
              </w:rPr>
              <w:t xml:space="preserve"> aciklovīra devas pielāgošana pieaugušajiem un pusaudžiem ar nieru darbības traucējumiem </w:t>
            </w:r>
            <w:r w:rsidRPr="00595075">
              <w:rPr>
                <w:i/>
                <w:iCs/>
                <w:color w:val="000000" w:themeColor="text1"/>
                <w:szCs w:val="22"/>
              </w:rPr>
              <w:t>herpes simplex vīrusa infekcijas ārstēšanai</w:t>
            </w:r>
          </w:p>
        </w:tc>
      </w:tr>
      <w:tr w:rsidR="00691CB1" w:rsidRPr="00595075" w14:paraId="0830780E" w14:textId="77777777" w:rsidTr="00105EF0">
        <w:tc>
          <w:tcPr>
            <w:tcW w:w="4315" w:type="dxa"/>
            <w:vAlign w:val="center"/>
          </w:tcPr>
          <w:p w14:paraId="3CC390A3" w14:textId="77777777" w:rsidR="00691CB1" w:rsidRPr="00595075" w:rsidRDefault="00691CB1" w:rsidP="00105EF0">
            <w:pPr>
              <w:numPr>
                <w:ilvl w:val="12"/>
                <w:numId w:val="0"/>
              </w:numPr>
              <w:tabs>
                <w:tab w:val="clear" w:pos="567"/>
              </w:tabs>
              <w:spacing w:line="240" w:lineRule="auto"/>
              <w:jc w:val="center"/>
              <w:rPr>
                <w:bCs/>
                <w:i/>
                <w:iCs/>
                <w:noProof/>
                <w:color w:val="000000" w:themeColor="text1"/>
                <w:szCs w:val="22"/>
              </w:rPr>
            </w:pPr>
            <w:r w:rsidRPr="00595075">
              <w:rPr>
                <w:bCs/>
                <w:i/>
                <w:iCs/>
                <w:noProof/>
                <w:color w:val="000000" w:themeColor="text1"/>
                <w:szCs w:val="22"/>
              </w:rPr>
              <w:t>Kreatinīna klīrenss</w:t>
            </w:r>
          </w:p>
        </w:tc>
        <w:tc>
          <w:tcPr>
            <w:tcW w:w="4315" w:type="dxa"/>
            <w:vAlign w:val="center"/>
          </w:tcPr>
          <w:p w14:paraId="35909EFF" w14:textId="77777777" w:rsidR="00691CB1" w:rsidRPr="00595075" w:rsidRDefault="00691CB1" w:rsidP="00105EF0">
            <w:pPr>
              <w:numPr>
                <w:ilvl w:val="12"/>
                <w:numId w:val="0"/>
              </w:numPr>
              <w:tabs>
                <w:tab w:val="clear" w:pos="567"/>
              </w:tabs>
              <w:spacing w:line="240" w:lineRule="auto"/>
              <w:jc w:val="center"/>
              <w:rPr>
                <w:bCs/>
                <w:i/>
                <w:iCs/>
                <w:noProof/>
                <w:color w:val="000000" w:themeColor="text1"/>
                <w:szCs w:val="22"/>
              </w:rPr>
            </w:pPr>
            <w:r w:rsidRPr="00595075">
              <w:rPr>
                <w:bCs/>
                <w:i/>
                <w:iCs/>
                <w:noProof/>
                <w:color w:val="000000" w:themeColor="text1"/>
                <w:szCs w:val="22"/>
              </w:rPr>
              <w:t>Deva</w:t>
            </w:r>
          </w:p>
        </w:tc>
      </w:tr>
      <w:tr w:rsidR="00691CB1" w:rsidRPr="00595075" w14:paraId="7F7F703D" w14:textId="77777777" w:rsidTr="00105EF0">
        <w:tc>
          <w:tcPr>
            <w:tcW w:w="4315" w:type="dxa"/>
            <w:vAlign w:val="center"/>
          </w:tcPr>
          <w:p w14:paraId="467A5547" w14:textId="6E8DC42B" w:rsidR="00691CB1" w:rsidRPr="00595075" w:rsidRDefault="005B4341" w:rsidP="00105EF0">
            <w:pPr>
              <w:numPr>
                <w:ilvl w:val="12"/>
                <w:numId w:val="0"/>
              </w:numPr>
              <w:tabs>
                <w:tab w:val="clear" w:pos="567"/>
              </w:tabs>
              <w:spacing w:line="240" w:lineRule="auto"/>
              <w:jc w:val="both"/>
              <w:rPr>
                <w:b/>
                <w:noProof/>
                <w:color w:val="000000" w:themeColor="text1"/>
                <w:szCs w:val="22"/>
              </w:rPr>
            </w:pPr>
            <w:r w:rsidRPr="00595075">
              <w:rPr>
                <w:color w:val="000000" w:themeColor="text1"/>
                <w:szCs w:val="22"/>
              </w:rPr>
              <w:t xml:space="preserve">No </w:t>
            </w:r>
            <w:r w:rsidR="00691CB1" w:rsidRPr="00595075">
              <w:rPr>
                <w:color w:val="000000" w:themeColor="text1"/>
                <w:szCs w:val="22"/>
              </w:rPr>
              <w:t>25 līdz 50 ml/min</w:t>
            </w:r>
          </w:p>
        </w:tc>
        <w:tc>
          <w:tcPr>
            <w:tcW w:w="4315" w:type="dxa"/>
            <w:vAlign w:val="center"/>
          </w:tcPr>
          <w:p w14:paraId="5E26545E" w14:textId="4FAB8C92" w:rsidR="00691CB1" w:rsidRPr="00595075" w:rsidRDefault="00691CB1" w:rsidP="00105EF0">
            <w:pPr>
              <w:numPr>
                <w:ilvl w:val="12"/>
                <w:numId w:val="0"/>
              </w:numPr>
              <w:tabs>
                <w:tab w:val="clear" w:pos="567"/>
              </w:tabs>
              <w:spacing w:line="240" w:lineRule="auto"/>
              <w:jc w:val="both"/>
              <w:rPr>
                <w:b/>
                <w:noProof/>
                <w:color w:val="000000" w:themeColor="text1"/>
                <w:szCs w:val="22"/>
              </w:rPr>
            </w:pPr>
            <w:r w:rsidRPr="00595075">
              <w:rPr>
                <w:color w:val="000000" w:themeColor="text1"/>
                <w:szCs w:val="22"/>
              </w:rPr>
              <w:t>Iepriekš norādītā ieteicamā deva (5 vai 10 mg/kg ķermeņa masas) jāievada ik pēc 12 stundām</w:t>
            </w:r>
          </w:p>
        </w:tc>
      </w:tr>
      <w:tr w:rsidR="00691CB1" w:rsidRPr="00595075" w14:paraId="36E77D67" w14:textId="77777777" w:rsidTr="00105EF0">
        <w:tc>
          <w:tcPr>
            <w:tcW w:w="4315" w:type="dxa"/>
            <w:vAlign w:val="center"/>
          </w:tcPr>
          <w:p w14:paraId="5701C90C" w14:textId="033CAD10" w:rsidR="00691CB1" w:rsidRPr="00595075" w:rsidRDefault="005B4341" w:rsidP="00105EF0">
            <w:pPr>
              <w:numPr>
                <w:ilvl w:val="12"/>
                <w:numId w:val="0"/>
              </w:numPr>
              <w:tabs>
                <w:tab w:val="clear" w:pos="567"/>
              </w:tabs>
              <w:spacing w:line="240" w:lineRule="auto"/>
              <w:jc w:val="both"/>
              <w:rPr>
                <w:b/>
                <w:noProof/>
                <w:color w:val="000000" w:themeColor="text1"/>
                <w:szCs w:val="22"/>
              </w:rPr>
            </w:pPr>
            <w:r w:rsidRPr="00595075">
              <w:rPr>
                <w:color w:val="000000" w:themeColor="text1"/>
                <w:szCs w:val="22"/>
              </w:rPr>
              <w:t xml:space="preserve">No </w:t>
            </w:r>
            <w:r w:rsidR="00691CB1" w:rsidRPr="00595075">
              <w:rPr>
                <w:color w:val="000000" w:themeColor="text1"/>
                <w:szCs w:val="22"/>
              </w:rPr>
              <w:t>10 līdz 25 ml/min</w:t>
            </w:r>
          </w:p>
        </w:tc>
        <w:tc>
          <w:tcPr>
            <w:tcW w:w="4315" w:type="dxa"/>
            <w:vAlign w:val="center"/>
          </w:tcPr>
          <w:p w14:paraId="7A8AB8FB" w14:textId="49C7E121" w:rsidR="00691CB1" w:rsidRPr="00595075" w:rsidRDefault="00691CB1" w:rsidP="00105EF0">
            <w:pPr>
              <w:numPr>
                <w:ilvl w:val="12"/>
                <w:numId w:val="0"/>
              </w:numPr>
              <w:tabs>
                <w:tab w:val="clear" w:pos="567"/>
              </w:tabs>
              <w:spacing w:line="240" w:lineRule="auto"/>
              <w:jc w:val="both"/>
              <w:rPr>
                <w:b/>
                <w:noProof/>
                <w:color w:val="000000" w:themeColor="text1"/>
                <w:szCs w:val="22"/>
              </w:rPr>
            </w:pPr>
            <w:r w:rsidRPr="00595075">
              <w:rPr>
                <w:color w:val="000000" w:themeColor="text1"/>
                <w:szCs w:val="22"/>
              </w:rPr>
              <w:t>Iepriekš norādītā ieteicamā deva (5 vai 10 mg/kg ķermeņa masas) jāievada ik pēc 24 stundām</w:t>
            </w:r>
          </w:p>
        </w:tc>
      </w:tr>
      <w:tr w:rsidR="00691CB1" w:rsidRPr="00595075" w14:paraId="5E733802" w14:textId="77777777" w:rsidTr="00105EF0">
        <w:tc>
          <w:tcPr>
            <w:tcW w:w="4315" w:type="dxa"/>
            <w:vAlign w:val="center"/>
          </w:tcPr>
          <w:p w14:paraId="69C2BAF2" w14:textId="1EE46E5A" w:rsidR="00691CB1" w:rsidRPr="00595075" w:rsidRDefault="005B4341" w:rsidP="00105EF0">
            <w:pPr>
              <w:numPr>
                <w:ilvl w:val="12"/>
                <w:numId w:val="0"/>
              </w:numPr>
              <w:tabs>
                <w:tab w:val="clear" w:pos="567"/>
              </w:tabs>
              <w:spacing w:line="240" w:lineRule="auto"/>
              <w:jc w:val="both"/>
              <w:rPr>
                <w:b/>
                <w:noProof/>
                <w:color w:val="000000" w:themeColor="text1"/>
                <w:szCs w:val="22"/>
              </w:rPr>
            </w:pPr>
            <w:r w:rsidRPr="00595075">
              <w:rPr>
                <w:color w:val="000000" w:themeColor="text1"/>
                <w:szCs w:val="22"/>
              </w:rPr>
              <w:t xml:space="preserve">No </w:t>
            </w:r>
            <w:r w:rsidR="00691CB1" w:rsidRPr="00595075">
              <w:rPr>
                <w:color w:val="000000" w:themeColor="text1"/>
                <w:szCs w:val="22"/>
              </w:rPr>
              <w:t>0 (anūrija) līdz 10 ml/min.</w:t>
            </w:r>
          </w:p>
        </w:tc>
        <w:tc>
          <w:tcPr>
            <w:tcW w:w="4315" w:type="dxa"/>
            <w:vAlign w:val="center"/>
          </w:tcPr>
          <w:p w14:paraId="6E8AD0A5" w14:textId="1414902D" w:rsidR="00691CB1" w:rsidRPr="00595075" w:rsidRDefault="00691CB1" w:rsidP="00105EF0">
            <w:pPr>
              <w:numPr>
                <w:ilvl w:val="12"/>
                <w:numId w:val="0"/>
              </w:numPr>
              <w:tabs>
                <w:tab w:val="clear" w:pos="567"/>
              </w:tabs>
              <w:spacing w:line="240" w:lineRule="auto"/>
              <w:jc w:val="both"/>
              <w:rPr>
                <w:b/>
                <w:noProof/>
                <w:color w:val="000000" w:themeColor="text1"/>
                <w:szCs w:val="22"/>
              </w:rPr>
            </w:pPr>
            <w:r w:rsidRPr="00595075">
              <w:rPr>
                <w:color w:val="000000" w:themeColor="text1"/>
                <w:szCs w:val="22"/>
              </w:rPr>
              <w:t>Pacientiem, kuriem tiek veikta nepārtraukta ambulatora peritoneālā dialīze (</w:t>
            </w:r>
            <w:r w:rsidRPr="00595075">
              <w:rPr>
                <w:i/>
                <w:iCs/>
              </w:rPr>
              <w:t xml:space="preserve">continuous ambulatory peritoneal dialysis </w:t>
            </w:r>
            <w:r w:rsidRPr="00595075">
              <w:t>[CAPD]</w:t>
            </w:r>
            <w:r w:rsidRPr="00595075">
              <w:rPr>
                <w:color w:val="000000" w:themeColor="text1"/>
                <w:szCs w:val="22"/>
              </w:rPr>
              <w:t>), iepriekš norādītā ieteicamā deva (5 vai 10 mg/kg ķermeņa masas) jāsamazina uz pusi un jāievada ik pēc 24 stundām</w:t>
            </w:r>
          </w:p>
        </w:tc>
      </w:tr>
      <w:tr w:rsidR="00691CB1" w:rsidRPr="00595075" w14:paraId="68FC2F24" w14:textId="77777777" w:rsidTr="00105EF0">
        <w:tc>
          <w:tcPr>
            <w:tcW w:w="4315" w:type="dxa"/>
            <w:vAlign w:val="center"/>
          </w:tcPr>
          <w:p w14:paraId="05389E7D" w14:textId="77777777" w:rsidR="00691CB1" w:rsidRPr="00595075" w:rsidRDefault="00691CB1" w:rsidP="00105EF0">
            <w:pPr>
              <w:numPr>
                <w:ilvl w:val="12"/>
                <w:numId w:val="0"/>
              </w:numPr>
              <w:tabs>
                <w:tab w:val="clear" w:pos="567"/>
              </w:tabs>
              <w:spacing w:line="240" w:lineRule="auto"/>
              <w:jc w:val="both"/>
              <w:rPr>
                <w:b/>
                <w:noProof/>
                <w:color w:val="000000" w:themeColor="text1"/>
                <w:szCs w:val="22"/>
              </w:rPr>
            </w:pPr>
            <w:r w:rsidRPr="00595075">
              <w:rPr>
                <w:color w:val="000000" w:themeColor="text1"/>
                <w:szCs w:val="22"/>
              </w:rPr>
              <w:t>Pacienti, kuriem tiek veikta hemodialīze</w:t>
            </w:r>
          </w:p>
        </w:tc>
        <w:tc>
          <w:tcPr>
            <w:tcW w:w="4315" w:type="dxa"/>
            <w:vAlign w:val="center"/>
          </w:tcPr>
          <w:p w14:paraId="6824DB41" w14:textId="73EBC903" w:rsidR="00691CB1" w:rsidRPr="00595075" w:rsidRDefault="00691CB1" w:rsidP="00105EF0">
            <w:pPr>
              <w:numPr>
                <w:ilvl w:val="12"/>
                <w:numId w:val="0"/>
              </w:numPr>
              <w:tabs>
                <w:tab w:val="clear" w:pos="567"/>
              </w:tabs>
              <w:spacing w:line="240" w:lineRule="auto"/>
              <w:jc w:val="both"/>
              <w:rPr>
                <w:b/>
                <w:noProof/>
                <w:color w:val="000000" w:themeColor="text1"/>
                <w:szCs w:val="22"/>
              </w:rPr>
            </w:pPr>
            <w:r w:rsidRPr="00595075">
              <w:rPr>
                <w:color w:val="000000" w:themeColor="text1"/>
                <w:szCs w:val="22"/>
              </w:rPr>
              <w:t>Pacientiem, kuriem tiek veikta hemodialīze, iepriekš norādīta ieteicamā deva (5 vai 10 mg/kg ķermeņa masas) jāsamazina uz pusi un jāievada ik pēc 24 stundām un pēc dialīzes seansa</w:t>
            </w:r>
          </w:p>
        </w:tc>
      </w:tr>
    </w:tbl>
    <w:p w14:paraId="2DA972D0" w14:textId="77777777" w:rsidR="00691CB1" w:rsidRPr="00595075" w:rsidRDefault="00691CB1" w:rsidP="00691CB1">
      <w:pPr>
        <w:numPr>
          <w:ilvl w:val="12"/>
          <w:numId w:val="0"/>
        </w:numPr>
        <w:tabs>
          <w:tab w:val="clear" w:pos="567"/>
        </w:tabs>
        <w:spacing w:line="240" w:lineRule="auto"/>
        <w:jc w:val="both"/>
        <w:rPr>
          <w:b/>
          <w:noProof/>
          <w:color w:val="000000" w:themeColor="text1"/>
          <w:szCs w:val="22"/>
        </w:rPr>
      </w:pPr>
    </w:p>
    <w:tbl>
      <w:tblPr>
        <w:tblStyle w:val="TableGrid"/>
        <w:tblW w:w="0" w:type="auto"/>
        <w:tblLook w:val="04A0" w:firstRow="1" w:lastRow="0" w:firstColumn="1" w:lastColumn="0" w:noHBand="0" w:noVBand="1"/>
      </w:tblPr>
      <w:tblGrid>
        <w:gridCol w:w="4315"/>
        <w:gridCol w:w="4315"/>
      </w:tblGrid>
      <w:tr w:rsidR="00691CB1" w:rsidRPr="00595075" w14:paraId="0154F364" w14:textId="77777777" w:rsidTr="00105EF0">
        <w:tc>
          <w:tcPr>
            <w:tcW w:w="8630" w:type="dxa"/>
            <w:gridSpan w:val="2"/>
            <w:vAlign w:val="center"/>
          </w:tcPr>
          <w:p w14:paraId="58A65D45" w14:textId="378B80E9" w:rsidR="00691CB1" w:rsidRPr="00595075" w:rsidRDefault="00691CB1" w:rsidP="00105EF0">
            <w:pPr>
              <w:numPr>
                <w:ilvl w:val="12"/>
                <w:numId w:val="0"/>
              </w:numPr>
              <w:tabs>
                <w:tab w:val="clear" w:pos="567"/>
              </w:tabs>
              <w:spacing w:line="240" w:lineRule="auto"/>
              <w:jc w:val="center"/>
              <w:rPr>
                <w:bCs/>
                <w:i/>
                <w:iCs/>
                <w:noProof/>
                <w:color w:val="000000" w:themeColor="text1"/>
                <w:szCs w:val="22"/>
              </w:rPr>
            </w:pPr>
            <w:r w:rsidRPr="00595075">
              <w:rPr>
                <w:bCs/>
                <w:i/>
                <w:iCs/>
                <w:noProof/>
                <w:color w:val="000000" w:themeColor="text1"/>
                <w:szCs w:val="22"/>
              </w:rPr>
              <w:lastRenderedPageBreak/>
              <w:t>Intravenoz</w:t>
            </w:r>
            <w:r w:rsidR="005B4341" w:rsidRPr="00595075">
              <w:rPr>
                <w:bCs/>
                <w:i/>
                <w:iCs/>
                <w:noProof/>
                <w:color w:val="000000" w:themeColor="text1"/>
                <w:szCs w:val="22"/>
              </w:rPr>
              <w:t>ā</w:t>
            </w:r>
            <w:r w:rsidRPr="00595075">
              <w:rPr>
                <w:bCs/>
                <w:i/>
                <w:iCs/>
                <w:noProof/>
                <w:color w:val="000000" w:themeColor="text1"/>
                <w:szCs w:val="22"/>
              </w:rPr>
              <w:t xml:space="preserve"> aciklovīra devas pielāgošana </w:t>
            </w:r>
            <w:r w:rsidR="005B4341" w:rsidRPr="00595075">
              <w:rPr>
                <w:bCs/>
                <w:i/>
                <w:iCs/>
                <w:noProof/>
                <w:color w:val="000000" w:themeColor="text1"/>
                <w:szCs w:val="22"/>
              </w:rPr>
              <w:t xml:space="preserve">jaundzimušajiem, </w:t>
            </w:r>
            <w:r w:rsidRPr="00595075">
              <w:rPr>
                <w:bCs/>
                <w:i/>
                <w:iCs/>
                <w:noProof/>
                <w:color w:val="000000" w:themeColor="text1"/>
                <w:szCs w:val="22"/>
              </w:rPr>
              <w:t xml:space="preserve">zīdaiņiem un bērniem ar nieru darbības traucējumiem </w:t>
            </w:r>
            <w:r w:rsidRPr="00595075">
              <w:rPr>
                <w:i/>
                <w:iCs/>
                <w:color w:val="000000" w:themeColor="text1"/>
                <w:szCs w:val="22"/>
              </w:rPr>
              <w:t>herpes simplex vīrusa infekcijas ārstēšanai</w:t>
            </w:r>
          </w:p>
        </w:tc>
      </w:tr>
      <w:tr w:rsidR="00691CB1" w:rsidRPr="00595075" w14:paraId="7B5C26FD" w14:textId="77777777" w:rsidTr="00105EF0">
        <w:tc>
          <w:tcPr>
            <w:tcW w:w="4315" w:type="dxa"/>
            <w:vAlign w:val="center"/>
          </w:tcPr>
          <w:p w14:paraId="3309F635" w14:textId="77777777" w:rsidR="00691CB1" w:rsidRPr="00595075" w:rsidRDefault="00691CB1" w:rsidP="00105EF0">
            <w:pPr>
              <w:numPr>
                <w:ilvl w:val="12"/>
                <w:numId w:val="0"/>
              </w:numPr>
              <w:tabs>
                <w:tab w:val="clear" w:pos="567"/>
              </w:tabs>
              <w:spacing w:line="240" w:lineRule="auto"/>
              <w:jc w:val="center"/>
              <w:rPr>
                <w:bCs/>
                <w:i/>
                <w:iCs/>
                <w:noProof/>
                <w:color w:val="000000" w:themeColor="text1"/>
                <w:szCs w:val="22"/>
              </w:rPr>
            </w:pPr>
            <w:r w:rsidRPr="00595075">
              <w:rPr>
                <w:bCs/>
                <w:i/>
                <w:iCs/>
                <w:noProof/>
                <w:color w:val="000000" w:themeColor="text1"/>
                <w:szCs w:val="22"/>
              </w:rPr>
              <w:t>Kreatinīna klīrenss</w:t>
            </w:r>
          </w:p>
        </w:tc>
        <w:tc>
          <w:tcPr>
            <w:tcW w:w="4315" w:type="dxa"/>
            <w:vAlign w:val="center"/>
          </w:tcPr>
          <w:p w14:paraId="20370F8C" w14:textId="77777777" w:rsidR="00691CB1" w:rsidRPr="00595075" w:rsidRDefault="00691CB1" w:rsidP="00105EF0">
            <w:pPr>
              <w:numPr>
                <w:ilvl w:val="12"/>
                <w:numId w:val="0"/>
              </w:numPr>
              <w:tabs>
                <w:tab w:val="clear" w:pos="567"/>
              </w:tabs>
              <w:spacing w:line="240" w:lineRule="auto"/>
              <w:jc w:val="center"/>
              <w:rPr>
                <w:bCs/>
                <w:i/>
                <w:iCs/>
                <w:noProof/>
                <w:color w:val="000000" w:themeColor="text1"/>
                <w:szCs w:val="22"/>
              </w:rPr>
            </w:pPr>
            <w:r w:rsidRPr="00595075">
              <w:rPr>
                <w:bCs/>
                <w:i/>
                <w:iCs/>
                <w:noProof/>
                <w:color w:val="000000" w:themeColor="text1"/>
                <w:szCs w:val="22"/>
              </w:rPr>
              <w:t>Deva</w:t>
            </w:r>
          </w:p>
        </w:tc>
      </w:tr>
      <w:tr w:rsidR="00691CB1" w:rsidRPr="00595075" w14:paraId="73EA2985" w14:textId="77777777" w:rsidTr="00105EF0">
        <w:tc>
          <w:tcPr>
            <w:tcW w:w="4315" w:type="dxa"/>
            <w:vAlign w:val="center"/>
          </w:tcPr>
          <w:p w14:paraId="1950B827" w14:textId="7DDD3831" w:rsidR="00691CB1" w:rsidRPr="00595075" w:rsidRDefault="005B4341" w:rsidP="00105EF0">
            <w:pPr>
              <w:numPr>
                <w:ilvl w:val="12"/>
                <w:numId w:val="0"/>
              </w:numPr>
              <w:tabs>
                <w:tab w:val="clear" w:pos="567"/>
              </w:tabs>
              <w:spacing w:line="240" w:lineRule="auto"/>
              <w:jc w:val="both"/>
              <w:rPr>
                <w:b/>
                <w:noProof/>
                <w:color w:val="000000" w:themeColor="text1"/>
                <w:szCs w:val="22"/>
              </w:rPr>
            </w:pPr>
            <w:r w:rsidRPr="00595075">
              <w:rPr>
                <w:color w:val="000000" w:themeColor="text1"/>
                <w:szCs w:val="22"/>
              </w:rPr>
              <w:t xml:space="preserve">No </w:t>
            </w:r>
            <w:r w:rsidR="00691CB1" w:rsidRPr="00595075">
              <w:rPr>
                <w:color w:val="000000" w:themeColor="text1"/>
                <w:szCs w:val="22"/>
              </w:rPr>
              <w:t>25 līdz 50 ml/min/1,73 m</w:t>
            </w:r>
            <w:r w:rsidR="00691CB1" w:rsidRPr="00595075">
              <w:rPr>
                <w:color w:val="000000" w:themeColor="text1"/>
                <w:szCs w:val="22"/>
                <w:vertAlign w:val="superscript"/>
              </w:rPr>
              <w:t>2</w:t>
            </w:r>
          </w:p>
        </w:tc>
        <w:tc>
          <w:tcPr>
            <w:tcW w:w="4315" w:type="dxa"/>
            <w:vAlign w:val="center"/>
          </w:tcPr>
          <w:p w14:paraId="48B5722E" w14:textId="2AC1AFEE" w:rsidR="00691CB1" w:rsidRPr="00595075" w:rsidRDefault="00691CB1" w:rsidP="00105EF0">
            <w:pPr>
              <w:numPr>
                <w:ilvl w:val="12"/>
                <w:numId w:val="0"/>
              </w:numPr>
              <w:tabs>
                <w:tab w:val="clear" w:pos="567"/>
              </w:tabs>
              <w:spacing w:line="240" w:lineRule="auto"/>
              <w:jc w:val="both"/>
              <w:rPr>
                <w:b/>
                <w:noProof/>
                <w:color w:val="000000" w:themeColor="text1"/>
                <w:szCs w:val="22"/>
              </w:rPr>
            </w:pPr>
            <w:r w:rsidRPr="00595075">
              <w:rPr>
                <w:color w:val="000000" w:themeColor="text1"/>
                <w:szCs w:val="22"/>
              </w:rPr>
              <w:t>Iepriekš norādītā ieteicamā deva (250 vai 500 mg/m</w:t>
            </w:r>
            <w:r w:rsidRPr="00595075">
              <w:rPr>
                <w:color w:val="000000" w:themeColor="text1"/>
                <w:szCs w:val="22"/>
                <w:vertAlign w:val="superscript"/>
              </w:rPr>
              <w:t>2</w:t>
            </w:r>
            <w:r w:rsidRPr="00595075">
              <w:rPr>
                <w:color w:val="000000" w:themeColor="text1"/>
                <w:szCs w:val="22"/>
              </w:rPr>
              <w:t xml:space="preserve"> ķermeņa virsmas laukuma vai 20 mg/kg ķermeņa masas) jāievada ik pēc 12 stundām</w:t>
            </w:r>
          </w:p>
        </w:tc>
      </w:tr>
      <w:tr w:rsidR="00691CB1" w:rsidRPr="00595075" w14:paraId="3C8820F0" w14:textId="77777777" w:rsidTr="00105EF0">
        <w:tc>
          <w:tcPr>
            <w:tcW w:w="4315" w:type="dxa"/>
            <w:vAlign w:val="center"/>
          </w:tcPr>
          <w:p w14:paraId="7947D936" w14:textId="63870850" w:rsidR="00691CB1" w:rsidRPr="00595075" w:rsidRDefault="005B4341" w:rsidP="00105EF0">
            <w:pPr>
              <w:numPr>
                <w:ilvl w:val="12"/>
                <w:numId w:val="0"/>
              </w:numPr>
              <w:tabs>
                <w:tab w:val="clear" w:pos="567"/>
              </w:tabs>
              <w:spacing w:line="240" w:lineRule="auto"/>
              <w:jc w:val="both"/>
              <w:rPr>
                <w:b/>
                <w:noProof/>
                <w:color w:val="000000" w:themeColor="text1"/>
                <w:szCs w:val="22"/>
              </w:rPr>
            </w:pPr>
            <w:r w:rsidRPr="00595075">
              <w:rPr>
                <w:color w:val="000000" w:themeColor="text1"/>
                <w:szCs w:val="22"/>
              </w:rPr>
              <w:t xml:space="preserve">No </w:t>
            </w:r>
            <w:r w:rsidR="00691CB1" w:rsidRPr="00595075">
              <w:rPr>
                <w:color w:val="000000" w:themeColor="text1"/>
                <w:szCs w:val="22"/>
              </w:rPr>
              <w:t>10 līdz 25 ml/min/1,73 m</w:t>
            </w:r>
            <w:r w:rsidR="00691CB1" w:rsidRPr="00595075">
              <w:rPr>
                <w:color w:val="000000" w:themeColor="text1"/>
                <w:szCs w:val="22"/>
                <w:vertAlign w:val="superscript"/>
              </w:rPr>
              <w:t>2</w:t>
            </w:r>
          </w:p>
        </w:tc>
        <w:tc>
          <w:tcPr>
            <w:tcW w:w="4315" w:type="dxa"/>
            <w:vAlign w:val="center"/>
          </w:tcPr>
          <w:p w14:paraId="5464DD3C" w14:textId="4E56D082" w:rsidR="00691CB1" w:rsidRPr="00595075" w:rsidRDefault="00691CB1" w:rsidP="00105EF0">
            <w:pPr>
              <w:numPr>
                <w:ilvl w:val="12"/>
                <w:numId w:val="0"/>
              </w:numPr>
              <w:tabs>
                <w:tab w:val="clear" w:pos="567"/>
              </w:tabs>
              <w:spacing w:line="240" w:lineRule="auto"/>
              <w:jc w:val="both"/>
              <w:rPr>
                <w:b/>
                <w:noProof/>
                <w:color w:val="000000" w:themeColor="text1"/>
                <w:szCs w:val="22"/>
              </w:rPr>
            </w:pPr>
            <w:r w:rsidRPr="00595075">
              <w:rPr>
                <w:color w:val="000000" w:themeColor="text1"/>
                <w:szCs w:val="22"/>
              </w:rPr>
              <w:t>Iepriekš norādītā ieteicamā deva (250 vai 500 mg/m</w:t>
            </w:r>
            <w:r w:rsidRPr="00595075">
              <w:rPr>
                <w:color w:val="000000" w:themeColor="text1"/>
                <w:szCs w:val="22"/>
                <w:vertAlign w:val="superscript"/>
              </w:rPr>
              <w:t>2</w:t>
            </w:r>
            <w:r w:rsidRPr="00595075">
              <w:rPr>
                <w:color w:val="000000" w:themeColor="text1"/>
                <w:szCs w:val="22"/>
              </w:rPr>
              <w:t xml:space="preserve"> ķermeņa virsmas laukuma vai 20 mg/kg ķermeņa masas) jāievada ik pēc 24 stundām</w:t>
            </w:r>
          </w:p>
        </w:tc>
      </w:tr>
      <w:tr w:rsidR="00691CB1" w:rsidRPr="00595075" w14:paraId="75DF7798" w14:textId="77777777" w:rsidTr="00105EF0">
        <w:tc>
          <w:tcPr>
            <w:tcW w:w="4315" w:type="dxa"/>
            <w:vAlign w:val="center"/>
          </w:tcPr>
          <w:p w14:paraId="4D645E5E" w14:textId="7389F732" w:rsidR="00691CB1" w:rsidRPr="00595075" w:rsidRDefault="00712A8F" w:rsidP="00105EF0">
            <w:pPr>
              <w:numPr>
                <w:ilvl w:val="12"/>
                <w:numId w:val="0"/>
              </w:numPr>
              <w:tabs>
                <w:tab w:val="clear" w:pos="567"/>
              </w:tabs>
              <w:spacing w:line="240" w:lineRule="auto"/>
              <w:jc w:val="both"/>
              <w:rPr>
                <w:b/>
                <w:noProof/>
                <w:color w:val="000000" w:themeColor="text1"/>
                <w:szCs w:val="22"/>
              </w:rPr>
            </w:pPr>
            <w:r w:rsidRPr="00595075">
              <w:rPr>
                <w:color w:val="000000" w:themeColor="text1"/>
                <w:szCs w:val="22"/>
              </w:rPr>
              <w:t xml:space="preserve">No </w:t>
            </w:r>
            <w:r w:rsidR="00691CB1" w:rsidRPr="00595075">
              <w:rPr>
                <w:color w:val="000000" w:themeColor="text1"/>
                <w:szCs w:val="22"/>
              </w:rPr>
              <w:t>0 (anūrija) līdz 10 ml/min/1,73 m</w:t>
            </w:r>
            <w:r w:rsidR="00691CB1" w:rsidRPr="00595075">
              <w:rPr>
                <w:color w:val="000000" w:themeColor="text1"/>
                <w:szCs w:val="22"/>
                <w:vertAlign w:val="superscript"/>
              </w:rPr>
              <w:t>2</w:t>
            </w:r>
          </w:p>
        </w:tc>
        <w:tc>
          <w:tcPr>
            <w:tcW w:w="4315" w:type="dxa"/>
            <w:vAlign w:val="center"/>
          </w:tcPr>
          <w:p w14:paraId="1E852B6B" w14:textId="0EDD2F8E" w:rsidR="00691CB1" w:rsidRPr="00595075" w:rsidRDefault="00691CB1" w:rsidP="00105EF0">
            <w:pPr>
              <w:numPr>
                <w:ilvl w:val="12"/>
                <w:numId w:val="0"/>
              </w:numPr>
              <w:tabs>
                <w:tab w:val="clear" w:pos="567"/>
              </w:tabs>
              <w:spacing w:line="240" w:lineRule="auto"/>
              <w:jc w:val="both"/>
              <w:rPr>
                <w:b/>
                <w:noProof/>
                <w:color w:val="000000" w:themeColor="text1"/>
                <w:szCs w:val="22"/>
              </w:rPr>
            </w:pPr>
            <w:r w:rsidRPr="00595075">
              <w:rPr>
                <w:color w:val="000000" w:themeColor="text1"/>
                <w:szCs w:val="22"/>
              </w:rPr>
              <w:t>Pacientiem, kuriem tiek veikta nepārtraukta ambulatora peritoneālā dialīze (</w:t>
            </w:r>
            <w:r w:rsidRPr="00595075">
              <w:t>CAPD</w:t>
            </w:r>
            <w:r w:rsidRPr="00595075">
              <w:rPr>
                <w:color w:val="000000" w:themeColor="text1"/>
                <w:szCs w:val="22"/>
              </w:rPr>
              <w:t>), iepriekš norādītā ieteicamā deva (250 vai 500 mg/m</w:t>
            </w:r>
            <w:r w:rsidRPr="00595075">
              <w:rPr>
                <w:color w:val="000000" w:themeColor="text1"/>
                <w:szCs w:val="22"/>
                <w:vertAlign w:val="superscript"/>
              </w:rPr>
              <w:t>2</w:t>
            </w:r>
            <w:r w:rsidRPr="00595075">
              <w:rPr>
                <w:color w:val="000000" w:themeColor="text1"/>
                <w:szCs w:val="22"/>
              </w:rPr>
              <w:t xml:space="preserve"> ķermeņa virsmas laukuma vai 20 mg/kg ķermeņa masas) jāsamazina uz pusi un jāievada ik pēc 24 stundām</w:t>
            </w:r>
          </w:p>
        </w:tc>
      </w:tr>
      <w:tr w:rsidR="00691CB1" w:rsidRPr="00595075" w14:paraId="74A788A6" w14:textId="77777777" w:rsidTr="00105EF0">
        <w:tc>
          <w:tcPr>
            <w:tcW w:w="4315" w:type="dxa"/>
            <w:vAlign w:val="center"/>
          </w:tcPr>
          <w:p w14:paraId="18FBE640" w14:textId="77777777" w:rsidR="00691CB1" w:rsidRPr="00595075" w:rsidRDefault="00691CB1" w:rsidP="00105EF0">
            <w:pPr>
              <w:numPr>
                <w:ilvl w:val="12"/>
                <w:numId w:val="0"/>
              </w:numPr>
              <w:tabs>
                <w:tab w:val="clear" w:pos="567"/>
              </w:tabs>
              <w:spacing w:line="240" w:lineRule="auto"/>
              <w:jc w:val="both"/>
              <w:rPr>
                <w:b/>
                <w:noProof/>
                <w:color w:val="000000" w:themeColor="text1"/>
                <w:szCs w:val="22"/>
              </w:rPr>
            </w:pPr>
            <w:r w:rsidRPr="00595075">
              <w:rPr>
                <w:color w:val="000000" w:themeColor="text1"/>
                <w:szCs w:val="22"/>
              </w:rPr>
              <w:t>Pacienti, kuriem tiek veikta hemodialīze</w:t>
            </w:r>
          </w:p>
        </w:tc>
        <w:tc>
          <w:tcPr>
            <w:tcW w:w="4315" w:type="dxa"/>
            <w:vAlign w:val="center"/>
          </w:tcPr>
          <w:p w14:paraId="12BCEB9C" w14:textId="56760DC3" w:rsidR="00691CB1" w:rsidRPr="00595075" w:rsidRDefault="00691CB1" w:rsidP="00105EF0">
            <w:pPr>
              <w:numPr>
                <w:ilvl w:val="12"/>
                <w:numId w:val="0"/>
              </w:numPr>
              <w:tabs>
                <w:tab w:val="clear" w:pos="567"/>
              </w:tabs>
              <w:spacing w:line="240" w:lineRule="auto"/>
              <w:jc w:val="both"/>
              <w:rPr>
                <w:b/>
                <w:noProof/>
                <w:color w:val="000000" w:themeColor="text1"/>
                <w:szCs w:val="22"/>
              </w:rPr>
            </w:pPr>
            <w:r w:rsidRPr="00595075">
              <w:rPr>
                <w:color w:val="000000" w:themeColor="text1"/>
                <w:szCs w:val="22"/>
              </w:rPr>
              <w:t>Pacientiem, kuriem tiek veikta hemodialīze, iepriekš norādīta ieteicamā deva (250 vai 500 mg/m</w:t>
            </w:r>
            <w:r w:rsidRPr="00595075">
              <w:rPr>
                <w:color w:val="000000" w:themeColor="text1"/>
                <w:szCs w:val="22"/>
                <w:vertAlign w:val="superscript"/>
              </w:rPr>
              <w:t>2</w:t>
            </w:r>
            <w:r w:rsidRPr="00595075">
              <w:rPr>
                <w:color w:val="000000" w:themeColor="text1"/>
                <w:szCs w:val="22"/>
              </w:rPr>
              <w:t xml:space="preserve"> ķermeņa virsmas laukuma vai 20 mg/kg ķermeņa masas) jāsamazina uz pusi un jāievada ik pēc 24 stundām un pēc dialīzes seansa</w:t>
            </w:r>
          </w:p>
        </w:tc>
      </w:tr>
    </w:tbl>
    <w:p w14:paraId="5A32455C" w14:textId="77777777" w:rsidR="00691CB1" w:rsidRPr="00595075" w:rsidRDefault="00691CB1" w:rsidP="00691CB1">
      <w:pPr>
        <w:numPr>
          <w:ilvl w:val="12"/>
          <w:numId w:val="0"/>
        </w:numPr>
        <w:tabs>
          <w:tab w:val="clear" w:pos="567"/>
        </w:tabs>
        <w:spacing w:line="240" w:lineRule="auto"/>
        <w:jc w:val="both"/>
        <w:rPr>
          <w:b/>
          <w:noProof/>
          <w:color w:val="000000" w:themeColor="text1"/>
          <w:szCs w:val="22"/>
        </w:rPr>
      </w:pPr>
    </w:p>
    <w:p w14:paraId="03FC035C" w14:textId="77777777" w:rsidR="00462798" w:rsidRPr="00595075" w:rsidRDefault="00462798" w:rsidP="00462798">
      <w:pPr>
        <w:tabs>
          <w:tab w:val="clear" w:pos="567"/>
        </w:tabs>
        <w:spacing w:line="240" w:lineRule="auto"/>
        <w:jc w:val="both"/>
        <w:rPr>
          <w:color w:val="000000" w:themeColor="text1"/>
          <w:szCs w:val="22"/>
          <w:u w:val="single"/>
        </w:rPr>
      </w:pPr>
      <w:r w:rsidRPr="00595075">
        <w:rPr>
          <w:color w:val="000000" w:themeColor="text1"/>
          <w:szCs w:val="22"/>
          <w:u w:val="single"/>
        </w:rPr>
        <w:t>Lietošanas veids</w:t>
      </w:r>
    </w:p>
    <w:p w14:paraId="7619976B" w14:textId="6E2E75E5" w:rsidR="00462798" w:rsidRPr="00595075" w:rsidRDefault="00462798" w:rsidP="00462798">
      <w:pPr>
        <w:tabs>
          <w:tab w:val="clear" w:pos="567"/>
        </w:tabs>
        <w:spacing w:line="240" w:lineRule="auto"/>
        <w:jc w:val="both"/>
        <w:rPr>
          <w:color w:val="000000" w:themeColor="text1"/>
          <w:szCs w:val="22"/>
        </w:rPr>
      </w:pPr>
      <w:r w:rsidRPr="00595075">
        <w:rPr>
          <w:color w:val="000000" w:themeColor="text1"/>
          <w:szCs w:val="22"/>
        </w:rPr>
        <w:t>Nepieciešamā aciklovīra deva jāievada 1 stundu ilgas lēnas intravenozas infūzijas veidā.</w:t>
      </w:r>
    </w:p>
    <w:p w14:paraId="6AF730D3" w14:textId="2818FD19" w:rsidR="005C330E" w:rsidRPr="00595075" w:rsidRDefault="005C330E" w:rsidP="00F70B36">
      <w:pPr>
        <w:spacing w:line="240" w:lineRule="auto"/>
        <w:jc w:val="both"/>
        <w:rPr>
          <w:bCs/>
          <w:i/>
          <w:color w:val="000000" w:themeColor="text1"/>
          <w:szCs w:val="22"/>
          <w:u w:val="single"/>
        </w:rPr>
      </w:pPr>
    </w:p>
    <w:p w14:paraId="1BB9EEBF" w14:textId="65023117" w:rsidR="00462798" w:rsidRPr="00595075" w:rsidRDefault="00462798" w:rsidP="00462798">
      <w:pPr>
        <w:spacing w:line="240" w:lineRule="auto"/>
        <w:jc w:val="both"/>
        <w:rPr>
          <w:color w:val="000000" w:themeColor="text1"/>
          <w:szCs w:val="22"/>
        </w:rPr>
      </w:pPr>
      <w:r w:rsidRPr="00595075">
        <w:rPr>
          <w:color w:val="000000" w:themeColor="text1"/>
          <w:szCs w:val="22"/>
        </w:rPr>
        <w:t xml:space="preserve">Aciklovīra terapijas kurss parasti ilgst 5 dienas, bet to var pielāgot atkarībā no pacienta stāvokļa un </w:t>
      </w:r>
      <w:r w:rsidR="00712A8F" w:rsidRPr="00595075">
        <w:rPr>
          <w:color w:val="000000" w:themeColor="text1"/>
          <w:szCs w:val="22"/>
        </w:rPr>
        <w:t xml:space="preserve">atbildes </w:t>
      </w:r>
      <w:r w:rsidRPr="00595075">
        <w:rPr>
          <w:color w:val="000000" w:themeColor="text1"/>
          <w:szCs w:val="22"/>
        </w:rPr>
        <w:t xml:space="preserve">reakcijas uz terapiju. </w:t>
      </w:r>
      <w:r w:rsidRPr="00595075">
        <w:rPr>
          <w:i/>
          <w:color w:val="000000" w:themeColor="text1"/>
          <w:szCs w:val="22"/>
        </w:rPr>
        <w:t xml:space="preserve">Herpes </w:t>
      </w:r>
      <w:r w:rsidRPr="00595075">
        <w:rPr>
          <w:color w:val="000000" w:themeColor="text1"/>
          <w:szCs w:val="22"/>
        </w:rPr>
        <w:t xml:space="preserve">encefalīta ārstēšana parasti ilgst 10 dienas. Jaundzimušo </w:t>
      </w:r>
      <w:r w:rsidRPr="00595075">
        <w:rPr>
          <w:i/>
          <w:color w:val="000000" w:themeColor="text1"/>
          <w:szCs w:val="22"/>
        </w:rPr>
        <w:t>herpes</w:t>
      </w:r>
      <w:r w:rsidRPr="00595075">
        <w:rPr>
          <w:color w:val="000000" w:themeColor="text1"/>
          <w:szCs w:val="22"/>
        </w:rPr>
        <w:t xml:space="preserve"> infekcijas ārstēšanas ilgums ādas un gļotādu (ādas-acu-mutes) infekcijas gadījumā parasti ir 14 dienas un 21 diena diseminētas vai centrālās nervu sistēmas slimības gadījumā.</w:t>
      </w:r>
    </w:p>
    <w:p w14:paraId="61B27807" w14:textId="16B39D7B" w:rsidR="005C330E" w:rsidRPr="00595075" w:rsidRDefault="005C330E" w:rsidP="00F70B36">
      <w:pPr>
        <w:spacing w:line="240" w:lineRule="auto"/>
        <w:jc w:val="both"/>
        <w:rPr>
          <w:bCs/>
          <w:i/>
          <w:color w:val="000000" w:themeColor="text1"/>
          <w:szCs w:val="22"/>
          <w:u w:val="single"/>
        </w:rPr>
      </w:pPr>
    </w:p>
    <w:p w14:paraId="7C89E8DD" w14:textId="09FACE01" w:rsidR="00462798" w:rsidRPr="00595075" w:rsidRDefault="00462798" w:rsidP="00462798">
      <w:pPr>
        <w:spacing w:line="240" w:lineRule="auto"/>
        <w:jc w:val="both"/>
        <w:rPr>
          <w:color w:val="000000" w:themeColor="text1"/>
          <w:szCs w:val="22"/>
        </w:rPr>
      </w:pPr>
      <w:r w:rsidRPr="00595075">
        <w:rPr>
          <w:color w:val="000000" w:themeColor="text1"/>
          <w:szCs w:val="22"/>
        </w:rPr>
        <w:t>Profilaktiska intravenoz</w:t>
      </w:r>
      <w:r w:rsidR="00712A8F" w:rsidRPr="00595075">
        <w:rPr>
          <w:color w:val="000000" w:themeColor="text1"/>
          <w:szCs w:val="22"/>
        </w:rPr>
        <w:t>ā</w:t>
      </w:r>
      <w:r w:rsidRPr="00595075">
        <w:rPr>
          <w:color w:val="000000" w:themeColor="text1"/>
          <w:szCs w:val="22"/>
        </w:rPr>
        <w:t xml:space="preserve"> aciklovīra lietošanas ilgumu nosaka atbilstoši riska perioda ilgumam.</w:t>
      </w:r>
    </w:p>
    <w:p w14:paraId="4DEAC11C" w14:textId="77777777" w:rsidR="0097548A" w:rsidRPr="00595075" w:rsidRDefault="0097548A" w:rsidP="00F70B36">
      <w:pPr>
        <w:tabs>
          <w:tab w:val="clear" w:pos="567"/>
        </w:tabs>
        <w:spacing w:line="240" w:lineRule="auto"/>
        <w:jc w:val="both"/>
        <w:rPr>
          <w:b/>
          <w:color w:val="000000" w:themeColor="text1"/>
          <w:szCs w:val="22"/>
        </w:rPr>
      </w:pPr>
    </w:p>
    <w:p w14:paraId="41FF1E4C" w14:textId="2596D610" w:rsidR="0097548A" w:rsidRPr="00595075" w:rsidRDefault="0097548A" w:rsidP="00F70B36">
      <w:pPr>
        <w:tabs>
          <w:tab w:val="clear" w:pos="567"/>
        </w:tabs>
        <w:spacing w:line="240" w:lineRule="auto"/>
        <w:jc w:val="both"/>
        <w:rPr>
          <w:color w:val="000000" w:themeColor="text1"/>
          <w:szCs w:val="22"/>
        </w:rPr>
      </w:pPr>
      <w:r w:rsidRPr="00595075">
        <w:rPr>
          <w:color w:val="000000" w:themeColor="text1"/>
          <w:szCs w:val="22"/>
        </w:rPr>
        <w:t xml:space="preserve">Ieteikumus par zāļu </w:t>
      </w:r>
      <w:r w:rsidR="00A31405" w:rsidRPr="00595075">
        <w:rPr>
          <w:color w:val="000000" w:themeColor="text1"/>
          <w:szCs w:val="22"/>
        </w:rPr>
        <w:t>izšķīdināšanas un atšķaidīšanas</w:t>
      </w:r>
      <w:r w:rsidRPr="00595075">
        <w:rPr>
          <w:color w:val="000000" w:themeColor="text1"/>
          <w:szCs w:val="22"/>
        </w:rPr>
        <w:t xml:space="preserve"> pirms lietošanas skatīt 6.6</w:t>
      </w:r>
      <w:r w:rsidR="004D591D" w:rsidRPr="00595075">
        <w:rPr>
          <w:color w:val="000000" w:themeColor="text1"/>
          <w:szCs w:val="22"/>
        </w:rPr>
        <w:t>.</w:t>
      </w:r>
      <w:r w:rsidR="00FD187E" w:rsidRPr="00595075">
        <w:rPr>
          <w:noProof/>
          <w:color w:val="000000" w:themeColor="text1"/>
          <w:szCs w:val="22"/>
        </w:rPr>
        <w:t xml:space="preserve"> apakšpunktā.</w:t>
      </w:r>
    </w:p>
    <w:p w14:paraId="733A1C41" w14:textId="77777777" w:rsidR="00CD10AA" w:rsidRPr="00595075" w:rsidRDefault="00CD10AA" w:rsidP="00F70B36">
      <w:pPr>
        <w:tabs>
          <w:tab w:val="clear" w:pos="567"/>
        </w:tabs>
        <w:spacing w:line="240" w:lineRule="auto"/>
        <w:jc w:val="both"/>
        <w:rPr>
          <w:color w:val="000000" w:themeColor="text1"/>
          <w:szCs w:val="22"/>
        </w:rPr>
      </w:pPr>
    </w:p>
    <w:p w14:paraId="175AD0DE" w14:textId="77777777" w:rsidR="00CD10AA" w:rsidRPr="00595075" w:rsidRDefault="00CD10AA" w:rsidP="00F70B36">
      <w:pPr>
        <w:tabs>
          <w:tab w:val="clear" w:pos="567"/>
        </w:tabs>
        <w:spacing w:line="240" w:lineRule="auto"/>
        <w:jc w:val="both"/>
        <w:rPr>
          <w:color w:val="000000" w:themeColor="text1"/>
          <w:szCs w:val="22"/>
        </w:rPr>
      </w:pPr>
      <w:r w:rsidRPr="00595075">
        <w:rPr>
          <w:b/>
          <w:color w:val="000000" w:themeColor="text1"/>
          <w:szCs w:val="22"/>
        </w:rPr>
        <w:t>4.3</w:t>
      </w:r>
      <w:r w:rsidR="004D591D" w:rsidRPr="00595075">
        <w:rPr>
          <w:b/>
          <w:color w:val="000000" w:themeColor="text1"/>
          <w:szCs w:val="22"/>
        </w:rPr>
        <w:t>.</w:t>
      </w:r>
      <w:r w:rsidRPr="00595075">
        <w:rPr>
          <w:b/>
          <w:color w:val="000000" w:themeColor="text1"/>
          <w:szCs w:val="22"/>
        </w:rPr>
        <w:tab/>
        <w:t>Kontrindikācijas</w:t>
      </w:r>
    </w:p>
    <w:p w14:paraId="36B8E36D" w14:textId="77777777" w:rsidR="00A31405" w:rsidRPr="00595075" w:rsidRDefault="00A31405" w:rsidP="00F70B36">
      <w:pPr>
        <w:tabs>
          <w:tab w:val="clear" w:pos="567"/>
        </w:tabs>
        <w:spacing w:line="240" w:lineRule="auto"/>
        <w:jc w:val="both"/>
        <w:rPr>
          <w:color w:val="000000" w:themeColor="text1"/>
          <w:szCs w:val="22"/>
        </w:rPr>
      </w:pPr>
    </w:p>
    <w:p w14:paraId="120B93D1" w14:textId="7B61E18E" w:rsidR="00CD10AA" w:rsidRPr="00595075" w:rsidRDefault="00CD10AA" w:rsidP="00F70B36">
      <w:pPr>
        <w:tabs>
          <w:tab w:val="clear" w:pos="567"/>
        </w:tabs>
        <w:spacing w:line="240" w:lineRule="auto"/>
        <w:jc w:val="both"/>
        <w:rPr>
          <w:noProof/>
          <w:color w:val="000000" w:themeColor="text1"/>
          <w:szCs w:val="22"/>
        </w:rPr>
      </w:pPr>
      <w:r w:rsidRPr="00595075">
        <w:rPr>
          <w:color w:val="000000" w:themeColor="text1"/>
          <w:szCs w:val="22"/>
        </w:rPr>
        <w:t>Paaugstināta jutība pret aktīvo vielu</w:t>
      </w:r>
      <w:r w:rsidR="00A31405" w:rsidRPr="00595075">
        <w:rPr>
          <w:color w:val="000000" w:themeColor="text1"/>
          <w:szCs w:val="22"/>
        </w:rPr>
        <w:t xml:space="preserve"> (aciklovīru), valaciklovīru</w:t>
      </w:r>
      <w:r w:rsidRPr="00595075">
        <w:rPr>
          <w:color w:val="000000" w:themeColor="text1"/>
          <w:szCs w:val="22"/>
        </w:rPr>
        <w:t xml:space="preserve"> vai jebkuru no </w:t>
      </w:r>
      <w:r w:rsidR="00870E9B" w:rsidRPr="00595075">
        <w:rPr>
          <w:color w:val="000000" w:themeColor="text1"/>
          <w:szCs w:val="22"/>
        </w:rPr>
        <w:t>6.1</w:t>
      </w:r>
      <w:r w:rsidR="004D591D" w:rsidRPr="00595075">
        <w:rPr>
          <w:color w:val="000000" w:themeColor="text1"/>
          <w:szCs w:val="22"/>
        </w:rPr>
        <w:t>.</w:t>
      </w:r>
      <w:r w:rsidR="00870E9B" w:rsidRPr="00595075">
        <w:rPr>
          <w:color w:val="000000" w:themeColor="text1"/>
          <w:szCs w:val="22"/>
        </w:rPr>
        <w:t xml:space="preserve"> apakšpunktā uzskaitītajām </w:t>
      </w:r>
      <w:r w:rsidRPr="00595075">
        <w:rPr>
          <w:color w:val="000000" w:themeColor="text1"/>
          <w:szCs w:val="22"/>
        </w:rPr>
        <w:t>palīgvielām</w:t>
      </w:r>
      <w:r w:rsidR="00FD187E" w:rsidRPr="00595075">
        <w:rPr>
          <w:noProof/>
          <w:color w:val="000000" w:themeColor="text1"/>
          <w:szCs w:val="22"/>
        </w:rPr>
        <w:t>.</w:t>
      </w:r>
    </w:p>
    <w:p w14:paraId="6132711F" w14:textId="77777777" w:rsidR="00CD10AA" w:rsidRPr="00595075" w:rsidRDefault="00CD10AA" w:rsidP="00F70B36">
      <w:pPr>
        <w:tabs>
          <w:tab w:val="clear" w:pos="567"/>
        </w:tabs>
        <w:spacing w:line="240" w:lineRule="auto"/>
        <w:jc w:val="both"/>
        <w:rPr>
          <w:color w:val="000000" w:themeColor="text1"/>
          <w:szCs w:val="22"/>
        </w:rPr>
      </w:pPr>
    </w:p>
    <w:p w14:paraId="672A94F1" w14:textId="77777777" w:rsidR="00CD10AA" w:rsidRPr="00595075" w:rsidRDefault="00CD10AA" w:rsidP="00F70B36">
      <w:pPr>
        <w:tabs>
          <w:tab w:val="clear" w:pos="567"/>
        </w:tabs>
        <w:spacing w:line="240" w:lineRule="auto"/>
        <w:jc w:val="both"/>
        <w:rPr>
          <w:b/>
          <w:color w:val="000000" w:themeColor="text1"/>
          <w:szCs w:val="22"/>
        </w:rPr>
      </w:pPr>
      <w:r w:rsidRPr="00595075">
        <w:rPr>
          <w:b/>
          <w:color w:val="000000" w:themeColor="text1"/>
          <w:szCs w:val="22"/>
        </w:rPr>
        <w:t>4.4</w:t>
      </w:r>
      <w:r w:rsidR="004D591D" w:rsidRPr="00595075">
        <w:rPr>
          <w:b/>
          <w:color w:val="000000" w:themeColor="text1"/>
          <w:szCs w:val="22"/>
        </w:rPr>
        <w:t>.</w:t>
      </w:r>
      <w:r w:rsidRPr="00595075">
        <w:rPr>
          <w:b/>
          <w:color w:val="000000" w:themeColor="text1"/>
          <w:szCs w:val="22"/>
        </w:rPr>
        <w:tab/>
        <w:t>Īpaši brīdinājumi un piesardzība lietošanā</w:t>
      </w:r>
    </w:p>
    <w:p w14:paraId="67A0C3DB" w14:textId="77777777" w:rsidR="0097548A" w:rsidRPr="00595075" w:rsidRDefault="0097548A" w:rsidP="00F70B36">
      <w:pPr>
        <w:tabs>
          <w:tab w:val="clear" w:pos="567"/>
        </w:tabs>
        <w:spacing w:line="240" w:lineRule="auto"/>
        <w:jc w:val="both"/>
        <w:rPr>
          <w:color w:val="000000" w:themeColor="text1"/>
          <w:szCs w:val="22"/>
        </w:rPr>
      </w:pPr>
    </w:p>
    <w:p w14:paraId="2BD1C54F" w14:textId="77777777" w:rsidR="000062BD" w:rsidRPr="00595075" w:rsidRDefault="000062BD" w:rsidP="00F70B36">
      <w:pPr>
        <w:pStyle w:val="Heading7"/>
        <w:keepNext w:val="0"/>
        <w:numPr>
          <w:ilvl w:val="0"/>
          <w:numId w:val="26"/>
        </w:numPr>
        <w:tabs>
          <w:tab w:val="clear" w:pos="567"/>
          <w:tab w:val="clear" w:pos="4536"/>
        </w:tabs>
        <w:suppressAutoHyphens w:val="0"/>
        <w:spacing w:line="240" w:lineRule="auto"/>
        <w:ind w:left="0" w:firstLine="0"/>
        <w:rPr>
          <w:i w:val="0"/>
          <w:color w:val="000000" w:themeColor="text1"/>
          <w:szCs w:val="22"/>
          <w:u w:val="single"/>
        </w:rPr>
      </w:pPr>
      <w:r w:rsidRPr="00595075">
        <w:rPr>
          <w:i w:val="0"/>
          <w:color w:val="000000" w:themeColor="text1"/>
          <w:szCs w:val="22"/>
          <w:u w:val="single"/>
        </w:rPr>
        <w:t>Lietošana pacientiem ar nieru darbības traucējumiem un gados vecākiem pacientiem</w:t>
      </w:r>
    </w:p>
    <w:p w14:paraId="2576C650" w14:textId="77777777" w:rsidR="00807159" w:rsidRPr="00595075" w:rsidRDefault="000062BD" w:rsidP="00F70B36">
      <w:pPr>
        <w:pStyle w:val="Heading7"/>
        <w:keepNext w:val="0"/>
        <w:numPr>
          <w:ilvl w:val="6"/>
          <w:numId w:val="26"/>
        </w:numPr>
        <w:tabs>
          <w:tab w:val="clear" w:pos="567"/>
          <w:tab w:val="clear" w:pos="4536"/>
        </w:tabs>
        <w:suppressAutoHyphens w:val="0"/>
        <w:spacing w:line="240" w:lineRule="auto"/>
        <w:ind w:left="0" w:firstLine="0"/>
        <w:rPr>
          <w:iCs/>
          <w:color w:val="000000" w:themeColor="text1"/>
          <w:szCs w:val="22"/>
        </w:rPr>
      </w:pPr>
      <w:r w:rsidRPr="00595075">
        <w:rPr>
          <w:i w:val="0"/>
          <w:color w:val="000000" w:themeColor="text1"/>
          <w:szCs w:val="22"/>
        </w:rPr>
        <w:t>Aciklovīrs tiek izvadīts no organisma nieru klīrensa rezultātā, tādēļ pacientiem ar nieru darbības traucējumiem deva ir jāsamazina (skatīt 4.2. apakšpunktu).</w:t>
      </w:r>
    </w:p>
    <w:p w14:paraId="5D69C7CC" w14:textId="75BDBFDF" w:rsidR="000062BD" w:rsidRPr="00595075" w:rsidRDefault="000062BD" w:rsidP="00F70B36">
      <w:pPr>
        <w:pStyle w:val="Heading7"/>
        <w:keepNext w:val="0"/>
        <w:numPr>
          <w:ilvl w:val="6"/>
          <w:numId w:val="26"/>
        </w:numPr>
        <w:tabs>
          <w:tab w:val="clear" w:pos="567"/>
          <w:tab w:val="clear" w:pos="4536"/>
        </w:tabs>
        <w:suppressAutoHyphens w:val="0"/>
        <w:spacing w:line="240" w:lineRule="auto"/>
        <w:ind w:left="0" w:firstLine="0"/>
        <w:rPr>
          <w:i w:val="0"/>
          <w:iCs/>
          <w:color w:val="000000" w:themeColor="text1"/>
          <w:szCs w:val="22"/>
        </w:rPr>
      </w:pPr>
      <w:r w:rsidRPr="00595075">
        <w:rPr>
          <w:i w:val="0"/>
          <w:iCs/>
          <w:color w:val="000000" w:themeColor="text1"/>
          <w:szCs w:val="22"/>
        </w:rPr>
        <w:t xml:space="preserve">Gados vecākiem </w:t>
      </w:r>
      <w:r w:rsidR="00807159" w:rsidRPr="00595075">
        <w:rPr>
          <w:i w:val="0"/>
          <w:iCs/>
          <w:color w:val="000000" w:themeColor="text1"/>
          <w:szCs w:val="22"/>
        </w:rPr>
        <w:t xml:space="preserve">pacientiem ir lielāka nieru darbības traucējumu iespējamība, tāpēc šīs grupas pacientiem jāapsver nepieciešamība pielāgot devu. </w:t>
      </w:r>
      <w:r w:rsidRPr="00595075">
        <w:rPr>
          <w:i w:val="0"/>
          <w:iCs/>
          <w:color w:val="000000" w:themeColor="text1"/>
          <w:szCs w:val="22"/>
        </w:rPr>
        <w:t xml:space="preserve">Gan gados vecākiem pacientiem, gan pacientiem ar nieru darbības traucējumiem </w:t>
      </w:r>
      <w:r w:rsidR="00712A8F" w:rsidRPr="00595075">
        <w:rPr>
          <w:i w:val="0"/>
          <w:iCs/>
          <w:color w:val="000000" w:themeColor="text1"/>
          <w:szCs w:val="22"/>
        </w:rPr>
        <w:t xml:space="preserve">ir </w:t>
      </w:r>
      <w:r w:rsidRPr="00595075">
        <w:rPr>
          <w:i w:val="0"/>
          <w:iCs/>
          <w:color w:val="000000" w:themeColor="text1"/>
          <w:szCs w:val="22"/>
        </w:rPr>
        <w:t>paaugstināts neiroloģisko blakusparādību attīstības risks, un šie pacienti rūpīgi jānovēro attiecībā uz šo blakusparādību pazīmēm. Ziņotajos gadījumos šīs blakusparādības pārsvarā izzuda pēc terapijas pārtraukšanas (skatīt 4.8. apakšpunktu).</w:t>
      </w:r>
    </w:p>
    <w:p w14:paraId="3E22BB85" w14:textId="77777777" w:rsidR="000062BD" w:rsidRPr="00595075" w:rsidRDefault="000062BD" w:rsidP="00F70B36">
      <w:pPr>
        <w:spacing w:line="240" w:lineRule="auto"/>
        <w:jc w:val="both"/>
        <w:rPr>
          <w:i/>
          <w:iCs/>
          <w:color w:val="000000" w:themeColor="text1"/>
          <w:szCs w:val="22"/>
        </w:rPr>
      </w:pPr>
    </w:p>
    <w:p w14:paraId="5580B20F" w14:textId="65DADC48" w:rsidR="000062BD" w:rsidRPr="00595075" w:rsidRDefault="000062BD" w:rsidP="00F70B36">
      <w:pPr>
        <w:pStyle w:val="Heading7"/>
        <w:keepNext w:val="0"/>
        <w:numPr>
          <w:ilvl w:val="6"/>
          <w:numId w:val="26"/>
        </w:numPr>
        <w:tabs>
          <w:tab w:val="clear" w:pos="567"/>
          <w:tab w:val="clear" w:pos="4536"/>
        </w:tabs>
        <w:suppressAutoHyphens w:val="0"/>
        <w:spacing w:line="240" w:lineRule="auto"/>
        <w:ind w:left="0" w:firstLine="0"/>
        <w:rPr>
          <w:i w:val="0"/>
          <w:color w:val="000000" w:themeColor="text1"/>
          <w:szCs w:val="22"/>
        </w:rPr>
      </w:pPr>
      <w:r w:rsidRPr="00595075">
        <w:rPr>
          <w:i w:val="0"/>
          <w:color w:val="000000" w:themeColor="text1"/>
          <w:szCs w:val="22"/>
        </w:rPr>
        <w:t>Pacientiem, kuri saņem</w:t>
      </w:r>
      <w:r w:rsidRPr="00595075">
        <w:rPr>
          <w:color w:val="000000" w:themeColor="text1"/>
          <w:szCs w:val="22"/>
        </w:rPr>
        <w:t xml:space="preserve"> </w:t>
      </w:r>
      <w:r w:rsidRPr="00595075">
        <w:rPr>
          <w:i w:val="0"/>
          <w:iCs/>
          <w:color w:val="000000" w:themeColor="text1"/>
          <w:szCs w:val="22"/>
        </w:rPr>
        <w:t xml:space="preserve">lielas </w:t>
      </w:r>
      <w:r w:rsidR="00807159" w:rsidRPr="00595075">
        <w:rPr>
          <w:i w:val="0"/>
          <w:iCs/>
          <w:color w:val="000000" w:themeColor="text1"/>
          <w:szCs w:val="22"/>
        </w:rPr>
        <w:t>intravenoz</w:t>
      </w:r>
      <w:r w:rsidR="00712A8F" w:rsidRPr="00595075">
        <w:rPr>
          <w:i w:val="0"/>
          <w:iCs/>
          <w:color w:val="000000" w:themeColor="text1"/>
          <w:szCs w:val="22"/>
        </w:rPr>
        <w:t>ā</w:t>
      </w:r>
      <w:r w:rsidR="00807159" w:rsidRPr="00595075">
        <w:rPr>
          <w:i w:val="0"/>
          <w:iCs/>
          <w:color w:val="000000" w:themeColor="text1"/>
          <w:szCs w:val="22"/>
        </w:rPr>
        <w:t xml:space="preserve"> </w:t>
      </w:r>
      <w:r w:rsidRPr="00595075">
        <w:rPr>
          <w:i w:val="0"/>
          <w:iCs/>
          <w:color w:val="000000" w:themeColor="text1"/>
          <w:szCs w:val="22"/>
        </w:rPr>
        <w:t>aciklovīra devas</w:t>
      </w:r>
      <w:r w:rsidR="00807159" w:rsidRPr="00595075">
        <w:rPr>
          <w:i w:val="0"/>
          <w:iCs/>
          <w:color w:val="000000" w:themeColor="text1"/>
          <w:szCs w:val="22"/>
        </w:rPr>
        <w:t xml:space="preserve"> infūzijas veidā</w:t>
      </w:r>
      <w:r w:rsidRPr="00595075">
        <w:rPr>
          <w:i w:val="0"/>
          <w:color w:val="000000" w:themeColor="text1"/>
          <w:szCs w:val="22"/>
        </w:rPr>
        <w:t xml:space="preserve"> (piemēram, </w:t>
      </w:r>
      <w:r w:rsidRPr="00595075">
        <w:rPr>
          <w:color w:val="000000" w:themeColor="text1"/>
          <w:szCs w:val="22"/>
        </w:rPr>
        <w:t xml:space="preserve">herpes </w:t>
      </w:r>
      <w:r w:rsidRPr="00595075">
        <w:rPr>
          <w:i w:val="0"/>
          <w:color w:val="000000" w:themeColor="text1"/>
          <w:szCs w:val="22"/>
        </w:rPr>
        <w:t>encefalīta ārstēšanai), jāievēro īpaša piesardzība attiecībā uz nieru darbību, īpaši tad, ja pacient</w:t>
      </w:r>
      <w:r w:rsidR="00712A8F" w:rsidRPr="00595075">
        <w:rPr>
          <w:i w:val="0"/>
          <w:color w:val="000000" w:themeColor="text1"/>
          <w:szCs w:val="22"/>
        </w:rPr>
        <w:t>s ir</w:t>
      </w:r>
      <w:r w:rsidRPr="00595075">
        <w:rPr>
          <w:i w:val="0"/>
          <w:color w:val="000000" w:themeColor="text1"/>
          <w:szCs w:val="22"/>
        </w:rPr>
        <w:t xml:space="preserve"> dehidrat</w:t>
      </w:r>
      <w:r w:rsidR="00712A8F" w:rsidRPr="00595075">
        <w:rPr>
          <w:i w:val="0"/>
          <w:color w:val="000000" w:themeColor="text1"/>
          <w:szCs w:val="22"/>
        </w:rPr>
        <w:t>ēts</w:t>
      </w:r>
      <w:r w:rsidRPr="00595075">
        <w:rPr>
          <w:i w:val="0"/>
          <w:color w:val="000000" w:themeColor="text1"/>
          <w:szCs w:val="22"/>
        </w:rPr>
        <w:t xml:space="preserve"> vai arī ir jebkādi nieru darbības traucējumi.</w:t>
      </w:r>
    </w:p>
    <w:p w14:paraId="453BD3FF" w14:textId="77777777" w:rsidR="000062BD" w:rsidRPr="00595075" w:rsidRDefault="000062BD" w:rsidP="00F70B36">
      <w:pPr>
        <w:spacing w:line="240" w:lineRule="auto"/>
        <w:jc w:val="both"/>
        <w:rPr>
          <w:color w:val="000000" w:themeColor="text1"/>
          <w:szCs w:val="22"/>
        </w:rPr>
      </w:pPr>
    </w:p>
    <w:p w14:paraId="2340C2B8" w14:textId="2AC46731" w:rsidR="000062BD" w:rsidRPr="00595075" w:rsidRDefault="000062BD" w:rsidP="00F70B36">
      <w:pPr>
        <w:pStyle w:val="Heading7"/>
        <w:keepNext w:val="0"/>
        <w:numPr>
          <w:ilvl w:val="6"/>
          <w:numId w:val="26"/>
        </w:numPr>
        <w:tabs>
          <w:tab w:val="clear" w:pos="567"/>
          <w:tab w:val="clear" w:pos="4536"/>
        </w:tabs>
        <w:suppressAutoHyphens w:val="0"/>
        <w:spacing w:line="240" w:lineRule="auto"/>
        <w:ind w:left="0" w:firstLine="0"/>
        <w:rPr>
          <w:i w:val="0"/>
          <w:color w:val="000000" w:themeColor="text1"/>
          <w:szCs w:val="22"/>
        </w:rPr>
      </w:pPr>
      <w:r w:rsidRPr="00595075">
        <w:rPr>
          <w:i w:val="0"/>
          <w:color w:val="000000" w:themeColor="text1"/>
          <w:szCs w:val="22"/>
        </w:rPr>
        <w:t xml:space="preserve">Izšķīdināta </w:t>
      </w:r>
      <w:r w:rsidR="00807159" w:rsidRPr="00595075">
        <w:rPr>
          <w:i w:val="0"/>
          <w:iCs/>
          <w:color w:val="000000" w:themeColor="text1"/>
          <w:szCs w:val="22"/>
        </w:rPr>
        <w:t>intravenoz</w:t>
      </w:r>
      <w:r w:rsidR="00712A8F" w:rsidRPr="00595075">
        <w:rPr>
          <w:i w:val="0"/>
          <w:iCs/>
          <w:color w:val="000000" w:themeColor="text1"/>
          <w:szCs w:val="22"/>
        </w:rPr>
        <w:t>ā</w:t>
      </w:r>
      <w:r w:rsidR="00807159" w:rsidRPr="00595075">
        <w:rPr>
          <w:i w:val="0"/>
          <w:iCs/>
          <w:color w:val="000000" w:themeColor="text1"/>
          <w:szCs w:val="22"/>
        </w:rPr>
        <w:t xml:space="preserve"> </w:t>
      </w:r>
      <w:r w:rsidRPr="00595075">
        <w:rPr>
          <w:i w:val="0"/>
          <w:iCs/>
          <w:color w:val="000000" w:themeColor="text1"/>
          <w:szCs w:val="22"/>
        </w:rPr>
        <w:t>aciklovīra</w:t>
      </w:r>
      <w:r w:rsidRPr="00595075">
        <w:rPr>
          <w:i w:val="0"/>
          <w:color w:val="000000" w:themeColor="text1"/>
          <w:szCs w:val="22"/>
        </w:rPr>
        <w:t xml:space="preserve"> pH ir ap</w:t>
      </w:r>
      <w:r w:rsidR="00712A8F" w:rsidRPr="00595075">
        <w:rPr>
          <w:i w:val="0"/>
          <w:color w:val="000000" w:themeColor="text1"/>
          <w:szCs w:val="22"/>
        </w:rPr>
        <w:t>tuveni</w:t>
      </w:r>
      <w:r w:rsidRPr="00595075">
        <w:rPr>
          <w:i w:val="0"/>
          <w:color w:val="000000" w:themeColor="text1"/>
          <w:szCs w:val="22"/>
        </w:rPr>
        <w:t xml:space="preserve"> 11 un to nedrīkst lietot iekšķīgi.</w:t>
      </w:r>
    </w:p>
    <w:p w14:paraId="067AC199" w14:textId="77777777" w:rsidR="000062BD" w:rsidRPr="00595075" w:rsidRDefault="000062BD" w:rsidP="00F70B36">
      <w:pPr>
        <w:spacing w:line="240" w:lineRule="auto"/>
        <w:jc w:val="both"/>
        <w:rPr>
          <w:color w:val="000000" w:themeColor="text1"/>
          <w:szCs w:val="22"/>
        </w:rPr>
      </w:pPr>
    </w:p>
    <w:p w14:paraId="2E61B944" w14:textId="5C43854B" w:rsidR="000062BD" w:rsidRPr="00595075" w:rsidRDefault="000062BD" w:rsidP="00F70B36">
      <w:pPr>
        <w:numPr>
          <w:ilvl w:val="0"/>
          <w:numId w:val="26"/>
        </w:numPr>
        <w:tabs>
          <w:tab w:val="clear" w:pos="567"/>
        </w:tabs>
        <w:spacing w:line="240" w:lineRule="auto"/>
        <w:ind w:left="0" w:firstLine="0"/>
        <w:jc w:val="both"/>
        <w:rPr>
          <w:color w:val="000000" w:themeColor="text1"/>
          <w:szCs w:val="22"/>
        </w:rPr>
      </w:pPr>
      <w:bookmarkStart w:id="2" w:name="_Hlk52360590"/>
      <w:r w:rsidRPr="00595075">
        <w:rPr>
          <w:color w:val="000000" w:themeColor="text1"/>
          <w:szCs w:val="22"/>
        </w:rPr>
        <w:lastRenderedPageBreak/>
        <w:t>Ilgstoši vai atkārtoti aciklovīra terapijas kursi pacientiem ar izteikti nomāktu imūn</w:t>
      </w:r>
      <w:r w:rsidR="00444F3F" w:rsidRPr="00595075">
        <w:rPr>
          <w:color w:val="000000" w:themeColor="text1"/>
          <w:szCs w:val="22"/>
        </w:rPr>
        <w:t xml:space="preserve">o </w:t>
      </w:r>
      <w:r w:rsidRPr="00595075">
        <w:rPr>
          <w:color w:val="000000" w:themeColor="text1"/>
          <w:szCs w:val="22"/>
        </w:rPr>
        <w:t>sistēmu var izraisīt vīrusu celmu veidošanos ar samazinātu jutību, kas var nereaģēt uz turpmāk</w:t>
      </w:r>
      <w:r w:rsidR="00444F3F" w:rsidRPr="00595075">
        <w:rPr>
          <w:color w:val="000000" w:themeColor="text1"/>
          <w:szCs w:val="22"/>
        </w:rPr>
        <w:t>o</w:t>
      </w:r>
      <w:r w:rsidRPr="00595075">
        <w:rPr>
          <w:color w:val="000000" w:themeColor="text1"/>
          <w:szCs w:val="22"/>
        </w:rPr>
        <w:t xml:space="preserve"> ārstēšanu ar aciklovīru </w:t>
      </w:r>
      <w:bookmarkEnd w:id="2"/>
      <w:r w:rsidRPr="00595075">
        <w:rPr>
          <w:color w:val="000000" w:themeColor="text1"/>
          <w:szCs w:val="22"/>
        </w:rPr>
        <w:t>(skatīt 5.1. apakšpunktu).</w:t>
      </w:r>
    </w:p>
    <w:p w14:paraId="24CBF2C0" w14:textId="77777777" w:rsidR="00060C85" w:rsidRPr="00595075" w:rsidRDefault="00060C85" w:rsidP="00F70B36">
      <w:pPr>
        <w:tabs>
          <w:tab w:val="clear" w:pos="567"/>
        </w:tabs>
        <w:spacing w:line="240" w:lineRule="auto"/>
        <w:jc w:val="both"/>
        <w:rPr>
          <w:color w:val="000000" w:themeColor="text1"/>
          <w:szCs w:val="22"/>
        </w:rPr>
      </w:pPr>
    </w:p>
    <w:p w14:paraId="491E5280" w14:textId="77777777" w:rsidR="000766F6" w:rsidRPr="00595075" w:rsidRDefault="000766F6" w:rsidP="00F70B36">
      <w:pPr>
        <w:autoSpaceDE w:val="0"/>
        <w:autoSpaceDN w:val="0"/>
        <w:adjustRightInd w:val="0"/>
        <w:spacing w:line="240" w:lineRule="auto"/>
        <w:jc w:val="both"/>
        <w:rPr>
          <w:color w:val="000000" w:themeColor="text1"/>
          <w:szCs w:val="22"/>
        </w:rPr>
      </w:pPr>
      <w:r w:rsidRPr="00595075">
        <w:rPr>
          <w:color w:val="000000" w:themeColor="text1"/>
          <w:szCs w:val="22"/>
        </w:rPr>
        <w:t>Zāles satur mazāk par 1 mmol nātrija (23 mg), - būtībā tās ir “nātriju nesaturošas”.</w:t>
      </w:r>
    </w:p>
    <w:p w14:paraId="0057F352" w14:textId="77777777" w:rsidR="000766F6" w:rsidRPr="00595075" w:rsidRDefault="000766F6" w:rsidP="00F70B36">
      <w:pPr>
        <w:tabs>
          <w:tab w:val="clear" w:pos="567"/>
        </w:tabs>
        <w:spacing w:line="240" w:lineRule="auto"/>
        <w:jc w:val="both"/>
        <w:rPr>
          <w:color w:val="000000" w:themeColor="text1"/>
          <w:szCs w:val="22"/>
        </w:rPr>
      </w:pPr>
    </w:p>
    <w:p w14:paraId="06D26B78" w14:textId="77777777" w:rsidR="00CD10AA" w:rsidRPr="00595075" w:rsidRDefault="00CD10AA" w:rsidP="00F70B36">
      <w:pPr>
        <w:tabs>
          <w:tab w:val="clear" w:pos="567"/>
        </w:tabs>
        <w:spacing w:line="240" w:lineRule="auto"/>
        <w:jc w:val="both"/>
        <w:rPr>
          <w:b/>
          <w:color w:val="000000" w:themeColor="text1"/>
          <w:szCs w:val="22"/>
        </w:rPr>
      </w:pPr>
      <w:r w:rsidRPr="00595075">
        <w:rPr>
          <w:b/>
          <w:color w:val="000000" w:themeColor="text1"/>
          <w:szCs w:val="22"/>
        </w:rPr>
        <w:t>4.5</w:t>
      </w:r>
      <w:r w:rsidR="004D591D" w:rsidRPr="00595075">
        <w:rPr>
          <w:b/>
          <w:color w:val="000000" w:themeColor="text1"/>
          <w:szCs w:val="22"/>
        </w:rPr>
        <w:t>.</w:t>
      </w:r>
      <w:r w:rsidRPr="00595075">
        <w:rPr>
          <w:b/>
          <w:color w:val="000000" w:themeColor="text1"/>
          <w:szCs w:val="22"/>
        </w:rPr>
        <w:tab/>
        <w:t>Mijiedarbība ar citām zālēm un citi mijiedarbības veidi</w:t>
      </w:r>
    </w:p>
    <w:p w14:paraId="51719809" w14:textId="3A6A70D4" w:rsidR="00CD10AA" w:rsidRPr="00595075" w:rsidRDefault="00CD10AA" w:rsidP="00F70B36">
      <w:pPr>
        <w:tabs>
          <w:tab w:val="clear" w:pos="567"/>
        </w:tabs>
        <w:spacing w:line="240" w:lineRule="auto"/>
        <w:jc w:val="both"/>
        <w:rPr>
          <w:b/>
          <w:color w:val="000000" w:themeColor="text1"/>
          <w:szCs w:val="22"/>
        </w:rPr>
      </w:pPr>
    </w:p>
    <w:p w14:paraId="207742DE" w14:textId="4BAA3C52" w:rsidR="00807159" w:rsidRPr="00595075" w:rsidRDefault="00444F3F" w:rsidP="00F70B36">
      <w:pPr>
        <w:tabs>
          <w:tab w:val="clear" w:pos="567"/>
        </w:tabs>
        <w:spacing w:line="240" w:lineRule="auto"/>
        <w:jc w:val="both"/>
        <w:rPr>
          <w:bCs/>
          <w:color w:val="000000" w:themeColor="text1"/>
          <w:szCs w:val="22"/>
        </w:rPr>
      </w:pPr>
      <w:r w:rsidRPr="00595075">
        <w:rPr>
          <w:bCs/>
          <w:color w:val="000000" w:themeColor="text1"/>
          <w:szCs w:val="22"/>
        </w:rPr>
        <w:t>K</w:t>
      </w:r>
      <w:r w:rsidR="00807159" w:rsidRPr="00595075">
        <w:rPr>
          <w:bCs/>
          <w:color w:val="000000" w:themeColor="text1"/>
          <w:szCs w:val="22"/>
        </w:rPr>
        <w:t>līniski nozīmīga mijiedarbība</w:t>
      </w:r>
      <w:r w:rsidRPr="00595075">
        <w:rPr>
          <w:bCs/>
          <w:color w:val="000000" w:themeColor="text1"/>
          <w:szCs w:val="22"/>
        </w:rPr>
        <w:t xml:space="preserve"> nav zināma</w:t>
      </w:r>
      <w:r w:rsidR="00807159" w:rsidRPr="00595075">
        <w:rPr>
          <w:bCs/>
          <w:color w:val="000000" w:themeColor="text1"/>
          <w:szCs w:val="22"/>
        </w:rPr>
        <w:t>.</w:t>
      </w:r>
    </w:p>
    <w:p w14:paraId="3132680C" w14:textId="77777777" w:rsidR="00807159" w:rsidRPr="00595075" w:rsidRDefault="00807159" w:rsidP="00F70B36">
      <w:pPr>
        <w:tabs>
          <w:tab w:val="clear" w:pos="567"/>
        </w:tabs>
        <w:spacing w:line="240" w:lineRule="auto"/>
        <w:jc w:val="both"/>
        <w:rPr>
          <w:b/>
          <w:color w:val="000000" w:themeColor="text1"/>
          <w:szCs w:val="22"/>
        </w:rPr>
      </w:pPr>
    </w:p>
    <w:p w14:paraId="3883C697" w14:textId="097384E8" w:rsidR="00B2214A" w:rsidRPr="00595075" w:rsidRDefault="00B2214A" w:rsidP="00F70B36">
      <w:pPr>
        <w:pStyle w:val="BodyText2"/>
        <w:suppressAutoHyphens w:val="0"/>
        <w:rPr>
          <w:color w:val="000000" w:themeColor="text1"/>
          <w:sz w:val="22"/>
          <w:szCs w:val="22"/>
        </w:rPr>
      </w:pPr>
      <w:r w:rsidRPr="00595075">
        <w:rPr>
          <w:color w:val="000000" w:themeColor="text1"/>
          <w:sz w:val="22"/>
          <w:szCs w:val="22"/>
        </w:rPr>
        <w:t>Aciklovīrs galvenokārt izdalās ar urīnu neizmainītā veidā aktīvas nieru tubulārās sekrēcijas rezultātā. Jebkuras vienlaicīgi lietotas zāles, kas konkurējoši piedalās šajā mehānismā, var pa</w:t>
      </w:r>
      <w:r w:rsidR="00444F3F" w:rsidRPr="00595075">
        <w:rPr>
          <w:color w:val="000000" w:themeColor="text1"/>
          <w:sz w:val="22"/>
          <w:szCs w:val="22"/>
        </w:rPr>
        <w:t>augstināt</w:t>
      </w:r>
      <w:r w:rsidRPr="00595075">
        <w:rPr>
          <w:color w:val="000000" w:themeColor="text1"/>
          <w:sz w:val="22"/>
          <w:szCs w:val="22"/>
        </w:rPr>
        <w:t xml:space="preserve"> aciklovīra koncentrāciju plazmā. Šādā veidā probenecīds un cimetidīns palielina aciklovīra AUC un samazina aciklovīra nieru klīrensu. Tomēr devas pielāgošana nav nepieciešama, jo aciklovīram ir plašs terapeitiskās darbības spektrs.</w:t>
      </w:r>
    </w:p>
    <w:p w14:paraId="3266501F" w14:textId="77777777" w:rsidR="00B2214A" w:rsidRPr="00595075" w:rsidRDefault="00B2214A" w:rsidP="00F70B36">
      <w:pPr>
        <w:pStyle w:val="BodyText2"/>
        <w:suppressAutoHyphens w:val="0"/>
        <w:rPr>
          <w:color w:val="000000" w:themeColor="text1"/>
          <w:sz w:val="22"/>
          <w:szCs w:val="22"/>
        </w:rPr>
      </w:pPr>
    </w:p>
    <w:p w14:paraId="1A1C70C2" w14:textId="35EB5227" w:rsidR="00B2214A" w:rsidRPr="00595075" w:rsidRDefault="00B2214A" w:rsidP="00F70B36">
      <w:pPr>
        <w:spacing w:line="240" w:lineRule="auto"/>
        <w:jc w:val="both"/>
        <w:rPr>
          <w:color w:val="000000" w:themeColor="text1"/>
          <w:szCs w:val="22"/>
        </w:rPr>
      </w:pPr>
      <w:r w:rsidRPr="00595075">
        <w:rPr>
          <w:color w:val="000000" w:themeColor="text1"/>
          <w:szCs w:val="22"/>
        </w:rPr>
        <w:t>Pacientiem, kuri saņem</w:t>
      </w:r>
      <w:r w:rsidRPr="00595075">
        <w:rPr>
          <w:i/>
          <w:color w:val="000000" w:themeColor="text1"/>
          <w:szCs w:val="22"/>
        </w:rPr>
        <w:t xml:space="preserve"> </w:t>
      </w:r>
      <w:r w:rsidRPr="00595075">
        <w:rPr>
          <w:iCs/>
          <w:color w:val="000000" w:themeColor="text1"/>
          <w:szCs w:val="22"/>
        </w:rPr>
        <w:t>aciklovīru</w:t>
      </w:r>
      <w:r w:rsidRPr="00595075">
        <w:rPr>
          <w:color w:val="000000" w:themeColor="text1"/>
          <w:szCs w:val="22"/>
        </w:rPr>
        <w:t xml:space="preserve"> intravenozi, jāievēro piesardzība, vienlaicīgi lietojot zāles, kas konkurē ar aciklovīru eliminācijā, jo plazmā var pa</w:t>
      </w:r>
      <w:r w:rsidR="00243669" w:rsidRPr="00595075">
        <w:rPr>
          <w:color w:val="000000" w:themeColor="text1"/>
          <w:szCs w:val="22"/>
        </w:rPr>
        <w:t>augstināties</w:t>
      </w:r>
      <w:r w:rsidRPr="00595075">
        <w:rPr>
          <w:color w:val="000000" w:themeColor="text1"/>
          <w:szCs w:val="22"/>
        </w:rPr>
        <w:t xml:space="preserve"> vien</w:t>
      </w:r>
      <w:r w:rsidR="00CD3A69">
        <w:rPr>
          <w:color w:val="000000" w:themeColor="text1"/>
          <w:szCs w:val="22"/>
        </w:rPr>
        <w:t>u</w:t>
      </w:r>
      <w:r w:rsidRPr="00595075">
        <w:rPr>
          <w:color w:val="000000" w:themeColor="text1"/>
          <w:szCs w:val="22"/>
        </w:rPr>
        <w:t xml:space="preserve"> vai abu zāļu, vai to metabolītu līmenis. Ir konstatēta aciklovīra un mikofenolāta mofetila (imūno sistēmu nomācošs līdzeklis transplant</w:t>
      </w:r>
      <w:r w:rsidR="004A40FD">
        <w:rPr>
          <w:color w:val="000000" w:themeColor="text1"/>
          <w:szCs w:val="22"/>
        </w:rPr>
        <w:t>āt</w:t>
      </w:r>
      <w:r w:rsidRPr="00595075">
        <w:rPr>
          <w:color w:val="000000" w:themeColor="text1"/>
          <w:szCs w:val="22"/>
        </w:rPr>
        <w:t xml:space="preserve">a saņēmējiem) neaktīvā metabolīta plazmas AUC palielināšanās, šīs zāles lietojot vienlaicīgi. </w:t>
      </w:r>
    </w:p>
    <w:p w14:paraId="501E7E7E" w14:textId="77777777" w:rsidR="00B2214A" w:rsidRPr="00595075" w:rsidRDefault="00B2214A" w:rsidP="00F70B36">
      <w:pPr>
        <w:spacing w:line="240" w:lineRule="auto"/>
        <w:jc w:val="both"/>
        <w:rPr>
          <w:color w:val="000000" w:themeColor="text1"/>
          <w:szCs w:val="22"/>
        </w:rPr>
      </w:pPr>
    </w:p>
    <w:p w14:paraId="5303E07B" w14:textId="7D2514AF" w:rsidR="00B2214A" w:rsidRPr="00595075" w:rsidRDefault="00B2214A" w:rsidP="00F70B36">
      <w:pPr>
        <w:spacing w:line="240" w:lineRule="auto"/>
        <w:jc w:val="both"/>
        <w:rPr>
          <w:color w:val="000000" w:themeColor="text1"/>
          <w:szCs w:val="22"/>
        </w:rPr>
      </w:pPr>
      <w:r w:rsidRPr="00595075">
        <w:rPr>
          <w:color w:val="000000" w:themeColor="text1"/>
          <w:szCs w:val="22"/>
        </w:rPr>
        <w:t>Piesardzība (kontrolējot nieru darbības izmaiņas) jāievēro arī ievadot aciklovīru intravenozi</w:t>
      </w:r>
      <w:r w:rsidR="00EB2C9A" w:rsidRPr="00595075">
        <w:rPr>
          <w:color w:val="000000" w:themeColor="text1"/>
          <w:szCs w:val="22"/>
        </w:rPr>
        <w:t>,</w:t>
      </w:r>
      <w:r w:rsidRPr="00595075">
        <w:rPr>
          <w:color w:val="000000" w:themeColor="text1"/>
          <w:szCs w:val="22"/>
        </w:rPr>
        <w:t xml:space="preserve"> vienlaicīgi lietojot zāles, kas ietekmē nieru darbību citā veidā (piemēram, ciklosporīns, takrolims).</w:t>
      </w:r>
    </w:p>
    <w:p w14:paraId="7C7A5C8B" w14:textId="77777777" w:rsidR="00CD10AA" w:rsidRPr="00595075" w:rsidRDefault="00CD10AA" w:rsidP="00F70B36">
      <w:pPr>
        <w:tabs>
          <w:tab w:val="clear" w:pos="567"/>
        </w:tabs>
        <w:spacing w:line="240" w:lineRule="auto"/>
        <w:jc w:val="both"/>
        <w:rPr>
          <w:color w:val="000000" w:themeColor="text1"/>
          <w:szCs w:val="22"/>
        </w:rPr>
      </w:pPr>
    </w:p>
    <w:p w14:paraId="7D3D39A7" w14:textId="77777777" w:rsidR="00CD10AA" w:rsidRPr="00595075" w:rsidRDefault="00CD10AA" w:rsidP="00F70B36">
      <w:pPr>
        <w:tabs>
          <w:tab w:val="clear" w:pos="567"/>
        </w:tabs>
        <w:spacing w:line="240" w:lineRule="auto"/>
        <w:jc w:val="both"/>
        <w:rPr>
          <w:color w:val="000000" w:themeColor="text1"/>
          <w:szCs w:val="22"/>
        </w:rPr>
      </w:pPr>
      <w:r w:rsidRPr="00595075">
        <w:rPr>
          <w:b/>
          <w:color w:val="000000" w:themeColor="text1"/>
          <w:szCs w:val="22"/>
        </w:rPr>
        <w:t>4.6</w:t>
      </w:r>
      <w:r w:rsidR="00E2542E" w:rsidRPr="00595075">
        <w:rPr>
          <w:b/>
          <w:color w:val="000000" w:themeColor="text1"/>
          <w:szCs w:val="22"/>
        </w:rPr>
        <w:t>.</w:t>
      </w:r>
      <w:r w:rsidRPr="00595075">
        <w:rPr>
          <w:b/>
          <w:color w:val="000000" w:themeColor="text1"/>
          <w:szCs w:val="22"/>
        </w:rPr>
        <w:tab/>
      </w:r>
      <w:r w:rsidR="0097548A" w:rsidRPr="00595075">
        <w:rPr>
          <w:b/>
          <w:noProof/>
          <w:color w:val="000000" w:themeColor="text1"/>
          <w:szCs w:val="22"/>
        </w:rPr>
        <w:t xml:space="preserve">Fertilitāte, grūtniecība </w:t>
      </w:r>
      <w:r w:rsidRPr="00595075">
        <w:rPr>
          <w:b/>
          <w:color w:val="000000" w:themeColor="text1"/>
          <w:szCs w:val="22"/>
        </w:rPr>
        <w:t xml:space="preserve">un </w:t>
      </w:r>
      <w:r w:rsidR="00E2542E" w:rsidRPr="00595075">
        <w:rPr>
          <w:b/>
          <w:noProof/>
          <w:color w:val="000000" w:themeColor="text1"/>
          <w:szCs w:val="22"/>
        </w:rPr>
        <w:t>barošana ar krūti</w:t>
      </w:r>
    </w:p>
    <w:p w14:paraId="1A06B090" w14:textId="77777777" w:rsidR="00FD3B82" w:rsidRPr="00595075" w:rsidRDefault="00FD3B82" w:rsidP="00F70B36">
      <w:pPr>
        <w:tabs>
          <w:tab w:val="clear" w:pos="567"/>
        </w:tabs>
        <w:spacing w:line="240" w:lineRule="auto"/>
        <w:jc w:val="both"/>
        <w:rPr>
          <w:noProof/>
          <w:color w:val="000000" w:themeColor="text1"/>
          <w:szCs w:val="22"/>
          <w:u w:val="single"/>
        </w:rPr>
      </w:pPr>
    </w:p>
    <w:p w14:paraId="289707FE" w14:textId="77777777" w:rsidR="00B20B7A" w:rsidRPr="00595075" w:rsidRDefault="00B20B7A" w:rsidP="00F70B36">
      <w:pPr>
        <w:tabs>
          <w:tab w:val="clear" w:pos="567"/>
        </w:tabs>
        <w:spacing w:line="240" w:lineRule="auto"/>
        <w:jc w:val="both"/>
        <w:rPr>
          <w:noProof/>
          <w:color w:val="000000" w:themeColor="text1"/>
          <w:szCs w:val="22"/>
          <w:u w:val="single"/>
        </w:rPr>
      </w:pPr>
      <w:r w:rsidRPr="00595075">
        <w:rPr>
          <w:noProof/>
          <w:color w:val="000000" w:themeColor="text1"/>
          <w:szCs w:val="22"/>
          <w:u w:val="single"/>
        </w:rPr>
        <w:t>Grūtniecība</w:t>
      </w:r>
    </w:p>
    <w:p w14:paraId="451A5DBC" w14:textId="2CCA954B" w:rsidR="00B20B7A" w:rsidRPr="00595075" w:rsidRDefault="00807159" w:rsidP="00F70B36">
      <w:pPr>
        <w:spacing w:line="240" w:lineRule="auto"/>
        <w:jc w:val="both"/>
        <w:rPr>
          <w:color w:val="000000" w:themeColor="text1"/>
          <w:szCs w:val="22"/>
        </w:rPr>
      </w:pPr>
      <w:r w:rsidRPr="00595075">
        <w:rPr>
          <w:color w:val="000000" w:themeColor="text1"/>
          <w:szCs w:val="22"/>
        </w:rPr>
        <w:t>Intravenoza aciklovīra ievadīšana</w:t>
      </w:r>
      <w:r w:rsidR="00B20B7A" w:rsidRPr="00595075">
        <w:rPr>
          <w:color w:val="000000" w:themeColor="text1"/>
          <w:szCs w:val="22"/>
        </w:rPr>
        <w:t xml:space="preserve"> jāapsver vienīgi tad, ja iespējamie ieguvumi attaisno iespējamos nezināmos riskus.</w:t>
      </w:r>
    </w:p>
    <w:p w14:paraId="1F8AD38F" w14:textId="49885F86" w:rsidR="00B20B7A" w:rsidRPr="00595075" w:rsidRDefault="00B20B7A" w:rsidP="00F70B36">
      <w:pPr>
        <w:spacing w:line="240" w:lineRule="auto"/>
        <w:jc w:val="both"/>
        <w:rPr>
          <w:i/>
          <w:color w:val="000000" w:themeColor="text1"/>
          <w:szCs w:val="22"/>
        </w:rPr>
      </w:pPr>
      <w:r w:rsidRPr="00595075">
        <w:rPr>
          <w:color w:val="000000" w:themeColor="text1"/>
          <w:szCs w:val="22"/>
        </w:rPr>
        <w:t>Pēcreģistrācij</w:t>
      </w:r>
      <w:r w:rsidR="00F70B36" w:rsidRPr="00595075">
        <w:rPr>
          <w:color w:val="000000" w:themeColor="text1"/>
          <w:szCs w:val="22"/>
        </w:rPr>
        <w:t>a</w:t>
      </w:r>
      <w:r w:rsidRPr="00595075">
        <w:rPr>
          <w:color w:val="000000" w:themeColor="text1"/>
          <w:szCs w:val="22"/>
        </w:rPr>
        <w:t xml:space="preserve">s aciklovīra grūtniecību reģistrā ir reģistrēti grūtniecības iznākumi sievietēm, kuras lietojušas jebkura veida </w:t>
      </w:r>
      <w:r w:rsidRPr="00595075">
        <w:rPr>
          <w:iCs/>
          <w:color w:val="000000" w:themeColor="text1"/>
          <w:szCs w:val="22"/>
        </w:rPr>
        <w:t>aciklovīra zāļu formas</w:t>
      </w:r>
      <w:r w:rsidRPr="00595075">
        <w:rPr>
          <w:color w:val="000000" w:themeColor="text1"/>
          <w:szCs w:val="22"/>
        </w:rPr>
        <w:t xml:space="preserve">. Reģistra dati nenorāda uz iedzimtu defektu skaita palielināšanos, ja grūtniece ir lietojusi </w:t>
      </w:r>
      <w:r w:rsidRPr="00595075">
        <w:rPr>
          <w:iCs/>
          <w:color w:val="000000" w:themeColor="text1"/>
          <w:szCs w:val="22"/>
        </w:rPr>
        <w:t>aciklovīru</w:t>
      </w:r>
      <w:r w:rsidRPr="00595075">
        <w:rPr>
          <w:color w:val="000000" w:themeColor="text1"/>
          <w:szCs w:val="22"/>
        </w:rPr>
        <w:t>, salīdzinājumā ar vispārējo populāciju, un iedzimtie defekti nav unikāli vai līdzīga veida, kas varētu liecināt par kopēju cēloni.</w:t>
      </w:r>
    </w:p>
    <w:p w14:paraId="39156DE7" w14:textId="77777777" w:rsidR="00B20B7A" w:rsidRPr="00595075" w:rsidRDefault="00B20B7A" w:rsidP="00F70B36">
      <w:pPr>
        <w:spacing w:line="240" w:lineRule="auto"/>
        <w:jc w:val="both"/>
        <w:rPr>
          <w:color w:val="000000" w:themeColor="text1"/>
          <w:szCs w:val="22"/>
        </w:rPr>
      </w:pPr>
    </w:p>
    <w:p w14:paraId="06261B40" w14:textId="77777777" w:rsidR="00B20B7A" w:rsidRPr="00595075" w:rsidRDefault="00B20B7A" w:rsidP="00F70B36">
      <w:pPr>
        <w:tabs>
          <w:tab w:val="clear" w:pos="567"/>
        </w:tabs>
        <w:spacing w:line="240" w:lineRule="auto"/>
        <w:jc w:val="both"/>
        <w:rPr>
          <w:noProof/>
          <w:color w:val="000000" w:themeColor="text1"/>
          <w:szCs w:val="22"/>
          <w:u w:val="single"/>
        </w:rPr>
      </w:pPr>
      <w:r w:rsidRPr="00595075">
        <w:rPr>
          <w:noProof/>
          <w:color w:val="000000" w:themeColor="text1"/>
          <w:szCs w:val="22"/>
          <w:u w:val="single"/>
        </w:rPr>
        <w:t>Barošana ar krūti</w:t>
      </w:r>
    </w:p>
    <w:p w14:paraId="7EF0220A" w14:textId="1FBB66E1" w:rsidR="00B20B7A" w:rsidRPr="00595075" w:rsidRDefault="00B20B7A" w:rsidP="00F70B36">
      <w:pPr>
        <w:spacing w:line="240" w:lineRule="auto"/>
        <w:jc w:val="both"/>
        <w:rPr>
          <w:iCs/>
          <w:color w:val="000000" w:themeColor="text1"/>
          <w:szCs w:val="22"/>
        </w:rPr>
      </w:pPr>
      <w:r w:rsidRPr="00595075">
        <w:rPr>
          <w:color w:val="000000" w:themeColor="text1"/>
          <w:szCs w:val="22"/>
        </w:rPr>
        <w:t>Lietojot 200 mg aciklovīra</w:t>
      </w:r>
      <w:r w:rsidRPr="00595075">
        <w:rPr>
          <w:i/>
          <w:color w:val="000000" w:themeColor="text1"/>
          <w:szCs w:val="22"/>
        </w:rPr>
        <w:t xml:space="preserve"> </w:t>
      </w:r>
      <w:r w:rsidRPr="00595075">
        <w:rPr>
          <w:color w:val="000000" w:themeColor="text1"/>
          <w:szCs w:val="22"/>
        </w:rPr>
        <w:t xml:space="preserve">iekšķīgi 5 reizes dienā, aciklovīru var noteikt mātes pienā koncentrācijās, kas </w:t>
      </w:r>
      <w:r w:rsidR="003F3CDE" w:rsidRPr="00595075">
        <w:rPr>
          <w:color w:val="000000" w:themeColor="text1"/>
          <w:szCs w:val="22"/>
        </w:rPr>
        <w:t xml:space="preserve">no </w:t>
      </w:r>
      <w:r w:rsidRPr="00595075">
        <w:rPr>
          <w:color w:val="000000" w:themeColor="text1"/>
          <w:szCs w:val="22"/>
        </w:rPr>
        <w:t>0,6 līdz 4,1 reiz</w:t>
      </w:r>
      <w:r w:rsidR="003F3CDE" w:rsidRPr="00595075">
        <w:rPr>
          <w:color w:val="000000" w:themeColor="text1"/>
          <w:szCs w:val="22"/>
        </w:rPr>
        <w:t>e</w:t>
      </w:r>
      <w:r w:rsidRPr="00595075">
        <w:rPr>
          <w:color w:val="000000" w:themeColor="text1"/>
          <w:szCs w:val="22"/>
        </w:rPr>
        <w:t>i pārsniedz tā koncentrāciju plazmā. Tas nozīmē, ka zīdaiņi, iespējams, varētu saņemt aciklovīru devās līdz 0,3 mg/kg ķermeņa masas</w:t>
      </w:r>
      <w:r w:rsidR="003F3CDE" w:rsidRPr="00595075">
        <w:rPr>
          <w:color w:val="000000" w:themeColor="text1"/>
          <w:szCs w:val="22"/>
        </w:rPr>
        <w:t xml:space="preserve"> </w:t>
      </w:r>
      <w:r w:rsidRPr="00595075">
        <w:rPr>
          <w:color w:val="000000" w:themeColor="text1"/>
          <w:szCs w:val="22"/>
        </w:rPr>
        <w:t xml:space="preserve">dienā. Tādēļ jāievēro piesardzība, lietojot </w:t>
      </w:r>
      <w:r w:rsidRPr="00595075">
        <w:rPr>
          <w:iCs/>
          <w:color w:val="000000" w:themeColor="text1"/>
          <w:szCs w:val="22"/>
        </w:rPr>
        <w:t>aciklovīru mātēm, kuras baro bērnu ar krūti.</w:t>
      </w:r>
    </w:p>
    <w:p w14:paraId="5D56D7E3" w14:textId="77777777" w:rsidR="00B20B7A" w:rsidRPr="00595075" w:rsidRDefault="00B20B7A" w:rsidP="00F70B36">
      <w:pPr>
        <w:spacing w:line="240" w:lineRule="auto"/>
        <w:jc w:val="both"/>
        <w:rPr>
          <w:b/>
          <w:caps/>
          <w:color w:val="000000" w:themeColor="text1"/>
          <w:szCs w:val="22"/>
        </w:rPr>
      </w:pPr>
    </w:p>
    <w:p w14:paraId="67A4FBD9" w14:textId="77777777" w:rsidR="00B20B7A" w:rsidRPr="00595075" w:rsidRDefault="00B20B7A" w:rsidP="00F70B36">
      <w:pPr>
        <w:tabs>
          <w:tab w:val="clear" w:pos="567"/>
        </w:tabs>
        <w:spacing w:line="240" w:lineRule="auto"/>
        <w:jc w:val="both"/>
        <w:rPr>
          <w:noProof/>
          <w:color w:val="000000" w:themeColor="text1"/>
          <w:szCs w:val="22"/>
          <w:u w:val="single"/>
        </w:rPr>
      </w:pPr>
      <w:r w:rsidRPr="00595075">
        <w:rPr>
          <w:noProof/>
          <w:color w:val="000000" w:themeColor="text1"/>
          <w:szCs w:val="22"/>
          <w:u w:val="single"/>
        </w:rPr>
        <w:t>Fertilitāte</w:t>
      </w:r>
    </w:p>
    <w:p w14:paraId="5EEC127D" w14:textId="5B5EFC25" w:rsidR="00D27ABD" w:rsidRPr="00595075" w:rsidRDefault="00D27ABD" w:rsidP="00D27ABD">
      <w:pPr>
        <w:jc w:val="both"/>
        <w:rPr>
          <w:szCs w:val="24"/>
        </w:rPr>
      </w:pPr>
      <w:r w:rsidRPr="00595075">
        <w:rPr>
          <w:sz w:val="23"/>
          <w:szCs w:val="23"/>
        </w:rPr>
        <w:t>Nav datu par iekšķīgi vai intravenozas infūzijas veidā lieto</w:t>
      </w:r>
      <w:r w:rsidR="003F3CDE" w:rsidRPr="00595075">
        <w:rPr>
          <w:sz w:val="23"/>
          <w:szCs w:val="23"/>
        </w:rPr>
        <w:t>tu</w:t>
      </w:r>
      <w:r w:rsidRPr="00595075">
        <w:rPr>
          <w:sz w:val="23"/>
          <w:szCs w:val="23"/>
        </w:rPr>
        <w:t xml:space="preserve"> aciklovīra zāļu formu ietekmi uz sieviešu </w:t>
      </w:r>
      <w:r w:rsidR="003F3CDE" w:rsidRPr="00595075">
        <w:rPr>
          <w:sz w:val="23"/>
          <w:szCs w:val="23"/>
        </w:rPr>
        <w:t>fertilitāti</w:t>
      </w:r>
      <w:r w:rsidRPr="00595075">
        <w:rPr>
          <w:sz w:val="23"/>
          <w:szCs w:val="23"/>
        </w:rPr>
        <w:t>. Pētījumā, kurā piedalījās 20 vīriešu dzimuma pacienti ar normālu spermatozoīdu skaitu, lietojot aciklovīru iekšķīgi līdz pat 1 g dienā līdz sešu mēnešus ilgi, nenovēro</w:t>
      </w:r>
      <w:r w:rsidR="003F3CDE" w:rsidRPr="00595075">
        <w:rPr>
          <w:sz w:val="23"/>
          <w:szCs w:val="23"/>
        </w:rPr>
        <w:t>j</w:t>
      </w:r>
      <w:r w:rsidRPr="00595075">
        <w:rPr>
          <w:sz w:val="23"/>
          <w:szCs w:val="23"/>
        </w:rPr>
        <w:t>a klīniski nozīmīga ietekmi uz spermatozoīdu skaitu, kustīgumu vai morfoloģiju.</w:t>
      </w:r>
    </w:p>
    <w:p w14:paraId="218E1C2E" w14:textId="77777777" w:rsidR="00D27ABD" w:rsidRPr="00595075" w:rsidRDefault="00D27ABD" w:rsidP="00D27ABD">
      <w:pPr>
        <w:tabs>
          <w:tab w:val="clear" w:pos="567"/>
        </w:tabs>
        <w:spacing w:line="240" w:lineRule="auto"/>
        <w:jc w:val="both"/>
        <w:rPr>
          <w:color w:val="000000" w:themeColor="text1"/>
          <w:szCs w:val="22"/>
        </w:rPr>
      </w:pPr>
    </w:p>
    <w:p w14:paraId="2B9EE516" w14:textId="77777777" w:rsidR="00CD10AA" w:rsidRPr="00595075" w:rsidRDefault="00CD10AA" w:rsidP="00F70B36">
      <w:pPr>
        <w:tabs>
          <w:tab w:val="clear" w:pos="567"/>
        </w:tabs>
        <w:spacing w:line="240" w:lineRule="auto"/>
        <w:jc w:val="both"/>
        <w:rPr>
          <w:color w:val="000000" w:themeColor="text1"/>
          <w:szCs w:val="22"/>
        </w:rPr>
      </w:pPr>
      <w:r w:rsidRPr="00595075">
        <w:rPr>
          <w:b/>
          <w:color w:val="000000" w:themeColor="text1"/>
          <w:szCs w:val="22"/>
        </w:rPr>
        <w:t>4.7</w:t>
      </w:r>
      <w:r w:rsidR="00ED4652" w:rsidRPr="00595075">
        <w:rPr>
          <w:b/>
          <w:color w:val="000000" w:themeColor="text1"/>
          <w:szCs w:val="22"/>
        </w:rPr>
        <w:t>.</w:t>
      </w:r>
      <w:r w:rsidRPr="00595075">
        <w:rPr>
          <w:b/>
          <w:color w:val="000000" w:themeColor="text1"/>
          <w:szCs w:val="22"/>
        </w:rPr>
        <w:tab/>
        <w:t>Ietekme uz spēju vadīt transportlīdzekļus un apkalpot mehānismus</w:t>
      </w:r>
    </w:p>
    <w:p w14:paraId="3F273D61" w14:textId="4FE3B77D" w:rsidR="00CD10AA" w:rsidRPr="00595075" w:rsidRDefault="00CD10AA" w:rsidP="00F70B36">
      <w:pPr>
        <w:tabs>
          <w:tab w:val="clear" w:pos="567"/>
        </w:tabs>
        <w:spacing w:line="240" w:lineRule="auto"/>
        <w:jc w:val="both"/>
        <w:rPr>
          <w:color w:val="000000" w:themeColor="text1"/>
          <w:szCs w:val="22"/>
        </w:rPr>
      </w:pPr>
    </w:p>
    <w:p w14:paraId="07429109" w14:textId="0D5E6917" w:rsidR="00EB2C9A" w:rsidRPr="00595075" w:rsidRDefault="00EB2C9A" w:rsidP="00F70B36">
      <w:pPr>
        <w:spacing w:line="240" w:lineRule="auto"/>
        <w:jc w:val="both"/>
        <w:rPr>
          <w:color w:val="000000" w:themeColor="text1"/>
          <w:szCs w:val="22"/>
        </w:rPr>
      </w:pPr>
      <w:r w:rsidRPr="00595075">
        <w:rPr>
          <w:color w:val="000000" w:themeColor="text1"/>
          <w:szCs w:val="22"/>
        </w:rPr>
        <w:t>Intravenoz</w:t>
      </w:r>
      <w:r w:rsidR="003F3CDE" w:rsidRPr="00595075">
        <w:rPr>
          <w:color w:val="000000" w:themeColor="text1"/>
          <w:szCs w:val="22"/>
        </w:rPr>
        <w:t>u</w:t>
      </w:r>
      <w:r w:rsidRPr="00595075">
        <w:rPr>
          <w:color w:val="000000" w:themeColor="text1"/>
          <w:szCs w:val="22"/>
        </w:rPr>
        <w:t xml:space="preserve"> aciklovīru parasti lieto stacionāra pacientiem, un informācija par ietekmi uz spēju vadīt transportlīdzekli un apkalpot mehānismus parasti nav attiecināma uz šiem pacientiem. </w:t>
      </w:r>
      <w:r w:rsidR="003F3CDE" w:rsidRPr="00595075">
        <w:rPr>
          <w:color w:val="000000" w:themeColor="text1"/>
          <w:szCs w:val="22"/>
        </w:rPr>
        <w:t>P</w:t>
      </w:r>
      <w:r w:rsidRPr="00595075">
        <w:rPr>
          <w:color w:val="000000" w:themeColor="text1"/>
          <w:szCs w:val="22"/>
        </w:rPr>
        <w:t>ētījumi, lai noskaidrotu aciklovīra ietekmi uz autotransporta vadīšanu un spēju vadīt transportlīdzekli un apkalpot mehānismus</w:t>
      </w:r>
      <w:r w:rsidR="00C75081" w:rsidRPr="00595075">
        <w:rPr>
          <w:color w:val="000000" w:themeColor="text1"/>
          <w:szCs w:val="22"/>
        </w:rPr>
        <w:t>, nav veikti</w:t>
      </w:r>
      <w:r w:rsidRPr="00595075">
        <w:rPr>
          <w:color w:val="000000" w:themeColor="text1"/>
          <w:szCs w:val="22"/>
        </w:rPr>
        <w:t>.</w:t>
      </w:r>
    </w:p>
    <w:p w14:paraId="6E0314D1" w14:textId="77777777" w:rsidR="00EB2C9A" w:rsidRPr="00595075" w:rsidRDefault="00EB2C9A" w:rsidP="00F70B36">
      <w:pPr>
        <w:tabs>
          <w:tab w:val="clear" w:pos="567"/>
        </w:tabs>
        <w:spacing w:line="240" w:lineRule="auto"/>
        <w:jc w:val="both"/>
        <w:rPr>
          <w:color w:val="000000" w:themeColor="text1"/>
          <w:szCs w:val="22"/>
        </w:rPr>
      </w:pPr>
    </w:p>
    <w:p w14:paraId="5F6A8914" w14:textId="77777777" w:rsidR="00CD10AA" w:rsidRPr="00595075" w:rsidRDefault="00CD10AA" w:rsidP="00F70B36">
      <w:pPr>
        <w:tabs>
          <w:tab w:val="clear" w:pos="567"/>
        </w:tabs>
        <w:spacing w:line="240" w:lineRule="auto"/>
        <w:jc w:val="both"/>
        <w:rPr>
          <w:b/>
          <w:color w:val="000000" w:themeColor="text1"/>
          <w:szCs w:val="22"/>
        </w:rPr>
      </w:pPr>
      <w:r w:rsidRPr="00595075">
        <w:rPr>
          <w:b/>
          <w:color w:val="000000" w:themeColor="text1"/>
          <w:szCs w:val="22"/>
        </w:rPr>
        <w:t>4.8</w:t>
      </w:r>
      <w:r w:rsidR="002A61E1" w:rsidRPr="00595075">
        <w:rPr>
          <w:b/>
          <w:color w:val="000000" w:themeColor="text1"/>
          <w:szCs w:val="22"/>
        </w:rPr>
        <w:t>.</w:t>
      </w:r>
      <w:r w:rsidRPr="00595075">
        <w:rPr>
          <w:b/>
          <w:color w:val="000000" w:themeColor="text1"/>
          <w:szCs w:val="22"/>
        </w:rPr>
        <w:tab/>
        <w:t>Nevēlamās blakusparādības</w:t>
      </w:r>
    </w:p>
    <w:p w14:paraId="1519B21D" w14:textId="71CFD0C8" w:rsidR="00FD187E" w:rsidRPr="00595075" w:rsidRDefault="00FD187E" w:rsidP="00F70B36">
      <w:pPr>
        <w:pStyle w:val="EMEAEnBodyText"/>
        <w:spacing w:before="0" w:after="0"/>
        <w:rPr>
          <w:bCs/>
          <w:noProof/>
          <w:color w:val="000000" w:themeColor="text1"/>
          <w:szCs w:val="22"/>
          <w:lang w:val="lv-LV"/>
        </w:rPr>
      </w:pPr>
    </w:p>
    <w:p w14:paraId="7662B4A7" w14:textId="60589199" w:rsidR="008F61D4" w:rsidRPr="00595075" w:rsidRDefault="008F61D4" w:rsidP="00F70B36">
      <w:pPr>
        <w:spacing w:line="240" w:lineRule="auto"/>
        <w:jc w:val="both"/>
        <w:rPr>
          <w:color w:val="000000" w:themeColor="text1"/>
          <w:szCs w:val="22"/>
        </w:rPr>
      </w:pPr>
      <w:r w:rsidRPr="00595075">
        <w:rPr>
          <w:color w:val="000000" w:themeColor="text1"/>
          <w:szCs w:val="22"/>
        </w:rPr>
        <w:lastRenderedPageBreak/>
        <w:t xml:space="preserve">Sastopamības biežuma kategorijas, kas piešķirtas zemāk minētajām blakusparādībām, ir </w:t>
      </w:r>
      <w:r w:rsidR="00C75081" w:rsidRPr="00595075">
        <w:rPr>
          <w:color w:val="000000" w:themeColor="text1"/>
          <w:szCs w:val="22"/>
        </w:rPr>
        <w:t>aprēķinātas</w:t>
      </w:r>
      <w:r w:rsidRPr="00595075">
        <w:rPr>
          <w:color w:val="000000" w:themeColor="text1"/>
          <w:szCs w:val="22"/>
        </w:rPr>
        <w:t>. Vairum</w:t>
      </w:r>
      <w:r w:rsidR="00C75081" w:rsidRPr="00595075">
        <w:rPr>
          <w:color w:val="000000" w:themeColor="text1"/>
          <w:szCs w:val="22"/>
        </w:rPr>
        <w:t>ā</w:t>
      </w:r>
      <w:r w:rsidRPr="00595075">
        <w:rPr>
          <w:color w:val="000000" w:themeColor="text1"/>
          <w:szCs w:val="22"/>
        </w:rPr>
        <w:t xml:space="preserve"> gadījumu nav pietiekamu datu, lai izvērtētu sastopamības biežumu. Turklāt blakusparādību sastopamības biežums var mainīties atkarībā no indikācij</w:t>
      </w:r>
      <w:r w:rsidR="00C75081" w:rsidRPr="00595075">
        <w:rPr>
          <w:color w:val="000000" w:themeColor="text1"/>
          <w:szCs w:val="22"/>
        </w:rPr>
        <w:t>as</w:t>
      </w:r>
      <w:r w:rsidRPr="00595075">
        <w:rPr>
          <w:color w:val="000000" w:themeColor="text1"/>
          <w:szCs w:val="22"/>
        </w:rPr>
        <w:t>.</w:t>
      </w:r>
    </w:p>
    <w:p w14:paraId="43B96DA5" w14:textId="77777777" w:rsidR="008F61D4" w:rsidRPr="00595075" w:rsidRDefault="008F61D4" w:rsidP="00F70B36">
      <w:pPr>
        <w:spacing w:line="240" w:lineRule="auto"/>
        <w:jc w:val="both"/>
        <w:rPr>
          <w:color w:val="000000" w:themeColor="text1"/>
          <w:szCs w:val="22"/>
        </w:rPr>
      </w:pPr>
    </w:p>
    <w:p w14:paraId="3BB019E6" w14:textId="77777777" w:rsidR="008F61D4" w:rsidRPr="00595075" w:rsidRDefault="008F61D4" w:rsidP="00F70B36">
      <w:pPr>
        <w:pStyle w:val="BodyText2"/>
        <w:suppressAutoHyphens w:val="0"/>
        <w:rPr>
          <w:b/>
          <w:bCs/>
          <w:i/>
          <w:color w:val="000000" w:themeColor="text1"/>
          <w:sz w:val="22"/>
          <w:szCs w:val="22"/>
          <w:u w:val="single"/>
        </w:rPr>
      </w:pPr>
      <w:r w:rsidRPr="00595075">
        <w:rPr>
          <w:color w:val="000000" w:themeColor="text1"/>
          <w:sz w:val="22"/>
          <w:szCs w:val="22"/>
        </w:rPr>
        <w:t xml:space="preserve">Blakusparādību sastopamības biežuma klasifikācijai ir izmantoti sekojoši apzīmējumi: </w:t>
      </w:r>
      <w:r w:rsidRPr="00595075">
        <w:rPr>
          <w:bCs/>
          <w:noProof/>
          <w:color w:val="000000" w:themeColor="text1"/>
          <w:sz w:val="22"/>
          <w:szCs w:val="22"/>
        </w:rPr>
        <w:t>ļoti bieži (</w:t>
      </w:r>
      <w:r w:rsidRPr="00595075">
        <w:rPr>
          <w:bCs/>
          <w:noProof/>
          <w:color w:val="000000" w:themeColor="text1"/>
          <w:sz w:val="22"/>
          <w:szCs w:val="22"/>
        </w:rPr>
        <w:sym w:font="Symbol" w:char="F0B3"/>
      </w:r>
      <w:r w:rsidRPr="00595075">
        <w:rPr>
          <w:bCs/>
          <w:noProof/>
          <w:color w:val="000000" w:themeColor="text1"/>
          <w:sz w:val="22"/>
          <w:szCs w:val="22"/>
        </w:rPr>
        <w:t>1/10), bieži (</w:t>
      </w:r>
      <w:r w:rsidRPr="00595075">
        <w:rPr>
          <w:bCs/>
          <w:noProof/>
          <w:color w:val="000000" w:themeColor="text1"/>
          <w:sz w:val="22"/>
          <w:szCs w:val="22"/>
        </w:rPr>
        <w:sym w:font="Symbol" w:char="F0B3"/>
      </w:r>
      <w:r w:rsidRPr="00595075">
        <w:rPr>
          <w:bCs/>
          <w:noProof/>
          <w:color w:val="000000" w:themeColor="text1"/>
          <w:sz w:val="22"/>
          <w:szCs w:val="22"/>
        </w:rPr>
        <w:t>1/100 līdz &lt;1/10), retāk (</w:t>
      </w:r>
      <w:r w:rsidRPr="00595075">
        <w:rPr>
          <w:bCs/>
          <w:noProof/>
          <w:color w:val="000000" w:themeColor="text1"/>
          <w:sz w:val="22"/>
          <w:szCs w:val="22"/>
        </w:rPr>
        <w:sym w:font="Symbol" w:char="F0B3"/>
      </w:r>
      <w:r w:rsidRPr="00595075">
        <w:rPr>
          <w:bCs/>
          <w:noProof/>
          <w:color w:val="000000" w:themeColor="text1"/>
          <w:sz w:val="22"/>
          <w:szCs w:val="22"/>
        </w:rPr>
        <w:t>1/1 000 līdz &lt;1/100), reti (</w:t>
      </w:r>
      <w:r w:rsidRPr="00595075">
        <w:rPr>
          <w:bCs/>
          <w:noProof/>
          <w:color w:val="000000" w:themeColor="text1"/>
          <w:sz w:val="22"/>
          <w:szCs w:val="22"/>
        </w:rPr>
        <w:sym w:font="Symbol" w:char="F0B3"/>
      </w:r>
      <w:r w:rsidRPr="00595075">
        <w:rPr>
          <w:bCs/>
          <w:noProof/>
          <w:color w:val="000000" w:themeColor="text1"/>
          <w:sz w:val="22"/>
          <w:szCs w:val="22"/>
        </w:rPr>
        <w:t>1/10 000 līdz &lt;1/1 000), ļoti reti (&lt;1/10 000), nav zināmi (nevar noteikt pēc pieejamiem datiem)</w:t>
      </w:r>
      <w:r w:rsidRPr="00595075">
        <w:rPr>
          <w:color w:val="000000" w:themeColor="text1"/>
          <w:sz w:val="22"/>
          <w:szCs w:val="22"/>
        </w:rPr>
        <w:t>.</w:t>
      </w:r>
    </w:p>
    <w:p w14:paraId="6DDE66EA" w14:textId="77777777" w:rsidR="008F61D4" w:rsidRPr="00595075" w:rsidRDefault="008F61D4" w:rsidP="00F70B36">
      <w:pPr>
        <w:pStyle w:val="BodyText2"/>
        <w:suppressAutoHyphens w:val="0"/>
        <w:rPr>
          <w:b/>
          <w:bCs/>
          <w:i/>
          <w:color w:val="000000" w:themeColor="text1"/>
          <w:sz w:val="22"/>
          <w:szCs w:val="22"/>
          <w:u w:val="single"/>
        </w:rPr>
      </w:pPr>
    </w:p>
    <w:p w14:paraId="081F2176" w14:textId="77777777" w:rsidR="008F61D4" w:rsidRPr="00595075" w:rsidRDefault="008F61D4" w:rsidP="00F70B36">
      <w:pPr>
        <w:pStyle w:val="EMEAEnBodyText"/>
        <w:spacing w:before="0" w:after="0"/>
        <w:rPr>
          <w:noProof/>
          <w:color w:val="000000" w:themeColor="text1"/>
          <w:szCs w:val="22"/>
          <w:u w:val="single"/>
          <w:lang w:val="lv-LV"/>
        </w:rPr>
      </w:pPr>
      <w:r w:rsidRPr="00595075">
        <w:rPr>
          <w:noProof/>
          <w:color w:val="000000" w:themeColor="text1"/>
          <w:szCs w:val="22"/>
          <w:u w:val="single"/>
          <w:lang w:val="lv-LV"/>
        </w:rPr>
        <w:t>Asins un limfātiskās sistēmas traucējumi</w:t>
      </w:r>
    </w:p>
    <w:p w14:paraId="2D53687C" w14:textId="77777777" w:rsidR="008F61D4" w:rsidRPr="00595075" w:rsidRDefault="008F61D4" w:rsidP="00F70B36">
      <w:pPr>
        <w:pStyle w:val="BodyText2"/>
        <w:suppressAutoHyphens w:val="0"/>
        <w:rPr>
          <w:b/>
          <w:i/>
          <w:color w:val="000000" w:themeColor="text1"/>
          <w:sz w:val="22"/>
          <w:szCs w:val="22"/>
          <w:u w:val="single"/>
        </w:rPr>
      </w:pPr>
      <w:r w:rsidRPr="00595075">
        <w:rPr>
          <w:i/>
          <w:color w:val="000000" w:themeColor="text1"/>
          <w:sz w:val="22"/>
          <w:szCs w:val="22"/>
        </w:rPr>
        <w:t>Retāk:</w:t>
      </w:r>
      <w:r w:rsidRPr="00595075">
        <w:rPr>
          <w:color w:val="000000" w:themeColor="text1"/>
          <w:sz w:val="22"/>
          <w:szCs w:val="22"/>
        </w:rPr>
        <w:t xml:space="preserve"> hematoloģisko rādītāju pazemināšanās (anēmija, trombocitopēnija, leikopēnija).</w:t>
      </w:r>
    </w:p>
    <w:p w14:paraId="73DC34DC" w14:textId="77777777" w:rsidR="008F61D4" w:rsidRPr="00595075" w:rsidRDefault="008F61D4" w:rsidP="00F70B36">
      <w:pPr>
        <w:pStyle w:val="BodyText2"/>
        <w:suppressAutoHyphens w:val="0"/>
        <w:rPr>
          <w:b/>
          <w:i/>
          <w:color w:val="000000" w:themeColor="text1"/>
          <w:sz w:val="22"/>
          <w:szCs w:val="22"/>
          <w:u w:val="single"/>
        </w:rPr>
      </w:pPr>
    </w:p>
    <w:p w14:paraId="61E4D7A0" w14:textId="77777777" w:rsidR="008F61D4" w:rsidRPr="00595075" w:rsidRDefault="008F61D4" w:rsidP="00F70B36">
      <w:pPr>
        <w:pStyle w:val="EMEAEnBodyText"/>
        <w:spacing w:before="0" w:after="0"/>
        <w:rPr>
          <w:noProof/>
          <w:color w:val="000000" w:themeColor="text1"/>
          <w:szCs w:val="22"/>
          <w:u w:val="single"/>
          <w:lang w:val="lv-LV"/>
        </w:rPr>
      </w:pPr>
      <w:r w:rsidRPr="00595075">
        <w:rPr>
          <w:noProof/>
          <w:color w:val="000000" w:themeColor="text1"/>
          <w:szCs w:val="22"/>
          <w:u w:val="single"/>
          <w:lang w:val="lv-LV"/>
        </w:rPr>
        <w:t>Imūnās sistēmas traucējumi</w:t>
      </w:r>
    </w:p>
    <w:p w14:paraId="23311122" w14:textId="77777777" w:rsidR="008F61D4" w:rsidRPr="00595075" w:rsidRDefault="008F61D4" w:rsidP="00F70B36">
      <w:pPr>
        <w:pStyle w:val="BodyText2"/>
        <w:suppressAutoHyphens w:val="0"/>
        <w:rPr>
          <w:i/>
          <w:color w:val="000000" w:themeColor="text1"/>
          <w:sz w:val="22"/>
          <w:szCs w:val="22"/>
          <w:u w:val="single"/>
        </w:rPr>
      </w:pPr>
      <w:r w:rsidRPr="00595075">
        <w:rPr>
          <w:i/>
          <w:color w:val="000000" w:themeColor="text1"/>
          <w:sz w:val="22"/>
          <w:szCs w:val="22"/>
        </w:rPr>
        <w:t>Ļoti reti:</w:t>
      </w:r>
      <w:r w:rsidRPr="00595075">
        <w:rPr>
          <w:color w:val="000000" w:themeColor="text1"/>
          <w:sz w:val="22"/>
          <w:szCs w:val="22"/>
        </w:rPr>
        <w:t xml:space="preserve"> anafilakse.</w:t>
      </w:r>
    </w:p>
    <w:p w14:paraId="2C6B106E" w14:textId="77777777" w:rsidR="008F61D4" w:rsidRPr="00595075" w:rsidRDefault="008F61D4" w:rsidP="00F70B36">
      <w:pPr>
        <w:pStyle w:val="BodyText2"/>
        <w:suppressAutoHyphens w:val="0"/>
        <w:rPr>
          <w:b/>
          <w:i/>
          <w:color w:val="000000" w:themeColor="text1"/>
          <w:sz w:val="22"/>
          <w:szCs w:val="22"/>
          <w:u w:val="single"/>
        </w:rPr>
      </w:pPr>
    </w:p>
    <w:p w14:paraId="226225F4" w14:textId="77777777" w:rsidR="008F61D4" w:rsidRPr="00595075" w:rsidRDefault="008F61D4" w:rsidP="00F70B36">
      <w:pPr>
        <w:pStyle w:val="EMEAEnBodyText"/>
        <w:spacing w:before="0" w:after="0"/>
        <w:rPr>
          <w:noProof/>
          <w:color w:val="000000" w:themeColor="text1"/>
          <w:szCs w:val="22"/>
          <w:u w:val="single"/>
          <w:lang w:val="lv-LV"/>
        </w:rPr>
      </w:pPr>
      <w:r w:rsidRPr="00595075">
        <w:rPr>
          <w:noProof/>
          <w:color w:val="000000" w:themeColor="text1"/>
          <w:szCs w:val="22"/>
          <w:u w:val="single"/>
          <w:lang w:val="lv-LV"/>
        </w:rPr>
        <w:t>Psihiskie traucējumi un nervu sistēmas traucējumi</w:t>
      </w:r>
    </w:p>
    <w:p w14:paraId="2A56BAE3" w14:textId="77777777" w:rsidR="008F61D4" w:rsidRPr="00595075" w:rsidRDefault="008F61D4" w:rsidP="00F70B36">
      <w:pPr>
        <w:pStyle w:val="BodyText2"/>
        <w:suppressAutoHyphens w:val="0"/>
        <w:rPr>
          <w:color w:val="000000" w:themeColor="text1"/>
          <w:sz w:val="22"/>
          <w:szCs w:val="22"/>
        </w:rPr>
      </w:pPr>
      <w:r w:rsidRPr="00595075">
        <w:rPr>
          <w:i/>
          <w:color w:val="000000" w:themeColor="text1"/>
          <w:sz w:val="22"/>
          <w:szCs w:val="22"/>
        </w:rPr>
        <w:t xml:space="preserve">Ļoti reti: </w:t>
      </w:r>
      <w:r w:rsidRPr="00595075">
        <w:rPr>
          <w:color w:val="000000" w:themeColor="text1"/>
          <w:sz w:val="22"/>
          <w:szCs w:val="22"/>
        </w:rPr>
        <w:t>galvassāpes, reibonis, uzbudinājums, apjukums, trīce, ataksija, dizartrija, halucinācijas, psihotiski simptomi, krampji, miegainība, encefalopātija, koma.</w:t>
      </w:r>
    </w:p>
    <w:p w14:paraId="5C4C679C" w14:textId="77777777" w:rsidR="008F61D4" w:rsidRPr="00595075" w:rsidRDefault="008F61D4" w:rsidP="00F70B36">
      <w:pPr>
        <w:pStyle w:val="BodyText2"/>
        <w:suppressAutoHyphens w:val="0"/>
        <w:rPr>
          <w:b/>
          <w:color w:val="000000" w:themeColor="text1"/>
          <w:sz w:val="22"/>
          <w:szCs w:val="22"/>
        </w:rPr>
      </w:pPr>
      <w:r w:rsidRPr="00595075">
        <w:rPr>
          <w:color w:val="000000" w:themeColor="text1"/>
          <w:sz w:val="22"/>
          <w:szCs w:val="22"/>
        </w:rPr>
        <w:t>Iepriekšminētās parādības parasti ir atgriezeniskas un parasti par tām ir ziņots pacientiem ar nieru darbības traucējumiem vai citiem predisponējošiem faktoriem (skatīt 4.4. apakšpunktu).</w:t>
      </w:r>
    </w:p>
    <w:p w14:paraId="7A2FC102" w14:textId="77777777" w:rsidR="008F61D4" w:rsidRPr="00595075" w:rsidRDefault="008F61D4" w:rsidP="00F70B36">
      <w:pPr>
        <w:pStyle w:val="BodyText2"/>
        <w:suppressAutoHyphens w:val="0"/>
        <w:rPr>
          <w:b/>
          <w:i/>
          <w:color w:val="000000" w:themeColor="text1"/>
          <w:sz w:val="22"/>
          <w:szCs w:val="22"/>
          <w:u w:val="single"/>
        </w:rPr>
      </w:pPr>
    </w:p>
    <w:p w14:paraId="150C54CD" w14:textId="77777777" w:rsidR="008F61D4" w:rsidRPr="00595075" w:rsidRDefault="008F61D4" w:rsidP="00F70B36">
      <w:pPr>
        <w:pStyle w:val="EMEAEnBodyText"/>
        <w:spacing w:before="0" w:after="0"/>
        <w:rPr>
          <w:noProof/>
          <w:color w:val="000000" w:themeColor="text1"/>
          <w:szCs w:val="22"/>
          <w:u w:val="single"/>
          <w:lang w:val="lv-LV"/>
        </w:rPr>
      </w:pPr>
      <w:r w:rsidRPr="00595075">
        <w:rPr>
          <w:noProof/>
          <w:color w:val="000000" w:themeColor="text1"/>
          <w:szCs w:val="22"/>
          <w:u w:val="single"/>
          <w:lang w:val="lv-LV"/>
        </w:rPr>
        <w:t>Asinsvadu sistēmas traucējumi</w:t>
      </w:r>
    </w:p>
    <w:p w14:paraId="151E05AE" w14:textId="77777777" w:rsidR="008F61D4" w:rsidRPr="00595075" w:rsidRDefault="008F61D4" w:rsidP="00F70B36">
      <w:pPr>
        <w:pStyle w:val="BodyText2"/>
        <w:suppressAutoHyphens w:val="0"/>
        <w:rPr>
          <w:i/>
          <w:color w:val="000000" w:themeColor="text1"/>
          <w:sz w:val="22"/>
          <w:szCs w:val="22"/>
          <w:u w:val="single"/>
        </w:rPr>
      </w:pPr>
      <w:r w:rsidRPr="00595075">
        <w:rPr>
          <w:i/>
          <w:color w:val="000000" w:themeColor="text1"/>
          <w:sz w:val="22"/>
          <w:szCs w:val="22"/>
        </w:rPr>
        <w:t xml:space="preserve">Bieži: </w:t>
      </w:r>
      <w:r w:rsidRPr="00595075">
        <w:rPr>
          <w:color w:val="000000" w:themeColor="text1"/>
          <w:sz w:val="22"/>
          <w:szCs w:val="22"/>
        </w:rPr>
        <w:t>flebīts.</w:t>
      </w:r>
    </w:p>
    <w:p w14:paraId="3BCCA972" w14:textId="77777777" w:rsidR="008F61D4" w:rsidRPr="00595075" w:rsidRDefault="008F61D4" w:rsidP="00F70B36">
      <w:pPr>
        <w:pStyle w:val="BodyText2"/>
        <w:suppressAutoHyphens w:val="0"/>
        <w:rPr>
          <w:b/>
          <w:i/>
          <w:color w:val="000000" w:themeColor="text1"/>
          <w:sz w:val="22"/>
          <w:szCs w:val="22"/>
          <w:u w:val="single"/>
        </w:rPr>
      </w:pPr>
    </w:p>
    <w:p w14:paraId="358D4DF6" w14:textId="77777777" w:rsidR="008F61D4" w:rsidRPr="00595075" w:rsidRDefault="008F61D4" w:rsidP="00F70B36">
      <w:pPr>
        <w:pStyle w:val="EMEAEnBodyText"/>
        <w:spacing w:before="0" w:after="0"/>
        <w:rPr>
          <w:noProof/>
          <w:color w:val="000000" w:themeColor="text1"/>
          <w:szCs w:val="22"/>
          <w:u w:val="single"/>
          <w:lang w:val="lv-LV"/>
        </w:rPr>
      </w:pPr>
      <w:r w:rsidRPr="00595075">
        <w:rPr>
          <w:noProof/>
          <w:color w:val="000000" w:themeColor="text1"/>
          <w:szCs w:val="22"/>
          <w:u w:val="single"/>
          <w:lang w:val="lv-LV"/>
        </w:rPr>
        <w:t>Elpošanas sistēmas traucējumi, krūšu kurvja un videnes slimības</w:t>
      </w:r>
    </w:p>
    <w:p w14:paraId="08F49E27" w14:textId="77777777" w:rsidR="008F61D4" w:rsidRPr="00595075" w:rsidRDefault="008F61D4" w:rsidP="00F70B36">
      <w:pPr>
        <w:pStyle w:val="BodyText2"/>
        <w:suppressAutoHyphens w:val="0"/>
        <w:rPr>
          <w:i/>
          <w:color w:val="000000" w:themeColor="text1"/>
          <w:sz w:val="22"/>
          <w:szCs w:val="22"/>
          <w:u w:val="single"/>
        </w:rPr>
      </w:pPr>
      <w:r w:rsidRPr="00595075">
        <w:rPr>
          <w:i/>
          <w:color w:val="000000" w:themeColor="text1"/>
          <w:sz w:val="22"/>
          <w:szCs w:val="22"/>
        </w:rPr>
        <w:t xml:space="preserve">Ļoti reti: </w:t>
      </w:r>
      <w:r w:rsidRPr="00595075">
        <w:rPr>
          <w:color w:val="000000" w:themeColor="text1"/>
          <w:sz w:val="22"/>
          <w:szCs w:val="22"/>
        </w:rPr>
        <w:t>aizdusa.</w:t>
      </w:r>
    </w:p>
    <w:p w14:paraId="2B63F218" w14:textId="77777777" w:rsidR="008F61D4" w:rsidRPr="00595075" w:rsidRDefault="008F61D4" w:rsidP="00F70B36">
      <w:pPr>
        <w:pStyle w:val="BodyText2"/>
        <w:suppressAutoHyphens w:val="0"/>
        <w:rPr>
          <w:b/>
          <w:i/>
          <w:color w:val="000000" w:themeColor="text1"/>
          <w:sz w:val="22"/>
          <w:szCs w:val="22"/>
          <w:u w:val="single"/>
        </w:rPr>
      </w:pPr>
    </w:p>
    <w:p w14:paraId="344B57D7" w14:textId="77777777" w:rsidR="008F61D4" w:rsidRPr="00595075" w:rsidRDefault="008F61D4" w:rsidP="00F70B36">
      <w:pPr>
        <w:pStyle w:val="EMEAEnBodyText"/>
        <w:spacing w:before="0" w:after="0"/>
        <w:rPr>
          <w:noProof/>
          <w:color w:val="000000" w:themeColor="text1"/>
          <w:szCs w:val="22"/>
          <w:u w:val="single"/>
          <w:lang w:val="lv-LV"/>
        </w:rPr>
      </w:pPr>
      <w:r w:rsidRPr="00595075">
        <w:rPr>
          <w:noProof/>
          <w:color w:val="000000" w:themeColor="text1"/>
          <w:szCs w:val="22"/>
          <w:u w:val="single"/>
          <w:lang w:val="lv-LV"/>
        </w:rPr>
        <w:t>Kuņģa-zarnu trakta traucējumi</w:t>
      </w:r>
    </w:p>
    <w:p w14:paraId="497593C5" w14:textId="77777777" w:rsidR="008F61D4" w:rsidRPr="00595075" w:rsidRDefault="008F61D4" w:rsidP="00F70B36">
      <w:pPr>
        <w:pStyle w:val="BodyText2"/>
        <w:suppressAutoHyphens w:val="0"/>
        <w:rPr>
          <w:i/>
          <w:color w:val="000000" w:themeColor="text1"/>
          <w:sz w:val="22"/>
          <w:szCs w:val="22"/>
        </w:rPr>
      </w:pPr>
      <w:r w:rsidRPr="00595075">
        <w:rPr>
          <w:i/>
          <w:color w:val="000000" w:themeColor="text1"/>
          <w:sz w:val="22"/>
          <w:szCs w:val="22"/>
        </w:rPr>
        <w:t xml:space="preserve">Bieži: </w:t>
      </w:r>
      <w:r w:rsidRPr="00595075">
        <w:rPr>
          <w:color w:val="000000" w:themeColor="text1"/>
          <w:sz w:val="22"/>
          <w:szCs w:val="22"/>
        </w:rPr>
        <w:t>slikta dūša, vemšana.</w:t>
      </w:r>
    </w:p>
    <w:p w14:paraId="3EB2BD0A" w14:textId="77777777" w:rsidR="008F61D4" w:rsidRPr="00595075" w:rsidRDefault="008F61D4" w:rsidP="00F70B36">
      <w:pPr>
        <w:pStyle w:val="BodyText2"/>
        <w:suppressAutoHyphens w:val="0"/>
        <w:rPr>
          <w:i/>
          <w:color w:val="000000" w:themeColor="text1"/>
          <w:sz w:val="22"/>
          <w:szCs w:val="22"/>
          <w:u w:val="single"/>
        </w:rPr>
      </w:pPr>
      <w:r w:rsidRPr="00595075">
        <w:rPr>
          <w:i/>
          <w:color w:val="000000" w:themeColor="text1"/>
          <w:sz w:val="22"/>
          <w:szCs w:val="22"/>
        </w:rPr>
        <w:t xml:space="preserve">Ļoti reti: </w:t>
      </w:r>
      <w:r w:rsidRPr="00595075">
        <w:rPr>
          <w:color w:val="000000" w:themeColor="text1"/>
          <w:sz w:val="22"/>
          <w:szCs w:val="22"/>
        </w:rPr>
        <w:t>caureja, sāpes vēderā.</w:t>
      </w:r>
    </w:p>
    <w:p w14:paraId="6A0B059E" w14:textId="77777777" w:rsidR="008F61D4" w:rsidRPr="00595075" w:rsidRDefault="008F61D4" w:rsidP="00F70B36">
      <w:pPr>
        <w:pStyle w:val="BodyText2"/>
        <w:suppressAutoHyphens w:val="0"/>
        <w:rPr>
          <w:b/>
          <w:i/>
          <w:color w:val="000000" w:themeColor="text1"/>
          <w:sz w:val="22"/>
          <w:szCs w:val="22"/>
          <w:u w:val="single"/>
        </w:rPr>
      </w:pPr>
    </w:p>
    <w:p w14:paraId="43E36833" w14:textId="77777777" w:rsidR="008F61D4" w:rsidRPr="00595075" w:rsidRDefault="008F61D4" w:rsidP="00F70B36">
      <w:pPr>
        <w:pStyle w:val="EMEAEnBodyText"/>
        <w:spacing w:before="0" w:after="0"/>
        <w:rPr>
          <w:noProof/>
          <w:color w:val="000000" w:themeColor="text1"/>
          <w:szCs w:val="22"/>
          <w:u w:val="single"/>
          <w:lang w:val="lv-LV"/>
        </w:rPr>
      </w:pPr>
      <w:r w:rsidRPr="00595075">
        <w:rPr>
          <w:noProof/>
          <w:color w:val="000000" w:themeColor="text1"/>
          <w:szCs w:val="22"/>
          <w:u w:val="single"/>
          <w:lang w:val="lv-LV"/>
        </w:rPr>
        <w:t>Aknu un/vai žults izvades sistēmas traucējumi</w:t>
      </w:r>
    </w:p>
    <w:p w14:paraId="0621324A" w14:textId="77777777" w:rsidR="008F61D4" w:rsidRPr="00595075" w:rsidRDefault="008F61D4" w:rsidP="00F70B36">
      <w:pPr>
        <w:pStyle w:val="BodyText2"/>
        <w:suppressAutoHyphens w:val="0"/>
        <w:rPr>
          <w:i/>
          <w:color w:val="000000" w:themeColor="text1"/>
          <w:sz w:val="22"/>
          <w:szCs w:val="22"/>
        </w:rPr>
      </w:pPr>
      <w:r w:rsidRPr="00595075">
        <w:rPr>
          <w:i/>
          <w:color w:val="000000" w:themeColor="text1"/>
          <w:sz w:val="22"/>
          <w:szCs w:val="22"/>
        </w:rPr>
        <w:t xml:space="preserve">Bieži: </w:t>
      </w:r>
      <w:r w:rsidRPr="00595075">
        <w:rPr>
          <w:color w:val="000000" w:themeColor="text1"/>
          <w:sz w:val="22"/>
          <w:szCs w:val="22"/>
        </w:rPr>
        <w:t>atgriezeniska aknu enzīmu līmeņa paaugstināšanās.</w:t>
      </w:r>
    </w:p>
    <w:p w14:paraId="4292F87B" w14:textId="77777777" w:rsidR="008F61D4" w:rsidRPr="00595075" w:rsidRDefault="008F61D4" w:rsidP="00F70B36">
      <w:pPr>
        <w:pStyle w:val="BodyText2"/>
        <w:suppressAutoHyphens w:val="0"/>
        <w:rPr>
          <w:i/>
          <w:color w:val="000000" w:themeColor="text1"/>
          <w:sz w:val="22"/>
          <w:szCs w:val="22"/>
          <w:u w:val="single"/>
        </w:rPr>
      </w:pPr>
      <w:r w:rsidRPr="00595075">
        <w:rPr>
          <w:i/>
          <w:color w:val="000000" w:themeColor="text1"/>
          <w:sz w:val="22"/>
          <w:szCs w:val="22"/>
        </w:rPr>
        <w:t xml:space="preserve">Ļoti reti: </w:t>
      </w:r>
      <w:r w:rsidRPr="00595075">
        <w:rPr>
          <w:color w:val="000000" w:themeColor="text1"/>
          <w:sz w:val="22"/>
          <w:szCs w:val="22"/>
        </w:rPr>
        <w:t>atgriezeniska bilirubīna līmeņa paaugstināšanās, dzelte, hepatīts.</w:t>
      </w:r>
    </w:p>
    <w:p w14:paraId="1B5357FC" w14:textId="77777777" w:rsidR="008F61D4" w:rsidRPr="00595075" w:rsidRDefault="008F61D4" w:rsidP="00F70B36">
      <w:pPr>
        <w:pStyle w:val="BodyText2"/>
        <w:suppressAutoHyphens w:val="0"/>
        <w:rPr>
          <w:b/>
          <w:i/>
          <w:color w:val="000000" w:themeColor="text1"/>
          <w:sz w:val="22"/>
          <w:szCs w:val="22"/>
          <w:u w:val="single"/>
        </w:rPr>
      </w:pPr>
    </w:p>
    <w:p w14:paraId="67631518" w14:textId="77777777" w:rsidR="008F61D4" w:rsidRPr="00595075" w:rsidRDefault="008F61D4" w:rsidP="00F70B36">
      <w:pPr>
        <w:pStyle w:val="EMEAEnBodyText"/>
        <w:spacing w:before="0" w:after="0"/>
        <w:rPr>
          <w:noProof/>
          <w:color w:val="000000" w:themeColor="text1"/>
          <w:szCs w:val="22"/>
          <w:u w:val="single"/>
          <w:lang w:val="lv-LV"/>
        </w:rPr>
      </w:pPr>
      <w:r w:rsidRPr="00595075">
        <w:rPr>
          <w:noProof/>
          <w:color w:val="000000" w:themeColor="text1"/>
          <w:szCs w:val="22"/>
          <w:u w:val="single"/>
          <w:lang w:val="lv-LV"/>
        </w:rPr>
        <w:t>Ādas un zemādas audu bojājumi</w:t>
      </w:r>
    </w:p>
    <w:p w14:paraId="5F2D1C8C" w14:textId="77777777" w:rsidR="008F61D4" w:rsidRPr="00595075" w:rsidRDefault="008F61D4" w:rsidP="00F70B36">
      <w:pPr>
        <w:pStyle w:val="BodyText2"/>
        <w:suppressAutoHyphens w:val="0"/>
        <w:rPr>
          <w:i/>
          <w:color w:val="000000" w:themeColor="text1"/>
          <w:sz w:val="22"/>
          <w:szCs w:val="22"/>
        </w:rPr>
      </w:pPr>
      <w:r w:rsidRPr="00595075">
        <w:rPr>
          <w:i/>
          <w:color w:val="000000" w:themeColor="text1"/>
          <w:sz w:val="22"/>
          <w:szCs w:val="22"/>
        </w:rPr>
        <w:t xml:space="preserve">Bieži: </w:t>
      </w:r>
      <w:r w:rsidRPr="00595075">
        <w:rPr>
          <w:color w:val="000000" w:themeColor="text1"/>
          <w:sz w:val="22"/>
          <w:szCs w:val="22"/>
        </w:rPr>
        <w:t>nieze, nātrene, izsitumi (tajā skaitā fotosensitivitāte).</w:t>
      </w:r>
    </w:p>
    <w:p w14:paraId="60AD171A" w14:textId="77777777" w:rsidR="008F61D4" w:rsidRPr="00595075" w:rsidRDefault="008F61D4" w:rsidP="00F70B36">
      <w:pPr>
        <w:pStyle w:val="BodyText2"/>
        <w:suppressAutoHyphens w:val="0"/>
        <w:rPr>
          <w:i/>
          <w:color w:val="000000" w:themeColor="text1"/>
          <w:sz w:val="22"/>
          <w:szCs w:val="22"/>
          <w:u w:val="single"/>
        </w:rPr>
      </w:pPr>
      <w:r w:rsidRPr="00595075">
        <w:rPr>
          <w:i/>
          <w:color w:val="000000" w:themeColor="text1"/>
          <w:sz w:val="22"/>
          <w:szCs w:val="22"/>
        </w:rPr>
        <w:t xml:space="preserve">Ļoti reti: </w:t>
      </w:r>
      <w:r w:rsidRPr="00595075">
        <w:rPr>
          <w:color w:val="000000" w:themeColor="text1"/>
          <w:sz w:val="22"/>
          <w:szCs w:val="22"/>
        </w:rPr>
        <w:t>angioedēma.</w:t>
      </w:r>
    </w:p>
    <w:p w14:paraId="6B5C1E07" w14:textId="77777777" w:rsidR="008F61D4" w:rsidRPr="00595075" w:rsidRDefault="008F61D4" w:rsidP="00F70B36">
      <w:pPr>
        <w:pStyle w:val="BodyText2"/>
        <w:suppressAutoHyphens w:val="0"/>
        <w:rPr>
          <w:b/>
          <w:i/>
          <w:color w:val="000000" w:themeColor="text1"/>
          <w:sz w:val="22"/>
          <w:szCs w:val="22"/>
          <w:u w:val="single"/>
        </w:rPr>
      </w:pPr>
    </w:p>
    <w:p w14:paraId="47F8EDBA" w14:textId="77777777" w:rsidR="008F61D4" w:rsidRPr="00595075" w:rsidRDefault="008F61D4" w:rsidP="00F70B36">
      <w:pPr>
        <w:pStyle w:val="EMEAEnBodyText"/>
        <w:spacing w:before="0" w:after="0"/>
        <w:rPr>
          <w:noProof/>
          <w:color w:val="000000" w:themeColor="text1"/>
          <w:szCs w:val="22"/>
          <w:u w:val="single"/>
          <w:lang w:val="lv-LV"/>
        </w:rPr>
      </w:pPr>
      <w:r w:rsidRPr="00595075">
        <w:rPr>
          <w:noProof/>
          <w:color w:val="000000" w:themeColor="text1"/>
          <w:szCs w:val="22"/>
          <w:u w:val="single"/>
          <w:lang w:val="lv-LV"/>
        </w:rPr>
        <w:t>Nieru un urīnizvades sistēmas traucējumi</w:t>
      </w:r>
    </w:p>
    <w:p w14:paraId="33C4C3B9" w14:textId="77777777" w:rsidR="008F61D4" w:rsidRPr="00595075" w:rsidRDefault="008F61D4" w:rsidP="00F70B36">
      <w:pPr>
        <w:pStyle w:val="BodyText2"/>
        <w:suppressAutoHyphens w:val="0"/>
        <w:rPr>
          <w:color w:val="000000" w:themeColor="text1"/>
          <w:sz w:val="22"/>
          <w:szCs w:val="22"/>
        </w:rPr>
      </w:pPr>
      <w:r w:rsidRPr="00595075">
        <w:rPr>
          <w:i/>
          <w:color w:val="000000" w:themeColor="text1"/>
          <w:sz w:val="22"/>
          <w:szCs w:val="22"/>
        </w:rPr>
        <w:t xml:space="preserve">Bieži: </w:t>
      </w:r>
      <w:r w:rsidRPr="00595075">
        <w:rPr>
          <w:color w:val="000000" w:themeColor="text1"/>
          <w:sz w:val="22"/>
          <w:szCs w:val="22"/>
        </w:rPr>
        <w:t>urīnvielas un kreatinīna līmeņa paaugstināšanās asinīs.</w:t>
      </w:r>
    </w:p>
    <w:p w14:paraId="1E95712B" w14:textId="76436BBF" w:rsidR="008F61D4" w:rsidRPr="00595075" w:rsidRDefault="008F61D4" w:rsidP="00F70B36">
      <w:pPr>
        <w:pStyle w:val="BodyText2"/>
        <w:suppressAutoHyphens w:val="0"/>
        <w:rPr>
          <w:b/>
          <w:i/>
          <w:color w:val="000000" w:themeColor="text1"/>
          <w:sz w:val="22"/>
          <w:szCs w:val="22"/>
        </w:rPr>
      </w:pPr>
      <w:r w:rsidRPr="00595075">
        <w:rPr>
          <w:color w:val="000000" w:themeColor="text1"/>
          <w:sz w:val="22"/>
          <w:szCs w:val="22"/>
        </w:rPr>
        <w:t>Strauj</w:t>
      </w:r>
      <w:r w:rsidR="00F70B36" w:rsidRPr="00595075">
        <w:rPr>
          <w:color w:val="000000" w:themeColor="text1"/>
          <w:sz w:val="22"/>
          <w:szCs w:val="22"/>
        </w:rPr>
        <w:t>a</w:t>
      </w:r>
      <w:r w:rsidRPr="00595075">
        <w:rPr>
          <w:color w:val="000000" w:themeColor="text1"/>
          <w:sz w:val="22"/>
          <w:szCs w:val="22"/>
        </w:rPr>
        <w:t xml:space="preserve"> urīnvielas un kreatinīna līmeņa </w:t>
      </w:r>
      <w:r w:rsidR="00F70B36" w:rsidRPr="00595075">
        <w:rPr>
          <w:color w:val="000000" w:themeColor="text1"/>
          <w:sz w:val="22"/>
          <w:szCs w:val="22"/>
        </w:rPr>
        <w:t xml:space="preserve">paaugstināšanās </w:t>
      </w:r>
      <w:r w:rsidRPr="00595075">
        <w:rPr>
          <w:color w:val="000000" w:themeColor="text1"/>
          <w:sz w:val="22"/>
          <w:szCs w:val="22"/>
        </w:rPr>
        <w:t>asinīs visticamāk ir saistīt</w:t>
      </w:r>
      <w:r w:rsidR="00F70B36" w:rsidRPr="00595075">
        <w:rPr>
          <w:color w:val="000000" w:themeColor="text1"/>
          <w:sz w:val="22"/>
          <w:szCs w:val="22"/>
        </w:rPr>
        <w:t>a</w:t>
      </w:r>
      <w:r w:rsidRPr="00595075">
        <w:rPr>
          <w:color w:val="000000" w:themeColor="text1"/>
          <w:sz w:val="22"/>
          <w:szCs w:val="22"/>
        </w:rPr>
        <w:t xml:space="preserve"> ar zāļu maksimālo </w:t>
      </w:r>
      <w:r w:rsidR="00F70B36" w:rsidRPr="00595075">
        <w:rPr>
          <w:color w:val="000000" w:themeColor="text1"/>
          <w:sz w:val="22"/>
          <w:szCs w:val="22"/>
        </w:rPr>
        <w:t>koncentrāciju</w:t>
      </w:r>
      <w:r w:rsidRPr="00595075">
        <w:rPr>
          <w:color w:val="000000" w:themeColor="text1"/>
          <w:sz w:val="22"/>
          <w:szCs w:val="22"/>
        </w:rPr>
        <w:t xml:space="preserve"> plazmā un pacienta hidratācijas pakāpi. Lai izvairītos no šī</w:t>
      </w:r>
      <w:r w:rsidR="00C75081" w:rsidRPr="00595075">
        <w:rPr>
          <w:color w:val="000000" w:themeColor="text1"/>
          <w:sz w:val="22"/>
          <w:szCs w:val="22"/>
        </w:rPr>
        <w:t>s</w:t>
      </w:r>
      <w:r w:rsidRPr="00595075">
        <w:rPr>
          <w:color w:val="000000" w:themeColor="text1"/>
          <w:sz w:val="22"/>
          <w:szCs w:val="22"/>
        </w:rPr>
        <w:t xml:space="preserve"> </w:t>
      </w:r>
      <w:r w:rsidR="00C75081" w:rsidRPr="00595075">
        <w:rPr>
          <w:color w:val="000000" w:themeColor="text1"/>
          <w:sz w:val="22"/>
          <w:szCs w:val="22"/>
        </w:rPr>
        <w:t>i</w:t>
      </w:r>
      <w:r w:rsidRPr="00595075">
        <w:rPr>
          <w:color w:val="000000" w:themeColor="text1"/>
          <w:sz w:val="22"/>
          <w:szCs w:val="22"/>
        </w:rPr>
        <w:t>e</w:t>
      </w:r>
      <w:r w:rsidR="00C75081" w:rsidRPr="00595075">
        <w:rPr>
          <w:color w:val="000000" w:themeColor="text1"/>
          <w:sz w:val="22"/>
          <w:szCs w:val="22"/>
        </w:rPr>
        <w:t>tekmes</w:t>
      </w:r>
      <w:r w:rsidRPr="00595075">
        <w:rPr>
          <w:color w:val="000000" w:themeColor="text1"/>
          <w:sz w:val="22"/>
          <w:szCs w:val="22"/>
        </w:rPr>
        <w:t xml:space="preserve">, </w:t>
      </w:r>
      <w:r w:rsidR="00807159" w:rsidRPr="00595075">
        <w:rPr>
          <w:color w:val="000000" w:themeColor="text1"/>
          <w:sz w:val="22"/>
          <w:szCs w:val="22"/>
        </w:rPr>
        <w:t xml:space="preserve">ievadot intravenozi, </w:t>
      </w:r>
      <w:r w:rsidR="00F70B36" w:rsidRPr="00595075">
        <w:rPr>
          <w:color w:val="000000" w:themeColor="text1"/>
          <w:sz w:val="22"/>
          <w:szCs w:val="22"/>
        </w:rPr>
        <w:t>zāles nedrīkst ievadīt</w:t>
      </w:r>
      <w:r w:rsidRPr="00595075">
        <w:rPr>
          <w:color w:val="000000" w:themeColor="text1"/>
          <w:sz w:val="22"/>
          <w:szCs w:val="22"/>
        </w:rPr>
        <w:t xml:space="preserve"> intravenoz</w:t>
      </w:r>
      <w:r w:rsidR="00F70B36" w:rsidRPr="00595075">
        <w:rPr>
          <w:color w:val="000000" w:themeColor="text1"/>
          <w:sz w:val="22"/>
          <w:szCs w:val="22"/>
        </w:rPr>
        <w:t>as</w:t>
      </w:r>
      <w:r w:rsidRPr="00595075">
        <w:rPr>
          <w:color w:val="000000" w:themeColor="text1"/>
          <w:sz w:val="22"/>
          <w:szCs w:val="22"/>
        </w:rPr>
        <w:t xml:space="preserve"> bolus </w:t>
      </w:r>
      <w:r w:rsidR="00F70B36" w:rsidRPr="00595075">
        <w:rPr>
          <w:color w:val="000000" w:themeColor="text1"/>
          <w:sz w:val="22"/>
          <w:szCs w:val="22"/>
        </w:rPr>
        <w:t xml:space="preserve">injekcijas </w:t>
      </w:r>
      <w:r w:rsidRPr="00595075">
        <w:rPr>
          <w:color w:val="000000" w:themeColor="text1"/>
          <w:sz w:val="22"/>
          <w:szCs w:val="22"/>
        </w:rPr>
        <w:t xml:space="preserve">veidā, bet </w:t>
      </w:r>
      <w:r w:rsidR="00F70B36" w:rsidRPr="00595075">
        <w:rPr>
          <w:color w:val="000000" w:themeColor="text1"/>
          <w:sz w:val="22"/>
          <w:szCs w:val="22"/>
        </w:rPr>
        <w:t xml:space="preserve">tās jāievada </w:t>
      </w:r>
      <w:r w:rsidRPr="00595075">
        <w:rPr>
          <w:color w:val="000000" w:themeColor="text1"/>
          <w:sz w:val="22"/>
          <w:szCs w:val="22"/>
        </w:rPr>
        <w:t>lēn</w:t>
      </w:r>
      <w:r w:rsidR="00C75081" w:rsidRPr="00595075">
        <w:rPr>
          <w:color w:val="000000" w:themeColor="text1"/>
          <w:sz w:val="22"/>
          <w:szCs w:val="22"/>
        </w:rPr>
        <w:t>as</w:t>
      </w:r>
      <w:r w:rsidRPr="00595075">
        <w:rPr>
          <w:color w:val="000000" w:themeColor="text1"/>
          <w:sz w:val="22"/>
          <w:szCs w:val="22"/>
        </w:rPr>
        <w:t xml:space="preserve"> infūzij</w:t>
      </w:r>
      <w:r w:rsidR="00F70B36" w:rsidRPr="00595075">
        <w:rPr>
          <w:color w:val="000000" w:themeColor="text1"/>
          <w:sz w:val="22"/>
          <w:szCs w:val="22"/>
        </w:rPr>
        <w:t>as veidā</w:t>
      </w:r>
      <w:r w:rsidRPr="00595075">
        <w:rPr>
          <w:color w:val="000000" w:themeColor="text1"/>
          <w:sz w:val="22"/>
          <w:szCs w:val="22"/>
        </w:rPr>
        <w:t xml:space="preserve"> vienas stundas laikā.</w:t>
      </w:r>
    </w:p>
    <w:p w14:paraId="662333BE" w14:textId="754CE464" w:rsidR="008F61D4" w:rsidRPr="00595075" w:rsidRDefault="008F61D4" w:rsidP="00F70B36">
      <w:pPr>
        <w:pStyle w:val="BodyText2"/>
        <w:suppressAutoHyphens w:val="0"/>
        <w:rPr>
          <w:color w:val="000000" w:themeColor="text1"/>
          <w:sz w:val="22"/>
          <w:szCs w:val="22"/>
        </w:rPr>
      </w:pPr>
      <w:r w:rsidRPr="00595075">
        <w:rPr>
          <w:i/>
          <w:color w:val="000000" w:themeColor="text1"/>
          <w:sz w:val="22"/>
          <w:szCs w:val="22"/>
        </w:rPr>
        <w:t xml:space="preserve">Ļoti reti: </w:t>
      </w:r>
      <w:r w:rsidRPr="00595075">
        <w:rPr>
          <w:color w:val="000000" w:themeColor="text1"/>
          <w:sz w:val="22"/>
          <w:szCs w:val="22"/>
        </w:rPr>
        <w:t xml:space="preserve">nieru </w:t>
      </w:r>
      <w:r w:rsidR="00F70B36" w:rsidRPr="00595075">
        <w:rPr>
          <w:color w:val="000000" w:themeColor="text1"/>
          <w:sz w:val="22"/>
          <w:szCs w:val="22"/>
        </w:rPr>
        <w:t>darbības</w:t>
      </w:r>
      <w:r w:rsidRPr="00595075">
        <w:rPr>
          <w:color w:val="000000" w:themeColor="text1"/>
          <w:sz w:val="22"/>
          <w:szCs w:val="22"/>
        </w:rPr>
        <w:t xml:space="preserve"> </w:t>
      </w:r>
      <w:r w:rsidR="00F70B36" w:rsidRPr="00595075">
        <w:rPr>
          <w:color w:val="000000" w:themeColor="text1"/>
          <w:sz w:val="22"/>
          <w:szCs w:val="22"/>
        </w:rPr>
        <w:t>traucējumi</w:t>
      </w:r>
      <w:r w:rsidRPr="00595075">
        <w:rPr>
          <w:color w:val="000000" w:themeColor="text1"/>
          <w:sz w:val="22"/>
          <w:szCs w:val="22"/>
        </w:rPr>
        <w:t>, akūta nieru mazspēja, sāpes nierēs.</w:t>
      </w:r>
    </w:p>
    <w:p w14:paraId="6F84F7E8" w14:textId="7E541434" w:rsidR="008F61D4" w:rsidRPr="00595075" w:rsidRDefault="00F70B36" w:rsidP="00F70B36">
      <w:pPr>
        <w:pStyle w:val="BodyText2"/>
        <w:suppressAutoHyphens w:val="0"/>
        <w:rPr>
          <w:color w:val="000000" w:themeColor="text1"/>
          <w:sz w:val="22"/>
          <w:szCs w:val="22"/>
        </w:rPr>
      </w:pPr>
      <w:r w:rsidRPr="00595075">
        <w:rPr>
          <w:color w:val="000000" w:themeColor="text1"/>
          <w:sz w:val="22"/>
          <w:szCs w:val="22"/>
        </w:rPr>
        <w:t>Jānodrošina pietiekama hidratācija</w:t>
      </w:r>
      <w:r w:rsidR="008F61D4" w:rsidRPr="00595075">
        <w:rPr>
          <w:color w:val="000000" w:themeColor="text1"/>
          <w:sz w:val="22"/>
          <w:szCs w:val="22"/>
        </w:rPr>
        <w:t xml:space="preserve">. Nieru darbības </w:t>
      </w:r>
      <w:r w:rsidRPr="00595075">
        <w:rPr>
          <w:color w:val="000000" w:themeColor="text1"/>
          <w:sz w:val="22"/>
          <w:szCs w:val="22"/>
        </w:rPr>
        <w:t>traucējumi</w:t>
      </w:r>
      <w:r w:rsidR="008F61D4" w:rsidRPr="00595075">
        <w:rPr>
          <w:color w:val="000000" w:themeColor="text1"/>
          <w:sz w:val="22"/>
          <w:szCs w:val="22"/>
        </w:rPr>
        <w:t xml:space="preserve"> parasti strauji reaģē uz pacienta rehidratāciju un/vai devas samazināšanu</w:t>
      </w:r>
      <w:r w:rsidR="00C75081" w:rsidRPr="00595075">
        <w:rPr>
          <w:color w:val="000000" w:themeColor="text1"/>
          <w:sz w:val="22"/>
          <w:szCs w:val="22"/>
        </w:rPr>
        <w:t>,</w:t>
      </w:r>
      <w:r w:rsidR="008F61D4" w:rsidRPr="00595075">
        <w:rPr>
          <w:color w:val="000000" w:themeColor="text1"/>
          <w:sz w:val="22"/>
          <w:szCs w:val="22"/>
        </w:rPr>
        <w:t xml:space="preserve"> vai </w:t>
      </w:r>
      <w:r w:rsidRPr="00595075">
        <w:rPr>
          <w:color w:val="000000" w:themeColor="text1"/>
          <w:sz w:val="22"/>
          <w:szCs w:val="22"/>
        </w:rPr>
        <w:t>zāļu lietošanas pārtraukšanu</w:t>
      </w:r>
      <w:r w:rsidR="008F61D4" w:rsidRPr="00595075">
        <w:rPr>
          <w:color w:val="000000" w:themeColor="text1"/>
          <w:sz w:val="22"/>
          <w:szCs w:val="22"/>
        </w:rPr>
        <w:t>. Izņēmuma gadījumos tomēr t</w:t>
      </w:r>
      <w:r w:rsidRPr="00595075">
        <w:rPr>
          <w:color w:val="000000" w:themeColor="text1"/>
          <w:sz w:val="22"/>
          <w:szCs w:val="22"/>
        </w:rPr>
        <w:t>ie</w:t>
      </w:r>
      <w:r w:rsidR="008F61D4" w:rsidRPr="00595075">
        <w:rPr>
          <w:color w:val="000000" w:themeColor="text1"/>
          <w:sz w:val="22"/>
          <w:szCs w:val="22"/>
        </w:rPr>
        <w:t xml:space="preserve"> var progresēt līdz akūtai nieru mazspējai.</w:t>
      </w:r>
    </w:p>
    <w:p w14:paraId="5B277119" w14:textId="07E479EA" w:rsidR="008F61D4" w:rsidRPr="00595075" w:rsidRDefault="008F61D4" w:rsidP="00F70B36">
      <w:pPr>
        <w:pStyle w:val="BodyText2"/>
        <w:suppressAutoHyphens w:val="0"/>
        <w:rPr>
          <w:b/>
          <w:i/>
          <w:color w:val="000000" w:themeColor="text1"/>
          <w:sz w:val="22"/>
          <w:szCs w:val="22"/>
          <w:u w:val="single"/>
        </w:rPr>
      </w:pPr>
      <w:r w:rsidRPr="00595075">
        <w:rPr>
          <w:color w:val="000000" w:themeColor="text1"/>
          <w:sz w:val="22"/>
          <w:szCs w:val="22"/>
        </w:rPr>
        <w:t>Sāpes nierēs var būs saistītas ar nieru mazspēju.</w:t>
      </w:r>
    </w:p>
    <w:p w14:paraId="132AA2A1" w14:textId="77777777" w:rsidR="008F61D4" w:rsidRPr="00595075" w:rsidRDefault="008F61D4" w:rsidP="00F70B36">
      <w:pPr>
        <w:pStyle w:val="BodyText2"/>
        <w:suppressAutoHyphens w:val="0"/>
        <w:rPr>
          <w:b/>
          <w:i/>
          <w:color w:val="000000" w:themeColor="text1"/>
          <w:sz w:val="22"/>
          <w:szCs w:val="22"/>
          <w:u w:val="single"/>
        </w:rPr>
      </w:pPr>
    </w:p>
    <w:p w14:paraId="65ADA618" w14:textId="77777777" w:rsidR="008F61D4" w:rsidRPr="00595075" w:rsidRDefault="008F61D4" w:rsidP="00F70B36">
      <w:pPr>
        <w:pStyle w:val="EMEAEnBodyText"/>
        <w:spacing w:before="0" w:after="0"/>
        <w:rPr>
          <w:noProof/>
          <w:color w:val="000000" w:themeColor="text1"/>
          <w:szCs w:val="22"/>
          <w:u w:val="single"/>
          <w:lang w:val="lv-LV"/>
        </w:rPr>
      </w:pPr>
      <w:r w:rsidRPr="00595075">
        <w:rPr>
          <w:noProof/>
          <w:color w:val="000000" w:themeColor="text1"/>
          <w:szCs w:val="22"/>
          <w:u w:val="single"/>
          <w:lang w:val="lv-LV"/>
        </w:rPr>
        <w:t>Vispārēji traucējumi un reakcijas ievadīšanas vietā</w:t>
      </w:r>
    </w:p>
    <w:p w14:paraId="51C9DBFB" w14:textId="77777777" w:rsidR="008F61D4" w:rsidRPr="00595075" w:rsidRDefault="008F61D4" w:rsidP="00F70B36">
      <w:pPr>
        <w:pStyle w:val="BodyText2"/>
        <w:suppressAutoHyphens w:val="0"/>
        <w:rPr>
          <w:color w:val="000000" w:themeColor="text1"/>
          <w:sz w:val="22"/>
          <w:szCs w:val="22"/>
        </w:rPr>
      </w:pPr>
      <w:r w:rsidRPr="00595075">
        <w:rPr>
          <w:i/>
          <w:color w:val="000000" w:themeColor="text1"/>
          <w:sz w:val="22"/>
          <w:szCs w:val="22"/>
        </w:rPr>
        <w:t xml:space="preserve">Ļoti reti: </w:t>
      </w:r>
      <w:r w:rsidRPr="00595075">
        <w:rPr>
          <w:color w:val="000000" w:themeColor="text1"/>
          <w:sz w:val="22"/>
          <w:szCs w:val="22"/>
        </w:rPr>
        <w:t>nogurums, drudzis, lokāla iekaisuma reakcija.</w:t>
      </w:r>
    </w:p>
    <w:p w14:paraId="4809104A" w14:textId="3A0829DD" w:rsidR="008F61D4" w:rsidRPr="00595075" w:rsidRDefault="008F61D4" w:rsidP="00F70B36">
      <w:pPr>
        <w:pStyle w:val="BodyText2"/>
        <w:suppressAutoHyphens w:val="0"/>
        <w:rPr>
          <w:color w:val="000000" w:themeColor="text1"/>
          <w:sz w:val="22"/>
          <w:szCs w:val="22"/>
        </w:rPr>
      </w:pPr>
      <w:r w:rsidRPr="00595075">
        <w:rPr>
          <w:color w:val="000000" w:themeColor="text1"/>
          <w:sz w:val="22"/>
          <w:szCs w:val="22"/>
        </w:rPr>
        <w:t xml:space="preserve">Smagas lokālas iekaisuma reakcijas, kas dažkārt var radīt ādas bojājumus, ir radušās, ja </w:t>
      </w:r>
      <w:r w:rsidR="00807159" w:rsidRPr="00595075">
        <w:rPr>
          <w:color w:val="000000" w:themeColor="text1"/>
          <w:sz w:val="22"/>
          <w:szCs w:val="22"/>
        </w:rPr>
        <w:t>intravenoz</w:t>
      </w:r>
      <w:r w:rsidR="000C49FD" w:rsidRPr="00595075">
        <w:rPr>
          <w:color w:val="000000" w:themeColor="text1"/>
          <w:sz w:val="22"/>
          <w:szCs w:val="22"/>
        </w:rPr>
        <w:t>u</w:t>
      </w:r>
      <w:r w:rsidR="00807159" w:rsidRPr="00595075">
        <w:rPr>
          <w:color w:val="000000" w:themeColor="text1"/>
          <w:sz w:val="22"/>
          <w:szCs w:val="22"/>
        </w:rPr>
        <w:t xml:space="preserve"> </w:t>
      </w:r>
      <w:r w:rsidRPr="00595075">
        <w:rPr>
          <w:color w:val="000000" w:themeColor="text1"/>
          <w:sz w:val="22"/>
          <w:szCs w:val="22"/>
        </w:rPr>
        <w:t>aciklovīra infūzij</w:t>
      </w:r>
      <w:r w:rsidR="000C49FD" w:rsidRPr="00595075">
        <w:rPr>
          <w:color w:val="000000" w:themeColor="text1"/>
          <w:sz w:val="22"/>
          <w:szCs w:val="22"/>
        </w:rPr>
        <w:t>u nejauši ievadīj</w:t>
      </w:r>
      <w:r w:rsidRPr="00595075">
        <w:rPr>
          <w:color w:val="000000" w:themeColor="text1"/>
          <w:sz w:val="22"/>
          <w:szCs w:val="22"/>
        </w:rPr>
        <w:t>a ekstracelulāraj</w:t>
      </w:r>
      <w:r w:rsidR="000C49FD" w:rsidRPr="00595075">
        <w:rPr>
          <w:color w:val="000000" w:themeColor="text1"/>
          <w:sz w:val="22"/>
          <w:szCs w:val="22"/>
        </w:rPr>
        <w:t>o</w:t>
      </w:r>
      <w:r w:rsidRPr="00595075">
        <w:rPr>
          <w:color w:val="000000" w:themeColor="text1"/>
          <w:sz w:val="22"/>
          <w:szCs w:val="22"/>
        </w:rPr>
        <w:t xml:space="preserve">s </w:t>
      </w:r>
      <w:r w:rsidR="000C49FD" w:rsidRPr="00595075">
        <w:rPr>
          <w:color w:val="000000" w:themeColor="text1"/>
          <w:sz w:val="22"/>
          <w:szCs w:val="22"/>
        </w:rPr>
        <w:t>audos</w:t>
      </w:r>
      <w:r w:rsidRPr="00595075">
        <w:rPr>
          <w:color w:val="000000" w:themeColor="text1"/>
          <w:sz w:val="22"/>
          <w:szCs w:val="22"/>
        </w:rPr>
        <w:t>.</w:t>
      </w:r>
    </w:p>
    <w:p w14:paraId="49D95EDA" w14:textId="77777777" w:rsidR="00FD187E" w:rsidRPr="00595075" w:rsidRDefault="00FD187E" w:rsidP="00F70B36">
      <w:pPr>
        <w:spacing w:line="240" w:lineRule="auto"/>
        <w:jc w:val="both"/>
        <w:rPr>
          <w:i/>
          <w:color w:val="000000" w:themeColor="text1"/>
          <w:szCs w:val="22"/>
        </w:rPr>
      </w:pPr>
    </w:p>
    <w:p w14:paraId="06B0D903" w14:textId="77777777" w:rsidR="002A61E1" w:rsidRPr="00595075" w:rsidRDefault="002A61E1" w:rsidP="00F70B36">
      <w:pPr>
        <w:autoSpaceDE w:val="0"/>
        <w:autoSpaceDN w:val="0"/>
        <w:adjustRightInd w:val="0"/>
        <w:spacing w:line="240" w:lineRule="auto"/>
        <w:jc w:val="both"/>
        <w:rPr>
          <w:color w:val="000000" w:themeColor="text1"/>
          <w:szCs w:val="22"/>
          <w:u w:val="single"/>
        </w:rPr>
      </w:pPr>
      <w:r w:rsidRPr="00595075">
        <w:rPr>
          <w:color w:val="000000" w:themeColor="text1"/>
          <w:szCs w:val="22"/>
          <w:u w:val="single"/>
        </w:rPr>
        <w:t>Ziņošana par iespējamām nevēlamām blakusparādībām</w:t>
      </w:r>
    </w:p>
    <w:p w14:paraId="4981EF0D" w14:textId="663ACDFD" w:rsidR="00CD10AA" w:rsidRPr="00595075" w:rsidRDefault="000C61CB" w:rsidP="00F70B36">
      <w:pPr>
        <w:autoSpaceDE w:val="0"/>
        <w:autoSpaceDN w:val="0"/>
        <w:adjustRightInd w:val="0"/>
        <w:spacing w:line="240" w:lineRule="auto"/>
        <w:jc w:val="both"/>
        <w:rPr>
          <w:rStyle w:val="apple-style-span"/>
          <w:color w:val="000000" w:themeColor="text1"/>
          <w:szCs w:val="22"/>
        </w:rPr>
      </w:pPr>
      <w:r w:rsidRPr="00595075">
        <w:rPr>
          <w:rStyle w:val="apple-style-span"/>
          <w:color w:val="000000" w:themeColor="text1"/>
          <w:szCs w:val="22"/>
        </w:rPr>
        <w:lastRenderedPageBreak/>
        <w:t>Ir svarīgi ziņot par iespējamām nevēlamām blakusparādībām pēc zāļu reģistrācijas. Tādējādi zāļu ieguvum</w:t>
      </w:r>
      <w:r w:rsidR="000C49FD" w:rsidRPr="00595075">
        <w:rPr>
          <w:rStyle w:val="apple-style-span"/>
          <w:color w:val="000000" w:themeColor="text1"/>
          <w:szCs w:val="22"/>
        </w:rPr>
        <w:t>a</w:t>
      </w:r>
      <w:r w:rsidRPr="00595075">
        <w:rPr>
          <w:rStyle w:val="apple-style-span"/>
          <w:color w:val="000000" w:themeColor="text1"/>
          <w:szCs w:val="22"/>
        </w:rPr>
        <w:t>/riska attiecība tiek nepārtraukti uzraudzīta. Veselības aprūpes speciālisti tiek lūgti ziņot par jebkādām iespējamām nevēlamām blakusparādībām Zāļu valsts aģentūrai, Jersikas iel</w:t>
      </w:r>
      <w:r w:rsidR="0050077F" w:rsidRPr="00595075">
        <w:rPr>
          <w:rStyle w:val="apple-style-span"/>
          <w:color w:val="000000" w:themeColor="text1"/>
          <w:szCs w:val="22"/>
        </w:rPr>
        <w:t>a 15, Rīga</w:t>
      </w:r>
      <w:r w:rsidRPr="00595075">
        <w:rPr>
          <w:rStyle w:val="apple-style-span"/>
          <w:color w:val="000000" w:themeColor="text1"/>
          <w:szCs w:val="22"/>
        </w:rPr>
        <w:t xml:space="preserve">, LV 1003. Tīmekļa vietne: </w:t>
      </w:r>
      <w:hyperlink r:id="rId8" w:history="1">
        <w:r w:rsidRPr="00595075">
          <w:rPr>
            <w:rStyle w:val="Hyperlink"/>
            <w:color w:val="000000" w:themeColor="text1"/>
            <w:szCs w:val="22"/>
          </w:rPr>
          <w:t>www.zva.gov.lv</w:t>
        </w:r>
      </w:hyperlink>
    </w:p>
    <w:p w14:paraId="18BCB0F3" w14:textId="77777777" w:rsidR="000C61CB" w:rsidRPr="00595075" w:rsidRDefault="000C61CB" w:rsidP="00F70B36">
      <w:pPr>
        <w:autoSpaceDE w:val="0"/>
        <w:autoSpaceDN w:val="0"/>
        <w:adjustRightInd w:val="0"/>
        <w:spacing w:line="240" w:lineRule="auto"/>
        <w:jc w:val="both"/>
        <w:rPr>
          <w:color w:val="000000" w:themeColor="text1"/>
          <w:szCs w:val="22"/>
        </w:rPr>
      </w:pPr>
    </w:p>
    <w:p w14:paraId="19DD0AFC" w14:textId="77777777" w:rsidR="00CD10AA" w:rsidRPr="00595075" w:rsidRDefault="00CD10AA" w:rsidP="00F70B36">
      <w:pPr>
        <w:tabs>
          <w:tab w:val="clear" w:pos="567"/>
        </w:tabs>
        <w:spacing w:line="240" w:lineRule="auto"/>
        <w:jc w:val="both"/>
        <w:rPr>
          <w:color w:val="000000" w:themeColor="text1"/>
          <w:szCs w:val="22"/>
        </w:rPr>
      </w:pPr>
      <w:r w:rsidRPr="00595075">
        <w:rPr>
          <w:b/>
          <w:color w:val="000000" w:themeColor="text1"/>
          <w:szCs w:val="22"/>
        </w:rPr>
        <w:t>4.9</w:t>
      </w:r>
      <w:r w:rsidR="002A61E1" w:rsidRPr="00595075">
        <w:rPr>
          <w:b/>
          <w:color w:val="000000" w:themeColor="text1"/>
          <w:szCs w:val="22"/>
        </w:rPr>
        <w:t>.</w:t>
      </w:r>
      <w:r w:rsidRPr="00595075">
        <w:rPr>
          <w:b/>
          <w:color w:val="000000" w:themeColor="text1"/>
          <w:szCs w:val="22"/>
        </w:rPr>
        <w:tab/>
        <w:t>Pārdozēšana</w:t>
      </w:r>
    </w:p>
    <w:p w14:paraId="4FFB1B92" w14:textId="77777777" w:rsidR="00CD10AA" w:rsidRPr="00595075" w:rsidRDefault="00CD10AA" w:rsidP="00F70B36">
      <w:pPr>
        <w:tabs>
          <w:tab w:val="clear" w:pos="567"/>
        </w:tabs>
        <w:spacing w:line="240" w:lineRule="auto"/>
        <w:jc w:val="both"/>
        <w:rPr>
          <w:color w:val="000000" w:themeColor="text1"/>
          <w:szCs w:val="22"/>
        </w:rPr>
      </w:pPr>
    </w:p>
    <w:p w14:paraId="753B3BCC" w14:textId="77777777" w:rsidR="00285500" w:rsidRPr="00595075" w:rsidRDefault="00285500" w:rsidP="00F70B36">
      <w:pPr>
        <w:spacing w:line="240" w:lineRule="auto"/>
        <w:jc w:val="both"/>
        <w:rPr>
          <w:color w:val="000000" w:themeColor="text1"/>
          <w:szCs w:val="22"/>
          <w:u w:val="single"/>
        </w:rPr>
      </w:pPr>
      <w:r w:rsidRPr="00595075">
        <w:rPr>
          <w:color w:val="000000" w:themeColor="text1"/>
          <w:szCs w:val="22"/>
          <w:u w:val="single"/>
        </w:rPr>
        <w:t>Simptomi</w:t>
      </w:r>
    </w:p>
    <w:p w14:paraId="7C71F206" w14:textId="3E73A528" w:rsidR="00285500" w:rsidRPr="00595075" w:rsidRDefault="00285500" w:rsidP="00F70B36">
      <w:pPr>
        <w:spacing w:line="240" w:lineRule="auto"/>
        <w:jc w:val="both"/>
        <w:rPr>
          <w:color w:val="000000" w:themeColor="text1"/>
          <w:szCs w:val="22"/>
        </w:rPr>
      </w:pPr>
      <w:r w:rsidRPr="00595075">
        <w:rPr>
          <w:color w:val="000000" w:themeColor="text1"/>
          <w:szCs w:val="22"/>
        </w:rPr>
        <w:t>Intravenoza aciklovīra pārdozēšana ir izraisījusi seruma kreatinīna un urīnvielas slāpekļa līmeņa asinīs pa</w:t>
      </w:r>
      <w:r w:rsidR="000C49FD" w:rsidRPr="00595075">
        <w:rPr>
          <w:color w:val="000000" w:themeColor="text1"/>
          <w:szCs w:val="22"/>
        </w:rPr>
        <w:t>augstināšanos</w:t>
      </w:r>
      <w:r w:rsidRPr="00595075">
        <w:rPr>
          <w:color w:val="000000" w:themeColor="text1"/>
          <w:szCs w:val="22"/>
        </w:rPr>
        <w:t xml:space="preserve"> ar sekojošu nieru mazspēj</w:t>
      </w:r>
      <w:r w:rsidR="000C49FD" w:rsidRPr="00595075">
        <w:rPr>
          <w:color w:val="000000" w:themeColor="text1"/>
          <w:szCs w:val="22"/>
        </w:rPr>
        <w:t>u</w:t>
      </w:r>
      <w:r w:rsidRPr="00595075">
        <w:rPr>
          <w:color w:val="000000" w:themeColor="text1"/>
          <w:szCs w:val="22"/>
        </w:rPr>
        <w:t>. Pēc pārdozēšanas ziņots par neiroloģiskām blakusparādībām, tajā skaitā apjukumu, halucinācijām, uzbudinājumu, krampjiem un komu.</w:t>
      </w:r>
    </w:p>
    <w:p w14:paraId="3A5EC631" w14:textId="77777777" w:rsidR="00285500" w:rsidRPr="00595075" w:rsidRDefault="00285500" w:rsidP="00F70B36">
      <w:pPr>
        <w:spacing w:line="240" w:lineRule="auto"/>
        <w:jc w:val="both"/>
        <w:rPr>
          <w:color w:val="000000" w:themeColor="text1"/>
          <w:szCs w:val="22"/>
        </w:rPr>
      </w:pPr>
    </w:p>
    <w:p w14:paraId="60E622EF" w14:textId="77777777" w:rsidR="00285500" w:rsidRPr="00595075" w:rsidRDefault="00285500" w:rsidP="00F70B36">
      <w:pPr>
        <w:spacing w:line="240" w:lineRule="auto"/>
        <w:jc w:val="both"/>
        <w:rPr>
          <w:color w:val="000000" w:themeColor="text1"/>
          <w:szCs w:val="22"/>
          <w:u w:val="single"/>
        </w:rPr>
      </w:pPr>
      <w:r w:rsidRPr="00595075">
        <w:rPr>
          <w:color w:val="000000" w:themeColor="text1"/>
          <w:szCs w:val="22"/>
          <w:u w:val="single"/>
        </w:rPr>
        <w:t>Terapija</w:t>
      </w:r>
    </w:p>
    <w:p w14:paraId="77D7228E" w14:textId="41CF111D" w:rsidR="00285500" w:rsidRPr="00595075" w:rsidRDefault="00285500" w:rsidP="00F70B36">
      <w:pPr>
        <w:spacing w:line="240" w:lineRule="auto"/>
        <w:jc w:val="both"/>
        <w:rPr>
          <w:caps/>
          <w:color w:val="000000" w:themeColor="text1"/>
          <w:szCs w:val="22"/>
        </w:rPr>
      </w:pPr>
      <w:r w:rsidRPr="00595075">
        <w:rPr>
          <w:color w:val="000000" w:themeColor="text1"/>
          <w:szCs w:val="22"/>
        </w:rPr>
        <w:t>Pacienti rūpīgi jānovēro</w:t>
      </w:r>
      <w:r w:rsidR="000C49FD" w:rsidRPr="00595075">
        <w:rPr>
          <w:color w:val="000000" w:themeColor="text1"/>
          <w:szCs w:val="22"/>
        </w:rPr>
        <w:t>, vai nerodas</w:t>
      </w:r>
      <w:r w:rsidRPr="00595075">
        <w:rPr>
          <w:color w:val="000000" w:themeColor="text1"/>
          <w:szCs w:val="22"/>
        </w:rPr>
        <w:t xml:space="preserve"> toksiskas iedarbības pazīm</w:t>
      </w:r>
      <w:r w:rsidR="000C49FD" w:rsidRPr="00595075">
        <w:rPr>
          <w:color w:val="000000" w:themeColor="text1"/>
          <w:szCs w:val="22"/>
        </w:rPr>
        <w:t>es</w:t>
      </w:r>
      <w:r w:rsidRPr="00595075">
        <w:rPr>
          <w:color w:val="000000" w:themeColor="text1"/>
          <w:szCs w:val="22"/>
        </w:rPr>
        <w:t xml:space="preserve">. Aciklovīra izvadīšanu no asinīm ievērojami uzlabo hemodialīze, tādēļ tā var būt izvēles pasākums </w:t>
      </w:r>
      <w:r w:rsidR="00807159" w:rsidRPr="00595075">
        <w:rPr>
          <w:color w:val="000000" w:themeColor="text1"/>
          <w:szCs w:val="22"/>
        </w:rPr>
        <w:t>šo zāļu</w:t>
      </w:r>
      <w:r w:rsidRPr="00595075">
        <w:rPr>
          <w:color w:val="000000" w:themeColor="text1"/>
          <w:szCs w:val="22"/>
        </w:rPr>
        <w:t xml:space="preserve"> pārdozēšanas gadījumā.</w:t>
      </w:r>
    </w:p>
    <w:p w14:paraId="7248B0DD" w14:textId="58281B41" w:rsidR="00CD10AA" w:rsidRPr="00595075" w:rsidRDefault="00CD10AA" w:rsidP="00F70B36">
      <w:pPr>
        <w:tabs>
          <w:tab w:val="clear" w:pos="567"/>
        </w:tabs>
        <w:spacing w:line="240" w:lineRule="auto"/>
        <w:jc w:val="both"/>
        <w:rPr>
          <w:color w:val="000000" w:themeColor="text1"/>
          <w:szCs w:val="22"/>
        </w:rPr>
      </w:pPr>
    </w:p>
    <w:p w14:paraId="15AA699A" w14:textId="77777777" w:rsidR="00285500" w:rsidRPr="00595075" w:rsidRDefault="00285500" w:rsidP="00F70B36">
      <w:pPr>
        <w:tabs>
          <w:tab w:val="clear" w:pos="567"/>
        </w:tabs>
        <w:spacing w:line="240" w:lineRule="auto"/>
        <w:jc w:val="both"/>
        <w:rPr>
          <w:color w:val="000000" w:themeColor="text1"/>
          <w:szCs w:val="22"/>
        </w:rPr>
      </w:pPr>
    </w:p>
    <w:p w14:paraId="69B60FAF" w14:textId="77777777" w:rsidR="00CD10AA" w:rsidRPr="00595075" w:rsidRDefault="00D4124F" w:rsidP="00F70B36">
      <w:pPr>
        <w:tabs>
          <w:tab w:val="clear" w:pos="567"/>
        </w:tabs>
        <w:spacing w:line="240" w:lineRule="auto"/>
        <w:jc w:val="both"/>
        <w:rPr>
          <w:b/>
          <w:color w:val="000000" w:themeColor="text1"/>
          <w:szCs w:val="22"/>
        </w:rPr>
      </w:pPr>
      <w:r w:rsidRPr="00595075">
        <w:rPr>
          <w:b/>
          <w:color w:val="000000" w:themeColor="text1"/>
          <w:szCs w:val="22"/>
        </w:rPr>
        <w:t>5.</w:t>
      </w:r>
      <w:r w:rsidRPr="00595075">
        <w:rPr>
          <w:b/>
          <w:color w:val="000000" w:themeColor="text1"/>
          <w:szCs w:val="22"/>
        </w:rPr>
        <w:tab/>
        <w:t>FARMAKOLOĢISKĀS ĪPAŠĪBAS</w:t>
      </w:r>
    </w:p>
    <w:p w14:paraId="2227F2DF" w14:textId="77777777" w:rsidR="00045793" w:rsidRPr="00595075" w:rsidRDefault="00045793" w:rsidP="00F70B36">
      <w:pPr>
        <w:tabs>
          <w:tab w:val="clear" w:pos="567"/>
        </w:tabs>
        <w:spacing w:line="240" w:lineRule="auto"/>
        <w:jc w:val="both"/>
        <w:rPr>
          <w:b/>
          <w:color w:val="000000" w:themeColor="text1"/>
          <w:szCs w:val="22"/>
        </w:rPr>
      </w:pPr>
    </w:p>
    <w:p w14:paraId="0884A117" w14:textId="4F73A258" w:rsidR="00CD10AA" w:rsidRPr="00595075" w:rsidRDefault="00CD10AA" w:rsidP="00F70B36">
      <w:pPr>
        <w:tabs>
          <w:tab w:val="clear" w:pos="567"/>
        </w:tabs>
        <w:spacing w:line="240" w:lineRule="auto"/>
        <w:jc w:val="both"/>
        <w:rPr>
          <w:color w:val="000000" w:themeColor="text1"/>
          <w:szCs w:val="22"/>
        </w:rPr>
      </w:pPr>
      <w:r w:rsidRPr="00595075">
        <w:rPr>
          <w:b/>
          <w:color w:val="000000" w:themeColor="text1"/>
          <w:szCs w:val="22"/>
        </w:rPr>
        <w:t>5.1</w:t>
      </w:r>
      <w:r w:rsidR="00F311D8" w:rsidRPr="00595075">
        <w:rPr>
          <w:b/>
          <w:color w:val="000000" w:themeColor="text1"/>
          <w:szCs w:val="22"/>
        </w:rPr>
        <w:t>.</w:t>
      </w:r>
      <w:r w:rsidRPr="00595075">
        <w:rPr>
          <w:b/>
          <w:color w:val="000000" w:themeColor="text1"/>
          <w:szCs w:val="22"/>
        </w:rPr>
        <w:tab/>
        <w:t>Farmakodinamiskās īpašības</w:t>
      </w:r>
    </w:p>
    <w:p w14:paraId="3582D9B9" w14:textId="77777777" w:rsidR="00045793" w:rsidRPr="00595075" w:rsidRDefault="00045793" w:rsidP="00F70B36">
      <w:pPr>
        <w:tabs>
          <w:tab w:val="clear" w:pos="567"/>
        </w:tabs>
        <w:spacing w:line="240" w:lineRule="auto"/>
        <w:jc w:val="both"/>
        <w:rPr>
          <w:b/>
          <w:color w:val="000000" w:themeColor="text1"/>
          <w:szCs w:val="22"/>
        </w:rPr>
      </w:pPr>
    </w:p>
    <w:p w14:paraId="6324B423" w14:textId="66BB1802" w:rsidR="00FD187E" w:rsidRPr="00595075" w:rsidRDefault="00CD10AA" w:rsidP="00F70B36">
      <w:pPr>
        <w:tabs>
          <w:tab w:val="clear" w:pos="567"/>
        </w:tabs>
        <w:spacing w:line="240" w:lineRule="auto"/>
        <w:jc w:val="both"/>
        <w:rPr>
          <w:color w:val="000000" w:themeColor="text1"/>
          <w:szCs w:val="22"/>
        </w:rPr>
      </w:pPr>
      <w:r w:rsidRPr="00595075">
        <w:rPr>
          <w:b/>
          <w:color w:val="000000" w:themeColor="text1"/>
          <w:szCs w:val="22"/>
        </w:rPr>
        <w:t>Farm</w:t>
      </w:r>
      <w:r w:rsidR="00FD187E" w:rsidRPr="00595075">
        <w:rPr>
          <w:b/>
          <w:color w:val="000000" w:themeColor="text1"/>
          <w:szCs w:val="22"/>
        </w:rPr>
        <w:t>akoterapeitiskā grupa</w:t>
      </w:r>
      <w:r w:rsidR="00FD187E" w:rsidRPr="00595075">
        <w:rPr>
          <w:color w:val="000000" w:themeColor="text1"/>
          <w:szCs w:val="22"/>
        </w:rPr>
        <w:t xml:space="preserve">: </w:t>
      </w:r>
      <w:r w:rsidR="00045793" w:rsidRPr="00595075">
        <w:rPr>
          <w:color w:val="000000" w:themeColor="text1"/>
          <w:szCs w:val="22"/>
        </w:rPr>
        <w:t>sistēmiski lietojamie pretvīrusu līdzekļi, tiešās darbības pretvīrusu līdzekļi, nukleozīdi un nukleotīdi, izņemot reversās transkriptāzes inhibitorus.</w:t>
      </w:r>
    </w:p>
    <w:p w14:paraId="121F992E" w14:textId="6EF219CB" w:rsidR="00CD10AA" w:rsidRPr="00595075" w:rsidRDefault="00CD10AA" w:rsidP="00F70B36">
      <w:pPr>
        <w:tabs>
          <w:tab w:val="clear" w:pos="567"/>
        </w:tabs>
        <w:spacing w:line="240" w:lineRule="auto"/>
        <w:jc w:val="both"/>
        <w:rPr>
          <w:color w:val="000000" w:themeColor="text1"/>
          <w:szCs w:val="22"/>
        </w:rPr>
      </w:pPr>
      <w:r w:rsidRPr="00595075">
        <w:rPr>
          <w:b/>
          <w:color w:val="000000" w:themeColor="text1"/>
          <w:szCs w:val="22"/>
        </w:rPr>
        <w:t>ATĶ kods</w:t>
      </w:r>
      <w:r w:rsidRPr="00595075">
        <w:rPr>
          <w:color w:val="000000" w:themeColor="text1"/>
          <w:szCs w:val="22"/>
        </w:rPr>
        <w:t xml:space="preserve">: </w:t>
      </w:r>
      <w:r w:rsidR="00045793" w:rsidRPr="00595075">
        <w:rPr>
          <w:color w:val="000000" w:themeColor="text1"/>
          <w:szCs w:val="22"/>
        </w:rPr>
        <w:t>J05AB01</w:t>
      </w:r>
    </w:p>
    <w:p w14:paraId="1086309A" w14:textId="77777777" w:rsidR="00E11F9F" w:rsidRPr="00595075" w:rsidRDefault="00E11F9F" w:rsidP="00F70B36">
      <w:pPr>
        <w:tabs>
          <w:tab w:val="clear" w:pos="567"/>
        </w:tabs>
        <w:spacing w:line="240" w:lineRule="auto"/>
        <w:jc w:val="both"/>
        <w:rPr>
          <w:noProof/>
          <w:color w:val="000000" w:themeColor="text1"/>
          <w:szCs w:val="22"/>
        </w:rPr>
      </w:pPr>
    </w:p>
    <w:p w14:paraId="3528A7EB" w14:textId="77777777" w:rsidR="00D516B3" w:rsidRPr="00595075" w:rsidRDefault="00D516B3" w:rsidP="00F70B36">
      <w:pPr>
        <w:spacing w:line="240" w:lineRule="auto"/>
        <w:jc w:val="both"/>
        <w:rPr>
          <w:noProof/>
          <w:color w:val="000000" w:themeColor="text1"/>
          <w:szCs w:val="22"/>
          <w:u w:val="single"/>
        </w:rPr>
      </w:pPr>
      <w:r w:rsidRPr="00595075">
        <w:rPr>
          <w:noProof/>
          <w:color w:val="000000" w:themeColor="text1"/>
          <w:szCs w:val="22"/>
          <w:u w:val="single"/>
        </w:rPr>
        <w:t>Darbības mehānisms</w:t>
      </w:r>
    </w:p>
    <w:p w14:paraId="3FEA3316" w14:textId="3FD069DD" w:rsidR="00DD3BC6" w:rsidRPr="00595075" w:rsidRDefault="00DD3BC6" w:rsidP="00F70B36">
      <w:pPr>
        <w:spacing w:line="240" w:lineRule="auto"/>
        <w:jc w:val="both"/>
        <w:rPr>
          <w:color w:val="000000" w:themeColor="text1"/>
          <w:szCs w:val="22"/>
        </w:rPr>
      </w:pPr>
      <w:r w:rsidRPr="00595075">
        <w:rPr>
          <w:color w:val="000000" w:themeColor="text1"/>
          <w:szCs w:val="22"/>
        </w:rPr>
        <w:t xml:space="preserve">Aciklovīrs ir pretvīrusu līdzeklis, kas </w:t>
      </w:r>
      <w:r w:rsidRPr="00595075">
        <w:rPr>
          <w:i/>
          <w:iCs/>
          <w:color w:val="000000" w:themeColor="text1"/>
          <w:szCs w:val="22"/>
        </w:rPr>
        <w:t>in vitro</w:t>
      </w:r>
      <w:r w:rsidRPr="00595075">
        <w:rPr>
          <w:color w:val="000000" w:themeColor="text1"/>
          <w:szCs w:val="22"/>
        </w:rPr>
        <w:t xml:space="preserve"> ir izteikti aktīvs pret I un II tipa </w:t>
      </w:r>
      <w:r w:rsidRPr="00595075">
        <w:rPr>
          <w:i/>
          <w:color w:val="000000" w:themeColor="text1"/>
          <w:szCs w:val="22"/>
        </w:rPr>
        <w:t xml:space="preserve">herpes simplex </w:t>
      </w:r>
      <w:r w:rsidRPr="00595075">
        <w:rPr>
          <w:color w:val="000000" w:themeColor="text1"/>
          <w:szCs w:val="22"/>
        </w:rPr>
        <w:t xml:space="preserve">vīrusu (HSV) un </w:t>
      </w:r>
      <w:r w:rsidRPr="00595075">
        <w:rPr>
          <w:i/>
          <w:color w:val="000000" w:themeColor="text1"/>
          <w:szCs w:val="22"/>
        </w:rPr>
        <w:t xml:space="preserve">varicella zoster </w:t>
      </w:r>
      <w:r w:rsidRPr="00595075">
        <w:rPr>
          <w:color w:val="000000" w:themeColor="text1"/>
          <w:szCs w:val="22"/>
        </w:rPr>
        <w:t>vīrusu.</w:t>
      </w:r>
      <w:r w:rsidR="00506520" w:rsidRPr="00595075">
        <w:rPr>
          <w:color w:val="000000" w:themeColor="text1"/>
          <w:szCs w:val="22"/>
        </w:rPr>
        <w:t xml:space="preserve"> Toksicitāte </w:t>
      </w:r>
      <w:r w:rsidR="00ED4D9A" w:rsidRPr="00595075">
        <w:rPr>
          <w:color w:val="000000" w:themeColor="text1"/>
          <w:szCs w:val="22"/>
        </w:rPr>
        <w:t>pret</w:t>
      </w:r>
      <w:r w:rsidR="00506520" w:rsidRPr="00595075">
        <w:rPr>
          <w:color w:val="000000" w:themeColor="text1"/>
          <w:szCs w:val="22"/>
        </w:rPr>
        <w:t xml:space="preserve"> zīdītāju saimniekšūnām ir zema.</w:t>
      </w:r>
    </w:p>
    <w:p w14:paraId="7449B98C" w14:textId="3E5EFDEA" w:rsidR="00506520" w:rsidRPr="00595075" w:rsidRDefault="00506520" w:rsidP="00F70B36">
      <w:pPr>
        <w:spacing w:line="240" w:lineRule="auto"/>
        <w:jc w:val="both"/>
        <w:rPr>
          <w:color w:val="000000" w:themeColor="text1"/>
          <w:szCs w:val="22"/>
        </w:rPr>
      </w:pPr>
      <w:r w:rsidRPr="00595075">
        <w:rPr>
          <w:color w:val="000000" w:themeColor="text1"/>
          <w:szCs w:val="22"/>
        </w:rPr>
        <w:t xml:space="preserve">Nokļūstot </w:t>
      </w:r>
      <w:r w:rsidRPr="00595075">
        <w:rPr>
          <w:i/>
          <w:iCs/>
          <w:color w:val="000000" w:themeColor="text1"/>
          <w:szCs w:val="22"/>
        </w:rPr>
        <w:t>herpes</w:t>
      </w:r>
      <w:r w:rsidRPr="00595075">
        <w:rPr>
          <w:color w:val="000000" w:themeColor="text1"/>
          <w:szCs w:val="22"/>
        </w:rPr>
        <w:t xml:space="preserve"> inficēt</w:t>
      </w:r>
      <w:r w:rsidR="00D85B66" w:rsidRPr="00595075">
        <w:rPr>
          <w:color w:val="000000" w:themeColor="text1"/>
          <w:szCs w:val="22"/>
        </w:rPr>
        <w:t>ajās šūnās aciklovīrs tiek fosforilizēts, veidojot aktīvo savienojumu aciklovīra trifosfātu. Pirmais posms šajā procesā ir atkarīgs no HSV kodētās timidīnkināzes klātbūtnes.</w:t>
      </w:r>
    </w:p>
    <w:p w14:paraId="6415B13E" w14:textId="07058D22" w:rsidR="00D516B3" w:rsidRPr="00595075" w:rsidRDefault="00D516B3" w:rsidP="00F70B36">
      <w:pPr>
        <w:spacing w:line="240" w:lineRule="auto"/>
        <w:jc w:val="both"/>
        <w:rPr>
          <w:color w:val="000000" w:themeColor="text1"/>
          <w:szCs w:val="22"/>
        </w:rPr>
      </w:pPr>
      <w:r w:rsidRPr="00595075">
        <w:rPr>
          <w:color w:val="000000" w:themeColor="text1"/>
          <w:szCs w:val="22"/>
        </w:rPr>
        <w:t xml:space="preserve">Aciklovīra trifosfāts </w:t>
      </w:r>
      <w:r w:rsidR="00506520" w:rsidRPr="00595075">
        <w:rPr>
          <w:color w:val="000000" w:themeColor="text1"/>
          <w:szCs w:val="22"/>
        </w:rPr>
        <w:t>darbojas kā</w:t>
      </w:r>
      <w:r w:rsidRPr="00595075">
        <w:rPr>
          <w:color w:val="000000" w:themeColor="text1"/>
          <w:szCs w:val="22"/>
        </w:rPr>
        <w:t xml:space="preserve"> </w:t>
      </w:r>
      <w:r w:rsidR="00506520" w:rsidRPr="00595075">
        <w:rPr>
          <w:i/>
          <w:iCs/>
          <w:color w:val="000000" w:themeColor="text1"/>
          <w:szCs w:val="22"/>
        </w:rPr>
        <w:t>herpes</w:t>
      </w:r>
      <w:r w:rsidR="00506520" w:rsidRPr="00595075">
        <w:rPr>
          <w:color w:val="000000" w:themeColor="text1"/>
          <w:szCs w:val="22"/>
        </w:rPr>
        <w:t xml:space="preserve"> specifiskās</w:t>
      </w:r>
      <w:r w:rsidRPr="00595075">
        <w:rPr>
          <w:color w:val="000000" w:themeColor="text1"/>
          <w:szCs w:val="22"/>
        </w:rPr>
        <w:t xml:space="preserve"> DNS polimerāz</w:t>
      </w:r>
      <w:r w:rsidR="00506520" w:rsidRPr="00595075">
        <w:rPr>
          <w:color w:val="000000" w:themeColor="text1"/>
          <w:szCs w:val="22"/>
        </w:rPr>
        <w:t>es inhibitors un substrāts, kas novērš turpmāku vīrusa DNS sintēzi</w:t>
      </w:r>
      <w:r w:rsidR="00ED4D9A" w:rsidRPr="00595075">
        <w:rPr>
          <w:color w:val="000000" w:themeColor="text1"/>
          <w:szCs w:val="22"/>
        </w:rPr>
        <w:t>,</w:t>
      </w:r>
      <w:r w:rsidRPr="00595075">
        <w:rPr>
          <w:color w:val="000000" w:themeColor="text1"/>
          <w:szCs w:val="22"/>
        </w:rPr>
        <w:t xml:space="preserve"> </w:t>
      </w:r>
      <w:r w:rsidR="00506520" w:rsidRPr="00595075">
        <w:rPr>
          <w:color w:val="000000" w:themeColor="text1"/>
          <w:szCs w:val="22"/>
        </w:rPr>
        <w:t>neietekmējot normālos šūnu procesus</w:t>
      </w:r>
      <w:r w:rsidRPr="00595075">
        <w:rPr>
          <w:color w:val="000000" w:themeColor="text1"/>
          <w:szCs w:val="22"/>
        </w:rPr>
        <w:t>.</w:t>
      </w:r>
    </w:p>
    <w:p w14:paraId="2F3D8F09" w14:textId="77777777" w:rsidR="00D516B3" w:rsidRPr="00595075" w:rsidRDefault="00D516B3" w:rsidP="00F70B36">
      <w:pPr>
        <w:spacing w:line="240" w:lineRule="auto"/>
        <w:jc w:val="both"/>
        <w:rPr>
          <w:color w:val="000000" w:themeColor="text1"/>
          <w:szCs w:val="22"/>
        </w:rPr>
      </w:pPr>
    </w:p>
    <w:p w14:paraId="14593FAF" w14:textId="77777777" w:rsidR="0097548A" w:rsidRPr="00595075" w:rsidRDefault="0097548A" w:rsidP="00F70B36">
      <w:pPr>
        <w:spacing w:line="240" w:lineRule="auto"/>
        <w:jc w:val="both"/>
        <w:rPr>
          <w:bCs/>
          <w:iCs/>
          <w:color w:val="000000" w:themeColor="text1"/>
          <w:szCs w:val="22"/>
        </w:rPr>
      </w:pPr>
    </w:p>
    <w:p w14:paraId="3EECE77E" w14:textId="77777777" w:rsidR="00CD10AA" w:rsidRPr="00595075" w:rsidRDefault="00CD10AA" w:rsidP="00F70B36">
      <w:pPr>
        <w:tabs>
          <w:tab w:val="clear" w:pos="567"/>
        </w:tabs>
        <w:spacing w:line="240" w:lineRule="auto"/>
        <w:jc w:val="both"/>
        <w:rPr>
          <w:b/>
          <w:color w:val="000000" w:themeColor="text1"/>
          <w:szCs w:val="22"/>
        </w:rPr>
      </w:pPr>
      <w:r w:rsidRPr="00595075">
        <w:rPr>
          <w:b/>
          <w:color w:val="000000" w:themeColor="text1"/>
          <w:szCs w:val="22"/>
        </w:rPr>
        <w:t>5.2</w:t>
      </w:r>
      <w:r w:rsidR="00565B11" w:rsidRPr="00595075">
        <w:rPr>
          <w:b/>
          <w:color w:val="000000" w:themeColor="text1"/>
          <w:szCs w:val="22"/>
        </w:rPr>
        <w:t>.</w:t>
      </w:r>
      <w:r w:rsidRPr="00595075">
        <w:rPr>
          <w:b/>
          <w:color w:val="000000" w:themeColor="text1"/>
          <w:szCs w:val="22"/>
        </w:rPr>
        <w:tab/>
        <w:t>Farmakokinētiskās īpašības</w:t>
      </w:r>
    </w:p>
    <w:p w14:paraId="2103249E" w14:textId="2C5CEF73" w:rsidR="00CD10AA" w:rsidRPr="00595075" w:rsidRDefault="00CD10AA" w:rsidP="00F70B36">
      <w:pPr>
        <w:spacing w:line="240" w:lineRule="auto"/>
        <w:jc w:val="both"/>
        <w:rPr>
          <w:color w:val="000000" w:themeColor="text1"/>
          <w:szCs w:val="22"/>
          <w:u w:val="single"/>
        </w:rPr>
      </w:pPr>
    </w:p>
    <w:p w14:paraId="21953272" w14:textId="77777777" w:rsidR="0074050D" w:rsidRPr="00595075" w:rsidRDefault="0074050D" w:rsidP="00F70B36">
      <w:pPr>
        <w:pStyle w:val="BodyText2"/>
        <w:suppressAutoHyphens w:val="0"/>
        <w:rPr>
          <w:bCs/>
          <w:iCs/>
          <w:color w:val="000000" w:themeColor="text1"/>
          <w:sz w:val="22"/>
          <w:szCs w:val="22"/>
          <w:u w:val="single"/>
        </w:rPr>
      </w:pPr>
      <w:r w:rsidRPr="00595075">
        <w:rPr>
          <w:bCs/>
          <w:iCs/>
          <w:color w:val="000000" w:themeColor="text1"/>
          <w:sz w:val="22"/>
          <w:szCs w:val="22"/>
          <w:u w:val="single"/>
        </w:rPr>
        <w:t>Uzsūkšanās</w:t>
      </w:r>
    </w:p>
    <w:p w14:paraId="73BCFEA7" w14:textId="56EEE15D" w:rsidR="0074050D" w:rsidRPr="00595075" w:rsidRDefault="0074050D" w:rsidP="00F70B36">
      <w:pPr>
        <w:pStyle w:val="BodyText2"/>
        <w:suppressAutoHyphens w:val="0"/>
        <w:rPr>
          <w:b/>
          <w:color w:val="000000" w:themeColor="text1"/>
          <w:sz w:val="22"/>
          <w:szCs w:val="22"/>
        </w:rPr>
      </w:pPr>
      <w:r w:rsidRPr="00595075">
        <w:rPr>
          <w:color w:val="000000" w:themeColor="text1"/>
          <w:sz w:val="22"/>
          <w:szCs w:val="22"/>
        </w:rPr>
        <w:t xml:space="preserve">Pieaugušiem pacientiem līdzsvara koncentrācijas </w:t>
      </w:r>
      <w:r w:rsidR="00ED4D9A" w:rsidRPr="00595075">
        <w:rPr>
          <w:color w:val="000000" w:themeColor="text1"/>
          <w:sz w:val="22"/>
          <w:szCs w:val="22"/>
        </w:rPr>
        <w:t xml:space="preserve">vidējā </w:t>
      </w:r>
      <w:r w:rsidRPr="00595075">
        <w:rPr>
          <w:color w:val="000000" w:themeColor="text1"/>
          <w:sz w:val="22"/>
          <w:szCs w:val="22"/>
        </w:rPr>
        <w:t>maksimālā (C</w:t>
      </w:r>
      <w:r w:rsidRPr="00595075">
        <w:rPr>
          <w:color w:val="000000" w:themeColor="text1"/>
          <w:sz w:val="22"/>
          <w:szCs w:val="22"/>
          <w:vertAlign w:val="superscript"/>
        </w:rPr>
        <w:t>ss</w:t>
      </w:r>
      <w:r w:rsidRPr="00595075">
        <w:rPr>
          <w:color w:val="000000" w:themeColor="text1"/>
          <w:sz w:val="22"/>
          <w:szCs w:val="22"/>
          <w:vertAlign w:val="subscript"/>
        </w:rPr>
        <w:t>max</w:t>
      </w:r>
      <w:r w:rsidRPr="00595075">
        <w:rPr>
          <w:color w:val="000000" w:themeColor="text1"/>
          <w:sz w:val="22"/>
          <w:szCs w:val="22"/>
        </w:rPr>
        <w:t xml:space="preserve">) koncentrācija plazmā pēc 2,5 mg/kg, 5 mg/kg un 10 mg/kg devas vienu stundu ilgas infūzijas, bija atbilstoši 22,7 mikromoli (5,1 mikromoli/ml), 43,6 mikromoli (9,8 mikromoli/ml) un 92 mikromoli (20,7 mikromoli/ml). Atbilstošā minimālā koncentrācija </w:t>
      </w:r>
      <w:r w:rsidR="00717729" w:rsidRPr="00595075">
        <w:rPr>
          <w:color w:val="000000" w:themeColor="text1"/>
          <w:sz w:val="22"/>
          <w:szCs w:val="22"/>
        </w:rPr>
        <w:t>(C</w:t>
      </w:r>
      <w:r w:rsidR="00717729" w:rsidRPr="00595075">
        <w:rPr>
          <w:color w:val="000000" w:themeColor="text1"/>
          <w:sz w:val="22"/>
          <w:szCs w:val="22"/>
          <w:vertAlign w:val="superscript"/>
        </w:rPr>
        <w:t>ss</w:t>
      </w:r>
      <w:r w:rsidR="00717729" w:rsidRPr="00595075">
        <w:rPr>
          <w:color w:val="000000" w:themeColor="text1"/>
          <w:sz w:val="22"/>
          <w:szCs w:val="22"/>
          <w:vertAlign w:val="subscript"/>
        </w:rPr>
        <w:t>min</w:t>
      </w:r>
      <w:r w:rsidR="00717729" w:rsidRPr="00595075">
        <w:rPr>
          <w:color w:val="000000" w:themeColor="text1"/>
          <w:sz w:val="22"/>
          <w:szCs w:val="22"/>
        </w:rPr>
        <w:t xml:space="preserve">) </w:t>
      </w:r>
      <w:r w:rsidRPr="00595075">
        <w:rPr>
          <w:color w:val="000000" w:themeColor="text1"/>
          <w:sz w:val="22"/>
          <w:szCs w:val="22"/>
        </w:rPr>
        <w:t>7 stundas vēlāk bija 2,2 mikromoli (0,5 mikromoli/ml), 3,1 mikromoli (0,7 mikromoli/ml) un 10,2 mikromoli (2,3 mikromoli/ml). Bērniem, kuri vecāki par 1</w:t>
      </w:r>
      <w:r w:rsidR="00CD3A69">
        <w:rPr>
          <w:color w:val="000000" w:themeColor="text1"/>
          <w:sz w:val="22"/>
          <w:szCs w:val="22"/>
        </w:rPr>
        <w:t xml:space="preserve"> </w:t>
      </w:r>
      <w:r w:rsidRPr="00595075">
        <w:rPr>
          <w:color w:val="000000" w:themeColor="text1"/>
          <w:sz w:val="22"/>
          <w:szCs w:val="22"/>
        </w:rPr>
        <w:t>gadu, tika novērot</w:t>
      </w:r>
      <w:r w:rsidR="00717729" w:rsidRPr="00595075">
        <w:rPr>
          <w:color w:val="000000" w:themeColor="text1"/>
          <w:sz w:val="22"/>
          <w:szCs w:val="22"/>
        </w:rPr>
        <w:t>as</w:t>
      </w:r>
      <w:r w:rsidRPr="00595075">
        <w:rPr>
          <w:color w:val="000000" w:themeColor="text1"/>
          <w:sz w:val="22"/>
          <w:szCs w:val="22"/>
        </w:rPr>
        <w:t xml:space="preserve"> līdzīgas vidējās C</w:t>
      </w:r>
      <w:r w:rsidRPr="00595075">
        <w:rPr>
          <w:color w:val="000000" w:themeColor="text1"/>
          <w:sz w:val="22"/>
          <w:szCs w:val="22"/>
          <w:vertAlign w:val="superscript"/>
        </w:rPr>
        <w:t>ss</w:t>
      </w:r>
      <w:r w:rsidRPr="00595075">
        <w:rPr>
          <w:color w:val="000000" w:themeColor="text1"/>
          <w:sz w:val="22"/>
          <w:szCs w:val="22"/>
          <w:vertAlign w:val="subscript"/>
        </w:rPr>
        <w:t>max</w:t>
      </w:r>
      <w:r w:rsidRPr="00595075">
        <w:rPr>
          <w:color w:val="000000" w:themeColor="text1"/>
          <w:sz w:val="22"/>
          <w:szCs w:val="22"/>
        </w:rPr>
        <w:t xml:space="preserve"> un C</w:t>
      </w:r>
      <w:r w:rsidRPr="00595075">
        <w:rPr>
          <w:color w:val="000000" w:themeColor="text1"/>
          <w:sz w:val="22"/>
          <w:szCs w:val="22"/>
          <w:vertAlign w:val="superscript"/>
        </w:rPr>
        <w:t>ss</w:t>
      </w:r>
      <w:r w:rsidRPr="00595075">
        <w:rPr>
          <w:color w:val="000000" w:themeColor="text1"/>
          <w:sz w:val="22"/>
          <w:szCs w:val="22"/>
          <w:vertAlign w:val="subscript"/>
        </w:rPr>
        <w:t>min</w:t>
      </w:r>
      <w:r w:rsidRPr="00595075">
        <w:rPr>
          <w:color w:val="000000" w:themeColor="text1"/>
          <w:sz w:val="22"/>
          <w:szCs w:val="22"/>
        </w:rPr>
        <w:t xml:space="preserve"> koncentrācijas, ja 5 mg/kg devu aizstāja ar 250</w:t>
      </w:r>
      <w:r w:rsidR="00717729" w:rsidRPr="00595075">
        <w:rPr>
          <w:color w:val="000000" w:themeColor="text1"/>
          <w:sz w:val="22"/>
          <w:szCs w:val="22"/>
        </w:rPr>
        <w:t> </w:t>
      </w:r>
      <w:r w:rsidRPr="00595075">
        <w:rPr>
          <w:color w:val="000000" w:themeColor="text1"/>
          <w:sz w:val="22"/>
          <w:szCs w:val="22"/>
        </w:rPr>
        <w:t>mg/m</w:t>
      </w:r>
      <w:r w:rsidRPr="00595075">
        <w:rPr>
          <w:color w:val="000000" w:themeColor="text1"/>
          <w:sz w:val="22"/>
          <w:szCs w:val="22"/>
          <w:vertAlign w:val="superscript"/>
        </w:rPr>
        <w:t>2</w:t>
      </w:r>
      <w:r w:rsidRPr="00595075">
        <w:rPr>
          <w:color w:val="000000" w:themeColor="text1"/>
          <w:sz w:val="22"/>
          <w:szCs w:val="22"/>
        </w:rPr>
        <w:t xml:space="preserve"> un 10 mg/kg devu aizstāja ar 500 mg/m</w:t>
      </w:r>
      <w:r w:rsidRPr="00595075">
        <w:rPr>
          <w:color w:val="000000" w:themeColor="text1"/>
          <w:sz w:val="22"/>
          <w:szCs w:val="22"/>
          <w:vertAlign w:val="superscript"/>
        </w:rPr>
        <w:t>2</w:t>
      </w:r>
      <w:r w:rsidRPr="00595075">
        <w:rPr>
          <w:color w:val="000000" w:themeColor="text1"/>
          <w:sz w:val="22"/>
          <w:szCs w:val="22"/>
        </w:rPr>
        <w:t>. Jaundzimušajiem (0 – 3 mēn</w:t>
      </w:r>
      <w:r w:rsidR="00F70B36" w:rsidRPr="00595075">
        <w:rPr>
          <w:color w:val="000000" w:themeColor="text1"/>
          <w:sz w:val="22"/>
          <w:szCs w:val="22"/>
        </w:rPr>
        <w:t>e</w:t>
      </w:r>
      <w:r w:rsidRPr="00595075">
        <w:rPr>
          <w:color w:val="000000" w:themeColor="text1"/>
          <w:sz w:val="22"/>
          <w:szCs w:val="22"/>
        </w:rPr>
        <w:t>šus veciem), ievadot 10 mg/kg vienu stundu ilgas infūzijas veidā ik pēc 8 stundām, C</w:t>
      </w:r>
      <w:r w:rsidRPr="00595075">
        <w:rPr>
          <w:color w:val="000000" w:themeColor="text1"/>
          <w:sz w:val="22"/>
          <w:szCs w:val="22"/>
          <w:vertAlign w:val="superscript"/>
        </w:rPr>
        <w:t>ss</w:t>
      </w:r>
      <w:r w:rsidRPr="00595075">
        <w:rPr>
          <w:color w:val="000000" w:themeColor="text1"/>
          <w:sz w:val="22"/>
          <w:szCs w:val="22"/>
          <w:vertAlign w:val="subscript"/>
        </w:rPr>
        <w:t>max</w:t>
      </w:r>
      <w:r w:rsidRPr="00595075">
        <w:rPr>
          <w:color w:val="000000" w:themeColor="text1"/>
          <w:sz w:val="22"/>
          <w:szCs w:val="22"/>
        </w:rPr>
        <w:t xml:space="preserve"> bija 61,2 mikromoli (13,8</w:t>
      </w:r>
      <w:r w:rsidR="00717729" w:rsidRPr="00595075">
        <w:rPr>
          <w:color w:val="000000" w:themeColor="text1"/>
          <w:sz w:val="22"/>
          <w:szCs w:val="22"/>
        </w:rPr>
        <w:t> </w:t>
      </w:r>
      <w:r w:rsidRPr="00595075">
        <w:rPr>
          <w:color w:val="000000" w:themeColor="text1"/>
          <w:sz w:val="22"/>
          <w:szCs w:val="22"/>
        </w:rPr>
        <w:t>mikromoli/ml) un C</w:t>
      </w:r>
      <w:r w:rsidRPr="00595075">
        <w:rPr>
          <w:color w:val="000000" w:themeColor="text1"/>
          <w:sz w:val="22"/>
          <w:szCs w:val="22"/>
          <w:vertAlign w:val="superscript"/>
        </w:rPr>
        <w:t>ss</w:t>
      </w:r>
      <w:r w:rsidRPr="00595075">
        <w:rPr>
          <w:color w:val="000000" w:themeColor="text1"/>
          <w:sz w:val="22"/>
          <w:szCs w:val="22"/>
          <w:vertAlign w:val="subscript"/>
        </w:rPr>
        <w:t>min</w:t>
      </w:r>
      <w:r w:rsidRPr="00595075">
        <w:rPr>
          <w:color w:val="000000" w:themeColor="text1"/>
          <w:sz w:val="22"/>
          <w:szCs w:val="22"/>
        </w:rPr>
        <w:t xml:space="preserve"> bija 10,1 mikromoli (2,3 mikromoli/ml). Atsevišķā jaundzimušo grupā, kuri tika ārstēti ar 15 mg/kg ik pēc 8 stundām, novēroja apmēram devai proporcionālu palielināšanos ar C</w:t>
      </w:r>
      <w:r w:rsidRPr="00595075">
        <w:rPr>
          <w:color w:val="000000" w:themeColor="text1"/>
          <w:sz w:val="22"/>
          <w:szCs w:val="22"/>
          <w:vertAlign w:val="subscript"/>
        </w:rPr>
        <w:t>max</w:t>
      </w:r>
      <w:r w:rsidRPr="00595075">
        <w:rPr>
          <w:color w:val="000000" w:themeColor="text1"/>
          <w:sz w:val="22"/>
          <w:szCs w:val="22"/>
        </w:rPr>
        <w:t xml:space="preserve"> 83,5 mikromoli (18,8 mikromoli/ml) un C</w:t>
      </w:r>
      <w:r w:rsidRPr="00595075">
        <w:rPr>
          <w:color w:val="000000" w:themeColor="text1"/>
          <w:sz w:val="22"/>
          <w:szCs w:val="22"/>
          <w:vertAlign w:val="subscript"/>
        </w:rPr>
        <w:t xml:space="preserve">min </w:t>
      </w:r>
      <w:r w:rsidRPr="00595075">
        <w:rPr>
          <w:color w:val="000000" w:themeColor="text1"/>
          <w:sz w:val="22"/>
          <w:szCs w:val="22"/>
        </w:rPr>
        <w:t>14,1 mikromoli (3,2 mikromoli/ml).</w:t>
      </w:r>
    </w:p>
    <w:p w14:paraId="34823232" w14:textId="22D7C7E4" w:rsidR="0074050D" w:rsidRPr="00595075" w:rsidRDefault="0074050D" w:rsidP="00F70B36">
      <w:pPr>
        <w:pStyle w:val="BodyText2"/>
        <w:suppressAutoHyphens w:val="0"/>
        <w:rPr>
          <w:b/>
          <w:color w:val="000000" w:themeColor="text1"/>
          <w:sz w:val="22"/>
          <w:szCs w:val="22"/>
        </w:rPr>
      </w:pPr>
    </w:p>
    <w:p w14:paraId="13385DB3" w14:textId="35F27119" w:rsidR="00D85B66" w:rsidRPr="00595075" w:rsidRDefault="00D85B66" w:rsidP="00D85B66">
      <w:pPr>
        <w:pStyle w:val="BodyText2"/>
        <w:suppressAutoHyphens w:val="0"/>
        <w:rPr>
          <w:color w:val="000000" w:themeColor="text1"/>
          <w:sz w:val="22"/>
          <w:szCs w:val="22"/>
        </w:rPr>
      </w:pPr>
      <w:r w:rsidRPr="00595075">
        <w:rPr>
          <w:color w:val="000000" w:themeColor="text1"/>
          <w:sz w:val="22"/>
          <w:szCs w:val="22"/>
        </w:rPr>
        <w:t>Terminālais plazmas eliminācijas pusperiods šiem pacientiem ir 3,8 stundas. Gados vecākiem cilvēkiem kopējais organisma klīrenss samazinās, palielinoties vecumam un tas ir saistīts ar kreatinīna klīrensa samazināšanos, lai gan terminālā plazmas eliminācijas pusperioda izmaiņas ir nelielas.</w:t>
      </w:r>
    </w:p>
    <w:p w14:paraId="56995AE1" w14:textId="77777777" w:rsidR="00D85B66" w:rsidRPr="00595075" w:rsidRDefault="00D85B66" w:rsidP="00D85B66">
      <w:pPr>
        <w:pStyle w:val="BodyText2"/>
        <w:suppressAutoHyphens w:val="0"/>
        <w:rPr>
          <w:b/>
          <w:color w:val="000000" w:themeColor="text1"/>
          <w:sz w:val="22"/>
          <w:szCs w:val="22"/>
        </w:rPr>
      </w:pPr>
    </w:p>
    <w:p w14:paraId="54404753" w14:textId="25489756" w:rsidR="00D85B66" w:rsidRPr="00595075" w:rsidRDefault="00D85B66" w:rsidP="00D85B66">
      <w:pPr>
        <w:pStyle w:val="BodyText2"/>
        <w:suppressAutoHyphens w:val="0"/>
        <w:rPr>
          <w:color w:val="000000" w:themeColor="text1"/>
          <w:sz w:val="22"/>
          <w:szCs w:val="22"/>
        </w:rPr>
      </w:pPr>
      <w:r w:rsidRPr="00595075">
        <w:rPr>
          <w:color w:val="000000" w:themeColor="text1"/>
          <w:sz w:val="22"/>
          <w:szCs w:val="22"/>
        </w:rPr>
        <w:t>Pacientiem ar hronisku nieru mazspēju vidējais terminālais eliminācijas pusperiods bija 19,5 stundas. Vidējais aciklovīra eliminācijas pusperiods hemodialīzes laikā bija 5,7 stundas. Aciklovīra koncentrācija plazmā dialīzes laikā samazinās par ap</w:t>
      </w:r>
      <w:r w:rsidR="00D01DDA" w:rsidRPr="00595075">
        <w:rPr>
          <w:color w:val="000000" w:themeColor="text1"/>
          <w:sz w:val="22"/>
          <w:szCs w:val="22"/>
        </w:rPr>
        <w:t>tuveni</w:t>
      </w:r>
      <w:r w:rsidRPr="00595075">
        <w:rPr>
          <w:color w:val="000000" w:themeColor="text1"/>
          <w:sz w:val="22"/>
          <w:szCs w:val="22"/>
        </w:rPr>
        <w:t xml:space="preserve"> 60 %.</w:t>
      </w:r>
    </w:p>
    <w:p w14:paraId="475A8E9C" w14:textId="781DD7A0" w:rsidR="00D85B66" w:rsidRPr="00595075" w:rsidRDefault="00D85B66" w:rsidP="00D85B66">
      <w:pPr>
        <w:pStyle w:val="BodyText2"/>
        <w:suppressAutoHyphens w:val="0"/>
        <w:rPr>
          <w:color w:val="000000" w:themeColor="text1"/>
          <w:sz w:val="22"/>
          <w:szCs w:val="22"/>
        </w:rPr>
      </w:pPr>
    </w:p>
    <w:p w14:paraId="2BE616FA" w14:textId="6CE27CF4" w:rsidR="00D85B66" w:rsidRPr="00595075" w:rsidRDefault="00D85B66" w:rsidP="00D85B66">
      <w:pPr>
        <w:pStyle w:val="BodyText2"/>
        <w:suppressAutoHyphens w:val="0"/>
        <w:rPr>
          <w:color w:val="000000" w:themeColor="text1"/>
          <w:sz w:val="22"/>
          <w:szCs w:val="22"/>
        </w:rPr>
      </w:pPr>
      <w:r w:rsidRPr="00595075">
        <w:rPr>
          <w:color w:val="000000" w:themeColor="text1"/>
          <w:sz w:val="22"/>
          <w:szCs w:val="22"/>
        </w:rPr>
        <w:lastRenderedPageBreak/>
        <w:t>Klīniskajā pētījumā, kurā patoloģiski tuklām sieviešu dzimuma pacientēm (n=7) intravenozā aciklovīra deva tika noteikta atbilstoši viņu ķermeņa masai, koncentrācija plazmā bija gandrīz divas reizes augstāka nekā pacientēm ar normālu ķermeņa masu (n=5), kas ir atbilstoši ķermeņa masas atšķirībām starp šīm divām grupām.</w:t>
      </w:r>
    </w:p>
    <w:p w14:paraId="4B1C2EB3" w14:textId="77777777" w:rsidR="00D85B66" w:rsidRPr="00595075" w:rsidRDefault="00D85B66" w:rsidP="00F70B36">
      <w:pPr>
        <w:pStyle w:val="BodyText2"/>
        <w:suppressAutoHyphens w:val="0"/>
        <w:rPr>
          <w:b/>
          <w:color w:val="000000" w:themeColor="text1"/>
          <w:sz w:val="22"/>
          <w:szCs w:val="22"/>
        </w:rPr>
      </w:pPr>
    </w:p>
    <w:p w14:paraId="01CC86CD" w14:textId="77777777" w:rsidR="0074050D" w:rsidRPr="00595075" w:rsidRDefault="0074050D" w:rsidP="00F70B36">
      <w:pPr>
        <w:pStyle w:val="BodyText2"/>
        <w:suppressAutoHyphens w:val="0"/>
        <w:rPr>
          <w:bCs/>
          <w:iCs/>
          <w:color w:val="000000" w:themeColor="text1"/>
          <w:sz w:val="22"/>
          <w:szCs w:val="22"/>
          <w:u w:val="single"/>
        </w:rPr>
      </w:pPr>
      <w:r w:rsidRPr="00595075">
        <w:rPr>
          <w:bCs/>
          <w:iCs/>
          <w:color w:val="000000" w:themeColor="text1"/>
          <w:sz w:val="22"/>
          <w:szCs w:val="22"/>
          <w:u w:val="single"/>
        </w:rPr>
        <w:t>Izkliede</w:t>
      </w:r>
    </w:p>
    <w:p w14:paraId="1E5C29C3" w14:textId="0F1EB9F2" w:rsidR="0074050D" w:rsidRPr="00595075" w:rsidRDefault="0074050D" w:rsidP="00F70B36">
      <w:pPr>
        <w:pStyle w:val="BodyText2"/>
        <w:suppressAutoHyphens w:val="0"/>
        <w:rPr>
          <w:b/>
          <w:color w:val="000000" w:themeColor="text1"/>
          <w:sz w:val="22"/>
          <w:szCs w:val="22"/>
        </w:rPr>
      </w:pPr>
      <w:r w:rsidRPr="00595075">
        <w:rPr>
          <w:color w:val="000000" w:themeColor="text1"/>
          <w:sz w:val="22"/>
          <w:szCs w:val="22"/>
        </w:rPr>
        <w:t>Koncentrācija muguras smadzeņu šķidrumā ir apmēram 50% no atbilstošās plazmas koncentrācijas. Saistīšanās ar plazmas olbaltumvielām ir relatīvi zema (</w:t>
      </w:r>
      <w:r w:rsidR="009466A5" w:rsidRPr="00595075">
        <w:rPr>
          <w:color w:val="000000" w:themeColor="text1"/>
          <w:sz w:val="22"/>
          <w:szCs w:val="22"/>
        </w:rPr>
        <w:t xml:space="preserve">no </w:t>
      </w:r>
      <w:r w:rsidRPr="00595075">
        <w:rPr>
          <w:color w:val="000000" w:themeColor="text1"/>
          <w:sz w:val="22"/>
          <w:szCs w:val="22"/>
        </w:rPr>
        <w:t>9 līdz 33%), un zāļu mijiedarbība, kas ietver saistīšanas vietu aizstāšanu, nav sagaidāma.</w:t>
      </w:r>
    </w:p>
    <w:p w14:paraId="50BAD5AA" w14:textId="77777777" w:rsidR="0074050D" w:rsidRPr="00595075" w:rsidRDefault="0074050D" w:rsidP="00F70B36">
      <w:pPr>
        <w:pStyle w:val="BodyText2"/>
        <w:suppressAutoHyphens w:val="0"/>
        <w:rPr>
          <w:b/>
          <w:color w:val="000000" w:themeColor="text1"/>
          <w:sz w:val="22"/>
          <w:szCs w:val="22"/>
        </w:rPr>
      </w:pPr>
    </w:p>
    <w:p w14:paraId="2AA3B19A" w14:textId="77777777" w:rsidR="0074050D" w:rsidRPr="00595075" w:rsidRDefault="0074050D" w:rsidP="00F70B36">
      <w:pPr>
        <w:pStyle w:val="BodyText2"/>
        <w:suppressAutoHyphens w:val="0"/>
        <w:rPr>
          <w:bCs/>
          <w:iCs/>
          <w:color w:val="000000" w:themeColor="text1"/>
          <w:sz w:val="22"/>
          <w:szCs w:val="22"/>
          <w:u w:val="single"/>
        </w:rPr>
      </w:pPr>
      <w:r w:rsidRPr="00595075">
        <w:rPr>
          <w:bCs/>
          <w:iCs/>
          <w:color w:val="000000" w:themeColor="text1"/>
          <w:sz w:val="22"/>
          <w:szCs w:val="22"/>
          <w:u w:val="single"/>
        </w:rPr>
        <w:t>Eliminācija</w:t>
      </w:r>
    </w:p>
    <w:p w14:paraId="5227CB75" w14:textId="28D0329C" w:rsidR="00D85B66" w:rsidRPr="00595075" w:rsidRDefault="0074050D" w:rsidP="00F70B36">
      <w:pPr>
        <w:pStyle w:val="BodyText2"/>
        <w:suppressAutoHyphens w:val="0"/>
        <w:rPr>
          <w:color w:val="000000" w:themeColor="text1"/>
          <w:sz w:val="22"/>
          <w:szCs w:val="22"/>
        </w:rPr>
      </w:pPr>
      <w:r w:rsidRPr="00595075">
        <w:rPr>
          <w:color w:val="000000" w:themeColor="text1"/>
          <w:sz w:val="22"/>
          <w:szCs w:val="22"/>
        </w:rPr>
        <w:t>Pieauguš</w:t>
      </w:r>
      <w:r w:rsidR="00D85B66" w:rsidRPr="00595075">
        <w:rPr>
          <w:color w:val="000000" w:themeColor="text1"/>
          <w:sz w:val="22"/>
          <w:szCs w:val="22"/>
        </w:rPr>
        <w:t xml:space="preserve">ajiem noteiktais </w:t>
      </w:r>
      <w:r w:rsidRPr="00595075">
        <w:rPr>
          <w:color w:val="000000" w:themeColor="text1"/>
          <w:sz w:val="22"/>
          <w:szCs w:val="22"/>
        </w:rPr>
        <w:t>terminālais plazmas eliminācijas pusperiods ir ap</w:t>
      </w:r>
      <w:r w:rsidR="009466A5" w:rsidRPr="00595075">
        <w:rPr>
          <w:color w:val="000000" w:themeColor="text1"/>
          <w:sz w:val="22"/>
          <w:szCs w:val="22"/>
        </w:rPr>
        <w:t>tuveni</w:t>
      </w:r>
      <w:r w:rsidRPr="00595075">
        <w:rPr>
          <w:color w:val="000000" w:themeColor="text1"/>
          <w:sz w:val="22"/>
          <w:szCs w:val="22"/>
        </w:rPr>
        <w:t xml:space="preserve"> 2,9 stundas.</w:t>
      </w:r>
    </w:p>
    <w:p w14:paraId="4E12270C" w14:textId="77777777" w:rsidR="00D85B66" w:rsidRPr="00595075" w:rsidRDefault="00D85B66" w:rsidP="00F70B36">
      <w:pPr>
        <w:pStyle w:val="BodyText2"/>
        <w:suppressAutoHyphens w:val="0"/>
        <w:rPr>
          <w:color w:val="000000" w:themeColor="text1"/>
          <w:sz w:val="22"/>
          <w:szCs w:val="22"/>
        </w:rPr>
      </w:pPr>
    </w:p>
    <w:p w14:paraId="64E1286D" w14:textId="657D9050" w:rsidR="0074050D" w:rsidRPr="00595075" w:rsidRDefault="0074050D" w:rsidP="00F70B36">
      <w:pPr>
        <w:pStyle w:val="BodyText2"/>
        <w:suppressAutoHyphens w:val="0"/>
        <w:rPr>
          <w:color w:val="000000" w:themeColor="text1"/>
          <w:sz w:val="22"/>
          <w:szCs w:val="22"/>
        </w:rPr>
      </w:pPr>
      <w:r w:rsidRPr="00595075">
        <w:rPr>
          <w:color w:val="000000" w:themeColor="text1"/>
          <w:sz w:val="22"/>
          <w:szCs w:val="22"/>
        </w:rPr>
        <w:t xml:space="preserve">Lielākais </w:t>
      </w:r>
      <w:r w:rsidR="009466A5" w:rsidRPr="00595075">
        <w:rPr>
          <w:color w:val="000000" w:themeColor="text1"/>
          <w:sz w:val="22"/>
          <w:szCs w:val="22"/>
        </w:rPr>
        <w:t xml:space="preserve">zāļu </w:t>
      </w:r>
      <w:r w:rsidRPr="00595075">
        <w:rPr>
          <w:color w:val="000000" w:themeColor="text1"/>
          <w:sz w:val="22"/>
          <w:szCs w:val="22"/>
        </w:rPr>
        <w:t xml:space="preserve">daudzums izdalās neizmainītā veidā caur nierēm. Aciklovīra nieru klīrenss ir ievērojami lielāks nekā kreatinīna klīrenss norādot, ka nieru tubulārā sekrēcija papildus glomerulārai filtrācijai veicina zāļu </w:t>
      </w:r>
      <w:r w:rsidR="00F70B36" w:rsidRPr="00595075">
        <w:rPr>
          <w:color w:val="000000" w:themeColor="text1"/>
          <w:sz w:val="22"/>
          <w:szCs w:val="22"/>
        </w:rPr>
        <w:t>iz</w:t>
      </w:r>
      <w:r w:rsidRPr="00595075">
        <w:rPr>
          <w:color w:val="000000" w:themeColor="text1"/>
          <w:sz w:val="22"/>
          <w:szCs w:val="22"/>
        </w:rPr>
        <w:t xml:space="preserve">dalīšanos caur nierēm. 9-karboksimetoksi-metilēnguanīns ir vienīgais būtiskais aciklovīra metabolīts, un tas </w:t>
      </w:r>
      <w:r w:rsidR="009466A5" w:rsidRPr="00595075">
        <w:rPr>
          <w:color w:val="000000" w:themeColor="text1"/>
          <w:sz w:val="22"/>
          <w:szCs w:val="22"/>
        </w:rPr>
        <w:t>veido aptuveni</w:t>
      </w:r>
      <w:r w:rsidRPr="00595075">
        <w:rPr>
          <w:color w:val="000000" w:themeColor="text1"/>
          <w:sz w:val="22"/>
          <w:szCs w:val="22"/>
        </w:rPr>
        <w:t xml:space="preserve"> 10 </w:t>
      </w:r>
      <w:r w:rsidR="00D85B66" w:rsidRPr="00595075">
        <w:rPr>
          <w:color w:val="000000" w:themeColor="text1"/>
          <w:sz w:val="22"/>
          <w:szCs w:val="22"/>
        </w:rPr>
        <w:t>-</w:t>
      </w:r>
      <w:r w:rsidRPr="00595075">
        <w:rPr>
          <w:color w:val="000000" w:themeColor="text1"/>
          <w:sz w:val="22"/>
          <w:szCs w:val="22"/>
        </w:rPr>
        <w:t xml:space="preserve"> 15% no devas, kas izdalās ar urīnu.</w:t>
      </w:r>
    </w:p>
    <w:p w14:paraId="111B8A90" w14:textId="77777777" w:rsidR="00D85B66" w:rsidRPr="00595075" w:rsidRDefault="00D85B66" w:rsidP="00F70B36">
      <w:pPr>
        <w:pStyle w:val="BodyText2"/>
        <w:suppressAutoHyphens w:val="0"/>
        <w:rPr>
          <w:color w:val="000000" w:themeColor="text1"/>
          <w:sz w:val="22"/>
          <w:szCs w:val="22"/>
        </w:rPr>
      </w:pPr>
    </w:p>
    <w:p w14:paraId="2CD8C261" w14:textId="1E467C4E" w:rsidR="0074050D" w:rsidRPr="00595075" w:rsidRDefault="0074050D" w:rsidP="00F70B36">
      <w:pPr>
        <w:pStyle w:val="BodyText2"/>
        <w:suppressAutoHyphens w:val="0"/>
        <w:rPr>
          <w:color w:val="000000" w:themeColor="text1"/>
          <w:sz w:val="22"/>
          <w:szCs w:val="22"/>
        </w:rPr>
      </w:pPr>
      <w:r w:rsidRPr="00595075">
        <w:rPr>
          <w:color w:val="000000" w:themeColor="text1"/>
          <w:sz w:val="22"/>
          <w:szCs w:val="22"/>
        </w:rPr>
        <w:t>Ievadot aciklovīru vienu stundu pēc 1 g probenecīda ievadīšanas, terminālais eliminācijas pusperiods un laukums zem plazmas koncentrācijas-laika līknes palielinās attiecīgi par 18 % un 40 %.</w:t>
      </w:r>
    </w:p>
    <w:p w14:paraId="64D9C8A0" w14:textId="77777777" w:rsidR="0074050D" w:rsidRPr="00595075" w:rsidRDefault="0074050D" w:rsidP="00F70B36">
      <w:pPr>
        <w:spacing w:line="240" w:lineRule="auto"/>
        <w:jc w:val="both"/>
        <w:rPr>
          <w:color w:val="000000" w:themeColor="text1"/>
          <w:szCs w:val="22"/>
        </w:rPr>
      </w:pPr>
    </w:p>
    <w:p w14:paraId="10A07F24" w14:textId="77777777" w:rsidR="00CD10AA" w:rsidRPr="00595075" w:rsidRDefault="00CD10AA" w:rsidP="00F70B36">
      <w:pPr>
        <w:tabs>
          <w:tab w:val="clear" w:pos="567"/>
        </w:tabs>
        <w:spacing w:line="240" w:lineRule="auto"/>
        <w:jc w:val="both"/>
        <w:rPr>
          <w:color w:val="000000" w:themeColor="text1"/>
          <w:szCs w:val="22"/>
        </w:rPr>
      </w:pPr>
      <w:r w:rsidRPr="00595075">
        <w:rPr>
          <w:b/>
          <w:color w:val="000000" w:themeColor="text1"/>
          <w:szCs w:val="22"/>
        </w:rPr>
        <w:t>5.3</w:t>
      </w:r>
      <w:r w:rsidR="008C59E2" w:rsidRPr="00595075">
        <w:rPr>
          <w:b/>
          <w:color w:val="000000" w:themeColor="text1"/>
          <w:szCs w:val="22"/>
        </w:rPr>
        <w:t>.</w:t>
      </w:r>
      <w:r w:rsidRPr="00595075">
        <w:rPr>
          <w:b/>
          <w:color w:val="000000" w:themeColor="text1"/>
          <w:szCs w:val="22"/>
        </w:rPr>
        <w:tab/>
        <w:t>Preklīniskie dati par droš</w:t>
      </w:r>
      <w:r w:rsidR="00E53972" w:rsidRPr="00595075">
        <w:rPr>
          <w:b/>
          <w:color w:val="000000" w:themeColor="text1"/>
          <w:szCs w:val="22"/>
        </w:rPr>
        <w:t>umu</w:t>
      </w:r>
    </w:p>
    <w:p w14:paraId="35CE5194" w14:textId="0B3A1880" w:rsidR="00CD10AA" w:rsidRPr="00595075" w:rsidRDefault="00CD10AA" w:rsidP="00F70B36">
      <w:pPr>
        <w:tabs>
          <w:tab w:val="clear" w:pos="567"/>
        </w:tabs>
        <w:spacing w:line="240" w:lineRule="auto"/>
        <w:jc w:val="both"/>
        <w:rPr>
          <w:noProof/>
          <w:color w:val="000000" w:themeColor="text1"/>
          <w:szCs w:val="22"/>
        </w:rPr>
      </w:pPr>
    </w:p>
    <w:p w14:paraId="504D9D4A" w14:textId="77777777" w:rsidR="00A86477" w:rsidRPr="00595075" w:rsidRDefault="00A86477" w:rsidP="00F70B36">
      <w:pPr>
        <w:spacing w:line="240" w:lineRule="auto"/>
        <w:jc w:val="both"/>
        <w:rPr>
          <w:bCs/>
          <w:iCs/>
          <w:color w:val="000000" w:themeColor="text1"/>
          <w:szCs w:val="22"/>
          <w:u w:val="single"/>
        </w:rPr>
      </w:pPr>
      <w:r w:rsidRPr="00595075">
        <w:rPr>
          <w:bCs/>
          <w:iCs/>
          <w:color w:val="000000" w:themeColor="text1"/>
          <w:szCs w:val="22"/>
          <w:u w:val="single"/>
        </w:rPr>
        <w:t>Mutagenitāte</w:t>
      </w:r>
    </w:p>
    <w:p w14:paraId="4C9802F0" w14:textId="52C9C172" w:rsidR="00A86477" w:rsidRPr="00595075" w:rsidRDefault="00A86477" w:rsidP="00F70B36">
      <w:pPr>
        <w:spacing w:line="240" w:lineRule="auto"/>
        <w:jc w:val="both"/>
        <w:rPr>
          <w:b/>
          <w:i/>
          <w:color w:val="000000" w:themeColor="text1"/>
          <w:szCs w:val="22"/>
        </w:rPr>
      </w:pPr>
      <w:r w:rsidRPr="00595075">
        <w:rPr>
          <w:color w:val="000000" w:themeColor="text1"/>
          <w:szCs w:val="22"/>
        </w:rPr>
        <w:t xml:space="preserve">Daudzi </w:t>
      </w:r>
      <w:r w:rsidRPr="00595075">
        <w:rPr>
          <w:i/>
          <w:color w:val="000000" w:themeColor="text1"/>
          <w:szCs w:val="22"/>
        </w:rPr>
        <w:t xml:space="preserve">in vitro </w:t>
      </w:r>
      <w:r w:rsidRPr="00595075">
        <w:rPr>
          <w:color w:val="000000" w:themeColor="text1"/>
          <w:szCs w:val="22"/>
        </w:rPr>
        <w:t xml:space="preserve">un </w:t>
      </w:r>
      <w:r w:rsidRPr="00595075">
        <w:rPr>
          <w:i/>
          <w:color w:val="000000" w:themeColor="text1"/>
          <w:szCs w:val="22"/>
        </w:rPr>
        <w:t xml:space="preserve">in vivo </w:t>
      </w:r>
      <w:r w:rsidRPr="00595075">
        <w:rPr>
          <w:color w:val="000000" w:themeColor="text1"/>
          <w:szCs w:val="22"/>
        </w:rPr>
        <w:t>mutagenit</w:t>
      </w:r>
      <w:r w:rsidR="00F70B36" w:rsidRPr="00595075">
        <w:rPr>
          <w:color w:val="000000" w:themeColor="text1"/>
          <w:szCs w:val="22"/>
        </w:rPr>
        <w:t>ā</w:t>
      </w:r>
      <w:r w:rsidRPr="00595075">
        <w:rPr>
          <w:color w:val="000000" w:themeColor="text1"/>
          <w:szCs w:val="22"/>
        </w:rPr>
        <w:t>tes pētījumi liecina, ka ģenētisku traucējumu izraisīšanas risks cilvēkiem saistībā ar aciklovīra lietošanu ir mazticams.</w:t>
      </w:r>
    </w:p>
    <w:p w14:paraId="7EB58FF8" w14:textId="77777777" w:rsidR="00A86477" w:rsidRPr="00595075" w:rsidRDefault="00A86477" w:rsidP="00F70B36">
      <w:pPr>
        <w:spacing w:line="240" w:lineRule="auto"/>
        <w:jc w:val="both"/>
        <w:rPr>
          <w:b/>
          <w:i/>
          <w:color w:val="000000" w:themeColor="text1"/>
          <w:szCs w:val="22"/>
        </w:rPr>
      </w:pPr>
    </w:p>
    <w:p w14:paraId="166114AF" w14:textId="77777777" w:rsidR="00A86477" w:rsidRPr="00595075" w:rsidRDefault="00A86477" w:rsidP="00F70B36">
      <w:pPr>
        <w:spacing w:line="240" w:lineRule="auto"/>
        <w:jc w:val="both"/>
        <w:rPr>
          <w:bCs/>
          <w:iCs/>
          <w:color w:val="000000" w:themeColor="text1"/>
          <w:szCs w:val="22"/>
          <w:u w:val="single"/>
        </w:rPr>
      </w:pPr>
      <w:r w:rsidRPr="00595075">
        <w:rPr>
          <w:bCs/>
          <w:iCs/>
          <w:color w:val="000000" w:themeColor="text1"/>
          <w:szCs w:val="22"/>
          <w:u w:val="single"/>
        </w:rPr>
        <w:t>Kancerogenitāte</w:t>
      </w:r>
    </w:p>
    <w:p w14:paraId="25632D28" w14:textId="78CA9BF6" w:rsidR="00A86477" w:rsidRPr="00595075" w:rsidRDefault="00A86477" w:rsidP="00F70B36">
      <w:pPr>
        <w:spacing w:line="240" w:lineRule="auto"/>
        <w:jc w:val="both"/>
        <w:rPr>
          <w:b/>
          <w:i/>
          <w:color w:val="000000" w:themeColor="text1"/>
          <w:szCs w:val="22"/>
        </w:rPr>
      </w:pPr>
      <w:r w:rsidRPr="00595075">
        <w:rPr>
          <w:color w:val="000000" w:themeColor="text1"/>
          <w:szCs w:val="22"/>
        </w:rPr>
        <w:t>Ilg</w:t>
      </w:r>
      <w:r w:rsidR="009466A5" w:rsidRPr="00595075">
        <w:rPr>
          <w:color w:val="000000" w:themeColor="text1"/>
          <w:szCs w:val="22"/>
        </w:rPr>
        <w:t>termiņa</w:t>
      </w:r>
      <w:r w:rsidRPr="00595075">
        <w:rPr>
          <w:color w:val="000000" w:themeColor="text1"/>
          <w:szCs w:val="22"/>
        </w:rPr>
        <w:t xml:space="preserve"> pētījumos ar žurkām un pelēm netika novērota aciklovīra </w:t>
      </w:r>
      <w:r w:rsidR="009466A5" w:rsidRPr="00595075">
        <w:rPr>
          <w:color w:val="000000" w:themeColor="text1"/>
          <w:szCs w:val="22"/>
        </w:rPr>
        <w:t xml:space="preserve">kancerogēna </w:t>
      </w:r>
      <w:r w:rsidRPr="00595075">
        <w:rPr>
          <w:color w:val="000000" w:themeColor="text1"/>
          <w:szCs w:val="22"/>
        </w:rPr>
        <w:t>iedarbība.</w:t>
      </w:r>
    </w:p>
    <w:p w14:paraId="68C8181E" w14:textId="77777777" w:rsidR="00A86477" w:rsidRPr="00595075" w:rsidRDefault="00A86477" w:rsidP="00F70B36">
      <w:pPr>
        <w:spacing w:line="240" w:lineRule="auto"/>
        <w:jc w:val="both"/>
        <w:rPr>
          <w:b/>
          <w:i/>
          <w:color w:val="000000" w:themeColor="text1"/>
          <w:szCs w:val="22"/>
        </w:rPr>
      </w:pPr>
    </w:p>
    <w:p w14:paraId="5F5226C4" w14:textId="77777777" w:rsidR="00A86477" w:rsidRPr="00595075" w:rsidRDefault="00A86477" w:rsidP="00F70B36">
      <w:pPr>
        <w:spacing w:line="240" w:lineRule="auto"/>
        <w:jc w:val="both"/>
        <w:rPr>
          <w:bCs/>
          <w:iCs/>
          <w:color w:val="000000" w:themeColor="text1"/>
          <w:szCs w:val="22"/>
          <w:u w:val="single"/>
        </w:rPr>
      </w:pPr>
      <w:r w:rsidRPr="00595075">
        <w:rPr>
          <w:bCs/>
          <w:iCs/>
          <w:color w:val="000000" w:themeColor="text1"/>
          <w:szCs w:val="22"/>
          <w:u w:val="single"/>
        </w:rPr>
        <w:t>Teratogenitāte</w:t>
      </w:r>
    </w:p>
    <w:p w14:paraId="414652FB" w14:textId="15A7DF9A" w:rsidR="00A86477" w:rsidRPr="00595075" w:rsidRDefault="00A86477" w:rsidP="00F70B36">
      <w:pPr>
        <w:spacing w:line="240" w:lineRule="auto"/>
        <w:jc w:val="both"/>
        <w:rPr>
          <w:color w:val="000000" w:themeColor="text1"/>
          <w:szCs w:val="22"/>
        </w:rPr>
      </w:pPr>
      <w:r w:rsidRPr="00595075">
        <w:rPr>
          <w:color w:val="000000" w:themeColor="text1"/>
          <w:szCs w:val="22"/>
        </w:rPr>
        <w:t>Sistēmiska aciklovīra ievadīšana starptautiski atzītos standarta pētījumos trušiem, žurkām vai pelēm neuzrādīja embriotoksisku vai teratogēnu iedarbību.</w:t>
      </w:r>
      <w:r w:rsidR="007A1AE9" w:rsidRPr="00595075">
        <w:rPr>
          <w:color w:val="000000" w:themeColor="text1"/>
          <w:szCs w:val="22"/>
        </w:rPr>
        <w:t xml:space="preserve"> </w:t>
      </w:r>
      <w:r w:rsidRPr="00595075">
        <w:rPr>
          <w:color w:val="000000" w:themeColor="text1"/>
          <w:szCs w:val="22"/>
        </w:rPr>
        <w:t>Nestandarta pētījumos ar žurkām tika novērotas augļa patoloģijas, taču tikai subkutāni ievadot lielas devas, kas radīja toksisku ietekmi uz mātītes organismu. Šo novērojumu klīniskā nozīme nav skaidra.</w:t>
      </w:r>
    </w:p>
    <w:p w14:paraId="41EA3A5B" w14:textId="77777777" w:rsidR="00A86477" w:rsidRPr="00595075" w:rsidRDefault="00A86477" w:rsidP="00F70B36">
      <w:pPr>
        <w:spacing w:line="240" w:lineRule="auto"/>
        <w:jc w:val="both"/>
        <w:rPr>
          <w:b/>
          <w:color w:val="000000" w:themeColor="text1"/>
          <w:szCs w:val="22"/>
        </w:rPr>
      </w:pPr>
    </w:p>
    <w:p w14:paraId="51CD805C" w14:textId="77777777" w:rsidR="00A86477" w:rsidRPr="00595075" w:rsidRDefault="00A86477" w:rsidP="00F70B36">
      <w:pPr>
        <w:spacing w:line="240" w:lineRule="auto"/>
        <w:jc w:val="both"/>
        <w:rPr>
          <w:bCs/>
          <w:iCs/>
          <w:color w:val="000000" w:themeColor="text1"/>
          <w:szCs w:val="22"/>
          <w:u w:val="single"/>
        </w:rPr>
      </w:pPr>
      <w:r w:rsidRPr="00595075">
        <w:rPr>
          <w:bCs/>
          <w:iCs/>
          <w:color w:val="000000" w:themeColor="text1"/>
          <w:szCs w:val="22"/>
          <w:u w:val="single"/>
        </w:rPr>
        <w:t>Fertilitāte</w:t>
      </w:r>
    </w:p>
    <w:p w14:paraId="53C23851" w14:textId="0FCE2ED2" w:rsidR="00A86477" w:rsidRPr="00595075" w:rsidRDefault="00A86477" w:rsidP="00F70B36">
      <w:pPr>
        <w:spacing w:line="240" w:lineRule="auto"/>
        <w:jc w:val="both"/>
        <w:rPr>
          <w:b/>
          <w:color w:val="000000" w:themeColor="text1"/>
          <w:szCs w:val="22"/>
        </w:rPr>
      </w:pPr>
      <w:r w:rsidRPr="00595075">
        <w:rPr>
          <w:color w:val="000000" w:themeColor="text1"/>
          <w:szCs w:val="22"/>
        </w:rPr>
        <w:t>Ir ziņots galvenokārt par atgriezenisku ietekmi uz spermatoģenēzi žurkām un suņiem, kas saistīt</w:t>
      </w:r>
      <w:r w:rsidR="009466A5" w:rsidRPr="00595075">
        <w:rPr>
          <w:color w:val="000000" w:themeColor="text1"/>
          <w:szCs w:val="22"/>
        </w:rPr>
        <w:t>a</w:t>
      </w:r>
      <w:r w:rsidRPr="00595075">
        <w:rPr>
          <w:color w:val="000000" w:themeColor="text1"/>
          <w:szCs w:val="22"/>
        </w:rPr>
        <w:t xml:space="preserve"> ar vispārējo toksicitāti, lietojot tikai aciklovīra devas, kas ievērojami pārsniedz terapeitiskās devas. Pētījumos ar pelēm divās paaudzēs nav novērota ietekme uz fertilitāti pēc (iekšķīgas) aciklovīra lietošanas.</w:t>
      </w:r>
    </w:p>
    <w:p w14:paraId="471C6D30" w14:textId="23250709" w:rsidR="00CD10AA" w:rsidRPr="00595075" w:rsidRDefault="00CD10AA" w:rsidP="00F70B36">
      <w:pPr>
        <w:tabs>
          <w:tab w:val="clear" w:pos="567"/>
        </w:tabs>
        <w:spacing w:line="240" w:lineRule="auto"/>
        <w:jc w:val="both"/>
        <w:rPr>
          <w:color w:val="000000" w:themeColor="text1"/>
          <w:szCs w:val="22"/>
        </w:rPr>
      </w:pPr>
    </w:p>
    <w:p w14:paraId="5E8BB677" w14:textId="77777777" w:rsidR="00D27ABD" w:rsidRPr="00595075" w:rsidRDefault="00D27ABD" w:rsidP="00F70B36">
      <w:pPr>
        <w:tabs>
          <w:tab w:val="clear" w:pos="567"/>
        </w:tabs>
        <w:spacing w:line="240" w:lineRule="auto"/>
        <w:jc w:val="both"/>
        <w:rPr>
          <w:color w:val="000000" w:themeColor="text1"/>
          <w:szCs w:val="22"/>
        </w:rPr>
      </w:pPr>
    </w:p>
    <w:p w14:paraId="2895B3CA" w14:textId="77777777" w:rsidR="00CD10AA" w:rsidRPr="00595075" w:rsidRDefault="00CD10AA" w:rsidP="00F70B36">
      <w:pPr>
        <w:tabs>
          <w:tab w:val="clear" w:pos="567"/>
        </w:tabs>
        <w:spacing w:line="240" w:lineRule="auto"/>
        <w:jc w:val="both"/>
        <w:rPr>
          <w:b/>
          <w:color w:val="000000" w:themeColor="text1"/>
          <w:szCs w:val="22"/>
        </w:rPr>
      </w:pPr>
      <w:r w:rsidRPr="00595075">
        <w:rPr>
          <w:b/>
          <w:color w:val="000000" w:themeColor="text1"/>
          <w:szCs w:val="22"/>
        </w:rPr>
        <w:t>6.</w:t>
      </w:r>
      <w:r w:rsidRPr="00595075">
        <w:rPr>
          <w:b/>
          <w:color w:val="000000" w:themeColor="text1"/>
          <w:szCs w:val="22"/>
        </w:rPr>
        <w:tab/>
        <w:t>FARMACEITISKĀ INFORMĀCIJA</w:t>
      </w:r>
    </w:p>
    <w:p w14:paraId="4D31ED9E" w14:textId="77777777" w:rsidR="003465E9" w:rsidRPr="00595075" w:rsidRDefault="003465E9" w:rsidP="00F70B36">
      <w:pPr>
        <w:tabs>
          <w:tab w:val="clear" w:pos="567"/>
        </w:tabs>
        <w:spacing w:line="240" w:lineRule="auto"/>
        <w:jc w:val="both"/>
        <w:rPr>
          <w:b/>
          <w:color w:val="000000" w:themeColor="text1"/>
          <w:szCs w:val="22"/>
        </w:rPr>
      </w:pPr>
    </w:p>
    <w:p w14:paraId="121F0EB3" w14:textId="3F0C1296" w:rsidR="00CD10AA" w:rsidRPr="00595075" w:rsidRDefault="00CD10AA" w:rsidP="00F70B36">
      <w:pPr>
        <w:tabs>
          <w:tab w:val="clear" w:pos="567"/>
        </w:tabs>
        <w:spacing w:line="240" w:lineRule="auto"/>
        <w:jc w:val="both"/>
        <w:rPr>
          <w:color w:val="000000" w:themeColor="text1"/>
          <w:szCs w:val="22"/>
        </w:rPr>
      </w:pPr>
      <w:r w:rsidRPr="00595075">
        <w:rPr>
          <w:b/>
          <w:color w:val="000000" w:themeColor="text1"/>
          <w:szCs w:val="22"/>
        </w:rPr>
        <w:t>6.1</w:t>
      </w:r>
      <w:r w:rsidR="00980C1E" w:rsidRPr="00595075">
        <w:rPr>
          <w:b/>
          <w:color w:val="000000" w:themeColor="text1"/>
          <w:szCs w:val="22"/>
        </w:rPr>
        <w:t>.</w:t>
      </w:r>
      <w:r w:rsidRPr="00595075">
        <w:rPr>
          <w:b/>
          <w:color w:val="000000" w:themeColor="text1"/>
          <w:szCs w:val="22"/>
        </w:rPr>
        <w:tab/>
        <w:t>Palīgvielu saraksts</w:t>
      </w:r>
    </w:p>
    <w:p w14:paraId="6EAAC2F5" w14:textId="0F759A2C" w:rsidR="00CD10AA" w:rsidRPr="00595075" w:rsidRDefault="00CD10AA" w:rsidP="00F70B36">
      <w:pPr>
        <w:tabs>
          <w:tab w:val="clear" w:pos="567"/>
        </w:tabs>
        <w:spacing w:line="240" w:lineRule="auto"/>
        <w:jc w:val="both"/>
        <w:rPr>
          <w:noProof/>
          <w:color w:val="000000" w:themeColor="text1"/>
          <w:szCs w:val="22"/>
          <w:u w:val="single"/>
        </w:rPr>
      </w:pPr>
    </w:p>
    <w:p w14:paraId="2DA8404F" w14:textId="459C2E87" w:rsidR="003465E9" w:rsidRPr="00595075" w:rsidRDefault="003465E9" w:rsidP="00F70B36">
      <w:pPr>
        <w:tabs>
          <w:tab w:val="clear" w:pos="567"/>
        </w:tabs>
        <w:spacing w:line="240" w:lineRule="auto"/>
        <w:jc w:val="both"/>
        <w:rPr>
          <w:noProof/>
          <w:color w:val="000000" w:themeColor="text1"/>
          <w:szCs w:val="22"/>
        </w:rPr>
      </w:pPr>
      <w:r w:rsidRPr="00595075">
        <w:rPr>
          <w:noProof/>
          <w:color w:val="000000" w:themeColor="text1"/>
          <w:szCs w:val="22"/>
        </w:rPr>
        <w:t>Nātrija hidroksīds (pH pielāgošanai)</w:t>
      </w:r>
    </w:p>
    <w:p w14:paraId="5A3DED7B" w14:textId="77777777" w:rsidR="003465E9" w:rsidRPr="00595075" w:rsidRDefault="003465E9" w:rsidP="00F70B36">
      <w:pPr>
        <w:tabs>
          <w:tab w:val="clear" w:pos="567"/>
        </w:tabs>
        <w:spacing w:line="240" w:lineRule="auto"/>
        <w:jc w:val="both"/>
        <w:rPr>
          <w:color w:val="000000" w:themeColor="text1"/>
          <w:szCs w:val="22"/>
        </w:rPr>
      </w:pPr>
    </w:p>
    <w:p w14:paraId="2806230C" w14:textId="77777777" w:rsidR="00CD10AA" w:rsidRPr="00595075" w:rsidRDefault="00CD10AA" w:rsidP="00F70B36">
      <w:pPr>
        <w:tabs>
          <w:tab w:val="clear" w:pos="567"/>
        </w:tabs>
        <w:spacing w:line="240" w:lineRule="auto"/>
        <w:jc w:val="both"/>
        <w:rPr>
          <w:color w:val="000000" w:themeColor="text1"/>
          <w:szCs w:val="22"/>
        </w:rPr>
      </w:pPr>
      <w:r w:rsidRPr="00595075">
        <w:rPr>
          <w:b/>
          <w:color w:val="000000" w:themeColor="text1"/>
          <w:szCs w:val="22"/>
        </w:rPr>
        <w:t>6.2</w:t>
      </w:r>
      <w:r w:rsidR="00980C1E" w:rsidRPr="00595075">
        <w:rPr>
          <w:b/>
          <w:color w:val="000000" w:themeColor="text1"/>
          <w:szCs w:val="22"/>
        </w:rPr>
        <w:t>.</w:t>
      </w:r>
      <w:r w:rsidRPr="00595075">
        <w:rPr>
          <w:b/>
          <w:color w:val="000000" w:themeColor="text1"/>
          <w:szCs w:val="22"/>
        </w:rPr>
        <w:tab/>
        <w:t>Nesaderība</w:t>
      </w:r>
    </w:p>
    <w:p w14:paraId="6CA23717" w14:textId="77777777" w:rsidR="00980C1E" w:rsidRPr="00595075" w:rsidRDefault="00980C1E" w:rsidP="00F70B36">
      <w:pPr>
        <w:tabs>
          <w:tab w:val="clear" w:pos="567"/>
        </w:tabs>
        <w:spacing w:line="240" w:lineRule="auto"/>
        <w:jc w:val="both"/>
        <w:rPr>
          <w:color w:val="000000" w:themeColor="text1"/>
          <w:szCs w:val="22"/>
        </w:rPr>
      </w:pPr>
    </w:p>
    <w:p w14:paraId="26286DA2" w14:textId="77777777" w:rsidR="00CD10AA" w:rsidRPr="00595075" w:rsidRDefault="000A5FA6" w:rsidP="00F70B36">
      <w:pPr>
        <w:tabs>
          <w:tab w:val="clear" w:pos="567"/>
        </w:tabs>
        <w:spacing w:line="240" w:lineRule="auto"/>
        <w:jc w:val="both"/>
        <w:rPr>
          <w:color w:val="000000" w:themeColor="text1"/>
          <w:szCs w:val="22"/>
        </w:rPr>
      </w:pPr>
      <w:r w:rsidRPr="00595075">
        <w:rPr>
          <w:color w:val="000000" w:themeColor="text1"/>
          <w:szCs w:val="22"/>
        </w:rPr>
        <w:t>Šīs z</w:t>
      </w:r>
      <w:r w:rsidR="00CD10AA" w:rsidRPr="00595075">
        <w:rPr>
          <w:color w:val="000000" w:themeColor="text1"/>
          <w:szCs w:val="22"/>
        </w:rPr>
        <w:t>āles</w:t>
      </w:r>
      <w:r w:rsidRPr="00595075">
        <w:rPr>
          <w:color w:val="000000" w:themeColor="text1"/>
          <w:szCs w:val="22"/>
        </w:rPr>
        <w:t xml:space="preserve"> </w:t>
      </w:r>
      <w:r w:rsidRPr="00595075">
        <w:rPr>
          <w:noProof/>
          <w:color w:val="000000" w:themeColor="text1"/>
          <w:szCs w:val="22"/>
        </w:rPr>
        <w:t>nedrīkst sajaukt (lietot maisījumā) ar citām zālēm</w:t>
      </w:r>
      <w:r w:rsidR="00CD10AA" w:rsidRPr="00595075">
        <w:rPr>
          <w:color w:val="000000" w:themeColor="text1"/>
          <w:szCs w:val="22"/>
        </w:rPr>
        <w:t xml:space="preserve"> (</w:t>
      </w:r>
      <w:r w:rsidR="0071303C" w:rsidRPr="00595075">
        <w:rPr>
          <w:noProof/>
          <w:color w:val="000000" w:themeColor="text1"/>
          <w:szCs w:val="22"/>
        </w:rPr>
        <w:t>izņemot</w:t>
      </w:r>
      <w:r w:rsidR="00CD10AA" w:rsidRPr="00595075">
        <w:rPr>
          <w:color w:val="000000" w:themeColor="text1"/>
          <w:szCs w:val="22"/>
        </w:rPr>
        <w:t xml:space="preserve"> </w:t>
      </w:r>
      <w:r w:rsidRPr="00595075">
        <w:rPr>
          <w:noProof/>
          <w:color w:val="000000" w:themeColor="text1"/>
          <w:szCs w:val="22"/>
        </w:rPr>
        <w:t>6.6</w:t>
      </w:r>
      <w:r w:rsidR="00980C1E" w:rsidRPr="00595075">
        <w:rPr>
          <w:noProof/>
          <w:color w:val="000000" w:themeColor="text1"/>
          <w:szCs w:val="22"/>
        </w:rPr>
        <w:t>.</w:t>
      </w:r>
      <w:r w:rsidRPr="00595075">
        <w:rPr>
          <w:noProof/>
          <w:color w:val="000000" w:themeColor="text1"/>
          <w:szCs w:val="22"/>
        </w:rPr>
        <w:t xml:space="preserve"> </w:t>
      </w:r>
      <w:r w:rsidR="00FD187E" w:rsidRPr="00595075">
        <w:rPr>
          <w:noProof/>
          <w:color w:val="000000" w:themeColor="text1"/>
          <w:szCs w:val="22"/>
        </w:rPr>
        <w:t>apakšpunktā minētās).</w:t>
      </w:r>
    </w:p>
    <w:p w14:paraId="7802B87D" w14:textId="77777777" w:rsidR="00CD10AA" w:rsidRPr="00595075" w:rsidRDefault="00CD10AA" w:rsidP="00F70B36">
      <w:pPr>
        <w:tabs>
          <w:tab w:val="clear" w:pos="567"/>
        </w:tabs>
        <w:spacing w:line="240" w:lineRule="auto"/>
        <w:jc w:val="both"/>
        <w:rPr>
          <w:color w:val="000000" w:themeColor="text1"/>
          <w:szCs w:val="22"/>
        </w:rPr>
      </w:pPr>
    </w:p>
    <w:p w14:paraId="1B6C8F0B" w14:textId="77777777" w:rsidR="00CD10AA" w:rsidRPr="00595075" w:rsidRDefault="00CD10AA" w:rsidP="00F70B36">
      <w:pPr>
        <w:tabs>
          <w:tab w:val="clear" w:pos="567"/>
        </w:tabs>
        <w:spacing w:line="240" w:lineRule="auto"/>
        <w:jc w:val="both"/>
        <w:rPr>
          <w:color w:val="000000" w:themeColor="text1"/>
          <w:szCs w:val="22"/>
        </w:rPr>
      </w:pPr>
      <w:r w:rsidRPr="00595075">
        <w:rPr>
          <w:b/>
          <w:color w:val="000000" w:themeColor="text1"/>
          <w:szCs w:val="22"/>
        </w:rPr>
        <w:t>6.3</w:t>
      </w:r>
      <w:r w:rsidR="00980C1E" w:rsidRPr="00595075">
        <w:rPr>
          <w:b/>
          <w:color w:val="000000" w:themeColor="text1"/>
          <w:szCs w:val="22"/>
        </w:rPr>
        <w:t>.</w:t>
      </w:r>
      <w:r w:rsidRPr="00595075">
        <w:rPr>
          <w:b/>
          <w:color w:val="000000" w:themeColor="text1"/>
          <w:szCs w:val="22"/>
        </w:rPr>
        <w:tab/>
        <w:t>Uzglabāšanas laiks</w:t>
      </w:r>
    </w:p>
    <w:p w14:paraId="25C9DCE6" w14:textId="77777777" w:rsidR="003465E9" w:rsidRPr="00595075" w:rsidRDefault="003465E9" w:rsidP="00F70B36">
      <w:pPr>
        <w:tabs>
          <w:tab w:val="clear" w:pos="567"/>
        </w:tabs>
        <w:spacing w:line="240" w:lineRule="auto"/>
        <w:jc w:val="both"/>
        <w:rPr>
          <w:color w:val="000000" w:themeColor="text1"/>
          <w:szCs w:val="22"/>
          <w:highlight w:val="yellow"/>
        </w:rPr>
      </w:pPr>
    </w:p>
    <w:p w14:paraId="555A0D85" w14:textId="77777777" w:rsidR="003465E9" w:rsidRPr="00595075" w:rsidRDefault="003465E9" w:rsidP="00F70B36">
      <w:pPr>
        <w:spacing w:line="240" w:lineRule="auto"/>
        <w:jc w:val="both"/>
        <w:rPr>
          <w:color w:val="000000" w:themeColor="text1"/>
          <w:szCs w:val="22"/>
          <w:u w:val="single"/>
        </w:rPr>
      </w:pPr>
      <w:r w:rsidRPr="00595075">
        <w:rPr>
          <w:color w:val="000000" w:themeColor="text1"/>
          <w:szCs w:val="22"/>
          <w:u w:val="single"/>
        </w:rPr>
        <w:t>Neatvērts iepakojums</w:t>
      </w:r>
    </w:p>
    <w:p w14:paraId="7AC57B28" w14:textId="77777777" w:rsidR="003465E9" w:rsidRPr="00595075" w:rsidRDefault="003465E9" w:rsidP="00F70B36">
      <w:pPr>
        <w:spacing w:line="240" w:lineRule="auto"/>
        <w:jc w:val="both"/>
        <w:rPr>
          <w:color w:val="000000" w:themeColor="text1"/>
          <w:szCs w:val="22"/>
        </w:rPr>
      </w:pPr>
      <w:r w:rsidRPr="00595075">
        <w:rPr>
          <w:color w:val="000000" w:themeColor="text1"/>
          <w:szCs w:val="22"/>
        </w:rPr>
        <w:t>4 gadi.</w:t>
      </w:r>
    </w:p>
    <w:p w14:paraId="0512B78E" w14:textId="77777777" w:rsidR="003465E9" w:rsidRPr="00595075" w:rsidRDefault="003465E9" w:rsidP="00F70B36">
      <w:pPr>
        <w:spacing w:line="240" w:lineRule="auto"/>
        <w:jc w:val="both"/>
        <w:rPr>
          <w:color w:val="000000" w:themeColor="text1"/>
          <w:szCs w:val="22"/>
        </w:rPr>
      </w:pPr>
    </w:p>
    <w:p w14:paraId="3A18662D" w14:textId="77777777" w:rsidR="003465E9" w:rsidRPr="00595075" w:rsidRDefault="003465E9" w:rsidP="00F70B36">
      <w:pPr>
        <w:spacing w:line="240" w:lineRule="auto"/>
        <w:jc w:val="both"/>
        <w:rPr>
          <w:iCs/>
          <w:color w:val="000000" w:themeColor="text1"/>
          <w:szCs w:val="22"/>
          <w:u w:val="single"/>
        </w:rPr>
      </w:pPr>
      <w:r w:rsidRPr="00595075">
        <w:rPr>
          <w:iCs/>
          <w:color w:val="000000" w:themeColor="text1"/>
          <w:szCs w:val="22"/>
          <w:u w:val="single"/>
        </w:rPr>
        <w:t>Pēc izšķīdināšanas un/vai atšķaidīšanas</w:t>
      </w:r>
    </w:p>
    <w:p w14:paraId="5514B0E7" w14:textId="77777777" w:rsidR="003465E9" w:rsidRPr="00595075" w:rsidRDefault="003465E9" w:rsidP="00F70B36">
      <w:pPr>
        <w:spacing w:line="240" w:lineRule="auto"/>
        <w:jc w:val="both"/>
        <w:rPr>
          <w:color w:val="000000" w:themeColor="text1"/>
          <w:szCs w:val="22"/>
        </w:rPr>
      </w:pPr>
      <w:r w:rsidRPr="00595075">
        <w:rPr>
          <w:color w:val="000000" w:themeColor="text1"/>
          <w:szCs w:val="22"/>
        </w:rPr>
        <w:t>Izšķīdinātu šķīdumu ķīmiskā un fizikālā stabilitāte pirms lietošanas ir pierādīta 12 stundas, uzglabājot temperatūrā līdz 25°C vai ledusskapī (2°C - 8°C).</w:t>
      </w:r>
    </w:p>
    <w:p w14:paraId="15D35E9E" w14:textId="77777777" w:rsidR="003465E9" w:rsidRPr="00595075" w:rsidRDefault="003465E9" w:rsidP="00F70B36">
      <w:pPr>
        <w:spacing w:line="240" w:lineRule="auto"/>
        <w:jc w:val="both"/>
        <w:rPr>
          <w:color w:val="000000" w:themeColor="text1"/>
          <w:szCs w:val="22"/>
        </w:rPr>
      </w:pPr>
    </w:p>
    <w:p w14:paraId="68E19EED" w14:textId="73E6EAE7" w:rsidR="003465E9" w:rsidRPr="00595075" w:rsidRDefault="003465E9" w:rsidP="00F70B36">
      <w:pPr>
        <w:spacing w:line="240" w:lineRule="auto"/>
        <w:jc w:val="both"/>
        <w:rPr>
          <w:color w:val="000000" w:themeColor="text1"/>
          <w:szCs w:val="22"/>
        </w:rPr>
      </w:pPr>
      <w:r w:rsidRPr="00595075">
        <w:rPr>
          <w:color w:val="000000" w:themeColor="text1"/>
          <w:szCs w:val="22"/>
        </w:rPr>
        <w:t xml:space="preserve">No mikrobioloģiskā viedokļa šīs zāles lieto nekavējoties pēc atvēršanas. Ja tās netiek lietotas nekavējoties, par uzglabāšanas laiku un apstākļiem pirms lietošanas ir atbildīgs lietotājs un parasti tam nevajadzētu būt ilgākam par 12 stundām, uzglabājot 2°C - 8°C temperatūrā, ja vien izšķīdināšana </w:t>
      </w:r>
      <w:r w:rsidR="00DE4DD8" w:rsidRPr="00595075">
        <w:rPr>
          <w:color w:val="000000" w:themeColor="text1"/>
          <w:szCs w:val="22"/>
        </w:rPr>
        <w:t xml:space="preserve">ir </w:t>
      </w:r>
      <w:r w:rsidRPr="00595075">
        <w:rPr>
          <w:color w:val="000000" w:themeColor="text1"/>
          <w:szCs w:val="22"/>
        </w:rPr>
        <w:t>veikta kontrolētos un validētos aseptiskos apstākļos.</w:t>
      </w:r>
    </w:p>
    <w:p w14:paraId="329AC789" w14:textId="77777777" w:rsidR="003465E9" w:rsidRPr="00595075" w:rsidRDefault="003465E9" w:rsidP="00F70B36">
      <w:pPr>
        <w:spacing w:line="240" w:lineRule="auto"/>
        <w:jc w:val="both"/>
        <w:rPr>
          <w:color w:val="000000" w:themeColor="text1"/>
          <w:szCs w:val="22"/>
        </w:rPr>
      </w:pPr>
    </w:p>
    <w:p w14:paraId="76E599A6" w14:textId="02860A31" w:rsidR="003465E9" w:rsidRPr="00595075" w:rsidRDefault="003465E9" w:rsidP="00F70B36">
      <w:pPr>
        <w:spacing w:line="240" w:lineRule="auto"/>
        <w:jc w:val="both"/>
        <w:rPr>
          <w:color w:val="000000" w:themeColor="text1"/>
          <w:szCs w:val="22"/>
        </w:rPr>
      </w:pPr>
      <w:r w:rsidRPr="00595075">
        <w:rPr>
          <w:color w:val="000000" w:themeColor="text1"/>
          <w:szCs w:val="22"/>
        </w:rPr>
        <w:t>Pēc atšķaidīšanas, izmantojot šķidrumus, kas norādīti 6.6. apakšpunktā, ir pierādīta šāda ķīmiskā un fizikālā stabilitāte pirms lietošanas:</w:t>
      </w:r>
    </w:p>
    <w:p w14:paraId="61446F10" w14:textId="77777777" w:rsidR="003465E9" w:rsidRPr="00595075" w:rsidRDefault="003465E9" w:rsidP="00F70B36">
      <w:pPr>
        <w:spacing w:line="240" w:lineRule="auto"/>
        <w:jc w:val="both"/>
        <w:rPr>
          <w:color w:val="000000" w:themeColor="text1"/>
          <w:szCs w:val="22"/>
        </w:rPr>
      </w:pPr>
    </w:p>
    <w:tbl>
      <w:tblPr>
        <w:tblStyle w:val="TableGrid"/>
        <w:tblpPr w:leftFromText="180" w:rightFromText="180" w:vertAnchor="text" w:tblpY="157"/>
        <w:tblW w:w="0" w:type="auto"/>
        <w:tblLook w:val="04A0" w:firstRow="1" w:lastRow="0" w:firstColumn="1" w:lastColumn="0" w:noHBand="0" w:noVBand="1"/>
      </w:tblPr>
      <w:tblGrid>
        <w:gridCol w:w="5039"/>
        <w:gridCol w:w="2321"/>
        <w:gridCol w:w="1702"/>
      </w:tblGrid>
      <w:tr w:rsidR="003465E9" w:rsidRPr="00595075" w14:paraId="7F03824C" w14:textId="77777777" w:rsidTr="00045793">
        <w:tc>
          <w:tcPr>
            <w:tcW w:w="0" w:type="auto"/>
            <w:vAlign w:val="center"/>
          </w:tcPr>
          <w:p w14:paraId="19659919" w14:textId="77777777" w:rsidR="003465E9" w:rsidRPr="00595075" w:rsidRDefault="003465E9" w:rsidP="00F70B36">
            <w:pPr>
              <w:spacing w:line="240" w:lineRule="auto"/>
              <w:jc w:val="center"/>
              <w:rPr>
                <w:i/>
                <w:iCs/>
                <w:color w:val="000000" w:themeColor="text1"/>
                <w:szCs w:val="22"/>
              </w:rPr>
            </w:pPr>
            <w:r w:rsidRPr="00595075">
              <w:rPr>
                <w:i/>
                <w:iCs/>
                <w:color w:val="000000" w:themeColor="text1"/>
                <w:szCs w:val="22"/>
              </w:rPr>
              <w:t>Infūziju šķīdums</w:t>
            </w:r>
          </w:p>
        </w:tc>
        <w:tc>
          <w:tcPr>
            <w:tcW w:w="0" w:type="auto"/>
            <w:vAlign w:val="center"/>
          </w:tcPr>
          <w:p w14:paraId="69AF1737" w14:textId="77777777" w:rsidR="003465E9" w:rsidRPr="00595075" w:rsidRDefault="003465E9" w:rsidP="00F70B36">
            <w:pPr>
              <w:spacing w:line="240" w:lineRule="auto"/>
              <w:jc w:val="center"/>
              <w:rPr>
                <w:i/>
                <w:iCs/>
                <w:color w:val="000000" w:themeColor="text1"/>
                <w:szCs w:val="22"/>
              </w:rPr>
            </w:pPr>
            <w:r w:rsidRPr="00595075">
              <w:rPr>
                <w:i/>
                <w:iCs/>
                <w:color w:val="000000" w:themeColor="text1"/>
                <w:szCs w:val="22"/>
              </w:rPr>
              <w:t>Istabas temperatūrā (15</w:t>
            </w:r>
            <w:r w:rsidRPr="00595075">
              <w:rPr>
                <w:i/>
                <w:iCs/>
                <w:color w:val="000000" w:themeColor="text1"/>
                <w:szCs w:val="22"/>
              </w:rPr>
              <w:sym w:font="Symbol" w:char="F0B0"/>
            </w:r>
            <w:r w:rsidRPr="00595075">
              <w:rPr>
                <w:i/>
                <w:iCs/>
                <w:color w:val="000000" w:themeColor="text1"/>
                <w:szCs w:val="22"/>
              </w:rPr>
              <w:t>C līdz 25</w:t>
            </w:r>
            <w:r w:rsidRPr="00595075">
              <w:rPr>
                <w:i/>
                <w:iCs/>
                <w:color w:val="000000" w:themeColor="text1"/>
                <w:szCs w:val="22"/>
              </w:rPr>
              <w:sym w:font="Symbol" w:char="F0B0"/>
            </w:r>
            <w:r w:rsidRPr="00595075">
              <w:rPr>
                <w:i/>
                <w:iCs/>
                <w:color w:val="000000" w:themeColor="text1"/>
                <w:szCs w:val="22"/>
              </w:rPr>
              <w:t>C)</w:t>
            </w:r>
          </w:p>
        </w:tc>
        <w:tc>
          <w:tcPr>
            <w:tcW w:w="0" w:type="auto"/>
            <w:vAlign w:val="center"/>
          </w:tcPr>
          <w:p w14:paraId="7D1A8F97" w14:textId="77777777" w:rsidR="003465E9" w:rsidRPr="00595075" w:rsidRDefault="003465E9" w:rsidP="00F70B36">
            <w:pPr>
              <w:spacing w:line="240" w:lineRule="auto"/>
              <w:jc w:val="center"/>
              <w:rPr>
                <w:i/>
                <w:iCs/>
                <w:color w:val="000000" w:themeColor="text1"/>
                <w:szCs w:val="22"/>
              </w:rPr>
            </w:pPr>
            <w:r w:rsidRPr="00595075">
              <w:rPr>
                <w:i/>
                <w:iCs/>
                <w:color w:val="000000" w:themeColor="text1"/>
                <w:szCs w:val="22"/>
              </w:rPr>
              <w:t>Ledusskapī (2°C - 8°C)</w:t>
            </w:r>
          </w:p>
        </w:tc>
      </w:tr>
      <w:tr w:rsidR="003465E9" w:rsidRPr="00595075" w14:paraId="0629DFCB" w14:textId="77777777" w:rsidTr="00045793">
        <w:tc>
          <w:tcPr>
            <w:tcW w:w="0" w:type="auto"/>
            <w:vAlign w:val="center"/>
          </w:tcPr>
          <w:p w14:paraId="44AA93EC" w14:textId="7CCE9E18" w:rsidR="003465E9" w:rsidRPr="00595075" w:rsidRDefault="003465E9" w:rsidP="00F70B36">
            <w:pPr>
              <w:spacing w:line="240" w:lineRule="auto"/>
              <w:jc w:val="both"/>
              <w:rPr>
                <w:color w:val="000000" w:themeColor="text1"/>
                <w:szCs w:val="22"/>
              </w:rPr>
            </w:pPr>
            <w:r w:rsidRPr="00595075">
              <w:rPr>
                <w:color w:val="000000" w:themeColor="text1"/>
                <w:szCs w:val="22"/>
              </w:rPr>
              <w:t>Nātrija hlorīds intravenozām infūzijām (0,9 %)</w:t>
            </w:r>
          </w:p>
        </w:tc>
        <w:tc>
          <w:tcPr>
            <w:tcW w:w="0" w:type="auto"/>
            <w:vAlign w:val="center"/>
          </w:tcPr>
          <w:p w14:paraId="5EF99761" w14:textId="77777777" w:rsidR="003465E9" w:rsidRPr="00595075" w:rsidRDefault="003465E9" w:rsidP="00F70B36">
            <w:pPr>
              <w:spacing w:line="240" w:lineRule="auto"/>
              <w:jc w:val="center"/>
              <w:rPr>
                <w:color w:val="000000" w:themeColor="text1"/>
                <w:szCs w:val="22"/>
              </w:rPr>
            </w:pPr>
            <w:r w:rsidRPr="00595075">
              <w:rPr>
                <w:color w:val="000000" w:themeColor="text1"/>
                <w:szCs w:val="22"/>
              </w:rPr>
              <w:t>24 stundas</w:t>
            </w:r>
          </w:p>
        </w:tc>
        <w:tc>
          <w:tcPr>
            <w:tcW w:w="0" w:type="auto"/>
            <w:vAlign w:val="center"/>
          </w:tcPr>
          <w:p w14:paraId="28314B7E" w14:textId="77777777" w:rsidR="003465E9" w:rsidRPr="00595075" w:rsidRDefault="003465E9" w:rsidP="00F70B36">
            <w:pPr>
              <w:spacing w:line="240" w:lineRule="auto"/>
              <w:jc w:val="center"/>
              <w:rPr>
                <w:color w:val="000000" w:themeColor="text1"/>
                <w:szCs w:val="22"/>
              </w:rPr>
            </w:pPr>
            <w:r w:rsidRPr="00595075">
              <w:rPr>
                <w:color w:val="000000" w:themeColor="text1"/>
                <w:szCs w:val="22"/>
              </w:rPr>
              <w:t>24 stundas</w:t>
            </w:r>
          </w:p>
        </w:tc>
      </w:tr>
      <w:tr w:rsidR="003465E9" w:rsidRPr="00595075" w14:paraId="21A1E5C7" w14:textId="77777777" w:rsidTr="00045793">
        <w:tc>
          <w:tcPr>
            <w:tcW w:w="0" w:type="auto"/>
            <w:vAlign w:val="center"/>
          </w:tcPr>
          <w:p w14:paraId="0F7B1902" w14:textId="50FAFD3D" w:rsidR="003465E9" w:rsidRPr="00595075" w:rsidRDefault="003465E9" w:rsidP="00F70B36">
            <w:pPr>
              <w:spacing w:line="240" w:lineRule="auto"/>
              <w:jc w:val="both"/>
              <w:rPr>
                <w:color w:val="000000" w:themeColor="text1"/>
                <w:szCs w:val="22"/>
              </w:rPr>
            </w:pPr>
            <w:r w:rsidRPr="00595075">
              <w:rPr>
                <w:color w:val="000000" w:themeColor="text1"/>
                <w:szCs w:val="22"/>
              </w:rPr>
              <w:t>Nātrija hlorīds (0,18 %) un glikoze (4 %) intravenozām infūzijām</w:t>
            </w:r>
          </w:p>
        </w:tc>
        <w:tc>
          <w:tcPr>
            <w:tcW w:w="0" w:type="auto"/>
            <w:vAlign w:val="center"/>
          </w:tcPr>
          <w:p w14:paraId="007B264A" w14:textId="77777777" w:rsidR="003465E9" w:rsidRPr="00595075" w:rsidRDefault="003465E9" w:rsidP="00F70B36">
            <w:pPr>
              <w:spacing w:line="240" w:lineRule="auto"/>
              <w:jc w:val="center"/>
              <w:rPr>
                <w:color w:val="000000" w:themeColor="text1"/>
                <w:szCs w:val="22"/>
              </w:rPr>
            </w:pPr>
            <w:r w:rsidRPr="00595075">
              <w:rPr>
                <w:color w:val="000000" w:themeColor="text1"/>
                <w:szCs w:val="22"/>
              </w:rPr>
              <w:t>12 stundas</w:t>
            </w:r>
          </w:p>
        </w:tc>
        <w:tc>
          <w:tcPr>
            <w:tcW w:w="0" w:type="auto"/>
            <w:vAlign w:val="center"/>
          </w:tcPr>
          <w:p w14:paraId="0F78A014" w14:textId="77777777" w:rsidR="003465E9" w:rsidRPr="00595075" w:rsidRDefault="003465E9" w:rsidP="00F70B36">
            <w:pPr>
              <w:spacing w:line="240" w:lineRule="auto"/>
              <w:jc w:val="center"/>
              <w:rPr>
                <w:color w:val="000000" w:themeColor="text1"/>
                <w:szCs w:val="22"/>
              </w:rPr>
            </w:pPr>
            <w:r w:rsidRPr="00595075">
              <w:rPr>
                <w:color w:val="000000" w:themeColor="text1"/>
                <w:szCs w:val="22"/>
              </w:rPr>
              <w:t>Neatdzesēt vai nesasaldēt</w:t>
            </w:r>
          </w:p>
        </w:tc>
      </w:tr>
      <w:tr w:rsidR="003465E9" w:rsidRPr="00595075" w14:paraId="05D5049B" w14:textId="77777777" w:rsidTr="00045793">
        <w:tc>
          <w:tcPr>
            <w:tcW w:w="0" w:type="auto"/>
            <w:vAlign w:val="center"/>
          </w:tcPr>
          <w:p w14:paraId="5AF8BF59" w14:textId="3AD2376F" w:rsidR="003465E9" w:rsidRPr="00595075" w:rsidRDefault="003465E9" w:rsidP="00F70B36">
            <w:pPr>
              <w:spacing w:line="240" w:lineRule="auto"/>
              <w:jc w:val="both"/>
              <w:rPr>
                <w:color w:val="000000" w:themeColor="text1"/>
                <w:szCs w:val="22"/>
              </w:rPr>
            </w:pPr>
            <w:r w:rsidRPr="00595075">
              <w:rPr>
                <w:color w:val="000000" w:themeColor="text1"/>
                <w:szCs w:val="22"/>
              </w:rPr>
              <w:t>Nātrija hlorīds (0,45 %) un glikoze (2,5 %) intravenozām infūzijām</w:t>
            </w:r>
          </w:p>
        </w:tc>
        <w:tc>
          <w:tcPr>
            <w:tcW w:w="0" w:type="auto"/>
            <w:vAlign w:val="center"/>
          </w:tcPr>
          <w:p w14:paraId="13D1966F" w14:textId="77777777" w:rsidR="003465E9" w:rsidRPr="00595075" w:rsidRDefault="003465E9" w:rsidP="00F70B36">
            <w:pPr>
              <w:spacing w:line="240" w:lineRule="auto"/>
              <w:jc w:val="center"/>
              <w:rPr>
                <w:color w:val="000000" w:themeColor="text1"/>
                <w:szCs w:val="22"/>
              </w:rPr>
            </w:pPr>
            <w:r w:rsidRPr="00595075">
              <w:rPr>
                <w:color w:val="000000" w:themeColor="text1"/>
                <w:szCs w:val="22"/>
              </w:rPr>
              <w:t>24 stundas</w:t>
            </w:r>
          </w:p>
        </w:tc>
        <w:tc>
          <w:tcPr>
            <w:tcW w:w="0" w:type="auto"/>
            <w:vAlign w:val="center"/>
          </w:tcPr>
          <w:p w14:paraId="6A84DB11" w14:textId="77777777" w:rsidR="003465E9" w:rsidRPr="00595075" w:rsidRDefault="003465E9" w:rsidP="00F70B36">
            <w:pPr>
              <w:spacing w:line="240" w:lineRule="auto"/>
              <w:jc w:val="center"/>
              <w:rPr>
                <w:color w:val="000000" w:themeColor="text1"/>
                <w:szCs w:val="22"/>
              </w:rPr>
            </w:pPr>
            <w:r w:rsidRPr="00595075">
              <w:rPr>
                <w:color w:val="000000" w:themeColor="text1"/>
                <w:szCs w:val="22"/>
              </w:rPr>
              <w:t>8 stundas</w:t>
            </w:r>
          </w:p>
        </w:tc>
      </w:tr>
      <w:tr w:rsidR="003465E9" w:rsidRPr="00595075" w14:paraId="76F3EFB6" w14:textId="77777777" w:rsidTr="00045793">
        <w:tc>
          <w:tcPr>
            <w:tcW w:w="0" w:type="auto"/>
            <w:vAlign w:val="center"/>
          </w:tcPr>
          <w:p w14:paraId="581E5139" w14:textId="56F2150C" w:rsidR="003465E9" w:rsidRPr="00595075" w:rsidRDefault="003465E9" w:rsidP="00F70B36">
            <w:pPr>
              <w:spacing w:line="240" w:lineRule="auto"/>
              <w:jc w:val="both"/>
              <w:rPr>
                <w:color w:val="000000" w:themeColor="text1"/>
                <w:szCs w:val="22"/>
              </w:rPr>
            </w:pPr>
            <w:r w:rsidRPr="00595075">
              <w:rPr>
                <w:color w:val="000000" w:themeColor="text1"/>
                <w:szCs w:val="22"/>
              </w:rPr>
              <w:t>Nātrija laktāta savienojums intravenozām infūzijām (Hartmana šķīdums) – pēc izšķīdināšanas ūdenī injekcijām</w:t>
            </w:r>
          </w:p>
        </w:tc>
        <w:tc>
          <w:tcPr>
            <w:tcW w:w="0" w:type="auto"/>
            <w:vAlign w:val="center"/>
          </w:tcPr>
          <w:p w14:paraId="1E1EEA46" w14:textId="77777777" w:rsidR="003465E9" w:rsidRPr="00595075" w:rsidRDefault="003465E9" w:rsidP="00F70B36">
            <w:pPr>
              <w:spacing w:line="240" w:lineRule="auto"/>
              <w:jc w:val="center"/>
              <w:rPr>
                <w:color w:val="000000" w:themeColor="text1"/>
                <w:szCs w:val="22"/>
              </w:rPr>
            </w:pPr>
            <w:r w:rsidRPr="00595075">
              <w:rPr>
                <w:color w:val="000000" w:themeColor="text1"/>
                <w:szCs w:val="22"/>
              </w:rPr>
              <w:t>Nav ieteicams uzglabāt 25°C temperatūrā</w:t>
            </w:r>
          </w:p>
        </w:tc>
        <w:tc>
          <w:tcPr>
            <w:tcW w:w="0" w:type="auto"/>
            <w:vAlign w:val="center"/>
          </w:tcPr>
          <w:p w14:paraId="230E4EDB" w14:textId="77777777" w:rsidR="003465E9" w:rsidRPr="00595075" w:rsidRDefault="003465E9" w:rsidP="00F70B36">
            <w:pPr>
              <w:spacing w:line="240" w:lineRule="auto"/>
              <w:jc w:val="center"/>
              <w:rPr>
                <w:color w:val="000000" w:themeColor="text1"/>
                <w:szCs w:val="22"/>
              </w:rPr>
            </w:pPr>
            <w:r w:rsidRPr="00595075">
              <w:rPr>
                <w:color w:val="000000" w:themeColor="text1"/>
                <w:szCs w:val="22"/>
              </w:rPr>
              <w:t>12 stundas</w:t>
            </w:r>
          </w:p>
        </w:tc>
      </w:tr>
      <w:tr w:rsidR="003465E9" w:rsidRPr="00595075" w14:paraId="1A1FC5AC" w14:textId="77777777" w:rsidTr="00045793">
        <w:tc>
          <w:tcPr>
            <w:tcW w:w="0" w:type="auto"/>
            <w:vAlign w:val="center"/>
          </w:tcPr>
          <w:p w14:paraId="07401640" w14:textId="2DA56E79" w:rsidR="003465E9" w:rsidRPr="00595075" w:rsidRDefault="003465E9" w:rsidP="00F70B36">
            <w:pPr>
              <w:spacing w:line="240" w:lineRule="auto"/>
              <w:jc w:val="both"/>
              <w:rPr>
                <w:color w:val="000000" w:themeColor="text1"/>
                <w:szCs w:val="22"/>
              </w:rPr>
            </w:pPr>
            <w:r w:rsidRPr="00595075">
              <w:rPr>
                <w:color w:val="000000" w:themeColor="text1"/>
                <w:szCs w:val="22"/>
              </w:rPr>
              <w:t>Nātrija laktāta savienojums intravenozām infūzijām (Hartmana šķīdums) – pēc izšķīdināšanas nātrija hlorīdā (0,9 %)</w:t>
            </w:r>
          </w:p>
        </w:tc>
        <w:tc>
          <w:tcPr>
            <w:tcW w:w="0" w:type="auto"/>
            <w:vAlign w:val="center"/>
          </w:tcPr>
          <w:p w14:paraId="40A255EA" w14:textId="77777777" w:rsidR="003465E9" w:rsidRPr="00595075" w:rsidRDefault="003465E9" w:rsidP="00F70B36">
            <w:pPr>
              <w:spacing w:line="240" w:lineRule="auto"/>
              <w:jc w:val="center"/>
              <w:rPr>
                <w:color w:val="000000" w:themeColor="text1"/>
                <w:szCs w:val="22"/>
              </w:rPr>
            </w:pPr>
            <w:r w:rsidRPr="00595075">
              <w:rPr>
                <w:color w:val="000000" w:themeColor="text1"/>
                <w:szCs w:val="22"/>
              </w:rPr>
              <w:t>Nav ieteicams uzglabāt 25°C temperatūrā</w:t>
            </w:r>
          </w:p>
        </w:tc>
        <w:tc>
          <w:tcPr>
            <w:tcW w:w="0" w:type="auto"/>
            <w:vAlign w:val="center"/>
          </w:tcPr>
          <w:p w14:paraId="2EC6C27B" w14:textId="77777777" w:rsidR="003465E9" w:rsidRPr="00595075" w:rsidRDefault="003465E9" w:rsidP="00F70B36">
            <w:pPr>
              <w:spacing w:line="240" w:lineRule="auto"/>
              <w:jc w:val="center"/>
              <w:rPr>
                <w:color w:val="000000" w:themeColor="text1"/>
                <w:szCs w:val="22"/>
              </w:rPr>
            </w:pPr>
            <w:r w:rsidRPr="00595075">
              <w:rPr>
                <w:color w:val="000000" w:themeColor="text1"/>
                <w:szCs w:val="22"/>
              </w:rPr>
              <w:t>8 stundas</w:t>
            </w:r>
          </w:p>
        </w:tc>
      </w:tr>
    </w:tbl>
    <w:p w14:paraId="4FEF1AEB" w14:textId="265E196B" w:rsidR="003465E9" w:rsidRPr="00595075" w:rsidRDefault="003465E9" w:rsidP="00F70B36">
      <w:pPr>
        <w:spacing w:line="240" w:lineRule="auto"/>
        <w:jc w:val="both"/>
        <w:rPr>
          <w:color w:val="000000" w:themeColor="text1"/>
          <w:szCs w:val="22"/>
        </w:rPr>
      </w:pPr>
    </w:p>
    <w:p w14:paraId="7CA2DD22" w14:textId="3E8BE6EF" w:rsidR="003465E9" w:rsidRPr="00595075" w:rsidRDefault="003465E9" w:rsidP="00F70B36">
      <w:pPr>
        <w:spacing w:line="240" w:lineRule="auto"/>
        <w:jc w:val="both"/>
        <w:rPr>
          <w:color w:val="000000" w:themeColor="text1"/>
          <w:szCs w:val="22"/>
        </w:rPr>
      </w:pPr>
      <w:r w:rsidRPr="00595075">
        <w:rPr>
          <w:color w:val="000000" w:themeColor="text1"/>
          <w:szCs w:val="22"/>
        </w:rPr>
        <w:t xml:space="preserve">No mikrobioloģiskā viedokļa </w:t>
      </w:r>
      <w:r w:rsidR="00F273C8" w:rsidRPr="00595075">
        <w:rPr>
          <w:color w:val="000000" w:themeColor="text1"/>
          <w:szCs w:val="22"/>
        </w:rPr>
        <w:t xml:space="preserve">atšķaidīto šķīdumu </w:t>
      </w:r>
      <w:r w:rsidRPr="00595075">
        <w:rPr>
          <w:color w:val="000000" w:themeColor="text1"/>
          <w:szCs w:val="22"/>
        </w:rPr>
        <w:t>lieto nekavējoties. Ja tas netiek lietots nekavējoties, par uzglabāšanas laiku un apstākļiem pirms lietošanas ir atbildīgs lietotājs.</w:t>
      </w:r>
    </w:p>
    <w:p w14:paraId="0301F1B8" w14:textId="77777777" w:rsidR="003465E9" w:rsidRPr="00595075" w:rsidRDefault="003465E9" w:rsidP="00F70B36">
      <w:pPr>
        <w:spacing w:line="240" w:lineRule="auto"/>
        <w:jc w:val="both"/>
        <w:rPr>
          <w:color w:val="000000" w:themeColor="text1"/>
          <w:szCs w:val="22"/>
        </w:rPr>
      </w:pPr>
    </w:p>
    <w:p w14:paraId="4C637D14" w14:textId="77777777" w:rsidR="00CD10AA" w:rsidRPr="00595075" w:rsidRDefault="00CD10AA" w:rsidP="00F70B36">
      <w:pPr>
        <w:tabs>
          <w:tab w:val="clear" w:pos="567"/>
        </w:tabs>
        <w:spacing w:line="240" w:lineRule="auto"/>
        <w:jc w:val="both"/>
        <w:rPr>
          <w:color w:val="000000" w:themeColor="text1"/>
          <w:szCs w:val="22"/>
        </w:rPr>
      </w:pPr>
      <w:r w:rsidRPr="00595075">
        <w:rPr>
          <w:b/>
          <w:color w:val="000000" w:themeColor="text1"/>
          <w:szCs w:val="22"/>
        </w:rPr>
        <w:t>6.4</w:t>
      </w:r>
      <w:r w:rsidR="00980C1E" w:rsidRPr="00595075">
        <w:rPr>
          <w:b/>
          <w:color w:val="000000" w:themeColor="text1"/>
          <w:szCs w:val="22"/>
        </w:rPr>
        <w:t>.</w:t>
      </w:r>
      <w:r w:rsidRPr="00595075">
        <w:rPr>
          <w:b/>
          <w:color w:val="000000" w:themeColor="text1"/>
          <w:szCs w:val="22"/>
        </w:rPr>
        <w:tab/>
        <w:t>Īpaši uzglabāšanas nosacījumi</w:t>
      </w:r>
    </w:p>
    <w:p w14:paraId="68643562" w14:textId="77777777" w:rsidR="003465E9" w:rsidRPr="00595075" w:rsidRDefault="003465E9" w:rsidP="00F70B36">
      <w:pPr>
        <w:spacing w:line="240" w:lineRule="auto"/>
        <w:jc w:val="both"/>
        <w:rPr>
          <w:color w:val="000000" w:themeColor="text1"/>
          <w:szCs w:val="22"/>
        </w:rPr>
      </w:pPr>
    </w:p>
    <w:p w14:paraId="29A08A19" w14:textId="77777777" w:rsidR="00DA7190" w:rsidRPr="00595075" w:rsidRDefault="00DA7190" w:rsidP="00F70B36">
      <w:pPr>
        <w:spacing w:line="240" w:lineRule="auto"/>
        <w:jc w:val="both"/>
        <w:rPr>
          <w:color w:val="000000" w:themeColor="text1"/>
          <w:szCs w:val="22"/>
        </w:rPr>
      </w:pPr>
      <w:r w:rsidRPr="00595075">
        <w:rPr>
          <w:rFonts w:eastAsia="SimSun"/>
          <w:color w:val="000000" w:themeColor="text1"/>
          <w:szCs w:val="22"/>
          <w:lang w:eastAsia="zh-CN"/>
        </w:rPr>
        <w:t>Šīm zālēm nav nepieciešama īpaša uzglabāšanas temperatūra</w:t>
      </w:r>
      <w:r w:rsidRPr="00595075">
        <w:rPr>
          <w:color w:val="000000" w:themeColor="text1"/>
          <w:szCs w:val="22"/>
        </w:rPr>
        <w:t>.</w:t>
      </w:r>
    </w:p>
    <w:p w14:paraId="0EDE9FE0" w14:textId="5070AF02" w:rsidR="00FD187E" w:rsidRPr="00595075" w:rsidRDefault="003465E9" w:rsidP="00F70B36">
      <w:pPr>
        <w:spacing w:line="240" w:lineRule="auto"/>
        <w:jc w:val="both"/>
        <w:rPr>
          <w:color w:val="000000" w:themeColor="text1"/>
          <w:szCs w:val="22"/>
        </w:rPr>
      </w:pPr>
      <w:r w:rsidRPr="00595075">
        <w:rPr>
          <w:color w:val="000000" w:themeColor="text1"/>
          <w:szCs w:val="22"/>
        </w:rPr>
        <w:t>Uzglabāt oriģinālā iepakojumā, lai pas</w:t>
      </w:r>
      <w:r w:rsidR="00FD187E" w:rsidRPr="00595075">
        <w:rPr>
          <w:color w:val="000000" w:themeColor="text1"/>
          <w:szCs w:val="22"/>
        </w:rPr>
        <w:t>argāt</w:t>
      </w:r>
      <w:r w:rsidRPr="00595075">
        <w:rPr>
          <w:color w:val="000000" w:themeColor="text1"/>
          <w:szCs w:val="22"/>
        </w:rPr>
        <w:t>u</w:t>
      </w:r>
      <w:r w:rsidR="00FD187E" w:rsidRPr="00595075">
        <w:rPr>
          <w:color w:val="000000" w:themeColor="text1"/>
          <w:szCs w:val="22"/>
        </w:rPr>
        <w:t xml:space="preserve"> no gaismas.</w:t>
      </w:r>
    </w:p>
    <w:p w14:paraId="0DA81019" w14:textId="77777777" w:rsidR="00CD10AA" w:rsidRPr="00595075" w:rsidRDefault="00CD10AA" w:rsidP="00F70B36">
      <w:pPr>
        <w:spacing w:line="240" w:lineRule="auto"/>
        <w:jc w:val="both"/>
        <w:rPr>
          <w:i/>
          <w:color w:val="000000" w:themeColor="text1"/>
          <w:szCs w:val="22"/>
        </w:rPr>
      </w:pPr>
    </w:p>
    <w:p w14:paraId="037E39A5" w14:textId="05F42664" w:rsidR="00CD10AA" w:rsidRPr="00595075" w:rsidRDefault="001D0FE7" w:rsidP="00F70B36">
      <w:pPr>
        <w:spacing w:line="240" w:lineRule="auto"/>
        <w:jc w:val="both"/>
        <w:rPr>
          <w:noProof/>
          <w:color w:val="000000" w:themeColor="text1"/>
          <w:szCs w:val="22"/>
        </w:rPr>
      </w:pPr>
      <w:r w:rsidRPr="00595075">
        <w:rPr>
          <w:noProof/>
          <w:color w:val="000000" w:themeColor="text1"/>
          <w:szCs w:val="22"/>
        </w:rPr>
        <w:t xml:space="preserve">Uzglabāšanas nosacījumus pēc zāļu </w:t>
      </w:r>
      <w:r w:rsidR="003465E9" w:rsidRPr="00595075">
        <w:rPr>
          <w:iCs/>
          <w:color w:val="000000" w:themeColor="text1"/>
          <w:szCs w:val="22"/>
        </w:rPr>
        <w:t xml:space="preserve">izšķīdināšanas un/vai atšķaidīšanas </w:t>
      </w:r>
      <w:r w:rsidRPr="00595075">
        <w:rPr>
          <w:noProof/>
          <w:color w:val="000000" w:themeColor="text1"/>
          <w:szCs w:val="22"/>
        </w:rPr>
        <w:t>skatīt 6.3</w:t>
      </w:r>
      <w:r w:rsidR="00980C1E" w:rsidRPr="00595075">
        <w:rPr>
          <w:noProof/>
          <w:color w:val="000000" w:themeColor="text1"/>
          <w:szCs w:val="22"/>
        </w:rPr>
        <w:t>.</w:t>
      </w:r>
      <w:r w:rsidRPr="00595075">
        <w:rPr>
          <w:noProof/>
          <w:color w:val="000000" w:themeColor="text1"/>
          <w:szCs w:val="22"/>
        </w:rPr>
        <w:t xml:space="preserve"> apakšpunktā</w:t>
      </w:r>
      <w:r w:rsidR="00FD187E" w:rsidRPr="00595075">
        <w:rPr>
          <w:noProof/>
          <w:color w:val="000000" w:themeColor="text1"/>
          <w:szCs w:val="22"/>
        </w:rPr>
        <w:t>.</w:t>
      </w:r>
    </w:p>
    <w:p w14:paraId="1C762903" w14:textId="77777777" w:rsidR="00CD10AA" w:rsidRPr="00595075" w:rsidRDefault="00CD10AA" w:rsidP="00F70B36">
      <w:pPr>
        <w:tabs>
          <w:tab w:val="clear" w:pos="567"/>
        </w:tabs>
        <w:spacing w:line="240" w:lineRule="auto"/>
        <w:jc w:val="both"/>
        <w:rPr>
          <w:color w:val="000000" w:themeColor="text1"/>
          <w:szCs w:val="22"/>
        </w:rPr>
      </w:pPr>
    </w:p>
    <w:p w14:paraId="7C102929" w14:textId="77777777" w:rsidR="00CD10AA" w:rsidRPr="00595075" w:rsidRDefault="00CD10AA" w:rsidP="00F70B36">
      <w:pPr>
        <w:tabs>
          <w:tab w:val="clear" w:pos="567"/>
        </w:tabs>
        <w:spacing w:line="240" w:lineRule="auto"/>
        <w:jc w:val="both"/>
        <w:rPr>
          <w:color w:val="000000" w:themeColor="text1"/>
          <w:szCs w:val="22"/>
        </w:rPr>
      </w:pPr>
      <w:r w:rsidRPr="00595075">
        <w:rPr>
          <w:b/>
          <w:color w:val="000000" w:themeColor="text1"/>
          <w:szCs w:val="22"/>
        </w:rPr>
        <w:t>6.5</w:t>
      </w:r>
      <w:r w:rsidR="00980C1E" w:rsidRPr="00595075">
        <w:rPr>
          <w:b/>
          <w:color w:val="000000" w:themeColor="text1"/>
          <w:szCs w:val="22"/>
        </w:rPr>
        <w:t>.</w:t>
      </w:r>
      <w:r w:rsidRPr="00595075">
        <w:rPr>
          <w:b/>
          <w:color w:val="000000" w:themeColor="text1"/>
          <w:szCs w:val="22"/>
        </w:rPr>
        <w:tab/>
        <w:t>Iepakojuma veids un saturs</w:t>
      </w:r>
    </w:p>
    <w:p w14:paraId="1307F844" w14:textId="5281B551" w:rsidR="00CD10AA" w:rsidRPr="00595075" w:rsidRDefault="00CD10AA" w:rsidP="00F70B36">
      <w:pPr>
        <w:tabs>
          <w:tab w:val="clear" w:pos="567"/>
        </w:tabs>
        <w:spacing w:line="240" w:lineRule="auto"/>
        <w:jc w:val="both"/>
        <w:rPr>
          <w:color w:val="000000" w:themeColor="text1"/>
          <w:szCs w:val="22"/>
        </w:rPr>
      </w:pPr>
    </w:p>
    <w:p w14:paraId="3E2E2881" w14:textId="18272389" w:rsidR="003465E9" w:rsidRPr="00595075" w:rsidRDefault="003465E9" w:rsidP="00F70B36">
      <w:pPr>
        <w:tabs>
          <w:tab w:val="clear" w:pos="567"/>
        </w:tabs>
        <w:spacing w:line="240" w:lineRule="auto"/>
        <w:jc w:val="both"/>
        <w:rPr>
          <w:color w:val="000000" w:themeColor="text1"/>
          <w:szCs w:val="22"/>
        </w:rPr>
      </w:pPr>
      <w:r w:rsidRPr="00595075">
        <w:rPr>
          <w:color w:val="000000" w:themeColor="text1"/>
          <w:szCs w:val="22"/>
        </w:rPr>
        <w:t xml:space="preserve">Bezkrāsaini I klases stikla flakoni, kas noslēgti ar brombutilgumijas aizbāzni un </w:t>
      </w:r>
      <w:r w:rsidR="00D768A3" w:rsidRPr="00595075">
        <w:rPr>
          <w:color w:val="000000" w:themeColor="text1"/>
          <w:szCs w:val="22"/>
        </w:rPr>
        <w:t xml:space="preserve">noplēšamu </w:t>
      </w:r>
      <w:r w:rsidRPr="00595075">
        <w:rPr>
          <w:color w:val="000000" w:themeColor="text1"/>
          <w:szCs w:val="22"/>
        </w:rPr>
        <w:t>alumīnija vāciņu un sarkanu plastmasas polipropilēna uzliku.</w:t>
      </w:r>
    </w:p>
    <w:p w14:paraId="5515BE30" w14:textId="64220D88" w:rsidR="003465E9" w:rsidRPr="00595075" w:rsidRDefault="003465E9" w:rsidP="00F70B36">
      <w:pPr>
        <w:tabs>
          <w:tab w:val="clear" w:pos="567"/>
        </w:tabs>
        <w:spacing w:line="240" w:lineRule="auto"/>
        <w:jc w:val="both"/>
        <w:rPr>
          <w:color w:val="000000" w:themeColor="text1"/>
          <w:szCs w:val="22"/>
        </w:rPr>
      </w:pPr>
    </w:p>
    <w:p w14:paraId="5E2279CF" w14:textId="77777777" w:rsidR="003465E9" w:rsidRPr="00595075" w:rsidRDefault="003465E9" w:rsidP="00F70B36">
      <w:pPr>
        <w:tabs>
          <w:tab w:val="clear" w:pos="567"/>
        </w:tabs>
        <w:spacing w:line="240" w:lineRule="auto"/>
        <w:jc w:val="both"/>
        <w:rPr>
          <w:color w:val="000000" w:themeColor="text1"/>
          <w:szCs w:val="22"/>
        </w:rPr>
      </w:pPr>
      <w:r w:rsidRPr="00595075">
        <w:rPr>
          <w:color w:val="000000" w:themeColor="text1"/>
          <w:szCs w:val="22"/>
        </w:rPr>
        <w:t>Pieejami iepakojumi pa 1 flakonam, 5 flakoniem un 10 flakoniem.</w:t>
      </w:r>
    </w:p>
    <w:p w14:paraId="096E0E2D" w14:textId="77777777" w:rsidR="003465E9" w:rsidRPr="00595075" w:rsidRDefault="003465E9" w:rsidP="00F70B36">
      <w:pPr>
        <w:tabs>
          <w:tab w:val="clear" w:pos="567"/>
        </w:tabs>
        <w:spacing w:line="240" w:lineRule="auto"/>
        <w:jc w:val="both"/>
        <w:rPr>
          <w:color w:val="000000" w:themeColor="text1"/>
          <w:szCs w:val="22"/>
        </w:rPr>
      </w:pPr>
    </w:p>
    <w:p w14:paraId="33CC119C" w14:textId="77777777" w:rsidR="00CD10AA" w:rsidRPr="00595075" w:rsidRDefault="00CD10AA" w:rsidP="00F70B36">
      <w:pPr>
        <w:tabs>
          <w:tab w:val="clear" w:pos="567"/>
        </w:tabs>
        <w:spacing w:line="240" w:lineRule="auto"/>
        <w:jc w:val="both"/>
        <w:rPr>
          <w:color w:val="000000" w:themeColor="text1"/>
          <w:szCs w:val="22"/>
        </w:rPr>
      </w:pPr>
      <w:r w:rsidRPr="00595075">
        <w:rPr>
          <w:color w:val="000000" w:themeColor="text1"/>
          <w:szCs w:val="22"/>
        </w:rPr>
        <w:t>Visi iepakojuma li</w:t>
      </w:r>
      <w:r w:rsidR="00FD187E" w:rsidRPr="00595075">
        <w:rPr>
          <w:color w:val="000000" w:themeColor="text1"/>
          <w:szCs w:val="22"/>
        </w:rPr>
        <w:t>elumi tirgū var nebūt pieejami.</w:t>
      </w:r>
    </w:p>
    <w:p w14:paraId="36CC5D65" w14:textId="77777777" w:rsidR="00CD10AA" w:rsidRPr="00595075" w:rsidRDefault="00CD10AA" w:rsidP="00F70B36">
      <w:pPr>
        <w:tabs>
          <w:tab w:val="clear" w:pos="567"/>
        </w:tabs>
        <w:spacing w:line="240" w:lineRule="auto"/>
        <w:jc w:val="both"/>
        <w:rPr>
          <w:color w:val="000000" w:themeColor="text1"/>
          <w:szCs w:val="22"/>
        </w:rPr>
      </w:pPr>
    </w:p>
    <w:p w14:paraId="5927CFB8" w14:textId="77777777" w:rsidR="00CD10AA" w:rsidRPr="00595075" w:rsidRDefault="00CD10AA" w:rsidP="00F70B36">
      <w:pPr>
        <w:tabs>
          <w:tab w:val="clear" w:pos="567"/>
        </w:tabs>
        <w:spacing w:line="240" w:lineRule="auto"/>
        <w:jc w:val="both"/>
        <w:rPr>
          <w:b/>
          <w:color w:val="000000" w:themeColor="text1"/>
          <w:szCs w:val="22"/>
        </w:rPr>
      </w:pPr>
      <w:r w:rsidRPr="00595075">
        <w:rPr>
          <w:b/>
          <w:color w:val="000000" w:themeColor="text1"/>
          <w:szCs w:val="22"/>
        </w:rPr>
        <w:t>6.6</w:t>
      </w:r>
      <w:r w:rsidR="00980C1E" w:rsidRPr="00595075">
        <w:rPr>
          <w:b/>
          <w:color w:val="000000" w:themeColor="text1"/>
          <w:szCs w:val="22"/>
        </w:rPr>
        <w:t>.</w:t>
      </w:r>
      <w:r w:rsidRPr="00595075">
        <w:rPr>
          <w:b/>
          <w:color w:val="000000" w:themeColor="text1"/>
          <w:szCs w:val="22"/>
        </w:rPr>
        <w:tab/>
      </w:r>
      <w:r w:rsidRPr="00595075">
        <w:rPr>
          <w:b/>
          <w:noProof/>
          <w:color w:val="000000" w:themeColor="text1"/>
          <w:szCs w:val="22"/>
        </w:rPr>
        <w:t>Īpaši norādījumi atkritumu likvidēšanai</w:t>
      </w:r>
      <w:r w:rsidRPr="00595075">
        <w:rPr>
          <w:b/>
          <w:color w:val="000000" w:themeColor="text1"/>
          <w:szCs w:val="22"/>
        </w:rPr>
        <w:t xml:space="preserve"> un </w:t>
      </w:r>
      <w:r w:rsidR="0071303C" w:rsidRPr="00595075">
        <w:rPr>
          <w:b/>
          <w:noProof/>
          <w:color w:val="000000" w:themeColor="text1"/>
          <w:szCs w:val="22"/>
        </w:rPr>
        <w:t>citi</w:t>
      </w:r>
      <w:r w:rsidR="0071303C" w:rsidRPr="00595075">
        <w:rPr>
          <w:b/>
          <w:color w:val="000000" w:themeColor="text1"/>
          <w:szCs w:val="22"/>
        </w:rPr>
        <w:t xml:space="preserve"> </w:t>
      </w:r>
      <w:r w:rsidRPr="00595075">
        <w:rPr>
          <w:b/>
          <w:color w:val="000000" w:themeColor="text1"/>
          <w:szCs w:val="22"/>
        </w:rPr>
        <w:t xml:space="preserve">norādījumi par </w:t>
      </w:r>
      <w:r w:rsidR="0071303C" w:rsidRPr="00595075">
        <w:rPr>
          <w:b/>
          <w:noProof/>
          <w:color w:val="000000" w:themeColor="text1"/>
          <w:szCs w:val="22"/>
        </w:rPr>
        <w:t>rīkošanos</w:t>
      </w:r>
    </w:p>
    <w:p w14:paraId="13E1E789" w14:textId="40C6E914" w:rsidR="00CD10AA" w:rsidRPr="00595075" w:rsidRDefault="00CD10AA" w:rsidP="00F70B36">
      <w:pPr>
        <w:tabs>
          <w:tab w:val="clear" w:pos="567"/>
        </w:tabs>
        <w:spacing w:line="240" w:lineRule="auto"/>
        <w:jc w:val="both"/>
        <w:rPr>
          <w:color w:val="000000" w:themeColor="text1"/>
          <w:szCs w:val="22"/>
        </w:rPr>
      </w:pPr>
    </w:p>
    <w:p w14:paraId="1E206B8E" w14:textId="77777777" w:rsidR="000B1B3A" w:rsidRPr="00595075" w:rsidRDefault="000B1B3A" w:rsidP="00F70B36">
      <w:pPr>
        <w:tabs>
          <w:tab w:val="clear" w:pos="567"/>
        </w:tabs>
        <w:spacing w:line="240" w:lineRule="auto"/>
        <w:jc w:val="both"/>
        <w:rPr>
          <w:color w:val="000000" w:themeColor="text1"/>
          <w:szCs w:val="22"/>
        </w:rPr>
      </w:pPr>
      <w:r w:rsidRPr="00595075">
        <w:rPr>
          <w:color w:val="000000" w:themeColor="text1"/>
          <w:szCs w:val="22"/>
        </w:rPr>
        <w:t>Tikai vienreizējai lietošanai.</w:t>
      </w:r>
    </w:p>
    <w:p w14:paraId="5CCAF0C4" w14:textId="77777777" w:rsidR="000B1B3A" w:rsidRPr="00595075" w:rsidRDefault="000B1B3A" w:rsidP="00F70B36">
      <w:pPr>
        <w:tabs>
          <w:tab w:val="clear" w:pos="567"/>
        </w:tabs>
        <w:spacing w:line="240" w:lineRule="auto"/>
        <w:jc w:val="both"/>
        <w:rPr>
          <w:color w:val="000000" w:themeColor="text1"/>
          <w:szCs w:val="22"/>
        </w:rPr>
      </w:pPr>
      <w:r w:rsidRPr="00595075">
        <w:rPr>
          <w:color w:val="000000" w:themeColor="text1"/>
          <w:szCs w:val="22"/>
        </w:rPr>
        <w:t>Jāsagatavo tieši pirms lietošanas.</w:t>
      </w:r>
    </w:p>
    <w:p w14:paraId="70836DCC" w14:textId="77777777" w:rsidR="000B1B3A" w:rsidRPr="00595075" w:rsidRDefault="000B1B3A" w:rsidP="00F70B36">
      <w:pPr>
        <w:tabs>
          <w:tab w:val="clear" w:pos="567"/>
        </w:tabs>
        <w:spacing w:line="240" w:lineRule="auto"/>
        <w:jc w:val="both"/>
        <w:rPr>
          <w:color w:val="000000" w:themeColor="text1"/>
          <w:szCs w:val="22"/>
        </w:rPr>
      </w:pPr>
    </w:p>
    <w:p w14:paraId="7D18247D" w14:textId="77777777" w:rsidR="000B1B3A" w:rsidRPr="00595075" w:rsidRDefault="000B1B3A" w:rsidP="00F70B36">
      <w:pPr>
        <w:tabs>
          <w:tab w:val="clear" w:pos="567"/>
        </w:tabs>
        <w:spacing w:line="240" w:lineRule="auto"/>
        <w:jc w:val="both"/>
        <w:rPr>
          <w:color w:val="000000" w:themeColor="text1"/>
          <w:szCs w:val="22"/>
          <w:u w:val="single"/>
        </w:rPr>
      </w:pPr>
      <w:r w:rsidRPr="00595075">
        <w:rPr>
          <w:color w:val="000000" w:themeColor="text1"/>
          <w:szCs w:val="22"/>
          <w:u w:val="single"/>
        </w:rPr>
        <w:t>Izšķīdināšana</w:t>
      </w:r>
    </w:p>
    <w:p w14:paraId="223CD981" w14:textId="308B07E7" w:rsidR="000B1B3A" w:rsidRPr="00595075" w:rsidRDefault="00F66376" w:rsidP="00F70B36">
      <w:pPr>
        <w:tabs>
          <w:tab w:val="clear" w:pos="567"/>
        </w:tabs>
        <w:spacing w:line="240" w:lineRule="auto"/>
        <w:jc w:val="both"/>
        <w:rPr>
          <w:color w:val="000000" w:themeColor="text1"/>
          <w:szCs w:val="22"/>
        </w:rPr>
      </w:pPr>
      <w:r w:rsidRPr="00595075">
        <w:rPr>
          <w:color w:val="000000" w:themeColor="text1"/>
          <w:szCs w:val="22"/>
        </w:rPr>
        <w:t>Aciclovir Medochemie</w:t>
      </w:r>
      <w:r w:rsidR="000B1B3A" w:rsidRPr="00595075">
        <w:rPr>
          <w:color w:val="000000" w:themeColor="text1"/>
          <w:szCs w:val="22"/>
        </w:rPr>
        <w:t xml:space="preserve"> jāizšķīdina, izmantojot sekojošus ūdens injekcijām vai nātrija hlorīda šķīduma intravenozai injekcijai (0,9 %) tilpumus, lai iegūtu šķīdumu, kas satur 25 mg/ml aciklovīra:</w:t>
      </w:r>
    </w:p>
    <w:p w14:paraId="1370FAB7" w14:textId="77777777" w:rsidR="000B1B3A" w:rsidRPr="00595075" w:rsidRDefault="000B1B3A" w:rsidP="00F70B36">
      <w:pPr>
        <w:pStyle w:val="ListParagraph"/>
        <w:numPr>
          <w:ilvl w:val="0"/>
          <w:numId w:val="28"/>
        </w:numPr>
        <w:tabs>
          <w:tab w:val="clear" w:pos="567"/>
          <w:tab w:val="left" w:pos="709"/>
        </w:tabs>
        <w:spacing w:line="240" w:lineRule="auto"/>
        <w:jc w:val="both"/>
        <w:rPr>
          <w:color w:val="000000" w:themeColor="text1"/>
          <w:szCs w:val="22"/>
        </w:rPr>
      </w:pPr>
      <w:r w:rsidRPr="00595075">
        <w:rPr>
          <w:color w:val="000000" w:themeColor="text1"/>
          <w:szCs w:val="22"/>
        </w:rPr>
        <w:t>250 mg zāļu flakonam izšķīdināšanai jāizmanto 10 ml šķidruma. Iegūtais tilpums pēc izšķīdināšanas ir 10,1 – 10,2 ml.</w:t>
      </w:r>
    </w:p>
    <w:p w14:paraId="704EF194" w14:textId="77777777" w:rsidR="000B1B3A" w:rsidRPr="00595075" w:rsidRDefault="000B1B3A" w:rsidP="00F70B36">
      <w:pPr>
        <w:tabs>
          <w:tab w:val="clear" w:pos="567"/>
        </w:tabs>
        <w:spacing w:line="240" w:lineRule="auto"/>
        <w:jc w:val="both"/>
        <w:rPr>
          <w:color w:val="000000" w:themeColor="text1"/>
          <w:szCs w:val="22"/>
        </w:rPr>
      </w:pPr>
    </w:p>
    <w:p w14:paraId="1F96B653" w14:textId="77777777" w:rsidR="000B1B3A" w:rsidRPr="00595075" w:rsidRDefault="000B1B3A" w:rsidP="00F70B36">
      <w:pPr>
        <w:spacing w:line="240" w:lineRule="auto"/>
        <w:jc w:val="both"/>
        <w:rPr>
          <w:color w:val="000000" w:themeColor="text1"/>
          <w:szCs w:val="22"/>
        </w:rPr>
      </w:pPr>
      <w:r w:rsidRPr="00595075">
        <w:rPr>
          <w:color w:val="000000" w:themeColor="text1"/>
          <w:szCs w:val="22"/>
        </w:rPr>
        <w:t>Ņemot vērā aprēķināto devu, aprēķiniet nepieciešamo flakonu skaitu ar atbilstošo aktīvās vielas daudzumu. Lai izšķīdinātu katra flakona saturu, pievienojiet ieteicamo infūzijas šķīduma tilpumu un viegli sakratiet, līdz flakona saturs pilnīgi izšķīst.</w:t>
      </w:r>
    </w:p>
    <w:p w14:paraId="73DD55DB" w14:textId="77777777" w:rsidR="000B1B3A" w:rsidRPr="00595075" w:rsidRDefault="000B1B3A" w:rsidP="00F70B36">
      <w:pPr>
        <w:spacing w:line="240" w:lineRule="auto"/>
        <w:jc w:val="both"/>
        <w:rPr>
          <w:color w:val="000000" w:themeColor="text1"/>
          <w:szCs w:val="22"/>
        </w:rPr>
      </w:pPr>
    </w:p>
    <w:p w14:paraId="0D33AC3F" w14:textId="60BAE72F" w:rsidR="000B1B3A" w:rsidRPr="00595075" w:rsidRDefault="000B1B3A" w:rsidP="00F70B36">
      <w:pPr>
        <w:spacing w:line="240" w:lineRule="auto"/>
        <w:jc w:val="both"/>
        <w:rPr>
          <w:color w:val="000000" w:themeColor="text1"/>
          <w:szCs w:val="22"/>
        </w:rPr>
      </w:pPr>
      <w:r w:rsidRPr="00595075">
        <w:rPr>
          <w:color w:val="000000" w:themeColor="text1"/>
          <w:szCs w:val="22"/>
        </w:rPr>
        <w:t>Šķīdums, kas izšķīdināts ūdenī injekcijām vai nātrija hlorīda šķīdumā intravenozai injekcijai (0,9 %) ir stabils 12 stundas, uzglabājot temperatūrā līdz 25°C vai ledusskapī (2°C - 8°C).</w:t>
      </w:r>
    </w:p>
    <w:p w14:paraId="12639FC4" w14:textId="77777777" w:rsidR="000B1B3A" w:rsidRPr="00595075" w:rsidRDefault="000B1B3A" w:rsidP="00F70B36">
      <w:pPr>
        <w:spacing w:line="240" w:lineRule="auto"/>
        <w:jc w:val="both"/>
        <w:rPr>
          <w:color w:val="000000" w:themeColor="text1"/>
          <w:szCs w:val="22"/>
        </w:rPr>
      </w:pPr>
    </w:p>
    <w:p w14:paraId="12F4E27F" w14:textId="77777777" w:rsidR="000B1B3A" w:rsidRPr="00595075" w:rsidRDefault="000B1B3A" w:rsidP="00F70B36">
      <w:pPr>
        <w:tabs>
          <w:tab w:val="clear" w:pos="567"/>
        </w:tabs>
        <w:spacing w:line="240" w:lineRule="auto"/>
        <w:jc w:val="both"/>
        <w:rPr>
          <w:color w:val="000000" w:themeColor="text1"/>
          <w:szCs w:val="22"/>
          <w:u w:val="single"/>
        </w:rPr>
      </w:pPr>
      <w:r w:rsidRPr="00595075">
        <w:rPr>
          <w:color w:val="000000" w:themeColor="text1"/>
          <w:szCs w:val="22"/>
          <w:u w:val="single"/>
        </w:rPr>
        <w:t>Ievadīšana</w:t>
      </w:r>
    </w:p>
    <w:p w14:paraId="57A1CFC4" w14:textId="77777777" w:rsidR="000B1B3A" w:rsidRPr="00595075" w:rsidRDefault="000B1B3A" w:rsidP="00F70B36">
      <w:pPr>
        <w:tabs>
          <w:tab w:val="clear" w:pos="567"/>
        </w:tabs>
        <w:spacing w:line="240" w:lineRule="auto"/>
        <w:jc w:val="both"/>
        <w:rPr>
          <w:i/>
          <w:color w:val="000000" w:themeColor="text1"/>
          <w:szCs w:val="22"/>
        </w:rPr>
      </w:pPr>
      <w:r w:rsidRPr="00595075">
        <w:rPr>
          <w:color w:val="000000" w:themeColor="text1"/>
          <w:szCs w:val="22"/>
        </w:rPr>
        <w:t>Nepieciešamā aciklovīra deva ir jāievada lēnas intravenozas infūzijas veidā vienas stundas laikā.</w:t>
      </w:r>
    </w:p>
    <w:p w14:paraId="75AC83CB" w14:textId="77777777" w:rsidR="000B1B3A" w:rsidRPr="00595075" w:rsidRDefault="000B1B3A" w:rsidP="00F70B36">
      <w:pPr>
        <w:spacing w:line="240" w:lineRule="auto"/>
        <w:jc w:val="both"/>
        <w:rPr>
          <w:color w:val="000000" w:themeColor="text1"/>
          <w:szCs w:val="22"/>
        </w:rPr>
      </w:pPr>
    </w:p>
    <w:p w14:paraId="7648EAAB" w14:textId="7D43CDBD" w:rsidR="000B1B3A" w:rsidRPr="00595075" w:rsidRDefault="000B1B3A" w:rsidP="00F70B36">
      <w:pPr>
        <w:spacing w:line="240" w:lineRule="auto"/>
        <w:jc w:val="both"/>
        <w:rPr>
          <w:color w:val="000000" w:themeColor="text1"/>
          <w:szCs w:val="22"/>
        </w:rPr>
      </w:pPr>
      <w:r w:rsidRPr="00595075">
        <w:rPr>
          <w:color w:val="000000" w:themeColor="text1"/>
          <w:szCs w:val="22"/>
        </w:rPr>
        <w:t xml:space="preserve">Pēc izšķīdināšanas </w:t>
      </w:r>
      <w:r w:rsidRPr="00595075">
        <w:rPr>
          <w:iCs/>
          <w:color w:val="000000" w:themeColor="text1"/>
          <w:szCs w:val="22"/>
        </w:rPr>
        <w:t>aciklovīru</w:t>
      </w:r>
      <w:r w:rsidRPr="00595075">
        <w:rPr>
          <w:color w:val="000000" w:themeColor="text1"/>
          <w:szCs w:val="22"/>
        </w:rPr>
        <w:t xml:space="preserve"> var ievadīt ar kontrolēta ātruma infūzijas sūkni.</w:t>
      </w:r>
    </w:p>
    <w:p w14:paraId="665F9FEC" w14:textId="77777777" w:rsidR="000B1B3A" w:rsidRPr="00595075" w:rsidRDefault="000B1B3A" w:rsidP="00F70B36">
      <w:pPr>
        <w:spacing w:line="240" w:lineRule="auto"/>
        <w:jc w:val="both"/>
        <w:rPr>
          <w:color w:val="000000" w:themeColor="text1"/>
          <w:szCs w:val="22"/>
        </w:rPr>
      </w:pPr>
    </w:p>
    <w:p w14:paraId="7D872009" w14:textId="2D38B96E" w:rsidR="000B1B3A" w:rsidRPr="00595075" w:rsidRDefault="000B1B3A" w:rsidP="00F70B36">
      <w:pPr>
        <w:spacing w:line="240" w:lineRule="auto"/>
        <w:jc w:val="both"/>
        <w:rPr>
          <w:color w:val="000000" w:themeColor="text1"/>
          <w:szCs w:val="22"/>
        </w:rPr>
      </w:pPr>
      <w:r w:rsidRPr="00595075">
        <w:rPr>
          <w:color w:val="000000" w:themeColor="text1"/>
          <w:szCs w:val="22"/>
        </w:rPr>
        <w:t>Alternatīvi, lai ievadītu infūzijas veidā, izšķīdināto šķīdumu var tālāk atšķaidīt, lai iegūtā aciklovīra koncentrācija nebūt lielāka par 5 mg/ml (0,5 %).</w:t>
      </w:r>
    </w:p>
    <w:p w14:paraId="43E4EA69" w14:textId="77777777" w:rsidR="000B1B3A" w:rsidRPr="00595075" w:rsidRDefault="000B1B3A" w:rsidP="00F70B36">
      <w:pPr>
        <w:pStyle w:val="BodyText2"/>
        <w:rPr>
          <w:color w:val="000000" w:themeColor="text1"/>
          <w:sz w:val="22"/>
          <w:szCs w:val="22"/>
        </w:rPr>
      </w:pPr>
      <w:r w:rsidRPr="00595075">
        <w:rPr>
          <w:color w:val="000000" w:themeColor="text1"/>
          <w:sz w:val="22"/>
          <w:szCs w:val="22"/>
        </w:rPr>
        <w:t>Pievienojiet nepieciešamo daudzumu izšķīdinātā šķīduma izvēlētajam infūziju šķīdumam, ievērojot zemāk sniegtos norādījumus, un labi sakratiet, lai tie pilnīgi sajauktos.</w:t>
      </w:r>
    </w:p>
    <w:p w14:paraId="4001A2C6" w14:textId="3A19EF26" w:rsidR="000B1B3A" w:rsidRPr="00595075" w:rsidRDefault="000B1B3A" w:rsidP="00F70B36">
      <w:pPr>
        <w:pStyle w:val="BodyText2"/>
        <w:numPr>
          <w:ilvl w:val="0"/>
          <w:numId w:val="28"/>
        </w:numPr>
        <w:tabs>
          <w:tab w:val="left" w:pos="709"/>
        </w:tabs>
        <w:rPr>
          <w:color w:val="000000" w:themeColor="text1"/>
          <w:sz w:val="22"/>
          <w:szCs w:val="22"/>
        </w:rPr>
      </w:pPr>
      <w:r w:rsidRPr="00595075">
        <w:rPr>
          <w:color w:val="000000" w:themeColor="text1"/>
          <w:sz w:val="22"/>
          <w:szCs w:val="22"/>
        </w:rPr>
        <w:t xml:space="preserve">Bērniem un jaundzimušajiem, kuriem ir ieteicams izmantot minimālu infūzijas </w:t>
      </w:r>
      <w:bookmarkStart w:id="3" w:name="_Hlk52349564"/>
      <w:r w:rsidRPr="00595075">
        <w:rPr>
          <w:color w:val="000000" w:themeColor="text1"/>
          <w:sz w:val="22"/>
          <w:szCs w:val="22"/>
        </w:rPr>
        <w:t xml:space="preserve">šķidruma </w:t>
      </w:r>
      <w:bookmarkEnd w:id="3"/>
      <w:r w:rsidRPr="00595075">
        <w:rPr>
          <w:color w:val="000000" w:themeColor="text1"/>
          <w:sz w:val="22"/>
          <w:szCs w:val="22"/>
        </w:rPr>
        <w:t>daudzumu, ieteicams lietot 4 ml izšķīdinātā flakona satura (100 mg aciklovīra), tam pievienojot 20 ml infūzijas šķīduma.</w:t>
      </w:r>
    </w:p>
    <w:p w14:paraId="19CE5D99" w14:textId="392AE529" w:rsidR="000B1B3A" w:rsidRPr="00595075" w:rsidRDefault="000B1B3A" w:rsidP="00F70B36">
      <w:pPr>
        <w:pStyle w:val="ListParagraph"/>
        <w:numPr>
          <w:ilvl w:val="0"/>
          <w:numId w:val="28"/>
        </w:numPr>
        <w:tabs>
          <w:tab w:val="clear" w:pos="567"/>
          <w:tab w:val="left" w:pos="709"/>
        </w:tabs>
        <w:spacing w:line="240" w:lineRule="auto"/>
        <w:jc w:val="both"/>
        <w:rPr>
          <w:i/>
          <w:color w:val="000000" w:themeColor="text1"/>
          <w:szCs w:val="22"/>
        </w:rPr>
      </w:pPr>
      <w:r w:rsidRPr="00595075">
        <w:rPr>
          <w:color w:val="000000" w:themeColor="text1"/>
          <w:szCs w:val="22"/>
        </w:rPr>
        <w:t xml:space="preserve">Pieaugušajiem ieteicams izmantot infūzijas maisiņus, kas satur 100 ml infūzijas šķidruma, pat tad, ja šajā gadījumā aciklovīra koncentrācija būs </w:t>
      </w:r>
      <w:r w:rsidR="000766F6" w:rsidRPr="00595075">
        <w:rPr>
          <w:color w:val="000000" w:themeColor="text1"/>
          <w:szCs w:val="22"/>
        </w:rPr>
        <w:t xml:space="preserve">daudz </w:t>
      </w:r>
      <w:r w:rsidRPr="00595075">
        <w:rPr>
          <w:color w:val="000000" w:themeColor="text1"/>
          <w:szCs w:val="22"/>
        </w:rPr>
        <w:t xml:space="preserve">mazāka par 0,5 %. Tādējādi viens 100 ml infūzijas maisiņš var tikt lietots jebkurai devai </w:t>
      </w:r>
      <w:r w:rsidR="006C5A34" w:rsidRPr="00595075">
        <w:rPr>
          <w:color w:val="000000" w:themeColor="text1"/>
          <w:szCs w:val="22"/>
        </w:rPr>
        <w:t xml:space="preserve">no </w:t>
      </w:r>
      <w:r w:rsidRPr="00595075">
        <w:rPr>
          <w:color w:val="000000" w:themeColor="text1"/>
          <w:szCs w:val="22"/>
        </w:rPr>
        <w:t>250 mg līdz 500 mg aciklovīra (10 un 20 ml izšķīdinātā šķīduma), bet otrs maisiņš jālieto devām</w:t>
      </w:r>
      <w:r w:rsidR="000766F6" w:rsidRPr="00595075">
        <w:rPr>
          <w:color w:val="000000" w:themeColor="text1"/>
          <w:szCs w:val="22"/>
        </w:rPr>
        <w:t>,</w:t>
      </w:r>
      <w:r w:rsidRPr="00595075">
        <w:rPr>
          <w:color w:val="000000" w:themeColor="text1"/>
          <w:szCs w:val="22"/>
        </w:rPr>
        <w:t xml:space="preserve"> kas ir robežās no 500 mg līdz 1000 mg.</w:t>
      </w:r>
    </w:p>
    <w:p w14:paraId="1CE97DFE" w14:textId="77777777" w:rsidR="000B1B3A" w:rsidRPr="00595075" w:rsidRDefault="000B1B3A" w:rsidP="00F70B36">
      <w:pPr>
        <w:spacing w:line="240" w:lineRule="auto"/>
        <w:jc w:val="both"/>
        <w:rPr>
          <w:i/>
          <w:color w:val="000000" w:themeColor="text1"/>
          <w:szCs w:val="22"/>
        </w:rPr>
      </w:pPr>
    </w:p>
    <w:p w14:paraId="449330B8" w14:textId="1E442AA7" w:rsidR="000B1B3A" w:rsidRPr="00595075" w:rsidRDefault="000B1B3A" w:rsidP="00F70B36">
      <w:pPr>
        <w:spacing w:line="240" w:lineRule="auto"/>
        <w:jc w:val="both"/>
        <w:rPr>
          <w:color w:val="000000" w:themeColor="text1"/>
          <w:szCs w:val="22"/>
        </w:rPr>
      </w:pPr>
      <w:r w:rsidRPr="00595075">
        <w:rPr>
          <w:color w:val="000000" w:themeColor="text1"/>
          <w:szCs w:val="22"/>
        </w:rPr>
        <w:t>Atšķaidot atbilstoši ieteicamajai shēmai, ir zināms ka aciklovīrs ir saderīgs ar šādiem infūziju šķīdumiem un tas saglabā stabilitāti līdz pat 12 stundām, uzglabājot istabas temperatūrā (</w:t>
      </w:r>
      <w:r w:rsidR="00671DD2" w:rsidRPr="00595075">
        <w:rPr>
          <w:color w:val="000000" w:themeColor="text1"/>
          <w:szCs w:val="22"/>
        </w:rPr>
        <w:t xml:space="preserve">no </w:t>
      </w:r>
      <w:r w:rsidRPr="00595075">
        <w:rPr>
          <w:color w:val="000000" w:themeColor="text1"/>
          <w:szCs w:val="22"/>
        </w:rPr>
        <w:t>15</w:t>
      </w:r>
      <w:r w:rsidRPr="00595075">
        <w:rPr>
          <w:color w:val="000000" w:themeColor="text1"/>
          <w:szCs w:val="22"/>
        </w:rPr>
        <w:sym w:font="Symbol" w:char="F0B0"/>
      </w:r>
      <w:r w:rsidRPr="00595075">
        <w:rPr>
          <w:color w:val="000000" w:themeColor="text1"/>
          <w:szCs w:val="22"/>
        </w:rPr>
        <w:t>C līdz 25</w:t>
      </w:r>
      <w:r w:rsidRPr="00595075">
        <w:rPr>
          <w:color w:val="000000" w:themeColor="text1"/>
          <w:szCs w:val="22"/>
        </w:rPr>
        <w:sym w:font="Symbol" w:char="F0B0"/>
      </w:r>
      <w:r w:rsidRPr="00595075">
        <w:rPr>
          <w:color w:val="000000" w:themeColor="text1"/>
          <w:szCs w:val="22"/>
        </w:rPr>
        <w:t>C):</w:t>
      </w:r>
    </w:p>
    <w:p w14:paraId="5DC0EC91" w14:textId="3DA636ED" w:rsidR="000B1B3A" w:rsidRPr="00595075" w:rsidRDefault="000B1B3A" w:rsidP="00F70B36">
      <w:pPr>
        <w:pStyle w:val="BodyText2"/>
        <w:numPr>
          <w:ilvl w:val="0"/>
          <w:numId w:val="28"/>
        </w:numPr>
        <w:tabs>
          <w:tab w:val="left" w:pos="709"/>
        </w:tabs>
        <w:rPr>
          <w:color w:val="000000" w:themeColor="text1"/>
          <w:sz w:val="22"/>
          <w:szCs w:val="22"/>
        </w:rPr>
      </w:pPr>
      <w:r w:rsidRPr="00595075">
        <w:rPr>
          <w:color w:val="000000" w:themeColor="text1"/>
          <w:sz w:val="22"/>
          <w:szCs w:val="22"/>
        </w:rPr>
        <w:t>nātrija hlorīds intravenozām infūzijām (0,9 %);</w:t>
      </w:r>
    </w:p>
    <w:p w14:paraId="4D405BD4" w14:textId="123988FD" w:rsidR="000B1B3A" w:rsidRPr="00595075" w:rsidRDefault="000B1B3A" w:rsidP="00F70B36">
      <w:pPr>
        <w:pStyle w:val="BodyText2"/>
        <w:numPr>
          <w:ilvl w:val="0"/>
          <w:numId w:val="28"/>
        </w:numPr>
        <w:tabs>
          <w:tab w:val="left" w:pos="709"/>
        </w:tabs>
        <w:rPr>
          <w:color w:val="000000" w:themeColor="text1"/>
          <w:sz w:val="22"/>
          <w:szCs w:val="22"/>
        </w:rPr>
      </w:pPr>
      <w:r w:rsidRPr="00595075">
        <w:rPr>
          <w:color w:val="000000" w:themeColor="text1"/>
          <w:sz w:val="22"/>
          <w:szCs w:val="22"/>
        </w:rPr>
        <w:t>nātrija hlorīds (0,18 %) un glikoze (4 %) intravenozām infūzijām;</w:t>
      </w:r>
    </w:p>
    <w:p w14:paraId="390FB619" w14:textId="4406AE9B" w:rsidR="000B1B3A" w:rsidRPr="00595075" w:rsidRDefault="000B1B3A" w:rsidP="00F70B36">
      <w:pPr>
        <w:pStyle w:val="BodyText2"/>
        <w:numPr>
          <w:ilvl w:val="0"/>
          <w:numId w:val="28"/>
        </w:numPr>
        <w:tabs>
          <w:tab w:val="left" w:pos="709"/>
        </w:tabs>
        <w:rPr>
          <w:color w:val="000000" w:themeColor="text1"/>
          <w:sz w:val="22"/>
          <w:szCs w:val="22"/>
        </w:rPr>
      </w:pPr>
      <w:r w:rsidRPr="00595075">
        <w:rPr>
          <w:color w:val="000000" w:themeColor="text1"/>
          <w:sz w:val="22"/>
          <w:szCs w:val="22"/>
        </w:rPr>
        <w:t>nātrija hlorīds (0,45 %) un glikoze (2,5 %) intravenozām infūzijām;</w:t>
      </w:r>
    </w:p>
    <w:p w14:paraId="2AC9AE02" w14:textId="77777777" w:rsidR="000B1B3A" w:rsidRPr="00595075" w:rsidRDefault="000B1B3A" w:rsidP="00F70B36">
      <w:pPr>
        <w:pStyle w:val="BodyText2"/>
        <w:numPr>
          <w:ilvl w:val="0"/>
          <w:numId w:val="28"/>
        </w:numPr>
        <w:tabs>
          <w:tab w:val="left" w:pos="709"/>
        </w:tabs>
        <w:rPr>
          <w:color w:val="000000" w:themeColor="text1"/>
          <w:sz w:val="22"/>
          <w:szCs w:val="22"/>
        </w:rPr>
      </w:pPr>
      <w:r w:rsidRPr="00595075">
        <w:rPr>
          <w:color w:val="000000" w:themeColor="text1"/>
          <w:sz w:val="22"/>
          <w:szCs w:val="22"/>
        </w:rPr>
        <w:t>nātrija laktāta savienojums intravenozām infūzijām (Hartmana šķīdums).</w:t>
      </w:r>
    </w:p>
    <w:p w14:paraId="16253CCD" w14:textId="77777777" w:rsidR="000B1B3A" w:rsidRPr="00595075" w:rsidRDefault="000B1B3A" w:rsidP="00F70B36">
      <w:pPr>
        <w:spacing w:line="240" w:lineRule="auto"/>
        <w:jc w:val="both"/>
        <w:rPr>
          <w:color w:val="000000" w:themeColor="text1"/>
          <w:szCs w:val="22"/>
        </w:rPr>
      </w:pPr>
    </w:p>
    <w:p w14:paraId="2D9A2F2F" w14:textId="4F654D12" w:rsidR="000B1B3A" w:rsidRPr="00595075" w:rsidRDefault="000B1B3A" w:rsidP="00F70B36">
      <w:pPr>
        <w:spacing w:line="240" w:lineRule="auto"/>
        <w:jc w:val="both"/>
        <w:rPr>
          <w:color w:val="000000" w:themeColor="text1"/>
          <w:szCs w:val="22"/>
        </w:rPr>
      </w:pPr>
      <w:r w:rsidRPr="00595075">
        <w:rPr>
          <w:color w:val="000000" w:themeColor="text1"/>
          <w:szCs w:val="22"/>
        </w:rPr>
        <w:t xml:space="preserve">Ja </w:t>
      </w:r>
      <w:r w:rsidRPr="00595075">
        <w:rPr>
          <w:iCs/>
          <w:color w:val="000000" w:themeColor="text1"/>
          <w:szCs w:val="22"/>
        </w:rPr>
        <w:t>aciklovīru</w:t>
      </w:r>
      <w:r w:rsidRPr="00595075">
        <w:rPr>
          <w:color w:val="000000" w:themeColor="text1"/>
          <w:szCs w:val="22"/>
        </w:rPr>
        <w:t xml:space="preserve"> atšķaida atbilstoši iepriekš minētajai shēmai, tiks iegūta aciklovīra koncentrācija, kas nebūs lielāka par 0,5 %.</w:t>
      </w:r>
    </w:p>
    <w:p w14:paraId="0F10E615" w14:textId="77777777" w:rsidR="000B1B3A" w:rsidRPr="00595075" w:rsidRDefault="000B1B3A" w:rsidP="00F70B36">
      <w:pPr>
        <w:spacing w:line="240" w:lineRule="auto"/>
        <w:jc w:val="both"/>
        <w:rPr>
          <w:color w:val="000000" w:themeColor="text1"/>
          <w:szCs w:val="22"/>
        </w:rPr>
      </w:pPr>
    </w:p>
    <w:p w14:paraId="16577C76" w14:textId="77777777" w:rsidR="000B1B3A" w:rsidRPr="00595075" w:rsidRDefault="000B1B3A" w:rsidP="00F70B36">
      <w:pPr>
        <w:spacing w:line="240" w:lineRule="auto"/>
        <w:jc w:val="both"/>
        <w:rPr>
          <w:color w:val="000000" w:themeColor="text1"/>
          <w:szCs w:val="22"/>
        </w:rPr>
      </w:pPr>
      <w:r w:rsidRPr="00595075">
        <w:rPr>
          <w:color w:val="000000" w:themeColor="text1"/>
          <w:szCs w:val="22"/>
        </w:rPr>
        <w:t>Tā kā šīs zāles nesatur antibakteriālo konservantu, izšķīdināšana un atšķaidīšana jāveic aseptiskos apstākļos un tas jādara tieši pirms lietošanas, un neizlietotais šķīdums jāiznīcina.</w:t>
      </w:r>
    </w:p>
    <w:p w14:paraId="354E83A0" w14:textId="77777777" w:rsidR="000B1B3A" w:rsidRPr="00595075" w:rsidRDefault="000B1B3A" w:rsidP="00F70B36">
      <w:pPr>
        <w:spacing w:line="240" w:lineRule="auto"/>
        <w:jc w:val="both"/>
        <w:rPr>
          <w:color w:val="000000" w:themeColor="text1"/>
          <w:szCs w:val="22"/>
        </w:rPr>
      </w:pPr>
    </w:p>
    <w:p w14:paraId="201C52EA" w14:textId="77777777" w:rsidR="000B1B3A" w:rsidRPr="00595075" w:rsidRDefault="000B1B3A" w:rsidP="00F70B36">
      <w:pPr>
        <w:spacing w:line="240" w:lineRule="auto"/>
        <w:jc w:val="both"/>
        <w:rPr>
          <w:color w:val="000000" w:themeColor="text1"/>
          <w:szCs w:val="22"/>
        </w:rPr>
      </w:pPr>
      <w:r w:rsidRPr="00595075">
        <w:rPr>
          <w:color w:val="000000" w:themeColor="text1"/>
          <w:szCs w:val="22"/>
        </w:rPr>
        <w:t>Ja šķīdumā pirms infūzijas ievadīšanas vai tās laikā parādās redzams duļķojums vai notiek kristalizācija, tas ir jāiznīcina.</w:t>
      </w:r>
    </w:p>
    <w:p w14:paraId="79A5A0EA" w14:textId="77777777" w:rsidR="000B1B3A" w:rsidRPr="00595075" w:rsidRDefault="000B1B3A" w:rsidP="00F70B36">
      <w:pPr>
        <w:spacing w:line="240" w:lineRule="auto"/>
        <w:jc w:val="both"/>
        <w:rPr>
          <w:color w:val="000000" w:themeColor="text1"/>
          <w:szCs w:val="22"/>
        </w:rPr>
      </w:pPr>
    </w:p>
    <w:p w14:paraId="621B1CE7" w14:textId="77777777" w:rsidR="000B1B3A" w:rsidRPr="00595075" w:rsidRDefault="000B1B3A" w:rsidP="00F70B36">
      <w:pPr>
        <w:tabs>
          <w:tab w:val="clear" w:pos="567"/>
        </w:tabs>
        <w:spacing w:line="240" w:lineRule="auto"/>
        <w:jc w:val="both"/>
        <w:rPr>
          <w:color w:val="000000" w:themeColor="text1"/>
          <w:szCs w:val="22"/>
        </w:rPr>
      </w:pPr>
      <w:r w:rsidRPr="00595075">
        <w:rPr>
          <w:color w:val="000000" w:themeColor="text1"/>
          <w:szCs w:val="22"/>
        </w:rPr>
        <w:t>Neizlietotās zāles vai izlietotie materiāli jāiznīcina atbilstoši vietējām prasībām.</w:t>
      </w:r>
    </w:p>
    <w:p w14:paraId="29E877F6" w14:textId="77777777" w:rsidR="003465E9" w:rsidRPr="00595075" w:rsidRDefault="003465E9" w:rsidP="00F70B36">
      <w:pPr>
        <w:tabs>
          <w:tab w:val="clear" w:pos="567"/>
        </w:tabs>
        <w:spacing w:line="240" w:lineRule="auto"/>
        <w:jc w:val="both"/>
        <w:rPr>
          <w:color w:val="000000" w:themeColor="text1"/>
          <w:szCs w:val="22"/>
        </w:rPr>
      </w:pPr>
    </w:p>
    <w:p w14:paraId="5C7C371A" w14:textId="77777777" w:rsidR="00CD10AA" w:rsidRPr="00595075" w:rsidRDefault="00CD10AA" w:rsidP="00F70B36">
      <w:pPr>
        <w:tabs>
          <w:tab w:val="clear" w:pos="567"/>
        </w:tabs>
        <w:spacing w:line="240" w:lineRule="auto"/>
        <w:jc w:val="both"/>
        <w:rPr>
          <w:color w:val="000000" w:themeColor="text1"/>
          <w:szCs w:val="22"/>
        </w:rPr>
      </w:pPr>
      <w:r w:rsidRPr="00595075">
        <w:rPr>
          <w:b/>
          <w:color w:val="000000" w:themeColor="text1"/>
          <w:szCs w:val="22"/>
        </w:rPr>
        <w:t>7.</w:t>
      </w:r>
      <w:r w:rsidRPr="00595075">
        <w:rPr>
          <w:b/>
          <w:color w:val="000000" w:themeColor="text1"/>
          <w:szCs w:val="22"/>
        </w:rPr>
        <w:tab/>
        <w:t>REĢISTRĀCIJAS APLIECĪBAS ĪPAŠNIEKS</w:t>
      </w:r>
    </w:p>
    <w:p w14:paraId="245AD376" w14:textId="77777777" w:rsidR="00CD10AA" w:rsidRPr="00595075" w:rsidRDefault="00CD10AA" w:rsidP="00F70B36">
      <w:pPr>
        <w:tabs>
          <w:tab w:val="clear" w:pos="567"/>
        </w:tabs>
        <w:spacing w:line="240" w:lineRule="auto"/>
        <w:jc w:val="both"/>
        <w:rPr>
          <w:color w:val="000000" w:themeColor="text1"/>
          <w:szCs w:val="22"/>
        </w:rPr>
      </w:pPr>
    </w:p>
    <w:p w14:paraId="02EFC026" w14:textId="46F4AD90" w:rsidR="003465E9" w:rsidRPr="00595075" w:rsidRDefault="00B51DB8" w:rsidP="00F70B36">
      <w:pPr>
        <w:tabs>
          <w:tab w:val="clear" w:pos="567"/>
        </w:tabs>
        <w:spacing w:line="240" w:lineRule="auto"/>
        <w:jc w:val="both"/>
        <w:rPr>
          <w:bCs/>
          <w:noProof/>
          <w:color w:val="000000" w:themeColor="text1"/>
          <w:szCs w:val="22"/>
        </w:rPr>
      </w:pPr>
      <w:r w:rsidRPr="00032848">
        <w:rPr>
          <w:noProof/>
          <w:color w:val="000000"/>
          <w:szCs w:val="22"/>
        </w:rPr>
        <w:t>Medochemie Ltd., 1-10 Constantinoupoleos Street, 3011 Limassol</w:t>
      </w:r>
      <w:r w:rsidRPr="00032848">
        <w:rPr>
          <w:color w:val="000000"/>
          <w:szCs w:val="22"/>
        </w:rPr>
        <w:t>, Kipra</w:t>
      </w:r>
    </w:p>
    <w:p w14:paraId="4B6F28BD" w14:textId="7B57C41F" w:rsidR="00CD10AA" w:rsidRPr="00595075" w:rsidRDefault="00CD10AA" w:rsidP="00F70B36">
      <w:pPr>
        <w:tabs>
          <w:tab w:val="clear" w:pos="567"/>
        </w:tabs>
        <w:spacing w:line="240" w:lineRule="auto"/>
        <w:jc w:val="both"/>
        <w:rPr>
          <w:color w:val="000000" w:themeColor="text1"/>
          <w:szCs w:val="22"/>
        </w:rPr>
      </w:pPr>
    </w:p>
    <w:p w14:paraId="710BDD6F" w14:textId="77777777" w:rsidR="003465E9" w:rsidRPr="00595075" w:rsidRDefault="003465E9" w:rsidP="00F70B36">
      <w:pPr>
        <w:tabs>
          <w:tab w:val="clear" w:pos="567"/>
        </w:tabs>
        <w:spacing w:line="240" w:lineRule="auto"/>
        <w:jc w:val="both"/>
        <w:rPr>
          <w:color w:val="000000" w:themeColor="text1"/>
          <w:szCs w:val="22"/>
        </w:rPr>
      </w:pPr>
    </w:p>
    <w:p w14:paraId="027AB075" w14:textId="58A4DE1D" w:rsidR="00CD10AA" w:rsidRPr="00595075" w:rsidRDefault="00CD10AA" w:rsidP="00F70B36">
      <w:pPr>
        <w:tabs>
          <w:tab w:val="clear" w:pos="567"/>
        </w:tabs>
        <w:spacing w:line="240" w:lineRule="auto"/>
        <w:jc w:val="both"/>
        <w:rPr>
          <w:b/>
          <w:color w:val="000000" w:themeColor="text1"/>
          <w:szCs w:val="22"/>
        </w:rPr>
      </w:pPr>
      <w:r w:rsidRPr="00595075">
        <w:rPr>
          <w:b/>
          <w:color w:val="000000" w:themeColor="text1"/>
          <w:szCs w:val="22"/>
        </w:rPr>
        <w:t>8.</w:t>
      </w:r>
      <w:r w:rsidRPr="00595075">
        <w:rPr>
          <w:b/>
          <w:color w:val="000000" w:themeColor="text1"/>
          <w:szCs w:val="22"/>
        </w:rPr>
        <w:tab/>
        <w:t>REĢISTRĀCIJAS</w:t>
      </w:r>
      <w:r w:rsidR="0082246A" w:rsidRPr="00595075">
        <w:rPr>
          <w:b/>
          <w:color w:val="000000" w:themeColor="text1"/>
          <w:szCs w:val="22"/>
        </w:rPr>
        <w:t xml:space="preserve"> APLIECĪBAS</w:t>
      </w:r>
      <w:r w:rsidRPr="00595075">
        <w:rPr>
          <w:b/>
          <w:color w:val="000000" w:themeColor="text1"/>
          <w:szCs w:val="22"/>
        </w:rPr>
        <w:t xml:space="preserve"> NUMURS</w:t>
      </w:r>
    </w:p>
    <w:p w14:paraId="37D02B28" w14:textId="77777777" w:rsidR="00CD10AA" w:rsidRPr="00595075" w:rsidRDefault="00CD10AA" w:rsidP="00F70B36">
      <w:pPr>
        <w:tabs>
          <w:tab w:val="clear" w:pos="567"/>
        </w:tabs>
        <w:spacing w:line="240" w:lineRule="auto"/>
        <w:jc w:val="both"/>
        <w:rPr>
          <w:color w:val="000000" w:themeColor="text1"/>
          <w:szCs w:val="22"/>
        </w:rPr>
      </w:pPr>
    </w:p>
    <w:p w14:paraId="48146F48" w14:textId="6E6F0D41" w:rsidR="00CD10AA" w:rsidRDefault="00C8449F" w:rsidP="00F70B36">
      <w:pPr>
        <w:tabs>
          <w:tab w:val="clear" w:pos="567"/>
        </w:tabs>
        <w:spacing w:line="240" w:lineRule="auto"/>
        <w:jc w:val="both"/>
        <w:rPr>
          <w:color w:val="000000" w:themeColor="text1"/>
          <w:szCs w:val="22"/>
        </w:rPr>
      </w:pPr>
      <w:r w:rsidRPr="00C8449F">
        <w:rPr>
          <w:color w:val="000000" w:themeColor="text1"/>
          <w:szCs w:val="22"/>
        </w:rPr>
        <w:t>20-0144</w:t>
      </w:r>
    </w:p>
    <w:p w14:paraId="355C782A" w14:textId="377ABF58" w:rsidR="00C8449F" w:rsidRDefault="00C8449F" w:rsidP="00F70B36">
      <w:pPr>
        <w:tabs>
          <w:tab w:val="clear" w:pos="567"/>
        </w:tabs>
        <w:spacing w:line="240" w:lineRule="auto"/>
        <w:jc w:val="both"/>
        <w:rPr>
          <w:color w:val="000000" w:themeColor="text1"/>
          <w:szCs w:val="22"/>
        </w:rPr>
      </w:pPr>
    </w:p>
    <w:p w14:paraId="7B0B75DF" w14:textId="77777777" w:rsidR="00C8449F" w:rsidRPr="00595075" w:rsidRDefault="00C8449F" w:rsidP="00F70B36">
      <w:pPr>
        <w:tabs>
          <w:tab w:val="clear" w:pos="567"/>
        </w:tabs>
        <w:spacing w:line="240" w:lineRule="auto"/>
        <w:jc w:val="both"/>
        <w:rPr>
          <w:color w:val="000000" w:themeColor="text1"/>
          <w:szCs w:val="22"/>
        </w:rPr>
      </w:pPr>
    </w:p>
    <w:p w14:paraId="52FDEE27" w14:textId="77777777" w:rsidR="00CD10AA" w:rsidRPr="00595075" w:rsidRDefault="00CD10AA" w:rsidP="00F70B36">
      <w:pPr>
        <w:tabs>
          <w:tab w:val="clear" w:pos="567"/>
        </w:tabs>
        <w:spacing w:line="240" w:lineRule="auto"/>
        <w:jc w:val="both"/>
        <w:rPr>
          <w:b/>
          <w:color w:val="000000" w:themeColor="text1"/>
          <w:szCs w:val="22"/>
        </w:rPr>
      </w:pPr>
      <w:r w:rsidRPr="00595075">
        <w:rPr>
          <w:b/>
          <w:color w:val="000000" w:themeColor="text1"/>
          <w:szCs w:val="22"/>
        </w:rPr>
        <w:t>9.</w:t>
      </w:r>
      <w:r w:rsidRPr="00595075">
        <w:rPr>
          <w:b/>
          <w:color w:val="000000" w:themeColor="text1"/>
          <w:szCs w:val="22"/>
        </w:rPr>
        <w:tab/>
      </w:r>
      <w:r w:rsidR="00980C1E" w:rsidRPr="00595075">
        <w:rPr>
          <w:b/>
          <w:color w:val="000000" w:themeColor="text1"/>
          <w:szCs w:val="22"/>
        </w:rPr>
        <w:t xml:space="preserve">PIRMĀS </w:t>
      </w:r>
      <w:r w:rsidRPr="00595075">
        <w:rPr>
          <w:b/>
          <w:color w:val="000000" w:themeColor="text1"/>
          <w:szCs w:val="22"/>
        </w:rPr>
        <w:t>REĢISTRĀCIJAS/PĀRREĢISTRĀCIJAS DATUMS</w:t>
      </w:r>
    </w:p>
    <w:p w14:paraId="15A41467" w14:textId="77777777" w:rsidR="003465E9" w:rsidRPr="00595075" w:rsidRDefault="003465E9" w:rsidP="00F70B36">
      <w:pPr>
        <w:spacing w:line="240" w:lineRule="auto"/>
        <w:jc w:val="both"/>
        <w:rPr>
          <w:color w:val="000000" w:themeColor="text1"/>
          <w:szCs w:val="22"/>
        </w:rPr>
      </w:pPr>
    </w:p>
    <w:p w14:paraId="72A63591" w14:textId="6406D725" w:rsidR="00FD187E" w:rsidRPr="00595075" w:rsidRDefault="00F31302" w:rsidP="00F70B36">
      <w:pPr>
        <w:spacing w:line="240" w:lineRule="auto"/>
        <w:jc w:val="both"/>
        <w:rPr>
          <w:color w:val="000000" w:themeColor="text1"/>
          <w:szCs w:val="22"/>
        </w:rPr>
      </w:pPr>
      <w:r w:rsidRPr="00595075">
        <w:rPr>
          <w:color w:val="000000" w:themeColor="text1"/>
          <w:szCs w:val="22"/>
        </w:rPr>
        <w:t>R</w:t>
      </w:r>
      <w:r w:rsidR="0082246A" w:rsidRPr="00595075">
        <w:rPr>
          <w:color w:val="000000" w:themeColor="text1"/>
          <w:szCs w:val="22"/>
        </w:rPr>
        <w:t xml:space="preserve">eģistrācijas datums: </w:t>
      </w:r>
      <w:r w:rsidR="00C8449F">
        <w:rPr>
          <w:color w:val="000000" w:themeColor="text1"/>
          <w:szCs w:val="22"/>
        </w:rPr>
        <w:t>2020.gada 4.decembris.</w:t>
      </w:r>
    </w:p>
    <w:p w14:paraId="611A4EBA" w14:textId="52AF6086" w:rsidR="00CD10AA" w:rsidRPr="00595075" w:rsidRDefault="00CD10AA" w:rsidP="00F70B36">
      <w:pPr>
        <w:tabs>
          <w:tab w:val="clear" w:pos="567"/>
        </w:tabs>
        <w:spacing w:line="240" w:lineRule="auto"/>
        <w:jc w:val="both"/>
        <w:rPr>
          <w:color w:val="000000" w:themeColor="text1"/>
          <w:szCs w:val="22"/>
        </w:rPr>
      </w:pPr>
    </w:p>
    <w:p w14:paraId="2D16E75C" w14:textId="77777777" w:rsidR="003465E9" w:rsidRPr="00595075" w:rsidRDefault="003465E9" w:rsidP="00F70B36">
      <w:pPr>
        <w:tabs>
          <w:tab w:val="clear" w:pos="567"/>
        </w:tabs>
        <w:spacing w:line="240" w:lineRule="auto"/>
        <w:jc w:val="both"/>
        <w:rPr>
          <w:color w:val="000000" w:themeColor="text1"/>
          <w:szCs w:val="22"/>
        </w:rPr>
      </w:pPr>
    </w:p>
    <w:p w14:paraId="494B2849" w14:textId="77777777" w:rsidR="00CD10AA" w:rsidRPr="00595075" w:rsidRDefault="00CD10AA" w:rsidP="00F70B36">
      <w:pPr>
        <w:tabs>
          <w:tab w:val="clear" w:pos="567"/>
        </w:tabs>
        <w:spacing w:line="240" w:lineRule="auto"/>
        <w:jc w:val="both"/>
        <w:rPr>
          <w:b/>
          <w:color w:val="000000" w:themeColor="text1"/>
          <w:szCs w:val="22"/>
        </w:rPr>
      </w:pPr>
      <w:r w:rsidRPr="00595075">
        <w:rPr>
          <w:b/>
          <w:color w:val="000000" w:themeColor="text1"/>
          <w:szCs w:val="22"/>
        </w:rPr>
        <w:t>10.</w:t>
      </w:r>
      <w:r w:rsidRPr="00595075">
        <w:rPr>
          <w:b/>
          <w:color w:val="000000" w:themeColor="text1"/>
          <w:szCs w:val="22"/>
        </w:rPr>
        <w:tab/>
        <w:t>TEKSTA</w:t>
      </w:r>
      <w:r w:rsidR="00171350" w:rsidRPr="00595075">
        <w:rPr>
          <w:b/>
          <w:color w:val="000000" w:themeColor="text1"/>
          <w:szCs w:val="22"/>
        </w:rPr>
        <w:t xml:space="preserve"> </w:t>
      </w:r>
      <w:r w:rsidRPr="00595075">
        <w:rPr>
          <w:b/>
          <w:color w:val="000000" w:themeColor="text1"/>
          <w:szCs w:val="22"/>
        </w:rPr>
        <w:t>PĀRSKATĪŠANAS DATUMS</w:t>
      </w:r>
    </w:p>
    <w:p w14:paraId="635555E1" w14:textId="77777777" w:rsidR="00CD10AA" w:rsidRPr="00595075" w:rsidRDefault="00CD10AA" w:rsidP="00F70B36">
      <w:pPr>
        <w:tabs>
          <w:tab w:val="clear" w:pos="567"/>
        </w:tabs>
        <w:spacing w:line="240" w:lineRule="auto"/>
        <w:jc w:val="both"/>
        <w:rPr>
          <w:b/>
          <w:color w:val="000000" w:themeColor="text1"/>
          <w:szCs w:val="22"/>
        </w:rPr>
      </w:pPr>
    </w:p>
    <w:p w14:paraId="4F3193F8" w14:textId="33B350AB" w:rsidR="00CD10AA" w:rsidRPr="00595075" w:rsidRDefault="007912F8" w:rsidP="00F70B36">
      <w:pPr>
        <w:tabs>
          <w:tab w:val="clear" w:pos="567"/>
        </w:tabs>
        <w:spacing w:line="240" w:lineRule="auto"/>
        <w:jc w:val="both"/>
        <w:rPr>
          <w:noProof/>
          <w:color w:val="000000" w:themeColor="text1"/>
          <w:szCs w:val="22"/>
        </w:rPr>
      </w:pPr>
      <w:r w:rsidRPr="00595075">
        <w:rPr>
          <w:noProof/>
          <w:color w:val="000000" w:themeColor="text1"/>
          <w:szCs w:val="22"/>
        </w:rPr>
        <w:t>1</w:t>
      </w:r>
      <w:r w:rsidR="00B51DB8">
        <w:rPr>
          <w:noProof/>
          <w:color w:val="000000" w:themeColor="text1"/>
          <w:szCs w:val="22"/>
        </w:rPr>
        <w:t>2</w:t>
      </w:r>
      <w:r w:rsidRPr="00595075">
        <w:rPr>
          <w:noProof/>
          <w:color w:val="000000" w:themeColor="text1"/>
          <w:szCs w:val="22"/>
        </w:rPr>
        <w:t>/</w:t>
      </w:r>
      <w:r w:rsidR="003465E9" w:rsidRPr="00595075">
        <w:rPr>
          <w:noProof/>
          <w:color w:val="000000" w:themeColor="text1"/>
          <w:szCs w:val="22"/>
        </w:rPr>
        <w:t>2020</w:t>
      </w:r>
    </w:p>
    <w:p w14:paraId="0D9F72FE" w14:textId="390B3C5C" w:rsidR="003465E9" w:rsidRPr="00595075" w:rsidRDefault="003465E9" w:rsidP="00F70B36">
      <w:pPr>
        <w:tabs>
          <w:tab w:val="clear" w:pos="567"/>
        </w:tabs>
        <w:spacing w:line="240" w:lineRule="auto"/>
        <w:jc w:val="both"/>
        <w:rPr>
          <w:noProof/>
          <w:color w:val="000000" w:themeColor="text1"/>
          <w:szCs w:val="22"/>
        </w:rPr>
      </w:pPr>
    </w:p>
    <w:p w14:paraId="7F177733" w14:textId="1E57BFB0" w:rsidR="003465E9" w:rsidRPr="00595075" w:rsidRDefault="003465E9" w:rsidP="00F70B36">
      <w:pPr>
        <w:tabs>
          <w:tab w:val="clear" w:pos="567"/>
        </w:tabs>
        <w:spacing w:line="240" w:lineRule="auto"/>
        <w:jc w:val="both"/>
        <w:rPr>
          <w:noProof/>
          <w:color w:val="000000" w:themeColor="text1"/>
          <w:szCs w:val="22"/>
        </w:rPr>
      </w:pPr>
    </w:p>
    <w:sectPr w:rsidR="003465E9" w:rsidRPr="00595075" w:rsidSect="004C3B4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C570F" w14:textId="77777777" w:rsidR="00AA26AF" w:rsidRDefault="00AA26AF">
      <w:r>
        <w:separator/>
      </w:r>
    </w:p>
  </w:endnote>
  <w:endnote w:type="continuationSeparator" w:id="0">
    <w:p w14:paraId="63D36B97" w14:textId="77777777" w:rsidR="00AA26AF" w:rsidRDefault="00AA26AF">
      <w:r>
        <w:continuationSeparator/>
      </w:r>
    </w:p>
  </w:endnote>
  <w:endnote w:type="continuationNotice" w:id="1">
    <w:p w14:paraId="757338FD" w14:textId="77777777" w:rsidR="00AA26AF" w:rsidRDefault="00AA26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97CB8" w14:textId="77777777" w:rsidR="00366287" w:rsidRDefault="003662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E2351" w14:textId="0444E11E" w:rsidR="005C330E" w:rsidRPr="00C43CF0" w:rsidRDefault="00B51DB8" w:rsidP="007C128A">
    <w:pPr>
      <w:pStyle w:val="Footer"/>
      <w:jc w:val="center"/>
    </w:pPr>
    <w:r w:rsidRPr="008A4F7D">
      <w:rPr>
        <w:rFonts w:ascii="Times New Roman" w:hAnsi="Times New Roman"/>
        <w:color w:val="000000" w:themeColor="text1"/>
        <w:sz w:val="22"/>
        <w:szCs w:val="22"/>
      </w:rPr>
      <w:t>20-0144/II/A.z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429BE" w14:textId="77777777" w:rsidR="005C330E" w:rsidRDefault="005C330E">
    <w:pPr>
      <w:pStyle w:val="Footer"/>
      <w:tabs>
        <w:tab w:val="clear" w:pos="8930"/>
        <w:tab w:val="right" w:pos="8931"/>
      </w:tabs>
      <w:ind w:right="96"/>
      <w:jc w:val="center"/>
    </w:pPr>
    <w:r>
      <w:fldChar w:fldCharType="begin"/>
    </w:r>
    <w:r>
      <w:instrText xml:space="preserve"> EQ </w:instrText>
    </w:r>
    <w:r>
      <w:fldChar w:fldCharType="end"/>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1</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658BA" w14:textId="77777777" w:rsidR="00AA26AF" w:rsidRDefault="00AA26AF">
      <w:r>
        <w:separator/>
      </w:r>
    </w:p>
  </w:footnote>
  <w:footnote w:type="continuationSeparator" w:id="0">
    <w:p w14:paraId="2C665E7F" w14:textId="77777777" w:rsidR="00AA26AF" w:rsidRDefault="00AA26AF">
      <w:r>
        <w:continuationSeparator/>
      </w:r>
    </w:p>
  </w:footnote>
  <w:footnote w:type="continuationNotice" w:id="1">
    <w:p w14:paraId="33754FDB" w14:textId="77777777" w:rsidR="00AA26AF" w:rsidRDefault="00AA26A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E1CBC" w14:textId="77777777" w:rsidR="00366287" w:rsidRDefault="003662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D02C8" w14:textId="7C0A4041" w:rsidR="00AA26AF" w:rsidRPr="0074323A" w:rsidRDefault="00F3253A" w:rsidP="0074323A">
    <w:pPr>
      <w:pStyle w:val="Header"/>
      <w:jc w:val="right"/>
      <w:rPr>
        <w:rFonts w:ascii="Times New Roman" w:hAnsi="Times New Roman"/>
        <w:sz w:val="24"/>
        <w:szCs w:val="24"/>
        <w:lang w:val="en-US"/>
      </w:rPr>
    </w:pPr>
    <w:r>
      <w:rPr>
        <w:rFonts w:ascii="Times New Roman" w:hAnsi="Times New Roman"/>
        <w:sz w:val="24"/>
        <w:szCs w:val="24"/>
        <w:lang w:val="en-US"/>
      </w:rPr>
      <w:t>SASKAŅOTS ZVA 05-01-2021</w:t>
    </w:r>
    <w:bookmarkStart w:id="4" w:name="_GoBack"/>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9EAA3" w14:textId="77777777" w:rsidR="00366287" w:rsidRDefault="00366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6pt;height:13.8pt" o:bullet="t">
        <v:imagedata r:id="rId1" o:title="BT_1000x858px"/>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hint="default"/>
        <w:sz w:val="24"/>
        <w:lang w:val="lv-LV"/>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7D640F"/>
    <w:multiLevelType w:val="hybridMultilevel"/>
    <w:tmpl w:val="D6D0A0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66B22"/>
    <w:multiLevelType w:val="multilevel"/>
    <w:tmpl w:val="A2AE694E"/>
    <w:lvl w:ilvl="0">
      <w:start w:val="5"/>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15:restartNumberingAfterBreak="0">
    <w:nsid w:val="0F351A5E"/>
    <w:multiLevelType w:val="hybridMultilevel"/>
    <w:tmpl w:val="754424AA"/>
    <w:lvl w:ilvl="0" w:tplc="AD46C64C">
      <w:start w:val="4"/>
      <w:numFmt w:val="decimal"/>
      <w:lvlText w:val="%1."/>
      <w:lvlJc w:val="left"/>
      <w:pPr>
        <w:tabs>
          <w:tab w:val="num" w:pos="930"/>
        </w:tabs>
        <w:ind w:left="930" w:hanging="570"/>
      </w:pPr>
      <w:rPr>
        <w:rFonts w:hint="default"/>
      </w:rPr>
    </w:lvl>
    <w:lvl w:ilvl="1" w:tplc="DA3E38A2" w:tentative="1">
      <w:start w:val="1"/>
      <w:numFmt w:val="lowerLetter"/>
      <w:lvlText w:val="%2."/>
      <w:lvlJc w:val="left"/>
      <w:pPr>
        <w:tabs>
          <w:tab w:val="num" w:pos="1440"/>
        </w:tabs>
        <w:ind w:left="1440" w:hanging="360"/>
      </w:pPr>
    </w:lvl>
    <w:lvl w:ilvl="2" w:tplc="12FE1AC6" w:tentative="1">
      <w:start w:val="1"/>
      <w:numFmt w:val="lowerRoman"/>
      <w:lvlText w:val="%3."/>
      <w:lvlJc w:val="right"/>
      <w:pPr>
        <w:tabs>
          <w:tab w:val="num" w:pos="2160"/>
        </w:tabs>
        <w:ind w:left="2160" w:hanging="180"/>
      </w:pPr>
    </w:lvl>
    <w:lvl w:ilvl="3" w:tplc="A560D708" w:tentative="1">
      <w:start w:val="1"/>
      <w:numFmt w:val="decimal"/>
      <w:lvlText w:val="%4."/>
      <w:lvlJc w:val="left"/>
      <w:pPr>
        <w:tabs>
          <w:tab w:val="num" w:pos="2880"/>
        </w:tabs>
        <w:ind w:left="2880" w:hanging="360"/>
      </w:pPr>
    </w:lvl>
    <w:lvl w:ilvl="4" w:tplc="0F56BB46" w:tentative="1">
      <w:start w:val="1"/>
      <w:numFmt w:val="lowerLetter"/>
      <w:lvlText w:val="%5."/>
      <w:lvlJc w:val="left"/>
      <w:pPr>
        <w:tabs>
          <w:tab w:val="num" w:pos="3600"/>
        </w:tabs>
        <w:ind w:left="3600" w:hanging="360"/>
      </w:pPr>
    </w:lvl>
    <w:lvl w:ilvl="5" w:tplc="E81AC2F8" w:tentative="1">
      <w:start w:val="1"/>
      <w:numFmt w:val="lowerRoman"/>
      <w:lvlText w:val="%6."/>
      <w:lvlJc w:val="right"/>
      <w:pPr>
        <w:tabs>
          <w:tab w:val="num" w:pos="4320"/>
        </w:tabs>
        <w:ind w:left="4320" w:hanging="180"/>
      </w:pPr>
    </w:lvl>
    <w:lvl w:ilvl="6" w:tplc="41FCE12C" w:tentative="1">
      <w:start w:val="1"/>
      <w:numFmt w:val="decimal"/>
      <w:lvlText w:val="%7."/>
      <w:lvlJc w:val="left"/>
      <w:pPr>
        <w:tabs>
          <w:tab w:val="num" w:pos="5040"/>
        </w:tabs>
        <w:ind w:left="5040" w:hanging="360"/>
      </w:pPr>
    </w:lvl>
    <w:lvl w:ilvl="7" w:tplc="04F47284" w:tentative="1">
      <w:start w:val="1"/>
      <w:numFmt w:val="lowerLetter"/>
      <w:lvlText w:val="%8."/>
      <w:lvlJc w:val="left"/>
      <w:pPr>
        <w:tabs>
          <w:tab w:val="num" w:pos="5760"/>
        </w:tabs>
        <w:ind w:left="5760" w:hanging="360"/>
      </w:pPr>
    </w:lvl>
    <w:lvl w:ilvl="8" w:tplc="A600D79E" w:tentative="1">
      <w:start w:val="1"/>
      <w:numFmt w:val="lowerRoman"/>
      <w:lvlText w:val="%9."/>
      <w:lvlJc w:val="right"/>
      <w:pPr>
        <w:tabs>
          <w:tab w:val="num" w:pos="6480"/>
        </w:tabs>
        <w:ind w:left="6480" w:hanging="180"/>
      </w:pPr>
    </w:lvl>
  </w:abstractNum>
  <w:abstractNum w:abstractNumId="5"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6" w15:restartNumberingAfterBreak="0">
    <w:nsid w:val="219A3667"/>
    <w:multiLevelType w:val="multilevel"/>
    <w:tmpl w:val="FFFFFFFF"/>
    <w:lvl w:ilvl="0">
      <w:start w:val="1"/>
      <w:numFmt w:val="bullet"/>
      <w:lvlText w:val=""/>
      <w:legacy w:legacy="1" w:legacySpace="0" w:legacyIndent="284"/>
      <w:lvlJc w:val="left"/>
      <w:pPr>
        <w:ind w:left="284" w:hanging="284"/>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164108"/>
    <w:multiLevelType w:val="hybridMultilevel"/>
    <w:tmpl w:val="3F26EA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D7821DA"/>
    <w:multiLevelType w:val="hybridMultilevel"/>
    <w:tmpl w:val="A726C5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6003A"/>
    <w:multiLevelType w:val="hybridMultilevel"/>
    <w:tmpl w:val="A858B4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703F5E"/>
    <w:multiLevelType w:val="hybridMultilevel"/>
    <w:tmpl w:val="814603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9D6658"/>
    <w:multiLevelType w:val="hybridMultilevel"/>
    <w:tmpl w:val="17F8F9DC"/>
    <w:lvl w:ilvl="0" w:tplc="06CE7874">
      <w:start w:val="1"/>
      <w:numFmt w:val="bullet"/>
      <w:lvlText w:val=""/>
      <w:lvlJc w:val="left"/>
      <w:pPr>
        <w:tabs>
          <w:tab w:val="num" w:pos="567"/>
        </w:tabs>
        <w:ind w:left="567" w:hanging="454"/>
      </w:pPr>
      <w:rPr>
        <w:rFonts w:ascii="Symbol" w:hAnsi="Symbol" w:hint="default"/>
      </w:rPr>
    </w:lvl>
    <w:lvl w:ilvl="1" w:tplc="931E77B8">
      <w:start w:val="1"/>
      <w:numFmt w:val="bullet"/>
      <w:lvlText w:val="o"/>
      <w:lvlJc w:val="left"/>
      <w:pPr>
        <w:tabs>
          <w:tab w:val="num" w:pos="1440"/>
        </w:tabs>
        <w:ind w:left="1440" w:hanging="360"/>
      </w:pPr>
      <w:rPr>
        <w:rFonts w:ascii="Courier New" w:hAnsi="Courier New" w:hint="default"/>
      </w:rPr>
    </w:lvl>
    <w:lvl w:ilvl="2" w:tplc="6BBA2BC4" w:tentative="1">
      <w:start w:val="1"/>
      <w:numFmt w:val="bullet"/>
      <w:lvlText w:val=""/>
      <w:lvlJc w:val="left"/>
      <w:pPr>
        <w:tabs>
          <w:tab w:val="num" w:pos="2160"/>
        </w:tabs>
        <w:ind w:left="2160" w:hanging="360"/>
      </w:pPr>
      <w:rPr>
        <w:rFonts w:ascii="Wingdings" w:hAnsi="Wingdings" w:hint="default"/>
      </w:rPr>
    </w:lvl>
    <w:lvl w:ilvl="3" w:tplc="8126EE58" w:tentative="1">
      <w:start w:val="1"/>
      <w:numFmt w:val="bullet"/>
      <w:lvlText w:val=""/>
      <w:lvlJc w:val="left"/>
      <w:pPr>
        <w:tabs>
          <w:tab w:val="num" w:pos="2880"/>
        </w:tabs>
        <w:ind w:left="2880" w:hanging="360"/>
      </w:pPr>
      <w:rPr>
        <w:rFonts w:ascii="Symbol" w:hAnsi="Symbol" w:hint="default"/>
      </w:rPr>
    </w:lvl>
    <w:lvl w:ilvl="4" w:tplc="3F16A4DC" w:tentative="1">
      <w:start w:val="1"/>
      <w:numFmt w:val="bullet"/>
      <w:lvlText w:val="o"/>
      <w:lvlJc w:val="left"/>
      <w:pPr>
        <w:tabs>
          <w:tab w:val="num" w:pos="3600"/>
        </w:tabs>
        <w:ind w:left="3600" w:hanging="360"/>
      </w:pPr>
      <w:rPr>
        <w:rFonts w:ascii="Courier New" w:hAnsi="Courier New" w:hint="default"/>
      </w:rPr>
    </w:lvl>
    <w:lvl w:ilvl="5" w:tplc="1B528ABE" w:tentative="1">
      <w:start w:val="1"/>
      <w:numFmt w:val="bullet"/>
      <w:lvlText w:val=""/>
      <w:lvlJc w:val="left"/>
      <w:pPr>
        <w:tabs>
          <w:tab w:val="num" w:pos="4320"/>
        </w:tabs>
        <w:ind w:left="4320" w:hanging="360"/>
      </w:pPr>
      <w:rPr>
        <w:rFonts w:ascii="Wingdings" w:hAnsi="Wingdings" w:hint="default"/>
      </w:rPr>
    </w:lvl>
    <w:lvl w:ilvl="6" w:tplc="4558A8CE" w:tentative="1">
      <w:start w:val="1"/>
      <w:numFmt w:val="bullet"/>
      <w:lvlText w:val=""/>
      <w:lvlJc w:val="left"/>
      <w:pPr>
        <w:tabs>
          <w:tab w:val="num" w:pos="5040"/>
        </w:tabs>
        <w:ind w:left="5040" w:hanging="360"/>
      </w:pPr>
      <w:rPr>
        <w:rFonts w:ascii="Symbol" w:hAnsi="Symbol" w:hint="default"/>
      </w:rPr>
    </w:lvl>
    <w:lvl w:ilvl="7" w:tplc="539C0668" w:tentative="1">
      <w:start w:val="1"/>
      <w:numFmt w:val="bullet"/>
      <w:lvlText w:val="o"/>
      <w:lvlJc w:val="left"/>
      <w:pPr>
        <w:tabs>
          <w:tab w:val="num" w:pos="5760"/>
        </w:tabs>
        <w:ind w:left="5760" w:hanging="360"/>
      </w:pPr>
      <w:rPr>
        <w:rFonts w:ascii="Courier New" w:hAnsi="Courier New" w:hint="default"/>
      </w:rPr>
    </w:lvl>
    <w:lvl w:ilvl="8" w:tplc="13DE844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834AEA"/>
    <w:multiLevelType w:val="hybridMultilevel"/>
    <w:tmpl w:val="498862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15" w15:restartNumberingAfterBreak="0">
    <w:nsid w:val="4B374993"/>
    <w:multiLevelType w:val="hybridMultilevel"/>
    <w:tmpl w:val="8514B4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E54AFE"/>
    <w:multiLevelType w:val="hybridMultilevel"/>
    <w:tmpl w:val="B1A46980"/>
    <w:lvl w:ilvl="0" w:tplc="4E906A48">
      <w:start w:val="8"/>
      <w:numFmt w:val="decimal"/>
      <w:lvlText w:val="%1."/>
      <w:lvlJc w:val="left"/>
      <w:pPr>
        <w:tabs>
          <w:tab w:val="num" w:pos="570"/>
        </w:tabs>
        <w:ind w:left="570" w:hanging="570"/>
      </w:pPr>
      <w:rPr>
        <w:rFonts w:hint="default"/>
      </w:rPr>
    </w:lvl>
    <w:lvl w:ilvl="1" w:tplc="C7DA837C" w:tentative="1">
      <w:start w:val="1"/>
      <w:numFmt w:val="lowerLetter"/>
      <w:lvlText w:val="%2."/>
      <w:lvlJc w:val="left"/>
      <w:pPr>
        <w:tabs>
          <w:tab w:val="num" w:pos="1080"/>
        </w:tabs>
        <w:ind w:left="1080" w:hanging="360"/>
      </w:pPr>
    </w:lvl>
    <w:lvl w:ilvl="2" w:tplc="ADBA3602" w:tentative="1">
      <w:start w:val="1"/>
      <w:numFmt w:val="lowerRoman"/>
      <w:lvlText w:val="%3."/>
      <w:lvlJc w:val="right"/>
      <w:pPr>
        <w:tabs>
          <w:tab w:val="num" w:pos="1800"/>
        </w:tabs>
        <w:ind w:left="1800" w:hanging="180"/>
      </w:pPr>
    </w:lvl>
    <w:lvl w:ilvl="3" w:tplc="6BF62AD0" w:tentative="1">
      <w:start w:val="1"/>
      <w:numFmt w:val="decimal"/>
      <w:lvlText w:val="%4."/>
      <w:lvlJc w:val="left"/>
      <w:pPr>
        <w:tabs>
          <w:tab w:val="num" w:pos="2520"/>
        </w:tabs>
        <w:ind w:left="2520" w:hanging="360"/>
      </w:pPr>
    </w:lvl>
    <w:lvl w:ilvl="4" w:tplc="C60EB6DA" w:tentative="1">
      <w:start w:val="1"/>
      <w:numFmt w:val="lowerLetter"/>
      <w:lvlText w:val="%5."/>
      <w:lvlJc w:val="left"/>
      <w:pPr>
        <w:tabs>
          <w:tab w:val="num" w:pos="3240"/>
        </w:tabs>
        <w:ind w:left="3240" w:hanging="360"/>
      </w:pPr>
    </w:lvl>
    <w:lvl w:ilvl="5" w:tplc="3C40CE66" w:tentative="1">
      <w:start w:val="1"/>
      <w:numFmt w:val="lowerRoman"/>
      <w:lvlText w:val="%6."/>
      <w:lvlJc w:val="right"/>
      <w:pPr>
        <w:tabs>
          <w:tab w:val="num" w:pos="3960"/>
        </w:tabs>
        <w:ind w:left="3960" w:hanging="180"/>
      </w:pPr>
    </w:lvl>
    <w:lvl w:ilvl="6" w:tplc="D7E0455E" w:tentative="1">
      <w:start w:val="1"/>
      <w:numFmt w:val="decimal"/>
      <w:lvlText w:val="%7."/>
      <w:lvlJc w:val="left"/>
      <w:pPr>
        <w:tabs>
          <w:tab w:val="num" w:pos="4680"/>
        </w:tabs>
        <w:ind w:left="4680" w:hanging="360"/>
      </w:pPr>
    </w:lvl>
    <w:lvl w:ilvl="7" w:tplc="731463C8" w:tentative="1">
      <w:start w:val="1"/>
      <w:numFmt w:val="lowerLetter"/>
      <w:lvlText w:val="%8."/>
      <w:lvlJc w:val="left"/>
      <w:pPr>
        <w:tabs>
          <w:tab w:val="num" w:pos="5400"/>
        </w:tabs>
        <w:ind w:left="5400" w:hanging="360"/>
      </w:pPr>
    </w:lvl>
    <w:lvl w:ilvl="8" w:tplc="6764D7D6" w:tentative="1">
      <w:start w:val="1"/>
      <w:numFmt w:val="lowerRoman"/>
      <w:lvlText w:val="%9."/>
      <w:lvlJc w:val="right"/>
      <w:pPr>
        <w:tabs>
          <w:tab w:val="num" w:pos="6120"/>
        </w:tabs>
        <w:ind w:left="6120" w:hanging="180"/>
      </w:pPr>
    </w:lvl>
  </w:abstractNum>
  <w:abstractNum w:abstractNumId="17" w15:restartNumberingAfterBreak="0">
    <w:nsid w:val="4F715EA8"/>
    <w:multiLevelType w:val="hybridMultilevel"/>
    <w:tmpl w:val="85242A24"/>
    <w:lvl w:ilvl="0" w:tplc="D57EEC24">
      <w:start w:val="4"/>
      <w:numFmt w:val="decimal"/>
      <w:lvlText w:val="%1."/>
      <w:lvlJc w:val="left"/>
      <w:pPr>
        <w:tabs>
          <w:tab w:val="num" w:pos="720"/>
        </w:tabs>
        <w:ind w:left="720" w:hanging="360"/>
      </w:pPr>
      <w:rPr>
        <w:rFonts w:hint="default"/>
      </w:rPr>
    </w:lvl>
    <w:lvl w:ilvl="1" w:tplc="C7B4ED4C" w:tentative="1">
      <w:start w:val="1"/>
      <w:numFmt w:val="lowerLetter"/>
      <w:lvlText w:val="%2."/>
      <w:lvlJc w:val="left"/>
      <w:pPr>
        <w:tabs>
          <w:tab w:val="num" w:pos="1440"/>
        </w:tabs>
        <w:ind w:left="1440" w:hanging="360"/>
      </w:pPr>
    </w:lvl>
    <w:lvl w:ilvl="2" w:tplc="44106A24" w:tentative="1">
      <w:start w:val="1"/>
      <w:numFmt w:val="lowerRoman"/>
      <w:lvlText w:val="%3."/>
      <w:lvlJc w:val="right"/>
      <w:pPr>
        <w:tabs>
          <w:tab w:val="num" w:pos="2160"/>
        </w:tabs>
        <w:ind w:left="2160" w:hanging="180"/>
      </w:pPr>
    </w:lvl>
    <w:lvl w:ilvl="3" w:tplc="6A523874" w:tentative="1">
      <w:start w:val="1"/>
      <w:numFmt w:val="decimal"/>
      <w:lvlText w:val="%4."/>
      <w:lvlJc w:val="left"/>
      <w:pPr>
        <w:tabs>
          <w:tab w:val="num" w:pos="2880"/>
        </w:tabs>
        <w:ind w:left="2880" w:hanging="360"/>
      </w:pPr>
    </w:lvl>
    <w:lvl w:ilvl="4" w:tplc="191A8458" w:tentative="1">
      <w:start w:val="1"/>
      <w:numFmt w:val="lowerLetter"/>
      <w:lvlText w:val="%5."/>
      <w:lvlJc w:val="left"/>
      <w:pPr>
        <w:tabs>
          <w:tab w:val="num" w:pos="3600"/>
        </w:tabs>
        <w:ind w:left="3600" w:hanging="360"/>
      </w:pPr>
    </w:lvl>
    <w:lvl w:ilvl="5" w:tplc="B2143450" w:tentative="1">
      <w:start w:val="1"/>
      <w:numFmt w:val="lowerRoman"/>
      <w:lvlText w:val="%6."/>
      <w:lvlJc w:val="right"/>
      <w:pPr>
        <w:tabs>
          <w:tab w:val="num" w:pos="4320"/>
        </w:tabs>
        <w:ind w:left="4320" w:hanging="180"/>
      </w:pPr>
    </w:lvl>
    <w:lvl w:ilvl="6" w:tplc="3CBC4328" w:tentative="1">
      <w:start w:val="1"/>
      <w:numFmt w:val="decimal"/>
      <w:lvlText w:val="%7."/>
      <w:lvlJc w:val="left"/>
      <w:pPr>
        <w:tabs>
          <w:tab w:val="num" w:pos="5040"/>
        </w:tabs>
        <w:ind w:left="5040" w:hanging="360"/>
      </w:pPr>
    </w:lvl>
    <w:lvl w:ilvl="7" w:tplc="C20CE954" w:tentative="1">
      <w:start w:val="1"/>
      <w:numFmt w:val="lowerLetter"/>
      <w:lvlText w:val="%8."/>
      <w:lvlJc w:val="left"/>
      <w:pPr>
        <w:tabs>
          <w:tab w:val="num" w:pos="5760"/>
        </w:tabs>
        <w:ind w:left="5760" w:hanging="360"/>
      </w:pPr>
    </w:lvl>
    <w:lvl w:ilvl="8" w:tplc="D01437EA" w:tentative="1">
      <w:start w:val="1"/>
      <w:numFmt w:val="lowerRoman"/>
      <w:lvlText w:val="%9."/>
      <w:lvlJc w:val="right"/>
      <w:pPr>
        <w:tabs>
          <w:tab w:val="num" w:pos="6480"/>
        </w:tabs>
        <w:ind w:left="6480" w:hanging="180"/>
      </w:pPr>
    </w:lvl>
  </w:abstractNum>
  <w:abstractNum w:abstractNumId="18" w15:restartNumberingAfterBreak="0">
    <w:nsid w:val="53FB1123"/>
    <w:multiLevelType w:val="hybridMultilevel"/>
    <w:tmpl w:val="29B2DC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0" w15:restartNumberingAfterBreak="0">
    <w:nsid w:val="59322AB7"/>
    <w:multiLevelType w:val="hybridMultilevel"/>
    <w:tmpl w:val="98F4676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22"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3" w15:restartNumberingAfterBreak="0">
    <w:nsid w:val="6D4F3A43"/>
    <w:multiLevelType w:val="hybridMultilevel"/>
    <w:tmpl w:val="44EA2960"/>
    <w:lvl w:ilvl="0" w:tplc="81CAA804">
      <w:start w:val="5"/>
      <w:numFmt w:val="decimal"/>
      <w:lvlText w:val="%1."/>
      <w:lvlJc w:val="left"/>
      <w:pPr>
        <w:tabs>
          <w:tab w:val="num" w:pos="930"/>
        </w:tabs>
        <w:ind w:left="930" w:hanging="570"/>
      </w:pPr>
      <w:rPr>
        <w:rFonts w:hint="default"/>
        <w:color w:val="auto"/>
      </w:rPr>
    </w:lvl>
    <w:lvl w:ilvl="1" w:tplc="2AE4D166" w:tentative="1">
      <w:start w:val="1"/>
      <w:numFmt w:val="lowerLetter"/>
      <w:lvlText w:val="%2."/>
      <w:lvlJc w:val="left"/>
      <w:pPr>
        <w:tabs>
          <w:tab w:val="num" w:pos="1440"/>
        </w:tabs>
        <w:ind w:left="1440" w:hanging="360"/>
      </w:pPr>
    </w:lvl>
    <w:lvl w:ilvl="2" w:tplc="DF426DE4" w:tentative="1">
      <w:start w:val="1"/>
      <w:numFmt w:val="lowerRoman"/>
      <w:lvlText w:val="%3."/>
      <w:lvlJc w:val="right"/>
      <w:pPr>
        <w:tabs>
          <w:tab w:val="num" w:pos="2160"/>
        </w:tabs>
        <w:ind w:left="2160" w:hanging="180"/>
      </w:pPr>
    </w:lvl>
    <w:lvl w:ilvl="3" w:tplc="267E2C14" w:tentative="1">
      <w:start w:val="1"/>
      <w:numFmt w:val="decimal"/>
      <w:lvlText w:val="%4."/>
      <w:lvlJc w:val="left"/>
      <w:pPr>
        <w:tabs>
          <w:tab w:val="num" w:pos="2880"/>
        </w:tabs>
        <w:ind w:left="2880" w:hanging="360"/>
      </w:pPr>
    </w:lvl>
    <w:lvl w:ilvl="4" w:tplc="545E28FA" w:tentative="1">
      <w:start w:val="1"/>
      <w:numFmt w:val="lowerLetter"/>
      <w:lvlText w:val="%5."/>
      <w:lvlJc w:val="left"/>
      <w:pPr>
        <w:tabs>
          <w:tab w:val="num" w:pos="3600"/>
        </w:tabs>
        <w:ind w:left="3600" w:hanging="360"/>
      </w:pPr>
    </w:lvl>
    <w:lvl w:ilvl="5" w:tplc="543603FA" w:tentative="1">
      <w:start w:val="1"/>
      <w:numFmt w:val="lowerRoman"/>
      <w:lvlText w:val="%6."/>
      <w:lvlJc w:val="right"/>
      <w:pPr>
        <w:tabs>
          <w:tab w:val="num" w:pos="4320"/>
        </w:tabs>
        <w:ind w:left="4320" w:hanging="180"/>
      </w:pPr>
    </w:lvl>
    <w:lvl w:ilvl="6" w:tplc="06BEFC54" w:tentative="1">
      <w:start w:val="1"/>
      <w:numFmt w:val="decimal"/>
      <w:lvlText w:val="%7."/>
      <w:lvlJc w:val="left"/>
      <w:pPr>
        <w:tabs>
          <w:tab w:val="num" w:pos="5040"/>
        </w:tabs>
        <w:ind w:left="5040" w:hanging="360"/>
      </w:pPr>
    </w:lvl>
    <w:lvl w:ilvl="7" w:tplc="B66E3704" w:tentative="1">
      <w:start w:val="1"/>
      <w:numFmt w:val="lowerLetter"/>
      <w:lvlText w:val="%8."/>
      <w:lvlJc w:val="left"/>
      <w:pPr>
        <w:tabs>
          <w:tab w:val="num" w:pos="5760"/>
        </w:tabs>
        <w:ind w:left="5760" w:hanging="360"/>
      </w:pPr>
    </w:lvl>
    <w:lvl w:ilvl="8" w:tplc="E26CEB78" w:tentative="1">
      <w:start w:val="1"/>
      <w:numFmt w:val="lowerRoman"/>
      <w:lvlText w:val="%9."/>
      <w:lvlJc w:val="right"/>
      <w:pPr>
        <w:tabs>
          <w:tab w:val="num" w:pos="6480"/>
        </w:tabs>
        <w:ind w:left="6480" w:hanging="180"/>
      </w:pPr>
    </w:lvl>
  </w:abstractNum>
  <w:abstractNum w:abstractNumId="24"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25" w15:restartNumberingAfterBreak="0">
    <w:nsid w:val="762709E1"/>
    <w:multiLevelType w:val="hybridMultilevel"/>
    <w:tmpl w:val="440A813E"/>
    <w:lvl w:ilvl="0" w:tplc="2106472C">
      <w:start w:val="4"/>
      <w:numFmt w:val="decimal"/>
      <w:lvlText w:val="%1."/>
      <w:lvlJc w:val="left"/>
      <w:pPr>
        <w:tabs>
          <w:tab w:val="num" w:pos="720"/>
        </w:tabs>
        <w:ind w:left="720" w:hanging="360"/>
      </w:pPr>
      <w:rPr>
        <w:rFonts w:hint="default"/>
      </w:rPr>
    </w:lvl>
    <w:lvl w:ilvl="1" w:tplc="DE7E3EC0" w:tentative="1">
      <w:start w:val="1"/>
      <w:numFmt w:val="lowerLetter"/>
      <w:lvlText w:val="%2."/>
      <w:lvlJc w:val="left"/>
      <w:pPr>
        <w:tabs>
          <w:tab w:val="num" w:pos="1440"/>
        </w:tabs>
        <w:ind w:left="1440" w:hanging="360"/>
      </w:pPr>
    </w:lvl>
    <w:lvl w:ilvl="2" w:tplc="DF8A4FAE" w:tentative="1">
      <w:start w:val="1"/>
      <w:numFmt w:val="lowerRoman"/>
      <w:lvlText w:val="%3."/>
      <w:lvlJc w:val="right"/>
      <w:pPr>
        <w:tabs>
          <w:tab w:val="num" w:pos="2160"/>
        </w:tabs>
        <w:ind w:left="2160" w:hanging="180"/>
      </w:pPr>
    </w:lvl>
    <w:lvl w:ilvl="3" w:tplc="52CE0254" w:tentative="1">
      <w:start w:val="1"/>
      <w:numFmt w:val="decimal"/>
      <w:lvlText w:val="%4."/>
      <w:lvlJc w:val="left"/>
      <w:pPr>
        <w:tabs>
          <w:tab w:val="num" w:pos="2880"/>
        </w:tabs>
        <w:ind w:left="2880" w:hanging="360"/>
      </w:pPr>
    </w:lvl>
    <w:lvl w:ilvl="4" w:tplc="C5B684DE" w:tentative="1">
      <w:start w:val="1"/>
      <w:numFmt w:val="lowerLetter"/>
      <w:lvlText w:val="%5."/>
      <w:lvlJc w:val="left"/>
      <w:pPr>
        <w:tabs>
          <w:tab w:val="num" w:pos="3600"/>
        </w:tabs>
        <w:ind w:left="3600" w:hanging="360"/>
      </w:pPr>
    </w:lvl>
    <w:lvl w:ilvl="5" w:tplc="BE0092E8" w:tentative="1">
      <w:start w:val="1"/>
      <w:numFmt w:val="lowerRoman"/>
      <w:lvlText w:val="%6."/>
      <w:lvlJc w:val="right"/>
      <w:pPr>
        <w:tabs>
          <w:tab w:val="num" w:pos="4320"/>
        </w:tabs>
        <w:ind w:left="4320" w:hanging="180"/>
      </w:pPr>
    </w:lvl>
    <w:lvl w:ilvl="6" w:tplc="540E35E4" w:tentative="1">
      <w:start w:val="1"/>
      <w:numFmt w:val="decimal"/>
      <w:lvlText w:val="%7."/>
      <w:lvlJc w:val="left"/>
      <w:pPr>
        <w:tabs>
          <w:tab w:val="num" w:pos="5040"/>
        </w:tabs>
        <w:ind w:left="5040" w:hanging="360"/>
      </w:pPr>
    </w:lvl>
    <w:lvl w:ilvl="7" w:tplc="BA42261C" w:tentative="1">
      <w:start w:val="1"/>
      <w:numFmt w:val="lowerLetter"/>
      <w:lvlText w:val="%8."/>
      <w:lvlJc w:val="left"/>
      <w:pPr>
        <w:tabs>
          <w:tab w:val="num" w:pos="5760"/>
        </w:tabs>
        <w:ind w:left="5760" w:hanging="360"/>
      </w:pPr>
    </w:lvl>
    <w:lvl w:ilvl="8" w:tplc="5C1C3178" w:tentative="1">
      <w:start w:val="1"/>
      <w:numFmt w:val="lowerRoman"/>
      <w:lvlText w:val="%9."/>
      <w:lvlJc w:val="right"/>
      <w:pPr>
        <w:tabs>
          <w:tab w:val="num" w:pos="6480"/>
        </w:tabs>
        <w:ind w:left="6480" w:hanging="180"/>
      </w:pPr>
    </w:lvl>
  </w:abstractNum>
  <w:abstractNum w:abstractNumId="26" w15:restartNumberingAfterBreak="0">
    <w:nsid w:val="7DFB52F6"/>
    <w:multiLevelType w:val="hybridMultilevel"/>
    <w:tmpl w:val="B7EC6880"/>
    <w:lvl w:ilvl="0" w:tplc="E8220B84">
      <w:start w:val="1"/>
      <w:numFmt w:val="decimal"/>
      <w:lvlText w:val="%1."/>
      <w:lvlJc w:val="left"/>
      <w:pPr>
        <w:tabs>
          <w:tab w:val="num" w:pos="360"/>
        </w:tabs>
        <w:ind w:left="360" w:hanging="360"/>
      </w:pPr>
    </w:lvl>
    <w:lvl w:ilvl="1" w:tplc="19761972" w:tentative="1">
      <w:start w:val="1"/>
      <w:numFmt w:val="lowerLetter"/>
      <w:lvlText w:val="%2."/>
      <w:lvlJc w:val="left"/>
      <w:pPr>
        <w:tabs>
          <w:tab w:val="num" w:pos="1080"/>
        </w:tabs>
        <w:ind w:left="1080" w:hanging="360"/>
      </w:pPr>
    </w:lvl>
    <w:lvl w:ilvl="2" w:tplc="81F28CC4" w:tentative="1">
      <w:start w:val="1"/>
      <w:numFmt w:val="lowerRoman"/>
      <w:lvlText w:val="%3."/>
      <w:lvlJc w:val="right"/>
      <w:pPr>
        <w:tabs>
          <w:tab w:val="num" w:pos="1800"/>
        </w:tabs>
        <w:ind w:left="1800" w:hanging="180"/>
      </w:pPr>
    </w:lvl>
    <w:lvl w:ilvl="3" w:tplc="B406C47E" w:tentative="1">
      <w:start w:val="1"/>
      <w:numFmt w:val="decimal"/>
      <w:lvlText w:val="%4."/>
      <w:lvlJc w:val="left"/>
      <w:pPr>
        <w:tabs>
          <w:tab w:val="num" w:pos="2520"/>
        </w:tabs>
        <w:ind w:left="2520" w:hanging="360"/>
      </w:pPr>
    </w:lvl>
    <w:lvl w:ilvl="4" w:tplc="8B6C28DC" w:tentative="1">
      <w:start w:val="1"/>
      <w:numFmt w:val="lowerLetter"/>
      <w:lvlText w:val="%5."/>
      <w:lvlJc w:val="left"/>
      <w:pPr>
        <w:tabs>
          <w:tab w:val="num" w:pos="3240"/>
        </w:tabs>
        <w:ind w:left="3240" w:hanging="360"/>
      </w:pPr>
    </w:lvl>
    <w:lvl w:ilvl="5" w:tplc="CEFC4086" w:tentative="1">
      <w:start w:val="1"/>
      <w:numFmt w:val="lowerRoman"/>
      <w:lvlText w:val="%6."/>
      <w:lvlJc w:val="right"/>
      <w:pPr>
        <w:tabs>
          <w:tab w:val="num" w:pos="3960"/>
        </w:tabs>
        <w:ind w:left="3960" w:hanging="180"/>
      </w:pPr>
    </w:lvl>
    <w:lvl w:ilvl="6" w:tplc="C5BE8B64" w:tentative="1">
      <w:start w:val="1"/>
      <w:numFmt w:val="decimal"/>
      <w:lvlText w:val="%7."/>
      <w:lvlJc w:val="left"/>
      <w:pPr>
        <w:tabs>
          <w:tab w:val="num" w:pos="4680"/>
        </w:tabs>
        <w:ind w:left="4680" w:hanging="360"/>
      </w:pPr>
    </w:lvl>
    <w:lvl w:ilvl="7" w:tplc="F154D166" w:tentative="1">
      <w:start w:val="1"/>
      <w:numFmt w:val="lowerLetter"/>
      <w:lvlText w:val="%8."/>
      <w:lvlJc w:val="left"/>
      <w:pPr>
        <w:tabs>
          <w:tab w:val="num" w:pos="5400"/>
        </w:tabs>
        <w:ind w:left="5400" w:hanging="360"/>
      </w:pPr>
    </w:lvl>
    <w:lvl w:ilvl="8" w:tplc="F29A8102"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4"/>
  </w:num>
  <w:num w:numId="4">
    <w:abstractNumId w:val="22"/>
  </w:num>
  <w:num w:numId="5">
    <w:abstractNumId w:val="8"/>
  </w:num>
  <w:num w:numId="6">
    <w:abstractNumId w:val="19"/>
  </w:num>
  <w:num w:numId="7">
    <w:abstractNumId w:val="14"/>
  </w:num>
  <w:num w:numId="8">
    <w:abstractNumId w:val="5"/>
  </w:num>
  <w:num w:numId="9">
    <w:abstractNumId w:val="21"/>
  </w:num>
  <w:num w:numId="10">
    <w:abstractNumId w:val="16"/>
  </w:num>
  <w:num w:numId="11">
    <w:abstractNumId w:val="23"/>
  </w:num>
  <w:num w:numId="12">
    <w:abstractNumId w:val="4"/>
  </w:num>
  <w:num w:numId="13">
    <w:abstractNumId w:val="6"/>
  </w:num>
  <w:num w:numId="14">
    <w:abstractNumId w:val="26"/>
  </w:num>
  <w:num w:numId="15">
    <w:abstractNumId w:val="25"/>
  </w:num>
  <w:num w:numId="16">
    <w:abstractNumId w:val="17"/>
  </w:num>
  <w:num w:numId="17">
    <w:abstractNumId w:val="12"/>
  </w:num>
  <w:num w:numId="18">
    <w:abstractNumId w:val="3"/>
  </w:num>
  <w:num w:numId="19">
    <w:abstractNumId w:val="10"/>
  </w:num>
  <w:num w:numId="20">
    <w:abstractNumId w:val="11"/>
  </w:num>
  <w:num w:numId="21">
    <w:abstractNumId w:val="18"/>
  </w:num>
  <w:num w:numId="22">
    <w:abstractNumId w:val="2"/>
  </w:num>
  <w:num w:numId="23">
    <w:abstractNumId w:val="20"/>
  </w:num>
  <w:num w:numId="24">
    <w:abstractNumId w:val="9"/>
  </w:num>
  <w:num w:numId="25">
    <w:abstractNumId w:val="15"/>
  </w:num>
  <w:num w:numId="26">
    <w:abstractNumId w:val="1"/>
  </w:num>
  <w:num w:numId="27">
    <w:abstractNumId w:val="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8" w:dllVersion="513" w:checkStyle="1"/>
  <w:activeWritingStyle w:appName="MSWord" w:lang="it-IT" w:vendorID="3" w:dllVersion="512" w:checkStyle="1"/>
  <w:activeWritingStyle w:appName="MSWord" w:lang="en-AU" w:vendorID="8" w:dllVersion="513" w:checkStyle="1"/>
  <w:activeWritingStyle w:appName="MSWord" w:lang="es-ES" w:vendorID="9" w:dllVersion="512" w:checkStyle="1"/>
  <w:activeWritingStyle w:appName="MSWord" w:lang="es-ES_tradnl" w:vendorID="9" w:dllVersion="512" w:checkStyle="1"/>
  <w:activeWritingStyle w:appName="MSWord" w:lang="en-US" w:vendorID="8" w:dllVersion="513" w:checkStyle="1"/>
  <w:activeWritingStyle w:appName="MSWord" w:lang="hu-HU" w:vendorID="7" w:dllVersion="513" w:checkStyle="1"/>
  <w:activeWritingStyle w:appName="MSWord" w:lang="it-IT" w:vendorID="3" w:dllVersion="517" w:checkStyle="1"/>
  <w:activeWritingStyle w:appName="MSWord" w:lang="fr-FR" w:vendorID="9" w:dllVersion="512" w:checkStyle="1"/>
  <w:activeWritingStyle w:appName="MSWord" w:lang="pl-PL" w:vendorID="12" w:dllVersion="512" w:checkStyle="1"/>
  <w:activeWritingStyle w:appName="MSWord" w:lang="sv-SE" w:vendorID="0" w:dllVersion="512" w:checkStyle="1"/>
  <w:activeWritingStyle w:appName="MSWord" w:lang="lv-LV" w:vendorID="7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1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CD10AA"/>
    <w:rsid w:val="00001D78"/>
    <w:rsid w:val="000062BD"/>
    <w:rsid w:val="000174DB"/>
    <w:rsid w:val="00020C95"/>
    <w:rsid w:val="00022295"/>
    <w:rsid w:val="000235FD"/>
    <w:rsid w:val="000328DD"/>
    <w:rsid w:val="00033061"/>
    <w:rsid w:val="00033516"/>
    <w:rsid w:val="00045793"/>
    <w:rsid w:val="000535C0"/>
    <w:rsid w:val="00060C85"/>
    <w:rsid w:val="00067D94"/>
    <w:rsid w:val="000766F6"/>
    <w:rsid w:val="000802BB"/>
    <w:rsid w:val="00081F8A"/>
    <w:rsid w:val="00083B2F"/>
    <w:rsid w:val="00090207"/>
    <w:rsid w:val="000A2D24"/>
    <w:rsid w:val="000A5FA6"/>
    <w:rsid w:val="000B1B3A"/>
    <w:rsid w:val="000B2521"/>
    <w:rsid w:val="000B367B"/>
    <w:rsid w:val="000C49FD"/>
    <w:rsid w:val="000C61CB"/>
    <w:rsid w:val="000D7A48"/>
    <w:rsid w:val="000E09A7"/>
    <w:rsid w:val="000E6CD5"/>
    <w:rsid w:val="000E72E4"/>
    <w:rsid w:val="000F4516"/>
    <w:rsid w:val="00106DE1"/>
    <w:rsid w:val="00113A9A"/>
    <w:rsid w:val="00117E6F"/>
    <w:rsid w:val="00121C5E"/>
    <w:rsid w:val="00127324"/>
    <w:rsid w:val="00127A7E"/>
    <w:rsid w:val="00132092"/>
    <w:rsid w:val="00135C1E"/>
    <w:rsid w:val="00152A35"/>
    <w:rsid w:val="001550FB"/>
    <w:rsid w:val="0016329F"/>
    <w:rsid w:val="00165887"/>
    <w:rsid w:val="00171350"/>
    <w:rsid w:val="0017355A"/>
    <w:rsid w:val="00176DD3"/>
    <w:rsid w:val="001B3C0B"/>
    <w:rsid w:val="001C3EDE"/>
    <w:rsid w:val="001D0FE7"/>
    <w:rsid w:val="001D29AD"/>
    <w:rsid w:val="001D37B5"/>
    <w:rsid w:val="00200E68"/>
    <w:rsid w:val="00204C37"/>
    <w:rsid w:val="0020587A"/>
    <w:rsid w:val="00206FE3"/>
    <w:rsid w:val="002362A1"/>
    <w:rsid w:val="00243669"/>
    <w:rsid w:val="002559F4"/>
    <w:rsid w:val="00261D24"/>
    <w:rsid w:val="0026357D"/>
    <w:rsid w:val="00264794"/>
    <w:rsid w:val="00273FDB"/>
    <w:rsid w:val="0027668E"/>
    <w:rsid w:val="00282286"/>
    <w:rsid w:val="00285500"/>
    <w:rsid w:val="00297165"/>
    <w:rsid w:val="002A5A82"/>
    <w:rsid w:val="002A61E1"/>
    <w:rsid w:val="002A7161"/>
    <w:rsid w:val="002B7FDE"/>
    <w:rsid w:val="002C629B"/>
    <w:rsid w:val="002E1F36"/>
    <w:rsid w:val="00304243"/>
    <w:rsid w:val="00320AF5"/>
    <w:rsid w:val="00344AA6"/>
    <w:rsid w:val="003465E9"/>
    <w:rsid w:val="00355E96"/>
    <w:rsid w:val="0035750F"/>
    <w:rsid w:val="003642F4"/>
    <w:rsid w:val="00364DCD"/>
    <w:rsid w:val="00366287"/>
    <w:rsid w:val="003662BE"/>
    <w:rsid w:val="00366581"/>
    <w:rsid w:val="00384EF9"/>
    <w:rsid w:val="00392D1F"/>
    <w:rsid w:val="00397B67"/>
    <w:rsid w:val="003A34E9"/>
    <w:rsid w:val="003B0FF0"/>
    <w:rsid w:val="003B5C38"/>
    <w:rsid w:val="003C0ED4"/>
    <w:rsid w:val="003D5F90"/>
    <w:rsid w:val="003F3CDE"/>
    <w:rsid w:val="00402556"/>
    <w:rsid w:val="00413A30"/>
    <w:rsid w:val="00434CCE"/>
    <w:rsid w:val="00444F3F"/>
    <w:rsid w:val="00456979"/>
    <w:rsid w:val="00457F98"/>
    <w:rsid w:val="00462798"/>
    <w:rsid w:val="00465F40"/>
    <w:rsid w:val="00467BE0"/>
    <w:rsid w:val="00487D7A"/>
    <w:rsid w:val="00494905"/>
    <w:rsid w:val="0049512D"/>
    <w:rsid w:val="004A40FD"/>
    <w:rsid w:val="004C33CC"/>
    <w:rsid w:val="004C3B43"/>
    <w:rsid w:val="004D591D"/>
    <w:rsid w:val="004E764D"/>
    <w:rsid w:val="004F382F"/>
    <w:rsid w:val="0050077F"/>
    <w:rsid w:val="00506520"/>
    <w:rsid w:val="00507519"/>
    <w:rsid w:val="00524BD9"/>
    <w:rsid w:val="00551EC9"/>
    <w:rsid w:val="00556D0F"/>
    <w:rsid w:val="00565B11"/>
    <w:rsid w:val="00570396"/>
    <w:rsid w:val="005742C8"/>
    <w:rsid w:val="00595075"/>
    <w:rsid w:val="005A5B8A"/>
    <w:rsid w:val="005B4341"/>
    <w:rsid w:val="005C2D15"/>
    <w:rsid w:val="005C330E"/>
    <w:rsid w:val="005C7C3A"/>
    <w:rsid w:val="005D4E04"/>
    <w:rsid w:val="005F677B"/>
    <w:rsid w:val="00612CD2"/>
    <w:rsid w:val="00625EF9"/>
    <w:rsid w:val="0062783E"/>
    <w:rsid w:val="00633DA8"/>
    <w:rsid w:val="00644D26"/>
    <w:rsid w:val="00645687"/>
    <w:rsid w:val="006609D5"/>
    <w:rsid w:val="00671DD2"/>
    <w:rsid w:val="0068129F"/>
    <w:rsid w:val="006878EC"/>
    <w:rsid w:val="00691CB1"/>
    <w:rsid w:val="00693348"/>
    <w:rsid w:val="00694CD6"/>
    <w:rsid w:val="006A6775"/>
    <w:rsid w:val="006B35EF"/>
    <w:rsid w:val="006B5B51"/>
    <w:rsid w:val="006B7DCE"/>
    <w:rsid w:val="006C1EE1"/>
    <w:rsid w:val="006C5A34"/>
    <w:rsid w:val="006E064E"/>
    <w:rsid w:val="006E15DB"/>
    <w:rsid w:val="006E594D"/>
    <w:rsid w:val="006E77CB"/>
    <w:rsid w:val="00701CCD"/>
    <w:rsid w:val="00712A8F"/>
    <w:rsid w:val="0071303C"/>
    <w:rsid w:val="00717729"/>
    <w:rsid w:val="007226E0"/>
    <w:rsid w:val="007240AA"/>
    <w:rsid w:val="0072506A"/>
    <w:rsid w:val="0073721E"/>
    <w:rsid w:val="0074050D"/>
    <w:rsid w:val="007419C2"/>
    <w:rsid w:val="0074323A"/>
    <w:rsid w:val="00746F67"/>
    <w:rsid w:val="007779D1"/>
    <w:rsid w:val="00782F4A"/>
    <w:rsid w:val="007856F2"/>
    <w:rsid w:val="0079039D"/>
    <w:rsid w:val="007912F8"/>
    <w:rsid w:val="007A0102"/>
    <w:rsid w:val="007A1AE9"/>
    <w:rsid w:val="007B0320"/>
    <w:rsid w:val="007B2924"/>
    <w:rsid w:val="007B4188"/>
    <w:rsid w:val="007B627F"/>
    <w:rsid w:val="007C128A"/>
    <w:rsid w:val="007E009F"/>
    <w:rsid w:val="007E1441"/>
    <w:rsid w:val="007F60AD"/>
    <w:rsid w:val="00800E45"/>
    <w:rsid w:val="008029D8"/>
    <w:rsid w:val="00806DB9"/>
    <w:rsid w:val="00807159"/>
    <w:rsid w:val="00821D0A"/>
    <w:rsid w:val="0082246A"/>
    <w:rsid w:val="00826195"/>
    <w:rsid w:val="0082641B"/>
    <w:rsid w:val="00835E38"/>
    <w:rsid w:val="00846418"/>
    <w:rsid w:val="00855AAD"/>
    <w:rsid w:val="0086078F"/>
    <w:rsid w:val="00863FA5"/>
    <w:rsid w:val="00870E9B"/>
    <w:rsid w:val="008726E3"/>
    <w:rsid w:val="008806F9"/>
    <w:rsid w:val="0088508A"/>
    <w:rsid w:val="008871B0"/>
    <w:rsid w:val="008A6E13"/>
    <w:rsid w:val="008B16E1"/>
    <w:rsid w:val="008B1EB3"/>
    <w:rsid w:val="008B4A52"/>
    <w:rsid w:val="008C59E2"/>
    <w:rsid w:val="008F26B5"/>
    <w:rsid w:val="008F61D4"/>
    <w:rsid w:val="00905CCD"/>
    <w:rsid w:val="00910F65"/>
    <w:rsid w:val="0091143B"/>
    <w:rsid w:val="00911DDF"/>
    <w:rsid w:val="00915A9E"/>
    <w:rsid w:val="0091716F"/>
    <w:rsid w:val="00930DF2"/>
    <w:rsid w:val="009451A8"/>
    <w:rsid w:val="009466A5"/>
    <w:rsid w:val="00952955"/>
    <w:rsid w:val="00953E29"/>
    <w:rsid w:val="0097039A"/>
    <w:rsid w:val="009710D6"/>
    <w:rsid w:val="00972808"/>
    <w:rsid w:val="0097548A"/>
    <w:rsid w:val="00975CD2"/>
    <w:rsid w:val="00975FC5"/>
    <w:rsid w:val="009765AB"/>
    <w:rsid w:val="00980C1E"/>
    <w:rsid w:val="00985101"/>
    <w:rsid w:val="0098512F"/>
    <w:rsid w:val="00987C7B"/>
    <w:rsid w:val="0099468D"/>
    <w:rsid w:val="00996D33"/>
    <w:rsid w:val="009A5E66"/>
    <w:rsid w:val="009C141A"/>
    <w:rsid w:val="009C74AE"/>
    <w:rsid w:val="009E70C5"/>
    <w:rsid w:val="009F66E2"/>
    <w:rsid w:val="00A12EA6"/>
    <w:rsid w:val="00A146BB"/>
    <w:rsid w:val="00A152BC"/>
    <w:rsid w:val="00A16429"/>
    <w:rsid w:val="00A170C5"/>
    <w:rsid w:val="00A243D8"/>
    <w:rsid w:val="00A3078D"/>
    <w:rsid w:val="00A31405"/>
    <w:rsid w:val="00A5743C"/>
    <w:rsid w:val="00A71FBA"/>
    <w:rsid w:val="00A85D34"/>
    <w:rsid w:val="00A86477"/>
    <w:rsid w:val="00A9036F"/>
    <w:rsid w:val="00AA191F"/>
    <w:rsid w:val="00AA26AF"/>
    <w:rsid w:val="00AB5426"/>
    <w:rsid w:val="00AC5E8D"/>
    <w:rsid w:val="00AC7184"/>
    <w:rsid w:val="00AD4C34"/>
    <w:rsid w:val="00AD7124"/>
    <w:rsid w:val="00AE2AFB"/>
    <w:rsid w:val="00AE33F7"/>
    <w:rsid w:val="00B20B7A"/>
    <w:rsid w:val="00B2214A"/>
    <w:rsid w:val="00B27D6D"/>
    <w:rsid w:val="00B305FD"/>
    <w:rsid w:val="00B35171"/>
    <w:rsid w:val="00B47451"/>
    <w:rsid w:val="00B51DB8"/>
    <w:rsid w:val="00B54420"/>
    <w:rsid w:val="00B55366"/>
    <w:rsid w:val="00B61833"/>
    <w:rsid w:val="00B73742"/>
    <w:rsid w:val="00B77803"/>
    <w:rsid w:val="00B93291"/>
    <w:rsid w:val="00BA2050"/>
    <w:rsid w:val="00BA4E56"/>
    <w:rsid w:val="00C0787C"/>
    <w:rsid w:val="00C1388A"/>
    <w:rsid w:val="00C43CF0"/>
    <w:rsid w:val="00C45907"/>
    <w:rsid w:val="00C52E17"/>
    <w:rsid w:val="00C630D9"/>
    <w:rsid w:val="00C6564A"/>
    <w:rsid w:val="00C7465E"/>
    <w:rsid w:val="00C75081"/>
    <w:rsid w:val="00C8449F"/>
    <w:rsid w:val="00CC4E9B"/>
    <w:rsid w:val="00CD10AA"/>
    <w:rsid w:val="00CD2E1C"/>
    <w:rsid w:val="00CD3A69"/>
    <w:rsid w:val="00CD4A95"/>
    <w:rsid w:val="00CF2163"/>
    <w:rsid w:val="00CF7C84"/>
    <w:rsid w:val="00D01DDA"/>
    <w:rsid w:val="00D04831"/>
    <w:rsid w:val="00D228D2"/>
    <w:rsid w:val="00D257F8"/>
    <w:rsid w:val="00D27362"/>
    <w:rsid w:val="00D27ABD"/>
    <w:rsid w:val="00D4124F"/>
    <w:rsid w:val="00D516B3"/>
    <w:rsid w:val="00D6136B"/>
    <w:rsid w:val="00D6219F"/>
    <w:rsid w:val="00D66B58"/>
    <w:rsid w:val="00D768A3"/>
    <w:rsid w:val="00D816C4"/>
    <w:rsid w:val="00D85B66"/>
    <w:rsid w:val="00D9220D"/>
    <w:rsid w:val="00D94C7F"/>
    <w:rsid w:val="00DA7190"/>
    <w:rsid w:val="00DC072C"/>
    <w:rsid w:val="00DC66A7"/>
    <w:rsid w:val="00DD3BC6"/>
    <w:rsid w:val="00DD75E5"/>
    <w:rsid w:val="00DE4DD8"/>
    <w:rsid w:val="00DF15FB"/>
    <w:rsid w:val="00E02000"/>
    <w:rsid w:val="00E11F9F"/>
    <w:rsid w:val="00E1735A"/>
    <w:rsid w:val="00E17A75"/>
    <w:rsid w:val="00E2542E"/>
    <w:rsid w:val="00E25F94"/>
    <w:rsid w:val="00E33DF5"/>
    <w:rsid w:val="00E35C49"/>
    <w:rsid w:val="00E40DB0"/>
    <w:rsid w:val="00E53972"/>
    <w:rsid w:val="00E569E6"/>
    <w:rsid w:val="00E87F00"/>
    <w:rsid w:val="00EA4EDE"/>
    <w:rsid w:val="00EB142D"/>
    <w:rsid w:val="00EB14BB"/>
    <w:rsid w:val="00EB2C9A"/>
    <w:rsid w:val="00EB4D97"/>
    <w:rsid w:val="00EC38F4"/>
    <w:rsid w:val="00ED4652"/>
    <w:rsid w:val="00ED4D9A"/>
    <w:rsid w:val="00ED7507"/>
    <w:rsid w:val="00EE3377"/>
    <w:rsid w:val="00EE686D"/>
    <w:rsid w:val="00EF5B2C"/>
    <w:rsid w:val="00EF61FC"/>
    <w:rsid w:val="00F02B22"/>
    <w:rsid w:val="00F03511"/>
    <w:rsid w:val="00F20167"/>
    <w:rsid w:val="00F27009"/>
    <w:rsid w:val="00F273C8"/>
    <w:rsid w:val="00F311D8"/>
    <w:rsid w:val="00F31302"/>
    <w:rsid w:val="00F3253A"/>
    <w:rsid w:val="00F36247"/>
    <w:rsid w:val="00F36843"/>
    <w:rsid w:val="00F41417"/>
    <w:rsid w:val="00F41868"/>
    <w:rsid w:val="00F42F5D"/>
    <w:rsid w:val="00F44A1A"/>
    <w:rsid w:val="00F468C4"/>
    <w:rsid w:val="00F46DB8"/>
    <w:rsid w:val="00F605C9"/>
    <w:rsid w:val="00F66376"/>
    <w:rsid w:val="00F70660"/>
    <w:rsid w:val="00F70B36"/>
    <w:rsid w:val="00F7536C"/>
    <w:rsid w:val="00F8203C"/>
    <w:rsid w:val="00F835F2"/>
    <w:rsid w:val="00F944D3"/>
    <w:rsid w:val="00FA03F8"/>
    <w:rsid w:val="00FA0D4C"/>
    <w:rsid w:val="00FA3562"/>
    <w:rsid w:val="00FB475A"/>
    <w:rsid w:val="00FB67DA"/>
    <w:rsid w:val="00FC3C89"/>
    <w:rsid w:val="00FC78CD"/>
    <w:rsid w:val="00FD0B28"/>
    <w:rsid w:val="00FD187E"/>
    <w:rsid w:val="00FD3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FDC7E0D"/>
  <w15:chartTrackingRefBased/>
  <w15:docId w15:val="{C041135E-BE51-4E83-B201-E9657B18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pacing w:line="260" w:lineRule="exact"/>
    </w:pPr>
    <w:rPr>
      <w:sz w:val="22"/>
      <w:lang w:val="lv-LV"/>
    </w:rPr>
  </w:style>
  <w:style w:type="paragraph" w:styleId="Heading1">
    <w:name w:val="heading 1"/>
    <w:basedOn w:val="Normal"/>
    <w:next w:val="Normal"/>
    <w:qFormat/>
    <w:pPr>
      <w:spacing w:before="240" w:after="120"/>
      <w:ind w:left="357" w:hanging="357"/>
      <w:outlineLvl w:val="0"/>
    </w:pPr>
    <w:rPr>
      <w:b/>
      <w:caps/>
      <w:sz w:val="26"/>
      <w:lang w:val="en-US"/>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kern w:val="28"/>
      <w:sz w:val="24"/>
      <w:lang w:val="en-US"/>
    </w:rPr>
  </w:style>
  <w:style w:type="paragraph" w:styleId="Heading4">
    <w:name w:val="heading 4"/>
    <w:basedOn w:val="Normal"/>
    <w:next w:val="Normal"/>
    <w:qFormat/>
    <w:pPr>
      <w:keepNext/>
      <w:jc w:val="both"/>
      <w:outlineLvl w:val="3"/>
    </w:pPr>
    <w:rPr>
      <w:b/>
      <w:noProof/>
    </w:rPr>
  </w:style>
  <w:style w:type="paragraph" w:styleId="Heading5">
    <w:name w:val="heading 5"/>
    <w:basedOn w:val="Normal"/>
    <w:next w:val="Normal"/>
    <w:qFormat/>
    <w:pPr>
      <w:keepNext/>
      <w:jc w:val="both"/>
      <w:outlineLvl w:val="4"/>
    </w:pPr>
    <w:rPr>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ind w:left="567" w:hanging="567"/>
      <w:jc w:val="both"/>
      <w:outlineLvl w:val="7"/>
    </w:pPr>
    <w:rPr>
      <w:b/>
      <w:i/>
    </w:rPr>
  </w:style>
  <w:style w:type="paragraph" w:styleId="Heading9">
    <w:name w:val="heading 9"/>
    <w:basedOn w:val="Normal"/>
    <w:next w:val="Normal"/>
    <w:qFormat/>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line="240" w:lineRule="auto"/>
    </w:pPr>
    <w:rPr>
      <w:rFonts w:ascii="Helvetica" w:hAnsi="Helvetica"/>
      <w:sz w:val="20"/>
    </w:rPr>
  </w:style>
  <w:style w:type="paragraph" w:styleId="Footer">
    <w:name w:val="footer"/>
    <w:basedOn w:val="Normal"/>
    <w:pPr>
      <w:tabs>
        <w:tab w:val="center" w:pos="4536"/>
        <w:tab w:val="center" w:pos="8930"/>
      </w:tabs>
      <w:spacing w:line="240" w:lineRule="auto"/>
    </w:pPr>
    <w:rPr>
      <w:rFonts w:ascii="Helvetica" w:hAnsi="Helvetica"/>
      <w:sz w:val="16"/>
    </w:rPr>
  </w:style>
  <w:style w:type="character" w:styleId="PageNumber">
    <w:name w:val="page number"/>
    <w:basedOn w:val="DefaultParagraphFont"/>
  </w:style>
  <w:style w:type="character" w:styleId="Hyperlink">
    <w:name w:val="Hyperlink"/>
    <w:rPr>
      <w:color w:val="0000FF"/>
      <w:u w:val="single"/>
    </w:rPr>
  </w:style>
  <w:style w:type="paragraph" w:customStyle="1" w:styleId="EMEAEnBodyText">
    <w:name w:val="EMEA En Body Text"/>
    <w:basedOn w:val="Normal"/>
    <w:pPr>
      <w:tabs>
        <w:tab w:val="clear" w:pos="567"/>
      </w:tabs>
      <w:spacing w:before="120" w:after="120" w:line="240" w:lineRule="auto"/>
      <w:jc w:val="both"/>
    </w:pPr>
    <w:rPr>
      <w:lang w:val="en-U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CommentReference">
    <w:name w:val="annotation reference"/>
    <w:unhideWhenUsed/>
    <w:rsid w:val="00F468C4"/>
    <w:rPr>
      <w:sz w:val="16"/>
      <w:szCs w:val="16"/>
    </w:rPr>
  </w:style>
  <w:style w:type="paragraph" w:styleId="CommentText">
    <w:name w:val="annotation text"/>
    <w:basedOn w:val="Normal"/>
    <w:link w:val="CommentTextChar1"/>
    <w:unhideWhenUsed/>
    <w:rsid w:val="00F468C4"/>
    <w:rPr>
      <w:snapToGrid w:val="0"/>
      <w:sz w:val="20"/>
      <w:lang w:val="en-GB" w:eastAsia="zh-CN"/>
    </w:rPr>
  </w:style>
  <w:style w:type="character" w:customStyle="1" w:styleId="CommentTextChar">
    <w:name w:val="Comment Text Char"/>
    <w:rsid w:val="00F468C4"/>
    <w:rPr>
      <w:lang w:val="lv-LV"/>
    </w:rPr>
  </w:style>
  <w:style w:type="character" w:customStyle="1" w:styleId="CommentTextChar1">
    <w:name w:val="Comment Text Char1"/>
    <w:link w:val="CommentText"/>
    <w:rsid w:val="00F468C4"/>
    <w:rPr>
      <w:snapToGrid w:val="0"/>
      <w:lang w:val="en-GB" w:eastAsia="zh-CN"/>
    </w:rPr>
  </w:style>
  <w:style w:type="paragraph" w:customStyle="1" w:styleId="Default">
    <w:name w:val="Default"/>
    <w:rsid w:val="00AC7184"/>
    <w:pPr>
      <w:widowControl w:val="0"/>
      <w:autoSpaceDE w:val="0"/>
      <w:autoSpaceDN w:val="0"/>
      <w:adjustRightInd w:val="0"/>
    </w:pPr>
    <w:rPr>
      <w:color w:val="000000"/>
      <w:sz w:val="24"/>
      <w:szCs w:val="24"/>
      <w:lang w:val="en-GB" w:eastAsia="en-GB"/>
    </w:rPr>
  </w:style>
  <w:style w:type="character" w:customStyle="1" w:styleId="apple-style-span">
    <w:name w:val="apple-style-span"/>
    <w:basedOn w:val="DefaultParagraphFont"/>
    <w:rsid w:val="000C61CB"/>
  </w:style>
  <w:style w:type="character" w:customStyle="1" w:styleId="apple-converted-space">
    <w:name w:val="apple-converted-space"/>
    <w:basedOn w:val="DefaultParagraphFont"/>
    <w:rsid w:val="000C61CB"/>
  </w:style>
  <w:style w:type="table" w:styleId="TableGrid">
    <w:name w:val="Table Grid"/>
    <w:basedOn w:val="TableNormal"/>
    <w:uiPriority w:val="39"/>
    <w:rsid w:val="00346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1B3A"/>
    <w:pPr>
      <w:ind w:left="720"/>
      <w:contextualSpacing/>
    </w:pPr>
  </w:style>
  <w:style w:type="paragraph" w:styleId="BodyText2">
    <w:name w:val="Body Text 2"/>
    <w:basedOn w:val="Normal"/>
    <w:link w:val="BodyText2Char"/>
    <w:rsid w:val="000B1B3A"/>
    <w:pPr>
      <w:tabs>
        <w:tab w:val="clear" w:pos="567"/>
      </w:tabs>
      <w:suppressAutoHyphens/>
      <w:spacing w:line="240" w:lineRule="auto"/>
      <w:jc w:val="both"/>
    </w:pPr>
    <w:rPr>
      <w:sz w:val="24"/>
      <w:lang w:eastAsia="ar-SA"/>
    </w:rPr>
  </w:style>
  <w:style w:type="character" w:customStyle="1" w:styleId="BodyText2Char">
    <w:name w:val="Body Text 2 Char"/>
    <w:basedOn w:val="DefaultParagraphFont"/>
    <w:link w:val="BodyText2"/>
    <w:rsid w:val="000B1B3A"/>
    <w:rPr>
      <w:sz w:val="24"/>
      <w:lang w:val="lv-LV" w:eastAsia="ar-SA"/>
    </w:rPr>
  </w:style>
  <w:style w:type="paragraph" w:styleId="NormalIndent">
    <w:name w:val="Normal Indent"/>
    <w:basedOn w:val="Normal"/>
    <w:rsid w:val="00A31405"/>
    <w:pPr>
      <w:tabs>
        <w:tab w:val="clear" w:pos="567"/>
      </w:tabs>
      <w:suppressAutoHyphens/>
      <w:spacing w:after="120" w:line="240" w:lineRule="auto"/>
      <w:ind w:left="720"/>
    </w:pPr>
    <w:rPr>
      <w:rFonts w:eastAsia="Calibri"/>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va.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B2EC3-37DE-41AF-9D5A-4EB596327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3192</Words>
  <Characters>21804</Characters>
  <Application>Microsoft Office Word</Application>
  <DocSecurity>0</DocSecurity>
  <Lines>181</Lines>
  <Paragraphs>49</Paragraphs>
  <ScaleCrop>false</ScaleCrop>
  <HeadingPairs>
    <vt:vector size="2" baseType="variant">
      <vt:variant>
        <vt:lpstr>Title</vt:lpstr>
      </vt:variant>
      <vt:variant>
        <vt:i4>1</vt:i4>
      </vt:variant>
    </vt:vector>
  </HeadingPairs>
  <TitlesOfParts>
    <vt:vector size="1" baseType="lpstr">
      <vt:lpstr>Hreferralspccleanlv</vt:lpstr>
    </vt:vector>
  </TitlesOfParts>
  <Company>EMEA</Company>
  <LinksUpToDate>false</LinksUpToDate>
  <CharactersWithSpaces>24947</CharactersWithSpaces>
  <SharedDoc>false</SharedDoc>
  <HLinks>
    <vt:vector size="24" baseType="variant">
      <vt:variant>
        <vt:i4>6422591</vt:i4>
      </vt:variant>
      <vt:variant>
        <vt:i4>9</vt:i4>
      </vt:variant>
      <vt:variant>
        <vt:i4>0</vt:i4>
      </vt:variant>
      <vt:variant>
        <vt:i4>5</vt:i4>
      </vt:variant>
      <vt:variant>
        <vt:lpwstr>http://www.zva.gov.lv/</vt:lpwstr>
      </vt:variant>
      <vt:variant>
        <vt:lpwstr/>
      </vt:variant>
      <vt:variant>
        <vt:i4>2555942</vt:i4>
      </vt:variant>
      <vt:variant>
        <vt:i4>6</vt:i4>
      </vt:variant>
      <vt:variant>
        <vt:i4>0</vt:i4>
      </vt:variant>
      <vt:variant>
        <vt:i4>5</vt:i4>
      </vt:variant>
      <vt:variant>
        <vt:lpwstr>https://www.zva.gov.lv/</vt:lpwstr>
      </vt:variant>
      <vt:variant>
        <vt:lpwstr/>
      </vt:variant>
      <vt:variant>
        <vt:i4>6422591</vt:i4>
      </vt:variant>
      <vt:variant>
        <vt:i4>3</vt:i4>
      </vt:variant>
      <vt:variant>
        <vt:i4>0</vt:i4>
      </vt:variant>
      <vt:variant>
        <vt:i4>5</vt:i4>
      </vt:variant>
      <vt:variant>
        <vt:lpwstr>http://www.zva.gov.lv/</vt:lpwstr>
      </vt:variant>
      <vt:variant>
        <vt:lpwstr/>
      </vt:variant>
      <vt:variant>
        <vt:i4>2555942</vt:i4>
      </vt:variant>
      <vt:variant>
        <vt:i4>0</vt:i4>
      </vt:variant>
      <vt:variant>
        <vt:i4>0</vt:i4>
      </vt:variant>
      <vt:variant>
        <vt:i4>5</vt:i4>
      </vt:variant>
      <vt:variant>
        <vt:lpwstr>https://www.zva.gov.lv/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Hreferralspccleanlv</dc:title>
  <dc:subject>General-EMA/53557/2010</dc:subject>
  <dc:creator>Irēna Rogovska</dc:creator>
  <cp:keywords/>
  <cp:lastModifiedBy>Skaidrīte Lapsenīte</cp:lastModifiedBy>
  <cp:revision>4</cp:revision>
  <cp:lastPrinted>2003-10-21T08:46:00Z</cp:lastPrinted>
  <dcterms:created xsi:type="dcterms:W3CDTF">2020-12-09T09:28:00Z</dcterms:created>
  <dcterms:modified xsi:type="dcterms:W3CDTF">2021-01-04T09:50:00Z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53557</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General-EMA/53557/2010</vt:lpwstr>
  </property>
  <property fmtid="{D5CDD505-2E9C-101B-9397-08002B2CF9AE}" pid="30" name="DM_Version">
    <vt:lpwstr>CURRENT,1.1</vt:lpwstr>
  </property>
  <property fmtid="{D5CDD505-2E9C-101B-9397-08002B2CF9AE}" pid="31" name="DM_Name">
    <vt:lpwstr>Hreferralspccleanlv</vt:lpwstr>
  </property>
  <property fmtid="{D5CDD505-2E9C-101B-9397-08002B2CF9AE}" pid="32" name="DM_Creation_Date">
    <vt:lpwstr>09/06/2015 13:30:25</vt:lpwstr>
  </property>
  <property fmtid="{D5CDD505-2E9C-101B-9397-08002B2CF9AE}" pid="33" name="DM_Modify_Date">
    <vt:lpwstr>09/06/2015 13:30:25</vt:lpwstr>
  </property>
  <property fmtid="{D5CDD505-2E9C-101B-9397-08002B2CF9AE}" pid="34" name="DM_Creator_Name">
    <vt:lpwstr>Guardado Susana</vt:lpwstr>
  </property>
  <property fmtid="{D5CDD505-2E9C-101B-9397-08002B2CF9AE}" pid="35" name="DM_Modifier_Name">
    <vt:lpwstr>Guardado Susana</vt:lpwstr>
  </property>
  <property fmtid="{D5CDD505-2E9C-101B-9397-08002B2CF9AE}" pid="36" name="DM_Type">
    <vt:lpwstr>emea_document</vt:lpwstr>
  </property>
  <property fmtid="{D5CDD505-2E9C-101B-9397-08002B2CF9AE}" pid="37" name="DM_DocRefId">
    <vt:lpwstr>EMA/384855/2015</vt:lpwstr>
  </property>
  <property fmtid="{D5CDD505-2E9C-101B-9397-08002B2CF9AE}" pid="38" name="DM_Category">
    <vt:lpwstr>Templates and Form</vt:lpwstr>
  </property>
  <property fmtid="{D5CDD505-2E9C-101B-9397-08002B2CF9AE}" pid="39" name="DM_Path">
    <vt:lpwstr>/02b. Administration of Scientific Meeting/WPs SAGs DGs and other WGs/CxMP - QRD/3. Other activities/02. Procedures/01. QRD PI templates/03 QRD H-Referral templates/06 H Referral template v 3.1 June15/04 For publication June 2015/Clean languages</vt:lpwstr>
  </property>
  <property fmtid="{D5CDD505-2E9C-101B-9397-08002B2CF9AE}" pid="40" name="DM_emea_doc_ref_id">
    <vt:lpwstr>EMA/384855/2015</vt:lpwstr>
  </property>
  <property fmtid="{D5CDD505-2E9C-101B-9397-08002B2CF9AE}" pid="41" name="DM_Modifer_Name">
    <vt:lpwstr>Guardado Susana</vt:lpwstr>
  </property>
  <property fmtid="{D5CDD505-2E9C-101B-9397-08002B2CF9AE}" pid="42" name="DM_Modified_Date">
    <vt:lpwstr>09/06/2015 13:30:25</vt:lpwstr>
  </property>
</Properties>
</file>