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8FAFB" w14:textId="77777777" w:rsidR="00017525" w:rsidRPr="005A6EF7" w:rsidRDefault="004A50CF" w:rsidP="00756413">
      <w:pPr>
        <w:tabs>
          <w:tab w:val="clear" w:pos="567"/>
        </w:tabs>
        <w:spacing w:line="240" w:lineRule="auto"/>
        <w:jc w:val="center"/>
        <w:rPr>
          <w:b/>
          <w:lang w:val="lv-LV"/>
        </w:rPr>
      </w:pPr>
      <w:r w:rsidRPr="005A6EF7">
        <w:rPr>
          <w:b/>
          <w:lang w:val="lv-LV"/>
        </w:rPr>
        <w:t>ZĀĻU APRAKSTS</w:t>
      </w:r>
    </w:p>
    <w:p w14:paraId="38C1244F" w14:textId="77777777" w:rsidR="00017525" w:rsidRPr="005A6EF7" w:rsidRDefault="00017525">
      <w:pPr>
        <w:tabs>
          <w:tab w:val="clear" w:pos="567"/>
          <w:tab w:val="left" w:pos="-1440"/>
          <w:tab w:val="left" w:pos="-720"/>
        </w:tabs>
        <w:spacing w:line="240" w:lineRule="auto"/>
        <w:ind w:left="567" w:hanging="567"/>
        <w:jc w:val="center"/>
        <w:rPr>
          <w:lang w:val="lv-LV"/>
        </w:rPr>
      </w:pPr>
    </w:p>
    <w:p w14:paraId="649ABC38" w14:textId="77777777" w:rsidR="00017525" w:rsidRPr="005A6EF7" w:rsidRDefault="00017525" w:rsidP="00657D6A">
      <w:pPr>
        <w:spacing w:line="240" w:lineRule="auto"/>
        <w:rPr>
          <w:szCs w:val="22"/>
          <w:lang w:val="lv-LV"/>
        </w:rPr>
      </w:pPr>
    </w:p>
    <w:p w14:paraId="1F33A22A" w14:textId="77777777" w:rsidR="00680E81" w:rsidRPr="005A6EF7" w:rsidRDefault="004A50CF" w:rsidP="00657D6A">
      <w:pPr>
        <w:tabs>
          <w:tab w:val="clear" w:pos="567"/>
          <w:tab w:val="left" w:pos="0"/>
        </w:tabs>
        <w:spacing w:line="240" w:lineRule="auto"/>
        <w:ind w:left="567" w:hanging="567"/>
        <w:rPr>
          <w:b/>
          <w:lang w:val="lv-LV"/>
        </w:rPr>
      </w:pPr>
      <w:r w:rsidRPr="005A6EF7">
        <w:rPr>
          <w:b/>
          <w:lang w:val="lv-LV"/>
        </w:rPr>
        <w:t>1.</w:t>
      </w:r>
      <w:r w:rsidRPr="005A6EF7">
        <w:rPr>
          <w:b/>
          <w:lang w:val="lv-LV"/>
        </w:rPr>
        <w:tab/>
        <w:t>ZĀĻU NOSAUKUMS</w:t>
      </w:r>
    </w:p>
    <w:p w14:paraId="1AE0D55D" w14:textId="77777777" w:rsidR="00017525" w:rsidRPr="005A6EF7" w:rsidRDefault="00017525">
      <w:pPr>
        <w:spacing w:line="240" w:lineRule="auto"/>
        <w:ind w:left="567" w:hanging="567"/>
        <w:rPr>
          <w:lang w:val="lv-LV"/>
        </w:rPr>
      </w:pPr>
    </w:p>
    <w:p w14:paraId="3E661BCA" w14:textId="77777777" w:rsidR="00756413" w:rsidRPr="002840C3" w:rsidRDefault="00171BA3" w:rsidP="00756413">
      <w:pPr>
        <w:rPr>
          <w:lang w:val="lv-LV"/>
        </w:rPr>
      </w:pPr>
      <w:r>
        <w:rPr>
          <w:lang w:val="lv-LV"/>
        </w:rPr>
        <w:t>HEARTISAN</w:t>
      </w:r>
      <w:r w:rsidR="00602133">
        <w:rPr>
          <w:lang w:val="lv-LV"/>
        </w:rPr>
        <w:t xml:space="preserve"> </w:t>
      </w:r>
      <w:r w:rsidR="00756413" w:rsidRPr="005A6EF7">
        <w:rPr>
          <w:iCs/>
          <w:lang w:val="lv-LV"/>
        </w:rPr>
        <w:t xml:space="preserve">75 mg </w:t>
      </w:r>
      <w:r w:rsidR="00C76CC5" w:rsidRPr="002840C3">
        <w:rPr>
          <w:lang w:val="lv-LV"/>
        </w:rPr>
        <w:t xml:space="preserve">zarnās šķīstošās </w:t>
      </w:r>
      <w:r w:rsidR="00756413" w:rsidRPr="005A6EF7">
        <w:rPr>
          <w:iCs/>
          <w:lang w:val="lv-LV"/>
        </w:rPr>
        <w:t>tabletes</w:t>
      </w:r>
    </w:p>
    <w:p w14:paraId="6E44E767" w14:textId="77777777" w:rsidR="00756413" w:rsidRPr="005A6EF7" w:rsidRDefault="00171BA3" w:rsidP="00756413">
      <w:pPr>
        <w:rPr>
          <w:lang w:val="lv-LV"/>
        </w:rPr>
      </w:pPr>
      <w:r>
        <w:rPr>
          <w:lang w:val="lv-LV"/>
        </w:rPr>
        <w:t>HEARTISAN</w:t>
      </w:r>
      <w:r w:rsidR="002E4AEB" w:rsidRPr="002840C3">
        <w:rPr>
          <w:lang w:val="lv-LV"/>
        </w:rPr>
        <w:t xml:space="preserve"> </w:t>
      </w:r>
      <w:r w:rsidR="002840C3" w:rsidRPr="002840C3">
        <w:rPr>
          <w:lang w:val="lv-LV"/>
        </w:rPr>
        <w:t>1</w:t>
      </w:r>
      <w:r w:rsidR="00756413" w:rsidRPr="005A6EF7">
        <w:rPr>
          <w:lang w:val="lv-LV"/>
        </w:rPr>
        <w:t xml:space="preserve">50 mg </w:t>
      </w:r>
      <w:r w:rsidR="00C76CC5" w:rsidRPr="002840C3">
        <w:rPr>
          <w:lang w:val="lv-LV"/>
        </w:rPr>
        <w:t xml:space="preserve">zarnās šķīstošās </w:t>
      </w:r>
      <w:r w:rsidR="00756413" w:rsidRPr="005A6EF7">
        <w:rPr>
          <w:iCs/>
          <w:lang w:val="lv-LV"/>
        </w:rPr>
        <w:t>tabletes</w:t>
      </w:r>
    </w:p>
    <w:p w14:paraId="646E3E25" w14:textId="77777777" w:rsidR="00017525" w:rsidRPr="005A6EF7" w:rsidRDefault="00017525">
      <w:pPr>
        <w:spacing w:line="240" w:lineRule="auto"/>
        <w:ind w:left="567" w:hanging="567"/>
        <w:rPr>
          <w:lang w:val="lv-LV"/>
        </w:rPr>
      </w:pPr>
    </w:p>
    <w:p w14:paraId="745308A6" w14:textId="77777777" w:rsidR="00017525" w:rsidRPr="005A6EF7" w:rsidRDefault="00017525">
      <w:pPr>
        <w:spacing w:line="240" w:lineRule="auto"/>
        <w:ind w:left="567" w:hanging="567"/>
        <w:rPr>
          <w:lang w:val="lv-LV"/>
        </w:rPr>
      </w:pPr>
    </w:p>
    <w:p w14:paraId="307FC822" w14:textId="77777777" w:rsidR="00017525" w:rsidRPr="005A6EF7" w:rsidRDefault="004A50CF">
      <w:pPr>
        <w:spacing w:line="240" w:lineRule="auto"/>
        <w:ind w:left="567" w:hanging="567"/>
        <w:rPr>
          <w:b/>
          <w:lang w:val="lv-LV"/>
        </w:rPr>
      </w:pPr>
      <w:r w:rsidRPr="005A6EF7">
        <w:rPr>
          <w:b/>
          <w:lang w:val="lv-LV"/>
        </w:rPr>
        <w:t>2.</w:t>
      </w:r>
      <w:r w:rsidRPr="005A6EF7">
        <w:rPr>
          <w:b/>
          <w:lang w:val="lv-LV"/>
        </w:rPr>
        <w:tab/>
        <w:t>KVALITATĪVAIS UN KVANTITATĪVAIS SASTĀVS</w:t>
      </w:r>
    </w:p>
    <w:p w14:paraId="312D95B2" w14:textId="77777777" w:rsidR="00017525" w:rsidRPr="005A6EF7" w:rsidRDefault="00017525">
      <w:pPr>
        <w:spacing w:line="240" w:lineRule="auto"/>
        <w:ind w:left="567" w:hanging="567"/>
        <w:rPr>
          <w:lang w:val="lv-LV"/>
        </w:rPr>
      </w:pPr>
    </w:p>
    <w:p w14:paraId="3CD4A33C" w14:textId="77777777" w:rsidR="000A0B50" w:rsidRPr="005A6EF7" w:rsidRDefault="00171BA3" w:rsidP="000A0B50">
      <w:pPr>
        <w:rPr>
          <w:lang w:val="lv-LV"/>
        </w:rPr>
      </w:pPr>
      <w:r>
        <w:rPr>
          <w:lang w:val="lv-LV"/>
        </w:rPr>
        <w:t>H</w:t>
      </w:r>
      <w:r w:rsidR="008C66FA">
        <w:rPr>
          <w:lang w:val="lv-LV"/>
        </w:rPr>
        <w:t>eartisan</w:t>
      </w:r>
      <w:r w:rsidR="000A0B50" w:rsidRPr="005A6EF7">
        <w:rPr>
          <w:lang w:val="lv-LV"/>
        </w:rPr>
        <w:t xml:space="preserve"> 75 mg</w:t>
      </w:r>
    </w:p>
    <w:p w14:paraId="4486F8E8" w14:textId="77777777" w:rsidR="000A0B50" w:rsidRPr="005A6EF7" w:rsidRDefault="000A0B50" w:rsidP="000A0B50">
      <w:pPr>
        <w:rPr>
          <w:iCs/>
          <w:lang w:val="lv-LV"/>
        </w:rPr>
      </w:pPr>
      <w:r w:rsidRPr="005A6EF7">
        <w:rPr>
          <w:lang w:val="lv-LV"/>
        </w:rPr>
        <w:t xml:space="preserve">Katra </w:t>
      </w:r>
      <w:r w:rsidR="00C76CC5" w:rsidRPr="008C3118">
        <w:rPr>
          <w:lang w:val="lv-LV"/>
        </w:rPr>
        <w:t xml:space="preserve">zarnās šķīstošā </w:t>
      </w:r>
      <w:r w:rsidRPr="005A6EF7">
        <w:rPr>
          <w:lang w:val="lv-LV"/>
        </w:rPr>
        <w:t>tablete satur</w:t>
      </w:r>
      <w:r w:rsidRPr="005A6EF7">
        <w:rPr>
          <w:iCs/>
          <w:lang w:val="lv-LV"/>
        </w:rPr>
        <w:t xml:space="preserve"> 75 mg acetilsalicilskābes</w:t>
      </w:r>
      <w:r w:rsidR="00C76CC5">
        <w:rPr>
          <w:iCs/>
          <w:lang w:val="lv-LV"/>
        </w:rPr>
        <w:t xml:space="preserve"> (</w:t>
      </w:r>
      <w:r w:rsidR="00BE6D53">
        <w:rPr>
          <w:i/>
          <w:iCs/>
          <w:lang w:val="lv-LV"/>
        </w:rPr>
        <w:t>A</w:t>
      </w:r>
      <w:r w:rsidR="00BE6D53" w:rsidRPr="00C76CC5">
        <w:rPr>
          <w:i/>
          <w:iCs/>
          <w:lang w:val="lv-LV"/>
        </w:rPr>
        <w:t xml:space="preserve">cidum </w:t>
      </w:r>
      <w:r w:rsidR="00C76CC5" w:rsidRPr="008C3118">
        <w:rPr>
          <w:i/>
          <w:iCs/>
          <w:lang w:val="lv-LV"/>
        </w:rPr>
        <w:t>acetylsalicylicum</w:t>
      </w:r>
      <w:r w:rsidR="00C76CC5" w:rsidRPr="008C3118">
        <w:rPr>
          <w:iCs/>
          <w:lang w:val="lv-LV"/>
        </w:rPr>
        <w:t>)</w:t>
      </w:r>
      <w:r w:rsidRPr="005A6EF7">
        <w:rPr>
          <w:iCs/>
          <w:lang w:val="lv-LV"/>
        </w:rPr>
        <w:t>.</w:t>
      </w:r>
    </w:p>
    <w:p w14:paraId="0907BA65" w14:textId="77777777" w:rsidR="000A0B50" w:rsidRPr="005A6EF7" w:rsidRDefault="000A0B50" w:rsidP="000A0B50">
      <w:pPr>
        <w:rPr>
          <w:iCs/>
          <w:lang w:val="lv-LV"/>
        </w:rPr>
      </w:pPr>
    </w:p>
    <w:p w14:paraId="08866D91" w14:textId="77777777" w:rsidR="000A0B50" w:rsidRPr="005A6EF7" w:rsidRDefault="00171BA3" w:rsidP="000A0B50">
      <w:pPr>
        <w:rPr>
          <w:iCs/>
          <w:lang w:val="lv-LV"/>
        </w:rPr>
      </w:pPr>
      <w:r>
        <w:rPr>
          <w:lang w:val="lv-LV"/>
        </w:rPr>
        <w:t>H</w:t>
      </w:r>
      <w:r w:rsidR="008C66FA">
        <w:rPr>
          <w:lang w:val="lv-LV"/>
        </w:rPr>
        <w:t>eartisan</w:t>
      </w:r>
      <w:r w:rsidR="000A0B50" w:rsidRPr="005A6EF7">
        <w:rPr>
          <w:iCs/>
          <w:lang w:val="lv-LV"/>
        </w:rPr>
        <w:t xml:space="preserve"> 150 mg</w:t>
      </w:r>
    </w:p>
    <w:p w14:paraId="282601FC" w14:textId="77777777" w:rsidR="000A0B50" w:rsidRPr="005A6EF7" w:rsidRDefault="000A0B50" w:rsidP="000A0B50">
      <w:pPr>
        <w:rPr>
          <w:iCs/>
          <w:lang w:val="lv-LV"/>
        </w:rPr>
      </w:pPr>
      <w:r w:rsidRPr="005A6EF7">
        <w:rPr>
          <w:lang w:val="lv-LV"/>
        </w:rPr>
        <w:t xml:space="preserve">Katra </w:t>
      </w:r>
      <w:r w:rsidR="00C76CC5" w:rsidRPr="008C3118">
        <w:rPr>
          <w:lang w:val="lv-LV"/>
        </w:rPr>
        <w:t xml:space="preserve">zarnās šķīstošā </w:t>
      </w:r>
      <w:r w:rsidRPr="005A6EF7">
        <w:rPr>
          <w:lang w:val="lv-LV"/>
        </w:rPr>
        <w:t>tablete satur</w:t>
      </w:r>
      <w:r w:rsidRPr="005A6EF7">
        <w:rPr>
          <w:iCs/>
          <w:lang w:val="lv-LV"/>
        </w:rPr>
        <w:t xml:space="preserve"> 150 mg acetilsalicilskābes</w:t>
      </w:r>
      <w:r w:rsidR="00C76CC5">
        <w:rPr>
          <w:iCs/>
          <w:lang w:val="lv-LV"/>
        </w:rPr>
        <w:t xml:space="preserve"> (</w:t>
      </w:r>
      <w:r w:rsidR="00BE6D53">
        <w:rPr>
          <w:i/>
          <w:iCs/>
          <w:lang w:val="lv-LV"/>
        </w:rPr>
        <w:t>A</w:t>
      </w:r>
      <w:r w:rsidR="00BE6D53" w:rsidRPr="00C76CC5">
        <w:rPr>
          <w:i/>
          <w:iCs/>
          <w:lang w:val="lv-LV"/>
        </w:rPr>
        <w:t xml:space="preserve">cidum </w:t>
      </w:r>
      <w:r w:rsidR="00C76CC5" w:rsidRPr="008C3118">
        <w:rPr>
          <w:i/>
          <w:iCs/>
          <w:lang w:val="lv-LV"/>
        </w:rPr>
        <w:t>acetylsalicylicum</w:t>
      </w:r>
      <w:r w:rsidR="00C76CC5" w:rsidRPr="008C3118">
        <w:rPr>
          <w:iCs/>
          <w:lang w:val="lv-LV"/>
        </w:rPr>
        <w:t>)</w:t>
      </w:r>
      <w:r w:rsidRPr="005A6EF7">
        <w:rPr>
          <w:iCs/>
          <w:lang w:val="lv-LV"/>
        </w:rPr>
        <w:t>.</w:t>
      </w:r>
    </w:p>
    <w:p w14:paraId="5526DDC3" w14:textId="77777777" w:rsidR="00017525" w:rsidRPr="005A6EF7" w:rsidRDefault="00017525">
      <w:pPr>
        <w:spacing w:line="240" w:lineRule="auto"/>
        <w:ind w:left="567" w:hanging="567"/>
        <w:rPr>
          <w:lang w:val="lv-LV"/>
        </w:rPr>
      </w:pPr>
    </w:p>
    <w:p w14:paraId="4F166B0A" w14:textId="77777777" w:rsidR="00017525" w:rsidRPr="005A6EF7" w:rsidRDefault="004A50CF">
      <w:pPr>
        <w:spacing w:line="240" w:lineRule="auto"/>
        <w:ind w:left="567" w:hanging="567"/>
        <w:rPr>
          <w:lang w:val="lv-LV"/>
        </w:rPr>
      </w:pPr>
      <w:r w:rsidRPr="005A6EF7">
        <w:rPr>
          <w:lang w:val="lv-LV"/>
        </w:rPr>
        <w:t>Pilnu palīgvielu sarakstu skatīt 6.1</w:t>
      </w:r>
      <w:r w:rsidR="005C4262" w:rsidRPr="005A6EF7">
        <w:rPr>
          <w:szCs w:val="22"/>
          <w:lang w:val="lv-LV"/>
        </w:rPr>
        <w:t>.</w:t>
      </w:r>
      <w:r w:rsidR="00F139F0" w:rsidRPr="005A6EF7">
        <w:rPr>
          <w:lang w:val="lv-LV"/>
        </w:rPr>
        <w:t> </w:t>
      </w:r>
      <w:r w:rsidRPr="005A6EF7">
        <w:rPr>
          <w:lang w:val="lv-LV"/>
        </w:rPr>
        <w:t>apakšpunktā.</w:t>
      </w:r>
    </w:p>
    <w:p w14:paraId="2A15395F" w14:textId="77777777" w:rsidR="00017525" w:rsidRPr="005A6EF7" w:rsidRDefault="00017525">
      <w:pPr>
        <w:spacing w:line="240" w:lineRule="auto"/>
        <w:ind w:left="567" w:hanging="567"/>
        <w:rPr>
          <w:lang w:val="lv-LV"/>
        </w:rPr>
      </w:pPr>
    </w:p>
    <w:p w14:paraId="0B46CA15" w14:textId="77777777" w:rsidR="00017525" w:rsidRPr="005A6EF7" w:rsidRDefault="00017525">
      <w:pPr>
        <w:spacing w:line="240" w:lineRule="auto"/>
        <w:ind w:left="567" w:hanging="567"/>
        <w:rPr>
          <w:lang w:val="lv-LV"/>
        </w:rPr>
      </w:pPr>
    </w:p>
    <w:p w14:paraId="35C32F91" w14:textId="77777777" w:rsidR="00017525" w:rsidRPr="005A6EF7" w:rsidRDefault="004A50CF">
      <w:pPr>
        <w:spacing w:line="240" w:lineRule="auto"/>
        <w:ind w:left="567" w:hanging="567"/>
        <w:rPr>
          <w:b/>
          <w:caps/>
          <w:lang w:val="lv-LV"/>
        </w:rPr>
      </w:pPr>
      <w:r w:rsidRPr="005A6EF7">
        <w:rPr>
          <w:b/>
          <w:lang w:val="lv-LV"/>
        </w:rPr>
        <w:t>3.</w:t>
      </w:r>
      <w:r w:rsidRPr="005A6EF7">
        <w:rPr>
          <w:b/>
          <w:lang w:val="lv-LV"/>
        </w:rPr>
        <w:tab/>
        <w:t>ZĀĻU FORMA</w:t>
      </w:r>
    </w:p>
    <w:p w14:paraId="1C04A066" w14:textId="77777777" w:rsidR="00017525" w:rsidRPr="005A6EF7" w:rsidRDefault="00017525">
      <w:pPr>
        <w:spacing w:line="240" w:lineRule="auto"/>
        <w:ind w:left="567" w:hanging="567"/>
        <w:rPr>
          <w:lang w:val="lv-LV"/>
        </w:rPr>
      </w:pPr>
    </w:p>
    <w:p w14:paraId="788A30E8" w14:textId="77777777" w:rsidR="000A0B50" w:rsidRPr="005A6EF7" w:rsidRDefault="00C76CC5" w:rsidP="000A0B50">
      <w:pPr>
        <w:rPr>
          <w:lang w:val="lv-LV"/>
        </w:rPr>
      </w:pPr>
      <w:r w:rsidRPr="008C3118">
        <w:rPr>
          <w:lang w:val="lv-LV"/>
        </w:rPr>
        <w:t xml:space="preserve">Zarnās šķīstošā </w:t>
      </w:r>
      <w:r>
        <w:rPr>
          <w:lang w:val="lv-LV"/>
        </w:rPr>
        <w:t>tablete</w:t>
      </w:r>
    </w:p>
    <w:p w14:paraId="68833BE6" w14:textId="77777777" w:rsidR="000A0B50" w:rsidRPr="005A6EF7" w:rsidRDefault="000A0B50" w:rsidP="000A0B50">
      <w:pPr>
        <w:rPr>
          <w:lang w:val="lv-LV"/>
        </w:rPr>
      </w:pPr>
    </w:p>
    <w:p w14:paraId="0D9DDE12" w14:textId="77777777" w:rsidR="000A0B50" w:rsidRPr="005A6EF7" w:rsidRDefault="000A0B50" w:rsidP="000A0B50">
      <w:pPr>
        <w:rPr>
          <w:lang w:val="lv-LV"/>
        </w:rPr>
      </w:pPr>
      <w:r w:rsidRPr="005A6EF7">
        <w:rPr>
          <w:lang w:val="lv-LV"/>
        </w:rPr>
        <w:t>75 mg: balta, sirds formas, abpusēji izliekta</w:t>
      </w:r>
      <w:r w:rsidR="00C76CC5">
        <w:rPr>
          <w:lang w:val="lv-LV"/>
        </w:rPr>
        <w:t xml:space="preserve"> apvalkotā tablete</w:t>
      </w:r>
    </w:p>
    <w:p w14:paraId="7C5D0126" w14:textId="77777777" w:rsidR="000A0B50" w:rsidRPr="005A6EF7" w:rsidRDefault="000A0B50" w:rsidP="000A0B50">
      <w:pPr>
        <w:rPr>
          <w:lang w:val="lv-LV"/>
        </w:rPr>
      </w:pPr>
      <w:r w:rsidRPr="005A6EF7">
        <w:rPr>
          <w:lang w:val="lv-LV"/>
        </w:rPr>
        <w:t>150 mg: balta, apaļa, abpusē</w:t>
      </w:r>
      <w:r w:rsidR="00C76CC5">
        <w:rPr>
          <w:lang w:val="lv-LV"/>
        </w:rPr>
        <w:t>ji izliekta apvalkotā tablete</w:t>
      </w:r>
    </w:p>
    <w:p w14:paraId="1701F9E1" w14:textId="77777777" w:rsidR="000A0B50" w:rsidRPr="005A6EF7" w:rsidRDefault="000A0B50">
      <w:pPr>
        <w:spacing w:line="240" w:lineRule="auto"/>
        <w:ind w:left="567" w:hanging="567"/>
        <w:rPr>
          <w:lang w:val="lv-LV"/>
        </w:rPr>
      </w:pPr>
    </w:p>
    <w:p w14:paraId="41DBF5F2" w14:textId="77777777" w:rsidR="00017525" w:rsidRPr="005A6EF7" w:rsidRDefault="00017525">
      <w:pPr>
        <w:spacing w:line="240" w:lineRule="auto"/>
        <w:ind w:left="567" w:hanging="567"/>
        <w:rPr>
          <w:lang w:val="lv-LV"/>
        </w:rPr>
      </w:pPr>
    </w:p>
    <w:p w14:paraId="2E770A26" w14:textId="77777777" w:rsidR="00017525" w:rsidRPr="005A6EF7" w:rsidRDefault="004A50CF">
      <w:pPr>
        <w:tabs>
          <w:tab w:val="clear" w:pos="567"/>
        </w:tabs>
        <w:spacing w:line="240" w:lineRule="auto"/>
        <w:ind w:left="567" w:hanging="567"/>
        <w:rPr>
          <w:b/>
          <w:lang w:val="lv-LV"/>
        </w:rPr>
      </w:pPr>
      <w:r w:rsidRPr="005A6EF7">
        <w:rPr>
          <w:b/>
          <w:caps/>
          <w:lang w:val="lv-LV"/>
        </w:rPr>
        <w:t>4.</w:t>
      </w:r>
      <w:r w:rsidRPr="005A6EF7">
        <w:rPr>
          <w:b/>
          <w:caps/>
          <w:lang w:val="lv-LV"/>
        </w:rPr>
        <w:tab/>
        <w:t xml:space="preserve">KLĪNISKĀ INFORMĀCIJA </w:t>
      </w:r>
    </w:p>
    <w:p w14:paraId="27CD275A" w14:textId="77777777" w:rsidR="00017525" w:rsidRPr="005A6EF7" w:rsidRDefault="00017525">
      <w:pPr>
        <w:spacing w:line="240" w:lineRule="auto"/>
        <w:ind w:left="567" w:hanging="567"/>
        <w:rPr>
          <w:lang w:val="lv-LV"/>
        </w:rPr>
      </w:pPr>
    </w:p>
    <w:p w14:paraId="046B6F7B" w14:textId="77777777" w:rsidR="00017525" w:rsidRPr="005A6EF7" w:rsidRDefault="004A50CF">
      <w:pPr>
        <w:tabs>
          <w:tab w:val="clear" w:pos="567"/>
        </w:tabs>
        <w:spacing w:line="240" w:lineRule="auto"/>
        <w:ind w:left="567" w:hanging="567"/>
        <w:rPr>
          <w:lang w:val="lv-LV"/>
        </w:rPr>
      </w:pPr>
      <w:r w:rsidRPr="005A6EF7">
        <w:rPr>
          <w:b/>
          <w:lang w:val="lv-LV"/>
        </w:rPr>
        <w:t>4.1</w:t>
      </w:r>
      <w:r w:rsidR="008B15CD" w:rsidRPr="005A6EF7">
        <w:rPr>
          <w:b/>
          <w:szCs w:val="22"/>
          <w:lang w:val="lv-LV"/>
        </w:rPr>
        <w:t>.</w:t>
      </w:r>
      <w:r w:rsidRPr="005A6EF7">
        <w:rPr>
          <w:b/>
          <w:lang w:val="lv-LV"/>
        </w:rPr>
        <w:tab/>
        <w:t>Terapeitiskās indikācijas</w:t>
      </w:r>
    </w:p>
    <w:p w14:paraId="28A0759C" w14:textId="77777777" w:rsidR="00017525" w:rsidRPr="005A6EF7" w:rsidRDefault="00017525">
      <w:pPr>
        <w:tabs>
          <w:tab w:val="clear" w:pos="567"/>
        </w:tabs>
        <w:spacing w:line="240" w:lineRule="auto"/>
        <w:ind w:left="567" w:hanging="567"/>
        <w:rPr>
          <w:lang w:val="lv-LV"/>
        </w:rPr>
      </w:pPr>
    </w:p>
    <w:p w14:paraId="2ECCB6CB" w14:textId="77777777" w:rsidR="000A0B50" w:rsidRPr="005A6EF7" w:rsidRDefault="000A0B50" w:rsidP="000A0B50">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Išēmiskā sirds slimība un klīnisk</w:t>
      </w:r>
      <w:r w:rsidR="00C76CC5">
        <w:rPr>
          <w:color w:val="000000"/>
          <w:szCs w:val="22"/>
          <w:lang w:val="lv-LV" w:eastAsia="pl-PL"/>
        </w:rPr>
        <w:t>i stāvokļi</w:t>
      </w:r>
      <w:r w:rsidRPr="005A6EF7">
        <w:rPr>
          <w:color w:val="000000"/>
          <w:szCs w:val="22"/>
          <w:lang w:val="lv-LV" w:eastAsia="pl-PL"/>
        </w:rPr>
        <w:t>, k</w:t>
      </w:r>
      <w:r w:rsidR="00C76CC5">
        <w:rPr>
          <w:color w:val="000000"/>
          <w:szCs w:val="22"/>
          <w:lang w:val="lv-LV" w:eastAsia="pl-PL"/>
        </w:rPr>
        <w:t>ad</w:t>
      </w:r>
      <w:r w:rsidRPr="005A6EF7">
        <w:rPr>
          <w:color w:val="000000"/>
          <w:szCs w:val="22"/>
          <w:lang w:val="lv-LV" w:eastAsia="pl-PL"/>
        </w:rPr>
        <w:t xml:space="preserve"> ieteicama trombocītu agregācijas profilakse: </w:t>
      </w:r>
    </w:p>
    <w:p w14:paraId="7E8D4A68" w14:textId="77777777" w:rsidR="000A0B50" w:rsidRPr="005A6EF7" w:rsidRDefault="000A0B50" w:rsidP="000A0B50">
      <w:pPr>
        <w:tabs>
          <w:tab w:val="clear" w:pos="567"/>
        </w:tabs>
        <w:autoSpaceDE w:val="0"/>
        <w:autoSpaceDN w:val="0"/>
        <w:adjustRightInd w:val="0"/>
        <w:spacing w:after="5" w:line="240" w:lineRule="auto"/>
        <w:rPr>
          <w:color w:val="000000"/>
          <w:szCs w:val="22"/>
          <w:lang w:val="lv-LV" w:eastAsia="pl-PL"/>
        </w:rPr>
      </w:pPr>
    </w:p>
    <w:p w14:paraId="0D6C6E9F" w14:textId="77777777" w:rsidR="000A0B50" w:rsidRPr="005A6EF7" w:rsidRDefault="000A0B50" w:rsidP="000A0B50">
      <w:pPr>
        <w:numPr>
          <w:ilvl w:val="0"/>
          <w:numId w:val="54"/>
        </w:numPr>
        <w:tabs>
          <w:tab w:val="clear" w:pos="567"/>
        </w:tabs>
        <w:autoSpaceDE w:val="0"/>
        <w:autoSpaceDN w:val="0"/>
        <w:adjustRightInd w:val="0"/>
        <w:spacing w:after="5" w:line="240" w:lineRule="auto"/>
        <w:ind w:left="567" w:hanging="567"/>
        <w:rPr>
          <w:color w:val="000000"/>
          <w:szCs w:val="22"/>
          <w:lang w:val="lv-LV" w:eastAsia="pl-PL"/>
        </w:rPr>
      </w:pPr>
      <w:r w:rsidRPr="005A6EF7">
        <w:rPr>
          <w:color w:val="000000"/>
          <w:lang w:val="lv-LV" w:eastAsia="pl-PL"/>
        </w:rPr>
        <w:t>nestabila stenokardija</w:t>
      </w:r>
      <w:r w:rsidR="00E64645" w:rsidRPr="005A6EF7">
        <w:rPr>
          <w:color w:val="000000"/>
          <w:lang w:val="lv-LV" w:eastAsia="pl-PL"/>
        </w:rPr>
        <w:t xml:space="preserve"> anamnēzē</w:t>
      </w:r>
      <w:r w:rsidRPr="005A6EF7">
        <w:rPr>
          <w:color w:val="000000"/>
          <w:lang w:val="lv-LV" w:eastAsia="pl-PL"/>
        </w:rPr>
        <w:t>, izņemot akūt</w:t>
      </w:r>
      <w:r w:rsidR="00F87745" w:rsidRPr="005A6EF7">
        <w:rPr>
          <w:color w:val="000000"/>
          <w:lang w:val="lv-LV" w:eastAsia="pl-PL"/>
        </w:rPr>
        <w:t>ā</w:t>
      </w:r>
      <w:r w:rsidRPr="005A6EF7">
        <w:rPr>
          <w:color w:val="000000"/>
          <w:lang w:val="lv-LV" w:eastAsia="pl-PL"/>
        </w:rPr>
        <w:t>s fāzes laikā</w:t>
      </w:r>
      <w:r w:rsidRPr="005A6EF7">
        <w:rPr>
          <w:color w:val="000000"/>
          <w:szCs w:val="22"/>
          <w:lang w:val="lv-LV" w:eastAsia="pl-PL"/>
        </w:rPr>
        <w:t>;</w:t>
      </w:r>
    </w:p>
    <w:p w14:paraId="13DC808A" w14:textId="77777777" w:rsidR="000A0B50" w:rsidRPr="005A6EF7" w:rsidRDefault="0032146D" w:rsidP="000A0B50">
      <w:pPr>
        <w:numPr>
          <w:ilvl w:val="0"/>
          <w:numId w:val="54"/>
        </w:numPr>
        <w:tabs>
          <w:tab w:val="clear" w:pos="567"/>
        </w:tabs>
        <w:autoSpaceDE w:val="0"/>
        <w:autoSpaceDN w:val="0"/>
        <w:adjustRightInd w:val="0"/>
        <w:spacing w:after="5" w:line="240" w:lineRule="auto"/>
        <w:ind w:left="567" w:hanging="567"/>
        <w:rPr>
          <w:color w:val="000000"/>
          <w:szCs w:val="22"/>
          <w:lang w:val="lv-LV" w:eastAsia="pl-PL"/>
        </w:rPr>
      </w:pPr>
      <w:r w:rsidRPr="005A6EF7">
        <w:rPr>
          <w:color w:val="000000"/>
          <w:szCs w:val="22"/>
          <w:lang w:val="lv-LV" w:eastAsia="pl-PL"/>
        </w:rPr>
        <w:t xml:space="preserve">miokarda infarkta </w:t>
      </w:r>
      <w:r w:rsidR="00E64645" w:rsidRPr="005A6EF7">
        <w:rPr>
          <w:color w:val="000000"/>
          <w:szCs w:val="22"/>
          <w:lang w:val="lv-LV" w:eastAsia="pl-PL"/>
        </w:rPr>
        <w:t xml:space="preserve">sekundārā </w:t>
      </w:r>
      <w:r w:rsidRPr="005A6EF7">
        <w:rPr>
          <w:color w:val="000000"/>
          <w:szCs w:val="22"/>
          <w:lang w:val="lv-LV" w:eastAsia="pl-PL"/>
        </w:rPr>
        <w:t>profilakse</w:t>
      </w:r>
      <w:r w:rsidR="000A0B50" w:rsidRPr="005A6EF7">
        <w:rPr>
          <w:color w:val="000000"/>
          <w:szCs w:val="22"/>
          <w:lang w:val="lv-LV" w:eastAsia="pl-PL"/>
        </w:rPr>
        <w:t>;</w:t>
      </w:r>
    </w:p>
    <w:p w14:paraId="0D3BD925" w14:textId="77777777" w:rsidR="000A0B50" w:rsidRPr="005A6EF7" w:rsidRDefault="003E17B2" w:rsidP="000A0B50">
      <w:pPr>
        <w:numPr>
          <w:ilvl w:val="0"/>
          <w:numId w:val="54"/>
        </w:numPr>
        <w:tabs>
          <w:tab w:val="clear" w:pos="567"/>
        </w:tabs>
        <w:autoSpaceDE w:val="0"/>
        <w:autoSpaceDN w:val="0"/>
        <w:adjustRightInd w:val="0"/>
        <w:spacing w:after="5" w:line="240" w:lineRule="auto"/>
        <w:ind w:left="567" w:hanging="567"/>
        <w:rPr>
          <w:color w:val="000000"/>
          <w:szCs w:val="22"/>
          <w:lang w:val="lv-LV" w:eastAsia="pl-PL"/>
        </w:rPr>
      </w:pPr>
      <w:r>
        <w:rPr>
          <w:iCs/>
          <w:color w:val="000000"/>
          <w:szCs w:val="22"/>
          <w:lang w:val="lv-LV" w:eastAsia="pl-PL"/>
        </w:rPr>
        <w:t>šunta</w:t>
      </w:r>
      <w:r w:rsidRPr="005A6EF7">
        <w:rPr>
          <w:iCs/>
          <w:color w:val="000000"/>
          <w:szCs w:val="22"/>
          <w:lang w:val="lv-LV" w:eastAsia="pl-PL"/>
        </w:rPr>
        <w:t xml:space="preserve"> </w:t>
      </w:r>
      <w:r w:rsidR="00F87745" w:rsidRPr="005A6EF7">
        <w:rPr>
          <w:iCs/>
          <w:color w:val="000000"/>
          <w:szCs w:val="22"/>
          <w:lang w:val="lv-LV" w:eastAsia="pl-PL"/>
        </w:rPr>
        <w:t xml:space="preserve">oklūzijas profilakse pēc </w:t>
      </w:r>
      <w:r w:rsidR="00CD11BE">
        <w:rPr>
          <w:iCs/>
          <w:color w:val="000000"/>
          <w:szCs w:val="22"/>
          <w:lang w:val="lv-LV" w:eastAsia="pl-PL"/>
        </w:rPr>
        <w:t>aorto</w:t>
      </w:r>
      <w:r w:rsidR="00F87745" w:rsidRPr="005A6EF7">
        <w:rPr>
          <w:iCs/>
          <w:color w:val="000000"/>
          <w:szCs w:val="22"/>
          <w:lang w:val="lv-LV" w:eastAsia="pl-PL"/>
        </w:rPr>
        <w:t xml:space="preserve">koronārās šuntēšanas operācijas </w:t>
      </w:r>
      <w:r w:rsidR="000A0B50" w:rsidRPr="005A6EF7">
        <w:rPr>
          <w:iCs/>
          <w:color w:val="000000"/>
          <w:szCs w:val="22"/>
          <w:lang w:val="lv-LV" w:eastAsia="pl-PL"/>
        </w:rPr>
        <w:t>(</w:t>
      </w:r>
      <w:r w:rsidR="00C76CC5" w:rsidRPr="00C76CC5">
        <w:rPr>
          <w:i/>
          <w:iCs/>
          <w:color w:val="000000"/>
          <w:szCs w:val="22"/>
          <w:lang w:val="lv-LV" w:eastAsia="pl-PL"/>
        </w:rPr>
        <w:t>c</w:t>
      </w:r>
      <w:r w:rsidR="00C76CC5" w:rsidRPr="008C3118">
        <w:rPr>
          <w:i/>
          <w:iCs/>
          <w:color w:val="000000"/>
          <w:szCs w:val="22"/>
          <w:lang w:val="lv-LV" w:eastAsia="pl-PL"/>
        </w:rPr>
        <w:t>oronary artery bypass grafting</w:t>
      </w:r>
      <w:r w:rsidR="00C76CC5" w:rsidRPr="008C3118">
        <w:rPr>
          <w:iCs/>
          <w:color w:val="000000"/>
          <w:szCs w:val="22"/>
          <w:lang w:val="lv-LV" w:eastAsia="pl-PL"/>
        </w:rPr>
        <w:t xml:space="preserve"> - </w:t>
      </w:r>
      <w:r w:rsidR="000A0B50" w:rsidRPr="005A6EF7">
        <w:rPr>
          <w:i/>
          <w:iCs/>
          <w:color w:val="000000"/>
          <w:szCs w:val="22"/>
          <w:lang w:val="lv-LV" w:eastAsia="pl-PL"/>
        </w:rPr>
        <w:t>CABG</w:t>
      </w:r>
      <w:r w:rsidR="000A0B50" w:rsidRPr="005A6EF7">
        <w:rPr>
          <w:iCs/>
          <w:color w:val="000000"/>
          <w:szCs w:val="22"/>
          <w:lang w:val="lv-LV" w:eastAsia="pl-PL"/>
        </w:rPr>
        <w:t>);</w:t>
      </w:r>
    </w:p>
    <w:p w14:paraId="4C061DF5" w14:textId="77777777" w:rsidR="000A0B50" w:rsidRPr="005A6EF7" w:rsidRDefault="00F87745" w:rsidP="000A0B50">
      <w:pPr>
        <w:numPr>
          <w:ilvl w:val="0"/>
          <w:numId w:val="54"/>
        </w:numPr>
        <w:tabs>
          <w:tab w:val="clear" w:pos="567"/>
        </w:tabs>
        <w:autoSpaceDE w:val="0"/>
        <w:autoSpaceDN w:val="0"/>
        <w:adjustRightInd w:val="0"/>
        <w:spacing w:after="5" w:line="240" w:lineRule="auto"/>
        <w:ind w:left="567" w:hanging="567"/>
        <w:rPr>
          <w:color w:val="000000"/>
          <w:szCs w:val="22"/>
          <w:lang w:val="lv-LV" w:eastAsia="pl-PL"/>
        </w:rPr>
      </w:pPr>
      <w:r w:rsidRPr="005A6EF7">
        <w:rPr>
          <w:color w:val="000000"/>
          <w:szCs w:val="22"/>
          <w:lang w:val="lv-LV" w:eastAsia="pl-PL"/>
        </w:rPr>
        <w:t>koronārā angioplastija</w:t>
      </w:r>
      <w:r w:rsidR="000A0B50" w:rsidRPr="005A6EF7">
        <w:rPr>
          <w:color w:val="000000"/>
          <w:szCs w:val="22"/>
          <w:lang w:val="lv-LV" w:eastAsia="pl-PL"/>
        </w:rPr>
        <w:t>,</w:t>
      </w:r>
      <w:r w:rsidR="000A0B50" w:rsidRPr="005A6EF7">
        <w:rPr>
          <w:iCs/>
          <w:szCs w:val="22"/>
          <w:lang w:val="lv-LV"/>
        </w:rPr>
        <w:t xml:space="preserve"> </w:t>
      </w:r>
      <w:r w:rsidRPr="005A6EF7">
        <w:rPr>
          <w:color w:val="000000"/>
          <w:lang w:val="lv-LV" w:eastAsia="pl-PL"/>
        </w:rPr>
        <w:t>izņemot akūtās fāzes laikā</w:t>
      </w:r>
      <w:r w:rsidRPr="005A6EF7">
        <w:rPr>
          <w:color w:val="000000"/>
          <w:szCs w:val="22"/>
          <w:lang w:val="lv-LV" w:eastAsia="pl-PL"/>
        </w:rPr>
        <w:t>;</w:t>
      </w:r>
    </w:p>
    <w:p w14:paraId="21B81EB7" w14:textId="77777777" w:rsidR="000A0B50" w:rsidRPr="005A6EF7" w:rsidRDefault="005A6EF7" w:rsidP="000A0B50">
      <w:pPr>
        <w:pStyle w:val="CommentText"/>
        <w:numPr>
          <w:ilvl w:val="0"/>
          <w:numId w:val="54"/>
        </w:numPr>
        <w:ind w:left="567" w:hanging="567"/>
        <w:rPr>
          <w:sz w:val="22"/>
          <w:szCs w:val="22"/>
          <w:lang w:val="lv-LV"/>
        </w:rPr>
      </w:pPr>
      <w:r w:rsidRPr="005A6EF7">
        <w:rPr>
          <w:sz w:val="22"/>
          <w:szCs w:val="22"/>
          <w:lang w:val="lv-LV"/>
        </w:rPr>
        <w:t xml:space="preserve">tranzitoras </w:t>
      </w:r>
      <w:r w:rsidR="00F87745" w:rsidRPr="005A6EF7">
        <w:rPr>
          <w:sz w:val="22"/>
          <w:szCs w:val="22"/>
          <w:lang w:val="lv-LV"/>
        </w:rPr>
        <w:t>išēmijas lēkmes (</w:t>
      </w:r>
      <w:r w:rsidRPr="005A6EF7">
        <w:rPr>
          <w:sz w:val="22"/>
          <w:szCs w:val="22"/>
          <w:lang w:val="lv-LV"/>
        </w:rPr>
        <w:t>T</w:t>
      </w:r>
      <w:r w:rsidR="00F87745" w:rsidRPr="005A6EF7">
        <w:rPr>
          <w:sz w:val="22"/>
          <w:szCs w:val="22"/>
          <w:lang w:val="lv-LV"/>
        </w:rPr>
        <w:t>I</w:t>
      </w:r>
      <w:r w:rsidRPr="005A6EF7">
        <w:rPr>
          <w:sz w:val="22"/>
          <w:szCs w:val="22"/>
          <w:lang w:val="lv-LV"/>
        </w:rPr>
        <w:t>L</w:t>
      </w:r>
      <w:r w:rsidR="00F87745" w:rsidRPr="005A6EF7">
        <w:rPr>
          <w:sz w:val="22"/>
          <w:szCs w:val="22"/>
          <w:lang w:val="lv-LV"/>
        </w:rPr>
        <w:t>) un išēmiska cerebrovaskulāra notikuma (</w:t>
      </w:r>
      <w:r w:rsidRPr="005A6EF7">
        <w:rPr>
          <w:sz w:val="22"/>
          <w:szCs w:val="22"/>
          <w:lang w:val="lv-LV"/>
        </w:rPr>
        <w:t>ICN</w:t>
      </w:r>
      <w:r w:rsidR="00F87745" w:rsidRPr="005A6EF7">
        <w:rPr>
          <w:sz w:val="22"/>
          <w:szCs w:val="22"/>
          <w:lang w:val="lv-LV"/>
        </w:rPr>
        <w:t xml:space="preserve">) </w:t>
      </w:r>
      <w:r w:rsidRPr="005A6EF7">
        <w:rPr>
          <w:sz w:val="22"/>
          <w:szCs w:val="22"/>
          <w:lang w:val="lv-LV"/>
        </w:rPr>
        <w:t>sekundārā profilakse</w:t>
      </w:r>
      <w:r w:rsidR="00523C3D">
        <w:rPr>
          <w:sz w:val="22"/>
          <w:szCs w:val="22"/>
          <w:lang w:val="lv-LV"/>
        </w:rPr>
        <w:t>,</w:t>
      </w:r>
      <w:r w:rsidR="00F87745" w:rsidRPr="005A6EF7">
        <w:rPr>
          <w:sz w:val="22"/>
          <w:szCs w:val="22"/>
          <w:lang w:val="lv-LV"/>
        </w:rPr>
        <w:t xml:space="preserve"> ar nosacījumu, ka izslēgta intracerebrāla asiņošana</w:t>
      </w:r>
      <w:r w:rsidR="000A0B50" w:rsidRPr="005A6EF7">
        <w:rPr>
          <w:sz w:val="22"/>
          <w:szCs w:val="22"/>
          <w:lang w:val="lv-LV"/>
        </w:rPr>
        <w:t>.</w:t>
      </w:r>
    </w:p>
    <w:p w14:paraId="2F7F1CBC" w14:textId="77777777" w:rsidR="000A0B50" w:rsidRPr="005A6EF7" w:rsidRDefault="000A0B50" w:rsidP="000A0B50">
      <w:pPr>
        <w:tabs>
          <w:tab w:val="clear" w:pos="567"/>
        </w:tabs>
        <w:autoSpaceDE w:val="0"/>
        <w:autoSpaceDN w:val="0"/>
        <w:adjustRightInd w:val="0"/>
        <w:spacing w:line="240" w:lineRule="auto"/>
        <w:rPr>
          <w:color w:val="000000"/>
          <w:szCs w:val="22"/>
          <w:lang w:val="lv-LV" w:eastAsia="pl-PL"/>
        </w:rPr>
      </w:pPr>
    </w:p>
    <w:p w14:paraId="3A7E325D" w14:textId="77777777" w:rsidR="000A0B50" w:rsidRPr="005A6EF7" w:rsidRDefault="00171BA3" w:rsidP="000A0B50">
      <w:pPr>
        <w:rPr>
          <w:rFonts w:eastAsia="TimesNewRomanPS-BoldMT"/>
          <w:lang w:val="lv-LV"/>
        </w:rPr>
      </w:pPr>
      <w:r>
        <w:t>H</w:t>
      </w:r>
      <w:r w:rsidR="008C66FA">
        <w:t>eartisan</w:t>
      </w:r>
      <w:r w:rsidR="000A0B50" w:rsidRPr="005A6EF7">
        <w:rPr>
          <w:rFonts w:eastAsia="TimesNewRomanPS-BoldMT"/>
          <w:lang w:val="lv-LV"/>
        </w:rPr>
        <w:t xml:space="preserve"> </w:t>
      </w:r>
      <w:r w:rsidR="00D202F3" w:rsidRPr="005A6EF7">
        <w:rPr>
          <w:iCs/>
          <w:szCs w:val="22"/>
          <w:lang w:val="lv-LV"/>
        </w:rPr>
        <w:t>n</w:t>
      </w:r>
      <w:r w:rsidR="00D202F3">
        <w:rPr>
          <w:iCs/>
          <w:szCs w:val="22"/>
          <w:lang w:val="lv-LV"/>
        </w:rPr>
        <w:t>av ieteicams</w:t>
      </w:r>
      <w:r w:rsidR="00D202F3" w:rsidRPr="005A6EF7">
        <w:rPr>
          <w:iCs/>
          <w:szCs w:val="22"/>
          <w:lang w:val="lv-LV"/>
        </w:rPr>
        <w:t xml:space="preserve"> </w:t>
      </w:r>
      <w:r w:rsidR="00F87745" w:rsidRPr="005A6EF7">
        <w:rPr>
          <w:iCs/>
          <w:szCs w:val="22"/>
          <w:lang w:val="lv-LV"/>
        </w:rPr>
        <w:t>lietot neatliekamās situācijās</w:t>
      </w:r>
      <w:r w:rsidR="000A0B50" w:rsidRPr="005A6EF7">
        <w:rPr>
          <w:iCs/>
          <w:szCs w:val="22"/>
          <w:lang w:val="lv-LV"/>
        </w:rPr>
        <w:t xml:space="preserve">. </w:t>
      </w:r>
      <w:r w:rsidR="00F87745" w:rsidRPr="005A6EF7">
        <w:rPr>
          <w:iCs/>
          <w:szCs w:val="22"/>
          <w:lang w:val="lv-LV"/>
        </w:rPr>
        <w:t xml:space="preserve">To lieto tikai </w:t>
      </w:r>
      <w:r w:rsidR="004C09B6">
        <w:rPr>
          <w:iCs/>
          <w:szCs w:val="22"/>
          <w:lang w:val="lv-LV"/>
        </w:rPr>
        <w:t xml:space="preserve">sekundārai </w:t>
      </w:r>
      <w:r w:rsidR="00F87745" w:rsidRPr="005A6EF7">
        <w:rPr>
          <w:iCs/>
          <w:szCs w:val="22"/>
          <w:lang w:val="lv-LV"/>
        </w:rPr>
        <w:t>profilaks</w:t>
      </w:r>
      <w:r w:rsidR="003927B6">
        <w:rPr>
          <w:iCs/>
          <w:szCs w:val="22"/>
          <w:lang w:val="lv-LV"/>
        </w:rPr>
        <w:t>e</w:t>
      </w:r>
      <w:r w:rsidR="00F87745" w:rsidRPr="005A6EF7">
        <w:rPr>
          <w:iCs/>
          <w:szCs w:val="22"/>
          <w:lang w:val="lv-LV"/>
        </w:rPr>
        <w:t xml:space="preserve">i hronisku slimību gadījumā. </w:t>
      </w:r>
    </w:p>
    <w:p w14:paraId="165EDA00" w14:textId="77777777" w:rsidR="00017525" w:rsidRPr="005A6EF7" w:rsidRDefault="00017525">
      <w:pPr>
        <w:tabs>
          <w:tab w:val="clear" w:pos="567"/>
        </w:tabs>
        <w:spacing w:line="240" w:lineRule="auto"/>
        <w:rPr>
          <w:lang w:val="lv-LV"/>
        </w:rPr>
      </w:pPr>
    </w:p>
    <w:p w14:paraId="4FDDFF07" w14:textId="77777777" w:rsidR="00017525" w:rsidRPr="005A6EF7" w:rsidRDefault="004A50CF">
      <w:pPr>
        <w:tabs>
          <w:tab w:val="clear" w:pos="567"/>
        </w:tabs>
        <w:spacing w:line="240" w:lineRule="auto"/>
        <w:ind w:left="567" w:hanging="567"/>
        <w:rPr>
          <w:lang w:val="lv-LV"/>
        </w:rPr>
      </w:pPr>
      <w:r w:rsidRPr="005A6EF7">
        <w:rPr>
          <w:b/>
          <w:lang w:val="lv-LV"/>
        </w:rPr>
        <w:t>4.2</w:t>
      </w:r>
      <w:r w:rsidR="001452C3" w:rsidRPr="005A6EF7">
        <w:rPr>
          <w:b/>
          <w:szCs w:val="22"/>
          <w:lang w:val="lv-LV"/>
        </w:rPr>
        <w:t>.</w:t>
      </w:r>
      <w:r w:rsidRPr="005A6EF7">
        <w:rPr>
          <w:b/>
          <w:lang w:val="lv-LV"/>
        </w:rPr>
        <w:tab/>
        <w:t>Devas un lietošanas veids</w:t>
      </w:r>
    </w:p>
    <w:p w14:paraId="128D7EE5" w14:textId="77777777" w:rsidR="00017525" w:rsidRPr="005A6EF7" w:rsidRDefault="00017525">
      <w:pPr>
        <w:tabs>
          <w:tab w:val="clear" w:pos="567"/>
        </w:tabs>
        <w:spacing w:line="240" w:lineRule="auto"/>
        <w:ind w:left="567" w:hanging="567"/>
        <w:rPr>
          <w:lang w:val="lv-LV"/>
        </w:rPr>
      </w:pPr>
    </w:p>
    <w:p w14:paraId="5949D861" w14:textId="77777777" w:rsidR="00017525" w:rsidRPr="005A6EF7" w:rsidRDefault="004A50CF">
      <w:pPr>
        <w:tabs>
          <w:tab w:val="clear" w:pos="567"/>
        </w:tabs>
        <w:spacing w:line="240" w:lineRule="auto"/>
        <w:rPr>
          <w:u w:val="single"/>
          <w:lang w:val="lv-LV"/>
        </w:rPr>
      </w:pPr>
      <w:r w:rsidRPr="005A6EF7">
        <w:rPr>
          <w:u w:val="single"/>
          <w:lang w:val="lv-LV"/>
        </w:rPr>
        <w:t xml:space="preserve">Devas </w:t>
      </w:r>
    </w:p>
    <w:p w14:paraId="00FEDC21" w14:textId="77777777" w:rsidR="00E64645" w:rsidRPr="005A6EF7" w:rsidRDefault="00E64645" w:rsidP="00F87745">
      <w:pPr>
        <w:tabs>
          <w:tab w:val="clear" w:pos="567"/>
        </w:tabs>
        <w:autoSpaceDE w:val="0"/>
        <w:autoSpaceDN w:val="0"/>
        <w:adjustRightInd w:val="0"/>
        <w:spacing w:line="240" w:lineRule="auto"/>
        <w:rPr>
          <w:color w:val="000000"/>
          <w:szCs w:val="22"/>
          <w:lang w:val="lv-LV" w:eastAsia="pl-PL"/>
        </w:rPr>
      </w:pPr>
    </w:p>
    <w:p w14:paraId="4C4F9E20" w14:textId="77777777" w:rsidR="00F87745" w:rsidRPr="005A6EF7" w:rsidRDefault="00E64645" w:rsidP="00F87745">
      <w:pPr>
        <w:numPr>
          <w:ilvl w:val="0"/>
          <w:numId w:val="55"/>
        </w:numPr>
        <w:tabs>
          <w:tab w:val="clear" w:pos="567"/>
        </w:tabs>
        <w:autoSpaceDE w:val="0"/>
        <w:autoSpaceDN w:val="0"/>
        <w:adjustRightInd w:val="0"/>
        <w:spacing w:line="240" w:lineRule="auto"/>
        <w:ind w:left="567" w:hanging="567"/>
        <w:rPr>
          <w:color w:val="000000"/>
          <w:szCs w:val="22"/>
          <w:lang w:val="lv-LV" w:eastAsia="pl-PL"/>
        </w:rPr>
      </w:pPr>
      <w:r w:rsidRPr="005A6EF7">
        <w:rPr>
          <w:color w:val="000000"/>
          <w:lang w:val="lv-LV" w:eastAsia="pl-PL"/>
        </w:rPr>
        <w:t>Nestabila stenokardija anamnēzē, izņemot akūtās fāzes laikā</w:t>
      </w:r>
    </w:p>
    <w:p w14:paraId="25721E0D" w14:textId="77777777" w:rsidR="00F87745" w:rsidRPr="005A6EF7" w:rsidRDefault="00E64645" w:rsidP="00F87745">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Ieteicamā deva ir</w:t>
      </w:r>
      <w:r w:rsidR="00F87745" w:rsidRPr="005A6EF7">
        <w:rPr>
          <w:color w:val="000000"/>
          <w:szCs w:val="22"/>
          <w:lang w:val="lv-LV" w:eastAsia="pl-PL"/>
        </w:rPr>
        <w:t xml:space="preserve"> 75 mg </w:t>
      </w:r>
      <w:r w:rsidR="005A6EF7" w:rsidRPr="005A6EF7">
        <w:rPr>
          <w:color w:val="000000"/>
          <w:szCs w:val="22"/>
          <w:lang w:val="lv-LV" w:eastAsia="pl-PL"/>
        </w:rPr>
        <w:t>līdz</w:t>
      </w:r>
      <w:r w:rsidR="00F87745" w:rsidRPr="005A6EF7">
        <w:rPr>
          <w:color w:val="000000"/>
          <w:szCs w:val="22"/>
          <w:lang w:val="lv-LV" w:eastAsia="pl-PL"/>
        </w:rPr>
        <w:t xml:space="preserve"> 150 mg </w:t>
      </w:r>
      <w:r w:rsidRPr="005A6EF7">
        <w:rPr>
          <w:color w:val="000000"/>
          <w:szCs w:val="22"/>
          <w:lang w:val="lv-LV" w:eastAsia="pl-PL"/>
        </w:rPr>
        <w:t>vienreiz dienā</w:t>
      </w:r>
      <w:r w:rsidR="00F87745" w:rsidRPr="005A6EF7">
        <w:rPr>
          <w:color w:val="000000"/>
          <w:szCs w:val="22"/>
          <w:lang w:val="lv-LV" w:eastAsia="pl-PL"/>
        </w:rPr>
        <w:t>.</w:t>
      </w:r>
    </w:p>
    <w:p w14:paraId="25F7914C" w14:textId="77777777" w:rsidR="00F87745" w:rsidRPr="005A6EF7" w:rsidRDefault="00F87745" w:rsidP="00F87745">
      <w:pPr>
        <w:tabs>
          <w:tab w:val="clear" w:pos="567"/>
        </w:tabs>
        <w:autoSpaceDE w:val="0"/>
        <w:autoSpaceDN w:val="0"/>
        <w:adjustRightInd w:val="0"/>
        <w:spacing w:line="240" w:lineRule="auto"/>
        <w:rPr>
          <w:color w:val="000000"/>
          <w:szCs w:val="22"/>
          <w:lang w:val="lv-LV" w:eastAsia="pl-PL"/>
        </w:rPr>
      </w:pPr>
    </w:p>
    <w:p w14:paraId="258DC968" w14:textId="77777777" w:rsidR="00F87745" w:rsidRPr="005A6EF7" w:rsidRDefault="00E64645" w:rsidP="00F87745">
      <w:pPr>
        <w:numPr>
          <w:ilvl w:val="0"/>
          <w:numId w:val="54"/>
        </w:numPr>
        <w:tabs>
          <w:tab w:val="clear" w:pos="567"/>
        </w:tabs>
        <w:autoSpaceDE w:val="0"/>
        <w:autoSpaceDN w:val="0"/>
        <w:adjustRightInd w:val="0"/>
        <w:spacing w:after="5" w:line="240" w:lineRule="auto"/>
        <w:ind w:left="567" w:hanging="567"/>
        <w:rPr>
          <w:color w:val="000000"/>
          <w:szCs w:val="22"/>
          <w:lang w:val="lv-LV" w:eastAsia="pl-PL"/>
        </w:rPr>
      </w:pPr>
      <w:r w:rsidRPr="005A6EF7">
        <w:rPr>
          <w:color w:val="000000"/>
          <w:szCs w:val="22"/>
          <w:lang w:val="lv-LV" w:eastAsia="pl-PL"/>
        </w:rPr>
        <w:t>Miokarda infarkta sekundārā profilakse</w:t>
      </w:r>
    </w:p>
    <w:p w14:paraId="4B74687B" w14:textId="77777777" w:rsidR="00F87745" w:rsidRPr="005A6EF7" w:rsidRDefault="00E64645" w:rsidP="00F87745">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Ieteicamā deva ir </w:t>
      </w:r>
      <w:r w:rsidR="00F87745" w:rsidRPr="005A6EF7">
        <w:rPr>
          <w:color w:val="000000"/>
          <w:szCs w:val="22"/>
          <w:lang w:val="lv-LV" w:eastAsia="pl-PL"/>
        </w:rPr>
        <w:t xml:space="preserve">75 mg </w:t>
      </w:r>
      <w:r w:rsidR="005A6EF7" w:rsidRPr="005A6EF7">
        <w:rPr>
          <w:color w:val="000000"/>
          <w:szCs w:val="22"/>
          <w:lang w:val="lv-LV" w:eastAsia="pl-PL"/>
        </w:rPr>
        <w:t>līdz</w:t>
      </w:r>
      <w:r w:rsidR="00F87745" w:rsidRPr="005A6EF7">
        <w:rPr>
          <w:color w:val="000000"/>
          <w:szCs w:val="22"/>
          <w:lang w:val="lv-LV" w:eastAsia="pl-PL"/>
        </w:rPr>
        <w:t xml:space="preserve"> 150 mg </w:t>
      </w:r>
      <w:r w:rsidRPr="005A6EF7">
        <w:rPr>
          <w:color w:val="000000"/>
          <w:szCs w:val="22"/>
          <w:lang w:val="lv-LV" w:eastAsia="pl-PL"/>
        </w:rPr>
        <w:t>vienreiz dienā.</w:t>
      </w:r>
    </w:p>
    <w:p w14:paraId="4BD91E62" w14:textId="77777777" w:rsidR="00F87745" w:rsidRPr="005A6EF7" w:rsidRDefault="00F87745" w:rsidP="00F87745">
      <w:pPr>
        <w:tabs>
          <w:tab w:val="clear" w:pos="567"/>
        </w:tabs>
        <w:autoSpaceDE w:val="0"/>
        <w:autoSpaceDN w:val="0"/>
        <w:adjustRightInd w:val="0"/>
        <w:spacing w:line="240" w:lineRule="auto"/>
        <w:rPr>
          <w:color w:val="000000"/>
          <w:szCs w:val="22"/>
          <w:lang w:val="lv-LV" w:eastAsia="pl-PL"/>
        </w:rPr>
      </w:pPr>
    </w:p>
    <w:p w14:paraId="636F7E6D" w14:textId="77777777" w:rsidR="00F87745" w:rsidRPr="005A6EF7" w:rsidRDefault="008F4E2A" w:rsidP="00F87745">
      <w:pPr>
        <w:numPr>
          <w:ilvl w:val="0"/>
          <w:numId w:val="54"/>
        </w:numPr>
        <w:tabs>
          <w:tab w:val="clear" w:pos="567"/>
        </w:tabs>
        <w:autoSpaceDE w:val="0"/>
        <w:autoSpaceDN w:val="0"/>
        <w:adjustRightInd w:val="0"/>
        <w:spacing w:line="240" w:lineRule="auto"/>
        <w:ind w:left="567" w:hanging="567"/>
        <w:rPr>
          <w:color w:val="000000"/>
          <w:szCs w:val="22"/>
          <w:lang w:val="lv-LV" w:eastAsia="pl-PL"/>
        </w:rPr>
      </w:pPr>
      <w:r>
        <w:rPr>
          <w:iCs/>
          <w:color w:val="000000"/>
          <w:szCs w:val="22"/>
          <w:lang w:val="lv-LV" w:eastAsia="pl-PL"/>
        </w:rPr>
        <w:t xml:space="preserve">Šunta </w:t>
      </w:r>
      <w:r w:rsidR="00E64645" w:rsidRPr="005A6EF7">
        <w:rPr>
          <w:iCs/>
          <w:color w:val="000000"/>
          <w:szCs w:val="22"/>
          <w:lang w:val="lv-LV" w:eastAsia="pl-PL"/>
        </w:rPr>
        <w:t xml:space="preserve">oklūzijas profilakse pēc </w:t>
      </w:r>
      <w:r w:rsidR="00601DB3">
        <w:rPr>
          <w:iCs/>
          <w:color w:val="000000"/>
          <w:szCs w:val="22"/>
          <w:lang w:val="lv-LV" w:eastAsia="pl-PL"/>
        </w:rPr>
        <w:t>aorto</w:t>
      </w:r>
      <w:r w:rsidR="00E64645" w:rsidRPr="005A6EF7">
        <w:rPr>
          <w:iCs/>
          <w:color w:val="000000"/>
          <w:szCs w:val="22"/>
          <w:lang w:val="lv-LV" w:eastAsia="pl-PL"/>
        </w:rPr>
        <w:t>koronārās šuntēšanas operācijas (</w:t>
      </w:r>
      <w:r w:rsidR="00E64645" w:rsidRPr="005A6EF7">
        <w:rPr>
          <w:i/>
          <w:iCs/>
          <w:color w:val="000000"/>
          <w:szCs w:val="22"/>
          <w:lang w:val="lv-LV" w:eastAsia="pl-PL"/>
        </w:rPr>
        <w:t>CABG</w:t>
      </w:r>
      <w:r w:rsidR="00E64645" w:rsidRPr="005A6EF7">
        <w:rPr>
          <w:iCs/>
          <w:color w:val="000000"/>
          <w:szCs w:val="22"/>
          <w:lang w:val="lv-LV" w:eastAsia="pl-PL"/>
        </w:rPr>
        <w:t>)</w:t>
      </w:r>
    </w:p>
    <w:p w14:paraId="4751F9DB" w14:textId="77777777" w:rsidR="00F87745" w:rsidRPr="005A6EF7" w:rsidRDefault="00E64645" w:rsidP="00F87745">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lastRenderedPageBreak/>
        <w:t xml:space="preserve">Ieteicamā deva ir </w:t>
      </w:r>
      <w:r w:rsidR="00F87745" w:rsidRPr="005A6EF7">
        <w:rPr>
          <w:color w:val="000000"/>
          <w:szCs w:val="22"/>
          <w:lang w:val="lv-LV" w:eastAsia="pl-PL"/>
        </w:rPr>
        <w:t xml:space="preserve">75 mg </w:t>
      </w:r>
      <w:r w:rsidR="005A6EF7" w:rsidRPr="005A6EF7">
        <w:rPr>
          <w:color w:val="000000"/>
          <w:szCs w:val="22"/>
          <w:lang w:val="lv-LV" w:eastAsia="pl-PL"/>
        </w:rPr>
        <w:t>līdz</w:t>
      </w:r>
      <w:r w:rsidR="00F87745" w:rsidRPr="005A6EF7">
        <w:rPr>
          <w:color w:val="000000"/>
          <w:szCs w:val="22"/>
          <w:lang w:val="lv-LV" w:eastAsia="pl-PL"/>
        </w:rPr>
        <w:t xml:space="preserve"> 150 mg </w:t>
      </w:r>
      <w:r w:rsidRPr="005A6EF7">
        <w:rPr>
          <w:color w:val="000000"/>
          <w:szCs w:val="22"/>
          <w:lang w:val="lv-LV" w:eastAsia="pl-PL"/>
        </w:rPr>
        <w:t>vienreiz dienā.</w:t>
      </w:r>
    </w:p>
    <w:p w14:paraId="2EEB33BB" w14:textId="77777777" w:rsidR="00F87745" w:rsidRPr="005A6EF7" w:rsidRDefault="00F87745" w:rsidP="00F87745">
      <w:pPr>
        <w:tabs>
          <w:tab w:val="clear" w:pos="567"/>
        </w:tabs>
        <w:autoSpaceDE w:val="0"/>
        <w:autoSpaceDN w:val="0"/>
        <w:adjustRightInd w:val="0"/>
        <w:spacing w:line="240" w:lineRule="auto"/>
        <w:rPr>
          <w:color w:val="000000"/>
          <w:szCs w:val="22"/>
          <w:lang w:val="lv-LV" w:eastAsia="pl-PL"/>
        </w:rPr>
      </w:pPr>
    </w:p>
    <w:p w14:paraId="102C595D" w14:textId="77777777" w:rsidR="00F87745" w:rsidRPr="005A6EF7" w:rsidRDefault="00E64645" w:rsidP="00F87745">
      <w:pPr>
        <w:numPr>
          <w:ilvl w:val="0"/>
          <w:numId w:val="55"/>
        </w:numPr>
        <w:tabs>
          <w:tab w:val="clear" w:pos="567"/>
        </w:tabs>
        <w:autoSpaceDE w:val="0"/>
        <w:autoSpaceDN w:val="0"/>
        <w:adjustRightInd w:val="0"/>
        <w:spacing w:line="240" w:lineRule="auto"/>
        <w:ind w:left="567" w:hanging="567"/>
        <w:rPr>
          <w:color w:val="000000"/>
          <w:szCs w:val="22"/>
          <w:lang w:val="lv-LV" w:eastAsia="pl-PL"/>
        </w:rPr>
      </w:pPr>
      <w:r w:rsidRPr="005A6EF7">
        <w:rPr>
          <w:color w:val="000000"/>
          <w:szCs w:val="22"/>
          <w:lang w:val="lv-LV" w:eastAsia="pl-PL"/>
        </w:rPr>
        <w:t>Koronārā angioplastija,</w:t>
      </w:r>
      <w:r w:rsidRPr="005A6EF7">
        <w:rPr>
          <w:iCs/>
          <w:szCs w:val="22"/>
          <w:lang w:val="lv-LV"/>
        </w:rPr>
        <w:t xml:space="preserve"> </w:t>
      </w:r>
      <w:r w:rsidRPr="005A6EF7">
        <w:rPr>
          <w:color w:val="000000"/>
          <w:lang w:val="lv-LV" w:eastAsia="pl-PL"/>
        </w:rPr>
        <w:t>izņemot akūtās fāzes laikā</w:t>
      </w:r>
    </w:p>
    <w:p w14:paraId="106D02C1" w14:textId="77777777" w:rsidR="00F87745" w:rsidRPr="005A6EF7" w:rsidRDefault="00E64645" w:rsidP="00F87745">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Ieteicamā deva ir </w:t>
      </w:r>
      <w:r w:rsidR="00F87745" w:rsidRPr="005A6EF7">
        <w:rPr>
          <w:color w:val="000000"/>
          <w:szCs w:val="22"/>
          <w:lang w:val="lv-LV" w:eastAsia="pl-PL"/>
        </w:rPr>
        <w:t xml:space="preserve">75 mg </w:t>
      </w:r>
      <w:r w:rsidR="005A6EF7" w:rsidRPr="005A6EF7">
        <w:rPr>
          <w:color w:val="000000"/>
          <w:szCs w:val="22"/>
          <w:lang w:val="lv-LV" w:eastAsia="pl-PL"/>
        </w:rPr>
        <w:t>līdz</w:t>
      </w:r>
      <w:r w:rsidR="00F87745" w:rsidRPr="005A6EF7">
        <w:rPr>
          <w:color w:val="000000"/>
          <w:szCs w:val="22"/>
          <w:lang w:val="lv-LV" w:eastAsia="pl-PL"/>
        </w:rPr>
        <w:t xml:space="preserve"> 150 mg </w:t>
      </w:r>
      <w:r w:rsidRPr="005A6EF7">
        <w:rPr>
          <w:color w:val="000000"/>
          <w:szCs w:val="22"/>
          <w:lang w:val="lv-LV" w:eastAsia="pl-PL"/>
        </w:rPr>
        <w:t>vienreiz dienā.</w:t>
      </w:r>
    </w:p>
    <w:p w14:paraId="410F61E8" w14:textId="77777777" w:rsidR="00F87745" w:rsidRPr="005A6EF7" w:rsidRDefault="00F87745" w:rsidP="00F87745">
      <w:pPr>
        <w:tabs>
          <w:tab w:val="clear" w:pos="567"/>
        </w:tabs>
        <w:autoSpaceDE w:val="0"/>
        <w:autoSpaceDN w:val="0"/>
        <w:adjustRightInd w:val="0"/>
        <w:spacing w:line="240" w:lineRule="auto"/>
        <w:rPr>
          <w:color w:val="000000"/>
          <w:szCs w:val="22"/>
          <w:lang w:val="lv-LV" w:eastAsia="pl-PL"/>
        </w:rPr>
      </w:pPr>
    </w:p>
    <w:p w14:paraId="062BD92D" w14:textId="77777777" w:rsidR="00F87745" w:rsidRPr="005A6EF7" w:rsidRDefault="00F87745" w:rsidP="00F87745">
      <w:pPr>
        <w:pStyle w:val="CommentText"/>
        <w:ind w:left="567" w:hanging="567"/>
        <w:rPr>
          <w:lang w:val="lv-LV" w:eastAsia="pl-PL"/>
        </w:rPr>
      </w:pPr>
      <w:r w:rsidRPr="005A6EF7">
        <w:rPr>
          <w:sz w:val="22"/>
          <w:szCs w:val="22"/>
          <w:lang w:val="lv-LV"/>
        </w:rPr>
        <w:t>-</w:t>
      </w:r>
      <w:r w:rsidRPr="005A6EF7">
        <w:rPr>
          <w:sz w:val="22"/>
          <w:szCs w:val="22"/>
          <w:lang w:val="lv-LV"/>
        </w:rPr>
        <w:tab/>
      </w:r>
      <w:r w:rsidR="005A6EF7" w:rsidRPr="005A6EF7">
        <w:rPr>
          <w:sz w:val="22"/>
          <w:szCs w:val="22"/>
          <w:lang w:val="lv-LV"/>
        </w:rPr>
        <w:t>Tranzitoras</w:t>
      </w:r>
      <w:r w:rsidR="00E64645" w:rsidRPr="005A6EF7">
        <w:rPr>
          <w:sz w:val="22"/>
          <w:szCs w:val="22"/>
          <w:lang w:val="lv-LV"/>
        </w:rPr>
        <w:t xml:space="preserve"> išēmijas lēkmes (TI</w:t>
      </w:r>
      <w:r w:rsidR="005A6EF7" w:rsidRPr="005A6EF7">
        <w:rPr>
          <w:sz w:val="22"/>
          <w:szCs w:val="22"/>
          <w:lang w:val="lv-LV"/>
        </w:rPr>
        <w:t>L</w:t>
      </w:r>
      <w:r w:rsidR="00E64645" w:rsidRPr="005A6EF7">
        <w:rPr>
          <w:sz w:val="22"/>
          <w:szCs w:val="22"/>
          <w:lang w:val="lv-LV"/>
        </w:rPr>
        <w:t>) un išēmiska cerebrovaskulāra notikuma (</w:t>
      </w:r>
      <w:r w:rsidR="005A6EF7" w:rsidRPr="005A6EF7">
        <w:rPr>
          <w:sz w:val="22"/>
          <w:szCs w:val="22"/>
          <w:lang w:val="lv-LV"/>
        </w:rPr>
        <w:t>ICN</w:t>
      </w:r>
      <w:r w:rsidR="00E64645" w:rsidRPr="005A6EF7">
        <w:rPr>
          <w:sz w:val="22"/>
          <w:szCs w:val="22"/>
          <w:lang w:val="lv-LV"/>
        </w:rPr>
        <w:t>)</w:t>
      </w:r>
      <w:r w:rsidR="005A6EF7" w:rsidRPr="005A6EF7">
        <w:rPr>
          <w:sz w:val="22"/>
          <w:szCs w:val="22"/>
          <w:lang w:val="lv-LV"/>
        </w:rPr>
        <w:t xml:space="preserve"> sekundārā profilakse;</w:t>
      </w:r>
      <w:r w:rsidR="00E64645" w:rsidRPr="005A6EF7">
        <w:rPr>
          <w:sz w:val="22"/>
          <w:szCs w:val="22"/>
          <w:lang w:val="lv-LV"/>
        </w:rPr>
        <w:t xml:space="preserve"> ar nosacījumu, ka izslēgta intracerebrāla asiņošana</w:t>
      </w:r>
    </w:p>
    <w:p w14:paraId="5B37494B" w14:textId="77777777" w:rsidR="00F87745" w:rsidRPr="005A6EF7" w:rsidRDefault="00E64645" w:rsidP="00E64645">
      <w:pPr>
        <w:tabs>
          <w:tab w:val="clear" w:pos="567"/>
          <w:tab w:val="left" w:pos="540"/>
          <w:tab w:val="left" w:pos="720"/>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Ieteicamā deva ir </w:t>
      </w:r>
      <w:r w:rsidR="00F87745" w:rsidRPr="005A6EF7">
        <w:rPr>
          <w:color w:val="000000"/>
          <w:szCs w:val="22"/>
          <w:lang w:val="lv-LV" w:eastAsia="pl-PL"/>
        </w:rPr>
        <w:t xml:space="preserve">75 mg </w:t>
      </w:r>
      <w:r w:rsidR="005A6EF7" w:rsidRPr="005A6EF7">
        <w:rPr>
          <w:color w:val="000000"/>
          <w:szCs w:val="22"/>
          <w:lang w:val="lv-LV" w:eastAsia="pl-PL"/>
        </w:rPr>
        <w:t>līdz</w:t>
      </w:r>
      <w:r w:rsidR="00F87745" w:rsidRPr="005A6EF7">
        <w:rPr>
          <w:color w:val="000000"/>
          <w:szCs w:val="22"/>
          <w:lang w:val="lv-LV" w:eastAsia="pl-PL"/>
        </w:rPr>
        <w:t xml:space="preserve"> 150 mg </w:t>
      </w:r>
      <w:r w:rsidRPr="005A6EF7">
        <w:rPr>
          <w:color w:val="000000"/>
          <w:szCs w:val="22"/>
          <w:lang w:val="lv-LV" w:eastAsia="pl-PL"/>
        </w:rPr>
        <w:t>vienreiz dienā.</w:t>
      </w:r>
    </w:p>
    <w:p w14:paraId="7303BA0E" w14:textId="77777777" w:rsidR="00F87745" w:rsidRPr="005A6EF7" w:rsidRDefault="00F87745" w:rsidP="00F87745">
      <w:pPr>
        <w:tabs>
          <w:tab w:val="clear" w:pos="567"/>
        </w:tabs>
        <w:autoSpaceDE w:val="0"/>
        <w:autoSpaceDN w:val="0"/>
        <w:adjustRightInd w:val="0"/>
        <w:spacing w:line="240" w:lineRule="auto"/>
        <w:rPr>
          <w:color w:val="000000"/>
          <w:szCs w:val="22"/>
          <w:lang w:val="lv-LV" w:eastAsia="pl-PL"/>
        </w:rPr>
      </w:pPr>
    </w:p>
    <w:p w14:paraId="710595EE" w14:textId="77777777" w:rsidR="00E64645" w:rsidRPr="005A6EF7" w:rsidRDefault="00E64645" w:rsidP="00E64645">
      <w:pPr>
        <w:rPr>
          <w:i/>
          <w:szCs w:val="22"/>
          <w:lang w:val="lv-LV"/>
        </w:rPr>
      </w:pPr>
      <w:r w:rsidRPr="005A6EF7">
        <w:rPr>
          <w:i/>
          <w:szCs w:val="22"/>
          <w:lang w:val="lv-LV"/>
        </w:rPr>
        <w:t>Gados vecāki pacienti</w:t>
      </w:r>
    </w:p>
    <w:p w14:paraId="7E55CC8F" w14:textId="77777777" w:rsidR="00E64645" w:rsidRPr="005A6EF7" w:rsidRDefault="00E64645" w:rsidP="00E64645">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Acetilsalicilskābe gados vecākiem pacientiem jālieto piesardzīgi, jo viņi </w:t>
      </w:r>
      <w:r w:rsidR="00D0739E">
        <w:rPr>
          <w:color w:val="000000"/>
          <w:szCs w:val="22"/>
          <w:lang w:val="lv-LV" w:eastAsia="pl-PL"/>
        </w:rPr>
        <w:t>vairāk pakļauti</w:t>
      </w:r>
      <w:r w:rsidR="00CB69DB">
        <w:rPr>
          <w:color w:val="000000"/>
          <w:szCs w:val="22"/>
          <w:lang w:val="lv-LV" w:eastAsia="pl-PL"/>
        </w:rPr>
        <w:t xml:space="preserve"> </w:t>
      </w:r>
      <w:r w:rsidR="00D95504">
        <w:rPr>
          <w:color w:val="000000"/>
          <w:szCs w:val="22"/>
          <w:lang w:val="lv-LV" w:eastAsia="pl-PL"/>
        </w:rPr>
        <w:t>nevēlamo</w:t>
      </w:r>
      <w:r w:rsidR="00D95504" w:rsidRPr="005A6EF7">
        <w:rPr>
          <w:color w:val="000000"/>
          <w:szCs w:val="22"/>
          <w:lang w:val="lv-LV" w:eastAsia="pl-PL"/>
        </w:rPr>
        <w:t xml:space="preserve"> </w:t>
      </w:r>
      <w:r w:rsidRPr="005A6EF7">
        <w:rPr>
          <w:color w:val="000000"/>
          <w:szCs w:val="22"/>
          <w:lang w:val="lv-LV" w:eastAsia="pl-PL"/>
        </w:rPr>
        <w:t>blakusparādīb</w:t>
      </w:r>
      <w:r w:rsidR="00D95504">
        <w:rPr>
          <w:color w:val="000000"/>
          <w:szCs w:val="22"/>
          <w:lang w:val="lv-LV" w:eastAsia="pl-PL"/>
        </w:rPr>
        <w:t>u rašan</w:t>
      </w:r>
      <w:r w:rsidR="005B3C88">
        <w:rPr>
          <w:color w:val="000000"/>
          <w:szCs w:val="22"/>
          <w:lang w:val="lv-LV" w:eastAsia="pl-PL"/>
        </w:rPr>
        <w:t>ā</w:t>
      </w:r>
      <w:r w:rsidR="00D95504">
        <w:rPr>
          <w:color w:val="000000"/>
          <w:szCs w:val="22"/>
          <w:lang w:val="lv-LV" w:eastAsia="pl-PL"/>
        </w:rPr>
        <w:t>s riskam</w:t>
      </w:r>
      <w:r w:rsidRPr="005A6EF7">
        <w:rPr>
          <w:color w:val="000000"/>
          <w:szCs w:val="22"/>
          <w:lang w:val="lv-LV" w:eastAsia="pl-PL"/>
        </w:rPr>
        <w:t xml:space="preserve">. Parasto </w:t>
      </w:r>
      <w:r w:rsidR="005A6EF7">
        <w:rPr>
          <w:color w:val="000000"/>
          <w:szCs w:val="22"/>
          <w:lang w:val="lv-LV" w:eastAsia="pl-PL"/>
        </w:rPr>
        <w:t xml:space="preserve">devu </w:t>
      </w:r>
      <w:r w:rsidRPr="005A6EF7">
        <w:rPr>
          <w:color w:val="000000"/>
          <w:szCs w:val="22"/>
          <w:lang w:val="lv-LV" w:eastAsia="pl-PL"/>
        </w:rPr>
        <w:t>pieauguš</w:t>
      </w:r>
      <w:r w:rsidR="005A6EF7">
        <w:rPr>
          <w:color w:val="000000"/>
          <w:szCs w:val="22"/>
          <w:lang w:val="lv-LV" w:eastAsia="pl-PL"/>
        </w:rPr>
        <w:t>iem</w:t>
      </w:r>
      <w:r w:rsidRPr="005A6EF7">
        <w:rPr>
          <w:color w:val="000000"/>
          <w:szCs w:val="22"/>
          <w:lang w:val="lv-LV" w:eastAsia="pl-PL"/>
        </w:rPr>
        <w:t xml:space="preserve"> ieteicams lietot tad, ja nav nieru vai aknu darbības traucējumu (skatīt 4.3. un 4.4.</w:t>
      </w:r>
      <w:r w:rsidR="00A9228D" w:rsidRPr="005A6EF7">
        <w:rPr>
          <w:color w:val="000000"/>
          <w:szCs w:val="22"/>
          <w:lang w:val="lv-LV" w:eastAsia="pl-PL"/>
        </w:rPr>
        <w:t xml:space="preserve"> apakšpunktu</w:t>
      </w:r>
      <w:r w:rsidRPr="005A6EF7">
        <w:rPr>
          <w:color w:val="000000"/>
          <w:szCs w:val="22"/>
          <w:lang w:val="lv-LV" w:eastAsia="pl-PL"/>
        </w:rPr>
        <w:t>).</w:t>
      </w:r>
      <w:r w:rsidRPr="005A6EF7">
        <w:rPr>
          <w:spacing w:val="-5"/>
          <w:lang w:val="lv-LV"/>
        </w:rPr>
        <w:t xml:space="preserve"> </w:t>
      </w:r>
      <w:r w:rsidR="00A9228D" w:rsidRPr="005A6EF7">
        <w:rPr>
          <w:spacing w:val="-5"/>
          <w:lang w:val="lv-LV"/>
        </w:rPr>
        <w:t xml:space="preserve">Terapija jāpārskata pēc regulāriem laika intervāliem. </w:t>
      </w:r>
    </w:p>
    <w:p w14:paraId="3C9588F4" w14:textId="77777777" w:rsidR="00A9228D" w:rsidRPr="005A6EF7" w:rsidRDefault="00A9228D" w:rsidP="00E64645">
      <w:pPr>
        <w:tabs>
          <w:tab w:val="clear" w:pos="567"/>
        </w:tabs>
        <w:autoSpaceDE w:val="0"/>
        <w:autoSpaceDN w:val="0"/>
        <w:adjustRightInd w:val="0"/>
        <w:spacing w:line="240" w:lineRule="auto"/>
        <w:rPr>
          <w:color w:val="000000"/>
          <w:szCs w:val="22"/>
          <w:lang w:val="lv-LV" w:eastAsia="pl-PL"/>
        </w:rPr>
      </w:pPr>
    </w:p>
    <w:p w14:paraId="4FB3CDFC" w14:textId="77777777" w:rsidR="00E64645" w:rsidRPr="005A6EF7" w:rsidRDefault="00E64645" w:rsidP="00E64645">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Pediatriskā populācija</w:t>
      </w:r>
    </w:p>
    <w:p w14:paraId="3FF2121E" w14:textId="77777777" w:rsidR="00E64645" w:rsidRPr="005A6EF7" w:rsidRDefault="00171BA3" w:rsidP="00E64645">
      <w:pPr>
        <w:tabs>
          <w:tab w:val="clear" w:pos="567"/>
        </w:tabs>
        <w:autoSpaceDE w:val="0"/>
        <w:autoSpaceDN w:val="0"/>
        <w:adjustRightInd w:val="0"/>
        <w:spacing w:line="240" w:lineRule="auto"/>
        <w:rPr>
          <w:color w:val="000000"/>
          <w:szCs w:val="22"/>
          <w:lang w:val="lv-LV" w:eastAsia="pl-PL"/>
        </w:rPr>
      </w:pPr>
      <w:r>
        <w:rPr>
          <w:lang w:val="lv-LV"/>
        </w:rPr>
        <w:t>H</w:t>
      </w:r>
      <w:r w:rsidR="008C66FA">
        <w:rPr>
          <w:lang w:val="lv-LV"/>
        </w:rPr>
        <w:t>eartisan</w:t>
      </w:r>
      <w:r w:rsidR="006A52CA" w:rsidRPr="008C3118">
        <w:rPr>
          <w:lang w:val="lv-LV"/>
        </w:rPr>
        <w:t xml:space="preserve"> </w:t>
      </w:r>
      <w:r w:rsidR="00A9228D" w:rsidRPr="005A6EF7">
        <w:rPr>
          <w:szCs w:val="22"/>
          <w:lang w:val="lv-LV"/>
        </w:rPr>
        <w:t xml:space="preserve">kontrindicēts </w:t>
      </w:r>
      <w:r w:rsidR="006C5B8F">
        <w:rPr>
          <w:szCs w:val="22"/>
          <w:lang w:val="lv-LV"/>
        </w:rPr>
        <w:t xml:space="preserve">pediatriskajā </w:t>
      </w:r>
      <w:r w:rsidR="006A52CA">
        <w:rPr>
          <w:szCs w:val="22"/>
          <w:lang w:val="lv-LV"/>
        </w:rPr>
        <w:t xml:space="preserve">populācijā </w:t>
      </w:r>
      <w:r w:rsidR="006E5F31">
        <w:rPr>
          <w:szCs w:val="22"/>
          <w:lang w:val="lv-LV"/>
        </w:rPr>
        <w:t>līdz</w:t>
      </w:r>
      <w:r w:rsidR="00E64645" w:rsidRPr="005A6EF7">
        <w:rPr>
          <w:szCs w:val="22"/>
          <w:lang w:val="lv-LV"/>
        </w:rPr>
        <w:t xml:space="preserve"> 16 </w:t>
      </w:r>
      <w:r w:rsidR="00A9228D" w:rsidRPr="005A6EF7">
        <w:rPr>
          <w:szCs w:val="22"/>
          <w:lang w:val="lv-LV"/>
        </w:rPr>
        <w:t>gad</w:t>
      </w:r>
      <w:r w:rsidR="00976982">
        <w:rPr>
          <w:szCs w:val="22"/>
          <w:lang w:val="lv-LV"/>
        </w:rPr>
        <w:t>u</w:t>
      </w:r>
      <w:r w:rsidR="006E5F31">
        <w:rPr>
          <w:szCs w:val="22"/>
          <w:lang w:val="lv-LV"/>
        </w:rPr>
        <w:t xml:space="preserve"> </w:t>
      </w:r>
      <w:r w:rsidR="00976982">
        <w:rPr>
          <w:szCs w:val="22"/>
          <w:lang w:val="lv-LV"/>
        </w:rPr>
        <w:t xml:space="preserve">vecumam </w:t>
      </w:r>
      <w:r w:rsidR="00E64645" w:rsidRPr="005A6EF7">
        <w:rPr>
          <w:szCs w:val="22"/>
          <w:lang w:val="lv-LV"/>
        </w:rPr>
        <w:t>(</w:t>
      </w:r>
      <w:r w:rsidR="00A9228D" w:rsidRPr="005A6EF7">
        <w:rPr>
          <w:szCs w:val="22"/>
          <w:lang w:val="lv-LV"/>
        </w:rPr>
        <w:t>skatīt</w:t>
      </w:r>
      <w:r w:rsidR="00E64645" w:rsidRPr="005A6EF7">
        <w:rPr>
          <w:szCs w:val="22"/>
          <w:lang w:val="lv-LV"/>
        </w:rPr>
        <w:t xml:space="preserve"> 4.3</w:t>
      </w:r>
      <w:r w:rsidR="00A9228D" w:rsidRPr="005A6EF7">
        <w:rPr>
          <w:szCs w:val="22"/>
          <w:lang w:val="lv-LV"/>
        </w:rPr>
        <w:t>.</w:t>
      </w:r>
      <w:r w:rsidR="00E64645" w:rsidRPr="005A6EF7">
        <w:rPr>
          <w:szCs w:val="22"/>
          <w:lang w:val="lv-LV"/>
        </w:rPr>
        <w:t xml:space="preserve"> </w:t>
      </w:r>
      <w:r w:rsidR="00A9228D" w:rsidRPr="005A6EF7">
        <w:rPr>
          <w:szCs w:val="22"/>
          <w:lang w:val="lv-LV"/>
        </w:rPr>
        <w:t>un</w:t>
      </w:r>
      <w:r w:rsidR="00E64645" w:rsidRPr="005A6EF7">
        <w:rPr>
          <w:szCs w:val="22"/>
          <w:lang w:val="lv-LV"/>
        </w:rPr>
        <w:t xml:space="preserve"> 4.4</w:t>
      </w:r>
      <w:r w:rsidR="00A9228D" w:rsidRPr="005A6EF7">
        <w:rPr>
          <w:szCs w:val="22"/>
          <w:lang w:val="lv-LV"/>
        </w:rPr>
        <w:t xml:space="preserve">. </w:t>
      </w:r>
      <w:r w:rsidR="00A9228D" w:rsidRPr="005A6EF7">
        <w:rPr>
          <w:color w:val="000000"/>
          <w:szCs w:val="22"/>
          <w:lang w:val="lv-LV" w:eastAsia="pl-PL"/>
        </w:rPr>
        <w:t>apakšpunktu</w:t>
      </w:r>
      <w:r w:rsidR="00E64645" w:rsidRPr="005A6EF7">
        <w:rPr>
          <w:szCs w:val="22"/>
          <w:lang w:val="lv-LV"/>
        </w:rPr>
        <w:t>).</w:t>
      </w:r>
    </w:p>
    <w:p w14:paraId="44ADCD02" w14:textId="77777777" w:rsidR="00E64645" w:rsidRPr="005A6EF7" w:rsidRDefault="00E64645" w:rsidP="00E64645">
      <w:pPr>
        <w:tabs>
          <w:tab w:val="clear" w:pos="567"/>
        </w:tabs>
        <w:autoSpaceDE w:val="0"/>
        <w:autoSpaceDN w:val="0"/>
        <w:adjustRightInd w:val="0"/>
        <w:spacing w:line="240" w:lineRule="auto"/>
        <w:rPr>
          <w:szCs w:val="22"/>
          <w:lang w:val="lv-LV"/>
        </w:rPr>
      </w:pPr>
    </w:p>
    <w:p w14:paraId="5A9EA3D6" w14:textId="77777777" w:rsidR="00E64645" w:rsidRPr="005A6EF7" w:rsidRDefault="00E64645" w:rsidP="00E64645">
      <w:pPr>
        <w:rPr>
          <w:i/>
          <w:szCs w:val="22"/>
          <w:lang w:val="lv-LV"/>
        </w:rPr>
      </w:pPr>
      <w:r w:rsidRPr="005A6EF7">
        <w:rPr>
          <w:i/>
          <w:szCs w:val="22"/>
          <w:lang w:val="lv-LV"/>
        </w:rPr>
        <w:t xml:space="preserve">Nieru </w:t>
      </w:r>
      <w:r w:rsidR="00A9228D" w:rsidRPr="005A6EF7">
        <w:rPr>
          <w:i/>
          <w:szCs w:val="22"/>
          <w:lang w:val="lv-LV"/>
        </w:rPr>
        <w:t xml:space="preserve">darbības traucējumi </w:t>
      </w:r>
      <w:r w:rsidRPr="005A6EF7">
        <w:rPr>
          <w:i/>
          <w:szCs w:val="22"/>
          <w:lang w:val="lv-LV"/>
        </w:rPr>
        <w:t>un aknu darbības trauc</w:t>
      </w:r>
      <w:r w:rsidR="00A9228D" w:rsidRPr="005A6EF7">
        <w:rPr>
          <w:i/>
          <w:szCs w:val="22"/>
          <w:lang w:val="lv-LV"/>
        </w:rPr>
        <w:t>ējumi</w:t>
      </w:r>
    </w:p>
    <w:p w14:paraId="130027FB" w14:textId="77777777" w:rsidR="00E64645" w:rsidRPr="005A6EF7" w:rsidRDefault="00171BA3" w:rsidP="00E64645">
      <w:pPr>
        <w:tabs>
          <w:tab w:val="clear" w:pos="567"/>
        </w:tabs>
        <w:autoSpaceDE w:val="0"/>
        <w:autoSpaceDN w:val="0"/>
        <w:adjustRightInd w:val="0"/>
        <w:spacing w:line="240" w:lineRule="auto"/>
        <w:rPr>
          <w:szCs w:val="22"/>
          <w:lang w:val="lv-LV"/>
        </w:rPr>
      </w:pPr>
      <w:r>
        <w:rPr>
          <w:lang w:val="lv-LV"/>
        </w:rPr>
        <w:t>H</w:t>
      </w:r>
      <w:r w:rsidR="008C66FA">
        <w:rPr>
          <w:lang w:val="lv-LV"/>
        </w:rPr>
        <w:t>eartisan</w:t>
      </w:r>
      <w:r w:rsidR="00045482">
        <w:rPr>
          <w:lang w:val="lv-LV"/>
        </w:rPr>
        <w:t xml:space="preserve"> </w:t>
      </w:r>
      <w:r w:rsidR="00A9228D" w:rsidRPr="005A6EF7">
        <w:rPr>
          <w:lang w:val="lv-LV"/>
        </w:rPr>
        <w:t>jālieto piesardzīgi pacientiem ar nieru vai aknu darbības traucējumiem</w:t>
      </w:r>
      <w:r w:rsidR="003B28B0">
        <w:rPr>
          <w:lang w:val="lv-LV"/>
        </w:rPr>
        <w:t>.</w:t>
      </w:r>
      <w:r w:rsidR="00A9228D" w:rsidRPr="005A6EF7">
        <w:rPr>
          <w:lang w:val="lv-LV"/>
        </w:rPr>
        <w:t xml:space="preserve"> </w:t>
      </w:r>
      <w:r w:rsidR="003B28B0">
        <w:rPr>
          <w:lang w:val="lv-LV"/>
        </w:rPr>
        <w:t>J</w:t>
      </w:r>
      <w:r w:rsidR="00A9228D" w:rsidRPr="005A6EF7">
        <w:rPr>
          <w:lang w:val="lv-LV"/>
        </w:rPr>
        <w:t>āizvairās, ja ir smagi</w:t>
      </w:r>
      <w:r w:rsidR="0057087C" w:rsidRPr="0057087C">
        <w:rPr>
          <w:color w:val="000000"/>
          <w:szCs w:val="22"/>
          <w:lang w:val="lv-LV" w:eastAsia="pl-PL"/>
        </w:rPr>
        <w:t xml:space="preserve"> </w:t>
      </w:r>
      <w:r w:rsidR="0057087C" w:rsidRPr="005A6EF7">
        <w:rPr>
          <w:color w:val="000000"/>
          <w:szCs w:val="22"/>
          <w:lang w:val="lv-LV" w:eastAsia="pl-PL"/>
        </w:rPr>
        <w:t xml:space="preserve">nieru vai aknu darbības </w:t>
      </w:r>
      <w:r w:rsidR="0057087C" w:rsidRPr="005A6EF7">
        <w:rPr>
          <w:lang w:val="lv-LV"/>
        </w:rPr>
        <w:t>traucējumi</w:t>
      </w:r>
      <w:r w:rsidR="00A9228D" w:rsidRPr="005A6EF7">
        <w:rPr>
          <w:lang w:val="lv-LV"/>
        </w:rPr>
        <w:t xml:space="preserve"> </w:t>
      </w:r>
      <w:r w:rsidR="00C21F67">
        <w:rPr>
          <w:lang w:val="lv-LV"/>
        </w:rPr>
        <w:t>(</w:t>
      </w:r>
      <w:r w:rsidR="00A9228D" w:rsidRPr="005A6EF7">
        <w:rPr>
          <w:lang w:val="lv-LV"/>
        </w:rPr>
        <w:t>skatīt</w:t>
      </w:r>
      <w:r w:rsidR="00E64645" w:rsidRPr="005A6EF7">
        <w:rPr>
          <w:lang w:val="lv-LV"/>
        </w:rPr>
        <w:t xml:space="preserve"> 4.3</w:t>
      </w:r>
      <w:r w:rsidR="00A9228D" w:rsidRPr="005A6EF7">
        <w:rPr>
          <w:lang w:val="lv-LV"/>
        </w:rPr>
        <w:t>.</w:t>
      </w:r>
      <w:r w:rsidR="00E64645" w:rsidRPr="005A6EF7">
        <w:rPr>
          <w:lang w:val="lv-LV"/>
        </w:rPr>
        <w:t xml:space="preserve"> </w:t>
      </w:r>
      <w:r w:rsidR="00A9228D" w:rsidRPr="005A6EF7">
        <w:rPr>
          <w:lang w:val="lv-LV"/>
        </w:rPr>
        <w:t>un</w:t>
      </w:r>
      <w:r w:rsidR="00E64645" w:rsidRPr="005A6EF7">
        <w:rPr>
          <w:lang w:val="lv-LV"/>
        </w:rPr>
        <w:t xml:space="preserve"> 4.4.</w:t>
      </w:r>
      <w:r w:rsidR="00A9228D" w:rsidRPr="005A6EF7">
        <w:rPr>
          <w:lang w:val="lv-LV"/>
        </w:rPr>
        <w:t xml:space="preserve"> apakšpunktu</w:t>
      </w:r>
      <w:r w:rsidR="00C21F67">
        <w:rPr>
          <w:lang w:val="lv-LV"/>
        </w:rPr>
        <w:t>)</w:t>
      </w:r>
      <w:r w:rsidR="00A9228D" w:rsidRPr="005A6EF7">
        <w:rPr>
          <w:lang w:val="lv-LV"/>
        </w:rPr>
        <w:t>.</w:t>
      </w:r>
    </w:p>
    <w:p w14:paraId="080A767E" w14:textId="77777777" w:rsidR="00E64645" w:rsidRPr="005A6EF7" w:rsidRDefault="00E64645" w:rsidP="00E64645">
      <w:pPr>
        <w:rPr>
          <w:u w:val="single"/>
          <w:lang w:val="lv-LV"/>
        </w:rPr>
      </w:pPr>
    </w:p>
    <w:p w14:paraId="14707CFE" w14:textId="77777777" w:rsidR="00017525" w:rsidRPr="005A6EF7" w:rsidRDefault="004A50CF">
      <w:pPr>
        <w:tabs>
          <w:tab w:val="clear" w:pos="567"/>
        </w:tabs>
        <w:spacing w:line="240" w:lineRule="auto"/>
        <w:rPr>
          <w:u w:val="single"/>
          <w:lang w:val="lv-LV"/>
        </w:rPr>
      </w:pPr>
      <w:r w:rsidRPr="005A6EF7">
        <w:rPr>
          <w:u w:val="single"/>
          <w:lang w:val="lv-LV"/>
        </w:rPr>
        <w:t>Lietošanas veids</w:t>
      </w:r>
    </w:p>
    <w:p w14:paraId="3A77DF1C" w14:textId="77777777" w:rsidR="00E64645" w:rsidRPr="005A6EF7" w:rsidRDefault="00A9228D" w:rsidP="00E64645">
      <w:pPr>
        <w:tabs>
          <w:tab w:val="clear" w:pos="567"/>
        </w:tabs>
        <w:autoSpaceDE w:val="0"/>
        <w:autoSpaceDN w:val="0"/>
        <w:adjustRightInd w:val="0"/>
        <w:spacing w:line="240" w:lineRule="auto"/>
        <w:rPr>
          <w:color w:val="000000"/>
          <w:szCs w:val="22"/>
          <w:lang w:val="lv-LV" w:eastAsia="pl-PL"/>
        </w:rPr>
      </w:pPr>
      <w:r w:rsidRPr="005A6EF7">
        <w:rPr>
          <w:lang w:val="lv-LV"/>
        </w:rPr>
        <w:t>Iekšķīgai lietošanai</w:t>
      </w:r>
      <w:r w:rsidR="00E64645" w:rsidRPr="005A6EF7">
        <w:rPr>
          <w:lang w:val="lv-LV"/>
        </w:rPr>
        <w:t>.</w:t>
      </w:r>
    </w:p>
    <w:p w14:paraId="23B70FE9" w14:textId="2BB78233" w:rsidR="00A9228D" w:rsidRPr="005A6EF7" w:rsidRDefault="00A9228D" w:rsidP="00E64645">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Tablete jānorij vesela pēc ēšanas, uzdzerot pietiekamu šķidruma daudzumu (1/2 glāzes ūdens).</w:t>
      </w:r>
    </w:p>
    <w:p w14:paraId="40EA3636" w14:textId="3A0AA8EF" w:rsidR="00E64645" w:rsidRPr="005A6EF7" w:rsidRDefault="006E5F31" w:rsidP="00E64645">
      <w:pPr>
        <w:tabs>
          <w:tab w:val="clear" w:pos="567"/>
        </w:tabs>
        <w:autoSpaceDE w:val="0"/>
        <w:autoSpaceDN w:val="0"/>
        <w:adjustRightInd w:val="0"/>
        <w:spacing w:line="240" w:lineRule="auto"/>
        <w:rPr>
          <w:color w:val="000000"/>
          <w:szCs w:val="22"/>
          <w:lang w:val="lv-LV" w:eastAsia="pl-PL"/>
        </w:rPr>
      </w:pPr>
      <w:r>
        <w:rPr>
          <w:color w:val="000000"/>
          <w:szCs w:val="22"/>
          <w:lang w:val="lv-LV" w:eastAsia="pl-PL"/>
        </w:rPr>
        <w:t>Zarnās šķīstošā</w:t>
      </w:r>
      <w:r w:rsidR="00045482">
        <w:rPr>
          <w:color w:val="000000"/>
          <w:szCs w:val="22"/>
          <w:lang w:val="lv-LV" w:eastAsia="pl-PL"/>
        </w:rPr>
        <w:t>m</w:t>
      </w:r>
      <w:r w:rsidR="00A9228D" w:rsidRPr="005A6EF7">
        <w:rPr>
          <w:color w:val="000000"/>
          <w:szCs w:val="22"/>
          <w:lang w:val="lv-LV" w:eastAsia="pl-PL"/>
        </w:rPr>
        <w:t xml:space="preserve"> tablet</w:t>
      </w:r>
      <w:r w:rsidR="00CD5EA9">
        <w:rPr>
          <w:color w:val="000000"/>
          <w:szCs w:val="22"/>
          <w:lang w:val="lv-LV" w:eastAsia="pl-PL"/>
        </w:rPr>
        <w:t>ēm</w:t>
      </w:r>
      <w:r w:rsidR="00A9228D" w:rsidRPr="005A6EF7">
        <w:rPr>
          <w:color w:val="000000"/>
          <w:szCs w:val="22"/>
          <w:lang w:val="lv-LV" w:eastAsia="pl-PL"/>
        </w:rPr>
        <w:t xml:space="preserve"> ir apvalks, </w:t>
      </w:r>
      <w:r w:rsidR="00CD5EA9">
        <w:rPr>
          <w:color w:val="000000"/>
          <w:szCs w:val="22"/>
          <w:lang w:val="lv-LV" w:eastAsia="pl-PL"/>
        </w:rPr>
        <w:t>k</w:t>
      </w:r>
      <w:r w:rsidR="00045482">
        <w:rPr>
          <w:color w:val="000000"/>
          <w:szCs w:val="22"/>
          <w:lang w:val="lv-LV" w:eastAsia="pl-PL"/>
        </w:rPr>
        <w:t>a</w:t>
      </w:r>
      <w:r w:rsidR="00A9228D" w:rsidRPr="005A6EF7">
        <w:rPr>
          <w:color w:val="000000"/>
          <w:szCs w:val="22"/>
          <w:lang w:val="lv-LV" w:eastAsia="pl-PL"/>
        </w:rPr>
        <w:t xml:space="preserve">s </w:t>
      </w:r>
      <w:r w:rsidR="007341C4" w:rsidRPr="005A6EF7">
        <w:rPr>
          <w:color w:val="000000"/>
          <w:szCs w:val="22"/>
          <w:lang w:val="lv-LV" w:eastAsia="pl-PL"/>
        </w:rPr>
        <w:t xml:space="preserve">nesadalās kuņģī, </w:t>
      </w:r>
      <w:r w:rsidR="000362A9">
        <w:rPr>
          <w:color w:val="000000"/>
          <w:szCs w:val="22"/>
          <w:lang w:val="lv-LV" w:eastAsia="pl-PL"/>
        </w:rPr>
        <w:t>līdz ar to</w:t>
      </w:r>
      <w:r w:rsidR="000362A9" w:rsidRPr="005A6EF7">
        <w:rPr>
          <w:color w:val="000000"/>
          <w:szCs w:val="22"/>
          <w:lang w:val="lv-LV" w:eastAsia="pl-PL"/>
        </w:rPr>
        <w:t xml:space="preserve"> </w:t>
      </w:r>
      <w:r w:rsidR="007341C4" w:rsidRPr="005A6EF7">
        <w:rPr>
          <w:color w:val="000000"/>
          <w:szCs w:val="22"/>
          <w:lang w:val="lv-LV" w:eastAsia="pl-PL"/>
        </w:rPr>
        <w:t>samazin</w:t>
      </w:r>
      <w:r w:rsidR="000362A9">
        <w:rPr>
          <w:color w:val="000000"/>
          <w:szCs w:val="22"/>
          <w:lang w:val="lv-LV" w:eastAsia="pl-PL"/>
        </w:rPr>
        <w:t>ās</w:t>
      </w:r>
      <w:r w:rsidR="007341C4" w:rsidRPr="005A6EF7">
        <w:rPr>
          <w:color w:val="000000"/>
          <w:szCs w:val="22"/>
          <w:lang w:val="lv-LV" w:eastAsia="pl-PL"/>
        </w:rPr>
        <w:t xml:space="preserve"> acetilsalicilskābes kairinoš</w:t>
      </w:r>
      <w:r w:rsidR="00100CC8">
        <w:rPr>
          <w:color w:val="000000"/>
          <w:szCs w:val="22"/>
          <w:lang w:val="lv-LV" w:eastAsia="pl-PL"/>
        </w:rPr>
        <w:t>ā</w:t>
      </w:r>
      <w:r w:rsidR="007341C4" w:rsidRPr="005A6EF7">
        <w:rPr>
          <w:color w:val="000000"/>
          <w:szCs w:val="22"/>
          <w:lang w:val="lv-LV" w:eastAsia="pl-PL"/>
        </w:rPr>
        <w:t xml:space="preserve"> iedarbīb</w:t>
      </w:r>
      <w:r w:rsidR="000362A9">
        <w:rPr>
          <w:color w:val="000000"/>
          <w:szCs w:val="22"/>
          <w:lang w:val="lv-LV" w:eastAsia="pl-PL"/>
        </w:rPr>
        <w:t>a</w:t>
      </w:r>
      <w:r w:rsidR="007341C4" w:rsidRPr="005A6EF7">
        <w:rPr>
          <w:color w:val="000000"/>
          <w:szCs w:val="22"/>
          <w:lang w:val="lv-LV" w:eastAsia="pl-PL"/>
        </w:rPr>
        <w:t xml:space="preserve"> uz kuņģa gļotādu.</w:t>
      </w:r>
    </w:p>
    <w:p w14:paraId="742E83EA" w14:textId="77777777" w:rsidR="00017525" w:rsidRPr="005A6EF7" w:rsidRDefault="00017525">
      <w:pPr>
        <w:tabs>
          <w:tab w:val="clear" w:pos="567"/>
        </w:tabs>
        <w:spacing w:line="240" w:lineRule="auto"/>
        <w:ind w:left="567" w:hanging="567"/>
        <w:rPr>
          <w:lang w:val="lv-LV"/>
        </w:rPr>
      </w:pPr>
    </w:p>
    <w:p w14:paraId="3787A118" w14:textId="45FF9A76" w:rsidR="00017525" w:rsidRPr="005A6EF7" w:rsidRDefault="004A50CF">
      <w:pPr>
        <w:tabs>
          <w:tab w:val="clear" w:pos="567"/>
        </w:tabs>
        <w:spacing w:line="240" w:lineRule="auto"/>
        <w:ind w:left="567" w:hanging="567"/>
        <w:rPr>
          <w:lang w:val="lv-LV"/>
        </w:rPr>
      </w:pPr>
      <w:r w:rsidRPr="005A6EF7">
        <w:rPr>
          <w:b/>
          <w:lang w:val="lv-LV"/>
        </w:rPr>
        <w:t>4.3</w:t>
      </w:r>
      <w:r w:rsidR="0046466B" w:rsidRPr="005A6EF7">
        <w:rPr>
          <w:b/>
          <w:szCs w:val="22"/>
          <w:lang w:val="lv-LV"/>
        </w:rPr>
        <w:t>.</w:t>
      </w:r>
      <w:r w:rsidRPr="005A6EF7">
        <w:rPr>
          <w:b/>
          <w:lang w:val="lv-LV"/>
        </w:rPr>
        <w:tab/>
        <w:t>Kontrindikācijas</w:t>
      </w:r>
    </w:p>
    <w:p w14:paraId="693BDD93" w14:textId="77777777" w:rsidR="00017525" w:rsidRPr="005A6EF7" w:rsidRDefault="00017525">
      <w:pPr>
        <w:tabs>
          <w:tab w:val="clear" w:pos="567"/>
        </w:tabs>
        <w:spacing w:line="240" w:lineRule="auto"/>
        <w:ind w:left="567" w:hanging="567"/>
        <w:rPr>
          <w:lang w:val="lv-LV"/>
        </w:rPr>
      </w:pPr>
    </w:p>
    <w:p w14:paraId="38B031A9" w14:textId="77777777" w:rsidR="00017525" w:rsidRPr="005A6EF7" w:rsidRDefault="004A50CF">
      <w:pPr>
        <w:tabs>
          <w:tab w:val="clear" w:pos="567"/>
        </w:tabs>
        <w:spacing w:line="240" w:lineRule="auto"/>
        <w:rPr>
          <w:lang w:val="lv-LV"/>
        </w:rPr>
      </w:pPr>
      <w:r w:rsidRPr="005A6EF7">
        <w:rPr>
          <w:lang w:val="lv-LV"/>
        </w:rPr>
        <w:t>Paaugstināta jutība pret aktīvo</w:t>
      </w:r>
      <w:r w:rsidR="007341C4" w:rsidRPr="005A6EF7">
        <w:rPr>
          <w:szCs w:val="22"/>
          <w:lang w:val="lv-LV"/>
        </w:rPr>
        <w:t xml:space="preserve"> </w:t>
      </w:r>
      <w:r w:rsidRPr="005A6EF7">
        <w:rPr>
          <w:lang w:val="lv-LV"/>
        </w:rPr>
        <w:t>vielu</w:t>
      </w:r>
      <w:r w:rsidR="007341C4" w:rsidRPr="005A6EF7">
        <w:rPr>
          <w:lang w:val="lv-LV"/>
        </w:rPr>
        <w:t xml:space="preserve"> </w:t>
      </w:r>
      <w:r w:rsidRPr="005A6EF7">
        <w:rPr>
          <w:lang w:val="lv-LV"/>
        </w:rPr>
        <w:t>vai jebkuru no 6.1</w:t>
      </w:r>
      <w:r w:rsidR="0046466B" w:rsidRPr="005A6EF7">
        <w:rPr>
          <w:szCs w:val="22"/>
          <w:lang w:val="lv-LV"/>
        </w:rPr>
        <w:t>.</w:t>
      </w:r>
      <w:r w:rsidR="00D22F2C" w:rsidRPr="005A6EF7">
        <w:rPr>
          <w:lang w:val="lv-LV"/>
        </w:rPr>
        <w:t> </w:t>
      </w:r>
      <w:r w:rsidR="007341C4" w:rsidRPr="005A6EF7">
        <w:rPr>
          <w:lang w:val="lv-LV"/>
        </w:rPr>
        <w:t>apakšpunktā uzskaitītajām palīgvielām.</w:t>
      </w:r>
    </w:p>
    <w:p w14:paraId="5A6DF164" w14:textId="77777777" w:rsidR="007341C4" w:rsidRPr="005A6EF7" w:rsidRDefault="007341C4" w:rsidP="007341C4">
      <w:pPr>
        <w:tabs>
          <w:tab w:val="clear" w:pos="567"/>
        </w:tabs>
        <w:autoSpaceDE w:val="0"/>
        <w:autoSpaceDN w:val="0"/>
        <w:adjustRightInd w:val="0"/>
        <w:spacing w:after="5" w:line="240" w:lineRule="auto"/>
        <w:rPr>
          <w:color w:val="000000"/>
          <w:szCs w:val="22"/>
          <w:lang w:val="lv-LV" w:eastAsia="pl-PL"/>
        </w:rPr>
      </w:pPr>
      <w:r w:rsidRPr="005A6EF7">
        <w:rPr>
          <w:szCs w:val="22"/>
          <w:lang w:val="lv-LV" w:eastAsia="lv-LV"/>
        </w:rPr>
        <w:t xml:space="preserve">Hemorāģiskā diatēze; koagulācijas traucējumi: </w:t>
      </w:r>
      <w:r w:rsidRPr="005A6EF7">
        <w:rPr>
          <w:bCs/>
          <w:szCs w:val="22"/>
          <w:lang w:val="lv-LV" w:eastAsia="lv-LV"/>
        </w:rPr>
        <w:t>hemofīlija, trombocitopēnija.</w:t>
      </w:r>
    </w:p>
    <w:p w14:paraId="46D270BB" w14:textId="79D57F33" w:rsidR="007162CC" w:rsidRPr="005A6EF7" w:rsidRDefault="007162CC" w:rsidP="007341C4">
      <w:pPr>
        <w:tabs>
          <w:tab w:val="clear" w:pos="567"/>
        </w:tabs>
        <w:autoSpaceDE w:val="0"/>
        <w:autoSpaceDN w:val="0"/>
        <w:adjustRightInd w:val="0"/>
        <w:spacing w:after="5" w:line="240" w:lineRule="auto"/>
        <w:rPr>
          <w:color w:val="000000"/>
          <w:szCs w:val="22"/>
          <w:lang w:val="lv-LV" w:eastAsia="pl-PL"/>
        </w:rPr>
      </w:pPr>
      <w:r w:rsidRPr="005A6EF7">
        <w:rPr>
          <w:color w:val="000000"/>
          <w:szCs w:val="22"/>
          <w:lang w:val="lv-LV" w:eastAsia="pl-PL"/>
        </w:rPr>
        <w:t>Aktīva peptiska čūla vai recidivējoša peptiska čūla un/vai kuņģa/zarnu vai cita veida asiņošana, piemēram, ce</w:t>
      </w:r>
      <w:r w:rsidR="000C5CAA">
        <w:rPr>
          <w:color w:val="000000"/>
          <w:szCs w:val="22"/>
          <w:lang w:val="lv-LV" w:eastAsia="pl-PL"/>
        </w:rPr>
        <w:t>re</w:t>
      </w:r>
      <w:r w:rsidRPr="005A6EF7">
        <w:rPr>
          <w:color w:val="000000"/>
          <w:szCs w:val="22"/>
          <w:lang w:val="lv-LV" w:eastAsia="pl-PL"/>
        </w:rPr>
        <w:t>brovaskulāra, anamnēzē.</w:t>
      </w:r>
    </w:p>
    <w:p w14:paraId="123B82E3" w14:textId="77777777" w:rsidR="007341C4" w:rsidRPr="005A6EF7" w:rsidRDefault="007162CC" w:rsidP="007341C4">
      <w:pPr>
        <w:tabs>
          <w:tab w:val="clear" w:pos="567"/>
        </w:tabs>
        <w:autoSpaceDE w:val="0"/>
        <w:autoSpaceDN w:val="0"/>
        <w:adjustRightInd w:val="0"/>
        <w:spacing w:after="5" w:line="240" w:lineRule="auto"/>
        <w:rPr>
          <w:color w:val="000000"/>
          <w:szCs w:val="22"/>
          <w:lang w:val="lv-LV" w:eastAsia="pl-PL"/>
        </w:rPr>
      </w:pPr>
      <w:r w:rsidRPr="005A6EF7">
        <w:rPr>
          <w:color w:val="000000"/>
          <w:szCs w:val="22"/>
          <w:lang w:val="lv-LV" w:eastAsia="pl-PL"/>
        </w:rPr>
        <w:t>Smagi nieru darbības traucējumi.</w:t>
      </w:r>
    </w:p>
    <w:p w14:paraId="101906D9" w14:textId="77777777" w:rsidR="007341C4" w:rsidRPr="005A6EF7" w:rsidRDefault="007162CC" w:rsidP="007341C4">
      <w:pPr>
        <w:tabs>
          <w:tab w:val="clear" w:pos="567"/>
        </w:tabs>
        <w:autoSpaceDE w:val="0"/>
        <w:autoSpaceDN w:val="0"/>
        <w:adjustRightInd w:val="0"/>
        <w:spacing w:after="5" w:line="240" w:lineRule="auto"/>
        <w:rPr>
          <w:color w:val="000000"/>
          <w:szCs w:val="22"/>
          <w:lang w:val="lv-LV" w:eastAsia="pl-PL"/>
        </w:rPr>
      </w:pPr>
      <w:r w:rsidRPr="005A6EF7">
        <w:rPr>
          <w:color w:val="000000"/>
          <w:szCs w:val="22"/>
          <w:lang w:val="lv-LV" w:eastAsia="pl-PL"/>
        </w:rPr>
        <w:t>Smagi aknu darbības traucējumi.</w:t>
      </w:r>
    </w:p>
    <w:p w14:paraId="2B287824" w14:textId="77777777" w:rsidR="007341C4" w:rsidRPr="005A6EF7" w:rsidRDefault="007162CC" w:rsidP="007341C4">
      <w:pPr>
        <w:tabs>
          <w:tab w:val="clear" w:pos="567"/>
        </w:tabs>
        <w:autoSpaceDE w:val="0"/>
        <w:autoSpaceDN w:val="0"/>
        <w:adjustRightInd w:val="0"/>
        <w:spacing w:after="5" w:line="240" w:lineRule="auto"/>
        <w:rPr>
          <w:color w:val="000000"/>
          <w:szCs w:val="22"/>
          <w:lang w:val="lv-LV" w:eastAsia="pl-PL"/>
        </w:rPr>
      </w:pPr>
      <w:r w:rsidRPr="005A6EF7">
        <w:rPr>
          <w:color w:val="000000"/>
          <w:szCs w:val="22"/>
          <w:lang w:val="lv-LV" w:eastAsia="pl-PL"/>
        </w:rPr>
        <w:t>Smaga</w:t>
      </w:r>
      <w:r w:rsidR="00237D94">
        <w:rPr>
          <w:color w:val="000000"/>
          <w:szCs w:val="22"/>
          <w:lang w:val="lv-LV" w:eastAsia="pl-PL"/>
        </w:rPr>
        <w:t xml:space="preserve"> </w:t>
      </w:r>
      <w:r w:rsidR="008F63DC">
        <w:rPr>
          <w:color w:val="000000"/>
          <w:szCs w:val="22"/>
          <w:lang w:val="lv-LV" w:eastAsia="pl-PL"/>
        </w:rPr>
        <w:t>dekompensēta</w:t>
      </w:r>
      <w:r w:rsidRPr="005A6EF7">
        <w:rPr>
          <w:color w:val="000000"/>
          <w:szCs w:val="22"/>
          <w:lang w:val="lv-LV" w:eastAsia="pl-PL"/>
        </w:rPr>
        <w:t xml:space="preserve"> sirds mazspēja.</w:t>
      </w:r>
    </w:p>
    <w:p w14:paraId="4A95D797" w14:textId="77777777" w:rsidR="007341C4" w:rsidRPr="005A6EF7" w:rsidRDefault="007162CC" w:rsidP="007341C4">
      <w:pPr>
        <w:tabs>
          <w:tab w:val="clear" w:pos="567"/>
        </w:tabs>
        <w:autoSpaceDE w:val="0"/>
        <w:autoSpaceDN w:val="0"/>
        <w:adjustRightInd w:val="0"/>
        <w:spacing w:after="5" w:line="240" w:lineRule="auto"/>
        <w:rPr>
          <w:color w:val="000000"/>
          <w:szCs w:val="22"/>
          <w:lang w:val="lv-LV" w:eastAsia="pl-PL"/>
        </w:rPr>
      </w:pPr>
      <w:r w:rsidRPr="005A6EF7">
        <w:rPr>
          <w:color w:val="000000"/>
          <w:szCs w:val="22"/>
          <w:lang w:val="lv-LV" w:eastAsia="pl-PL"/>
        </w:rPr>
        <w:t>Anamnēzē aspirīna izraisīta astmas lēkme, lietojot salicilātus vai lī</w:t>
      </w:r>
      <w:r w:rsidR="006E5F31">
        <w:rPr>
          <w:color w:val="000000"/>
          <w:szCs w:val="22"/>
          <w:lang w:val="lv-LV" w:eastAsia="pl-PL"/>
        </w:rPr>
        <w:t>dzīgas iedarbības zāles, īpaši</w:t>
      </w:r>
      <w:r w:rsidRPr="005A6EF7">
        <w:rPr>
          <w:color w:val="000000"/>
          <w:szCs w:val="22"/>
          <w:lang w:val="lv-LV" w:eastAsia="pl-PL"/>
        </w:rPr>
        <w:t xml:space="preserve"> nesteroīdos pretiekaisuma līdzekļus (NPL).</w:t>
      </w:r>
    </w:p>
    <w:p w14:paraId="717CA5E0" w14:textId="77777777" w:rsidR="007341C4" w:rsidRPr="005A6EF7" w:rsidRDefault="00E1263C" w:rsidP="007341C4">
      <w:pPr>
        <w:tabs>
          <w:tab w:val="clear" w:pos="567"/>
        </w:tabs>
        <w:autoSpaceDE w:val="0"/>
        <w:autoSpaceDN w:val="0"/>
        <w:adjustRightInd w:val="0"/>
        <w:spacing w:after="5" w:line="240" w:lineRule="auto"/>
        <w:rPr>
          <w:color w:val="000000"/>
          <w:szCs w:val="22"/>
          <w:lang w:val="lv-LV" w:eastAsia="pl-PL"/>
        </w:rPr>
      </w:pPr>
      <w:r>
        <w:rPr>
          <w:color w:val="000000"/>
          <w:szCs w:val="22"/>
          <w:lang w:val="lv-LV" w:eastAsia="pl-PL"/>
        </w:rPr>
        <w:t>M</w:t>
      </w:r>
      <w:r w:rsidR="00D571C4" w:rsidRPr="005A6EF7">
        <w:rPr>
          <w:color w:val="000000"/>
          <w:szCs w:val="22"/>
          <w:lang w:val="lv-LV" w:eastAsia="pl-PL"/>
        </w:rPr>
        <w:t xml:space="preserve">etotreksāta </w:t>
      </w:r>
      <w:r>
        <w:rPr>
          <w:color w:val="000000"/>
          <w:szCs w:val="22"/>
          <w:lang w:val="lv-LV" w:eastAsia="pl-PL"/>
        </w:rPr>
        <w:t>v</w:t>
      </w:r>
      <w:r w:rsidRPr="005A6EF7">
        <w:rPr>
          <w:color w:val="000000"/>
          <w:szCs w:val="22"/>
          <w:lang w:val="lv-LV" w:eastAsia="pl-PL"/>
        </w:rPr>
        <w:t xml:space="preserve">ienlaicīga lietošana </w:t>
      </w:r>
      <w:r>
        <w:rPr>
          <w:color w:val="000000"/>
          <w:szCs w:val="22"/>
          <w:lang w:val="lv-LV" w:eastAsia="pl-PL"/>
        </w:rPr>
        <w:t xml:space="preserve">devā </w:t>
      </w:r>
      <w:r w:rsidR="007341C4" w:rsidRPr="005A6EF7">
        <w:rPr>
          <w:color w:val="000000"/>
          <w:szCs w:val="22"/>
          <w:lang w:val="lv-LV" w:eastAsia="pl-PL"/>
        </w:rPr>
        <w:t>15 mg</w:t>
      </w:r>
      <w:r w:rsidR="006E5F31">
        <w:rPr>
          <w:color w:val="000000"/>
          <w:szCs w:val="22"/>
          <w:lang w:val="lv-LV" w:eastAsia="pl-PL"/>
        </w:rPr>
        <w:t xml:space="preserve"> </w:t>
      </w:r>
      <w:r w:rsidR="00D571C4" w:rsidRPr="005A6EF7">
        <w:rPr>
          <w:color w:val="000000"/>
          <w:szCs w:val="22"/>
          <w:lang w:val="lv-LV" w:eastAsia="pl-PL"/>
        </w:rPr>
        <w:t>nedēļā</w:t>
      </w:r>
      <w:r w:rsidR="007341C4" w:rsidRPr="005A6EF7">
        <w:rPr>
          <w:color w:val="000000"/>
          <w:szCs w:val="22"/>
          <w:lang w:val="lv-LV" w:eastAsia="pl-PL"/>
        </w:rPr>
        <w:t xml:space="preserve"> </w:t>
      </w:r>
      <w:r w:rsidR="00D571C4" w:rsidRPr="005A6EF7">
        <w:rPr>
          <w:color w:val="000000"/>
          <w:szCs w:val="22"/>
          <w:lang w:val="lv-LV" w:eastAsia="pl-PL"/>
        </w:rPr>
        <w:t>vai</w:t>
      </w:r>
      <w:r w:rsidR="007341C4" w:rsidRPr="005A6EF7">
        <w:rPr>
          <w:color w:val="000000"/>
          <w:szCs w:val="22"/>
          <w:lang w:val="lv-LV" w:eastAsia="pl-PL"/>
        </w:rPr>
        <w:t xml:space="preserve"> </w:t>
      </w:r>
      <w:r w:rsidR="00D571C4" w:rsidRPr="005A6EF7">
        <w:rPr>
          <w:color w:val="000000"/>
          <w:szCs w:val="22"/>
          <w:lang w:val="lv-LV" w:eastAsia="pl-PL"/>
        </w:rPr>
        <w:t>lielāk</w:t>
      </w:r>
      <w:r w:rsidR="00100CC8">
        <w:rPr>
          <w:color w:val="000000"/>
          <w:szCs w:val="22"/>
          <w:lang w:val="lv-LV" w:eastAsia="pl-PL"/>
        </w:rPr>
        <w:t>ā</w:t>
      </w:r>
      <w:r w:rsidR="006E5F31">
        <w:rPr>
          <w:color w:val="000000"/>
          <w:szCs w:val="22"/>
          <w:lang w:val="lv-LV" w:eastAsia="pl-PL"/>
        </w:rPr>
        <w:t>s dev</w:t>
      </w:r>
      <w:r w:rsidR="00100CC8">
        <w:rPr>
          <w:color w:val="000000"/>
          <w:szCs w:val="22"/>
          <w:lang w:val="lv-LV" w:eastAsia="pl-PL"/>
        </w:rPr>
        <w:t>ā</w:t>
      </w:r>
      <w:r w:rsidR="006E5F31">
        <w:rPr>
          <w:color w:val="000000"/>
          <w:szCs w:val="22"/>
          <w:lang w:val="lv-LV" w:eastAsia="pl-PL"/>
        </w:rPr>
        <w:t>s</w:t>
      </w:r>
      <w:r w:rsidR="00D571C4" w:rsidRPr="005A6EF7">
        <w:rPr>
          <w:color w:val="000000"/>
          <w:szCs w:val="22"/>
          <w:lang w:val="lv-LV" w:eastAsia="pl-PL"/>
        </w:rPr>
        <w:t xml:space="preserve"> </w:t>
      </w:r>
      <w:r w:rsidR="007341C4" w:rsidRPr="005A6EF7">
        <w:rPr>
          <w:color w:val="000000"/>
          <w:szCs w:val="22"/>
          <w:lang w:val="lv-LV" w:eastAsia="pl-PL"/>
        </w:rPr>
        <w:t>(</w:t>
      </w:r>
      <w:r w:rsidR="00D571C4" w:rsidRPr="005A6EF7">
        <w:rPr>
          <w:color w:val="000000"/>
          <w:szCs w:val="22"/>
          <w:lang w:val="lv-LV" w:eastAsia="pl-PL"/>
        </w:rPr>
        <w:t>skatīt</w:t>
      </w:r>
      <w:r w:rsidR="007341C4" w:rsidRPr="005A6EF7">
        <w:rPr>
          <w:color w:val="000000"/>
          <w:szCs w:val="22"/>
          <w:lang w:val="lv-LV" w:eastAsia="pl-PL"/>
        </w:rPr>
        <w:t xml:space="preserve"> 4.5</w:t>
      </w:r>
      <w:r w:rsidR="00D571C4" w:rsidRPr="005A6EF7">
        <w:rPr>
          <w:color w:val="000000"/>
          <w:szCs w:val="22"/>
          <w:lang w:val="lv-LV" w:eastAsia="pl-PL"/>
        </w:rPr>
        <w:t>. apakšpunktu</w:t>
      </w:r>
      <w:r w:rsidR="007341C4" w:rsidRPr="005A6EF7">
        <w:rPr>
          <w:color w:val="000000"/>
          <w:szCs w:val="22"/>
          <w:lang w:val="lv-LV" w:eastAsia="pl-PL"/>
        </w:rPr>
        <w:t>).</w:t>
      </w:r>
    </w:p>
    <w:p w14:paraId="55F48367" w14:textId="77777777" w:rsidR="007341C4" w:rsidRPr="005A6EF7" w:rsidRDefault="00D571C4" w:rsidP="007341C4">
      <w:pPr>
        <w:tabs>
          <w:tab w:val="clear" w:pos="567"/>
        </w:tabs>
        <w:autoSpaceDE w:val="0"/>
        <w:autoSpaceDN w:val="0"/>
        <w:adjustRightInd w:val="0"/>
        <w:spacing w:after="5" w:line="240" w:lineRule="auto"/>
        <w:rPr>
          <w:color w:val="000000"/>
          <w:szCs w:val="22"/>
          <w:lang w:val="lv-LV" w:eastAsia="pl-PL"/>
        </w:rPr>
      </w:pPr>
      <w:r w:rsidRPr="005A6EF7">
        <w:rPr>
          <w:color w:val="000000"/>
          <w:szCs w:val="22"/>
          <w:lang w:val="lv-LV" w:eastAsia="pl-PL"/>
        </w:rPr>
        <w:t>Trešais grūtniecības trimestris.</w:t>
      </w:r>
    </w:p>
    <w:p w14:paraId="2061D82B" w14:textId="77777777" w:rsidR="007341C4" w:rsidRPr="005A6EF7" w:rsidRDefault="00D571C4" w:rsidP="007341C4">
      <w:pPr>
        <w:rPr>
          <w:szCs w:val="22"/>
          <w:lang w:val="lv-LV"/>
        </w:rPr>
      </w:pPr>
      <w:r w:rsidRPr="005A6EF7">
        <w:rPr>
          <w:szCs w:val="22"/>
          <w:lang w:val="lv-LV"/>
        </w:rPr>
        <w:t>Bērni un pusaudži, kas jaunāki par 16 gadiem, Re</w:t>
      </w:r>
      <w:r w:rsidR="009A1233">
        <w:rPr>
          <w:szCs w:val="22"/>
          <w:lang w:val="lv-LV"/>
        </w:rPr>
        <w:t>ja</w:t>
      </w:r>
      <w:r w:rsidR="00782C8D">
        <w:rPr>
          <w:szCs w:val="22"/>
          <w:lang w:val="lv-LV"/>
        </w:rPr>
        <w:t xml:space="preserve"> sindroma </w:t>
      </w:r>
      <w:r w:rsidRPr="005A6EF7">
        <w:rPr>
          <w:szCs w:val="22"/>
          <w:lang w:val="lv-LV"/>
        </w:rPr>
        <w:t xml:space="preserve">riska dēļ </w:t>
      </w:r>
      <w:r w:rsidR="007341C4" w:rsidRPr="005A6EF7">
        <w:rPr>
          <w:szCs w:val="22"/>
          <w:lang w:val="lv-LV"/>
        </w:rPr>
        <w:t>(</w:t>
      </w:r>
      <w:r w:rsidRPr="005A6EF7">
        <w:rPr>
          <w:color w:val="000000"/>
          <w:szCs w:val="22"/>
          <w:lang w:val="lv-LV" w:eastAsia="pl-PL"/>
        </w:rPr>
        <w:t>skatīt 4.4. apakšpunktu).</w:t>
      </w:r>
    </w:p>
    <w:p w14:paraId="64AEA39D" w14:textId="77777777" w:rsidR="007341C4" w:rsidRPr="005A6EF7" w:rsidRDefault="007341C4" w:rsidP="007341C4">
      <w:pPr>
        <w:rPr>
          <w:lang w:val="lv-LV"/>
        </w:rPr>
      </w:pPr>
    </w:p>
    <w:p w14:paraId="1AC7AE81" w14:textId="77777777" w:rsidR="00017525" w:rsidRPr="005A6EF7" w:rsidRDefault="004A50CF">
      <w:pPr>
        <w:tabs>
          <w:tab w:val="clear" w:pos="567"/>
        </w:tabs>
        <w:spacing w:line="240" w:lineRule="auto"/>
        <w:ind w:left="567" w:hanging="567"/>
        <w:rPr>
          <w:lang w:val="lv-LV"/>
        </w:rPr>
      </w:pPr>
      <w:r w:rsidRPr="005A6EF7">
        <w:rPr>
          <w:b/>
          <w:lang w:val="lv-LV"/>
        </w:rPr>
        <w:t>4.4</w:t>
      </w:r>
      <w:r w:rsidR="0046466B" w:rsidRPr="005A6EF7">
        <w:rPr>
          <w:b/>
          <w:szCs w:val="22"/>
          <w:lang w:val="lv-LV"/>
        </w:rPr>
        <w:t>.</w:t>
      </w:r>
      <w:r w:rsidRPr="005A6EF7">
        <w:rPr>
          <w:b/>
          <w:lang w:val="lv-LV"/>
        </w:rPr>
        <w:tab/>
        <w:t>Īpaši brīdinājumi un piesardzība lietošanā</w:t>
      </w:r>
    </w:p>
    <w:p w14:paraId="797E56FD" w14:textId="77777777" w:rsidR="00017525" w:rsidRPr="005A6EF7" w:rsidRDefault="00017525">
      <w:pPr>
        <w:tabs>
          <w:tab w:val="clear" w:pos="567"/>
        </w:tabs>
        <w:spacing w:line="240" w:lineRule="auto"/>
        <w:ind w:left="567" w:hanging="567"/>
        <w:rPr>
          <w:lang w:val="lv-LV"/>
        </w:rPr>
      </w:pPr>
    </w:p>
    <w:p w14:paraId="7EDC16BA" w14:textId="77777777" w:rsidR="00D571C4" w:rsidRPr="002840C3" w:rsidRDefault="00171BA3" w:rsidP="00D571C4">
      <w:pPr>
        <w:tabs>
          <w:tab w:val="clear" w:pos="567"/>
        </w:tabs>
        <w:autoSpaceDE w:val="0"/>
        <w:autoSpaceDN w:val="0"/>
        <w:adjustRightInd w:val="0"/>
        <w:spacing w:line="240" w:lineRule="auto"/>
        <w:rPr>
          <w:szCs w:val="22"/>
          <w:lang w:val="lv-LV" w:eastAsia="lv-LV"/>
        </w:rPr>
      </w:pPr>
      <w:r>
        <w:rPr>
          <w:lang w:val="lv-LV"/>
        </w:rPr>
        <w:t>H</w:t>
      </w:r>
      <w:r w:rsidR="008C66FA">
        <w:rPr>
          <w:lang w:val="lv-LV"/>
        </w:rPr>
        <w:t>eartisan</w:t>
      </w:r>
      <w:r w:rsidR="00D571C4" w:rsidRPr="002840C3">
        <w:rPr>
          <w:szCs w:val="22"/>
          <w:lang w:val="lv-LV" w:eastAsia="lv-LV"/>
        </w:rPr>
        <w:t xml:space="preserve"> nav piemērots</w:t>
      </w:r>
      <w:r w:rsidR="00105D89">
        <w:rPr>
          <w:szCs w:val="22"/>
          <w:lang w:val="lv-LV" w:eastAsia="lv-LV"/>
        </w:rPr>
        <w:t>, lai</w:t>
      </w:r>
      <w:r w:rsidR="00D571C4" w:rsidRPr="002840C3">
        <w:rPr>
          <w:szCs w:val="22"/>
          <w:lang w:val="lv-LV" w:eastAsia="lv-LV"/>
        </w:rPr>
        <w:t xml:space="preserve"> </w:t>
      </w:r>
      <w:r w:rsidR="00105D89">
        <w:rPr>
          <w:szCs w:val="22"/>
          <w:lang w:val="lv-LV" w:eastAsia="lv-LV"/>
        </w:rPr>
        <w:t xml:space="preserve">to </w:t>
      </w:r>
      <w:r w:rsidR="00D571C4" w:rsidRPr="002840C3">
        <w:rPr>
          <w:szCs w:val="22"/>
          <w:lang w:val="lv-LV" w:eastAsia="lv-LV"/>
        </w:rPr>
        <w:t>lieto</w:t>
      </w:r>
      <w:r w:rsidR="00100CC8">
        <w:rPr>
          <w:szCs w:val="22"/>
          <w:lang w:val="lv-LV" w:eastAsia="lv-LV"/>
        </w:rPr>
        <w:t xml:space="preserve">tu </w:t>
      </w:r>
      <w:r w:rsidR="009450E9">
        <w:rPr>
          <w:szCs w:val="22"/>
          <w:lang w:val="lv-LV" w:eastAsia="lv-LV"/>
        </w:rPr>
        <w:t xml:space="preserve">kā </w:t>
      </w:r>
      <w:r w:rsidR="00D571C4" w:rsidRPr="002840C3">
        <w:rPr>
          <w:szCs w:val="22"/>
          <w:lang w:val="lv-LV" w:eastAsia="lv-LV"/>
        </w:rPr>
        <w:t>pretiekaisuma/pretsāpju/pretdrudža līdzekli.</w:t>
      </w:r>
    </w:p>
    <w:p w14:paraId="5C60D049" w14:textId="77777777" w:rsidR="00D571C4" w:rsidRPr="002840C3" w:rsidRDefault="00D571C4" w:rsidP="00D571C4">
      <w:pPr>
        <w:tabs>
          <w:tab w:val="clear" w:pos="567"/>
        </w:tabs>
        <w:autoSpaceDE w:val="0"/>
        <w:autoSpaceDN w:val="0"/>
        <w:adjustRightInd w:val="0"/>
        <w:spacing w:line="240" w:lineRule="auto"/>
        <w:rPr>
          <w:color w:val="000000"/>
          <w:szCs w:val="22"/>
          <w:lang w:val="lv-LV" w:eastAsia="pl-PL"/>
        </w:rPr>
      </w:pPr>
    </w:p>
    <w:p w14:paraId="09235DF5" w14:textId="0E7DBBAB" w:rsidR="00D830A8" w:rsidRPr="005A6EF7" w:rsidRDefault="009A1233" w:rsidP="00D571C4">
      <w:pPr>
        <w:tabs>
          <w:tab w:val="clear" w:pos="567"/>
        </w:tabs>
        <w:autoSpaceDE w:val="0"/>
        <w:autoSpaceDN w:val="0"/>
        <w:adjustRightInd w:val="0"/>
        <w:spacing w:line="240" w:lineRule="auto"/>
        <w:rPr>
          <w:color w:val="000000"/>
          <w:szCs w:val="22"/>
          <w:lang w:val="lv-LV" w:eastAsia="pl-PL"/>
        </w:rPr>
      </w:pPr>
      <w:r>
        <w:rPr>
          <w:color w:val="000000"/>
          <w:szCs w:val="22"/>
          <w:lang w:val="lv-LV" w:eastAsia="pl-PL"/>
        </w:rPr>
        <w:t>P</w:t>
      </w:r>
      <w:r w:rsidR="00D571C4" w:rsidRPr="005A6EF7">
        <w:rPr>
          <w:color w:val="000000"/>
          <w:szCs w:val="22"/>
          <w:lang w:val="lv-LV" w:eastAsia="pl-PL"/>
        </w:rPr>
        <w:t>acientiem a</w:t>
      </w:r>
      <w:r>
        <w:rPr>
          <w:color w:val="000000"/>
          <w:szCs w:val="22"/>
          <w:lang w:val="lv-LV" w:eastAsia="pl-PL"/>
        </w:rPr>
        <w:t>r glikozes-6-fosfāt</w:t>
      </w:r>
      <w:r w:rsidR="006E5F31">
        <w:rPr>
          <w:color w:val="000000"/>
          <w:szCs w:val="22"/>
          <w:lang w:val="lv-LV" w:eastAsia="pl-PL"/>
        </w:rPr>
        <w:t xml:space="preserve">a </w:t>
      </w:r>
      <w:r>
        <w:rPr>
          <w:color w:val="000000"/>
          <w:szCs w:val="22"/>
          <w:lang w:val="lv-LV" w:eastAsia="pl-PL"/>
        </w:rPr>
        <w:t>dehidrogenāzes deficītu a</w:t>
      </w:r>
      <w:r w:rsidRPr="005A6EF7">
        <w:rPr>
          <w:color w:val="000000"/>
          <w:szCs w:val="22"/>
          <w:lang w:val="lv-LV" w:eastAsia="pl-PL"/>
        </w:rPr>
        <w:t>cetilsa</w:t>
      </w:r>
      <w:r>
        <w:rPr>
          <w:color w:val="000000"/>
          <w:szCs w:val="22"/>
          <w:lang w:val="lv-LV" w:eastAsia="pl-PL"/>
        </w:rPr>
        <w:t>licilskābe jālieto piesardzīgi</w:t>
      </w:r>
      <w:r w:rsidR="00D571C4" w:rsidRPr="005A6EF7">
        <w:rPr>
          <w:color w:val="000000"/>
          <w:szCs w:val="22"/>
          <w:lang w:val="lv-LV" w:eastAsia="pl-PL"/>
        </w:rPr>
        <w:t>, jo var rasties hemolītiska anēmija.</w:t>
      </w:r>
    </w:p>
    <w:p w14:paraId="2CD846E3" w14:textId="77777777" w:rsidR="00D830A8" w:rsidRPr="005A6EF7" w:rsidRDefault="00D830A8" w:rsidP="00D571C4">
      <w:pPr>
        <w:tabs>
          <w:tab w:val="clear" w:pos="567"/>
        </w:tabs>
        <w:autoSpaceDE w:val="0"/>
        <w:autoSpaceDN w:val="0"/>
        <w:adjustRightInd w:val="0"/>
        <w:spacing w:line="240" w:lineRule="auto"/>
        <w:rPr>
          <w:color w:val="000000"/>
          <w:szCs w:val="22"/>
          <w:lang w:val="lv-LV" w:eastAsia="pl-PL"/>
        </w:rPr>
      </w:pPr>
    </w:p>
    <w:p w14:paraId="002445DD" w14:textId="08955795" w:rsidR="00D571C4" w:rsidRPr="005A6EF7" w:rsidRDefault="00D830A8" w:rsidP="00D571C4">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Pacienti ar paaugstinātu jutību pret nesteroīdiem pretiekaisuma līdzekļiem drīkst lietot acetilsalicilskābi tikai pēc ieguvuma un riska attiecības izv</w:t>
      </w:r>
      <w:r w:rsidR="009A1233">
        <w:rPr>
          <w:color w:val="000000"/>
          <w:szCs w:val="22"/>
          <w:lang w:val="lv-LV" w:eastAsia="pl-PL"/>
        </w:rPr>
        <w:t>ēr</w:t>
      </w:r>
      <w:r w:rsidRPr="005A6EF7">
        <w:rPr>
          <w:color w:val="000000"/>
          <w:szCs w:val="22"/>
          <w:lang w:val="lv-LV" w:eastAsia="pl-PL"/>
        </w:rPr>
        <w:t>tēšanas.</w:t>
      </w:r>
    </w:p>
    <w:p w14:paraId="0A98E922" w14:textId="77777777" w:rsidR="006E5F31" w:rsidRDefault="006E5F31" w:rsidP="00D571C4">
      <w:pPr>
        <w:rPr>
          <w:color w:val="000000"/>
          <w:szCs w:val="22"/>
          <w:lang w:val="lv-LV" w:eastAsia="pl-PL"/>
        </w:rPr>
      </w:pPr>
    </w:p>
    <w:p w14:paraId="27347986" w14:textId="77777777" w:rsidR="00D571C4" w:rsidRPr="005A6EF7" w:rsidRDefault="00D830A8" w:rsidP="00D571C4">
      <w:pPr>
        <w:rPr>
          <w:color w:val="000000"/>
          <w:szCs w:val="22"/>
          <w:lang w:val="lv-LV" w:eastAsia="pl-PL"/>
        </w:rPr>
      </w:pPr>
      <w:r w:rsidRPr="005A6EF7">
        <w:rPr>
          <w:color w:val="000000"/>
          <w:szCs w:val="22"/>
          <w:lang w:val="lv-LV" w:eastAsia="pl-PL"/>
        </w:rPr>
        <w:t>Acetilsalicilskābe var veicin</w:t>
      </w:r>
      <w:r w:rsidR="006E5F31">
        <w:rPr>
          <w:color w:val="000000"/>
          <w:szCs w:val="22"/>
          <w:lang w:val="lv-LV" w:eastAsia="pl-PL"/>
        </w:rPr>
        <w:t>āt bronhospazmu un astmas lēkmi</w:t>
      </w:r>
      <w:r w:rsidRPr="005A6EF7">
        <w:rPr>
          <w:color w:val="000000"/>
          <w:szCs w:val="22"/>
          <w:lang w:val="lv-LV" w:eastAsia="pl-PL"/>
        </w:rPr>
        <w:t xml:space="preserve"> vai citu paaugstinātas jutības reakciju. Riska faktori ir astma, hroniskas elpceļu slimības, </w:t>
      </w:r>
      <w:r w:rsidR="006E5F31">
        <w:rPr>
          <w:color w:val="000000"/>
          <w:szCs w:val="22"/>
          <w:lang w:val="lv-LV" w:eastAsia="pl-PL"/>
        </w:rPr>
        <w:t>siena drudzis ar deguna polipi</w:t>
      </w:r>
      <w:r w:rsidRPr="005A6EF7">
        <w:rPr>
          <w:color w:val="000000"/>
          <w:szCs w:val="22"/>
          <w:lang w:val="lv-LV" w:eastAsia="pl-PL"/>
        </w:rPr>
        <w:t xml:space="preserve">. Tas pats attiecināms </w:t>
      </w:r>
      <w:r w:rsidRPr="005A6EF7">
        <w:rPr>
          <w:color w:val="000000"/>
          <w:szCs w:val="22"/>
          <w:lang w:val="lv-LV" w:eastAsia="pl-PL"/>
        </w:rPr>
        <w:lastRenderedPageBreak/>
        <w:t xml:space="preserve">uz pacientiem ar alerģiskām reakcijām pret citām vielām </w:t>
      </w:r>
      <w:r w:rsidR="00D571C4" w:rsidRPr="005A6EF7">
        <w:rPr>
          <w:color w:val="000000"/>
          <w:szCs w:val="22"/>
          <w:lang w:val="lv-LV" w:eastAsia="pl-PL"/>
        </w:rPr>
        <w:t>(</w:t>
      </w:r>
      <w:r w:rsidRPr="005A6EF7">
        <w:rPr>
          <w:color w:val="000000"/>
          <w:szCs w:val="22"/>
          <w:lang w:val="lv-LV" w:eastAsia="pl-PL"/>
        </w:rPr>
        <w:t>piemēram, ar ādas reakcijām, niezi vai nātreni).</w:t>
      </w:r>
    </w:p>
    <w:p w14:paraId="2326C611" w14:textId="77777777" w:rsidR="00D571C4" w:rsidRPr="005A6EF7" w:rsidRDefault="00D571C4" w:rsidP="00D571C4">
      <w:pPr>
        <w:tabs>
          <w:tab w:val="clear" w:pos="567"/>
        </w:tabs>
        <w:autoSpaceDE w:val="0"/>
        <w:autoSpaceDN w:val="0"/>
        <w:adjustRightInd w:val="0"/>
        <w:spacing w:line="240" w:lineRule="auto"/>
        <w:rPr>
          <w:color w:val="000000"/>
          <w:szCs w:val="22"/>
          <w:lang w:val="lv-LV" w:eastAsia="pl-PL"/>
        </w:rPr>
      </w:pPr>
    </w:p>
    <w:p w14:paraId="21892DD7" w14:textId="644D950A" w:rsidR="00D571C4" w:rsidRPr="005A6EF7" w:rsidRDefault="00D830A8" w:rsidP="00D571C4">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Piesardzība jāievēro pacientiem, kas vienlaicīgi saņem zāles, kas var palielināt čūlas vai asiņošanas risku, piemēram, iekšķīgi lietojami kortikosteroīdi, antikoagulanti, piemēram, varfarīns, selektīvie serotonīna atpakaļsaistīšanās inhibitori </w:t>
      </w:r>
      <w:r w:rsidR="00D571C4" w:rsidRPr="005A6EF7">
        <w:rPr>
          <w:color w:val="000000"/>
          <w:szCs w:val="22"/>
          <w:lang w:val="lv-LV" w:eastAsia="pl-PL"/>
        </w:rPr>
        <w:t>(</w:t>
      </w:r>
      <w:r w:rsidRPr="005A6EF7">
        <w:rPr>
          <w:color w:val="000000"/>
          <w:szCs w:val="22"/>
          <w:lang w:val="lv-LV" w:eastAsia="pl-PL"/>
        </w:rPr>
        <w:t>skatīt</w:t>
      </w:r>
      <w:r w:rsidR="00D571C4" w:rsidRPr="005A6EF7">
        <w:rPr>
          <w:color w:val="000000"/>
          <w:szCs w:val="22"/>
          <w:lang w:val="lv-LV" w:eastAsia="pl-PL"/>
        </w:rPr>
        <w:t xml:space="preserve"> 4.5</w:t>
      </w:r>
      <w:r w:rsidRPr="005A6EF7">
        <w:rPr>
          <w:color w:val="000000"/>
          <w:szCs w:val="22"/>
          <w:lang w:val="lv-LV" w:eastAsia="pl-PL"/>
        </w:rPr>
        <w:t>. apakšpunktu</w:t>
      </w:r>
      <w:r w:rsidR="00D571C4" w:rsidRPr="005A6EF7">
        <w:rPr>
          <w:color w:val="000000"/>
          <w:szCs w:val="22"/>
          <w:lang w:val="lv-LV" w:eastAsia="pl-PL"/>
        </w:rPr>
        <w:t>)</w:t>
      </w:r>
      <w:r w:rsidR="006E5F31">
        <w:rPr>
          <w:color w:val="000000"/>
          <w:szCs w:val="22"/>
          <w:lang w:val="lv-LV" w:eastAsia="pl-PL"/>
        </w:rPr>
        <w:t>,</w:t>
      </w:r>
      <w:r w:rsidR="00D571C4" w:rsidRPr="005A6EF7">
        <w:rPr>
          <w:color w:val="000000"/>
          <w:szCs w:val="22"/>
          <w:lang w:val="lv-LV" w:eastAsia="pl-PL"/>
        </w:rPr>
        <w:t xml:space="preserve"> </w:t>
      </w:r>
      <w:r w:rsidR="006E5F31">
        <w:rPr>
          <w:color w:val="000000"/>
          <w:szCs w:val="22"/>
          <w:lang w:val="lv-LV" w:eastAsia="pl-PL"/>
        </w:rPr>
        <w:t xml:space="preserve">un pacientiem ar pastiprinātu noslieci uz </w:t>
      </w:r>
      <w:r w:rsidRPr="005A6EF7">
        <w:rPr>
          <w:color w:val="000000"/>
          <w:szCs w:val="22"/>
          <w:lang w:val="lv-LV" w:eastAsia="pl-PL"/>
        </w:rPr>
        <w:t>asiņ</w:t>
      </w:r>
      <w:r w:rsidR="006E5F31">
        <w:rPr>
          <w:color w:val="000000"/>
          <w:szCs w:val="22"/>
          <w:lang w:val="lv-LV" w:eastAsia="pl-PL"/>
        </w:rPr>
        <w:t>o</w:t>
      </w:r>
      <w:r w:rsidRPr="005A6EF7">
        <w:rPr>
          <w:color w:val="000000"/>
          <w:szCs w:val="22"/>
          <w:lang w:val="lv-LV" w:eastAsia="pl-PL"/>
        </w:rPr>
        <w:t>šan</w:t>
      </w:r>
      <w:r w:rsidR="006E5F31">
        <w:rPr>
          <w:color w:val="000000"/>
          <w:szCs w:val="22"/>
          <w:lang w:val="lv-LV" w:eastAsia="pl-PL"/>
        </w:rPr>
        <w:t>u</w:t>
      </w:r>
      <w:r w:rsidR="00D571C4" w:rsidRPr="005A6EF7">
        <w:rPr>
          <w:color w:val="000000"/>
          <w:szCs w:val="22"/>
          <w:lang w:val="lv-LV" w:eastAsia="pl-PL"/>
        </w:rPr>
        <w:t xml:space="preserve"> (</w:t>
      </w:r>
      <w:r w:rsidRPr="005A6EF7">
        <w:rPr>
          <w:color w:val="000000"/>
          <w:szCs w:val="22"/>
          <w:lang w:val="lv-LV" w:eastAsia="pl-PL"/>
        </w:rPr>
        <w:t>piemēram, K vitamīna deficīts</w:t>
      </w:r>
      <w:r w:rsidR="00D571C4" w:rsidRPr="005A6EF7">
        <w:rPr>
          <w:color w:val="000000"/>
          <w:szCs w:val="22"/>
          <w:lang w:val="lv-LV" w:eastAsia="pl-PL"/>
        </w:rPr>
        <w:t>).</w:t>
      </w:r>
    </w:p>
    <w:p w14:paraId="26B06105" w14:textId="77777777" w:rsidR="00D571C4" w:rsidRPr="005A6EF7" w:rsidRDefault="00D571C4" w:rsidP="00D571C4">
      <w:pPr>
        <w:tabs>
          <w:tab w:val="clear" w:pos="567"/>
        </w:tabs>
        <w:autoSpaceDE w:val="0"/>
        <w:autoSpaceDN w:val="0"/>
        <w:adjustRightInd w:val="0"/>
        <w:spacing w:line="240" w:lineRule="auto"/>
        <w:rPr>
          <w:color w:val="000000"/>
          <w:szCs w:val="22"/>
          <w:lang w:val="lv-LV" w:eastAsia="pl-PL"/>
        </w:rPr>
      </w:pPr>
    </w:p>
    <w:p w14:paraId="5786B8B8" w14:textId="77777777" w:rsidR="00D571C4" w:rsidRPr="005A6EF7" w:rsidRDefault="00D830A8" w:rsidP="00D571C4">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Acetilsalicilskābe </w:t>
      </w:r>
      <w:r w:rsidR="002E3ACD" w:rsidRPr="005A6EF7">
        <w:rPr>
          <w:color w:val="000000"/>
          <w:szCs w:val="22"/>
          <w:lang w:val="lv-LV" w:eastAsia="pl-PL"/>
        </w:rPr>
        <w:t>jālieto piesardzīgi pacientiem ar nieru</w:t>
      </w:r>
      <w:r w:rsidR="009A1233">
        <w:rPr>
          <w:color w:val="000000"/>
          <w:szCs w:val="22"/>
          <w:lang w:val="lv-LV" w:eastAsia="pl-PL"/>
        </w:rPr>
        <w:t xml:space="preserve"> vai aknu darbības traucējumiem;</w:t>
      </w:r>
      <w:r w:rsidR="002E3ACD" w:rsidRPr="005A6EF7">
        <w:rPr>
          <w:color w:val="000000"/>
          <w:szCs w:val="22"/>
          <w:lang w:val="lv-LV" w:eastAsia="pl-PL"/>
        </w:rPr>
        <w:t xml:space="preserve"> smagu nieru vai aknu darbības traucējumu gadījumā šo zāļu lietošana ir kontrindicēta </w:t>
      </w:r>
      <w:r w:rsidR="00D571C4" w:rsidRPr="005A6EF7">
        <w:rPr>
          <w:color w:val="000000"/>
          <w:szCs w:val="22"/>
          <w:lang w:val="lv-LV" w:eastAsia="pl-PL"/>
        </w:rPr>
        <w:t>(</w:t>
      </w:r>
      <w:r w:rsidR="002E3ACD" w:rsidRPr="005A6EF7">
        <w:rPr>
          <w:color w:val="000000"/>
          <w:szCs w:val="22"/>
          <w:lang w:val="lv-LV" w:eastAsia="pl-PL"/>
        </w:rPr>
        <w:t>skatīt</w:t>
      </w:r>
      <w:r w:rsidR="00D571C4" w:rsidRPr="005A6EF7">
        <w:rPr>
          <w:color w:val="000000"/>
          <w:szCs w:val="22"/>
          <w:lang w:val="lv-LV" w:eastAsia="pl-PL"/>
        </w:rPr>
        <w:t xml:space="preserve"> 4.3</w:t>
      </w:r>
      <w:r w:rsidR="002E3ACD" w:rsidRPr="005A6EF7">
        <w:rPr>
          <w:color w:val="000000"/>
          <w:szCs w:val="22"/>
          <w:lang w:val="lv-LV" w:eastAsia="pl-PL"/>
        </w:rPr>
        <w:t>. apakšpunktu</w:t>
      </w:r>
      <w:r w:rsidR="00D571C4" w:rsidRPr="005A6EF7">
        <w:rPr>
          <w:color w:val="000000"/>
          <w:szCs w:val="22"/>
          <w:lang w:val="lv-LV" w:eastAsia="pl-PL"/>
        </w:rPr>
        <w:t>).</w:t>
      </w:r>
    </w:p>
    <w:p w14:paraId="6669605E" w14:textId="77777777" w:rsidR="00D571C4" w:rsidRPr="005A6EF7" w:rsidRDefault="00D571C4" w:rsidP="00D571C4">
      <w:pPr>
        <w:tabs>
          <w:tab w:val="clear" w:pos="567"/>
        </w:tabs>
        <w:autoSpaceDE w:val="0"/>
        <w:autoSpaceDN w:val="0"/>
        <w:adjustRightInd w:val="0"/>
        <w:spacing w:line="240" w:lineRule="auto"/>
        <w:rPr>
          <w:color w:val="000000"/>
          <w:szCs w:val="22"/>
          <w:lang w:val="lv-LV" w:eastAsia="pl-PL"/>
        </w:rPr>
      </w:pPr>
    </w:p>
    <w:p w14:paraId="73A2DF7F" w14:textId="0F5B9D64" w:rsidR="00D571C4" w:rsidRPr="005A6EF7" w:rsidRDefault="009A1233" w:rsidP="00D571C4">
      <w:pPr>
        <w:tabs>
          <w:tab w:val="clear" w:pos="567"/>
        </w:tabs>
        <w:autoSpaceDE w:val="0"/>
        <w:autoSpaceDN w:val="0"/>
        <w:adjustRightInd w:val="0"/>
        <w:spacing w:line="240" w:lineRule="auto"/>
        <w:rPr>
          <w:color w:val="000000"/>
          <w:szCs w:val="22"/>
          <w:lang w:val="lv-LV" w:eastAsia="pl-PL"/>
        </w:rPr>
      </w:pPr>
      <w:r>
        <w:rPr>
          <w:color w:val="000000"/>
          <w:szCs w:val="22"/>
          <w:lang w:val="lv-LV" w:eastAsia="pl-PL"/>
        </w:rPr>
        <w:t>P</w:t>
      </w:r>
      <w:r w:rsidR="002E3ACD" w:rsidRPr="005A6EF7">
        <w:rPr>
          <w:color w:val="000000"/>
          <w:szCs w:val="22"/>
          <w:lang w:val="lv-LV" w:eastAsia="pl-PL"/>
        </w:rPr>
        <w:t>acientiem, k</w:t>
      </w:r>
      <w:r w:rsidR="006E5F31">
        <w:rPr>
          <w:color w:val="000000"/>
          <w:szCs w:val="22"/>
          <w:lang w:val="lv-LV" w:eastAsia="pl-PL"/>
        </w:rPr>
        <w:t>a</w:t>
      </w:r>
      <w:r w:rsidR="002E3ACD" w:rsidRPr="005A6EF7">
        <w:rPr>
          <w:color w:val="000000"/>
          <w:szCs w:val="22"/>
          <w:lang w:val="lv-LV" w:eastAsia="pl-PL"/>
        </w:rPr>
        <w:t>m anamnēzē ir kuņģa vai divpadsmit</w:t>
      </w:r>
      <w:r w:rsidR="006E5F31">
        <w:rPr>
          <w:color w:val="000000"/>
          <w:szCs w:val="22"/>
          <w:lang w:val="lv-LV" w:eastAsia="pl-PL"/>
        </w:rPr>
        <w:t xml:space="preserve">pirkstu </w:t>
      </w:r>
      <w:r w:rsidR="002E3ACD" w:rsidRPr="005A6EF7">
        <w:rPr>
          <w:color w:val="000000"/>
          <w:szCs w:val="22"/>
          <w:lang w:val="lv-LV" w:eastAsia="pl-PL"/>
        </w:rPr>
        <w:t>zarn</w:t>
      </w:r>
      <w:r w:rsidR="006E5F31">
        <w:rPr>
          <w:color w:val="000000"/>
          <w:szCs w:val="22"/>
          <w:lang w:val="lv-LV" w:eastAsia="pl-PL"/>
        </w:rPr>
        <w:t>as</w:t>
      </w:r>
      <w:r w:rsidR="002E3ACD" w:rsidRPr="005A6EF7">
        <w:rPr>
          <w:color w:val="000000"/>
          <w:szCs w:val="22"/>
          <w:lang w:val="lv-LV" w:eastAsia="pl-PL"/>
        </w:rPr>
        <w:t xml:space="preserve"> čūla, </w:t>
      </w:r>
      <w:r>
        <w:rPr>
          <w:color w:val="000000"/>
          <w:szCs w:val="22"/>
          <w:lang w:val="lv-LV" w:eastAsia="pl-PL"/>
        </w:rPr>
        <w:t>a</w:t>
      </w:r>
      <w:r w:rsidRPr="005A6EF7">
        <w:rPr>
          <w:color w:val="000000"/>
          <w:szCs w:val="22"/>
          <w:lang w:val="lv-LV" w:eastAsia="pl-PL"/>
        </w:rPr>
        <w:t>cetilsalicilskābe jālieto piesardzīgi</w:t>
      </w:r>
      <w:r>
        <w:rPr>
          <w:color w:val="000000"/>
          <w:szCs w:val="22"/>
          <w:lang w:val="lv-LV" w:eastAsia="pl-PL"/>
        </w:rPr>
        <w:t>,</w:t>
      </w:r>
      <w:r w:rsidRPr="005A6EF7">
        <w:rPr>
          <w:color w:val="000000"/>
          <w:szCs w:val="22"/>
          <w:lang w:val="lv-LV" w:eastAsia="pl-PL"/>
        </w:rPr>
        <w:t xml:space="preserve"> </w:t>
      </w:r>
      <w:r w:rsidR="002E3ACD" w:rsidRPr="005A6EF7">
        <w:rPr>
          <w:color w:val="000000"/>
          <w:szCs w:val="22"/>
          <w:lang w:val="lv-LV" w:eastAsia="pl-PL"/>
        </w:rPr>
        <w:t>jo tā var saasināt peptiskas čūlas slimību un izraisīt asiņošanu no kuņģa un zarnu trakta.</w:t>
      </w:r>
    </w:p>
    <w:p w14:paraId="4A64F3D0" w14:textId="77777777" w:rsidR="00D571C4" w:rsidRPr="005A6EF7" w:rsidRDefault="00D571C4" w:rsidP="00D571C4">
      <w:pPr>
        <w:rPr>
          <w:color w:val="000000"/>
          <w:szCs w:val="22"/>
          <w:lang w:val="lv-LV" w:eastAsia="pl-PL"/>
        </w:rPr>
      </w:pPr>
    </w:p>
    <w:p w14:paraId="1DEA42F7" w14:textId="48B1C95D" w:rsidR="006E5F31" w:rsidRDefault="002E3ACD" w:rsidP="00D571C4">
      <w:pPr>
        <w:rPr>
          <w:color w:val="000000"/>
          <w:szCs w:val="22"/>
          <w:lang w:val="lv-LV" w:eastAsia="pl-PL"/>
        </w:rPr>
      </w:pPr>
      <w:r w:rsidRPr="005A6EF7">
        <w:rPr>
          <w:color w:val="000000"/>
          <w:szCs w:val="22"/>
          <w:lang w:val="lv-LV" w:eastAsia="pl-PL"/>
        </w:rPr>
        <w:t xml:space="preserve">Pacientiem ar gastrointestinālu toksicitāti anamnēzē, īpaši </w:t>
      </w:r>
      <w:r w:rsidR="00DB51D2" w:rsidRPr="005A6EF7">
        <w:rPr>
          <w:color w:val="000000"/>
          <w:szCs w:val="22"/>
          <w:lang w:val="lv-LV" w:eastAsia="pl-PL"/>
        </w:rPr>
        <w:t>gad</w:t>
      </w:r>
      <w:r w:rsidR="00DB51D2">
        <w:rPr>
          <w:color w:val="000000"/>
          <w:szCs w:val="22"/>
          <w:lang w:val="lv-LV" w:eastAsia="pl-PL"/>
        </w:rPr>
        <w:t>os</w:t>
      </w:r>
      <w:r w:rsidR="00DB51D2" w:rsidRPr="005A6EF7">
        <w:rPr>
          <w:color w:val="000000"/>
          <w:szCs w:val="22"/>
          <w:lang w:val="lv-LV" w:eastAsia="pl-PL"/>
        </w:rPr>
        <w:t xml:space="preserve"> </w:t>
      </w:r>
      <w:r w:rsidRPr="005A6EF7">
        <w:rPr>
          <w:color w:val="000000"/>
          <w:szCs w:val="22"/>
          <w:lang w:val="lv-LV" w:eastAsia="pl-PL"/>
        </w:rPr>
        <w:t>vecāk</w:t>
      </w:r>
      <w:r w:rsidR="00DB51D2">
        <w:rPr>
          <w:color w:val="000000"/>
          <w:szCs w:val="22"/>
          <w:lang w:val="lv-LV" w:eastAsia="pl-PL"/>
        </w:rPr>
        <w:t>iem</w:t>
      </w:r>
      <w:r w:rsidRPr="005A6EF7">
        <w:rPr>
          <w:color w:val="000000"/>
          <w:szCs w:val="22"/>
          <w:lang w:val="lv-LV" w:eastAsia="pl-PL"/>
        </w:rPr>
        <w:t xml:space="preserve"> pacientiem, jāziņo </w:t>
      </w:r>
      <w:r w:rsidR="00DB51D2">
        <w:rPr>
          <w:color w:val="000000"/>
          <w:szCs w:val="22"/>
          <w:lang w:val="lv-LV" w:eastAsia="pl-PL"/>
        </w:rPr>
        <w:t xml:space="preserve">ārstam </w:t>
      </w:r>
      <w:r w:rsidRPr="005A6EF7">
        <w:rPr>
          <w:color w:val="000000"/>
          <w:szCs w:val="22"/>
          <w:lang w:val="lv-LV" w:eastAsia="pl-PL"/>
        </w:rPr>
        <w:t>par jebkuriem neparastiem</w:t>
      </w:r>
      <w:r w:rsidR="00D7673C">
        <w:rPr>
          <w:color w:val="000000"/>
          <w:szCs w:val="22"/>
          <w:lang w:val="lv-LV" w:eastAsia="pl-PL"/>
        </w:rPr>
        <w:t xml:space="preserve"> </w:t>
      </w:r>
      <w:r w:rsidRPr="005A6EF7">
        <w:rPr>
          <w:color w:val="000000"/>
          <w:szCs w:val="22"/>
          <w:lang w:val="lv-LV" w:eastAsia="pl-PL"/>
        </w:rPr>
        <w:t xml:space="preserve">simptomiem </w:t>
      </w:r>
      <w:r w:rsidR="00D7673C">
        <w:rPr>
          <w:color w:val="000000"/>
          <w:szCs w:val="22"/>
          <w:lang w:val="lv-LV" w:eastAsia="pl-PL"/>
        </w:rPr>
        <w:t>gremošanas traktā</w:t>
      </w:r>
      <w:r w:rsidR="00D7673C" w:rsidRPr="005A6EF7">
        <w:rPr>
          <w:color w:val="000000"/>
          <w:szCs w:val="22"/>
          <w:lang w:val="lv-LV" w:eastAsia="pl-PL"/>
        </w:rPr>
        <w:t xml:space="preserve"> </w:t>
      </w:r>
      <w:r w:rsidRPr="005A6EF7">
        <w:rPr>
          <w:color w:val="000000"/>
          <w:szCs w:val="22"/>
          <w:lang w:val="lv-LV" w:eastAsia="pl-PL"/>
        </w:rPr>
        <w:t>(īpaši gastrointestinālu asiņošanu)</w:t>
      </w:r>
      <w:r w:rsidR="00050E95">
        <w:rPr>
          <w:color w:val="000000"/>
          <w:szCs w:val="22"/>
          <w:lang w:val="lv-LV" w:eastAsia="pl-PL"/>
        </w:rPr>
        <w:t>,</w:t>
      </w:r>
      <w:r w:rsidRPr="005A6EF7">
        <w:rPr>
          <w:color w:val="000000"/>
          <w:szCs w:val="22"/>
          <w:lang w:val="lv-LV" w:eastAsia="pl-PL"/>
        </w:rPr>
        <w:t xml:space="preserve"> īpaši ārstēšanās sākumā.</w:t>
      </w:r>
    </w:p>
    <w:p w14:paraId="3F17AD63" w14:textId="77777777" w:rsidR="006E5F31" w:rsidRDefault="006E5F31" w:rsidP="00D571C4">
      <w:pPr>
        <w:rPr>
          <w:color w:val="000000"/>
          <w:szCs w:val="22"/>
          <w:lang w:val="lv-LV" w:eastAsia="pl-PL"/>
        </w:rPr>
      </w:pPr>
    </w:p>
    <w:p w14:paraId="0A637686" w14:textId="6786CBED" w:rsidR="00D571C4" w:rsidRPr="005A6EF7" w:rsidRDefault="002E3ACD" w:rsidP="00D571C4">
      <w:pPr>
        <w:rPr>
          <w:color w:val="000000"/>
          <w:szCs w:val="22"/>
          <w:lang w:val="lv-LV" w:eastAsia="pl-PL"/>
        </w:rPr>
      </w:pPr>
      <w:r w:rsidRPr="005A6EF7">
        <w:rPr>
          <w:color w:val="000000"/>
          <w:szCs w:val="22"/>
          <w:lang w:val="lv-LV" w:eastAsia="pl-PL"/>
        </w:rPr>
        <w:t>Ja rodas gastr</w:t>
      </w:r>
      <w:r w:rsidR="00050E95">
        <w:rPr>
          <w:color w:val="000000"/>
          <w:szCs w:val="22"/>
          <w:lang w:val="lv-LV" w:eastAsia="pl-PL"/>
        </w:rPr>
        <w:t xml:space="preserve">ointestināla asiņošana vai </w:t>
      </w:r>
      <w:r w:rsidR="00F06365">
        <w:rPr>
          <w:color w:val="000000"/>
          <w:szCs w:val="22"/>
          <w:lang w:val="lv-LV" w:eastAsia="pl-PL"/>
        </w:rPr>
        <w:t xml:space="preserve">veidojas </w:t>
      </w:r>
      <w:r w:rsidR="00050E95">
        <w:rPr>
          <w:color w:val="000000"/>
          <w:szCs w:val="22"/>
          <w:lang w:val="lv-LV" w:eastAsia="pl-PL"/>
        </w:rPr>
        <w:t>čūla</w:t>
      </w:r>
      <w:r w:rsidRPr="005A6EF7">
        <w:rPr>
          <w:color w:val="000000"/>
          <w:szCs w:val="22"/>
          <w:lang w:val="lv-LV" w:eastAsia="pl-PL"/>
        </w:rPr>
        <w:t>, terapija jāpārtrauc.</w:t>
      </w:r>
    </w:p>
    <w:p w14:paraId="24C6B811" w14:textId="77777777" w:rsidR="00D571C4" w:rsidRPr="005A6EF7" w:rsidRDefault="00D571C4" w:rsidP="00D571C4">
      <w:pPr>
        <w:rPr>
          <w:color w:val="000000"/>
          <w:szCs w:val="22"/>
          <w:lang w:val="lv-LV" w:eastAsia="pl-PL"/>
        </w:rPr>
      </w:pPr>
    </w:p>
    <w:p w14:paraId="76901F4B" w14:textId="394A2674" w:rsidR="00D571C4" w:rsidRPr="005A6EF7" w:rsidRDefault="00D830A8" w:rsidP="00D571C4">
      <w:pPr>
        <w:rPr>
          <w:color w:val="000000"/>
          <w:szCs w:val="22"/>
          <w:lang w:val="lv-LV" w:eastAsia="pl-PL"/>
        </w:rPr>
      </w:pPr>
      <w:r w:rsidRPr="005A6EF7">
        <w:rPr>
          <w:color w:val="000000"/>
          <w:szCs w:val="22"/>
          <w:lang w:val="lv-LV" w:eastAsia="pl-PL"/>
        </w:rPr>
        <w:t>A</w:t>
      </w:r>
      <w:r w:rsidR="002E3ACD" w:rsidRPr="005A6EF7">
        <w:rPr>
          <w:color w:val="000000"/>
          <w:szCs w:val="22"/>
          <w:lang w:val="lv-LV" w:eastAsia="pl-PL"/>
        </w:rPr>
        <w:t>ntitrombo</w:t>
      </w:r>
      <w:r w:rsidR="006E5F31">
        <w:rPr>
          <w:color w:val="000000"/>
          <w:szCs w:val="22"/>
          <w:lang w:val="lv-LV" w:eastAsia="pl-PL"/>
        </w:rPr>
        <w:t>tiskās</w:t>
      </w:r>
      <w:r w:rsidR="002E3ACD" w:rsidRPr="005A6EF7">
        <w:rPr>
          <w:color w:val="000000"/>
          <w:szCs w:val="22"/>
          <w:lang w:val="lv-LV" w:eastAsia="pl-PL"/>
        </w:rPr>
        <w:t xml:space="preserve"> aktivitātes dēļ a</w:t>
      </w:r>
      <w:r w:rsidRPr="005A6EF7">
        <w:rPr>
          <w:color w:val="000000"/>
          <w:szCs w:val="22"/>
          <w:lang w:val="lv-LV" w:eastAsia="pl-PL"/>
        </w:rPr>
        <w:t xml:space="preserve">cetilsalicilskābe </w:t>
      </w:r>
      <w:r w:rsidR="002E3ACD" w:rsidRPr="005A6EF7">
        <w:rPr>
          <w:color w:val="000000"/>
          <w:szCs w:val="22"/>
          <w:lang w:val="lv-LV" w:eastAsia="pl-PL"/>
        </w:rPr>
        <w:t>var izraisīt ilgstošu asiņošanu ķirurģiskas operācijas laikā vai pēc tās (ieskaitot nelielas procedūras, piemēram, zoba ekstrakcij</w:t>
      </w:r>
      <w:r w:rsidR="004A679D" w:rsidRPr="005A6EF7">
        <w:rPr>
          <w:color w:val="000000"/>
          <w:szCs w:val="22"/>
          <w:lang w:val="lv-LV" w:eastAsia="pl-PL"/>
        </w:rPr>
        <w:t>u</w:t>
      </w:r>
      <w:r w:rsidR="002E3ACD" w:rsidRPr="005A6EF7">
        <w:rPr>
          <w:color w:val="000000"/>
          <w:szCs w:val="22"/>
          <w:lang w:val="lv-LV" w:eastAsia="pl-PL"/>
        </w:rPr>
        <w:t xml:space="preserve">). Acetilsalicilskābi nedrīkst lietot </w:t>
      </w:r>
      <w:r w:rsidR="004A679D" w:rsidRPr="005A6EF7">
        <w:rPr>
          <w:color w:val="000000"/>
          <w:szCs w:val="22"/>
          <w:lang w:val="lv-LV" w:eastAsia="pl-PL"/>
        </w:rPr>
        <w:t xml:space="preserve">5 dienas pirms </w:t>
      </w:r>
      <w:r w:rsidR="006E5F31">
        <w:rPr>
          <w:color w:val="000000"/>
          <w:szCs w:val="22"/>
          <w:lang w:val="lv-LV" w:eastAsia="pl-PL"/>
        </w:rPr>
        <w:t>plānveida operācijas</w:t>
      </w:r>
      <w:r w:rsidR="004A679D" w:rsidRPr="005A6EF7">
        <w:rPr>
          <w:color w:val="000000"/>
          <w:szCs w:val="22"/>
          <w:lang w:val="lv-LV" w:eastAsia="pl-PL"/>
        </w:rPr>
        <w:t xml:space="preserve">, </w:t>
      </w:r>
      <w:r w:rsidR="006E5F31">
        <w:rPr>
          <w:color w:val="000000"/>
          <w:szCs w:val="22"/>
          <w:lang w:val="lv-LV" w:eastAsia="pl-PL"/>
        </w:rPr>
        <w:t>īpaši</w:t>
      </w:r>
      <w:r w:rsidR="004A679D" w:rsidRPr="005A6EF7">
        <w:rPr>
          <w:color w:val="000000"/>
          <w:szCs w:val="22"/>
          <w:lang w:val="lv-LV" w:eastAsia="pl-PL"/>
        </w:rPr>
        <w:t xml:space="preserve"> acu un ausu operācijām.</w:t>
      </w:r>
    </w:p>
    <w:p w14:paraId="120D6627" w14:textId="77777777" w:rsidR="004A679D" w:rsidRPr="005A6EF7" w:rsidRDefault="004A679D" w:rsidP="00D571C4">
      <w:pPr>
        <w:rPr>
          <w:rFonts w:ascii="TimesNewRoman" w:hAnsi="TimesNewRoman" w:cs="TimesNewRoman"/>
          <w:sz w:val="21"/>
          <w:szCs w:val="21"/>
          <w:lang w:val="lv-LV" w:eastAsia="lv-LV"/>
        </w:rPr>
      </w:pPr>
    </w:p>
    <w:p w14:paraId="27149AD8" w14:textId="6CB2046F" w:rsidR="00D571C4" w:rsidRPr="002840C3" w:rsidRDefault="00171BA3" w:rsidP="00D571C4">
      <w:pPr>
        <w:rPr>
          <w:szCs w:val="22"/>
          <w:lang w:val="lv-LV"/>
        </w:rPr>
      </w:pPr>
      <w:r>
        <w:rPr>
          <w:lang w:val="lv-LV"/>
        </w:rPr>
        <w:t>H</w:t>
      </w:r>
      <w:r w:rsidR="008C66FA">
        <w:rPr>
          <w:lang w:val="lv-LV"/>
        </w:rPr>
        <w:t>eartisan</w:t>
      </w:r>
      <w:r w:rsidR="00D571C4" w:rsidRPr="002840C3">
        <w:rPr>
          <w:szCs w:val="22"/>
          <w:lang w:val="lv-LV" w:eastAsia="lv-LV"/>
        </w:rPr>
        <w:t xml:space="preserve"> </w:t>
      </w:r>
      <w:r w:rsidR="004A679D" w:rsidRPr="002840C3">
        <w:rPr>
          <w:szCs w:val="22"/>
          <w:lang w:val="lv-LV" w:eastAsia="lv-LV"/>
        </w:rPr>
        <w:t>neiesaka lietot m</w:t>
      </w:r>
      <w:r w:rsidR="006E5F31" w:rsidRPr="002840C3">
        <w:rPr>
          <w:szCs w:val="22"/>
          <w:lang w:val="lv-LV" w:eastAsia="lv-LV"/>
        </w:rPr>
        <w:t>enstruāciju</w:t>
      </w:r>
      <w:r w:rsidR="004A679D" w:rsidRPr="002840C3">
        <w:rPr>
          <w:szCs w:val="22"/>
          <w:lang w:val="lv-LV" w:eastAsia="lv-LV"/>
        </w:rPr>
        <w:t xml:space="preserve"> laikā, jo tā var pastiprināt menstruālo asiņošanu.</w:t>
      </w:r>
    </w:p>
    <w:p w14:paraId="5C851E8B" w14:textId="77777777" w:rsidR="00D571C4" w:rsidRPr="005A6EF7" w:rsidRDefault="00D571C4" w:rsidP="00D571C4">
      <w:pPr>
        <w:tabs>
          <w:tab w:val="clear" w:pos="567"/>
        </w:tabs>
        <w:autoSpaceDE w:val="0"/>
        <w:autoSpaceDN w:val="0"/>
        <w:adjustRightInd w:val="0"/>
        <w:spacing w:line="240" w:lineRule="auto"/>
        <w:rPr>
          <w:color w:val="000000"/>
          <w:szCs w:val="22"/>
          <w:lang w:val="lv-LV" w:eastAsia="pl-PL"/>
        </w:rPr>
      </w:pPr>
    </w:p>
    <w:p w14:paraId="79F19EAC" w14:textId="0460FD6E" w:rsidR="00D571C4" w:rsidRPr="005A6EF7" w:rsidRDefault="004A679D" w:rsidP="00D571C4">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Acetilsalicilskābe pat mazās devas samazina urīnskābes izdalīšanos. Tāpēc pacienti</w:t>
      </w:r>
      <w:r w:rsidR="00050E95">
        <w:rPr>
          <w:color w:val="000000"/>
          <w:szCs w:val="22"/>
          <w:lang w:val="lv-LV" w:eastAsia="pl-PL"/>
        </w:rPr>
        <w:t>em</w:t>
      </w:r>
      <w:r w:rsidR="006E5F31">
        <w:rPr>
          <w:color w:val="000000"/>
          <w:szCs w:val="22"/>
          <w:lang w:val="lv-LV" w:eastAsia="pl-PL"/>
        </w:rPr>
        <w:t xml:space="preserve"> ar pavājinātu</w:t>
      </w:r>
      <w:r w:rsidRPr="005A6EF7">
        <w:rPr>
          <w:color w:val="000000"/>
          <w:szCs w:val="22"/>
          <w:lang w:val="lv-LV" w:eastAsia="pl-PL"/>
        </w:rPr>
        <w:t xml:space="preserve"> urīnskābes izdalīšanos var </w:t>
      </w:r>
      <w:r w:rsidR="00050E95">
        <w:rPr>
          <w:color w:val="000000"/>
          <w:szCs w:val="22"/>
          <w:lang w:val="lv-LV" w:eastAsia="pl-PL"/>
        </w:rPr>
        <w:t>būt podagras lēkme</w:t>
      </w:r>
      <w:r w:rsidRPr="005A6EF7">
        <w:rPr>
          <w:color w:val="000000"/>
          <w:szCs w:val="22"/>
          <w:lang w:val="lv-LV" w:eastAsia="pl-PL"/>
        </w:rPr>
        <w:t>.</w:t>
      </w:r>
    </w:p>
    <w:p w14:paraId="45612711" w14:textId="77777777" w:rsidR="004A679D" w:rsidRPr="005A6EF7" w:rsidRDefault="004A679D" w:rsidP="00D571C4">
      <w:pPr>
        <w:tabs>
          <w:tab w:val="clear" w:pos="567"/>
        </w:tabs>
        <w:autoSpaceDE w:val="0"/>
        <w:autoSpaceDN w:val="0"/>
        <w:adjustRightInd w:val="0"/>
        <w:spacing w:line="240" w:lineRule="auto"/>
        <w:rPr>
          <w:color w:val="000000"/>
          <w:szCs w:val="22"/>
          <w:lang w:val="lv-LV" w:eastAsia="pl-PL"/>
        </w:rPr>
      </w:pPr>
    </w:p>
    <w:p w14:paraId="3B24974F" w14:textId="77777777" w:rsidR="00D571C4" w:rsidRPr="005A6EF7" w:rsidRDefault="004A679D" w:rsidP="00D571C4">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Gados vec</w:t>
      </w:r>
      <w:r w:rsidR="00050E95">
        <w:rPr>
          <w:color w:val="000000"/>
          <w:szCs w:val="22"/>
          <w:lang w:val="lv-LV" w:eastAsia="pl-PL"/>
        </w:rPr>
        <w:t>āk</w:t>
      </w:r>
      <w:r w:rsidRPr="005A6EF7">
        <w:rPr>
          <w:color w:val="000000"/>
          <w:szCs w:val="22"/>
          <w:lang w:val="lv-LV" w:eastAsia="pl-PL"/>
        </w:rPr>
        <w:t xml:space="preserve">i pacienti ir </w:t>
      </w:r>
      <w:r w:rsidR="00F0558D">
        <w:rPr>
          <w:color w:val="000000"/>
          <w:szCs w:val="22"/>
          <w:lang w:val="lv-LV" w:eastAsia="pl-PL"/>
        </w:rPr>
        <w:t>īpaši</w:t>
      </w:r>
      <w:r w:rsidRPr="005A6EF7">
        <w:rPr>
          <w:color w:val="000000"/>
          <w:szCs w:val="22"/>
          <w:lang w:val="lv-LV" w:eastAsia="pl-PL"/>
        </w:rPr>
        <w:t xml:space="preserve"> jutīgi pret nesteroīdo pretiekaisuma līdzekļu, tai skaitā acetilsalicilskābes, blak</w:t>
      </w:r>
      <w:r w:rsidR="00F0558D">
        <w:rPr>
          <w:color w:val="000000"/>
          <w:szCs w:val="22"/>
          <w:lang w:val="lv-LV" w:eastAsia="pl-PL"/>
        </w:rPr>
        <w:t>usparādībām</w:t>
      </w:r>
      <w:r w:rsidRPr="005A6EF7">
        <w:rPr>
          <w:color w:val="000000"/>
          <w:szCs w:val="22"/>
          <w:lang w:val="lv-LV" w:eastAsia="pl-PL"/>
        </w:rPr>
        <w:t xml:space="preserve">, īpaši gastrointestinālu asiņošanu un perforāciju, kas var būt letāla.  Gastrointestinālas asiņošanas riska dēļ gados vecākiem pacientiem jāizvairās no pastāvīgas ilgstošas aspirīna lietošanas. Ja nepieciešama ilgstoša terapija, pacienti regulāri jāpārbauda </w:t>
      </w:r>
      <w:r w:rsidR="00D571C4" w:rsidRPr="005A6EF7">
        <w:rPr>
          <w:color w:val="000000"/>
          <w:szCs w:val="22"/>
          <w:lang w:val="lv-LV" w:eastAsia="pl-PL"/>
        </w:rPr>
        <w:t>(</w:t>
      </w:r>
      <w:r w:rsidRPr="005A6EF7">
        <w:rPr>
          <w:color w:val="000000"/>
          <w:szCs w:val="22"/>
          <w:lang w:val="lv-LV" w:eastAsia="pl-PL"/>
        </w:rPr>
        <w:t>skatīt</w:t>
      </w:r>
      <w:r w:rsidR="00D571C4" w:rsidRPr="005A6EF7">
        <w:rPr>
          <w:color w:val="000000"/>
          <w:szCs w:val="22"/>
          <w:lang w:val="lv-LV" w:eastAsia="pl-PL"/>
        </w:rPr>
        <w:t xml:space="preserve"> 4.2</w:t>
      </w:r>
      <w:r w:rsidRPr="005A6EF7">
        <w:rPr>
          <w:color w:val="000000"/>
          <w:szCs w:val="22"/>
          <w:lang w:val="lv-LV" w:eastAsia="pl-PL"/>
        </w:rPr>
        <w:t>. apakšpunktu</w:t>
      </w:r>
      <w:r w:rsidR="00D571C4" w:rsidRPr="005A6EF7">
        <w:rPr>
          <w:color w:val="000000"/>
          <w:szCs w:val="22"/>
          <w:lang w:val="lv-LV" w:eastAsia="pl-PL"/>
        </w:rPr>
        <w:t>).</w:t>
      </w:r>
    </w:p>
    <w:p w14:paraId="05CD8D44" w14:textId="77777777" w:rsidR="00D571C4" w:rsidRPr="005A6EF7" w:rsidRDefault="00D571C4" w:rsidP="00D571C4">
      <w:pPr>
        <w:tabs>
          <w:tab w:val="clear" w:pos="567"/>
        </w:tabs>
        <w:autoSpaceDE w:val="0"/>
        <w:autoSpaceDN w:val="0"/>
        <w:adjustRightInd w:val="0"/>
        <w:spacing w:line="240" w:lineRule="auto"/>
        <w:rPr>
          <w:color w:val="000000"/>
          <w:szCs w:val="22"/>
          <w:lang w:val="lv-LV" w:eastAsia="pl-PL"/>
        </w:rPr>
      </w:pPr>
    </w:p>
    <w:p w14:paraId="39B11BD5" w14:textId="77777777" w:rsidR="00D571C4" w:rsidRPr="005A6EF7" w:rsidRDefault="00D11E64" w:rsidP="00D571C4">
      <w:pPr>
        <w:rPr>
          <w:color w:val="000000"/>
          <w:szCs w:val="22"/>
          <w:lang w:val="lv-LV" w:eastAsia="pl-PL"/>
        </w:rPr>
      </w:pPr>
      <w:r w:rsidRPr="005A6EF7">
        <w:rPr>
          <w:color w:val="000000"/>
          <w:szCs w:val="22"/>
          <w:lang w:val="lv-LV" w:eastAsia="pl-PL"/>
        </w:rPr>
        <w:t xml:space="preserve">Pirms </w:t>
      </w:r>
      <w:r w:rsidR="00845DCA">
        <w:rPr>
          <w:color w:val="000000"/>
          <w:szCs w:val="22"/>
          <w:lang w:val="lv-LV" w:eastAsia="pl-PL"/>
        </w:rPr>
        <w:t>uz</w:t>
      </w:r>
      <w:r w:rsidR="00050E95">
        <w:rPr>
          <w:color w:val="000000"/>
          <w:szCs w:val="22"/>
          <w:lang w:val="lv-LV" w:eastAsia="pl-PL"/>
        </w:rPr>
        <w:t xml:space="preserve">sākt </w:t>
      </w:r>
      <w:r w:rsidR="00050E95" w:rsidRPr="005A6EF7">
        <w:rPr>
          <w:color w:val="000000"/>
          <w:szCs w:val="22"/>
          <w:lang w:val="lv-LV" w:eastAsia="pl-PL"/>
        </w:rPr>
        <w:t xml:space="preserve">kardiovaskulāras vai cerebrovaskulāras slimības </w:t>
      </w:r>
      <w:r w:rsidR="00501457">
        <w:rPr>
          <w:color w:val="000000"/>
          <w:szCs w:val="22"/>
          <w:lang w:val="lv-LV" w:eastAsia="pl-PL"/>
        </w:rPr>
        <w:t xml:space="preserve">ilgstošu </w:t>
      </w:r>
      <w:r w:rsidR="00501457" w:rsidRPr="005A6EF7">
        <w:rPr>
          <w:color w:val="000000"/>
          <w:szCs w:val="22"/>
          <w:lang w:val="lv-LV" w:eastAsia="pl-PL"/>
        </w:rPr>
        <w:t>ārstēšan</w:t>
      </w:r>
      <w:r w:rsidR="00501457">
        <w:rPr>
          <w:color w:val="000000"/>
          <w:szCs w:val="22"/>
          <w:lang w:val="lv-LV" w:eastAsia="pl-PL"/>
        </w:rPr>
        <w:t xml:space="preserve">u </w:t>
      </w:r>
      <w:r w:rsidR="00050E95">
        <w:rPr>
          <w:color w:val="000000"/>
          <w:szCs w:val="22"/>
          <w:lang w:val="lv-LV" w:eastAsia="pl-PL"/>
        </w:rPr>
        <w:t xml:space="preserve">ar </w:t>
      </w:r>
      <w:r w:rsidR="00D63E0C" w:rsidRPr="005A6EF7">
        <w:rPr>
          <w:color w:val="000000"/>
          <w:szCs w:val="22"/>
          <w:lang w:val="lv-LV" w:eastAsia="pl-PL"/>
        </w:rPr>
        <w:t>acetilsalicilskāb</w:t>
      </w:r>
      <w:r w:rsidR="000E5A0B">
        <w:rPr>
          <w:color w:val="000000"/>
          <w:szCs w:val="22"/>
          <w:lang w:val="lv-LV" w:eastAsia="pl-PL"/>
        </w:rPr>
        <w:t>i</w:t>
      </w:r>
      <w:r w:rsidR="00D63E0C">
        <w:rPr>
          <w:color w:val="000000"/>
          <w:szCs w:val="22"/>
          <w:lang w:val="lv-LV" w:eastAsia="pl-PL"/>
        </w:rPr>
        <w:t xml:space="preserve"> </w:t>
      </w:r>
      <w:r w:rsidR="00050E95">
        <w:rPr>
          <w:color w:val="000000"/>
          <w:szCs w:val="22"/>
          <w:lang w:val="lv-LV" w:eastAsia="pl-PL"/>
        </w:rPr>
        <w:t>maz</w:t>
      </w:r>
      <w:r w:rsidR="00D63E0C">
        <w:rPr>
          <w:color w:val="000000"/>
          <w:szCs w:val="22"/>
          <w:lang w:val="lv-LV" w:eastAsia="pl-PL"/>
        </w:rPr>
        <w:t>ā</w:t>
      </w:r>
      <w:r w:rsidR="000E5A0B">
        <w:rPr>
          <w:color w:val="000000"/>
          <w:szCs w:val="22"/>
          <w:lang w:val="lv-LV" w:eastAsia="pl-PL"/>
        </w:rPr>
        <w:t>s</w:t>
      </w:r>
      <w:r w:rsidR="00050E95">
        <w:rPr>
          <w:color w:val="000000"/>
          <w:szCs w:val="22"/>
          <w:lang w:val="lv-LV" w:eastAsia="pl-PL"/>
        </w:rPr>
        <w:t xml:space="preserve"> dev</w:t>
      </w:r>
      <w:r w:rsidR="007A5002">
        <w:rPr>
          <w:color w:val="000000"/>
          <w:szCs w:val="22"/>
          <w:lang w:val="lv-LV" w:eastAsia="pl-PL"/>
        </w:rPr>
        <w:t>ā</w:t>
      </w:r>
      <w:r w:rsidR="000E5A0B">
        <w:rPr>
          <w:color w:val="000000"/>
          <w:szCs w:val="22"/>
          <w:lang w:val="lv-LV" w:eastAsia="pl-PL"/>
        </w:rPr>
        <w:t>s</w:t>
      </w:r>
      <w:r w:rsidR="00050E95">
        <w:rPr>
          <w:color w:val="000000"/>
          <w:szCs w:val="22"/>
          <w:lang w:val="lv-LV" w:eastAsia="pl-PL"/>
        </w:rPr>
        <w:t xml:space="preserve">  </w:t>
      </w:r>
      <w:r w:rsidRPr="005A6EF7">
        <w:rPr>
          <w:color w:val="000000"/>
          <w:szCs w:val="22"/>
          <w:lang w:val="lv-LV" w:eastAsia="pl-PL"/>
        </w:rPr>
        <w:t>ārst</w:t>
      </w:r>
      <w:r w:rsidR="00845DCA">
        <w:rPr>
          <w:color w:val="000000"/>
          <w:szCs w:val="22"/>
          <w:lang w:val="lv-LV" w:eastAsia="pl-PL"/>
        </w:rPr>
        <w:t xml:space="preserve">am jāizvērtē </w:t>
      </w:r>
      <w:r w:rsidRPr="005A6EF7">
        <w:rPr>
          <w:color w:val="000000"/>
          <w:szCs w:val="22"/>
          <w:lang w:val="lv-LV" w:eastAsia="pl-PL"/>
        </w:rPr>
        <w:t xml:space="preserve"> individuāla pacienta relatīv</w:t>
      </w:r>
      <w:r w:rsidR="000E5A0B">
        <w:rPr>
          <w:color w:val="000000"/>
          <w:szCs w:val="22"/>
          <w:lang w:val="lv-LV" w:eastAsia="pl-PL"/>
        </w:rPr>
        <w:t>ā</w:t>
      </w:r>
      <w:r w:rsidRPr="005A6EF7">
        <w:rPr>
          <w:color w:val="000000"/>
          <w:szCs w:val="22"/>
          <w:lang w:val="lv-LV" w:eastAsia="pl-PL"/>
        </w:rPr>
        <w:t xml:space="preserve"> riska un ieguvuma attiecīb</w:t>
      </w:r>
      <w:r w:rsidR="000E5A0B">
        <w:rPr>
          <w:color w:val="000000"/>
          <w:szCs w:val="22"/>
          <w:lang w:val="lv-LV" w:eastAsia="pl-PL"/>
        </w:rPr>
        <w:t>a</w:t>
      </w:r>
      <w:r w:rsidR="00D571C4" w:rsidRPr="005A6EF7">
        <w:rPr>
          <w:color w:val="000000"/>
          <w:szCs w:val="22"/>
          <w:lang w:val="lv-LV" w:eastAsia="pl-PL"/>
        </w:rPr>
        <w:t>.</w:t>
      </w:r>
    </w:p>
    <w:p w14:paraId="5A8581B6" w14:textId="77777777" w:rsidR="00D571C4" w:rsidRPr="005A6EF7" w:rsidRDefault="00D571C4" w:rsidP="00D571C4">
      <w:pPr>
        <w:tabs>
          <w:tab w:val="clear" w:pos="567"/>
        </w:tabs>
        <w:autoSpaceDE w:val="0"/>
        <w:autoSpaceDN w:val="0"/>
        <w:adjustRightInd w:val="0"/>
        <w:spacing w:line="240" w:lineRule="auto"/>
        <w:rPr>
          <w:color w:val="000000"/>
          <w:szCs w:val="22"/>
          <w:lang w:val="lv-LV" w:eastAsia="pl-PL"/>
        </w:rPr>
      </w:pPr>
    </w:p>
    <w:p w14:paraId="4ECDF9F5" w14:textId="17E7160B" w:rsidR="00D571C4" w:rsidRPr="005A6EF7" w:rsidRDefault="00D11E64" w:rsidP="00D571C4">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Pacientiem ar  hipertensiju un/vai sirds mazspēju anamnēzē jāievēro piesardzība, jo ir saņemti ziņojumi par šķidruma aizturi un tūsku saistībā ar NPL lietošanu.</w:t>
      </w:r>
    </w:p>
    <w:p w14:paraId="4EFB19D9" w14:textId="77777777" w:rsidR="00D11E64" w:rsidRPr="005A6EF7" w:rsidRDefault="00D11E64" w:rsidP="00D571C4">
      <w:pPr>
        <w:tabs>
          <w:tab w:val="clear" w:pos="567"/>
        </w:tabs>
        <w:autoSpaceDE w:val="0"/>
        <w:autoSpaceDN w:val="0"/>
        <w:adjustRightInd w:val="0"/>
        <w:spacing w:line="240" w:lineRule="auto"/>
        <w:rPr>
          <w:color w:val="000000"/>
          <w:szCs w:val="22"/>
          <w:lang w:val="lv-LV" w:eastAsia="pl-PL"/>
        </w:rPr>
      </w:pPr>
    </w:p>
    <w:p w14:paraId="121B7E9D" w14:textId="77777777" w:rsidR="00D571C4" w:rsidRPr="005A6EF7" w:rsidRDefault="00D11E64" w:rsidP="00D571C4">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Ļoti retos gadījumos </w:t>
      </w:r>
      <w:r w:rsidR="003A750F" w:rsidRPr="005A6EF7">
        <w:rPr>
          <w:color w:val="000000"/>
          <w:szCs w:val="22"/>
          <w:lang w:val="lv-LV" w:eastAsia="pl-PL"/>
        </w:rPr>
        <w:t xml:space="preserve">saistībā ar acetilsalicilskābes lietošanu </w:t>
      </w:r>
      <w:r w:rsidRPr="005A6EF7">
        <w:rPr>
          <w:color w:val="000000"/>
          <w:szCs w:val="22"/>
          <w:lang w:val="lv-LV" w:eastAsia="pl-PL"/>
        </w:rPr>
        <w:t xml:space="preserve">saņemti ziņojumi par smagām ādas reakcijām, </w:t>
      </w:r>
      <w:r w:rsidR="003A750F" w:rsidRPr="005A6EF7">
        <w:rPr>
          <w:color w:val="000000"/>
          <w:szCs w:val="22"/>
          <w:lang w:val="lv-LV" w:eastAsia="pl-PL"/>
        </w:rPr>
        <w:t>no kurām dažas</w:t>
      </w:r>
      <w:r w:rsidRPr="005A6EF7">
        <w:rPr>
          <w:color w:val="000000"/>
          <w:szCs w:val="22"/>
          <w:lang w:val="lv-LV" w:eastAsia="pl-PL"/>
        </w:rPr>
        <w:t xml:space="preserve"> bija letālas, </w:t>
      </w:r>
      <w:r w:rsidR="003A750F" w:rsidRPr="005A6EF7">
        <w:rPr>
          <w:color w:val="000000"/>
          <w:szCs w:val="22"/>
          <w:lang w:val="lv-LV" w:eastAsia="pl-PL"/>
        </w:rPr>
        <w:t>tai skaitā Stīvensa-Džonsona sindroms un toksisk</w:t>
      </w:r>
      <w:r w:rsidR="00F0558D">
        <w:rPr>
          <w:color w:val="000000"/>
          <w:szCs w:val="22"/>
          <w:lang w:val="lv-LV" w:eastAsia="pl-PL"/>
        </w:rPr>
        <w:t>a</w:t>
      </w:r>
      <w:r w:rsidR="003A750F" w:rsidRPr="005A6EF7">
        <w:rPr>
          <w:color w:val="000000"/>
          <w:szCs w:val="22"/>
          <w:lang w:val="lv-LV" w:eastAsia="pl-PL"/>
        </w:rPr>
        <w:t xml:space="preserve"> epiderm</w:t>
      </w:r>
      <w:r w:rsidR="00F0558D">
        <w:rPr>
          <w:color w:val="000000"/>
          <w:szCs w:val="22"/>
          <w:lang w:val="lv-LV" w:eastAsia="pl-PL"/>
        </w:rPr>
        <w:t>as</w:t>
      </w:r>
      <w:r w:rsidR="003A750F" w:rsidRPr="005A6EF7">
        <w:rPr>
          <w:color w:val="000000"/>
          <w:szCs w:val="22"/>
          <w:lang w:val="lv-LV" w:eastAsia="pl-PL"/>
        </w:rPr>
        <w:t xml:space="preserve"> nekrolīze </w:t>
      </w:r>
      <w:r w:rsidR="00D571C4" w:rsidRPr="005A6EF7">
        <w:rPr>
          <w:color w:val="000000"/>
          <w:szCs w:val="22"/>
          <w:lang w:val="lv-LV" w:eastAsia="pl-PL"/>
        </w:rPr>
        <w:t>(</w:t>
      </w:r>
      <w:r w:rsidR="003A750F" w:rsidRPr="005A6EF7">
        <w:rPr>
          <w:color w:val="000000"/>
          <w:szCs w:val="22"/>
          <w:lang w:val="lv-LV" w:eastAsia="pl-PL"/>
        </w:rPr>
        <w:t>skatīt</w:t>
      </w:r>
      <w:r w:rsidR="00D571C4" w:rsidRPr="005A6EF7">
        <w:rPr>
          <w:color w:val="000000"/>
          <w:szCs w:val="22"/>
          <w:lang w:val="lv-LV" w:eastAsia="pl-PL"/>
        </w:rPr>
        <w:t xml:space="preserve"> 4.8</w:t>
      </w:r>
      <w:r w:rsidR="003A750F" w:rsidRPr="005A6EF7">
        <w:rPr>
          <w:color w:val="000000"/>
          <w:szCs w:val="22"/>
          <w:lang w:val="lv-LV" w:eastAsia="pl-PL"/>
        </w:rPr>
        <w:t>. apakšpunktu</w:t>
      </w:r>
      <w:r w:rsidR="00D571C4" w:rsidRPr="005A6EF7">
        <w:rPr>
          <w:color w:val="000000"/>
          <w:szCs w:val="22"/>
          <w:lang w:val="lv-LV" w:eastAsia="pl-PL"/>
        </w:rPr>
        <w:t xml:space="preserve">). </w:t>
      </w:r>
      <w:r w:rsidR="00171BA3">
        <w:rPr>
          <w:lang w:val="lv-LV"/>
        </w:rPr>
        <w:t>H</w:t>
      </w:r>
      <w:r w:rsidR="008C66FA">
        <w:rPr>
          <w:lang w:val="lv-LV"/>
        </w:rPr>
        <w:t>eartisan</w:t>
      </w:r>
      <w:r w:rsidR="00D571C4" w:rsidRPr="005A6EF7">
        <w:rPr>
          <w:szCs w:val="22"/>
          <w:lang w:val="lv-LV" w:eastAsia="lv-LV"/>
        </w:rPr>
        <w:t xml:space="preserve"> </w:t>
      </w:r>
      <w:r w:rsidR="003A750F" w:rsidRPr="005A6EF7">
        <w:rPr>
          <w:color w:val="000000"/>
          <w:szCs w:val="22"/>
          <w:lang w:val="lv-LV" w:eastAsia="pl-PL"/>
        </w:rPr>
        <w:t>jāpārtrauc lietot, tiklīdz parādās ādas izsitumi, gļotādas bojājumi vai kāda no paaugstinātas jutības pazīmēm</w:t>
      </w:r>
      <w:r w:rsidR="00D571C4" w:rsidRPr="005A6EF7">
        <w:rPr>
          <w:color w:val="000000"/>
          <w:szCs w:val="22"/>
          <w:lang w:val="lv-LV" w:eastAsia="pl-PL"/>
        </w:rPr>
        <w:t>.</w:t>
      </w:r>
    </w:p>
    <w:p w14:paraId="43D50C46" w14:textId="77777777" w:rsidR="00D571C4" w:rsidRPr="005A6EF7" w:rsidRDefault="00D571C4" w:rsidP="00D571C4">
      <w:pPr>
        <w:tabs>
          <w:tab w:val="clear" w:pos="567"/>
        </w:tabs>
        <w:autoSpaceDE w:val="0"/>
        <w:autoSpaceDN w:val="0"/>
        <w:adjustRightInd w:val="0"/>
        <w:spacing w:line="240" w:lineRule="auto"/>
        <w:rPr>
          <w:color w:val="000000"/>
          <w:szCs w:val="22"/>
          <w:lang w:val="lv-LV" w:eastAsia="pl-PL"/>
        </w:rPr>
      </w:pPr>
    </w:p>
    <w:p w14:paraId="5F44BEF5" w14:textId="77777777" w:rsidR="00D571C4" w:rsidRPr="005A6EF7" w:rsidRDefault="00D571C4" w:rsidP="00D571C4">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Pediatriskā populācija</w:t>
      </w:r>
    </w:p>
    <w:p w14:paraId="278AA2FD" w14:textId="6533B2C3" w:rsidR="00F332BA" w:rsidRPr="005A6EF7" w:rsidRDefault="00F332BA" w:rsidP="00F332BA">
      <w:pPr>
        <w:spacing w:line="240" w:lineRule="auto"/>
        <w:rPr>
          <w:rStyle w:val="hps"/>
          <w:lang w:val="lv-LV"/>
        </w:rPr>
      </w:pPr>
      <w:r>
        <w:rPr>
          <w:rStyle w:val="hps"/>
          <w:lang w:val="lv-LV"/>
        </w:rPr>
        <w:t>Šīs zāles nedrīkst lietot bērniem un pusaudžiem, kas ir jaunāki par 16 gadiem (skatīt 4.3. apakšpunktu</w:t>
      </w:r>
      <w:r w:rsidR="00524122">
        <w:rPr>
          <w:rStyle w:val="hps"/>
          <w:lang w:val="lv-LV"/>
        </w:rPr>
        <w:t>)</w:t>
      </w:r>
      <w:r>
        <w:rPr>
          <w:rStyle w:val="hps"/>
          <w:lang w:val="lv-LV"/>
        </w:rPr>
        <w:t>.</w:t>
      </w:r>
    </w:p>
    <w:p w14:paraId="0C9B9270" w14:textId="77777777" w:rsidR="00F332BA" w:rsidRPr="006B5D52" w:rsidRDefault="00F332BA" w:rsidP="00F332BA">
      <w:pPr>
        <w:spacing w:line="240" w:lineRule="auto"/>
        <w:rPr>
          <w:lang w:val="lv-LV"/>
        </w:rPr>
      </w:pPr>
      <w:r w:rsidRPr="006B5D52">
        <w:rPr>
          <w:rStyle w:val="hps"/>
          <w:lang w:val="lv-LV"/>
        </w:rPr>
        <w:t xml:space="preserve">Acetilsalicilskābe dažiem bērniem </w:t>
      </w:r>
      <w:r>
        <w:rPr>
          <w:rStyle w:val="hps"/>
          <w:lang w:val="lv-LV"/>
        </w:rPr>
        <w:t xml:space="preserve">var </w:t>
      </w:r>
      <w:r w:rsidRPr="006B5D52">
        <w:rPr>
          <w:rStyle w:val="hps"/>
          <w:lang w:val="lv-LV"/>
        </w:rPr>
        <w:t>veicin</w:t>
      </w:r>
      <w:r>
        <w:rPr>
          <w:rStyle w:val="hps"/>
          <w:lang w:val="lv-LV"/>
        </w:rPr>
        <w:t>āt</w:t>
      </w:r>
      <w:r w:rsidRPr="006B5D52">
        <w:rPr>
          <w:rStyle w:val="hps"/>
          <w:lang w:val="lv-LV"/>
        </w:rPr>
        <w:t xml:space="preserve"> Reja sindroma attīstību.</w:t>
      </w:r>
    </w:p>
    <w:p w14:paraId="18B18A77" w14:textId="1CC81FEF" w:rsidR="00017525" w:rsidRPr="00F332BA" w:rsidRDefault="00017525">
      <w:pPr>
        <w:tabs>
          <w:tab w:val="clear" w:pos="567"/>
        </w:tabs>
        <w:spacing w:line="240" w:lineRule="auto"/>
        <w:ind w:left="567" w:hanging="567"/>
        <w:rPr>
          <w:lang w:val="lv-LV"/>
        </w:rPr>
      </w:pPr>
    </w:p>
    <w:p w14:paraId="447DD34A" w14:textId="16EFB016" w:rsidR="001A62E8" w:rsidRDefault="001A62E8" w:rsidP="00631E52">
      <w:pPr>
        <w:tabs>
          <w:tab w:val="clear" w:pos="567"/>
        </w:tabs>
        <w:spacing w:line="240" w:lineRule="auto"/>
        <w:rPr>
          <w:lang w:val="lv-LV"/>
        </w:rPr>
      </w:pPr>
      <w:bookmarkStart w:id="0" w:name="_Hlk27975176"/>
      <w:r w:rsidRPr="001A62E8">
        <w:rPr>
          <w:lang w:val="lv-LV"/>
        </w:rPr>
        <w:t xml:space="preserve">Zāles satur mazāk par 1 mmol nātrija (23 mg) katrā </w:t>
      </w:r>
      <w:r w:rsidRPr="002840C3">
        <w:rPr>
          <w:lang w:val="lv-LV"/>
        </w:rPr>
        <w:t xml:space="preserve">zarnās </w:t>
      </w:r>
      <w:r w:rsidRPr="001F02C4">
        <w:rPr>
          <w:lang w:val="lv-LV"/>
        </w:rPr>
        <w:t>šķīstoš</w:t>
      </w:r>
      <w:r w:rsidR="00F672A8" w:rsidRPr="001F02C4">
        <w:rPr>
          <w:lang w:val="lv-LV"/>
        </w:rPr>
        <w:t xml:space="preserve">ajā </w:t>
      </w:r>
      <w:r w:rsidRPr="001F02C4">
        <w:rPr>
          <w:iCs/>
          <w:lang w:val="lv-LV"/>
        </w:rPr>
        <w:t>tablet</w:t>
      </w:r>
      <w:r w:rsidR="00F672A8" w:rsidRPr="001F02C4">
        <w:rPr>
          <w:iCs/>
          <w:lang w:val="lv-LV"/>
        </w:rPr>
        <w:t>ē</w:t>
      </w:r>
      <w:r w:rsidRPr="00846277">
        <w:rPr>
          <w:lang w:val="lv-LV"/>
        </w:rPr>
        <w:t>,</w:t>
      </w:r>
      <w:r w:rsidRPr="001A62E8">
        <w:rPr>
          <w:lang w:val="lv-LV"/>
        </w:rPr>
        <w:t xml:space="preserve"> - būtībā tās ir “nātriju nesaturošas”</w:t>
      </w:r>
      <w:r>
        <w:rPr>
          <w:lang w:val="lv-LV"/>
        </w:rPr>
        <w:t>.</w:t>
      </w:r>
    </w:p>
    <w:bookmarkEnd w:id="0"/>
    <w:p w14:paraId="6203277A" w14:textId="77777777" w:rsidR="001A62E8" w:rsidRPr="005A6EF7" w:rsidRDefault="001A62E8">
      <w:pPr>
        <w:tabs>
          <w:tab w:val="clear" w:pos="567"/>
        </w:tabs>
        <w:spacing w:line="240" w:lineRule="auto"/>
        <w:ind w:left="567" w:hanging="567"/>
        <w:rPr>
          <w:lang w:val="lv-LV"/>
        </w:rPr>
      </w:pPr>
    </w:p>
    <w:p w14:paraId="6E19C72D" w14:textId="77777777" w:rsidR="00017525" w:rsidRPr="005A6EF7" w:rsidRDefault="004A50CF">
      <w:pPr>
        <w:tabs>
          <w:tab w:val="clear" w:pos="567"/>
        </w:tabs>
        <w:spacing w:line="240" w:lineRule="auto"/>
        <w:ind w:left="567" w:hanging="567"/>
        <w:rPr>
          <w:lang w:val="lv-LV"/>
        </w:rPr>
      </w:pPr>
      <w:r w:rsidRPr="005A6EF7">
        <w:rPr>
          <w:b/>
          <w:lang w:val="lv-LV"/>
        </w:rPr>
        <w:t>4.5</w:t>
      </w:r>
      <w:r w:rsidR="0055764D" w:rsidRPr="005A6EF7">
        <w:rPr>
          <w:b/>
          <w:lang w:val="lv-LV"/>
        </w:rPr>
        <w:t>.</w:t>
      </w:r>
      <w:r w:rsidRPr="005A6EF7">
        <w:rPr>
          <w:b/>
          <w:lang w:val="lv-LV"/>
        </w:rPr>
        <w:tab/>
        <w:t>Mijiedarbība ar citām zālēm un citi mijiedarbības veidi</w:t>
      </w:r>
    </w:p>
    <w:p w14:paraId="6DFB0248" w14:textId="77777777" w:rsidR="00017525" w:rsidRPr="005A6EF7" w:rsidRDefault="00017525">
      <w:pPr>
        <w:tabs>
          <w:tab w:val="clear" w:pos="567"/>
        </w:tabs>
        <w:spacing w:line="240" w:lineRule="auto"/>
        <w:ind w:left="567" w:hanging="567"/>
        <w:rPr>
          <w:lang w:val="lv-LV"/>
        </w:rPr>
      </w:pPr>
    </w:p>
    <w:p w14:paraId="51936497" w14:textId="77777777" w:rsidR="002E1BD7" w:rsidRPr="005A6EF7" w:rsidRDefault="003C7756" w:rsidP="002E1BD7">
      <w:pPr>
        <w:rPr>
          <w:szCs w:val="22"/>
          <w:u w:val="single"/>
          <w:lang w:val="lv-LV"/>
        </w:rPr>
      </w:pPr>
      <w:r>
        <w:rPr>
          <w:szCs w:val="22"/>
          <w:u w:val="single"/>
          <w:lang w:val="lv-LV"/>
        </w:rPr>
        <w:lastRenderedPageBreak/>
        <w:t>Kontrindicētas kombinācijas</w:t>
      </w:r>
    </w:p>
    <w:p w14:paraId="1E86C601" w14:textId="77777777" w:rsidR="002E1BD7" w:rsidRPr="005A6EF7" w:rsidRDefault="002E1BD7" w:rsidP="002E1BD7">
      <w:pPr>
        <w:tabs>
          <w:tab w:val="clear" w:pos="567"/>
        </w:tabs>
        <w:autoSpaceDE w:val="0"/>
        <w:autoSpaceDN w:val="0"/>
        <w:adjustRightInd w:val="0"/>
        <w:spacing w:line="240" w:lineRule="auto"/>
        <w:rPr>
          <w:color w:val="000000"/>
          <w:szCs w:val="22"/>
          <w:lang w:val="lv-LV" w:eastAsia="pl-PL"/>
        </w:rPr>
      </w:pPr>
    </w:p>
    <w:p w14:paraId="3366E357" w14:textId="54D7663D" w:rsidR="002E1BD7" w:rsidRPr="005A6EF7" w:rsidRDefault="00D1179B" w:rsidP="002E1BD7">
      <w:pPr>
        <w:tabs>
          <w:tab w:val="clear" w:pos="567"/>
        </w:tabs>
        <w:autoSpaceDE w:val="0"/>
        <w:autoSpaceDN w:val="0"/>
        <w:adjustRightInd w:val="0"/>
        <w:spacing w:line="240" w:lineRule="auto"/>
        <w:rPr>
          <w:i/>
          <w:color w:val="000000"/>
          <w:szCs w:val="22"/>
          <w:lang w:val="lv-LV" w:eastAsia="pl-PL"/>
        </w:rPr>
      </w:pPr>
      <w:r>
        <w:rPr>
          <w:i/>
          <w:color w:val="000000"/>
          <w:szCs w:val="22"/>
          <w:lang w:val="lv-LV" w:eastAsia="pl-PL"/>
        </w:rPr>
        <w:t>M</w:t>
      </w:r>
      <w:r w:rsidRPr="005A6EF7">
        <w:rPr>
          <w:i/>
          <w:color w:val="000000"/>
          <w:szCs w:val="22"/>
          <w:lang w:val="lv-LV" w:eastAsia="pl-PL"/>
        </w:rPr>
        <w:t>etotreksāt</w:t>
      </w:r>
      <w:r w:rsidR="0007309F">
        <w:rPr>
          <w:i/>
          <w:color w:val="000000"/>
          <w:szCs w:val="22"/>
          <w:lang w:val="lv-LV" w:eastAsia="pl-PL"/>
        </w:rPr>
        <w:t>a</w:t>
      </w:r>
      <w:r w:rsidRPr="00F0558D">
        <w:rPr>
          <w:i/>
          <w:color w:val="000000"/>
          <w:szCs w:val="22"/>
          <w:lang w:val="lv-LV" w:eastAsia="pl-PL"/>
        </w:rPr>
        <w:t xml:space="preserve"> </w:t>
      </w:r>
      <w:r>
        <w:rPr>
          <w:i/>
          <w:color w:val="000000"/>
          <w:szCs w:val="22"/>
          <w:lang w:val="lv-LV" w:eastAsia="pl-PL"/>
        </w:rPr>
        <w:t>dev</w:t>
      </w:r>
      <w:r w:rsidR="0007309F">
        <w:rPr>
          <w:i/>
          <w:color w:val="000000"/>
          <w:szCs w:val="22"/>
          <w:lang w:val="lv-LV" w:eastAsia="pl-PL"/>
        </w:rPr>
        <w:t>a</w:t>
      </w:r>
      <w:r>
        <w:rPr>
          <w:i/>
          <w:color w:val="000000"/>
          <w:szCs w:val="22"/>
          <w:lang w:val="lv-LV" w:eastAsia="pl-PL"/>
        </w:rPr>
        <w:t xml:space="preserve"> </w:t>
      </w:r>
      <w:r w:rsidR="00F0558D">
        <w:rPr>
          <w:i/>
          <w:color w:val="000000"/>
          <w:szCs w:val="22"/>
          <w:lang w:val="lv-LV" w:eastAsia="pl-PL"/>
        </w:rPr>
        <w:t xml:space="preserve">15 mg </w:t>
      </w:r>
      <w:r w:rsidR="002E1BD7" w:rsidRPr="005A6EF7">
        <w:rPr>
          <w:i/>
          <w:color w:val="000000"/>
          <w:szCs w:val="22"/>
          <w:lang w:val="lv-LV" w:eastAsia="pl-PL"/>
        </w:rPr>
        <w:t>nedēļā vai lielāka</w:t>
      </w:r>
    </w:p>
    <w:p w14:paraId="0D2C4551" w14:textId="77777777" w:rsidR="002E1BD7" w:rsidRPr="005A6EF7" w:rsidRDefault="002E1BD7" w:rsidP="002E1BD7">
      <w:pPr>
        <w:rPr>
          <w:color w:val="000000"/>
          <w:szCs w:val="22"/>
          <w:lang w:val="lv-LV" w:eastAsia="pl-PL"/>
        </w:rPr>
      </w:pPr>
      <w:r w:rsidRPr="005A6EF7">
        <w:rPr>
          <w:color w:val="000000"/>
          <w:szCs w:val="22"/>
          <w:lang w:val="lv-LV" w:eastAsia="pl-PL"/>
        </w:rPr>
        <w:t>Acetilsalicilskābe paaugstina metotreksāta toksisko iedarbību uz kaul</w:t>
      </w:r>
      <w:r w:rsidR="003C7756">
        <w:rPr>
          <w:color w:val="000000"/>
          <w:szCs w:val="22"/>
          <w:lang w:val="lv-LV" w:eastAsia="pl-PL"/>
        </w:rPr>
        <w:t>u</w:t>
      </w:r>
      <w:r w:rsidRPr="005A6EF7">
        <w:rPr>
          <w:color w:val="000000"/>
          <w:szCs w:val="22"/>
          <w:lang w:val="lv-LV" w:eastAsia="pl-PL"/>
        </w:rPr>
        <w:t xml:space="preserve"> smadzenēm, jo nestreoīdie pretiekaisuma līdzekļi, tai skaitā acetilsalicilskābe, samazina metotreksāta nieru klīrensu. Salicilāti aizstāj metotreksātu t</w:t>
      </w:r>
      <w:r w:rsidR="00050E95">
        <w:rPr>
          <w:color w:val="000000"/>
          <w:szCs w:val="22"/>
          <w:lang w:val="lv-LV" w:eastAsia="pl-PL"/>
        </w:rPr>
        <w:t>ā</w:t>
      </w:r>
      <w:r w:rsidRPr="005A6EF7">
        <w:rPr>
          <w:color w:val="000000"/>
          <w:szCs w:val="22"/>
          <w:lang w:val="lv-LV" w:eastAsia="pl-PL"/>
        </w:rPr>
        <w:t xml:space="preserve"> saistīšanās vietā ar plazmas proteīniem (skatīt 4.3. apakšpunktu).</w:t>
      </w:r>
    </w:p>
    <w:p w14:paraId="766BFD8E" w14:textId="77777777" w:rsidR="002E1BD7" w:rsidRPr="005A6EF7" w:rsidRDefault="002E1BD7" w:rsidP="002E1BD7">
      <w:pPr>
        <w:rPr>
          <w:color w:val="000000"/>
          <w:szCs w:val="22"/>
          <w:lang w:val="lv-LV" w:eastAsia="pl-PL"/>
        </w:rPr>
      </w:pPr>
    </w:p>
    <w:p w14:paraId="27EB1537" w14:textId="77777777" w:rsidR="002E1BD7" w:rsidRPr="005A6EF7" w:rsidRDefault="002E1BD7" w:rsidP="002E1BD7">
      <w:pPr>
        <w:tabs>
          <w:tab w:val="clear" w:pos="567"/>
        </w:tabs>
        <w:autoSpaceDE w:val="0"/>
        <w:autoSpaceDN w:val="0"/>
        <w:adjustRightInd w:val="0"/>
        <w:spacing w:line="240" w:lineRule="auto"/>
        <w:rPr>
          <w:color w:val="000000"/>
          <w:szCs w:val="22"/>
          <w:u w:val="single"/>
          <w:lang w:val="lv-LV" w:eastAsia="pl-PL"/>
        </w:rPr>
      </w:pPr>
      <w:r w:rsidRPr="005A6EF7">
        <w:rPr>
          <w:color w:val="000000"/>
          <w:szCs w:val="22"/>
          <w:u w:val="single"/>
          <w:lang w:val="lv-LV" w:eastAsia="pl-PL"/>
        </w:rPr>
        <w:t>Kombinācijas, kas jāli</w:t>
      </w:r>
      <w:r w:rsidR="00F0558D">
        <w:rPr>
          <w:color w:val="000000"/>
          <w:szCs w:val="22"/>
          <w:u w:val="single"/>
          <w:lang w:val="lv-LV" w:eastAsia="pl-PL"/>
        </w:rPr>
        <w:t>eto piesardzīgi vai jāņem vērā</w:t>
      </w:r>
    </w:p>
    <w:p w14:paraId="0099B6BA" w14:textId="77777777" w:rsidR="002E1BD7" w:rsidRPr="005A6EF7" w:rsidRDefault="002E1BD7" w:rsidP="002E1BD7">
      <w:pPr>
        <w:tabs>
          <w:tab w:val="clear" w:pos="567"/>
        </w:tabs>
        <w:autoSpaceDE w:val="0"/>
        <w:autoSpaceDN w:val="0"/>
        <w:adjustRightInd w:val="0"/>
        <w:spacing w:line="240" w:lineRule="auto"/>
        <w:rPr>
          <w:color w:val="000000"/>
          <w:szCs w:val="22"/>
          <w:lang w:val="lv-LV" w:eastAsia="pl-PL"/>
        </w:rPr>
      </w:pPr>
    </w:p>
    <w:p w14:paraId="2403A596" w14:textId="667A210D" w:rsidR="002E1BD7" w:rsidRPr="005A6EF7" w:rsidRDefault="00D17F7D" w:rsidP="002E1BD7">
      <w:pPr>
        <w:tabs>
          <w:tab w:val="clear" w:pos="567"/>
        </w:tabs>
        <w:autoSpaceDE w:val="0"/>
        <w:autoSpaceDN w:val="0"/>
        <w:adjustRightInd w:val="0"/>
        <w:spacing w:line="240" w:lineRule="auto"/>
        <w:rPr>
          <w:i/>
          <w:color w:val="000000"/>
          <w:szCs w:val="22"/>
          <w:lang w:val="lv-LV" w:eastAsia="pl-PL"/>
        </w:rPr>
      </w:pPr>
      <w:r>
        <w:rPr>
          <w:i/>
          <w:color w:val="000000"/>
          <w:szCs w:val="22"/>
          <w:lang w:val="lv-LV" w:eastAsia="pl-PL"/>
        </w:rPr>
        <w:t>M</w:t>
      </w:r>
      <w:r w:rsidR="00643CE7">
        <w:rPr>
          <w:i/>
          <w:color w:val="000000"/>
          <w:szCs w:val="22"/>
          <w:lang w:val="lv-LV" w:eastAsia="pl-PL"/>
        </w:rPr>
        <w:t>etotreksāta</w:t>
      </w:r>
      <w:r>
        <w:rPr>
          <w:i/>
          <w:color w:val="000000"/>
          <w:szCs w:val="22"/>
          <w:lang w:val="lv-LV" w:eastAsia="pl-PL"/>
        </w:rPr>
        <w:t xml:space="preserve"> dev</w:t>
      </w:r>
      <w:r w:rsidR="00643CE7">
        <w:rPr>
          <w:i/>
          <w:color w:val="000000"/>
          <w:szCs w:val="22"/>
          <w:lang w:val="lv-LV" w:eastAsia="pl-PL"/>
        </w:rPr>
        <w:t>a</w:t>
      </w:r>
      <w:r>
        <w:rPr>
          <w:i/>
          <w:color w:val="000000"/>
          <w:szCs w:val="22"/>
          <w:lang w:val="lv-LV" w:eastAsia="pl-PL"/>
        </w:rPr>
        <w:t xml:space="preserve"> </w:t>
      </w:r>
      <w:r w:rsidR="00643CE7">
        <w:rPr>
          <w:i/>
          <w:color w:val="000000"/>
          <w:szCs w:val="22"/>
          <w:lang w:val="lv-LV" w:eastAsia="pl-PL"/>
        </w:rPr>
        <w:t xml:space="preserve">mazāka </w:t>
      </w:r>
      <w:r>
        <w:rPr>
          <w:i/>
          <w:color w:val="000000"/>
          <w:szCs w:val="22"/>
          <w:lang w:val="lv-LV" w:eastAsia="pl-PL"/>
        </w:rPr>
        <w:t>p</w:t>
      </w:r>
      <w:r w:rsidR="003C7756" w:rsidRPr="005A6EF7">
        <w:rPr>
          <w:i/>
          <w:color w:val="000000"/>
          <w:szCs w:val="22"/>
          <w:lang w:val="lv-LV" w:eastAsia="pl-PL"/>
        </w:rPr>
        <w:t>ar 15 mg</w:t>
      </w:r>
      <w:r w:rsidR="003C7756">
        <w:rPr>
          <w:i/>
          <w:color w:val="000000"/>
          <w:szCs w:val="22"/>
          <w:lang w:val="lv-LV" w:eastAsia="pl-PL"/>
        </w:rPr>
        <w:t xml:space="preserve"> </w:t>
      </w:r>
      <w:r w:rsidR="003C7756" w:rsidRPr="005A6EF7">
        <w:rPr>
          <w:i/>
          <w:color w:val="000000"/>
          <w:szCs w:val="22"/>
          <w:lang w:val="lv-LV" w:eastAsia="pl-PL"/>
        </w:rPr>
        <w:t>nedēļā</w:t>
      </w:r>
    </w:p>
    <w:p w14:paraId="3AF41ED2" w14:textId="77777777" w:rsidR="002E1BD7" w:rsidRPr="005A6EF7" w:rsidRDefault="002E1BD7" w:rsidP="002E1BD7">
      <w:pPr>
        <w:rPr>
          <w:color w:val="000000"/>
          <w:szCs w:val="22"/>
          <w:lang w:val="lv-LV" w:eastAsia="pl-PL"/>
        </w:rPr>
      </w:pPr>
      <w:r w:rsidRPr="005A6EF7">
        <w:rPr>
          <w:color w:val="000000"/>
          <w:szCs w:val="22"/>
          <w:lang w:val="lv-LV" w:eastAsia="pl-PL"/>
        </w:rPr>
        <w:t>Acetilsalicilskābe pa</w:t>
      </w:r>
      <w:r w:rsidR="003C7756">
        <w:rPr>
          <w:color w:val="000000"/>
          <w:szCs w:val="22"/>
          <w:lang w:val="lv-LV" w:eastAsia="pl-PL"/>
        </w:rPr>
        <w:t>stiprina</w:t>
      </w:r>
      <w:r w:rsidRPr="005A6EF7">
        <w:rPr>
          <w:color w:val="000000"/>
          <w:szCs w:val="22"/>
          <w:lang w:val="lv-LV" w:eastAsia="pl-PL"/>
        </w:rPr>
        <w:t xml:space="preserve"> metotreksāta toksisko ie</w:t>
      </w:r>
      <w:r w:rsidR="003C7756">
        <w:rPr>
          <w:color w:val="000000"/>
          <w:szCs w:val="22"/>
          <w:lang w:val="lv-LV" w:eastAsia="pl-PL"/>
        </w:rPr>
        <w:t>tekmi</w:t>
      </w:r>
      <w:r w:rsidRPr="005A6EF7">
        <w:rPr>
          <w:color w:val="000000"/>
          <w:szCs w:val="22"/>
          <w:lang w:val="lv-LV" w:eastAsia="pl-PL"/>
        </w:rPr>
        <w:t xml:space="preserve"> uz kaul</w:t>
      </w:r>
      <w:r w:rsidR="003C7756">
        <w:rPr>
          <w:color w:val="000000"/>
          <w:szCs w:val="22"/>
          <w:lang w:val="lv-LV" w:eastAsia="pl-PL"/>
        </w:rPr>
        <w:t>u</w:t>
      </w:r>
      <w:r w:rsidRPr="005A6EF7">
        <w:rPr>
          <w:color w:val="000000"/>
          <w:szCs w:val="22"/>
          <w:lang w:val="lv-LV" w:eastAsia="pl-PL"/>
        </w:rPr>
        <w:t xml:space="preserve"> smadzenēm, jo nestreoīdie pretiekaisuma līdzekļi, tai skaitā acetilsalicilskābe, samazina metotreksāta nieru klīrensu. Salicilāti aizstāj metotreksātu t</w:t>
      </w:r>
      <w:r w:rsidR="0061272E">
        <w:rPr>
          <w:color w:val="000000"/>
          <w:szCs w:val="22"/>
          <w:lang w:val="lv-LV" w:eastAsia="pl-PL"/>
        </w:rPr>
        <w:t>ā</w:t>
      </w:r>
      <w:r w:rsidRPr="005A6EF7">
        <w:rPr>
          <w:color w:val="000000"/>
          <w:szCs w:val="22"/>
          <w:lang w:val="lv-LV" w:eastAsia="pl-PL"/>
        </w:rPr>
        <w:t xml:space="preserve"> saistīšanās vietā ar plazmas proteīniem (skatīt 4.3. apakšpunktu).</w:t>
      </w:r>
    </w:p>
    <w:p w14:paraId="424F2D87" w14:textId="77777777" w:rsidR="002E1BD7" w:rsidRPr="005A6EF7" w:rsidRDefault="002E1BD7" w:rsidP="002E1BD7">
      <w:pPr>
        <w:tabs>
          <w:tab w:val="clear" w:pos="567"/>
        </w:tabs>
        <w:autoSpaceDE w:val="0"/>
        <w:autoSpaceDN w:val="0"/>
        <w:adjustRightInd w:val="0"/>
        <w:spacing w:line="240" w:lineRule="auto"/>
        <w:rPr>
          <w:color w:val="000000"/>
          <w:szCs w:val="22"/>
          <w:lang w:val="lv-LV" w:eastAsia="pl-PL"/>
        </w:rPr>
      </w:pPr>
    </w:p>
    <w:p w14:paraId="72925DEB" w14:textId="77777777" w:rsidR="002E1BD7" w:rsidRPr="005A6EF7" w:rsidRDefault="002E1BD7"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Ibuprofēns</w:t>
      </w:r>
    </w:p>
    <w:p w14:paraId="742A0451" w14:textId="7652E954" w:rsidR="002E1BD7" w:rsidRPr="005A6EF7" w:rsidRDefault="002E1BD7" w:rsidP="002E1BD7">
      <w:pPr>
        <w:rPr>
          <w:color w:val="000000"/>
          <w:szCs w:val="22"/>
          <w:lang w:val="lv-LV" w:eastAsia="pl-PL"/>
        </w:rPr>
      </w:pPr>
      <w:r w:rsidRPr="005A6EF7">
        <w:rPr>
          <w:color w:val="000000"/>
          <w:szCs w:val="22"/>
          <w:lang w:val="lv-LV" w:eastAsia="pl-PL"/>
        </w:rPr>
        <w:t xml:space="preserve">Eksperimentāli dati liecina, ka </w:t>
      </w:r>
      <w:r w:rsidR="00E90664">
        <w:rPr>
          <w:color w:val="000000"/>
          <w:szCs w:val="22"/>
          <w:lang w:val="lv-LV" w:eastAsia="pl-PL"/>
        </w:rPr>
        <w:t>vienlaicīgas</w:t>
      </w:r>
      <w:r w:rsidRPr="005A6EF7">
        <w:rPr>
          <w:color w:val="000000"/>
          <w:szCs w:val="22"/>
          <w:lang w:val="lv-LV" w:eastAsia="pl-PL"/>
        </w:rPr>
        <w:t xml:space="preserve"> lieto</w:t>
      </w:r>
      <w:r w:rsidR="00E90664">
        <w:rPr>
          <w:color w:val="000000"/>
          <w:szCs w:val="22"/>
          <w:lang w:val="lv-LV" w:eastAsia="pl-PL"/>
        </w:rPr>
        <w:t>šanas gadījumā</w:t>
      </w:r>
      <w:r w:rsidRPr="005A6EF7">
        <w:rPr>
          <w:color w:val="000000"/>
          <w:szCs w:val="22"/>
          <w:lang w:val="lv-LV" w:eastAsia="pl-PL"/>
        </w:rPr>
        <w:t xml:space="preserve"> </w:t>
      </w:r>
      <w:r w:rsidR="00FC599B" w:rsidRPr="005A6EF7">
        <w:rPr>
          <w:color w:val="000000"/>
          <w:szCs w:val="22"/>
          <w:lang w:val="lv-LV" w:eastAsia="pl-PL"/>
        </w:rPr>
        <w:t xml:space="preserve">ibuprofēns </w:t>
      </w:r>
      <w:r w:rsidRPr="005A6EF7">
        <w:rPr>
          <w:color w:val="000000"/>
          <w:szCs w:val="22"/>
          <w:lang w:val="lv-LV" w:eastAsia="pl-PL"/>
        </w:rPr>
        <w:t>var inhibēt maz</w:t>
      </w:r>
      <w:r w:rsidR="003E7051">
        <w:rPr>
          <w:color w:val="000000"/>
          <w:szCs w:val="22"/>
          <w:lang w:val="lv-LV" w:eastAsia="pl-PL"/>
        </w:rPr>
        <w:t>ā</w:t>
      </w:r>
      <w:r w:rsidRPr="005A6EF7">
        <w:rPr>
          <w:color w:val="000000"/>
          <w:szCs w:val="22"/>
          <w:lang w:val="lv-LV" w:eastAsia="pl-PL"/>
        </w:rPr>
        <w:t>s dev</w:t>
      </w:r>
      <w:r w:rsidR="003E7051">
        <w:rPr>
          <w:color w:val="000000"/>
          <w:szCs w:val="22"/>
          <w:lang w:val="lv-LV" w:eastAsia="pl-PL"/>
        </w:rPr>
        <w:t>ā</w:t>
      </w:r>
      <w:r w:rsidRPr="005A6EF7">
        <w:rPr>
          <w:color w:val="000000"/>
          <w:szCs w:val="22"/>
          <w:lang w:val="lv-LV" w:eastAsia="pl-PL"/>
        </w:rPr>
        <w:t xml:space="preserve">s </w:t>
      </w:r>
      <w:r w:rsidR="003E7051">
        <w:rPr>
          <w:color w:val="000000"/>
          <w:szCs w:val="22"/>
          <w:lang w:val="lv-LV" w:eastAsia="pl-PL"/>
        </w:rPr>
        <w:t xml:space="preserve">lietotas </w:t>
      </w:r>
      <w:r w:rsidRPr="005A6EF7">
        <w:rPr>
          <w:color w:val="000000"/>
          <w:szCs w:val="22"/>
          <w:lang w:val="lv-LV" w:eastAsia="pl-PL"/>
        </w:rPr>
        <w:t xml:space="preserve">acetilsalicilskābes </w:t>
      </w:r>
      <w:r w:rsidR="003C7756">
        <w:rPr>
          <w:color w:val="000000"/>
          <w:szCs w:val="22"/>
          <w:lang w:val="lv-LV" w:eastAsia="pl-PL"/>
        </w:rPr>
        <w:t>ietekmi</w:t>
      </w:r>
      <w:r w:rsidRPr="005A6EF7">
        <w:rPr>
          <w:color w:val="000000"/>
          <w:szCs w:val="22"/>
          <w:lang w:val="lv-LV" w:eastAsia="pl-PL"/>
        </w:rPr>
        <w:t xml:space="preserve"> uz trombocītu agregāciju. Tomēr šo datu ierobežo</w:t>
      </w:r>
      <w:r w:rsidR="00B6429D">
        <w:rPr>
          <w:color w:val="000000"/>
          <w:szCs w:val="22"/>
          <w:lang w:val="lv-LV" w:eastAsia="pl-PL"/>
        </w:rPr>
        <w:t>tais apjoms</w:t>
      </w:r>
      <w:r w:rsidRPr="005A6EF7">
        <w:rPr>
          <w:color w:val="000000"/>
          <w:szCs w:val="22"/>
          <w:lang w:val="lv-LV" w:eastAsia="pl-PL"/>
        </w:rPr>
        <w:t xml:space="preserve"> un </w:t>
      </w:r>
      <w:r w:rsidR="00B6429D" w:rsidRPr="005A6EF7">
        <w:rPr>
          <w:color w:val="000000"/>
          <w:szCs w:val="22"/>
          <w:lang w:val="lv-LV" w:eastAsia="pl-PL"/>
        </w:rPr>
        <w:t>ne</w:t>
      </w:r>
      <w:r w:rsidR="00B6429D">
        <w:rPr>
          <w:color w:val="000000"/>
          <w:szCs w:val="22"/>
          <w:lang w:val="lv-LV" w:eastAsia="pl-PL"/>
        </w:rPr>
        <w:t>skaidrības</w:t>
      </w:r>
      <w:r w:rsidRPr="005A6EF7">
        <w:rPr>
          <w:color w:val="000000"/>
          <w:szCs w:val="22"/>
          <w:lang w:val="lv-LV" w:eastAsia="pl-PL"/>
        </w:rPr>
        <w:t xml:space="preserve">, kas saistīta ar </w:t>
      </w:r>
      <w:r w:rsidRPr="005A6EF7">
        <w:rPr>
          <w:i/>
          <w:color w:val="000000"/>
          <w:szCs w:val="22"/>
          <w:lang w:val="lv-LV" w:eastAsia="pl-PL"/>
        </w:rPr>
        <w:t>ex vivo</w:t>
      </w:r>
      <w:r w:rsidRPr="005A6EF7">
        <w:rPr>
          <w:color w:val="000000"/>
          <w:szCs w:val="22"/>
          <w:lang w:val="lv-LV" w:eastAsia="pl-PL"/>
        </w:rPr>
        <w:t xml:space="preserve"> datu ekstrapolēšanu uz klīniskām situācijām,</w:t>
      </w:r>
      <w:r w:rsidR="00F229EF" w:rsidRPr="005A6EF7">
        <w:rPr>
          <w:color w:val="000000"/>
          <w:szCs w:val="22"/>
          <w:lang w:val="lv-LV" w:eastAsia="pl-PL"/>
        </w:rPr>
        <w:t xml:space="preserve"> nozīmē, ka nevar izdarīt pārliecinošus secinājumus par regulāru ibuprofēna lietošanu</w:t>
      </w:r>
      <w:r w:rsidRPr="005A6EF7">
        <w:rPr>
          <w:color w:val="000000"/>
          <w:szCs w:val="22"/>
          <w:lang w:val="lv-LV" w:eastAsia="pl-PL"/>
        </w:rPr>
        <w:t>,</w:t>
      </w:r>
      <w:r w:rsidR="00F229EF" w:rsidRPr="005A6EF7">
        <w:rPr>
          <w:color w:val="000000"/>
          <w:szCs w:val="22"/>
          <w:lang w:val="lv-LV" w:eastAsia="pl-PL"/>
        </w:rPr>
        <w:t xml:space="preserve"> un </w:t>
      </w:r>
      <w:r w:rsidR="00AD1761">
        <w:rPr>
          <w:color w:val="000000"/>
          <w:szCs w:val="22"/>
          <w:lang w:val="lv-LV" w:eastAsia="pl-PL"/>
        </w:rPr>
        <w:t xml:space="preserve">maz ticama </w:t>
      </w:r>
      <w:r w:rsidR="00F229EF" w:rsidRPr="005A6EF7">
        <w:rPr>
          <w:color w:val="000000"/>
          <w:szCs w:val="22"/>
          <w:lang w:val="lv-LV" w:eastAsia="pl-PL"/>
        </w:rPr>
        <w:t>klīniski nozīmīg</w:t>
      </w:r>
      <w:r w:rsidR="003C7756">
        <w:rPr>
          <w:color w:val="000000"/>
          <w:szCs w:val="22"/>
          <w:lang w:val="lv-LV" w:eastAsia="pl-PL"/>
        </w:rPr>
        <w:t>a</w:t>
      </w:r>
      <w:r w:rsidR="00F229EF" w:rsidRPr="005A6EF7">
        <w:rPr>
          <w:color w:val="000000"/>
          <w:szCs w:val="22"/>
          <w:lang w:val="lv-LV" w:eastAsia="pl-PL"/>
        </w:rPr>
        <w:t xml:space="preserve"> </w:t>
      </w:r>
      <w:r w:rsidR="003C7756">
        <w:rPr>
          <w:color w:val="000000"/>
          <w:szCs w:val="22"/>
          <w:lang w:val="lv-LV" w:eastAsia="pl-PL"/>
        </w:rPr>
        <w:t>ietekme</w:t>
      </w:r>
      <w:r w:rsidR="00F229EF" w:rsidRPr="005A6EF7">
        <w:rPr>
          <w:color w:val="000000"/>
          <w:szCs w:val="22"/>
          <w:lang w:val="lv-LV" w:eastAsia="pl-PL"/>
        </w:rPr>
        <w:t xml:space="preserve">, lietojot ibuprofēnu neregulāri </w:t>
      </w:r>
      <w:r w:rsidRPr="005A6EF7">
        <w:rPr>
          <w:color w:val="000000"/>
          <w:szCs w:val="22"/>
          <w:lang w:val="lv-LV" w:eastAsia="pl-PL"/>
        </w:rPr>
        <w:t>(</w:t>
      </w:r>
      <w:r w:rsidR="00F229EF" w:rsidRPr="005A6EF7">
        <w:rPr>
          <w:color w:val="000000"/>
          <w:szCs w:val="22"/>
          <w:lang w:val="lv-LV" w:eastAsia="pl-PL"/>
        </w:rPr>
        <w:t>skatīt</w:t>
      </w:r>
      <w:r w:rsidRPr="005A6EF7">
        <w:rPr>
          <w:color w:val="000000"/>
          <w:szCs w:val="22"/>
          <w:lang w:val="lv-LV" w:eastAsia="pl-PL"/>
        </w:rPr>
        <w:t xml:space="preserve"> 5.1</w:t>
      </w:r>
      <w:r w:rsidR="00F229EF" w:rsidRPr="005A6EF7">
        <w:rPr>
          <w:color w:val="000000"/>
          <w:szCs w:val="22"/>
          <w:lang w:val="lv-LV" w:eastAsia="pl-PL"/>
        </w:rPr>
        <w:t>. apakšpunktu</w:t>
      </w:r>
      <w:r w:rsidRPr="005A6EF7">
        <w:rPr>
          <w:color w:val="000000"/>
          <w:szCs w:val="22"/>
          <w:lang w:val="lv-LV" w:eastAsia="pl-PL"/>
        </w:rPr>
        <w:t>).</w:t>
      </w:r>
    </w:p>
    <w:p w14:paraId="0AF492B0" w14:textId="77777777" w:rsidR="002E1BD7" w:rsidRPr="005A6EF7" w:rsidRDefault="002E1BD7" w:rsidP="002E1BD7">
      <w:pPr>
        <w:rPr>
          <w:color w:val="000000"/>
          <w:szCs w:val="22"/>
          <w:lang w:val="lv-LV" w:eastAsia="pl-PL"/>
        </w:rPr>
      </w:pPr>
    </w:p>
    <w:p w14:paraId="63AC15C5" w14:textId="65CE3426" w:rsidR="002E1BD7" w:rsidRPr="005A6EF7" w:rsidRDefault="00F229EF"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Antikoagulanti, piemēram, kumarīna atvasinājumi, heparīns</w:t>
      </w:r>
    </w:p>
    <w:p w14:paraId="5BCC0A5F" w14:textId="32B380BA" w:rsidR="002E1BD7" w:rsidRPr="005A6EF7" w:rsidRDefault="00F229EF"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Vienlaicīga acetilsalicilskābes un antikoagulantu, piemēram, varfarīna, lietošana var pastiprināt antikoagulantu aktivitāti: paaugstināt asiņošanas ilguma un </w:t>
      </w:r>
      <w:r w:rsidR="00EB2FA9">
        <w:rPr>
          <w:color w:val="000000"/>
          <w:szCs w:val="22"/>
          <w:lang w:val="lv-LV" w:eastAsia="pl-PL"/>
        </w:rPr>
        <w:t>asiņošanas</w:t>
      </w:r>
      <w:r w:rsidR="00D828C6">
        <w:rPr>
          <w:color w:val="000000"/>
          <w:szCs w:val="22"/>
          <w:lang w:val="lv-LV" w:eastAsia="pl-PL"/>
        </w:rPr>
        <w:t xml:space="preserve"> </w:t>
      </w:r>
      <w:r w:rsidR="00825EBD" w:rsidRPr="005A6EF7">
        <w:rPr>
          <w:color w:val="000000"/>
          <w:szCs w:val="22"/>
          <w:lang w:val="lv-LV" w:eastAsia="pl-PL"/>
        </w:rPr>
        <w:t xml:space="preserve"> </w:t>
      </w:r>
      <w:r w:rsidRPr="005A6EF7">
        <w:rPr>
          <w:color w:val="000000"/>
          <w:szCs w:val="22"/>
          <w:lang w:val="lv-LV" w:eastAsia="pl-PL"/>
        </w:rPr>
        <w:t xml:space="preserve">risku, kas rodas aizvietojot iekšķīgi lietojamos antikoagulantus </w:t>
      </w:r>
      <w:r w:rsidR="00610756">
        <w:rPr>
          <w:color w:val="000000"/>
          <w:szCs w:val="22"/>
          <w:lang w:val="lv-LV" w:eastAsia="pl-PL"/>
        </w:rPr>
        <w:t xml:space="preserve">no </w:t>
      </w:r>
      <w:r w:rsidR="007F6319" w:rsidRPr="005A6EF7">
        <w:rPr>
          <w:color w:val="000000"/>
          <w:szCs w:val="22"/>
          <w:lang w:val="lv-LV" w:eastAsia="pl-PL"/>
        </w:rPr>
        <w:t>vietā</w:t>
      </w:r>
      <w:r w:rsidR="007F6319">
        <w:rPr>
          <w:color w:val="000000"/>
          <w:szCs w:val="22"/>
          <w:lang w:val="lv-LV" w:eastAsia="pl-PL"/>
        </w:rPr>
        <w:t xml:space="preserve">m, kur </w:t>
      </w:r>
      <w:r w:rsidRPr="005A6EF7">
        <w:rPr>
          <w:color w:val="000000"/>
          <w:szCs w:val="22"/>
          <w:lang w:val="lv-LV" w:eastAsia="pl-PL"/>
        </w:rPr>
        <w:t>t</w:t>
      </w:r>
      <w:r w:rsidR="007F6319">
        <w:rPr>
          <w:color w:val="000000"/>
          <w:szCs w:val="22"/>
          <w:lang w:val="lv-LV" w:eastAsia="pl-PL"/>
        </w:rPr>
        <w:t>ie</w:t>
      </w:r>
      <w:r w:rsidRPr="005A6EF7">
        <w:rPr>
          <w:color w:val="000000"/>
          <w:szCs w:val="22"/>
          <w:lang w:val="lv-LV" w:eastAsia="pl-PL"/>
        </w:rPr>
        <w:t xml:space="preserve"> saistās  ar </w:t>
      </w:r>
      <w:r w:rsidR="000F5C4E">
        <w:rPr>
          <w:color w:val="000000"/>
          <w:szCs w:val="22"/>
          <w:lang w:val="lv-LV" w:eastAsia="pl-PL"/>
        </w:rPr>
        <w:t xml:space="preserve">plazmas </w:t>
      </w:r>
      <w:r w:rsidRPr="005A6EF7">
        <w:rPr>
          <w:color w:val="000000"/>
          <w:szCs w:val="22"/>
          <w:lang w:val="lv-LV" w:eastAsia="pl-PL"/>
        </w:rPr>
        <w:t>proteīniem</w:t>
      </w:r>
      <w:r w:rsidR="001A16F3">
        <w:rPr>
          <w:color w:val="000000"/>
          <w:szCs w:val="22"/>
          <w:lang w:val="lv-LV" w:eastAsia="pl-PL"/>
        </w:rPr>
        <w:t>,</w:t>
      </w:r>
      <w:r w:rsidR="00685DB3" w:rsidRPr="005A6EF7">
        <w:rPr>
          <w:color w:val="000000"/>
          <w:szCs w:val="22"/>
          <w:lang w:val="lv-LV" w:eastAsia="pl-PL"/>
        </w:rPr>
        <w:t xml:space="preserve"> un acetilsalicilskābes antitrombot</w:t>
      </w:r>
      <w:r w:rsidR="003C7756">
        <w:rPr>
          <w:color w:val="000000"/>
          <w:szCs w:val="22"/>
          <w:lang w:val="lv-LV" w:eastAsia="pl-PL"/>
        </w:rPr>
        <w:t>iskas</w:t>
      </w:r>
      <w:r w:rsidR="00685DB3" w:rsidRPr="005A6EF7">
        <w:rPr>
          <w:color w:val="000000"/>
          <w:szCs w:val="22"/>
          <w:lang w:val="lv-LV" w:eastAsia="pl-PL"/>
        </w:rPr>
        <w:t xml:space="preserve"> aktivitātes</w:t>
      </w:r>
      <w:r w:rsidR="003C7756">
        <w:rPr>
          <w:color w:val="000000"/>
          <w:szCs w:val="22"/>
          <w:lang w:val="lv-LV" w:eastAsia="pl-PL"/>
        </w:rPr>
        <w:t xml:space="preserve"> dēļ</w:t>
      </w:r>
      <w:r w:rsidR="00685DB3" w:rsidRPr="005A6EF7">
        <w:rPr>
          <w:color w:val="000000"/>
          <w:szCs w:val="22"/>
          <w:lang w:val="lv-LV" w:eastAsia="pl-PL"/>
        </w:rPr>
        <w:t xml:space="preserve"> </w:t>
      </w:r>
      <w:r w:rsidR="002E1BD7" w:rsidRPr="005A6EF7">
        <w:rPr>
          <w:color w:val="000000"/>
          <w:szCs w:val="22"/>
          <w:lang w:val="lv-LV" w:eastAsia="pl-PL"/>
        </w:rPr>
        <w:t>(</w:t>
      </w:r>
      <w:r w:rsidR="00685DB3" w:rsidRPr="005A6EF7">
        <w:rPr>
          <w:color w:val="000000"/>
          <w:szCs w:val="22"/>
          <w:lang w:val="lv-LV" w:eastAsia="pl-PL"/>
        </w:rPr>
        <w:t>skatīt</w:t>
      </w:r>
      <w:r w:rsidR="002E1BD7" w:rsidRPr="005A6EF7">
        <w:rPr>
          <w:color w:val="000000"/>
          <w:szCs w:val="22"/>
          <w:lang w:val="lv-LV" w:eastAsia="pl-PL"/>
        </w:rPr>
        <w:t xml:space="preserve"> 4.4</w:t>
      </w:r>
      <w:r w:rsidR="00685DB3" w:rsidRPr="005A6EF7">
        <w:rPr>
          <w:color w:val="000000"/>
          <w:szCs w:val="22"/>
          <w:lang w:val="lv-LV" w:eastAsia="pl-PL"/>
        </w:rPr>
        <w:t>. apakšpunktu)</w:t>
      </w:r>
      <w:r w:rsidR="002E1BD7" w:rsidRPr="005A6EF7">
        <w:rPr>
          <w:color w:val="000000"/>
          <w:szCs w:val="22"/>
          <w:lang w:val="lv-LV" w:eastAsia="pl-PL"/>
        </w:rPr>
        <w:t>.</w:t>
      </w:r>
    </w:p>
    <w:p w14:paraId="3DB6B641" w14:textId="77777777" w:rsidR="002E1BD7" w:rsidRPr="005A6EF7" w:rsidRDefault="002E1BD7" w:rsidP="002E1BD7">
      <w:pPr>
        <w:tabs>
          <w:tab w:val="clear" w:pos="567"/>
        </w:tabs>
        <w:autoSpaceDE w:val="0"/>
        <w:autoSpaceDN w:val="0"/>
        <w:adjustRightInd w:val="0"/>
        <w:spacing w:line="240" w:lineRule="auto"/>
        <w:rPr>
          <w:color w:val="000000"/>
          <w:szCs w:val="22"/>
          <w:lang w:val="lv-LV" w:eastAsia="pl-PL"/>
        </w:rPr>
      </w:pPr>
    </w:p>
    <w:p w14:paraId="257AA9FD" w14:textId="2B5E4121" w:rsidR="002E1BD7" w:rsidRPr="005A6EF7" w:rsidRDefault="00685DB3"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Selektīvie serotonīna atpakaļsaistīšanās inhibitori</w:t>
      </w:r>
      <w:r w:rsidR="002E1BD7" w:rsidRPr="005A6EF7">
        <w:rPr>
          <w:i/>
          <w:color w:val="000000"/>
          <w:szCs w:val="22"/>
          <w:lang w:val="lv-LV" w:eastAsia="pl-PL"/>
        </w:rPr>
        <w:t xml:space="preserve"> </w:t>
      </w:r>
      <w:r w:rsidR="002E1BD7" w:rsidRPr="005A6EF7">
        <w:rPr>
          <w:color w:val="000000"/>
          <w:szCs w:val="22"/>
          <w:lang w:val="lv-LV" w:eastAsia="pl-PL"/>
        </w:rPr>
        <w:t>(</w:t>
      </w:r>
      <w:r w:rsidR="002E1BD7" w:rsidRPr="005A6EF7">
        <w:rPr>
          <w:i/>
          <w:color w:val="000000"/>
          <w:szCs w:val="22"/>
          <w:lang w:val="lv-LV" w:eastAsia="pl-PL"/>
        </w:rPr>
        <w:t>S</w:t>
      </w:r>
      <w:r w:rsidRPr="005A6EF7">
        <w:rPr>
          <w:i/>
          <w:color w:val="000000"/>
          <w:szCs w:val="22"/>
          <w:lang w:val="lv-LV" w:eastAsia="pl-PL"/>
        </w:rPr>
        <w:t>SAI</w:t>
      </w:r>
      <w:r w:rsidR="002E1BD7" w:rsidRPr="005A6EF7">
        <w:rPr>
          <w:color w:val="000000"/>
          <w:szCs w:val="22"/>
          <w:lang w:val="lv-LV" w:eastAsia="pl-PL"/>
        </w:rPr>
        <w:t>)</w:t>
      </w:r>
    </w:p>
    <w:p w14:paraId="6DD82899" w14:textId="77777777" w:rsidR="002E1BD7" w:rsidRPr="005A6EF7" w:rsidRDefault="00685DB3"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Sinerģisk</w:t>
      </w:r>
      <w:r w:rsidR="003C7756">
        <w:rPr>
          <w:color w:val="000000"/>
          <w:szCs w:val="22"/>
          <w:lang w:val="lv-LV" w:eastAsia="pl-PL"/>
        </w:rPr>
        <w:t xml:space="preserve">as </w:t>
      </w:r>
      <w:r w:rsidR="00D40960">
        <w:rPr>
          <w:color w:val="000000"/>
          <w:szCs w:val="22"/>
          <w:lang w:val="lv-LV" w:eastAsia="pl-PL"/>
        </w:rPr>
        <w:t>ie</w:t>
      </w:r>
      <w:r w:rsidR="003C7756">
        <w:rPr>
          <w:color w:val="000000"/>
          <w:szCs w:val="22"/>
          <w:lang w:val="lv-LV" w:eastAsia="pl-PL"/>
        </w:rPr>
        <w:t>darbības</w:t>
      </w:r>
      <w:r w:rsidRPr="005A6EF7">
        <w:rPr>
          <w:color w:val="000000"/>
          <w:szCs w:val="22"/>
          <w:lang w:val="lv-LV" w:eastAsia="pl-PL"/>
        </w:rPr>
        <w:t xml:space="preserve"> dēļ paaugstinās gastrointestinālas asiņošanas risks </w:t>
      </w:r>
      <w:r w:rsidR="002E1BD7" w:rsidRPr="005A6EF7">
        <w:rPr>
          <w:color w:val="000000"/>
          <w:szCs w:val="22"/>
          <w:lang w:val="lv-LV" w:eastAsia="pl-PL"/>
        </w:rPr>
        <w:t>(s</w:t>
      </w:r>
      <w:r w:rsidRPr="005A6EF7">
        <w:rPr>
          <w:color w:val="000000"/>
          <w:szCs w:val="22"/>
          <w:lang w:val="lv-LV" w:eastAsia="pl-PL"/>
        </w:rPr>
        <w:t xml:space="preserve">katīt </w:t>
      </w:r>
      <w:r w:rsidR="002E1BD7" w:rsidRPr="005A6EF7">
        <w:rPr>
          <w:color w:val="000000"/>
          <w:szCs w:val="22"/>
          <w:lang w:val="lv-LV" w:eastAsia="pl-PL"/>
        </w:rPr>
        <w:t>4.4</w:t>
      </w:r>
      <w:r w:rsidRPr="005A6EF7">
        <w:rPr>
          <w:color w:val="000000"/>
          <w:szCs w:val="22"/>
          <w:lang w:val="lv-LV" w:eastAsia="pl-PL"/>
        </w:rPr>
        <w:t>. apakšpunktu</w:t>
      </w:r>
      <w:r w:rsidR="002E1BD7" w:rsidRPr="005A6EF7">
        <w:rPr>
          <w:color w:val="000000"/>
          <w:szCs w:val="22"/>
          <w:lang w:val="lv-LV" w:eastAsia="pl-PL"/>
        </w:rPr>
        <w:t>).</w:t>
      </w:r>
    </w:p>
    <w:p w14:paraId="189A5FAF" w14:textId="77777777" w:rsidR="002E1BD7" w:rsidRPr="005A6EF7" w:rsidRDefault="002E1BD7" w:rsidP="002E1BD7">
      <w:pPr>
        <w:tabs>
          <w:tab w:val="clear" w:pos="567"/>
        </w:tabs>
        <w:autoSpaceDE w:val="0"/>
        <w:autoSpaceDN w:val="0"/>
        <w:adjustRightInd w:val="0"/>
        <w:spacing w:line="240" w:lineRule="auto"/>
        <w:rPr>
          <w:color w:val="000000"/>
          <w:szCs w:val="22"/>
          <w:lang w:val="lv-LV" w:eastAsia="pl-PL"/>
        </w:rPr>
      </w:pPr>
    </w:p>
    <w:p w14:paraId="755577D7" w14:textId="77777777" w:rsidR="002E1BD7" w:rsidRPr="005A6EF7" w:rsidRDefault="00685DB3"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Citi NPL, tai skaitā salicilāti</w:t>
      </w:r>
    </w:p>
    <w:p w14:paraId="6AE366F1" w14:textId="59F5557F" w:rsidR="002E1BD7" w:rsidRPr="005A6EF7" w:rsidRDefault="00685DB3" w:rsidP="002E1BD7">
      <w:pPr>
        <w:rPr>
          <w:color w:val="000000"/>
          <w:szCs w:val="22"/>
          <w:lang w:val="lv-LV" w:eastAsia="pl-PL"/>
        </w:rPr>
      </w:pPr>
      <w:r w:rsidRPr="005A6EF7">
        <w:rPr>
          <w:color w:val="000000"/>
          <w:szCs w:val="22"/>
          <w:lang w:val="lv-LV" w:eastAsia="pl-PL"/>
        </w:rPr>
        <w:t>Vienlaicīga acetilsalicilskābes un citu NPL lietošana sinerģisk</w:t>
      </w:r>
      <w:r w:rsidR="003C7756">
        <w:rPr>
          <w:color w:val="000000"/>
          <w:szCs w:val="22"/>
          <w:lang w:val="lv-LV" w:eastAsia="pl-PL"/>
        </w:rPr>
        <w:t>as darbības</w:t>
      </w:r>
      <w:r w:rsidRPr="005A6EF7">
        <w:rPr>
          <w:color w:val="000000"/>
          <w:szCs w:val="22"/>
          <w:lang w:val="lv-LV" w:eastAsia="pl-PL"/>
        </w:rPr>
        <w:t xml:space="preserve"> dēļ paaugstina kuņģa un/vai divpadsmitpirkstu zarnas gļotādas bojājuma, gastrointestinālas asiņošanas un nieru bojājuma risku.</w:t>
      </w:r>
    </w:p>
    <w:p w14:paraId="30F124DC" w14:textId="77777777" w:rsidR="00685DB3" w:rsidRPr="005A6EF7" w:rsidRDefault="00685DB3" w:rsidP="002E1BD7">
      <w:pPr>
        <w:rPr>
          <w:lang w:val="lv-LV"/>
        </w:rPr>
      </w:pPr>
    </w:p>
    <w:p w14:paraId="2E1FE8C2" w14:textId="77777777" w:rsidR="002E1BD7" w:rsidRPr="005A6EF7" w:rsidRDefault="00685DB3"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 xml:space="preserve">Zāles, kas paaugstina urīnskābes ekskrēciju urinā, piemēram, </w:t>
      </w:r>
      <w:r w:rsidR="002E1BD7" w:rsidRPr="005A6EF7">
        <w:rPr>
          <w:i/>
          <w:color w:val="000000"/>
          <w:szCs w:val="22"/>
          <w:lang w:val="lv-LV" w:eastAsia="pl-PL"/>
        </w:rPr>
        <w:t>benzbromaron</w:t>
      </w:r>
      <w:r w:rsidRPr="005A6EF7">
        <w:rPr>
          <w:i/>
          <w:color w:val="000000"/>
          <w:szCs w:val="22"/>
          <w:lang w:val="lv-LV" w:eastAsia="pl-PL"/>
        </w:rPr>
        <w:t>s un</w:t>
      </w:r>
      <w:r w:rsidR="002E1BD7" w:rsidRPr="005A6EF7">
        <w:rPr>
          <w:i/>
          <w:color w:val="000000"/>
          <w:szCs w:val="22"/>
          <w:lang w:val="lv-LV" w:eastAsia="pl-PL"/>
        </w:rPr>
        <w:t xml:space="preserve"> probenec</w:t>
      </w:r>
      <w:r w:rsidRPr="005A6EF7">
        <w:rPr>
          <w:i/>
          <w:color w:val="000000"/>
          <w:szCs w:val="22"/>
          <w:lang w:val="lv-LV" w:eastAsia="pl-PL"/>
        </w:rPr>
        <w:t>īds</w:t>
      </w:r>
    </w:p>
    <w:p w14:paraId="19313657" w14:textId="77777777" w:rsidR="002578FE" w:rsidRPr="005A6EF7" w:rsidRDefault="00685DB3"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Acetilsalicilskābes lietošana vienlaicīgi ar zālēm, kas paaugstina urīnskābes sekrēciju</w:t>
      </w:r>
      <w:r w:rsidR="002578FE" w:rsidRPr="005A6EF7">
        <w:rPr>
          <w:color w:val="000000"/>
          <w:szCs w:val="22"/>
          <w:lang w:val="lv-LV" w:eastAsia="pl-PL"/>
        </w:rPr>
        <w:t>, samazina pretpodagras līdzekļu aktivitāti (konkurējoša iedarbība uz nieru kanāliņiem par urīnskābes ekskrēciju).</w:t>
      </w:r>
    </w:p>
    <w:p w14:paraId="0FFE759C" w14:textId="77777777" w:rsidR="002578FE" w:rsidRPr="005A6EF7" w:rsidRDefault="002578FE" w:rsidP="002E1BD7">
      <w:pPr>
        <w:tabs>
          <w:tab w:val="clear" w:pos="567"/>
        </w:tabs>
        <w:autoSpaceDE w:val="0"/>
        <w:autoSpaceDN w:val="0"/>
        <w:adjustRightInd w:val="0"/>
        <w:spacing w:line="240" w:lineRule="auto"/>
        <w:rPr>
          <w:color w:val="000000"/>
          <w:szCs w:val="22"/>
          <w:lang w:val="lv-LV" w:eastAsia="pl-PL"/>
        </w:rPr>
      </w:pPr>
    </w:p>
    <w:p w14:paraId="2FF29885" w14:textId="77777777" w:rsidR="002E1BD7" w:rsidRPr="005A6EF7" w:rsidRDefault="002E1BD7"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Di</w:t>
      </w:r>
      <w:r w:rsidR="002578FE" w:rsidRPr="005A6EF7">
        <w:rPr>
          <w:i/>
          <w:color w:val="000000"/>
          <w:szCs w:val="22"/>
          <w:lang w:val="lv-LV" w:eastAsia="pl-PL"/>
        </w:rPr>
        <w:t>goksīns</w:t>
      </w:r>
    </w:p>
    <w:p w14:paraId="08D1FEA9" w14:textId="77777777" w:rsidR="002E1BD7" w:rsidRPr="005A6EF7" w:rsidRDefault="002578FE"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Acetilsalicilskābe nomāc digoksīna </w:t>
      </w:r>
      <w:r w:rsidR="003C7756">
        <w:rPr>
          <w:color w:val="000000"/>
          <w:szCs w:val="22"/>
          <w:lang w:val="lv-LV" w:eastAsia="pl-PL"/>
        </w:rPr>
        <w:t>nieru</w:t>
      </w:r>
      <w:r w:rsidRPr="005A6EF7">
        <w:rPr>
          <w:color w:val="000000"/>
          <w:szCs w:val="22"/>
          <w:lang w:val="lv-LV" w:eastAsia="pl-PL"/>
        </w:rPr>
        <w:t xml:space="preserve"> ekskrēciju, paaugstinot tā koncentrāciju plazmā.</w:t>
      </w:r>
    </w:p>
    <w:p w14:paraId="7B2352C9" w14:textId="77777777" w:rsidR="002578FE" w:rsidRPr="005A6EF7" w:rsidRDefault="002578FE" w:rsidP="002E1BD7">
      <w:pPr>
        <w:tabs>
          <w:tab w:val="clear" w:pos="567"/>
        </w:tabs>
        <w:autoSpaceDE w:val="0"/>
        <w:autoSpaceDN w:val="0"/>
        <w:adjustRightInd w:val="0"/>
        <w:spacing w:line="240" w:lineRule="auto"/>
        <w:rPr>
          <w:color w:val="000000"/>
          <w:szCs w:val="22"/>
          <w:lang w:val="lv-LV" w:eastAsia="pl-PL"/>
        </w:rPr>
      </w:pPr>
    </w:p>
    <w:p w14:paraId="152BEE78" w14:textId="77777777" w:rsidR="002E1BD7" w:rsidRPr="005A6EF7" w:rsidRDefault="002578FE"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Pretdiabēta līdzekļi, pi</w:t>
      </w:r>
      <w:r w:rsidR="003C7756">
        <w:rPr>
          <w:i/>
          <w:color w:val="000000"/>
          <w:szCs w:val="22"/>
          <w:lang w:val="lv-LV" w:eastAsia="pl-PL"/>
        </w:rPr>
        <w:t>emēram, insulīns un sulfonilurīnvielas līdzekļi</w:t>
      </w:r>
    </w:p>
    <w:p w14:paraId="51683866" w14:textId="77777777" w:rsidR="002E1BD7" w:rsidRPr="005A6EF7" w:rsidRDefault="003C7756" w:rsidP="002E1BD7">
      <w:pPr>
        <w:tabs>
          <w:tab w:val="clear" w:pos="567"/>
        </w:tabs>
        <w:autoSpaceDE w:val="0"/>
        <w:autoSpaceDN w:val="0"/>
        <w:adjustRightInd w:val="0"/>
        <w:spacing w:line="240" w:lineRule="auto"/>
        <w:rPr>
          <w:color w:val="000000"/>
          <w:szCs w:val="22"/>
          <w:lang w:val="lv-LV" w:eastAsia="pl-PL"/>
        </w:rPr>
      </w:pPr>
      <w:r>
        <w:rPr>
          <w:color w:val="000000"/>
          <w:szCs w:val="22"/>
          <w:lang w:val="lv-LV" w:eastAsia="pl-PL"/>
        </w:rPr>
        <w:t>Hipoglikēmiskās darbības</w:t>
      </w:r>
      <w:r w:rsidR="002578FE" w:rsidRPr="005A6EF7">
        <w:rPr>
          <w:color w:val="000000"/>
          <w:szCs w:val="22"/>
          <w:lang w:val="lv-LV" w:eastAsia="pl-PL"/>
        </w:rPr>
        <w:t xml:space="preserve"> dēļ, kā arī aizstājot sulfonilur</w:t>
      </w:r>
      <w:r>
        <w:rPr>
          <w:color w:val="000000"/>
          <w:szCs w:val="22"/>
          <w:lang w:val="lv-LV" w:eastAsia="pl-PL"/>
        </w:rPr>
        <w:t>īnvielas līdzekļus</w:t>
      </w:r>
      <w:r w:rsidR="002578FE" w:rsidRPr="005A6EF7">
        <w:rPr>
          <w:color w:val="000000"/>
          <w:szCs w:val="22"/>
          <w:lang w:val="lv-LV" w:eastAsia="pl-PL"/>
        </w:rPr>
        <w:t xml:space="preserve"> t</w:t>
      </w:r>
      <w:r>
        <w:rPr>
          <w:color w:val="000000"/>
          <w:szCs w:val="22"/>
          <w:lang w:val="lv-LV" w:eastAsia="pl-PL"/>
        </w:rPr>
        <w:t>o</w:t>
      </w:r>
      <w:r w:rsidR="002578FE" w:rsidRPr="005A6EF7">
        <w:rPr>
          <w:color w:val="000000"/>
          <w:szCs w:val="22"/>
          <w:lang w:val="lv-LV" w:eastAsia="pl-PL"/>
        </w:rPr>
        <w:t xml:space="preserve"> saistīšanās vietā ar </w:t>
      </w:r>
      <w:r w:rsidR="00C52FD5">
        <w:rPr>
          <w:color w:val="000000"/>
          <w:szCs w:val="22"/>
          <w:lang w:val="lv-LV" w:eastAsia="pl-PL"/>
        </w:rPr>
        <w:t xml:space="preserve">plazmas </w:t>
      </w:r>
      <w:r w:rsidR="002578FE" w:rsidRPr="005A6EF7">
        <w:rPr>
          <w:color w:val="000000"/>
          <w:szCs w:val="22"/>
          <w:lang w:val="lv-LV" w:eastAsia="pl-PL"/>
        </w:rPr>
        <w:t xml:space="preserve">proteīniem, acetilsalicilskābe var paaugstināt pretdiabēta līdzekļu hipoglikēmisko iedarbību. </w:t>
      </w:r>
    </w:p>
    <w:p w14:paraId="264893D9" w14:textId="77777777" w:rsidR="002578FE" w:rsidRPr="005A6EF7" w:rsidRDefault="002578FE" w:rsidP="002E1BD7">
      <w:pPr>
        <w:tabs>
          <w:tab w:val="clear" w:pos="567"/>
        </w:tabs>
        <w:autoSpaceDE w:val="0"/>
        <w:autoSpaceDN w:val="0"/>
        <w:adjustRightInd w:val="0"/>
        <w:spacing w:line="240" w:lineRule="auto"/>
        <w:rPr>
          <w:color w:val="000000"/>
          <w:szCs w:val="22"/>
          <w:lang w:val="lv-LV" w:eastAsia="pl-PL"/>
        </w:rPr>
      </w:pPr>
    </w:p>
    <w:p w14:paraId="495CA9CC" w14:textId="77777777" w:rsidR="002E1BD7" w:rsidRPr="005A6EF7" w:rsidRDefault="002578FE"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 xml:space="preserve">Trombolītiskās zāles vai citi antitrombocitārie līdzekļi </w:t>
      </w:r>
      <w:r w:rsidR="002E1BD7" w:rsidRPr="005A6EF7">
        <w:rPr>
          <w:i/>
          <w:color w:val="000000"/>
          <w:szCs w:val="22"/>
          <w:lang w:val="lv-LV" w:eastAsia="pl-PL"/>
        </w:rPr>
        <w:t>(</w:t>
      </w:r>
      <w:r w:rsidR="006022A0" w:rsidRPr="005A6EF7">
        <w:rPr>
          <w:i/>
          <w:color w:val="000000"/>
          <w:szCs w:val="22"/>
          <w:lang w:val="lv-LV" w:eastAsia="pl-PL"/>
        </w:rPr>
        <w:t>piemēram, tiklopidīns</w:t>
      </w:r>
      <w:r w:rsidR="002E1BD7" w:rsidRPr="005A6EF7">
        <w:rPr>
          <w:i/>
          <w:color w:val="000000"/>
          <w:szCs w:val="22"/>
          <w:lang w:val="lv-LV" w:eastAsia="pl-PL"/>
        </w:rPr>
        <w:t>)</w:t>
      </w:r>
    </w:p>
    <w:p w14:paraId="02EAD945" w14:textId="77777777" w:rsidR="006022A0" w:rsidRPr="005A6EF7" w:rsidRDefault="006022A0" w:rsidP="006022A0">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Vienlaicīga lietošana ar acetilsalicilskābi var paaugstināt asiņošanas ilguma un hemorāģijas risku.</w:t>
      </w:r>
    </w:p>
    <w:p w14:paraId="069DDD99" w14:textId="77777777" w:rsidR="002E1BD7" w:rsidRPr="005A6EF7" w:rsidRDefault="002E1BD7" w:rsidP="002E1BD7">
      <w:pPr>
        <w:rPr>
          <w:color w:val="000000"/>
          <w:szCs w:val="22"/>
          <w:lang w:val="lv-LV" w:eastAsia="pl-PL"/>
        </w:rPr>
      </w:pPr>
    </w:p>
    <w:p w14:paraId="714AEC88" w14:textId="77777777" w:rsidR="002E1BD7" w:rsidRPr="005A6EF7" w:rsidRDefault="006022A0"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Diurētiskie līdzekļi</w:t>
      </w:r>
    </w:p>
    <w:p w14:paraId="626105D8" w14:textId="77777777" w:rsidR="006022A0" w:rsidRPr="005A6EF7" w:rsidRDefault="006022A0"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Samazinātas glomerulārās filtrācijas dēļ, ko izraisa pazemināta prostaglandīnu sintēze nierēs, organismā notiek nātrija un ūdens aizture un </w:t>
      </w:r>
      <w:r w:rsidR="003C7756">
        <w:rPr>
          <w:color w:val="000000"/>
          <w:szCs w:val="22"/>
          <w:lang w:val="lv-LV" w:eastAsia="pl-PL"/>
        </w:rPr>
        <w:t>tādēļ</w:t>
      </w:r>
      <w:r w:rsidRPr="005A6EF7">
        <w:rPr>
          <w:color w:val="000000"/>
          <w:szCs w:val="22"/>
          <w:lang w:val="lv-LV" w:eastAsia="pl-PL"/>
        </w:rPr>
        <w:t xml:space="preserve"> samazinās diurētisko līdzekļu aktivitāte.</w:t>
      </w:r>
    </w:p>
    <w:p w14:paraId="3F2A287A" w14:textId="33DDC00E" w:rsidR="002E1BD7" w:rsidRPr="005A6EF7" w:rsidRDefault="006022A0"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Acetilsalicilskābe var pastiprināt furosemīda ototoksicitāti.</w:t>
      </w:r>
    </w:p>
    <w:p w14:paraId="4F5FB792" w14:textId="77777777" w:rsidR="006022A0" w:rsidRPr="005A6EF7" w:rsidRDefault="006022A0" w:rsidP="002E1BD7">
      <w:pPr>
        <w:tabs>
          <w:tab w:val="clear" w:pos="567"/>
        </w:tabs>
        <w:autoSpaceDE w:val="0"/>
        <w:autoSpaceDN w:val="0"/>
        <w:adjustRightInd w:val="0"/>
        <w:spacing w:line="240" w:lineRule="auto"/>
        <w:rPr>
          <w:color w:val="000000"/>
          <w:szCs w:val="22"/>
          <w:lang w:val="lv-LV" w:eastAsia="pl-PL"/>
        </w:rPr>
      </w:pPr>
    </w:p>
    <w:p w14:paraId="2612416B" w14:textId="77777777" w:rsidR="002E1BD7" w:rsidRPr="005A6EF7" w:rsidRDefault="006022A0"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Sistēmiskie kortikosteroīdi</w:t>
      </w:r>
    </w:p>
    <w:p w14:paraId="2564767F" w14:textId="5D1DA789" w:rsidR="002E1BD7" w:rsidRPr="005A6EF7" w:rsidRDefault="006022A0"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lastRenderedPageBreak/>
        <w:t xml:space="preserve">Vienlaicīga lietošana ar acetilsalicilskābi var paaugstināt gastrointestinālas čūlas un asiņošanas </w:t>
      </w:r>
      <w:r w:rsidR="00305D73" w:rsidRPr="005A6EF7">
        <w:rPr>
          <w:color w:val="000000"/>
          <w:szCs w:val="22"/>
          <w:lang w:val="lv-LV" w:eastAsia="pl-PL"/>
        </w:rPr>
        <w:t>risku, samazināt salicilāta plazmas koncentrāciju kortikosteroīd</w:t>
      </w:r>
      <w:r w:rsidR="003C7756">
        <w:rPr>
          <w:color w:val="000000"/>
          <w:szCs w:val="22"/>
          <w:lang w:val="lv-LV" w:eastAsia="pl-PL"/>
        </w:rPr>
        <w:t>u terapijas laikā vai salicilāta</w:t>
      </w:r>
      <w:r w:rsidR="00305D73" w:rsidRPr="005A6EF7">
        <w:rPr>
          <w:color w:val="000000"/>
          <w:szCs w:val="22"/>
          <w:lang w:val="lv-LV" w:eastAsia="pl-PL"/>
        </w:rPr>
        <w:t xml:space="preserve"> pārdozēšanas risku </w:t>
      </w:r>
      <w:r w:rsidR="007D75E9" w:rsidRPr="005A6EF7">
        <w:rPr>
          <w:color w:val="000000"/>
          <w:szCs w:val="22"/>
          <w:lang w:val="lv-LV" w:eastAsia="pl-PL"/>
        </w:rPr>
        <w:t xml:space="preserve">pēc kortikosteroīdu lietošanas pārtraukšanas </w:t>
      </w:r>
      <w:r w:rsidR="002E1BD7" w:rsidRPr="005A6EF7">
        <w:rPr>
          <w:color w:val="000000"/>
          <w:szCs w:val="22"/>
          <w:lang w:val="lv-LV" w:eastAsia="pl-PL"/>
        </w:rPr>
        <w:t>(s</w:t>
      </w:r>
      <w:r w:rsidR="007D75E9" w:rsidRPr="005A6EF7">
        <w:rPr>
          <w:color w:val="000000"/>
          <w:szCs w:val="22"/>
          <w:lang w:val="lv-LV" w:eastAsia="pl-PL"/>
        </w:rPr>
        <w:t xml:space="preserve">katīt </w:t>
      </w:r>
      <w:r w:rsidR="002E1BD7" w:rsidRPr="005A6EF7">
        <w:rPr>
          <w:color w:val="000000"/>
          <w:szCs w:val="22"/>
          <w:lang w:val="lv-LV" w:eastAsia="pl-PL"/>
        </w:rPr>
        <w:t>4.4</w:t>
      </w:r>
      <w:r w:rsidR="007D75E9" w:rsidRPr="005A6EF7">
        <w:rPr>
          <w:color w:val="000000"/>
          <w:szCs w:val="22"/>
          <w:lang w:val="lv-LV" w:eastAsia="pl-PL"/>
        </w:rPr>
        <w:t>. apakšpunktu</w:t>
      </w:r>
      <w:r w:rsidR="002E1BD7" w:rsidRPr="005A6EF7">
        <w:rPr>
          <w:color w:val="000000"/>
          <w:szCs w:val="22"/>
          <w:lang w:val="lv-LV" w:eastAsia="pl-PL"/>
        </w:rPr>
        <w:t>).</w:t>
      </w:r>
    </w:p>
    <w:p w14:paraId="1A22AAB3" w14:textId="77777777" w:rsidR="002E1BD7" w:rsidRPr="005A6EF7" w:rsidRDefault="002E1BD7" w:rsidP="002E1BD7">
      <w:pPr>
        <w:tabs>
          <w:tab w:val="clear" w:pos="567"/>
        </w:tabs>
        <w:autoSpaceDE w:val="0"/>
        <w:autoSpaceDN w:val="0"/>
        <w:adjustRightInd w:val="0"/>
        <w:spacing w:line="240" w:lineRule="auto"/>
        <w:rPr>
          <w:color w:val="000000"/>
          <w:szCs w:val="22"/>
          <w:lang w:val="lv-LV" w:eastAsia="pl-PL"/>
        </w:rPr>
      </w:pPr>
    </w:p>
    <w:p w14:paraId="3EFB5039" w14:textId="77777777" w:rsidR="002E1BD7" w:rsidRPr="005A6EF7" w:rsidRDefault="007D75E9"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Vienlaicīga AKE inhibitoru lietošana</w:t>
      </w:r>
    </w:p>
    <w:p w14:paraId="4A416137" w14:textId="55B1136D" w:rsidR="007D75E9" w:rsidRPr="005A6EF7" w:rsidRDefault="004D6C32" w:rsidP="002E1BD7">
      <w:pPr>
        <w:tabs>
          <w:tab w:val="clear" w:pos="567"/>
        </w:tabs>
        <w:autoSpaceDE w:val="0"/>
        <w:autoSpaceDN w:val="0"/>
        <w:adjustRightInd w:val="0"/>
        <w:spacing w:line="240" w:lineRule="auto"/>
        <w:rPr>
          <w:color w:val="000000"/>
          <w:szCs w:val="22"/>
          <w:lang w:val="lv-LV" w:eastAsia="pl-PL"/>
        </w:rPr>
      </w:pPr>
      <w:r>
        <w:rPr>
          <w:color w:val="000000"/>
          <w:szCs w:val="22"/>
          <w:lang w:val="lv-LV" w:eastAsia="pl-PL"/>
        </w:rPr>
        <w:t>Pavājin</w:t>
      </w:r>
      <w:r w:rsidR="00291C87">
        <w:rPr>
          <w:color w:val="000000"/>
          <w:szCs w:val="22"/>
          <w:lang w:val="lv-LV" w:eastAsia="pl-PL"/>
        </w:rPr>
        <w:t>āta</w:t>
      </w:r>
      <w:r>
        <w:rPr>
          <w:color w:val="000000"/>
          <w:szCs w:val="22"/>
          <w:lang w:val="lv-LV" w:eastAsia="pl-PL"/>
        </w:rPr>
        <w:t xml:space="preserve"> </w:t>
      </w:r>
      <w:r w:rsidR="003C7756">
        <w:rPr>
          <w:color w:val="000000"/>
          <w:szCs w:val="22"/>
          <w:lang w:val="lv-LV" w:eastAsia="pl-PL"/>
        </w:rPr>
        <w:t xml:space="preserve">antihipertensīvā </w:t>
      </w:r>
      <w:r>
        <w:rPr>
          <w:color w:val="000000"/>
          <w:szCs w:val="22"/>
          <w:lang w:val="lv-LV" w:eastAsia="pl-PL"/>
        </w:rPr>
        <w:t>ie</w:t>
      </w:r>
      <w:r w:rsidR="007D75E9" w:rsidRPr="005A6EF7">
        <w:rPr>
          <w:color w:val="000000"/>
          <w:szCs w:val="22"/>
          <w:lang w:val="lv-LV" w:eastAsia="pl-PL"/>
        </w:rPr>
        <w:t>darbība samazinātas nieru glomerulārās filtrācijas dēļ, ko izraisa samazināta prostaglandīnu sintēze nierēs, kas nodrošina vazodilatāciju.</w:t>
      </w:r>
    </w:p>
    <w:p w14:paraId="493B51E6" w14:textId="77777777" w:rsidR="007D75E9" w:rsidRPr="005A6EF7" w:rsidRDefault="007D75E9" w:rsidP="002E1BD7">
      <w:pPr>
        <w:tabs>
          <w:tab w:val="clear" w:pos="567"/>
        </w:tabs>
        <w:autoSpaceDE w:val="0"/>
        <w:autoSpaceDN w:val="0"/>
        <w:adjustRightInd w:val="0"/>
        <w:spacing w:line="240" w:lineRule="auto"/>
        <w:rPr>
          <w:i/>
          <w:color w:val="000000"/>
          <w:szCs w:val="22"/>
          <w:lang w:val="lv-LV" w:eastAsia="pl-PL"/>
        </w:rPr>
      </w:pPr>
    </w:p>
    <w:p w14:paraId="03C1B302" w14:textId="77777777" w:rsidR="002E1BD7" w:rsidRPr="005A6EF7" w:rsidRDefault="007D75E9"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Valproiskābe</w:t>
      </w:r>
    </w:p>
    <w:p w14:paraId="38FD0E06" w14:textId="05432294" w:rsidR="002E1BD7" w:rsidRPr="005A6EF7" w:rsidRDefault="007E5AC6" w:rsidP="002E1BD7">
      <w:pPr>
        <w:rPr>
          <w:color w:val="000000"/>
          <w:szCs w:val="22"/>
          <w:lang w:val="lv-LV" w:eastAsia="pl-PL"/>
        </w:rPr>
      </w:pPr>
      <w:r w:rsidRPr="005A6EF7">
        <w:rPr>
          <w:color w:val="000000"/>
          <w:szCs w:val="22"/>
          <w:lang w:val="lv-LV" w:eastAsia="pl-PL"/>
        </w:rPr>
        <w:t xml:space="preserve">Acetilsalicilskābe </w:t>
      </w:r>
      <w:r w:rsidR="00BA6A16" w:rsidRPr="00CB7BDC">
        <w:rPr>
          <w:color w:val="000000"/>
          <w:szCs w:val="22"/>
          <w:lang w:val="lv-LV" w:eastAsia="pl-PL"/>
        </w:rPr>
        <w:t>aizstāj</w:t>
      </w:r>
      <w:r w:rsidR="00BA6A16">
        <w:rPr>
          <w:color w:val="000000"/>
          <w:szCs w:val="22"/>
          <w:lang w:val="lv-LV" w:eastAsia="pl-PL"/>
        </w:rPr>
        <w:t xml:space="preserve"> </w:t>
      </w:r>
      <w:r w:rsidR="00BA6A16" w:rsidRPr="005A6EF7">
        <w:rPr>
          <w:color w:val="000000"/>
          <w:szCs w:val="22"/>
          <w:lang w:val="lv-LV" w:eastAsia="pl-PL"/>
        </w:rPr>
        <w:t>valproiskāb</w:t>
      </w:r>
      <w:r w:rsidR="00BA6A16">
        <w:rPr>
          <w:color w:val="000000"/>
          <w:szCs w:val="22"/>
          <w:lang w:val="lv-LV" w:eastAsia="pl-PL"/>
        </w:rPr>
        <w:t xml:space="preserve">i </w:t>
      </w:r>
      <w:r w:rsidR="004051B6" w:rsidRPr="00BB319D">
        <w:rPr>
          <w:color w:val="000000"/>
          <w:szCs w:val="22"/>
          <w:lang w:val="lv-LV" w:eastAsia="pl-PL"/>
        </w:rPr>
        <w:t xml:space="preserve">saistīšanās vietās ar </w:t>
      </w:r>
      <w:r w:rsidR="004051B6" w:rsidRPr="00BA6A16">
        <w:rPr>
          <w:color w:val="000000"/>
          <w:szCs w:val="22"/>
          <w:lang w:val="lv-LV" w:eastAsia="pl-PL"/>
        </w:rPr>
        <w:t>plazmas proteīniem</w:t>
      </w:r>
      <w:r w:rsidR="0008467F">
        <w:rPr>
          <w:color w:val="000000"/>
          <w:szCs w:val="22"/>
          <w:lang w:val="lv-LV" w:eastAsia="pl-PL"/>
        </w:rPr>
        <w:t>,</w:t>
      </w:r>
      <w:r w:rsidR="004051B6" w:rsidRPr="005A6EF7">
        <w:rPr>
          <w:color w:val="000000"/>
          <w:szCs w:val="22"/>
          <w:lang w:val="lv-LV" w:eastAsia="pl-PL"/>
        </w:rPr>
        <w:t xml:space="preserve"> </w:t>
      </w:r>
      <w:r w:rsidR="0008467F">
        <w:rPr>
          <w:color w:val="000000"/>
          <w:szCs w:val="22"/>
          <w:lang w:val="lv-LV" w:eastAsia="pl-PL"/>
        </w:rPr>
        <w:t xml:space="preserve">līdz ar ko </w:t>
      </w:r>
      <w:r w:rsidRPr="005A6EF7">
        <w:rPr>
          <w:color w:val="000000"/>
          <w:szCs w:val="22"/>
          <w:lang w:val="lv-LV" w:eastAsia="pl-PL"/>
        </w:rPr>
        <w:t xml:space="preserve">paaugstina valproiskābes toksisko </w:t>
      </w:r>
      <w:r w:rsidR="00216EEC">
        <w:rPr>
          <w:color w:val="000000"/>
          <w:szCs w:val="22"/>
          <w:lang w:val="lv-LV" w:eastAsia="pl-PL"/>
        </w:rPr>
        <w:t>ie</w:t>
      </w:r>
      <w:r w:rsidRPr="005A6EF7">
        <w:rPr>
          <w:color w:val="000000"/>
          <w:szCs w:val="22"/>
          <w:lang w:val="lv-LV" w:eastAsia="pl-PL"/>
        </w:rPr>
        <w:t>darbību</w:t>
      </w:r>
      <w:r w:rsidRPr="00BA6A16">
        <w:rPr>
          <w:color w:val="000000"/>
          <w:szCs w:val="22"/>
          <w:lang w:val="lv-LV" w:eastAsia="pl-PL"/>
        </w:rPr>
        <w:t>.</w:t>
      </w:r>
      <w:r w:rsidRPr="005A6EF7">
        <w:rPr>
          <w:color w:val="000000"/>
          <w:szCs w:val="22"/>
          <w:lang w:val="lv-LV" w:eastAsia="pl-PL"/>
        </w:rPr>
        <w:t xml:space="preserve"> Sinerģisk</w:t>
      </w:r>
      <w:r w:rsidR="003C7756">
        <w:rPr>
          <w:color w:val="000000"/>
          <w:szCs w:val="22"/>
          <w:lang w:val="lv-LV" w:eastAsia="pl-PL"/>
        </w:rPr>
        <w:t>as darbības</w:t>
      </w:r>
      <w:r w:rsidRPr="005A6EF7">
        <w:rPr>
          <w:color w:val="000000"/>
          <w:szCs w:val="22"/>
          <w:lang w:val="lv-LV" w:eastAsia="pl-PL"/>
        </w:rPr>
        <w:t xml:space="preserve"> dēļ valproiskābe </w:t>
      </w:r>
      <w:r w:rsidR="003C7756">
        <w:rPr>
          <w:color w:val="000000"/>
          <w:szCs w:val="22"/>
          <w:lang w:val="lv-LV" w:eastAsia="pl-PL"/>
        </w:rPr>
        <w:t>pastiprina</w:t>
      </w:r>
      <w:r w:rsidRPr="005A6EF7">
        <w:rPr>
          <w:color w:val="000000"/>
          <w:szCs w:val="22"/>
          <w:lang w:val="lv-LV" w:eastAsia="pl-PL"/>
        </w:rPr>
        <w:t xml:space="preserve"> acetilsalici</w:t>
      </w:r>
      <w:r w:rsidR="003C7756">
        <w:rPr>
          <w:color w:val="000000"/>
          <w:szCs w:val="22"/>
          <w:lang w:val="lv-LV" w:eastAsia="pl-PL"/>
        </w:rPr>
        <w:t xml:space="preserve">lskābes </w:t>
      </w:r>
      <w:r w:rsidR="00F67913">
        <w:rPr>
          <w:color w:val="000000"/>
          <w:szCs w:val="22"/>
          <w:lang w:val="lv-LV" w:eastAsia="pl-PL"/>
        </w:rPr>
        <w:t xml:space="preserve">antitrombocitāro </w:t>
      </w:r>
      <w:r w:rsidR="00194320">
        <w:rPr>
          <w:color w:val="000000"/>
          <w:szCs w:val="22"/>
          <w:lang w:val="lv-LV" w:eastAsia="pl-PL"/>
        </w:rPr>
        <w:t>ie</w:t>
      </w:r>
      <w:r w:rsidR="003C7756">
        <w:rPr>
          <w:color w:val="000000"/>
          <w:szCs w:val="22"/>
          <w:lang w:val="lv-LV" w:eastAsia="pl-PL"/>
        </w:rPr>
        <w:t>darbību</w:t>
      </w:r>
      <w:r w:rsidRPr="005A6EF7">
        <w:rPr>
          <w:color w:val="000000"/>
          <w:szCs w:val="22"/>
          <w:lang w:val="lv-LV" w:eastAsia="pl-PL"/>
        </w:rPr>
        <w:t>.</w:t>
      </w:r>
    </w:p>
    <w:p w14:paraId="5F0FBBCB" w14:textId="420FD27D" w:rsidR="007E5AC6" w:rsidRDefault="007E5AC6" w:rsidP="002E1BD7">
      <w:pPr>
        <w:rPr>
          <w:lang w:val="lv-LV"/>
        </w:rPr>
      </w:pPr>
    </w:p>
    <w:p w14:paraId="740ADF2C" w14:textId="17442785" w:rsidR="001A62E8" w:rsidRPr="00631E52" w:rsidRDefault="001A62E8" w:rsidP="002E1BD7">
      <w:pPr>
        <w:rPr>
          <w:i/>
          <w:iCs/>
          <w:lang w:val="lv-LV"/>
        </w:rPr>
      </w:pPr>
      <w:r w:rsidRPr="00631E52">
        <w:rPr>
          <w:i/>
          <w:iCs/>
          <w:lang w:val="lv-LV"/>
        </w:rPr>
        <w:t>Metamizols</w:t>
      </w:r>
    </w:p>
    <w:p w14:paraId="06CA8119" w14:textId="782863E8" w:rsidR="001A62E8" w:rsidRDefault="001A62E8" w:rsidP="002E1BD7">
      <w:pPr>
        <w:rPr>
          <w:lang w:val="lv-LV"/>
        </w:rPr>
      </w:pPr>
      <w:r w:rsidRPr="001A62E8">
        <w:rPr>
          <w:lang w:val="lv-LV"/>
        </w:rPr>
        <w:t>Lietojot vienlaicīgi, metamizols var samazināt acetilsalicilskābes ietekmi uz trombocītu agregāciju. Tādēļ šī kombinācija piesardzīgi jālieto pacientiem, kuri kardiovaskulārai aizsardzībai lieto mazas aspirīna devas.</w:t>
      </w:r>
    </w:p>
    <w:p w14:paraId="408DA528" w14:textId="77777777" w:rsidR="001A62E8" w:rsidRPr="005A6EF7" w:rsidRDefault="001A62E8" w:rsidP="002E1BD7">
      <w:pPr>
        <w:rPr>
          <w:lang w:val="lv-LV"/>
        </w:rPr>
      </w:pPr>
    </w:p>
    <w:p w14:paraId="79A43CC0" w14:textId="77777777" w:rsidR="002E1BD7" w:rsidRPr="005A6EF7" w:rsidRDefault="002E1BD7"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Al</w:t>
      </w:r>
      <w:r w:rsidR="007D75E9" w:rsidRPr="005A6EF7">
        <w:rPr>
          <w:i/>
          <w:color w:val="000000"/>
          <w:szCs w:val="22"/>
          <w:lang w:val="lv-LV" w:eastAsia="pl-PL"/>
        </w:rPr>
        <w:t>kohols</w:t>
      </w:r>
    </w:p>
    <w:p w14:paraId="2CBB8212" w14:textId="7B924368" w:rsidR="002E1BD7" w:rsidRPr="005A6EF7" w:rsidRDefault="007E5AC6"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Vienlaicīga acetilsalicilskābes un alkohola lietošana paaugstina gastrointestinālo blak</w:t>
      </w:r>
      <w:r w:rsidR="003C7756">
        <w:rPr>
          <w:color w:val="000000"/>
          <w:szCs w:val="22"/>
          <w:lang w:val="lv-LV" w:eastAsia="pl-PL"/>
        </w:rPr>
        <w:t>usparādību</w:t>
      </w:r>
      <w:r w:rsidRPr="005A6EF7">
        <w:rPr>
          <w:color w:val="000000"/>
          <w:szCs w:val="22"/>
          <w:lang w:val="lv-LV" w:eastAsia="pl-PL"/>
        </w:rPr>
        <w:t xml:space="preserve"> risku, piemēram, gastrointestinālu čūlu un asiņošanas risku.</w:t>
      </w:r>
    </w:p>
    <w:p w14:paraId="3079AACE" w14:textId="77777777" w:rsidR="007E5AC6" w:rsidRPr="005A6EF7" w:rsidRDefault="007E5AC6" w:rsidP="002E1BD7">
      <w:pPr>
        <w:tabs>
          <w:tab w:val="clear" w:pos="567"/>
        </w:tabs>
        <w:autoSpaceDE w:val="0"/>
        <w:autoSpaceDN w:val="0"/>
        <w:adjustRightInd w:val="0"/>
        <w:spacing w:line="240" w:lineRule="auto"/>
        <w:rPr>
          <w:color w:val="000000"/>
          <w:szCs w:val="22"/>
          <w:lang w:val="lv-LV" w:eastAsia="pl-PL"/>
        </w:rPr>
      </w:pPr>
    </w:p>
    <w:p w14:paraId="469A7881" w14:textId="77777777" w:rsidR="002E1BD7" w:rsidRPr="005A6EF7" w:rsidRDefault="007E5AC6"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Karboanhidrāzes inhibitori</w:t>
      </w:r>
    </w:p>
    <w:p w14:paraId="2F0DB445" w14:textId="3530DD1A" w:rsidR="002E1BD7" w:rsidRPr="005A6EF7" w:rsidRDefault="007E5AC6"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Samazināta</w:t>
      </w:r>
      <w:r w:rsidR="002E1BD7" w:rsidRPr="005A6EF7">
        <w:rPr>
          <w:color w:val="000000"/>
          <w:szCs w:val="22"/>
          <w:lang w:val="lv-LV" w:eastAsia="pl-PL"/>
        </w:rPr>
        <w:t xml:space="preserve"> acetazolam</w:t>
      </w:r>
      <w:r w:rsidRPr="005A6EF7">
        <w:rPr>
          <w:color w:val="000000"/>
          <w:szCs w:val="22"/>
          <w:lang w:val="lv-LV" w:eastAsia="pl-PL"/>
        </w:rPr>
        <w:t>īda ekskrēcija</w:t>
      </w:r>
      <w:r w:rsidR="002E1BD7" w:rsidRPr="005A6EF7">
        <w:rPr>
          <w:color w:val="000000"/>
          <w:szCs w:val="22"/>
          <w:lang w:val="lv-LV" w:eastAsia="pl-PL"/>
        </w:rPr>
        <w:t xml:space="preserve">; </w:t>
      </w:r>
      <w:r w:rsidRPr="005A6EF7">
        <w:rPr>
          <w:color w:val="000000"/>
          <w:szCs w:val="22"/>
          <w:lang w:val="lv-LV" w:eastAsia="pl-PL"/>
        </w:rPr>
        <w:t xml:space="preserve">lietojot lielas acetilsalicilskābes un karboanhidrāzes inhibitoru devas, pacientiem novēroja salicilātu intoksikāciju. Vienlaicīga karboanhidrāzes inhibitoru, </w:t>
      </w:r>
      <w:r w:rsidR="003C7756">
        <w:rPr>
          <w:color w:val="000000"/>
          <w:szCs w:val="22"/>
          <w:lang w:val="lv-LV" w:eastAsia="pl-PL"/>
        </w:rPr>
        <w:t>piemēram,</w:t>
      </w:r>
      <w:r w:rsidRPr="005A6EF7">
        <w:rPr>
          <w:color w:val="000000"/>
          <w:szCs w:val="22"/>
          <w:lang w:val="lv-LV" w:eastAsia="pl-PL"/>
        </w:rPr>
        <w:t xml:space="preserve"> </w:t>
      </w:r>
      <w:r w:rsidR="002E1BD7" w:rsidRPr="005A6EF7">
        <w:rPr>
          <w:color w:val="000000"/>
          <w:szCs w:val="22"/>
          <w:lang w:val="lv-LV" w:eastAsia="pl-PL"/>
        </w:rPr>
        <w:t>acetazolam</w:t>
      </w:r>
      <w:r w:rsidRPr="005A6EF7">
        <w:rPr>
          <w:color w:val="000000"/>
          <w:szCs w:val="22"/>
          <w:lang w:val="lv-LV" w:eastAsia="pl-PL"/>
        </w:rPr>
        <w:t>īd</w:t>
      </w:r>
      <w:r w:rsidR="003C7756">
        <w:rPr>
          <w:color w:val="000000"/>
          <w:szCs w:val="22"/>
          <w:lang w:val="lv-LV" w:eastAsia="pl-PL"/>
        </w:rPr>
        <w:t>a</w:t>
      </w:r>
      <w:r w:rsidRPr="005A6EF7">
        <w:rPr>
          <w:color w:val="000000"/>
          <w:szCs w:val="22"/>
          <w:lang w:val="lv-LV" w:eastAsia="pl-PL"/>
        </w:rPr>
        <w:t>, un salicilātu lietošana var izraisīt smagu acidozi un centrālās nervu sistēmas toksicitāti.</w:t>
      </w:r>
    </w:p>
    <w:p w14:paraId="3BC998E1" w14:textId="77777777" w:rsidR="007E5AC6" w:rsidRPr="005A6EF7" w:rsidRDefault="007E5AC6" w:rsidP="002E1BD7">
      <w:pPr>
        <w:tabs>
          <w:tab w:val="clear" w:pos="567"/>
        </w:tabs>
        <w:autoSpaceDE w:val="0"/>
        <w:autoSpaceDN w:val="0"/>
        <w:adjustRightInd w:val="0"/>
        <w:spacing w:line="240" w:lineRule="auto"/>
        <w:rPr>
          <w:color w:val="000000"/>
          <w:szCs w:val="22"/>
          <w:lang w:val="lv-LV" w:eastAsia="pl-PL"/>
        </w:rPr>
      </w:pPr>
    </w:p>
    <w:p w14:paraId="3FFAB319" w14:textId="77777777" w:rsidR="002E1BD7" w:rsidRPr="005A6EF7" w:rsidRDefault="007E5AC6"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Antacīdi un adsorbenti</w:t>
      </w:r>
    </w:p>
    <w:p w14:paraId="0FB5AB3D" w14:textId="2E9EECB6" w:rsidR="002E1BD7" w:rsidRPr="005A6EF7" w:rsidRDefault="007E5AC6"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Sārmainā urīnā acetilsalicilskābes ekskrēcija palielinās; </w:t>
      </w:r>
      <w:r w:rsidR="008D23FD" w:rsidRPr="005A6EF7">
        <w:rPr>
          <w:color w:val="000000"/>
          <w:szCs w:val="22"/>
          <w:lang w:val="lv-LV" w:eastAsia="pl-PL"/>
        </w:rPr>
        <w:t>iespējams, ka kaolīns samazina absorbciju</w:t>
      </w:r>
      <w:r w:rsidR="002E1BD7" w:rsidRPr="005A6EF7">
        <w:rPr>
          <w:color w:val="000000"/>
          <w:szCs w:val="22"/>
          <w:lang w:val="lv-LV" w:eastAsia="pl-PL"/>
        </w:rPr>
        <w:t xml:space="preserve">. </w:t>
      </w:r>
      <w:r w:rsidR="008D23FD" w:rsidRPr="005A6EF7">
        <w:rPr>
          <w:color w:val="000000"/>
          <w:szCs w:val="22"/>
          <w:lang w:val="lv-LV" w:eastAsia="pl-PL"/>
        </w:rPr>
        <w:t>Pacientiem jāiesaka vienlaikus nelietot antacīdus, lai izvairītos no priekšlaicīgas zāļu atbrīvošanās.</w:t>
      </w:r>
    </w:p>
    <w:p w14:paraId="4776FEE1" w14:textId="77777777" w:rsidR="002E1BD7" w:rsidRPr="005A6EF7" w:rsidRDefault="002E1BD7" w:rsidP="002E1BD7">
      <w:pPr>
        <w:tabs>
          <w:tab w:val="clear" w:pos="567"/>
        </w:tabs>
        <w:autoSpaceDE w:val="0"/>
        <w:autoSpaceDN w:val="0"/>
        <w:adjustRightInd w:val="0"/>
        <w:spacing w:line="240" w:lineRule="auto"/>
        <w:rPr>
          <w:color w:val="000000"/>
          <w:szCs w:val="22"/>
          <w:lang w:val="lv-LV" w:eastAsia="pl-PL"/>
        </w:rPr>
      </w:pPr>
    </w:p>
    <w:p w14:paraId="3B1CCEA9" w14:textId="77777777" w:rsidR="002E1BD7" w:rsidRPr="005A6EF7" w:rsidRDefault="002E1BD7"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A</w:t>
      </w:r>
      <w:r w:rsidR="008D23FD" w:rsidRPr="005A6EF7">
        <w:rPr>
          <w:i/>
          <w:color w:val="000000"/>
          <w:szCs w:val="22"/>
          <w:lang w:val="lv-LV" w:eastAsia="pl-PL"/>
        </w:rPr>
        <w:t>ntibakteriālie līdzekļi</w:t>
      </w:r>
    </w:p>
    <w:p w14:paraId="5B3109D3" w14:textId="77777777" w:rsidR="002E1BD7" w:rsidRPr="005A6EF7" w:rsidRDefault="008D23FD" w:rsidP="002E1BD7">
      <w:pPr>
        <w:rPr>
          <w:color w:val="000000"/>
          <w:szCs w:val="22"/>
          <w:lang w:val="lv-LV" w:eastAsia="pl-PL"/>
        </w:rPr>
      </w:pPr>
      <w:r w:rsidRPr="005A6EF7">
        <w:rPr>
          <w:color w:val="000000"/>
          <w:szCs w:val="22"/>
          <w:lang w:val="lv-LV" w:eastAsia="pl-PL"/>
        </w:rPr>
        <w:t>Sulfonamīdu toksicitāte var palielināties.</w:t>
      </w:r>
    </w:p>
    <w:p w14:paraId="0352DB18" w14:textId="77777777" w:rsidR="002E1BD7" w:rsidRPr="005A6EF7" w:rsidRDefault="002E1BD7" w:rsidP="002E1BD7">
      <w:pPr>
        <w:rPr>
          <w:iCs/>
          <w:lang w:val="lv-LV"/>
        </w:rPr>
      </w:pPr>
    </w:p>
    <w:p w14:paraId="1CABC95D" w14:textId="77777777" w:rsidR="002E1BD7" w:rsidRPr="005A6EF7" w:rsidRDefault="008D23FD" w:rsidP="002E1BD7">
      <w:pPr>
        <w:rPr>
          <w:lang w:val="lv-LV"/>
        </w:rPr>
      </w:pPr>
      <w:r w:rsidRPr="005A6EF7">
        <w:rPr>
          <w:i/>
          <w:iCs/>
          <w:lang w:val="lv-LV"/>
        </w:rPr>
        <w:t>Ciklosporīn</w:t>
      </w:r>
      <w:r w:rsidR="003C7756">
        <w:rPr>
          <w:i/>
          <w:iCs/>
          <w:lang w:val="lv-LV"/>
        </w:rPr>
        <w:t>s</w:t>
      </w:r>
    </w:p>
    <w:p w14:paraId="0558BD9F" w14:textId="21EBD9C9" w:rsidR="002E1BD7" w:rsidRPr="005A6EF7" w:rsidRDefault="008D23FD" w:rsidP="002E1BD7">
      <w:pPr>
        <w:tabs>
          <w:tab w:val="clear" w:pos="567"/>
        </w:tabs>
        <w:autoSpaceDE w:val="0"/>
        <w:autoSpaceDN w:val="0"/>
        <w:adjustRightInd w:val="0"/>
        <w:spacing w:line="240" w:lineRule="auto"/>
        <w:rPr>
          <w:iCs/>
          <w:lang w:val="lv-LV"/>
        </w:rPr>
      </w:pPr>
      <w:r w:rsidRPr="005A6EF7">
        <w:rPr>
          <w:iCs/>
          <w:lang w:val="lv-LV"/>
        </w:rPr>
        <w:t>Vienlaicīga ciklosporīn</w:t>
      </w:r>
      <w:r w:rsidR="003C7756">
        <w:rPr>
          <w:iCs/>
          <w:lang w:val="lv-LV"/>
        </w:rPr>
        <w:t>a</w:t>
      </w:r>
      <w:r w:rsidRPr="005A6EF7">
        <w:rPr>
          <w:iCs/>
          <w:lang w:val="lv-LV"/>
        </w:rPr>
        <w:t xml:space="preserve"> un NPL lietošana var paaugstināt ciklosporīna nefrotoksisko iedarbību.</w:t>
      </w:r>
    </w:p>
    <w:p w14:paraId="386F3628" w14:textId="77777777" w:rsidR="008D23FD" w:rsidRPr="005A6EF7" w:rsidRDefault="008D23FD" w:rsidP="002E1BD7">
      <w:pPr>
        <w:tabs>
          <w:tab w:val="clear" w:pos="567"/>
        </w:tabs>
        <w:autoSpaceDE w:val="0"/>
        <w:autoSpaceDN w:val="0"/>
        <w:adjustRightInd w:val="0"/>
        <w:spacing w:line="240" w:lineRule="auto"/>
        <w:rPr>
          <w:i/>
          <w:color w:val="000000"/>
          <w:szCs w:val="22"/>
          <w:lang w:val="lv-LV" w:eastAsia="pl-PL"/>
        </w:rPr>
      </w:pPr>
    </w:p>
    <w:p w14:paraId="1D7D7B9E" w14:textId="77777777" w:rsidR="002E1BD7" w:rsidRPr="005A6EF7" w:rsidRDefault="008D23FD"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Pretvemšanas līdzekļi</w:t>
      </w:r>
    </w:p>
    <w:p w14:paraId="71FC2321" w14:textId="00392269" w:rsidR="008D23FD" w:rsidRPr="005A6EF7" w:rsidRDefault="002E1BD7"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Meto</w:t>
      </w:r>
      <w:r w:rsidR="008D23FD" w:rsidRPr="005A6EF7">
        <w:rPr>
          <w:color w:val="000000"/>
          <w:szCs w:val="22"/>
          <w:lang w:val="lv-LV" w:eastAsia="pl-PL"/>
        </w:rPr>
        <w:t>k</w:t>
      </w:r>
      <w:r w:rsidRPr="005A6EF7">
        <w:rPr>
          <w:color w:val="000000"/>
          <w:szCs w:val="22"/>
          <w:lang w:val="lv-LV" w:eastAsia="pl-PL"/>
        </w:rPr>
        <w:t>lopram</w:t>
      </w:r>
      <w:r w:rsidR="008D23FD" w:rsidRPr="005A6EF7">
        <w:rPr>
          <w:color w:val="000000"/>
          <w:szCs w:val="22"/>
          <w:lang w:val="lv-LV" w:eastAsia="pl-PL"/>
        </w:rPr>
        <w:t>īds pa</w:t>
      </w:r>
      <w:r w:rsidR="003C7756">
        <w:rPr>
          <w:color w:val="000000"/>
          <w:szCs w:val="22"/>
          <w:lang w:val="lv-LV" w:eastAsia="pl-PL"/>
        </w:rPr>
        <w:t>stiprina</w:t>
      </w:r>
      <w:r w:rsidR="008D23FD" w:rsidRPr="005A6EF7">
        <w:rPr>
          <w:color w:val="000000"/>
          <w:szCs w:val="22"/>
          <w:lang w:val="lv-LV" w:eastAsia="pl-PL"/>
        </w:rPr>
        <w:t xml:space="preserve"> acetilsalicilskābes </w:t>
      </w:r>
      <w:r w:rsidR="003C7756">
        <w:rPr>
          <w:color w:val="000000"/>
          <w:szCs w:val="22"/>
          <w:lang w:val="lv-LV" w:eastAsia="pl-PL"/>
        </w:rPr>
        <w:t>darbību</w:t>
      </w:r>
      <w:r w:rsidR="008D23FD" w:rsidRPr="005A6EF7">
        <w:rPr>
          <w:color w:val="000000"/>
          <w:szCs w:val="22"/>
          <w:lang w:val="lv-LV" w:eastAsia="pl-PL"/>
        </w:rPr>
        <w:t>, pa</w:t>
      </w:r>
      <w:r w:rsidR="003C7756">
        <w:rPr>
          <w:color w:val="000000"/>
          <w:szCs w:val="22"/>
          <w:lang w:val="lv-LV" w:eastAsia="pl-PL"/>
        </w:rPr>
        <w:t>lieli</w:t>
      </w:r>
      <w:r w:rsidR="008D23FD" w:rsidRPr="005A6EF7">
        <w:rPr>
          <w:color w:val="000000"/>
          <w:szCs w:val="22"/>
          <w:lang w:val="lv-LV" w:eastAsia="pl-PL"/>
        </w:rPr>
        <w:t>not absorbciju.</w:t>
      </w:r>
    </w:p>
    <w:p w14:paraId="70DC94CF" w14:textId="77777777" w:rsidR="008D23FD" w:rsidRPr="005A6EF7" w:rsidRDefault="008D23FD" w:rsidP="002E1BD7">
      <w:pPr>
        <w:tabs>
          <w:tab w:val="clear" w:pos="567"/>
        </w:tabs>
        <w:autoSpaceDE w:val="0"/>
        <w:autoSpaceDN w:val="0"/>
        <w:adjustRightInd w:val="0"/>
        <w:spacing w:line="240" w:lineRule="auto"/>
        <w:rPr>
          <w:color w:val="000000"/>
          <w:szCs w:val="22"/>
          <w:lang w:val="lv-LV" w:eastAsia="pl-PL"/>
        </w:rPr>
      </w:pPr>
    </w:p>
    <w:p w14:paraId="5945B1B9" w14:textId="77777777" w:rsidR="002E1BD7" w:rsidRPr="005A6EF7" w:rsidRDefault="008D23FD"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Leikotriēna antagonisti</w:t>
      </w:r>
    </w:p>
    <w:p w14:paraId="61BFEF08" w14:textId="77777777" w:rsidR="002E1BD7" w:rsidRPr="005A6EF7" w:rsidRDefault="008D23FD" w:rsidP="002E1BD7">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Z</w:t>
      </w:r>
      <w:r w:rsidR="002E1BD7" w:rsidRPr="005A6EF7">
        <w:rPr>
          <w:color w:val="000000"/>
          <w:szCs w:val="22"/>
          <w:lang w:val="lv-LV" w:eastAsia="pl-PL"/>
        </w:rPr>
        <w:t>afirlukast</w:t>
      </w:r>
      <w:r w:rsidRPr="005A6EF7">
        <w:rPr>
          <w:color w:val="000000"/>
          <w:szCs w:val="22"/>
          <w:lang w:val="lv-LV" w:eastAsia="pl-PL"/>
        </w:rPr>
        <w:t>a</w:t>
      </w:r>
      <w:r w:rsidR="002E1BD7" w:rsidRPr="005A6EF7">
        <w:rPr>
          <w:color w:val="000000"/>
          <w:szCs w:val="22"/>
          <w:lang w:val="lv-LV" w:eastAsia="pl-PL"/>
        </w:rPr>
        <w:t xml:space="preserve"> </w:t>
      </w:r>
      <w:r w:rsidRPr="005A6EF7">
        <w:rPr>
          <w:color w:val="000000"/>
          <w:szCs w:val="22"/>
          <w:lang w:val="lv-LV" w:eastAsia="pl-PL"/>
        </w:rPr>
        <w:t>plazmas koncentrācija paaugstinā</w:t>
      </w:r>
      <w:r w:rsidR="00104062">
        <w:rPr>
          <w:color w:val="000000"/>
          <w:szCs w:val="22"/>
          <w:lang w:val="lv-LV" w:eastAsia="pl-PL"/>
        </w:rPr>
        <w:t>s</w:t>
      </w:r>
      <w:r w:rsidRPr="005A6EF7">
        <w:rPr>
          <w:color w:val="000000"/>
          <w:szCs w:val="22"/>
          <w:lang w:val="lv-LV" w:eastAsia="pl-PL"/>
        </w:rPr>
        <w:t>.</w:t>
      </w:r>
    </w:p>
    <w:p w14:paraId="1B41E42B" w14:textId="77777777" w:rsidR="002E1BD7" w:rsidRPr="005A6EF7" w:rsidRDefault="002E1BD7" w:rsidP="002E1BD7">
      <w:pPr>
        <w:tabs>
          <w:tab w:val="clear" w:pos="567"/>
        </w:tabs>
        <w:autoSpaceDE w:val="0"/>
        <w:autoSpaceDN w:val="0"/>
        <w:adjustRightInd w:val="0"/>
        <w:spacing w:line="240" w:lineRule="auto"/>
        <w:rPr>
          <w:color w:val="000000"/>
          <w:szCs w:val="22"/>
          <w:lang w:val="lv-LV" w:eastAsia="pl-PL"/>
        </w:rPr>
      </w:pPr>
    </w:p>
    <w:p w14:paraId="49DB0C6E" w14:textId="77777777" w:rsidR="002E1BD7" w:rsidRPr="005A6EF7" w:rsidRDefault="008D23FD" w:rsidP="002E1BD7">
      <w:pPr>
        <w:tabs>
          <w:tab w:val="clear" w:pos="567"/>
        </w:tabs>
        <w:autoSpaceDE w:val="0"/>
        <w:autoSpaceDN w:val="0"/>
        <w:adjustRightInd w:val="0"/>
        <w:spacing w:line="240" w:lineRule="auto"/>
        <w:rPr>
          <w:i/>
          <w:color w:val="000000"/>
          <w:szCs w:val="22"/>
          <w:lang w:val="lv-LV" w:eastAsia="pl-PL"/>
        </w:rPr>
      </w:pPr>
      <w:r w:rsidRPr="005A6EF7">
        <w:rPr>
          <w:i/>
          <w:color w:val="000000"/>
          <w:szCs w:val="22"/>
          <w:lang w:val="lv-LV" w:eastAsia="pl-PL"/>
        </w:rPr>
        <w:t xml:space="preserve">Vairogdziedzera </w:t>
      </w:r>
      <w:r w:rsidR="003C7756">
        <w:rPr>
          <w:i/>
          <w:color w:val="000000"/>
          <w:szCs w:val="22"/>
          <w:lang w:val="lv-LV" w:eastAsia="pl-PL"/>
        </w:rPr>
        <w:t>darbības</w:t>
      </w:r>
      <w:r w:rsidRPr="005A6EF7">
        <w:rPr>
          <w:i/>
          <w:color w:val="000000"/>
          <w:szCs w:val="22"/>
          <w:lang w:val="lv-LV" w:eastAsia="pl-PL"/>
        </w:rPr>
        <w:t xml:space="preserve"> testi</w:t>
      </w:r>
    </w:p>
    <w:p w14:paraId="7378A463" w14:textId="2AE9D982" w:rsidR="002E1BD7" w:rsidRPr="005A6EF7" w:rsidRDefault="008D23FD" w:rsidP="002E1BD7">
      <w:pPr>
        <w:rPr>
          <w:color w:val="000000"/>
          <w:szCs w:val="22"/>
          <w:lang w:val="lv-LV" w:eastAsia="pl-PL"/>
        </w:rPr>
      </w:pPr>
      <w:r w:rsidRPr="005A6EF7">
        <w:rPr>
          <w:color w:val="000000"/>
          <w:szCs w:val="22"/>
          <w:lang w:val="lv-LV" w:eastAsia="pl-PL"/>
        </w:rPr>
        <w:t>Acetilsalicilskābe var ietekmēt vairogdziedzer</w:t>
      </w:r>
      <w:r w:rsidR="003C7756">
        <w:rPr>
          <w:color w:val="000000"/>
          <w:szCs w:val="22"/>
          <w:lang w:val="lv-LV" w:eastAsia="pl-PL"/>
        </w:rPr>
        <w:t>a</w:t>
      </w:r>
      <w:r w:rsidRPr="005A6EF7">
        <w:rPr>
          <w:color w:val="000000"/>
          <w:szCs w:val="22"/>
          <w:lang w:val="lv-LV" w:eastAsia="pl-PL"/>
        </w:rPr>
        <w:t xml:space="preserve"> </w:t>
      </w:r>
      <w:r w:rsidR="00A62A88">
        <w:rPr>
          <w:color w:val="000000"/>
          <w:szCs w:val="22"/>
          <w:lang w:val="lv-LV" w:eastAsia="pl-PL"/>
        </w:rPr>
        <w:t xml:space="preserve">funkcionālos </w:t>
      </w:r>
      <w:r w:rsidRPr="005A6EF7">
        <w:rPr>
          <w:color w:val="000000"/>
          <w:szCs w:val="22"/>
          <w:lang w:val="lv-LV" w:eastAsia="pl-PL"/>
        </w:rPr>
        <w:t>testa rezultātus.</w:t>
      </w:r>
    </w:p>
    <w:p w14:paraId="76474E4A" w14:textId="77777777" w:rsidR="00017525" w:rsidRPr="005A6EF7" w:rsidRDefault="00017525">
      <w:pPr>
        <w:tabs>
          <w:tab w:val="clear" w:pos="567"/>
        </w:tabs>
        <w:spacing w:line="240" w:lineRule="auto"/>
        <w:ind w:left="567" w:hanging="567"/>
        <w:rPr>
          <w:lang w:val="lv-LV"/>
        </w:rPr>
      </w:pPr>
    </w:p>
    <w:p w14:paraId="2893757B" w14:textId="77777777" w:rsidR="00017525" w:rsidRPr="005A6EF7" w:rsidRDefault="004A50CF">
      <w:pPr>
        <w:tabs>
          <w:tab w:val="clear" w:pos="567"/>
        </w:tabs>
        <w:spacing w:line="240" w:lineRule="auto"/>
        <w:ind w:left="567" w:hanging="567"/>
        <w:rPr>
          <w:lang w:val="lv-LV"/>
        </w:rPr>
      </w:pPr>
      <w:r w:rsidRPr="005A6EF7">
        <w:rPr>
          <w:b/>
          <w:lang w:val="lv-LV"/>
        </w:rPr>
        <w:t>4.6</w:t>
      </w:r>
      <w:r w:rsidR="0046466B" w:rsidRPr="005A6EF7">
        <w:rPr>
          <w:b/>
          <w:szCs w:val="22"/>
          <w:lang w:val="lv-LV"/>
        </w:rPr>
        <w:t>.</w:t>
      </w:r>
      <w:r w:rsidRPr="005A6EF7">
        <w:rPr>
          <w:b/>
          <w:lang w:val="lv-LV"/>
        </w:rPr>
        <w:tab/>
        <w:t xml:space="preserve">Fertilitāte, grūtniecība un </w:t>
      </w:r>
      <w:r w:rsidR="0046466B" w:rsidRPr="005A6EF7">
        <w:rPr>
          <w:b/>
          <w:szCs w:val="22"/>
          <w:lang w:val="lv-LV"/>
        </w:rPr>
        <w:t>barošana ar krūti</w:t>
      </w:r>
    </w:p>
    <w:p w14:paraId="3C0EA841" w14:textId="77777777" w:rsidR="00017525" w:rsidRPr="005A6EF7" w:rsidRDefault="00017525">
      <w:pPr>
        <w:tabs>
          <w:tab w:val="clear" w:pos="567"/>
        </w:tabs>
        <w:spacing w:line="240" w:lineRule="auto"/>
        <w:rPr>
          <w:lang w:val="lv-LV"/>
        </w:rPr>
      </w:pPr>
    </w:p>
    <w:p w14:paraId="1959A4C6" w14:textId="77777777" w:rsidR="008D23FD" w:rsidRPr="005A6EF7" w:rsidRDefault="008D23FD" w:rsidP="008D23FD">
      <w:pPr>
        <w:tabs>
          <w:tab w:val="clear" w:pos="567"/>
        </w:tabs>
        <w:spacing w:line="240" w:lineRule="auto"/>
        <w:rPr>
          <w:noProof/>
          <w:szCs w:val="22"/>
          <w:u w:val="single"/>
          <w:lang w:val="lv-LV"/>
        </w:rPr>
      </w:pPr>
      <w:r w:rsidRPr="005A6EF7">
        <w:rPr>
          <w:noProof/>
          <w:szCs w:val="22"/>
          <w:u w:val="single"/>
          <w:lang w:val="lv-LV"/>
        </w:rPr>
        <w:t>Grūtniecība</w:t>
      </w:r>
    </w:p>
    <w:p w14:paraId="1F130DA2" w14:textId="77777777" w:rsidR="008D23FD" w:rsidRPr="005A6EF7" w:rsidRDefault="00DC6C1E" w:rsidP="008D23FD">
      <w:pPr>
        <w:tabs>
          <w:tab w:val="clear" w:pos="567"/>
        </w:tabs>
        <w:spacing w:line="240" w:lineRule="auto"/>
        <w:rPr>
          <w:i/>
          <w:noProof/>
          <w:szCs w:val="22"/>
          <w:lang w:val="lv-LV"/>
        </w:rPr>
      </w:pPr>
      <w:r w:rsidRPr="005A6EF7">
        <w:rPr>
          <w:i/>
          <w:noProof/>
          <w:szCs w:val="22"/>
          <w:lang w:val="lv-LV"/>
        </w:rPr>
        <w:t>Mazas devas</w:t>
      </w:r>
      <w:r w:rsidR="008D23FD" w:rsidRPr="005A6EF7">
        <w:rPr>
          <w:i/>
          <w:noProof/>
          <w:szCs w:val="22"/>
          <w:lang w:val="lv-LV"/>
        </w:rPr>
        <w:t xml:space="preserve"> (</w:t>
      </w:r>
      <w:r w:rsidRPr="005A6EF7">
        <w:rPr>
          <w:i/>
          <w:noProof/>
          <w:szCs w:val="22"/>
          <w:lang w:val="lv-LV"/>
        </w:rPr>
        <w:t>līdz</w:t>
      </w:r>
      <w:r w:rsidR="00201C17">
        <w:rPr>
          <w:i/>
          <w:noProof/>
          <w:szCs w:val="22"/>
          <w:lang w:val="lv-LV"/>
        </w:rPr>
        <w:t xml:space="preserve"> 100 mg </w:t>
      </w:r>
      <w:r w:rsidR="008D23FD" w:rsidRPr="005A6EF7">
        <w:rPr>
          <w:i/>
          <w:noProof/>
          <w:szCs w:val="22"/>
          <w:lang w:val="lv-LV"/>
        </w:rPr>
        <w:t>d</w:t>
      </w:r>
      <w:r w:rsidRPr="005A6EF7">
        <w:rPr>
          <w:i/>
          <w:noProof/>
          <w:szCs w:val="22"/>
          <w:lang w:val="lv-LV"/>
        </w:rPr>
        <w:t>ienā</w:t>
      </w:r>
      <w:r w:rsidR="00201C17">
        <w:rPr>
          <w:i/>
          <w:noProof/>
          <w:szCs w:val="22"/>
          <w:lang w:val="lv-LV"/>
        </w:rPr>
        <w:t>)</w:t>
      </w:r>
    </w:p>
    <w:p w14:paraId="38FEC131" w14:textId="77777777" w:rsidR="008D23FD" w:rsidRPr="005A6EF7" w:rsidRDefault="00DC6C1E" w:rsidP="008D23FD">
      <w:pPr>
        <w:tabs>
          <w:tab w:val="clear" w:pos="567"/>
        </w:tabs>
        <w:spacing w:line="240" w:lineRule="auto"/>
        <w:rPr>
          <w:noProof/>
          <w:szCs w:val="22"/>
          <w:lang w:val="lv-LV"/>
        </w:rPr>
      </w:pPr>
      <w:r w:rsidRPr="005A6EF7">
        <w:rPr>
          <w:noProof/>
          <w:szCs w:val="22"/>
          <w:lang w:val="lv-LV"/>
        </w:rPr>
        <w:t>Klīnisko</w:t>
      </w:r>
      <w:r w:rsidR="0061272E">
        <w:rPr>
          <w:noProof/>
          <w:szCs w:val="22"/>
          <w:lang w:val="lv-LV"/>
        </w:rPr>
        <w:t xml:space="preserve"> pētījumu rezultāti liecina, ka</w:t>
      </w:r>
      <w:r w:rsidRPr="005A6EF7">
        <w:rPr>
          <w:noProof/>
          <w:szCs w:val="22"/>
          <w:lang w:val="lv-LV"/>
        </w:rPr>
        <w:t xml:space="preserve"> ierobežota lietošana grūtni</w:t>
      </w:r>
      <w:r w:rsidR="00201C17">
        <w:rPr>
          <w:noProof/>
          <w:szCs w:val="22"/>
          <w:lang w:val="lv-LV"/>
        </w:rPr>
        <w:t>e</w:t>
      </w:r>
      <w:r w:rsidRPr="005A6EF7">
        <w:rPr>
          <w:noProof/>
          <w:szCs w:val="22"/>
          <w:lang w:val="lv-LV"/>
        </w:rPr>
        <w:t>cības laikā līdz</w:t>
      </w:r>
      <w:r w:rsidR="008D23FD" w:rsidRPr="005A6EF7">
        <w:rPr>
          <w:noProof/>
          <w:szCs w:val="22"/>
          <w:lang w:val="lv-LV"/>
        </w:rPr>
        <w:t xml:space="preserve"> 100 mg</w:t>
      </w:r>
      <w:r w:rsidR="00201C17">
        <w:rPr>
          <w:noProof/>
          <w:szCs w:val="22"/>
          <w:lang w:val="lv-LV"/>
        </w:rPr>
        <w:t xml:space="preserve"> </w:t>
      </w:r>
      <w:r w:rsidRPr="005A6EF7">
        <w:rPr>
          <w:noProof/>
          <w:szCs w:val="22"/>
          <w:lang w:val="lv-LV"/>
        </w:rPr>
        <w:t>dienā, pastiprināti novērojot, ir droša.</w:t>
      </w:r>
    </w:p>
    <w:p w14:paraId="20463744" w14:textId="77777777" w:rsidR="008D23FD" w:rsidRPr="005A6EF7" w:rsidRDefault="008D23FD" w:rsidP="008D23FD">
      <w:pPr>
        <w:tabs>
          <w:tab w:val="clear" w:pos="567"/>
        </w:tabs>
        <w:spacing w:line="240" w:lineRule="auto"/>
        <w:rPr>
          <w:noProof/>
          <w:szCs w:val="22"/>
          <w:u w:val="single"/>
          <w:lang w:val="lv-LV"/>
        </w:rPr>
      </w:pPr>
    </w:p>
    <w:p w14:paraId="40C2E39A" w14:textId="77777777" w:rsidR="008D23FD" w:rsidRPr="005A6EF7" w:rsidRDefault="008D23FD" w:rsidP="008D23FD">
      <w:pPr>
        <w:tabs>
          <w:tab w:val="clear" w:pos="567"/>
        </w:tabs>
        <w:spacing w:line="240" w:lineRule="auto"/>
        <w:rPr>
          <w:i/>
          <w:noProof/>
          <w:szCs w:val="22"/>
          <w:u w:val="single"/>
          <w:lang w:val="lv-LV"/>
        </w:rPr>
      </w:pPr>
      <w:r w:rsidRPr="005A6EF7">
        <w:rPr>
          <w:i/>
          <w:noProof/>
          <w:szCs w:val="22"/>
          <w:u w:val="single"/>
          <w:lang w:val="lv-LV"/>
        </w:rPr>
        <w:t>100</w:t>
      </w:r>
      <w:r w:rsidR="0061272E">
        <w:rPr>
          <w:i/>
          <w:noProof/>
          <w:szCs w:val="22"/>
          <w:u w:val="single"/>
          <w:lang w:val="lv-LV"/>
        </w:rPr>
        <w:t xml:space="preserve"> </w:t>
      </w:r>
      <w:r w:rsidRPr="005A6EF7">
        <w:rPr>
          <w:i/>
          <w:noProof/>
          <w:szCs w:val="22"/>
          <w:u w:val="single"/>
          <w:lang w:val="lv-LV"/>
        </w:rPr>
        <w:t>- 500 mg</w:t>
      </w:r>
      <w:r w:rsidR="00201C17">
        <w:rPr>
          <w:i/>
          <w:noProof/>
          <w:szCs w:val="22"/>
          <w:u w:val="single"/>
          <w:lang w:val="lv-LV"/>
        </w:rPr>
        <w:t xml:space="preserve"> </w:t>
      </w:r>
      <w:r w:rsidRPr="005A6EF7">
        <w:rPr>
          <w:i/>
          <w:noProof/>
          <w:szCs w:val="22"/>
          <w:u w:val="single"/>
          <w:lang w:val="lv-LV"/>
        </w:rPr>
        <w:t>d</w:t>
      </w:r>
      <w:r w:rsidR="00DC6C1E" w:rsidRPr="005A6EF7">
        <w:rPr>
          <w:i/>
          <w:noProof/>
          <w:szCs w:val="22"/>
          <w:u w:val="single"/>
          <w:lang w:val="lv-LV"/>
        </w:rPr>
        <w:t>ienā</w:t>
      </w:r>
    </w:p>
    <w:p w14:paraId="0FA251C1" w14:textId="684A0F04" w:rsidR="008D23FD" w:rsidRPr="005A6EF7" w:rsidRDefault="00DC6C1E" w:rsidP="008D23FD">
      <w:pPr>
        <w:tabs>
          <w:tab w:val="clear" w:pos="567"/>
        </w:tabs>
        <w:spacing w:line="240" w:lineRule="auto"/>
        <w:rPr>
          <w:noProof/>
          <w:szCs w:val="22"/>
          <w:lang w:val="lv-LV"/>
        </w:rPr>
      </w:pPr>
      <w:r w:rsidRPr="005A6EF7">
        <w:rPr>
          <w:noProof/>
          <w:szCs w:val="22"/>
          <w:lang w:val="lv-LV"/>
        </w:rPr>
        <w:t xml:space="preserve">Nav pietiekamas klīniskās pieredzes, lietojot devas </w:t>
      </w:r>
      <w:r w:rsidR="000B5CB6">
        <w:rPr>
          <w:noProof/>
          <w:szCs w:val="22"/>
          <w:lang w:val="lv-LV"/>
        </w:rPr>
        <w:t>no</w:t>
      </w:r>
      <w:r w:rsidR="00853962">
        <w:rPr>
          <w:noProof/>
          <w:szCs w:val="22"/>
          <w:lang w:val="lv-LV"/>
        </w:rPr>
        <w:t xml:space="preserve"> </w:t>
      </w:r>
      <w:r w:rsidR="00201C17">
        <w:rPr>
          <w:noProof/>
          <w:szCs w:val="22"/>
          <w:lang w:val="lv-LV"/>
        </w:rPr>
        <w:t xml:space="preserve"> 100 mg </w:t>
      </w:r>
      <w:r w:rsidR="008D23FD" w:rsidRPr="005A6EF7">
        <w:rPr>
          <w:noProof/>
          <w:szCs w:val="22"/>
          <w:lang w:val="lv-LV"/>
        </w:rPr>
        <w:t>d</w:t>
      </w:r>
      <w:r w:rsidRPr="005A6EF7">
        <w:rPr>
          <w:noProof/>
          <w:szCs w:val="22"/>
          <w:lang w:val="lv-LV"/>
        </w:rPr>
        <w:t>ienā</w:t>
      </w:r>
      <w:r w:rsidR="000B5CB6">
        <w:rPr>
          <w:noProof/>
          <w:szCs w:val="22"/>
          <w:lang w:val="lv-LV"/>
        </w:rPr>
        <w:t xml:space="preserve"> </w:t>
      </w:r>
      <w:r w:rsidRPr="005A6EF7">
        <w:rPr>
          <w:noProof/>
          <w:szCs w:val="22"/>
          <w:lang w:val="lv-LV"/>
        </w:rPr>
        <w:t>līdz</w:t>
      </w:r>
      <w:r w:rsidR="008D23FD" w:rsidRPr="005A6EF7">
        <w:rPr>
          <w:noProof/>
          <w:szCs w:val="22"/>
          <w:lang w:val="lv-LV"/>
        </w:rPr>
        <w:t xml:space="preserve"> 500 mg</w:t>
      </w:r>
      <w:r w:rsidR="00201C17">
        <w:rPr>
          <w:noProof/>
          <w:szCs w:val="22"/>
          <w:lang w:val="lv-LV"/>
        </w:rPr>
        <w:t xml:space="preserve"> </w:t>
      </w:r>
      <w:r w:rsidR="008D23FD" w:rsidRPr="005A6EF7">
        <w:rPr>
          <w:noProof/>
          <w:szCs w:val="22"/>
          <w:lang w:val="lv-LV"/>
        </w:rPr>
        <w:t>d</w:t>
      </w:r>
      <w:r w:rsidRPr="005A6EF7">
        <w:rPr>
          <w:noProof/>
          <w:szCs w:val="22"/>
          <w:lang w:val="lv-LV"/>
        </w:rPr>
        <w:t>ienā</w:t>
      </w:r>
      <w:r w:rsidR="0061272E">
        <w:rPr>
          <w:noProof/>
          <w:szCs w:val="22"/>
          <w:lang w:val="lv-LV"/>
        </w:rPr>
        <w:t xml:space="preserve">. </w:t>
      </w:r>
      <w:r w:rsidR="00201C17">
        <w:rPr>
          <w:noProof/>
          <w:szCs w:val="22"/>
          <w:lang w:val="lv-LV"/>
        </w:rPr>
        <w:t>Tāpēc turp</w:t>
      </w:r>
      <w:r w:rsidRPr="005A6EF7">
        <w:rPr>
          <w:noProof/>
          <w:szCs w:val="22"/>
          <w:lang w:val="lv-LV"/>
        </w:rPr>
        <w:t xml:space="preserve">māk minētie ieteikumi </w:t>
      </w:r>
      <w:r w:rsidR="00201C17">
        <w:rPr>
          <w:noProof/>
          <w:szCs w:val="22"/>
          <w:lang w:val="lv-LV"/>
        </w:rPr>
        <w:t xml:space="preserve">par </w:t>
      </w:r>
      <w:r w:rsidR="008D23FD" w:rsidRPr="005A6EF7">
        <w:rPr>
          <w:noProof/>
          <w:szCs w:val="22"/>
          <w:lang w:val="lv-LV"/>
        </w:rPr>
        <w:t>500 mg</w:t>
      </w:r>
      <w:r w:rsidR="00201C17">
        <w:rPr>
          <w:noProof/>
          <w:szCs w:val="22"/>
          <w:lang w:val="lv-LV"/>
        </w:rPr>
        <w:t xml:space="preserve"> </w:t>
      </w:r>
      <w:r w:rsidR="008D23FD" w:rsidRPr="005A6EF7">
        <w:rPr>
          <w:noProof/>
          <w:szCs w:val="22"/>
          <w:lang w:val="lv-LV"/>
        </w:rPr>
        <w:t>d</w:t>
      </w:r>
      <w:r w:rsidRPr="005A6EF7">
        <w:rPr>
          <w:noProof/>
          <w:szCs w:val="22"/>
          <w:lang w:val="lv-LV"/>
        </w:rPr>
        <w:t>ienā</w:t>
      </w:r>
      <w:r w:rsidR="008D23FD" w:rsidRPr="005A6EF7">
        <w:rPr>
          <w:noProof/>
          <w:szCs w:val="22"/>
          <w:lang w:val="lv-LV"/>
        </w:rPr>
        <w:t xml:space="preserve"> </w:t>
      </w:r>
      <w:r w:rsidRPr="005A6EF7">
        <w:rPr>
          <w:noProof/>
          <w:szCs w:val="22"/>
          <w:lang w:val="lv-LV"/>
        </w:rPr>
        <w:t xml:space="preserve">un </w:t>
      </w:r>
      <w:r w:rsidR="00201C17">
        <w:rPr>
          <w:noProof/>
          <w:szCs w:val="22"/>
          <w:lang w:val="lv-LV"/>
        </w:rPr>
        <w:t>lielākām devām</w:t>
      </w:r>
      <w:r w:rsidRPr="005A6EF7">
        <w:rPr>
          <w:noProof/>
          <w:szCs w:val="22"/>
          <w:lang w:val="lv-LV"/>
        </w:rPr>
        <w:t xml:space="preserve"> attiecināmi arī uz šo devu intervālu</w:t>
      </w:r>
      <w:r w:rsidR="008D23FD" w:rsidRPr="005A6EF7">
        <w:rPr>
          <w:noProof/>
          <w:szCs w:val="22"/>
          <w:lang w:val="lv-LV"/>
        </w:rPr>
        <w:t>.</w:t>
      </w:r>
    </w:p>
    <w:p w14:paraId="6127258A" w14:textId="77777777" w:rsidR="008D23FD" w:rsidRPr="005A6EF7" w:rsidRDefault="008D23FD" w:rsidP="008D23FD">
      <w:pPr>
        <w:tabs>
          <w:tab w:val="clear" w:pos="567"/>
        </w:tabs>
        <w:spacing w:line="240" w:lineRule="auto"/>
        <w:rPr>
          <w:noProof/>
          <w:szCs w:val="22"/>
          <w:lang w:val="lv-LV"/>
        </w:rPr>
      </w:pPr>
    </w:p>
    <w:p w14:paraId="35D80376" w14:textId="77777777" w:rsidR="008D23FD" w:rsidRPr="005A6EF7" w:rsidRDefault="00201C17" w:rsidP="008D23FD">
      <w:pPr>
        <w:tabs>
          <w:tab w:val="clear" w:pos="567"/>
        </w:tabs>
        <w:spacing w:line="240" w:lineRule="auto"/>
        <w:rPr>
          <w:i/>
          <w:noProof/>
          <w:szCs w:val="22"/>
          <w:u w:val="single"/>
          <w:lang w:val="lv-LV"/>
        </w:rPr>
      </w:pPr>
      <w:r>
        <w:rPr>
          <w:i/>
          <w:noProof/>
          <w:szCs w:val="22"/>
          <w:u w:val="single"/>
          <w:lang w:val="lv-LV"/>
        </w:rPr>
        <w:t xml:space="preserve">500 mg </w:t>
      </w:r>
      <w:r w:rsidR="008D23FD" w:rsidRPr="005A6EF7">
        <w:rPr>
          <w:i/>
          <w:noProof/>
          <w:szCs w:val="22"/>
          <w:u w:val="single"/>
          <w:lang w:val="lv-LV"/>
        </w:rPr>
        <w:t>d</w:t>
      </w:r>
      <w:r w:rsidR="00DC6C1E" w:rsidRPr="005A6EF7">
        <w:rPr>
          <w:i/>
          <w:noProof/>
          <w:szCs w:val="22"/>
          <w:u w:val="single"/>
          <w:lang w:val="lv-LV"/>
        </w:rPr>
        <w:t>ienā un vairāk</w:t>
      </w:r>
    </w:p>
    <w:p w14:paraId="3B09A806" w14:textId="7C2EFCEB" w:rsidR="008D23FD" w:rsidRPr="005A6EF7" w:rsidRDefault="00DC6C1E" w:rsidP="008D23FD">
      <w:pPr>
        <w:pStyle w:val="Default"/>
        <w:rPr>
          <w:color w:val="000000"/>
          <w:sz w:val="22"/>
          <w:szCs w:val="22"/>
          <w:lang w:val="lv-LV" w:eastAsia="pl-PL"/>
        </w:rPr>
      </w:pPr>
      <w:r w:rsidRPr="005A6EF7">
        <w:rPr>
          <w:sz w:val="22"/>
          <w:szCs w:val="22"/>
          <w:lang w:val="lv-LV"/>
        </w:rPr>
        <w:t xml:space="preserve">Prostaglandīnu sintēzes inhibīcija var negatīvi ietekmēt grūtniecību </w:t>
      </w:r>
      <w:r w:rsidR="001A0CB3" w:rsidRPr="005A6EF7">
        <w:rPr>
          <w:sz w:val="22"/>
          <w:szCs w:val="22"/>
          <w:lang w:val="lv-LV"/>
        </w:rPr>
        <w:t xml:space="preserve">un/vai embriofetālo attīstību. Epidemioloģisko pētījumu dati liecina par paaugstinātu spontānā aborta, sirds </w:t>
      </w:r>
      <w:r w:rsidR="00201C17">
        <w:rPr>
          <w:sz w:val="22"/>
          <w:szCs w:val="22"/>
          <w:lang w:val="lv-LV"/>
        </w:rPr>
        <w:t>patoloģijas</w:t>
      </w:r>
      <w:r w:rsidR="001A0CB3" w:rsidRPr="005A6EF7">
        <w:rPr>
          <w:sz w:val="22"/>
          <w:szCs w:val="22"/>
          <w:lang w:val="lv-LV"/>
        </w:rPr>
        <w:t xml:space="preserve"> un gastrošīzes risku, lietojot prostaglandīnu sintēzes inhibitorus agrīnā grūtniecības laikā. Absolūtais kardiovaskulārās </w:t>
      </w:r>
      <w:r w:rsidR="00201C17">
        <w:rPr>
          <w:sz w:val="22"/>
          <w:szCs w:val="22"/>
          <w:lang w:val="lv-LV"/>
        </w:rPr>
        <w:t>patoloģijas</w:t>
      </w:r>
      <w:r w:rsidR="001A0CB3" w:rsidRPr="005A6EF7">
        <w:rPr>
          <w:sz w:val="22"/>
          <w:szCs w:val="22"/>
          <w:lang w:val="lv-LV"/>
        </w:rPr>
        <w:t xml:space="preserve"> risks palielinājās no mazāk nekā 1% </w:t>
      </w:r>
      <w:r w:rsidR="001A0CB3" w:rsidRPr="005A6EF7">
        <w:rPr>
          <w:color w:val="000000"/>
          <w:sz w:val="22"/>
          <w:szCs w:val="22"/>
          <w:lang w:val="lv-LV" w:eastAsia="pl-PL"/>
        </w:rPr>
        <w:t>līdz aptuveni</w:t>
      </w:r>
      <w:r w:rsidR="00201C17">
        <w:rPr>
          <w:color w:val="000000"/>
          <w:sz w:val="22"/>
          <w:szCs w:val="22"/>
          <w:lang w:val="lv-LV" w:eastAsia="pl-PL"/>
        </w:rPr>
        <w:t xml:space="preserve"> 1,</w:t>
      </w:r>
      <w:r w:rsidR="008D23FD" w:rsidRPr="005A6EF7">
        <w:rPr>
          <w:color w:val="000000"/>
          <w:sz w:val="22"/>
          <w:szCs w:val="22"/>
          <w:lang w:val="lv-LV" w:eastAsia="pl-PL"/>
        </w:rPr>
        <w:t xml:space="preserve">5%. </w:t>
      </w:r>
      <w:r w:rsidR="001A0CB3" w:rsidRPr="005A6EF7">
        <w:rPr>
          <w:color w:val="000000"/>
          <w:sz w:val="22"/>
          <w:szCs w:val="22"/>
          <w:lang w:val="lv-LV" w:eastAsia="pl-PL"/>
        </w:rPr>
        <w:t>Uzskata, ka risks palielinās proporcionāli devai un lietošanas ilgumam.</w:t>
      </w:r>
    </w:p>
    <w:p w14:paraId="7C7FC611" w14:textId="77777777" w:rsidR="001A0CB3" w:rsidRPr="005A6EF7" w:rsidRDefault="001A0CB3" w:rsidP="008D23FD">
      <w:pPr>
        <w:pStyle w:val="Default"/>
        <w:rPr>
          <w:color w:val="000000"/>
          <w:sz w:val="22"/>
          <w:szCs w:val="22"/>
          <w:lang w:val="lv-LV" w:eastAsia="pl-PL"/>
        </w:rPr>
      </w:pPr>
      <w:r w:rsidRPr="005A6EF7">
        <w:rPr>
          <w:color w:val="000000"/>
          <w:sz w:val="22"/>
          <w:szCs w:val="22"/>
          <w:lang w:val="lv-LV" w:eastAsia="pl-PL"/>
        </w:rPr>
        <w:t>Dzīvniekiem prostaglandīnu sintēzes inhibitori pa</w:t>
      </w:r>
      <w:r w:rsidR="00201C17">
        <w:rPr>
          <w:color w:val="000000"/>
          <w:sz w:val="22"/>
          <w:szCs w:val="22"/>
          <w:lang w:val="lv-LV" w:eastAsia="pl-PL"/>
        </w:rPr>
        <w:t>lielināja</w:t>
      </w:r>
      <w:r w:rsidRPr="005A6EF7">
        <w:rPr>
          <w:color w:val="000000"/>
          <w:sz w:val="22"/>
          <w:szCs w:val="22"/>
          <w:lang w:val="lv-LV" w:eastAsia="pl-PL"/>
        </w:rPr>
        <w:t xml:space="preserve"> </w:t>
      </w:r>
      <w:r w:rsidR="00201C17">
        <w:rPr>
          <w:color w:val="000000"/>
          <w:sz w:val="22"/>
          <w:szCs w:val="22"/>
          <w:lang w:val="lv-LV" w:eastAsia="pl-PL"/>
        </w:rPr>
        <w:t xml:space="preserve">apaugļotas olšūnas </w:t>
      </w:r>
      <w:r w:rsidRPr="005A6EF7">
        <w:rPr>
          <w:color w:val="000000"/>
          <w:sz w:val="22"/>
          <w:szCs w:val="22"/>
          <w:lang w:val="lv-LV" w:eastAsia="pl-PL"/>
        </w:rPr>
        <w:t xml:space="preserve">pirms- un pēcimplantācijas </w:t>
      </w:r>
      <w:r w:rsidR="00201C17">
        <w:rPr>
          <w:color w:val="000000"/>
          <w:sz w:val="22"/>
          <w:szCs w:val="22"/>
          <w:lang w:val="lv-LV" w:eastAsia="pl-PL"/>
        </w:rPr>
        <w:t>bojāeju</w:t>
      </w:r>
      <w:r w:rsidRPr="005A6EF7">
        <w:rPr>
          <w:color w:val="000000"/>
          <w:sz w:val="22"/>
          <w:szCs w:val="22"/>
          <w:lang w:val="lv-LV" w:eastAsia="pl-PL"/>
        </w:rPr>
        <w:t xml:space="preserve"> un embriofetālo mirstību. Ir ziņots par paaugstinātu dažādu </w:t>
      </w:r>
      <w:r w:rsidR="00201C17">
        <w:rPr>
          <w:color w:val="000000"/>
          <w:sz w:val="22"/>
          <w:szCs w:val="22"/>
          <w:lang w:val="lv-LV" w:eastAsia="pl-PL"/>
        </w:rPr>
        <w:t>patoloģiju</w:t>
      </w:r>
      <w:r w:rsidRPr="005A6EF7">
        <w:rPr>
          <w:color w:val="000000"/>
          <w:sz w:val="22"/>
          <w:szCs w:val="22"/>
          <w:lang w:val="lv-LV" w:eastAsia="pl-PL"/>
        </w:rPr>
        <w:t xml:space="preserve"> sastopamību, tai skaitā kardiovaskulāru, dzīvniekiem, kas lietoja prostaglandīnu sintēzes inhibitorus organoģenē</w:t>
      </w:r>
      <w:r w:rsidR="00314464">
        <w:rPr>
          <w:color w:val="000000"/>
          <w:sz w:val="22"/>
          <w:szCs w:val="22"/>
          <w:lang w:val="lv-LV" w:eastAsia="pl-PL"/>
        </w:rPr>
        <w:t>zes</w:t>
      </w:r>
      <w:r w:rsidRPr="005A6EF7">
        <w:rPr>
          <w:color w:val="000000"/>
          <w:sz w:val="22"/>
          <w:szCs w:val="22"/>
          <w:lang w:val="lv-LV" w:eastAsia="pl-PL"/>
        </w:rPr>
        <w:t xml:space="preserve"> laikā. Pirmā un trešā grūtniecības trimestra laikā acetilsalicilskābi lieto</w:t>
      </w:r>
      <w:r w:rsidR="0061272E">
        <w:rPr>
          <w:color w:val="000000"/>
          <w:sz w:val="22"/>
          <w:szCs w:val="22"/>
          <w:lang w:val="lv-LV" w:eastAsia="pl-PL"/>
        </w:rPr>
        <w:t>t</w:t>
      </w:r>
      <w:r w:rsidRPr="005A6EF7">
        <w:rPr>
          <w:color w:val="000000"/>
          <w:sz w:val="22"/>
          <w:szCs w:val="22"/>
          <w:lang w:val="lv-LV" w:eastAsia="pl-PL"/>
        </w:rPr>
        <w:t xml:space="preserve"> nedrīkst, ja vien nav skaidras nepieciešamības. </w:t>
      </w:r>
      <w:r w:rsidR="004F62E6" w:rsidRPr="005A6EF7">
        <w:rPr>
          <w:color w:val="000000"/>
          <w:sz w:val="22"/>
          <w:szCs w:val="22"/>
          <w:lang w:val="lv-LV" w:eastAsia="pl-PL"/>
        </w:rPr>
        <w:t>Ja acetilsalicilskābi lieto sieviete, kas vēlas, lai iestājas grūtniecība, vai grūtn</w:t>
      </w:r>
      <w:r w:rsidR="0061272E">
        <w:rPr>
          <w:color w:val="000000"/>
          <w:sz w:val="22"/>
          <w:szCs w:val="22"/>
          <w:lang w:val="lv-LV" w:eastAsia="pl-PL"/>
        </w:rPr>
        <w:t>iecības pirmā un otrā trimestra laikā, deva</w:t>
      </w:r>
      <w:r w:rsidR="004F62E6" w:rsidRPr="005A6EF7">
        <w:rPr>
          <w:color w:val="000000"/>
          <w:sz w:val="22"/>
          <w:szCs w:val="22"/>
          <w:lang w:val="lv-LV" w:eastAsia="pl-PL"/>
        </w:rPr>
        <w:t>i jābūt iespējami mazai un ārstēšanās ilgumam iespējam</w:t>
      </w:r>
      <w:r w:rsidR="0061272E">
        <w:rPr>
          <w:color w:val="000000"/>
          <w:sz w:val="22"/>
          <w:szCs w:val="22"/>
          <w:lang w:val="lv-LV" w:eastAsia="pl-PL"/>
        </w:rPr>
        <w:t>i</w:t>
      </w:r>
      <w:r w:rsidR="004F62E6" w:rsidRPr="005A6EF7">
        <w:rPr>
          <w:color w:val="000000"/>
          <w:sz w:val="22"/>
          <w:szCs w:val="22"/>
          <w:lang w:val="lv-LV" w:eastAsia="pl-PL"/>
        </w:rPr>
        <w:t xml:space="preserve"> īsam.</w:t>
      </w:r>
    </w:p>
    <w:p w14:paraId="4CDE7CDA" w14:textId="77777777" w:rsidR="008D23FD" w:rsidRPr="005A6EF7" w:rsidRDefault="008D23FD" w:rsidP="008D23FD">
      <w:pPr>
        <w:tabs>
          <w:tab w:val="clear" w:pos="567"/>
        </w:tabs>
        <w:spacing w:line="240" w:lineRule="auto"/>
        <w:rPr>
          <w:noProof/>
          <w:szCs w:val="22"/>
          <w:u w:val="single"/>
          <w:lang w:val="lv-LV"/>
        </w:rPr>
      </w:pPr>
    </w:p>
    <w:p w14:paraId="0E6888A5" w14:textId="31A9B5DD" w:rsidR="008D23FD" w:rsidRPr="005A6EF7" w:rsidRDefault="004F62E6" w:rsidP="008D23FD">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Trešā grūtniecības t</w:t>
      </w:r>
      <w:r w:rsidR="00884FD4">
        <w:rPr>
          <w:color w:val="000000"/>
          <w:szCs w:val="22"/>
          <w:lang w:val="lv-LV" w:eastAsia="pl-PL"/>
        </w:rPr>
        <w:t>rimestra</w:t>
      </w:r>
      <w:r w:rsidRPr="005A6EF7">
        <w:rPr>
          <w:color w:val="000000"/>
          <w:szCs w:val="22"/>
          <w:lang w:val="lv-LV" w:eastAsia="pl-PL"/>
        </w:rPr>
        <w:t xml:space="preserve"> laikā visiem prostaglandīnu sintēzes inhibitoriem var būt šāda ie</w:t>
      </w:r>
      <w:r w:rsidR="00201C17">
        <w:rPr>
          <w:color w:val="000000"/>
          <w:szCs w:val="22"/>
          <w:lang w:val="lv-LV" w:eastAsia="pl-PL"/>
        </w:rPr>
        <w:t>tekme</w:t>
      </w:r>
      <w:r w:rsidRPr="005A6EF7">
        <w:rPr>
          <w:color w:val="000000"/>
          <w:szCs w:val="22"/>
          <w:lang w:val="lv-LV" w:eastAsia="pl-PL"/>
        </w:rPr>
        <w:t xml:space="preserve"> uz augli</w:t>
      </w:r>
      <w:r w:rsidR="008D23FD" w:rsidRPr="005A6EF7">
        <w:rPr>
          <w:color w:val="000000"/>
          <w:szCs w:val="22"/>
          <w:lang w:val="lv-LV" w:eastAsia="pl-PL"/>
        </w:rPr>
        <w:t>:</w:t>
      </w:r>
    </w:p>
    <w:p w14:paraId="5B4EE66D" w14:textId="77777777" w:rsidR="008D23FD" w:rsidRPr="005A6EF7" w:rsidRDefault="008D23FD" w:rsidP="008D23FD">
      <w:pPr>
        <w:autoSpaceDE w:val="0"/>
        <w:autoSpaceDN w:val="0"/>
        <w:adjustRightInd w:val="0"/>
        <w:spacing w:line="240" w:lineRule="auto"/>
        <w:ind w:left="567" w:hanging="567"/>
        <w:rPr>
          <w:color w:val="000000"/>
          <w:szCs w:val="22"/>
          <w:lang w:val="lv-LV" w:eastAsia="pl-PL"/>
        </w:rPr>
      </w:pPr>
      <w:r w:rsidRPr="005A6EF7">
        <w:rPr>
          <w:color w:val="000000"/>
          <w:szCs w:val="22"/>
          <w:lang w:val="lv-LV" w:eastAsia="pl-PL"/>
        </w:rPr>
        <w:t>-</w:t>
      </w:r>
      <w:r w:rsidRPr="005A6EF7">
        <w:rPr>
          <w:color w:val="000000"/>
          <w:szCs w:val="22"/>
          <w:lang w:val="lv-LV" w:eastAsia="pl-PL"/>
        </w:rPr>
        <w:tab/>
      </w:r>
      <w:r w:rsidR="004F62E6" w:rsidRPr="005A6EF7">
        <w:rPr>
          <w:color w:val="000000"/>
          <w:szCs w:val="22"/>
          <w:lang w:val="lv-LV" w:eastAsia="pl-PL"/>
        </w:rPr>
        <w:t>kardiopulmonāla toksicitāte</w:t>
      </w:r>
      <w:r w:rsidRPr="005A6EF7">
        <w:rPr>
          <w:color w:val="000000"/>
          <w:szCs w:val="22"/>
          <w:lang w:val="lv-LV" w:eastAsia="pl-PL"/>
        </w:rPr>
        <w:t xml:space="preserve"> (</w:t>
      </w:r>
      <w:r w:rsidR="004F62E6" w:rsidRPr="005A6EF7">
        <w:rPr>
          <w:color w:val="000000"/>
          <w:szCs w:val="22"/>
          <w:lang w:val="lv-LV" w:eastAsia="pl-PL"/>
        </w:rPr>
        <w:t>ar priekšlaicīgu</w:t>
      </w:r>
      <w:r w:rsidRPr="005A6EF7">
        <w:rPr>
          <w:color w:val="000000"/>
          <w:szCs w:val="22"/>
          <w:lang w:val="lv-LV" w:eastAsia="pl-PL"/>
        </w:rPr>
        <w:t xml:space="preserve"> </w:t>
      </w:r>
      <w:r w:rsidRPr="005A6EF7">
        <w:rPr>
          <w:i/>
          <w:color w:val="000000"/>
          <w:szCs w:val="22"/>
          <w:lang w:val="lv-LV" w:eastAsia="pl-PL"/>
        </w:rPr>
        <w:t>ductus arteriosus</w:t>
      </w:r>
      <w:r w:rsidRPr="005A6EF7">
        <w:rPr>
          <w:color w:val="000000"/>
          <w:szCs w:val="22"/>
          <w:lang w:val="lv-LV" w:eastAsia="pl-PL"/>
        </w:rPr>
        <w:t xml:space="preserve"> </w:t>
      </w:r>
      <w:r w:rsidR="004F62E6" w:rsidRPr="005A6EF7">
        <w:rPr>
          <w:color w:val="000000"/>
          <w:szCs w:val="22"/>
          <w:lang w:val="lv-LV" w:eastAsia="pl-PL"/>
        </w:rPr>
        <w:t>slēgšanos un plaušu hipertensiju</w:t>
      </w:r>
      <w:r w:rsidRPr="005A6EF7">
        <w:rPr>
          <w:color w:val="000000"/>
          <w:szCs w:val="22"/>
          <w:lang w:val="lv-LV" w:eastAsia="pl-PL"/>
        </w:rPr>
        <w:t>);</w:t>
      </w:r>
    </w:p>
    <w:p w14:paraId="7CEABE2F" w14:textId="77777777" w:rsidR="008D23FD" w:rsidRPr="005A6EF7" w:rsidRDefault="008D23FD" w:rsidP="004F62E6">
      <w:pPr>
        <w:tabs>
          <w:tab w:val="clear" w:pos="567"/>
          <w:tab w:val="left" w:pos="540"/>
        </w:tabs>
        <w:autoSpaceDE w:val="0"/>
        <w:autoSpaceDN w:val="0"/>
        <w:adjustRightInd w:val="0"/>
        <w:spacing w:line="240" w:lineRule="auto"/>
        <w:rPr>
          <w:color w:val="000000"/>
          <w:szCs w:val="22"/>
          <w:lang w:val="lv-LV" w:eastAsia="pl-PL"/>
        </w:rPr>
      </w:pPr>
      <w:r w:rsidRPr="005A6EF7">
        <w:rPr>
          <w:color w:val="000000"/>
          <w:szCs w:val="22"/>
          <w:lang w:val="lv-LV" w:eastAsia="pl-PL"/>
        </w:rPr>
        <w:t>-</w:t>
      </w:r>
      <w:r w:rsidRPr="005A6EF7">
        <w:rPr>
          <w:color w:val="000000"/>
          <w:szCs w:val="22"/>
          <w:lang w:val="lv-LV" w:eastAsia="pl-PL"/>
        </w:rPr>
        <w:tab/>
      </w:r>
      <w:r w:rsidR="004F62E6" w:rsidRPr="005A6EF7">
        <w:rPr>
          <w:color w:val="000000"/>
          <w:szCs w:val="22"/>
          <w:lang w:val="lv-LV" w:eastAsia="pl-PL"/>
        </w:rPr>
        <w:t>nieru disfunkcija, kas var progresēt līdz nieru mazspējai un oligohidramni</w:t>
      </w:r>
      <w:r w:rsidR="008523DF">
        <w:rPr>
          <w:color w:val="000000"/>
          <w:szCs w:val="22"/>
          <w:lang w:val="lv-LV" w:eastAsia="pl-PL"/>
        </w:rPr>
        <w:t>ja</w:t>
      </w:r>
      <w:r w:rsidR="004F62E6" w:rsidRPr="005A6EF7">
        <w:rPr>
          <w:color w:val="000000"/>
          <w:szCs w:val="22"/>
          <w:lang w:val="lv-LV" w:eastAsia="pl-PL"/>
        </w:rPr>
        <w:t>i.</w:t>
      </w:r>
    </w:p>
    <w:p w14:paraId="548F0211" w14:textId="77777777" w:rsidR="004F62E6" w:rsidRPr="005A6EF7" w:rsidRDefault="004F62E6" w:rsidP="004F62E6">
      <w:pPr>
        <w:tabs>
          <w:tab w:val="clear" w:pos="567"/>
        </w:tabs>
        <w:autoSpaceDE w:val="0"/>
        <w:autoSpaceDN w:val="0"/>
        <w:adjustRightInd w:val="0"/>
        <w:spacing w:line="240" w:lineRule="auto"/>
        <w:rPr>
          <w:color w:val="000000"/>
          <w:szCs w:val="22"/>
          <w:lang w:val="lv-LV" w:eastAsia="pl-PL"/>
        </w:rPr>
      </w:pPr>
    </w:p>
    <w:p w14:paraId="0D4F1CB9" w14:textId="56B2A7BD" w:rsidR="004F62E6" w:rsidRPr="005A6EF7" w:rsidRDefault="004F62E6" w:rsidP="004F62E6">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Grūtniecības beigās visiem prostaglandīnu sintēzes inhibitoriem var būt šāda ie</w:t>
      </w:r>
      <w:r w:rsidR="00201C17">
        <w:rPr>
          <w:color w:val="000000"/>
          <w:szCs w:val="22"/>
          <w:lang w:val="lv-LV" w:eastAsia="pl-PL"/>
        </w:rPr>
        <w:t>tekme</w:t>
      </w:r>
      <w:r w:rsidRPr="005A6EF7">
        <w:rPr>
          <w:color w:val="000000"/>
          <w:szCs w:val="22"/>
          <w:lang w:val="lv-LV" w:eastAsia="pl-PL"/>
        </w:rPr>
        <w:t xml:space="preserve"> uz māti un jaudzimušo:</w:t>
      </w:r>
    </w:p>
    <w:p w14:paraId="2F0D90D1" w14:textId="77777777" w:rsidR="008D23FD" w:rsidRPr="005A6EF7" w:rsidRDefault="004F62E6" w:rsidP="004F62E6">
      <w:pPr>
        <w:numPr>
          <w:ilvl w:val="0"/>
          <w:numId w:val="57"/>
        </w:numPr>
        <w:tabs>
          <w:tab w:val="clear" w:pos="567"/>
          <w:tab w:val="left" w:pos="630"/>
        </w:tabs>
        <w:autoSpaceDE w:val="0"/>
        <w:autoSpaceDN w:val="0"/>
        <w:adjustRightInd w:val="0"/>
        <w:spacing w:line="240" w:lineRule="auto"/>
        <w:ind w:left="630" w:hanging="630"/>
        <w:rPr>
          <w:color w:val="000000"/>
          <w:szCs w:val="22"/>
          <w:lang w:val="lv-LV" w:eastAsia="pl-PL"/>
        </w:rPr>
      </w:pPr>
      <w:r w:rsidRPr="005A6EF7">
        <w:rPr>
          <w:color w:val="000000"/>
          <w:szCs w:val="22"/>
          <w:lang w:val="lv-LV" w:eastAsia="pl-PL"/>
        </w:rPr>
        <w:t>iespējama asiņošanas laika p</w:t>
      </w:r>
      <w:r w:rsidR="00201C17">
        <w:rPr>
          <w:color w:val="000000"/>
          <w:szCs w:val="22"/>
          <w:lang w:val="lv-LV" w:eastAsia="pl-PL"/>
        </w:rPr>
        <w:t xml:space="preserve">agarināšanās un </w:t>
      </w:r>
      <w:r w:rsidR="006776D5">
        <w:rPr>
          <w:color w:val="000000"/>
          <w:szCs w:val="22"/>
          <w:lang w:val="lv-LV" w:eastAsia="pl-PL"/>
        </w:rPr>
        <w:t>antitrombocitāra ie</w:t>
      </w:r>
      <w:r w:rsidRPr="005A6EF7">
        <w:rPr>
          <w:color w:val="000000"/>
          <w:szCs w:val="22"/>
          <w:lang w:val="lv-LV" w:eastAsia="pl-PL"/>
        </w:rPr>
        <w:t>darbība, kas var izpausties</w:t>
      </w:r>
      <w:r w:rsidR="00B206C3">
        <w:rPr>
          <w:color w:val="000000"/>
          <w:szCs w:val="22"/>
          <w:lang w:val="lv-LV" w:eastAsia="pl-PL"/>
        </w:rPr>
        <w:t>,</w:t>
      </w:r>
      <w:r w:rsidRPr="005A6EF7">
        <w:rPr>
          <w:color w:val="000000"/>
          <w:szCs w:val="22"/>
          <w:lang w:val="lv-LV" w:eastAsia="pl-PL"/>
        </w:rPr>
        <w:t xml:space="preserve"> lietojot pat ļoti mazas devas</w:t>
      </w:r>
      <w:r w:rsidR="008D23FD" w:rsidRPr="005A6EF7">
        <w:rPr>
          <w:color w:val="000000"/>
          <w:szCs w:val="22"/>
          <w:lang w:val="lv-LV" w:eastAsia="pl-PL"/>
        </w:rPr>
        <w:t>;</w:t>
      </w:r>
    </w:p>
    <w:p w14:paraId="367970D4" w14:textId="77777777" w:rsidR="008D23FD" w:rsidRPr="005A6EF7" w:rsidRDefault="004F62E6" w:rsidP="004F62E6">
      <w:pPr>
        <w:numPr>
          <w:ilvl w:val="0"/>
          <w:numId w:val="57"/>
        </w:numPr>
        <w:tabs>
          <w:tab w:val="clear" w:pos="567"/>
          <w:tab w:val="left" w:pos="630"/>
        </w:tabs>
        <w:autoSpaceDE w:val="0"/>
        <w:autoSpaceDN w:val="0"/>
        <w:adjustRightInd w:val="0"/>
        <w:spacing w:line="240" w:lineRule="auto"/>
        <w:ind w:left="630" w:hanging="630"/>
        <w:rPr>
          <w:color w:val="000000"/>
          <w:szCs w:val="22"/>
          <w:lang w:val="lv-LV" w:eastAsia="pl-PL"/>
        </w:rPr>
      </w:pPr>
      <w:r w:rsidRPr="005A6EF7">
        <w:rPr>
          <w:color w:val="000000"/>
          <w:szCs w:val="22"/>
          <w:lang w:val="lv-LV" w:eastAsia="pl-PL"/>
        </w:rPr>
        <w:t xml:space="preserve">dzemdes kontrakciju </w:t>
      </w:r>
      <w:r w:rsidR="00124575">
        <w:rPr>
          <w:color w:val="000000"/>
          <w:szCs w:val="22"/>
          <w:lang w:val="lv-LV" w:eastAsia="pl-PL"/>
        </w:rPr>
        <w:t>nomākums</w:t>
      </w:r>
      <w:r w:rsidRPr="005A6EF7">
        <w:rPr>
          <w:color w:val="000000"/>
          <w:szCs w:val="22"/>
          <w:lang w:val="lv-LV" w:eastAsia="pl-PL"/>
        </w:rPr>
        <w:t>, kas var aizkavēt vai pagarināt dzemdības.</w:t>
      </w:r>
    </w:p>
    <w:p w14:paraId="6BEA32C1" w14:textId="77777777" w:rsidR="008D23FD" w:rsidRPr="005A6EF7" w:rsidRDefault="004F62E6" w:rsidP="008D23FD">
      <w:pPr>
        <w:tabs>
          <w:tab w:val="clear" w:pos="567"/>
        </w:tabs>
        <w:spacing w:line="240" w:lineRule="auto"/>
        <w:rPr>
          <w:color w:val="000000"/>
          <w:szCs w:val="22"/>
          <w:lang w:val="lv-LV" w:eastAsia="pl-PL"/>
        </w:rPr>
      </w:pPr>
      <w:r w:rsidRPr="005A6EF7">
        <w:rPr>
          <w:color w:val="000000"/>
          <w:szCs w:val="22"/>
          <w:lang w:val="lv-LV" w:eastAsia="pl-PL"/>
        </w:rPr>
        <w:t>Tāp</w:t>
      </w:r>
      <w:r w:rsidR="00884FD4">
        <w:rPr>
          <w:color w:val="000000"/>
          <w:szCs w:val="22"/>
          <w:lang w:val="lv-LV" w:eastAsia="pl-PL"/>
        </w:rPr>
        <w:t>ēc trešā grūtniecības trimestra</w:t>
      </w:r>
      <w:r w:rsidRPr="005A6EF7">
        <w:rPr>
          <w:color w:val="000000"/>
          <w:szCs w:val="22"/>
          <w:lang w:val="lv-LV" w:eastAsia="pl-PL"/>
        </w:rPr>
        <w:t xml:space="preserve"> laikā acetilsalicilskābi </w:t>
      </w:r>
      <w:r w:rsidR="0000264F" w:rsidRPr="005A6EF7">
        <w:rPr>
          <w:color w:val="000000"/>
          <w:szCs w:val="22"/>
          <w:lang w:val="lv-LV" w:eastAsia="pl-PL"/>
        </w:rPr>
        <w:t xml:space="preserve">lietot </w:t>
      </w:r>
      <w:r w:rsidRPr="005A6EF7">
        <w:rPr>
          <w:color w:val="000000"/>
          <w:szCs w:val="22"/>
          <w:lang w:val="lv-LV" w:eastAsia="pl-PL"/>
        </w:rPr>
        <w:t>nedrīkst</w:t>
      </w:r>
      <w:r w:rsidR="008D23FD" w:rsidRPr="005A6EF7">
        <w:rPr>
          <w:color w:val="000000"/>
          <w:szCs w:val="22"/>
          <w:lang w:val="lv-LV" w:eastAsia="pl-PL"/>
        </w:rPr>
        <w:t>.</w:t>
      </w:r>
    </w:p>
    <w:p w14:paraId="12AA09BB" w14:textId="77777777" w:rsidR="008D23FD" w:rsidRPr="005A6EF7" w:rsidRDefault="008D23FD" w:rsidP="008D23FD">
      <w:pPr>
        <w:tabs>
          <w:tab w:val="clear" w:pos="567"/>
        </w:tabs>
        <w:spacing w:line="240" w:lineRule="auto"/>
        <w:rPr>
          <w:noProof/>
          <w:szCs w:val="22"/>
          <w:u w:val="single"/>
          <w:lang w:val="lv-LV"/>
        </w:rPr>
      </w:pPr>
    </w:p>
    <w:p w14:paraId="204408E7" w14:textId="77777777" w:rsidR="008D23FD" w:rsidRPr="005A6EF7" w:rsidRDefault="008D23FD" w:rsidP="008D23FD">
      <w:pPr>
        <w:tabs>
          <w:tab w:val="clear" w:pos="567"/>
        </w:tabs>
        <w:spacing w:line="240" w:lineRule="auto"/>
        <w:rPr>
          <w:noProof/>
          <w:szCs w:val="22"/>
          <w:u w:val="single"/>
          <w:lang w:val="lv-LV"/>
        </w:rPr>
      </w:pPr>
      <w:r w:rsidRPr="005A6EF7">
        <w:rPr>
          <w:noProof/>
          <w:szCs w:val="22"/>
          <w:u w:val="single"/>
          <w:lang w:val="lv-LV"/>
        </w:rPr>
        <w:t>Barošana ar krūti</w:t>
      </w:r>
    </w:p>
    <w:p w14:paraId="6D1641B5" w14:textId="1ED9F04E" w:rsidR="008D23FD" w:rsidRPr="005A6EF7" w:rsidRDefault="008D23FD" w:rsidP="00201C17">
      <w:pPr>
        <w:rPr>
          <w:snapToGrid/>
          <w:lang w:val="lv-LV" w:eastAsia="en-US"/>
        </w:rPr>
      </w:pPr>
      <w:r w:rsidRPr="005A6EF7">
        <w:rPr>
          <w:snapToGrid/>
          <w:lang w:val="lv-LV" w:eastAsia="en-US"/>
        </w:rPr>
        <w:t>Tā kā acetilsalicilskābe izdalās mātes pienā, mātes, kuras baro bērnu ar krūti, nedrīkst lietot acetilsalicilskābi</w:t>
      </w:r>
      <w:r w:rsidR="00DC6C1E" w:rsidRPr="005A6EF7">
        <w:rPr>
          <w:snapToGrid/>
          <w:lang w:val="lv-LV" w:eastAsia="en-US"/>
        </w:rPr>
        <w:t xml:space="preserve">, jo pastāv Reja sindroma </w:t>
      </w:r>
      <w:r w:rsidR="0010182E">
        <w:rPr>
          <w:snapToGrid/>
          <w:lang w:val="lv-LV" w:eastAsia="en-US"/>
        </w:rPr>
        <w:t xml:space="preserve">attīstības </w:t>
      </w:r>
      <w:r w:rsidR="00DC6C1E" w:rsidRPr="005A6EF7">
        <w:rPr>
          <w:snapToGrid/>
          <w:lang w:val="lv-LV" w:eastAsia="en-US"/>
        </w:rPr>
        <w:t xml:space="preserve">risks bērnam. Lielas devas mātei var </w:t>
      </w:r>
      <w:r w:rsidR="008E55A0">
        <w:rPr>
          <w:snapToGrid/>
          <w:lang w:val="lv-LV" w:eastAsia="en-US"/>
        </w:rPr>
        <w:t xml:space="preserve">pavājināt </w:t>
      </w:r>
      <w:r w:rsidR="00DC6C1E" w:rsidRPr="005A6EF7">
        <w:rPr>
          <w:snapToGrid/>
          <w:lang w:val="lv-LV" w:eastAsia="en-US"/>
        </w:rPr>
        <w:t xml:space="preserve">bērna trombocītu </w:t>
      </w:r>
      <w:r w:rsidR="0010182E">
        <w:rPr>
          <w:snapToGrid/>
          <w:lang w:val="lv-LV" w:eastAsia="en-US"/>
        </w:rPr>
        <w:t>funkciju</w:t>
      </w:r>
      <w:r w:rsidR="00DC6C1E" w:rsidRPr="005A6EF7">
        <w:rPr>
          <w:snapToGrid/>
          <w:lang w:val="lv-LV" w:eastAsia="en-US"/>
        </w:rPr>
        <w:t>.</w:t>
      </w:r>
    </w:p>
    <w:p w14:paraId="09E3BB03" w14:textId="77777777" w:rsidR="008D23FD" w:rsidRPr="005A6EF7" w:rsidRDefault="008D23FD" w:rsidP="008D23FD">
      <w:pPr>
        <w:tabs>
          <w:tab w:val="clear" w:pos="567"/>
        </w:tabs>
        <w:spacing w:line="240" w:lineRule="auto"/>
        <w:rPr>
          <w:szCs w:val="22"/>
          <w:lang w:val="lv-LV"/>
        </w:rPr>
      </w:pPr>
    </w:p>
    <w:p w14:paraId="008A181E" w14:textId="77777777" w:rsidR="008D23FD" w:rsidRPr="005A6EF7" w:rsidRDefault="008D23FD" w:rsidP="008D23FD">
      <w:pPr>
        <w:ind w:left="567" w:hanging="567"/>
        <w:rPr>
          <w:u w:val="single"/>
          <w:lang w:val="lv-LV"/>
        </w:rPr>
      </w:pPr>
      <w:r w:rsidRPr="005A6EF7">
        <w:rPr>
          <w:u w:val="single"/>
          <w:lang w:val="lv-LV"/>
        </w:rPr>
        <w:t>Fertilitāte</w:t>
      </w:r>
    </w:p>
    <w:p w14:paraId="4CCBE8F3" w14:textId="29E4905E" w:rsidR="008D23FD" w:rsidRPr="005A6EF7" w:rsidRDefault="00DC6C1E" w:rsidP="008D23FD">
      <w:pPr>
        <w:ind w:left="567" w:hanging="567"/>
        <w:rPr>
          <w:lang w:val="lv-LV"/>
        </w:rPr>
      </w:pPr>
      <w:r w:rsidRPr="005A6EF7">
        <w:rPr>
          <w:lang w:val="lv-LV"/>
        </w:rPr>
        <w:t>Nav pieejami kontrolēti pētījumi par acetilsalicilskābes potenciālo ietekmi uz fertilitāti.</w:t>
      </w:r>
    </w:p>
    <w:p w14:paraId="45B49901" w14:textId="77777777" w:rsidR="008D23FD" w:rsidRPr="005A6EF7" w:rsidRDefault="008D23FD">
      <w:pPr>
        <w:tabs>
          <w:tab w:val="clear" w:pos="567"/>
        </w:tabs>
        <w:spacing w:line="240" w:lineRule="auto"/>
        <w:rPr>
          <w:lang w:val="lv-LV"/>
        </w:rPr>
      </w:pPr>
    </w:p>
    <w:p w14:paraId="3C5EA1CA" w14:textId="77777777" w:rsidR="00017525" w:rsidRPr="005A6EF7" w:rsidRDefault="004A50CF">
      <w:pPr>
        <w:tabs>
          <w:tab w:val="clear" w:pos="567"/>
        </w:tabs>
        <w:spacing w:line="240" w:lineRule="auto"/>
        <w:ind w:left="567" w:hanging="567"/>
        <w:rPr>
          <w:lang w:val="lv-LV"/>
        </w:rPr>
      </w:pPr>
      <w:r w:rsidRPr="005A6EF7">
        <w:rPr>
          <w:b/>
          <w:lang w:val="lv-LV"/>
        </w:rPr>
        <w:t>4.7</w:t>
      </w:r>
      <w:r w:rsidR="0046466B" w:rsidRPr="005A6EF7">
        <w:rPr>
          <w:b/>
          <w:szCs w:val="22"/>
          <w:lang w:val="lv-LV"/>
        </w:rPr>
        <w:t>.</w:t>
      </w:r>
      <w:r w:rsidRPr="005A6EF7">
        <w:rPr>
          <w:b/>
          <w:lang w:val="lv-LV"/>
        </w:rPr>
        <w:tab/>
        <w:t>Ietekme uz spēju vadīt transportlīdzekļus un apkalpot mehānismus</w:t>
      </w:r>
    </w:p>
    <w:p w14:paraId="1571A7D7" w14:textId="77777777" w:rsidR="0046466B" w:rsidRPr="005A6EF7" w:rsidRDefault="0046466B" w:rsidP="0000264F">
      <w:pPr>
        <w:tabs>
          <w:tab w:val="clear" w:pos="567"/>
        </w:tabs>
        <w:spacing w:line="240" w:lineRule="auto"/>
        <w:rPr>
          <w:szCs w:val="22"/>
          <w:lang w:val="lv-LV"/>
        </w:rPr>
      </w:pPr>
    </w:p>
    <w:p w14:paraId="44409455" w14:textId="77777777" w:rsidR="00017525" w:rsidRPr="005A6EF7" w:rsidRDefault="0000264F">
      <w:pPr>
        <w:tabs>
          <w:tab w:val="clear" w:pos="567"/>
        </w:tabs>
        <w:spacing w:line="240" w:lineRule="auto"/>
        <w:ind w:left="567" w:hanging="567"/>
        <w:rPr>
          <w:lang w:val="lv-LV"/>
        </w:rPr>
      </w:pPr>
      <w:r w:rsidRPr="005A6EF7">
        <w:rPr>
          <w:szCs w:val="22"/>
          <w:lang w:val="lv-LV"/>
        </w:rPr>
        <w:t xml:space="preserve">Acetilsalicilskābe neietekmē spēju vadīt </w:t>
      </w:r>
      <w:r w:rsidRPr="005A6EF7">
        <w:rPr>
          <w:lang w:val="lv-LV"/>
        </w:rPr>
        <w:t>transportlīdzekļus un apkalpot mehānismus.</w:t>
      </w:r>
    </w:p>
    <w:p w14:paraId="7C8767AD" w14:textId="77777777" w:rsidR="0000264F" w:rsidRPr="005A6EF7" w:rsidRDefault="0000264F">
      <w:pPr>
        <w:tabs>
          <w:tab w:val="clear" w:pos="567"/>
        </w:tabs>
        <w:spacing w:line="240" w:lineRule="auto"/>
        <w:ind w:left="567" w:hanging="567"/>
        <w:rPr>
          <w:lang w:val="lv-LV"/>
        </w:rPr>
      </w:pPr>
    </w:p>
    <w:p w14:paraId="71A16024" w14:textId="77777777" w:rsidR="00017525" w:rsidRPr="005A6EF7" w:rsidRDefault="004A50CF">
      <w:pPr>
        <w:tabs>
          <w:tab w:val="clear" w:pos="567"/>
        </w:tabs>
        <w:spacing w:line="240" w:lineRule="auto"/>
        <w:ind w:left="567" w:hanging="567"/>
        <w:rPr>
          <w:b/>
          <w:lang w:val="lv-LV"/>
        </w:rPr>
      </w:pPr>
      <w:r w:rsidRPr="005A6EF7">
        <w:rPr>
          <w:b/>
          <w:lang w:val="lv-LV"/>
        </w:rPr>
        <w:t>4.8</w:t>
      </w:r>
      <w:r w:rsidR="0046466B" w:rsidRPr="005A6EF7">
        <w:rPr>
          <w:b/>
          <w:szCs w:val="22"/>
          <w:lang w:val="lv-LV"/>
        </w:rPr>
        <w:t>.</w:t>
      </w:r>
      <w:r w:rsidRPr="005A6EF7">
        <w:rPr>
          <w:b/>
          <w:lang w:val="lv-LV"/>
        </w:rPr>
        <w:tab/>
        <w:t>Nevēlamās blakusparādības</w:t>
      </w:r>
    </w:p>
    <w:p w14:paraId="56F22E80" w14:textId="77777777" w:rsidR="00017525" w:rsidRPr="005A6EF7" w:rsidRDefault="00017525">
      <w:pPr>
        <w:tabs>
          <w:tab w:val="clear" w:pos="567"/>
        </w:tabs>
        <w:spacing w:line="240" w:lineRule="auto"/>
        <w:ind w:left="567" w:hanging="567"/>
        <w:rPr>
          <w:lang w:val="lv-LV"/>
        </w:rPr>
      </w:pPr>
    </w:p>
    <w:p w14:paraId="23EED438" w14:textId="77777777" w:rsidR="0000264F" w:rsidRPr="005A6EF7" w:rsidRDefault="0000264F" w:rsidP="0000264F">
      <w:pPr>
        <w:rPr>
          <w:szCs w:val="22"/>
          <w:lang w:val="lv-LV"/>
        </w:rPr>
      </w:pPr>
      <w:r w:rsidRPr="005A6EF7">
        <w:rPr>
          <w:szCs w:val="22"/>
          <w:lang w:val="lv-LV"/>
        </w:rPr>
        <w:t>Blakusparādības ir sagrupētas atbilstoši</w:t>
      </w:r>
      <w:r w:rsidR="001B3D0F" w:rsidRPr="005A6EF7">
        <w:rPr>
          <w:szCs w:val="22"/>
          <w:lang w:val="lv-LV"/>
        </w:rPr>
        <w:t xml:space="preserve"> orgānu sistēmu klasifikācijai</w:t>
      </w:r>
      <w:r w:rsidRPr="005A6EF7">
        <w:rPr>
          <w:szCs w:val="22"/>
          <w:lang w:val="lv-LV"/>
        </w:rPr>
        <w:t xml:space="preserve">. </w:t>
      </w:r>
      <w:r w:rsidR="001B3D0F" w:rsidRPr="005A6EF7">
        <w:rPr>
          <w:szCs w:val="22"/>
          <w:lang w:val="lv-LV"/>
        </w:rPr>
        <w:t>Blakusparādību definīcija katr</w:t>
      </w:r>
      <w:r w:rsidR="00884FD4">
        <w:rPr>
          <w:szCs w:val="22"/>
          <w:lang w:val="lv-LV"/>
        </w:rPr>
        <w:t>ai</w:t>
      </w:r>
      <w:r w:rsidR="001B3D0F" w:rsidRPr="005A6EF7">
        <w:rPr>
          <w:szCs w:val="22"/>
          <w:lang w:val="lv-LV"/>
        </w:rPr>
        <w:t xml:space="preserve"> orgānu sistēmu klas</w:t>
      </w:r>
      <w:r w:rsidR="00884FD4">
        <w:rPr>
          <w:szCs w:val="22"/>
          <w:lang w:val="lv-LV"/>
        </w:rPr>
        <w:t>ei</w:t>
      </w:r>
      <w:r w:rsidRPr="005A6EF7">
        <w:rPr>
          <w:szCs w:val="22"/>
          <w:lang w:val="lv-LV"/>
        </w:rPr>
        <w:t xml:space="preserve">: </w:t>
      </w:r>
      <w:r w:rsidR="00730E3D" w:rsidRPr="005A6EF7">
        <w:rPr>
          <w:szCs w:val="22"/>
          <w:lang w:val="lv-LV"/>
        </w:rPr>
        <w:t>ļ</w:t>
      </w:r>
      <w:r w:rsidR="001B3D0F" w:rsidRPr="005A6EF7">
        <w:rPr>
          <w:szCs w:val="22"/>
          <w:lang w:val="lv-LV"/>
        </w:rPr>
        <w:t>oti bieži</w:t>
      </w:r>
      <w:r w:rsidRPr="005A6EF7">
        <w:rPr>
          <w:szCs w:val="22"/>
          <w:lang w:val="lv-LV"/>
        </w:rPr>
        <w:t xml:space="preserve"> (≥1/10), </w:t>
      </w:r>
      <w:r w:rsidR="001B3D0F" w:rsidRPr="005A6EF7">
        <w:rPr>
          <w:szCs w:val="22"/>
          <w:lang w:val="lv-LV"/>
        </w:rPr>
        <w:t>bieži</w:t>
      </w:r>
      <w:r w:rsidRPr="005A6EF7">
        <w:rPr>
          <w:szCs w:val="22"/>
          <w:lang w:val="lv-LV"/>
        </w:rPr>
        <w:t xml:space="preserve"> (≥1/100 </w:t>
      </w:r>
      <w:r w:rsidR="001B3D0F" w:rsidRPr="005A6EF7">
        <w:rPr>
          <w:szCs w:val="22"/>
          <w:lang w:val="lv-LV"/>
        </w:rPr>
        <w:t>līdz</w:t>
      </w:r>
      <w:r w:rsidRPr="005A6EF7">
        <w:rPr>
          <w:szCs w:val="22"/>
          <w:lang w:val="lv-LV"/>
        </w:rPr>
        <w:t xml:space="preserve"> &lt;1/10), </w:t>
      </w:r>
      <w:r w:rsidR="001B3D0F" w:rsidRPr="005A6EF7">
        <w:rPr>
          <w:szCs w:val="22"/>
          <w:lang w:val="lv-LV"/>
        </w:rPr>
        <w:t>retāk</w:t>
      </w:r>
      <w:r w:rsidRPr="005A6EF7">
        <w:rPr>
          <w:szCs w:val="22"/>
          <w:lang w:val="lv-LV"/>
        </w:rPr>
        <w:t xml:space="preserve"> (≥1/1000 </w:t>
      </w:r>
      <w:r w:rsidR="001B3D0F" w:rsidRPr="005A6EF7">
        <w:rPr>
          <w:szCs w:val="22"/>
          <w:lang w:val="lv-LV"/>
        </w:rPr>
        <w:t>līdz</w:t>
      </w:r>
      <w:r w:rsidRPr="005A6EF7">
        <w:rPr>
          <w:szCs w:val="22"/>
          <w:lang w:val="lv-LV"/>
        </w:rPr>
        <w:t xml:space="preserve"> &lt;1/100), </w:t>
      </w:r>
      <w:r w:rsidR="001B3D0F" w:rsidRPr="005A6EF7">
        <w:rPr>
          <w:szCs w:val="22"/>
          <w:lang w:val="lv-LV"/>
        </w:rPr>
        <w:t xml:space="preserve">reti </w:t>
      </w:r>
      <w:r w:rsidR="00201C17">
        <w:rPr>
          <w:szCs w:val="22"/>
          <w:lang w:val="lv-LV"/>
        </w:rPr>
        <w:t>(≥1/10 </w:t>
      </w:r>
      <w:r w:rsidRPr="005A6EF7">
        <w:rPr>
          <w:szCs w:val="22"/>
          <w:lang w:val="lv-LV"/>
        </w:rPr>
        <w:t xml:space="preserve">000 </w:t>
      </w:r>
      <w:r w:rsidR="001B3D0F" w:rsidRPr="005A6EF7">
        <w:rPr>
          <w:szCs w:val="22"/>
          <w:lang w:val="lv-LV"/>
        </w:rPr>
        <w:t>līdz</w:t>
      </w:r>
      <w:r w:rsidRPr="005A6EF7">
        <w:rPr>
          <w:szCs w:val="22"/>
          <w:lang w:val="lv-LV"/>
        </w:rPr>
        <w:t xml:space="preserve"> &lt;1/1000); </w:t>
      </w:r>
      <w:r w:rsidR="001B3D0F" w:rsidRPr="005A6EF7">
        <w:rPr>
          <w:szCs w:val="22"/>
          <w:lang w:val="lv-LV"/>
        </w:rPr>
        <w:t>ļoti reti</w:t>
      </w:r>
      <w:r w:rsidRPr="005A6EF7">
        <w:rPr>
          <w:szCs w:val="22"/>
          <w:lang w:val="lv-LV"/>
        </w:rPr>
        <w:t xml:space="preserve"> (&lt;1/10</w:t>
      </w:r>
      <w:r w:rsidR="00201C17">
        <w:rPr>
          <w:szCs w:val="22"/>
          <w:lang w:val="lv-LV"/>
        </w:rPr>
        <w:t> </w:t>
      </w:r>
      <w:r w:rsidRPr="005A6EF7">
        <w:rPr>
          <w:szCs w:val="22"/>
          <w:lang w:val="lv-LV"/>
        </w:rPr>
        <w:t xml:space="preserve">000), </w:t>
      </w:r>
      <w:r w:rsidR="001B3D0F" w:rsidRPr="005A6EF7">
        <w:rPr>
          <w:szCs w:val="22"/>
          <w:lang w:val="lv-LV"/>
        </w:rPr>
        <w:t>nav zināmi</w:t>
      </w:r>
      <w:r w:rsidRPr="005A6EF7">
        <w:rPr>
          <w:szCs w:val="22"/>
          <w:lang w:val="lv-LV"/>
        </w:rPr>
        <w:t xml:space="preserve"> (</w:t>
      </w:r>
      <w:r w:rsidR="001B3D0F" w:rsidRPr="005A6EF7">
        <w:rPr>
          <w:bCs/>
          <w:noProof/>
          <w:lang w:val="lv-LV"/>
        </w:rPr>
        <w:t>nevar noteikt pēc pieejamiem datiem</w:t>
      </w:r>
      <w:r w:rsidRPr="005A6EF7">
        <w:rPr>
          <w:szCs w:val="22"/>
          <w:lang w:val="lv-LV"/>
        </w:rPr>
        <w:t>).</w:t>
      </w:r>
    </w:p>
    <w:p w14:paraId="1C503B84" w14:textId="77777777" w:rsidR="0000264F" w:rsidRPr="005A6EF7" w:rsidRDefault="0000264F" w:rsidP="0000264F">
      <w:pPr>
        <w:rPr>
          <w:szCs w:val="22"/>
          <w:u w:val="single"/>
          <w:lang w:val="lv-LV"/>
        </w:rPr>
      </w:pPr>
    </w:p>
    <w:p w14:paraId="4D080241" w14:textId="40832A2F" w:rsidR="001B3D0F" w:rsidRPr="005A6EF7" w:rsidRDefault="001B3D0F" w:rsidP="0000264F">
      <w:pPr>
        <w:tabs>
          <w:tab w:val="clear" w:pos="567"/>
        </w:tabs>
        <w:autoSpaceDE w:val="0"/>
        <w:autoSpaceDN w:val="0"/>
        <w:adjustRightInd w:val="0"/>
        <w:spacing w:line="240" w:lineRule="auto"/>
        <w:rPr>
          <w:b/>
          <w:noProof/>
          <w:szCs w:val="22"/>
          <w:lang w:val="lv-LV"/>
        </w:rPr>
      </w:pPr>
      <w:r w:rsidRPr="005A6EF7">
        <w:rPr>
          <w:b/>
          <w:noProof/>
          <w:szCs w:val="22"/>
          <w:lang w:val="lv-LV"/>
        </w:rPr>
        <w:t>Asins un limfātiskās sistēmas traucējumi</w:t>
      </w:r>
    </w:p>
    <w:p w14:paraId="474B6682" w14:textId="77777777" w:rsidR="00730E3D" w:rsidRPr="005A6EF7" w:rsidRDefault="0000264F" w:rsidP="0000264F">
      <w:pPr>
        <w:tabs>
          <w:tab w:val="clear" w:pos="567"/>
        </w:tabs>
        <w:autoSpaceDE w:val="0"/>
        <w:autoSpaceDN w:val="0"/>
        <w:adjustRightInd w:val="0"/>
        <w:spacing w:line="240" w:lineRule="auto"/>
        <w:rPr>
          <w:color w:val="000000"/>
          <w:szCs w:val="22"/>
          <w:lang w:val="lv-LV" w:eastAsia="pl-PL"/>
        </w:rPr>
      </w:pPr>
      <w:r w:rsidRPr="005A6EF7">
        <w:rPr>
          <w:i/>
          <w:color w:val="000000"/>
          <w:szCs w:val="22"/>
          <w:lang w:val="lv-LV" w:eastAsia="pl-PL"/>
        </w:rPr>
        <w:t>R</w:t>
      </w:r>
      <w:r w:rsidR="00730E3D" w:rsidRPr="005A6EF7">
        <w:rPr>
          <w:i/>
          <w:color w:val="000000"/>
          <w:szCs w:val="22"/>
          <w:lang w:val="lv-LV" w:eastAsia="pl-PL"/>
        </w:rPr>
        <w:t>eti</w:t>
      </w:r>
      <w:r w:rsidRPr="005A6EF7">
        <w:rPr>
          <w:color w:val="000000"/>
          <w:szCs w:val="22"/>
          <w:lang w:val="lv-LV" w:eastAsia="pl-PL"/>
        </w:rPr>
        <w:t>:</w:t>
      </w:r>
      <w:r w:rsidRPr="005A6EF7">
        <w:rPr>
          <w:i/>
          <w:color w:val="000000"/>
          <w:szCs w:val="22"/>
          <w:lang w:val="lv-LV" w:eastAsia="pl-PL"/>
        </w:rPr>
        <w:t xml:space="preserve"> </w:t>
      </w:r>
      <w:r w:rsidR="00730E3D" w:rsidRPr="005A6EF7">
        <w:rPr>
          <w:color w:val="000000"/>
          <w:szCs w:val="22"/>
          <w:lang w:val="lv-LV" w:eastAsia="pl-PL"/>
        </w:rPr>
        <w:t xml:space="preserve">smaga asiņošana, </w:t>
      </w:r>
      <w:r w:rsidR="00884FD4">
        <w:rPr>
          <w:color w:val="000000"/>
          <w:szCs w:val="22"/>
          <w:lang w:val="lv-LV" w:eastAsia="pl-PL"/>
        </w:rPr>
        <w:t>piemēram,</w:t>
      </w:r>
      <w:r w:rsidR="00730E3D" w:rsidRPr="005A6EF7">
        <w:rPr>
          <w:color w:val="000000"/>
          <w:szCs w:val="22"/>
          <w:lang w:val="lv-LV" w:eastAsia="pl-PL"/>
        </w:rPr>
        <w:t xml:space="preserve"> gastrointestināla un intrakraniāla asiņošana</w:t>
      </w:r>
      <w:r w:rsidR="00201C17">
        <w:rPr>
          <w:color w:val="000000"/>
          <w:szCs w:val="22"/>
          <w:lang w:val="lv-LV" w:eastAsia="pl-PL"/>
        </w:rPr>
        <w:t>.</w:t>
      </w:r>
    </w:p>
    <w:p w14:paraId="32A85C79" w14:textId="02F62438" w:rsidR="0000264F" w:rsidRPr="005A6EF7" w:rsidRDefault="00730E3D" w:rsidP="0000264F">
      <w:pPr>
        <w:tabs>
          <w:tab w:val="clear" w:pos="567"/>
        </w:tabs>
        <w:autoSpaceDE w:val="0"/>
        <w:autoSpaceDN w:val="0"/>
        <w:adjustRightInd w:val="0"/>
        <w:spacing w:line="240" w:lineRule="auto"/>
        <w:rPr>
          <w:color w:val="000000"/>
          <w:szCs w:val="22"/>
          <w:lang w:val="lv-LV" w:eastAsia="pl-PL"/>
        </w:rPr>
      </w:pPr>
      <w:r w:rsidRPr="005A6EF7">
        <w:rPr>
          <w:i/>
          <w:szCs w:val="22"/>
          <w:lang w:val="lv-LV"/>
        </w:rPr>
        <w:t>Nav zināmi</w:t>
      </w:r>
      <w:r w:rsidR="0000264F" w:rsidRPr="005A6EF7">
        <w:rPr>
          <w:szCs w:val="22"/>
          <w:lang w:val="lv-LV"/>
        </w:rPr>
        <w:t xml:space="preserve">: </w:t>
      </w:r>
      <w:r w:rsidRPr="005A6EF7">
        <w:rPr>
          <w:color w:val="000000"/>
          <w:szCs w:val="22"/>
          <w:lang w:val="lv-LV" w:eastAsia="pl-PL"/>
        </w:rPr>
        <w:t>paaugstināts asiņošanas risks, asiņošanas laika pagarināšanās, trombocitopēnija.</w:t>
      </w:r>
    </w:p>
    <w:p w14:paraId="7FF0603A" w14:textId="77777777" w:rsidR="0000264F" w:rsidRPr="005A6EF7" w:rsidRDefault="006E7961" w:rsidP="0000264F">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Novēroja asiņošanu, piemēram, perioperatīvu asiņošanu, hematomu, </w:t>
      </w:r>
      <w:r w:rsidR="00884FD4">
        <w:rPr>
          <w:color w:val="000000"/>
          <w:szCs w:val="22"/>
          <w:lang w:val="lv-LV" w:eastAsia="pl-PL"/>
        </w:rPr>
        <w:t>d</w:t>
      </w:r>
      <w:r w:rsidRPr="005A6EF7">
        <w:rPr>
          <w:color w:val="000000"/>
          <w:szCs w:val="22"/>
          <w:lang w:val="lv-LV" w:eastAsia="pl-PL"/>
        </w:rPr>
        <w:t>eguna asiņošanu, uroģe</w:t>
      </w:r>
      <w:r w:rsidR="00884FD4">
        <w:rPr>
          <w:color w:val="000000"/>
          <w:szCs w:val="22"/>
          <w:lang w:val="lv-LV" w:eastAsia="pl-PL"/>
        </w:rPr>
        <w:t>n</w:t>
      </w:r>
      <w:r w:rsidRPr="005A6EF7">
        <w:rPr>
          <w:color w:val="000000"/>
          <w:szCs w:val="22"/>
          <w:lang w:val="lv-LV" w:eastAsia="pl-PL"/>
        </w:rPr>
        <w:t>itālu asiņošanu, smaganu asiņošanu</w:t>
      </w:r>
      <w:r w:rsidR="0000264F" w:rsidRPr="005A6EF7">
        <w:rPr>
          <w:color w:val="000000"/>
          <w:szCs w:val="22"/>
          <w:lang w:val="lv-LV" w:eastAsia="pl-PL"/>
        </w:rPr>
        <w:t>.</w:t>
      </w:r>
    </w:p>
    <w:p w14:paraId="43A87BD8" w14:textId="37D83556" w:rsidR="0000264F" w:rsidRPr="005A6EF7" w:rsidRDefault="006E7961" w:rsidP="0000264F">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Asiņošana var izraisīt akūtu vai hronisku anēmiju hemorāģijas dēļ </w:t>
      </w:r>
      <w:r w:rsidR="00201C17">
        <w:rPr>
          <w:color w:val="000000"/>
          <w:szCs w:val="22"/>
          <w:lang w:val="lv-LV" w:eastAsia="pl-PL"/>
        </w:rPr>
        <w:t xml:space="preserve">un/vai dzelzs deficīta anēmiju </w:t>
      </w:r>
      <w:r w:rsidRPr="005A6EF7">
        <w:rPr>
          <w:color w:val="000000"/>
          <w:szCs w:val="22"/>
          <w:lang w:val="lv-LV" w:eastAsia="pl-PL"/>
        </w:rPr>
        <w:t xml:space="preserve">(piemēram, mikroasiņošanas rezultātā), kam raksturīgas laboratoriskas un klīniskas pazīmes, </w:t>
      </w:r>
      <w:r w:rsidR="00201C17">
        <w:rPr>
          <w:color w:val="000000"/>
          <w:szCs w:val="22"/>
          <w:lang w:val="lv-LV" w:eastAsia="pl-PL"/>
        </w:rPr>
        <w:t>piemēram,</w:t>
      </w:r>
      <w:r w:rsidRPr="005A6EF7">
        <w:rPr>
          <w:color w:val="000000"/>
          <w:szCs w:val="22"/>
          <w:lang w:val="lv-LV" w:eastAsia="pl-PL"/>
        </w:rPr>
        <w:t xml:space="preserve"> vājums, bālums, hipoperfūzija. Pacientiem ar glikozes-6-fosfāt</w:t>
      </w:r>
      <w:r w:rsidR="00201C17">
        <w:rPr>
          <w:color w:val="000000"/>
          <w:szCs w:val="22"/>
          <w:lang w:val="lv-LV" w:eastAsia="pl-PL"/>
        </w:rPr>
        <w:t xml:space="preserve">a dehidrogenāzes (G6PDD) </w:t>
      </w:r>
      <w:r w:rsidRPr="005A6EF7">
        <w:rPr>
          <w:color w:val="000000"/>
          <w:szCs w:val="22"/>
          <w:lang w:val="lv-LV" w:eastAsia="pl-PL"/>
        </w:rPr>
        <w:t>deficītu var rasties hemolītiskā anēmija.</w:t>
      </w:r>
    </w:p>
    <w:p w14:paraId="31A3E12A" w14:textId="77777777" w:rsidR="006E7961" w:rsidRPr="005A6EF7" w:rsidRDefault="006E7961" w:rsidP="0000264F">
      <w:pPr>
        <w:tabs>
          <w:tab w:val="clear" w:pos="567"/>
        </w:tabs>
        <w:autoSpaceDE w:val="0"/>
        <w:autoSpaceDN w:val="0"/>
        <w:adjustRightInd w:val="0"/>
        <w:spacing w:line="240" w:lineRule="auto"/>
        <w:rPr>
          <w:color w:val="000000"/>
          <w:szCs w:val="22"/>
          <w:lang w:val="lv-LV" w:eastAsia="pl-PL"/>
        </w:rPr>
      </w:pPr>
    </w:p>
    <w:p w14:paraId="7701DDF9" w14:textId="7C82F889" w:rsidR="001B3D0F" w:rsidRPr="005A6EF7" w:rsidRDefault="001B3D0F" w:rsidP="0042194A">
      <w:pPr>
        <w:keepNext/>
        <w:tabs>
          <w:tab w:val="clear" w:pos="567"/>
        </w:tabs>
        <w:autoSpaceDE w:val="0"/>
        <w:autoSpaceDN w:val="0"/>
        <w:adjustRightInd w:val="0"/>
        <w:spacing w:line="240" w:lineRule="auto"/>
        <w:rPr>
          <w:b/>
          <w:noProof/>
          <w:szCs w:val="22"/>
          <w:lang w:val="lv-LV"/>
        </w:rPr>
      </w:pPr>
      <w:r w:rsidRPr="005A6EF7">
        <w:rPr>
          <w:b/>
          <w:noProof/>
          <w:szCs w:val="22"/>
          <w:lang w:val="lv-LV"/>
        </w:rPr>
        <w:lastRenderedPageBreak/>
        <w:t>Imūnās sistēmas traucējumi</w:t>
      </w:r>
    </w:p>
    <w:p w14:paraId="1DAD91DF" w14:textId="77777777" w:rsidR="001B3D0F" w:rsidRPr="005A6EF7" w:rsidRDefault="00730E3D" w:rsidP="0042194A">
      <w:pPr>
        <w:keepNext/>
        <w:tabs>
          <w:tab w:val="clear" w:pos="567"/>
        </w:tabs>
        <w:autoSpaceDE w:val="0"/>
        <w:autoSpaceDN w:val="0"/>
        <w:adjustRightInd w:val="0"/>
        <w:spacing w:line="240" w:lineRule="auto"/>
        <w:rPr>
          <w:color w:val="000000"/>
          <w:szCs w:val="22"/>
          <w:lang w:val="lv-LV" w:eastAsia="pl-PL"/>
        </w:rPr>
      </w:pPr>
      <w:r w:rsidRPr="005A6EF7">
        <w:rPr>
          <w:i/>
          <w:color w:val="000000"/>
          <w:szCs w:val="22"/>
          <w:lang w:val="lv-LV" w:eastAsia="pl-PL"/>
        </w:rPr>
        <w:t>Reti</w:t>
      </w:r>
      <w:r w:rsidRPr="005A6EF7">
        <w:rPr>
          <w:color w:val="000000"/>
          <w:szCs w:val="22"/>
          <w:lang w:val="lv-LV" w:eastAsia="pl-PL"/>
        </w:rPr>
        <w:t xml:space="preserve">: </w:t>
      </w:r>
      <w:r w:rsidR="006E7961" w:rsidRPr="005A6EF7">
        <w:rPr>
          <w:color w:val="000000"/>
          <w:szCs w:val="22"/>
          <w:lang w:val="lv-LV" w:eastAsia="pl-PL"/>
        </w:rPr>
        <w:t xml:space="preserve">paaugstinātas jutības reakcijas, kam raksturīgas laboratoriskas un klīniskas pazīmes, tai skaitā angioedēma, ādas reakcijas, tūska, smagas paaugstinatas jutības reakcijas, tai skaitā anafilaktiskais šoks. </w:t>
      </w:r>
    </w:p>
    <w:p w14:paraId="26C1C798" w14:textId="77777777" w:rsidR="006E7961" w:rsidRPr="005A6EF7" w:rsidRDefault="006E7961" w:rsidP="006E7961">
      <w:pPr>
        <w:tabs>
          <w:tab w:val="clear" w:pos="567"/>
        </w:tabs>
        <w:autoSpaceDE w:val="0"/>
        <w:autoSpaceDN w:val="0"/>
        <w:adjustRightInd w:val="0"/>
        <w:spacing w:line="240" w:lineRule="auto"/>
        <w:rPr>
          <w:color w:val="000000"/>
          <w:szCs w:val="22"/>
          <w:lang w:val="lv-LV" w:eastAsia="pl-PL"/>
        </w:rPr>
      </w:pPr>
    </w:p>
    <w:p w14:paraId="7312D2CE" w14:textId="47859DE0" w:rsidR="001B3D0F" w:rsidRPr="005A6EF7" w:rsidRDefault="001B3D0F" w:rsidP="0000264F">
      <w:pPr>
        <w:tabs>
          <w:tab w:val="clear" w:pos="567"/>
        </w:tabs>
        <w:autoSpaceDE w:val="0"/>
        <w:autoSpaceDN w:val="0"/>
        <w:adjustRightInd w:val="0"/>
        <w:spacing w:line="240" w:lineRule="auto"/>
        <w:rPr>
          <w:b/>
          <w:noProof/>
          <w:szCs w:val="22"/>
          <w:lang w:val="lv-LV"/>
        </w:rPr>
      </w:pPr>
      <w:r w:rsidRPr="005A6EF7">
        <w:rPr>
          <w:b/>
          <w:noProof/>
          <w:szCs w:val="22"/>
          <w:lang w:val="lv-LV"/>
        </w:rPr>
        <w:t>Vielmaiņas un uztures traucējumi</w:t>
      </w:r>
    </w:p>
    <w:p w14:paraId="342E18B4" w14:textId="77777777" w:rsidR="0000264F" w:rsidRPr="005A6EF7" w:rsidRDefault="00730E3D" w:rsidP="0000264F">
      <w:pPr>
        <w:tabs>
          <w:tab w:val="clear" w:pos="567"/>
        </w:tabs>
        <w:autoSpaceDE w:val="0"/>
        <w:autoSpaceDN w:val="0"/>
        <w:adjustRightInd w:val="0"/>
        <w:spacing w:line="240" w:lineRule="auto"/>
        <w:rPr>
          <w:color w:val="000000"/>
          <w:szCs w:val="22"/>
          <w:lang w:val="lv-LV" w:eastAsia="pl-PL"/>
        </w:rPr>
      </w:pPr>
      <w:r w:rsidRPr="005A6EF7">
        <w:rPr>
          <w:i/>
          <w:iCs/>
          <w:color w:val="000000"/>
          <w:szCs w:val="22"/>
          <w:lang w:val="lv-LV" w:eastAsia="pl-PL"/>
        </w:rPr>
        <w:t>Ļoti reti</w:t>
      </w:r>
      <w:r w:rsidR="0000264F" w:rsidRPr="005A6EF7">
        <w:rPr>
          <w:iCs/>
          <w:color w:val="000000"/>
          <w:szCs w:val="22"/>
          <w:lang w:val="lv-LV" w:eastAsia="pl-PL"/>
        </w:rPr>
        <w:t>:</w:t>
      </w:r>
      <w:r w:rsidR="0000264F" w:rsidRPr="005A6EF7">
        <w:rPr>
          <w:i/>
          <w:iCs/>
          <w:color w:val="000000"/>
          <w:szCs w:val="22"/>
          <w:lang w:val="lv-LV" w:eastAsia="pl-PL"/>
        </w:rPr>
        <w:t xml:space="preserve"> </w:t>
      </w:r>
      <w:r w:rsidR="006E7961" w:rsidRPr="005A6EF7">
        <w:rPr>
          <w:color w:val="000000"/>
          <w:szCs w:val="22"/>
          <w:lang w:val="lv-LV" w:eastAsia="pl-PL"/>
        </w:rPr>
        <w:t>hipoglikēmija</w:t>
      </w:r>
      <w:r w:rsidR="0000264F" w:rsidRPr="005A6EF7">
        <w:rPr>
          <w:color w:val="000000"/>
          <w:szCs w:val="22"/>
          <w:lang w:val="lv-LV" w:eastAsia="pl-PL"/>
        </w:rPr>
        <w:t>.</w:t>
      </w:r>
    </w:p>
    <w:p w14:paraId="67769292" w14:textId="77777777" w:rsidR="0000264F" w:rsidRPr="005A6EF7" w:rsidRDefault="0000264F" w:rsidP="0000264F">
      <w:pPr>
        <w:tabs>
          <w:tab w:val="clear" w:pos="567"/>
        </w:tabs>
        <w:autoSpaceDE w:val="0"/>
        <w:autoSpaceDN w:val="0"/>
        <w:adjustRightInd w:val="0"/>
        <w:spacing w:line="240" w:lineRule="auto"/>
        <w:rPr>
          <w:color w:val="000000"/>
          <w:szCs w:val="22"/>
          <w:lang w:val="lv-LV" w:eastAsia="pl-PL"/>
        </w:rPr>
      </w:pPr>
    </w:p>
    <w:p w14:paraId="4AE1DB6E" w14:textId="6C0668D3" w:rsidR="001B3D0F" w:rsidRPr="005A6EF7" w:rsidRDefault="001B3D0F" w:rsidP="0000264F">
      <w:pPr>
        <w:tabs>
          <w:tab w:val="clear" w:pos="567"/>
        </w:tabs>
        <w:autoSpaceDE w:val="0"/>
        <w:autoSpaceDN w:val="0"/>
        <w:adjustRightInd w:val="0"/>
        <w:spacing w:line="240" w:lineRule="auto"/>
        <w:rPr>
          <w:b/>
          <w:noProof/>
          <w:szCs w:val="22"/>
          <w:lang w:val="lv-LV"/>
        </w:rPr>
      </w:pPr>
      <w:r w:rsidRPr="005A6EF7">
        <w:rPr>
          <w:b/>
          <w:noProof/>
          <w:szCs w:val="22"/>
          <w:lang w:val="lv-LV"/>
        </w:rPr>
        <w:t>Sirds funkcijas traucējumi</w:t>
      </w:r>
    </w:p>
    <w:p w14:paraId="55ABF67B" w14:textId="77777777" w:rsidR="0000264F" w:rsidRPr="005A6EF7" w:rsidRDefault="00730E3D" w:rsidP="0000264F">
      <w:pPr>
        <w:tabs>
          <w:tab w:val="clear" w:pos="567"/>
        </w:tabs>
        <w:autoSpaceDE w:val="0"/>
        <w:autoSpaceDN w:val="0"/>
        <w:adjustRightInd w:val="0"/>
        <w:spacing w:line="240" w:lineRule="auto"/>
        <w:rPr>
          <w:color w:val="000000"/>
          <w:szCs w:val="22"/>
          <w:lang w:val="lv-LV" w:eastAsia="pl-PL"/>
        </w:rPr>
      </w:pPr>
      <w:r w:rsidRPr="005A6EF7">
        <w:rPr>
          <w:i/>
          <w:szCs w:val="22"/>
          <w:lang w:val="lv-LV"/>
        </w:rPr>
        <w:t>Nav zināmi</w:t>
      </w:r>
      <w:r w:rsidR="0000264F" w:rsidRPr="005A6EF7">
        <w:rPr>
          <w:szCs w:val="22"/>
          <w:lang w:val="lv-LV"/>
        </w:rPr>
        <w:t xml:space="preserve">: </w:t>
      </w:r>
      <w:r w:rsidR="006E7961" w:rsidRPr="005A6EF7">
        <w:rPr>
          <w:color w:val="000000"/>
          <w:szCs w:val="22"/>
          <w:lang w:val="lv-LV" w:eastAsia="pl-PL"/>
        </w:rPr>
        <w:t>paaugstinātas jutības reakcijas, kam raksturīgas laboratoriskas un klīniskas pazīmes, tai skaitā kardiorespiratori</w:t>
      </w:r>
      <w:r w:rsidR="00201C17">
        <w:rPr>
          <w:color w:val="000000"/>
          <w:szCs w:val="22"/>
          <w:lang w:val="lv-LV" w:eastAsia="pl-PL"/>
        </w:rPr>
        <w:t>ski</w:t>
      </w:r>
      <w:r w:rsidR="006E7961" w:rsidRPr="005A6EF7">
        <w:rPr>
          <w:color w:val="000000"/>
          <w:szCs w:val="22"/>
          <w:lang w:val="lv-LV" w:eastAsia="pl-PL"/>
        </w:rPr>
        <w:t xml:space="preserve"> traucējumi.</w:t>
      </w:r>
    </w:p>
    <w:p w14:paraId="411BBFA0" w14:textId="4CF0474F" w:rsidR="0000264F" w:rsidRPr="005A6EF7" w:rsidRDefault="006E7961" w:rsidP="0000264F">
      <w:pPr>
        <w:tabs>
          <w:tab w:val="clear" w:pos="567"/>
        </w:tabs>
        <w:spacing w:line="240" w:lineRule="auto"/>
        <w:rPr>
          <w:szCs w:val="22"/>
          <w:lang w:val="lv-LV" w:eastAsia="lv-LV"/>
        </w:rPr>
      </w:pPr>
      <w:r w:rsidRPr="005A6EF7">
        <w:rPr>
          <w:szCs w:val="22"/>
          <w:lang w:val="lv-LV" w:eastAsia="lv-LV"/>
        </w:rPr>
        <w:t xml:space="preserve">Saistībā ar NPL, tai skaitā acetilsalicilskābes, lietošanu saņemti ziņojumi par tūsku, hipertensiju un sirds </w:t>
      </w:r>
      <w:r w:rsidR="00C36823" w:rsidRPr="005A6EF7">
        <w:rPr>
          <w:szCs w:val="22"/>
          <w:lang w:val="lv-LV" w:eastAsia="lv-LV"/>
        </w:rPr>
        <w:t>ma</w:t>
      </w:r>
      <w:r w:rsidRPr="005A6EF7">
        <w:rPr>
          <w:szCs w:val="22"/>
          <w:lang w:val="lv-LV" w:eastAsia="lv-LV"/>
        </w:rPr>
        <w:t>zsp</w:t>
      </w:r>
      <w:r w:rsidR="00C36823" w:rsidRPr="005A6EF7">
        <w:rPr>
          <w:szCs w:val="22"/>
          <w:lang w:val="lv-LV" w:eastAsia="lv-LV"/>
        </w:rPr>
        <w:t>ēju.</w:t>
      </w:r>
    </w:p>
    <w:p w14:paraId="60932907" w14:textId="77777777" w:rsidR="0000264F" w:rsidRPr="005A6EF7" w:rsidRDefault="0000264F" w:rsidP="0000264F">
      <w:pPr>
        <w:tabs>
          <w:tab w:val="clear" w:pos="567"/>
        </w:tabs>
        <w:spacing w:line="240" w:lineRule="auto"/>
        <w:rPr>
          <w:szCs w:val="22"/>
          <w:lang w:val="lv-LV" w:eastAsia="lv-LV"/>
        </w:rPr>
      </w:pPr>
    </w:p>
    <w:p w14:paraId="0899CB76" w14:textId="38EC87D4" w:rsidR="001B3D0F" w:rsidRPr="005A6EF7" w:rsidRDefault="001B3D0F" w:rsidP="0000264F">
      <w:pPr>
        <w:rPr>
          <w:b/>
          <w:noProof/>
          <w:szCs w:val="22"/>
          <w:lang w:val="lv-LV"/>
        </w:rPr>
      </w:pPr>
      <w:r w:rsidRPr="005A6EF7">
        <w:rPr>
          <w:b/>
          <w:noProof/>
          <w:szCs w:val="22"/>
          <w:lang w:val="lv-LV"/>
        </w:rPr>
        <w:t>Nervu sistēmas traucējumi</w:t>
      </w:r>
    </w:p>
    <w:p w14:paraId="0F1F2026" w14:textId="77777777" w:rsidR="0000264F" w:rsidRPr="005A6EF7" w:rsidRDefault="00730E3D" w:rsidP="0000264F">
      <w:pPr>
        <w:rPr>
          <w:i/>
          <w:szCs w:val="22"/>
          <w:lang w:val="lv-LV"/>
        </w:rPr>
      </w:pPr>
      <w:r w:rsidRPr="005A6EF7">
        <w:rPr>
          <w:i/>
          <w:color w:val="000000"/>
          <w:szCs w:val="22"/>
          <w:lang w:val="lv-LV" w:eastAsia="pl-PL"/>
        </w:rPr>
        <w:t>Reti</w:t>
      </w:r>
      <w:r w:rsidRPr="005A6EF7">
        <w:rPr>
          <w:color w:val="000000"/>
          <w:szCs w:val="22"/>
          <w:lang w:val="lv-LV" w:eastAsia="pl-PL"/>
        </w:rPr>
        <w:t>:</w:t>
      </w:r>
      <w:r w:rsidR="0000264F" w:rsidRPr="005A6EF7">
        <w:rPr>
          <w:i/>
          <w:color w:val="000000"/>
          <w:szCs w:val="22"/>
          <w:lang w:val="lv-LV" w:eastAsia="pl-PL"/>
        </w:rPr>
        <w:t xml:space="preserve"> </w:t>
      </w:r>
      <w:r w:rsidR="00C36823" w:rsidRPr="005A6EF7">
        <w:rPr>
          <w:color w:val="000000"/>
          <w:szCs w:val="22"/>
          <w:lang w:val="lv-LV" w:eastAsia="pl-PL"/>
        </w:rPr>
        <w:t>smaga asiņošana, piemēram, intracerebrāla hemorāģija</w:t>
      </w:r>
      <w:r w:rsidR="0000264F" w:rsidRPr="005A6EF7">
        <w:rPr>
          <w:color w:val="000000"/>
          <w:szCs w:val="22"/>
          <w:lang w:val="lv-LV" w:eastAsia="pl-PL"/>
        </w:rPr>
        <w:t xml:space="preserve"> (</w:t>
      </w:r>
      <w:r w:rsidR="00C36823" w:rsidRPr="005A6EF7">
        <w:rPr>
          <w:color w:val="000000"/>
          <w:szCs w:val="22"/>
          <w:lang w:val="lv-LV" w:eastAsia="pl-PL"/>
        </w:rPr>
        <w:t>īpaši pacientiem ar nekontrolētu hipertensiju un/vai vienlaicīgi lietojot antihemost</w:t>
      </w:r>
      <w:r w:rsidR="00201C17">
        <w:rPr>
          <w:color w:val="000000"/>
          <w:szCs w:val="22"/>
          <w:lang w:val="lv-LV" w:eastAsia="pl-PL"/>
        </w:rPr>
        <w:t>a</w:t>
      </w:r>
      <w:r w:rsidR="00C36823" w:rsidRPr="005A6EF7">
        <w:rPr>
          <w:color w:val="000000"/>
          <w:szCs w:val="22"/>
          <w:lang w:val="lv-LV" w:eastAsia="pl-PL"/>
        </w:rPr>
        <w:t>tisk</w:t>
      </w:r>
      <w:r w:rsidR="00201C17">
        <w:rPr>
          <w:color w:val="000000"/>
          <w:szCs w:val="22"/>
          <w:lang w:val="lv-LV" w:eastAsia="pl-PL"/>
        </w:rPr>
        <w:t>u</w:t>
      </w:r>
      <w:r w:rsidR="00C36823" w:rsidRPr="005A6EF7">
        <w:rPr>
          <w:color w:val="000000"/>
          <w:szCs w:val="22"/>
          <w:lang w:val="lv-LV" w:eastAsia="pl-PL"/>
        </w:rPr>
        <w:t>s līdzekļus),</w:t>
      </w:r>
      <w:r w:rsidR="0000264F" w:rsidRPr="005A6EF7">
        <w:rPr>
          <w:color w:val="000000"/>
          <w:szCs w:val="22"/>
          <w:lang w:val="lv-LV" w:eastAsia="pl-PL"/>
        </w:rPr>
        <w:t xml:space="preserve"> </w:t>
      </w:r>
      <w:r w:rsidR="00C36823" w:rsidRPr="005A6EF7">
        <w:rPr>
          <w:color w:val="000000"/>
          <w:szCs w:val="22"/>
          <w:lang w:val="lv-LV" w:eastAsia="pl-PL"/>
        </w:rPr>
        <w:t>kas individuālos gadījumos var būt dzīvībai bīstami</w:t>
      </w:r>
      <w:r w:rsidR="0000264F" w:rsidRPr="005A6EF7">
        <w:rPr>
          <w:color w:val="000000"/>
          <w:szCs w:val="22"/>
          <w:lang w:val="lv-LV" w:eastAsia="pl-PL"/>
        </w:rPr>
        <w:t>.</w:t>
      </w:r>
    </w:p>
    <w:p w14:paraId="382100B6" w14:textId="77777777" w:rsidR="0000264F" w:rsidRPr="005A6EF7" w:rsidRDefault="00730E3D" w:rsidP="0000264F">
      <w:pPr>
        <w:rPr>
          <w:szCs w:val="22"/>
          <w:u w:val="single"/>
          <w:lang w:val="lv-LV"/>
        </w:rPr>
      </w:pPr>
      <w:r w:rsidRPr="005A6EF7">
        <w:rPr>
          <w:i/>
          <w:szCs w:val="22"/>
          <w:lang w:val="lv-LV"/>
        </w:rPr>
        <w:t>Nav zināmi</w:t>
      </w:r>
      <w:r w:rsidR="0000264F" w:rsidRPr="005A6EF7">
        <w:rPr>
          <w:szCs w:val="22"/>
          <w:lang w:val="lv-LV"/>
        </w:rPr>
        <w:t>:</w:t>
      </w:r>
      <w:r w:rsidR="0000264F" w:rsidRPr="005A6EF7">
        <w:rPr>
          <w:color w:val="000000"/>
          <w:szCs w:val="22"/>
          <w:lang w:val="lv-LV" w:eastAsia="pl-PL"/>
        </w:rPr>
        <w:t xml:space="preserve"> </w:t>
      </w:r>
      <w:r w:rsidR="0000264F" w:rsidRPr="00884FD4">
        <w:rPr>
          <w:i/>
          <w:color w:val="000000"/>
          <w:szCs w:val="22"/>
          <w:lang w:val="lv-LV" w:eastAsia="pl-PL"/>
        </w:rPr>
        <w:t>vertigo</w:t>
      </w:r>
      <w:r w:rsidR="0000264F" w:rsidRPr="005A6EF7">
        <w:rPr>
          <w:color w:val="000000"/>
          <w:szCs w:val="22"/>
          <w:lang w:val="lv-LV" w:eastAsia="pl-PL"/>
        </w:rPr>
        <w:t xml:space="preserve"> </w:t>
      </w:r>
      <w:r w:rsidR="00C36823" w:rsidRPr="005A6EF7">
        <w:rPr>
          <w:color w:val="000000"/>
          <w:szCs w:val="22"/>
          <w:lang w:val="lv-LV" w:eastAsia="pl-PL"/>
        </w:rPr>
        <w:t>un</w:t>
      </w:r>
      <w:r w:rsidR="0000264F" w:rsidRPr="005A6EF7">
        <w:rPr>
          <w:color w:val="000000"/>
          <w:szCs w:val="22"/>
          <w:lang w:val="lv-LV" w:eastAsia="pl-PL"/>
        </w:rPr>
        <w:t xml:space="preserve"> </w:t>
      </w:r>
      <w:r w:rsidR="00201C17">
        <w:rPr>
          <w:color w:val="000000"/>
          <w:szCs w:val="22"/>
          <w:lang w:val="lv-LV" w:eastAsia="pl-PL"/>
        </w:rPr>
        <w:t>troksnis ausīs</w:t>
      </w:r>
      <w:r w:rsidR="0000264F" w:rsidRPr="005A6EF7">
        <w:rPr>
          <w:color w:val="000000"/>
          <w:szCs w:val="22"/>
          <w:lang w:val="lv-LV" w:eastAsia="pl-PL"/>
        </w:rPr>
        <w:t xml:space="preserve">, </w:t>
      </w:r>
      <w:r w:rsidR="00C36823" w:rsidRPr="005A6EF7">
        <w:rPr>
          <w:color w:val="000000"/>
          <w:szCs w:val="22"/>
          <w:lang w:val="lv-LV" w:eastAsia="pl-PL"/>
        </w:rPr>
        <w:t>kas parasti ir pārdozēšanas simptomi</w:t>
      </w:r>
      <w:r w:rsidR="0000264F" w:rsidRPr="005A6EF7">
        <w:rPr>
          <w:color w:val="000000"/>
          <w:szCs w:val="22"/>
          <w:lang w:val="lv-LV" w:eastAsia="pl-PL"/>
        </w:rPr>
        <w:t>.</w:t>
      </w:r>
    </w:p>
    <w:p w14:paraId="652514B7" w14:textId="77777777" w:rsidR="0000264F" w:rsidRPr="005A6EF7" w:rsidRDefault="0000264F" w:rsidP="0000264F">
      <w:pPr>
        <w:tabs>
          <w:tab w:val="clear" w:pos="567"/>
        </w:tabs>
        <w:autoSpaceDE w:val="0"/>
        <w:autoSpaceDN w:val="0"/>
        <w:adjustRightInd w:val="0"/>
        <w:spacing w:line="240" w:lineRule="auto"/>
        <w:rPr>
          <w:color w:val="000000"/>
          <w:szCs w:val="22"/>
          <w:lang w:val="lv-LV" w:eastAsia="pl-PL"/>
        </w:rPr>
      </w:pPr>
    </w:p>
    <w:p w14:paraId="5A989F13" w14:textId="65239998" w:rsidR="001B3D0F" w:rsidRPr="005A6EF7" w:rsidRDefault="001B3D0F" w:rsidP="0000264F">
      <w:pPr>
        <w:tabs>
          <w:tab w:val="clear" w:pos="567"/>
        </w:tabs>
        <w:autoSpaceDE w:val="0"/>
        <w:autoSpaceDN w:val="0"/>
        <w:adjustRightInd w:val="0"/>
        <w:spacing w:line="240" w:lineRule="auto"/>
        <w:rPr>
          <w:b/>
          <w:noProof/>
          <w:szCs w:val="22"/>
          <w:lang w:val="lv-LV"/>
        </w:rPr>
      </w:pPr>
      <w:r w:rsidRPr="005A6EF7">
        <w:rPr>
          <w:b/>
          <w:noProof/>
          <w:szCs w:val="22"/>
          <w:lang w:val="lv-LV"/>
        </w:rPr>
        <w:t>Kuņģa-zarnu trakta traucējumi</w:t>
      </w:r>
    </w:p>
    <w:p w14:paraId="2C1B79A4" w14:textId="77777777" w:rsidR="0000264F" w:rsidRPr="005A6EF7" w:rsidRDefault="00730E3D" w:rsidP="0000264F">
      <w:pPr>
        <w:tabs>
          <w:tab w:val="clear" w:pos="567"/>
        </w:tabs>
        <w:autoSpaceDE w:val="0"/>
        <w:autoSpaceDN w:val="0"/>
        <w:adjustRightInd w:val="0"/>
        <w:spacing w:line="240" w:lineRule="auto"/>
        <w:rPr>
          <w:color w:val="000000"/>
          <w:szCs w:val="22"/>
          <w:lang w:val="lv-LV" w:eastAsia="pl-PL"/>
        </w:rPr>
      </w:pPr>
      <w:r w:rsidRPr="005A6EF7">
        <w:rPr>
          <w:i/>
          <w:iCs/>
          <w:color w:val="000000"/>
          <w:szCs w:val="22"/>
          <w:lang w:val="lv-LV" w:eastAsia="pl-PL"/>
        </w:rPr>
        <w:t>Bieži</w:t>
      </w:r>
      <w:r w:rsidR="0000264F" w:rsidRPr="005A6EF7">
        <w:rPr>
          <w:iCs/>
          <w:color w:val="000000"/>
          <w:szCs w:val="22"/>
          <w:lang w:val="lv-LV" w:eastAsia="pl-PL"/>
        </w:rPr>
        <w:t>:</w:t>
      </w:r>
      <w:r w:rsidR="0000264F" w:rsidRPr="005A6EF7">
        <w:rPr>
          <w:i/>
          <w:iCs/>
          <w:color w:val="000000"/>
          <w:szCs w:val="22"/>
          <w:lang w:val="lv-LV" w:eastAsia="pl-PL"/>
        </w:rPr>
        <w:t xml:space="preserve"> </w:t>
      </w:r>
      <w:r w:rsidR="0000264F" w:rsidRPr="005A6EF7">
        <w:rPr>
          <w:color w:val="000000"/>
          <w:szCs w:val="22"/>
          <w:lang w:val="lv-LV" w:eastAsia="pl-PL"/>
        </w:rPr>
        <w:t>d</w:t>
      </w:r>
      <w:r w:rsidR="00C36823" w:rsidRPr="005A6EF7">
        <w:rPr>
          <w:color w:val="000000"/>
          <w:szCs w:val="22"/>
          <w:lang w:val="lv-LV" w:eastAsia="pl-PL"/>
        </w:rPr>
        <w:t>ispepsija</w:t>
      </w:r>
      <w:r w:rsidR="0000264F" w:rsidRPr="005A6EF7">
        <w:rPr>
          <w:color w:val="000000"/>
          <w:szCs w:val="22"/>
          <w:lang w:val="lv-LV" w:eastAsia="pl-PL"/>
        </w:rPr>
        <w:t xml:space="preserve"> (</w:t>
      </w:r>
      <w:r w:rsidR="00C36823" w:rsidRPr="005A6EF7">
        <w:rPr>
          <w:color w:val="000000"/>
          <w:szCs w:val="22"/>
          <w:lang w:val="lv-LV" w:eastAsia="pl-PL"/>
        </w:rPr>
        <w:t>dedzināšana pakrūtē, slikta dūša un vemšana), sāpes vēderā.</w:t>
      </w:r>
    </w:p>
    <w:p w14:paraId="351644F9" w14:textId="1AF0D68D" w:rsidR="0000264F" w:rsidRPr="005A6EF7" w:rsidRDefault="00730E3D" w:rsidP="0000264F">
      <w:pPr>
        <w:tabs>
          <w:tab w:val="clear" w:pos="567"/>
        </w:tabs>
        <w:autoSpaceDE w:val="0"/>
        <w:autoSpaceDN w:val="0"/>
        <w:adjustRightInd w:val="0"/>
        <w:spacing w:line="240" w:lineRule="auto"/>
        <w:rPr>
          <w:color w:val="000000"/>
          <w:szCs w:val="22"/>
          <w:lang w:val="lv-LV" w:eastAsia="pl-PL"/>
        </w:rPr>
      </w:pPr>
      <w:r w:rsidRPr="005A6EF7">
        <w:rPr>
          <w:i/>
          <w:color w:val="000000"/>
          <w:szCs w:val="22"/>
          <w:lang w:val="lv-LV" w:eastAsia="pl-PL"/>
        </w:rPr>
        <w:t>Reti</w:t>
      </w:r>
      <w:r w:rsidRPr="005A6EF7">
        <w:rPr>
          <w:color w:val="000000"/>
          <w:szCs w:val="22"/>
          <w:lang w:val="lv-LV" w:eastAsia="pl-PL"/>
        </w:rPr>
        <w:t xml:space="preserve">: </w:t>
      </w:r>
      <w:r w:rsidR="00C36823" w:rsidRPr="005A6EF7">
        <w:rPr>
          <w:color w:val="000000"/>
          <w:szCs w:val="22"/>
          <w:lang w:val="lv-LV" w:eastAsia="pl-PL"/>
        </w:rPr>
        <w:t>gastrointestināls iekaisums</w:t>
      </w:r>
      <w:r w:rsidR="0000264F" w:rsidRPr="005A6EF7">
        <w:rPr>
          <w:color w:val="000000"/>
          <w:szCs w:val="22"/>
          <w:lang w:val="lv-LV" w:eastAsia="pl-PL"/>
        </w:rPr>
        <w:t xml:space="preserve">, </w:t>
      </w:r>
      <w:r w:rsidR="00C36823" w:rsidRPr="005A6EF7">
        <w:rPr>
          <w:color w:val="000000"/>
          <w:szCs w:val="22"/>
          <w:lang w:val="lv-LV" w:eastAsia="pl-PL"/>
        </w:rPr>
        <w:t>kuņģa un/vai divpadsmitpirkstu zarnas čūla, kas ļoti retos gadījumos izraisa gastrointestinālu hemorāģiju un perforāciju, kam raksturīgas klīniskas un laboratoriskas pazīmes.</w:t>
      </w:r>
    </w:p>
    <w:p w14:paraId="3260C75F" w14:textId="77777777" w:rsidR="0000264F" w:rsidRPr="00631E52" w:rsidRDefault="0000264F" w:rsidP="0000264F">
      <w:pPr>
        <w:tabs>
          <w:tab w:val="clear" w:pos="567"/>
        </w:tabs>
        <w:autoSpaceDE w:val="0"/>
        <w:autoSpaceDN w:val="0"/>
        <w:adjustRightInd w:val="0"/>
        <w:spacing w:line="240" w:lineRule="auto"/>
        <w:rPr>
          <w:bCs/>
          <w:color w:val="000000"/>
          <w:szCs w:val="22"/>
          <w:lang w:val="lv-LV" w:eastAsia="pl-PL"/>
        </w:rPr>
      </w:pPr>
    </w:p>
    <w:p w14:paraId="45CD42DB" w14:textId="5F48520D" w:rsidR="001B3D0F" w:rsidRPr="005A6EF7" w:rsidRDefault="001B3D0F" w:rsidP="0000264F">
      <w:pPr>
        <w:tabs>
          <w:tab w:val="clear" w:pos="567"/>
        </w:tabs>
        <w:autoSpaceDE w:val="0"/>
        <w:autoSpaceDN w:val="0"/>
        <w:adjustRightInd w:val="0"/>
        <w:spacing w:line="240" w:lineRule="auto"/>
        <w:rPr>
          <w:b/>
          <w:noProof/>
          <w:szCs w:val="22"/>
          <w:lang w:val="lv-LV"/>
        </w:rPr>
      </w:pPr>
      <w:r w:rsidRPr="005A6EF7">
        <w:rPr>
          <w:b/>
          <w:noProof/>
          <w:szCs w:val="22"/>
          <w:lang w:val="lv-LV"/>
        </w:rPr>
        <w:t>Elpošanas sistēmas traucējumi, krūšu kurvja un videnes slimības</w:t>
      </w:r>
    </w:p>
    <w:p w14:paraId="6E8AA000" w14:textId="7480AD1D" w:rsidR="0000264F" w:rsidRPr="005A6EF7" w:rsidRDefault="00730E3D" w:rsidP="0000264F">
      <w:pPr>
        <w:tabs>
          <w:tab w:val="clear" w:pos="567"/>
        </w:tabs>
        <w:autoSpaceDE w:val="0"/>
        <w:autoSpaceDN w:val="0"/>
        <w:adjustRightInd w:val="0"/>
        <w:spacing w:line="240" w:lineRule="auto"/>
        <w:rPr>
          <w:color w:val="000000"/>
          <w:szCs w:val="22"/>
          <w:lang w:val="lv-LV" w:eastAsia="pl-PL"/>
        </w:rPr>
      </w:pPr>
      <w:r w:rsidRPr="005A6EF7">
        <w:rPr>
          <w:i/>
          <w:color w:val="000000"/>
          <w:szCs w:val="22"/>
          <w:lang w:val="lv-LV" w:eastAsia="pl-PL"/>
        </w:rPr>
        <w:t>Reti</w:t>
      </w:r>
      <w:r w:rsidRPr="005A6EF7">
        <w:rPr>
          <w:color w:val="000000"/>
          <w:szCs w:val="22"/>
          <w:lang w:val="lv-LV" w:eastAsia="pl-PL"/>
        </w:rPr>
        <w:t xml:space="preserve">: </w:t>
      </w:r>
      <w:r w:rsidR="00C36823" w:rsidRPr="005A6EF7">
        <w:rPr>
          <w:color w:val="000000"/>
          <w:szCs w:val="22"/>
          <w:lang w:val="lv-LV" w:eastAsia="pl-PL"/>
        </w:rPr>
        <w:t>paaugstinātas jutības reakcijas, kam raksturīgas laboratoriskas un klīniskas pazīmes, tai skaitā astma, bronhospazmas.</w:t>
      </w:r>
    </w:p>
    <w:p w14:paraId="57291509" w14:textId="77777777" w:rsidR="0000264F" w:rsidRPr="005A6EF7" w:rsidRDefault="0000264F" w:rsidP="0000264F">
      <w:pPr>
        <w:tabs>
          <w:tab w:val="clear" w:pos="567"/>
        </w:tabs>
        <w:autoSpaceDE w:val="0"/>
        <w:autoSpaceDN w:val="0"/>
        <w:adjustRightInd w:val="0"/>
        <w:spacing w:line="240" w:lineRule="auto"/>
        <w:rPr>
          <w:color w:val="000000"/>
          <w:szCs w:val="22"/>
          <w:lang w:val="lv-LV" w:eastAsia="pl-PL"/>
        </w:rPr>
      </w:pPr>
    </w:p>
    <w:p w14:paraId="5E18EFFB" w14:textId="077E1D10" w:rsidR="001B3D0F" w:rsidRPr="005A6EF7" w:rsidRDefault="001B3D0F" w:rsidP="0000264F">
      <w:pPr>
        <w:tabs>
          <w:tab w:val="clear" w:pos="567"/>
        </w:tabs>
        <w:autoSpaceDE w:val="0"/>
        <w:autoSpaceDN w:val="0"/>
        <w:adjustRightInd w:val="0"/>
        <w:spacing w:line="240" w:lineRule="auto"/>
        <w:rPr>
          <w:b/>
          <w:noProof/>
          <w:szCs w:val="22"/>
          <w:lang w:val="lv-LV"/>
        </w:rPr>
      </w:pPr>
      <w:r w:rsidRPr="005A6EF7">
        <w:rPr>
          <w:b/>
          <w:noProof/>
          <w:szCs w:val="22"/>
          <w:lang w:val="lv-LV"/>
        </w:rPr>
        <w:t>Aknu un/vai žults izvades sistēmas traucējumi</w:t>
      </w:r>
    </w:p>
    <w:p w14:paraId="7DBB57BB" w14:textId="4BBDD951" w:rsidR="00C36823" w:rsidRPr="005A6EF7" w:rsidRDefault="00730E3D" w:rsidP="0000264F">
      <w:pPr>
        <w:tabs>
          <w:tab w:val="clear" w:pos="567"/>
        </w:tabs>
        <w:autoSpaceDE w:val="0"/>
        <w:autoSpaceDN w:val="0"/>
        <w:adjustRightInd w:val="0"/>
        <w:spacing w:line="240" w:lineRule="auto"/>
        <w:rPr>
          <w:color w:val="000000"/>
          <w:szCs w:val="22"/>
          <w:lang w:val="lv-LV" w:eastAsia="pl-PL"/>
        </w:rPr>
      </w:pPr>
      <w:r w:rsidRPr="005A6EF7">
        <w:rPr>
          <w:i/>
          <w:color w:val="000000"/>
          <w:szCs w:val="22"/>
          <w:lang w:val="lv-LV" w:eastAsia="pl-PL"/>
        </w:rPr>
        <w:t>Reti</w:t>
      </w:r>
      <w:r w:rsidRPr="005A6EF7">
        <w:rPr>
          <w:color w:val="000000"/>
          <w:szCs w:val="22"/>
          <w:lang w:val="lv-LV" w:eastAsia="pl-PL"/>
        </w:rPr>
        <w:t xml:space="preserve">: </w:t>
      </w:r>
      <w:r w:rsidR="00C36823" w:rsidRPr="005A6EF7">
        <w:rPr>
          <w:color w:val="000000"/>
          <w:szCs w:val="22"/>
          <w:lang w:val="lv-LV" w:eastAsia="pl-PL"/>
        </w:rPr>
        <w:t>pārejoši aknu darbības traucējumi ar paaugstinātu transamināžu līmeni.</w:t>
      </w:r>
    </w:p>
    <w:p w14:paraId="1721A230" w14:textId="77777777" w:rsidR="0000264F" w:rsidRPr="005A6EF7" w:rsidRDefault="00730E3D" w:rsidP="0000264F">
      <w:pPr>
        <w:tabs>
          <w:tab w:val="clear" w:pos="567"/>
        </w:tabs>
        <w:autoSpaceDE w:val="0"/>
        <w:autoSpaceDN w:val="0"/>
        <w:adjustRightInd w:val="0"/>
        <w:spacing w:line="240" w:lineRule="auto"/>
        <w:rPr>
          <w:color w:val="000000"/>
          <w:szCs w:val="22"/>
          <w:lang w:val="lv-LV" w:eastAsia="pl-PL"/>
        </w:rPr>
      </w:pPr>
      <w:r w:rsidRPr="005A6EF7">
        <w:rPr>
          <w:i/>
          <w:szCs w:val="22"/>
          <w:lang w:val="lv-LV"/>
        </w:rPr>
        <w:t>Nav zināmi</w:t>
      </w:r>
      <w:r w:rsidR="0000264F" w:rsidRPr="005A6EF7">
        <w:rPr>
          <w:szCs w:val="22"/>
          <w:lang w:val="lv-LV"/>
        </w:rPr>
        <w:t xml:space="preserve">: </w:t>
      </w:r>
      <w:r w:rsidR="00C36823" w:rsidRPr="008C3118">
        <w:rPr>
          <w:szCs w:val="22"/>
          <w:lang w:val="lv-LV" w:eastAsia="lv-LV"/>
        </w:rPr>
        <w:t>aknu mazspēja</w:t>
      </w:r>
      <w:r w:rsidR="0000264F" w:rsidRPr="008C3118">
        <w:rPr>
          <w:szCs w:val="22"/>
          <w:lang w:val="lv-LV" w:eastAsia="lv-LV"/>
        </w:rPr>
        <w:t xml:space="preserve">; </w:t>
      </w:r>
      <w:r w:rsidR="00C36823" w:rsidRPr="008C3118">
        <w:rPr>
          <w:szCs w:val="22"/>
          <w:lang w:val="lv-LV" w:eastAsia="lv-LV"/>
        </w:rPr>
        <w:t>Reja sindroms</w:t>
      </w:r>
      <w:r w:rsidR="0000264F" w:rsidRPr="008C3118">
        <w:rPr>
          <w:szCs w:val="22"/>
          <w:lang w:val="lv-LV" w:eastAsia="lv-LV"/>
        </w:rPr>
        <w:t>.</w:t>
      </w:r>
    </w:p>
    <w:p w14:paraId="0057CBA8" w14:textId="77777777" w:rsidR="0000264F" w:rsidRPr="005A6EF7" w:rsidRDefault="0000264F" w:rsidP="0000264F">
      <w:pPr>
        <w:autoSpaceDE w:val="0"/>
        <w:autoSpaceDN w:val="0"/>
        <w:adjustRightInd w:val="0"/>
        <w:rPr>
          <w:color w:val="000000"/>
          <w:szCs w:val="22"/>
          <w:lang w:val="lv-LV" w:eastAsia="pl-PL"/>
        </w:rPr>
      </w:pPr>
    </w:p>
    <w:p w14:paraId="432C92B2" w14:textId="4D46CE38" w:rsidR="001B3D0F" w:rsidRPr="005A6EF7" w:rsidRDefault="001B3D0F" w:rsidP="0000264F">
      <w:pPr>
        <w:autoSpaceDE w:val="0"/>
        <w:autoSpaceDN w:val="0"/>
        <w:adjustRightInd w:val="0"/>
        <w:rPr>
          <w:b/>
          <w:noProof/>
          <w:szCs w:val="22"/>
          <w:lang w:val="lv-LV"/>
        </w:rPr>
      </w:pPr>
      <w:r w:rsidRPr="005A6EF7">
        <w:rPr>
          <w:b/>
          <w:noProof/>
          <w:szCs w:val="22"/>
          <w:lang w:val="lv-LV"/>
        </w:rPr>
        <w:t>Ādas un zemādas audu bojājumi</w:t>
      </w:r>
    </w:p>
    <w:p w14:paraId="20048604" w14:textId="3062135C" w:rsidR="0000264F" w:rsidRPr="005A6EF7" w:rsidRDefault="00730E3D" w:rsidP="0000264F">
      <w:pPr>
        <w:autoSpaceDE w:val="0"/>
        <w:autoSpaceDN w:val="0"/>
        <w:adjustRightInd w:val="0"/>
        <w:rPr>
          <w:noProof/>
          <w:lang w:val="lv-LV"/>
        </w:rPr>
      </w:pPr>
      <w:r w:rsidRPr="005A6EF7">
        <w:rPr>
          <w:i/>
          <w:noProof/>
          <w:lang w:val="lv-LV"/>
        </w:rPr>
        <w:t xml:space="preserve">Ļoti </w:t>
      </w:r>
      <w:r w:rsidRPr="00973967">
        <w:rPr>
          <w:i/>
          <w:noProof/>
          <w:szCs w:val="22"/>
          <w:lang w:val="lv-LV"/>
        </w:rPr>
        <w:t>reti</w:t>
      </w:r>
      <w:r w:rsidR="0000264F" w:rsidRPr="00973967">
        <w:rPr>
          <w:i/>
          <w:noProof/>
          <w:szCs w:val="22"/>
          <w:lang w:val="lv-LV"/>
        </w:rPr>
        <w:t>:</w:t>
      </w:r>
      <w:r w:rsidR="0000264F" w:rsidRPr="008C3118">
        <w:rPr>
          <w:szCs w:val="22"/>
          <w:lang w:val="lv-LV" w:eastAsia="lv-LV"/>
        </w:rPr>
        <w:t xml:space="preserve"> </w:t>
      </w:r>
      <w:r w:rsidR="00973967" w:rsidRPr="008C3118">
        <w:rPr>
          <w:szCs w:val="22"/>
          <w:lang w:val="lv-LV" w:eastAsia="lv-LV"/>
        </w:rPr>
        <w:t>bul</w:t>
      </w:r>
      <w:r w:rsidR="00FA6F6F">
        <w:rPr>
          <w:szCs w:val="22"/>
          <w:lang w:val="lv-LV" w:eastAsia="lv-LV"/>
        </w:rPr>
        <w:t>l</w:t>
      </w:r>
      <w:r w:rsidR="00973967" w:rsidRPr="008C3118">
        <w:rPr>
          <w:szCs w:val="22"/>
          <w:lang w:val="lv-LV" w:eastAsia="lv-LV"/>
        </w:rPr>
        <w:t xml:space="preserve">ozas </w:t>
      </w:r>
      <w:r w:rsidR="00C36823" w:rsidRPr="00973967">
        <w:rPr>
          <w:noProof/>
          <w:szCs w:val="22"/>
          <w:lang w:val="lv-LV"/>
        </w:rPr>
        <w:t>reakcijas</w:t>
      </w:r>
      <w:r w:rsidR="00C36823" w:rsidRPr="005A6EF7">
        <w:rPr>
          <w:noProof/>
          <w:lang w:val="lv-LV"/>
        </w:rPr>
        <w:t>, tai skaitā Stīvensa-Džonsona</w:t>
      </w:r>
      <w:r w:rsidR="0000264F" w:rsidRPr="005A6EF7">
        <w:rPr>
          <w:noProof/>
          <w:lang w:val="lv-LV"/>
        </w:rPr>
        <w:t xml:space="preserve"> </w:t>
      </w:r>
      <w:r w:rsidR="00C36823" w:rsidRPr="005A6EF7">
        <w:rPr>
          <w:noProof/>
          <w:lang w:val="lv-LV"/>
        </w:rPr>
        <w:t>sindro</w:t>
      </w:r>
      <w:r w:rsidR="00201C17">
        <w:rPr>
          <w:noProof/>
          <w:lang w:val="lv-LV"/>
        </w:rPr>
        <w:t>ms un toksiska epidermas</w:t>
      </w:r>
      <w:r w:rsidR="00C36823" w:rsidRPr="005A6EF7">
        <w:rPr>
          <w:noProof/>
          <w:lang w:val="lv-LV"/>
        </w:rPr>
        <w:t xml:space="preserve"> nekrolīze.</w:t>
      </w:r>
    </w:p>
    <w:p w14:paraId="68961706" w14:textId="77777777" w:rsidR="0000264F" w:rsidRPr="005A6EF7" w:rsidRDefault="0000264F" w:rsidP="0000264F">
      <w:pPr>
        <w:autoSpaceDE w:val="0"/>
        <w:autoSpaceDN w:val="0"/>
        <w:adjustRightInd w:val="0"/>
        <w:rPr>
          <w:i/>
          <w:noProof/>
          <w:lang w:val="lv-LV"/>
        </w:rPr>
      </w:pPr>
    </w:p>
    <w:p w14:paraId="60FE3DA2" w14:textId="77777777" w:rsidR="0000264F" w:rsidRPr="005A6EF7" w:rsidRDefault="00730E3D" w:rsidP="0000264F">
      <w:pPr>
        <w:autoSpaceDE w:val="0"/>
        <w:autoSpaceDN w:val="0"/>
        <w:adjustRightInd w:val="0"/>
        <w:rPr>
          <w:color w:val="000000"/>
          <w:szCs w:val="22"/>
          <w:lang w:val="lv-LV" w:eastAsia="pl-PL"/>
        </w:rPr>
      </w:pPr>
      <w:r w:rsidRPr="005A6EF7">
        <w:rPr>
          <w:i/>
          <w:szCs w:val="22"/>
          <w:lang w:val="lv-LV"/>
        </w:rPr>
        <w:t>Nav zināmi</w:t>
      </w:r>
      <w:r w:rsidR="0000264F" w:rsidRPr="005A6EF7">
        <w:rPr>
          <w:szCs w:val="22"/>
          <w:lang w:val="lv-LV"/>
        </w:rPr>
        <w:t xml:space="preserve">: </w:t>
      </w:r>
      <w:r w:rsidR="00C36823" w:rsidRPr="005A6EF7">
        <w:rPr>
          <w:color w:val="000000"/>
          <w:szCs w:val="22"/>
          <w:lang w:val="lv-LV" w:eastAsia="pl-PL"/>
        </w:rPr>
        <w:t>paaugstinātas jutības reakcijas, kam raksturīgas laboratoriskas un klīniskas pazīmes, tai skaitā</w:t>
      </w:r>
      <w:r w:rsidR="0000264F" w:rsidRPr="005A6EF7">
        <w:rPr>
          <w:color w:val="000000"/>
          <w:szCs w:val="22"/>
          <w:lang w:val="lv-LV" w:eastAsia="pl-PL"/>
        </w:rPr>
        <w:t xml:space="preserve"> </w:t>
      </w:r>
      <w:r w:rsidR="00C36823" w:rsidRPr="005A6EF7">
        <w:rPr>
          <w:color w:val="000000"/>
          <w:szCs w:val="22"/>
          <w:lang w:val="lv-LV" w:eastAsia="pl-PL"/>
        </w:rPr>
        <w:t>izsitumi, n</w:t>
      </w:r>
      <w:r w:rsidR="00884FD4">
        <w:rPr>
          <w:color w:val="000000"/>
          <w:szCs w:val="22"/>
          <w:lang w:val="lv-LV" w:eastAsia="pl-PL"/>
        </w:rPr>
        <w:t>ā</w:t>
      </w:r>
      <w:r w:rsidR="00C36823" w:rsidRPr="005A6EF7">
        <w:rPr>
          <w:color w:val="000000"/>
          <w:szCs w:val="22"/>
          <w:lang w:val="lv-LV" w:eastAsia="pl-PL"/>
        </w:rPr>
        <w:t>trene, nieze</w:t>
      </w:r>
      <w:r w:rsidR="0000264F" w:rsidRPr="005A6EF7">
        <w:rPr>
          <w:color w:val="000000"/>
          <w:szCs w:val="22"/>
          <w:lang w:val="lv-LV" w:eastAsia="pl-PL"/>
        </w:rPr>
        <w:t>.</w:t>
      </w:r>
    </w:p>
    <w:p w14:paraId="148F64BE" w14:textId="77777777" w:rsidR="0000264F" w:rsidRPr="005A6EF7" w:rsidRDefault="0000264F" w:rsidP="0000264F">
      <w:pPr>
        <w:autoSpaceDE w:val="0"/>
        <w:autoSpaceDN w:val="0"/>
        <w:adjustRightInd w:val="0"/>
        <w:rPr>
          <w:color w:val="000000"/>
          <w:szCs w:val="22"/>
          <w:lang w:val="lv-LV" w:eastAsia="pl-PL"/>
        </w:rPr>
      </w:pPr>
    </w:p>
    <w:p w14:paraId="5C188E49" w14:textId="3D8D822B" w:rsidR="00730E3D" w:rsidRPr="005A6EF7" w:rsidRDefault="00730E3D" w:rsidP="0000264F">
      <w:pPr>
        <w:tabs>
          <w:tab w:val="clear" w:pos="567"/>
        </w:tabs>
        <w:autoSpaceDE w:val="0"/>
        <w:autoSpaceDN w:val="0"/>
        <w:adjustRightInd w:val="0"/>
        <w:spacing w:line="240" w:lineRule="auto"/>
        <w:rPr>
          <w:b/>
          <w:noProof/>
          <w:szCs w:val="22"/>
          <w:lang w:val="lv-LV"/>
        </w:rPr>
      </w:pPr>
      <w:r w:rsidRPr="005A6EF7">
        <w:rPr>
          <w:b/>
          <w:noProof/>
          <w:szCs w:val="22"/>
          <w:lang w:val="lv-LV"/>
        </w:rPr>
        <w:t>Nieru un urīnizvades sistēmas traucējumi</w:t>
      </w:r>
    </w:p>
    <w:p w14:paraId="35176860" w14:textId="78C78BFA" w:rsidR="0000264F" w:rsidRPr="0042194A" w:rsidRDefault="00730E3D" w:rsidP="0000264F">
      <w:pPr>
        <w:tabs>
          <w:tab w:val="clear" w:pos="567"/>
        </w:tabs>
        <w:autoSpaceDE w:val="0"/>
        <w:autoSpaceDN w:val="0"/>
        <w:adjustRightInd w:val="0"/>
        <w:spacing w:line="240" w:lineRule="auto"/>
        <w:rPr>
          <w:bCs/>
          <w:noProof/>
          <w:lang w:val="lv-LV"/>
        </w:rPr>
      </w:pPr>
      <w:r w:rsidRPr="005A6EF7">
        <w:rPr>
          <w:i/>
          <w:noProof/>
          <w:lang w:val="lv-LV"/>
        </w:rPr>
        <w:t>Ļoti reti:</w:t>
      </w:r>
      <w:r w:rsidRPr="005A6EF7">
        <w:rPr>
          <w:sz w:val="26"/>
          <w:szCs w:val="26"/>
          <w:lang w:val="lv-LV" w:eastAsia="lv-LV"/>
        </w:rPr>
        <w:t xml:space="preserve"> </w:t>
      </w:r>
      <w:r w:rsidR="00C36823" w:rsidRPr="005A6EF7">
        <w:rPr>
          <w:color w:val="000000"/>
          <w:szCs w:val="22"/>
          <w:lang w:val="lv-LV" w:eastAsia="pl-PL"/>
        </w:rPr>
        <w:t>nieru darbības traucējumi, urātu nierakmeņi.</w:t>
      </w:r>
    </w:p>
    <w:p w14:paraId="5E0C0D41" w14:textId="77777777" w:rsidR="0000264F" w:rsidRPr="00631E52" w:rsidRDefault="0000264F" w:rsidP="0000264F">
      <w:pPr>
        <w:tabs>
          <w:tab w:val="clear" w:pos="567"/>
        </w:tabs>
        <w:autoSpaceDE w:val="0"/>
        <w:autoSpaceDN w:val="0"/>
        <w:adjustRightInd w:val="0"/>
        <w:spacing w:line="240" w:lineRule="auto"/>
        <w:rPr>
          <w:bCs/>
          <w:noProof/>
          <w:lang w:val="lv-LV"/>
        </w:rPr>
      </w:pPr>
    </w:p>
    <w:p w14:paraId="0F65636A" w14:textId="1A51E64A" w:rsidR="00730E3D" w:rsidRPr="005A6EF7" w:rsidRDefault="00730E3D" w:rsidP="0000264F">
      <w:pPr>
        <w:tabs>
          <w:tab w:val="clear" w:pos="567"/>
        </w:tabs>
        <w:autoSpaceDE w:val="0"/>
        <w:autoSpaceDN w:val="0"/>
        <w:adjustRightInd w:val="0"/>
        <w:spacing w:line="240" w:lineRule="auto"/>
        <w:rPr>
          <w:b/>
          <w:noProof/>
          <w:szCs w:val="22"/>
          <w:lang w:val="lv-LV"/>
        </w:rPr>
      </w:pPr>
      <w:r w:rsidRPr="005A6EF7">
        <w:rPr>
          <w:b/>
          <w:noProof/>
          <w:szCs w:val="22"/>
          <w:lang w:val="lv-LV"/>
        </w:rPr>
        <w:t>Reproduktīvās sistēmas traucējumi un krūts slimības</w:t>
      </w:r>
    </w:p>
    <w:p w14:paraId="3FA38318" w14:textId="77777777" w:rsidR="0000264F" w:rsidRPr="002840C3" w:rsidRDefault="00730E3D" w:rsidP="0000264F">
      <w:pPr>
        <w:tabs>
          <w:tab w:val="clear" w:pos="567"/>
        </w:tabs>
        <w:autoSpaceDE w:val="0"/>
        <w:autoSpaceDN w:val="0"/>
        <w:adjustRightInd w:val="0"/>
        <w:spacing w:line="240" w:lineRule="auto"/>
        <w:rPr>
          <w:szCs w:val="22"/>
          <w:lang w:val="lv-LV" w:eastAsia="lv-LV"/>
        </w:rPr>
      </w:pPr>
      <w:r w:rsidRPr="002840C3">
        <w:rPr>
          <w:i/>
          <w:szCs w:val="22"/>
          <w:lang w:val="lv-LV" w:eastAsia="lv-LV"/>
        </w:rPr>
        <w:t>Reti</w:t>
      </w:r>
      <w:r w:rsidR="0000264F" w:rsidRPr="002840C3">
        <w:rPr>
          <w:szCs w:val="22"/>
          <w:lang w:val="lv-LV" w:eastAsia="lv-LV"/>
        </w:rPr>
        <w:t xml:space="preserve">: </w:t>
      </w:r>
      <w:r w:rsidR="00C36823" w:rsidRPr="002840C3">
        <w:rPr>
          <w:szCs w:val="22"/>
          <w:lang w:val="lv-LV" w:eastAsia="lv-LV"/>
        </w:rPr>
        <w:t>menorāģija.</w:t>
      </w:r>
    </w:p>
    <w:p w14:paraId="7EE90249" w14:textId="77777777" w:rsidR="0000264F" w:rsidRPr="00631E52" w:rsidRDefault="0000264F" w:rsidP="0000264F">
      <w:pPr>
        <w:tabs>
          <w:tab w:val="clear" w:pos="567"/>
        </w:tabs>
        <w:autoSpaceDE w:val="0"/>
        <w:autoSpaceDN w:val="0"/>
        <w:adjustRightInd w:val="0"/>
        <w:spacing w:line="240" w:lineRule="auto"/>
        <w:rPr>
          <w:rFonts w:ascii="TimesNewRoman" w:hAnsi="TimesNewRoman" w:cs="TimesNewRoman"/>
          <w:bCs/>
          <w:szCs w:val="22"/>
          <w:lang w:val="lv-LV" w:eastAsia="lv-LV"/>
        </w:rPr>
      </w:pPr>
    </w:p>
    <w:p w14:paraId="4C09B12A" w14:textId="77777777" w:rsidR="00017525" w:rsidRPr="005A6EF7" w:rsidRDefault="00017525" w:rsidP="00657D6A">
      <w:pPr>
        <w:autoSpaceDE w:val="0"/>
        <w:autoSpaceDN w:val="0"/>
        <w:adjustRightInd w:val="0"/>
        <w:spacing w:line="240" w:lineRule="auto"/>
        <w:jc w:val="both"/>
        <w:rPr>
          <w:szCs w:val="22"/>
          <w:u w:val="single"/>
          <w:lang w:val="lv-LV"/>
        </w:rPr>
      </w:pPr>
      <w:r w:rsidRPr="005A6EF7">
        <w:rPr>
          <w:szCs w:val="22"/>
          <w:u w:val="single"/>
          <w:lang w:val="lv-LV"/>
        </w:rPr>
        <w:t>Ziņošana par iespējamām nevēlamām blakusparādībām</w:t>
      </w:r>
    </w:p>
    <w:p w14:paraId="2ADE81D5" w14:textId="40379161" w:rsidR="002840C3" w:rsidRDefault="00017525" w:rsidP="002840C3">
      <w:pPr>
        <w:autoSpaceDE w:val="0"/>
        <w:autoSpaceDN w:val="0"/>
        <w:adjustRightInd w:val="0"/>
        <w:spacing w:line="240" w:lineRule="auto"/>
        <w:rPr>
          <w:szCs w:val="24"/>
          <w:lang w:val="lv-LV"/>
        </w:rPr>
      </w:pPr>
      <w:r w:rsidRPr="005A6EF7">
        <w:rPr>
          <w:szCs w:val="22"/>
          <w:lang w:val="lv-LV"/>
        </w:rPr>
        <w:t>Ir svarīgi ziņot par iespējamām nevēlamām blakusparādībām pēc zāļu reģistrācijas.</w:t>
      </w:r>
      <w:r w:rsidR="00304EAC" w:rsidRPr="005A6EF7">
        <w:rPr>
          <w:szCs w:val="22"/>
          <w:lang w:val="lv-LV"/>
        </w:rPr>
        <w:t xml:space="preserve"> </w:t>
      </w:r>
      <w:r w:rsidRPr="005A6EF7">
        <w:rPr>
          <w:szCs w:val="22"/>
          <w:lang w:val="lv-LV"/>
        </w:rPr>
        <w:t>Tādējādi zāļu ieguvum</w:t>
      </w:r>
      <w:r w:rsidR="00D22F2C" w:rsidRPr="005A6EF7">
        <w:rPr>
          <w:szCs w:val="22"/>
          <w:lang w:val="lv-LV"/>
        </w:rPr>
        <w:t>a</w:t>
      </w:r>
      <w:r w:rsidRPr="005A6EF7">
        <w:rPr>
          <w:szCs w:val="22"/>
          <w:lang w:val="lv-LV"/>
        </w:rPr>
        <w:t xml:space="preserve">/riska attiecība tiek nepārtraukti </w:t>
      </w:r>
      <w:r w:rsidR="00BD6BF5" w:rsidRPr="005A6EF7">
        <w:rPr>
          <w:szCs w:val="22"/>
          <w:lang w:val="lv-LV"/>
        </w:rPr>
        <w:t>uzraudzīta.</w:t>
      </w:r>
      <w:r w:rsidR="00BF7459" w:rsidRPr="005A6EF7">
        <w:rPr>
          <w:szCs w:val="22"/>
          <w:lang w:val="lv-LV"/>
        </w:rPr>
        <w:t xml:space="preserve"> Veselības aprūpes speciālisti t</w:t>
      </w:r>
      <w:r w:rsidRPr="005A6EF7">
        <w:rPr>
          <w:szCs w:val="22"/>
          <w:lang w:val="lv-LV"/>
        </w:rPr>
        <w:t>iek lūgti ziņot par jebkādām iespējamām nevēlamām blakusparādībām</w:t>
      </w:r>
      <w:r w:rsidR="00730E3D" w:rsidRPr="005A6EF7">
        <w:rPr>
          <w:szCs w:val="22"/>
          <w:lang w:val="lv-LV"/>
        </w:rPr>
        <w:t xml:space="preserve"> </w:t>
      </w:r>
      <w:r w:rsidR="002840C3" w:rsidRPr="00B42526">
        <w:rPr>
          <w:rFonts w:eastAsia="Calibri"/>
          <w:noProof/>
          <w:szCs w:val="22"/>
          <w:lang w:val="lv-LV"/>
        </w:rPr>
        <w:t>Zāļu valsts aģentūrai,</w:t>
      </w:r>
      <w:r w:rsidR="002840C3">
        <w:rPr>
          <w:rFonts w:eastAsia="Calibri"/>
          <w:szCs w:val="22"/>
          <w:lang w:val="lv-LV"/>
        </w:rPr>
        <w:t xml:space="preserve"> </w:t>
      </w:r>
      <w:r w:rsidR="002840C3" w:rsidRPr="00B42526">
        <w:rPr>
          <w:rFonts w:eastAsia="Calibri"/>
          <w:szCs w:val="22"/>
          <w:lang w:val="lv-LV"/>
        </w:rPr>
        <w:t>Jersikas ielā 15</w:t>
      </w:r>
      <w:r w:rsidR="002840C3">
        <w:rPr>
          <w:rFonts w:eastAsia="Calibri"/>
          <w:szCs w:val="22"/>
          <w:lang w:val="lv-LV"/>
        </w:rPr>
        <w:t>,</w:t>
      </w:r>
      <w:r w:rsidR="002840C3" w:rsidRPr="00B42526">
        <w:rPr>
          <w:rFonts w:eastAsia="Calibri"/>
          <w:szCs w:val="22"/>
          <w:lang w:val="lv-LV"/>
        </w:rPr>
        <w:t xml:space="preserve"> Rīgā, LV 1003. Tīmekļa vietne: </w:t>
      </w:r>
      <w:hyperlink r:id="rId11" w:history="1">
        <w:r w:rsidR="002840C3" w:rsidRPr="00B42526">
          <w:rPr>
            <w:rFonts w:eastAsia="Calibri"/>
            <w:color w:val="0000FF"/>
            <w:szCs w:val="22"/>
            <w:u w:val="single"/>
            <w:lang w:val="lv-LV"/>
          </w:rPr>
          <w:t>www.zva.gov.lv</w:t>
        </w:r>
      </w:hyperlink>
    </w:p>
    <w:p w14:paraId="35279F99" w14:textId="77777777" w:rsidR="00017525" w:rsidRPr="005A6EF7" w:rsidRDefault="00017525">
      <w:pPr>
        <w:tabs>
          <w:tab w:val="clear" w:pos="567"/>
        </w:tabs>
        <w:spacing w:line="240" w:lineRule="auto"/>
        <w:ind w:left="567" w:hanging="567"/>
        <w:rPr>
          <w:szCs w:val="22"/>
          <w:u w:val="single"/>
          <w:lang w:val="lv-LV"/>
        </w:rPr>
      </w:pPr>
    </w:p>
    <w:p w14:paraId="4C22748B" w14:textId="77777777" w:rsidR="00017525" w:rsidRPr="005A6EF7" w:rsidRDefault="004A50CF" w:rsidP="0042194A">
      <w:pPr>
        <w:tabs>
          <w:tab w:val="clear" w:pos="567"/>
        </w:tabs>
        <w:spacing w:line="240" w:lineRule="auto"/>
        <w:ind w:left="567" w:hanging="567"/>
        <w:rPr>
          <w:lang w:val="lv-LV"/>
        </w:rPr>
      </w:pPr>
      <w:r w:rsidRPr="005A6EF7">
        <w:rPr>
          <w:b/>
          <w:lang w:val="lv-LV"/>
        </w:rPr>
        <w:t>4.9</w:t>
      </w:r>
      <w:r w:rsidR="00243AC8" w:rsidRPr="005A6EF7">
        <w:rPr>
          <w:b/>
          <w:szCs w:val="22"/>
          <w:lang w:val="lv-LV"/>
        </w:rPr>
        <w:t>.</w:t>
      </w:r>
      <w:r w:rsidRPr="005A6EF7">
        <w:rPr>
          <w:b/>
          <w:lang w:val="lv-LV"/>
        </w:rPr>
        <w:tab/>
        <w:t>Pārdozēšana</w:t>
      </w:r>
    </w:p>
    <w:p w14:paraId="60DDC8AB" w14:textId="77777777" w:rsidR="00017525" w:rsidRPr="005A6EF7" w:rsidRDefault="00017525" w:rsidP="0042194A">
      <w:pPr>
        <w:tabs>
          <w:tab w:val="clear" w:pos="567"/>
        </w:tabs>
        <w:spacing w:line="240" w:lineRule="auto"/>
        <w:ind w:left="567" w:hanging="567"/>
        <w:rPr>
          <w:lang w:val="lv-LV"/>
        </w:rPr>
      </w:pPr>
    </w:p>
    <w:p w14:paraId="37682F99" w14:textId="2ED0FC13" w:rsidR="00C36823" w:rsidRPr="005A6EF7" w:rsidRDefault="00C95A62" w:rsidP="00F332BA">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Pārdozēšana</w:t>
      </w:r>
      <w:r w:rsidR="00B206C3">
        <w:rPr>
          <w:color w:val="000000"/>
          <w:szCs w:val="22"/>
          <w:lang w:val="lv-LV" w:eastAsia="pl-PL"/>
        </w:rPr>
        <w:t>s</w:t>
      </w:r>
      <w:r w:rsidRPr="005A6EF7">
        <w:rPr>
          <w:color w:val="000000"/>
          <w:szCs w:val="22"/>
          <w:lang w:val="lv-LV" w:eastAsia="pl-PL"/>
        </w:rPr>
        <w:t xml:space="preserve"> </w:t>
      </w:r>
      <w:r w:rsidR="001502BC">
        <w:rPr>
          <w:color w:val="000000"/>
          <w:szCs w:val="22"/>
          <w:lang w:val="lv-LV" w:eastAsia="pl-PL"/>
        </w:rPr>
        <w:t xml:space="preserve">gadījumā </w:t>
      </w:r>
      <w:r w:rsidR="00D726B0" w:rsidRPr="005A6EF7">
        <w:rPr>
          <w:color w:val="000000"/>
          <w:szCs w:val="22"/>
          <w:lang w:val="lv-LV" w:eastAsia="pl-PL"/>
        </w:rPr>
        <w:t>īpaš</w:t>
      </w:r>
      <w:r w:rsidR="00D726B0">
        <w:rPr>
          <w:color w:val="000000"/>
          <w:szCs w:val="22"/>
          <w:lang w:val="lv-LV" w:eastAsia="pl-PL"/>
        </w:rPr>
        <w:t>a uzmanība</w:t>
      </w:r>
      <w:r w:rsidR="00D726B0" w:rsidRPr="005A6EF7">
        <w:rPr>
          <w:color w:val="000000"/>
          <w:szCs w:val="22"/>
          <w:lang w:val="lv-LV" w:eastAsia="pl-PL"/>
        </w:rPr>
        <w:t xml:space="preserve"> </w:t>
      </w:r>
      <w:r w:rsidR="00D726B0">
        <w:rPr>
          <w:color w:val="000000"/>
          <w:szCs w:val="22"/>
          <w:lang w:val="lv-LV" w:eastAsia="pl-PL"/>
        </w:rPr>
        <w:t xml:space="preserve">nepieciešama </w:t>
      </w:r>
      <w:r w:rsidRPr="005A6EF7">
        <w:rPr>
          <w:color w:val="000000"/>
          <w:szCs w:val="22"/>
          <w:lang w:val="lv-LV" w:eastAsia="pl-PL"/>
        </w:rPr>
        <w:t>gados vecākiem pacientiem un</w:t>
      </w:r>
      <w:r w:rsidR="00D726B0">
        <w:rPr>
          <w:color w:val="000000"/>
          <w:szCs w:val="22"/>
          <w:lang w:val="lv-LV" w:eastAsia="pl-PL"/>
        </w:rPr>
        <w:t xml:space="preserve"> it </w:t>
      </w:r>
      <w:r w:rsidRPr="005A6EF7">
        <w:rPr>
          <w:color w:val="000000"/>
          <w:szCs w:val="22"/>
          <w:lang w:val="lv-LV" w:eastAsia="pl-PL"/>
        </w:rPr>
        <w:t xml:space="preserve"> īpaši maziem bērniem , jo šiem pacientiem tā var būt letāla.</w:t>
      </w:r>
    </w:p>
    <w:p w14:paraId="32F6D481" w14:textId="22632378" w:rsidR="00C95A62" w:rsidRPr="005A6EF7" w:rsidRDefault="00C95A62" w:rsidP="00C36823">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lastRenderedPageBreak/>
        <w:t xml:space="preserve">Netīša pārdozēšana </w:t>
      </w:r>
      <w:r w:rsidR="009B5494">
        <w:rPr>
          <w:color w:val="000000"/>
          <w:szCs w:val="22"/>
          <w:lang w:val="lv-LV" w:eastAsia="pl-PL"/>
        </w:rPr>
        <w:t>maz</w:t>
      </w:r>
      <w:r w:rsidRPr="005A6EF7">
        <w:rPr>
          <w:color w:val="000000"/>
          <w:szCs w:val="22"/>
          <w:lang w:val="lv-LV" w:eastAsia="pl-PL"/>
        </w:rPr>
        <w:t xml:space="preserve"> iespējama, jo acetilsalicilskābes deva ir maza.</w:t>
      </w:r>
    </w:p>
    <w:p w14:paraId="42431D20" w14:textId="77777777" w:rsidR="00C36823" w:rsidRPr="005A6EF7" w:rsidRDefault="00C95A62" w:rsidP="00C36823">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Tīšas liela tablešu skaita norīšanas rezultātā </w:t>
      </w:r>
      <w:r w:rsidR="005761FF" w:rsidRPr="005A6EF7">
        <w:rPr>
          <w:color w:val="000000"/>
          <w:szCs w:val="22"/>
          <w:lang w:val="lv-LV" w:eastAsia="pl-PL"/>
        </w:rPr>
        <w:t xml:space="preserve">toksisks līmenis </w:t>
      </w:r>
      <w:r w:rsidRPr="005A6EF7">
        <w:rPr>
          <w:color w:val="000000"/>
          <w:szCs w:val="22"/>
          <w:lang w:val="lv-LV" w:eastAsia="pl-PL"/>
        </w:rPr>
        <w:t xml:space="preserve">asinīs var tikt sasniegts, arī </w:t>
      </w:r>
      <w:r w:rsidR="009B5494">
        <w:rPr>
          <w:color w:val="000000"/>
          <w:szCs w:val="22"/>
          <w:lang w:val="lv-LV" w:eastAsia="pl-PL"/>
        </w:rPr>
        <w:t>vēlīni - līdz pat 12 stundu laikā.</w:t>
      </w:r>
    </w:p>
    <w:p w14:paraId="23C11A4F" w14:textId="50547FC5" w:rsidR="00C36823" w:rsidRDefault="00884FD4" w:rsidP="00C95A62">
      <w:pPr>
        <w:tabs>
          <w:tab w:val="clear" w:pos="567"/>
        </w:tabs>
        <w:spacing w:line="240" w:lineRule="auto"/>
        <w:rPr>
          <w:color w:val="000000"/>
          <w:szCs w:val="22"/>
          <w:lang w:val="lv-LV" w:eastAsia="pl-PL"/>
        </w:rPr>
      </w:pPr>
      <w:r>
        <w:rPr>
          <w:color w:val="000000"/>
          <w:szCs w:val="22"/>
          <w:lang w:val="lv-LV" w:eastAsia="pl-PL"/>
        </w:rPr>
        <w:t>N</w:t>
      </w:r>
      <w:r w:rsidR="009B5494">
        <w:rPr>
          <w:color w:val="000000"/>
          <w:szCs w:val="22"/>
          <w:lang w:val="lv-LV" w:eastAsia="pl-PL"/>
        </w:rPr>
        <w:t>orijot lielu skaitu zarnās šķīstošu</w:t>
      </w:r>
      <w:r w:rsidR="002F22BB">
        <w:rPr>
          <w:color w:val="000000"/>
          <w:szCs w:val="22"/>
          <w:lang w:val="lv-LV" w:eastAsia="pl-PL"/>
        </w:rPr>
        <w:t xml:space="preserve"> tablešu, </w:t>
      </w:r>
      <w:r w:rsidR="00C95A62" w:rsidRPr="005A6EF7">
        <w:rPr>
          <w:color w:val="000000"/>
          <w:szCs w:val="22"/>
          <w:lang w:val="lv-LV" w:eastAsia="pl-PL"/>
        </w:rPr>
        <w:t>kuņģī var veidoties salipušu tablešu konglomerāts, ko grūti izvadīt.</w:t>
      </w:r>
    </w:p>
    <w:p w14:paraId="421B1FB1" w14:textId="77777777" w:rsidR="009B5494" w:rsidRPr="005A6EF7" w:rsidRDefault="009B5494" w:rsidP="00C95A62">
      <w:pPr>
        <w:tabs>
          <w:tab w:val="clear" w:pos="567"/>
        </w:tabs>
        <w:spacing w:line="240" w:lineRule="auto"/>
        <w:rPr>
          <w:color w:val="000000"/>
          <w:szCs w:val="22"/>
          <w:lang w:val="lv-LV" w:eastAsia="pl-PL"/>
        </w:rPr>
      </w:pPr>
    </w:p>
    <w:p w14:paraId="259B9EB9" w14:textId="54B685DA" w:rsidR="00C36823" w:rsidRPr="005A6EF7" w:rsidRDefault="00C36823" w:rsidP="00C36823">
      <w:pPr>
        <w:tabs>
          <w:tab w:val="clear" w:pos="567"/>
        </w:tabs>
        <w:autoSpaceDE w:val="0"/>
        <w:autoSpaceDN w:val="0"/>
        <w:adjustRightInd w:val="0"/>
        <w:spacing w:line="240" w:lineRule="auto"/>
        <w:rPr>
          <w:color w:val="000000"/>
          <w:szCs w:val="22"/>
          <w:u w:val="single"/>
          <w:lang w:val="lv-LV" w:eastAsia="pl-PL"/>
        </w:rPr>
      </w:pPr>
      <w:r w:rsidRPr="005A6EF7">
        <w:rPr>
          <w:color w:val="000000"/>
          <w:szCs w:val="22"/>
          <w:u w:val="single"/>
          <w:lang w:val="lv-LV" w:eastAsia="pl-PL"/>
        </w:rPr>
        <w:t>S</w:t>
      </w:r>
      <w:r w:rsidR="00C95A62" w:rsidRPr="005A6EF7">
        <w:rPr>
          <w:color w:val="000000"/>
          <w:szCs w:val="22"/>
          <w:u w:val="single"/>
          <w:lang w:val="lv-LV" w:eastAsia="pl-PL"/>
        </w:rPr>
        <w:t>imptomi</w:t>
      </w:r>
    </w:p>
    <w:p w14:paraId="5E24D561" w14:textId="7939DB80" w:rsidR="00C36823" w:rsidRPr="005A6EF7" w:rsidRDefault="00C95A62" w:rsidP="00C36823">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Parasti pārdozēšanas simptomi ir: </w:t>
      </w:r>
      <w:r w:rsidR="009B5494">
        <w:rPr>
          <w:color w:val="000000"/>
          <w:szCs w:val="22"/>
          <w:lang w:val="lv-LV" w:eastAsia="pl-PL"/>
        </w:rPr>
        <w:t>troksnis ausīs</w:t>
      </w:r>
      <w:r w:rsidR="00C36823" w:rsidRPr="005A6EF7">
        <w:rPr>
          <w:color w:val="000000"/>
          <w:szCs w:val="22"/>
          <w:lang w:val="lv-LV" w:eastAsia="pl-PL"/>
        </w:rPr>
        <w:t xml:space="preserve">, </w:t>
      </w:r>
      <w:r w:rsidRPr="005A6EF7">
        <w:rPr>
          <w:color w:val="000000"/>
          <w:szCs w:val="22"/>
          <w:lang w:val="lv-LV" w:eastAsia="pl-PL"/>
        </w:rPr>
        <w:t>hiperventilācija, drudzis, slikta dūša, vemšana, neskaidra redze, galvassāpes, reibonis, apjukums, skābju-sārmu un elektrolītu līdzsvara traucējumi</w:t>
      </w:r>
      <w:r w:rsidR="0020599F" w:rsidRPr="005A6EF7">
        <w:rPr>
          <w:color w:val="000000"/>
          <w:szCs w:val="22"/>
          <w:lang w:val="lv-LV" w:eastAsia="pl-PL"/>
        </w:rPr>
        <w:t>, hipoglikēmija, ādas izsitumi.</w:t>
      </w:r>
    </w:p>
    <w:p w14:paraId="461AD097" w14:textId="3BA6BF80" w:rsidR="00C36823" w:rsidRPr="005A6EF7" w:rsidRDefault="0020599F" w:rsidP="00C36823">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Akūtas pārdozēšanas gadījumā var </w:t>
      </w:r>
      <w:r w:rsidR="009B5494">
        <w:rPr>
          <w:color w:val="000000"/>
          <w:szCs w:val="22"/>
          <w:lang w:val="lv-LV" w:eastAsia="pl-PL"/>
        </w:rPr>
        <w:t>rasties</w:t>
      </w:r>
      <w:r w:rsidRPr="005A6EF7">
        <w:rPr>
          <w:color w:val="000000"/>
          <w:szCs w:val="22"/>
          <w:lang w:val="lv-LV" w:eastAsia="pl-PL"/>
        </w:rPr>
        <w:t xml:space="preserve"> delīrij</w:t>
      </w:r>
      <w:r w:rsidR="009B5494">
        <w:rPr>
          <w:color w:val="000000"/>
          <w:szCs w:val="22"/>
          <w:lang w:val="lv-LV" w:eastAsia="pl-PL"/>
        </w:rPr>
        <w:t>s</w:t>
      </w:r>
      <w:r w:rsidRPr="005A6EF7">
        <w:rPr>
          <w:color w:val="000000"/>
          <w:szCs w:val="22"/>
          <w:lang w:val="lv-LV" w:eastAsia="pl-PL"/>
        </w:rPr>
        <w:t>, trīc</w:t>
      </w:r>
      <w:r w:rsidR="009B5494">
        <w:rPr>
          <w:color w:val="000000"/>
          <w:szCs w:val="22"/>
          <w:lang w:val="lv-LV" w:eastAsia="pl-PL"/>
        </w:rPr>
        <w:t>e</w:t>
      </w:r>
      <w:r w:rsidRPr="005A6EF7">
        <w:rPr>
          <w:color w:val="000000"/>
          <w:szCs w:val="22"/>
          <w:lang w:val="lv-LV" w:eastAsia="pl-PL"/>
        </w:rPr>
        <w:t>, elpas</w:t>
      </w:r>
      <w:r w:rsidR="009B5494">
        <w:rPr>
          <w:color w:val="000000"/>
          <w:szCs w:val="22"/>
          <w:lang w:val="lv-LV" w:eastAsia="pl-PL"/>
        </w:rPr>
        <w:t xml:space="preserve"> trūkums</w:t>
      </w:r>
      <w:r w:rsidRPr="005A6EF7">
        <w:rPr>
          <w:color w:val="000000"/>
          <w:szCs w:val="22"/>
          <w:lang w:val="lv-LV" w:eastAsia="pl-PL"/>
        </w:rPr>
        <w:t>, svīšan</w:t>
      </w:r>
      <w:r w:rsidR="009B5494">
        <w:rPr>
          <w:color w:val="000000"/>
          <w:szCs w:val="22"/>
          <w:lang w:val="lv-LV" w:eastAsia="pl-PL"/>
        </w:rPr>
        <w:t>a</w:t>
      </w:r>
      <w:r w:rsidRPr="005A6EF7">
        <w:rPr>
          <w:color w:val="000000"/>
          <w:szCs w:val="22"/>
          <w:lang w:val="lv-LV" w:eastAsia="pl-PL"/>
        </w:rPr>
        <w:t>, uzbudināj</w:t>
      </w:r>
      <w:r w:rsidR="00D75D41">
        <w:rPr>
          <w:color w:val="000000"/>
          <w:szCs w:val="22"/>
          <w:lang w:val="lv-LV" w:eastAsia="pl-PL"/>
        </w:rPr>
        <w:t>u</w:t>
      </w:r>
      <w:r w:rsidRPr="005A6EF7">
        <w:rPr>
          <w:color w:val="000000"/>
          <w:szCs w:val="22"/>
          <w:lang w:val="lv-LV" w:eastAsia="pl-PL"/>
        </w:rPr>
        <w:t>m</w:t>
      </w:r>
      <w:r w:rsidR="009B5494">
        <w:rPr>
          <w:color w:val="000000"/>
          <w:szCs w:val="22"/>
          <w:lang w:val="lv-LV" w:eastAsia="pl-PL"/>
        </w:rPr>
        <w:t>s</w:t>
      </w:r>
      <w:r w:rsidRPr="005A6EF7">
        <w:rPr>
          <w:color w:val="000000"/>
          <w:szCs w:val="22"/>
          <w:lang w:val="lv-LV" w:eastAsia="pl-PL"/>
        </w:rPr>
        <w:t xml:space="preserve"> </w:t>
      </w:r>
      <w:r w:rsidR="009B5494">
        <w:rPr>
          <w:color w:val="000000"/>
          <w:szCs w:val="22"/>
          <w:lang w:val="lv-LV" w:eastAsia="pl-PL"/>
        </w:rPr>
        <w:t>un koma</w:t>
      </w:r>
      <w:r w:rsidRPr="005A6EF7">
        <w:rPr>
          <w:color w:val="000000"/>
          <w:szCs w:val="22"/>
          <w:lang w:val="lv-LV" w:eastAsia="pl-PL"/>
        </w:rPr>
        <w:t xml:space="preserve">. </w:t>
      </w:r>
      <w:r w:rsidR="001859BC">
        <w:rPr>
          <w:color w:val="000000"/>
          <w:szCs w:val="22"/>
          <w:lang w:val="lv-LV" w:eastAsia="pl-PL"/>
        </w:rPr>
        <w:t>Par intoksikāciju</w:t>
      </w:r>
      <w:r w:rsidR="001859BC" w:rsidRPr="005A6EF7">
        <w:rPr>
          <w:color w:val="000000"/>
          <w:szCs w:val="22"/>
          <w:lang w:val="lv-LV" w:eastAsia="pl-PL"/>
        </w:rPr>
        <w:t xml:space="preserve"> </w:t>
      </w:r>
      <w:r w:rsidR="001859BC">
        <w:rPr>
          <w:color w:val="000000"/>
          <w:szCs w:val="22"/>
          <w:lang w:val="lv-LV" w:eastAsia="pl-PL"/>
        </w:rPr>
        <w:t>liecin</w:t>
      </w:r>
      <w:r w:rsidR="000144B6">
        <w:rPr>
          <w:color w:val="000000"/>
          <w:szCs w:val="22"/>
          <w:lang w:val="lv-LV" w:eastAsia="pl-PL"/>
        </w:rPr>
        <w:t>a</w:t>
      </w:r>
      <w:r w:rsidR="001859BC">
        <w:rPr>
          <w:color w:val="000000"/>
          <w:szCs w:val="22"/>
          <w:lang w:val="lv-LV" w:eastAsia="pl-PL"/>
        </w:rPr>
        <w:t xml:space="preserve"> </w:t>
      </w:r>
      <w:r w:rsidR="00EF3B54">
        <w:rPr>
          <w:color w:val="000000"/>
          <w:szCs w:val="22"/>
          <w:lang w:val="lv-LV" w:eastAsia="pl-PL"/>
        </w:rPr>
        <w:t>salicilātu</w:t>
      </w:r>
      <w:r w:rsidR="00EF3B54" w:rsidRPr="005A6EF7">
        <w:rPr>
          <w:color w:val="000000"/>
          <w:szCs w:val="22"/>
          <w:lang w:val="lv-LV" w:eastAsia="pl-PL"/>
        </w:rPr>
        <w:t xml:space="preserve"> </w:t>
      </w:r>
      <w:r w:rsidRPr="005A6EF7">
        <w:rPr>
          <w:color w:val="000000"/>
          <w:szCs w:val="22"/>
          <w:lang w:val="lv-LV" w:eastAsia="pl-PL"/>
        </w:rPr>
        <w:t>koncentrācij</w:t>
      </w:r>
      <w:r w:rsidR="00EF3B54">
        <w:rPr>
          <w:color w:val="000000"/>
          <w:szCs w:val="22"/>
          <w:lang w:val="lv-LV" w:eastAsia="pl-PL"/>
        </w:rPr>
        <w:t>a</w:t>
      </w:r>
      <w:r w:rsidRPr="005A6EF7">
        <w:rPr>
          <w:color w:val="000000"/>
          <w:szCs w:val="22"/>
          <w:lang w:val="lv-LV" w:eastAsia="pl-PL"/>
        </w:rPr>
        <w:t xml:space="preserve"> </w:t>
      </w:r>
      <w:r w:rsidR="00EF3B54">
        <w:rPr>
          <w:color w:val="000000"/>
          <w:szCs w:val="22"/>
          <w:lang w:val="lv-LV" w:eastAsia="pl-PL"/>
        </w:rPr>
        <w:t>plazmā</w:t>
      </w:r>
      <w:r w:rsidR="00EF3B54" w:rsidRPr="005A6EF7">
        <w:rPr>
          <w:color w:val="000000"/>
          <w:szCs w:val="22"/>
          <w:lang w:val="lv-LV" w:eastAsia="pl-PL"/>
        </w:rPr>
        <w:t xml:space="preserve"> </w:t>
      </w:r>
      <w:r w:rsidR="00C36823" w:rsidRPr="005A6EF7">
        <w:rPr>
          <w:color w:val="000000"/>
          <w:szCs w:val="22"/>
          <w:lang w:val="lv-LV" w:eastAsia="pl-PL"/>
        </w:rPr>
        <w:t>&gt;350 mg/l</w:t>
      </w:r>
      <w:r w:rsidRPr="005A6EF7">
        <w:rPr>
          <w:color w:val="000000"/>
          <w:szCs w:val="22"/>
          <w:lang w:val="lv-LV" w:eastAsia="pl-PL"/>
        </w:rPr>
        <w:t xml:space="preserve"> (2,</w:t>
      </w:r>
      <w:r w:rsidR="00C36823" w:rsidRPr="005A6EF7">
        <w:rPr>
          <w:color w:val="000000"/>
          <w:szCs w:val="22"/>
          <w:lang w:val="lv-LV" w:eastAsia="pl-PL"/>
        </w:rPr>
        <w:t xml:space="preserve">5 mmol/l). </w:t>
      </w:r>
      <w:r w:rsidRPr="005A6EF7">
        <w:rPr>
          <w:color w:val="000000"/>
          <w:szCs w:val="22"/>
          <w:lang w:val="lv-LV" w:eastAsia="pl-PL"/>
        </w:rPr>
        <w:t>Vairums nāves gadījumu novēroti pacientiem, kuriem ko</w:t>
      </w:r>
      <w:r w:rsidR="002F22BB">
        <w:rPr>
          <w:color w:val="000000"/>
          <w:szCs w:val="22"/>
          <w:lang w:val="lv-LV" w:eastAsia="pl-PL"/>
        </w:rPr>
        <w:t>n</w:t>
      </w:r>
      <w:r w:rsidRPr="005A6EF7">
        <w:rPr>
          <w:color w:val="000000"/>
          <w:szCs w:val="22"/>
          <w:lang w:val="lv-LV" w:eastAsia="pl-PL"/>
        </w:rPr>
        <w:t xml:space="preserve">centrācija </w:t>
      </w:r>
      <w:r w:rsidR="006D0672">
        <w:rPr>
          <w:color w:val="000000"/>
          <w:szCs w:val="22"/>
          <w:lang w:val="lv-LV" w:eastAsia="pl-PL"/>
        </w:rPr>
        <w:t xml:space="preserve">plazmā </w:t>
      </w:r>
      <w:r w:rsidRPr="005A6EF7">
        <w:rPr>
          <w:color w:val="000000"/>
          <w:szCs w:val="22"/>
          <w:lang w:val="lv-LV" w:eastAsia="pl-PL"/>
        </w:rPr>
        <w:t xml:space="preserve">pārsniedza </w:t>
      </w:r>
      <w:r w:rsidR="00C36823" w:rsidRPr="005A6EF7">
        <w:rPr>
          <w:color w:val="000000"/>
          <w:szCs w:val="22"/>
          <w:lang w:val="lv-LV" w:eastAsia="pl-PL"/>
        </w:rPr>
        <w:t>700 mg/l</w:t>
      </w:r>
      <w:r w:rsidRPr="005A6EF7">
        <w:rPr>
          <w:color w:val="000000"/>
          <w:szCs w:val="22"/>
          <w:lang w:val="lv-LV" w:eastAsia="pl-PL"/>
        </w:rPr>
        <w:t xml:space="preserve"> (5,</w:t>
      </w:r>
      <w:r w:rsidR="00C36823" w:rsidRPr="005A6EF7">
        <w:rPr>
          <w:color w:val="000000"/>
          <w:szCs w:val="22"/>
          <w:lang w:val="lv-LV" w:eastAsia="pl-PL"/>
        </w:rPr>
        <w:t xml:space="preserve">1 mmol/l). </w:t>
      </w:r>
      <w:r w:rsidRPr="005A6EF7">
        <w:rPr>
          <w:color w:val="000000"/>
          <w:szCs w:val="22"/>
          <w:lang w:val="lv-LV" w:eastAsia="pl-PL"/>
        </w:rPr>
        <w:t>Reizes devas, kas mazākas par</w:t>
      </w:r>
      <w:r w:rsidR="00C36823" w:rsidRPr="005A6EF7">
        <w:rPr>
          <w:color w:val="000000"/>
          <w:szCs w:val="22"/>
          <w:lang w:val="lv-LV" w:eastAsia="pl-PL"/>
        </w:rPr>
        <w:t xml:space="preserve"> 100 mg/kg</w:t>
      </w:r>
      <w:r w:rsidRPr="005A6EF7">
        <w:rPr>
          <w:color w:val="000000"/>
          <w:szCs w:val="22"/>
          <w:lang w:val="lv-LV" w:eastAsia="pl-PL"/>
        </w:rPr>
        <w:t>,</w:t>
      </w:r>
      <w:r w:rsidR="00C36823" w:rsidRPr="005A6EF7">
        <w:rPr>
          <w:color w:val="000000"/>
          <w:szCs w:val="22"/>
          <w:lang w:val="lv-LV" w:eastAsia="pl-PL"/>
        </w:rPr>
        <w:t xml:space="preserve"> </w:t>
      </w:r>
      <w:r w:rsidR="00036033">
        <w:rPr>
          <w:color w:val="000000"/>
          <w:szCs w:val="22"/>
          <w:lang w:val="lv-LV" w:eastAsia="pl-PL"/>
        </w:rPr>
        <w:t xml:space="preserve">maz ticams, ka </w:t>
      </w:r>
      <w:r w:rsidRPr="005A6EF7">
        <w:rPr>
          <w:color w:val="000000"/>
          <w:szCs w:val="22"/>
          <w:lang w:val="lv-LV" w:eastAsia="pl-PL"/>
        </w:rPr>
        <w:t>izraisī</w:t>
      </w:r>
      <w:r w:rsidR="00036033">
        <w:rPr>
          <w:color w:val="000000"/>
          <w:szCs w:val="22"/>
          <w:lang w:val="lv-LV" w:eastAsia="pl-PL"/>
        </w:rPr>
        <w:t>s</w:t>
      </w:r>
      <w:r w:rsidRPr="005A6EF7">
        <w:rPr>
          <w:color w:val="000000"/>
          <w:szCs w:val="22"/>
          <w:lang w:val="lv-LV" w:eastAsia="pl-PL"/>
        </w:rPr>
        <w:t xml:space="preserve"> </w:t>
      </w:r>
      <w:r w:rsidR="006D0672">
        <w:rPr>
          <w:color w:val="000000"/>
          <w:szCs w:val="22"/>
          <w:lang w:val="lv-LV" w:eastAsia="pl-PL"/>
        </w:rPr>
        <w:t>smagu</w:t>
      </w:r>
      <w:r w:rsidR="006D0672" w:rsidRPr="005A6EF7">
        <w:rPr>
          <w:color w:val="000000"/>
          <w:szCs w:val="22"/>
          <w:lang w:val="lv-LV" w:eastAsia="pl-PL"/>
        </w:rPr>
        <w:t xml:space="preserve"> </w:t>
      </w:r>
      <w:r w:rsidRPr="005A6EF7">
        <w:rPr>
          <w:color w:val="000000"/>
          <w:szCs w:val="22"/>
          <w:lang w:val="lv-LV" w:eastAsia="pl-PL"/>
        </w:rPr>
        <w:t>saindēšanos</w:t>
      </w:r>
      <w:r w:rsidR="00C36823" w:rsidRPr="005A6EF7">
        <w:rPr>
          <w:color w:val="000000"/>
          <w:szCs w:val="22"/>
          <w:lang w:val="lv-LV" w:eastAsia="pl-PL"/>
        </w:rPr>
        <w:t>.</w:t>
      </w:r>
    </w:p>
    <w:p w14:paraId="0DC10F58" w14:textId="070D710A" w:rsidR="00C36823" w:rsidRPr="005A6EF7" w:rsidRDefault="0020599F" w:rsidP="00C36823">
      <w:pPr>
        <w:rPr>
          <w:color w:val="000000"/>
          <w:szCs w:val="22"/>
          <w:lang w:val="lv-LV" w:eastAsia="pl-PL"/>
        </w:rPr>
      </w:pPr>
      <w:r w:rsidRPr="005A6EF7">
        <w:rPr>
          <w:color w:val="000000"/>
          <w:szCs w:val="22"/>
          <w:lang w:val="lv-LV" w:eastAsia="pl-PL"/>
        </w:rPr>
        <w:t>Jauktu respirator</w:t>
      </w:r>
      <w:r w:rsidR="002F22BB">
        <w:rPr>
          <w:color w:val="000000"/>
          <w:szCs w:val="22"/>
          <w:lang w:val="lv-LV" w:eastAsia="pl-PL"/>
        </w:rPr>
        <w:t>isk</w:t>
      </w:r>
      <w:r w:rsidRPr="005A6EF7">
        <w:rPr>
          <w:color w:val="000000"/>
          <w:szCs w:val="22"/>
          <w:lang w:val="lv-LV" w:eastAsia="pl-PL"/>
        </w:rPr>
        <w:t xml:space="preserve">u alkalozi un metabolisku acidozi ar normālu vai augstu arteriālo </w:t>
      </w:r>
      <w:r w:rsidR="00C36823" w:rsidRPr="005A6EF7">
        <w:rPr>
          <w:color w:val="000000"/>
          <w:szCs w:val="22"/>
          <w:lang w:val="lv-LV" w:eastAsia="pl-PL"/>
        </w:rPr>
        <w:t>pH (</w:t>
      </w:r>
      <w:r w:rsidRPr="005A6EF7">
        <w:rPr>
          <w:color w:val="000000"/>
          <w:szCs w:val="22"/>
          <w:lang w:val="lv-LV" w:eastAsia="pl-PL"/>
        </w:rPr>
        <w:t>normāla vai pazemināta ūdeņraža jonu koncentrācija</w:t>
      </w:r>
      <w:r w:rsidR="00C36823" w:rsidRPr="005A6EF7">
        <w:rPr>
          <w:color w:val="000000"/>
          <w:szCs w:val="22"/>
          <w:lang w:val="lv-LV" w:eastAsia="pl-PL"/>
        </w:rPr>
        <w:t>)</w:t>
      </w:r>
      <w:r w:rsidRPr="005A6EF7">
        <w:rPr>
          <w:color w:val="000000"/>
          <w:szCs w:val="22"/>
          <w:lang w:val="lv-LV" w:eastAsia="pl-PL"/>
        </w:rPr>
        <w:t xml:space="preserve"> parasti novēro pieaugušiem vai bērniem, kas vecāki par 4 gadiem. Četrus gadus veciem</w:t>
      </w:r>
      <w:r w:rsidR="009B5494">
        <w:rPr>
          <w:color w:val="000000"/>
          <w:szCs w:val="22"/>
          <w:lang w:val="lv-LV" w:eastAsia="pl-PL"/>
        </w:rPr>
        <w:t xml:space="preserve"> un jaunākiem bērniem</w:t>
      </w:r>
      <w:r w:rsidRPr="005A6EF7">
        <w:rPr>
          <w:color w:val="000000"/>
          <w:szCs w:val="22"/>
          <w:lang w:val="lv-LV" w:eastAsia="pl-PL"/>
        </w:rPr>
        <w:t xml:space="preserve"> parasti novēro metabolisko acidozi ar zemu arteriālo </w:t>
      </w:r>
      <w:r w:rsidR="00C36823" w:rsidRPr="005A6EF7">
        <w:rPr>
          <w:color w:val="000000"/>
          <w:szCs w:val="22"/>
          <w:lang w:val="lv-LV" w:eastAsia="pl-PL"/>
        </w:rPr>
        <w:t>pH (</w:t>
      </w:r>
      <w:r w:rsidR="00511341" w:rsidRPr="005A6EF7">
        <w:rPr>
          <w:color w:val="000000"/>
          <w:szCs w:val="22"/>
          <w:lang w:val="lv-LV" w:eastAsia="pl-PL"/>
        </w:rPr>
        <w:t>paaugstināta ūdeņraža jonu koncentrācija</w:t>
      </w:r>
      <w:r w:rsidR="00C36823" w:rsidRPr="005A6EF7">
        <w:rPr>
          <w:color w:val="000000"/>
          <w:szCs w:val="22"/>
          <w:lang w:val="lv-LV" w:eastAsia="pl-PL"/>
        </w:rPr>
        <w:t xml:space="preserve">). </w:t>
      </w:r>
      <w:r w:rsidR="00511341" w:rsidRPr="005A6EF7">
        <w:rPr>
          <w:color w:val="000000"/>
          <w:szCs w:val="22"/>
          <w:lang w:val="lv-LV" w:eastAsia="pl-PL"/>
        </w:rPr>
        <w:t>Acidoze var pa</w:t>
      </w:r>
      <w:r w:rsidR="002F22BB">
        <w:rPr>
          <w:color w:val="000000"/>
          <w:szCs w:val="22"/>
          <w:lang w:val="lv-LV" w:eastAsia="pl-PL"/>
        </w:rPr>
        <w:t>stiprināt</w:t>
      </w:r>
      <w:r w:rsidR="00511341" w:rsidRPr="005A6EF7">
        <w:rPr>
          <w:color w:val="000000"/>
          <w:szCs w:val="22"/>
          <w:lang w:val="lv-LV" w:eastAsia="pl-PL"/>
        </w:rPr>
        <w:t xml:space="preserve"> salicilātu izkļūšanu cauri hematoencefāliskai barjerai.</w:t>
      </w:r>
    </w:p>
    <w:p w14:paraId="42765851" w14:textId="77777777" w:rsidR="00511341" w:rsidRPr="005A6EF7" w:rsidRDefault="00511341" w:rsidP="00C36823">
      <w:pPr>
        <w:rPr>
          <w:color w:val="000000"/>
          <w:szCs w:val="22"/>
          <w:lang w:val="lv-LV" w:eastAsia="pl-PL"/>
        </w:rPr>
      </w:pPr>
    </w:p>
    <w:p w14:paraId="512701DA" w14:textId="77777777" w:rsidR="00C36823" w:rsidRPr="005A6EF7" w:rsidRDefault="00511341" w:rsidP="00C36823">
      <w:pPr>
        <w:rPr>
          <w:szCs w:val="22"/>
          <w:u w:val="single"/>
          <w:lang w:val="lv-LV"/>
        </w:rPr>
      </w:pPr>
      <w:r w:rsidRPr="005A6EF7">
        <w:rPr>
          <w:szCs w:val="22"/>
          <w:u w:val="single"/>
          <w:lang w:val="lv-LV"/>
        </w:rPr>
        <w:t>Ārstēšana</w:t>
      </w:r>
    </w:p>
    <w:p w14:paraId="607EEDA6" w14:textId="29B63073" w:rsidR="00C36823" w:rsidRPr="005A6EF7" w:rsidRDefault="00511341" w:rsidP="00C36823">
      <w:pPr>
        <w:rPr>
          <w:color w:val="000000"/>
          <w:szCs w:val="22"/>
          <w:lang w:val="lv-LV" w:eastAsia="pl-PL"/>
        </w:rPr>
      </w:pPr>
      <w:r w:rsidRPr="005A6EF7">
        <w:rPr>
          <w:color w:val="000000"/>
          <w:szCs w:val="22"/>
          <w:lang w:val="lv-LV" w:eastAsia="pl-PL"/>
        </w:rPr>
        <w:t xml:space="preserve">Ārstēšanas mērķis ir samazināt zāļu </w:t>
      </w:r>
      <w:r w:rsidR="002F22BB">
        <w:rPr>
          <w:color w:val="000000"/>
          <w:szCs w:val="22"/>
          <w:lang w:val="lv-LV" w:eastAsia="pl-PL"/>
        </w:rPr>
        <w:t>uzsūkšanos</w:t>
      </w:r>
      <w:r w:rsidRPr="005A6EF7">
        <w:rPr>
          <w:color w:val="000000"/>
          <w:szCs w:val="22"/>
          <w:lang w:val="lv-LV" w:eastAsia="pl-PL"/>
        </w:rPr>
        <w:t>, izvadot kuņģa saturu (izraisot vemšanu vai kuņģa skalošanas veidā – ja pēc zaļu norīšanas nav pagājis vairāk par vienu stundu)</w:t>
      </w:r>
      <w:r w:rsidR="00C36823" w:rsidRPr="005A6EF7">
        <w:rPr>
          <w:color w:val="000000"/>
          <w:szCs w:val="22"/>
          <w:lang w:val="lv-LV" w:eastAsia="pl-PL"/>
        </w:rPr>
        <w:t xml:space="preserve">, </w:t>
      </w:r>
      <w:r w:rsidRPr="005A6EF7">
        <w:rPr>
          <w:color w:val="000000"/>
          <w:szCs w:val="22"/>
          <w:lang w:val="lv-LV" w:eastAsia="pl-PL"/>
        </w:rPr>
        <w:t>paātrināt zāļu izvadīšanu, kontrolēt šķidruma un elektrolītu līdzsvaru, seruma salicilātu līmeni, urīna pH, arteriālo asiņu gāzu sastāvu</w:t>
      </w:r>
      <w:r w:rsidR="00C36823" w:rsidRPr="005A6EF7">
        <w:rPr>
          <w:color w:val="000000"/>
          <w:szCs w:val="22"/>
          <w:lang w:val="lv-LV" w:eastAsia="pl-PL"/>
        </w:rPr>
        <w:t xml:space="preserve">, </w:t>
      </w:r>
      <w:r w:rsidRPr="005A6EF7">
        <w:rPr>
          <w:color w:val="000000"/>
          <w:szCs w:val="22"/>
          <w:lang w:val="lv-LV" w:eastAsia="pl-PL"/>
        </w:rPr>
        <w:t>seruma kreatinīna</w:t>
      </w:r>
      <w:r w:rsidR="002F6BA3" w:rsidRPr="005A6EF7">
        <w:rPr>
          <w:color w:val="000000"/>
          <w:szCs w:val="22"/>
          <w:lang w:val="lv-LV" w:eastAsia="pl-PL"/>
        </w:rPr>
        <w:t>,</w:t>
      </w:r>
      <w:r w:rsidRPr="005A6EF7">
        <w:rPr>
          <w:color w:val="000000"/>
          <w:szCs w:val="22"/>
          <w:lang w:val="lv-LV" w:eastAsia="pl-PL"/>
        </w:rPr>
        <w:t xml:space="preserve"> plazmas glikoz</w:t>
      </w:r>
      <w:r w:rsidR="002F6BA3" w:rsidRPr="005A6EF7">
        <w:rPr>
          <w:color w:val="000000"/>
          <w:szCs w:val="22"/>
          <w:lang w:val="lv-LV" w:eastAsia="pl-PL"/>
        </w:rPr>
        <w:t xml:space="preserve">es un </w:t>
      </w:r>
      <w:r w:rsidRPr="005A6EF7">
        <w:rPr>
          <w:color w:val="000000"/>
          <w:szCs w:val="22"/>
          <w:lang w:val="lv-LV" w:eastAsia="pl-PL"/>
        </w:rPr>
        <w:t>urīnvielas slāpekļa līmeni asinīs, kā arī ķermeņa temperatūras un elpošanas normalizēšanos.</w:t>
      </w:r>
    </w:p>
    <w:p w14:paraId="006FD0E6" w14:textId="77777777" w:rsidR="00C36823" w:rsidRPr="005A6EF7" w:rsidRDefault="00C36823" w:rsidP="00C36823">
      <w:pPr>
        <w:rPr>
          <w:szCs w:val="22"/>
          <w:lang w:val="lv-LV"/>
        </w:rPr>
      </w:pPr>
    </w:p>
    <w:p w14:paraId="5CADC7FE" w14:textId="77777777" w:rsidR="00C36823" w:rsidRPr="005A6EF7" w:rsidRDefault="002F6BA3" w:rsidP="00C36823">
      <w:pPr>
        <w:rPr>
          <w:szCs w:val="22"/>
          <w:lang w:val="lv-LV"/>
        </w:rPr>
      </w:pPr>
      <w:r w:rsidRPr="005A6EF7">
        <w:rPr>
          <w:szCs w:val="22"/>
          <w:lang w:val="lv-LV"/>
        </w:rPr>
        <w:t xml:space="preserve">Lai samazinātu acetilsalicilskābes uzsūkšanos, jāordinē aktivētā ogle ūdens suspensijas veidā </w:t>
      </w:r>
      <w:r w:rsidR="00C36823" w:rsidRPr="005A6EF7">
        <w:rPr>
          <w:szCs w:val="22"/>
          <w:lang w:val="lv-LV"/>
        </w:rPr>
        <w:t>(</w:t>
      </w:r>
      <w:r w:rsidR="00DB59EC">
        <w:rPr>
          <w:szCs w:val="22"/>
          <w:lang w:val="lv-LV"/>
        </w:rPr>
        <w:t>50-100 </w:t>
      </w:r>
      <w:r w:rsidR="00C36823" w:rsidRPr="005A6EF7">
        <w:rPr>
          <w:szCs w:val="22"/>
          <w:lang w:val="lv-LV"/>
        </w:rPr>
        <w:t xml:space="preserve">g </w:t>
      </w:r>
      <w:r w:rsidRPr="005A6EF7">
        <w:rPr>
          <w:szCs w:val="22"/>
          <w:lang w:val="lv-LV"/>
        </w:rPr>
        <w:t>deva pieaugušajiem un</w:t>
      </w:r>
      <w:r w:rsidR="00DB59EC">
        <w:rPr>
          <w:szCs w:val="22"/>
          <w:lang w:val="lv-LV"/>
        </w:rPr>
        <w:t xml:space="preserve"> 30-60 </w:t>
      </w:r>
      <w:r w:rsidR="00C36823" w:rsidRPr="005A6EF7">
        <w:rPr>
          <w:szCs w:val="22"/>
          <w:lang w:val="lv-LV"/>
        </w:rPr>
        <w:t xml:space="preserve">g </w:t>
      </w:r>
      <w:r w:rsidRPr="005A6EF7">
        <w:rPr>
          <w:szCs w:val="22"/>
          <w:lang w:val="lv-LV"/>
        </w:rPr>
        <w:t>bērniem</w:t>
      </w:r>
      <w:r w:rsidR="00C36823" w:rsidRPr="005A6EF7">
        <w:rPr>
          <w:szCs w:val="22"/>
          <w:lang w:val="lv-LV"/>
        </w:rPr>
        <w:t>)</w:t>
      </w:r>
      <w:r w:rsidRPr="005A6EF7">
        <w:rPr>
          <w:szCs w:val="22"/>
          <w:lang w:val="lv-LV"/>
        </w:rPr>
        <w:t>.</w:t>
      </w:r>
    </w:p>
    <w:p w14:paraId="11DE3D36" w14:textId="77777777" w:rsidR="00C36823" w:rsidRPr="005A6EF7" w:rsidRDefault="00C36823" w:rsidP="00C36823">
      <w:pPr>
        <w:tabs>
          <w:tab w:val="clear" w:pos="567"/>
        </w:tabs>
        <w:autoSpaceDE w:val="0"/>
        <w:autoSpaceDN w:val="0"/>
        <w:adjustRightInd w:val="0"/>
        <w:spacing w:line="240" w:lineRule="auto"/>
        <w:rPr>
          <w:color w:val="000000"/>
          <w:szCs w:val="22"/>
          <w:lang w:val="lv-LV" w:eastAsia="pl-PL"/>
        </w:rPr>
      </w:pPr>
    </w:p>
    <w:p w14:paraId="15DEE8B5" w14:textId="4D6D7EDF" w:rsidR="00C36823" w:rsidRPr="005A6EF7" w:rsidRDefault="002F6BA3" w:rsidP="00C36823">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Elimināciju pastiprina urīna alkalizācija, ko panāk ordinējot </w:t>
      </w:r>
      <w:r w:rsidR="00C36823" w:rsidRPr="005A6EF7">
        <w:rPr>
          <w:color w:val="000000"/>
          <w:szCs w:val="22"/>
          <w:lang w:val="lv-LV" w:eastAsia="pl-PL"/>
        </w:rPr>
        <w:t>1</w:t>
      </w:r>
      <w:r w:rsidRPr="005A6EF7">
        <w:rPr>
          <w:color w:val="000000"/>
          <w:szCs w:val="22"/>
          <w:lang w:val="lv-LV" w:eastAsia="pl-PL"/>
        </w:rPr>
        <w:t>,</w:t>
      </w:r>
      <w:r w:rsidR="00C36823" w:rsidRPr="005A6EF7">
        <w:rPr>
          <w:color w:val="000000"/>
          <w:szCs w:val="22"/>
          <w:lang w:val="lv-LV" w:eastAsia="pl-PL"/>
        </w:rPr>
        <w:t xml:space="preserve">26% </w:t>
      </w:r>
      <w:r w:rsidRPr="005A6EF7">
        <w:rPr>
          <w:color w:val="000000"/>
          <w:szCs w:val="22"/>
          <w:lang w:val="lv-LV" w:eastAsia="pl-PL"/>
        </w:rPr>
        <w:t>nātrija bikarbonātu</w:t>
      </w:r>
      <w:r w:rsidR="00C36823" w:rsidRPr="005A6EF7">
        <w:rPr>
          <w:color w:val="000000"/>
          <w:szCs w:val="22"/>
          <w:lang w:val="lv-LV" w:eastAsia="pl-PL"/>
        </w:rPr>
        <w:t xml:space="preserve">. </w:t>
      </w:r>
      <w:r w:rsidRPr="005A6EF7">
        <w:rPr>
          <w:color w:val="000000"/>
          <w:szCs w:val="22"/>
          <w:lang w:val="lv-LV" w:eastAsia="pl-PL"/>
        </w:rPr>
        <w:t>Jākontrolē urīna</w:t>
      </w:r>
      <w:r w:rsidR="00C36823" w:rsidRPr="005A6EF7">
        <w:rPr>
          <w:color w:val="000000"/>
          <w:szCs w:val="22"/>
          <w:lang w:val="lv-LV" w:eastAsia="pl-PL"/>
        </w:rPr>
        <w:t xml:space="preserve"> pH. </w:t>
      </w:r>
      <w:r w:rsidRPr="005A6EF7">
        <w:rPr>
          <w:color w:val="000000"/>
          <w:szCs w:val="22"/>
          <w:lang w:val="lv-LV" w:eastAsia="pl-PL"/>
        </w:rPr>
        <w:t>Metaboliskā acidoze jākoriģē intravenozi ievadot 8,</w:t>
      </w:r>
      <w:r w:rsidR="00C36823" w:rsidRPr="005A6EF7">
        <w:rPr>
          <w:color w:val="000000"/>
          <w:szCs w:val="22"/>
          <w:lang w:val="lv-LV" w:eastAsia="pl-PL"/>
        </w:rPr>
        <w:t xml:space="preserve">4% </w:t>
      </w:r>
      <w:r w:rsidRPr="005A6EF7">
        <w:rPr>
          <w:color w:val="000000"/>
          <w:szCs w:val="22"/>
          <w:lang w:val="lv-LV" w:eastAsia="pl-PL"/>
        </w:rPr>
        <w:t>nātrija bikarbonātu</w:t>
      </w:r>
      <w:r w:rsidR="00C36823" w:rsidRPr="005A6EF7">
        <w:rPr>
          <w:color w:val="000000"/>
          <w:szCs w:val="22"/>
          <w:lang w:val="lv-LV" w:eastAsia="pl-PL"/>
        </w:rPr>
        <w:t xml:space="preserve"> (</w:t>
      </w:r>
      <w:r w:rsidRPr="005A6EF7">
        <w:rPr>
          <w:color w:val="000000"/>
          <w:szCs w:val="22"/>
          <w:lang w:val="lv-LV" w:eastAsia="pl-PL"/>
        </w:rPr>
        <w:t>vispirms jāpārbauda kālija līmenis serumā</w:t>
      </w:r>
      <w:r w:rsidR="00C36823" w:rsidRPr="005A6EF7">
        <w:rPr>
          <w:color w:val="000000"/>
          <w:szCs w:val="22"/>
          <w:lang w:val="lv-LV" w:eastAsia="pl-PL"/>
        </w:rPr>
        <w:t>)</w:t>
      </w:r>
      <w:r w:rsidRPr="005A6EF7">
        <w:rPr>
          <w:color w:val="000000"/>
          <w:szCs w:val="22"/>
          <w:lang w:val="lv-LV" w:eastAsia="pl-PL"/>
        </w:rPr>
        <w:t>. Hipokaliēmija jākoriģē pirms nātrija bikarbonāta ievadīšanas, jo urīna alkalizācija būs mazāk efektīva, ja kālija plazmas līmenis būs zemāks par</w:t>
      </w:r>
      <w:r w:rsidR="00C36823" w:rsidRPr="005A6EF7">
        <w:rPr>
          <w:color w:val="000000"/>
          <w:szCs w:val="22"/>
          <w:lang w:val="lv-LV" w:eastAsia="pl-PL"/>
        </w:rPr>
        <w:t xml:space="preserve"> </w:t>
      </w:r>
      <w:r w:rsidRPr="005A6EF7">
        <w:rPr>
          <w:lang w:val="lv-LV"/>
        </w:rPr>
        <w:t>4,</w:t>
      </w:r>
      <w:r w:rsidR="00C36823" w:rsidRPr="005A6EF7">
        <w:rPr>
          <w:lang w:val="lv-LV"/>
        </w:rPr>
        <w:t>0 mmol/l</w:t>
      </w:r>
      <w:r w:rsidR="00C36823" w:rsidRPr="005A6EF7">
        <w:rPr>
          <w:color w:val="000000"/>
          <w:szCs w:val="22"/>
          <w:lang w:val="lv-LV" w:eastAsia="pl-PL"/>
        </w:rPr>
        <w:t xml:space="preserve">. </w:t>
      </w:r>
      <w:r w:rsidRPr="005A6EF7">
        <w:rPr>
          <w:color w:val="000000"/>
          <w:szCs w:val="22"/>
          <w:lang w:val="lv-LV" w:eastAsia="pl-PL"/>
        </w:rPr>
        <w:t>Forsēt</w:t>
      </w:r>
      <w:r w:rsidR="002F22BB">
        <w:rPr>
          <w:color w:val="000000"/>
          <w:szCs w:val="22"/>
          <w:lang w:val="lv-LV" w:eastAsia="pl-PL"/>
        </w:rPr>
        <w:t>ā</w:t>
      </w:r>
      <w:r w:rsidRPr="005A6EF7">
        <w:rPr>
          <w:color w:val="000000"/>
          <w:szCs w:val="22"/>
          <w:lang w:val="lv-LV" w:eastAsia="pl-PL"/>
        </w:rPr>
        <w:t xml:space="preserve"> diurēz</w:t>
      </w:r>
      <w:r w:rsidR="002F22BB">
        <w:rPr>
          <w:color w:val="000000"/>
          <w:szCs w:val="22"/>
          <w:lang w:val="lv-LV" w:eastAsia="pl-PL"/>
        </w:rPr>
        <w:t>e</w:t>
      </w:r>
      <w:r w:rsidRPr="005A6EF7">
        <w:rPr>
          <w:color w:val="000000"/>
          <w:szCs w:val="22"/>
          <w:lang w:val="lv-LV" w:eastAsia="pl-PL"/>
        </w:rPr>
        <w:t xml:space="preserve"> </w:t>
      </w:r>
      <w:r w:rsidR="002F22BB">
        <w:rPr>
          <w:color w:val="000000"/>
          <w:szCs w:val="22"/>
          <w:lang w:val="lv-LV" w:eastAsia="pl-PL"/>
        </w:rPr>
        <w:t>nav piemērota</w:t>
      </w:r>
      <w:r w:rsidRPr="005A6EF7">
        <w:rPr>
          <w:color w:val="000000"/>
          <w:szCs w:val="22"/>
          <w:lang w:val="lv-LV" w:eastAsia="pl-PL"/>
        </w:rPr>
        <w:t>, jo tā nepalielina salicilātu izvadīšanu un var izraisīt plaušu tūsku.</w:t>
      </w:r>
    </w:p>
    <w:p w14:paraId="2392220D" w14:textId="77777777" w:rsidR="00C36823" w:rsidRPr="005A6EF7" w:rsidRDefault="002F6BA3" w:rsidP="00C36823">
      <w:pPr>
        <w:rPr>
          <w:lang w:val="lv-LV"/>
        </w:rPr>
      </w:pPr>
      <w:r w:rsidRPr="005A6EF7">
        <w:rPr>
          <w:color w:val="000000"/>
          <w:szCs w:val="22"/>
          <w:lang w:val="lv-LV" w:eastAsia="pl-PL"/>
        </w:rPr>
        <w:t xml:space="preserve">Smagas saindēšanās gadījumā izvēles metode ir hemodialīze, tā jāapsver pacientiem ar plazmas salicilātu koncentrāciju </w:t>
      </w:r>
      <w:r w:rsidR="00C36823" w:rsidRPr="005A6EF7">
        <w:rPr>
          <w:color w:val="000000"/>
          <w:szCs w:val="22"/>
          <w:lang w:val="lv-LV" w:eastAsia="pl-PL"/>
        </w:rPr>
        <w:t>&gt;700 mg/l (5</w:t>
      </w:r>
      <w:r w:rsidRPr="005A6EF7">
        <w:rPr>
          <w:color w:val="000000"/>
          <w:szCs w:val="22"/>
          <w:lang w:val="lv-LV" w:eastAsia="pl-PL"/>
        </w:rPr>
        <w:t>,</w:t>
      </w:r>
      <w:r w:rsidR="00C36823" w:rsidRPr="005A6EF7">
        <w:rPr>
          <w:color w:val="000000"/>
          <w:szCs w:val="22"/>
          <w:lang w:val="lv-LV" w:eastAsia="pl-PL"/>
        </w:rPr>
        <w:t xml:space="preserve">1 mmol/l) </w:t>
      </w:r>
      <w:r w:rsidRPr="005A6EF7">
        <w:rPr>
          <w:color w:val="000000"/>
          <w:szCs w:val="22"/>
          <w:lang w:val="lv-LV" w:eastAsia="pl-PL"/>
        </w:rPr>
        <w:t>vai zemāku, ja ir smags klīniskais stāvoklis un metabolism</w:t>
      </w:r>
      <w:r w:rsidR="002F22BB">
        <w:rPr>
          <w:color w:val="000000"/>
          <w:szCs w:val="22"/>
          <w:lang w:val="lv-LV" w:eastAsia="pl-PL"/>
        </w:rPr>
        <w:t>a</w:t>
      </w:r>
      <w:r w:rsidRPr="005A6EF7">
        <w:rPr>
          <w:color w:val="000000"/>
          <w:szCs w:val="22"/>
          <w:lang w:val="lv-LV" w:eastAsia="pl-PL"/>
        </w:rPr>
        <w:t xml:space="preserve"> </w:t>
      </w:r>
      <w:r w:rsidR="00DB59EC">
        <w:rPr>
          <w:color w:val="000000"/>
          <w:szCs w:val="22"/>
          <w:lang w:val="lv-LV" w:eastAsia="pl-PL"/>
        </w:rPr>
        <w:t>traucējumi</w:t>
      </w:r>
      <w:r w:rsidRPr="005A6EF7">
        <w:rPr>
          <w:color w:val="000000"/>
          <w:szCs w:val="22"/>
          <w:lang w:val="lv-LV" w:eastAsia="pl-PL"/>
        </w:rPr>
        <w:t xml:space="preserve">. </w:t>
      </w:r>
      <w:r w:rsidR="00A32525" w:rsidRPr="005A6EF7">
        <w:rPr>
          <w:color w:val="000000"/>
          <w:szCs w:val="22"/>
          <w:lang w:val="lv-LV" w:eastAsia="pl-PL"/>
        </w:rPr>
        <w:t xml:space="preserve">Pacientiem, kas jaunāki par </w:t>
      </w:r>
      <w:r w:rsidR="00DB59EC">
        <w:rPr>
          <w:color w:val="000000"/>
          <w:szCs w:val="22"/>
          <w:lang w:val="lv-LV" w:eastAsia="pl-PL"/>
        </w:rPr>
        <w:t>10</w:t>
      </w:r>
      <w:r w:rsidR="00A32525" w:rsidRPr="005A6EF7">
        <w:rPr>
          <w:color w:val="000000"/>
          <w:szCs w:val="22"/>
          <w:lang w:val="lv-LV" w:eastAsia="pl-PL"/>
        </w:rPr>
        <w:t xml:space="preserve"> gadiem vai vecāki par 70 gadiem</w:t>
      </w:r>
      <w:r w:rsidR="002F22BB">
        <w:rPr>
          <w:color w:val="000000"/>
          <w:szCs w:val="22"/>
          <w:lang w:val="lv-LV" w:eastAsia="pl-PL"/>
        </w:rPr>
        <w:t>,</w:t>
      </w:r>
      <w:r w:rsidR="00A32525" w:rsidRPr="005A6EF7">
        <w:rPr>
          <w:color w:val="000000"/>
          <w:szCs w:val="22"/>
          <w:lang w:val="lv-LV" w:eastAsia="pl-PL"/>
        </w:rPr>
        <w:t xml:space="preserve"> ir paaugstināts salicilātu toksicitātes risks, viņiem hemodial</w:t>
      </w:r>
      <w:r w:rsidR="00DB59EC">
        <w:rPr>
          <w:color w:val="000000"/>
          <w:szCs w:val="22"/>
          <w:lang w:val="lv-LV" w:eastAsia="pl-PL"/>
        </w:rPr>
        <w:t>īze var būt nepieciešama agrāk.</w:t>
      </w:r>
    </w:p>
    <w:p w14:paraId="38310C56" w14:textId="77777777" w:rsidR="00017525" w:rsidRPr="005A6EF7" w:rsidRDefault="00017525">
      <w:pPr>
        <w:tabs>
          <w:tab w:val="clear" w:pos="567"/>
          <w:tab w:val="center" w:pos="4536"/>
        </w:tabs>
        <w:spacing w:line="240" w:lineRule="auto"/>
        <w:ind w:left="567" w:hanging="567"/>
        <w:rPr>
          <w:lang w:val="lv-LV"/>
        </w:rPr>
      </w:pPr>
    </w:p>
    <w:p w14:paraId="4CB3213F" w14:textId="77777777" w:rsidR="00017525" w:rsidRPr="005A6EF7" w:rsidRDefault="00017525">
      <w:pPr>
        <w:tabs>
          <w:tab w:val="clear" w:pos="567"/>
        </w:tabs>
        <w:spacing w:line="240" w:lineRule="auto"/>
        <w:ind w:left="567" w:hanging="567"/>
        <w:rPr>
          <w:lang w:val="lv-LV"/>
        </w:rPr>
      </w:pPr>
    </w:p>
    <w:p w14:paraId="0F0F5E35" w14:textId="718571E4" w:rsidR="00017525" w:rsidRPr="005A6EF7" w:rsidRDefault="004A50CF">
      <w:pPr>
        <w:tabs>
          <w:tab w:val="clear" w:pos="567"/>
        </w:tabs>
        <w:spacing w:line="240" w:lineRule="auto"/>
        <w:ind w:left="567" w:hanging="567"/>
        <w:rPr>
          <w:b/>
          <w:lang w:val="lv-LV"/>
        </w:rPr>
      </w:pPr>
      <w:r w:rsidRPr="005A6EF7">
        <w:rPr>
          <w:b/>
          <w:lang w:val="lv-LV"/>
        </w:rPr>
        <w:t>5.</w:t>
      </w:r>
      <w:r w:rsidRPr="005A6EF7">
        <w:rPr>
          <w:b/>
          <w:lang w:val="lv-LV"/>
        </w:rPr>
        <w:tab/>
        <w:t>FARMAKOLOĢISKĀS ĪPAŠĪBAS</w:t>
      </w:r>
    </w:p>
    <w:p w14:paraId="5B9DD571" w14:textId="77777777" w:rsidR="00017525" w:rsidRPr="005A6EF7" w:rsidRDefault="00017525">
      <w:pPr>
        <w:tabs>
          <w:tab w:val="clear" w:pos="567"/>
        </w:tabs>
        <w:spacing w:line="240" w:lineRule="auto"/>
        <w:ind w:left="567" w:hanging="567"/>
        <w:rPr>
          <w:lang w:val="lv-LV"/>
        </w:rPr>
      </w:pPr>
    </w:p>
    <w:p w14:paraId="5112471C" w14:textId="77777777" w:rsidR="00017525" w:rsidRPr="005A6EF7" w:rsidRDefault="004A50CF">
      <w:pPr>
        <w:tabs>
          <w:tab w:val="clear" w:pos="567"/>
        </w:tabs>
        <w:spacing w:line="240" w:lineRule="auto"/>
        <w:ind w:left="567" w:hanging="567"/>
        <w:rPr>
          <w:lang w:val="lv-LV"/>
        </w:rPr>
      </w:pPr>
      <w:r w:rsidRPr="005A6EF7">
        <w:rPr>
          <w:b/>
          <w:lang w:val="lv-LV"/>
        </w:rPr>
        <w:t>5.1</w:t>
      </w:r>
      <w:r w:rsidR="00243AC8" w:rsidRPr="005A6EF7">
        <w:rPr>
          <w:b/>
          <w:szCs w:val="22"/>
          <w:lang w:val="lv-LV"/>
        </w:rPr>
        <w:t>.</w:t>
      </w:r>
      <w:r w:rsidRPr="005A6EF7">
        <w:rPr>
          <w:b/>
          <w:lang w:val="lv-LV"/>
        </w:rPr>
        <w:tab/>
        <w:t>Farmakodinamiskās īpašības</w:t>
      </w:r>
    </w:p>
    <w:p w14:paraId="453EEF10" w14:textId="77777777" w:rsidR="00017525" w:rsidRPr="005A6EF7" w:rsidRDefault="00017525">
      <w:pPr>
        <w:spacing w:line="240" w:lineRule="auto"/>
        <w:ind w:left="567" w:hanging="567"/>
        <w:rPr>
          <w:lang w:val="lv-LV"/>
        </w:rPr>
      </w:pPr>
    </w:p>
    <w:p w14:paraId="1A661640" w14:textId="77777777" w:rsidR="00017525" w:rsidRPr="005A6EF7" w:rsidRDefault="004A50CF">
      <w:pPr>
        <w:tabs>
          <w:tab w:val="clear" w:pos="567"/>
        </w:tabs>
        <w:spacing w:line="240" w:lineRule="auto"/>
        <w:ind w:left="567" w:hanging="567"/>
        <w:rPr>
          <w:lang w:val="lv-LV"/>
        </w:rPr>
      </w:pPr>
      <w:r w:rsidRPr="005A6EF7">
        <w:rPr>
          <w:lang w:val="lv-LV"/>
        </w:rPr>
        <w:t xml:space="preserve">Farmakoterapeitiskā grupa: </w:t>
      </w:r>
      <w:r w:rsidR="001C04C2" w:rsidRPr="005A6EF7">
        <w:rPr>
          <w:lang w:val="lv-LV"/>
        </w:rPr>
        <w:t>trombocītu agregācijas inhibitori, izņemot heparīnu</w:t>
      </w:r>
      <w:r w:rsidRPr="005A6EF7">
        <w:rPr>
          <w:lang w:val="lv-LV"/>
        </w:rPr>
        <w:t xml:space="preserve"> ATĶ kods: </w:t>
      </w:r>
      <w:r w:rsidR="001C04C2" w:rsidRPr="005A6EF7">
        <w:rPr>
          <w:szCs w:val="22"/>
          <w:lang w:val="lv-LV"/>
        </w:rPr>
        <w:t>B01AC06</w:t>
      </w:r>
    </w:p>
    <w:p w14:paraId="59705C22" w14:textId="77777777" w:rsidR="00017525" w:rsidRPr="005A6EF7" w:rsidRDefault="00017525">
      <w:pPr>
        <w:spacing w:line="240" w:lineRule="auto"/>
        <w:ind w:left="567" w:hanging="567"/>
        <w:rPr>
          <w:lang w:val="lv-LV"/>
        </w:rPr>
      </w:pPr>
    </w:p>
    <w:p w14:paraId="468B57BF" w14:textId="7CA91BB5" w:rsidR="001C04C2" w:rsidRPr="005A6EF7" w:rsidRDefault="001C04C2" w:rsidP="001C04C2">
      <w:pPr>
        <w:tabs>
          <w:tab w:val="clear" w:pos="567"/>
          <w:tab w:val="left" w:pos="0"/>
        </w:tabs>
        <w:spacing w:line="240" w:lineRule="auto"/>
        <w:rPr>
          <w:lang w:val="lv-LV"/>
        </w:rPr>
      </w:pPr>
      <w:r w:rsidRPr="005A6EF7">
        <w:rPr>
          <w:lang w:val="lv-LV"/>
        </w:rPr>
        <w:t>Acetilsalicilskābe ir neatgriezenisks ciklooksigenāzes inhibitors, kas inhibē prostaglandīnu sintēzi no arahidonskābes. Šis darbības mehānisms ir atbildīgs par pretiekaisuma, pretdrudža un pretsāpju iedarbību.</w:t>
      </w:r>
    </w:p>
    <w:p w14:paraId="6AB21A98" w14:textId="77777777" w:rsidR="001C04C2" w:rsidRPr="005A6EF7" w:rsidRDefault="001C04C2" w:rsidP="001C04C2">
      <w:pPr>
        <w:tabs>
          <w:tab w:val="clear" w:pos="567"/>
        </w:tabs>
        <w:autoSpaceDE w:val="0"/>
        <w:autoSpaceDN w:val="0"/>
        <w:adjustRightInd w:val="0"/>
        <w:spacing w:line="240" w:lineRule="auto"/>
        <w:rPr>
          <w:color w:val="000000"/>
          <w:szCs w:val="22"/>
          <w:lang w:val="lv-LV" w:eastAsia="pl-PL"/>
        </w:rPr>
      </w:pPr>
    </w:p>
    <w:p w14:paraId="4DB31BC0" w14:textId="7E98E1C4" w:rsidR="007B639A" w:rsidRPr="005A6EF7" w:rsidRDefault="007B639A" w:rsidP="001C04C2">
      <w:pPr>
        <w:tabs>
          <w:tab w:val="clear" w:pos="567"/>
        </w:tabs>
        <w:autoSpaceDE w:val="0"/>
        <w:autoSpaceDN w:val="0"/>
        <w:adjustRightInd w:val="0"/>
        <w:spacing w:line="240" w:lineRule="auto"/>
        <w:rPr>
          <w:color w:val="000000"/>
          <w:szCs w:val="22"/>
          <w:lang w:val="lv-LV" w:eastAsia="pl-PL"/>
        </w:rPr>
      </w:pPr>
      <w:r w:rsidRPr="005A6EF7">
        <w:rPr>
          <w:color w:val="000000"/>
          <w:szCs w:val="22"/>
          <w:lang w:val="lv-LV" w:eastAsia="pl-PL"/>
        </w:rPr>
        <w:t xml:space="preserve">Visnozīmīgākā acetilsalicilskābes mazu devu </w:t>
      </w:r>
      <w:r w:rsidR="001C04C2" w:rsidRPr="005A6EF7">
        <w:rPr>
          <w:color w:val="000000"/>
          <w:szCs w:val="22"/>
          <w:lang w:val="lv-LV" w:eastAsia="pl-PL"/>
        </w:rPr>
        <w:t>75-150 mg</w:t>
      </w:r>
      <w:r w:rsidRPr="005A6EF7">
        <w:rPr>
          <w:color w:val="000000"/>
          <w:szCs w:val="22"/>
          <w:lang w:val="lv-LV" w:eastAsia="pl-PL"/>
        </w:rPr>
        <w:t xml:space="preserve"> iedarbība ir tromboksāna A2 sintēzes inhibīcija. Tā ir viela, kas pastiprina trombocītu agregāciju un izraisa asinsvadu nosprostošanos. Trombocītu ciklooksigenāzes inhibīcija samazina to agregācijas spēju.</w:t>
      </w:r>
      <w:r w:rsidR="00DB59EC">
        <w:rPr>
          <w:color w:val="000000"/>
          <w:szCs w:val="22"/>
          <w:lang w:val="lv-LV" w:eastAsia="pl-PL"/>
        </w:rPr>
        <w:t xml:space="preserve"> Trombocītu agregācija ir pamat</w:t>
      </w:r>
      <w:r w:rsidRPr="005A6EF7">
        <w:rPr>
          <w:color w:val="000000"/>
          <w:szCs w:val="22"/>
          <w:lang w:val="lv-LV" w:eastAsia="pl-PL"/>
        </w:rPr>
        <w:t xml:space="preserve">process, kas nosaka pakāpenisku koronāro asinsvadu sašaurināšanos sirds išēmiskās slimības gadījumā. Trombocītu agergāta palielināšanās aterosklerotiski izmainītos asinsvadu segmentos veido </w:t>
      </w:r>
      <w:r w:rsidRPr="005A6EF7">
        <w:rPr>
          <w:color w:val="000000"/>
          <w:szCs w:val="22"/>
          <w:lang w:val="lv-LV" w:eastAsia="pl-PL"/>
        </w:rPr>
        <w:lastRenderedPageBreak/>
        <w:t xml:space="preserve">trombu, pakāpeniski pasliktinot miokarda apasiņošanu, kamēr rodas miokarda infarkts. Vairāku kontrolētu pētījumu rezultāti liecina, ka optimāla trombocītu ciklooksigenāzes </w:t>
      </w:r>
      <w:r w:rsidR="00185E06" w:rsidRPr="005A6EF7">
        <w:rPr>
          <w:color w:val="000000"/>
          <w:szCs w:val="22"/>
          <w:lang w:val="lv-LV" w:eastAsia="pl-PL"/>
        </w:rPr>
        <w:t xml:space="preserve">inhibēšana, salīdzinot ar asinsvadiem, var tikt sasniegta, lietojot mazas acetilsalicilskābes devas, no 40 mg līdz 150 mg dienā. Uzskata, ka </w:t>
      </w:r>
      <w:r w:rsidR="002F22BB">
        <w:rPr>
          <w:color w:val="000000"/>
          <w:szCs w:val="22"/>
          <w:lang w:val="lv-LV" w:eastAsia="pl-PL"/>
        </w:rPr>
        <w:t xml:space="preserve">acetilsalicilskābes </w:t>
      </w:r>
      <w:r w:rsidR="002F22BB" w:rsidRPr="005A6EF7">
        <w:rPr>
          <w:color w:val="000000"/>
          <w:szCs w:val="22"/>
          <w:lang w:val="lv-LV" w:eastAsia="pl-PL"/>
        </w:rPr>
        <w:t xml:space="preserve">mazas devas </w:t>
      </w:r>
      <w:r w:rsidR="00DB59EC">
        <w:rPr>
          <w:color w:val="000000"/>
          <w:szCs w:val="22"/>
          <w:lang w:val="lv-LV" w:eastAsia="pl-PL"/>
        </w:rPr>
        <w:t>zarnās šķīstošas</w:t>
      </w:r>
      <w:r w:rsidR="00185E06" w:rsidRPr="005A6EF7">
        <w:rPr>
          <w:color w:val="000000"/>
          <w:szCs w:val="22"/>
          <w:lang w:val="lv-LV" w:eastAsia="pl-PL"/>
        </w:rPr>
        <w:t xml:space="preserve"> tabletes veidā, kas novērš aktīvās vielas izdalīšanos kuņģī, portālajā asinsritē rada pietiekami augstu koncentrāciju, lai inhibētu trombocītu ciklooksigenāzi</w:t>
      </w:r>
      <w:r w:rsidR="00DB59EC">
        <w:rPr>
          <w:color w:val="000000"/>
          <w:szCs w:val="22"/>
          <w:lang w:val="lv-LV" w:eastAsia="pl-PL"/>
        </w:rPr>
        <w:t>,</w:t>
      </w:r>
      <w:r w:rsidR="00185E06" w:rsidRPr="005A6EF7">
        <w:rPr>
          <w:color w:val="000000"/>
          <w:szCs w:val="22"/>
          <w:lang w:val="lv-LV" w:eastAsia="pl-PL"/>
        </w:rPr>
        <w:t xml:space="preserve"> un zema koncentrācija perifērajā asinsritē pasargā no pārāk spēcīgas prostaciklīna sintēzes inhibīcijas asinsvadu sienās un blakusparādībām.</w:t>
      </w:r>
    </w:p>
    <w:p w14:paraId="6B3C691E" w14:textId="77777777" w:rsidR="007B639A" w:rsidRPr="005A6EF7" w:rsidRDefault="007B639A" w:rsidP="001C04C2">
      <w:pPr>
        <w:tabs>
          <w:tab w:val="clear" w:pos="567"/>
        </w:tabs>
        <w:autoSpaceDE w:val="0"/>
        <w:autoSpaceDN w:val="0"/>
        <w:adjustRightInd w:val="0"/>
        <w:spacing w:line="240" w:lineRule="auto"/>
        <w:rPr>
          <w:color w:val="000000"/>
          <w:szCs w:val="22"/>
          <w:lang w:val="lv-LV" w:eastAsia="pl-PL"/>
        </w:rPr>
      </w:pPr>
    </w:p>
    <w:p w14:paraId="079991F9" w14:textId="4A1A1583" w:rsidR="001C04C2" w:rsidRPr="005A6EF7" w:rsidRDefault="00185E06" w:rsidP="001C04C2">
      <w:pPr>
        <w:spacing w:line="240" w:lineRule="auto"/>
        <w:jc w:val="both"/>
        <w:rPr>
          <w:bCs/>
          <w:iCs/>
          <w:szCs w:val="22"/>
          <w:lang w:val="lv-LV"/>
        </w:rPr>
      </w:pPr>
      <w:r w:rsidRPr="005A6EF7">
        <w:rPr>
          <w:color w:val="000000"/>
          <w:szCs w:val="22"/>
          <w:lang w:val="lv-LV" w:eastAsia="pl-PL"/>
        </w:rPr>
        <w:t>Tāpēc ma</w:t>
      </w:r>
      <w:r w:rsidR="00101C6A" w:rsidRPr="005A6EF7">
        <w:rPr>
          <w:color w:val="000000"/>
          <w:szCs w:val="22"/>
          <w:lang w:val="lv-LV" w:eastAsia="pl-PL"/>
        </w:rPr>
        <w:t>zu</w:t>
      </w:r>
      <w:r w:rsidRPr="005A6EF7">
        <w:rPr>
          <w:color w:val="000000"/>
          <w:szCs w:val="22"/>
          <w:lang w:val="lv-LV" w:eastAsia="pl-PL"/>
        </w:rPr>
        <w:t xml:space="preserve"> acetilsalicilskābe</w:t>
      </w:r>
      <w:r w:rsidR="00101C6A" w:rsidRPr="005A6EF7">
        <w:rPr>
          <w:color w:val="000000"/>
          <w:szCs w:val="22"/>
          <w:lang w:val="lv-LV" w:eastAsia="pl-PL"/>
        </w:rPr>
        <w:t>s devu iedarbība var būt daudz efektīvāka nekā lielu devu iedarbība, tai pat laikā izraisot mazāk blakusparādību.</w:t>
      </w:r>
    </w:p>
    <w:p w14:paraId="2981AA7E" w14:textId="77777777" w:rsidR="001C04C2" w:rsidRPr="005A6EF7" w:rsidRDefault="001C04C2" w:rsidP="001C04C2">
      <w:pPr>
        <w:rPr>
          <w:lang w:val="lv-LV"/>
        </w:rPr>
      </w:pPr>
    </w:p>
    <w:p w14:paraId="6E765D9E" w14:textId="77777777" w:rsidR="001C04C2" w:rsidRPr="005A6EF7" w:rsidRDefault="00DB59EC" w:rsidP="001C04C2">
      <w:pPr>
        <w:rPr>
          <w:lang w:val="lv-LV"/>
        </w:rPr>
      </w:pPr>
      <w:r>
        <w:rPr>
          <w:lang w:val="lv-LV"/>
        </w:rPr>
        <w:t>Eksperimentālie dati liecina</w:t>
      </w:r>
      <w:r w:rsidR="00101C6A" w:rsidRPr="005A6EF7">
        <w:rPr>
          <w:lang w:val="lv-LV"/>
        </w:rPr>
        <w:t xml:space="preserve">, ka ibuprofēns, lietojot vienlaicīgi, var inhibēt mazu acetilsalicilskābes devu iedarbību uz trombocītu agregāciju. Vienā pētījumā, lietojot vienu 400 mg ibuprofēna devu 8 stundas pirms vai 30 minūtes pēc ātras darbības acetilsalicilskābes devas </w:t>
      </w:r>
      <w:r w:rsidR="001C04C2" w:rsidRPr="005A6EF7">
        <w:rPr>
          <w:szCs w:val="22"/>
          <w:lang w:val="lv-LV"/>
        </w:rPr>
        <w:t xml:space="preserve">(81 mg), </w:t>
      </w:r>
      <w:r w:rsidR="00101C6A" w:rsidRPr="005A6EF7">
        <w:rPr>
          <w:szCs w:val="22"/>
          <w:lang w:val="lv-LV"/>
        </w:rPr>
        <w:t xml:space="preserve">samazinājās </w:t>
      </w:r>
      <w:r>
        <w:rPr>
          <w:szCs w:val="22"/>
          <w:lang w:val="lv-LV"/>
        </w:rPr>
        <w:t>ASS</w:t>
      </w:r>
      <w:r w:rsidR="001C04C2" w:rsidRPr="005A6EF7">
        <w:rPr>
          <w:szCs w:val="22"/>
          <w:lang w:val="lv-LV"/>
        </w:rPr>
        <w:t xml:space="preserve"> </w:t>
      </w:r>
      <w:r w:rsidR="00101C6A" w:rsidRPr="005A6EF7">
        <w:rPr>
          <w:szCs w:val="22"/>
          <w:lang w:val="lv-LV"/>
        </w:rPr>
        <w:t xml:space="preserve">iedarbība uz tromboksāna veidošanos vai trombocītu agregāciju. </w:t>
      </w:r>
      <w:r w:rsidR="00542A89" w:rsidRPr="005A6EF7">
        <w:rPr>
          <w:color w:val="000000"/>
          <w:szCs w:val="22"/>
          <w:lang w:val="lv-LV" w:eastAsia="pl-PL"/>
        </w:rPr>
        <w:t>Tomēr šo datu ierobež</w:t>
      </w:r>
      <w:r w:rsidR="0053027E">
        <w:rPr>
          <w:color w:val="000000"/>
          <w:szCs w:val="22"/>
          <w:lang w:val="lv-LV" w:eastAsia="pl-PL"/>
        </w:rPr>
        <w:t>ots skaits</w:t>
      </w:r>
      <w:r w:rsidR="00542A89" w:rsidRPr="005A6EF7">
        <w:rPr>
          <w:color w:val="000000"/>
          <w:szCs w:val="22"/>
          <w:lang w:val="lv-LV" w:eastAsia="pl-PL"/>
        </w:rPr>
        <w:t xml:space="preserve"> un </w:t>
      </w:r>
      <w:r w:rsidR="0053027E" w:rsidRPr="005A6EF7">
        <w:rPr>
          <w:color w:val="000000"/>
          <w:szCs w:val="22"/>
          <w:lang w:val="lv-LV" w:eastAsia="pl-PL"/>
        </w:rPr>
        <w:t>ne</w:t>
      </w:r>
      <w:r w:rsidR="0053027E">
        <w:rPr>
          <w:color w:val="000000"/>
          <w:szCs w:val="22"/>
          <w:lang w:val="lv-LV" w:eastAsia="pl-PL"/>
        </w:rPr>
        <w:t>skaidrība</w:t>
      </w:r>
      <w:r w:rsidR="00542A89" w:rsidRPr="005A6EF7">
        <w:rPr>
          <w:color w:val="000000"/>
          <w:szCs w:val="22"/>
          <w:lang w:val="lv-LV" w:eastAsia="pl-PL"/>
        </w:rPr>
        <w:t xml:space="preserve">, kas saistīta ar </w:t>
      </w:r>
      <w:r w:rsidR="00542A89" w:rsidRPr="005A6EF7">
        <w:rPr>
          <w:i/>
          <w:color w:val="000000"/>
          <w:szCs w:val="22"/>
          <w:lang w:val="lv-LV" w:eastAsia="pl-PL"/>
        </w:rPr>
        <w:t>ex vivo</w:t>
      </w:r>
      <w:r w:rsidR="00542A89" w:rsidRPr="005A6EF7">
        <w:rPr>
          <w:color w:val="000000"/>
          <w:szCs w:val="22"/>
          <w:lang w:val="lv-LV" w:eastAsia="pl-PL"/>
        </w:rPr>
        <w:t xml:space="preserve"> datu ekstrapolēšanu uz klīniskām situācijām, nozīmē, ka nevar izdarīt pārliecinošus secinājumus par regulāru ibuprofēna lietošanu, un </w:t>
      </w:r>
      <w:r w:rsidR="00D34D90">
        <w:rPr>
          <w:color w:val="000000"/>
          <w:szCs w:val="22"/>
          <w:lang w:val="lv-LV" w:eastAsia="pl-PL"/>
        </w:rPr>
        <w:t>maz ticam</w:t>
      </w:r>
      <w:r w:rsidR="00246D60">
        <w:rPr>
          <w:color w:val="000000"/>
          <w:szCs w:val="22"/>
          <w:lang w:val="lv-LV" w:eastAsia="pl-PL"/>
        </w:rPr>
        <w:t xml:space="preserve">a </w:t>
      </w:r>
      <w:r w:rsidR="00542A89" w:rsidRPr="005A6EF7">
        <w:rPr>
          <w:color w:val="000000"/>
          <w:szCs w:val="22"/>
          <w:lang w:val="lv-LV" w:eastAsia="pl-PL"/>
        </w:rPr>
        <w:t xml:space="preserve"> klīniski nozīmīg</w:t>
      </w:r>
      <w:r>
        <w:rPr>
          <w:color w:val="000000"/>
          <w:szCs w:val="22"/>
          <w:lang w:val="lv-LV" w:eastAsia="pl-PL"/>
        </w:rPr>
        <w:t>a ietekme</w:t>
      </w:r>
      <w:r w:rsidR="00542A89" w:rsidRPr="005A6EF7">
        <w:rPr>
          <w:color w:val="000000"/>
          <w:szCs w:val="22"/>
          <w:lang w:val="lv-LV" w:eastAsia="pl-PL"/>
        </w:rPr>
        <w:t>, lietojot ibuprofēnu neregulāri</w:t>
      </w:r>
      <w:r w:rsidR="00542A89" w:rsidRPr="005A6EF7">
        <w:rPr>
          <w:szCs w:val="22"/>
          <w:lang w:val="lv-LV"/>
        </w:rPr>
        <w:t>.</w:t>
      </w:r>
    </w:p>
    <w:p w14:paraId="4DF258EE" w14:textId="77777777" w:rsidR="00017525" w:rsidRPr="005A6EF7" w:rsidRDefault="00017525" w:rsidP="00542A89">
      <w:pPr>
        <w:tabs>
          <w:tab w:val="clear" w:pos="567"/>
        </w:tabs>
        <w:spacing w:line="240" w:lineRule="auto"/>
        <w:rPr>
          <w:lang w:val="lv-LV"/>
        </w:rPr>
      </w:pPr>
    </w:p>
    <w:p w14:paraId="654A76E7" w14:textId="77777777" w:rsidR="00680E81" w:rsidRPr="005A6EF7" w:rsidRDefault="00F34762" w:rsidP="00657D6A">
      <w:pPr>
        <w:tabs>
          <w:tab w:val="clear" w:pos="567"/>
        </w:tabs>
        <w:spacing w:line="240" w:lineRule="auto"/>
        <w:rPr>
          <w:b/>
          <w:lang w:val="lv-LV"/>
        </w:rPr>
      </w:pPr>
      <w:r w:rsidRPr="005A6EF7">
        <w:rPr>
          <w:b/>
          <w:szCs w:val="22"/>
          <w:lang w:val="lv-LV"/>
        </w:rPr>
        <w:t>5.2.</w:t>
      </w:r>
      <w:r w:rsidR="00CE5FB6" w:rsidRPr="005A6EF7">
        <w:rPr>
          <w:b/>
          <w:szCs w:val="22"/>
          <w:lang w:val="lv-LV"/>
        </w:rPr>
        <w:tab/>
      </w:r>
      <w:r w:rsidR="004A50CF" w:rsidRPr="005A6EF7">
        <w:rPr>
          <w:b/>
          <w:lang w:val="lv-LV"/>
        </w:rPr>
        <w:t>Farmakokinētiskās īpašības</w:t>
      </w:r>
    </w:p>
    <w:p w14:paraId="74C070F4" w14:textId="77777777" w:rsidR="00017525" w:rsidRPr="00631E52" w:rsidRDefault="00017525" w:rsidP="00631E52">
      <w:pPr>
        <w:tabs>
          <w:tab w:val="clear" w:pos="567"/>
        </w:tabs>
        <w:spacing w:line="240" w:lineRule="auto"/>
        <w:rPr>
          <w:bCs/>
          <w:lang w:val="lv-LV"/>
        </w:rPr>
      </w:pPr>
    </w:p>
    <w:p w14:paraId="15BA3635" w14:textId="65B81F6D" w:rsidR="00542A89" w:rsidRPr="005A6EF7" w:rsidRDefault="00542A89" w:rsidP="00542A89">
      <w:pPr>
        <w:pStyle w:val="Default"/>
        <w:rPr>
          <w:sz w:val="22"/>
          <w:szCs w:val="22"/>
          <w:u w:val="single"/>
          <w:lang w:val="lv-LV"/>
        </w:rPr>
      </w:pPr>
      <w:r w:rsidRPr="005A6EF7">
        <w:rPr>
          <w:iCs/>
          <w:sz w:val="22"/>
          <w:szCs w:val="22"/>
          <w:u w:val="single"/>
          <w:lang w:val="lv-LV"/>
        </w:rPr>
        <w:t>Uzsūkšanās</w:t>
      </w:r>
    </w:p>
    <w:p w14:paraId="23BE4295" w14:textId="639A7475" w:rsidR="00542A89" w:rsidRPr="005A6EF7" w:rsidRDefault="00542A89" w:rsidP="00542A89">
      <w:pPr>
        <w:pStyle w:val="Default"/>
        <w:rPr>
          <w:sz w:val="22"/>
          <w:szCs w:val="22"/>
          <w:lang w:val="lv-LV"/>
        </w:rPr>
      </w:pPr>
      <w:r w:rsidRPr="005A6EF7">
        <w:rPr>
          <w:sz w:val="22"/>
          <w:szCs w:val="22"/>
          <w:lang w:val="lv-LV"/>
        </w:rPr>
        <w:t xml:space="preserve">Acetilsalicilskābes uzsūkšanās no </w:t>
      </w:r>
      <w:r w:rsidR="00DB59EC">
        <w:rPr>
          <w:sz w:val="22"/>
          <w:szCs w:val="22"/>
          <w:lang w:val="lv-LV"/>
        </w:rPr>
        <w:t>zarnās šķīstošām</w:t>
      </w:r>
      <w:r w:rsidRPr="005A6EF7">
        <w:rPr>
          <w:sz w:val="22"/>
          <w:szCs w:val="22"/>
          <w:lang w:val="lv-LV"/>
        </w:rPr>
        <w:t xml:space="preserve"> tabletēm atšķiras no tradicionālajām zāļu formām. Tā sākas 3-6 stundas pēc zāļu lietošanas. Tas pierāda, ka apvalk</w:t>
      </w:r>
      <w:r w:rsidR="00165F08">
        <w:rPr>
          <w:sz w:val="22"/>
          <w:szCs w:val="22"/>
          <w:lang w:val="lv-LV"/>
        </w:rPr>
        <w:t>s</w:t>
      </w:r>
      <w:r w:rsidRPr="005A6EF7">
        <w:rPr>
          <w:sz w:val="22"/>
          <w:szCs w:val="22"/>
          <w:lang w:val="lv-LV"/>
        </w:rPr>
        <w:t xml:space="preserve"> efektīvi novērš tablet</w:t>
      </w:r>
      <w:r w:rsidR="00165F08">
        <w:rPr>
          <w:sz w:val="22"/>
          <w:szCs w:val="22"/>
          <w:lang w:val="lv-LV"/>
        </w:rPr>
        <w:t>e</w:t>
      </w:r>
      <w:r w:rsidRPr="005A6EF7">
        <w:rPr>
          <w:sz w:val="22"/>
          <w:szCs w:val="22"/>
          <w:lang w:val="lv-LV"/>
        </w:rPr>
        <w:t>s sadalīšanos kuņģī.</w:t>
      </w:r>
    </w:p>
    <w:p w14:paraId="550D11DD" w14:textId="77777777" w:rsidR="00542A89" w:rsidRPr="005A6EF7" w:rsidRDefault="00542A89" w:rsidP="00542A89">
      <w:pPr>
        <w:pStyle w:val="Default"/>
        <w:rPr>
          <w:sz w:val="22"/>
          <w:szCs w:val="22"/>
          <w:lang w:val="lv-LV"/>
        </w:rPr>
      </w:pPr>
      <w:r w:rsidRPr="005A6EF7">
        <w:rPr>
          <w:sz w:val="22"/>
          <w:szCs w:val="22"/>
          <w:lang w:val="lv-LV"/>
        </w:rPr>
        <w:t xml:space="preserve">Maksimālā plazmas koncentrācija tiek sasniegta apmēram pēc 6 stundām un ir apmēram 12,7 μg/ml 150 mg </w:t>
      </w:r>
      <w:r w:rsidR="00DB59EC">
        <w:rPr>
          <w:iCs/>
          <w:sz w:val="22"/>
          <w:szCs w:val="22"/>
          <w:lang w:val="lv-LV"/>
        </w:rPr>
        <w:t>zarnās šķīstošai</w:t>
      </w:r>
      <w:r w:rsidRPr="005A6EF7">
        <w:rPr>
          <w:iCs/>
          <w:sz w:val="22"/>
          <w:szCs w:val="22"/>
          <w:lang w:val="lv-LV"/>
        </w:rPr>
        <w:t xml:space="preserve"> tabletei un</w:t>
      </w:r>
      <w:r w:rsidRPr="005A6EF7">
        <w:rPr>
          <w:sz w:val="22"/>
          <w:szCs w:val="22"/>
          <w:lang w:val="lv-LV"/>
        </w:rPr>
        <w:t xml:space="preserve"> 6,72 μg/ml 75 mg </w:t>
      </w:r>
      <w:r w:rsidR="00DB59EC">
        <w:rPr>
          <w:iCs/>
          <w:sz w:val="22"/>
          <w:szCs w:val="22"/>
          <w:lang w:val="lv-LV"/>
        </w:rPr>
        <w:t>zarnās šķīstošai</w:t>
      </w:r>
      <w:r w:rsidR="00DB59EC" w:rsidRPr="005A6EF7">
        <w:rPr>
          <w:iCs/>
          <w:sz w:val="22"/>
          <w:szCs w:val="22"/>
          <w:lang w:val="lv-LV"/>
        </w:rPr>
        <w:t xml:space="preserve"> </w:t>
      </w:r>
      <w:r w:rsidRPr="005A6EF7">
        <w:rPr>
          <w:iCs/>
          <w:sz w:val="22"/>
          <w:szCs w:val="22"/>
          <w:lang w:val="lv-LV"/>
        </w:rPr>
        <w:t>tabletei.</w:t>
      </w:r>
    </w:p>
    <w:p w14:paraId="71732CEA" w14:textId="3772A0DE" w:rsidR="00DB59EC" w:rsidRDefault="00542A89" w:rsidP="00542A89">
      <w:pPr>
        <w:pStyle w:val="Default"/>
        <w:rPr>
          <w:sz w:val="22"/>
          <w:szCs w:val="22"/>
          <w:lang w:val="lv-LV"/>
        </w:rPr>
      </w:pPr>
      <w:r w:rsidRPr="005A6EF7">
        <w:rPr>
          <w:sz w:val="22"/>
          <w:szCs w:val="22"/>
          <w:lang w:val="lv-LV"/>
        </w:rPr>
        <w:t>Ēdiens kuņģa un zarnu traktā aizkavē uzsūkšanos, bet nesamazina acetilsalicil</w:t>
      </w:r>
      <w:r w:rsidR="00DB59EC">
        <w:rPr>
          <w:sz w:val="22"/>
          <w:szCs w:val="22"/>
          <w:lang w:val="lv-LV"/>
        </w:rPr>
        <w:t>skābes biopieejamību.</w:t>
      </w:r>
    </w:p>
    <w:p w14:paraId="6A8F00D8" w14:textId="77777777" w:rsidR="00542A89" w:rsidRPr="005A6EF7" w:rsidRDefault="00DB59EC" w:rsidP="00542A89">
      <w:pPr>
        <w:pStyle w:val="Default"/>
        <w:rPr>
          <w:sz w:val="22"/>
          <w:szCs w:val="22"/>
          <w:lang w:val="lv-LV"/>
        </w:rPr>
      </w:pPr>
      <w:r>
        <w:rPr>
          <w:sz w:val="22"/>
          <w:szCs w:val="22"/>
          <w:lang w:val="lv-LV"/>
        </w:rPr>
        <w:t>80-100%</w:t>
      </w:r>
      <w:r w:rsidR="00542A89" w:rsidRPr="005A6EF7">
        <w:rPr>
          <w:sz w:val="22"/>
          <w:szCs w:val="22"/>
          <w:lang w:val="lv-LV"/>
        </w:rPr>
        <w:t xml:space="preserve"> lietotās acetilsalicilskābes devas uzsūcas kuņģa</w:t>
      </w:r>
      <w:r>
        <w:rPr>
          <w:sz w:val="22"/>
          <w:szCs w:val="22"/>
          <w:lang w:val="lv-LV"/>
        </w:rPr>
        <w:t>-</w:t>
      </w:r>
      <w:r w:rsidR="00542A89" w:rsidRPr="005A6EF7">
        <w:rPr>
          <w:sz w:val="22"/>
          <w:szCs w:val="22"/>
          <w:lang w:val="lv-LV"/>
        </w:rPr>
        <w:t>zarnu traktā.</w:t>
      </w:r>
    </w:p>
    <w:p w14:paraId="0B2057C8" w14:textId="77777777" w:rsidR="00542A89" w:rsidRPr="005A6EF7" w:rsidRDefault="00542A89" w:rsidP="00542A89">
      <w:pPr>
        <w:pStyle w:val="Default"/>
        <w:rPr>
          <w:i/>
          <w:iCs/>
          <w:sz w:val="22"/>
          <w:szCs w:val="22"/>
          <w:lang w:val="lv-LV"/>
        </w:rPr>
      </w:pPr>
    </w:p>
    <w:p w14:paraId="72D44A0D" w14:textId="439241DC" w:rsidR="00542A89" w:rsidRPr="005A6EF7" w:rsidRDefault="00542A89" w:rsidP="00542A89">
      <w:pPr>
        <w:pStyle w:val="Default"/>
        <w:rPr>
          <w:sz w:val="22"/>
          <w:szCs w:val="22"/>
          <w:u w:val="single"/>
          <w:lang w:val="lv-LV"/>
        </w:rPr>
      </w:pPr>
      <w:r w:rsidRPr="005A6EF7">
        <w:rPr>
          <w:iCs/>
          <w:sz w:val="22"/>
          <w:szCs w:val="22"/>
          <w:u w:val="single"/>
          <w:lang w:val="lv-LV"/>
        </w:rPr>
        <w:t>Izkliede</w:t>
      </w:r>
    </w:p>
    <w:p w14:paraId="5529CFFB" w14:textId="5CF56D43" w:rsidR="001C65E5" w:rsidRPr="005A6EF7" w:rsidRDefault="00542A89" w:rsidP="00542A89">
      <w:pPr>
        <w:pStyle w:val="Default"/>
        <w:rPr>
          <w:sz w:val="22"/>
          <w:szCs w:val="22"/>
          <w:lang w:val="lv-LV"/>
        </w:rPr>
      </w:pPr>
      <w:r w:rsidRPr="005A6EF7">
        <w:rPr>
          <w:sz w:val="22"/>
          <w:szCs w:val="22"/>
          <w:lang w:val="lv-LV"/>
        </w:rPr>
        <w:t xml:space="preserve">Acetilsalicilskābe ātri un plaši izkliedējas audos un ķermeņa šķidrumos. </w:t>
      </w:r>
      <w:r w:rsidR="001C65E5" w:rsidRPr="005A6EF7">
        <w:rPr>
          <w:sz w:val="22"/>
          <w:szCs w:val="22"/>
          <w:lang w:val="lv-LV"/>
        </w:rPr>
        <w:t xml:space="preserve">Relatīvais izkliedes tilpums ir apmēram </w:t>
      </w:r>
      <w:r w:rsidRPr="005A6EF7">
        <w:rPr>
          <w:sz w:val="22"/>
          <w:szCs w:val="22"/>
          <w:lang w:val="lv-LV"/>
        </w:rPr>
        <w:t>0</w:t>
      </w:r>
      <w:r w:rsidR="001C65E5" w:rsidRPr="005A6EF7">
        <w:rPr>
          <w:sz w:val="22"/>
          <w:szCs w:val="22"/>
          <w:lang w:val="lv-LV"/>
        </w:rPr>
        <w:t>,</w:t>
      </w:r>
      <w:r w:rsidRPr="005A6EF7">
        <w:rPr>
          <w:sz w:val="22"/>
          <w:szCs w:val="22"/>
          <w:lang w:val="lv-LV"/>
        </w:rPr>
        <w:t>15-0</w:t>
      </w:r>
      <w:r w:rsidR="001C65E5" w:rsidRPr="005A6EF7">
        <w:rPr>
          <w:sz w:val="22"/>
          <w:szCs w:val="22"/>
          <w:lang w:val="lv-LV"/>
        </w:rPr>
        <w:t>,</w:t>
      </w:r>
      <w:r w:rsidRPr="005A6EF7">
        <w:rPr>
          <w:sz w:val="22"/>
          <w:szCs w:val="22"/>
          <w:lang w:val="lv-LV"/>
        </w:rPr>
        <w:t>2 l/kg</w:t>
      </w:r>
      <w:r w:rsidR="00165F08">
        <w:rPr>
          <w:sz w:val="22"/>
          <w:szCs w:val="22"/>
          <w:lang w:val="lv-LV"/>
        </w:rPr>
        <w:t>; tas palielinās</w:t>
      </w:r>
      <w:r w:rsidR="001C65E5" w:rsidRPr="005A6EF7">
        <w:rPr>
          <w:sz w:val="22"/>
          <w:szCs w:val="22"/>
          <w:lang w:val="lv-LV"/>
        </w:rPr>
        <w:t xml:space="preserve"> proporcionāli zāļu koncentrācijai serumā.</w:t>
      </w:r>
    </w:p>
    <w:p w14:paraId="401CA261" w14:textId="5A4B352A" w:rsidR="00542A89" w:rsidRPr="005A6EF7" w:rsidRDefault="00542A89" w:rsidP="00542A89">
      <w:pPr>
        <w:pStyle w:val="Default"/>
        <w:rPr>
          <w:sz w:val="22"/>
          <w:szCs w:val="22"/>
          <w:lang w:val="lv-LV"/>
        </w:rPr>
      </w:pPr>
      <w:r w:rsidRPr="005A6EF7">
        <w:rPr>
          <w:sz w:val="22"/>
          <w:szCs w:val="22"/>
          <w:lang w:val="lv-LV"/>
        </w:rPr>
        <w:t>Ap</w:t>
      </w:r>
      <w:r w:rsidR="001C65E5" w:rsidRPr="005A6EF7">
        <w:rPr>
          <w:sz w:val="22"/>
          <w:szCs w:val="22"/>
          <w:lang w:val="lv-LV"/>
        </w:rPr>
        <w:t xml:space="preserve">mēram </w:t>
      </w:r>
      <w:r w:rsidRPr="005A6EF7">
        <w:rPr>
          <w:sz w:val="22"/>
          <w:szCs w:val="22"/>
          <w:lang w:val="lv-LV"/>
        </w:rPr>
        <w:t xml:space="preserve">33% </w:t>
      </w:r>
      <w:r w:rsidR="001C65E5" w:rsidRPr="005A6EF7">
        <w:rPr>
          <w:sz w:val="22"/>
          <w:szCs w:val="22"/>
          <w:lang w:val="lv-LV"/>
        </w:rPr>
        <w:t xml:space="preserve">zāļu saistās ar palzmas olbaltumvielām pie seruma koncentrācijas </w:t>
      </w:r>
      <w:r w:rsidRPr="005A6EF7">
        <w:rPr>
          <w:sz w:val="22"/>
          <w:szCs w:val="22"/>
          <w:lang w:val="lv-LV"/>
        </w:rPr>
        <w:t>120 μg/ml.</w:t>
      </w:r>
      <w:r w:rsidR="001C65E5" w:rsidRPr="005A6EF7">
        <w:rPr>
          <w:sz w:val="22"/>
          <w:szCs w:val="22"/>
          <w:lang w:val="lv-LV"/>
        </w:rPr>
        <w:t xml:space="preserve"> Zāļu saistīšanās apjoms ar proteīniem ir atkarīgs no albumīna koncentrācijas; veseliem brīvprātīgajiem tas samazinājās proporcionāli albumīna koncnetrācijas samazinājumam. Nieru mazspējas gadījumā, grūtniecības laikā un jaundzimušajiem acetilsalicilskābes saistīšanās ar plazmas proteīniem samazinās ne tikai hipoalbuminēmijas ietekmē, bet arī uzkrājoties tādām endogēnām vielām, kas aizvieto zāles to saistīšanās vietā ar proteīniem.</w:t>
      </w:r>
    </w:p>
    <w:p w14:paraId="258E470B" w14:textId="77777777" w:rsidR="001C65E5" w:rsidRPr="005A6EF7" w:rsidRDefault="001C65E5" w:rsidP="00542A89">
      <w:pPr>
        <w:pStyle w:val="Default"/>
        <w:rPr>
          <w:i/>
          <w:iCs/>
          <w:sz w:val="22"/>
          <w:szCs w:val="22"/>
          <w:lang w:val="lv-LV"/>
        </w:rPr>
      </w:pPr>
    </w:p>
    <w:p w14:paraId="5E4848BC" w14:textId="1243795B" w:rsidR="00542A89" w:rsidRPr="005A6EF7" w:rsidRDefault="00542A89" w:rsidP="00542A89">
      <w:pPr>
        <w:pStyle w:val="Default"/>
        <w:rPr>
          <w:sz w:val="22"/>
          <w:szCs w:val="22"/>
          <w:u w:val="single"/>
          <w:lang w:val="lv-LV"/>
        </w:rPr>
      </w:pPr>
      <w:r w:rsidRPr="005A6EF7">
        <w:rPr>
          <w:iCs/>
          <w:sz w:val="22"/>
          <w:szCs w:val="22"/>
          <w:u w:val="single"/>
          <w:lang w:val="lv-LV"/>
        </w:rPr>
        <w:t>Bio</w:t>
      </w:r>
      <w:r w:rsidR="001C65E5" w:rsidRPr="005A6EF7">
        <w:rPr>
          <w:iCs/>
          <w:sz w:val="22"/>
          <w:szCs w:val="22"/>
          <w:u w:val="single"/>
          <w:lang w:val="lv-LV"/>
        </w:rPr>
        <w:t>transformācija</w:t>
      </w:r>
    </w:p>
    <w:p w14:paraId="161B490A" w14:textId="41935D84" w:rsidR="00542A89" w:rsidRPr="005A6EF7" w:rsidRDefault="001C65E5" w:rsidP="00542A89">
      <w:pPr>
        <w:pStyle w:val="Default"/>
        <w:rPr>
          <w:sz w:val="22"/>
          <w:szCs w:val="22"/>
          <w:lang w:val="lv-LV"/>
        </w:rPr>
      </w:pPr>
      <w:r w:rsidRPr="005A6EF7">
        <w:rPr>
          <w:sz w:val="22"/>
          <w:szCs w:val="22"/>
          <w:lang w:val="lv-LV"/>
        </w:rPr>
        <w:t>Acetilsalicilskābe uzsūkšanās laikā daļēji metabolizējas. Šo procesu ietekmē ester</w:t>
      </w:r>
      <w:r w:rsidR="00165F08">
        <w:rPr>
          <w:sz w:val="22"/>
          <w:szCs w:val="22"/>
          <w:lang w:val="lv-LV"/>
        </w:rPr>
        <w:t>āze</w:t>
      </w:r>
      <w:r w:rsidRPr="005A6EF7">
        <w:rPr>
          <w:sz w:val="22"/>
          <w:szCs w:val="22"/>
          <w:lang w:val="lv-LV"/>
        </w:rPr>
        <w:t>, galvenokārt aknās, bet arī asins serumā, eritrocītos un sinoviālajā šķidrumā.</w:t>
      </w:r>
    </w:p>
    <w:p w14:paraId="2FCDB7F6" w14:textId="77777777" w:rsidR="00542A89" w:rsidRPr="005A6EF7" w:rsidRDefault="001C65E5" w:rsidP="00542A89">
      <w:pPr>
        <w:spacing w:line="240" w:lineRule="auto"/>
        <w:rPr>
          <w:lang w:val="lv-LV"/>
        </w:rPr>
      </w:pPr>
      <w:r w:rsidRPr="005A6EF7">
        <w:rPr>
          <w:szCs w:val="22"/>
          <w:lang w:val="lv-LV"/>
        </w:rPr>
        <w:t>Salicilāti konjugējas galvenokārt ar glicīnu, veidojot salicilurīnskābi, un ar glikuronskābi veidojot salicil</w:t>
      </w:r>
      <w:r w:rsidR="00046D1B" w:rsidRPr="005A6EF7">
        <w:rPr>
          <w:szCs w:val="22"/>
          <w:lang w:val="lv-LV"/>
        </w:rPr>
        <w:t>fenol</w:t>
      </w:r>
      <w:r w:rsidRPr="005A6EF7">
        <w:rPr>
          <w:szCs w:val="22"/>
          <w:lang w:val="lv-LV"/>
        </w:rPr>
        <w:t>glikuronīdu</w:t>
      </w:r>
      <w:r w:rsidR="00046D1B" w:rsidRPr="005A6EF7">
        <w:rPr>
          <w:szCs w:val="22"/>
          <w:lang w:val="lv-LV"/>
        </w:rPr>
        <w:t xml:space="preserve"> un salicilacilglikuronīdu; tikai neliela daļa no tiem hidroksilējas par dihidroksibenzoiskābi</w:t>
      </w:r>
      <w:r w:rsidR="00542A89" w:rsidRPr="005A6EF7">
        <w:rPr>
          <w:szCs w:val="22"/>
          <w:lang w:val="lv-LV"/>
        </w:rPr>
        <w:t>, 2,3-</w:t>
      </w:r>
      <w:r w:rsidR="00046D1B" w:rsidRPr="005A6EF7">
        <w:rPr>
          <w:szCs w:val="22"/>
          <w:lang w:val="lv-LV"/>
        </w:rPr>
        <w:t xml:space="preserve"> dihidroksibenzoiskābi un </w:t>
      </w:r>
      <w:r w:rsidR="00542A89" w:rsidRPr="005A6EF7">
        <w:rPr>
          <w:szCs w:val="22"/>
          <w:lang w:val="lv-LV"/>
        </w:rPr>
        <w:t>2,3,5-trih</w:t>
      </w:r>
      <w:r w:rsidR="00046D1B" w:rsidRPr="005A6EF7">
        <w:rPr>
          <w:szCs w:val="22"/>
          <w:lang w:val="lv-LV"/>
        </w:rPr>
        <w:t>i</w:t>
      </w:r>
      <w:r w:rsidR="00542A89" w:rsidRPr="005A6EF7">
        <w:rPr>
          <w:szCs w:val="22"/>
          <w:lang w:val="lv-LV"/>
        </w:rPr>
        <w:t>dro</w:t>
      </w:r>
      <w:r w:rsidR="00046D1B" w:rsidRPr="005A6EF7">
        <w:rPr>
          <w:szCs w:val="22"/>
          <w:lang w:val="lv-LV"/>
        </w:rPr>
        <w:t>ksi</w:t>
      </w:r>
      <w:r w:rsidR="00542A89" w:rsidRPr="005A6EF7">
        <w:rPr>
          <w:szCs w:val="22"/>
          <w:lang w:val="lv-LV"/>
        </w:rPr>
        <w:t>benzoi</w:t>
      </w:r>
      <w:r w:rsidR="00046D1B" w:rsidRPr="005A6EF7">
        <w:rPr>
          <w:szCs w:val="22"/>
          <w:lang w:val="lv-LV"/>
        </w:rPr>
        <w:t>skābi. Sievietēm hidroksilēšanas process ir lēnāks</w:t>
      </w:r>
      <w:r w:rsidR="00542A89" w:rsidRPr="005A6EF7">
        <w:rPr>
          <w:szCs w:val="22"/>
          <w:lang w:val="lv-LV"/>
        </w:rPr>
        <w:t xml:space="preserve"> (</w:t>
      </w:r>
      <w:r w:rsidR="00046D1B" w:rsidRPr="005A6EF7">
        <w:rPr>
          <w:szCs w:val="22"/>
          <w:lang w:val="lv-LV"/>
        </w:rPr>
        <w:t>zemāka seruma esterāzes aktivitāte</w:t>
      </w:r>
      <w:r w:rsidR="00542A89" w:rsidRPr="005A6EF7">
        <w:rPr>
          <w:szCs w:val="22"/>
          <w:lang w:val="lv-LV"/>
        </w:rPr>
        <w:t>).</w:t>
      </w:r>
    </w:p>
    <w:p w14:paraId="02171C1B" w14:textId="77777777" w:rsidR="00542A89" w:rsidRPr="005A6EF7" w:rsidRDefault="00542A89" w:rsidP="00542A89">
      <w:pPr>
        <w:spacing w:line="240" w:lineRule="auto"/>
        <w:rPr>
          <w:lang w:val="lv-LV"/>
        </w:rPr>
      </w:pPr>
    </w:p>
    <w:p w14:paraId="4B9DF314" w14:textId="77777777" w:rsidR="00542A89" w:rsidRPr="005A6EF7" w:rsidRDefault="00542A89" w:rsidP="00542A89">
      <w:pPr>
        <w:pStyle w:val="Default"/>
        <w:rPr>
          <w:sz w:val="22"/>
          <w:szCs w:val="22"/>
          <w:u w:val="single"/>
          <w:lang w:val="lv-LV"/>
        </w:rPr>
      </w:pPr>
      <w:r w:rsidRPr="005A6EF7">
        <w:rPr>
          <w:iCs/>
          <w:sz w:val="22"/>
          <w:szCs w:val="22"/>
          <w:u w:val="single"/>
          <w:lang w:val="lv-LV"/>
        </w:rPr>
        <w:t>Elimin</w:t>
      </w:r>
      <w:r w:rsidR="001C65E5" w:rsidRPr="005A6EF7">
        <w:rPr>
          <w:iCs/>
          <w:sz w:val="22"/>
          <w:szCs w:val="22"/>
          <w:u w:val="single"/>
          <w:lang w:val="lv-LV"/>
        </w:rPr>
        <w:t>ācija</w:t>
      </w:r>
    </w:p>
    <w:p w14:paraId="058313BF" w14:textId="77777777" w:rsidR="00542A89" w:rsidRPr="005A6EF7" w:rsidRDefault="00046D1B" w:rsidP="00542A89">
      <w:pPr>
        <w:spacing w:line="240" w:lineRule="auto"/>
        <w:rPr>
          <w:lang w:val="lv-LV"/>
        </w:rPr>
      </w:pPr>
      <w:r w:rsidRPr="005A6EF7">
        <w:rPr>
          <w:szCs w:val="22"/>
          <w:lang w:val="lv-LV"/>
        </w:rPr>
        <w:t>Acetilsalicilskābes plazmas eliminācijas pusperiods ir apmēram</w:t>
      </w:r>
      <w:r w:rsidR="00542A89" w:rsidRPr="005A6EF7">
        <w:rPr>
          <w:szCs w:val="22"/>
          <w:lang w:val="lv-LV"/>
        </w:rPr>
        <w:t xml:space="preserve"> 2-3 </w:t>
      </w:r>
      <w:r w:rsidRPr="005A6EF7">
        <w:rPr>
          <w:szCs w:val="22"/>
          <w:lang w:val="lv-LV"/>
        </w:rPr>
        <w:t>stundas</w:t>
      </w:r>
      <w:r w:rsidR="00542A89" w:rsidRPr="005A6EF7">
        <w:rPr>
          <w:szCs w:val="22"/>
          <w:lang w:val="lv-LV"/>
        </w:rPr>
        <w:t xml:space="preserve">. </w:t>
      </w:r>
      <w:r w:rsidRPr="005A6EF7">
        <w:rPr>
          <w:szCs w:val="22"/>
          <w:lang w:val="lv-LV"/>
        </w:rPr>
        <w:t>Atšķirībā no citiem salicilātiem nehidrolizēta acetilsalicilskābe pēc atkārtotas lietošanas neuzkrājas asins serumā. Tikai apmēram</w:t>
      </w:r>
      <w:r w:rsidR="00542A89" w:rsidRPr="005A6EF7">
        <w:rPr>
          <w:szCs w:val="22"/>
          <w:lang w:val="lv-LV"/>
        </w:rPr>
        <w:t xml:space="preserve"> 1% </w:t>
      </w:r>
      <w:r w:rsidRPr="005A6EF7">
        <w:rPr>
          <w:szCs w:val="22"/>
          <w:lang w:val="lv-LV"/>
        </w:rPr>
        <w:t>no iekšķīgi lietotas acetilsalicilskābes devas izdalās urīnā nehidrolizētā veidā, atlikusī daļa izdalās salicilātu un to metabolītu veidā.  Pacientiem ar normālu nieru darbību</w:t>
      </w:r>
      <w:r w:rsidR="00542A89" w:rsidRPr="005A6EF7">
        <w:rPr>
          <w:szCs w:val="22"/>
          <w:lang w:val="lv-LV"/>
        </w:rPr>
        <w:t xml:space="preserve"> 80-100% </w:t>
      </w:r>
      <w:r w:rsidRPr="005A6EF7">
        <w:rPr>
          <w:szCs w:val="22"/>
          <w:lang w:val="lv-LV"/>
        </w:rPr>
        <w:t>reizes devas izdalās ar urīnu</w:t>
      </w:r>
      <w:r w:rsidR="00542A89" w:rsidRPr="005A6EF7">
        <w:rPr>
          <w:szCs w:val="22"/>
          <w:lang w:val="lv-LV"/>
        </w:rPr>
        <w:t xml:space="preserve"> 24-72 </w:t>
      </w:r>
      <w:r w:rsidRPr="005A6EF7">
        <w:rPr>
          <w:szCs w:val="22"/>
          <w:lang w:val="lv-LV"/>
        </w:rPr>
        <w:t>stundu laikā.</w:t>
      </w:r>
    </w:p>
    <w:p w14:paraId="109949D3" w14:textId="77777777" w:rsidR="00542A89" w:rsidRPr="005A6EF7" w:rsidRDefault="00542A89" w:rsidP="00542A89">
      <w:pPr>
        <w:rPr>
          <w:szCs w:val="22"/>
          <w:lang w:val="lv-LV"/>
        </w:rPr>
      </w:pPr>
    </w:p>
    <w:p w14:paraId="63B1E969" w14:textId="77777777" w:rsidR="00017525" w:rsidRPr="005A6EF7" w:rsidRDefault="004A50CF" w:rsidP="0042194A">
      <w:pPr>
        <w:keepNext/>
        <w:tabs>
          <w:tab w:val="clear" w:pos="567"/>
        </w:tabs>
        <w:spacing w:line="240" w:lineRule="auto"/>
        <w:rPr>
          <w:lang w:val="lv-LV"/>
        </w:rPr>
      </w:pPr>
      <w:r w:rsidRPr="005A6EF7">
        <w:rPr>
          <w:b/>
          <w:lang w:val="lv-LV"/>
        </w:rPr>
        <w:lastRenderedPageBreak/>
        <w:t>5.3</w:t>
      </w:r>
      <w:r w:rsidR="00F34762" w:rsidRPr="005A6EF7">
        <w:rPr>
          <w:b/>
          <w:szCs w:val="22"/>
          <w:lang w:val="lv-LV"/>
        </w:rPr>
        <w:t>.</w:t>
      </w:r>
      <w:r w:rsidRPr="005A6EF7">
        <w:rPr>
          <w:b/>
          <w:lang w:val="lv-LV"/>
        </w:rPr>
        <w:tab/>
        <w:t>Preklīniskie dati par drošumu</w:t>
      </w:r>
    </w:p>
    <w:p w14:paraId="3B543F1B" w14:textId="77777777" w:rsidR="00017525" w:rsidRPr="005A6EF7" w:rsidRDefault="00017525" w:rsidP="0042194A">
      <w:pPr>
        <w:keepNext/>
        <w:tabs>
          <w:tab w:val="clear" w:pos="567"/>
        </w:tabs>
        <w:spacing w:line="240" w:lineRule="auto"/>
        <w:ind w:left="567" w:hanging="567"/>
        <w:rPr>
          <w:lang w:val="lv-LV"/>
        </w:rPr>
      </w:pPr>
    </w:p>
    <w:p w14:paraId="2A05C01C" w14:textId="4D777967" w:rsidR="0011028D" w:rsidRDefault="0011028D" w:rsidP="0042194A">
      <w:pPr>
        <w:keepNext/>
        <w:rPr>
          <w:lang w:val="lv-LV"/>
        </w:rPr>
      </w:pPr>
      <w:r w:rsidRPr="005A6EF7">
        <w:rPr>
          <w:lang w:val="lv-LV"/>
        </w:rPr>
        <w:t>Acetilsalicilskābes neklīniskais drošuma profils ir labi dokumentēts.</w:t>
      </w:r>
    </w:p>
    <w:p w14:paraId="39A7A8B8" w14:textId="77777777" w:rsidR="00DB59EC" w:rsidRPr="005A6EF7" w:rsidRDefault="00DB59EC" w:rsidP="0042194A">
      <w:pPr>
        <w:keepNext/>
        <w:rPr>
          <w:lang w:val="lv-LV"/>
        </w:rPr>
      </w:pPr>
    </w:p>
    <w:p w14:paraId="70007DAC" w14:textId="7B794632" w:rsidR="0011028D" w:rsidRPr="005A6EF7" w:rsidRDefault="0011028D" w:rsidP="0011028D">
      <w:pPr>
        <w:rPr>
          <w:color w:val="000000"/>
          <w:szCs w:val="22"/>
          <w:lang w:val="lv-LV" w:eastAsia="pl-PL"/>
        </w:rPr>
      </w:pPr>
      <w:r w:rsidRPr="005A6EF7">
        <w:rPr>
          <w:lang w:val="lv-LV"/>
        </w:rPr>
        <w:t>Pētījumos ar dzīvniekiem lielas salicilātu devas izraisīja nieru bojājumus, citu orgānu bojājumus nekonstatēja. Acetilsalicilskābes muta</w:t>
      </w:r>
      <w:r w:rsidR="00DB59EC">
        <w:rPr>
          <w:lang w:val="lv-LV"/>
        </w:rPr>
        <w:t>g</w:t>
      </w:r>
      <w:r w:rsidRPr="005A6EF7">
        <w:rPr>
          <w:lang w:val="lv-LV"/>
        </w:rPr>
        <w:t xml:space="preserve">enitāte ir plaši pētīta </w:t>
      </w:r>
      <w:r w:rsidRPr="005A6EF7">
        <w:rPr>
          <w:i/>
          <w:color w:val="000000"/>
          <w:szCs w:val="22"/>
          <w:lang w:val="lv-LV" w:eastAsia="pl-PL"/>
        </w:rPr>
        <w:t>in vitro</w:t>
      </w:r>
      <w:r w:rsidRPr="005A6EF7">
        <w:rPr>
          <w:color w:val="000000"/>
          <w:szCs w:val="22"/>
          <w:lang w:val="lv-LV" w:eastAsia="pl-PL"/>
        </w:rPr>
        <w:t xml:space="preserve"> un </w:t>
      </w:r>
      <w:r w:rsidRPr="005A6EF7">
        <w:rPr>
          <w:i/>
          <w:color w:val="000000"/>
          <w:szCs w:val="22"/>
          <w:lang w:val="lv-LV" w:eastAsia="pl-PL"/>
        </w:rPr>
        <w:t>in vivo</w:t>
      </w:r>
      <w:r w:rsidRPr="005A6EF7">
        <w:rPr>
          <w:color w:val="000000"/>
          <w:szCs w:val="22"/>
          <w:lang w:val="lv-LV" w:eastAsia="pl-PL"/>
        </w:rPr>
        <w:t>; nozīmīgi mutaģenēzes potenciāla pierādījumi netika atrasti. Tas pats attiecas arī uz kanceroģenēzes pētījumiem.</w:t>
      </w:r>
    </w:p>
    <w:p w14:paraId="5DE21FBA" w14:textId="77777777" w:rsidR="00DB59EC" w:rsidRDefault="00DB59EC" w:rsidP="0011028D">
      <w:pPr>
        <w:rPr>
          <w:lang w:val="lv-LV"/>
        </w:rPr>
      </w:pPr>
    </w:p>
    <w:p w14:paraId="46E8004E" w14:textId="77777777" w:rsidR="0011028D" w:rsidRPr="005A6EF7" w:rsidRDefault="0011028D" w:rsidP="0011028D">
      <w:pPr>
        <w:rPr>
          <w:color w:val="000000"/>
          <w:szCs w:val="22"/>
          <w:lang w:val="lv-LV" w:eastAsia="pl-PL"/>
        </w:rPr>
      </w:pPr>
      <w:r w:rsidRPr="005A6EF7">
        <w:rPr>
          <w:lang w:val="lv-LV"/>
        </w:rPr>
        <w:t xml:space="preserve">Pētījumos ar dzīvniekiem </w:t>
      </w:r>
      <w:r w:rsidRPr="005A6EF7">
        <w:rPr>
          <w:color w:val="000000"/>
          <w:szCs w:val="22"/>
          <w:lang w:val="lv-LV" w:eastAsia="pl-PL"/>
        </w:rPr>
        <w:t>salicilātiem konstatēta teratogēniska ietekme uz vairākām dzīvnieku sugām. Aprakstīti implantācijas traucējumi, embriotoksiska un fetotoksiska iedarbība, kā arī traucētas spējas māc</w:t>
      </w:r>
      <w:r w:rsidR="00DE01B9" w:rsidRPr="005A6EF7">
        <w:rPr>
          <w:color w:val="000000"/>
          <w:szCs w:val="22"/>
          <w:lang w:val="lv-LV" w:eastAsia="pl-PL"/>
        </w:rPr>
        <w:t>īties zāļu iedarbībai pakļautu</w:t>
      </w:r>
      <w:r w:rsidRPr="005A6EF7">
        <w:rPr>
          <w:color w:val="000000"/>
          <w:szCs w:val="22"/>
          <w:lang w:val="lv-LV" w:eastAsia="pl-PL"/>
        </w:rPr>
        <w:t xml:space="preserve"> vecāk</w:t>
      </w:r>
      <w:r w:rsidR="00DE01B9" w:rsidRPr="005A6EF7">
        <w:rPr>
          <w:color w:val="000000"/>
          <w:szCs w:val="22"/>
          <w:lang w:val="lv-LV" w:eastAsia="pl-PL"/>
        </w:rPr>
        <w:t>u pēcnācējiem.</w:t>
      </w:r>
    </w:p>
    <w:p w14:paraId="4D609317" w14:textId="77777777" w:rsidR="0011028D" w:rsidRPr="005A6EF7" w:rsidRDefault="0011028D">
      <w:pPr>
        <w:tabs>
          <w:tab w:val="clear" w:pos="567"/>
        </w:tabs>
        <w:spacing w:line="240" w:lineRule="auto"/>
        <w:rPr>
          <w:lang w:val="lv-LV"/>
        </w:rPr>
      </w:pPr>
    </w:p>
    <w:p w14:paraId="0CF7C2A2" w14:textId="77777777" w:rsidR="00017525" w:rsidRPr="005A6EF7" w:rsidRDefault="00017525">
      <w:pPr>
        <w:tabs>
          <w:tab w:val="clear" w:pos="567"/>
        </w:tabs>
        <w:spacing w:line="240" w:lineRule="auto"/>
        <w:ind w:left="567" w:hanging="567"/>
        <w:rPr>
          <w:lang w:val="lv-LV"/>
        </w:rPr>
      </w:pPr>
    </w:p>
    <w:p w14:paraId="17F27C33" w14:textId="77777777" w:rsidR="00017525" w:rsidRPr="005A6EF7" w:rsidRDefault="004A50CF">
      <w:pPr>
        <w:tabs>
          <w:tab w:val="clear" w:pos="567"/>
        </w:tabs>
        <w:spacing w:line="240" w:lineRule="auto"/>
        <w:ind w:left="567" w:hanging="567"/>
        <w:rPr>
          <w:b/>
          <w:lang w:val="lv-LV"/>
        </w:rPr>
      </w:pPr>
      <w:r w:rsidRPr="005A6EF7">
        <w:rPr>
          <w:b/>
          <w:lang w:val="lv-LV"/>
        </w:rPr>
        <w:t>6.</w:t>
      </w:r>
      <w:r w:rsidRPr="005A6EF7">
        <w:rPr>
          <w:b/>
          <w:lang w:val="lv-LV"/>
        </w:rPr>
        <w:tab/>
        <w:t>FARMACEITISKĀ INFORMĀCIJA</w:t>
      </w:r>
    </w:p>
    <w:p w14:paraId="4C935E9C" w14:textId="77777777" w:rsidR="00017525" w:rsidRPr="005A6EF7" w:rsidRDefault="00017525">
      <w:pPr>
        <w:tabs>
          <w:tab w:val="clear" w:pos="567"/>
        </w:tabs>
        <w:spacing w:line="240" w:lineRule="auto"/>
        <w:ind w:left="567" w:hanging="567"/>
        <w:rPr>
          <w:lang w:val="lv-LV"/>
        </w:rPr>
      </w:pPr>
    </w:p>
    <w:p w14:paraId="4CA15559" w14:textId="77777777" w:rsidR="00017525" w:rsidRPr="005A6EF7" w:rsidRDefault="004A50CF">
      <w:pPr>
        <w:tabs>
          <w:tab w:val="clear" w:pos="567"/>
        </w:tabs>
        <w:spacing w:line="240" w:lineRule="auto"/>
        <w:ind w:left="567" w:hanging="567"/>
        <w:rPr>
          <w:b/>
          <w:lang w:val="lv-LV"/>
        </w:rPr>
      </w:pPr>
      <w:r w:rsidRPr="005A6EF7">
        <w:rPr>
          <w:b/>
          <w:lang w:val="lv-LV"/>
        </w:rPr>
        <w:t>6.1</w:t>
      </w:r>
      <w:r w:rsidR="00F34762" w:rsidRPr="005A6EF7">
        <w:rPr>
          <w:b/>
          <w:szCs w:val="22"/>
          <w:lang w:val="lv-LV"/>
        </w:rPr>
        <w:t>.</w:t>
      </w:r>
      <w:r w:rsidRPr="005A6EF7">
        <w:rPr>
          <w:b/>
          <w:lang w:val="lv-LV"/>
        </w:rPr>
        <w:tab/>
        <w:t>Palīgvielu saraksts</w:t>
      </w:r>
    </w:p>
    <w:p w14:paraId="64540688" w14:textId="77777777" w:rsidR="00017525" w:rsidRPr="0042194A" w:rsidRDefault="00017525">
      <w:pPr>
        <w:tabs>
          <w:tab w:val="clear" w:pos="567"/>
        </w:tabs>
        <w:spacing w:line="240" w:lineRule="auto"/>
        <w:ind w:left="567" w:hanging="567"/>
        <w:rPr>
          <w:bCs/>
          <w:lang w:val="lv-LV"/>
        </w:rPr>
      </w:pPr>
    </w:p>
    <w:p w14:paraId="068B6906" w14:textId="77777777" w:rsidR="00DE01B9" w:rsidRPr="005A6EF7" w:rsidRDefault="00DE01B9" w:rsidP="00DE01B9">
      <w:pPr>
        <w:rPr>
          <w:lang w:val="lv-LV"/>
        </w:rPr>
      </w:pPr>
      <w:r w:rsidRPr="005A6EF7">
        <w:rPr>
          <w:i/>
          <w:lang w:val="lv-LV"/>
        </w:rPr>
        <w:t xml:space="preserve">Tabletes </w:t>
      </w:r>
      <w:r w:rsidR="00BE6D53">
        <w:rPr>
          <w:i/>
          <w:lang w:val="lv-LV"/>
        </w:rPr>
        <w:t>kodols</w:t>
      </w:r>
      <w:r w:rsidRPr="005A6EF7">
        <w:rPr>
          <w:lang w:val="lv-LV"/>
        </w:rPr>
        <w:t>:</w:t>
      </w:r>
    </w:p>
    <w:p w14:paraId="2D48C7F3" w14:textId="77777777" w:rsidR="00DE01B9" w:rsidRPr="005A6EF7" w:rsidRDefault="00DE01B9" w:rsidP="00DE01B9">
      <w:pPr>
        <w:rPr>
          <w:lang w:val="lv-LV"/>
        </w:rPr>
      </w:pPr>
      <w:r w:rsidRPr="005A6EF7">
        <w:rPr>
          <w:lang w:val="lv-LV"/>
        </w:rPr>
        <w:t>Pulverveida celuloze</w:t>
      </w:r>
    </w:p>
    <w:p w14:paraId="5C2B74AA" w14:textId="77777777" w:rsidR="00DE01B9" w:rsidRPr="005A6EF7" w:rsidRDefault="00DE01B9" w:rsidP="00DE01B9">
      <w:pPr>
        <w:rPr>
          <w:lang w:val="lv-LV"/>
        </w:rPr>
      </w:pPr>
      <w:r w:rsidRPr="005A6EF7">
        <w:rPr>
          <w:lang w:val="lv-LV"/>
        </w:rPr>
        <w:t>Kukurūzas ciete</w:t>
      </w:r>
    </w:p>
    <w:p w14:paraId="0A27913A" w14:textId="77777777" w:rsidR="00DE01B9" w:rsidRPr="005A6EF7" w:rsidRDefault="00DE01B9" w:rsidP="00DE01B9">
      <w:pPr>
        <w:rPr>
          <w:lang w:val="lv-LV"/>
        </w:rPr>
      </w:pPr>
      <w:r w:rsidRPr="005A6EF7">
        <w:rPr>
          <w:lang w:val="lv-LV"/>
        </w:rPr>
        <w:t>Nātrija cietes glikolāts (C tips)</w:t>
      </w:r>
    </w:p>
    <w:p w14:paraId="2AFB0E07" w14:textId="77777777" w:rsidR="00DE01B9" w:rsidRPr="005A6EF7" w:rsidRDefault="00DE01B9" w:rsidP="00DE01B9">
      <w:pPr>
        <w:rPr>
          <w:lang w:val="lv-LV"/>
        </w:rPr>
      </w:pPr>
    </w:p>
    <w:p w14:paraId="7C55DF9B" w14:textId="77777777" w:rsidR="00DE01B9" w:rsidRPr="005A6EF7" w:rsidRDefault="00DE01B9" w:rsidP="00DE01B9">
      <w:pPr>
        <w:rPr>
          <w:lang w:val="lv-LV"/>
        </w:rPr>
      </w:pPr>
      <w:r w:rsidRPr="005A6EF7">
        <w:rPr>
          <w:i/>
          <w:lang w:val="lv-LV"/>
        </w:rPr>
        <w:t>Apvalks</w:t>
      </w:r>
      <w:r w:rsidRPr="005A6EF7">
        <w:rPr>
          <w:lang w:val="lv-LV"/>
        </w:rPr>
        <w:t>:</w:t>
      </w:r>
    </w:p>
    <w:p w14:paraId="05703EF0" w14:textId="77777777" w:rsidR="00DE01B9" w:rsidRPr="005A6EF7" w:rsidRDefault="00DE01B9" w:rsidP="00DE01B9">
      <w:pPr>
        <w:rPr>
          <w:lang w:val="lv-LV"/>
        </w:rPr>
      </w:pPr>
      <w:r w:rsidRPr="005A6EF7">
        <w:rPr>
          <w:lang w:val="lv-LV"/>
        </w:rPr>
        <w:t>Hipromeloze</w:t>
      </w:r>
    </w:p>
    <w:p w14:paraId="3E2B39F4" w14:textId="77777777" w:rsidR="00DE01B9" w:rsidRPr="005A6EF7" w:rsidRDefault="00DE01B9" w:rsidP="00DE01B9">
      <w:pPr>
        <w:rPr>
          <w:lang w:val="lv-LV"/>
        </w:rPr>
      </w:pPr>
      <w:r w:rsidRPr="005A6EF7">
        <w:rPr>
          <w:lang w:val="lv-LV"/>
        </w:rPr>
        <w:t>Trietilcitrāts</w:t>
      </w:r>
    </w:p>
    <w:p w14:paraId="1B5B2B65" w14:textId="77777777" w:rsidR="00DE01B9" w:rsidRPr="005A6EF7" w:rsidRDefault="00DE01B9" w:rsidP="00DE01B9">
      <w:pPr>
        <w:rPr>
          <w:lang w:val="lv-LV"/>
        </w:rPr>
      </w:pPr>
      <w:r w:rsidRPr="005A6EF7">
        <w:rPr>
          <w:lang w:val="lv-LV"/>
        </w:rPr>
        <w:t>Simetikona emulsija</w:t>
      </w:r>
    </w:p>
    <w:p w14:paraId="139C8ECC" w14:textId="77777777" w:rsidR="00DE01B9" w:rsidRPr="005A6EF7" w:rsidRDefault="00DE01B9" w:rsidP="00DE01B9">
      <w:pPr>
        <w:rPr>
          <w:lang w:val="lv-LV"/>
        </w:rPr>
      </w:pPr>
      <w:r w:rsidRPr="00DB59EC">
        <w:rPr>
          <w:i/>
          <w:lang w:val="lv-LV"/>
        </w:rPr>
        <w:t>Acryl-Eze</w:t>
      </w:r>
      <w:r w:rsidR="00DB59EC">
        <w:rPr>
          <w:lang w:val="lv-LV"/>
        </w:rPr>
        <w:t xml:space="preserve"> </w:t>
      </w:r>
      <w:r w:rsidR="00D95E68" w:rsidRPr="008C3118">
        <w:rPr>
          <w:i/>
          <w:lang w:val="lv-LV"/>
        </w:rPr>
        <w:t>White</w:t>
      </w:r>
      <w:r w:rsidRPr="008C3118">
        <w:rPr>
          <w:i/>
          <w:lang w:val="lv-LV"/>
        </w:rPr>
        <w:t>:</w:t>
      </w:r>
    </w:p>
    <w:p w14:paraId="781ED80F" w14:textId="77777777" w:rsidR="00DE01B9" w:rsidRPr="005A6EF7" w:rsidRDefault="000D7658" w:rsidP="00DE01B9">
      <w:pPr>
        <w:numPr>
          <w:ilvl w:val="0"/>
          <w:numId w:val="55"/>
        </w:numPr>
        <w:rPr>
          <w:lang w:val="lv-LV"/>
        </w:rPr>
      </w:pPr>
      <w:r>
        <w:rPr>
          <w:lang w:val="lv-LV"/>
        </w:rPr>
        <w:t>m</w:t>
      </w:r>
      <w:r w:rsidR="00DE01B9" w:rsidRPr="005A6EF7">
        <w:rPr>
          <w:lang w:val="lv-LV"/>
        </w:rPr>
        <w:t>etakrilskābes–etilakrilāta kopolimērs</w:t>
      </w:r>
    </w:p>
    <w:p w14:paraId="5253C13E" w14:textId="77777777" w:rsidR="00DE01B9" w:rsidRPr="005A6EF7" w:rsidRDefault="000D7658" w:rsidP="00DE01B9">
      <w:pPr>
        <w:numPr>
          <w:ilvl w:val="0"/>
          <w:numId w:val="55"/>
        </w:numPr>
        <w:rPr>
          <w:lang w:val="lv-LV"/>
        </w:rPr>
      </w:pPr>
      <w:r>
        <w:rPr>
          <w:lang w:val="lv-LV"/>
        </w:rPr>
        <w:t>t</w:t>
      </w:r>
      <w:r w:rsidR="00DE01B9" w:rsidRPr="005A6EF7">
        <w:rPr>
          <w:lang w:val="lv-LV"/>
        </w:rPr>
        <w:t>itāna dioksīds</w:t>
      </w:r>
    </w:p>
    <w:p w14:paraId="722942DC" w14:textId="77777777" w:rsidR="00DE01B9" w:rsidRPr="005A6EF7" w:rsidRDefault="000D7658" w:rsidP="00DE01B9">
      <w:pPr>
        <w:numPr>
          <w:ilvl w:val="0"/>
          <w:numId w:val="55"/>
        </w:numPr>
        <w:rPr>
          <w:lang w:val="lv-LV"/>
        </w:rPr>
      </w:pPr>
      <w:r>
        <w:rPr>
          <w:lang w:val="lv-LV"/>
        </w:rPr>
        <w:t>koloidālais bezūdens silīcija oksīds</w:t>
      </w:r>
    </w:p>
    <w:p w14:paraId="33F6DBDF" w14:textId="77777777" w:rsidR="00DE01B9" w:rsidRPr="005A6EF7" w:rsidRDefault="000D7658" w:rsidP="00DE01B9">
      <w:pPr>
        <w:numPr>
          <w:ilvl w:val="0"/>
          <w:numId w:val="55"/>
        </w:numPr>
        <w:rPr>
          <w:lang w:val="lv-LV"/>
        </w:rPr>
      </w:pPr>
      <w:r>
        <w:rPr>
          <w:lang w:val="lv-LV"/>
        </w:rPr>
        <w:t>n</w:t>
      </w:r>
      <w:r w:rsidR="00DE01B9" w:rsidRPr="005A6EF7">
        <w:rPr>
          <w:lang w:val="lv-LV"/>
        </w:rPr>
        <w:t>ātrija hidrogēnkarbonāts</w:t>
      </w:r>
    </w:p>
    <w:p w14:paraId="205DCDDC" w14:textId="77777777" w:rsidR="00DE01B9" w:rsidRPr="005A6EF7" w:rsidRDefault="000D7658" w:rsidP="00DE01B9">
      <w:pPr>
        <w:numPr>
          <w:ilvl w:val="0"/>
          <w:numId w:val="55"/>
        </w:numPr>
        <w:rPr>
          <w:lang w:val="lv-LV"/>
        </w:rPr>
      </w:pPr>
      <w:r>
        <w:rPr>
          <w:lang w:val="lv-LV"/>
        </w:rPr>
        <w:t>n</w:t>
      </w:r>
      <w:r w:rsidR="00DE01B9" w:rsidRPr="005A6EF7">
        <w:rPr>
          <w:lang w:val="lv-LV"/>
        </w:rPr>
        <w:t>ātrija laurilsulfāts</w:t>
      </w:r>
    </w:p>
    <w:p w14:paraId="49AF2E37" w14:textId="77777777" w:rsidR="00017525" w:rsidRPr="005A6EF7" w:rsidRDefault="00017525">
      <w:pPr>
        <w:tabs>
          <w:tab w:val="clear" w:pos="567"/>
        </w:tabs>
        <w:spacing w:line="240" w:lineRule="auto"/>
        <w:ind w:left="567" w:hanging="567"/>
        <w:rPr>
          <w:lang w:val="lv-LV"/>
        </w:rPr>
      </w:pPr>
    </w:p>
    <w:p w14:paraId="608CBDC8" w14:textId="77777777" w:rsidR="00017525" w:rsidRPr="005A6EF7" w:rsidRDefault="004A50CF">
      <w:pPr>
        <w:tabs>
          <w:tab w:val="clear" w:pos="567"/>
        </w:tabs>
        <w:spacing w:line="240" w:lineRule="auto"/>
        <w:ind w:left="567" w:hanging="567"/>
        <w:rPr>
          <w:lang w:val="lv-LV"/>
        </w:rPr>
      </w:pPr>
      <w:r w:rsidRPr="005A6EF7">
        <w:rPr>
          <w:b/>
          <w:lang w:val="lv-LV"/>
        </w:rPr>
        <w:t>6.2</w:t>
      </w:r>
      <w:r w:rsidR="00F34762" w:rsidRPr="005A6EF7">
        <w:rPr>
          <w:b/>
          <w:szCs w:val="22"/>
          <w:lang w:val="lv-LV"/>
        </w:rPr>
        <w:t>.</w:t>
      </w:r>
      <w:r w:rsidRPr="005A6EF7">
        <w:rPr>
          <w:b/>
          <w:lang w:val="lv-LV"/>
        </w:rPr>
        <w:tab/>
        <w:t>Nesaderība</w:t>
      </w:r>
    </w:p>
    <w:p w14:paraId="12599EA4" w14:textId="77777777" w:rsidR="00017525" w:rsidRPr="005A6EF7" w:rsidRDefault="00017525">
      <w:pPr>
        <w:tabs>
          <w:tab w:val="clear" w:pos="567"/>
        </w:tabs>
        <w:spacing w:line="240" w:lineRule="auto"/>
        <w:ind w:left="567" w:hanging="567"/>
        <w:rPr>
          <w:lang w:val="lv-LV"/>
        </w:rPr>
      </w:pPr>
    </w:p>
    <w:p w14:paraId="1327AC28" w14:textId="77777777" w:rsidR="00017525" w:rsidRPr="005A6EF7" w:rsidRDefault="004A50CF">
      <w:pPr>
        <w:tabs>
          <w:tab w:val="clear" w:pos="567"/>
        </w:tabs>
        <w:spacing w:line="240" w:lineRule="auto"/>
        <w:ind w:left="567" w:hanging="567"/>
        <w:rPr>
          <w:lang w:val="lv-LV"/>
        </w:rPr>
      </w:pPr>
      <w:r w:rsidRPr="005A6EF7">
        <w:rPr>
          <w:lang w:val="lv-LV"/>
        </w:rPr>
        <w:t>Nav piemērojama.</w:t>
      </w:r>
    </w:p>
    <w:p w14:paraId="7404454F" w14:textId="77777777" w:rsidR="00017525" w:rsidRPr="005A6EF7" w:rsidRDefault="00017525" w:rsidP="00E5352C">
      <w:pPr>
        <w:tabs>
          <w:tab w:val="clear" w:pos="567"/>
        </w:tabs>
        <w:spacing w:line="240" w:lineRule="auto"/>
        <w:rPr>
          <w:lang w:val="lv-LV"/>
        </w:rPr>
      </w:pPr>
    </w:p>
    <w:p w14:paraId="62E3CC2D" w14:textId="77777777" w:rsidR="00017525" w:rsidRPr="005A6EF7" w:rsidRDefault="004A50CF">
      <w:pPr>
        <w:tabs>
          <w:tab w:val="clear" w:pos="567"/>
        </w:tabs>
        <w:spacing w:line="240" w:lineRule="auto"/>
        <w:ind w:left="567" w:hanging="567"/>
        <w:rPr>
          <w:lang w:val="lv-LV"/>
        </w:rPr>
      </w:pPr>
      <w:r w:rsidRPr="005A6EF7">
        <w:rPr>
          <w:b/>
          <w:lang w:val="lv-LV"/>
        </w:rPr>
        <w:t>6.3</w:t>
      </w:r>
      <w:r w:rsidR="00F34762" w:rsidRPr="005A6EF7">
        <w:rPr>
          <w:b/>
          <w:szCs w:val="22"/>
          <w:lang w:val="lv-LV"/>
        </w:rPr>
        <w:t>.</w:t>
      </w:r>
      <w:r w:rsidRPr="005A6EF7">
        <w:rPr>
          <w:b/>
          <w:lang w:val="lv-LV"/>
        </w:rPr>
        <w:tab/>
        <w:t>Uzglabāšanas laiks</w:t>
      </w:r>
    </w:p>
    <w:p w14:paraId="581CCA84" w14:textId="77777777" w:rsidR="00017525" w:rsidRPr="005A6EF7" w:rsidRDefault="00017525">
      <w:pPr>
        <w:tabs>
          <w:tab w:val="clear" w:pos="567"/>
        </w:tabs>
        <w:spacing w:line="240" w:lineRule="auto"/>
        <w:ind w:left="567" w:hanging="567"/>
        <w:rPr>
          <w:lang w:val="lv-LV"/>
        </w:rPr>
      </w:pPr>
    </w:p>
    <w:p w14:paraId="63920092" w14:textId="77777777" w:rsidR="00017525" w:rsidRPr="005A6EF7" w:rsidRDefault="004A50CF">
      <w:pPr>
        <w:tabs>
          <w:tab w:val="clear" w:pos="567"/>
        </w:tabs>
        <w:spacing w:line="240" w:lineRule="auto"/>
        <w:ind w:left="567" w:hanging="567"/>
        <w:rPr>
          <w:lang w:val="lv-LV"/>
        </w:rPr>
      </w:pPr>
      <w:r w:rsidRPr="005A6EF7">
        <w:rPr>
          <w:lang w:val="lv-LV"/>
        </w:rPr>
        <w:t>2</w:t>
      </w:r>
      <w:r w:rsidR="001F0D52" w:rsidRPr="005A6EF7">
        <w:rPr>
          <w:lang w:val="lv-LV"/>
        </w:rPr>
        <w:t> </w:t>
      </w:r>
      <w:r w:rsidRPr="005A6EF7">
        <w:rPr>
          <w:lang w:val="lv-LV"/>
        </w:rPr>
        <w:t>gadi</w:t>
      </w:r>
    </w:p>
    <w:p w14:paraId="732CB9FA" w14:textId="77777777" w:rsidR="00017525" w:rsidRPr="005A6EF7" w:rsidRDefault="00017525">
      <w:pPr>
        <w:tabs>
          <w:tab w:val="clear" w:pos="567"/>
        </w:tabs>
        <w:spacing w:line="240" w:lineRule="auto"/>
        <w:ind w:left="567" w:hanging="567"/>
        <w:rPr>
          <w:lang w:val="lv-LV"/>
        </w:rPr>
      </w:pPr>
    </w:p>
    <w:p w14:paraId="15E79CF7" w14:textId="77777777" w:rsidR="00017525" w:rsidRPr="005A6EF7" w:rsidRDefault="004A50CF">
      <w:pPr>
        <w:tabs>
          <w:tab w:val="clear" w:pos="567"/>
        </w:tabs>
        <w:spacing w:line="240" w:lineRule="auto"/>
        <w:ind w:left="567" w:hanging="567"/>
        <w:rPr>
          <w:lang w:val="lv-LV"/>
        </w:rPr>
      </w:pPr>
      <w:r w:rsidRPr="005A6EF7">
        <w:rPr>
          <w:b/>
          <w:lang w:val="lv-LV"/>
        </w:rPr>
        <w:t>6.4</w:t>
      </w:r>
      <w:r w:rsidR="005B0C6F" w:rsidRPr="005A6EF7">
        <w:rPr>
          <w:b/>
          <w:szCs w:val="22"/>
          <w:lang w:val="lv-LV"/>
        </w:rPr>
        <w:t>.</w:t>
      </w:r>
      <w:r w:rsidRPr="005A6EF7">
        <w:rPr>
          <w:b/>
          <w:lang w:val="lv-LV"/>
        </w:rPr>
        <w:tab/>
        <w:t>Īpaši uzglabāšanas nosacījumi</w:t>
      </w:r>
    </w:p>
    <w:p w14:paraId="717D6DFE" w14:textId="77777777" w:rsidR="00017525" w:rsidRPr="005A6EF7" w:rsidRDefault="00017525">
      <w:pPr>
        <w:tabs>
          <w:tab w:val="clear" w:pos="567"/>
        </w:tabs>
        <w:spacing w:line="240" w:lineRule="auto"/>
        <w:ind w:left="567" w:hanging="567"/>
        <w:rPr>
          <w:lang w:val="lv-LV"/>
        </w:rPr>
      </w:pPr>
    </w:p>
    <w:p w14:paraId="73F1A74D" w14:textId="7686EDF0" w:rsidR="00E5352C" w:rsidRPr="005A6EF7" w:rsidRDefault="00E5352C" w:rsidP="00E5352C">
      <w:pPr>
        <w:rPr>
          <w:lang w:val="lv-LV"/>
        </w:rPr>
      </w:pPr>
      <w:r w:rsidRPr="005A6EF7">
        <w:rPr>
          <w:lang w:val="lv-LV"/>
        </w:rPr>
        <w:t>Uzglabāt temperatūrā līdz 25°C. Uzglabāt oriģinālā iepakojumā, lai pas</w:t>
      </w:r>
      <w:r w:rsidR="00165F08">
        <w:rPr>
          <w:lang w:val="lv-LV"/>
        </w:rPr>
        <w:t>a</w:t>
      </w:r>
      <w:r w:rsidRPr="005A6EF7">
        <w:rPr>
          <w:lang w:val="lv-LV"/>
        </w:rPr>
        <w:t>rgātu no mitruma.</w:t>
      </w:r>
    </w:p>
    <w:p w14:paraId="18AC22E5" w14:textId="77777777" w:rsidR="00017525" w:rsidRPr="005A6EF7" w:rsidRDefault="00017525">
      <w:pPr>
        <w:tabs>
          <w:tab w:val="clear" w:pos="567"/>
        </w:tabs>
        <w:spacing w:line="240" w:lineRule="auto"/>
        <w:ind w:left="567" w:hanging="567"/>
        <w:rPr>
          <w:lang w:val="lv-LV"/>
        </w:rPr>
      </w:pPr>
    </w:p>
    <w:p w14:paraId="1EC370A7" w14:textId="3163011B" w:rsidR="00017525" w:rsidRDefault="004A50CF">
      <w:pPr>
        <w:tabs>
          <w:tab w:val="clear" w:pos="567"/>
        </w:tabs>
        <w:spacing w:line="240" w:lineRule="auto"/>
        <w:ind w:left="567" w:hanging="567"/>
        <w:rPr>
          <w:b/>
          <w:lang w:val="lv-LV"/>
        </w:rPr>
      </w:pPr>
      <w:r w:rsidRPr="005A6EF7">
        <w:rPr>
          <w:b/>
          <w:lang w:val="lv-LV"/>
        </w:rPr>
        <w:t>6.5</w:t>
      </w:r>
      <w:r w:rsidR="005B0C6F" w:rsidRPr="005A6EF7">
        <w:rPr>
          <w:b/>
          <w:szCs w:val="22"/>
          <w:lang w:val="lv-LV"/>
        </w:rPr>
        <w:t>.</w:t>
      </w:r>
      <w:r w:rsidRPr="005A6EF7">
        <w:rPr>
          <w:b/>
          <w:lang w:val="lv-LV"/>
        </w:rPr>
        <w:tab/>
        <w:t>Iepakojuma veids un saturs</w:t>
      </w:r>
    </w:p>
    <w:p w14:paraId="4AC578C1" w14:textId="77777777" w:rsidR="00165F08" w:rsidRPr="005A6EF7" w:rsidRDefault="00165F08">
      <w:pPr>
        <w:tabs>
          <w:tab w:val="clear" w:pos="567"/>
        </w:tabs>
        <w:spacing w:line="240" w:lineRule="auto"/>
        <w:ind w:left="567" w:hanging="567"/>
        <w:rPr>
          <w:lang w:val="lv-LV"/>
        </w:rPr>
      </w:pPr>
    </w:p>
    <w:p w14:paraId="14B665E6" w14:textId="77777777" w:rsidR="00E5352C" w:rsidRPr="005A6EF7" w:rsidRDefault="00BE6D53" w:rsidP="00E5352C">
      <w:pPr>
        <w:rPr>
          <w:rFonts w:eastAsia="TimesNewRomanPS-BoldMT"/>
          <w:lang w:val="lv-LV"/>
        </w:rPr>
      </w:pPr>
      <w:r w:rsidRPr="005A6EF7">
        <w:rPr>
          <w:lang w:val="lv-LV"/>
        </w:rPr>
        <w:t>Alumīnij</w:t>
      </w:r>
      <w:r>
        <w:rPr>
          <w:lang w:val="lv-LV"/>
        </w:rPr>
        <w:t>a</w:t>
      </w:r>
      <w:r w:rsidR="00E5352C" w:rsidRPr="005A6EF7">
        <w:rPr>
          <w:lang w:val="lv-LV"/>
        </w:rPr>
        <w:t>/PVH/PVDH</w:t>
      </w:r>
      <w:r w:rsidR="00E5352C" w:rsidRPr="005A6EF7">
        <w:rPr>
          <w:rFonts w:eastAsia="TimesNewRomanPS-BoldMT"/>
          <w:lang w:val="lv-LV"/>
        </w:rPr>
        <w:t xml:space="preserve"> blisteri kartona kastītē.</w:t>
      </w:r>
    </w:p>
    <w:p w14:paraId="2A9E47A7" w14:textId="71857B8F" w:rsidR="005B6658" w:rsidRDefault="00E5352C" w:rsidP="00E5352C">
      <w:pPr>
        <w:rPr>
          <w:rFonts w:eastAsia="TimesNewRomanPS-BoldMT"/>
          <w:lang w:val="lv-LV"/>
        </w:rPr>
      </w:pPr>
      <w:r w:rsidRPr="005A6EF7">
        <w:rPr>
          <w:rFonts w:eastAsia="TimesNewRomanPS-BoldMT"/>
          <w:lang w:val="lv-LV"/>
        </w:rPr>
        <w:t>Iepakojuma lielums:</w:t>
      </w:r>
    </w:p>
    <w:p w14:paraId="346FDD9B" w14:textId="48B6CAF4" w:rsidR="00E5352C" w:rsidRDefault="005B6658" w:rsidP="00E5352C">
      <w:pPr>
        <w:rPr>
          <w:rFonts w:eastAsia="TimesNewRomanPS-BoldMT"/>
          <w:lang w:val="lv-LV"/>
        </w:rPr>
      </w:pPr>
      <w:r>
        <w:rPr>
          <w:lang w:val="lv-LV"/>
        </w:rPr>
        <w:t>Heartisan</w:t>
      </w:r>
      <w:r w:rsidRPr="005A6EF7">
        <w:rPr>
          <w:lang w:val="lv-LV"/>
        </w:rPr>
        <w:t xml:space="preserve"> 75 mg</w:t>
      </w:r>
      <w:r>
        <w:rPr>
          <w:lang w:val="lv-LV"/>
        </w:rPr>
        <w:t xml:space="preserve">: </w:t>
      </w:r>
      <w:r w:rsidR="00E5352C" w:rsidRPr="005A6EF7">
        <w:rPr>
          <w:rFonts w:eastAsia="TimesNewRomanPS-BoldMT"/>
          <w:lang w:val="lv-LV"/>
        </w:rPr>
        <w:t>30</w:t>
      </w:r>
      <w:r>
        <w:rPr>
          <w:rFonts w:eastAsia="TimesNewRomanPS-BoldMT"/>
          <w:lang w:val="lv-LV"/>
        </w:rPr>
        <w:t>,</w:t>
      </w:r>
      <w:r w:rsidR="00E5352C" w:rsidRPr="005A6EF7">
        <w:rPr>
          <w:rFonts w:eastAsia="TimesNewRomanPS-BoldMT"/>
          <w:lang w:val="lv-LV"/>
        </w:rPr>
        <w:t xml:space="preserve"> 60</w:t>
      </w:r>
      <w:r w:rsidR="00FD3ABC">
        <w:rPr>
          <w:rFonts w:eastAsia="TimesNewRomanPS-BoldMT"/>
          <w:lang w:val="lv-LV"/>
        </w:rPr>
        <w:t xml:space="preserve"> </w:t>
      </w:r>
      <w:r w:rsidR="00FD3ABC" w:rsidRPr="005A6EF7">
        <w:rPr>
          <w:rFonts w:eastAsia="TimesNewRomanPS-BoldMT"/>
          <w:lang w:val="lv-LV"/>
        </w:rPr>
        <w:t>vai</w:t>
      </w:r>
      <w:r w:rsidR="00FD3ABC">
        <w:rPr>
          <w:rFonts w:eastAsia="TimesNewRomanPS-BoldMT"/>
          <w:lang w:val="lv-LV"/>
        </w:rPr>
        <w:t xml:space="preserve"> 120</w:t>
      </w:r>
      <w:r w:rsidR="00E5352C" w:rsidRPr="005A6EF7">
        <w:rPr>
          <w:rFonts w:eastAsia="TimesNewRomanPS-BoldMT"/>
          <w:lang w:val="lv-LV"/>
        </w:rPr>
        <w:t xml:space="preserve"> tabletes</w:t>
      </w:r>
      <w:r>
        <w:rPr>
          <w:rFonts w:eastAsia="TimesNewRomanPS-BoldMT"/>
          <w:lang w:val="lv-LV"/>
        </w:rPr>
        <w:t>;</w:t>
      </w:r>
    </w:p>
    <w:p w14:paraId="51DACE22" w14:textId="64AECA4C" w:rsidR="005B6658" w:rsidRPr="005A6EF7" w:rsidRDefault="005B6658" w:rsidP="00E5352C">
      <w:pPr>
        <w:rPr>
          <w:lang w:val="lv-LV"/>
        </w:rPr>
      </w:pPr>
      <w:r>
        <w:rPr>
          <w:lang w:val="lv-LV"/>
        </w:rPr>
        <w:t>Heartisan</w:t>
      </w:r>
      <w:r w:rsidRPr="005A6EF7">
        <w:rPr>
          <w:lang w:val="lv-LV"/>
        </w:rPr>
        <w:t xml:space="preserve"> </w:t>
      </w:r>
      <w:r>
        <w:rPr>
          <w:lang w:val="lv-LV"/>
        </w:rPr>
        <w:t>1</w:t>
      </w:r>
      <w:r w:rsidRPr="005A6EF7">
        <w:rPr>
          <w:lang w:val="lv-LV"/>
        </w:rPr>
        <w:t>5</w:t>
      </w:r>
      <w:r>
        <w:rPr>
          <w:lang w:val="lv-LV"/>
        </w:rPr>
        <w:t xml:space="preserve">0 </w:t>
      </w:r>
      <w:r w:rsidRPr="005A6EF7">
        <w:rPr>
          <w:lang w:val="lv-LV"/>
        </w:rPr>
        <w:t>mg</w:t>
      </w:r>
      <w:r>
        <w:rPr>
          <w:lang w:val="lv-LV"/>
        </w:rPr>
        <w:t>:</w:t>
      </w:r>
      <w:r w:rsidRPr="005B6658">
        <w:rPr>
          <w:rFonts w:eastAsia="TimesNewRomanPS-BoldMT"/>
          <w:lang w:val="lv-LV"/>
        </w:rPr>
        <w:t xml:space="preserve"> </w:t>
      </w:r>
      <w:r w:rsidRPr="005A6EF7">
        <w:rPr>
          <w:rFonts w:eastAsia="TimesNewRomanPS-BoldMT"/>
          <w:lang w:val="lv-LV"/>
        </w:rPr>
        <w:t>30 vai 60</w:t>
      </w:r>
      <w:r>
        <w:rPr>
          <w:rFonts w:eastAsia="TimesNewRomanPS-BoldMT"/>
          <w:lang w:val="lv-LV"/>
        </w:rPr>
        <w:t xml:space="preserve"> </w:t>
      </w:r>
      <w:r w:rsidRPr="005A6EF7">
        <w:rPr>
          <w:rFonts w:eastAsia="TimesNewRomanPS-BoldMT"/>
          <w:lang w:val="lv-LV"/>
        </w:rPr>
        <w:t>tabletes</w:t>
      </w:r>
      <w:r>
        <w:rPr>
          <w:rFonts w:eastAsia="TimesNewRomanPS-BoldMT"/>
          <w:lang w:val="lv-LV"/>
        </w:rPr>
        <w:t>.</w:t>
      </w:r>
    </w:p>
    <w:p w14:paraId="42954DDD" w14:textId="77777777" w:rsidR="00E5352C" w:rsidRPr="005A6EF7" w:rsidRDefault="00E5352C">
      <w:pPr>
        <w:tabs>
          <w:tab w:val="clear" w:pos="567"/>
        </w:tabs>
        <w:spacing w:line="240" w:lineRule="auto"/>
        <w:ind w:left="567" w:hanging="567"/>
        <w:rPr>
          <w:lang w:val="lv-LV"/>
        </w:rPr>
      </w:pPr>
    </w:p>
    <w:p w14:paraId="74D8E6DB" w14:textId="77777777" w:rsidR="00017525" w:rsidRPr="005A6EF7" w:rsidRDefault="004A50CF">
      <w:pPr>
        <w:tabs>
          <w:tab w:val="clear" w:pos="567"/>
        </w:tabs>
        <w:spacing w:line="240" w:lineRule="auto"/>
        <w:ind w:left="567" w:hanging="567"/>
        <w:rPr>
          <w:lang w:val="lv-LV"/>
        </w:rPr>
      </w:pPr>
      <w:r w:rsidRPr="005A6EF7">
        <w:rPr>
          <w:lang w:val="lv-LV"/>
        </w:rPr>
        <w:t>Visi iepakojuma li</w:t>
      </w:r>
      <w:r w:rsidR="00E5352C" w:rsidRPr="005A6EF7">
        <w:rPr>
          <w:lang w:val="lv-LV"/>
        </w:rPr>
        <w:t>elumi tirgū var nebūt pieejami.</w:t>
      </w:r>
    </w:p>
    <w:p w14:paraId="401D5C04" w14:textId="77777777" w:rsidR="00017525" w:rsidRPr="005A6EF7" w:rsidRDefault="00017525">
      <w:pPr>
        <w:tabs>
          <w:tab w:val="clear" w:pos="567"/>
        </w:tabs>
        <w:spacing w:line="240" w:lineRule="auto"/>
        <w:ind w:left="567" w:hanging="567"/>
        <w:rPr>
          <w:lang w:val="lv-LV"/>
        </w:rPr>
      </w:pPr>
    </w:p>
    <w:p w14:paraId="415FD40E" w14:textId="77777777" w:rsidR="00017525" w:rsidRPr="005A6EF7" w:rsidRDefault="004A50CF" w:rsidP="0042194A">
      <w:pPr>
        <w:keepNext/>
        <w:tabs>
          <w:tab w:val="clear" w:pos="567"/>
        </w:tabs>
        <w:spacing w:line="240" w:lineRule="auto"/>
        <w:ind w:left="567" w:hanging="567"/>
        <w:rPr>
          <w:b/>
          <w:color w:val="000000"/>
          <w:lang w:val="lv-LV"/>
        </w:rPr>
      </w:pPr>
      <w:r w:rsidRPr="005A6EF7">
        <w:rPr>
          <w:b/>
          <w:lang w:val="lv-LV"/>
        </w:rPr>
        <w:lastRenderedPageBreak/>
        <w:t>6.6</w:t>
      </w:r>
      <w:r w:rsidR="005B0C6F" w:rsidRPr="005A6EF7">
        <w:rPr>
          <w:b/>
          <w:szCs w:val="22"/>
          <w:lang w:val="lv-LV"/>
        </w:rPr>
        <w:t>.</w:t>
      </w:r>
      <w:r w:rsidRPr="005A6EF7">
        <w:rPr>
          <w:b/>
          <w:lang w:val="lv-LV"/>
        </w:rPr>
        <w:tab/>
      </w:r>
      <w:r w:rsidRPr="005A6EF7">
        <w:rPr>
          <w:b/>
          <w:color w:val="000000"/>
          <w:lang w:val="lv-LV"/>
        </w:rPr>
        <w:t xml:space="preserve">Īpaši norādījumi atkritumu likvidēšanai </w:t>
      </w:r>
    </w:p>
    <w:p w14:paraId="1456E552" w14:textId="77777777" w:rsidR="00017525" w:rsidRPr="005A6EF7" w:rsidRDefault="00017525" w:rsidP="0042194A">
      <w:pPr>
        <w:keepNext/>
        <w:tabs>
          <w:tab w:val="clear" w:pos="567"/>
        </w:tabs>
        <w:spacing w:line="240" w:lineRule="auto"/>
        <w:rPr>
          <w:lang w:val="lv-LV"/>
        </w:rPr>
      </w:pPr>
    </w:p>
    <w:p w14:paraId="64A83229" w14:textId="77777777" w:rsidR="00017525" w:rsidRPr="005A6EF7" w:rsidRDefault="004A50CF" w:rsidP="0042194A">
      <w:pPr>
        <w:keepNext/>
        <w:tabs>
          <w:tab w:val="clear" w:pos="567"/>
        </w:tabs>
        <w:spacing w:line="240" w:lineRule="auto"/>
        <w:ind w:left="567" w:hanging="567"/>
        <w:rPr>
          <w:lang w:val="lv-LV"/>
        </w:rPr>
      </w:pPr>
      <w:r w:rsidRPr="005A6EF7">
        <w:rPr>
          <w:lang w:val="lv-LV"/>
        </w:rPr>
        <w:t xml:space="preserve">Nav īpašu </w:t>
      </w:r>
      <w:r w:rsidR="00E5352C" w:rsidRPr="005A6EF7">
        <w:rPr>
          <w:lang w:val="lv-LV"/>
        </w:rPr>
        <w:t>prasību.</w:t>
      </w:r>
    </w:p>
    <w:p w14:paraId="239931A7" w14:textId="77777777" w:rsidR="00017525" w:rsidRPr="005A6EF7" w:rsidRDefault="00017525" w:rsidP="0042194A">
      <w:pPr>
        <w:keepNext/>
        <w:tabs>
          <w:tab w:val="clear" w:pos="567"/>
        </w:tabs>
        <w:spacing w:line="240" w:lineRule="auto"/>
        <w:rPr>
          <w:lang w:val="lv-LV"/>
        </w:rPr>
      </w:pPr>
    </w:p>
    <w:p w14:paraId="47129694" w14:textId="77777777" w:rsidR="00017525" w:rsidRPr="005A6EF7" w:rsidRDefault="00017525">
      <w:pPr>
        <w:tabs>
          <w:tab w:val="clear" w:pos="567"/>
        </w:tabs>
        <w:spacing w:line="240" w:lineRule="auto"/>
        <w:ind w:left="567" w:hanging="567"/>
        <w:rPr>
          <w:lang w:val="lv-LV"/>
        </w:rPr>
      </w:pPr>
    </w:p>
    <w:p w14:paraId="2F278D79" w14:textId="77777777" w:rsidR="00017525" w:rsidRDefault="004A50CF">
      <w:pPr>
        <w:tabs>
          <w:tab w:val="clear" w:pos="567"/>
        </w:tabs>
        <w:spacing w:line="240" w:lineRule="auto"/>
        <w:ind w:left="567" w:hanging="567"/>
        <w:rPr>
          <w:b/>
          <w:lang w:val="lv-LV"/>
        </w:rPr>
      </w:pPr>
      <w:r w:rsidRPr="005A6EF7">
        <w:rPr>
          <w:b/>
          <w:lang w:val="lv-LV"/>
        </w:rPr>
        <w:t>7.</w:t>
      </w:r>
      <w:r w:rsidRPr="005A6EF7">
        <w:rPr>
          <w:b/>
          <w:lang w:val="lv-LV"/>
        </w:rPr>
        <w:tab/>
        <w:t>REĢISTRĀCIJAS APLIECĪBAS ĪPAŠNIEKS</w:t>
      </w:r>
    </w:p>
    <w:p w14:paraId="1B6B2F67" w14:textId="77777777" w:rsidR="004A4C24" w:rsidRPr="005A6EF7" w:rsidRDefault="004A4C24">
      <w:pPr>
        <w:tabs>
          <w:tab w:val="clear" w:pos="567"/>
        </w:tabs>
        <w:spacing w:line="240" w:lineRule="auto"/>
        <w:ind w:left="567" w:hanging="567"/>
        <w:rPr>
          <w:lang w:val="lv-LV"/>
        </w:rPr>
      </w:pPr>
    </w:p>
    <w:p w14:paraId="7A065117" w14:textId="181BFD48" w:rsidR="004A4C24" w:rsidRPr="00657A41" w:rsidRDefault="004A4C24" w:rsidP="004A4C24">
      <w:pPr>
        <w:widowControl w:val="0"/>
        <w:spacing w:line="240" w:lineRule="auto"/>
        <w:rPr>
          <w:lang w:val="lt-LT"/>
        </w:rPr>
      </w:pPr>
      <w:r w:rsidRPr="00657A41">
        <w:rPr>
          <w:lang w:val="lt-LT"/>
        </w:rPr>
        <w:t>Pharmaceutical Works POLPHARMA S</w:t>
      </w:r>
      <w:r w:rsidR="009A0894">
        <w:rPr>
          <w:lang w:val="lt-LT"/>
        </w:rPr>
        <w:t>.</w:t>
      </w:r>
      <w:r w:rsidRPr="00657A41">
        <w:rPr>
          <w:lang w:val="lt-LT"/>
        </w:rPr>
        <w:t>A</w:t>
      </w:r>
      <w:r w:rsidR="009A0894">
        <w:rPr>
          <w:lang w:val="lt-LT"/>
        </w:rPr>
        <w:t>.</w:t>
      </w:r>
    </w:p>
    <w:p w14:paraId="5F61D4EB" w14:textId="77777777" w:rsidR="004A4C24" w:rsidRPr="00657A41" w:rsidRDefault="004A4C24" w:rsidP="004A4C24">
      <w:pPr>
        <w:widowControl w:val="0"/>
        <w:spacing w:line="240" w:lineRule="auto"/>
        <w:rPr>
          <w:lang w:val="lt-LT"/>
        </w:rPr>
      </w:pPr>
      <w:r w:rsidRPr="00657A41">
        <w:rPr>
          <w:lang w:val="lt-LT"/>
        </w:rPr>
        <w:t>19, Pelplińska Street</w:t>
      </w:r>
    </w:p>
    <w:p w14:paraId="4732150F" w14:textId="77777777" w:rsidR="004A4C24" w:rsidRPr="00657A41" w:rsidRDefault="004A4C24" w:rsidP="004A4C24">
      <w:pPr>
        <w:widowControl w:val="0"/>
        <w:spacing w:line="240" w:lineRule="auto"/>
        <w:rPr>
          <w:lang w:val="lt-LT"/>
        </w:rPr>
      </w:pPr>
      <w:r w:rsidRPr="00657A41">
        <w:rPr>
          <w:lang w:val="lt-LT"/>
        </w:rPr>
        <w:t>83-200 Starogard Gdański</w:t>
      </w:r>
    </w:p>
    <w:p w14:paraId="675ECA8C" w14:textId="77777777" w:rsidR="004A4C24" w:rsidRPr="00657A41" w:rsidRDefault="004A4C24" w:rsidP="004A4C24">
      <w:pPr>
        <w:widowControl w:val="0"/>
        <w:spacing w:line="240" w:lineRule="auto"/>
        <w:rPr>
          <w:lang w:val="lt-LT"/>
        </w:rPr>
      </w:pPr>
      <w:r>
        <w:rPr>
          <w:lang w:val="lt-LT"/>
        </w:rPr>
        <w:t>Poli</w:t>
      </w:r>
      <w:r w:rsidRPr="00657A41">
        <w:rPr>
          <w:lang w:val="lt-LT"/>
        </w:rPr>
        <w:t>ja</w:t>
      </w:r>
    </w:p>
    <w:p w14:paraId="3A8D3E7E" w14:textId="77777777" w:rsidR="004A4C24" w:rsidRPr="005A6EF7" w:rsidRDefault="004A4C24">
      <w:pPr>
        <w:tabs>
          <w:tab w:val="clear" w:pos="567"/>
        </w:tabs>
        <w:spacing w:line="240" w:lineRule="auto"/>
        <w:ind w:left="567" w:hanging="567"/>
        <w:rPr>
          <w:lang w:val="lv-LV"/>
        </w:rPr>
      </w:pPr>
    </w:p>
    <w:p w14:paraId="57A33540" w14:textId="77777777" w:rsidR="00017525" w:rsidRPr="005A6EF7" w:rsidRDefault="00017525" w:rsidP="00165F08">
      <w:pPr>
        <w:tabs>
          <w:tab w:val="clear" w:pos="567"/>
        </w:tabs>
        <w:spacing w:line="240" w:lineRule="auto"/>
        <w:rPr>
          <w:lang w:val="lv-LV"/>
        </w:rPr>
      </w:pPr>
    </w:p>
    <w:p w14:paraId="2B3EAB0C" w14:textId="77777777" w:rsidR="00017525" w:rsidRPr="005A6EF7" w:rsidRDefault="004A50CF" w:rsidP="00657D6A">
      <w:pPr>
        <w:spacing w:line="240" w:lineRule="auto"/>
        <w:rPr>
          <w:b/>
          <w:lang w:val="lv-LV"/>
        </w:rPr>
      </w:pPr>
      <w:r w:rsidRPr="005A6EF7">
        <w:rPr>
          <w:b/>
          <w:lang w:val="lv-LV"/>
        </w:rPr>
        <w:t>8.</w:t>
      </w:r>
      <w:r w:rsidRPr="005A6EF7">
        <w:rPr>
          <w:b/>
          <w:lang w:val="lv-LV"/>
        </w:rPr>
        <w:tab/>
        <w:t xml:space="preserve">REĢISTRĀCIJAS APLIECĪBAS NUMURS(-I) </w:t>
      </w:r>
    </w:p>
    <w:p w14:paraId="1E34BA30" w14:textId="77777777" w:rsidR="00017525" w:rsidRPr="005A6EF7" w:rsidRDefault="00017525">
      <w:pPr>
        <w:tabs>
          <w:tab w:val="clear" w:pos="567"/>
        </w:tabs>
        <w:spacing w:line="240" w:lineRule="auto"/>
        <w:ind w:left="567" w:hanging="567"/>
        <w:rPr>
          <w:lang w:val="lv-LV"/>
        </w:rPr>
      </w:pPr>
    </w:p>
    <w:p w14:paraId="67D77A35" w14:textId="77777777" w:rsidR="000D7658" w:rsidRDefault="00A71282">
      <w:pPr>
        <w:tabs>
          <w:tab w:val="clear" w:pos="567"/>
        </w:tabs>
        <w:spacing w:line="240" w:lineRule="auto"/>
        <w:ind w:left="567" w:hanging="567"/>
        <w:rPr>
          <w:lang w:val="lv-LV"/>
        </w:rPr>
      </w:pPr>
      <w:r>
        <w:rPr>
          <w:lang w:val="lv-LV"/>
        </w:rPr>
        <w:t>75 mg: 16-0238</w:t>
      </w:r>
    </w:p>
    <w:p w14:paraId="50783AFD" w14:textId="77777777" w:rsidR="00A71282" w:rsidRDefault="00A71282">
      <w:pPr>
        <w:tabs>
          <w:tab w:val="clear" w:pos="567"/>
        </w:tabs>
        <w:spacing w:line="240" w:lineRule="auto"/>
        <w:ind w:left="567" w:hanging="567"/>
        <w:rPr>
          <w:lang w:val="lv-LV"/>
        </w:rPr>
      </w:pPr>
    </w:p>
    <w:p w14:paraId="2F7BDFCA" w14:textId="77777777" w:rsidR="00A71282" w:rsidRDefault="00A71282">
      <w:pPr>
        <w:tabs>
          <w:tab w:val="clear" w:pos="567"/>
        </w:tabs>
        <w:spacing w:line="240" w:lineRule="auto"/>
        <w:ind w:left="567" w:hanging="567"/>
        <w:rPr>
          <w:lang w:val="lv-LV"/>
        </w:rPr>
      </w:pPr>
      <w:r>
        <w:rPr>
          <w:lang w:val="lv-LV"/>
        </w:rPr>
        <w:t>150 mg: 16-0239</w:t>
      </w:r>
    </w:p>
    <w:p w14:paraId="3E452718" w14:textId="49D89B46" w:rsidR="000D7658" w:rsidRDefault="000D7658">
      <w:pPr>
        <w:tabs>
          <w:tab w:val="clear" w:pos="567"/>
        </w:tabs>
        <w:spacing w:line="240" w:lineRule="auto"/>
        <w:ind w:left="567" w:hanging="567"/>
        <w:rPr>
          <w:lang w:val="lv-LV"/>
        </w:rPr>
      </w:pPr>
    </w:p>
    <w:p w14:paraId="15C99D35" w14:textId="77777777" w:rsidR="009A0894" w:rsidRPr="005A6EF7" w:rsidRDefault="009A0894">
      <w:pPr>
        <w:tabs>
          <w:tab w:val="clear" w:pos="567"/>
        </w:tabs>
        <w:spacing w:line="240" w:lineRule="auto"/>
        <w:ind w:left="567" w:hanging="567"/>
        <w:rPr>
          <w:lang w:val="lv-LV"/>
        </w:rPr>
      </w:pPr>
    </w:p>
    <w:p w14:paraId="7DF98DF8" w14:textId="77777777" w:rsidR="00017525" w:rsidRPr="005A6EF7" w:rsidRDefault="004A50CF">
      <w:pPr>
        <w:tabs>
          <w:tab w:val="clear" w:pos="567"/>
        </w:tabs>
        <w:spacing w:line="240" w:lineRule="auto"/>
        <w:ind w:left="567" w:hanging="567"/>
        <w:rPr>
          <w:lang w:val="lv-LV"/>
        </w:rPr>
      </w:pPr>
      <w:r w:rsidRPr="005A6EF7">
        <w:rPr>
          <w:b/>
          <w:lang w:val="lv-LV"/>
        </w:rPr>
        <w:t>9.</w:t>
      </w:r>
      <w:r w:rsidRPr="005A6EF7">
        <w:rPr>
          <w:b/>
          <w:lang w:val="lv-LV"/>
        </w:rPr>
        <w:tab/>
      </w:r>
      <w:r w:rsidR="005B0C6F" w:rsidRPr="005A6EF7">
        <w:rPr>
          <w:b/>
          <w:szCs w:val="22"/>
          <w:lang w:val="lv-LV"/>
        </w:rPr>
        <w:t xml:space="preserve">PIRMĀS </w:t>
      </w:r>
      <w:r w:rsidRPr="005A6EF7">
        <w:rPr>
          <w:b/>
          <w:lang w:val="lv-LV"/>
        </w:rPr>
        <w:t>REĢISTRĀCIJAS</w:t>
      </w:r>
      <w:r w:rsidR="00017525" w:rsidRPr="005A6EF7">
        <w:rPr>
          <w:b/>
          <w:szCs w:val="22"/>
          <w:lang w:val="lv-LV"/>
        </w:rPr>
        <w:t>/</w:t>
      </w:r>
      <w:r w:rsidRPr="005A6EF7">
        <w:rPr>
          <w:b/>
          <w:lang w:val="lv-LV"/>
        </w:rPr>
        <w:t>PĀRREĢISTRĀCIJAS DATUMS</w:t>
      </w:r>
    </w:p>
    <w:p w14:paraId="69C86385" w14:textId="77777777" w:rsidR="00017525" w:rsidRPr="005A6EF7" w:rsidRDefault="00017525">
      <w:pPr>
        <w:tabs>
          <w:tab w:val="clear" w:pos="567"/>
        </w:tabs>
        <w:spacing w:line="240" w:lineRule="auto"/>
        <w:ind w:left="567" w:hanging="567"/>
        <w:rPr>
          <w:lang w:val="lv-LV"/>
        </w:rPr>
      </w:pPr>
    </w:p>
    <w:p w14:paraId="479ECC0B" w14:textId="77777777" w:rsidR="00017525" w:rsidRPr="005A6EF7" w:rsidRDefault="002840C3">
      <w:pPr>
        <w:tabs>
          <w:tab w:val="clear" w:pos="567"/>
        </w:tabs>
        <w:spacing w:line="240" w:lineRule="auto"/>
        <w:rPr>
          <w:lang w:val="lv-LV"/>
        </w:rPr>
      </w:pPr>
      <w:r w:rsidRPr="008C3118">
        <w:rPr>
          <w:lang w:val="lv-LV"/>
        </w:rPr>
        <w:t>Reģistrācijas datums:</w:t>
      </w:r>
      <w:r w:rsidR="00A71282">
        <w:rPr>
          <w:lang w:val="lv-LV"/>
        </w:rPr>
        <w:t xml:space="preserve"> 20.12.2016</w:t>
      </w:r>
    </w:p>
    <w:p w14:paraId="35D83647" w14:textId="49AD63EE" w:rsidR="005830E4" w:rsidRDefault="005830E4">
      <w:pPr>
        <w:tabs>
          <w:tab w:val="clear" w:pos="567"/>
        </w:tabs>
        <w:spacing w:line="240" w:lineRule="auto"/>
        <w:ind w:left="567" w:hanging="567"/>
        <w:rPr>
          <w:lang w:val="lv-LV"/>
        </w:rPr>
      </w:pPr>
      <w:r w:rsidRPr="006D7FDE">
        <w:rPr>
          <w:lang w:val="lv-LV"/>
        </w:rPr>
        <w:t>Pēdējās pārreģistrācijas datums:</w:t>
      </w:r>
      <w:r>
        <w:rPr>
          <w:lang w:val="lv-LV"/>
        </w:rPr>
        <w:t xml:space="preserve"> 07.05.2021</w:t>
      </w:r>
    </w:p>
    <w:p w14:paraId="1BDF8831" w14:textId="77777777" w:rsidR="005830E4" w:rsidRDefault="005830E4">
      <w:pPr>
        <w:tabs>
          <w:tab w:val="clear" w:pos="567"/>
        </w:tabs>
        <w:spacing w:line="240" w:lineRule="auto"/>
        <w:ind w:left="567" w:hanging="567"/>
        <w:rPr>
          <w:lang w:val="lv-LV"/>
        </w:rPr>
      </w:pPr>
    </w:p>
    <w:p w14:paraId="42C05079" w14:textId="77777777" w:rsidR="002840C3" w:rsidRPr="005A6EF7" w:rsidRDefault="002840C3">
      <w:pPr>
        <w:tabs>
          <w:tab w:val="clear" w:pos="567"/>
        </w:tabs>
        <w:spacing w:line="240" w:lineRule="auto"/>
        <w:ind w:left="567" w:hanging="567"/>
        <w:rPr>
          <w:lang w:val="lv-LV"/>
        </w:rPr>
      </w:pPr>
    </w:p>
    <w:p w14:paraId="66DC1A41" w14:textId="77777777" w:rsidR="00017525" w:rsidRPr="005A6EF7" w:rsidRDefault="004A50CF">
      <w:pPr>
        <w:tabs>
          <w:tab w:val="clear" w:pos="567"/>
        </w:tabs>
        <w:spacing w:line="240" w:lineRule="auto"/>
        <w:ind w:left="567" w:hanging="567"/>
        <w:rPr>
          <w:b/>
          <w:lang w:val="lv-LV"/>
        </w:rPr>
      </w:pPr>
      <w:r w:rsidRPr="005A6EF7">
        <w:rPr>
          <w:b/>
          <w:lang w:val="lv-LV"/>
        </w:rPr>
        <w:t>10.</w:t>
      </w:r>
      <w:r w:rsidRPr="005A6EF7">
        <w:rPr>
          <w:b/>
          <w:lang w:val="lv-LV"/>
        </w:rPr>
        <w:tab/>
        <w:t>TEKSTA PĀRSKATĪŠANAS DATUMS</w:t>
      </w:r>
    </w:p>
    <w:p w14:paraId="24E829D3" w14:textId="77777777" w:rsidR="00017525" w:rsidRPr="005A6EF7" w:rsidRDefault="00017525">
      <w:pPr>
        <w:tabs>
          <w:tab w:val="clear" w:pos="567"/>
        </w:tabs>
        <w:spacing w:line="240" w:lineRule="auto"/>
        <w:ind w:left="567" w:hanging="567"/>
        <w:rPr>
          <w:lang w:val="lv-LV"/>
        </w:rPr>
      </w:pPr>
    </w:p>
    <w:p w14:paraId="799940F1" w14:textId="276F2F57" w:rsidR="00BB60A5" w:rsidRPr="005A6EF7" w:rsidRDefault="00F921FB">
      <w:pPr>
        <w:spacing w:line="240" w:lineRule="auto"/>
        <w:rPr>
          <w:lang w:val="lv-LV"/>
        </w:rPr>
      </w:pPr>
      <w:r>
        <w:rPr>
          <w:lang w:val="lv-LV"/>
        </w:rPr>
        <w:t>11/2021</w:t>
      </w:r>
    </w:p>
    <w:sectPr w:rsidR="00BB60A5" w:rsidRPr="005A6EF7" w:rsidSect="0057059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099D5" w14:textId="77777777" w:rsidR="00E605CD" w:rsidRDefault="00E605CD">
      <w:pPr>
        <w:rPr>
          <w:szCs w:val="24"/>
        </w:rPr>
      </w:pPr>
      <w:r>
        <w:rPr>
          <w:szCs w:val="24"/>
        </w:rPr>
        <w:separator/>
      </w:r>
    </w:p>
  </w:endnote>
  <w:endnote w:type="continuationSeparator" w:id="0">
    <w:p w14:paraId="1B15B42D" w14:textId="77777777" w:rsidR="00E605CD" w:rsidRDefault="00E605CD">
      <w:pPr>
        <w:rPr>
          <w:szCs w:val="24"/>
        </w:rPr>
      </w:pPr>
      <w:r>
        <w:rPr>
          <w:szCs w:val="24"/>
        </w:rPr>
        <w:continuationSeparator/>
      </w:r>
    </w:p>
  </w:endnote>
  <w:endnote w:type="continuationNotice" w:id="1">
    <w:p w14:paraId="6A6F4BA2" w14:textId="77777777" w:rsidR="00E605CD" w:rsidRDefault="00E605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D21FE" w14:textId="77777777" w:rsidR="003C1F6B" w:rsidRDefault="003C1F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88D4" w14:textId="58BCCAD7" w:rsidR="00046D1B" w:rsidRPr="00016DC7" w:rsidRDefault="002840C3" w:rsidP="002840C3">
    <w:pPr>
      <w:pStyle w:val="Footer"/>
      <w:jc w:val="right"/>
      <w:rPr>
        <w:rFonts w:ascii="Arial" w:hAnsi="Arial" w:cs="Arial"/>
        <w:sz w:val="16"/>
        <w:szCs w:val="16"/>
      </w:rPr>
    </w:pPr>
    <w:r>
      <w:fldChar w:fldCharType="begin"/>
    </w:r>
    <w:r>
      <w:instrText>PAGE   \* MERGEFORMAT</w:instrText>
    </w:r>
    <w:r>
      <w:fldChar w:fldCharType="separate"/>
    </w:r>
    <w:r w:rsidR="00235CCB" w:rsidRPr="00235CCB">
      <w:rPr>
        <w:noProof/>
        <w:lang w:val="pl-PL"/>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6989" w14:textId="77777777" w:rsidR="00046D1B" w:rsidRDefault="002840C3" w:rsidP="002840C3">
    <w:pPr>
      <w:pStyle w:val="Footer"/>
      <w:jc w:val="right"/>
      <w:rPr>
        <w:szCs w:val="24"/>
      </w:rPr>
    </w:pPr>
    <w:r>
      <w:fldChar w:fldCharType="begin"/>
    </w:r>
    <w:r>
      <w:instrText>PAGE   \* MERGEFORMAT</w:instrText>
    </w:r>
    <w:r>
      <w:fldChar w:fldCharType="separate"/>
    </w:r>
    <w:r w:rsidR="00570598" w:rsidRPr="00570598">
      <w:rPr>
        <w:noProof/>
        <w:lang w:val="pl-P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4C3F3" w14:textId="77777777" w:rsidR="00E605CD" w:rsidRDefault="00E605CD">
      <w:pPr>
        <w:rPr>
          <w:szCs w:val="24"/>
        </w:rPr>
      </w:pPr>
      <w:r>
        <w:rPr>
          <w:szCs w:val="24"/>
        </w:rPr>
        <w:separator/>
      </w:r>
    </w:p>
  </w:footnote>
  <w:footnote w:type="continuationSeparator" w:id="0">
    <w:p w14:paraId="412D1F84" w14:textId="77777777" w:rsidR="00E605CD" w:rsidRDefault="00E605CD">
      <w:pPr>
        <w:rPr>
          <w:szCs w:val="24"/>
        </w:rPr>
      </w:pPr>
      <w:r>
        <w:rPr>
          <w:szCs w:val="24"/>
        </w:rPr>
        <w:continuationSeparator/>
      </w:r>
    </w:p>
  </w:footnote>
  <w:footnote w:type="continuationNotice" w:id="1">
    <w:p w14:paraId="687EB0F9" w14:textId="77777777" w:rsidR="00E605CD" w:rsidRDefault="00E605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6391" w14:textId="77777777" w:rsidR="003C1F6B" w:rsidRDefault="003C1F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34B80" w14:textId="32F58C83" w:rsidR="00570598" w:rsidRPr="00435062" w:rsidRDefault="00570598" w:rsidP="00570598">
    <w:pPr>
      <w:pStyle w:val="Header"/>
      <w:jc w:val="right"/>
      <w:rPr>
        <w:sz w:val="24"/>
      </w:rPr>
    </w:pPr>
    <w:r>
      <w:rPr>
        <w:sz w:val="24"/>
      </w:rPr>
      <w:t>SASKAŅOTS ZVA</w:t>
    </w:r>
    <w:r w:rsidR="003C1F6B">
      <w:rPr>
        <w:sz w:val="24"/>
      </w:rPr>
      <w:t xml:space="preserve"> 02-12-2021</w:t>
    </w:r>
  </w:p>
  <w:p w14:paraId="02544FCF" w14:textId="77777777" w:rsidR="00435062" w:rsidRPr="00570598" w:rsidRDefault="00435062" w:rsidP="00570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F6AB" w14:textId="77777777" w:rsidR="00435062" w:rsidRPr="00435062" w:rsidRDefault="00E31E1E" w:rsidP="00E31E1E">
    <w:pPr>
      <w:pStyle w:val="Header"/>
      <w:jc w:val="right"/>
      <w:rPr>
        <w:sz w:val="24"/>
      </w:rPr>
    </w:pPr>
    <w:r>
      <w:rPr>
        <w:sz w:val="24"/>
      </w:rPr>
      <w:t>SASKAŅOTS ZVA 13-07-2017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40016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4" w15:restartNumberingAfterBreak="0">
    <w:nsid w:val="0851495A"/>
    <w:multiLevelType w:val="multilevel"/>
    <w:tmpl w:val="66C06C50"/>
    <w:lvl w:ilvl="0">
      <w:start w:val="5"/>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66B22"/>
    <w:multiLevelType w:val="multilevel"/>
    <w:tmpl w:val="A2AE694E"/>
    <w:lvl w:ilvl="0">
      <w:start w:val="5"/>
      <w:numFmt w:val="decimal"/>
      <w:lvlText w:val="%1"/>
      <w:lvlJc w:val="left"/>
      <w:pPr>
        <w:tabs>
          <w:tab w:val="num" w:pos="570"/>
        </w:tabs>
        <w:ind w:left="570" w:hanging="570"/>
      </w:pPr>
      <w:rPr>
        <w:rFonts w:cs="Times New Roman" w:hint="default"/>
        <w:b/>
      </w:rPr>
    </w:lvl>
    <w:lvl w:ilvl="1">
      <w:start w:val="3"/>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7" w15:restartNumberingAfterBreak="0">
    <w:nsid w:val="0F351A5E"/>
    <w:multiLevelType w:val="hybridMultilevel"/>
    <w:tmpl w:val="754424AA"/>
    <w:lvl w:ilvl="0" w:tplc="F784358C">
      <w:start w:val="4"/>
      <w:numFmt w:val="decimal"/>
      <w:lvlText w:val="%1."/>
      <w:lvlJc w:val="left"/>
      <w:pPr>
        <w:tabs>
          <w:tab w:val="num" w:pos="930"/>
        </w:tabs>
        <w:ind w:left="930" w:hanging="570"/>
      </w:pPr>
      <w:rPr>
        <w:rFonts w:cs="Times New Roman" w:hint="default"/>
      </w:rPr>
    </w:lvl>
    <w:lvl w:ilvl="1" w:tplc="B8B20A48" w:tentative="1">
      <w:start w:val="1"/>
      <w:numFmt w:val="lowerLetter"/>
      <w:lvlText w:val="%2."/>
      <w:lvlJc w:val="left"/>
      <w:pPr>
        <w:tabs>
          <w:tab w:val="num" w:pos="1440"/>
        </w:tabs>
        <w:ind w:left="1440" w:hanging="360"/>
      </w:pPr>
      <w:rPr>
        <w:rFonts w:cs="Times New Roman"/>
      </w:rPr>
    </w:lvl>
    <w:lvl w:ilvl="2" w:tplc="E8409A4A" w:tentative="1">
      <w:start w:val="1"/>
      <w:numFmt w:val="lowerRoman"/>
      <w:lvlText w:val="%3."/>
      <w:lvlJc w:val="right"/>
      <w:pPr>
        <w:tabs>
          <w:tab w:val="num" w:pos="2160"/>
        </w:tabs>
        <w:ind w:left="2160" w:hanging="180"/>
      </w:pPr>
      <w:rPr>
        <w:rFonts w:cs="Times New Roman"/>
      </w:rPr>
    </w:lvl>
    <w:lvl w:ilvl="3" w:tplc="ACB40A28" w:tentative="1">
      <w:start w:val="1"/>
      <w:numFmt w:val="decimal"/>
      <w:lvlText w:val="%4."/>
      <w:lvlJc w:val="left"/>
      <w:pPr>
        <w:tabs>
          <w:tab w:val="num" w:pos="2880"/>
        </w:tabs>
        <w:ind w:left="2880" w:hanging="360"/>
      </w:pPr>
      <w:rPr>
        <w:rFonts w:cs="Times New Roman"/>
      </w:rPr>
    </w:lvl>
    <w:lvl w:ilvl="4" w:tplc="DEB0BC40" w:tentative="1">
      <w:start w:val="1"/>
      <w:numFmt w:val="lowerLetter"/>
      <w:lvlText w:val="%5."/>
      <w:lvlJc w:val="left"/>
      <w:pPr>
        <w:tabs>
          <w:tab w:val="num" w:pos="3600"/>
        </w:tabs>
        <w:ind w:left="3600" w:hanging="360"/>
      </w:pPr>
      <w:rPr>
        <w:rFonts w:cs="Times New Roman"/>
      </w:rPr>
    </w:lvl>
    <w:lvl w:ilvl="5" w:tplc="8AB23504" w:tentative="1">
      <w:start w:val="1"/>
      <w:numFmt w:val="lowerRoman"/>
      <w:lvlText w:val="%6."/>
      <w:lvlJc w:val="right"/>
      <w:pPr>
        <w:tabs>
          <w:tab w:val="num" w:pos="4320"/>
        </w:tabs>
        <w:ind w:left="4320" w:hanging="180"/>
      </w:pPr>
      <w:rPr>
        <w:rFonts w:cs="Times New Roman"/>
      </w:rPr>
    </w:lvl>
    <w:lvl w:ilvl="6" w:tplc="4CF4B996" w:tentative="1">
      <w:start w:val="1"/>
      <w:numFmt w:val="decimal"/>
      <w:lvlText w:val="%7."/>
      <w:lvlJc w:val="left"/>
      <w:pPr>
        <w:tabs>
          <w:tab w:val="num" w:pos="5040"/>
        </w:tabs>
        <w:ind w:left="5040" w:hanging="360"/>
      </w:pPr>
      <w:rPr>
        <w:rFonts w:cs="Times New Roman"/>
      </w:rPr>
    </w:lvl>
    <w:lvl w:ilvl="7" w:tplc="1E528FEA" w:tentative="1">
      <w:start w:val="1"/>
      <w:numFmt w:val="lowerLetter"/>
      <w:lvlText w:val="%8."/>
      <w:lvlJc w:val="left"/>
      <w:pPr>
        <w:tabs>
          <w:tab w:val="num" w:pos="5760"/>
        </w:tabs>
        <w:ind w:left="5760" w:hanging="360"/>
      </w:pPr>
      <w:rPr>
        <w:rFonts w:cs="Times New Roman"/>
      </w:rPr>
    </w:lvl>
    <w:lvl w:ilvl="8" w:tplc="70FE5FCE" w:tentative="1">
      <w:start w:val="1"/>
      <w:numFmt w:val="lowerRoman"/>
      <w:lvlText w:val="%9."/>
      <w:lvlJc w:val="right"/>
      <w:pPr>
        <w:tabs>
          <w:tab w:val="num" w:pos="6480"/>
        </w:tabs>
        <w:ind w:left="6480" w:hanging="180"/>
      </w:pPr>
      <w:rPr>
        <w:rFonts w:cs="Times New Roman"/>
      </w:rPr>
    </w:lvl>
  </w:abstractNum>
  <w:abstractNum w:abstractNumId="8" w15:restartNumberingAfterBreak="0">
    <w:nsid w:val="178B6D10"/>
    <w:multiLevelType w:val="hybridMultilevel"/>
    <w:tmpl w:val="05EC8B8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1A2A7507"/>
    <w:multiLevelType w:val="hybridMultilevel"/>
    <w:tmpl w:val="C3C03DB8"/>
    <w:lvl w:ilvl="0" w:tplc="A8F2F04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31F76"/>
    <w:multiLevelType w:val="hybridMultilevel"/>
    <w:tmpl w:val="69E614E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15:restartNumberingAfterBreak="0">
    <w:nsid w:val="1EA37FC5"/>
    <w:multiLevelType w:val="singleLevel"/>
    <w:tmpl w:val="FFFFFFFF"/>
    <w:lvl w:ilvl="0">
      <w:start w:val="1"/>
      <w:numFmt w:val="bullet"/>
      <w:lvlText w:val="-"/>
      <w:lvlJc w:val="left"/>
      <w:pPr>
        <w:ind w:left="1800" w:hanging="360"/>
      </w:pPr>
    </w:lvl>
  </w:abstractNum>
  <w:abstractNum w:abstractNumId="12" w15:restartNumberingAfterBreak="0">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19A3667"/>
    <w:multiLevelType w:val="multilevel"/>
    <w:tmpl w:val="FFFFFFFF"/>
    <w:lvl w:ilvl="0">
      <w:start w:val="1"/>
      <w:numFmt w:val="bullet"/>
      <w:lvlText w:val=""/>
      <w:lvlJc w:val="left"/>
      <w:pPr>
        <w:ind w:left="284" w:hanging="284"/>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3645EBD"/>
    <w:multiLevelType w:val="hybridMultilevel"/>
    <w:tmpl w:val="A8CC254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31E3B65"/>
    <w:multiLevelType w:val="hybridMultilevel"/>
    <w:tmpl w:val="197AA068"/>
    <w:lvl w:ilvl="0" w:tplc="2C4E0D5A">
      <w:start w:val="1"/>
      <w:numFmt w:val="upperLetter"/>
      <w:lvlText w:val="%1."/>
      <w:lvlJc w:val="left"/>
      <w:pPr>
        <w:ind w:left="1494" w:hanging="360"/>
      </w:pPr>
      <w:rPr>
        <w:rFonts w:cs="Times New Roman" w:hint="default"/>
        <w:b/>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9" w15:restartNumberingAfterBreak="0">
    <w:nsid w:val="33383BA1"/>
    <w:multiLevelType w:val="hybridMultilevel"/>
    <w:tmpl w:val="0766529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15:restartNumberingAfterBreak="0">
    <w:nsid w:val="343F07F1"/>
    <w:multiLevelType w:val="hybridMultilevel"/>
    <w:tmpl w:val="7A20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15:restartNumberingAfterBreak="0">
    <w:nsid w:val="3B0A2100"/>
    <w:multiLevelType w:val="hybridMultilevel"/>
    <w:tmpl w:val="CC580328"/>
    <w:lvl w:ilvl="0" w:tplc="A8F2F04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24" w15:restartNumberingAfterBreak="0">
    <w:nsid w:val="419D6658"/>
    <w:multiLevelType w:val="hybridMultilevel"/>
    <w:tmpl w:val="17F8F9DC"/>
    <w:lvl w:ilvl="0" w:tplc="F63E30C0">
      <w:start w:val="1"/>
      <w:numFmt w:val="bullet"/>
      <w:lvlText w:val=""/>
      <w:lvlJc w:val="left"/>
      <w:pPr>
        <w:tabs>
          <w:tab w:val="num" w:pos="567"/>
        </w:tabs>
        <w:ind w:left="567" w:hanging="454"/>
      </w:pPr>
      <w:rPr>
        <w:rFonts w:ascii="Symbol" w:hAnsi="Symbol" w:hint="default"/>
      </w:rPr>
    </w:lvl>
    <w:lvl w:ilvl="1" w:tplc="ACE08F3C">
      <w:start w:val="1"/>
      <w:numFmt w:val="bullet"/>
      <w:lvlText w:val="o"/>
      <w:lvlJc w:val="left"/>
      <w:pPr>
        <w:tabs>
          <w:tab w:val="num" w:pos="1440"/>
        </w:tabs>
        <w:ind w:left="1440" w:hanging="360"/>
      </w:pPr>
      <w:rPr>
        <w:rFonts w:ascii="Courier New" w:hAnsi="Courier New" w:hint="default"/>
      </w:rPr>
    </w:lvl>
    <w:lvl w:ilvl="2" w:tplc="961AD3D2" w:tentative="1">
      <w:start w:val="1"/>
      <w:numFmt w:val="bullet"/>
      <w:lvlText w:val=""/>
      <w:lvlJc w:val="left"/>
      <w:pPr>
        <w:tabs>
          <w:tab w:val="num" w:pos="2160"/>
        </w:tabs>
        <w:ind w:left="2160" w:hanging="360"/>
      </w:pPr>
      <w:rPr>
        <w:rFonts w:ascii="Wingdings" w:hAnsi="Wingdings" w:hint="default"/>
      </w:rPr>
    </w:lvl>
    <w:lvl w:ilvl="3" w:tplc="B418B20A" w:tentative="1">
      <w:start w:val="1"/>
      <w:numFmt w:val="bullet"/>
      <w:lvlText w:val=""/>
      <w:lvlJc w:val="left"/>
      <w:pPr>
        <w:tabs>
          <w:tab w:val="num" w:pos="2880"/>
        </w:tabs>
        <w:ind w:left="2880" w:hanging="360"/>
      </w:pPr>
      <w:rPr>
        <w:rFonts w:ascii="Symbol" w:hAnsi="Symbol" w:hint="default"/>
      </w:rPr>
    </w:lvl>
    <w:lvl w:ilvl="4" w:tplc="982C6E74" w:tentative="1">
      <w:start w:val="1"/>
      <w:numFmt w:val="bullet"/>
      <w:lvlText w:val="o"/>
      <w:lvlJc w:val="left"/>
      <w:pPr>
        <w:tabs>
          <w:tab w:val="num" w:pos="3600"/>
        </w:tabs>
        <w:ind w:left="3600" w:hanging="360"/>
      </w:pPr>
      <w:rPr>
        <w:rFonts w:ascii="Courier New" w:hAnsi="Courier New" w:hint="default"/>
      </w:rPr>
    </w:lvl>
    <w:lvl w:ilvl="5" w:tplc="D5302DD6" w:tentative="1">
      <w:start w:val="1"/>
      <w:numFmt w:val="bullet"/>
      <w:lvlText w:val=""/>
      <w:lvlJc w:val="left"/>
      <w:pPr>
        <w:tabs>
          <w:tab w:val="num" w:pos="4320"/>
        </w:tabs>
        <w:ind w:left="4320" w:hanging="360"/>
      </w:pPr>
      <w:rPr>
        <w:rFonts w:ascii="Wingdings" w:hAnsi="Wingdings" w:hint="default"/>
      </w:rPr>
    </w:lvl>
    <w:lvl w:ilvl="6" w:tplc="CC9E4C0C" w:tentative="1">
      <w:start w:val="1"/>
      <w:numFmt w:val="bullet"/>
      <w:lvlText w:val=""/>
      <w:lvlJc w:val="left"/>
      <w:pPr>
        <w:tabs>
          <w:tab w:val="num" w:pos="5040"/>
        </w:tabs>
        <w:ind w:left="5040" w:hanging="360"/>
      </w:pPr>
      <w:rPr>
        <w:rFonts w:ascii="Symbol" w:hAnsi="Symbol" w:hint="default"/>
      </w:rPr>
    </w:lvl>
    <w:lvl w:ilvl="7" w:tplc="E2AA2232" w:tentative="1">
      <w:start w:val="1"/>
      <w:numFmt w:val="bullet"/>
      <w:lvlText w:val="o"/>
      <w:lvlJc w:val="left"/>
      <w:pPr>
        <w:tabs>
          <w:tab w:val="num" w:pos="5760"/>
        </w:tabs>
        <w:ind w:left="5760" w:hanging="360"/>
      </w:pPr>
      <w:rPr>
        <w:rFonts w:ascii="Courier New" w:hAnsi="Courier New" w:hint="default"/>
      </w:rPr>
    </w:lvl>
    <w:lvl w:ilvl="8" w:tplc="1C94BCE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10019"/>
    <w:multiLevelType w:val="singleLevel"/>
    <w:tmpl w:val="FFFFFFFF"/>
    <w:lvl w:ilvl="0">
      <w:start w:val="1"/>
      <w:numFmt w:val="bullet"/>
      <w:lvlText w:val="-"/>
      <w:lvlJc w:val="left"/>
      <w:pPr>
        <w:ind w:left="1800" w:hanging="360"/>
      </w:pPr>
    </w:lvl>
  </w:abstractNum>
  <w:abstractNum w:abstractNumId="26" w15:restartNumberingAfterBreak="0">
    <w:nsid w:val="4B070320"/>
    <w:multiLevelType w:val="hybridMultilevel"/>
    <w:tmpl w:val="032296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E54AFE"/>
    <w:multiLevelType w:val="hybridMultilevel"/>
    <w:tmpl w:val="B1A46980"/>
    <w:lvl w:ilvl="0" w:tplc="49F83186">
      <w:start w:val="8"/>
      <w:numFmt w:val="decimal"/>
      <w:lvlText w:val="%1."/>
      <w:lvlJc w:val="left"/>
      <w:pPr>
        <w:tabs>
          <w:tab w:val="num" w:pos="570"/>
        </w:tabs>
        <w:ind w:left="570" w:hanging="570"/>
      </w:pPr>
      <w:rPr>
        <w:rFonts w:cs="Times New Roman" w:hint="default"/>
      </w:rPr>
    </w:lvl>
    <w:lvl w:ilvl="1" w:tplc="488EFF28" w:tentative="1">
      <w:start w:val="1"/>
      <w:numFmt w:val="lowerLetter"/>
      <w:lvlText w:val="%2."/>
      <w:lvlJc w:val="left"/>
      <w:pPr>
        <w:tabs>
          <w:tab w:val="num" w:pos="1080"/>
        </w:tabs>
        <w:ind w:left="1080" w:hanging="360"/>
      </w:pPr>
      <w:rPr>
        <w:rFonts w:cs="Times New Roman"/>
      </w:rPr>
    </w:lvl>
    <w:lvl w:ilvl="2" w:tplc="6E1A3842" w:tentative="1">
      <w:start w:val="1"/>
      <w:numFmt w:val="lowerRoman"/>
      <w:lvlText w:val="%3."/>
      <w:lvlJc w:val="right"/>
      <w:pPr>
        <w:tabs>
          <w:tab w:val="num" w:pos="1800"/>
        </w:tabs>
        <w:ind w:left="1800" w:hanging="180"/>
      </w:pPr>
      <w:rPr>
        <w:rFonts w:cs="Times New Roman"/>
      </w:rPr>
    </w:lvl>
    <w:lvl w:ilvl="3" w:tplc="9DFEB47E" w:tentative="1">
      <w:start w:val="1"/>
      <w:numFmt w:val="decimal"/>
      <w:lvlText w:val="%4."/>
      <w:lvlJc w:val="left"/>
      <w:pPr>
        <w:tabs>
          <w:tab w:val="num" w:pos="2520"/>
        </w:tabs>
        <w:ind w:left="2520" w:hanging="360"/>
      </w:pPr>
      <w:rPr>
        <w:rFonts w:cs="Times New Roman"/>
      </w:rPr>
    </w:lvl>
    <w:lvl w:ilvl="4" w:tplc="D398E428" w:tentative="1">
      <w:start w:val="1"/>
      <w:numFmt w:val="lowerLetter"/>
      <w:lvlText w:val="%5."/>
      <w:lvlJc w:val="left"/>
      <w:pPr>
        <w:tabs>
          <w:tab w:val="num" w:pos="3240"/>
        </w:tabs>
        <w:ind w:left="3240" w:hanging="360"/>
      </w:pPr>
      <w:rPr>
        <w:rFonts w:cs="Times New Roman"/>
      </w:rPr>
    </w:lvl>
    <w:lvl w:ilvl="5" w:tplc="5B346808" w:tentative="1">
      <w:start w:val="1"/>
      <w:numFmt w:val="lowerRoman"/>
      <w:lvlText w:val="%6."/>
      <w:lvlJc w:val="right"/>
      <w:pPr>
        <w:tabs>
          <w:tab w:val="num" w:pos="3960"/>
        </w:tabs>
        <w:ind w:left="3960" w:hanging="180"/>
      </w:pPr>
      <w:rPr>
        <w:rFonts w:cs="Times New Roman"/>
      </w:rPr>
    </w:lvl>
    <w:lvl w:ilvl="6" w:tplc="67BC24E4" w:tentative="1">
      <w:start w:val="1"/>
      <w:numFmt w:val="decimal"/>
      <w:lvlText w:val="%7."/>
      <w:lvlJc w:val="left"/>
      <w:pPr>
        <w:tabs>
          <w:tab w:val="num" w:pos="4680"/>
        </w:tabs>
        <w:ind w:left="4680" w:hanging="360"/>
      </w:pPr>
      <w:rPr>
        <w:rFonts w:cs="Times New Roman"/>
      </w:rPr>
    </w:lvl>
    <w:lvl w:ilvl="7" w:tplc="A88441F4" w:tentative="1">
      <w:start w:val="1"/>
      <w:numFmt w:val="lowerLetter"/>
      <w:lvlText w:val="%8."/>
      <w:lvlJc w:val="left"/>
      <w:pPr>
        <w:tabs>
          <w:tab w:val="num" w:pos="5400"/>
        </w:tabs>
        <w:ind w:left="5400" w:hanging="360"/>
      </w:pPr>
      <w:rPr>
        <w:rFonts w:cs="Times New Roman"/>
      </w:rPr>
    </w:lvl>
    <w:lvl w:ilvl="8" w:tplc="A844D788" w:tentative="1">
      <w:start w:val="1"/>
      <w:numFmt w:val="lowerRoman"/>
      <w:lvlText w:val="%9."/>
      <w:lvlJc w:val="right"/>
      <w:pPr>
        <w:tabs>
          <w:tab w:val="num" w:pos="6120"/>
        </w:tabs>
        <w:ind w:left="6120" w:hanging="180"/>
      </w:pPr>
      <w:rPr>
        <w:rFonts w:cs="Times New Roman"/>
      </w:rPr>
    </w:lvl>
  </w:abstractNum>
  <w:abstractNum w:abstractNumId="28" w15:restartNumberingAfterBreak="0">
    <w:nsid w:val="4F715EA8"/>
    <w:multiLevelType w:val="hybridMultilevel"/>
    <w:tmpl w:val="85242A24"/>
    <w:lvl w:ilvl="0" w:tplc="56A45A5E">
      <w:start w:val="4"/>
      <w:numFmt w:val="decimal"/>
      <w:lvlText w:val="%1."/>
      <w:lvlJc w:val="left"/>
      <w:pPr>
        <w:tabs>
          <w:tab w:val="num" w:pos="720"/>
        </w:tabs>
        <w:ind w:left="720" w:hanging="360"/>
      </w:pPr>
      <w:rPr>
        <w:rFonts w:cs="Times New Roman" w:hint="default"/>
      </w:rPr>
    </w:lvl>
    <w:lvl w:ilvl="1" w:tplc="42647120" w:tentative="1">
      <w:start w:val="1"/>
      <w:numFmt w:val="lowerLetter"/>
      <w:lvlText w:val="%2."/>
      <w:lvlJc w:val="left"/>
      <w:pPr>
        <w:tabs>
          <w:tab w:val="num" w:pos="1440"/>
        </w:tabs>
        <w:ind w:left="1440" w:hanging="360"/>
      </w:pPr>
      <w:rPr>
        <w:rFonts w:cs="Times New Roman"/>
      </w:rPr>
    </w:lvl>
    <w:lvl w:ilvl="2" w:tplc="7352A0E2" w:tentative="1">
      <w:start w:val="1"/>
      <w:numFmt w:val="lowerRoman"/>
      <w:lvlText w:val="%3."/>
      <w:lvlJc w:val="right"/>
      <w:pPr>
        <w:tabs>
          <w:tab w:val="num" w:pos="2160"/>
        </w:tabs>
        <w:ind w:left="2160" w:hanging="180"/>
      </w:pPr>
      <w:rPr>
        <w:rFonts w:cs="Times New Roman"/>
      </w:rPr>
    </w:lvl>
    <w:lvl w:ilvl="3" w:tplc="7166C564" w:tentative="1">
      <w:start w:val="1"/>
      <w:numFmt w:val="decimal"/>
      <w:lvlText w:val="%4."/>
      <w:lvlJc w:val="left"/>
      <w:pPr>
        <w:tabs>
          <w:tab w:val="num" w:pos="2880"/>
        </w:tabs>
        <w:ind w:left="2880" w:hanging="360"/>
      </w:pPr>
      <w:rPr>
        <w:rFonts w:cs="Times New Roman"/>
      </w:rPr>
    </w:lvl>
    <w:lvl w:ilvl="4" w:tplc="34E4650E" w:tentative="1">
      <w:start w:val="1"/>
      <w:numFmt w:val="lowerLetter"/>
      <w:lvlText w:val="%5."/>
      <w:lvlJc w:val="left"/>
      <w:pPr>
        <w:tabs>
          <w:tab w:val="num" w:pos="3600"/>
        </w:tabs>
        <w:ind w:left="3600" w:hanging="360"/>
      </w:pPr>
      <w:rPr>
        <w:rFonts w:cs="Times New Roman"/>
      </w:rPr>
    </w:lvl>
    <w:lvl w:ilvl="5" w:tplc="4418AC70" w:tentative="1">
      <w:start w:val="1"/>
      <w:numFmt w:val="lowerRoman"/>
      <w:lvlText w:val="%6."/>
      <w:lvlJc w:val="right"/>
      <w:pPr>
        <w:tabs>
          <w:tab w:val="num" w:pos="4320"/>
        </w:tabs>
        <w:ind w:left="4320" w:hanging="180"/>
      </w:pPr>
      <w:rPr>
        <w:rFonts w:cs="Times New Roman"/>
      </w:rPr>
    </w:lvl>
    <w:lvl w:ilvl="6" w:tplc="B0821680" w:tentative="1">
      <w:start w:val="1"/>
      <w:numFmt w:val="decimal"/>
      <w:lvlText w:val="%7."/>
      <w:lvlJc w:val="left"/>
      <w:pPr>
        <w:tabs>
          <w:tab w:val="num" w:pos="5040"/>
        </w:tabs>
        <w:ind w:left="5040" w:hanging="360"/>
      </w:pPr>
      <w:rPr>
        <w:rFonts w:cs="Times New Roman"/>
      </w:rPr>
    </w:lvl>
    <w:lvl w:ilvl="7" w:tplc="6EBCADB6" w:tentative="1">
      <w:start w:val="1"/>
      <w:numFmt w:val="lowerLetter"/>
      <w:lvlText w:val="%8."/>
      <w:lvlJc w:val="left"/>
      <w:pPr>
        <w:tabs>
          <w:tab w:val="num" w:pos="5760"/>
        </w:tabs>
        <w:ind w:left="5760" w:hanging="360"/>
      </w:pPr>
      <w:rPr>
        <w:rFonts w:cs="Times New Roman"/>
      </w:rPr>
    </w:lvl>
    <w:lvl w:ilvl="8" w:tplc="A972F1A8"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0C4365"/>
    <w:multiLevelType w:val="singleLevel"/>
    <w:tmpl w:val="FFFFFFFF"/>
    <w:lvl w:ilvl="0">
      <w:start w:val="1"/>
      <w:numFmt w:val="bullet"/>
      <w:lvlText w:val="-"/>
      <w:lvlJc w:val="left"/>
      <w:pPr>
        <w:ind w:left="1800" w:hanging="360"/>
      </w:pPr>
    </w:lvl>
  </w:abstractNum>
  <w:abstractNum w:abstractNumId="30"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E1D51B4"/>
    <w:multiLevelType w:val="hybridMultilevel"/>
    <w:tmpl w:val="198C95DC"/>
    <w:lvl w:ilvl="0" w:tplc="A8F2F046">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15:restartNumberingAfterBreak="0">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34" w15:restartNumberingAfterBreak="0">
    <w:nsid w:val="680F5073"/>
    <w:multiLevelType w:val="hybridMultilevel"/>
    <w:tmpl w:val="296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6" w15:restartNumberingAfterBreak="0">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BBA03A8"/>
    <w:multiLevelType w:val="hybridMultilevel"/>
    <w:tmpl w:val="1436D45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15:restartNumberingAfterBreak="0">
    <w:nsid w:val="6BEB7447"/>
    <w:multiLevelType w:val="singleLevel"/>
    <w:tmpl w:val="FFFFFFFF"/>
    <w:lvl w:ilvl="0">
      <w:start w:val="1"/>
      <w:numFmt w:val="bullet"/>
      <w:lvlText w:val=""/>
      <w:lvlJc w:val="left"/>
      <w:pPr>
        <w:ind w:left="283" w:hanging="283"/>
      </w:pPr>
      <w:rPr>
        <w:rFonts w:ascii="Symbol" w:hAnsi="Symbol" w:hint="default"/>
      </w:rPr>
    </w:lvl>
  </w:abstractNum>
  <w:abstractNum w:abstractNumId="40" w15:restartNumberingAfterBreak="0">
    <w:nsid w:val="6D4F3A43"/>
    <w:multiLevelType w:val="hybridMultilevel"/>
    <w:tmpl w:val="44EA2960"/>
    <w:lvl w:ilvl="0" w:tplc="2BD26FD4">
      <w:start w:val="5"/>
      <w:numFmt w:val="decimal"/>
      <w:lvlText w:val="%1."/>
      <w:lvlJc w:val="left"/>
      <w:pPr>
        <w:tabs>
          <w:tab w:val="num" w:pos="930"/>
        </w:tabs>
        <w:ind w:left="930" w:hanging="570"/>
      </w:pPr>
      <w:rPr>
        <w:rFonts w:cs="Times New Roman" w:hint="default"/>
        <w:color w:val="auto"/>
      </w:rPr>
    </w:lvl>
    <w:lvl w:ilvl="1" w:tplc="9DF41086" w:tentative="1">
      <w:start w:val="1"/>
      <w:numFmt w:val="lowerLetter"/>
      <w:lvlText w:val="%2."/>
      <w:lvlJc w:val="left"/>
      <w:pPr>
        <w:tabs>
          <w:tab w:val="num" w:pos="1440"/>
        </w:tabs>
        <w:ind w:left="1440" w:hanging="360"/>
      </w:pPr>
      <w:rPr>
        <w:rFonts w:cs="Times New Roman"/>
      </w:rPr>
    </w:lvl>
    <w:lvl w:ilvl="2" w:tplc="21423E82" w:tentative="1">
      <w:start w:val="1"/>
      <w:numFmt w:val="lowerRoman"/>
      <w:lvlText w:val="%3."/>
      <w:lvlJc w:val="right"/>
      <w:pPr>
        <w:tabs>
          <w:tab w:val="num" w:pos="2160"/>
        </w:tabs>
        <w:ind w:left="2160" w:hanging="180"/>
      </w:pPr>
      <w:rPr>
        <w:rFonts w:cs="Times New Roman"/>
      </w:rPr>
    </w:lvl>
    <w:lvl w:ilvl="3" w:tplc="5DBE96D4" w:tentative="1">
      <w:start w:val="1"/>
      <w:numFmt w:val="decimal"/>
      <w:lvlText w:val="%4."/>
      <w:lvlJc w:val="left"/>
      <w:pPr>
        <w:tabs>
          <w:tab w:val="num" w:pos="2880"/>
        </w:tabs>
        <w:ind w:left="2880" w:hanging="360"/>
      </w:pPr>
      <w:rPr>
        <w:rFonts w:cs="Times New Roman"/>
      </w:rPr>
    </w:lvl>
    <w:lvl w:ilvl="4" w:tplc="F22E6302" w:tentative="1">
      <w:start w:val="1"/>
      <w:numFmt w:val="lowerLetter"/>
      <w:lvlText w:val="%5."/>
      <w:lvlJc w:val="left"/>
      <w:pPr>
        <w:tabs>
          <w:tab w:val="num" w:pos="3600"/>
        </w:tabs>
        <w:ind w:left="3600" w:hanging="360"/>
      </w:pPr>
      <w:rPr>
        <w:rFonts w:cs="Times New Roman"/>
      </w:rPr>
    </w:lvl>
    <w:lvl w:ilvl="5" w:tplc="A7808374" w:tentative="1">
      <w:start w:val="1"/>
      <w:numFmt w:val="lowerRoman"/>
      <w:lvlText w:val="%6."/>
      <w:lvlJc w:val="right"/>
      <w:pPr>
        <w:tabs>
          <w:tab w:val="num" w:pos="4320"/>
        </w:tabs>
        <w:ind w:left="4320" w:hanging="180"/>
      </w:pPr>
      <w:rPr>
        <w:rFonts w:cs="Times New Roman"/>
      </w:rPr>
    </w:lvl>
    <w:lvl w:ilvl="6" w:tplc="5C5A79F8" w:tentative="1">
      <w:start w:val="1"/>
      <w:numFmt w:val="decimal"/>
      <w:lvlText w:val="%7."/>
      <w:lvlJc w:val="left"/>
      <w:pPr>
        <w:tabs>
          <w:tab w:val="num" w:pos="5040"/>
        </w:tabs>
        <w:ind w:left="5040" w:hanging="360"/>
      </w:pPr>
      <w:rPr>
        <w:rFonts w:cs="Times New Roman"/>
      </w:rPr>
    </w:lvl>
    <w:lvl w:ilvl="7" w:tplc="AE8E1C32" w:tentative="1">
      <w:start w:val="1"/>
      <w:numFmt w:val="lowerLetter"/>
      <w:lvlText w:val="%8."/>
      <w:lvlJc w:val="left"/>
      <w:pPr>
        <w:tabs>
          <w:tab w:val="num" w:pos="5760"/>
        </w:tabs>
        <w:ind w:left="5760" w:hanging="360"/>
      </w:pPr>
      <w:rPr>
        <w:rFonts w:cs="Times New Roman"/>
      </w:rPr>
    </w:lvl>
    <w:lvl w:ilvl="8" w:tplc="0C9067C6" w:tentative="1">
      <w:start w:val="1"/>
      <w:numFmt w:val="lowerRoman"/>
      <w:lvlText w:val="%9."/>
      <w:lvlJc w:val="right"/>
      <w:pPr>
        <w:tabs>
          <w:tab w:val="num" w:pos="6480"/>
        </w:tabs>
        <w:ind w:left="6480" w:hanging="180"/>
      </w:pPr>
      <w:rPr>
        <w:rFonts w:cs="Times New Roman"/>
      </w:rPr>
    </w:lvl>
  </w:abstractNum>
  <w:abstractNum w:abstractNumId="41" w15:restartNumberingAfterBreak="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42"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337DE"/>
    <w:multiLevelType w:val="hybridMultilevel"/>
    <w:tmpl w:val="7FF0AA2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62709E1"/>
    <w:multiLevelType w:val="hybridMultilevel"/>
    <w:tmpl w:val="440A813E"/>
    <w:lvl w:ilvl="0" w:tplc="531A8F08">
      <w:start w:val="4"/>
      <w:numFmt w:val="decimal"/>
      <w:lvlText w:val="%1."/>
      <w:lvlJc w:val="left"/>
      <w:pPr>
        <w:tabs>
          <w:tab w:val="num" w:pos="720"/>
        </w:tabs>
        <w:ind w:left="720" w:hanging="360"/>
      </w:pPr>
      <w:rPr>
        <w:rFonts w:cs="Times New Roman" w:hint="default"/>
      </w:rPr>
    </w:lvl>
    <w:lvl w:ilvl="1" w:tplc="AB08DBB2" w:tentative="1">
      <w:start w:val="1"/>
      <w:numFmt w:val="lowerLetter"/>
      <w:lvlText w:val="%2."/>
      <w:lvlJc w:val="left"/>
      <w:pPr>
        <w:tabs>
          <w:tab w:val="num" w:pos="1440"/>
        </w:tabs>
        <w:ind w:left="1440" w:hanging="360"/>
      </w:pPr>
      <w:rPr>
        <w:rFonts w:cs="Times New Roman"/>
      </w:rPr>
    </w:lvl>
    <w:lvl w:ilvl="2" w:tplc="F14EDD72" w:tentative="1">
      <w:start w:val="1"/>
      <w:numFmt w:val="lowerRoman"/>
      <w:lvlText w:val="%3."/>
      <w:lvlJc w:val="right"/>
      <w:pPr>
        <w:tabs>
          <w:tab w:val="num" w:pos="2160"/>
        </w:tabs>
        <w:ind w:left="2160" w:hanging="180"/>
      </w:pPr>
      <w:rPr>
        <w:rFonts w:cs="Times New Roman"/>
      </w:rPr>
    </w:lvl>
    <w:lvl w:ilvl="3" w:tplc="061218CE" w:tentative="1">
      <w:start w:val="1"/>
      <w:numFmt w:val="decimal"/>
      <w:lvlText w:val="%4."/>
      <w:lvlJc w:val="left"/>
      <w:pPr>
        <w:tabs>
          <w:tab w:val="num" w:pos="2880"/>
        </w:tabs>
        <w:ind w:left="2880" w:hanging="360"/>
      </w:pPr>
      <w:rPr>
        <w:rFonts w:cs="Times New Roman"/>
      </w:rPr>
    </w:lvl>
    <w:lvl w:ilvl="4" w:tplc="045ED498" w:tentative="1">
      <w:start w:val="1"/>
      <w:numFmt w:val="lowerLetter"/>
      <w:lvlText w:val="%5."/>
      <w:lvlJc w:val="left"/>
      <w:pPr>
        <w:tabs>
          <w:tab w:val="num" w:pos="3600"/>
        </w:tabs>
        <w:ind w:left="3600" w:hanging="360"/>
      </w:pPr>
      <w:rPr>
        <w:rFonts w:cs="Times New Roman"/>
      </w:rPr>
    </w:lvl>
    <w:lvl w:ilvl="5" w:tplc="48EA9778" w:tentative="1">
      <w:start w:val="1"/>
      <w:numFmt w:val="lowerRoman"/>
      <w:lvlText w:val="%6."/>
      <w:lvlJc w:val="right"/>
      <w:pPr>
        <w:tabs>
          <w:tab w:val="num" w:pos="4320"/>
        </w:tabs>
        <w:ind w:left="4320" w:hanging="180"/>
      </w:pPr>
      <w:rPr>
        <w:rFonts w:cs="Times New Roman"/>
      </w:rPr>
    </w:lvl>
    <w:lvl w:ilvl="6" w:tplc="4E0C80CE" w:tentative="1">
      <w:start w:val="1"/>
      <w:numFmt w:val="decimal"/>
      <w:lvlText w:val="%7."/>
      <w:lvlJc w:val="left"/>
      <w:pPr>
        <w:tabs>
          <w:tab w:val="num" w:pos="5040"/>
        </w:tabs>
        <w:ind w:left="5040" w:hanging="360"/>
      </w:pPr>
      <w:rPr>
        <w:rFonts w:cs="Times New Roman"/>
      </w:rPr>
    </w:lvl>
    <w:lvl w:ilvl="7" w:tplc="CED07C68" w:tentative="1">
      <w:start w:val="1"/>
      <w:numFmt w:val="lowerLetter"/>
      <w:lvlText w:val="%8."/>
      <w:lvlJc w:val="left"/>
      <w:pPr>
        <w:tabs>
          <w:tab w:val="num" w:pos="5760"/>
        </w:tabs>
        <w:ind w:left="5760" w:hanging="360"/>
      </w:pPr>
      <w:rPr>
        <w:rFonts w:cs="Times New Roman"/>
      </w:rPr>
    </w:lvl>
    <w:lvl w:ilvl="8" w:tplc="09382048" w:tentative="1">
      <w:start w:val="1"/>
      <w:numFmt w:val="lowerRoman"/>
      <w:lvlText w:val="%9."/>
      <w:lvlJc w:val="right"/>
      <w:pPr>
        <w:tabs>
          <w:tab w:val="num" w:pos="6480"/>
        </w:tabs>
        <w:ind w:left="6480" w:hanging="180"/>
      </w:pPr>
      <w:rPr>
        <w:rFonts w:cs="Times New Roman"/>
      </w:rPr>
    </w:lvl>
  </w:abstractNum>
  <w:abstractNum w:abstractNumId="46" w15:restartNumberingAfterBreak="0">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7" w15:restartNumberingAfterBreak="0">
    <w:nsid w:val="7A100D28"/>
    <w:multiLevelType w:val="hybridMultilevel"/>
    <w:tmpl w:val="49EE9F1C"/>
    <w:lvl w:ilvl="0" w:tplc="FD788292">
      <w:start w:val="1"/>
      <w:numFmt w:val="upperLetter"/>
      <w:lvlText w:val="%1."/>
      <w:lvlJc w:val="left"/>
      <w:pPr>
        <w:ind w:left="5670" w:hanging="5670"/>
      </w:pPr>
      <w:rPr>
        <w:rFonts w:hint="default"/>
        <w:b/>
      </w:rPr>
    </w:lvl>
    <w:lvl w:ilvl="1" w:tplc="BC80F8FA">
      <w:start w:val="17"/>
      <w:numFmt w:val="decimal"/>
      <w:lvlText w:val="%2."/>
      <w:lvlJc w:val="left"/>
      <w:pPr>
        <w:ind w:left="1650" w:hanging="570"/>
      </w:pPr>
      <w:rPr>
        <w:rFonts w:hint="default"/>
        <w:b/>
        <w:i w:val="0"/>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8" w15:restartNumberingAfterBreak="0">
    <w:nsid w:val="7BBF31E4"/>
    <w:multiLevelType w:val="hybridMultilevel"/>
    <w:tmpl w:val="8A5EA0D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9" w15:restartNumberingAfterBreak="0">
    <w:nsid w:val="7DFB52F6"/>
    <w:multiLevelType w:val="hybridMultilevel"/>
    <w:tmpl w:val="B7EC6880"/>
    <w:lvl w:ilvl="0" w:tplc="38AEEC66">
      <w:start w:val="1"/>
      <w:numFmt w:val="decimal"/>
      <w:lvlText w:val="%1."/>
      <w:lvlJc w:val="left"/>
      <w:pPr>
        <w:tabs>
          <w:tab w:val="num" w:pos="360"/>
        </w:tabs>
        <w:ind w:left="360" w:hanging="360"/>
      </w:pPr>
      <w:rPr>
        <w:rFonts w:cs="Times New Roman"/>
      </w:rPr>
    </w:lvl>
    <w:lvl w:ilvl="1" w:tplc="CEA4E31E" w:tentative="1">
      <w:start w:val="1"/>
      <w:numFmt w:val="lowerLetter"/>
      <w:lvlText w:val="%2."/>
      <w:lvlJc w:val="left"/>
      <w:pPr>
        <w:tabs>
          <w:tab w:val="num" w:pos="1080"/>
        </w:tabs>
        <w:ind w:left="1080" w:hanging="360"/>
      </w:pPr>
      <w:rPr>
        <w:rFonts w:cs="Times New Roman"/>
      </w:rPr>
    </w:lvl>
    <w:lvl w:ilvl="2" w:tplc="793682BA" w:tentative="1">
      <w:start w:val="1"/>
      <w:numFmt w:val="lowerRoman"/>
      <w:lvlText w:val="%3."/>
      <w:lvlJc w:val="right"/>
      <w:pPr>
        <w:tabs>
          <w:tab w:val="num" w:pos="1800"/>
        </w:tabs>
        <w:ind w:left="1800" w:hanging="180"/>
      </w:pPr>
      <w:rPr>
        <w:rFonts w:cs="Times New Roman"/>
      </w:rPr>
    </w:lvl>
    <w:lvl w:ilvl="3" w:tplc="78CE01EE" w:tentative="1">
      <w:start w:val="1"/>
      <w:numFmt w:val="decimal"/>
      <w:lvlText w:val="%4."/>
      <w:lvlJc w:val="left"/>
      <w:pPr>
        <w:tabs>
          <w:tab w:val="num" w:pos="2520"/>
        </w:tabs>
        <w:ind w:left="2520" w:hanging="360"/>
      </w:pPr>
      <w:rPr>
        <w:rFonts w:cs="Times New Roman"/>
      </w:rPr>
    </w:lvl>
    <w:lvl w:ilvl="4" w:tplc="60E48AF6" w:tentative="1">
      <w:start w:val="1"/>
      <w:numFmt w:val="lowerLetter"/>
      <w:lvlText w:val="%5."/>
      <w:lvlJc w:val="left"/>
      <w:pPr>
        <w:tabs>
          <w:tab w:val="num" w:pos="3240"/>
        </w:tabs>
        <w:ind w:left="3240" w:hanging="360"/>
      </w:pPr>
      <w:rPr>
        <w:rFonts w:cs="Times New Roman"/>
      </w:rPr>
    </w:lvl>
    <w:lvl w:ilvl="5" w:tplc="7856E10C" w:tentative="1">
      <w:start w:val="1"/>
      <w:numFmt w:val="lowerRoman"/>
      <w:lvlText w:val="%6."/>
      <w:lvlJc w:val="right"/>
      <w:pPr>
        <w:tabs>
          <w:tab w:val="num" w:pos="3960"/>
        </w:tabs>
        <w:ind w:left="3960" w:hanging="180"/>
      </w:pPr>
      <w:rPr>
        <w:rFonts w:cs="Times New Roman"/>
      </w:rPr>
    </w:lvl>
    <w:lvl w:ilvl="6" w:tplc="4094FC88" w:tentative="1">
      <w:start w:val="1"/>
      <w:numFmt w:val="decimal"/>
      <w:lvlText w:val="%7."/>
      <w:lvlJc w:val="left"/>
      <w:pPr>
        <w:tabs>
          <w:tab w:val="num" w:pos="4680"/>
        </w:tabs>
        <w:ind w:left="4680" w:hanging="360"/>
      </w:pPr>
      <w:rPr>
        <w:rFonts w:cs="Times New Roman"/>
      </w:rPr>
    </w:lvl>
    <w:lvl w:ilvl="7" w:tplc="9DC8AE00" w:tentative="1">
      <w:start w:val="1"/>
      <w:numFmt w:val="lowerLetter"/>
      <w:lvlText w:val="%8."/>
      <w:lvlJc w:val="left"/>
      <w:pPr>
        <w:tabs>
          <w:tab w:val="num" w:pos="5400"/>
        </w:tabs>
        <w:ind w:left="5400" w:hanging="360"/>
      </w:pPr>
      <w:rPr>
        <w:rFonts w:cs="Times New Roman"/>
      </w:rPr>
    </w:lvl>
    <w:lvl w:ilvl="8" w:tplc="BACA7928" w:tentative="1">
      <w:start w:val="1"/>
      <w:numFmt w:val="lowerRoman"/>
      <w:lvlText w:val="%9."/>
      <w:lvlJc w:val="right"/>
      <w:pPr>
        <w:tabs>
          <w:tab w:val="num" w:pos="6120"/>
        </w:tabs>
        <w:ind w:left="6120" w:hanging="180"/>
      </w:pPr>
      <w:rPr>
        <w:rFonts w:cs="Times New Roman"/>
      </w:rPr>
    </w:lvl>
  </w:abstractNum>
  <w:num w:numId="1">
    <w:abstractNumId w:val="3"/>
  </w:num>
  <w:num w:numId="2">
    <w:abstractNumId w:val="33"/>
  </w:num>
  <w:num w:numId="3">
    <w:abstractNumId w:val="1"/>
    <w:lvlOverride w:ilvl="0">
      <w:lvl w:ilvl="0">
        <w:start w:val="1"/>
        <w:numFmt w:val="bullet"/>
        <w:lvlText w:val="-"/>
        <w:lvlJc w:val="left"/>
        <w:pPr>
          <w:ind w:left="360" w:hanging="360"/>
        </w:pPr>
      </w:lvl>
    </w:lvlOverride>
  </w:num>
  <w:num w:numId="4">
    <w:abstractNumId w:val="1"/>
    <w:lvlOverride w:ilvl="0">
      <w:lvl w:ilvl="0">
        <w:start w:val="1"/>
        <w:numFmt w:val="bullet"/>
        <w:lvlText w:val=""/>
        <w:lvlJc w:val="left"/>
        <w:pPr>
          <w:ind w:left="360" w:hanging="360"/>
        </w:pPr>
        <w:rPr>
          <w:rFonts w:ascii="Symbol" w:hAnsi="Symbol" w:hint="default"/>
        </w:rPr>
      </w:lvl>
    </w:lvlOverride>
  </w:num>
  <w:num w:numId="5">
    <w:abstractNumId w:val="35"/>
  </w:num>
  <w:num w:numId="6">
    <w:abstractNumId w:val="30"/>
  </w:num>
  <w:num w:numId="7">
    <w:abstractNumId w:val="17"/>
  </w:num>
  <w:num w:numId="8">
    <w:abstractNumId w:val="23"/>
  </w:num>
  <w:num w:numId="9">
    <w:abstractNumId w:val="44"/>
  </w:num>
  <w:num w:numId="10">
    <w:abstractNumId w:val="2"/>
  </w:num>
  <w:num w:numId="11">
    <w:abstractNumId w:val="37"/>
  </w:num>
  <w:num w:numId="12">
    <w:abstractNumId w:val="21"/>
  </w:num>
  <w:num w:numId="13">
    <w:abstractNumId w:val="12"/>
  </w:num>
  <w:num w:numId="14">
    <w:abstractNumId w:val="5"/>
  </w:num>
  <w:num w:numId="15">
    <w:abstractNumId w:val="1"/>
    <w:lvlOverride w:ilvl="0">
      <w:lvl w:ilvl="0">
        <w:start w:val="1"/>
        <w:numFmt w:val="bullet"/>
        <w:lvlText w:val="-"/>
        <w:lvlJc w:val="left"/>
        <w:pPr>
          <w:ind w:left="360" w:hanging="360"/>
        </w:pPr>
      </w:lvl>
    </w:lvlOverride>
  </w:num>
  <w:num w:numId="16">
    <w:abstractNumId w:val="41"/>
  </w:num>
  <w:num w:numId="17">
    <w:abstractNumId w:val="25"/>
  </w:num>
  <w:num w:numId="18">
    <w:abstractNumId w:val="29"/>
  </w:num>
  <w:num w:numId="19">
    <w:abstractNumId w:val="46"/>
  </w:num>
  <w:num w:numId="20">
    <w:abstractNumId w:val="32"/>
  </w:num>
  <w:num w:numId="21">
    <w:abstractNumId w:val="42"/>
  </w:num>
  <w:num w:numId="22">
    <w:abstractNumId w:val="36"/>
  </w:num>
  <w:num w:numId="23">
    <w:abstractNumId w:val="16"/>
  </w:num>
  <w:num w:numId="24">
    <w:abstractNumId w:val="42"/>
  </w:num>
  <w:num w:numId="25">
    <w:abstractNumId w:val="5"/>
  </w:num>
  <w:num w:numId="26">
    <w:abstractNumId w:val="1"/>
    <w:lvlOverride w:ilvl="0">
      <w:lvl w:ilvl="0">
        <w:start w:val="1"/>
        <w:numFmt w:val="bullet"/>
        <w:lvlText w:val="-"/>
        <w:lvlJc w:val="left"/>
        <w:pPr>
          <w:ind w:left="360" w:hanging="360"/>
        </w:pPr>
      </w:lvl>
    </w:lvlOverride>
  </w:num>
  <w:num w:numId="27">
    <w:abstractNumId w:val="1"/>
    <w:lvlOverride w:ilvl="0">
      <w:lvl w:ilvl="0">
        <w:start w:val="1"/>
        <w:numFmt w:val="bullet"/>
        <w:lvlText w:val=""/>
        <w:lvlJc w:val="left"/>
        <w:pPr>
          <w:ind w:left="360" w:hanging="360"/>
        </w:pPr>
        <w:rPr>
          <w:rFonts w:ascii="Symbol" w:hAnsi="Symbol" w:hint="default"/>
        </w:rPr>
      </w:lvl>
    </w:lvlOverride>
  </w:num>
  <w:num w:numId="28">
    <w:abstractNumId w:val="4"/>
  </w:num>
  <w:num w:numId="29">
    <w:abstractNumId w:val="14"/>
  </w:num>
  <w:num w:numId="30">
    <w:abstractNumId w:val="42"/>
  </w:num>
  <w:num w:numId="31">
    <w:abstractNumId w:val="34"/>
  </w:num>
  <w:num w:numId="32">
    <w:abstractNumId w:val="39"/>
  </w:num>
  <w:num w:numId="33">
    <w:abstractNumId w:val="15"/>
  </w:num>
  <w:num w:numId="34">
    <w:abstractNumId w:val="11"/>
  </w:num>
  <w:num w:numId="35">
    <w:abstractNumId w:val="27"/>
  </w:num>
  <w:num w:numId="36">
    <w:abstractNumId w:val="40"/>
  </w:num>
  <w:num w:numId="37">
    <w:abstractNumId w:val="7"/>
  </w:num>
  <w:num w:numId="38">
    <w:abstractNumId w:val="13"/>
  </w:num>
  <w:num w:numId="39">
    <w:abstractNumId w:val="49"/>
  </w:num>
  <w:num w:numId="40">
    <w:abstractNumId w:val="45"/>
  </w:num>
  <w:num w:numId="41">
    <w:abstractNumId w:val="28"/>
  </w:num>
  <w:num w:numId="42">
    <w:abstractNumId w:val="24"/>
  </w:num>
  <w:num w:numId="43">
    <w:abstractNumId w:val="6"/>
  </w:num>
  <w:num w:numId="44">
    <w:abstractNumId w:val="48"/>
  </w:num>
  <w:num w:numId="45">
    <w:abstractNumId w:val="10"/>
  </w:num>
  <w:num w:numId="46">
    <w:abstractNumId w:val="43"/>
  </w:num>
  <w:num w:numId="47">
    <w:abstractNumId w:val="19"/>
  </w:num>
  <w:num w:numId="48">
    <w:abstractNumId w:val="38"/>
  </w:num>
  <w:num w:numId="49">
    <w:abstractNumId w:val="8"/>
  </w:num>
  <w:num w:numId="50">
    <w:abstractNumId w:val="0"/>
  </w:num>
  <w:num w:numId="51">
    <w:abstractNumId w:val="20"/>
  </w:num>
  <w:num w:numId="52">
    <w:abstractNumId w:val="18"/>
  </w:num>
  <w:num w:numId="53">
    <w:abstractNumId w:val="47"/>
  </w:num>
  <w:num w:numId="54">
    <w:abstractNumId w:val="31"/>
  </w:num>
  <w:num w:numId="55">
    <w:abstractNumId w:val="22"/>
  </w:num>
  <w:num w:numId="56">
    <w:abstractNumId w:val="26"/>
  </w:num>
  <w:num w:numId="57">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597EEE"/>
    <w:rsid w:val="00000A54"/>
    <w:rsid w:val="0000264F"/>
    <w:rsid w:val="00003248"/>
    <w:rsid w:val="000050BB"/>
    <w:rsid w:val="00006687"/>
    <w:rsid w:val="00012D37"/>
    <w:rsid w:val="00013272"/>
    <w:rsid w:val="000144B6"/>
    <w:rsid w:val="00016DC7"/>
    <w:rsid w:val="00017525"/>
    <w:rsid w:val="00017A6B"/>
    <w:rsid w:val="00020AEC"/>
    <w:rsid w:val="0002321E"/>
    <w:rsid w:val="00030E1F"/>
    <w:rsid w:val="00036033"/>
    <w:rsid w:val="000362A9"/>
    <w:rsid w:val="00036422"/>
    <w:rsid w:val="000405D3"/>
    <w:rsid w:val="00045482"/>
    <w:rsid w:val="00046D1B"/>
    <w:rsid w:val="00046F1D"/>
    <w:rsid w:val="00050E95"/>
    <w:rsid w:val="00054F2D"/>
    <w:rsid w:val="0005660E"/>
    <w:rsid w:val="000574DC"/>
    <w:rsid w:val="00061E9E"/>
    <w:rsid w:val="00062A23"/>
    <w:rsid w:val="00062EC3"/>
    <w:rsid w:val="00062F51"/>
    <w:rsid w:val="00065EC4"/>
    <w:rsid w:val="000718E1"/>
    <w:rsid w:val="00071EAD"/>
    <w:rsid w:val="0007309F"/>
    <w:rsid w:val="000769B3"/>
    <w:rsid w:val="00077906"/>
    <w:rsid w:val="00080091"/>
    <w:rsid w:val="00080C61"/>
    <w:rsid w:val="0008108A"/>
    <w:rsid w:val="0008467F"/>
    <w:rsid w:val="00086092"/>
    <w:rsid w:val="0009085F"/>
    <w:rsid w:val="000A059F"/>
    <w:rsid w:val="000A0B50"/>
    <w:rsid w:val="000A51FE"/>
    <w:rsid w:val="000A6475"/>
    <w:rsid w:val="000B5CB6"/>
    <w:rsid w:val="000C5CAA"/>
    <w:rsid w:val="000D1CF4"/>
    <w:rsid w:val="000D39E3"/>
    <w:rsid w:val="000D7658"/>
    <w:rsid w:val="000E550A"/>
    <w:rsid w:val="000E5576"/>
    <w:rsid w:val="000E5A0B"/>
    <w:rsid w:val="000E6FAB"/>
    <w:rsid w:val="000F23F8"/>
    <w:rsid w:val="000F4422"/>
    <w:rsid w:val="000F50BB"/>
    <w:rsid w:val="000F5C4E"/>
    <w:rsid w:val="000F6117"/>
    <w:rsid w:val="000F760B"/>
    <w:rsid w:val="00100CC8"/>
    <w:rsid w:val="0010182E"/>
    <w:rsid w:val="00101C6A"/>
    <w:rsid w:val="00104062"/>
    <w:rsid w:val="00105D89"/>
    <w:rsid w:val="0010607F"/>
    <w:rsid w:val="00106336"/>
    <w:rsid w:val="0011028D"/>
    <w:rsid w:val="00113FA9"/>
    <w:rsid w:val="00122EF1"/>
    <w:rsid w:val="00124575"/>
    <w:rsid w:val="00124CDE"/>
    <w:rsid w:val="00127995"/>
    <w:rsid w:val="00132B64"/>
    <w:rsid w:val="00143CE0"/>
    <w:rsid w:val="00144427"/>
    <w:rsid w:val="001452C3"/>
    <w:rsid w:val="00146927"/>
    <w:rsid w:val="001502BC"/>
    <w:rsid w:val="00151A28"/>
    <w:rsid w:val="00156744"/>
    <w:rsid w:val="0016019A"/>
    <w:rsid w:val="00161564"/>
    <w:rsid w:val="00165F08"/>
    <w:rsid w:val="00166133"/>
    <w:rsid w:val="00167FAC"/>
    <w:rsid w:val="00171556"/>
    <w:rsid w:val="00171BA3"/>
    <w:rsid w:val="001745EE"/>
    <w:rsid w:val="001755CA"/>
    <w:rsid w:val="001830A0"/>
    <w:rsid w:val="001859BC"/>
    <w:rsid w:val="00185E06"/>
    <w:rsid w:val="0018686F"/>
    <w:rsid w:val="00193726"/>
    <w:rsid w:val="00194320"/>
    <w:rsid w:val="00195A06"/>
    <w:rsid w:val="00195FAB"/>
    <w:rsid w:val="001A0CB3"/>
    <w:rsid w:val="001A16F3"/>
    <w:rsid w:val="001A270B"/>
    <w:rsid w:val="001A4F89"/>
    <w:rsid w:val="001A5408"/>
    <w:rsid w:val="001A62E8"/>
    <w:rsid w:val="001A6704"/>
    <w:rsid w:val="001A7421"/>
    <w:rsid w:val="001B3D0F"/>
    <w:rsid w:val="001B45B3"/>
    <w:rsid w:val="001B4DEA"/>
    <w:rsid w:val="001C04C2"/>
    <w:rsid w:val="001C1DD2"/>
    <w:rsid w:val="001C2CF7"/>
    <w:rsid w:val="001C65E5"/>
    <w:rsid w:val="001D1FBE"/>
    <w:rsid w:val="001D2964"/>
    <w:rsid w:val="001E01D5"/>
    <w:rsid w:val="001E1CA3"/>
    <w:rsid w:val="001F02C4"/>
    <w:rsid w:val="001F0826"/>
    <w:rsid w:val="001F0D52"/>
    <w:rsid w:val="00201C17"/>
    <w:rsid w:val="002021F1"/>
    <w:rsid w:val="00202F26"/>
    <w:rsid w:val="00203192"/>
    <w:rsid w:val="0020599F"/>
    <w:rsid w:val="00207F8A"/>
    <w:rsid w:val="002107C0"/>
    <w:rsid w:val="00211BE4"/>
    <w:rsid w:val="002162F1"/>
    <w:rsid w:val="002165F0"/>
    <w:rsid w:val="00216EEC"/>
    <w:rsid w:val="00227FDC"/>
    <w:rsid w:val="0023012A"/>
    <w:rsid w:val="002309CF"/>
    <w:rsid w:val="00230A3A"/>
    <w:rsid w:val="00235CCB"/>
    <w:rsid w:val="00237D94"/>
    <w:rsid w:val="00243AC8"/>
    <w:rsid w:val="00244A3C"/>
    <w:rsid w:val="00246D60"/>
    <w:rsid w:val="00247B5A"/>
    <w:rsid w:val="002502DB"/>
    <w:rsid w:val="00250B74"/>
    <w:rsid w:val="00250C65"/>
    <w:rsid w:val="002578FE"/>
    <w:rsid w:val="002631BD"/>
    <w:rsid w:val="00263F30"/>
    <w:rsid w:val="00265331"/>
    <w:rsid w:val="002675D4"/>
    <w:rsid w:val="00273384"/>
    <w:rsid w:val="00273617"/>
    <w:rsid w:val="00273B42"/>
    <w:rsid w:val="00275AD8"/>
    <w:rsid w:val="00280037"/>
    <w:rsid w:val="00280A9F"/>
    <w:rsid w:val="00283196"/>
    <w:rsid w:val="002840C3"/>
    <w:rsid w:val="002915E8"/>
    <w:rsid w:val="00291C87"/>
    <w:rsid w:val="00292696"/>
    <w:rsid w:val="00293A05"/>
    <w:rsid w:val="002A10BA"/>
    <w:rsid w:val="002A15D1"/>
    <w:rsid w:val="002A1F76"/>
    <w:rsid w:val="002A235B"/>
    <w:rsid w:val="002A3015"/>
    <w:rsid w:val="002A35A2"/>
    <w:rsid w:val="002A7FF6"/>
    <w:rsid w:val="002B29E7"/>
    <w:rsid w:val="002B2B65"/>
    <w:rsid w:val="002B3472"/>
    <w:rsid w:val="002B4E89"/>
    <w:rsid w:val="002C1904"/>
    <w:rsid w:val="002C2B93"/>
    <w:rsid w:val="002C4717"/>
    <w:rsid w:val="002C5706"/>
    <w:rsid w:val="002C7BB4"/>
    <w:rsid w:val="002C7EDF"/>
    <w:rsid w:val="002D3BA7"/>
    <w:rsid w:val="002D426E"/>
    <w:rsid w:val="002D452D"/>
    <w:rsid w:val="002D72F5"/>
    <w:rsid w:val="002D7C26"/>
    <w:rsid w:val="002E1BD7"/>
    <w:rsid w:val="002E244F"/>
    <w:rsid w:val="002E3ACD"/>
    <w:rsid w:val="002E3DE7"/>
    <w:rsid w:val="002E429F"/>
    <w:rsid w:val="002E430D"/>
    <w:rsid w:val="002E4AEB"/>
    <w:rsid w:val="002E4DC1"/>
    <w:rsid w:val="002F22BB"/>
    <w:rsid w:val="002F4EA4"/>
    <w:rsid w:val="002F6BA3"/>
    <w:rsid w:val="003038CF"/>
    <w:rsid w:val="00304EAC"/>
    <w:rsid w:val="003057F9"/>
    <w:rsid w:val="00305D73"/>
    <w:rsid w:val="00313EDB"/>
    <w:rsid w:val="00314464"/>
    <w:rsid w:val="003147B5"/>
    <w:rsid w:val="00317500"/>
    <w:rsid w:val="00320453"/>
    <w:rsid w:val="00320B16"/>
    <w:rsid w:val="0032146D"/>
    <w:rsid w:val="00332592"/>
    <w:rsid w:val="00336434"/>
    <w:rsid w:val="00337B73"/>
    <w:rsid w:val="0034154F"/>
    <w:rsid w:val="00344375"/>
    <w:rsid w:val="00350119"/>
    <w:rsid w:val="0035262C"/>
    <w:rsid w:val="00353034"/>
    <w:rsid w:val="003544E2"/>
    <w:rsid w:val="00355827"/>
    <w:rsid w:val="00360701"/>
    <w:rsid w:val="00364E95"/>
    <w:rsid w:val="00365394"/>
    <w:rsid w:val="003708BE"/>
    <w:rsid w:val="00372306"/>
    <w:rsid w:val="00377632"/>
    <w:rsid w:val="00380F74"/>
    <w:rsid w:val="00386033"/>
    <w:rsid w:val="0038779F"/>
    <w:rsid w:val="003927B6"/>
    <w:rsid w:val="003A27D1"/>
    <w:rsid w:val="003A7082"/>
    <w:rsid w:val="003A750F"/>
    <w:rsid w:val="003A7D8E"/>
    <w:rsid w:val="003B28B0"/>
    <w:rsid w:val="003B5FE4"/>
    <w:rsid w:val="003C1F6B"/>
    <w:rsid w:val="003C55F9"/>
    <w:rsid w:val="003C7756"/>
    <w:rsid w:val="003C7B9F"/>
    <w:rsid w:val="003D1ACD"/>
    <w:rsid w:val="003D5DEA"/>
    <w:rsid w:val="003D7B36"/>
    <w:rsid w:val="003E17B2"/>
    <w:rsid w:val="003E30BA"/>
    <w:rsid w:val="003E7051"/>
    <w:rsid w:val="003F253B"/>
    <w:rsid w:val="003F6B02"/>
    <w:rsid w:val="004001BE"/>
    <w:rsid w:val="00400E02"/>
    <w:rsid w:val="004051B6"/>
    <w:rsid w:val="0040561B"/>
    <w:rsid w:val="004130EF"/>
    <w:rsid w:val="0041423C"/>
    <w:rsid w:val="00415447"/>
    <w:rsid w:val="00416FC5"/>
    <w:rsid w:val="00417882"/>
    <w:rsid w:val="00421769"/>
    <w:rsid w:val="0042194A"/>
    <w:rsid w:val="00425420"/>
    <w:rsid w:val="0043161D"/>
    <w:rsid w:val="00431DA5"/>
    <w:rsid w:val="00434D11"/>
    <w:rsid w:val="00435062"/>
    <w:rsid w:val="00446993"/>
    <w:rsid w:val="0045003F"/>
    <w:rsid w:val="004500FA"/>
    <w:rsid w:val="00451B0A"/>
    <w:rsid w:val="00453633"/>
    <w:rsid w:val="00454B73"/>
    <w:rsid w:val="004568E4"/>
    <w:rsid w:val="00457A52"/>
    <w:rsid w:val="004629DF"/>
    <w:rsid w:val="00463EE7"/>
    <w:rsid w:val="004641A3"/>
    <w:rsid w:val="0046466B"/>
    <w:rsid w:val="004654ED"/>
    <w:rsid w:val="00471935"/>
    <w:rsid w:val="00473800"/>
    <w:rsid w:val="00474463"/>
    <w:rsid w:val="0047548E"/>
    <w:rsid w:val="00482AD0"/>
    <w:rsid w:val="00483DA9"/>
    <w:rsid w:val="00487A5A"/>
    <w:rsid w:val="004931E3"/>
    <w:rsid w:val="004935C2"/>
    <w:rsid w:val="00495165"/>
    <w:rsid w:val="004A0E7F"/>
    <w:rsid w:val="004A307F"/>
    <w:rsid w:val="004A4C24"/>
    <w:rsid w:val="004A50CF"/>
    <w:rsid w:val="004A679D"/>
    <w:rsid w:val="004A686D"/>
    <w:rsid w:val="004A7555"/>
    <w:rsid w:val="004B033B"/>
    <w:rsid w:val="004B0F43"/>
    <w:rsid w:val="004B4836"/>
    <w:rsid w:val="004B4A40"/>
    <w:rsid w:val="004B69D4"/>
    <w:rsid w:val="004C09B6"/>
    <w:rsid w:val="004C2EB9"/>
    <w:rsid w:val="004C3C3C"/>
    <w:rsid w:val="004C4DB4"/>
    <w:rsid w:val="004C55AC"/>
    <w:rsid w:val="004C58E2"/>
    <w:rsid w:val="004C62DC"/>
    <w:rsid w:val="004D2BF4"/>
    <w:rsid w:val="004D2C30"/>
    <w:rsid w:val="004D6C32"/>
    <w:rsid w:val="004D78C0"/>
    <w:rsid w:val="004E2864"/>
    <w:rsid w:val="004E69BD"/>
    <w:rsid w:val="004F5DFC"/>
    <w:rsid w:val="004F62E6"/>
    <w:rsid w:val="004F6BDE"/>
    <w:rsid w:val="00501457"/>
    <w:rsid w:val="00503F36"/>
    <w:rsid w:val="00510068"/>
    <w:rsid w:val="00511341"/>
    <w:rsid w:val="005125E4"/>
    <w:rsid w:val="00515C79"/>
    <w:rsid w:val="005175A0"/>
    <w:rsid w:val="00521CBC"/>
    <w:rsid w:val="00523C3D"/>
    <w:rsid w:val="00523DB1"/>
    <w:rsid w:val="00524122"/>
    <w:rsid w:val="005241FA"/>
    <w:rsid w:val="00524878"/>
    <w:rsid w:val="005274B7"/>
    <w:rsid w:val="0053027E"/>
    <w:rsid w:val="00541112"/>
    <w:rsid w:val="00541F72"/>
    <w:rsid w:val="00542932"/>
    <w:rsid w:val="00542A89"/>
    <w:rsid w:val="00545FD9"/>
    <w:rsid w:val="00555111"/>
    <w:rsid w:val="00556E17"/>
    <w:rsid w:val="0055764D"/>
    <w:rsid w:val="00564ACD"/>
    <w:rsid w:val="00566779"/>
    <w:rsid w:val="00570598"/>
    <w:rsid w:val="0057087C"/>
    <w:rsid w:val="00571FB4"/>
    <w:rsid w:val="0057303D"/>
    <w:rsid w:val="00574DB2"/>
    <w:rsid w:val="005761FF"/>
    <w:rsid w:val="0057765E"/>
    <w:rsid w:val="0058292F"/>
    <w:rsid w:val="005830E4"/>
    <w:rsid w:val="00585F8D"/>
    <w:rsid w:val="005917A7"/>
    <w:rsid w:val="00594A37"/>
    <w:rsid w:val="00597EEE"/>
    <w:rsid w:val="005A11AC"/>
    <w:rsid w:val="005A3776"/>
    <w:rsid w:val="005A44D4"/>
    <w:rsid w:val="005A6EF7"/>
    <w:rsid w:val="005B0C6F"/>
    <w:rsid w:val="005B22B2"/>
    <w:rsid w:val="005B3C88"/>
    <w:rsid w:val="005B54E4"/>
    <w:rsid w:val="005B6658"/>
    <w:rsid w:val="005C3E33"/>
    <w:rsid w:val="005C4262"/>
    <w:rsid w:val="005C48F2"/>
    <w:rsid w:val="005C51D3"/>
    <w:rsid w:val="005C5BD3"/>
    <w:rsid w:val="005C6767"/>
    <w:rsid w:val="005D308E"/>
    <w:rsid w:val="005D7682"/>
    <w:rsid w:val="005E1F1E"/>
    <w:rsid w:val="005E6C1C"/>
    <w:rsid w:val="005E7CCA"/>
    <w:rsid w:val="005F03C8"/>
    <w:rsid w:val="005F1389"/>
    <w:rsid w:val="00601DB3"/>
    <w:rsid w:val="00602133"/>
    <w:rsid w:val="006022A0"/>
    <w:rsid w:val="00605435"/>
    <w:rsid w:val="00610756"/>
    <w:rsid w:val="006124DB"/>
    <w:rsid w:val="0061272E"/>
    <w:rsid w:val="0061304C"/>
    <w:rsid w:val="0061373B"/>
    <w:rsid w:val="00622357"/>
    <w:rsid w:val="00622E77"/>
    <w:rsid w:val="0062560B"/>
    <w:rsid w:val="00631BD7"/>
    <w:rsid w:val="00631C63"/>
    <w:rsid w:val="00631E52"/>
    <w:rsid w:val="00632598"/>
    <w:rsid w:val="00634686"/>
    <w:rsid w:val="0063539B"/>
    <w:rsid w:val="00641851"/>
    <w:rsid w:val="00641A89"/>
    <w:rsid w:val="0064210F"/>
    <w:rsid w:val="00643CE7"/>
    <w:rsid w:val="00651AF4"/>
    <w:rsid w:val="00654C67"/>
    <w:rsid w:val="0065549F"/>
    <w:rsid w:val="00657D6A"/>
    <w:rsid w:val="006657F7"/>
    <w:rsid w:val="006674CE"/>
    <w:rsid w:val="006776D5"/>
    <w:rsid w:val="00677C12"/>
    <w:rsid w:val="00680E81"/>
    <w:rsid w:val="00681914"/>
    <w:rsid w:val="00685DB3"/>
    <w:rsid w:val="006A52CA"/>
    <w:rsid w:val="006A736E"/>
    <w:rsid w:val="006A7B0F"/>
    <w:rsid w:val="006B022D"/>
    <w:rsid w:val="006B1A9C"/>
    <w:rsid w:val="006C07C6"/>
    <w:rsid w:val="006C10BF"/>
    <w:rsid w:val="006C5B8F"/>
    <w:rsid w:val="006C7915"/>
    <w:rsid w:val="006D0672"/>
    <w:rsid w:val="006D1250"/>
    <w:rsid w:val="006D4448"/>
    <w:rsid w:val="006D75B2"/>
    <w:rsid w:val="006D7FDE"/>
    <w:rsid w:val="006E5F31"/>
    <w:rsid w:val="006E7961"/>
    <w:rsid w:val="006F285F"/>
    <w:rsid w:val="006F4C81"/>
    <w:rsid w:val="007022B4"/>
    <w:rsid w:val="00706DA3"/>
    <w:rsid w:val="00710559"/>
    <w:rsid w:val="0071252F"/>
    <w:rsid w:val="007162CC"/>
    <w:rsid w:val="00716C15"/>
    <w:rsid w:val="00724942"/>
    <w:rsid w:val="007259AD"/>
    <w:rsid w:val="007259C9"/>
    <w:rsid w:val="007300A9"/>
    <w:rsid w:val="007300E8"/>
    <w:rsid w:val="00730349"/>
    <w:rsid w:val="00730E3D"/>
    <w:rsid w:val="00730F0E"/>
    <w:rsid w:val="00731DEE"/>
    <w:rsid w:val="007336FA"/>
    <w:rsid w:val="007341C4"/>
    <w:rsid w:val="007449B5"/>
    <w:rsid w:val="0075427E"/>
    <w:rsid w:val="00756413"/>
    <w:rsid w:val="007606FA"/>
    <w:rsid w:val="007613B5"/>
    <w:rsid w:val="0076149E"/>
    <w:rsid w:val="0076223E"/>
    <w:rsid w:val="00776CD9"/>
    <w:rsid w:val="00780CA8"/>
    <w:rsid w:val="00782AD3"/>
    <w:rsid w:val="00782C8D"/>
    <w:rsid w:val="00783C92"/>
    <w:rsid w:val="0078500A"/>
    <w:rsid w:val="007918CE"/>
    <w:rsid w:val="007968BA"/>
    <w:rsid w:val="00796D9A"/>
    <w:rsid w:val="007A1F29"/>
    <w:rsid w:val="007A5002"/>
    <w:rsid w:val="007A58C5"/>
    <w:rsid w:val="007A69B8"/>
    <w:rsid w:val="007A72E6"/>
    <w:rsid w:val="007B0BB5"/>
    <w:rsid w:val="007B3823"/>
    <w:rsid w:val="007B639A"/>
    <w:rsid w:val="007B6BD5"/>
    <w:rsid w:val="007C1008"/>
    <w:rsid w:val="007C21D1"/>
    <w:rsid w:val="007C2D19"/>
    <w:rsid w:val="007D1250"/>
    <w:rsid w:val="007D1BD7"/>
    <w:rsid w:val="007D75E9"/>
    <w:rsid w:val="007D7666"/>
    <w:rsid w:val="007E1554"/>
    <w:rsid w:val="007E3577"/>
    <w:rsid w:val="007E5371"/>
    <w:rsid w:val="007E5AC6"/>
    <w:rsid w:val="007E5BAF"/>
    <w:rsid w:val="007F0F08"/>
    <w:rsid w:val="007F0FA6"/>
    <w:rsid w:val="007F6319"/>
    <w:rsid w:val="007F67D0"/>
    <w:rsid w:val="007F6941"/>
    <w:rsid w:val="008026B4"/>
    <w:rsid w:val="00811822"/>
    <w:rsid w:val="00812533"/>
    <w:rsid w:val="00814A6B"/>
    <w:rsid w:val="00814AA6"/>
    <w:rsid w:val="00814EE3"/>
    <w:rsid w:val="0081513C"/>
    <w:rsid w:val="00820405"/>
    <w:rsid w:val="00825EBD"/>
    <w:rsid w:val="00827D81"/>
    <w:rsid w:val="0083509A"/>
    <w:rsid w:val="00835D48"/>
    <w:rsid w:val="008369EA"/>
    <w:rsid w:val="008405EB"/>
    <w:rsid w:val="008432B2"/>
    <w:rsid w:val="00845DCA"/>
    <w:rsid w:val="00846277"/>
    <w:rsid w:val="00846A99"/>
    <w:rsid w:val="00847CD1"/>
    <w:rsid w:val="008523DF"/>
    <w:rsid w:val="00853962"/>
    <w:rsid w:val="0085399D"/>
    <w:rsid w:val="0086758B"/>
    <w:rsid w:val="00870CE7"/>
    <w:rsid w:val="008803A0"/>
    <w:rsid w:val="00884FD4"/>
    <w:rsid w:val="00890130"/>
    <w:rsid w:val="00894358"/>
    <w:rsid w:val="00896405"/>
    <w:rsid w:val="008A251B"/>
    <w:rsid w:val="008A68EA"/>
    <w:rsid w:val="008B0A06"/>
    <w:rsid w:val="008B15CD"/>
    <w:rsid w:val="008B3B34"/>
    <w:rsid w:val="008B6484"/>
    <w:rsid w:val="008C3118"/>
    <w:rsid w:val="008C66FA"/>
    <w:rsid w:val="008D158C"/>
    <w:rsid w:val="008D1D16"/>
    <w:rsid w:val="008D23FD"/>
    <w:rsid w:val="008D302E"/>
    <w:rsid w:val="008E002B"/>
    <w:rsid w:val="008E0FAA"/>
    <w:rsid w:val="008E1003"/>
    <w:rsid w:val="008E265D"/>
    <w:rsid w:val="008E2831"/>
    <w:rsid w:val="008E4267"/>
    <w:rsid w:val="008E55A0"/>
    <w:rsid w:val="008F1047"/>
    <w:rsid w:val="008F4E2A"/>
    <w:rsid w:val="008F63DC"/>
    <w:rsid w:val="008F6DBC"/>
    <w:rsid w:val="0090070E"/>
    <w:rsid w:val="00902CD2"/>
    <w:rsid w:val="0090624D"/>
    <w:rsid w:val="00910B7A"/>
    <w:rsid w:val="0091141F"/>
    <w:rsid w:val="0091484A"/>
    <w:rsid w:val="0091677B"/>
    <w:rsid w:val="00930A86"/>
    <w:rsid w:val="009332C0"/>
    <w:rsid w:val="009347D9"/>
    <w:rsid w:val="00940B31"/>
    <w:rsid w:val="00943EB9"/>
    <w:rsid w:val="009450E9"/>
    <w:rsid w:val="0094758A"/>
    <w:rsid w:val="00947820"/>
    <w:rsid w:val="00955BAA"/>
    <w:rsid w:val="00957F85"/>
    <w:rsid w:val="009615B4"/>
    <w:rsid w:val="00971515"/>
    <w:rsid w:val="0097181F"/>
    <w:rsid w:val="00972884"/>
    <w:rsid w:val="009738BA"/>
    <w:rsid w:val="00973967"/>
    <w:rsid w:val="0097403B"/>
    <w:rsid w:val="00976982"/>
    <w:rsid w:val="00977CF8"/>
    <w:rsid w:val="009828B5"/>
    <w:rsid w:val="00982C5F"/>
    <w:rsid w:val="0098315C"/>
    <w:rsid w:val="0098455C"/>
    <w:rsid w:val="009A0894"/>
    <w:rsid w:val="009A0C7F"/>
    <w:rsid w:val="009A0C91"/>
    <w:rsid w:val="009A1233"/>
    <w:rsid w:val="009A3784"/>
    <w:rsid w:val="009B18B6"/>
    <w:rsid w:val="009B5494"/>
    <w:rsid w:val="009B5F5D"/>
    <w:rsid w:val="009C0E09"/>
    <w:rsid w:val="009C3828"/>
    <w:rsid w:val="009D6BAC"/>
    <w:rsid w:val="009E3665"/>
    <w:rsid w:val="009E5070"/>
    <w:rsid w:val="009F03BE"/>
    <w:rsid w:val="009F1A01"/>
    <w:rsid w:val="009F1E16"/>
    <w:rsid w:val="009F22B5"/>
    <w:rsid w:val="009F390B"/>
    <w:rsid w:val="009F4957"/>
    <w:rsid w:val="00A00CB7"/>
    <w:rsid w:val="00A049EC"/>
    <w:rsid w:val="00A10A31"/>
    <w:rsid w:val="00A124B7"/>
    <w:rsid w:val="00A1252D"/>
    <w:rsid w:val="00A13993"/>
    <w:rsid w:val="00A13F6E"/>
    <w:rsid w:val="00A21A31"/>
    <w:rsid w:val="00A23278"/>
    <w:rsid w:val="00A32525"/>
    <w:rsid w:val="00A33E08"/>
    <w:rsid w:val="00A42DF4"/>
    <w:rsid w:val="00A5251F"/>
    <w:rsid w:val="00A54917"/>
    <w:rsid w:val="00A62A88"/>
    <w:rsid w:val="00A64BD0"/>
    <w:rsid w:val="00A6527E"/>
    <w:rsid w:val="00A652FA"/>
    <w:rsid w:val="00A71282"/>
    <w:rsid w:val="00A71F35"/>
    <w:rsid w:val="00A777CE"/>
    <w:rsid w:val="00A80072"/>
    <w:rsid w:val="00A801A8"/>
    <w:rsid w:val="00A84B58"/>
    <w:rsid w:val="00A9228D"/>
    <w:rsid w:val="00A94730"/>
    <w:rsid w:val="00A9597E"/>
    <w:rsid w:val="00A95BCB"/>
    <w:rsid w:val="00A97793"/>
    <w:rsid w:val="00AA0477"/>
    <w:rsid w:val="00AA475B"/>
    <w:rsid w:val="00AB0AEA"/>
    <w:rsid w:val="00AB0B5B"/>
    <w:rsid w:val="00AB20E8"/>
    <w:rsid w:val="00AB6C9F"/>
    <w:rsid w:val="00AC0757"/>
    <w:rsid w:val="00AC0D73"/>
    <w:rsid w:val="00AC10E3"/>
    <w:rsid w:val="00AC289E"/>
    <w:rsid w:val="00AC391D"/>
    <w:rsid w:val="00AC3920"/>
    <w:rsid w:val="00AC4369"/>
    <w:rsid w:val="00AC4784"/>
    <w:rsid w:val="00AC6C5D"/>
    <w:rsid w:val="00AD0038"/>
    <w:rsid w:val="00AD1761"/>
    <w:rsid w:val="00AD6F01"/>
    <w:rsid w:val="00AE210A"/>
    <w:rsid w:val="00AE4664"/>
    <w:rsid w:val="00AE73D5"/>
    <w:rsid w:val="00AF287D"/>
    <w:rsid w:val="00B03493"/>
    <w:rsid w:val="00B03750"/>
    <w:rsid w:val="00B065F2"/>
    <w:rsid w:val="00B113DC"/>
    <w:rsid w:val="00B206C3"/>
    <w:rsid w:val="00B23209"/>
    <w:rsid w:val="00B23621"/>
    <w:rsid w:val="00B27554"/>
    <w:rsid w:val="00B35A0F"/>
    <w:rsid w:val="00B406B2"/>
    <w:rsid w:val="00B4311D"/>
    <w:rsid w:val="00B4463D"/>
    <w:rsid w:val="00B45930"/>
    <w:rsid w:val="00B46C12"/>
    <w:rsid w:val="00B54D62"/>
    <w:rsid w:val="00B62BD5"/>
    <w:rsid w:val="00B63765"/>
    <w:rsid w:val="00B6429D"/>
    <w:rsid w:val="00B65070"/>
    <w:rsid w:val="00B76BC7"/>
    <w:rsid w:val="00B84565"/>
    <w:rsid w:val="00B84B25"/>
    <w:rsid w:val="00B85300"/>
    <w:rsid w:val="00B8621A"/>
    <w:rsid w:val="00B86B59"/>
    <w:rsid w:val="00B87326"/>
    <w:rsid w:val="00B9435C"/>
    <w:rsid w:val="00B9616B"/>
    <w:rsid w:val="00B966A8"/>
    <w:rsid w:val="00BA44ED"/>
    <w:rsid w:val="00BA64A6"/>
    <w:rsid w:val="00BA6A16"/>
    <w:rsid w:val="00BB319D"/>
    <w:rsid w:val="00BB4393"/>
    <w:rsid w:val="00BB60A5"/>
    <w:rsid w:val="00BC0F8A"/>
    <w:rsid w:val="00BC50CB"/>
    <w:rsid w:val="00BD2761"/>
    <w:rsid w:val="00BD39D1"/>
    <w:rsid w:val="00BD5E2D"/>
    <w:rsid w:val="00BD6BF5"/>
    <w:rsid w:val="00BE6D53"/>
    <w:rsid w:val="00BE735A"/>
    <w:rsid w:val="00BF3125"/>
    <w:rsid w:val="00BF5D72"/>
    <w:rsid w:val="00BF658A"/>
    <w:rsid w:val="00BF7459"/>
    <w:rsid w:val="00C00580"/>
    <w:rsid w:val="00C007EC"/>
    <w:rsid w:val="00C12D3E"/>
    <w:rsid w:val="00C14CF4"/>
    <w:rsid w:val="00C21F67"/>
    <w:rsid w:val="00C2327F"/>
    <w:rsid w:val="00C24DF1"/>
    <w:rsid w:val="00C268F0"/>
    <w:rsid w:val="00C31576"/>
    <w:rsid w:val="00C31677"/>
    <w:rsid w:val="00C32426"/>
    <w:rsid w:val="00C33560"/>
    <w:rsid w:val="00C338BF"/>
    <w:rsid w:val="00C34A60"/>
    <w:rsid w:val="00C36823"/>
    <w:rsid w:val="00C42F8A"/>
    <w:rsid w:val="00C4342B"/>
    <w:rsid w:val="00C440E5"/>
    <w:rsid w:val="00C47ADB"/>
    <w:rsid w:val="00C52FD5"/>
    <w:rsid w:val="00C53E60"/>
    <w:rsid w:val="00C644BB"/>
    <w:rsid w:val="00C66B13"/>
    <w:rsid w:val="00C7070F"/>
    <w:rsid w:val="00C746F6"/>
    <w:rsid w:val="00C7628C"/>
    <w:rsid w:val="00C76CC5"/>
    <w:rsid w:val="00C80794"/>
    <w:rsid w:val="00C82B0A"/>
    <w:rsid w:val="00C83A6F"/>
    <w:rsid w:val="00C8703A"/>
    <w:rsid w:val="00C87573"/>
    <w:rsid w:val="00C901BF"/>
    <w:rsid w:val="00C90F14"/>
    <w:rsid w:val="00C91379"/>
    <w:rsid w:val="00C91726"/>
    <w:rsid w:val="00C9335E"/>
    <w:rsid w:val="00C95A62"/>
    <w:rsid w:val="00C95E80"/>
    <w:rsid w:val="00CA2CCB"/>
    <w:rsid w:val="00CA3716"/>
    <w:rsid w:val="00CB69DB"/>
    <w:rsid w:val="00CC04AE"/>
    <w:rsid w:val="00CC0F30"/>
    <w:rsid w:val="00CC177E"/>
    <w:rsid w:val="00CC19EB"/>
    <w:rsid w:val="00CC312F"/>
    <w:rsid w:val="00CC4EF8"/>
    <w:rsid w:val="00CD0F8C"/>
    <w:rsid w:val="00CD11BE"/>
    <w:rsid w:val="00CD5EA9"/>
    <w:rsid w:val="00CD6BC3"/>
    <w:rsid w:val="00CE0AF8"/>
    <w:rsid w:val="00CE33BA"/>
    <w:rsid w:val="00CE595E"/>
    <w:rsid w:val="00CE5FB6"/>
    <w:rsid w:val="00CF377D"/>
    <w:rsid w:val="00CF5CEA"/>
    <w:rsid w:val="00CF70A0"/>
    <w:rsid w:val="00D06341"/>
    <w:rsid w:val="00D0739E"/>
    <w:rsid w:val="00D106A3"/>
    <w:rsid w:val="00D113B6"/>
    <w:rsid w:val="00D1179B"/>
    <w:rsid w:val="00D11BB0"/>
    <w:rsid w:val="00D11E64"/>
    <w:rsid w:val="00D121D9"/>
    <w:rsid w:val="00D12D9E"/>
    <w:rsid w:val="00D1371A"/>
    <w:rsid w:val="00D1615E"/>
    <w:rsid w:val="00D17F7D"/>
    <w:rsid w:val="00D202F3"/>
    <w:rsid w:val="00D22005"/>
    <w:rsid w:val="00D22F2C"/>
    <w:rsid w:val="00D3125F"/>
    <w:rsid w:val="00D32101"/>
    <w:rsid w:val="00D34D90"/>
    <w:rsid w:val="00D36B54"/>
    <w:rsid w:val="00D40960"/>
    <w:rsid w:val="00D54EB9"/>
    <w:rsid w:val="00D54F8B"/>
    <w:rsid w:val="00D55BDA"/>
    <w:rsid w:val="00D56420"/>
    <w:rsid w:val="00D571C4"/>
    <w:rsid w:val="00D57698"/>
    <w:rsid w:val="00D608E7"/>
    <w:rsid w:val="00D61B98"/>
    <w:rsid w:val="00D63E0C"/>
    <w:rsid w:val="00D64DC2"/>
    <w:rsid w:val="00D66459"/>
    <w:rsid w:val="00D67653"/>
    <w:rsid w:val="00D726B0"/>
    <w:rsid w:val="00D73053"/>
    <w:rsid w:val="00D746DF"/>
    <w:rsid w:val="00D75D41"/>
    <w:rsid w:val="00D7673C"/>
    <w:rsid w:val="00D81D61"/>
    <w:rsid w:val="00D828C6"/>
    <w:rsid w:val="00D830A8"/>
    <w:rsid w:val="00D8700B"/>
    <w:rsid w:val="00D905C7"/>
    <w:rsid w:val="00D95504"/>
    <w:rsid w:val="00D95B7B"/>
    <w:rsid w:val="00D95E68"/>
    <w:rsid w:val="00D972D2"/>
    <w:rsid w:val="00D97425"/>
    <w:rsid w:val="00DA300D"/>
    <w:rsid w:val="00DA4960"/>
    <w:rsid w:val="00DA59DA"/>
    <w:rsid w:val="00DA7D00"/>
    <w:rsid w:val="00DB00CB"/>
    <w:rsid w:val="00DB37A4"/>
    <w:rsid w:val="00DB3F89"/>
    <w:rsid w:val="00DB51D2"/>
    <w:rsid w:val="00DB59EC"/>
    <w:rsid w:val="00DC02EC"/>
    <w:rsid w:val="00DC1A73"/>
    <w:rsid w:val="00DC2956"/>
    <w:rsid w:val="00DC513F"/>
    <w:rsid w:val="00DC6C1E"/>
    <w:rsid w:val="00DD1475"/>
    <w:rsid w:val="00DD320B"/>
    <w:rsid w:val="00DD49DB"/>
    <w:rsid w:val="00DD6BE1"/>
    <w:rsid w:val="00DD788B"/>
    <w:rsid w:val="00DE01B9"/>
    <w:rsid w:val="00DE060A"/>
    <w:rsid w:val="00DE64A4"/>
    <w:rsid w:val="00DE7AAC"/>
    <w:rsid w:val="00DF27D2"/>
    <w:rsid w:val="00DF6FF9"/>
    <w:rsid w:val="00E00DDA"/>
    <w:rsid w:val="00E01E14"/>
    <w:rsid w:val="00E1263C"/>
    <w:rsid w:val="00E14A8C"/>
    <w:rsid w:val="00E15E61"/>
    <w:rsid w:val="00E162DA"/>
    <w:rsid w:val="00E240A7"/>
    <w:rsid w:val="00E30FA5"/>
    <w:rsid w:val="00E316AE"/>
    <w:rsid w:val="00E31E1E"/>
    <w:rsid w:val="00E34D87"/>
    <w:rsid w:val="00E36A9B"/>
    <w:rsid w:val="00E42D2B"/>
    <w:rsid w:val="00E4701E"/>
    <w:rsid w:val="00E4780E"/>
    <w:rsid w:val="00E5174D"/>
    <w:rsid w:val="00E52772"/>
    <w:rsid w:val="00E52E61"/>
    <w:rsid w:val="00E5352C"/>
    <w:rsid w:val="00E53C83"/>
    <w:rsid w:val="00E56E3D"/>
    <w:rsid w:val="00E56F05"/>
    <w:rsid w:val="00E60045"/>
    <w:rsid w:val="00E605CD"/>
    <w:rsid w:val="00E6160A"/>
    <w:rsid w:val="00E6279D"/>
    <w:rsid w:val="00E64645"/>
    <w:rsid w:val="00E65846"/>
    <w:rsid w:val="00E664F2"/>
    <w:rsid w:val="00E67357"/>
    <w:rsid w:val="00E70EFB"/>
    <w:rsid w:val="00E72F05"/>
    <w:rsid w:val="00E87253"/>
    <w:rsid w:val="00E87896"/>
    <w:rsid w:val="00E90664"/>
    <w:rsid w:val="00E90FE7"/>
    <w:rsid w:val="00E91E80"/>
    <w:rsid w:val="00E95BF7"/>
    <w:rsid w:val="00EA3A93"/>
    <w:rsid w:val="00EA4200"/>
    <w:rsid w:val="00EA4C9F"/>
    <w:rsid w:val="00EA5F4C"/>
    <w:rsid w:val="00EB2FA9"/>
    <w:rsid w:val="00EB370C"/>
    <w:rsid w:val="00EB4C50"/>
    <w:rsid w:val="00EC06A9"/>
    <w:rsid w:val="00EC20A1"/>
    <w:rsid w:val="00EC6326"/>
    <w:rsid w:val="00ED27B1"/>
    <w:rsid w:val="00ED34C6"/>
    <w:rsid w:val="00ED3764"/>
    <w:rsid w:val="00EE0E09"/>
    <w:rsid w:val="00EE0E1B"/>
    <w:rsid w:val="00EF32C3"/>
    <w:rsid w:val="00EF370C"/>
    <w:rsid w:val="00EF3B54"/>
    <w:rsid w:val="00F0558D"/>
    <w:rsid w:val="00F05666"/>
    <w:rsid w:val="00F06365"/>
    <w:rsid w:val="00F139F0"/>
    <w:rsid w:val="00F13A20"/>
    <w:rsid w:val="00F157BA"/>
    <w:rsid w:val="00F206F5"/>
    <w:rsid w:val="00F20DC8"/>
    <w:rsid w:val="00F229EF"/>
    <w:rsid w:val="00F250F4"/>
    <w:rsid w:val="00F25CD0"/>
    <w:rsid w:val="00F25CDB"/>
    <w:rsid w:val="00F26ABC"/>
    <w:rsid w:val="00F2707A"/>
    <w:rsid w:val="00F332BA"/>
    <w:rsid w:val="00F34762"/>
    <w:rsid w:val="00F352EB"/>
    <w:rsid w:val="00F41F98"/>
    <w:rsid w:val="00F44578"/>
    <w:rsid w:val="00F510DF"/>
    <w:rsid w:val="00F57FB3"/>
    <w:rsid w:val="00F672A8"/>
    <w:rsid w:val="00F67913"/>
    <w:rsid w:val="00F71961"/>
    <w:rsid w:val="00F71E43"/>
    <w:rsid w:val="00F73B4A"/>
    <w:rsid w:val="00F73CE4"/>
    <w:rsid w:val="00F83D32"/>
    <w:rsid w:val="00F87745"/>
    <w:rsid w:val="00F921FB"/>
    <w:rsid w:val="00F92FE4"/>
    <w:rsid w:val="00F96022"/>
    <w:rsid w:val="00F973EE"/>
    <w:rsid w:val="00F97D41"/>
    <w:rsid w:val="00FA364C"/>
    <w:rsid w:val="00FA48DD"/>
    <w:rsid w:val="00FA557E"/>
    <w:rsid w:val="00FA5A3F"/>
    <w:rsid w:val="00FA69CA"/>
    <w:rsid w:val="00FA6F6F"/>
    <w:rsid w:val="00FB25FD"/>
    <w:rsid w:val="00FB31E7"/>
    <w:rsid w:val="00FB4388"/>
    <w:rsid w:val="00FC3FDF"/>
    <w:rsid w:val="00FC599B"/>
    <w:rsid w:val="00FC77C8"/>
    <w:rsid w:val="00FD04DD"/>
    <w:rsid w:val="00FD3ABC"/>
    <w:rsid w:val="00FD4651"/>
    <w:rsid w:val="00FD4C86"/>
    <w:rsid w:val="00FD6C04"/>
    <w:rsid w:val="00FD7E8F"/>
    <w:rsid w:val="00FE1D44"/>
    <w:rsid w:val="00FE227A"/>
    <w:rsid w:val="00FE2C3D"/>
    <w:rsid w:val="00FE2F48"/>
    <w:rsid w:val="00FE38F0"/>
    <w:rsid w:val="00FE6379"/>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BC0C77"/>
  <w15:chartTrackingRefBased/>
  <w15:docId w15:val="{043521CC-D795-43F6-BA42-76CED44D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0CF"/>
    <w:pPr>
      <w:tabs>
        <w:tab w:val="left" w:pos="567"/>
      </w:tabs>
      <w:spacing w:line="260" w:lineRule="exact"/>
    </w:pPr>
    <w:rPr>
      <w:snapToGrid w:val="0"/>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uiPriority w:val="9"/>
    <w:rsid w:val="004A50CF"/>
    <w:rPr>
      <w:rFonts w:ascii="Calibri" w:eastAsia="SimSun" w:hAnsi="Calibri"/>
      <w:snapToGrid w:val="0"/>
      <w:sz w:val="24"/>
      <w:szCs w:val="24"/>
      <w:lang w:val="en-GB"/>
    </w:rPr>
  </w:style>
  <w:style w:type="character" w:customStyle="1" w:styleId="FooterChar">
    <w:name w:val="Footer Char"/>
    <w:uiPriority w:val="99"/>
    <w:rsid w:val="004A50CF"/>
    <w:rPr>
      <w:snapToGrid w:val="0"/>
      <w:sz w:val="22"/>
      <w:lang w:val="en-GB"/>
    </w:rPr>
  </w:style>
  <w:style w:type="character" w:styleId="PageNumber">
    <w:name w:val="page number"/>
    <w:uiPriority w:val="99"/>
    <w:rsid w:val="004A50CF"/>
    <w:rPr>
      <w:rFonts w:cs="Times New Roman"/>
    </w:rPr>
  </w:style>
  <w:style w:type="character" w:styleId="Hyperlink">
    <w:name w:val="Hyperlink"/>
    <w:uiPriority w:val="99"/>
    <w:rsid w:val="004A50CF"/>
    <w:rPr>
      <w:color w:val="0000FF"/>
      <w:u w:val="single"/>
    </w:rPr>
  </w:style>
  <w:style w:type="paragraph" w:customStyle="1" w:styleId="BodytextAgency">
    <w:name w:val="Body text (Agency)"/>
    <w:basedOn w:val="Normal"/>
    <w:rsid w:val="004A50CF"/>
    <w:pPr>
      <w:tabs>
        <w:tab w:val="clear" w:pos="567"/>
      </w:tabs>
      <w:spacing w:after="140" w:line="280" w:lineRule="atLeast"/>
    </w:pPr>
    <w:rPr>
      <w:rFonts w:ascii="Verdana" w:hAnsi="Verdana"/>
      <w:sz w:val="18"/>
    </w:rPr>
  </w:style>
  <w:style w:type="character" w:customStyle="1" w:styleId="tw4winMark">
    <w:name w:val="tw4winMark"/>
    <w:uiPriority w:val="99"/>
    <w:rsid w:val="004A50CF"/>
    <w:rPr>
      <w:rFonts w:ascii="Courier New" w:hAnsi="Courier New"/>
      <w:vanish/>
      <w:color w:val="800080"/>
      <w:sz w:val="24"/>
      <w:vertAlign w:val="subscript"/>
    </w:rPr>
  </w:style>
  <w:style w:type="paragraph" w:customStyle="1" w:styleId="NormalAgency">
    <w:name w:val="Normal (Agency)"/>
    <w:rsid w:val="004A50CF"/>
    <w:rPr>
      <w:rFonts w:ascii="Verdana" w:hAnsi="Verdana"/>
      <w:snapToGrid w:val="0"/>
      <w:sz w:val="18"/>
      <w:lang w:val="en-GB" w:eastAsia="zh-CN"/>
    </w:rPr>
  </w:style>
  <w:style w:type="paragraph" w:customStyle="1" w:styleId="TabletextrowsAgency">
    <w:name w:val="Table text rows (Agency)"/>
    <w:basedOn w:val="Normal"/>
    <w:rsid w:val="004A50CF"/>
    <w:pPr>
      <w:tabs>
        <w:tab w:val="clear" w:pos="567"/>
      </w:tabs>
      <w:spacing w:line="280" w:lineRule="exact"/>
    </w:pPr>
    <w:rPr>
      <w:rFonts w:ascii="Verdana" w:hAnsi="Verdana"/>
      <w:sz w:val="18"/>
    </w:rPr>
  </w:style>
  <w:style w:type="character" w:customStyle="1" w:styleId="st">
    <w:name w:val="st"/>
    <w:rsid w:val="004A50CF"/>
    <w:rPr>
      <w:rFonts w:cs="Times New Roman"/>
    </w:rPr>
  </w:style>
  <w:style w:type="character" w:styleId="Emphasis">
    <w:name w:val="Emphasis"/>
    <w:qFormat/>
    <w:rsid w:val="004A50CF"/>
    <w:rPr>
      <w:rFonts w:cs="Times New Roman"/>
      <w:i/>
      <w:iCs/>
    </w:rPr>
  </w:style>
  <w:style w:type="character" w:customStyle="1" w:styleId="tw4winError">
    <w:name w:val="tw4winError"/>
    <w:uiPriority w:val="99"/>
    <w:rsid w:val="004A50CF"/>
    <w:rPr>
      <w:rFonts w:ascii="Courier New" w:hAnsi="Courier New"/>
      <w:color w:val="00FF00"/>
      <w:sz w:val="40"/>
    </w:rPr>
  </w:style>
  <w:style w:type="character" w:customStyle="1" w:styleId="tw4winTerm">
    <w:name w:val="tw4winTerm"/>
    <w:uiPriority w:val="99"/>
    <w:rsid w:val="004A50CF"/>
    <w:rPr>
      <w:color w:val="0000FF"/>
    </w:rPr>
  </w:style>
  <w:style w:type="character" w:customStyle="1" w:styleId="tw4winPopup">
    <w:name w:val="tw4winPopup"/>
    <w:uiPriority w:val="99"/>
    <w:rsid w:val="004A50CF"/>
    <w:rPr>
      <w:rFonts w:ascii="Courier New" w:hAnsi="Courier New"/>
      <w:noProof/>
      <w:color w:val="008000"/>
    </w:rPr>
  </w:style>
  <w:style w:type="character" w:customStyle="1" w:styleId="tw4winJump">
    <w:name w:val="tw4winJump"/>
    <w:uiPriority w:val="99"/>
    <w:rsid w:val="004A50CF"/>
    <w:rPr>
      <w:rFonts w:ascii="Courier New" w:hAnsi="Courier New"/>
      <w:noProof/>
      <w:color w:val="008080"/>
    </w:rPr>
  </w:style>
  <w:style w:type="character" w:customStyle="1" w:styleId="tw4winExternal">
    <w:name w:val="tw4winExternal"/>
    <w:uiPriority w:val="99"/>
    <w:rsid w:val="004A50CF"/>
    <w:rPr>
      <w:rFonts w:ascii="Courier New" w:hAnsi="Courier New"/>
      <w:noProof/>
      <w:color w:val="808080"/>
    </w:rPr>
  </w:style>
  <w:style w:type="character" w:customStyle="1" w:styleId="tw4winInternal">
    <w:name w:val="tw4winInternal"/>
    <w:uiPriority w:val="99"/>
    <w:rsid w:val="004A50CF"/>
    <w:rPr>
      <w:rFonts w:ascii="Courier New" w:hAnsi="Courier New"/>
      <w:noProof/>
      <w:color w:val="FF0000"/>
    </w:rPr>
  </w:style>
  <w:style w:type="character" w:customStyle="1" w:styleId="DONOTTRANSLATE">
    <w:name w:val="DO_NOT_TRANSLATE"/>
    <w:uiPriority w:val="99"/>
    <w:rsid w:val="004A50CF"/>
    <w:rPr>
      <w:rFonts w:ascii="Courier New" w:hAnsi="Courier New"/>
      <w:noProof/>
      <w:color w:val="800000"/>
    </w:rPr>
  </w:style>
  <w:style w:type="paragraph" w:styleId="BalloonText">
    <w:name w:val="Balloon Text"/>
    <w:basedOn w:val="Normal"/>
    <w:link w:val="BalloonTextChar"/>
    <w:rsid w:val="00017525"/>
    <w:pPr>
      <w:spacing w:line="240" w:lineRule="auto"/>
    </w:pPr>
    <w:rPr>
      <w:rFonts w:ascii="Tahoma" w:hAnsi="Tahoma"/>
      <w:sz w:val="16"/>
      <w:szCs w:val="16"/>
      <w:lang w:eastAsia="x-none"/>
    </w:rPr>
  </w:style>
  <w:style w:type="character" w:customStyle="1" w:styleId="BalloonTextChar">
    <w:name w:val="Balloon Text Char"/>
    <w:link w:val="BalloonText"/>
    <w:rsid w:val="00017525"/>
    <w:rPr>
      <w:rFonts w:ascii="Tahoma" w:hAnsi="Tahoma" w:cs="Tahoma"/>
      <w:snapToGrid w:val="0"/>
      <w:sz w:val="16"/>
      <w:szCs w:val="16"/>
      <w:lang w:val="en-GB"/>
    </w:rPr>
  </w:style>
  <w:style w:type="paragraph" w:styleId="Header">
    <w:name w:val="header"/>
    <w:basedOn w:val="Normal"/>
    <w:link w:val="HeaderChar"/>
    <w:uiPriority w:val="99"/>
    <w:rsid w:val="00E36A9B"/>
    <w:pPr>
      <w:tabs>
        <w:tab w:val="clear" w:pos="567"/>
        <w:tab w:val="center" w:pos="4320"/>
        <w:tab w:val="right" w:pos="8640"/>
      </w:tabs>
    </w:pPr>
  </w:style>
  <w:style w:type="character" w:customStyle="1" w:styleId="CommentTextChar">
    <w:name w:val="Comment Text Char"/>
    <w:rsid w:val="00F34762"/>
    <w:rPr>
      <w:lang w:val="lv-LV" w:eastAsia="en-US"/>
    </w:rPr>
  </w:style>
  <w:style w:type="character" w:customStyle="1" w:styleId="CommentSubjectChar">
    <w:name w:val="Comment Subject Char"/>
    <w:rsid w:val="005C5BD3"/>
    <w:rPr>
      <w:b/>
      <w:bCs/>
      <w:snapToGrid w:val="0"/>
      <w:lang w:val="en-GB" w:eastAsia="zh-CN"/>
    </w:rPr>
  </w:style>
  <w:style w:type="paragraph" w:styleId="Revision">
    <w:name w:val="Revision"/>
    <w:hidden/>
    <w:uiPriority w:val="99"/>
    <w:semiHidden/>
    <w:rsid w:val="0098315C"/>
    <w:rPr>
      <w:snapToGrid w:val="0"/>
      <w:sz w:val="22"/>
      <w:lang w:val="en-GB" w:eastAsia="zh-CN"/>
    </w:rPr>
  </w:style>
  <w:style w:type="character" w:styleId="CommentReference">
    <w:name w:val="annotation reference"/>
    <w:semiHidden/>
    <w:unhideWhenUsed/>
    <w:rsid w:val="0061373B"/>
    <w:rPr>
      <w:sz w:val="16"/>
      <w:szCs w:val="16"/>
    </w:rPr>
  </w:style>
  <w:style w:type="paragraph" w:styleId="CommentText">
    <w:name w:val="annotation text"/>
    <w:basedOn w:val="Normal"/>
    <w:link w:val="CommentTextChar1"/>
    <w:semiHidden/>
    <w:unhideWhenUsed/>
    <w:rsid w:val="0061373B"/>
    <w:rPr>
      <w:sz w:val="20"/>
    </w:rPr>
  </w:style>
  <w:style w:type="character" w:customStyle="1" w:styleId="CommentTextChar1">
    <w:name w:val="Comment Text Char1"/>
    <w:link w:val="CommentText"/>
    <w:semiHidden/>
    <w:rsid w:val="0061373B"/>
    <w:rPr>
      <w:snapToGrid w:val="0"/>
      <w:lang w:val="en-GB" w:eastAsia="zh-CN"/>
    </w:rPr>
  </w:style>
  <w:style w:type="paragraph" w:styleId="CommentSubject">
    <w:name w:val="annotation subject"/>
    <w:basedOn w:val="CommentText"/>
    <w:next w:val="CommentText"/>
    <w:link w:val="CommentSubjectChar1"/>
    <w:semiHidden/>
    <w:unhideWhenUsed/>
    <w:rsid w:val="0061373B"/>
    <w:rPr>
      <w:b/>
      <w:bCs/>
    </w:rPr>
  </w:style>
  <w:style w:type="character" w:customStyle="1" w:styleId="CommentSubjectChar1">
    <w:name w:val="Comment Subject Char1"/>
    <w:link w:val="CommentSubject"/>
    <w:semiHidden/>
    <w:rsid w:val="0061373B"/>
    <w:rPr>
      <w:b/>
      <w:bCs/>
      <w:snapToGrid w:val="0"/>
      <w:lang w:val="en-GB" w:eastAsia="zh-CN"/>
    </w:rPr>
  </w:style>
  <w:style w:type="paragraph" w:styleId="Footer">
    <w:name w:val="footer"/>
    <w:basedOn w:val="Normal"/>
    <w:link w:val="FooterChar1"/>
    <w:uiPriority w:val="99"/>
    <w:rsid w:val="00F206F5"/>
    <w:pPr>
      <w:tabs>
        <w:tab w:val="clear" w:pos="567"/>
        <w:tab w:val="center" w:pos="4320"/>
        <w:tab w:val="right" w:pos="8640"/>
      </w:tabs>
    </w:pPr>
  </w:style>
  <w:style w:type="character" w:customStyle="1" w:styleId="hps">
    <w:name w:val="hps"/>
    <w:rsid w:val="00D571C4"/>
  </w:style>
  <w:style w:type="paragraph" w:customStyle="1" w:styleId="Default">
    <w:name w:val="Default"/>
    <w:rsid w:val="008D23FD"/>
    <w:pPr>
      <w:autoSpaceDE w:val="0"/>
      <w:autoSpaceDN w:val="0"/>
      <w:adjustRightInd w:val="0"/>
    </w:pPr>
  </w:style>
  <w:style w:type="character" w:customStyle="1" w:styleId="FooterChar1">
    <w:name w:val="Footer Char1"/>
    <w:link w:val="Footer"/>
    <w:uiPriority w:val="99"/>
    <w:rsid w:val="002840C3"/>
    <w:rPr>
      <w:snapToGrid w:val="0"/>
      <w:sz w:val="22"/>
      <w:lang w:val="en-GB" w:eastAsia="zh-CN"/>
    </w:rPr>
  </w:style>
  <w:style w:type="character" w:customStyle="1" w:styleId="HeaderChar">
    <w:name w:val="Header Char"/>
    <w:link w:val="Header"/>
    <w:uiPriority w:val="99"/>
    <w:rsid w:val="00E31E1E"/>
    <w:rPr>
      <w:snapToGrid w:val="0"/>
      <w:sz w:val="22"/>
      <w:lang w:val="en-GB" w:eastAsia="zh-CN"/>
    </w:rPr>
  </w:style>
  <w:style w:type="character" w:customStyle="1" w:styleId="jlqj4b">
    <w:name w:val="jlqj4b"/>
    <w:basedOn w:val="DefaultParagraphFont"/>
    <w:rsid w:val="009A0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39664">
      <w:marLeft w:val="0"/>
      <w:marRight w:val="0"/>
      <w:marTop w:val="0"/>
      <w:marBottom w:val="0"/>
      <w:divBdr>
        <w:top w:val="none" w:sz="0" w:space="0" w:color="auto"/>
        <w:left w:val="none" w:sz="0" w:space="0" w:color="auto"/>
        <w:bottom w:val="none" w:sz="0" w:space="0" w:color="auto"/>
        <w:right w:val="none" w:sz="0" w:space="0" w:color="auto"/>
      </w:divBdr>
    </w:div>
    <w:div w:id="876503870">
      <w:marLeft w:val="0"/>
      <w:marRight w:val="0"/>
      <w:marTop w:val="0"/>
      <w:marBottom w:val="0"/>
      <w:divBdr>
        <w:top w:val="none" w:sz="0" w:space="0" w:color="auto"/>
        <w:left w:val="none" w:sz="0" w:space="0" w:color="auto"/>
        <w:bottom w:val="none" w:sz="0" w:space="0" w:color="auto"/>
        <w:right w:val="none" w:sz="0" w:space="0" w:color="auto"/>
      </w:divBdr>
    </w:div>
    <w:div w:id="876503871">
      <w:marLeft w:val="0"/>
      <w:marRight w:val="0"/>
      <w:marTop w:val="0"/>
      <w:marBottom w:val="0"/>
      <w:divBdr>
        <w:top w:val="none" w:sz="0" w:space="0" w:color="auto"/>
        <w:left w:val="none" w:sz="0" w:space="0" w:color="auto"/>
        <w:bottom w:val="none" w:sz="0" w:space="0" w:color="auto"/>
        <w:right w:val="none" w:sz="0" w:space="0" w:color="auto"/>
      </w:divBdr>
    </w:div>
    <w:div w:id="876503872">
      <w:marLeft w:val="0"/>
      <w:marRight w:val="0"/>
      <w:marTop w:val="0"/>
      <w:marBottom w:val="0"/>
      <w:divBdr>
        <w:top w:val="none" w:sz="0" w:space="0" w:color="auto"/>
        <w:left w:val="none" w:sz="0" w:space="0" w:color="auto"/>
        <w:bottom w:val="none" w:sz="0" w:space="0" w:color="auto"/>
        <w:right w:val="none" w:sz="0" w:space="0" w:color="auto"/>
      </w:divBdr>
    </w:div>
    <w:div w:id="876503873">
      <w:marLeft w:val="0"/>
      <w:marRight w:val="0"/>
      <w:marTop w:val="0"/>
      <w:marBottom w:val="0"/>
      <w:divBdr>
        <w:top w:val="none" w:sz="0" w:space="0" w:color="auto"/>
        <w:left w:val="none" w:sz="0" w:space="0" w:color="auto"/>
        <w:bottom w:val="none" w:sz="0" w:space="0" w:color="auto"/>
        <w:right w:val="none" w:sz="0" w:space="0" w:color="auto"/>
      </w:divBdr>
    </w:div>
    <w:div w:id="876503874">
      <w:marLeft w:val="0"/>
      <w:marRight w:val="0"/>
      <w:marTop w:val="0"/>
      <w:marBottom w:val="0"/>
      <w:divBdr>
        <w:top w:val="none" w:sz="0" w:space="0" w:color="auto"/>
        <w:left w:val="none" w:sz="0" w:space="0" w:color="auto"/>
        <w:bottom w:val="none" w:sz="0" w:space="0" w:color="auto"/>
        <w:right w:val="none" w:sz="0" w:space="0" w:color="auto"/>
      </w:divBdr>
    </w:div>
    <w:div w:id="876503875">
      <w:marLeft w:val="0"/>
      <w:marRight w:val="0"/>
      <w:marTop w:val="0"/>
      <w:marBottom w:val="0"/>
      <w:divBdr>
        <w:top w:val="none" w:sz="0" w:space="0" w:color="auto"/>
        <w:left w:val="none" w:sz="0" w:space="0" w:color="auto"/>
        <w:bottom w:val="none" w:sz="0" w:space="0" w:color="auto"/>
        <w:right w:val="none" w:sz="0" w:space="0" w:color="auto"/>
      </w:divBdr>
    </w:div>
    <w:div w:id="876503876">
      <w:marLeft w:val="0"/>
      <w:marRight w:val="0"/>
      <w:marTop w:val="0"/>
      <w:marBottom w:val="0"/>
      <w:divBdr>
        <w:top w:val="none" w:sz="0" w:space="0" w:color="auto"/>
        <w:left w:val="none" w:sz="0" w:space="0" w:color="auto"/>
        <w:bottom w:val="none" w:sz="0" w:space="0" w:color="auto"/>
        <w:right w:val="none" w:sz="0" w:space="0" w:color="auto"/>
      </w:divBdr>
    </w:div>
    <w:div w:id="876503877">
      <w:marLeft w:val="0"/>
      <w:marRight w:val="0"/>
      <w:marTop w:val="0"/>
      <w:marBottom w:val="0"/>
      <w:divBdr>
        <w:top w:val="none" w:sz="0" w:space="0" w:color="auto"/>
        <w:left w:val="none" w:sz="0" w:space="0" w:color="auto"/>
        <w:bottom w:val="none" w:sz="0" w:space="0" w:color="auto"/>
        <w:right w:val="none" w:sz="0" w:space="0" w:color="auto"/>
      </w:divBdr>
    </w:div>
    <w:div w:id="876503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va.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_number xmlns="82db5bd2-3f09-4eff-b4f8-de6a53cd5a02" xsi:nil="true"/>
    <IconOverlay xmlns="http://schemas.microsoft.com/sharepoint/v4" xsi:nil="true"/>
    <Trade_x0020_name xmlns="82db5bd2-3f09-4eff-b4f8-de6a53cd5a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161AA78E4354FBC4919F68D2AA10E" ma:contentTypeVersion="28" ma:contentTypeDescription="Create a new document." ma:contentTypeScope="" ma:versionID="f07d9413f6c2f1fd6f62c9c779925026">
  <xsd:schema xmlns:xsd="http://www.w3.org/2001/XMLSchema" xmlns:xs="http://www.w3.org/2001/XMLSchema" xmlns:p="http://schemas.microsoft.com/office/2006/metadata/properties" xmlns:ns2="http://schemas.microsoft.com/sharepoint/v4" xmlns:ns3="82db5bd2-3f09-4eff-b4f8-de6a53cd5a02" targetNamespace="http://schemas.microsoft.com/office/2006/metadata/properties" ma:root="true" ma:fieldsID="21c383961ba268f75156adb0319cd7aa" ns2:_="" ns3:_="">
    <xsd:import namespace="http://schemas.microsoft.com/sharepoint/v4"/>
    <xsd:import namespace="82db5bd2-3f09-4eff-b4f8-de6a53cd5a02"/>
    <xsd:element name="properties">
      <xsd:complexType>
        <xsd:sequence>
          <xsd:element name="documentManagement">
            <xsd:complexType>
              <xsd:all>
                <xsd:element ref="ns2:IconOverlay" minOccurs="0"/>
                <xsd:element ref="ns3:Procedure_number" minOccurs="0"/>
                <xsd:element ref="ns3:Trade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b5bd2-3f09-4eff-b4f8-de6a53cd5a02" elementFormDefault="qualified">
    <xsd:import namespace="http://schemas.microsoft.com/office/2006/documentManagement/types"/>
    <xsd:import namespace="http://schemas.microsoft.com/office/infopath/2007/PartnerControls"/>
    <xsd:element name="Procedure_number" ma:index="9" nillable="true" ma:displayName="Procedure number" ma:internalName="Procedure_number">
      <xsd:simpleType>
        <xsd:restriction base="dms:Text">
          <xsd:maxLength value="255"/>
        </xsd:restriction>
      </xsd:simpleType>
    </xsd:element>
    <xsd:element name="Trade_x0020_name" ma:index="10" nillable="true" ma:displayName="Trade name" ma:internalName="Trade_x0020_name" ma:readOnly="false">
      <xsd:simpleType>
        <xsd:restriction base="dms:Text">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2B6EE-2C6C-4B8E-BF30-7D167656CA3F}">
  <ds:schemaRefs>
    <ds:schemaRef ds:uri="http://schemas.microsoft.com/office/2006/metadata/properties"/>
    <ds:schemaRef ds:uri="http://schemas.microsoft.com/office/infopath/2007/PartnerControls"/>
    <ds:schemaRef ds:uri="82db5bd2-3f09-4eff-b4f8-de6a53cd5a02"/>
    <ds:schemaRef ds:uri="http://schemas.microsoft.com/sharepoint/v4"/>
  </ds:schemaRefs>
</ds:datastoreItem>
</file>

<file path=customXml/itemProps2.xml><?xml version="1.0" encoding="utf-8"?>
<ds:datastoreItem xmlns:ds="http://schemas.openxmlformats.org/officeDocument/2006/customXml" ds:itemID="{3234C6BF-1016-4C75-AB27-F2DF0ED04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82db5bd2-3f09-4eff-b4f8-de6a53c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53DCF-AF87-4186-B115-7137AAFB664A}">
  <ds:schemaRefs>
    <ds:schemaRef ds:uri="http://schemas.microsoft.com/sharepoint/v3/contenttype/forms"/>
  </ds:schemaRefs>
</ds:datastoreItem>
</file>

<file path=customXml/itemProps4.xml><?xml version="1.0" encoding="utf-8"?>
<ds:datastoreItem xmlns:ds="http://schemas.openxmlformats.org/officeDocument/2006/customXml" ds:itemID="{A136A19C-667A-4E45-9DC3-DE97273D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3376</Words>
  <Characters>25249</Characters>
  <Application>Microsoft Office Word</Application>
  <DocSecurity>0</DocSecurity>
  <Lines>210</Lines>
  <Paragraphs>57</Paragraphs>
  <ScaleCrop>false</ScaleCrop>
  <HeadingPairs>
    <vt:vector size="6" baseType="variant">
      <vt:variant>
        <vt:lpstr>Title</vt:lpstr>
      </vt:variant>
      <vt:variant>
        <vt:i4>1</vt:i4>
      </vt:variant>
      <vt:variant>
        <vt:lpstr>Tytuł</vt:lpstr>
      </vt:variant>
      <vt:variant>
        <vt:i4>1</vt:i4>
      </vt:variant>
      <vt:variant>
        <vt:lpstr>Nosaukums</vt:lpstr>
      </vt:variant>
      <vt:variant>
        <vt:i4>1</vt:i4>
      </vt:variant>
    </vt:vector>
  </HeadingPairs>
  <TitlesOfParts>
    <vt:vector size="3" baseType="lpstr">
      <vt:lpstr>QRD Human Product Information Template</vt:lpstr>
      <vt:lpstr>QRD Human Product Information Template</vt:lpstr>
      <vt:lpstr>EMA-2012-0479-00-00-ENLV</vt:lpstr>
    </vt:vector>
  </TitlesOfParts>
  <Company>Translation Centre</Company>
  <LinksUpToDate>false</LinksUpToDate>
  <CharactersWithSpaces>28568</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 Human Product Information Template</dc:title>
  <dc:subject/>
  <dc:creator>European Medicines Agency</dc:creator>
  <cp:keywords/>
  <cp:lastModifiedBy>Skaidrīte Lapsenīte</cp:lastModifiedBy>
  <cp:revision>4</cp:revision>
  <cp:lastPrinted>2013-03-12T11:37:00Z</cp:lastPrinted>
  <dcterms:created xsi:type="dcterms:W3CDTF">2021-11-17T11:18:00Z</dcterms:created>
  <dcterms:modified xsi:type="dcterms:W3CDTF">2021-11-29T12:48:00Z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_x000d_</vt:lpwstr>
  </property>
  <property fmtid="{D5CDD505-2E9C-101B-9397-08002B2CF9AE}" pid="3" name="DM_Authors">
    <vt:lpwstr>_x000d_</vt:lpwstr>
  </property>
  <property fmtid="{D5CDD505-2E9C-101B-9397-08002B2CF9AE}" pid="4" name="DM_Keywords">
    <vt:lpwstr>_x000d_</vt:lpwstr>
  </property>
  <property fmtid="{D5CDD505-2E9C-101B-9397-08002B2CF9AE}" pid="5" name="DM_Subject">
    <vt:lpwstr>General-EMA/423415/2010</vt:lpwstr>
  </property>
  <property fmtid="{D5CDD505-2E9C-101B-9397-08002B2CF9AE}" pid="6" name="DM_Title">
    <vt:lpwstr>_x000d_</vt:lpwstr>
  </property>
  <property fmtid="{D5CDD505-2E9C-101B-9397-08002B2CF9AE}" pid="7" name="DM_Language">
    <vt:lpwstr>_x000d_</vt:lpwstr>
  </property>
  <property fmtid="{D5CDD505-2E9C-101B-9397-08002B2CF9AE}" pid="8" name="DM_Owner">
    <vt:lpwstr>Espinasse Claire</vt:lpwstr>
  </property>
  <property fmtid="{D5CDD505-2E9C-101B-9397-08002B2CF9AE}" pid="9" name="DM_emea_cc">
    <vt:lpwstr>_x000d_</vt:lpwstr>
  </property>
  <property fmtid="{D5CDD505-2E9C-101B-9397-08002B2CF9AE}" pid="10" name="DM_emea_message_subject">
    <vt:lpwstr>_x000d_</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_x000d_</vt:lpwstr>
  </property>
  <property fmtid="{D5CDD505-2E9C-101B-9397-08002B2CF9AE}" pid="14" name="DM_emea_revision_label">
    <vt:lpwstr>_x000d_</vt:lpwstr>
  </property>
  <property fmtid="{D5CDD505-2E9C-101B-9397-08002B2CF9AE}" pid="15" name="DM_emea_to">
    <vt:lpwstr>_x000d_</vt:lpwstr>
  </property>
  <property fmtid="{D5CDD505-2E9C-101B-9397-08002B2CF9AE}" pid="16" name="DM_emea_bcc">
    <vt:lpwstr>_x000d_</vt:lpwstr>
  </property>
  <property fmtid="{D5CDD505-2E9C-101B-9397-08002B2CF9AE}" pid="17" name="DM_emea_doc_category">
    <vt:lpwstr>General</vt:lpwstr>
  </property>
  <property fmtid="{D5CDD505-2E9C-101B-9397-08002B2CF9AE}" pid="18" name="DM_emea_from">
    <vt:lpwstr>_x000d_</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_x000d_</vt:lpwstr>
  </property>
  <property fmtid="{D5CDD505-2E9C-101B-9397-08002B2CF9AE}" pid="24" name="DM_emea_meeting_status">
    <vt:lpwstr>_x000d_</vt:lpwstr>
  </property>
  <property fmtid="{D5CDD505-2E9C-101B-9397-08002B2CF9AE}" pid="25" name="DM_emea_meeting_action">
    <vt:lpwstr>_x000d_</vt:lpwstr>
  </property>
  <property fmtid="{D5CDD505-2E9C-101B-9397-08002B2CF9AE}" pid="26" name="DM_emea_meeting_hyperlink">
    <vt:lpwstr>_x000d_</vt:lpwstr>
  </property>
  <property fmtid="{D5CDD505-2E9C-101B-9397-08002B2CF9AE}" pid="27" name="DM_emea_meeting_title">
    <vt:lpwstr>_x000d_</vt:lpwstr>
  </property>
  <property fmtid="{D5CDD505-2E9C-101B-9397-08002B2CF9AE}" pid="28" name="DM_emea_meeting_ref">
    <vt:lpwstr>_x000d_</vt:lpwstr>
  </property>
  <property fmtid="{D5CDD505-2E9C-101B-9397-08002B2CF9AE}" pid="29" name="DM_emea_meeting_flags">
    <vt:lpwstr>_x000d_</vt:lpwstr>
  </property>
  <property fmtid="{D5CDD505-2E9C-101B-9397-08002B2CF9AE}" pid="30" name="DM_Version">
    <vt:lpwstr>CURRENT,3.0</vt:lpwstr>
  </property>
  <property fmtid="{D5CDD505-2E9C-101B-9397-08002B2CF9AE}" pid="31" name="DM_Name">
    <vt:lpwstr>Hqrdtemplatecleanlv</vt:lpwstr>
  </property>
  <property fmtid="{D5CDD505-2E9C-101B-9397-08002B2CF9AE}" pid="32" name="DM_Creation_Date">
    <vt:lpwstr>05/02/2016 11:12:02</vt:lpwstr>
  </property>
  <property fmtid="{D5CDD505-2E9C-101B-9397-08002B2CF9AE}" pid="33" name="DM_Modify_Date">
    <vt:lpwstr>05/02/2016 11:12:02</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EMA/87455/2016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Templates/07 H-qrd template v10 (falsified legislation)/Publication Feb 2016/Clean language templates</vt:lpwstr>
  </property>
  <property fmtid="{D5CDD505-2E9C-101B-9397-08002B2CF9AE}" pid="40" name="DM_emea_doc_ref_id">
    <vt:lpwstr>EMA/87455/2016</vt:lpwstr>
  </property>
  <property fmtid="{D5CDD505-2E9C-101B-9397-08002B2CF9AE}" pid="41" name="DM_Modifer_Name">
    <vt:lpwstr>Guardado Susana</vt:lpwstr>
  </property>
  <property fmtid="{D5CDD505-2E9C-101B-9397-08002B2CF9AE}" pid="42" name="DM_Modified_Date">
    <vt:lpwstr>05/02/2016 11:12:02</vt:lpwstr>
  </property>
  <property fmtid="{D5CDD505-2E9C-101B-9397-08002B2CF9AE}" pid="43" name="ContentTypeId">
    <vt:lpwstr>0x010100A46161AA78E4354FBC4919F68D2AA10E</vt:lpwstr>
  </property>
  <property fmtid="{D5CDD505-2E9C-101B-9397-08002B2CF9AE}" pid="44" name="MSIP_Label_52c6716a-2832-4ee8-8ee5-b4471006f0c1_Enabled">
    <vt:lpwstr>true</vt:lpwstr>
  </property>
  <property fmtid="{D5CDD505-2E9C-101B-9397-08002B2CF9AE}" pid="45" name="MSIP_Label_52c6716a-2832-4ee8-8ee5-b4471006f0c1_SetDate">
    <vt:lpwstr>2021-05-31T08:56:25Z</vt:lpwstr>
  </property>
  <property fmtid="{D5CDD505-2E9C-101B-9397-08002B2CF9AE}" pid="46" name="MSIP_Label_52c6716a-2832-4ee8-8ee5-b4471006f0c1_Method">
    <vt:lpwstr>Privileged</vt:lpwstr>
  </property>
  <property fmtid="{D5CDD505-2E9C-101B-9397-08002B2CF9AE}" pid="47" name="MSIP_Label_52c6716a-2832-4ee8-8ee5-b4471006f0c1_Name">
    <vt:lpwstr>Poufne – Bez Oznaczeń</vt:lpwstr>
  </property>
  <property fmtid="{D5CDD505-2E9C-101B-9397-08002B2CF9AE}" pid="48" name="MSIP_Label_52c6716a-2832-4ee8-8ee5-b4471006f0c1_SiteId">
    <vt:lpwstr>edf3cfc4-ee60-4b92-a2cb-da2c123fc895</vt:lpwstr>
  </property>
  <property fmtid="{D5CDD505-2E9C-101B-9397-08002B2CF9AE}" pid="49" name="MSIP_Label_52c6716a-2832-4ee8-8ee5-b4471006f0c1_ActionId">
    <vt:lpwstr>1e342e87-7046-49cb-8322-de2dfe38688f</vt:lpwstr>
  </property>
  <property fmtid="{D5CDD505-2E9C-101B-9397-08002B2CF9AE}" pid="50" name="MSIP_Label_52c6716a-2832-4ee8-8ee5-b4471006f0c1_ContentBits">
    <vt:lpwstr>0</vt:lpwstr>
  </property>
</Properties>
</file>