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11AE" w14:textId="77777777" w:rsidR="006177A8" w:rsidRPr="00A35C92" w:rsidRDefault="006177A8" w:rsidP="00A35C92">
      <w:pPr>
        <w:pStyle w:val="Heading1"/>
        <w:numPr>
          <w:ilvl w:val="0"/>
          <w:numId w:val="2"/>
        </w:numPr>
        <w:jc w:val="left"/>
        <w:rPr>
          <w:rFonts w:ascii="Times New Roman" w:hAnsi="Times New Roman"/>
          <w:lang w:val="lv-LV"/>
        </w:rPr>
      </w:pPr>
      <w:r w:rsidRPr="00A35C92">
        <w:rPr>
          <w:rFonts w:ascii="Times New Roman" w:hAnsi="Times New Roman"/>
          <w:lang w:val="lv-LV"/>
        </w:rPr>
        <w:t>Z</w:t>
      </w:r>
      <w:r w:rsidRPr="00A35C92">
        <w:rPr>
          <w:rFonts w:ascii="Times New Roman" w:hAnsi="Times New Roman" w:hint="eastAsia"/>
          <w:lang w:val="lv-LV"/>
        </w:rPr>
        <w:t>ĀĻ</w:t>
      </w:r>
      <w:r w:rsidRPr="00A35C92">
        <w:rPr>
          <w:rFonts w:ascii="Times New Roman" w:hAnsi="Times New Roman"/>
          <w:lang w:val="lv-LV"/>
        </w:rPr>
        <w:t>U NOSAUKUMS</w:t>
      </w:r>
    </w:p>
    <w:p w14:paraId="53EE1627" w14:textId="77777777" w:rsidR="006177A8" w:rsidRPr="0070043A" w:rsidRDefault="006177A8" w:rsidP="006177A8">
      <w:pPr>
        <w:rPr>
          <w:lang w:val="lv-LV"/>
        </w:rPr>
      </w:pPr>
    </w:p>
    <w:p w14:paraId="6FD4BD1E" w14:textId="77777777" w:rsidR="006177A8" w:rsidRPr="00A35C92" w:rsidRDefault="006177A8" w:rsidP="006177A8">
      <w:pPr>
        <w:pStyle w:val="Heading1"/>
        <w:tabs>
          <w:tab w:val="left" w:pos="0"/>
        </w:tabs>
        <w:jc w:val="left"/>
        <w:rPr>
          <w:rFonts w:ascii="Times New Roman" w:hAnsi="Times New Roman"/>
          <w:b w:val="0"/>
          <w:bCs w:val="0"/>
          <w:iCs/>
          <w:lang w:val="lv-LV"/>
        </w:rPr>
      </w:pPr>
      <w:r w:rsidRPr="00A35C92">
        <w:rPr>
          <w:rFonts w:ascii="Times New Roman" w:hAnsi="Times New Roman"/>
          <w:b w:val="0"/>
          <w:bCs w:val="0"/>
          <w:iCs/>
          <w:lang w:val="lv-LV"/>
        </w:rPr>
        <w:t xml:space="preserve">Mucosa compositum </w:t>
      </w:r>
      <w:r w:rsidRPr="00A35C92">
        <w:rPr>
          <w:rFonts w:ascii="Times New Roman" w:hAnsi="Times New Roman"/>
          <w:b w:val="0"/>
          <w:iCs/>
          <w:w w:val="104"/>
          <w:lang w:val="lv-LV"/>
        </w:rPr>
        <w:t>š</w:t>
      </w:r>
      <w:r w:rsidRPr="00A35C92">
        <w:rPr>
          <w:rFonts w:ascii="Times New Roman" w:hAnsi="Times New Roman" w:hint="eastAsia"/>
          <w:b w:val="0"/>
          <w:iCs/>
          <w:w w:val="104"/>
          <w:lang w:val="lv-LV"/>
        </w:rPr>
        <w:t>ķī</w:t>
      </w:r>
      <w:r w:rsidRPr="00A35C92">
        <w:rPr>
          <w:rFonts w:ascii="Times New Roman" w:hAnsi="Times New Roman"/>
          <w:b w:val="0"/>
          <w:iCs/>
          <w:w w:val="104"/>
          <w:lang w:val="lv-LV"/>
        </w:rPr>
        <w:t>dums injekcij</w:t>
      </w:r>
      <w:r w:rsidRPr="00A35C92">
        <w:rPr>
          <w:rFonts w:ascii="Times New Roman" w:hAnsi="Times New Roman" w:hint="eastAsia"/>
          <w:b w:val="0"/>
          <w:iCs/>
          <w:w w:val="104"/>
          <w:lang w:val="lv-LV"/>
        </w:rPr>
        <w:t>ā</w:t>
      </w:r>
      <w:r w:rsidRPr="00A35C92">
        <w:rPr>
          <w:rFonts w:ascii="Times New Roman" w:hAnsi="Times New Roman"/>
          <w:b w:val="0"/>
          <w:iCs/>
          <w:w w:val="104"/>
          <w:lang w:val="lv-LV"/>
        </w:rPr>
        <w:t>m</w:t>
      </w:r>
    </w:p>
    <w:p w14:paraId="4F6817C4" w14:textId="77777777" w:rsidR="006177A8" w:rsidRDefault="006177A8" w:rsidP="006177A8">
      <w:pPr>
        <w:rPr>
          <w:lang w:val="lv-LV"/>
        </w:rPr>
      </w:pPr>
    </w:p>
    <w:p w14:paraId="67649B62" w14:textId="77777777" w:rsidR="00A35C92" w:rsidRPr="00A35C92" w:rsidRDefault="00A35C92" w:rsidP="006177A8">
      <w:pPr>
        <w:rPr>
          <w:lang w:val="lv-LV"/>
        </w:rPr>
      </w:pPr>
    </w:p>
    <w:p w14:paraId="19A9EEFF" w14:textId="503D43DC" w:rsidR="006177A8" w:rsidRPr="00A35C92" w:rsidRDefault="006177A8" w:rsidP="00A35C92">
      <w:pPr>
        <w:pStyle w:val="Aaaavajadzigs"/>
        <w:rPr>
          <w:rFonts w:ascii="Times New Roman" w:hAnsi="Times New Roman"/>
        </w:rPr>
      </w:pPr>
      <w:r w:rsidRPr="0070043A">
        <w:rPr>
          <w:rFonts w:ascii="Times New Roman" w:hAnsi="Times New Roman"/>
        </w:rPr>
        <w:t xml:space="preserve"> </w:t>
      </w:r>
      <w:r w:rsidRPr="00A35C92">
        <w:rPr>
          <w:rFonts w:ascii="Times New Roman" w:hAnsi="Times New Roman"/>
        </w:rPr>
        <w:t>KVALITAT</w:t>
      </w:r>
      <w:r w:rsidRPr="00A35C92">
        <w:rPr>
          <w:rFonts w:ascii="Times New Roman" w:hAnsi="Times New Roman" w:hint="eastAsia"/>
        </w:rPr>
        <w:t>Ī</w:t>
      </w:r>
      <w:r w:rsidRPr="00A35C92">
        <w:rPr>
          <w:rFonts w:ascii="Times New Roman" w:hAnsi="Times New Roman"/>
        </w:rPr>
        <w:t>VAIS UN KVANTITAT</w:t>
      </w:r>
      <w:r w:rsidRPr="00A35C92">
        <w:rPr>
          <w:rFonts w:ascii="Times New Roman" w:hAnsi="Times New Roman" w:hint="eastAsia"/>
        </w:rPr>
        <w:t>Ī</w:t>
      </w:r>
      <w:r w:rsidRPr="00A35C92">
        <w:rPr>
          <w:rFonts w:ascii="Times New Roman" w:hAnsi="Times New Roman"/>
        </w:rPr>
        <w:t>VAIS SAST</w:t>
      </w:r>
      <w:r w:rsidRPr="00A35C92">
        <w:rPr>
          <w:rFonts w:ascii="Times New Roman" w:hAnsi="Times New Roman" w:hint="eastAsia"/>
        </w:rPr>
        <w:t>Ā</w:t>
      </w:r>
      <w:r w:rsidRPr="00A35C92">
        <w:rPr>
          <w:rFonts w:ascii="Times New Roman" w:hAnsi="Times New Roman"/>
        </w:rPr>
        <w:t>VS</w:t>
      </w:r>
    </w:p>
    <w:p w14:paraId="274271CC" w14:textId="77777777" w:rsidR="006177A8" w:rsidRPr="00A35C92" w:rsidRDefault="006177A8" w:rsidP="006177A8">
      <w:pPr>
        <w:rPr>
          <w:lang w:val="lv-LV"/>
        </w:rPr>
      </w:pPr>
    </w:p>
    <w:p w14:paraId="3B146BB0" w14:textId="7DD044BE" w:rsidR="006177A8" w:rsidRPr="0070043A" w:rsidRDefault="00A35C92" w:rsidP="006177A8">
      <w:pPr>
        <w:rPr>
          <w:lang w:val="lv-LV"/>
        </w:rPr>
      </w:pPr>
      <w:r>
        <w:rPr>
          <w:lang w:val="lv-LV"/>
        </w:rPr>
        <w:t>1</w:t>
      </w:r>
      <w:r w:rsidRPr="0070043A">
        <w:rPr>
          <w:lang w:val="lv-LV"/>
        </w:rPr>
        <w:t xml:space="preserve"> </w:t>
      </w:r>
      <w:r w:rsidR="006177A8" w:rsidRPr="0070043A">
        <w:rPr>
          <w:lang w:val="lv-LV"/>
        </w:rPr>
        <w:t>ampula 2</w:t>
      </w:r>
      <w:r w:rsidR="009A4E35">
        <w:rPr>
          <w:lang w:val="lv-LV"/>
        </w:rPr>
        <w:t>,</w:t>
      </w:r>
      <w:r w:rsidR="006177A8" w:rsidRPr="0070043A">
        <w:rPr>
          <w:lang w:val="lv-LV"/>
        </w:rPr>
        <w:t>2 ml (=2</w:t>
      </w:r>
      <w:r w:rsidR="009A4E35">
        <w:rPr>
          <w:lang w:val="lv-LV"/>
        </w:rPr>
        <w:t>,</w:t>
      </w:r>
      <w:r w:rsidR="006177A8" w:rsidRPr="0070043A">
        <w:rPr>
          <w:lang w:val="lv-LV"/>
        </w:rPr>
        <w:t>2 g) satur</w:t>
      </w:r>
      <w:r w:rsidR="002D76A6">
        <w:rPr>
          <w:lang w:val="lv-LV"/>
        </w:rPr>
        <w:t xml:space="preserve"> </w:t>
      </w:r>
      <w:r w:rsidR="002D76A6" w:rsidRPr="002D76A6">
        <w:rPr>
          <w:lang w:val="lv-LV"/>
        </w:rPr>
        <w:t>aktīvās vielas</w:t>
      </w:r>
      <w:r w:rsidR="006177A8" w:rsidRPr="0070043A">
        <w:rPr>
          <w:lang w:val="lv-LV"/>
        </w:rPr>
        <w:t>:</w:t>
      </w:r>
    </w:p>
    <w:p w14:paraId="19740AD8" w14:textId="77777777" w:rsidR="006177A8" w:rsidRDefault="006177A8" w:rsidP="006177A8">
      <w:pPr>
        <w:rPr>
          <w:lang w:val="lv-LV"/>
        </w:rPr>
      </w:pPr>
    </w:p>
    <w:p w14:paraId="13D0B406" w14:textId="77777777" w:rsidR="00871F5C" w:rsidRPr="0070043A" w:rsidRDefault="00871F5C" w:rsidP="006177A8">
      <w:pPr>
        <w:rPr>
          <w:lang w:val="lv-LV"/>
        </w:rPr>
      </w:pPr>
      <w:r w:rsidRPr="00A35C92">
        <w:rPr>
          <w:lang w:val="lv-LV"/>
        </w:rPr>
        <w:t>Mucosa nasalis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oris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pulmonis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oculi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vesicae felleae suis</w:t>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vesicae urinariae suis</w:t>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pylori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duodeni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oesophagi suis</w:t>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jejuni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ilei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coli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recti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Mucosa ductus choledochi suis</w:t>
      </w:r>
      <w:r w:rsidRPr="00A35C92">
        <w:rPr>
          <w:lang w:val="lv-LV"/>
        </w:rPr>
        <w:tab/>
      </w:r>
      <w:r w:rsidRPr="00A35C92">
        <w:rPr>
          <w:lang w:val="lv-LV"/>
        </w:rPr>
        <w:tab/>
        <w:t>D 8</w:t>
      </w:r>
      <w:r w:rsidRPr="00A35C92">
        <w:rPr>
          <w:lang w:val="lv-LV"/>
        </w:rPr>
        <w:tab/>
        <w:t>22,0 mg</w:t>
      </w:r>
      <w:r w:rsidRPr="00A35C92">
        <w:rPr>
          <w:lang w:val="lv-LV"/>
        </w:rPr>
        <w:br/>
        <w:t>Ventriculus suis</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Pankreas suis</w:t>
      </w:r>
      <w:r w:rsidRPr="00A35C92">
        <w:rPr>
          <w:lang w:val="lv-LV"/>
        </w:rPr>
        <w:tab/>
      </w:r>
      <w:r w:rsidRPr="00A35C92">
        <w:rPr>
          <w:lang w:val="lv-LV"/>
        </w:rPr>
        <w:tab/>
      </w:r>
      <w:r w:rsidRPr="00A35C92">
        <w:rPr>
          <w:lang w:val="lv-LV"/>
        </w:rPr>
        <w:tab/>
      </w:r>
      <w:r w:rsidRPr="00A35C92">
        <w:rPr>
          <w:lang w:val="lv-LV"/>
        </w:rPr>
        <w:tab/>
      </w:r>
      <w:r w:rsidRPr="00A35C92">
        <w:rPr>
          <w:lang w:val="lv-LV"/>
        </w:rPr>
        <w:tab/>
        <w:t>D 10</w:t>
      </w:r>
      <w:r w:rsidRPr="00A35C92">
        <w:rPr>
          <w:lang w:val="lv-LV"/>
        </w:rPr>
        <w:tab/>
        <w:t>22,0 mg</w:t>
      </w:r>
      <w:r w:rsidRPr="00A35C92">
        <w:rPr>
          <w:lang w:val="lv-LV"/>
        </w:rPr>
        <w:br/>
        <w:t>Argentum nitricum</w:t>
      </w:r>
      <w:r w:rsidRPr="00A35C92">
        <w:rPr>
          <w:lang w:val="lv-LV"/>
        </w:rPr>
        <w:tab/>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Atropa bella-donna</w:t>
      </w:r>
      <w:r w:rsidRPr="00A35C92">
        <w:rPr>
          <w:lang w:val="lv-LV"/>
        </w:rPr>
        <w:tab/>
      </w:r>
      <w:r w:rsidRPr="00A35C92">
        <w:rPr>
          <w:lang w:val="lv-LV"/>
        </w:rPr>
        <w:tab/>
      </w:r>
      <w:r w:rsidRPr="00A35C92">
        <w:rPr>
          <w:lang w:val="lv-LV"/>
        </w:rPr>
        <w:tab/>
      </w:r>
      <w:r w:rsidRPr="00A35C92">
        <w:rPr>
          <w:lang w:val="lv-LV"/>
        </w:rPr>
        <w:tab/>
        <w:t>D 10</w:t>
      </w:r>
      <w:r w:rsidRPr="00A35C92">
        <w:rPr>
          <w:lang w:val="lv-LV"/>
        </w:rPr>
        <w:tab/>
        <w:t>22,0 mg</w:t>
      </w:r>
      <w:r w:rsidRPr="00A35C92">
        <w:rPr>
          <w:lang w:val="lv-LV"/>
        </w:rPr>
        <w:br/>
        <w:t>Oxalis acetosella</w:t>
      </w:r>
      <w:r w:rsidRPr="00A35C92">
        <w:rPr>
          <w:lang w:val="lv-LV"/>
        </w:rPr>
        <w:tab/>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Semecarpus anacardium</w:t>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Phosphorus</w:t>
      </w:r>
      <w:r w:rsidRPr="00A35C92">
        <w:rPr>
          <w:lang w:val="lv-LV"/>
        </w:rPr>
        <w:tab/>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Lachesis mutus</w:t>
      </w:r>
      <w:r w:rsidRPr="00A35C92">
        <w:rPr>
          <w:lang w:val="lv-LV"/>
        </w:rPr>
        <w:tab/>
      </w:r>
      <w:r w:rsidRPr="00A35C92">
        <w:rPr>
          <w:lang w:val="lv-LV"/>
        </w:rPr>
        <w:tab/>
      </w:r>
      <w:r w:rsidRPr="00A35C92">
        <w:rPr>
          <w:lang w:val="lv-LV"/>
        </w:rPr>
        <w:tab/>
      </w:r>
      <w:r w:rsidRPr="00A35C92">
        <w:rPr>
          <w:lang w:val="lv-LV"/>
        </w:rPr>
        <w:tab/>
        <w:t>D 10</w:t>
      </w:r>
      <w:r w:rsidRPr="00A35C92">
        <w:rPr>
          <w:lang w:val="lv-LV"/>
        </w:rPr>
        <w:tab/>
        <w:t>22,0 mg</w:t>
      </w:r>
      <w:r w:rsidRPr="00A35C92">
        <w:rPr>
          <w:lang w:val="lv-LV"/>
        </w:rPr>
        <w:br/>
        <w:t>Cephaelis ipecacuanha</w:t>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Strychnos nux-vomica</w:t>
      </w:r>
      <w:r w:rsidRPr="00A35C92">
        <w:rPr>
          <w:lang w:val="lv-LV"/>
        </w:rPr>
        <w:tab/>
      </w:r>
      <w:r w:rsidRPr="00A35C92">
        <w:rPr>
          <w:lang w:val="lv-LV"/>
        </w:rPr>
        <w:tab/>
      </w:r>
      <w:r w:rsidRPr="00A35C92">
        <w:rPr>
          <w:lang w:val="lv-LV"/>
        </w:rPr>
        <w:tab/>
        <w:t>D 13</w:t>
      </w:r>
      <w:r w:rsidRPr="00A35C92">
        <w:rPr>
          <w:lang w:val="lv-LV"/>
        </w:rPr>
        <w:tab/>
        <w:t>22,0 mg</w:t>
      </w:r>
      <w:r w:rsidRPr="00A35C92">
        <w:rPr>
          <w:lang w:val="lv-LV"/>
        </w:rPr>
        <w:br/>
        <w:t>Veratrum album</w:t>
      </w:r>
      <w:r w:rsidRPr="00A35C92">
        <w:rPr>
          <w:lang w:val="lv-LV"/>
        </w:rPr>
        <w:tab/>
      </w:r>
      <w:r w:rsidRPr="00A35C92">
        <w:rPr>
          <w:lang w:val="lv-LV"/>
        </w:rPr>
        <w:tab/>
      </w:r>
      <w:r w:rsidRPr="00A35C92">
        <w:rPr>
          <w:lang w:val="lv-LV"/>
        </w:rPr>
        <w:tab/>
      </w:r>
      <w:r w:rsidRPr="00A35C92">
        <w:rPr>
          <w:lang w:val="lv-LV"/>
        </w:rPr>
        <w:tab/>
        <w:t>D 4</w:t>
      </w:r>
      <w:r w:rsidRPr="00A35C92">
        <w:rPr>
          <w:lang w:val="lv-LV"/>
        </w:rPr>
        <w:tab/>
        <w:t>22,0 mg</w:t>
      </w:r>
      <w:r w:rsidRPr="00A35C92">
        <w:rPr>
          <w:lang w:val="lv-LV"/>
        </w:rPr>
        <w:br/>
        <w:t>Pulsatilla pratensis</w:t>
      </w:r>
      <w:r w:rsidRPr="00A35C92">
        <w:rPr>
          <w:lang w:val="lv-LV"/>
        </w:rPr>
        <w:tab/>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Kreosotum</w:t>
      </w:r>
      <w:r w:rsidRPr="00A35C92">
        <w:rPr>
          <w:lang w:val="lv-LV"/>
        </w:rPr>
        <w:tab/>
      </w:r>
      <w:r w:rsidRPr="00A35C92">
        <w:rPr>
          <w:lang w:val="lv-LV"/>
        </w:rPr>
        <w:tab/>
      </w:r>
      <w:r w:rsidRPr="00A35C92">
        <w:rPr>
          <w:lang w:val="lv-LV"/>
        </w:rPr>
        <w:tab/>
      </w:r>
      <w:r w:rsidRPr="00A35C92">
        <w:rPr>
          <w:lang w:val="lv-LV"/>
        </w:rPr>
        <w:tab/>
      </w:r>
      <w:r w:rsidRPr="00A35C92">
        <w:rPr>
          <w:lang w:val="lv-LV"/>
        </w:rPr>
        <w:tab/>
        <w:t>D 10</w:t>
      </w:r>
      <w:r w:rsidRPr="00A35C92">
        <w:rPr>
          <w:lang w:val="lv-LV"/>
        </w:rPr>
        <w:tab/>
        <w:t>22,0 mg</w:t>
      </w:r>
      <w:r w:rsidRPr="00A35C92">
        <w:rPr>
          <w:lang w:val="lv-LV"/>
        </w:rPr>
        <w:br/>
        <w:t>Sulfur</w:t>
      </w:r>
      <w:r w:rsidRPr="00A35C92">
        <w:rPr>
          <w:lang w:val="lv-LV"/>
        </w:rPr>
        <w:tab/>
      </w:r>
      <w:r w:rsidRPr="00A35C92">
        <w:rPr>
          <w:lang w:val="lv-LV"/>
        </w:rPr>
        <w:tab/>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Natrium diethyloxalaceticum</w:t>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Bacterium coli-Nosode</w:t>
      </w:r>
      <w:r w:rsidRPr="00A35C92">
        <w:rPr>
          <w:lang w:val="lv-LV"/>
        </w:rPr>
        <w:tab/>
      </w:r>
      <w:r w:rsidRPr="00A35C92">
        <w:rPr>
          <w:lang w:val="lv-LV"/>
        </w:rPr>
        <w:tab/>
      </w:r>
      <w:r w:rsidRPr="00A35C92">
        <w:rPr>
          <w:lang w:val="lv-LV"/>
        </w:rPr>
        <w:tab/>
        <w:t>D 28</w:t>
      </w:r>
      <w:r w:rsidRPr="00A35C92">
        <w:rPr>
          <w:lang w:val="lv-LV"/>
        </w:rPr>
        <w:tab/>
        <w:t>22,0 mg</w:t>
      </w:r>
      <w:r w:rsidRPr="00A35C92">
        <w:rPr>
          <w:lang w:val="lv-LV"/>
        </w:rPr>
        <w:br/>
        <w:t>Marsdenia cundurango</w:t>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Kalium bichromicum</w:t>
      </w:r>
      <w:r w:rsidRPr="00A35C92">
        <w:rPr>
          <w:lang w:val="lv-LV"/>
        </w:rPr>
        <w:tab/>
      </w:r>
      <w:r w:rsidRPr="00A35C92">
        <w:rPr>
          <w:lang w:val="lv-LV"/>
        </w:rPr>
        <w:tab/>
      </w:r>
      <w:r w:rsidRPr="00A35C92">
        <w:rPr>
          <w:lang w:val="lv-LV"/>
        </w:rPr>
        <w:tab/>
      </w:r>
      <w:r w:rsidRPr="00A35C92">
        <w:rPr>
          <w:lang w:val="lv-LV"/>
        </w:rPr>
        <w:tab/>
        <w:t>D 8</w:t>
      </w:r>
      <w:r w:rsidRPr="00A35C92">
        <w:rPr>
          <w:lang w:val="lv-LV"/>
        </w:rPr>
        <w:tab/>
        <w:t>22,0 mg</w:t>
      </w:r>
      <w:r w:rsidRPr="00A35C92">
        <w:rPr>
          <w:lang w:val="lv-LV"/>
        </w:rPr>
        <w:br/>
        <w:t>Hydrastis canadensis</w:t>
      </w:r>
      <w:r w:rsidRPr="00A35C92">
        <w:rPr>
          <w:lang w:val="lv-LV"/>
        </w:rPr>
        <w:tab/>
      </w:r>
      <w:r w:rsidRPr="00A35C92">
        <w:rPr>
          <w:lang w:val="lv-LV"/>
        </w:rPr>
        <w:tab/>
      </w:r>
      <w:r w:rsidRPr="00A35C92">
        <w:rPr>
          <w:lang w:val="lv-LV"/>
        </w:rPr>
        <w:tab/>
      </w:r>
      <w:r w:rsidRPr="00A35C92">
        <w:rPr>
          <w:lang w:val="lv-LV"/>
        </w:rPr>
        <w:tab/>
        <w:t>D 4</w:t>
      </w:r>
      <w:r w:rsidRPr="00A35C92">
        <w:rPr>
          <w:lang w:val="lv-LV"/>
        </w:rPr>
        <w:tab/>
        <w:t>22,0 mg</w:t>
      </w:r>
      <w:r w:rsidRPr="00A35C92">
        <w:rPr>
          <w:lang w:val="lv-LV"/>
        </w:rPr>
        <w:br/>
        <w:t>Mandragora e radice siccata</w:t>
      </w:r>
      <w:r w:rsidRPr="00A35C92">
        <w:rPr>
          <w:lang w:val="lv-LV"/>
        </w:rPr>
        <w:tab/>
      </w:r>
      <w:r w:rsidRPr="00A35C92">
        <w:rPr>
          <w:lang w:val="lv-LV"/>
        </w:rPr>
        <w:tab/>
      </w:r>
      <w:r w:rsidRPr="00A35C92">
        <w:rPr>
          <w:lang w:val="lv-LV"/>
        </w:rPr>
        <w:tab/>
        <w:t>D 10</w:t>
      </w:r>
      <w:r w:rsidRPr="00A35C92">
        <w:rPr>
          <w:lang w:val="lv-LV"/>
        </w:rPr>
        <w:tab/>
        <w:t>22,0 mg</w:t>
      </w:r>
      <w:r w:rsidRPr="00A35C92">
        <w:rPr>
          <w:lang w:val="lv-LV"/>
        </w:rPr>
        <w:br/>
        <w:t>Momordica balsamina</w:t>
      </w:r>
      <w:r w:rsidRPr="00A35C92">
        <w:rPr>
          <w:lang w:val="lv-LV"/>
        </w:rPr>
        <w:tab/>
      </w:r>
      <w:r w:rsidRPr="00A35C92">
        <w:rPr>
          <w:lang w:val="lv-LV"/>
        </w:rPr>
        <w:tab/>
      </w:r>
      <w:r w:rsidRPr="00A35C92">
        <w:rPr>
          <w:lang w:val="lv-LV"/>
        </w:rPr>
        <w:tab/>
      </w:r>
      <w:r w:rsidRPr="00A35C92">
        <w:rPr>
          <w:lang w:val="lv-LV"/>
        </w:rPr>
        <w:tab/>
        <w:t>D 6</w:t>
      </w:r>
      <w:r w:rsidRPr="00A35C92">
        <w:rPr>
          <w:lang w:val="lv-LV"/>
        </w:rPr>
        <w:tab/>
        <w:t>22,0 mg</w:t>
      </w:r>
      <w:r w:rsidRPr="00A35C92">
        <w:rPr>
          <w:lang w:val="lv-LV"/>
        </w:rPr>
        <w:br/>
        <w:t>Ceanothus americanus</w:t>
      </w:r>
      <w:r w:rsidRPr="00A35C92">
        <w:rPr>
          <w:lang w:val="lv-LV"/>
        </w:rPr>
        <w:tab/>
      </w:r>
      <w:r w:rsidRPr="00A35C92">
        <w:rPr>
          <w:lang w:val="lv-LV"/>
        </w:rPr>
        <w:tab/>
      </w:r>
      <w:r w:rsidRPr="00A35C92">
        <w:rPr>
          <w:lang w:val="lv-LV"/>
        </w:rPr>
        <w:tab/>
        <w:t>D 4</w:t>
      </w:r>
      <w:r w:rsidRPr="00A35C92">
        <w:rPr>
          <w:lang w:val="lv-LV"/>
        </w:rPr>
        <w:tab/>
        <w:t>22,0 mg</w:t>
      </w:r>
      <w:r w:rsidRPr="00A35C92">
        <w:rPr>
          <w:lang w:val="lv-LV"/>
        </w:rPr>
        <w:br/>
      </w:r>
    </w:p>
    <w:p w14:paraId="4896FC75" w14:textId="30DFB4AB" w:rsidR="006177A8" w:rsidRDefault="00383729" w:rsidP="006177A8">
      <w:pPr>
        <w:rPr>
          <w:noProof/>
          <w:lang w:val="lv-LV"/>
        </w:rPr>
      </w:pPr>
      <w:r w:rsidRPr="00383729">
        <w:rPr>
          <w:noProof/>
          <w:lang w:val="lv-LV"/>
        </w:rPr>
        <w:t xml:space="preserve">Palīgviela(-as) ar zināmu iedarbību: katra ampula satur 2,5 mg </w:t>
      </w:r>
      <w:r w:rsidR="002D76A6" w:rsidRPr="002D76A6">
        <w:rPr>
          <w:noProof/>
          <w:lang w:val="lv-LV"/>
        </w:rPr>
        <w:t xml:space="preserve">etilspirta </w:t>
      </w:r>
      <w:r w:rsidRPr="00383729">
        <w:rPr>
          <w:noProof/>
          <w:lang w:val="lv-LV"/>
        </w:rPr>
        <w:t>(0,1 % w/w)</w:t>
      </w:r>
      <w:r w:rsidR="002D76A6">
        <w:rPr>
          <w:noProof/>
          <w:lang w:val="lv-LV"/>
        </w:rPr>
        <w:t xml:space="preserve"> </w:t>
      </w:r>
      <w:r w:rsidR="002D76A6" w:rsidRPr="002D76A6">
        <w:rPr>
          <w:noProof/>
          <w:lang w:val="lv-LV"/>
        </w:rPr>
        <w:t>kā šķīdinātāju</w:t>
      </w:r>
      <w:r w:rsidRPr="00383729">
        <w:rPr>
          <w:noProof/>
          <w:lang w:val="lv-LV"/>
        </w:rPr>
        <w:t>.</w:t>
      </w:r>
    </w:p>
    <w:p w14:paraId="523D0901" w14:textId="77777777" w:rsidR="00383729" w:rsidRPr="0070043A" w:rsidRDefault="00383729" w:rsidP="006177A8">
      <w:pPr>
        <w:rPr>
          <w:noProof/>
          <w:lang w:val="lv-LV"/>
        </w:rPr>
      </w:pPr>
    </w:p>
    <w:p w14:paraId="635FE9C5" w14:textId="77777777" w:rsidR="006177A8" w:rsidRPr="0070043A" w:rsidRDefault="006177A8" w:rsidP="006177A8">
      <w:pPr>
        <w:rPr>
          <w:noProof/>
          <w:lang w:val="lv-LV"/>
        </w:rPr>
      </w:pPr>
      <w:r w:rsidRPr="0070043A">
        <w:rPr>
          <w:noProof/>
          <w:lang w:val="lv-LV"/>
        </w:rPr>
        <w:t>Pilnu palīgvielu sarakstu skatīt 6.1.</w:t>
      </w:r>
      <w:r w:rsidR="00871F5C" w:rsidRPr="00871F5C">
        <w:rPr>
          <w:noProof/>
          <w:lang w:val="lv-LV"/>
        </w:rPr>
        <w:t xml:space="preserve"> </w:t>
      </w:r>
      <w:r w:rsidR="00871F5C" w:rsidRPr="0070043A">
        <w:rPr>
          <w:noProof/>
          <w:lang w:val="lv-LV"/>
        </w:rPr>
        <w:t>apakšpunktā</w:t>
      </w:r>
      <w:r w:rsidR="00871F5C">
        <w:rPr>
          <w:noProof/>
          <w:lang w:val="lv-LV"/>
        </w:rPr>
        <w:t>.</w:t>
      </w:r>
    </w:p>
    <w:p w14:paraId="73FE6CA2" w14:textId="77777777" w:rsidR="006177A8" w:rsidRPr="00871F5C" w:rsidRDefault="006177A8" w:rsidP="00417D6F">
      <w:pPr>
        <w:pStyle w:val="Aaaavajadzigs"/>
      </w:pPr>
      <w:r w:rsidRPr="0070043A">
        <w:rPr>
          <w:rFonts w:ascii="Times New Roman" w:hAnsi="Times New Roman"/>
        </w:rPr>
        <w:lastRenderedPageBreak/>
        <w:t>ZĀĻU FORMA</w:t>
      </w:r>
    </w:p>
    <w:p w14:paraId="029A86F4" w14:textId="77777777" w:rsidR="006177A8" w:rsidRPr="00871F5C" w:rsidRDefault="006177A8" w:rsidP="00417D6F">
      <w:pPr>
        <w:pStyle w:val="Aaaavajadzigs"/>
        <w:numPr>
          <w:ilvl w:val="0"/>
          <w:numId w:val="0"/>
        </w:numPr>
        <w:ind w:left="360"/>
      </w:pPr>
    </w:p>
    <w:p w14:paraId="4A9D5E39" w14:textId="77777777" w:rsidR="00383729" w:rsidRDefault="006177A8" w:rsidP="006177A8">
      <w:pPr>
        <w:autoSpaceDE w:val="0"/>
        <w:autoSpaceDN w:val="0"/>
        <w:adjustRightInd w:val="0"/>
        <w:jc w:val="both"/>
        <w:rPr>
          <w:w w:val="104"/>
          <w:lang w:val="lv-LV"/>
        </w:rPr>
      </w:pPr>
      <w:r w:rsidRPr="00417D6F">
        <w:rPr>
          <w:w w:val="104"/>
          <w:lang w:val="lv-LV"/>
        </w:rPr>
        <w:t>Šķīdums injekcijām</w:t>
      </w:r>
    </w:p>
    <w:p w14:paraId="7D37FB1B" w14:textId="35E029A7" w:rsidR="006177A8" w:rsidRPr="0070043A" w:rsidRDefault="00383729" w:rsidP="006177A8">
      <w:pPr>
        <w:autoSpaceDE w:val="0"/>
        <w:autoSpaceDN w:val="0"/>
        <w:adjustRightInd w:val="0"/>
        <w:jc w:val="both"/>
        <w:rPr>
          <w:szCs w:val="23"/>
          <w:lang w:val="lv-LV"/>
        </w:rPr>
      </w:pPr>
      <w:r w:rsidRPr="00383729">
        <w:rPr>
          <w:w w:val="104"/>
          <w:lang w:val="lv-LV"/>
        </w:rPr>
        <w:t>Dzidrs un bezkrāsains šķīdums</w:t>
      </w:r>
      <w:r>
        <w:rPr>
          <w:w w:val="104"/>
          <w:lang w:val="lv-LV"/>
        </w:rPr>
        <w:t>.</w:t>
      </w:r>
    </w:p>
    <w:p w14:paraId="67A92B0D" w14:textId="77777777" w:rsidR="006177A8" w:rsidRDefault="006177A8" w:rsidP="006177A8">
      <w:pPr>
        <w:ind w:left="360"/>
        <w:rPr>
          <w:lang w:val="lv-LV"/>
        </w:rPr>
      </w:pPr>
    </w:p>
    <w:p w14:paraId="5FE58662" w14:textId="77777777" w:rsidR="00417D6F" w:rsidRPr="0070043A" w:rsidRDefault="00417D6F" w:rsidP="006177A8">
      <w:pPr>
        <w:ind w:left="360"/>
        <w:rPr>
          <w:lang w:val="lv-LV"/>
        </w:rPr>
      </w:pPr>
    </w:p>
    <w:p w14:paraId="036156B1" w14:textId="77777777" w:rsidR="006177A8" w:rsidRPr="00417D6F" w:rsidRDefault="006177A8" w:rsidP="00417D6F">
      <w:pPr>
        <w:pStyle w:val="Aaaavajadzigs"/>
        <w:rPr>
          <w:rFonts w:ascii="Times New Roman" w:hAnsi="Times New Roman"/>
        </w:rPr>
      </w:pPr>
      <w:r w:rsidRPr="00417D6F">
        <w:rPr>
          <w:rFonts w:ascii="Times New Roman" w:hAnsi="Times New Roman"/>
        </w:rPr>
        <w:t>Kl</w:t>
      </w:r>
      <w:r w:rsidRPr="00417D6F">
        <w:rPr>
          <w:rFonts w:ascii="Times New Roman" w:hAnsi="Times New Roman" w:hint="eastAsia"/>
        </w:rPr>
        <w:t>ī</w:t>
      </w:r>
      <w:r w:rsidRPr="00417D6F">
        <w:rPr>
          <w:rFonts w:ascii="Times New Roman" w:hAnsi="Times New Roman"/>
        </w:rPr>
        <w:t>nisk</w:t>
      </w:r>
      <w:r w:rsidRPr="00417D6F">
        <w:rPr>
          <w:rFonts w:ascii="Times New Roman" w:hAnsi="Times New Roman" w:hint="eastAsia"/>
        </w:rPr>
        <w:t>ā</w:t>
      </w:r>
      <w:r w:rsidRPr="00417D6F">
        <w:rPr>
          <w:rFonts w:ascii="Times New Roman" w:hAnsi="Times New Roman"/>
        </w:rPr>
        <w:t xml:space="preserve"> inform</w:t>
      </w:r>
      <w:r w:rsidRPr="00417D6F">
        <w:rPr>
          <w:rFonts w:ascii="Times New Roman" w:hAnsi="Times New Roman" w:hint="eastAsia"/>
        </w:rPr>
        <w:t>ā</w:t>
      </w:r>
      <w:r w:rsidRPr="00417D6F">
        <w:rPr>
          <w:rFonts w:ascii="Times New Roman" w:hAnsi="Times New Roman"/>
        </w:rPr>
        <w:t>cija</w:t>
      </w:r>
    </w:p>
    <w:p w14:paraId="484765CB" w14:textId="77777777" w:rsidR="00871F5C" w:rsidRPr="0070043A" w:rsidRDefault="006177A8" w:rsidP="006177A8">
      <w:pPr>
        <w:tabs>
          <w:tab w:val="left" w:pos="2385"/>
        </w:tabs>
        <w:rPr>
          <w:lang w:val="lv-LV"/>
        </w:rPr>
      </w:pPr>
      <w:r w:rsidRPr="0070043A">
        <w:rPr>
          <w:lang w:val="lv-LV"/>
        </w:rPr>
        <w:tab/>
      </w:r>
    </w:p>
    <w:p w14:paraId="7618FE00" w14:textId="77777777" w:rsidR="006177A8" w:rsidRPr="00871F5C" w:rsidRDefault="00871F5C" w:rsidP="00417D6F">
      <w:pPr>
        <w:tabs>
          <w:tab w:val="left" w:pos="2385"/>
        </w:tabs>
        <w:rPr>
          <w:b/>
          <w:bCs/>
          <w:caps/>
          <w:lang w:val="lv-LV"/>
        </w:rPr>
      </w:pPr>
      <w:r>
        <w:rPr>
          <w:b/>
          <w:bCs/>
          <w:caps/>
        </w:rPr>
        <w:t xml:space="preserve">4.1. </w:t>
      </w:r>
      <w:r w:rsidR="00212E70" w:rsidRPr="00417D6F">
        <w:rPr>
          <w:b/>
          <w:bCs/>
          <w:lang w:val="lv-LV"/>
        </w:rPr>
        <w:t>Terapeitiskās indikācijas</w:t>
      </w:r>
    </w:p>
    <w:p w14:paraId="37D53D5D" w14:textId="77777777" w:rsidR="006177A8" w:rsidRPr="00417D6F" w:rsidRDefault="006177A8" w:rsidP="00417D6F">
      <w:pPr>
        <w:pStyle w:val="ListParagraph"/>
        <w:ind w:left="660"/>
        <w:rPr>
          <w:b/>
          <w:lang w:val="lv-LV"/>
        </w:rPr>
      </w:pPr>
    </w:p>
    <w:p w14:paraId="0A9FD9E7" w14:textId="2F710187" w:rsidR="006177A8" w:rsidRPr="0070043A" w:rsidRDefault="006177A8" w:rsidP="006177A8">
      <w:pPr>
        <w:rPr>
          <w:lang w:val="lv-LV"/>
        </w:rPr>
      </w:pPr>
      <w:r w:rsidRPr="0070043A">
        <w:rPr>
          <w:lang w:val="lv-LV"/>
        </w:rPr>
        <w:t xml:space="preserve">Organisma aizsargspēju veicināšanai gļotādu slimību </w:t>
      </w:r>
      <w:r w:rsidR="00871F5C">
        <w:rPr>
          <w:lang w:val="lv-LV"/>
        </w:rPr>
        <w:t xml:space="preserve">gadījumā </w:t>
      </w:r>
      <w:r w:rsidRPr="0070043A">
        <w:rPr>
          <w:lang w:val="lv-LV"/>
        </w:rPr>
        <w:t>un dažāda veida</w:t>
      </w:r>
      <w:r w:rsidR="00871F5C">
        <w:rPr>
          <w:lang w:val="lv-LV"/>
        </w:rPr>
        <w:t>,</w:t>
      </w:r>
      <w:r w:rsidRPr="0070043A">
        <w:rPr>
          <w:lang w:val="lv-LV"/>
        </w:rPr>
        <w:t xml:space="preserve"> un lokalizācijas katarāla gļotādu iekaisuma</w:t>
      </w:r>
      <w:r w:rsidR="00871F5C">
        <w:rPr>
          <w:lang w:val="lv-LV"/>
        </w:rPr>
        <w:t xml:space="preserve"> </w:t>
      </w:r>
      <w:r w:rsidR="00871F5C" w:rsidRPr="0070043A">
        <w:rPr>
          <w:lang w:val="lv-LV"/>
        </w:rPr>
        <w:t>gadījumā</w:t>
      </w:r>
      <w:r w:rsidRPr="0070043A">
        <w:rPr>
          <w:lang w:val="lv-LV"/>
        </w:rPr>
        <w:t>, piemēram, gremošanas traktā</w:t>
      </w:r>
      <w:r w:rsidR="00871F5C">
        <w:rPr>
          <w:lang w:val="lv-LV"/>
        </w:rPr>
        <w:t xml:space="preserve">- gan ar čūlām, gan </w:t>
      </w:r>
      <w:r w:rsidR="00871F5C" w:rsidRPr="0070043A">
        <w:rPr>
          <w:lang w:val="lv-LV"/>
        </w:rPr>
        <w:t>bez</w:t>
      </w:r>
      <w:r w:rsidR="00871F5C">
        <w:rPr>
          <w:lang w:val="lv-LV"/>
        </w:rPr>
        <w:t xml:space="preserve"> tām,</w:t>
      </w:r>
      <w:r w:rsidRPr="0070043A">
        <w:rPr>
          <w:lang w:val="lv-LV"/>
        </w:rPr>
        <w:t xml:space="preserve"> </w:t>
      </w:r>
      <w:r w:rsidR="00871F5C">
        <w:rPr>
          <w:lang w:val="lv-LV"/>
        </w:rPr>
        <w:t xml:space="preserve">augšējos un apakšējos </w:t>
      </w:r>
      <w:r w:rsidRPr="0070043A">
        <w:rPr>
          <w:lang w:val="lv-LV"/>
        </w:rPr>
        <w:t>elpceļ</w:t>
      </w:r>
      <w:r w:rsidR="00871F5C">
        <w:rPr>
          <w:lang w:val="lv-LV"/>
        </w:rPr>
        <w:t>os,</w:t>
      </w:r>
      <w:r w:rsidRPr="0070043A">
        <w:rPr>
          <w:lang w:val="lv-LV"/>
        </w:rPr>
        <w:t xml:space="preserve"> urīnceļos un konjunktīvā</w:t>
      </w:r>
      <w:r w:rsidR="003C4493">
        <w:rPr>
          <w:lang w:val="lv-LV"/>
        </w:rPr>
        <w:t xml:space="preserve"> pieaugušiem un bērniem no 3 gadu vecuma un vecākiem</w:t>
      </w:r>
      <w:r w:rsidR="00871F5C">
        <w:rPr>
          <w:lang w:val="lv-LV"/>
        </w:rPr>
        <w:t>.</w:t>
      </w:r>
    </w:p>
    <w:p w14:paraId="3177207A" w14:textId="77777777" w:rsidR="00871F5C" w:rsidRDefault="00871F5C" w:rsidP="00417D6F">
      <w:pPr>
        <w:pStyle w:val="ListParagraph"/>
        <w:ind w:left="0"/>
        <w:jc w:val="both"/>
        <w:rPr>
          <w:b/>
          <w:lang w:val="lv-LV"/>
        </w:rPr>
      </w:pPr>
    </w:p>
    <w:p w14:paraId="4225AC95" w14:textId="77777777" w:rsidR="006177A8" w:rsidRPr="00417D6F" w:rsidRDefault="00871F5C" w:rsidP="00871F5C">
      <w:pPr>
        <w:jc w:val="both"/>
        <w:rPr>
          <w:b/>
          <w:lang w:val="lv-LV"/>
        </w:rPr>
      </w:pPr>
      <w:r>
        <w:rPr>
          <w:b/>
          <w:lang w:val="lv-LV"/>
        </w:rPr>
        <w:t xml:space="preserve">4.2. </w:t>
      </w:r>
      <w:r w:rsidR="006177A8" w:rsidRPr="00417D6F">
        <w:rPr>
          <w:b/>
          <w:lang w:val="lv-LV"/>
        </w:rPr>
        <w:t>Devas un lietošanas veids</w:t>
      </w:r>
    </w:p>
    <w:p w14:paraId="3A5A95D0" w14:textId="77777777" w:rsidR="006177A8" w:rsidRPr="00417D6F" w:rsidRDefault="006177A8" w:rsidP="00417D6F">
      <w:pPr>
        <w:pStyle w:val="ListParagraph"/>
        <w:ind w:left="660"/>
        <w:jc w:val="both"/>
        <w:rPr>
          <w:b/>
          <w:lang w:val="lv-LV"/>
        </w:rPr>
      </w:pPr>
    </w:p>
    <w:p w14:paraId="798FCC09" w14:textId="77777777" w:rsidR="00383729" w:rsidRPr="00730806" w:rsidRDefault="00383729" w:rsidP="006177A8">
      <w:pPr>
        <w:jc w:val="both"/>
        <w:rPr>
          <w:noProof/>
          <w:u w:val="single"/>
          <w:lang w:val="lv-LV"/>
        </w:rPr>
      </w:pPr>
      <w:r w:rsidRPr="00730806">
        <w:rPr>
          <w:noProof/>
          <w:u w:val="single"/>
          <w:lang w:val="lv-LV"/>
        </w:rPr>
        <w:t>Devas</w:t>
      </w:r>
    </w:p>
    <w:p w14:paraId="448E93B5" w14:textId="77777777" w:rsidR="003C4493" w:rsidRDefault="003C4493" w:rsidP="006177A8">
      <w:pPr>
        <w:jc w:val="both"/>
        <w:rPr>
          <w:noProof/>
          <w:lang w:val="lv-LV"/>
        </w:rPr>
      </w:pPr>
      <w:r>
        <w:rPr>
          <w:noProof/>
          <w:lang w:val="lv-LV"/>
        </w:rPr>
        <w:t xml:space="preserve">Pieaugušiem un bērniem no 12 gadu vecuma: </w:t>
      </w:r>
    </w:p>
    <w:p w14:paraId="4032238E" w14:textId="43AFA660" w:rsidR="0070043A" w:rsidRPr="0070043A" w:rsidRDefault="006177A8" w:rsidP="006177A8">
      <w:pPr>
        <w:jc w:val="both"/>
        <w:rPr>
          <w:noProof/>
          <w:lang w:val="lv-LV"/>
        </w:rPr>
      </w:pPr>
      <w:r w:rsidRPr="0070043A">
        <w:rPr>
          <w:noProof/>
          <w:lang w:val="lv-LV"/>
        </w:rPr>
        <w:t>Akūtu traucējumu gadījumā lieto katru dienu, citos gadījumos</w:t>
      </w:r>
      <w:r w:rsidR="00383729">
        <w:rPr>
          <w:noProof/>
          <w:lang w:val="lv-LV"/>
        </w:rPr>
        <w:t xml:space="preserve"> 1 ampula</w:t>
      </w:r>
      <w:r w:rsidRPr="0070043A">
        <w:rPr>
          <w:noProof/>
          <w:lang w:val="lv-LV"/>
        </w:rPr>
        <w:t xml:space="preserve"> </w:t>
      </w:r>
      <w:r w:rsidR="00871F5C">
        <w:rPr>
          <w:noProof/>
          <w:lang w:val="lv-LV"/>
        </w:rPr>
        <w:t>1-3</w:t>
      </w:r>
      <w:r w:rsidRPr="0070043A">
        <w:rPr>
          <w:noProof/>
          <w:lang w:val="lv-LV"/>
        </w:rPr>
        <w:t xml:space="preserve"> </w:t>
      </w:r>
      <w:r w:rsidR="00871F5C" w:rsidRPr="0070043A">
        <w:rPr>
          <w:noProof/>
          <w:lang w:val="lv-LV"/>
        </w:rPr>
        <w:t>reiz</w:t>
      </w:r>
      <w:r w:rsidR="00871F5C">
        <w:rPr>
          <w:noProof/>
          <w:lang w:val="lv-LV"/>
        </w:rPr>
        <w:t>es</w:t>
      </w:r>
      <w:r w:rsidR="00383729">
        <w:rPr>
          <w:noProof/>
          <w:lang w:val="lv-LV"/>
        </w:rPr>
        <w:t>.</w:t>
      </w:r>
      <w:r w:rsidR="00871F5C" w:rsidRPr="0070043A">
        <w:rPr>
          <w:noProof/>
          <w:lang w:val="lv-LV"/>
        </w:rPr>
        <w:t xml:space="preserve"> </w:t>
      </w:r>
    </w:p>
    <w:p w14:paraId="67D9504A" w14:textId="32822146" w:rsidR="00730806" w:rsidRDefault="00730806" w:rsidP="00383729">
      <w:pPr>
        <w:autoSpaceDE w:val="0"/>
        <w:autoSpaceDN w:val="0"/>
        <w:adjustRightInd w:val="0"/>
        <w:jc w:val="both"/>
        <w:rPr>
          <w:szCs w:val="22"/>
          <w:u w:val="single"/>
          <w:lang w:val="lv-LV"/>
        </w:rPr>
      </w:pPr>
    </w:p>
    <w:p w14:paraId="7B25CE65" w14:textId="77777777" w:rsidR="003C4493" w:rsidRPr="00A46DF9" w:rsidRDefault="003C4493" w:rsidP="003C4493">
      <w:pPr>
        <w:autoSpaceDE w:val="0"/>
        <w:autoSpaceDN w:val="0"/>
        <w:adjustRightInd w:val="0"/>
        <w:jc w:val="both"/>
        <w:rPr>
          <w:i/>
          <w:iCs/>
          <w:szCs w:val="22"/>
          <w:lang w:val="lv-LV"/>
        </w:rPr>
      </w:pPr>
      <w:r w:rsidRPr="00A46DF9">
        <w:rPr>
          <w:i/>
          <w:iCs/>
          <w:szCs w:val="22"/>
          <w:lang w:val="lv-LV"/>
        </w:rPr>
        <w:t>Pediatriskā populācija:</w:t>
      </w:r>
    </w:p>
    <w:p w14:paraId="746C00D5" w14:textId="77777777" w:rsidR="003C4493" w:rsidRPr="00A46DF9" w:rsidRDefault="003C4493" w:rsidP="003C4493">
      <w:pPr>
        <w:autoSpaceDE w:val="0"/>
        <w:autoSpaceDN w:val="0"/>
        <w:adjustRightInd w:val="0"/>
        <w:jc w:val="both"/>
        <w:rPr>
          <w:szCs w:val="22"/>
          <w:lang w:val="lv-LV"/>
        </w:rPr>
      </w:pPr>
      <w:r w:rsidRPr="00A46DF9">
        <w:rPr>
          <w:szCs w:val="22"/>
          <w:lang w:val="lv-LV"/>
        </w:rPr>
        <w:t>Bērni vecumā no 3 līdz 5 gadiem: ½ ampulas 1 līdz 3 reizes nedēļā.</w:t>
      </w:r>
    </w:p>
    <w:p w14:paraId="45433686" w14:textId="27A00114" w:rsidR="003C4493" w:rsidRPr="00A46DF9" w:rsidRDefault="003C4493" w:rsidP="003C4493">
      <w:pPr>
        <w:autoSpaceDE w:val="0"/>
        <w:autoSpaceDN w:val="0"/>
        <w:adjustRightInd w:val="0"/>
        <w:jc w:val="both"/>
        <w:rPr>
          <w:szCs w:val="22"/>
          <w:lang w:val="lv-LV"/>
        </w:rPr>
      </w:pPr>
      <w:r w:rsidRPr="00A46DF9">
        <w:rPr>
          <w:szCs w:val="22"/>
          <w:lang w:val="lv-LV"/>
        </w:rPr>
        <w:t>Bērniem vecumā no 6 līdz 11 gadiem: ⅔ no ampulas 1 līdz 3 reizes nedēļā</w:t>
      </w:r>
    </w:p>
    <w:p w14:paraId="405619B5" w14:textId="77777777" w:rsidR="003C4493" w:rsidRDefault="003C4493" w:rsidP="003C4493">
      <w:pPr>
        <w:autoSpaceDE w:val="0"/>
        <w:autoSpaceDN w:val="0"/>
        <w:adjustRightInd w:val="0"/>
        <w:jc w:val="both"/>
        <w:rPr>
          <w:szCs w:val="22"/>
          <w:u w:val="single"/>
          <w:lang w:val="lv-LV"/>
        </w:rPr>
      </w:pPr>
    </w:p>
    <w:p w14:paraId="6F2AA5C1" w14:textId="08E582D8" w:rsidR="00383729" w:rsidRPr="00730806" w:rsidRDefault="00383729" w:rsidP="00383729">
      <w:pPr>
        <w:autoSpaceDE w:val="0"/>
        <w:autoSpaceDN w:val="0"/>
        <w:adjustRightInd w:val="0"/>
        <w:jc w:val="both"/>
        <w:rPr>
          <w:szCs w:val="22"/>
          <w:u w:val="single"/>
          <w:lang w:val="lv-LV"/>
        </w:rPr>
      </w:pPr>
      <w:r w:rsidRPr="00730806">
        <w:rPr>
          <w:szCs w:val="22"/>
          <w:u w:val="single"/>
          <w:lang w:val="lv-LV"/>
        </w:rPr>
        <w:t>Lietošanas veids</w:t>
      </w:r>
    </w:p>
    <w:p w14:paraId="5225E149" w14:textId="740675C4" w:rsidR="00383729" w:rsidRPr="00730806" w:rsidRDefault="00383729" w:rsidP="00383729">
      <w:pPr>
        <w:autoSpaceDE w:val="0"/>
        <w:autoSpaceDN w:val="0"/>
        <w:adjustRightInd w:val="0"/>
        <w:jc w:val="both"/>
        <w:rPr>
          <w:szCs w:val="22"/>
          <w:lang w:val="lv-LV"/>
        </w:rPr>
      </w:pPr>
      <w:r w:rsidRPr="00730806">
        <w:rPr>
          <w:szCs w:val="22"/>
          <w:lang w:val="lv-LV"/>
        </w:rPr>
        <w:t>Intramuskulārai, subkutānai</w:t>
      </w:r>
      <w:r>
        <w:rPr>
          <w:szCs w:val="22"/>
          <w:lang w:val="lv-LV"/>
        </w:rPr>
        <w:t xml:space="preserve"> vai </w:t>
      </w:r>
      <w:r w:rsidRPr="00730806">
        <w:rPr>
          <w:szCs w:val="22"/>
          <w:lang w:val="lv-LV"/>
        </w:rPr>
        <w:t>intravenozai</w:t>
      </w:r>
      <w:r>
        <w:rPr>
          <w:szCs w:val="22"/>
          <w:lang w:val="lv-LV"/>
        </w:rPr>
        <w:t xml:space="preserve"> </w:t>
      </w:r>
      <w:r w:rsidRPr="00730806">
        <w:rPr>
          <w:szCs w:val="22"/>
          <w:lang w:val="lv-LV"/>
        </w:rPr>
        <w:t>lietošanai.</w:t>
      </w:r>
    </w:p>
    <w:p w14:paraId="5E8AD401" w14:textId="77777777" w:rsidR="006177A8" w:rsidRPr="0070043A" w:rsidRDefault="006177A8" w:rsidP="006177A8">
      <w:pPr>
        <w:jc w:val="both"/>
        <w:rPr>
          <w:lang w:val="lv-LV"/>
        </w:rPr>
      </w:pPr>
    </w:p>
    <w:p w14:paraId="0EF406E7" w14:textId="77777777" w:rsidR="00212E70" w:rsidRPr="00417D6F" w:rsidRDefault="00871F5C" w:rsidP="00417D6F">
      <w:pPr>
        <w:pStyle w:val="Aaaavaapaksejie"/>
        <w:numPr>
          <w:ilvl w:val="1"/>
          <w:numId w:val="6"/>
        </w:numPr>
        <w:rPr>
          <w:b w:val="0"/>
        </w:rPr>
      </w:pPr>
      <w:r>
        <w:t xml:space="preserve"> </w:t>
      </w:r>
      <w:r w:rsidR="006177A8" w:rsidRPr="0070043A">
        <w:t>Kontrindikācijas</w:t>
      </w:r>
    </w:p>
    <w:p w14:paraId="42B98BE8" w14:textId="77777777" w:rsidR="00212E70" w:rsidRPr="00417D6F" w:rsidRDefault="00212E70" w:rsidP="00417D6F">
      <w:pPr>
        <w:pStyle w:val="ListParagraph"/>
        <w:ind w:left="660"/>
        <w:jc w:val="both"/>
        <w:rPr>
          <w:b/>
          <w:lang w:val="lv-LV"/>
        </w:rPr>
      </w:pPr>
    </w:p>
    <w:p w14:paraId="633921C4" w14:textId="0DD52F46" w:rsidR="006177A8" w:rsidRPr="00417D6F" w:rsidRDefault="006177A8" w:rsidP="00871F5C">
      <w:pPr>
        <w:numPr>
          <w:ilvl w:val="12"/>
          <w:numId w:val="0"/>
        </w:numPr>
        <w:rPr>
          <w:lang w:val="lv-LV"/>
        </w:rPr>
      </w:pPr>
      <w:r w:rsidRPr="00417D6F">
        <w:rPr>
          <w:lang w:val="lv-LV"/>
        </w:rPr>
        <w:t xml:space="preserve">Paaugstināta jutība pret </w:t>
      </w:r>
      <w:r w:rsidR="00871F5C">
        <w:rPr>
          <w:lang w:val="lv-LV"/>
        </w:rPr>
        <w:t>aktīvajām vielām vai jebkuru no 6.1. apakšpunktā uzskaitītajām palīgvie</w:t>
      </w:r>
      <w:r w:rsidR="00B67021">
        <w:rPr>
          <w:lang w:val="lv-LV"/>
        </w:rPr>
        <w:t>l</w:t>
      </w:r>
      <w:r w:rsidR="00871F5C">
        <w:rPr>
          <w:lang w:val="lv-LV"/>
        </w:rPr>
        <w:t xml:space="preserve">ām. </w:t>
      </w:r>
    </w:p>
    <w:p w14:paraId="21D137EB" w14:textId="77777777" w:rsidR="006177A8" w:rsidRPr="0070043A" w:rsidRDefault="006177A8" w:rsidP="006177A8">
      <w:pPr>
        <w:jc w:val="both"/>
        <w:rPr>
          <w:lang w:val="lv-LV"/>
        </w:rPr>
      </w:pPr>
    </w:p>
    <w:p w14:paraId="725AF26F" w14:textId="77777777" w:rsidR="006177A8" w:rsidRPr="0070043A" w:rsidRDefault="00871F5C" w:rsidP="00417D6F">
      <w:pPr>
        <w:pStyle w:val="Aaaavaapaksejie"/>
        <w:numPr>
          <w:ilvl w:val="1"/>
          <w:numId w:val="6"/>
        </w:numPr>
      </w:pPr>
      <w:r>
        <w:t xml:space="preserve"> </w:t>
      </w:r>
      <w:r w:rsidR="006177A8" w:rsidRPr="0070043A">
        <w:t>Īpaši brīdinājumi un piesardzība lietošanā</w:t>
      </w:r>
    </w:p>
    <w:p w14:paraId="261371C7" w14:textId="77777777" w:rsidR="00212E70" w:rsidRPr="0070043A" w:rsidRDefault="00212E70" w:rsidP="00417D6F">
      <w:pPr>
        <w:pStyle w:val="Aaaavaapaksejie"/>
        <w:numPr>
          <w:ilvl w:val="0"/>
          <w:numId w:val="0"/>
        </w:numPr>
      </w:pPr>
    </w:p>
    <w:p w14:paraId="4005B1CA" w14:textId="671AFCB3" w:rsidR="00383729" w:rsidRPr="00730806" w:rsidRDefault="00383729" w:rsidP="00383729">
      <w:pPr>
        <w:rPr>
          <w:lang w:val="lv-LV"/>
        </w:rPr>
      </w:pPr>
      <w:r w:rsidRPr="00730806">
        <w:rPr>
          <w:lang w:val="lv-LV"/>
        </w:rPr>
        <w:t>Šīs zāles satur 2,</w:t>
      </w:r>
      <w:r w:rsidR="002D76A6">
        <w:rPr>
          <w:lang w:val="lv-LV"/>
        </w:rPr>
        <w:t>5</w:t>
      </w:r>
      <w:r w:rsidRPr="00730806">
        <w:rPr>
          <w:lang w:val="lv-LV"/>
        </w:rPr>
        <w:t xml:space="preserve"> mg etilspirta (alkohola) katrā ampulā (0,1 % w/w).</w:t>
      </w:r>
    </w:p>
    <w:p w14:paraId="696D0222" w14:textId="615253FA" w:rsidR="00383729" w:rsidRDefault="00383729" w:rsidP="00730806">
      <w:pPr>
        <w:pStyle w:val="Alietinstr"/>
        <w:jc w:val="left"/>
        <w:rPr>
          <w:b w:val="0"/>
          <w:bCs/>
          <w:lang w:val="lv-LV"/>
        </w:rPr>
      </w:pPr>
      <w:r w:rsidRPr="00730806">
        <w:rPr>
          <w:b w:val="0"/>
          <w:bCs/>
          <w:lang w:val="lv-LV"/>
        </w:rPr>
        <w:t>Etilspirta daudzums vienā  ampulā ir līdzvērtīg</w:t>
      </w:r>
      <w:r w:rsidR="009A4E35">
        <w:rPr>
          <w:b w:val="0"/>
          <w:bCs/>
          <w:lang w:val="lv-LV"/>
        </w:rPr>
        <w:t>i</w:t>
      </w:r>
      <w:r w:rsidRPr="00730806">
        <w:rPr>
          <w:b w:val="0"/>
          <w:bCs/>
          <w:lang w:val="lv-LV"/>
        </w:rPr>
        <w:t xml:space="preserve"> mazāk kā 1 ml alus vai 1 ml vīna. Nelielais alkohola daudzums šajās zālēs neradīs būtiskas sekas.</w:t>
      </w:r>
    </w:p>
    <w:p w14:paraId="08EC4009" w14:textId="77777777" w:rsidR="009540C6" w:rsidRPr="00730806" w:rsidRDefault="009540C6" w:rsidP="00730806">
      <w:pPr>
        <w:pStyle w:val="Alietinstr"/>
        <w:jc w:val="left"/>
        <w:rPr>
          <w:bCs/>
          <w:lang w:val="lv-LV"/>
        </w:rPr>
      </w:pPr>
    </w:p>
    <w:p w14:paraId="5A22F288" w14:textId="13DDED0F" w:rsidR="00383729" w:rsidRDefault="00383729" w:rsidP="00383729">
      <w:pPr>
        <w:autoSpaceDE w:val="0"/>
        <w:autoSpaceDN w:val="0"/>
        <w:adjustRightInd w:val="0"/>
        <w:jc w:val="both"/>
        <w:rPr>
          <w:lang w:val="lv-LV"/>
        </w:rPr>
      </w:pPr>
      <w:r w:rsidRPr="00730806">
        <w:rPr>
          <w:szCs w:val="22"/>
          <w:lang w:val="lv-LV"/>
        </w:rPr>
        <w:t>Šīs zāles satur 17,6 mg nātrija vienā ampulā</w:t>
      </w:r>
      <w:r>
        <w:rPr>
          <w:noProof/>
          <w:szCs w:val="20"/>
          <w:lang w:val="lv-LV"/>
        </w:rPr>
        <w:t xml:space="preserve">. </w:t>
      </w:r>
      <w:r w:rsidRPr="00730806">
        <w:rPr>
          <w:lang w:val="lv-LV"/>
        </w:rPr>
        <w:t xml:space="preserve">Zāles satur mazāk par 1 mmol nātrija (23 mg) </w:t>
      </w:r>
      <w:r w:rsidR="009540C6">
        <w:rPr>
          <w:lang w:val="lv-LV"/>
        </w:rPr>
        <w:t>dienas devā</w:t>
      </w:r>
      <w:r w:rsidRPr="00730806">
        <w:rPr>
          <w:lang w:val="lv-LV"/>
        </w:rPr>
        <w:t xml:space="preserve"> - būtībā tās ir “nātriju nesaturošas”.</w:t>
      </w:r>
    </w:p>
    <w:p w14:paraId="1A6E65A2" w14:textId="77777777" w:rsidR="009540C6" w:rsidRPr="00383729" w:rsidRDefault="009540C6" w:rsidP="00383729">
      <w:pPr>
        <w:autoSpaceDE w:val="0"/>
        <w:autoSpaceDN w:val="0"/>
        <w:adjustRightInd w:val="0"/>
        <w:jc w:val="both"/>
        <w:rPr>
          <w:lang w:val="lv-LV"/>
        </w:rPr>
      </w:pPr>
    </w:p>
    <w:p w14:paraId="5D7AA2A5" w14:textId="5080F316" w:rsidR="006177A8" w:rsidRDefault="006177A8" w:rsidP="00383729">
      <w:pPr>
        <w:tabs>
          <w:tab w:val="left" w:pos="567"/>
        </w:tabs>
        <w:spacing w:line="260" w:lineRule="exact"/>
        <w:rPr>
          <w:lang w:val="lv-LV"/>
        </w:rPr>
      </w:pPr>
      <w:r w:rsidRPr="0070043A">
        <w:rPr>
          <w:lang w:val="lv-LV"/>
        </w:rPr>
        <w:t>Lietojot homeopātiskās zāles, sākumā iespējama īslaicīga pasliktināšanās. Šajā gadījumā deva jāsamazina vai jāpārtrauc lietošana.</w:t>
      </w:r>
    </w:p>
    <w:p w14:paraId="7DFA78AB" w14:textId="77777777" w:rsidR="00730806" w:rsidRPr="0070043A" w:rsidRDefault="00730806" w:rsidP="00383729">
      <w:pPr>
        <w:tabs>
          <w:tab w:val="left" w:pos="567"/>
        </w:tabs>
        <w:spacing w:line="260" w:lineRule="exact"/>
        <w:rPr>
          <w:lang w:val="lv-LV"/>
        </w:rPr>
      </w:pPr>
    </w:p>
    <w:p w14:paraId="5880A396" w14:textId="77777777" w:rsidR="006177A8" w:rsidRPr="0070043A" w:rsidRDefault="006177A8" w:rsidP="00417D6F">
      <w:pPr>
        <w:pStyle w:val="Aaaavaapaksejie"/>
        <w:numPr>
          <w:ilvl w:val="1"/>
          <w:numId w:val="6"/>
        </w:numPr>
        <w:ind w:left="0" w:firstLine="0"/>
      </w:pPr>
      <w:r w:rsidRPr="0070043A">
        <w:t>Mijiedarbība ar citām zālēm un citi mijiedarbības veidi</w:t>
      </w:r>
    </w:p>
    <w:p w14:paraId="5A10931F" w14:textId="77777777" w:rsidR="00212E70" w:rsidRPr="0070043A" w:rsidRDefault="00212E70" w:rsidP="00417D6F">
      <w:pPr>
        <w:pStyle w:val="Aaaavaapaksejie"/>
        <w:numPr>
          <w:ilvl w:val="0"/>
          <w:numId w:val="0"/>
        </w:numPr>
      </w:pPr>
    </w:p>
    <w:p w14:paraId="48E9001A" w14:textId="77777777" w:rsidR="006177A8" w:rsidRPr="0070043A" w:rsidRDefault="00550A33" w:rsidP="006177A8">
      <w:pPr>
        <w:pStyle w:val="BodyText"/>
        <w:autoSpaceDE/>
        <w:autoSpaceDN/>
        <w:adjustRightInd/>
      </w:pPr>
      <w:r>
        <w:t>M</w:t>
      </w:r>
      <w:r w:rsidR="006177A8" w:rsidRPr="0070043A">
        <w:t>ijiedarbības pētījumi</w:t>
      </w:r>
      <w:r>
        <w:t xml:space="preserve"> na</w:t>
      </w:r>
      <w:r w:rsidR="00E94DEE">
        <w:t>v</w:t>
      </w:r>
      <w:r>
        <w:t xml:space="preserve"> veikti</w:t>
      </w:r>
      <w:r w:rsidR="006177A8" w:rsidRPr="0070043A">
        <w:t>.</w:t>
      </w:r>
    </w:p>
    <w:p w14:paraId="2DB5B83E" w14:textId="77777777" w:rsidR="006177A8" w:rsidRPr="0070043A" w:rsidRDefault="006177A8" w:rsidP="00417D6F">
      <w:pPr>
        <w:pStyle w:val="Aaaavaapaksejie"/>
        <w:numPr>
          <w:ilvl w:val="0"/>
          <w:numId w:val="0"/>
        </w:numPr>
      </w:pPr>
    </w:p>
    <w:p w14:paraId="2F69F159" w14:textId="77777777" w:rsidR="00212E70" w:rsidRPr="007C3581" w:rsidRDefault="007C3581" w:rsidP="00417D6F">
      <w:pPr>
        <w:pStyle w:val="Aaaavaapaksejie"/>
        <w:numPr>
          <w:ilvl w:val="1"/>
          <w:numId w:val="6"/>
        </w:numPr>
        <w:ind w:left="0" w:firstLine="0"/>
      </w:pPr>
      <w:r w:rsidRPr="00417D6F">
        <w:t>Fertilitāte, grūtniecība un barošana ar krūti</w:t>
      </w:r>
    </w:p>
    <w:p w14:paraId="0E5CC079" w14:textId="77777777" w:rsidR="007C3581" w:rsidRDefault="007C3581" w:rsidP="006177A8">
      <w:pPr>
        <w:rPr>
          <w:noProof/>
          <w:lang w:val="lv-LV"/>
        </w:rPr>
      </w:pPr>
    </w:p>
    <w:p w14:paraId="17508CF8" w14:textId="77777777" w:rsidR="006177A8" w:rsidRPr="00417D6F" w:rsidRDefault="006177A8" w:rsidP="006177A8">
      <w:pPr>
        <w:rPr>
          <w:noProof/>
          <w:lang w:val="lv-LV"/>
        </w:rPr>
      </w:pPr>
      <w:r w:rsidRPr="00417D6F">
        <w:rPr>
          <w:noProof/>
          <w:lang w:val="lv-LV"/>
        </w:rPr>
        <w:t xml:space="preserve">Nav pietiekamu pētījumu par </w:t>
      </w:r>
      <w:r w:rsidR="00A35E7E" w:rsidRPr="00417D6F">
        <w:rPr>
          <w:lang w:val="lv-LV"/>
        </w:rPr>
        <w:t xml:space="preserve">Mucosa compositum </w:t>
      </w:r>
      <w:r w:rsidRPr="00417D6F">
        <w:rPr>
          <w:noProof/>
          <w:lang w:val="lv-LV"/>
        </w:rPr>
        <w:t xml:space="preserve">lietošanu grūtniecības un </w:t>
      </w:r>
      <w:r w:rsidR="00A35E7E">
        <w:rPr>
          <w:noProof/>
          <w:lang w:val="lv-LV"/>
        </w:rPr>
        <w:t>krūts barošanas periodā</w:t>
      </w:r>
      <w:r w:rsidRPr="00417D6F">
        <w:rPr>
          <w:noProof/>
          <w:lang w:val="lv-LV"/>
        </w:rPr>
        <w:t>.</w:t>
      </w:r>
    </w:p>
    <w:p w14:paraId="083CC39D" w14:textId="77777777" w:rsidR="006177A8" w:rsidRPr="00417D6F" w:rsidRDefault="006177A8" w:rsidP="006177A8">
      <w:pPr>
        <w:jc w:val="both"/>
        <w:rPr>
          <w:lang w:val="lv-LV"/>
        </w:rPr>
      </w:pPr>
    </w:p>
    <w:p w14:paraId="1E291662" w14:textId="77777777" w:rsidR="006177A8" w:rsidRPr="0070043A" w:rsidRDefault="006177A8" w:rsidP="00417D6F">
      <w:pPr>
        <w:pStyle w:val="Aaaavaapaksejie"/>
        <w:numPr>
          <w:ilvl w:val="1"/>
          <w:numId w:val="6"/>
        </w:numPr>
        <w:ind w:left="0" w:firstLine="0"/>
      </w:pPr>
      <w:r w:rsidRPr="0070043A">
        <w:t>Ietekme uz spēju vadīt transportlīdzekļus un apkalpot mehānismus</w:t>
      </w:r>
    </w:p>
    <w:p w14:paraId="294C77DB" w14:textId="77777777" w:rsidR="00212E70" w:rsidRPr="0070043A" w:rsidRDefault="00212E70" w:rsidP="00417D6F">
      <w:pPr>
        <w:pStyle w:val="Aaaavaapaksejie"/>
        <w:numPr>
          <w:ilvl w:val="0"/>
          <w:numId w:val="0"/>
        </w:numPr>
      </w:pPr>
    </w:p>
    <w:p w14:paraId="759EE69F" w14:textId="4AA3261E" w:rsidR="006177A8" w:rsidRDefault="006177A8" w:rsidP="00417D6F">
      <w:pPr>
        <w:numPr>
          <w:ilvl w:val="12"/>
          <w:numId w:val="0"/>
        </w:numPr>
        <w:rPr>
          <w:noProof/>
          <w:lang w:val="lv-LV"/>
        </w:rPr>
      </w:pPr>
      <w:r w:rsidRPr="00417D6F">
        <w:rPr>
          <w:lang w:val="lv-LV"/>
        </w:rPr>
        <w:t xml:space="preserve">Mucosa compositum </w:t>
      </w:r>
      <w:r w:rsidR="00004D2B">
        <w:rPr>
          <w:lang w:val="lv-LV"/>
        </w:rPr>
        <w:t xml:space="preserve">neietekmē </w:t>
      </w:r>
      <w:r w:rsidRPr="0070043A">
        <w:rPr>
          <w:noProof/>
          <w:lang w:val="lv-LV"/>
        </w:rPr>
        <w:t>spēj</w:t>
      </w:r>
      <w:r w:rsidR="006D038B">
        <w:rPr>
          <w:noProof/>
          <w:lang w:val="lv-LV"/>
        </w:rPr>
        <w:t>u</w:t>
      </w:r>
      <w:r w:rsidRPr="0070043A">
        <w:rPr>
          <w:noProof/>
          <w:lang w:val="lv-LV"/>
        </w:rPr>
        <w:t xml:space="preserve"> vadīt transportlīdzekļus un apkalpot mehānismus.</w:t>
      </w:r>
    </w:p>
    <w:p w14:paraId="6FFA2CE1" w14:textId="77777777" w:rsidR="00FD7337" w:rsidRPr="0070043A" w:rsidRDefault="00FD7337" w:rsidP="00417D6F">
      <w:pPr>
        <w:numPr>
          <w:ilvl w:val="12"/>
          <w:numId w:val="0"/>
        </w:numPr>
        <w:rPr>
          <w:noProof/>
          <w:lang w:val="lv-LV"/>
        </w:rPr>
      </w:pPr>
    </w:p>
    <w:p w14:paraId="2E9DFEB5" w14:textId="77777777" w:rsidR="006177A8" w:rsidRDefault="006177A8" w:rsidP="00417D6F">
      <w:pPr>
        <w:pStyle w:val="Aaaavaapaksejie"/>
        <w:numPr>
          <w:ilvl w:val="1"/>
          <w:numId w:val="6"/>
        </w:numPr>
        <w:ind w:left="0" w:firstLine="0"/>
      </w:pPr>
      <w:r w:rsidRPr="0070043A">
        <w:t>Nevēlamās blakusparādības</w:t>
      </w:r>
    </w:p>
    <w:p w14:paraId="7E413C25" w14:textId="77777777" w:rsidR="00417D6F" w:rsidRPr="0070043A" w:rsidRDefault="00417D6F" w:rsidP="00417D6F">
      <w:pPr>
        <w:pStyle w:val="Aaaavaapaksejie"/>
        <w:numPr>
          <w:ilvl w:val="0"/>
          <w:numId w:val="0"/>
        </w:numPr>
      </w:pPr>
    </w:p>
    <w:p w14:paraId="708FE8F8" w14:textId="77777777" w:rsidR="00FD7337" w:rsidRDefault="006177A8" w:rsidP="006177A8">
      <w:pPr>
        <w:jc w:val="both"/>
        <w:rPr>
          <w:szCs w:val="23"/>
          <w:lang w:val="lv-LV"/>
        </w:rPr>
      </w:pPr>
      <w:r w:rsidRPr="00417D6F">
        <w:rPr>
          <w:szCs w:val="23"/>
          <w:lang w:val="lv-LV"/>
        </w:rPr>
        <w:t>Ļoti retos gadījumos iespējamas paaugstinātas jutības reakcijas</w:t>
      </w:r>
      <w:r w:rsidR="00A35E7E">
        <w:rPr>
          <w:szCs w:val="23"/>
          <w:lang w:val="lv-LV"/>
        </w:rPr>
        <w:t xml:space="preserve"> vai </w:t>
      </w:r>
      <w:r w:rsidRPr="00417D6F">
        <w:rPr>
          <w:szCs w:val="23"/>
          <w:lang w:val="lv-LV"/>
        </w:rPr>
        <w:t>reakcijas ievadīšanas vietā.</w:t>
      </w:r>
    </w:p>
    <w:p w14:paraId="27AD41D7" w14:textId="06DD3D93" w:rsidR="006177A8" w:rsidRPr="00417D6F" w:rsidRDefault="006177A8" w:rsidP="006177A8">
      <w:pPr>
        <w:jc w:val="both"/>
        <w:rPr>
          <w:szCs w:val="23"/>
          <w:lang w:val="lv-LV"/>
        </w:rPr>
      </w:pPr>
      <w:r w:rsidRPr="00417D6F">
        <w:rPr>
          <w:szCs w:val="23"/>
          <w:lang w:val="lv-LV"/>
        </w:rPr>
        <w:t xml:space="preserve"> </w:t>
      </w:r>
    </w:p>
    <w:p w14:paraId="3CC3AC3F" w14:textId="77777777" w:rsidR="00A35E7E" w:rsidRPr="00417D6F" w:rsidRDefault="00A35E7E" w:rsidP="00A35E7E">
      <w:pPr>
        <w:tabs>
          <w:tab w:val="left" w:pos="567"/>
        </w:tabs>
        <w:spacing w:line="260" w:lineRule="exact"/>
        <w:ind w:left="567" w:hanging="567"/>
        <w:rPr>
          <w:noProof/>
          <w:szCs w:val="20"/>
          <w:lang w:val="lv-LV"/>
        </w:rPr>
      </w:pPr>
      <w:r w:rsidRPr="00417D6F">
        <w:rPr>
          <w:noProof/>
          <w:szCs w:val="20"/>
          <w:lang w:val="lv-LV"/>
        </w:rPr>
        <w:t>Ziņošana par iespējamām nevēlamām blakusparādībām</w:t>
      </w:r>
    </w:p>
    <w:p w14:paraId="39B3D03E" w14:textId="43DC137E" w:rsidR="00A35E7E" w:rsidRPr="00417D6F" w:rsidRDefault="00A35E7E" w:rsidP="00A35E7E">
      <w:pPr>
        <w:tabs>
          <w:tab w:val="left" w:pos="567"/>
        </w:tabs>
        <w:spacing w:line="260" w:lineRule="exact"/>
        <w:rPr>
          <w:noProof/>
          <w:szCs w:val="20"/>
          <w:lang w:val="lv-LV"/>
        </w:rPr>
      </w:pPr>
      <w:r w:rsidRPr="00417D6F">
        <w:rPr>
          <w:noProof/>
          <w:szCs w:val="20"/>
          <w:lang w:val="lv-LV"/>
        </w:rPr>
        <w:t>Ir svarīgi ziņot par iespējamām nevēlamām blakusparādībām pēc zāļu reģistrācijas. Tādējādi zāļu ieguvum</w:t>
      </w:r>
      <w:r w:rsidR="00577F4E">
        <w:rPr>
          <w:noProof/>
          <w:szCs w:val="20"/>
          <w:lang w:val="lv-LV"/>
        </w:rPr>
        <w:t>a</w:t>
      </w:r>
      <w:r w:rsidRPr="00417D6F">
        <w:rPr>
          <w:noProof/>
          <w:szCs w:val="20"/>
          <w:lang w:val="lv-LV"/>
        </w:rPr>
        <w:t>/riska attiecība tiek nepārtraukti uzraudzīta. Veselības apr</w:t>
      </w:r>
      <w:r w:rsidR="00A473D7">
        <w:rPr>
          <w:noProof/>
          <w:szCs w:val="20"/>
          <w:lang w:val="lv-LV"/>
        </w:rPr>
        <w:t>ū</w:t>
      </w:r>
      <w:r w:rsidRPr="00417D6F">
        <w:rPr>
          <w:noProof/>
          <w:szCs w:val="20"/>
          <w:lang w:val="lv-LV"/>
        </w:rPr>
        <w:t>pes speciālisti tiek lūgti ziņot par jebkādām iesp</w:t>
      </w:r>
      <w:r w:rsidR="00353B0B">
        <w:rPr>
          <w:noProof/>
          <w:szCs w:val="20"/>
          <w:lang w:val="lv-LV"/>
        </w:rPr>
        <w:t>ē</w:t>
      </w:r>
      <w:r w:rsidRPr="00417D6F">
        <w:rPr>
          <w:noProof/>
          <w:szCs w:val="20"/>
          <w:lang w:val="lv-LV"/>
        </w:rPr>
        <w:t>jamām nevēlamām blakusparādībām</w:t>
      </w:r>
    </w:p>
    <w:p w14:paraId="79676F06" w14:textId="3D9323CC" w:rsidR="00A35E7E" w:rsidRPr="00417D6F" w:rsidRDefault="00A35E7E" w:rsidP="00383729">
      <w:pPr>
        <w:tabs>
          <w:tab w:val="left" w:pos="567"/>
        </w:tabs>
        <w:spacing w:line="260" w:lineRule="exact"/>
        <w:ind w:left="567" w:hanging="567"/>
        <w:rPr>
          <w:noProof/>
          <w:szCs w:val="20"/>
          <w:lang w:val="lv-LV"/>
        </w:rPr>
      </w:pPr>
      <w:r w:rsidRPr="00417D6F">
        <w:rPr>
          <w:noProof/>
          <w:szCs w:val="20"/>
          <w:lang w:val="lv-LV"/>
        </w:rPr>
        <w:t>Zāļu valsts aģentūra</w:t>
      </w:r>
      <w:r w:rsidR="002E2628">
        <w:rPr>
          <w:noProof/>
          <w:szCs w:val="20"/>
          <w:lang w:val="lv-LV"/>
        </w:rPr>
        <w:t>i</w:t>
      </w:r>
      <w:r w:rsidR="00417D6F">
        <w:rPr>
          <w:noProof/>
          <w:szCs w:val="20"/>
          <w:lang w:val="lv-LV"/>
        </w:rPr>
        <w:t xml:space="preserve">, </w:t>
      </w:r>
      <w:r w:rsidRPr="00417D6F">
        <w:rPr>
          <w:noProof/>
          <w:szCs w:val="20"/>
          <w:lang w:val="lv-LV"/>
        </w:rPr>
        <w:t>Jersikas iel</w:t>
      </w:r>
      <w:r w:rsidR="002E2628">
        <w:rPr>
          <w:noProof/>
          <w:szCs w:val="20"/>
          <w:lang w:val="lv-LV"/>
        </w:rPr>
        <w:t>ā</w:t>
      </w:r>
      <w:r w:rsidRPr="00417D6F">
        <w:rPr>
          <w:noProof/>
          <w:szCs w:val="20"/>
          <w:lang w:val="lv-LV"/>
        </w:rPr>
        <w:t xml:space="preserve"> 15</w:t>
      </w:r>
      <w:r w:rsidR="00417D6F">
        <w:rPr>
          <w:noProof/>
          <w:szCs w:val="20"/>
          <w:lang w:val="lv-LV"/>
        </w:rPr>
        <w:t xml:space="preserve">, </w:t>
      </w:r>
      <w:r w:rsidRPr="00417D6F">
        <w:rPr>
          <w:noProof/>
          <w:szCs w:val="20"/>
          <w:lang w:val="lv-LV"/>
        </w:rPr>
        <w:t>Rīg</w:t>
      </w:r>
      <w:r w:rsidR="002E2628">
        <w:rPr>
          <w:noProof/>
          <w:szCs w:val="20"/>
          <w:lang w:val="lv-LV"/>
        </w:rPr>
        <w:t>ā</w:t>
      </w:r>
      <w:r w:rsidRPr="00417D6F">
        <w:rPr>
          <w:noProof/>
          <w:szCs w:val="20"/>
          <w:lang w:val="lv-LV"/>
        </w:rPr>
        <w:t>, LV 1003</w:t>
      </w:r>
      <w:r w:rsidR="00383729">
        <w:rPr>
          <w:noProof/>
          <w:szCs w:val="20"/>
          <w:lang w:val="lv-LV"/>
        </w:rPr>
        <w:t>.</w:t>
      </w:r>
      <w:r w:rsidRPr="00417D6F">
        <w:rPr>
          <w:noProof/>
          <w:szCs w:val="20"/>
          <w:lang w:val="lv-LV"/>
        </w:rPr>
        <w:t>Tīmekļa vietne: www.zva.gov.lv</w:t>
      </w:r>
    </w:p>
    <w:p w14:paraId="101B36FD" w14:textId="77777777" w:rsidR="006177A8" w:rsidRPr="00417D6F" w:rsidRDefault="006177A8" w:rsidP="006177A8">
      <w:pPr>
        <w:jc w:val="both"/>
        <w:rPr>
          <w:szCs w:val="23"/>
          <w:lang w:val="lv-LV"/>
        </w:rPr>
      </w:pPr>
    </w:p>
    <w:p w14:paraId="7F193A7C" w14:textId="77777777" w:rsidR="006177A8" w:rsidRPr="0070043A" w:rsidRDefault="006177A8" w:rsidP="00417D6F">
      <w:pPr>
        <w:pStyle w:val="Aaaavaapaksejie"/>
        <w:numPr>
          <w:ilvl w:val="1"/>
          <w:numId w:val="6"/>
        </w:numPr>
        <w:ind w:left="0" w:firstLine="0"/>
      </w:pPr>
      <w:r w:rsidRPr="0070043A">
        <w:t>Pārdozēšana</w:t>
      </w:r>
    </w:p>
    <w:p w14:paraId="05E59831" w14:textId="77777777" w:rsidR="00212E70" w:rsidRPr="0070043A" w:rsidRDefault="00212E70" w:rsidP="00417D6F">
      <w:pPr>
        <w:pStyle w:val="Aaaavaapaksejie"/>
        <w:numPr>
          <w:ilvl w:val="0"/>
          <w:numId w:val="0"/>
        </w:numPr>
      </w:pPr>
    </w:p>
    <w:p w14:paraId="540C4E11" w14:textId="77777777" w:rsidR="006177A8" w:rsidRPr="0070043A" w:rsidRDefault="006177A8" w:rsidP="006177A8">
      <w:pPr>
        <w:jc w:val="both"/>
        <w:rPr>
          <w:lang w:val="lv-LV"/>
        </w:rPr>
      </w:pPr>
      <w:r w:rsidRPr="0070043A">
        <w:rPr>
          <w:lang w:val="lv-LV"/>
        </w:rPr>
        <w:t>Nav ziņots par pārdozēšanas gadījumiem.</w:t>
      </w:r>
    </w:p>
    <w:p w14:paraId="771BB9D7" w14:textId="77777777" w:rsidR="006177A8" w:rsidRDefault="006177A8" w:rsidP="006177A8">
      <w:pPr>
        <w:jc w:val="both"/>
        <w:rPr>
          <w:lang w:val="lv-LV"/>
        </w:rPr>
      </w:pPr>
    </w:p>
    <w:p w14:paraId="7DB55ADF" w14:textId="77777777" w:rsidR="00C93765" w:rsidRPr="0070043A" w:rsidRDefault="00C93765" w:rsidP="006177A8">
      <w:pPr>
        <w:jc w:val="both"/>
        <w:rPr>
          <w:lang w:val="lv-LV"/>
        </w:rPr>
      </w:pPr>
    </w:p>
    <w:p w14:paraId="316C2143" w14:textId="77777777" w:rsidR="006177A8" w:rsidRPr="00417D6F" w:rsidRDefault="006177A8" w:rsidP="00417D6F">
      <w:pPr>
        <w:pStyle w:val="Aaaavajadzigs"/>
        <w:numPr>
          <w:ilvl w:val="0"/>
          <w:numId w:val="6"/>
        </w:numPr>
        <w:rPr>
          <w:rFonts w:ascii="Times New Roman" w:hAnsi="Times New Roman"/>
        </w:rPr>
      </w:pPr>
      <w:r w:rsidRPr="00417D6F">
        <w:rPr>
          <w:rFonts w:ascii="Times New Roman" w:hAnsi="Times New Roman"/>
        </w:rPr>
        <w:t>Farmakolo</w:t>
      </w:r>
      <w:r w:rsidRPr="00417D6F">
        <w:rPr>
          <w:rFonts w:ascii="Times New Roman" w:hAnsi="Times New Roman" w:hint="eastAsia"/>
        </w:rPr>
        <w:t>ģ</w:t>
      </w:r>
      <w:r w:rsidRPr="00417D6F">
        <w:rPr>
          <w:rFonts w:ascii="Times New Roman" w:hAnsi="Times New Roman"/>
        </w:rPr>
        <w:t>isk</w:t>
      </w:r>
      <w:r w:rsidRPr="00417D6F">
        <w:rPr>
          <w:rFonts w:ascii="Times New Roman" w:hAnsi="Times New Roman" w:hint="eastAsia"/>
        </w:rPr>
        <w:t>ā</w:t>
      </w:r>
      <w:r w:rsidRPr="00417D6F">
        <w:rPr>
          <w:rFonts w:ascii="Times New Roman" w:hAnsi="Times New Roman"/>
        </w:rPr>
        <w:t xml:space="preserve">s </w:t>
      </w:r>
      <w:r w:rsidRPr="00417D6F">
        <w:rPr>
          <w:rFonts w:ascii="Times New Roman" w:hAnsi="Times New Roman" w:hint="eastAsia"/>
        </w:rPr>
        <w:t>ī</w:t>
      </w:r>
      <w:r w:rsidRPr="00417D6F">
        <w:rPr>
          <w:rFonts w:ascii="Times New Roman" w:hAnsi="Times New Roman"/>
        </w:rPr>
        <w:t>paš</w:t>
      </w:r>
      <w:r w:rsidRPr="00417D6F">
        <w:rPr>
          <w:rFonts w:ascii="Times New Roman" w:hAnsi="Times New Roman" w:hint="eastAsia"/>
        </w:rPr>
        <w:t>ī</w:t>
      </w:r>
      <w:r w:rsidRPr="00417D6F">
        <w:rPr>
          <w:rFonts w:ascii="Times New Roman" w:hAnsi="Times New Roman"/>
        </w:rPr>
        <w:t>bas</w:t>
      </w:r>
    </w:p>
    <w:p w14:paraId="1C44D1BF" w14:textId="77777777" w:rsidR="006177A8" w:rsidRPr="0070043A" w:rsidRDefault="006177A8" w:rsidP="006177A8">
      <w:pPr>
        <w:rPr>
          <w:b/>
          <w:bCs/>
          <w:lang w:val="lv-LV"/>
        </w:rPr>
      </w:pPr>
    </w:p>
    <w:p w14:paraId="172F4E07" w14:textId="77777777" w:rsidR="006177A8" w:rsidRPr="0070043A" w:rsidRDefault="00C93765" w:rsidP="00417D6F">
      <w:pPr>
        <w:pStyle w:val="Aaaavaapaksejie"/>
        <w:numPr>
          <w:ilvl w:val="1"/>
          <w:numId w:val="7"/>
        </w:numPr>
      </w:pPr>
      <w:r>
        <w:t xml:space="preserve"> </w:t>
      </w:r>
      <w:r w:rsidR="00EF6DA4">
        <w:t xml:space="preserve">     </w:t>
      </w:r>
      <w:r w:rsidR="006177A8" w:rsidRPr="0070043A">
        <w:t>Farmakodinamiskās īpašības</w:t>
      </w:r>
    </w:p>
    <w:p w14:paraId="0CD11A85" w14:textId="77777777" w:rsidR="00212E70" w:rsidRPr="0070043A" w:rsidRDefault="00212E70" w:rsidP="00417D6F">
      <w:pPr>
        <w:pStyle w:val="Aaaavaapaksejie"/>
        <w:numPr>
          <w:ilvl w:val="0"/>
          <w:numId w:val="0"/>
        </w:numPr>
      </w:pPr>
    </w:p>
    <w:p w14:paraId="4CF307BA" w14:textId="01B0D277" w:rsidR="006177A8" w:rsidRPr="0070043A" w:rsidRDefault="006177A8" w:rsidP="006177A8">
      <w:pPr>
        <w:jc w:val="both"/>
        <w:rPr>
          <w:lang w:val="lv-LV"/>
        </w:rPr>
      </w:pPr>
      <w:r w:rsidRPr="00417D6F">
        <w:rPr>
          <w:color w:val="000000"/>
          <w:lang w:val="lv-LV"/>
        </w:rPr>
        <w:t>Farmakoterapeitiskā grupa:</w:t>
      </w:r>
      <w:r w:rsidR="00FD7337">
        <w:rPr>
          <w:color w:val="000000"/>
          <w:lang w:val="lv-LV"/>
        </w:rPr>
        <w:t xml:space="preserve"> </w:t>
      </w:r>
      <w:r w:rsidR="002E2628">
        <w:rPr>
          <w:color w:val="000000"/>
          <w:lang w:val="lv-LV"/>
        </w:rPr>
        <w:t>h</w:t>
      </w:r>
      <w:r w:rsidRPr="00417D6F">
        <w:rPr>
          <w:color w:val="000000"/>
          <w:lang w:val="lv-LV"/>
        </w:rPr>
        <w:t>omeopātiskas zāles</w:t>
      </w:r>
      <w:r w:rsidR="00FA6D87">
        <w:rPr>
          <w:color w:val="000000"/>
          <w:lang w:val="lv-LV"/>
        </w:rPr>
        <w:t>,</w:t>
      </w:r>
      <w:r w:rsidRPr="00417D6F">
        <w:rPr>
          <w:color w:val="000000"/>
          <w:lang w:val="lv-LV"/>
        </w:rPr>
        <w:t xml:space="preserve"> ATĶ kods V03AX</w:t>
      </w:r>
    </w:p>
    <w:p w14:paraId="227C593E" w14:textId="77777777" w:rsidR="006177A8" w:rsidRPr="0070043A" w:rsidRDefault="006177A8" w:rsidP="006177A8">
      <w:pPr>
        <w:jc w:val="both"/>
        <w:rPr>
          <w:lang w:val="lv-LV"/>
        </w:rPr>
      </w:pPr>
      <w:r w:rsidRPr="0070043A">
        <w:rPr>
          <w:lang w:val="lv-LV"/>
        </w:rPr>
        <w:t>Homeopātisko zāļu aktīvās sastāvdaļas potencē, kas nozīmē specifisku procesu, kas ietver pakāpenisku atšķaidīšanu un sakratīšanu. Homeopātiskās zāles stimulē organisma aizsargmehānismus, aktivizējot organisma pašdziedināšanās spējas, tieši neiedarbojoties uz noteiktām ķermeņa daļām. Šo zāļu terapeitiskais efekts ir regulējošs, jo to iedarbība uz slimības simptomiem ir netieša. Minēto iemeslu dēļ nav iespējams noteikt konkrētās zāļu devas farmakoloģisko efektu, to farmakokinētiskās vai farmakodinamiskās īpašības.</w:t>
      </w:r>
    </w:p>
    <w:p w14:paraId="17785DDE" w14:textId="77777777" w:rsidR="006177A8" w:rsidRPr="0070043A" w:rsidRDefault="006177A8" w:rsidP="006177A8">
      <w:pPr>
        <w:jc w:val="both"/>
        <w:rPr>
          <w:lang w:val="lv-LV"/>
        </w:rPr>
      </w:pPr>
    </w:p>
    <w:p w14:paraId="7FB5C5EB" w14:textId="77777777" w:rsidR="006177A8" w:rsidRPr="0070043A" w:rsidRDefault="00A35E7E" w:rsidP="00417D6F">
      <w:pPr>
        <w:pStyle w:val="Aaaavaapaksejie"/>
        <w:numPr>
          <w:ilvl w:val="1"/>
          <w:numId w:val="7"/>
        </w:numPr>
      </w:pPr>
      <w:r>
        <w:t xml:space="preserve"> </w:t>
      </w:r>
      <w:r w:rsidR="00EF6DA4">
        <w:t xml:space="preserve">      </w:t>
      </w:r>
      <w:r w:rsidR="006177A8" w:rsidRPr="0070043A">
        <w:t>Farmakokinētiskās īpašības</w:t>
      </w:r>
    </w:p>
    <w:p w14:paraId="7B76B204" w14:textId="77777777" w:rsidR="00212E70" w:rsidRPr="0070043A" w:rsidRDefault="00212E70" w:rsidP="00417D6F">
      <w:pPr>
        <w:pStyle w:val="Aaaavaapaksejie"/>
        <w:numPr>
          <w:ilvl w:val="0"/>
          <w:numId w:val="0"/>
        </w:numPr>
      </w:pPr>
    </w:p>
    <w:p w14:paraId="13984827" w14:textId="77777777" w:rsidR="006177A8" w:rsidRPr="0070043A" w:rsidRDefault="006177A8" w:rsidP="006177A8">
      <w:pPr>
        <w:jc w:val="both"/>
        <w:rPr>
          <w:lang w:val="lv-LV"/>
        </w:rPr>
      </w:pPr>
      <w:r w:rsidRPr="0070043A">
        <w:rPr>
          <w:lang w:val="lv-LV"/>
        </w:rPr>
        <w:t>Nav datu attiecībā uz homeopātisko līdzekļu farmakokinētiskajām īpašībām.</w:t>
      </w:r>
    </w:p>
    <w:p w14:paraId="5414CE04" w14:textId="77777777" w:rsidR="006177A8" w:rsidRPr="0070043A" w:rsidRDefault="006177A8" w:rsidP="006177A8">
      <w:pPr>
        <w:jc w:val="both"/>
        <w:rPr>
          <w:lang w:val="lv-LV"/>
        </w:rPr>
      </w:pPr>
    </w:p>
    <w:p w14:paraId="3D306517" w14:textId="77777777" w:rsidR="006177A8" w:rsidRPr="0070043A" w:rsidRDefault="00C93765" w:rsidP="00C93765">
      <w:pPr>
        <w:pStyle w:val="Aaaavaapaksejie"/>
        <w:numPr>
          <w:ilvl w:val="1"/>
          <w:numId w:val="7"/>
        </w:numPr>
      </w:pPr>
      <w:r>
        <w:t xml:space="preserve"> </w:t>
      </w:r>
      <w:r w:rsidR="00EF6DA4">
        <w:t xml:space="preserve">      </w:t>
      </w:r>
      <w:r w:rsidR="006177A8" w:rsidRPr="0070043A">
        <w:t>Preklīniskie dati par droš</w:t>
      </w:r>
      <w:r w:rsidR="00A35E7E">
        <w:t>umu</w:t>
      </w:r>
    </w:p>
    <w:p w14:paraId="04A303F1" w14:textId="77777777" w:rsidR="00212E70" w:rsidRPr="0070043A" w:rsidRDefault="00212E70" w:rsidP="00417D6F">
      <w:pPr>
        <w:pStyle w:val="Aaaavaapaksejie"/>
        <w:numPr>
          <w:ilvl w:val="0"/>
          <w:numId w:val="0"/>
        </w:numPr>
      </w:pPr>
    </w:p>
    <w:p w14:paraId="7CDAED31" w14:textId="77777777" w:rsidR="006177A8" w:rsidRPr="0070043A" w:rsidRDefault="00A35E7E" w:rsidP="006177A8">
      <w:pPr>
        <w:jc w:val="both"/>
        <w:rPr>
          <w:lang w:val="lv-LV"/>
        </w:rPr>
      </w:pPr>
      <w:r>
        <w:rPr>
          <w:lang w:val="lv-LV"/>
        </w:rPr>
        <w:t>Tiek pieņemts, ka a</w:t>
      </w:r>
      <w:r w:rsidR="006177A8" w:rsidRPr="0070043A">
        <w:rPr>
          <w:lang w:val="lv-LV"/>
        </w:rPr>
        <w:t>ktīvo vielu augstais atšķaidījums</w:t>
      </w:r>
      <w:r>
        <w:rPr>
          <w:lang w:val="lv-LV"/>
        </w:rPr>
        <w:t xml:space="preserve"> šo zāļu sastāvā </w:t>
      </w:r>
      <w:r w:rsidR="006177A8" w:rsidRPr="0070043A">
        <w:rPr>
          <w:lang w:val="lv-LV"/>
        </w:rPr>
        <w:t>ir netoksisks.</w:t>
      </w:r>
    </w:p>
    <w:p w14:paraId="75CA7D4A" w14:textId="77777777" w:rsidR="006177A8" w:rsidRDefault="006177A8" w:rsidP="006177A8">
      <w:pPr>
        <w:jc w:val="both"/>
        <w:rPr>
          <w:lang w:val="lv-LV"/>
        </w:rPr>
      </w:pPr>
    </w:p>
    <w:p w14:paraId="74356FE6" w14:textId="77777777" w:rsidR="00C93765" w:rsidRPr="0070043A" w:rsidRDefault="00C93765" w:rsidP="006177A8">
      <w:pPr>
        <w:jc w:val="both"/>
        <w:rPr>
          <w:lang w:val="lv-LV"/>
        </w:rPr>
      </w:pPr>
    </w:p>
    <w:p w14:paraId="4112B9AC" w14:textId="77777777" w:rsidR="006177A8" w:rsidRPr="00417D6F" w:rsidRDefault="006177A8" w:rsidP="00417D6F">
      <w:pPr>
        <w:pStyle w:val="Aaaavajadzigs"/>
        <w:numPr>
          <w:ilvl w:val="0"/>
          <w:numId w:val="7"/>
        </w:numPr>
        <w:rPr>
          <w:rFonts w:ascii="Times New Roman" w:hAnsi="Times New Roman"/>
        </w:rPr>
      </w:pPr>
      <w:r w:rsidRPr="00417D6F">
        <w:rPr>
          <w:rFonts w:ascii="Times New Roman" w:hAnsi="Times New Roman"/>
        </w:rPr>
        <w:t>Farmaceitisk</w:t>
      </w:r>
      <w:r w:rsidRPr="00417D6F">
        <w:rPr>
          <w:rFonts w:ascii="Times New Roman" w:hAnsi="Times New Roman" w:hint="eastAsia"/>
        </w:rPr>
        <w:t>ā</w:t>
      </w:r>
      <w:r w:rsidRPr="00417D6F">
        <w:rPr>
          <w:rFonts w:ascii="Times New Roman" w:hAnsi="Times New Roman"/>
        </w:rPr>
        <w:t xml:space="preserve"> inform</w:t>
      </w:r>
      <w:r w:rsidRPr="00417D6F">
        <w:rPr>
          <w:rFonts w:ascii="Times New Roman" w:hAnsi="Times New Roman" w:hint="eastAsia"/>
        </w:rPr>
        <w:t>ā</w:t>
      </w:r>
      <w:r w:rsidRPr="00417D6F">
        <w:rPr>
          <w:rFonts w:ascii="Times New Roman" w:hAnsi="Times New Roman"/>
        </w:rPr>
        <w:t>cija</w:t>
      </w:r>
    </w:p>
    <w:p w14:paraId="0669E3B7" w14:textId="77777777" w:rsidR="006177A8" w:rsidRPr="0070043A" w:rsidRDefault="006177A8" w:rsidP="006177A8">
      <w:pPr>
        <w:jc w:val="both"/>
        <w:rPr>
          <w:lang w:val="lv-LV"/>
        </w:rPr>
      </w:pPr>
      <w:r w:rsidRPr="0070043A">
        <w:rPr>
          <w:lang w:val="lv-LV"/>
        </w:rPr>
        <w:t xml:space="preserve">   </w:t>
      </w:r>
    </w:p>
    <w:p w14:paraId="275189FF" w14:textId="77777777" w:rsidR="00212E70" w:rsidRPr="0070043A" w:rsidRDefault="006177A8" w:rsidP="00417D6F">
      <w:pPr>
        <w:pStyle w:val="Aaaavaapaksejie"/>
        <w:numPr>
          <w:ilvl w:val="1"/>
          <w:numId w:val="7"/>
        </w:numPr>
        <w:ind w:left="0" w:firstLine="0"/>
        <w:rPr>
          <w:bCs/>
        </w:rPr>
      </w:pPr>
      <w:r w:rsidRPr="0070043A">
        <w:lastRenderedPageBreak/>
        <w:t>Palīgvielu saraksts</w:t>
      </w:r>
    </w:p>
    <w:p w14:paraId="7E27BD0C" w14:textId="77777777" w:rsidR="006177A8" w:rsidRPr="0070043A" w:rsidRDefault="006177A8" w:rsidP="00417D6F">
      <w:pPr>
        <w:pStyle w:val="Aaaavaapaksejie"/>
        <w:numPr>
          <w:ilvl w:val="0"/>
          <w:numId w:val="0"/>
        </w:numPr>
        <w:rPr>
          <w:bCs/>
        </w:rPr>
      </w:pPr>
    </w:p>
    <w:p w14:paraId="558C6527" w14:textId="77777777" w:rsidR="00C93765" w:rsidRDefault="00C93765" w:rsidP="00C93765">
      <w:pPr>
        <w:autoSpaceDE w:val="0"/>
        <w:autoSpaceDN w:val="0"/>
        <w:adjustRightInd w:val="0"/>
        <w:jc w:val="both"/>
        <w:rPr>
          <w:lang w:val="lv-LV"/>
        </w:rPr>
      </w:pPr>
      <w:r>
        <w:rPr>
          <w:color w:val="000000"/>
          <w:w w:val="104"/>
          <w:lang w:val="lv-LV"/>
        </w:rPr>
        <w:t>N</w:t>
      </w:r>
      <w:r w:rsidRPr="00417D6F">
        <w:rPr>
          <w:color w:val="000000"/>
          <w:w w:val="104"/>
          <w:lang w:val="lv-LV"/>
        </w:rPr>
        <w:t>ā</w:t>
      </w:r>
      <w:r w:rsidRPr="00417D6F">
        <w:rPr>
          <w:lang w:val="lv-LV"/>
        </w:rPr>
        <w:t>trija hlor</w:t>
      </w:r>
      <w:r w:rsidRPr="00417D6F">
        <w:rPr>
          <w:color w:val="000000"/>
          <w:w w:val="104"/>
          <w:lang w:val="lv-LV"/>
        </w:rPr>
        <w:t>īd</w:t>
      </w:r>
      <w:r>
        <w:rPr>
          <w:lang w:val="lv-LV"/>
        </w:rPr>
        <w:t>s</w:t>
      </w:r>
    </w:p>
    <w:p w14:paraId="06116350" w14:textId="77777777" w:rsidR="00C93765" w:rsidRPr="0070043A" w:rsidRDefault="00C93765" w:rsidP="00C93765">
      <w:pPr>
        <w:autoSpaceDE w:val="0"/>
        <w:autoSpaceDN w:val="0"/>
        <w:adjustRightInd w:val="0"/>
        <w:jc w:val="both"/>
        <w:rPr>
          <w:lang w:val="lv-LV"/>
        </w:rPr>
      </w:pPr>
      <w:r>
        <w:rPr>
          <w:lang w:val="lv-LV"/>
        </w:rPr>
        <w:t>Ū</w:t>
      </w:r>
      <w:r w:rsidR="00FA6D87">
        <w:rPr>
          <w:lang w:val="lv-LV"/>
        </w:rPr>
        <w:t>dens injekcijām</w:t>
      </w:r>
    </w:p>
    <w:p w14:paraId="641B94E1" w14:textId="77777777" w:rsidR="006177A8" w:rsidRPr="0070043A" w:rsidRDefault="006177A8" w:rsidP="006177A8">
      <w:pPr>
        <w:jc w:val="both"/>
        <w:rPr>
          <w:lang w:val="lv-LV"/>
        </w:rPr>
      </w:pPr>
    </w:p>
    <w:p w14:paraId="112B6B03" w14:textId="77777777" w:rsidR="006177A8" w:rsidRPr="0070043A" w:rsidRDefault="006177A8" w:rsidP="00417D6F">
      <w:pPr>
        <w:pStyle w:val="Aaaavaapaksejie"/>
        <w:numPr>
          <w:ilvl w:val="1"/>
          <w:numId w:val="7"/>
        </w:numPr>
        <w:ind w:left="0" w:firstLine="0"/>
      </w:pPr>
      <w:r w:rsidRPr="0070043A">
        <w:t>Nesaderība</w:t>
      </w:r>
    </w:p>
    <w:p w14:paraId="49B4FB73" w14:textId="77777777" w:rsidR="00212E70" w:rsidRPr="0070043A" w:rsidRDefault="00212E70" w:rsidP="00417D6F">
      <w:pPr>
        <w:pStyle w:val="Aaaavaapaksejie"/>
        <w:numPr>
          <w:ilvl w:val="0"/>
          <w:numId w:val="0"/>
        </w:numPr>
      </w:pPr>
    </w:p>
    <w:p w14:paraId="3F1F4ECF" w14:textId="77777777" w:rsidR="006177A8" w:rsidRPr="00417D6F" w:rsidRDefault="006177A8" w:rsidP="006177A8">
      <w:pPr>
        <w:jc w:val="both"/>
        <w:rPr>
          <w:lang w:val="lv-LV"/>
        </w:rPr>
      </w:pPr>
      <w:r w:rsidRPr="00417D6F">
        <w:rPr>
          <w:lang w:val="lv-LV"/>
        </w:rPr>
        <w:t>Nav piemērojama.</w:t>
      </w:r>
    </w:p>
    <w:p w14:paraId="2F1F217C" w14:textId="77777777" w:rsidR="006177A8" w:rsidRPr="00417D6F" w:rsidRDefault="006177A8" w:rsidP="006177A8">
      <w:pPr>
        <w:jc w:val="both"/>
        <w:rPr>
          <w:lang w:val="lv-LV"/>
        </w:rPr>
      </w:pPr>
    </w:p>
    <w:p w14:paraId="5854540F" w14:textId="77777777" w:rsidR="006177A8" w:rsidRPr="0070043A" w:rsidRDefault="006177A8" w:rsidP="00417D6F">
      <w:pPr>
        <w:pStyle w:val="Aaaavaapaksejie"/>
        <w:numPr>
          <w:ilvl w:val="1"/>
          <w:numId w:val="7"/>
        </w:numPr>
        <w:ind w:left="0" w:firstLine="0"/>
      </w:pPr>
      <w:r w:rsidRPr="0070043A">
        <w:t>Uzglabāšanas laiks</w:t>
      </w:r>
    </w:p>
    <w:p w14:paraId="36299E43" w14:textId="77777777" w:rsidR="00212E70" w:rsidRPr="0070043A" w:rsidRDefault="00212E70" w:rsidP="00417D6F">
      <w:pPr>
        <w:pStyle w:val="Aaaavaapaksejie"/>
        <w:numPr>
          <w:ilvl w:val="0"/>
          <w:numId w:val="0"/>
        </w:numPr>
      </w:pPr>
    </w:p>
    <w:p w14:paraId="75A94FDF" w14:textId="77777777" w:rsidR="006177A8" w:rsidRPr="00417D6F" w:rsidRDefault="00EF6DA4" w:rsidP="006177A8">
      <w:pPr>
        <w:jc w:val="both"/>
        <w:rPr>
          <w:lang w:val="lv-LV"/>
        </w:rPr>
      </w:pPr>
      <w:r>
        <w:rPr>
          <w:lang w:val="lv-LV"/>
        </w:rPr>
        <w:t>5 gadi</w:t>
      </w:r>
    </w:p>
    <w:p w14:paraId="7B6A0E8D" w14:textId="77777777" w:rsidR="006177A8" w:rsidRPr="00417D6F" w:rsidRDefault="006177A8" w:rsidP="006177A8">
      <w:pPr>
        <w:jc w:val="both"/>
        <w:rPr>
          <w:lang w:val="lv-LV"/>
        </w:rPr>
      </w:pPr>
    </w:p>
    <w:p w14:paraId="2B072DBA" w14:textId="77777777" w:rsidR="006177A8" w:rsidRPr="0070043A" w:rsidRDefault="006177A8" w:rsidP="00417D6F">
      <w:pPr>
        <w:pStyle w:val="Aaaavaapaksejie"/>
        <w:numPr>
          <w:ilvl w:val="1"/>
          <w:numId w:val="7"/>
        </w:numPr>
        <w:ind w:left="0" w:firstLine="0"/>
      </w:pPr>
      <w:r w:rsidRPr="0070043A">
        <w:t>Īpaši uzglabāšanas nosacījumi</w:t>
      </w:r>
    </w:p>
    <w:p w14:paraId="4D7203F3" w14:textId="77777777" w:rsidR="00212E70" w:rsidRPr="0070043A" w:rsidRDefault="00212E70" w:rsidP="00417D6F">
      <w:pPr>
        <w:pStyle w:val="Aaaavaapaksejie"/>
        <w:numPr>
          <w:ilvl w:val="0"/>
          <w:numId w:val="0"/>
        </w:numPr>
      </w:pPr>
    </w:p>
    <w:p w14:paraId="023DB16C" w14:textId="77777777" w:rsidR="006177A8" w:rsidRPr="0070043A" w:rsidRDefault="006177A8" w:rsidP="006177A8">
      <w:pPr>
        <w:autoSpaceDE w:val="0"/>
        <w:autoSpaceDN w:val="0"/>
        <w:adjustRightInd w:val="0"/>
        <w:jc w:val="both"/>
        <w:rPr>
          <w:noProof/>
          <w:lang w:val="lv-LV"/>
        </w:rPr>
      </w:pPr>
      <w:r w:rsidRPr="0070043A">
        <w:rPr>
          <w:noProof/>
          <w:lang w:val="lv-LV"/>
        </w:rPr>
        <w:t>Zālēm nav nepieciešami īpaši uzglabāšanas apstākļi.</w:t>
      </w:r>
    </w:p>
    <w:p w14:paraId="13CC2885" w14:textId="77777777" w:rsidR="006177A8" w:rsidRPr="0070043A" w:rsidRDefault="006177A8" w:rsidP="006177A8">
      <w:pPr>
        <w:autoSpaceDE w:val="0"/>
        <w:autoSpaceDN w:val="0"/>
        <w:adjustRightInd w:val="0"/>
        <w:jc w:val="both"/>
        <w:rPr>
          <w:lang w:val="lv-LV"/>
        </w:rPr>
      </w:pPr>
    </w:p>
    <w:p w14:paraId="1A3B3736" w14:textId="77777777" w:rsidR="00212E70" w:rsidRPr="00B26261" w:rsidRDefault="00B26261" w:rsidP="00417D6F">
      <w:pPr>
        <w:pStyle w:val="Aaaavaapaksejie"/>
        <w:numPr>
          <w:ilvl w:val="1"/>
          <w:numId w:val="7"/>
        </w:numPr>
        <w:ind w:left="0" w:firstLine="0"/>
      </w:pPr>
      <w:r w:rsidRPr="00B26261">
        <w:t>Iepakojuma veids un saturs</w:t>
      </w:r>
    </w:p>
    <w:p w14:paraId="6CC1C245" w14:textId="77777777" w:rsidR="00B26261" w:rsidRDefault="00B26261" w:rsidP="006177A8">
      <w:pPr>
        <w:jc w:val="both"/>
        <w:rPr>
          <w:noProof/>
          <w:lang w:val="lv-LV"/>
        </w:rPr>
      </w:pPr>
    </w:p>
    <w:p w14:paraId="1519B55F" w14:textId="6CE4A7B5" w:rsidR="006177A8" w:rsidRDefault="00F04E9D" w:rsidP="006177A8">
      <w:pPr>
        <w:jc w:val="both"/>
        <w:rPr>
          <w:noProof/>
          <w:lang w:val="lv-LV"/>
        </w:rPr>
      </w:pPr>
      <w:r w:rsidRPr="00F04E9D">
        <w:rPr>
          <w:noProof/>
          <w:lang w:val="lv-LV"/>
        </w:rPr>
        <w:t>I klases ampula iepakota kartona kastē. Iepakojuma lielumi 10 un 100 ampulas pa 2,2 ml katrā ampulā.</w:t>
      </w:r>
      <w:r>
        <w:rPr>
          <w:noProof/>
          <w:lang w:val="lv-LV"/>
        </w:rPr>
        <w:t xml:space="preserve"> </w:t>
      </w:r>
      <w:r w:rsidRPr="00F04E9D">
        <w:rPr>
          <w:noProof/>
          <w:lang w:val="lv-LV"/>
        </w:rPr>
        <w:t>Visi iepakojuma lielumi tirgū var nebūt pieejami.</w:t>
      </w:r>
    </w:p>
    <w:p w14:paraId="7F7749EA" w14:textId="77777777" w:rsidR="00730806" w:rsidRPr="0070043A" w:rsidRDefault="00730806" w:rsidP="006177A8">
      <w:pPr>
        <w:jc w:val="both"/>
        <w:rPr>
          <w:color w:val="FF0000"/>
          <w:lang w:val="lv-LV"/>
        </w:rPr>
      </w:pPr>
    </w:p>
    <w:p w14:paraId="164FBF9A" w14:textId="77777777" w:rsidR="006177A8" w:rsidRPr="0070043A" w:rsidRDefault="006177A8" w:rsidP="00417D6F">
      <w:pPr>
        <w:pStyle w:val="Aaaavaapaksejie"/>
        <w:numPr>
          <w:ilvl w:val="1"/>
          <w:numId w:val="7"/>
        </w:numPr>
        <w:ind w:left="0" w:firstLine="0"/>
        <w:rPr>
          <w:noProof/>
        </w:rPr>
      </w:pPr>
      <w:r w:rsidRPr="0070043A">
        <w:rPr>
          <w:noProof/>
        </w:rPr>
        <w:t xml:space="preserve">Īpaši norādījumi atkritumu likvidēšanai un </w:t>
      </w:r>
      <w:r w:rsidR="00A35E7E">
        <w:rPr>
          <w:noProof/>
        </w:rPr>
        <w:t xml:space="preserve">citi </w:t>
      </w:r>
      <w:r w:rsidRPr="0070043A">
        <w:rPr>
          <w:noProof/>
        </w:rPr>
        <w:t xml:space="preserve">norādījumi par </w:t>
      </w:r>
      <w:r w:rsidR="00A35E7E">
        <w:rPr>
          <w:noProof/>
        </w:rPr>
        <w:t>rīkošanos</w:t>
      </w:r>
    </w:p>
    <w:p w14:paraId="0C76325E" w14:textId="77777777" w:rsidR="00212E70" w:rsidRPr="0070043A" w:rsidRDefault="00212E70" w:rsidP="00417D6F">
      <w:pPr>
        <w:pStyle w:val="Aaaavaapaksejie"/>
        <w:numPr>
          <w:ilvl w:val="0"/>
          <w:numId w:val="0"/>
        </w:numPr>
        <w:rPr>
          <w:noProof/>
        </w:rPr>
      </w:pPr>
    </w:p>
    <w:p w14:paraId="0A0623D6" w14:textId="77777777" w:rsidR="00F04E9D" w:rsidRPr="00C95AB8" w:rsidRDefault="00F04E9D" w:rsidP="00F04E9D">
      <w:pPr>
        <w:autoSpaceDE w:val="0"/>
        <w:autoSpaceDN w:val="0"/>
        <w:adjustRightInd w:val="0"/>
        <w:jc w:val="both"/>
      </w:pPr>
      <w:r w:rsidRPr="00C95AB8">
        <w:t>Norādījumi stikla ampulas atvēršanai:</w:t>
      </w:r>
    </w:p>
    <w:p w14:paraId="289979F9" w14:textId="77777777" w:rsidR="00F04E9D" w:rsidRDefault="00F04E9D" w:rsidP="00F04E9D">
      <w:pPr>
        <w:ind w:left="567" w:hanging="567"/>
        <w:rPr>
          <w:szCs w:val="22"/>
        </w:rPr>
      </w:pPr>
    </w:p>
    <w:p w14:paraId="22E905E6" w14:textId="77777777" w:rsidR="00F04E9D" w:rsidRPr="00BA0F8D" w:rsidRDefault="00F04E9D" w:rsidP="00F04E9D">
      <w:pPr>
        <w:ind w:left="567" w:hanging="567"/>
        <w:rPr>
          <w:szCs w:val="22"/>
        </w:rPr>
      </w:pPr>
      <w:r w:rsidRPr="00036B0A">
        <w:rPr>
          <w:rFonts w:ascii="Arial Unicode MS" w:eastAsia="Arial Unicode MS" w:hAnsi="Arial Unicode MS" w:cs="Arial Unicode MS"/>
          <w:noProof/>
          <w:lang w:val="lv-LV" w:eastAsia="lv-LV"/>
        </w:rPr>
        <w:drawing>
          <wp:inline distT="0" distB="0" distL="0" distR="0" wp14:anchorId="22C40359" wp14:editId="54C13DA7">
            <wp:extent cx="2714625" cy="7810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781050"/>
                    </a:xfrm>
                    <a:prstGeom prst="rect">
                      <a:avLst/>
                    </a:prstGeom>
                    <a:noFill/>
                    <a:ln>
                      <a:noFill/>
                    </a:ln>
                  </pic:spPr>
                </pic:pic>
              </a:graphicData>
            </a:graphic>
          </wp:inline>
        </w:drawing>
      </w:r>
    </w:p>
    <w:p w14:paraId="6094041F" w14:textId="77777777" w:rsidR="00F04E9D" w:rsidRDefault="00F04E9D" w:rsidP="00F04E9D">
      <w:r w:rsidRPr="00C95AB8">
        <w:t xml:space="preserve">Rīkoties uzmanīgi. </w:t>
      </w:r>
      <w:r>
        <w:t>I</w:t>
      </w:r>
      <w:r w:rsidRPr="00C95AB8">
        <w:t>evērojiet atvēršanas instrukcij</w:t>
      </w:r>
      <w:r>
        <w:t>u</w:t>
      </w:r>
      <w:r w:rsidRPr="00C95AB8">
        <w:t xml:space="preserve">. Stikla ampulas atgriešana nav nepieciešama. Turiet ampulas galviņu uz augšu leņķī un piesitiet/kratiet ampulas galviņā esošo šķīdumu. Pēc tam nolauziet ampulas </w:t>
      </w:r>
      <w:r>
        <w:t>galviņu</w:t>
      </w:r>
      <w:r w:rsidRPr="00C95AB8">
        <w:t xml:space="preserve">, spiežot to prom no krāsas punkta. </w:t>
      </w:r>
      <w:r>
        <w:t>Atlikušais ampulas</w:t>
      </w:r>
      <w:r w:rsidRPr="00C95AB8">
        <w:t xml:space="preserve"> saturs jāiznīcina.</w:t>
      </w:r>
    </w:p>
    <w:p w14:paraId="296F029D" w14:textId="77777777" w:rsidR="00F04E9D" w:rsidRDefault="00F04E9D" w:rsidP="00F04E9D">
      <w:pPr>
        <w:ind w:left="567" w:hanging="567"/>
        <w:rPr>
          <w:b/>
          <w:szCs w:val="22"/>
        </w:rPr>
      </w:pPr>
    </w:p>
    <w:p w14:paraId="4A3DA534" w14:textId="77777777" w:rsidR="00B251B1" w:rsidRPr="0070043A" w:rsidRDefault="00B251B1" w:rsidP="006177A8">
      <w:pPr>
        <w:jc w:val="both"/>
        <w:rPr>
          <w:lang w:val="lv-LV"/>
        </w:rPr>
      </w:pPr>
    </w:p>
    <w:p w14:paraId="39F791FC" w14:textId="77777777" w:rsidR="006177A8" w:rsidRPr="00871F5C" w:rsidRDefault="006177A8" w:rsidP="00417D6F">
      <w:pPr>
        <w:pStyle w:val="Aaaavajadzigs"/>
        <w:numPr>
          <w:ilvl w:val="0"/>
          <w:numId w:val="7"/>
        </w:numPr>
      </w:pPr>
      <w:r w:rsidRPr="00417D6F">
        <w:rPr>
          <w:rFonts w:ascii="Times New Roman" w:hAnsi="Times New Roman"/>
        </w:rPr>
        <w:t>Reģistrācijas apliecības īpašnieks</w:t>
      </w:r>
    </w:p>
    <w:p w14:paraId="69A83F12" w14:textId="77777777" w:rsidR="006177A8" w:rsidRPr="0070043A" w:rsidRDefault="006177A8" w:rsidP="006177A8">
      <w:pPr>
        <w:jc w:val="both"/>
        <w:rPr>
          <w:lang w:val="lv-LV"/>
        </w:rPr>
      </w:pPr>
    </w:p>
    <w:p w14:paraId="76887D29" w14:textId="77777777" w:rsidR="006177A8" w:rsidRPr="0070043A" w:rsidRDefault="006177A8" w:rsidP="006177A8">
      <w:pPr>
        <w:jc w:val="both"/>
        <w:rPr>
          <w:lang w:val="lv-LV"/>
        </w:rPr>
      </w:pPr>
      <w:r w:rsidRPr="0070043A">
        <w:rPr>
          <w:lang w:val="lv-LV"/>
        </w:rPr>
        <w:t>Biologische Heilmittel Heel GmbH</w:t>
      </w:r>
    </w:p>
    <w:p w14:paraId="6D36961D" w14:textId="77777777" w:rsidR="006177A8" w:rsidRPr="0070043A" w:rsidRDefault="006177A8" w:rsidP="006177A8">
      <w:pPr>
        <w:jc w:val="both"/>
        <w:rPr>
          <w:lang w:val="lv-LV"/>
        </w:rPr>
      </w:pPr>
      <w:r w:rsidRPr="0070043A">
        <w:rPr>
          <w:lang w:val="lv-LV"/>
        </w:rPr>
        <w:t>Dr.-Reckeweg-Str.2-4,</w:t>
      </w:r>
    </w:p>
    <w:p w14:paraId="6229B910" w14:textId="77777777" w:rsidR="006177A8" w:rsidRPr="0070043A" w:rsidRDefault="006177A8" w:rsidP="006177A8">
      <w:pPr>
        <w:jc w:val="both"/>
        <w:rPr>
          <w:lang w:val="lv-LV"/>
        </w:rPr>
      </w:pPr>
      <w:r w:rsidRPr="0070043A">
        <w:rPr>
          <w:lang w:val="lv-LV"/>
        </w:rPr>
        <w:t>D-76532 Baden-Baden</w:t>
      </w:r>
    </w:p>
    <w:p w14:paraId="75AD959E" w14:textId="77777777" w:rsidR="006177A8" w:rsidRPr="0070043A" w:rsidRDefault="006177A8" w:rsidP="006177A8">
      <w:pPr>
        <w:jc w:val="both"/>
        <w:rPr>
          <w:lang w:val="lv-LV"/>
        </w:rPr>
      </w:pPr>
      <w:r w:rsidRPr="0070043A">
        <w:rPr>
          <w:lang w:val="lv-LV"/>
        </w:rPr>
        <w:t>Vācija</w:t>
      </w:r>
    </w:p>
    <w:p w14:paraId="43FBCC17" w14:textId="77777777" w:rsidR="00F04E9D" w:rsidRPr="00822585" w:rsidRDefault="00F04E9D" w:rsidP="00F04E9D">
      <w:pPr>
        <w:jc w:val="both"/>
      </w:pPr>
      <w:r w:rsidRPr="00822585">
        <w:t>Tele</w:t>
      </w:r>
      <w:r>
        <w:t>fons</w:t>
      </w:r>
      <w:r w:rsidRPr="00822585">
        <w:t>: 0049 7221 501-00</w:t>
      </w:r>
    </w:p>
    <w:p w14:paraId="2DD16F8A" w14:textId="77777777" w:rsidR="00F04E9D" w:rsidRPr="00822585" w:rsidRDefault="00F04E9D" w:rsidP="00F04E9D">
      <w:pPr>
        <w:jc w:val="both"/>
      </w:pPr>
      <w:r>
        <w:t>F</w:t>
      </w:r>
      <w:r w:rsidRPr="00822585">
        <w:t>a</w:t>
      </w:r>
      <w:r>
        <w:t>kss</w:t>
      </w:r>
      <w:r w:rsidRPr="00822585">
        <w:t>:</w:t>
      </w:r>
      <w:r w:rsidRPr="00822585">
        <w:tab/>
      </w:r>
      <w:r>
        <w:t xml:space="preserve"> </w:t>
      </w:r>
      <w:r w:rsidRPr="00822585">
        <w:t>0049 7221 501 485</w:t>
      </w:r>
    </w:p>
    <w:p w14:paraId="56B0CB29" w14:textId="11375690" w:rsidR="00F04E9D" w:rsidRPr="00B246E3" w:rsidRDefault="00F04E9D" w:rsidP="00F04E9D">
      <w:pPr>
        <w:spacing w:line="288" w:lineRule="auto"/>
        <w:jc w:val="both"/>
      </w:pPr>
      <w:r w:rsidRPr="00822585">
        <w:t>E-</w:t>
      </w:r>
      <w:r>
        <w:t>pasts</w:t>
      </w:r>
      <w:r w:rsidRPr="00822585">
        <w:t>:</w:t>
      </w:r>
      <w:r w:rsidR="00730806">
        <w:t xml:space="preserve"> </w:t>
      </w:r>
      <w:r w:rsidRPr="00822585">
        <w:rPr>
          <w:bCs/>
        </w:rPr>
        <w:t>info@heel.com</w:t>
      </w:r>
    </w:p>
    <w:p w14:paraId="1F51C370" w14:textId="77777777" w:rsidR="006177A8" w:rsidRDefault="006177A8" w:rsidP="006177A8">
      <w:pPr>
        <w:jc w:val="both"/>
        <w:rPr>
          <w:lang w:val="lv-LV"/>
        </w:rPr>
      </w:pPr>
    </w:p>
    <w:p w14:paraId="1EC36F0A" w14:textId="77777777" w:rsidR="00B251B1" w:rsidRPr="0070043A" w:rsidRDefault="00B251B1" w:rsidP="006177A8">
      <w:pPr>
        <w:jc w:val="both"/>
        <w:rPr>
          <w:lang w:val="lv-LV"/>
        </w:rPr>
      </w:pPr>
    </w:p>
    <w:p w14:paraId="4A8793D2" w14:textId="77777777" w:rsidR="006177A8" w:rsidRPr="00871F5C" w:rsidRDefault="006177A8" w:rsidP="00B251B1">
      <w:pPr>
        <w:pStyle w:val="Aaaavajadzigs"/>
        <w:numPr>
          <w:ilvl w:val="0"/>
          <w:numId w:val="7"/>
        </w:numPr>
      </w:pPr>
      <w:r w:rsidRPr="00417D6F">
        <w:rPr>
          <w:rFonts w:ascii="Times New Roman" w:hAnsi="Times New Roman"/>
        </w:rPr>
        <w:t xml:space="preserve">Reģistrācijas </w:t>
      </w:r>
      <w:r w:rsidR="00B251B1" w:rsidRPr="00B251B1">
        <w:rPr>
          <w:rFonts w:ascii="Times New Roman" w:hAnsi="Times New Roman"/>
        </w:rPr>
        <w:t xml:space="preserve">APLIECĪBAS </w:t>
      </w:r>
      <w:r w:rsidRPr="00417D6F">
        <w:rPr>
          <w:rFonts w:ascii="Times New Roman" w:hAnsi="Times New Roman"/>
        </w:rPr>
        <w:t>numurs</w:t>
      </w:r>
      <w:r w:rsidR="00B251B1" w:rsidRPr="00B251B1">
        <w:rPr>
          <w:rFonts w:ascii="Times New Roman" w:hAnsi="Times New Roman"/>
        </w:rPr>
        <w:t>(-I)</w:t>
      </w:r>
    </w:p>
    <w:p w14:paraId="4E3EBA2D" w14:textId="77777777" w:rsidR="006177A8" w:rsidRPr="0070043A" w:rsidRDefault="006177A8" w:rsidP="006177A8">
      <w:pPr>
        <w:jc w:val="both"/>
        <w:rPr>
          <w:lang w:val="lv-LV"/>
        </w:rPr>
      </w:pPr>
    </w:p>
    <w:p w14:paraId="577936D9" w14:textId="77777777" w:rsidR="006177A8" w:rsidRPr="0070043A" w:rsidRDefault="006177A8" w:rsidP="006177A8">
      <w:pPr>
        <w:jc w:val="both"/>
        <w:rPr>
          <w:lang w:val="lv-LV"/>
        </w:rPr>
      </w:pPr>
      <w:r w:rsidRPr="00417D6F">
        <w:rPr>
          <w:color w:val="000000"/>
          <w:lang w:val="lv-LV"/>
        </w:rPr>
        <w:lastRenderedPageBreak/>
        <w:t>04-0241</w:t>
      </w:r>
    </w:p>
    <w:p w14:paraId="603A0F40" w14:textId="77777777" w:rsidR="006177A8" w:rsidRDefault="006177A8" w:rsidP="006177A8">
      <w:pPr>
        <w:jc w:val="both"/>
        <w:rPr>
          <w:b/>
          <w:bCs/>
          <w:lang w:val="lv-LV"/>
        </w:rPr>
      </w:pPr>
    </w:p>
    <w:p w14:paraId="2E680416" w14:textId="77777777" w:rsidR="00B251B1" w:rsidRPr="0070043A" w:rsidRDefault="00B251B1" w:rsidP="006177A8">
      <w:pPr>
        <w:jc w:val="both"/>
        <w:rPr>
          <w:b/>
          <w:bCs/>
          <w:lang w:val="lv-LV"/>
        </w:rPr>
      </w:pPr>
    </w:p>
    <w:p w14:paraId="677180CE" w14:textId="77777777" w:rsidR="006177A8" w:rsidRPr="00B26261" w:rsidRDefault="00B26261" w:rsidP="00417D6F">
      <w:pPr>
        <w:pStyle w:val="Aaaavajadzigs"/>
        <w:numPr>
          <w:ilvl w:val="0"/>
          <w:numId w:val="7"/>
        </w:numPr>
      </w:pPr>
      <w:r>
        <w:t xml:space="preserve">PIRMĀS </w:t>
      </w:r>
      <w:r w:rsidRPr="000535C0">
        <w:t>REĢISTRĀCIJAS/PĀRREĢISTRĀCIJAS DATUMS</w:t>
      </w:r>
    </w:p>
    <w:p w14:paraId="08673D40" w14:textId="77777777" w:rsidR="00A35E7E" w:rsidRDefault="00A35E7E" w:rsidP="006177A8">
      <w:pPr>
        <w:jc w:val="both"/>
        <w:rPr>
          <w:lang w:val="lv-LV"/>
        </w:rPr>
      </w:pPr>
    </w:p>
    <w:p w14:paraId="7BA56EA1" w14:textId="77777777" w:rsidR="006177A8" w:rsidRDefault="00A35E7E" w:rsidP="006177A8">
      <w:pPr>
        <w:jc w:val="both"/>
        <w:rPr>
          <w:lang w:val="lv-LV"/>
        </w:rPr>
      </w:pPr>
      <w:r>
        <w:rPr>
          <w:lang w:val="lv-LV"/>
        </w:rPr>
        <w:t>Reģistrācijas datums: 2004. gada 29.aprīlī</w:t>
      </w:r>
    </w:p>
    <w:p w14:paraId="1492010A" w14:textId="77777777" w:rsidR="00A35E7E" w:rsidRPr="0070043A" w:rsidRDefault="00A35E7E" w:rsidP="006177A8">
      <w:pPr>
        <w:jc w:val="both"/>
        <w:rPr>
          <w:lang w:val="lv-LV"/>
        </w:rPr>
      </w:pPr>
      <w:r>
        <w:rPr>
          <w:lang w:val="lv-LV"/>
        </w:rPr>
        <w:t>Pēdējās pārreģistrācijas datums: 2009. gada 03.augustā</w:t>
      </w:r>
    </w:p>
    <w:p w14:paraId="403E9B7F" w14:textId="6861994A" w:rsidR="006177A8" w:rsidRDefault="006177A8" w:rsidP="006177A8">
      <w:pPr>
        <w:jc w:val="both"/>
        <w:rPr>
          <w:lang w:val="lv-LV"/>
        </w:rPr>
      </w:pPr>
    </w:p>
    <w:p w14:paraId="03428BA5" w14:textId="77777777" w:rsidR="00730806" w:rsidRPr="0070043A" w:rsidRDefault="00730806" w:rsidP="006177A8">
      <w:pPr>
        <w:jc w:val="both"/>
        <w:rPr>
          <w:lang w:val="lv-LV"/>
        </w:rPr>
      </w:pPr>
    </w:p>
    <w:p w14:paraId="3CE04030" w14:textId="77777777" w:rsidR="006177A8" w:rsidRPr="00871F5C" w:rsidRDefault="006177A8" w:rsidP="00417D6F">
      <w:pPr>
        <w:pStyle w:val="Aaaavajadzigs"/>
        <w:numPr>
          <w:ilvl w:val="0"/>
          <w:numId w:val="7"/>
        </w:numPr>
      </w:pPr>
      <w:r w:rsidRPr="00417D6F">
        <w:rPr>
          <w:rFonts w:ascii="Times New Roman" w:hAnsi="Times New Roman"/>
        </w:rPr>
        <w:t>Teksta</w:t>
      </w:r>
      <w:r w:rsidR="00B26261">
        <w:rPr>
          <w:rFonts w:ascii="Times New Roman" w:hAnsi="Times New Roman"/>
        </w:rPr>
        <w:t xml:space="preserve"> </w:t>
      </w:r>
      <w:r w:rsidRPr="00417D6F">
        <w:rPr>
          <w:rFonts w:ascii="Times New Roman" w:hAnsi="Times New Roman"/>
        </w:rPr>
        <w:t>pārskatīšanas datums</w:t>
      </w:r>
    </w:p>
    <w:p w14:paraId="6B8ACD7D" w14:textId="77777777" w:rsidR="00730806" w:rsidRDefault="00730806" w:rsidP="006177A8">
      <w:pPr>
        <w:jc w:val="both"/>
        <w:rPr>
          <w:lang w:val="lv-LV"/>
        </w:rPr>
      </w:pPr>
    </w:p>
    <w:p w14:paraId="045F8AF9" w14:textId="689C32D1" w:rsidR="000529F2" w:rsidRPr="0070043A" w:rsidRDefault="00F04E9D" w:rsidP="006177A8">
      <w:pPr>
        <w:jc w:val="both"/>
        <w:rPr>
          <w:lang w:val="lv-LV"/>
        </w:rPr>
      </w:pPr>
      <w:r>
        <w:rPr>
          <w:lang w:val="lv-LV"/>
        </w:rPr>
        <w:t>0</w:t>
      </w:r>
      <w:r w:rsidR="00A46DF9">
        <w:rPr>
          <w:lang w:val="lv-LV"/>
        </w:rPr>
        <w:t>7</w:t>
      </w:r>
      <w:r>
        <w:rPr>
          <w:lang w:val="lv-LV"/>
        </w:rPr>
        <w:t>/2022</w:t>
      </w:r>
    </w:p>
    <w:sectPr w:rsidR="000529F2" w:rsidRPr="0070043A" w:rsidSect="00C069F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7E79" w14:textId="77777777" w:rsidR="004201FE" w:rsidRDefault="004201FE" w:rsidP="006D4991">
      <w:r>
        <w:separator/>
      </w:r>
    </w:p>
  </w:endnote>
  <w:endnote w:type="continuationSeparator" w:id="0">
    <w:p w14:paraId="00D49ECA" w14:textId="77777777" w:rsidR="004201FE" w:rsidRDefault="004201FE" w:rsidP="006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207" w:usb1="00000000" w:usb2="00000000" w:usb3="00000000" w:csb0="00000085"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0754" w14:textId="77777777" w:rsidR="004267BB" w:rsidRDefault="0042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46379"/>
      <w:docPartObj>
        <w:docPartGallery w:val="Page Numbers (Bottom of Page)"/>
        <w:docPartUnique/>
      </w:docPartObj>
    </w:sdtPr>
    <w:sdtEndPr>
      <w:rPr>
        <w:noProof/>
      </w:rPr>
    </w:sdtEndPr>
    <w:sdtContent>
      <w:p w14:paraId="5EB57C99" w14:textId="64315202" w:rsidR="002E2628" w:rsidRDefault="002E2628">
        <w:pPr>
          <w:pStyle w:val="Footer"/>
          <w:jc w:val="center"/>
        </w:pPr>
        <w:r>
          <w:fldChar w:fldCharType="begin"/>
        </w:r>
        <w:r>
          <w:instrText xml:space="preserve"> PAGE   \* MERGEFORMAT </w:instrText>
        </w:r>
        <w:r>
          <w:fldChar w:fldCharType="separate"/>
        </w:r>
        <w:r w:rsidR="003C4493">
          <w:rPr>
            <w:noProof/>
          </w:rPr>
          <w:t>2</w:t>
        </w:r>
        <w:r>
          <w:rPr>
            <w:noProof/>
          </w:rPr>
          <w:fldChar w:fldCharType="end"/>
        </w:r>
      </w:p>
    </w:sdtContent>
  </w:sdt>
  <w:p w14:paraId="7379E1E1" w14:textId="77777777" w:rsidR="002E2628" w:rsidRDefault="002E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8FD4" w14:textId="77777777" w:rsidR="004267BB" w:rsidRDefault="0042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99A8" w14:textId="77777777" w:rsidR="004201FE" w:rsidRDefault="004201FE" w:rsidP="006D4991">
      <w:r>
        <w:separator/>
      </w:r>
    </w:p>
  </w:footnote>
  <w:footnote w:type="continuationSeparator" w:id="0">
    <w:p w14:paraId="3F929D5D" w14:textId="77777777" w:rsidR="004201FE" w:rsidRDefault="004201FE" w:rsidP="006D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DC44" w14:textId="77777777" w:rsidR="004267BB" w:rsidRDefault="0042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01F7" w14:textId="36613F7B" w:rsidR="00C069FA" w:rsidRDefault="004267BB" w:rsidP="00C069FA">
    <w:pPr>
      <w:pStyle w:val="Header"/>
      <w:jc w:val="right"/>
    </w:pPr>
    <w:r>
      <w:t>SASKAŅOTS ZVA 26-07-2022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189" w14:textId="77777777" w:rsidR="004267BB" w:rsidRDefault="0042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A93"/>
    <w:multiLevelType w:val="hybridMultilevel"/>
    <w:tmpl w:val="6FCA08C0"/>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74ED6"/>
    <w:multiLevelType w:val="hybridMultilevel"/>
    <w:tmpl w:val="342E4BD4"/>
    <w:lvl w:ilvl="0" w:tplc="738A1198">
      <w:start w:val="3"/>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9A2B19"/>
    <w:multiLevelType w:val="hybridMultilevel"/>
    <w:tmpl w:val="3B92C540"/>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762427"/>
    <w:multiLevelType w:val="hybridMultilevel"/>
    <w:tmpl w:val="C5C846BA"/>
    <w:lvl w:ilvl="0" w:tplc="10A286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4E2116"/>
    <w:multiLevelType w:val="multilevel"/>
    <w:tmpl w:val="F9B2D0D6"/>
    <w:lvl w:ilvl="0">
      <w:start w:val="1"/>
      <w:numFmt w:val="decimal"/>
      <w:pStyle w:val="Aaaavajadzigs"/>
      <w:lvlText w:val="%1."/>
      <w:lvlJc w:val="left"/>
      <w:pPr>
        <w:ind w:left="360" w:hanging="360"/>
      </w:pPr>
    </w:lvl>
    <w:lvl w:ilvl="1">
      <w:start w:val="1"/>
      <w:numFmt w:val="decimal"/>
      <w:pStyle w:val="Aaaavaapaksejie"/>
      <w:isLgl/>
      <w:lvlText w:val="%1.%2"/>
      <w:lvlJc w:val="left"/>
      <w:pPr>
        <w:ind w:left="660" w:hanging="36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5" w15:restartNumberingAfterBreak="0">
    <w:nsid w:val="4EE4544B"/>
    <w:multiLevelType w:val="multilevel"/>
    <w:tmpl w:val="15FA6F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B6450"/>
    <w:multiLevelType w:val="multilevel"/>
    <w:tmpl w:val="37F622E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6C26162"/>
    <w:multiLevelType w:val="hybridMultilevel"/>
    <w:tmpl w:val="61708210"/>
    <w:lvl w:ilvl="0" w:tplc="ED929E32">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4"/>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A8"/>
    <w:rsid w:val="0000161A"/>
    <w:rsid w:val="00004D2B"/>
    <w:rsid w:val="00020719"/>
    <w:rsid w:val="000529F2"/>
    <w:rsid w:val="000630C1"/>
    <w:rsid w:val="00075F87"/>
    <w:rsid w:val="00091223"/>
    <w:rsid w:val="000C7FE2"/>
    <w:rsid w:val="00117352"/>
    <w:rsid w:val="00126EB5"/>
    <w:rsid w:val="001355E6"/>
    <w:rsid w:val="001871C9"/>
    <w:rsid w:val="001D7073"/>
    <w:rsid w:val="001E047A"/>
    <w:rsid w:val="00212E70"/>
    <w:rsid w:val="002B0421"/>
    <w:rsid w:val="002D76A6"/>
    <w:rsid w:val="002E2628"/>
    <w:rsid w:val="00323796"/>
    <w:rsid w:val="00327B94"/>
    <w:rsid w:val="00353B0B"/>
    <w:rsid w:val="00383729"/>
    <w:rsid w:val="00392A8C"/>
    <w:rsid w:val="00394A2D"/>
    <w:rsid w:val="003C1FBF"/>
    <w:rsid w:val="003C3D5E"/>
    <w:rsid w:val="003C4493"/>
    <w:rsid w:val="00401048"/>
    <w:rsid w:val="00407D5F"/>
    <w:rsid w:val="00414C2C"/>
    <w:rsid w:val="00417D6F"/>
    <w:rsid w:val="004201FE"/>
    <w:rsid w:val="004267BB"/>
    <w:rsid w:val="0045404D"/>
    <w:rsid w:val="004D7020"/>
    <w:rsid w:val="004F7CD4"/>
    <w:rsid w:val="00503363"/>
    <w:rsid w:val="005449D7"/>
    <w:rsid w:val="00544B14"/>
    <w:rsid w:val="00544CA5"/>
    <w:rsid w:val="00550A33"/>
    <w:rsid w:val="00577F4E"/>
    <w:rsid w:val="005B4EB7"/>
    <w:rsid w:val="005D419C"/>
    <w:rsid w:val="006100CC"/>
    <w:rsid w:val="006177A8"/>
    <w:rsid w:val="00662980"/>
    <w:rsid w:val="006D038B"/>
    <w:rsid w:val="006D4991"/>
    <w:rsid w:val="006E6006"/>
    <w:rsid w:val="006F503D"/>
    <w:rsid w:val="0070043A"/>
    <w:rsid w:val="00713045"/>
    <w:rsid w:val="00730806"/>
    <w:rsid w:val="007C3581"/>
    <w:rsid w:val="007F7C6D"/>
    <w:rsid w:val="008243A2"/>
    <w:rsid w:val="00854242"/>
    <w:rsid w:val="00871F5C"/>
    <w:rsid w:val="008B5D44"/>
    <w:rsid w:val="008C264C"/>
    <w:rsid w:val="008E7510"/>
    <w:rsid w:val="008F2267"/>
    <w:rsid w:val="00912B16"/>
    <w:rsid w:val="00922135"/>
    <w:rsid w:val="00942F8D"/>
    <w:rsid w:val="009447C1"/>
    <w:rsid w:val="009540C6"/>
    <w:rsid w:val="00980172"/>
    <w:rsid w:val="009827DF"/>
    <w:rsid w:val="009A4E35"/>
    <w:rsid w:val="009B29C1"/>
    <w:rsid w:val="009C34BE"/>
    <w:rsid w:val="009C4880"/>
    <w:rsid w:val="00A10634"/>
    <w:rsid w:val="00A223B1"/>
    <w:rsid w:val="00A35C92"/>
    <w:rsid w:val="00A35E7E"/>
    <w:rsid w:val="00A46DF9"/>
    <w:rsid w:val="00A473D7"/>
    <w:rsid w:val="00AA603F"/>
    <w:rsid w:val="00AB6ED1"/>
    <w:rsid w:val="00AD3FE7"/>
    <w:rsid w:val="00B17535"/>
    <w:rsid w:val="00B251B1"/>
    <w:rsid w:val="00B26261"/>
    <w:rsid w:val="00B33318"/>
    <w:rsid w:val="00B35298"/>
    <w:rsid w:val="00B53664"/>
    <w:rsid w:val="00B67021"/>
    <w:rsid w:val="00B81095"/>
    <w:rsid w:val="00B8155E"/>
    <w:rsid w:val="00B96A75"/>
    <w:rsid w:val="00BB1279"/>
    <w:rsid w:val="00BB658A"/>
    <w:rsid w:val="00BC66E4"/>
    <w:rsid w:val="00C069FA"/>
    <w:rsid w:val="00C110C0"/>
    <w:rsid w:val="00C76576"/>
    <w:rsid w:val="00C915AB"/>
    <w:rsid w:val="00C93765"/>
    <w:rsid w:val="00CA11A5"/>
    <w:rsid w:val="00D30ADC"/>
    <w:rsid w:val="00DB55F3"/>
    <w:rsid w:val="00DC0A6A"/>
    <w:rsid w:val="00DE52A7"/>
    <w:rsid w:val="00DF0799"/>
    <w:rsid w:val="00E109BD"/>
    <w:rsid w:val="00E61ABD"/>
    <w:rsid w:val="00E67CC3"/>
    <w:rsid w:val="00E94DEE"/>
    <w:rsid w:val="00EB60E6"/>
    <w:rsid w:val="00EF6DA4"/>
    <w:rsid w:val="00F04E9D"/>
    <w:rsid w:val="00F54C17"/>
    <w:rsid w:val="00F6221B"/>
    <w:rsid w:val="00F8301E"/>
    <w:rsid w:val="00FA6D87"/>
    <w:rsid w:val="00FB05A2"/>
    <w:rsid w:val="00FD7337"/>
    <w:rsid w:val="00FE7AC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A6917"/>
  <w15:docId w15:val="{7CF863F5-A57C-4F05-9860-711BB4C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77A8"/>
    <w:pPr>
      <w:keepNext/>
      <w:autoSpaceDE w:val="0"/>
      <w:autoSpaceDN w:val="0"/>
      <w:adjustRightInd w:val="0"/>
      <w:jc w:val="center"/>
      <w:outlineLvl w:val="0"/>
    </w:pPr>
    <w:rPr>
      <w:rFonts w:ascii="TimesNewRoman,Bold" w:hAnsi="TimesNewRoman,Bold"/>
      <w:b/>
      <w:bCs/>
    </w:rPr>
  </w:style>
  <w:style w:type="paragraph" w:styleId="Heading2">
    <w:name w:val="heading 2"/>
    <w:basedOn w:val="Normal"/>
    <w:next w:val="Normal"/>
    <w:link w:val="Heading2Char"/>
    <w:qFormat/>
    <w:rsid w:val="006177A8"/>
    <w:pPr>
      <w:keepNext/>
      <w:numPr>
        <w:numId w:val="1"/>
      </w:numPr>
      <w:outlineLvl w:val="1"/>
    </w:pPr>
    <w:rPr>
      <w:b/>
      <w:bCs/>
      <w:lang w:val="lv-LV"/>
    </w:rPr>
  </w:style>
  <w:style w:type="paragraph" w:styleId="Heading3">
    <w:name w:val="heading 3"/>
    <w:basedOn w:val="Normal"/>
    <w:next w:val="Normal"/>
    <w:link w:val="Heading3Char"/>
    <w:qFormat/>
    <w:rsid w:val="006177A8"/>
    <w:pPr>
      <w:keepNext/>
      <w:autoSpaceDE w:val="0"/>
      <w:autoSpaceDN w:val="0"/>
      <w:adjustRightInd w:val="0"/>
      <w:outlineLvl w:val="2"/>
    </w:pPr>
    <w:rPr>
      <w:rFonts w:ascii="TimesNewRoman,Bold" w:hAnsi="TimesNewRoman,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7A8"/>
    <w:rPr>
      <w:rFonts w:ascii="TimesNewRoman,Bold" w:eastAsia="Times New Roman" w:hAnsi="TimesNewRoman,Bold" w:cs="Times New Roman"/>
      <w:b/>
      <w:bCs/>
      <w:sz w:val="24"/>
      <w:szCs w:val="24"/>
      <w:lang w:val="en-US"/>
    </w:rPr>
  </w:style>
  <w:style w:type="character" w:customStyle="1" w:styleId="Heading2Char">
    <w:name w:val="Heading 2 Char"/>
    <w:basedOn w:val="DefaultParagraphFont"/>
    <w:link w:val="Heading2"/>
    <w:rsid w:val="006177A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177A8"/>
    <w:rPr>
      <w:rFonts w:ascii="TimesNewRoman,Bold" w:eastAsia="Times New Roman" w:hAnsi="TimesNewRoman,Bold" w:cs="Times New Roman"/>
      <w:b/>
      <w:bCs/>
      <w:sz w:val="24"/>
      <w:szCs w:val="28"/>
      <w:lang w:val="en-US"/>
    </w:rPr>
  </w:style>
  <w:style w:type="paragraph" w:styleId="BodyText">
    <w:name w:val="Body Text"/>
    <w:basedOn w:val="Normal"/>
    <w:link w:val="BodyTextChar"/>
    <w:rsid w:val="006177A8"/>
    <w:pPr>
      <w:autoSpaceDE w:val="0"/>
      <w:autoSpaceDN w:val="0"/>
      <w:adjustRightInd w:val="0"/>
      <w:jc w:val="both"/>
    </w:pPr>
    <w:rPr>
      <w:lang w:val="lv-LV"/>
    </w:rPr>
  </w:style>
  <w:style w:type="character" w:customStyle="1" w:styleId="BodyTextChar">
    <w:name w:val="Body Text Char"/>
    <w:basedOn w:val="DefaultParagraphFont"/>
    <w:link w:val="BodyText"/>
    <w:rsid w:val="006177A8"/>
    <w:rPr>
      <w:rFonts w:ascii="Times New Roman" w:eastAsia="Times New Roman" w:hAnsi="Times New Roman" w:cs="Times New Roman"/>
      <w:sz w:val="24"/>
      <w:szCs w:val="24"/>
    </w:rPr>
  </w:style>
  <w:style w:type="paragraph" w:customStyle="1" w:styleId="Default">
    <w:name w:val="Default"/>
    <w:rsid w:val="006177A8"/>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Revision">
    <w:name w:val="Revision"/>
    <w:hidden/>
    <w:uiPriority w:val="99"/>
    <w:semiHidden/>
    <w:rsid w:val="006177A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8"/>
    <w:rPr>
      <w:rFonts w:ascii="Segoe UI" w:eastAsia="Times New Roman" w:hAnsi="Segoe UI" w:cs="Segoe UI"/>
      <w:sz w:val="18"/>
      <w:szCs w:val="18"/>
      <w:lang w:val="en-US"/>
    </w:rPr>
  </w:style>
  <w:style w:type="paragraph" w:customStyle="1" w:styleId="Aaaavajadzigs">
    <w:name w:val="Aaaa vajadzigs"/>
    <w:basedOn w:val="Heading1"/>
    <w:link w:val="AaaavajadzigsChar"/>
    <w:qFormat/>
    <w:rsid w:val="006177A8"/>
    <w:pPr>
      <w:numPr>
        <w:numId w:val="2"/>
      </w:numPr>
      <w:jc w:val="left"/>
    </w:pPr>
    <w:rPr>
      <w:caps/>
      <w:lang w:val="lv-LV"/>
    </w:rPr>
  </w:style>
  <w:style w:type="paragraph" w:styleId="ListParagraph">
    <w:name w:val="List Paragraph"/>
    <w:basedOn w:val="Normal"/>
    <w:link w:val="ListParagraphChar"/>
    <w:uiPriority w:val="34"/>
    <w:qFormat/>
    <w:rsid w:val="006177A8"/>
    <w:pPr>
      <w:ind w:left="720"/>
      <w:contextualSpacing/>
    </w:pPr>
  </w:style>
  <w:style w:type="character" w:customStyle="1" w:styleId="AaaavajadzigsChar">
    <w:name w:val="Aaaa vajadzigs Char"/>
    <w:basedOn w:val="Heading1Char"/>
    <w:link w:val="Aaaavajadzigs"/>
    <w:rsid w:val="006177A8"/>
    <w:rPr>
      <w:rFonts w:ascii="TimesNewRoman,Bold" w:eastAsia="Times New Roman" w:hAnsi="TimesNewRoman,Bold" w:cs="Times New Roman"/>
      <w:b/>
      <w:bCs/>
      <w:caps/>
      <w:sz w:val="24"/>
      <w:szCs w:val="24"/>
      <w:lang w:val="en-US"/>
    </w:rPr>
  </w:style>
  <w:style w:type="paragraph" w:customStyle="1" w:styleId="Aaaavaapaksejie">
    <w:name w:val="Aaaa va apaksejie"/>
    <w:basedOn w:val="ListParagraph"/>
    <w:link w:val="AaaavaapaksejieChar"/>
    <w:qFormat/>
    <w:rsid w:val="00212E70"/>
    <w:pPr>
      <w:numPr>
        <w:ilvl w:val="1"/>
        <w:numId w:val="2"/>
      </w:numPr>
    </w:pPr>
    <w:rPr>
      <w:b/>
      <w:lang w:val="lv-LV"/>
    </w:rPr>
  </w:style>
  <w:style w:type="table" w:styleId="TableGrid">
    <w:name w:val="Table Grid"/>
    <w:basedOn w:val="TableNormal"/>
    <w:uiPriority w:val="39"/>
    <w:rsid w:val="0091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2E70"/>
    <w:rPr>
      <w:rFonts w:ascii="Times New Roman" w:eastAsia="Times New Roman" w:hAnsi="Times New Roman" w:cs="Times New Roman"/>
      <w:sz w:val="24"/>
      <w:szCs w:val="24"/>
      <w:lang w:val="en-US"/>
    </w:rPr>
  </w:style>
  <w:style w:type="character" w:customStyle="1" w:styleId="AaaavaapaksejieChar">
    <w:name w:val="Aaaa va apaksejie Char"/>
    <w:basedOn w:val="ListParagraphChar"/>
    <w:link w:val="Aaaavaapaksejie"/>
    <w:rsid w:val="00212E70"/>
    <w:rPr>
      <w:rFonts w:ascii="Times New Roman" w:eastAsia="Times New Roman" w:hAnsi="Times New Roman" w:cs="Times New Roman"/>
      <w:b/>
      <w:sz w:val="24"/>
      <w:szCs w:val="24"/>
      <w:lang w:val="en-US"/>
    </w:rPr>
  </w:style>
  <w:style w:type="paragraph" w:customStyle="1" w:styleId="Alietinstr">
    <w:name w:val="A liet instr"/>
    <w:basedOn w:val="Normal"/>
    <w:link w:val="AlietinstrChar"/>
    <w:qFormat/>
    <w:rsid w:val="00091223"/>
    <w:pPr>
      <w:autoSpaceDE w:val="0"/>
      <w:autoSpaceDN w:val="0"/>
      <w:adjustRightInd w:val="0"/>
      <w:jc w:val="both"/>
    </w:pPr>
    <w:rPr>
      <w:b/>
    </w:rPr>
  </w:style>
  <w:style w:type="character" w:styleId="Hyperlink">
    <w:name w:val="Hyperlink"/>
    <w:rsid w:val="0070043A"/>
    <w:rPr>
      <w:color w:val="0000FF"/>
      <w:u w:val="single"/>
    </w:rPr>
  </w:style>
  <w:style w:type="character" w:customStyle="1" w:styleId="AlietinstrChar">
    <w:name w:val="A liet instr Char"/>
    <w:basedOn w:val="DefaultParagraphFont"/>
    <w:link w:val="Alietinstr"/>
    <w:rsid w:val="00091223"/>
    <w:rPr>
      <w:rFonts w:ascii="Times New Roman" w:eastAsia="Times New Roman" w:hAnsi="Times New Roman" w:cs="Times New Roman"/>
      <w:b/>
      <w:sz w:val="24"/>
      <w:szCs w:val="24"/>
      <w:lang w:val="en-US"/>
    </w:rPr>
  </w:style>
  <w:style w:type="character" w:styleId="FollowedHyperlink">
    <w:name w:val="FollowedHyperlink"/>
    <w:basedOn w:val="DefaultParagraphFont"/>
    <w:uiPriority w:val="99"/>
    <w:semiHidden/>
    <w:unhideWhenUsed/>
    <w:rsid w:val="0070043A"/>
    <w:rPr>
      <w:color w:val="954F72" w:themeColor="followedHyperlink"/>
      <w:u w:val="single"/>
    </w:rPr>
  </w:style>
  <w:style w:type="paragraph" w:styleId="Header">
    <w:name w:val="header"/>
    <w:basedOn w:val="Normal"/>
    <w:link w:val="HeaderChar"/>
    <w:uiPriority w:val="99"/>
    <w:unhideWhenUsed/>
    <w:rsid w:val="006D4991"/>
    <w:pPr>
      <w:tabs>
        <w:tab w:val="center" w:pos="4153"/>
        <w:tab w:val="right" w:pos="8306"/>
      </w:tabs>
    </w:pPr>
  </w:style>
  <w:style w:type="character" w:customStyle="1" w:styleId="HeaderChar">
    <w:name w:val="Header Char"/>
    <w:basedOn w:val="DefaultParagraphFont"/>
    <w:link w:val="Header"/>
    <w:uiPriority w:val="99"/>
    <w:rsid w:val="006D49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4991"/>
    <w:pPr>
      <w:tabs>
        <w:tab w:val="center" w:pos="4153"/>
        <w:tab w:val="right" w:pos="8306"/>
      </w:tabs>
    </w:pPr>
  </w:style>
  <w:style w:type="character" w:customStyle="1" w:styleId="FooterChar">
    <w:name w:val="Footer Char"/>
    <w:basedOn w:val="DefaultParagraphFont"/>
    <w:link w:val="Footer"/>
    <w:uiPriority w:val="99"/>
    <w:rsid w:val="006D499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17D6F"/>
    <w:rPr>
      <w:sz w:val="16"/>
      <w:szCs w:val="16"/>
    </w:rPr>
  </w:style>
  <w:style w:type="paragraph" w:styleId="CommentText">
    <w:name w:val="annotation text"/>
    <w:basedOn w:val="Normal"/>
    <w:link w:val="CommentTextChar"/>
    <w:uiPriority w:val="99"/>
    <w:unhideWhenUsed/>
    <w:rsid w:val="00417D6F"/>
    <w:rPr>
      <w:sz w:val="20"/>
      <w:szCs w:val="20"/>
    </w:rPr>
  </w:style>
  <w:style w:type="character" w:customStyle="1" w:styleId="CommentTextChar">
    <w:name w:val="Comment Text Char"/>
    <w:basedOn w:val="DefaultParagraphFont"/>
    <w:link w:val="CommentText"/>
    <w:uiPriority w:val="99"/>
    <w:rsid w:val="00417D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7D6F"/>
    <w:rPr>
      <w:b/>
      <w:bCs/>
    </w:rPr>
  </w:style>
  <w:style w:type="character" w:customStyle="1" w:styleId="CommentSubjectChar">
    <w:name w:val="Comment Subject Char"/>
    <w:basedOn w:val="CommentTextChar"/>
    <w:link w:val="CommentSubject"/>
    <w:uiPriority w:val="99"/>
    <w:semiHidden/>
    <w:rsid w:val="00417D6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428">
      <w:bodyDiv w:val="1"/>
      <w:marLeft w:val="0"/>
      <w:marRight w:val="0"/>
      <w:marTop w:val="0"/>
      <w:marBottom w:val="0"/>
      <w:divBdr>
        <w:top w:val="none" w:sz="0" w:space="0" w:color="auto"/>
        <w:left w:val="none" w:sz="0" w:space="0" w:color="auto"/>
        <w:bottom w:val="none" w:sz="0" w:space="0" w:color="auto"/>
        <w:right w:val="none" w:sz="0" w:space="0" w:color="auto"/>
      </w:divBdr>
    </w:div>
    <w:div w:id="14734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A318-D2E2-455E-AD21-C10D6BF0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3886</Words>
  <Characters>2216</Characters>
  <Application>Microsoft Office Word</Application>
  <DocSecurity>0</DocSecurity>
  <Lines>18</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Bondare</dc:creator>
  <cp:keywords/>
  <dc:description/>
  <cp:lastModifiedBy>Skaidrīte Lapsenīte</cp:lastModifiedBy>
  <cp:revision>4</cp:revision>
  <dcterms:created xsi:type="dcterms:W3CDTF">2022-07-22T05:39:00Z</dcterms:created>
  <dcterms:modified xsi:type="dcterms:W3CDTF">2022-07-25T09:48:00Z</dcterms:modified>
</cp:coreProperties>
</file>