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0C82" w14:textId="77777777" w:rsidR="003765C7" w:rsidRPr="003C4FBE" w:rsidRDefault="003765C7" w:rsidP="00B109A8">
      <w:pPr>
        <w:pStyle w:val="Default"/>
        <w:jc w:val="center"/>
        <w:rPr>
          <w:b/>
          <w:bCs/>
          <w:sz w:val="22"/>
          <w:szCs w:val="22"/>
        </w:rPr>
      </w:pPr>
      <w:r w:rsidRPr="003C4FBE">
        <w:rPr>
          <w:b/>
          <w:bCs/>
          <w:sz w:val="22"/>
          <w:szCs w:val="22"/>
        </w:rPr>
        <w:t xml:space="preserve">ZĀĻU APRAKSTS </w:t>
      </w:r>
    </w:p>
    <w:p w14:paraId="285AB5DD" w14:textId="77777777" w:rsidR="003765C7" w:rsidRPr="003C4FBE" w:rsidRDefault="003765C7" w:rsidP="00B109A8">
      <w:pPr>
        <w:pStyle w:val="Default"/>
        <w:jc w:val="center"/>
        <w:rPr>
          <w:b/>
          <w:bCs/>
          <w:sz w:val="22"/>
          <w:szCs w:val="22"/>
        </w:rPr>
      </w:pPr>
    </w:p>
    <w:p w14:paraId="3AFFA292" w14:textId="77777777" w:rsidR="003765C7" w:rsidRPr="003C4FBE" w:rsidRDefault="003765C7" w:rsidP="00B109A8">
      <w:pPr>
        <w:pStyle w:val="Default"/>
        <w:jc w:val="center"/>
        <w:rPr>
          <w:sz w:val="22"/>
          <w:szCs w:val="22"/>
        </w:rPr>
      </w:pPr>
    </w:p>
    <w:p w14:paraId="7C0C9938" w14:textId="77777777" w:rsidR="003765C7" w:rsidRPr="003C4FBE" w:rsidRDefault="003765C7" w:rsidP="00B109A8">
      <w:pPr>
        <w:pStyle w:val="Default"/>
        <w:rPr>
          <w:b/>
          <w:bCs/>
          <w:sz w:val="22"/>
          <w:szCs w:val="22"/>
        </w:rPr>
      </w:pPr>
      <w:r w:rsidRPr="003C4FBE">
        <w:rPr>
          <w:b/>
          <w:bCs/>
          <w:sz w:val="22"/>
          <w:szCs w:val="22"/>
        </w:rPr>
        <w:t xml:space="preserve">1. ZĀĻU NOSAUKUMS </w:t>
      </w:r>
    </w:p>
    <w:p w14:paraId="0A5F05EA" w14:textId="77777777" w:rsidR="003765C7" w:rsidRPr="003C4FBE" w:rsidRDefault="003765C7" w:rsidP="00B109A8">
      <w:pPr>
        <w:pStyle w:val="Default"/>
        <w:rPr>
          <w:b/>
          <w:bCs/>
          <w:sz w:val="22"/>
          <w:szCs w:val="22"/>
        </w:rPr>
      </w:pPr>
    </w:p>
    <w:p w14:paraId="7A728C30" w14:textId="77777777" w:rsidR="003765C7" w:rsidRPr="003C4FBE" w:rsidRDefault="003765C7" w:rsidP="00B109A8">
      <w:pPr>
        <w:pStyle w:val="Default"/>
        <w:jc w:val="both"/>
        <w:rPr>
          <w:sz w:val="22"/>
          <w:szCs w:val="22"/>
        </w:rPr>
      </w:pPr>
      <w:r w:rsidRPr="003C4FBE">
        <w:rPr>
          <w:sz w:val="22"/>
          <w:szCs w:val="22"/>
        </w:rPr>
        <w:t xml:space="preserve">Heviran 200 mg apvalkotās tabletes </w:t>
      </w:r>
    </w:p>
    <w:p w14:paraId="177917C2" w14:textId="77777777" w:rsidR="003765C7" w:rsidRPr="003C4FBE" w:rsidRDefault="003765C7" w:rsidP="00B109A8">
      <w:pPr>
        <w:pStyle w:val="Default"/>
        <w:jc w:val="both"/>
        <w:rPr>
          <w:sz w:val="22"/>
          <w:szCs w:val="22"/>
        </w:rPr>
      </w:pPr>
      <w:r w:rsidRPr="003C4FBE">
        <w:rPr>
          <w:sz w:val="22"/>
          <w:szCs w:val="22"/>
        </w:rPr>
        <w:t xml:space="preserve">Heviran 400 mg apvalkotās tabletes </w:t>
      </w:r>
    </w:p>
    <w:p w14:paraId="1B912CF2" w14:textId="77777777" w:rsidR="003765C7" w:rsidRPr="003C4FBE" w:rsidRDefault="003765C7" w:rsidP="00B109A8">
      <w:pPr>
        <w:pStyle w:val="Default"/>
        <w:jc w:val="both"/>
        <w:rPr>
          <w:sz w:val="22"/>
          <w:szCs w:val="22"/>
        </w:rPr>
      </w:pPr>
      <w:r w:rsidRPr="003C4FBE">
        <w:rPr>
          <w:sz w:val="22"/>
          <w:szCs w:val="22"/>
        </w:rPr>
        <w:t xml:space="preserve">Heviran 800 mg apvalkotās tabletes </w:t>
      </w:r>
    </w:p>
    <w:p w14:paraId="2B75ED9F" w14:textId="77777777" w:rsidR="003765C7" w:rsidRPr="003C4FBE" w:rsidRDefault="003765C7" w:rsidP="00B109A8">
      <w:pPr>
        <w:pStyle w:val="Default"/>
        <w:jc w:val="both"/>
        <w:rPr>
          <w:sz w:val="22"/>
          <w:szCs w:val="22"/>
        </w:rPr>
      </w:pPr>
    </w:p>
    <w:p w14:paraId="6629BEF5" w14:textId="77777777" w:rsidR="003765C7" w:rsidRPr="003C4FBE" w:rsidRDefault="003765C7" w:rsidP="00B109A8">
      <w:pPr>
        <w:pStyle w:val="Default"/>
        <w:jc w:val="both"/>
        <w:rPr>
          <w:sz w:val="22"/>
          <w:szCs w:val="22"/>
        </w:rPr>
      </w:pPr>
    </w:p>
    <w:p w14:paraId="6A8FA0CE" w14:textId="77777777" w:rsidR="003765C7" w:rsidRPr="003C4FBE" w:rsidRDefault="003765C7" w:rsidP="00B109A8">
      <w:pPr>
        <w:pStyle w:val="Default"/>
        <w:rPr>
          <w:b/>
          <w:bCs/>
          <w:sz w:val="22"/>
          <w:szCs w:val="22"/>
        </w:rPr>
      </w:pPr>
      <w:r w:rsidRPr="003C4FBE">
        <w:rPr>
          <w:b/>
          <w:bCs/>
          <w:sz w:val="22"/>
          <w:szCs w:val="22"/>
        </w:rPr>
        <w:t xml:space="preserve">2. KVALITATĪVAIS UN KVANTITATĪVAIS SASTĀVS </w:t>
      </w:r>
    </w:p>
    <w:p w14:paraId="2318FCF1" w14:textId="77777777" w:rsidR="003765C7" w:rsidRPr="003C4FBE" w:rsidRDefault="003765C7" w:rsidP="00B109A8">
      <w:pPr>
        <w:pStyle w:val="Default"/>
        <w:rPr>
          <w:sz w:val="22"/>
          <w:szCs w:val="22"/>
        </w:rPr>
      </w:pPr>
    </w:p>
    <w:p w14:paraId="10AC77EE" w14:textId="77777777" w:rsidR="003765C7" w:rsidRPr="003C4FBE" w:rsidRDefault="003765C7" w:rsidP="00B109A8">
      <w:pPr>
        <w:pStyle w:val="Default"/>
        <w:rPr>
          <w:sz w:val="22"/>
          <w:szCs w:val="22"/>
        </w:rPr>
      </w:pPr>
      <w:r w:rsidRPr="003C4FBE">
        <w:rPr>
          <w:sz w:val="22"/>
          <w:szCs w:val="22"/>
        </w:rPr>
        <w:t xml:space="preserve">Viena 200 mg apvalkotā tablete satur 200 mg </w:t>
      </w:r>
      <w:r w:rsidR="0021531E" w:rsidRPr="003C4FBE">
        <w:rPr>
          <w:sz w:val="22"/>
          <w:szCs w:val="22"/>
        </w:rPr>
        <w:t>aciklovīr</w:t>
      </w:r>
      <w:r w:rsidRPr="003C4FBE">
        <w:rPr>
          <w:sz w:val="22"/>
          <w:szCs w:val="22"/>
        </w:rPr>
        <w:t>a (</w:t>
      </w:r>
      <w:r w:rsidRPr="003C4FBE">
        <w:rPr>
          <w:i/>
          <w:iCs/>
          <w:sz w:val="22"/>
          <w:szCs w:val="22"/>
        </w:rPr>
        <w:t>Aciclovirum</w:t>
      </w:r>
      <w:r w:rsidRPr="003C4FBE">
        <w:rPr>
          <w:sz w:val="22"/>
          <w:szCs w:val="22"/>
        </w:rPr>
        <w:t xml:space="preserve">). </w:t>
      </w:r>
    </w:p>
    <w:p w14:paraId="438198C9" w14:textId="77777777" w:rsidR="003765C7" w:rsidRPr="003C4FBE" w:rsidRDefault="003765C7" w:rsidP="00B109A8">
      <w:pPr>
        <w:pStyle w:val="Default"/>
        <w:rPr>
          <w:sz w:val="22"/>
          <w:szCs w:val="22"/>
        </w:rPr>
      </w:pPr>
      <w:r w:rsidRPr="003C4FBE">
        <w:rPr>
          <w:sz w:val="22"/>
          <w:szCs w:val="22"/>
        </w:rPr>
        <w:t xml:space="preserve">Viena 400 mg apvalkotā tablete satur 400 mg </w:t>
      </w:r>
      <w:r w:rsidR="0021531E" w:rsidRPr="003C4FBE">
        <w:rPr>
          <w:sz w:val="22"/>
          <w:szCs w:val="22"/>
        </w:rPr>
        <w:t>aciklovīr</w:t>
      </w:r>
      <w:r w:rsidRPr="003C4FBE">
        <w:rPr>
          <w:sz w:val="22"/>
          <w:szCs w:val="22"/>
        </w:rPr>
        <w:t>a (</w:t>
      </w:r>
      <w:r w:rsidRPr="003C4FBE">
        <w:rPr>
          <w:i/>
          <w:iCs/>
          <w:sz w:val="22"/>
          <w:szCs w:val="22"/>
        </w:rPr>
        <w:t>Aciclovirum</w:t>
      </w:r>
      <w:r w:rsidRPr="003C4FBE">
        <w:rPr>
          <w:sz w:val="22"/>
          <w:szCs w:val="22"/>
        </w:rPr>
        <w:t xml:space="preserve">). </w:t>
      </w:r>
    </w:p>
    <w:p w14:paraId="5DCF411E" w14:textId="77777777" w:rsidR="003765C7" w:rsidRPr="003C4FBE" w:rsidRDefault="003765C7" w:rsidP="00B109A8">
      <w:pPr>
        <w:pStyle w:val="Default"/>
        <w:rPr>
          <w:sz w:val="22"/>
          <w:szCs w:val="22"/>
        </w:rPr>
      </w:pPr>
      <w:r w:rsidRPr="003C4FBE">
        <w:rPr>
          <w:sz w:val="22"/>
          <w:szCs w:val="22"/>
        </w:rPr>
        <w:t xml:space="preserve">Viena 800 mg apvalkotā tablete satur 800 mg </w:t>
      </w:r>
      <w:r w:rsidR="0021531E" w:rsidRPr="003C4FBE">
        <w:rPr>
          <w:sz w:val="22"/>
          <w:szCs w:val="22"/>
        </w:rPr>
        <w:t>aciklovīr</w:t>
      </w:r>
      <w:r w:rsidRPr="003C4FBE">
        <w:rPr>
          <w:sz w:val="22"/>
          <w:szCs w:val="22"/>
        </w:rPr>
        <w:t>a (</w:t>
      </w:r>
      <w:r w:rsidRPr="003C4FBE">
        <w:rPr>
          <w:i/>
          <w:iCs/>
          <w:sz w:val="22"/>
          <w:szCs w:val="22"/>
        </w:rPr>
        <w:t>Aciclovirum</w:t>
      </w:r>
      <w:r w:rsidRPr="003C4FBE">
        <w:rPr>
          <w:sz w:val="22"/>
          <w:szCs w:val="22"/>
        </w:rPr>
        <w:t xml:space="preserve">). </w:t>
      </w:r>
    </w:p>
    <w:p w14:paraId="7301FD87" w14:textId="77777777" w:rsidR="003765C7" w:rsidRPr="003C4FBE" w:rsidRDefault="003765C7" w:rsidP="00B109A8">
      <w:pPr>
        <w:pStyle w:val="Default"/>
        <w:rPr>
          <w:sz w:val="22"/>
          <w:szCs w:val="22"/>
        </w:rPr>
      </w:pPr>
    </w:p>
    <w:p w14:paraId="2E6817E2" w14:textId="77777777" w:rsidR="003765C7" w:rsidRPr="003C4FBE" w:rsidRDefault="003765C7" w:rsidP="00B109A8">
      <w:pPr>
        <w:pStyle w:val="Default"/>
        <w:rPr>
          <w:sz w:val="22"/>
          <w:szCs w:val="22"/>
        </w:rPr>
      </w:pPr>
      <w:r w:rsidRPr="003C4FBE">
        <w:rPr>
          <w:sz w:val="22"/>
          <w:szCs w:val="22"/>
        </w:rPr>
        <w:t xml:space="preserve">Pilnu palīgvielu sarakstu skatīt 6.1. apakšpunktā. </w:t>
      </w:r>
    </w:p>
    <w:p w14:paraId="6A690C0B" w14:textId="77777777" w:rsidR="003765C7" w:rsidRPr="003C4FBE" w:rsidRDefault="003765C7" w:rsidP="00B109A8">
      <w:pPr>
        <w:pStyle w:val="Default"/>
        <w:rPr>
          <w:sz w:val="22"/>
          <w:szCs w:val="22"/>
        </w:rPr>
      </w:pPr>
    </w:p>
    <w:p w14:paraId="5B00051F" w14:textId="77777777" w:rsidR="003765C7" w:rsidRPr="003C4FBE" w:rsidRDefault="003765C7" w:rsidP="00B109A8">
      <w:pPr>
        <w:pStyle w:val="Default"/>
        <w:rPr>
          <w:sz w:val="22"/>
          <w:szCs w:val="22"/>
        </w:rPr>
      </w:pPr>
    </w:p>
    <w:p w14:paraId="2AD14B28" w14:textId="77777777" w:rsidR="003765C7" w:rsidRPr="003C4FBE" w:rsidRDefault="003765C7" w:rsidP="00B109A8">
      <w:pPr>
        <w:pStyle w:val="Default"/>
        <w:ind w:left="567" w:hanging="568"/>
        <w:rPr>
          <w:b/>
          <w:bCs/>
          <w:sz w:val="22"/>
          <w:szCs w:val="22"/>
        </w:rPr>
      </w:pPr>
      <w:r w:rsidRPr="003C4FBE">
        <w:rPr>
          <w:b/>
          <w:bCs/>
          <w:sz w:val="22"/>
          <w:szCs w:val="22"/>
        </w:rPr>
        <w:t xml:space="preserve">3. ZĀĻU FORMA </w:t>
      </w:r>
    </w:p>
    <w:p w14:paraId="3A3D0FA7" w14:textId="77777777" w:rsidR="003765C7" w:rsidRPr="003C4FBE" w:rsidRDefault="003765C7" w:rsidP="00B109A8">
      <w:pPr>
        <w:pStyle w:val="Default"/>
        <w:ind w:left="567" w:hanging="568"/>
        <w:rPr>
          <w:sz w:val="22"/>
          <w:szCs w:val="22"/>
        </w:rPr>
      </w:pPr>
    </w:p>
    <w:p w14:paraId="538E5681" w14:textId="77777777" w:rsidR="003765C7" w:rsidRPr="003C4FBE" w:rsidRDefault="00C94930" w:rsidP="00B109A8">
      <w:pPr>
        <w:pStyle w:val="Default"/>
        <w:rPr>
          <w:sz w:val="22"/>
          <w:szCs w:val="22"/>
        </w:rPr>
      </w:pPr>
      <w:r w:rsidRPr="003C4FBE">
        <w:rPr>
          <w:sz w:val="22"/>
          <w:szCs w:val="22"/>
        </w:rPr>
        <w:t xml:space="preserve">Apvalkotā </w:t>
      </w:r>
      <w:r w:rsidR="003765C7" w:rsidRPr="003C4FBE">
        <w:rPr>
          <w:sz w:val="22"/>
          <w:szCs w:val="22"/>
        </w:rPr>
        <w:t xml:space="preserve">tablete. </w:t>
      </w:r>
    </w:p>
    <w:p w14:paraId="16996EBA" w14:textId="77777777" w:rsidR="003765C7" w:rsidRPr="003C4FBE" w:rsidRDefault="003765C7" w:rsidP="00B109A8">
      <w:pPr>
        <w:pStyle w:val="Default"/>
        <w:rPr>
          <w:sz w:val="22"/>
          <w:szCs w:val="22"/>
        </w:rPr>
      </w:pPr>
    </w:p>
    <w:p w14:paraId="1739A393" w14:textId="77777777" w:rsidR="003765C7" w:rsidRPr="003C4FBE" w:rsidRDefault="003765C7" w:rsidP="00B109A8">
      <w:pPr>
        <w:pStyle w:val="Default"/>
        <w:jc w:val="both"/>
        <w:rPr>
          <w:sz w:val="22"/>
          <w:szCs w:val="22"/>
        </w:rPr>
      </w:pPr>
      <w:r w:rsidRPr="003C4FBE">
        <w:rPr>
          <w:sz w:val="22"/>
          <w:szCs w:val="22"/>
        </w:rPr>
        <w:t xml:space="preserve">200 mg apvalkotās tabletes: apaļas, abpusēji izliektas, baltas vai gandrīz baltas tabletes ar viegli graudainu virsmu. </w:t>
      </w:r>
    </w:p>
    <w:p w14:paraId="1944F541" w14:textId="77777777" w:rsidR="003765C7" w:rsidRPr="003C4FBE" w:rsidRDefault="003765C7" w:rsidP="00B109A8">
      <w:pPr>
        <w:pStyle w:val="Default"/>
        <w:jc w:val="both"/>
        <w:rPr>
          <w:sz w:val="22"/>
          <w:szCs w:val="22"/>
        </w:rPr>
      </w:pPr>
      <w:r w:rsidRPr="003C4FBE">
        <w:rPr>
          <w:sz w:val="22"/>
          <w:szCs w:val="22"/>
        </w:rPr>
        <w:t xml:space="preserve">400 mg apvalkotās tabletes: apaļas, abpusēji izliektas, baltas vai gandrīz baltas tabletes ar viegli graudainu virsmu. </w:t>
      </w:r>
    </w:p>
    <w:p w14:paraId="05817098" w14:textId="77777777" w:rsidR="003765C7" w:rsidRPr="003C4FBE" w:rsidRDefault="003765C7" w:rsidP="00B109A8">
      <w:pPr>
        <w:pStyle w:val="Default"/>
        <w:jc w:val="both"/>
        <w:rPr>
          <w:sz w:val="22"/>
          <w:szCs w:val="22"/>
        </w:rPr>
      </w:pPr>
      <w:r w:rsidRPr="003C4FBE">
        <w:rPr>
          <w:sz w:val="22"/>
          <w:szCs w:val="22"/>
        </w:rPr>
        <w:t xml:space="preserve">800 mg apvalkotās tabletes: pupiņu formas, abpusēji izliektas, baltas vai gandrīz baltas tabletes ar viegli graudainu virsmu un dalījuma līniju. </w:t>
      </w:r>
    </w:p>
    <w:p w14:paraId="51C9309D" w14:textId="77777777" w:rsidR="003765C7" w:rsidRPr="003C4FBE" w:rsidRDefault="003765C7" w:rsidP="00B109A8">
      <w:pPr>
        <w:pStyle w:val="Default"/>
        <w:jc w:val="both"/>
        <w:rPr>
          <w:sz w:val="22"/>
          <w:szCs w:val="22"/>
        </w:rPr>
      </w:pPr>
    </w:p>
    <w:p w14:paraId="2E5AD61F" w14:textId="77777777" w:rsidR="003765C7" w:rsidRPr="003C4FBE" w:rsidRDefault="003765C7" w:rsidP="00B109A8">
      <w:pPr>
        <w:pStyle w:val="Default"/>
        <w:jc w:val="both"/>
        <w:rPr>
          <w:sz w:val="22"/>
          <w:szCs w:val="22"/>
        </w:rPr>
      </w:pPr>
    </w:p>
    <w:p w14:paraId="6DD529FE" w14:textId="77777777" w:rsidR="003765C7" w:rsidRPr="003C4FBE" w:rsidRDefault="003765C7" w:rsidP="00B109A8">
      <w:pPr>
        <w:pStyle w:val="Default"/>
        <w:ind w:left="567" w:hanging="568"/>
        <w:rPr>
          <w:b/>
          <w:bCs/>
          <w:sz w:val="22"/>
          <w:szCs w:val="22"/>
        </w:rPr>
      </w:pPr>
      <w:r w:rsidRPr="003C4FBE">
        <w:rPr>
          <w:b/>
          <w:bCs/>
          <w:sz w:val="22"/>
          <w:szCs w:val="22"/>
        </w:rPr>
        <w:t xml:space="preserve">4. KLĪNISKĀ INFORMĀCIJA </w:t>
      </w:r>
    </w:p>
    <w:p w14:paraId="25B8E119" w14:textId="77777777" w:rsidR="003765C7" w:rsidRPr="003C4FBE" w:rsidRDefault="003765C7" w:rsidP="00B109A8">
      <w:pPr>
        <w:pStyle w:val="Default"/>
        <w:ind w:left="567" w:hanging="568"/>
        <w:rPr>
          <w:sz w:val="22"/>
          <w:szCs w:val="22"/>
        </w:rPr>
      </w:pPr>
    </w:p>
    <w:p w14:paraId="40A03E3E" w14:textId="77777777" w:rsidR="003765C7" w:rsidRPr="003C4FBE" w:rsidRDefault="003765C7" w:rsidP="00B109A8">
      <w:pPr>
        <w:pStyle w:val="Default"/>
        <w:ind w:left="567" w:hanging="568"/>
        <w:rPr>
          <w:b/>
          <w:bCs/>
          <w:sz w:val="22"/>
          <w:szCs w:val="22"/>
        </w:rPr>
      </w:pPr>
      <w:r w:rsidRPr="003C4FBE">
        <w:rPr>
          <w:b/>
          <w:bCs/>
          <w:sz w:val="22"/>
          <w:szCs w:val="22"/>
        </w:rPr>
        <w:t xml:space="preserve">4.1. Terapeitiskās indikācijas </w:t>
      </w:r>
    </w:p>
    <w:p w14:paraId="5E80B946" w14:textId="77777777" w:rsidR="003765C7" w:rsidRPr="003C4FBE" w:rsidRDefault="003765C7" w:rsidP="00B109A8">
      <w:pPr>
        <w:pStyle w:val="Default"/>
        <w:ind w:left="567" w:hanging="568"/>
        <w:rPr>
          <w:sz w:val="22"/>
          <w:szCs w:val="22"/>
        </w:rPr>
      </w:pPr>
    </w:p>
    <w:p w14:paraId="0B5089BA" w14:textId="77777777" w:rsidR="003765C7" w:rsidRPr="003C4FBE" w:rsidRDefault="003765C7" w:rsidP="00B109A8">
      <w:pPr>
        <w:pStyle w:val="Default"/>
        <w:rPr>
          <w:sz w:val="22"/>
          <w:szCs w:val="22"/>
        </w:rPr>
      </w:pPr>
      <w:r w:rsidRPr="003C4FBE">
        <w:rPr>
          <w:i/>
          <w:iCs/>
          <w:sz w:val="22"/>
          <w:szCs w:val="22"/>
        </w:rPr>
        <w:t xml:space="preserve">Herpes simplex </w:t>
      </w:r>
      <w:r w:rsidRPr="003C4FBE">
        <w:rPr>
          <w:sz w:val="22"/>
          <w:szCs w:val="22"/>
        </w:rPr>
        <w:t xml:space="preserve">vīrusa izraisītu ādas un gļotādu infekciju, arī primāru un recidivējošu dzimumorgānu herpes infekciju terapija (izņemot HSV infekcijas jaundzimušajiem un smagas HSV infekcijas bērniem ar imūnsistēmas darbības traucējumiem). </w:t>
      </w:r>
    </w:p>
    <w:p w14:paraId="2BC04923" w14:textId="77777777" w:rsidR="003765C7" w:rsidRPr="003C4FBE" w:rsidRDefault="003765C7" w:rsidP="00B109A8">
      <w:pPr>
        <w:pStyle w:val="Default"/>
        <w:rPr>
          <w:sz w:val="22"/>
          <w:szCs w:val="22"/>
        </w:rPr>
      </w:pPr>
      <w:r w:rsidRPr="003C4FBE">
        <w:rPr>
          <w:sz w:val="22"/>
          <w:szCs w:val="22"/>
        </w:rPr>
        <w:t xml:space="preserve">Recidivējošu </w:t>
      </w:r>
      <w:r w:rsidRPr="003C4FBE">
        <w:rPr>
          <w:i/>
          <w:iCs/>
          <w:sz w:val="22"/>
          <w:szCs w:val="22"/>
        </w:rPr>
        <w:t xml:space="preserve">herpes simplex </w:t>
      </w:r>
      <w:r w:rsidRPr="003C4FBE">
        <w:rPr>
          <w:sz w:val="22"/>
          <w:szCs w:val="22"/>
        </w:rPr>
        <w:t xml:space="preserve">infekciju nomākšana (recidīvu profilakse) pacientiem ar normālu imūnās sistēmas darbību. </w:t>
      </w:r>
    </w:p>
    <w:p w14:paraId="0AC28FC5" w14:textId="77777777" w:rsidR="003765C7" w:rsidRPr="003C4FBE" w:rsidRDefault="003765C7" w:rsidP="00B109A8">
      <w:pPr>
        <w:pStyle w:val="Default"/>
        <w:rPr>
          <w:sz w:val="22"/>
          <w:szCs w:val="22"/>
        </w:rPr>
      </w:pPr>
      <w:r w:rsidRPr="003C4FBE">
        <w:rPr>
          <w:i/>
          <w:iCs/>
          <w:sz w:val="22"/>
          <w:szCs w:val="22"/>
        </w:rPr>
        <w:t xml:space="preserve">Herpes simplex </w:t>
      </w:r>
      <w:r w:rsidRPr="003C4FBE">
        <w:rPr>
          <w:sz w:val="22"/>
          <w:szCs w:val="22"/>
        </w:rPr>
        <w:t xml:space="preserve">vīrusa infekciju profilakse pacientiem ar imūnās sistēmas darbības traucējumiem. </w:t>
      </w:r>
    </w:p>
    <w:p w14:paraId="65123A0D" w14:textId="77777777" w:rsidR="003765C7" w:rsidRPr="003C4FBE" w:rsidRDefault="003765C7" w:rsidP="00B109A8">
      <w:pPr>
        <w:pStyle w:val="Default"/>
        <w:rPr>
          <w:sz w:val="22"/>
          <w:szCs w:val="22"/>
        </w:rPr>
      </w:pPr>
      <w:r w:rsidRPr="003C4FBE">
        <w:rPr>
          <w:sz w:val="22"/>
          <w:szCs w:val="22"/>
        </w:rPr>
        <w:t xml:space="preserve">Vējbaku un </w:t>
      </w:r>
      <w:r w:rsidRPr="003C4FBE">
        <w:rPr>
          <w:i/>
          <w:iCs/>
          <w:sz w:val="22"/>
          <w:szCs w:val="22"/>
        </w:rPr>
        <w:t xml:space="preserve">herpes zoster </w:t>
      </w:r>
      <w:r w:rsidRPr="003C4FBE">
        <w:rPr>
          <w:sz w:val="22"/>
          <w:szCs w:val="22"/>
        </w:rPr>
        <w:t xml:space="preserve">(jostas rozes) infekciju terapija. </w:t>
      </w:r>
    </w:p>
    <w:p w14:paraId="0749FB7D" w14:textId="77777777" w:rsidR="003765C7" w:rsidRPr="003C4FBE" w:rsidRDefault="003765C7" w:rsidP="00B109A8">
      <w:pPr>
        <w:pStyle w:val="Default"/>
        <w:rPr>
          <w:sz w:val="22"/>
          <w:szCs w:val="22"/>
        </w:rPr>
      </w:pPr>
    </w:p>
    <w:p w14:paraId="3C419A11" w14:textId="77777777" w:rsidR="003765C7" w:rsidRPr="003C4FBE" w:rsidRDefault="003765C7" w:rsidP="00B109A8">
      <w:pPr>
        <w:pStyle w:val="Default"/>
        <w:ind w:left="570" w:hanging="570"/>
        <w:rPr>
          <w:b/>
          <w:bCs/>
          <w:sz w:val="22"/>
          <w:szCs w:val="22"/>
        </w:rPr>
      </w:pPr>
      <w:r w:rsidRPr="003C4FBE">
        <w:rPr>
          <w:b/>
          <w:bCs/>
          <w:sz w:val="22"/>
          <w:szCs w:val="22"/>
        </w:rPr>
        <w:t xml:space="preserve">4.2. Devas un lietošanas veids </w:t>
      </w:r>
    </w:p>
    <w:p w14:paraId="3BC045BC" w14:textId="77777777" w:rsidR="003765C7" w:rsidRPr="003C4FBE" w:rsidRDefault="003765C7" w:rsidP="00B109A8">
      <w:pPr>
        <w:pStyle w:val="Default"/>
        <w:ind w:left="570" w:hanging="570"/>
        <w:rPr>
          <w:sz w:val="22"/>
          <w:szCs w:val="22"/>
        </w:rPr>
      </w:pPr>
    </w:p>
    <w:p w14:paraId="5A4002AE" w14:textId="77777777" w:rsidR="003765C7" w:rsidRPr="003C4FBE" w:rsidRDefault="003765C7" w:rsidP="00B109A8">
      <w:pPr>
        <w:pStyle w:val="Default"/>
        <w:rPr>
          <w:sz w:val="22"/>
          <w:szCs w:val="22"/>
        </w:rPr>
      </w:pPr>
      <w:r w:rsidRPr="003C4FBE">
        <w:rPr>
          <w:sz w:val="22"/>
          <w:szCs w:val="22"/>
        </w:rPr>
        <w:t xml:space="preserve">Lietošanas veids: iekšķīgi. </w:t>
      </w:r>
    </w:p>
    <w:p w14:paraId="64B3AEB1" w14:textId="77777777" w:rsidR="003765C7" w:rsidRPr="003C4FBE" w:rsidRDefault="003765C7" w:rsidP="00B109A8">
      <w:pPr>
        <w:pStyle w:val="Default"/>
        <w:rPr>
          <w:sz w:val="22"/>
          <w:szCs w:val="22"/>
        </w:rPr>
      </w:pPr>
      <w:r w:rsidRPr="003C4FBE">
        <w:rPr>
          <w:sz w:val="22"/>
          <w:szCs w:val="22"/>
        </w:rPr>
        <w:t xml:space="preserve">Pacientiem, kuri saņem lielas </w:t>
      </w:r>
      <w:r w:rsidR="0021531E" w:rsidRPr="003C4FBE">
        <w:rPr>
          <w:sz w:val="22"/>
          <w:szCs w:val="22"/>
        </w:rPr>
        <w:t>aciklovīr</w:t>
      </w:r>
      <w:r w:rsidRPr="003C4FBE">
        <w:rPr>
          <w:sz w:val="22"/>
          <w:szCs w:val="22"/>
        </w:rPr>
        <w:t xml:space="preserve">a devas, jānodrošina pietiekama hidratācija. </w:t>
      </w:r>
    </w:p>
    <w:p w14:paraId="5C41A234" w14:textId="77777777" w:rsidR="003765C7" w:rsidRPr="003C4FBE" w:rsidRDefault="003765C7" w:rsidP="00B109A8">
      <w:pPr>
        <w:pStyle w:val="Default"/>
        <w:rPr>
          <w:sz w:val="22"/>
          <w:szCs w:val="22"/>
        </w:rPr>
      </w:pPr>
    </w:p>
    <w:p w14:paraId="5CF87FED" w14:textId="77777777" w:rsidR="003765C7" w:rsidRPr="003C4FBE" w:rsidRDefault="003765C7" w:rsidP="00B109A8">
      <w:pPr>
        <w:pStyle w:val="Default"/>
        <w:rPr>
          <w:sz w:val="22"/>
          <w:szCs w:val="22"/>
        </w:rPr>
      </w:pPr>
      <w:r w:rsidRPr="003C4FBE">
        <w:rPr>
          <w:b/>
          <w:bCs/>
          <w:sz w:val="22"/>
          <w:szCs w:val="22"/>
        </w:rPr>
        <w:t xml:space="preserve">Devas pieaugušajiem </w:t>
      </w:r>
    </w:p>
    <w:p w14:paraId="44509B89" w14:textId="77777777" w:rsidR="003765C7" w:rsidRPr="003C4FBE" w:rsidRDefault="003765C7" w:rsidP="00B109A8">
      <w:pPr>
        <w:pStyle w:val="Default"/>
        <w:rPr>
          <w:sz w:val="22"/>
          <w:szCs w:val="22"/>
        </w:rPr>
      </w:pPr>
      <w:r w:rsidRPr="003C4FBE">
        <w:rPr>
          <w:i/>
          <w:iCs/>
          <w:sz w:val="22"/>
          <w:szCs w:val="22"/>
          <w:u w:val="single"/>
        </w:rPr>
        <w:t xml:space="preserve">Herpes simplex </w:t>
      </w:r>
      <w:r w:rsidRPr="003C4FBE">
        <w:rPr>
          <w:sz w:val="22"/>
          <w:szCs w:val="22"/>
          <w:u w:val="single"/>
        </w:rPr>
        <w:t xml:space="preserve">infekciju terapija: </w:t>
      </w:r>
      <w:r w:rsidRPr="003C4FBE">
        <w:rPr>
          <w:sz w:val="22"/>
          <w:szCs w:val="22"/>
        </w:rPr>
        <w:t xml:space="preserve">jālieto 200 mg </w:t>
      </w:r>
      <w:r w:rsidR="0021531E" w:rsidRPr="003C4FBE">
        <w:rPr>
          <w:sz w:val="22"/>
          <w:szCs w:val="22"/>
        </w:rPr>
        <w:t>aciklovīr</w:t>
      </w:r>
      <w:r w:rsidRPr="003C4FBE">
        <w:rPr>
          <w:sz w:val="22"/>
          <w:szCs w:val="22"/>
        </w:rPr>
        <w:t xml:space="preserve">a piecas reizes dienā ar aptuveni četru stundu starplaiku, izlaižot nakts devu. Ārstēšana jāturpina 5 dienas, bet smagu primāru infekciju gadījumos ārstēšanas laiks var būt jāpagarina. </w:t>
      </w:r>
    </w:p>
    <w:p w14:paraId="636BBAF2" w14:textId="77777777" w:rsidR="003765C7" w:rsidRPr="003C4FBE" w:rsidRDefault="003765C7" w:rsidP="00B109A8">
      <w:pPr>
        <w:pStyle w:val="Default"/>
        <w:rPr>
          <w:sz w:val="22"/>
          <w:szCs w:val="22"/>
        </w:rPr>
      </w:pPr>
      <w:r w:rsidRPr="003C4FBE">
        <w:rPr>
          <w:sz w:val="22"/>
          <w:szCs w:val="22"/>
        </w:rPr>
        <w:t xml:space="preserve">Pacientiem ar smagiem imūnās sistēmas darbības traucējumiem (piemēram, pēc kaulu smadzeņu transplantācijas) vai pacientiem ar traucētu absorbciju no zarnām devu var dubultot līdz 400 mg </w:t>
      </w:r>
      <w:r w:rsidR="0021531E" w:rsidRPr="003C4FBE">
        <w:rPr>
          <w:sz w:val="22"/>
          <w:szCs w:val="22"/>
        </w:rPr>
        <w:t>aciklovīr</w:t>
      </w:r>
      <w:r w:rsidRPr="003C4FBE">
        <w:rPr>
          <w:sz w:val="22"/>
          <w:szCs w:val="22"/>
        </w:rPr>
        <w:t xml:space="preserve">a. </w:t>
      </w:r>
    </w:p>
    <w:p w14:paraId="36EFD07F" w14:textId="77777777" w:rsidR="003765C7" w:rsidRPr="003C4FBE" w:rsidRDefault="003765C7" w:rsidP="00B109A8">
      <w:pPr>
        <w:pStyle w:val="Default"/>
        <w:rPr>
          <w:sz w:val="22"/>
          <w:szCs w:val="22"/>
        </w:rPr>
      </w:pPr>
    </w:p>
    <w:p w14:paraId="291E7845" w14:textId="77777777" w:rsidR="003765C7" w:rsidRPr="003C4FBE" w:rsidRDefault="003765C7" w:rsidP="00B109A8">
      <w:pPr>
        <w:pStyle w:val="Default"/>
        <w:rPr>
          <w:sz w:val="22"/>
          <w:szCs w:val="22"/>
        </w:rPr>
      </w:pPr>
      <w:r w:rsidRPr="003C4FBE">
        <w:rPr>
          <w:sz w:val="22"/>
          <w:szCs w:val="22"/>
        </w:rPr>
        <w:lastRenderedPageBreak/>
        <w:t xml:space="preserve">Zāļu lietošana pēc infekcijas sākuma jāsāk pēc iespējas ātrāk. Recidīvu gadījumos zāļu lietošanu vēlams uzsākt prodromālajā periodā vai parādoties pirmajiem bojājumiem. </w:t>
      </w:r>
    </w:p>
    <w:p w14:paraId="10F8CAA2" w14:textId="77777777" w:rsidR="003765C7" w:rsidRPr="003C4FBE" w:rsidRDefault="003765C7" w:rsidP="00B109A8">
      <w:pPr>
        <w:pStyle w:val="Default"/>
        <w:rPr>
          <w:sz w:val="22"/>
          <w:szCs w:val="22"/>
        </w:rPr>
      </w:pPr>
    </w:p>
    <w:p w14:paraId="33825AFB" w14:textId="77777777" w:rsidR="003765C7" w:rsidRPr="003C4FBE" w:rsidRDefault="003765C7" w:rsidP="00B109A8">
      <w:pPr>
        <w:pStyle w:val="Default"/>
        <w:rPr>
          <w:sz w:val="22"/>
          <w:szCs w:val="22"/>
        </w:rPr>
      </w:pPr>
      <w:r w:rsidRPr="003C4FBE">
        <w:rPr>
          <w:i/>
          <w:iCs/>
          <w:sz w:val="22"/>
          <w:szCs w:val="22"/>
          <w:u w:val="single"/>
        </w:rPr>
        <w:t xml:space="preserve">Herpes simplex </w:t>
      </w:r>
      <w:r w:rsidRPr="003C4FBE">
        <w:rPr>
          <w:sz w:val="22"/>
          <w:szCs w:val="22"/>
          <w:u w:val="single"/>
        </w:rPr>
        <w:t xml:space="preserve">infekciju nomākšana pacientiem ar normālu imūnās sistēmas darbību: </w:t>
      </w:r>
      <w:r w:rsidRPr="003C4FBE">
        <w:rPr>
          <w:sz w:val="22"/>
          <w:szCs w:val="22"/>
        </w:rPr>
        <w:t xml:space="preserve">jālieto 200 mg </w:t>
      </w:r>
      <w:r w:rsidR="0021531E" w:rsidRPr="003C4FBE">
        <w:rPr>
          <w:sz w:val="22"/>
          <w:szCs w:val="22"/>
        </w:rPr>
        <w:t>aciklovīr</w:t>
      </w:r>
      <w:r w:rsidRPr="003C4FBE">
        <w:rPr>
          <w:sz w:val="22"/>
          <w:szCs w:val="22"/>
        </w:rPr>
        <w:t xml:space="preserve">a četras reizes dienā ar aptuveni sešu stundu starplaiku. </w:t>
      </w:r>
    </w:p>
    <w:p w14:paraId="2AE91684" w14:textId="77777777" w:rsidR="003765C7" w:rsidRPr="003C4FBE" w:rsidRDefault="003765C7" w:rsidP="00B109A8">
      <w:pPr>
        <w:pStyle w:val="Default"/>
        <w:rPr>
          <w:sz w:val="22"/>
          <w:szCs w:val="22"/>
        </w:rPr>
      </w:pPr>
      <w:r w:rsidRPr="003C4FBE">
        <w:rPr>
          <w:sz w:val="22"/>
          <w:szCs w:val="22"/>
        </w:rPr>
        <w:t xml:space="preserve">Daudzus pacientus var ērti ārstēt, lietojot 400 mg </w:t>
      </w:r>
      <w:r w:rsidR="0021531E" w:rsidRPr="003C4FBE">
        <w:rPr>
          <w:sz w:val="22"/>
          <w:szCs w:val="22"/>
        </w:rPr>
        <w:t>aciklovīr</w:t>
      </w:r>
      <w:r w:rsidRPr="003C4FBE">
        <w:rPr>
          <w:sz w:val="22"/>
          <w:szCs w:val="22"/>
        </w:rPr>
        <w:t xml:space="preserve">a divas reizes dienā ar aptuveni 12 stundas ilgiem starplaikiem. </w:t>
      </w:r>
    </w:p>
    <w:p w14:paraId="4B119CCB" w14:textId="77777777" w:rsidR="003765C7" w:rsidRPr="003C4FBE" w:rsidRDefault="003765C7" w:rsidP="00B109A8">
      <w:pPr>
        <w:pStyle w:val="Default"/>
        <w:rPr>
          <w:sz w:val="22"/>
          <w:szCs w:val="22"/>
        </w:rPr>
      </w:pPr>
      <w:r w:rsidRPr="003C4FBE">
        <w:rPr>
          <w:sz w:val="22"/>
          <w:szCs w:val="22"/>
        </w:rPr>
        <w:t xml:space="preserve">Var izrādīties efektīva devas pakāpeniska samazināšana līdz 200 mg </w:t>
      </w:r>
      <w:r w:rsidR="0021531E" w:rsidRPr="003C4FBE">
        <w:rPr>
          <w:sz w:val="22"/>
          <w:szCs w:val="22"/>
        </w:rPr>
        <w:t>aciklovīr</w:t>
      </w:r>
      <w:r w:rsidRPr="003C4FBE">
        <w:rPr>
          <w:sz w:val="22"/>
          <w:szCs w:val="22"/>
        </w:rPr>
        <w:t xml:space="preserve">a trīs reizes dienā ar aptuveni 8 stundas ilgiem starplaikiem vai pat divas reizes dienā ar aptuveni 12 stundas ilgiem starplaikiem. </w:t>
      </w:r>
    </w:p>
    <w:p w14:paraId="7DB90596" w14:textId="77777777" w:rsidR="003765C7" w:rsidRPr="003C4FBE" w:rsidRDefault="003765C7" w:rsidP="00B109A8">
      <w:pPr>
        <w:pStyle w:val="Default"/>
        <w:rPr>
          <w:sz w:val="22"/>
          <w:szCs w:val="22"/>
        </w:rPr>
      </w:pPr>
      <w:r w:rsidRPr="003C4FBE">
        <w:rPr>
          <w:sz w:val="22"/>
          <w:szCs w:val="22"/>
        </w:rPr>
        <w:t xml:space="preserve">Dažiem pacientiem, kuriem ordinētā kopējā dienas deva ir 800 mg </w:t>
      </w:r>
      <w:r w:rsidR="0021531E" w:rsidRPr="003C4FBE">
        <w:rPr>
          <w:sz w:val="22"/>
          <w:szCs w:val="22"/>
        </w:rPr>
        <w:t>aciklovīr</w:t>
      </w:r>
      <w:r w:rsidRPr="003C4FBE">
        <w:rPr>
          <w:sz w:val="22"/>
          <w:szCs w:val="22"/>
        </w:rPr>
        <w:t xml:space="preserve">a, var rasties infekcijas uzliesmojums. </w:t>
      </w:r>
    </w:p>
    <w:p w14:paraId="3E1856A2" w14:textId="77777777" w:rsidR="003765C7" w:rsidRPr="003C4FBE" w:rsidRDefault="003765C7" w:rsidP="00B109A8">
      <w:pPr>
        <w:pStyle w:val="Default"/>
        <w:rPr>
          <w:sz w:val="22"/>
          <w:szCs w:val="22"/>
        </w:rPr>
      </w:pPr>
      <w:r w:rsidRPr="003C4FBE">
        <w:rPr>
          <w:sz w:val="22"/>
          <w:szCs w:val="22"/>
        </w:rPr>
        <w:t xml:space="preserve">Lai novērotu iespējamās slimības dabīgās gaitas izmaiņas, terapija periodiski, ar 6 - 12 mēnešu ilgiem intervāliem, ir jāpārtrauc. </w:t>
      </w:r>
    </w:p>
    <w:p w14:paraId="46C06A87" w14:textId="77777777" w:rsidR="003765C7" w:rsidRPr="003C4FBE" w:rsidRDefault="003765C7" w:rsidP="00B109A8">
      <w:pPr>
        <w:pStyle w:val="Default"/>
        <w:rPr>
          <w:i/>
          <w:iCs/>
          <w:sz w:val="22"/>
          <w:szCs w:val="22"/>
          <w:u w:val="single"/>
        </w:rPr>
      </w:pPr>
    </w:p>
    <w:p w14:paraId="5EC3A98A" w14:textId="77777777" w:rsidR="003765C7" w:rsidRPr="003C4FBE" w:rsidRDefault="003765C7" w:rsidP="00B109A8">
      <w:pPr>
        <w:pStyle w:val="Default"/>
        <w:rPr>
          <w:sz w:val="22"/>
          <w:szCs w:val="22"/>
        </w:rPr>
      </w:pPr>
      <w:r w:rsidRPr="003C4FBE">
        <w:rPr>
          <w:i/>
          <w:iCs/>
          <w:sz w:val="22"/>
          <w:szCs w:val="22"/>
          <w:u w:val="single"/>
        </w:rPr>
        <w:t xml:space="preserve">Herpes simplex </w:t>
      </w:r>
      <w:r w:rsidRPr="003C4FBE">
        <w:rPr>
          <w:sz w:val="22"/>
          <w:szCs w:val="22"/>
          <w:u w:val="single"/>
        </w:rPr>
        <w:t xml:space="preserve">infekciju profilakse pacientiem ar imūnās sistēmas darbības traucējumiem: </w:t>
      </w:r>
      <w:r w:rsidRPr="003C4FBE">
        <w:rPr>
          <w:sz w:val="22"/>
          <w:szCs w:val="22"/>
        </w:rPr>
        <w:t xml:space="preserve">jālieto 200 mg </w:t>
      </w:r>
      <w:r w:rsidR="0021531E" w:rsidRPr="003C4FBE">
        <w:rPr>
          <w:sz w:val="22"/>
          <w:szCs w:val="22"/>
        </w:rPr>
        <w:t>aciklovīr</w:t>
      </w:r>
      <w:r w:rsidRPr="003C4FBE">
        <w:rPr>
          <w:sz w:val="22"/>
          <w:szCs w:val="22"/>
        </w:rPr>
        <w:t xml:space="preserve">a četras reizes dienā ar aptuveni sešu stundu starplaiku. Pacientiem ar smagiem imūnās sistēmas darbības traucējumiem (piemēram, pēc kaulu smadzeņu transplantācijas) vai pacientiem ar traucētu absorbciju no zarnām devu var dubultot līdz 400 mg </w:t>
      </w:r>
      <w:r w:rsidR="0021531E" w:rsidRPr="003C4FBE">
        <w:rPr>
          <w:sz w:val="22"/>
          <w:szCs w:val="22"/>
        </w:rPr>
        <w:t>aciklovīr</w:t>
      </w:r>
      <w:r w:rsidRPr="003C4FBE">
        <w:rPr>
          <w:sz w:val="22"/>
          <w:szCs w:val="22"/>
        </w:rPr>
        <w:t xml:space="preserve">a. </w:t>
      </w:r>
    </w:p>
    <w:p w14:paraId="134BED93" w14:textId="77777777" w:rsidR="003765C7" w:rsidRPr="003C4FBE" w:rsidRDefault="003765C7" w:rsidP="00B109A8">
      <w:pPr>
        <w:pStyle w:val="Default"/>
        <w:rPr>
          <w:sz w:val="22"/>
          <w:szCs w:val="22"/>
        </w:rPr>
      </w:pPr>
      <w:r w:rsidRPr="003C4FBE">
        <w:rPr>
          <w:sz w:val="22"/>
          <w:szCs w:val="22"/>
        </w:rPr>
        <w:t xml:space="preserve">Zāļu profilaktiskās lietošanas ilgumu nosaka riska perioda ilgums. </w:t>
      </w:r>
    </w:p>
    <w:p w14:paraId="62E5DD18" w14:textId="77777777" w:rsidR="003765C7" w:rsidRPr="003C4FBE" w:rsidRDefault="003765C7" w:rsidP="00B109A8">
      <w:pPr>
        <w:pStyle w:val="Default"/>
        <w:rPr>
          <w:sz w:val="22"/>
          <w:szCs w:val="22"/>
          <w:u w:val="single"/>
        </w:rPr>
      </w:pPr>
    </w:p>
    <w:p w14:paraId="275FC081" w14:textId="77777777" w:rsidR="003765C7" w:rsidRPr="003C4FBE" w:rsidRDefault="003765C7" w:rsidP="00B109A8">
      <w:pPr>
        <w:pStyle w:val="Default"/>
        <w:rPr>
          <w:sz w:val="22"/>
          <w:szCs w:val="22"/>
        </w:rPr>
      </w:pPr>
      <w:r w:rsidRPr="003C4FBE">
        <w:rPr>
          <w:sz w:val="22"/>
          <w:szCs w:val="22"/>
          <w:u w:val="single"/>
        </w:rPr>
        <w:t xml:space="preserve">Vējbaku un </w:t>
      </w:r>
      <w:r w:rsidRPr="003C4FBE">
        <w:rPr>
          <w:i/>
          <w:iCs/>
          <w:sz w:val="22"/>
          <w:szCs w:val="22"/>
          <w:u w:val="single"/>
        </w:rPr>
        <w:t xml:space="preserve">herpes zoster </w:t>
      </w:r>
      <w:r w:rsidRPr="003C4FBE">
        <w:rPr>
          <w:sz w:val="22"/>
          <w:szCs w:val="22"/>
          <w:u w:val="single"/>
        </w:rPr>
        <w:t>infekciju terapija</w:t>
      </w:r>
      <w:r w:rsidRPr="003C4FBE">
        <w:rPr>
          <w:sz w:val="22"/>
          <w:szCs w:val="22"/>
        </w:rPr>
        <w:t xml:space="preserve">: jālieto 800 mg </w:t>
      </w:r>
      <w:r w:rsidR="0021531E" w:rsidRPr="003C4FBE">
        <w:rPr>
          <w:sz w:val="22"/>
          <w:szCs w:val="22"/>
        </w:rPr>
        <w:t>aciklovīr</w:t>
      </w:r>
      <w:r w:rsidRPr="003C4FBE">
        <w:rPr>
          <w:sz w:val="22"/>
          <w:szCs w:val="22"/>
        </w:rPr>
        <w:t xml:space="preserve">a piecas reizes dienā aptuveni ar četru stundu starplaiku, izlaižot nakts devu. Terapija jāturpina 7 dienas. </w:t>
      </w:r>
    </w:p>
    <w:p w14:paraId="1F68E616" w14:textId="77777777" w:rsidR="003765C7" w:rsidRPr="003C4FBE" w:rsidRDefault="003765C7" w:rsidP="00B109A8">
      <w:pPr>
        <w:pStyle w:val="Default"/>
        <w:rPr>
          <w:sz w:val="22"/>
          <w:szCs w:val="22"/>
        </w:rPr>
      </w:pPr>
      <w:r w:rsidRPr="003C4FBE">
        <w:rPr>
          <w:sz w:val="22"/>
          <w:szCs w:val="22"/>
        </w:rPr>
        <w:t xml:space="preserve">Zāļu lietošana pēc infekcijas sākuma ir jāuzsāk pēc iespējas ātrāk: vislabākos </w:t>
      </w:r>
      <w:r w:rsidRPr="003C4FBE">
        <w:rPr>
          <w:i/>
          <w:iCs/>
          <w:sz w:val="22"/>
          <w:szCs w:val="22"/>
        </w:rPr>
        <w:t xml:space="preserve">herpes zoster </w:t>
      </w:r>
      <w:r w:rsidRPr="003C4FBE">
        <w:rPr>
          <w:sz w:val="22"/>
          <w:szCs w:val="22"/>
        </w:rPr>
        <w:t xml:space="preserve">ārstēšanas rezultātus panāk tad, ja terapija ir sākta iespējami drīz pēc izsitumu parādīšanās. Pacientiem ar imūnās sistēmas darbības traucējumiem vējbaku terapija ir jāuzsāk 24 stundu laikā pēc izsitumu parādīšanās. </w:t>
      </w:r>
    </w:p>
    <w:p w14:paraId="164FAFF0" w14:textId="77777777" w:rsidR="003765C7" w:rsidRPr="003C4FBE" w:rsidRDefault="003765C7" w:rsidP="00B109A8">
      <w:pPr>
        <w:pStyle w:val="Default"/>
        <w:rPr>
          <w:b/>
          <w:bCs/>
          <w:sz w:val="22"/>
          <w:szCs w:val="22"/>
        </w:rPr>
      </w:pPr>
    </w:p>
    <w:p w14:paraId="0A1D4AC8" w14:textId="77777777" w:rsidR="003765C7" w:rsidRPr="003C4FBE" w:rsidRDefault="003765C7" w:rsidP="00B109A8">
      <w:pPr>
        <w:pStyle w:val="Default"/>
        <w:rPr>
          <w:sz w:val="22"/>
          <w:szCs w:val="22"/>
        </w:rPr>
      </w:pPr>
      <w:r w:rsidRPr="003C4FBE">
        <w:rPr>
          <w:b/>
          <w:bCs/>
          <w:sz w:val="22"/>
          <w:szCs w:val="22"/>
        </w:rPr>
        <w:t xml:space="preserve">Devas bērniem </w:t>
      </w:r>
    </w:p>
    <w:p w14:paraId="20CA7DCD" w14:textId="77777777" w:rsidR="003765C7" w:rsidRPr="003C4FBE" w:rsidRDefault="003765C7" w:rsidP="00B109A8">
      <w:pPr>
        <w:pStyle w:val="Default"/>
        <w:rPr>
          <w:sz w:val="22"/>
          <w:szCs w:val="22"/>
          <w:u w:val="single"/>
        </w:rPr>
      </w:pPr>
      <w:r w:rsidRPr="003C4FBE">
        <w:rPr>
          <w:i/>
          <w:iCs/>
          <w:sz w:val="22"/>
          <w:szCs w:val="22"/>
          <w:u w:val="single"/>
        </w:rPr>
        <w:t xml:space="preserve">Herpes simplex </w:t>
      </w:r>
      <w:r w:rsidRPr="003C4FBE">
        <w:rPr>
          <w:sz w:val="22"/>
          <w:szCs w:val="22"/>
          <w:u w:val="single"/>
        </w:rPr>
        <w:t xml:space="preserve">infekciju terapija un </w:t>
      </w:r>
      <w:r w:rsidRPr="003C4FBE">
        <w:rPr>
          <w:i/>
          <w:iCs/>
          <w:sz w:val="22"/>
          <w:szCs w:val="22"/>
          <w:u w:val="single"/>
        </w:rPr>
        <w:t xml:space="preserve">herpes simplex </w:t>
      </w:r>
      <w:r w:rsidRPr="003C4FBE">
        <w:rPr>
          <w:sz w:val="22"/>
          <w:szCs w:val="22"/>
          <w:u w:val="single"/>
        </w:rPr>
        <w:t>infekciju profilakse bērniem ar imūnās sistēmas darbības traucējumiem:</w:t>
      </w:r>
    </w:p>
    <w:p w14:paraId="1348DC38" w14:textId="77777777" w:rsidR="003765C7" w:rsidRPr="003C4FBE" w:rsidRDefault="00C612C7" w:rsidP="00B109A8">
      <w:pPr>
        <w:pStyle w:val="Default"/>
        <w:rPr>
          <w:sz w:val="22"/>
          <w:szCs w:val="22"/>
        </w:rPr>
      </w:pPr>
      <w:r w:rsidRPr="003C4FBE">
        <w:rPr>
          <w:sz w:val="22"/>
          <w:szCs w:val="22"/>
        </w:rPr>
        <w:t>B</w:t>
      </w:r>
      <w:r w:rsidR="003765C7" w:rsidRPr="003C4FBE">
        <w:rPr>
          <w:sz w:val="22"/>
          <w:szCs w:val="22"/>
        </w:rPr>
        <w:t>ērniem, sākot ar 2 gadu vecumu, ir jāordinē pieaugušajiem paredzētās devas. Bērniem līdz 2 gadu vecumam ir jāordinē puse no pieaugušajiem paredzētās devas</w:t>
      </w:r>
      <w:r w:rsidRPr="003C4FBE">
        <w:rPr>
          <w:sz w:val="22"/>
          <w:szCs w:val="22"/>
        </w:rPr>
        <w:t>.</w:t>
      </w:r>
    </w:p>
    <w:tbl>
      <w:tblPr>
        <w:tblW w:w="0" w:type="auto"/>
        <w:tblLayout w:type="fixed"/>
        <w:tblLook w:val="0000" w:firstRow="0" w:lastRow="0" w:firstColumn="0" w:lastColumn="0" w:noHBand="0" w:noVBand="0"/>
      </w:tblPr>
      <w:tblGrid>
        <w:gridCol w:w="2970"/>
        <w:gridCol w:w="3942"/>
      </w:tblGrid>
      <w:tr w:rsidR="003765C7" w:rsidRPr="003C4FBE" w14:paraId="4B52D69E" w14:textId="77777777">
        <w:trPr>
          <w:trHeight w:val="271"/>
        </w:trPr>
        <w:tc>
          <w:tcPr>
            <w:tcW w:w="2970" w:type="dxa"/>
          </w:tcPr>
          <w:p w14:paraId="6D351367" w14:textId="77777777" w:rsidR="003765C7" w:rsidRPr="003C4FBE" w:rsidRDefault="003765C7" w:rsidP="00B109A8">
            <w:pPr>
              <w:pStyle w:val="Default"/>
              <w:rPr>
                <w:color w:val="auto"/>
                <w:sz w:val="22"/>
                <w:szCs w:val="22"/>
                <w:u w:val="single"/>
              </w:rPr>
            </w:pPr>
          </w:p>
          <w:p w14:paraId="28364610" w14:textId="77777777" w:rsidR="003765C7" w:rsidRPr="003C4FBE" w:rsidRDefault="003765C7" w:rsidP="00B109A8">
            <w:pPr>
              <w:pStyle w:val="Default"/>
              <w:rPr>
                <w:color w:val="auto"/>
                <w:sz w:val="22"/>
                <w:szCs w:val="22"/>
                <w:u w:val="single"/>
              </w:rPr>
            </w:pPr>
            <w:r w:rsidRPr="003C4FBE">
              <w:rPr>
                <w:color w:val="auto"/>
                <w:sz w:val="22"/>
                <w:szCs w:val="22"/>
                <w:u w:val="single"/>
              </w:rPr>
              <w:t>Vējbaku infekcijas terapija</w:t>
            </w:r>
          </w:p>
          <w:p w14:paraId="452AA02A" w14:textId="77777777" w:rsidR="003765C7" w:rsidRPr="003C4FBE" w:rsidRDefault="003765C7" w:rsidP="00B109A8">
            <w:pPr>
              <w:pStyle w:val="Default"/>
              <w:rPr>
                <w:sz w:val="22"/>
                <w:szCs w:val="22"/>
              </w:rPr>
            </w:pPr>
            <w:r w:rsidRPr="003C4FBE">
              <w:rPr>
                <w:sz w:val="22"/>
                <w:szCs w:val="22"/>
              </w:rPr>
              <w:t xml:space="preserve">6 gadus veciem un vecākiem bērniem: </w:t>
            </w:r>
          </w:p>
        </w:tc>
        <w:tc>
          <w:tcPr>
            <w:tcW w:w="3942" w:type="dxa"/>
          </w:tcPr>
          <w:p w14:paraId="0F4F489F" w14:textId="77777777" w:rsidR="003765C7" w:rsidRPr="003C4FBE" w:rsidRDefault="003765C7" w:rsidP="00B109A8">
            <w:pPr>
              <w:pStyle w:val="Default"/>
              <w:rPr>
                <w:sz w:val="22"/>
                <w:szCs w:val="22"/>
              </w:rPr>
            </w:pPr>
          </w:p>
          <w:p w14:paraId="6FA1BBAC" w14:textId="77777777" w:rsidR="003765C7" w:rsidRPr="003C4FBE" w:rsidRDefault="003765C7" w:rsidP="00B109A8">
            <w:pPr>
              <w:pStyle w:val="Default"/>
              <w:rPr>
                <w:sz w:val="22"/>
                <w:szCs w:val="22"/>
              </w:rPr>
            </w:pPr>
          </w:p>
          <w:p w14:paraId="2AA9B35E" w14:textId="77777777" w:rsidR="003765C7" w:rsidRPr="003C4FBE" w:rsidRDefault="003765C7" w:rsidP="00B109A8">
            <w:pPr>
              <w:pStyle w:val="Default"/>
              <w:rPr>
                <w:sz w:val="22"/>
                <w:szCs w:val="22"/>
              </w:rPr>
            </w:pPr>
            <w:r w:rsidRPr="003C4FBE">
              <w:rPr>
                <w:sz w:val="22"/>
                <w:szCs w:val="22"/>
              </w:rPr>
              <w:t xml:space="preserve">800 mg </w:t>
            </w:r>
            <w:r w:rsidR="0021531E" w:rsidRPr="003C4FBE">
              <w:rPr>
                <w:sz w:val="22"/>
                <w:szCs w:val="22"/>
              </w:rPr>
              <w:t>aciklovīr</w:t>
            </w:r>
            <w:r w:rsidRPr="003C4FBE">
              <w:rPr>
                <w:sz w:val="22"/>
                <w:szCs w:val="22"/>
              </w:rPr>
              <w:t xml:space="preserve">a 4 reizes dienā. </w:t>
            </w:r>
          </w:p>
        </w:tc>
      </w:tr>
      <w:tr w:rsidR="003765C7" w:rsidRPr="003C4FBE" w14:paraId="76F181B7" w14:textId="77777777">
        <w:trPr>
          <w:trHeight w:val="145"/>
        </w:trPr>
        <w:tc>
          <w:tcPr>
            <w:tcW w:w="2970" w:type="dxa"/>
          </w:tcPr>
          <w:p w14:paraId="44005173" w14:textId="77777777" w:rsidR="003765C7" w:rsidRPr="003C4FBE" w:rsidRDefault="003765C7" w:rsidP="00B109A8">
            <w:pPr>
              <w:pStyle w:val="Default"/>
              <w:rPr>
                <w:sz w:val="22"/>
                <w:szCs w:val="22"/>
              </w:rPr>
            </w:pPr>
          </w:p>
          <w:p w14:paraId="5B4191C0" w14:textId="77777777" w:rsidR="003765C7" w:rsidRPr="003C4FBE" w:rsidRDefault="003765C7" w:rsidP="00B109A8">
            <w:pPr>
              <w:pStyle w:val="Default"/>
              <w:rPr>
                <w:sz w:val="22"/>
                <w:szCs w:val="22"/>
              </w:rPr>
            </w:pPr>
            <w:r w:rsidRPr="003C4FBE">
              <w:rPr>
                <w:sz w:val="22"/>
                <w:szCs w:val="22"/>
              </w:rPr>
              <w:t xml:space="preserve">2 - 5 gadus veciem bērniem: </w:t>
            </w:r>
          </w:p>
        </w:tc>
        <w:tc>
          <w:tcPr>
            <w:tcW w:w="3942" w:type="dxa"/>
          </w:tcPr>
          <w:p w14:paraId="7D815EF1" w14:textId="77777777" w:rsidR="003765C7" w:rsidRPr="003C4FBE" w:rsidRDefault="003765C7" w:rsidP="00B109A8">
            <w:pPr>
              <w:pStyle w:val="Default"/>
              <w:rPr>
                <w:sz w:val="22"/>
                <w:szCs w:val="22"/>
              </w:rPr>
            </w:pPr>
          </w:p>
          <w:p w14:paraId="67244ED7" w14:textId="77777777" w:rsidR="003765C7" w:rsidRPr="003C4FBE" w:rsidRDefault="003765C7" w:rsidP="00B109A8">
            <w:pPr>
              <w:pStyle w:val="Default"/>
              <w:rPr>
                <w:sz w:val="22"/>
                <w:szCs w:val="22"/>
              </w:rPr>
            </w:pPr>
            <w:r w:rsidRPr="003C4FBE">
              <w:rPr>
                <w:sz w:val="22"/>
                <w:szCs w:val="22"/>
              </w:rPr>
              <w:t xml:space="preserve">400 mg </w:t>
            </w:r>
            <w:r w:rsidR="0021531E" w:rsidRPr="003C4FBE">
              <w:rPr>
                <w:sz w:val="22"/>
                <w:szCs w:val="22"/>
              </w:rPr>
              <w:t>aciklovīr</w:t>
            </w:r>
            <w:r w:rsidRPr="003C4FBE">
              <w:rPr>
                <w:sz w:val="22"/>
                <w:szCs w:val="22"/>
              </w:rPr>
              <w:t xml:space="preserve">a 4 reizes dienā. </w:t>
            </w:r>
          </w:p>
        </w:tc>
      </w:tr>
      <w:tr w:rsidR="003765C7" w:rsidRPr="003C4FBE" w14:paraId="2BAD7044" w14:textId="77777777">
        <w:trPr>
          <w:trHeight w:val="145"/>
        </w:trPr>
        <w:tc>
          <w:tcPr>
            <w:tcW w:w="2970" w:type="dxa"/>
          </w:tcPr>
          <w:p w14:paraId="2A0A5419" w14:textId="77777777" w:rsidR="003765C7" w:rsidRPr="003C4FBE" w:rsidRDefault="003765C7" w:rsidP="00B109A8">
            <w:pPr>
              <w:pStyle w:val="Default"/>
              <w:rPr>
                <w:sz w:val="22"/>
                <w:szCs w:val="22"/>
              </w:rPr>
            </w:pPr>
          </w:p>
          <w:p w14:paraId="69491E6B" w14:textId="77777777" w:rsidR="003765C7" w:rsidRPr="003C4FBE" w:rsidRDefault="003765C7" w:rsidP="00B109A8">
            <w:pPr>
              <w:pStyle w:val="Default"/>
              <w:rPr>
                <w:sz w:val="22"/>
                <w:szCs w:val="22"/>
              </w:rPr>
            </w:pPr>
            <w:r w:rsidRPr="003C4FBE">
              <w:rPr>
                <w:sz w:val="22"/>
                <w:szCs w:val="22"/>
              </w:rPr>
              <w:t xml:space="preserve">Līdz 2 gadus veciem bērniem: </w:t>
            </w:r>
          </w:p>
        </w:tc>
        <w:tc>
          <w:tcPr>
            <w:tcW w:w="3942" w:type="dxa"/>
          </w:tcPr>
          <w:p w14:paraId="3520D8D2" w14:textId="77777777" w:rsidR="003765C7" w:rsidRPr="003C4FBE" w:rsidRDefault="003765C7" w:rsidP="00B109A8">
            <w:pPr>
              <w:pStyle w:val="Default"/>
              <w:rPr>
                <w:sz w:val="22"/>
                <w:szCs w:val="22"/>
              </w:rPr>
            </w:pPr>
          </w:p>
          <w:p w14:paraId="482AC3FC" w14:textId="77777777" w:rsidR="003765C7" w:rsidRPr="003C4FBE" w:rsidRDefault="003765C7" w:rsidP="00B109A8">
            <w:pPr>
              <w:pStyle w:val="Default"/>
              <w:rPr>
                <w:sz w:val="22"/>
                <w:szCs w:val="22"/>
              </w:rPr>
            </w:pPr>
            <w:r w:rsidRPr="003C4FBE">
              <w:rPr>
                <w:sz w:val="22"/>
                <w:szCs w:val="22"/>
              </w:rPr>
              <w:t xml:space="preserve">200 mg </w:t>
            </w:r>
            <w:r w:rsidR="0021531E" w:rsidRPr="003C4FBE">
              <w:rPr>
                <w:sz w:val="22"/>
                <w:szCs w:val="22"/>
              </w:rPr>
              <w:t>aciklovīr</w:t>
            </w:r>
            <w:r w:rsidRPr="003C4FBE">
              <w:rPr>
                <w:sz w:val="22"/>
                <w:szCs w:val="22"/>
              </w:rPr>
              <w:t xml:space="preserve">a 4 reizes dienā. </w:t>
            </w:r>
          </w:p>
        </w:tc>
      </w:tr>
    </w:tbl>
    <w:p w14:paraId="37B8B2C0" w14:textId="77777777" w:rsidR="003765C7" w:rsidRPr="003C4FBE" w:rsidRDefault="003765C7" w:rsidP="00B109A8">
      <w:pPr>
        <w:pStyle w:val="Default"/>
        <w:rPr>
          <w:sz w:val="22"/>
          <w:szCs w:val="22"/>
        </w:rPr>
      </w:pPr>
    </w:p>
    <w:p w14:paraId="43AE459E" w14:textId="77777777" w:rsidR="003765C7" w:rsidRPr="003C4FBE" w:rsidRDefault="003765C7" w:rsidP="00B109A8">
      <w:pPr>
        <w:pStyle w:val="Default"/>
        <w:rPr>
          <w:sz w:val="22"/>
          <w:szCs w:val="22"/>
        </w:rPr>
      </w:pPr>
      <w:r w:rsidRPr="003C4FBE">
        <w:rPr>
          <w:sz w:val="22"/>
          <w:szCs w:val="22"/>
        </w:rPr>
        <w:t xml:space="preserve">Terapija jāturpina 5 dienas. </w:t>
      </w:r>
    </w:p>
    <w:p w14:paraId="0FB19E63" w14:textId="77777777" w:rsidR="003765C7" w:rsidRPr="003C4FBE" w:rsidRDefault="003765C7" w:rsidP="00B109A8">
      <w:pPr>
        <w:pStyle w:val="Default"/>
        <w:rPr>
          <w:sz w:val="22"/>
          <w:szCs w:val="22"/>
        </w:rPr>
      </w:pPr>
      <w:r w:rsidRPr="003C4FBE">
        <w:rPr>
          <w:sz w:val="22"/>
          <w:szCs w:val="22"/>
        </w:rPr>
        <w:t xml:space="preserve">Precīzāk devas lielumu var aprēķināt, ņemot vērā, ka </w:t>
      </w:r>
      <w:r w:rsidR="0021531E" w:rsidRPr="003C4FBE">
        <w:rPr>
          <w:sz w:val="22"/>
          <w:szCs w:val="22"/>
        </w:rPr>
        <w:t>aciklovīr</w:t>
      </w:r>
      <w:r w:rsidRPr="003C4FBE">
        <w:rPr>
          <w:sz w:val="22"/>
          <w:szCs w:val="22"/>
        </w:rPr>
        <w:t>s ir jālieto devā 20 mg/kg ķermeņa masas 4 reizes dienā, nepārsniedzot 800 mg dienā.</w:t>
      </w:r>
    </w:p>
    <w:p w14:paraId="2C15E33B" w14:textId="77777777" w:rsidR="003765C7" w:rsidRPr="003C4FBE" w:rsidRDefault="003765C7" w:rsidP="00B109A8">
      <w:pPr>
        <w:pStyle w:val="Default"/>
        <w:rPr>
          <w:sz w:val="22"/>
          <w:szCs w:val="22"/>
        </w:rPr>
      </w:pPr>
      <w:r w:rsidRPr="003C4FBE">
        <w:rPr>
          <w:sz w:val="22"/>
          <w:szCs w:val="22"/>
        </w:rPr>
        <w:t xml:space="preserve">Konkrēti dati par </w:t>
      </w:r>
      <w:r w:rsidRPr="003C4FBE">
        <w:rPr>
          <w:i/>
          <w:iCs/>
          <w:sz w:val="22"/>
          <w:szCs w:val="22"/>
        </w:rPr>
        <w:t xml:space="preserve">herpes simplex </w:t>
      </w:r>
      <w:r w:rsidRPr="003C4FBE">
        <w:rPr>
          <w:sz w:val="22"/>
          <w:szCs w:val="22"/>
        </w:rPr>
        <w:t xml:space="preserve">infekciju nomākšanu vai </w:t>
      </w:r>
      <w:r w:rsidRPr="003C4FBE">
        <w:rPr>
          <w:i/>
          <w:iCs/>
          <w:sz w:val="22"/>
          <w:szCs w:val="22"/>
        </w:rPr>
        <w:t xml:space="preserve">herpes zoster </w:t>
      </w:r>
      <w:r w:rsidRPr="003C4FBE">
        <w:rPr>
          <w:sz w:val="22"/>
          <w:szCs w:val="22"/>
        </w:rPr>
        <w:t xml:space="preserve">ārstēšanu bērniem ar normālu imūnās sistēmas darbību nav pieejami. </w:t>
      </w:r>
    </w:p>
    <w:p w14:paraId="5EBB08CD" w14:textId="77777777" w:rsidR="003765C7" w:rsidRPr="003C4FBE" w:rsidRDefault="003765C7" w:rsidP="00B109A8">
      <w:pPr>
        <w:pStyle w:val="Default"/>
        <w:rPr>
          <w:b/>
          <w:bCs/>
          <w:sz w:val="22"/>
          <w:szCs w:val="22"/>
        </w:rPr>
      </w:pPr>
    </w:p>
    <w:p w14:paraId="484D8D6B" w14:textId="77777777" w:rsidR="003765C7" w:rsidRPr="003C4FBE" w:rsidRDefault="003765C7" w:rsidP="00B109A8">
      <w:pPr>
        <w:pStyle w:val="Default"/>
        <w:rPr>
          <w:sz w:val="22"/>
          <w:szCs w:val="22"/>
        </w:rPr>
      </w:pPr>
      <w:r w:rsidRPr="003C4FBE">
        <w:rPr>
          <w:b/>
          <w:bCs/>
          <w:sz w:val="22"/>
          <w:szCs w:val="22"/>
        </w:rPr>
        <w:t xml:space="preserve">Devas gados vecākiem pacientiem </w:t>
      </w:r>
    </w:p>
    <w:p w14:paraId="62371FC1" w14:textId="77777777" w:rsidR="003765C7" w:rsidRPr="003C4FBE" w:rsidRDefault="003765C7" w:rsidP="00B109A8">
      <w:pPr>
        <w:pStyle w:val="Default"/>
        <w:rPr>
          <w:sz w:val="22"/>
          <w:szCs w:val="22"/>
        </w:rPr>
      </w:pPr>
      <w:r w:rsidRPr="003C4FBE">
        <w:rPr>
          <w:sz w:val="22"/>
          <w:szCs w:val="22"/>
        </w:rPr>
        <w:t>Jāņem vērā, ka gados vecākiem pacientiem ir iespējami nieru darbības traucējumi, tādēļ atbilstoši jāpielāgo deva (skatīt tālāk “Devas pacientiem ar nieru darbības traucējumiem”).</w:t>
      </w:r>
    </w:p>
    <w:p w14:paraId="77CA1FCD" w14:textId="77777777" w:rsidR="003765C7" w:rsidRPr="003C4FBE" w:rsidRDefault="003765C7" w:rsidP="00B109A8">
      <w:pPr>
        <w:pStyle w:val="Default"/>
        <w:rPr>
          <w:sz w:val="22"/>
          <w:szCs w:val="22"/>
        </w:rPr>
      </w:pPr>
      <w:r w:rsidRPr="003C4FBE">
        <w:rPr>
          <w:sz w:val="22"/>
          <w:szCs w:val="22"/>
        </w:rPr>
        <w:t xml:space="preserve">Gados vecākiem pacientiem, kuri iekšķīgi lieto lielas </w:t>
      </w:r>
      <w:r w:rsidR="0021531E" w:rsidRPr="003C4FBE">
        <w:rPr>
          <w:sz w:val="22"/>
          <w:szCs w:val="22"/>
        </w:rPr>
        <w:t>aciklovīr</w:t>
      </w:r>
      <w:r w:rsidRPr="003C4FBE">
        <w:rPr>
          <w:sz w:val="22"/>
          <w:szCs w:val="22"/>
        </w:rPr>
        <w:t xml:space="preserve">a devas, jānodrošina pietiekama organisma hidratācija. </w:t>
      </w:r>
    </w:p>
    <w:p w14:paraId="203302DF" w14:textId="77777777" w:rsidR="003765C7" w:rsidRPr="003C4FBE" w:rsidRDefault="003765C7" w:rsidP="00B109A8">
      <w:pPr>
        <w:pStyle w:val="Default"/>
        <w:rPr>
          <w:b/>
          <w:bCs/>
          <w:sz w:val="22"/>
          <w:szCs w:val="22"/>
        </w:rPr>
      </w:pPr>
    </w:p>
    <w:p w14:paraId="6001E12D" w14:textId="77777777" w:rsidR="003765C7" w:rsidRPr="003C4FBE" w:rsidRDefault="003765C7" w:rsidP="00B109A8">
      <w:pPr>
        <w:spacing w:after="0" w:line="240" w:lineRule="auto"/>
        <w:rPr>
          <w:rFonts w:ascii="Times New Roman" w:hAnsi="Times New Roman"/>
          <w:b/>
        </w:rPr>
      </w:pPr>
      <w:r w:rsidRPr="003C4FBE">
        <w:rPr>
          <w:rFonts w:ascii="Times New Roman" w:hAnsi="Times New Roman"/>
          <w:b/>
        </w:rPr>
        <w:t>Devas pacientiem ar nieru darbības traucējumiem</w:t>
      </w:r>
    </w:p>
    <w:p w14:paraId="43287615" w14:textId="77777777" w:rsidR="003765C7" w:rsidRPr="003C4FBE" w:rsidRDefault="003765C7" w:rsidP="00B109A8">
      <w:pPr>
        <w:spacing w:after="0" w:line="240" w:lineRule="auto"/>
        <w:rPr>
          <w:rFonts w:ascii="Times New Roman" w:hAnsi="Times New Roman"/>
        </w:rPr>
      </w:pPr>
      <w:r w:rsidRPr="003C4FBE">
        <w:rPr>
          <w:rFonts w:ascii="Times New Roman" w:hAnsi="Times New Roman"/>
        </w:rPr>
        <w:t xml:space="preserve">Ordinējot </w:t>
      </w:r>
      <w:r w:rsidR="0021531E" w:rsidRPr="003C4FBE">
        <w:rPr>
          <w:rFonts w:ascii="Times New Roman" w:hAnsi="Times New Roman"/>
        </w:rPr>
        <w:t>aciklovīr</w:t>
      </w:r>
      <w:r w:rsidRPr="003C4FBE">
        <w:rPr>
          <w:rFonts w:ascii="Times New Roman" w:hAnsi="Times New Roman"/>
        </w:rPr>
        <w:t xml:space="preserve">u pacientiem ar nieru darbības traucējumiem, ieteicams ievērot piesardzību. </w:t>
      </w:r>
    </w:p>
    <w:p w14:paraId="0246CB57" w14:textId="77777777" w:rsidR="003765C7" w:rsidRPr="003C4FBE" w:rsidRDefault="003765C7" w:rsidP="00B109A8">
      <w:pPr>
        <w:pStyle w:val="Default"/>
        <w:rPr>
          <w:b/>
          <w:bCs/>
          <w:sz w:val="22"/>
          <w:szCs w:val="22"/>
        </w:rPr>
      </w:pPr>
      <w:r w:rsidRPr="003C4FBE">
        <w:rPr>
          <w:sz w:val="22"/>
          <w:szCs w:val="22"/>
        </w:rPr>
        <w:t>Organismā jāuztur pietiekama hidratācija.</w:t>
      </w:r>
    </w:p>
    <w:p w14:paraId="70F3758F" w14:textId="77777777" w:rsidR="003765C7" w:rsidRPr="003C4FBE" w:rsidRDefault="003765C7" w:rsidP="00B109A8">
      <w:pPr>
        <w:pStyle w:val="Default"/>
        <w:rPr>
          <w:b/>
          <w:bCs/>
          <w:sz w:val="22"/>
          <w:szCs w:val="22"/>
        </w:rPr>
      </w:pPr>
    </w:p>
    <w:p w14:paraId="46F1EE8E" w14:textId="77777777" w:rsidR="003765C7" w:rsidRPr="003C4FBE" w:rsidRDefault="003765C7" w:rsidP="00B109A8">
      <w:pPr>
        <w:pStyle w:val="Default"/>
        <w:rPr>
          <w:sz w:val="22"/>
          <w:szCs w:val="22"/>
        </w:rPr>
      </w:pPr>
      <w:r w:rsidRPr="003C4FBE">
        <w:rPr>
          <w:sz w:val="22"/>
          <w:szCs w:val="22"/>
        </w:rPr>
        <w:t xml:space="preserve">Ārstējot </w:t>
      </w:r>
      <w:r w:rsidRPr="003C4FBE">
        <w:rPr>
          <w:i/>
          <w:iCs/>
          <w:sz w:val="22"/>
          <w:szCs w:val="22"/>
        </w:rPr>
        <w:t xml:space="preserve">herpes simplex </w:t>
      </w:r>
      <w:r w:rsidRPr="003C4FBE">
        <w:rPr>
          <w:sz w:val="22"/>
          <w:szCs w:val="22"/>
        </w:rPr>
        <w:t xml:space="preserve">infekcijas pacientiem ar nieru darbības traucējumiem, ieteikto perorālo devu lietošana neizraisīs </w:t>
      </w:r>
      <w:r w:rsidR="0021531E" w:rsidRPr="003C4FBE">
        <w:rPr>
          <w:sz w:val="22"/>
          <w:szCs w:val="22"/>
        </w:rPr>
        <w:t>aciklovīr</w:t>
      </w:r>
      <w:r w:rsidRPr="003C4FBE">
        <w:rPr>
          <w:sz w:val="22"/>
          <w:szCs w:val="22"/>
        </w:rPr>
        <w:t>a uzkrāšanos organismā virs līmeņa, kas ir konstatēta pēc intravenozas ievades. Tomēr pacientiem ar smagiem nieru darbības traucējumiem (kreatinīna klīrenss nepārsniedz 10</w:t>
      </w:r>
      <w:r w:rsidR="00C612C7" w:rsidRPr="003C4FBE">
        <w:rPr>
          <w:sz w:val="22"/>
          <w:szCs w:val="22"/>
        </w:rPr>
        <w:t> </w:t>
      </w:r>
      <w:r w:rsidRPr="003C4FBE">
        <w:rPr>
          <w:sz w:val="22"/>
          <w:szCs w:val="22"/>
        </w:rPr>
        <w:t xml:space="preserve">ml/min.) ir ieteicams </w:t>
      </w:r>
      <w:r w:rsidR="0021531E" w:rsidRPr="003C4FBE">
        <w:rPr>
          <w:sz w:val="22"/>
          <w:szCs w:val="22"/>
        </w:rPr>
        <w:t>aciklovīr</w:t>
      </w:r>
      <w:r w:rsidRPr="003C4FBE">
        <w:rPr>
          <w:sz w:val="22"/>
          <w:szCs w:val="22"/>
        </w:rPr>
        <w:t>a devu pielāgot tā, lai tas būtu jālieto divas reizes dienā pa 200</w:t>
      </w:r>
      <w:r w:rsidR="00C612C7" w:rsidRPr="003C4FBE">
        <w:rPr>
          <w:sz w:val="22"/>
          <w:szCs w:val="22"/>
        </w:rPr>
        <w:t> </w:t>
      </w:r>
      <w:r w:rsidRPr="003C4FBE">
        <w:rPr>
          <w:sz w:val="22"/>
          <w:szCs w:val="22"/>
        </w:rPr>
        <w:t xml:space="preserve">mg ar aptuveni 12 stundu intervālu. </w:t>
      </w:r>
    </w:p>
    <w:p w14:paraId="4A5994E1" w14:textId="77777777" w:rsidR="003765C7" w:rsidRPr="003C4FBE" w:rsidRDefault="003765C7" w:rsidP="00B109A8">
      <w:pPr>
        <w:pStyle w:val="Default"/>
        <w:rPr>
          <w:sz w:val="22"/>
          <w:szCs w:val="22"/>
        </w:rPr>
      </w:pPr>
      <w:r w:rsidRPr="003C4FBE">
        <w:rPr>
          <w:sz w:val="22"/>
          <w:szCs w:val="22"/>
        </w:rPr>
        <w:t xml:space="preserve">Ārstējot </w:t>
      </w:r>
      <w:r w:rsidRPr="003C4FBE">
        <w:rPr>
          <w:i/>
          <w:iCs/>
          <w:sz w:val="22"/>
          <w:szCs w:val="22"/>
        </w:rPr>
        <w:t xml:space="preserve">herpes zoster </w:t>
      </w:r>
      <w:r w:rsidRPr="003C4FBE">
        <w:rPr>
          <w:sz w:val="22"/>
          <w:szCs w:val="22"/>
        </w:rPr>
        <w:t xml:space="preserve">infekcijas pacientiem ar smagiem nieru darbības traucējumiem (kreatinīna klīrenss ir mazāks par 10 ml/min.), ieteicams </w:t>
      </w:r>
      <w:r w:rsidR="0021531E" w:rsidRPr="003C4FBE">
        <w:rPr>
          <w:sz w:val="22"/>
          <w:szCs w:val="22"/>
        </w:rPr>
        <w:t>aciklovīr</w:t>
      </w:r>
      <w:r w:rsidRPr="003C4FBE">
        <w:rPr>
          <w:sz w:val="22"/>
          <w:szCs w:val="22"/>
        </w:rPr>
        <w:t>a devu pielāgot tā, lai tas būtu jālieto divas reizes dienā pa 800 mg ar aptuveni 12 stundu intervālu, bet pacientiem ar vidēji smagiem nieru darbības traucējumiem (kreatinīna klīrenss ir robežās no 10 līdz 25</w:t>
      </w:r>
      <w:r w:rsidR="00C612C7" w:rsidRPr="003C4FBE">
        <w:rPr>
          <w:sz w:val="22"/>
          <w:szCs w:val="22"/>
        </w:rPr>
        <w:t> </w:t>
      </w:r>
      <w:r w:rsidRPr="003C4FBE">
        <w:rPr>
          <w:sz w:val="22"/>
          <w:szCs w:val="22"/>
        </w:rPr>
        <w:t xml:space="preserve">ml/min.) ir ieteicams </w:t>
      </w:r>
      <w:r w:rsidR="0021531E" w:rsidRPr="003C4FBE">
        <w:rPr>
          <w:sz w:val="22"/>
          <w:szCs w:val="22"/>
        </w:rPr>
        <w:t>aciklovīr</w:t>
      </w:r>
      <w:r w:rsidRPr="003C4FBE">
        <w:rPr>
          <w:sz w:val="22"/>
          <w:szCs w:val="22"/>
        </w:rPr>
        <w:t>a devu pielāgot tā, lai tas būtu jālieto trīs reizes dienā pa 800</w:t>
      </w:r>
      <w:r w:rsidR="00C612C7" w:rsidRPr="003C4FBE">
        <w:rPr>
          <w:sz w:val="22"/>
          <w:szCs w:val="22"/>
        </w:rPr>
        <w:t> </w:t>
      </w:r>
      <w:r w:rsidRPr="003C4FBE">
        <w:rPr>
          <w:sz w:val="22"/>
          <w:szCs w:val="22"/>
        </w:rPr>
        <w:t xml:space="preserve">mg ar aptuveni 8 stundu intervālu. </w:t>
      </w:r>
    </w:p>
    <w:p w14:paraId="69B146AA" w14:textId="77777777" w:rsidR="003765C7" w:rsidRPr="003C4FBE" w:rsidRDefault="003765C7" w:rsidP="00B109A8">
      <w:pPr>
        <w:pStyle w:val="Default"/>
        <w:ind w:left="567" w:hanging="568"/>
        <w:rPr>
          <w:b/>
          <w:bCs/>
          <w:sz w:val="22"/>
          <w:szCs w:val="22"/>
        </w:rPr>
      </w:pPr>
    </w:p>
    <w:p w14:paraId="50F0DA2C" w14:textId="77777777" w:rsidR="003765C7" w:rsidRPr="003C4FBE" w:rsidRDefault="003765C7" w:rsidP="00B109A8">
      <w:pPr>
        <w:pStyle w:val="Default"/>
        <w:ind w:left="567" w:hanging="568"/>
        <w:rPr>
          <w:sz w:val="22"/>
          <w:szCs w:val="22"/>
        </w:rPr>
      </w:pPr>
      <w:r w:rsidRPr="003C4FBE">
        <w:rPr>
          <w:b/>
          <w:bCs/>
          <w:sz w:val="22"/>
          <w:szCs w:val="22"/>
        </w:rPr>
        <w:t xml:space="preserve">4.3. Kontrindikācijas </w:t>
      </w:r>
    </w:p>
    <w:p w14:paraId="42EEB1D6" w14:textId="77777777" w:rsidR="003765C7" w:rsidRPr="003C4FBE" w:rsidRDefault="003765C7" w:rsidP="00B109A8">
      <w:pPr>
        <w:pStyle w:val="Default"/>
        <w:rPr>
          <w:sz w:val="22"/>
          <w:szCs w:val="22"/>
        </w:rPr>
      </w:pPr>
    </w:p>
    <w:p w14:paraId="5A292F24" w14:textId="77777777" w:rsidR="003765C7" w:rsidRPr="003C4FBE" w:rsidRDefault="003765C7" w:rsidP="00B109A8">
      <w:pPr>
        <w:pStyle w:val="Default"/>
        <w:rPr>
          <w:sz w:val="22"/>
          <w:szCs w:val="22"/>
        </w:rPr>
      </w:pPr>
      <w:r w:rsidRPr="003C4FBE">
        <w:rPr>
          <w:sz w:val="22"/>
          <w:szCs w:val="22"/>
        </w:rPr>
        <w:t xml:space="preserve">Paaugstināta jutība pret </w:t>
      </w:r>
      <w:r w:rsidR="0021531E" w:rsidRPr="003C4FBE">
        <w:rPr>
          <w:sz w:val="22"/>
          <w:szCs w:val="22"/>
        </w:rPr>
        <w:t>aciklovīr</w:t>
      </w:r>
      <w:r w:rsidRPr="003C4FBE">
        <w:rPr>
          <w:sz w:val="22"/>
          <w:szCs w:val="22"/>
        </w:rPr>
        <w:t>u, val</w:t>
      </w:r>
      <w:r w:rsidR="0021531E" w:rsidRPr="003C4FBE">
        <w:rPr>
          <w:sz w:val="22"/>
          <w:szCs w:val="22"/>
        </w:rPr>
        <w:t>aciklovīr</w:t>
      </w:r>
      <w:r w:rsidRPr="003C4FBE">
        <w:rPr>
          <w:sz w:val="22"/>
          <w:szCs w:val="22"/>
        </w:rPr>
        <w:t xml:space="preserve">u vai jebkuru no 6.1. apakšpunktā uzskaitītajām palīgvielām. </w:t>
      </w:r>
    </w:p>
    <w:p w14:paraId="79024E18" w14:textId="77777777" w:rsidR="003765C7" w:rsidRPr="003C4FBE" w:rsidRDefault="003765C7" w:rsidP="00B109A8">
      <w:pPr>
        <w:pStyle w:val="Default"/>
        <w:ind w:left="567" w:hanging="568"/>
        <w:rPr>
          <w:b/>
          <w:bCs/>
          <w:sz w:val="22"/>
          <w:szCs w:val="22"/>
        </w:rPr>
      </w:pPr>
    </w:p>
    <w:p w14:paraId="687ADCA3" w14:textId="77777777" w:rsidR="003765C7" w:rsidRPr="003C4FBE" w:rsidRDefault="003765C7" w:rsidP="00B109A8">
      <w:pPr>
        <w:pStyle w:val="Default"/>
        <w:ind w:left="567" w:hanging="568"/>
        <w:rPr>
          <w:sz w:val="22"/>
          <w:szCs w:val="22"/>
        </w:rPr>
      </w:pPr>
      <w:r w:rsidRPr="003C4FBE">
        <w:rPr>
          <w:b/>
          <w:bCs/>
          <w:sz w:val="22"/>
          <w:szCs w:val="22"/>
        </w:rPr>
        <w:t xml:space="preserve">4.4. Īpaši brīdinājumi un piesardzība lietošanā </w:t>
      </w:r>
    </w:p>
    <w:p w14:paraId="4C6F4509" w14:textId="77777777" w:rsidR="003765C7" w:rsidRPr="003C4FBE" w:rsidRDefault="003765C7" w:rsidP="00B109A8">
      <w:pPr>
        <w:pStyle w:val="Default"/>
        <w:rPr>
          <w:sz w:val="22"/>
          <w:szCs w:val="22"/>
        </w:rPr>
      </w:pPr>
    </w:p>
    <w:p w14:paraId="63B852B8" w14:textId="77777777" w:rsidR="003765C7" w:rsidRPr="003C4FBE" w:rsidRDefault="003765C7" w:rsidP="00B109A8">
      <w:pPr>
        <w:pStyle w:val="Default"/>
        <w:rPr>
          <w:sz w:val="22"/>
          <w:szCs w:val="22"/>
        </w:rPr>
      </w:pPr>
      <w:r w:rsidRPr="003C4FBE">
        <w:rPr>
          <w:sz w:val="22"/>
          <w:szCs w:val="22"/>
        </w:rPr>
        <w:t xml:space="preserve">Lai izvairītos no riska, kas ir saistīts ar iespējamu toksisku zāļu ietekmi uz nierēm, attiecībā uz pacientiem, kuri saņem lielākās iekšķīgi lietojamas zāļu devas, piemēram, </w:t>
      </w:r>
      <w:r w:rsidRPr="003C4FBE">
        <w:rPr>
          <w:i/>
          <w:iCs/>
          <w:sz w:val="22"/>
          <w:szCs w:val="22"/>
        </w:rPr>
        <w:t xml:space="preserve">herpes zoster </w:t>
      </w:r>
      <w:r w:rsidRPr="003C4FBE">
        <w:rPr>
          <w:sz w:val="22"/>
          <w:szCs w:val="22"/>
        </w:rPr>
        <w:t xml:space="preserve">infekcijas ārstēšanai (4 g dienā), jārūpējas par pietiekamu pacienta organisma hidratāciju. </w:t>
      </w:r>
    </w:p>
    <w:p w14:paraId="314A3EA0" w14:textId="77777777" w:rsidR="003765C7" w:rsidRPr="003C4FBE" w:rsidRDefault="003765C7" w:rsidP="00B109A8">
      <w:pPr>
        <w:pStyle w:val="Default"/>
        <w:rPr>
          <w:sz w:val="22"/>
          <w:szCs w:val="22"/>
        </w:rPr>
      </w:pPr>
      <w:r w:rsidRPr="003C4FBE">
        <w:rPr>
          <w:sz w:val="22"/>
          <w:szCs w:val="22"/>
        </w:rPr>
        <w:t>Nieru darbības traucējumu risku palielina citu nefrotoksisko zāļu lietošana.</w:t>
      </w:r>
    </w:p>
    <w:p w14:paraId="08515B8B" w14:textId="77777777" w:rsidR="003765C7" w:rsidRPr="003C4FBE" w:rsidRDefault="003765C7" w:rsidP="00B109A8">
      <w:pPr>
        <w:pStyle w:val="Default"/>
        <w:rPr>
          <w:sz w:val="22"/>
          <w:szCs w:val="22"/>
        </w:rPr>
      </w:pPr>
      <w:r w:rsidRPr="003C4FBE">
        <w:rPr>
          <w:sz w:val="22"/>
          <w:szCs w:val="22"/>
        </w:rPr>
        <w:t xml:space="preserve">Pašreiz pieejamie klīnisko pētījumu rezultāti nav pietiekami, lai izdarītu secinājumus, ka ārstēšana ar </w:t>
      </w:r>
      <w:r w:rsidR="0021531E" w:rsidRPr="003C4FBE">
        <w:rPr>
          <w:sz w:val="22"/>
          <w:szCs w:val="22"/>
        </w:rPr>
        <w:t>aciklovīr</w:t>
      </w:r>
      <w:r w:rsidRPr="003C4FBE">
        <w:rPr>
          <w:sz w:val="22"/>
          <w:szCs w:val="22"/>
        </w:rPr>
        <w:t xml:space="preserve">u samazina ar vējbakām saistīto komplikāciju biežumu pacientiem ar normālu imūnās sistēmas darbību. </w:t>
      </w:r>
    </w:p>
    <w:p w14:paraId="343187B0" w14:textId="77777777" w:rsidR="003765C7" w:rsidRPr="003C4FBE" w:rsidRDefault="003765C7" w:rsidP="00B109A8">
      <w:pPr>
        <w:pStyle w:val="Default"/>
        <w:rPr>
          <w:sz w:val="22"/>
          <w:szCs w:val="22"/>
        </w:rPr>
      </w:pPr>
    </w:p>
    <w:p w14:paraId="6B2F3A82" w14:textId="77777777" w:rsidR="003765C7" w:rsidRPr="003C4FBE" w:rsidRDefault="003765C7" w:rsidP="00B109A8">
      <w:pPr>
        <w:pStyle w:val="Default"/>
        <w:rPr>
          <w:sz w:val="22"/>
          <w:szCs w:val="22"/>
        </w:rPr>
      </w:pPr>
      <w:r w:rsidRPr="003C4FBE">
        <w:rPr>
          <w:i/>
          <w:sz w:val="22"/>
          <w:szCs w:val="22"/>
        </w:rPr>
        <w:t>Lietošana pacientiem ar nieru bojājumu vai gados veciem pacientiem</w:t>
      </w:r>
    </w:p>
    <w:p w14:paraId="0DE489B0" w14:textId="77777777" w:rsidR="003765C7" w:rsidRPr="003C4FBE" w:rsidRDefault="0021531E" w:rsidP="00B109A8">
      <w:pPr>
        <w:pStyle w:val="Default"/>
        <w:rPr>
          <w:sz w:val="22"/>
          <w:szCs w:val="22"/>
        </w:rPr>
      </w:pPr>
      <w:r w:rsidRPr="003C4FBE">
        <w:rPr>
          <w:sz w:val="22"/>
          <w:szCs w:val="22"/>
        </w:rPr>
        <w:t>Aciklovīr</w:t>
      </w:r>
      <w:r w:rsidR="003765C7" w:rsidRPr="003C4FBE">
        <w:rPr>
          <w:sz w:val="22"/>
          <w:szCs w:val="22"/>
        </w:rPr>
        <w:t xml:space="preserve">s tiek izvadīts caur nierēm, tādēļ pacientiem ar nieru darbības traucējumiem zāļu deva jāsamazina (skatīt 4.2. apakšpunktu). Gados vecākiem pacientiem, iespējams, ir pavājināta nieru funkcija, tādēļ pacientiem šajā grupā jāapsver nepieciešamība samazināt zāļu devu. Gan gados vecākiem pacientiem, gan pacientiem ar nieru darbības traucējumiem ir paaugstināts neiroloģisko blakusparādību risks, tādēļ nepieciešama rūpīga novērošana attiecībā uz šīm blakusparādībām. Ziņotajos gadījumos šīs reakcijas pēc terapijas atcelšanas pārsvarā bija atgriezeniskas (skatīt 4.8. apakšpunktu). </w:t>
      </w:r>
    </w:p>
    <w:p w14:paraId="1382CD2D" w14:textId="77777777" w:rsidR="003765C7" w:rsidRPr="003C4FBE" w:rsidRDefault="003765C7" w:rsidP="00B109A8">
      <w:pPr>
        <w:pStyle w:val="Default"/>
        <w:rPr>
          <w:sz w:val="22"/>
          <w:szCs w:val="22"/>
        </w:rPr>
      </w:pPr>
      <w:r w:rsidRPr="003C4FBE">
        <w:rPr>
          <w:sz w:val="22"/>
          <w:szCs w:val="22"/>
        </w:rPr>
        <w:t xml:space="preserve">Ilgstoša vai atkārtota </w:t>
      </w:r>
      <w:r w:rsidR="0021531E" w:rsidRPr="003C4FBE">
        <w:rPr>
          <w:sz w:val="22"/>
          <w:szCs w:val="22"/>
        </w:rPr>
        <w:t>aciklovīr</w:t>
      </w:r>
      <w:r w:rsidRPr="003C4FBE">
        <w:rPr>
          <w:sz w:val="22"/>
          <w:szCs w:val="22"/>
        </w:rPr>
        <w:t xml:space="preserve">a terapija pacientiem ar smagiem imunitātes traucējumiem var izraisīt atsevišķu vīrusu celmu veidošanos ar samazinātu jutību, kas nepakļausies turpmākai ārstēšanai ar </w:t>
      </w:r>
      <w:r w:rsidR="0021531E" w:rsidRPr="003C4FBE">
        <w:rPr>
          <w:sz w:val="22"/>
          <w:szCs w:val="22"/>
        </w:rPr>
        <w:t>aciklovīr</w:t>
      </w:r>
      <w:r w:rsidRPr="003C4FBE">
        <w:rPr>
          <w:sz w:val="22"/>
          <w:szCs w:val="22"/>
        </w:rPr>
        <w:t xml:space="preserve">u (skatīt 5.1. apakšpunktu). </w:t>
      </w:r>
    </w:p>
    <w:p w14:paraId="1C05FF95" w14:textId="0C513931" w:rsidR="003765C7" w:rsidRPr="007F7B33" w:rsidRDefault="003765C7" w:rsidP="00B109A8">
      <w:pPr>
        <w:pStyle w:val="Default"/>
        <w:ind w:left="567" w:hanging="568"/>
        <w:rPr>
          <w:sz w:val="22"/>
          <w:szCs w:val="22"/>
        </w:rPr>
      </w:pPr>
    </w:p>
    <w:p w14:paraId="6C2C80D2" w14:textId="59C1F6F9" w:rsidR="003E4732" w:rsidRPr="007F7B33" w:rsidRDefault="003E4732" w:rsidP="003E4732">
      <w:pPr>
        <w:spacing w:after="0" w:line="240" w:lineRule="auto"/>
        <w:rPr>
          <w:rFonts w:ascii="Times New Roman" w:eastAsia="Times New Roman" w:hAnsi="Times New Roman"/>
          <w:u w:val="single"/>
          <w:lang w:eastAsia="pl-PL"/>
        </w:rPr>
      </w:pPr>
      <w:r w:rsidRPr="007F7B33">
        <w:rPr>
          <w:rFonts w:ascii="Times New Roman" w:eastAsia="Times New Roman" w:hAnsi="Times New Roman"/>
          <w:u w:val="single"/>
          <w:lang w:eastAsia="pl-PL"/>
        </w:rPr>
        <w:t>Nātrijs</w:t>
      </w:r>
    </w:p>
    <w:p w14:paraId="2D5564B0" w14:textId="012C926B" w:rsidR="003E4732" w:rsidRPr="007F7B33" w:rsidRDefault="003E4732" w:rsidP="007F7B33">
      <w:pPr>
        <w:pStyle w:val="Default"/>
        <w:widowControl w:val="0"/>
        <w:rPr>
          <w:color w:val="auto"/>
          <w:sz w:val="22"/>
          <w:szCs w:val="22"/>
        </w:rPr>
      </w:pPr>
      <w:r w:rsidRPr="007F7B33">
        <w:rPr>
          <w:color w:val="auto"/>
          <w:sz w:val="22"/>
          <w:szCs w:val="22"/>
          <w:shd w:val="clear" w:color="auto" w:fill="FFFFFF"/>
        </w:rPr>
        <w:t>Zāles satur mazāk par 1 mmol nātrija (23 mg) katrā tabletē, - būtībā tās ir nātriju nesaturošas</w:t>
      </w:r>
      <w:r w:rsidRPr="007F7B33">
        <w:rPr>
          <w:color w:val="auto"/>
          <w:sz w:val="22"/>
          <w:szCs w:val="22"/>
        </w:rPr>
        <w:t>.</w:t>
      </w:r>
    </w:p>
    <w:p w14:paraId="5CB6C743" w14:textId="77777777" w:rsidR="003E4732" w:rsidRPr="003C4FBE" w:rsidRDefault="003E4732" w:rsidP="00B109A8">
      <w:pPr>
        <w:pStyle w:val="Default"/>
        <w:ind w:left="567" w:hanging="568"/>
        <w:rPr>
          <w:b/>
          <w:bCs/>
          <w:sz w:val="22"/>
          <w:szCs w:val="22"/>
        </w:rPr>
      </w:pPr>
    </w:p>
    <w:p w14:paraId="2D2AAE81" w14:textId="77777777" w:rsidR="003765C7" w:rsidRPr="003C4FBE" w:rsidRDefault="003765C7" w:rsidP="00B109A8">
      <w:pPr>
        <w:pStyle w:val="Default"/>
        <w:ind w:left="567" w:hanging="568"/>
        <w:rPr>
          <w:sz w:val="22"/>
          <w:szCs w:val="22"/>
        </w:rPr>
      </w:pPr>
      <w:r w:rsidRPr="003C4FBE">
        <w:rPr>
          <w:b/>
          <w:bCs/>
          <w:sz w:val="22"/>
          <w:szCs w:val="22"/>
        </w:rPr>
        <w:t xml:space="preserve">4.5. Mijiedarbība ar citām zālēm un citi mijiedarbības veidi </w:t>
      </w:r>
    </w:p>
    <w:p w14:paraId="59754741" w14:textId="77777777" w:rsidR="003765C7" w:rsidRPr="003C4FBE" w:rsidRDefault="003765C7" w:rsidP="00B109A8">
      <w:pPr>
        <w:pStyle w:val="Default"/>
        <w:rPr>
          <w:sz w:val="22"/>
          <w:szCs w:val="22"/>
        </w:rPr>
      </w:pPr>
    </w:p>
    <w:p w14:paraId="033B71E4" w14:textId="77777777" w:rsidR="003765C7" w:rsidRPr="003C4FBE" w:rsidRDefault="0021531E" w:rsidP="00B109A8">
      <w:pPr>
        <w:pStyle w:val="Default"/>
        <w:rPr>
          <w:sz w:val="22"/>
          <w:szCs w:val="22"/>
        </w:rPr>
      </w:pPr>
      <w:r w:rsidRPr="003C4FBE">
        <w:rPr>
          <w:sz w:val="22"/>
          <w:szCs w:val="22"/>
        </w:rPr>
        <w:t>Aciklovīr</w:t>
      </w:r>
      <w:r w:rsidR="003765C7" w:rsidRPr="003C4FBE">
        <w:rPr>
          <w:sz w:val="22"/>
          <w:szCs w:val="22"/>
        </w:rPr>
        <w:t xml:space="preserve">a eliminācija galvenokārt notiek neizmainītā veidā ar urīnu – aktīvas nieru tubulārās sekrēcijas ceļā. Visas vienlaicīgi lietotās zāles, kuras konkurē attiecībā uz šo mehānismu, var paaugstināt </w:t>
      </w:r>
      <w:r w:rsidRPr="003C4FBE">
        <w:rPr>
          <w:sz w:val="22"/>
          <w:szCs w:val="22"/>
        </w:rPr>
        <w:t>aciklovīr</w:t>
      </w:r>
      <w:r w:rsidR="003765C7" w:rsidRPr="003C4FBE">
        <w:rPr>
          <w:sz w:val="22"/>
          <w:szCs w:val="22"/>
        </w:rPr>
        <w:t xml:space="preserve">a koncentrāciju plazmā. Sakarā ar minēto mehānismu probenecīds un cimetidīns palielina </w:t>
      </w:r>
      <w:r w:rsidRPr="003C4FBE">
        <w:rPr>
          <w:sz w:val="22"/>
          <w:szCs w:val="22"/>
        </w:rPr>
        <w:t>aciklovīr</w:t>
      </w:r>
      <w:r w:rsidR="003765C7" w:rsidRPr="003C4FBE">
        <w:rPr>
          <w:sz w:val="22"/>
          <w:szCs w:val="22"/>
        </w:rPr>
        <w:t xml:space="preserve">a AUC un samazina tā nieru klīrensu. Pierādīts, ka vienlaicīgas </w:t>
      </w:r>
      <w:r w:rsidRPr="003C4FBE">
        <w:rPr>
          <w:sz w:val="22"/>
          <w:szCs w:val="22"/>
        </w:rPr>
        <w:t>aciklovīr</w:t>
      </w:r>
      <w:r w:rsidR="003765C7" w:rsidRPr="003C4FBE">
        <w:rPr>
          <w:sz w:val="22"/>
          <w:szCs w:val="22"/>
        </w:rPr>
        <w:t xml:space="preserve">a un mikofenolāta mofetila (imūnās sistēmas funkciju nomācošs līdzeklis, ko pacientiem lieto pēc orgānu transplantācijas) lietošanas gadījumā, līdzīgi plazmā palielinās </w:t>
      </w:r>
      <w:r w:rsidRPr="003C4FBE">
        <w:rPr>
          <w:sz w:val="22"/>
          <w:szCs w:val="22"/>
        </w:rPr>
        <w:t>aciklovīr</w:t>
      </w:r>
      <w:r w:rsidR="003765C7" w:rsidRPr="003C4FBE">
        <w:rPr>
          <w:sz w:val="22"/>
          <w:szCs w:val="22"/>
        </w:rPr>
        <w:t xml:space="preserve">a un mikofenolāta mofetila neaktīvā metabolīta AUC. Tomēr devas korekcija nav nepieciešama, jo </w:t>
      </w:r>
      <w:r w:rsidRPr="003C4FBE">
        <w:rPr>
          <w:sz w:val="22"/>
          <w:szCs w:val="22"/>
        </w:rPr>
        <w:t>aciklovīr</w:t>
      </w:r>
      <w:r w:rsidR="003765C7" w:rsidRPr="003C4FBE">
        <w:rPr>
          <w:sz w:val="22"/>
          <w:szCs w:val="22"/>
        </w:rPr>
        <w:t>am ir raksturīgs plašs terapeitiskās darbības indekss.</w:t>
      </w:r>
    </w:p>
    <w:p w14:paraId="1A8CF32D" w14:textId="77777777" w:rsidR="003765C7" w:rsidRPr="003C4FBE" w:rsidRDefault="003765C7" w:rsidP="00B109A8">
      <w:pPr>
        <w:pStyle w:val="Default"/>
        <w:rPr>
          <w:sz w:val="22"/>
          <w:szCs w:val="22"/>
        </w:rPr>
      </w:pPr>
    </w:p>
    <w:p w14:paraId="2C59B36F" w14:textId="77777777" w:rsidR="003765C7" w:rsidRPr="003C4FBE" w:rsidRDefault="003765C7" w:rsidP="00B109A8">
      <w:pPr>
        <w:pStyle w:val="Default"/>
        <w:rPr>
          <w:sz w:val="22"/>
          <w:szCs w:val="22"/>
        </w:rPr>
      </w:pPr>
      <w:r w:rsidRPr="003C4FBE">
        <w:rPr>
          <w:sz w:val="22"/>
          <w:szCs w:val="22"/>
        </w:rPr>
        <w:t xml:space="preserve">Ar pieciem vīriešiem veikta eksperimentāla pētījuma rezultāti rāda, ka </w:t>
      </w:r>
      <w:r w:rsidR="0021531E" w:rsidRPr="003C4FBE">
        <w:rPr>
          <w:sz w:val="22"/>
          <w:szCs w:val="22"/>
        </w:rPr>
        <w:t>aciklovīr</w:t>
      </w:r>
      <w:r w:rsidRPr="003C4FBE">
        <w:rPr>
          <w:sz w:val="22"/>
          <w:szCs w:val="22"/>
        </w:rPr>
        <w:t xml:space="preserve">a vienlaicīga lietošana par aptuveni 50% palielina kopējās ievadītās </w:t>
      </w:r>
      <w:r w:rsidRPr="003C4FBE">
        <w:rPr>
          <w:b/>
          <w:bCs/>
          <w:sz w:val="22"/>
          <w:szCs w:val="22"/>
        </w:rPr>
        <w:t>teofilīna</w:t>
      </w:r>
      <w:r w:rsidRPr="003C4FBE">
        <w:rPr>
          <w:sz w:val="22"/>
          <w:szCs w:val="22"/>
        </w:rPr>
        <w:t xml:space="preserve"> devas AUC. Lietojot vienlaikus ar </w:t>
      </w:r>
      <w:r w:rsidR="0021531E" w:rsidRPr="003C4FBE">
        <w:rPr>
          <w:sz w:val="22"/>
          <w:szCs w:val="22"/>
        </w:rPr>
        <w:t>aciklovīr</w:t>
      </w:r>
      <w:r w:rsidRPr="003C4FBE">
        <w:rPr>
          <w:sz w:val="22"/>
          <w:szCs w:val="22"/>
        </w:rPr>
        <w:t xml:space="preserve">u, ieteicams noteikt teofilīna koncentrāciju plazmā. </w:t>
      </w:r>
    </w:p>
    <w:p w14:paraId="084568A4" w14:textId="77777777" w:rsidR="003765C7" w:rsidRPr="003C4FBE" w:rsidRDefault="003765C7" w:rsidP="00B109A8">
      <w:pPr>
        <w:pStyle w:val="Default"/>
        <w:ind w:left="567" w:hanging="568"/>
        <w:rPr>
          <w:b/>
          <w:bCs/>
          <w:sz w:val="22"/>
          <w:szCs w:val="22"/>
        </w:rPr>
      </w:pPr>
    </w:p>
    <w:p w14:paraId="69CC21B5" w14:textId="77777777" w:rsidR="003765C7" w:rsidRPr="003C4FBE" w:rsidRDefault="003765C7" w:rsidP="00B109A8">
      <w:pPr>
        <w:pStyle w:val="Default"/>
        <w:ind w:left="567" w:hanging="568"/>
        <w:rPr>
          <w:sz w:val="22"/>
          <w:szCs w:val="22"/>
        </w:rPr>
      </w:pPr>
      <w:r w:rsidRPr="003C4FBE">
        <w:rPr>
          <w:b/>
          <w:bCs/>
          <w:sz w:val="22"/>
          <w:szCs w:val="22"/>
        </w:rPr>
        <w:t xml:space="preserve">4.6. Fertilitāte, grūtniecība un barošana ar krūti </w:t>
      </w:r>
    </w:p>
    <w:p w14:paraId="57361D8E" w14:textId="77777777" w:rsidR="003765C7" w:rsidRPr="003C4FBE" w:rsidRDefault="003765C7" w:rsidP="00B109A8">
      <w:pPr>
        <w:pStyle w:val="Default"/>
        <w:rPr>
          <w:sz w:val="22"/>
          <w:szCs w:val="22"/>
        </w:rPr>
      </w:pPr>
    </w:p>
    <w:p w14:paraId="5218B3A4" w14:textId="77777777" w:rsidR="003765C7" w:rsidRPr="003C4FBE" w:rsidRDefault="003765C7" w:rsidP="00B109A8">
      <w:pPr>
        <w:pStyle w:val="Default"/>
        <w:rPr>
          <w:sz w:val="22"/>
          <w:szCs w:val="22"/>
        </w:rPr>
      </w:pPr>
      <w:r w:rsidRPr="003C4FBE">
        <w:rPr>
          <w:sz w:val="22"/>
          <w:szCs w:val="22"/>
          <w:u w:val="single"/>
        </w:rPr>
        <w:t>Grūtniecība</w:t>
      </w:r>
    </w:p>
    <w:p w14:paraId="18B0795D" w14:textId="77777777" w:rsidR="003765C7" w:rsidRPr="003C4FBE" w:rsidRDefault="0021531E" w:rsidP="00B109A8">
      <w:pPr>
        <w:pStyle w:val="Default"/>
        <w:rPr>
          <w:sz w:val="22"/>
          <w:szCs w:val="22"/>
        </w:rPr>
      </w:pPr>
      <w:r w:rsidRPr="003C4FBE">
        <w:rPr>
          <w:sz w:val="22"/>
          <w:szCs w:val="22"/>
        </w:rPr>
        <w:t>Aciklovīr</w:t>
      </w:r>
      <w:r w:rsidR="003765C7" w:rsidRPr="003C4FBE">
        <w:rPr>
          <w:sz w:val="22"/>
          <w:szCs w:val="22"/>
        </w:rPr>
        <w:t xml:space="preserve">a lietošana jāapsver tikai tad, ja iespējamais ieguvums atsver iespējamo risku. </w:t>
      </w:r>
      <w:r w:rsidRPr="003C4FBE">
        <w:rPr>
          <w:sz w:val="22"/>
          <w:szCs w:val="22"/>
        </w:rPr>
        <w:t>Aciklovīr</w:t>
      </w:r>
      <w:r w:rsidR="003765C7" w:rsidRPr="003C4FBE">
        <w:rPr>
          <w:sz w:val="22"/>
          <w:szCs w:val="22"/>
        </w:rPr>
        <w:t xml:space="preserve">a pēcreģistrācijas grūtniecību reģistrā ir dokumentēti grūtniecību iznākumi sievietēm, lietojot jebkuru </w:t>
      </w:r>
      <w:r w:rsidRPr="003C4FBE">
        <w:rPr>
          <w:sz w:val="22"/>
          <w:szCs w:val="22"/>
        </w:rPr>
        <w:t>aciklovīr</w:t>
      </w:r>
      <w:r w:rsidR="003765C7" w:rsidRPr="003C4FBE">
        <w:rPr>
          <w:sz w:val="22"/>
          <w:szCs w:val="22"/>
        </w:rPr>
        <w:t xml:space="preserve">a formu. Reģistra dati neuzrāda iedzimtu defektu skaita pieaugumu starp </w:t>
      </w:r>
      <w:r w:rsidRPr="003C4FBE">
        <w:rPr>
          <w:sz w:val="22"/>
          <w:szCs w:val="22"/>
        </w:rPr>
        <w:t>aciklovīr</w:t>
      </w:r>
      <w:r w:rsidR="003765C7" w:rsidRPr="003C4FBE">
        <w:rPr>
          <w:sz w:val="22"/>
          <w:szCs w:val="22"/>
        </w:rPr>
        <w:t xml:space="preserve">a lietotājām, salīdzinājumā ar vispārējo populāciju un jebkurš iedzimts defekts nebija unikāls vai vienveidīgs, kas varētu liecināt par to kopējo cēloni. </w:t>
      </w:r>
    </w:p>
    <w:p w14:paraId="452CB602" w14:textId="77777777" w:rsidR="003765C7" w:rsidRPr="003C4FBE" w:rsidRDefault="003765C7" w:rsidP="00B109A8">
      <w:pPr>
        <w:spacing w:after="0" w:line="240" w:lineRule="auto"/>
        <w:rPr>
          <w:rFonts w:ascii="Times New Roman" w:hAnsi="Times New Roman"/>
        </w:rPr>
      </w:pPr>
      <w:r w:rsidRPr="003C4FBE">
        <w:rPr>
          <w:rFonts w:ascii="Times New Roman" w:hAnsi="Times New Roman"/>
          <w:color w:val="000000"/>
        </w:rPr>
        <w:t xml:space="preserve">Sistēmiska </w:t>
      </w:r>
      <w:r w:rsidR="0021531E" w:rsidRPr="003C4FBE">
        <w:rPr>
          <w:rFonts w:ascii="Times New Roman" w:hAnsi="Times New Roman"/>
          <w:color w:val="000000"/>
        </w:rPr>
        <w:t>aciklovīr</w:t>
      </w:r>
      <w:r w:rsidRPr="003C4FBE">
        <w:rPr>
          <w:rFonts w:ascii="Times New Roman" w:hAnsi="Times New Roman"/>
          <w:color w:val="000000"/>
        </w:rPr>
        <w:t xml:space="preserve">a lietošana starptautiski atzītu testu laikā trušiem, žurkām vai pelēm nebija embriotoksiska vai teratogēna. Nestandarta testā ar žurkām tika novērotas augļa anomālijas, tomēr tikai pēc tik lielām subkutāni ievadītām devām, ka tās bija toksiskas mātes organismam. Šo konstatēto faktu klīniskā nozīme nav skaidra. </w:t>
      </w:r>
    </w:p>
    <w:p w14:paraId="5F4F40AB" w14:textId="77777777" w:rsidR="003765C7" w:rsidRPr="003C4FBE" w:rsidRDefault="003765C7" w:rsidP="00B109A8">
      <w:pPr>
        <w:spacing w:after="0" w:line="240" w:lineRule="auto"/>
        <w:rPr>
          <w:rFonts w:ascii="Times New Roman" w:hAnsi="Times New Roman"/>
          <w:u w:val="single"/>
        </w:rPr>
      </w:pPr>
    </w:p>
    <w:p w14:paraId="7E70C712" w14:textId="77777777" w:rsidR="003765C7" w:rsidRPr="003C4FBE" w:rsidRDefault="003765C7" w:rsidP="00B109A8">
      <w:pPr>
        <w:pStyle w:val="Default"/>
        <w:rPr>
          <w:sz w:val="22"/>
          <w:szCs w:val="22"/>
        </w:rPr>
      </w:pPr>
      <w:r w:rsidRPr="003C4FBE">
        <w:rPr>
          <w:sz w:val="22"/>
          <w:szCs w:val="22"/>
          <w:u w:val="single"/>
        </w:rPr>
        <w:t xml:space="preserve">Barošana ar krūti </w:t>
      </w:r>
    </w:p>
    <w:p w14:paraId="4791ED68" w14:textId="77777777" w:rsidR="003765C7" w:rsidRPr="003C4FBE" w:rsidRDefault="003765C7" w:rsidP="00B109A8">
      <w:pPr>
        <w:pStyle w:val="Default"/>
        <w:rPr>
          <w:sz w:val="22"/>
          <w:szCs w:val="22"/>
        </w:rPr>
      </w:pPr>
      <w:r w:rsidRPr="003C4FBE">
        <w:rPr>
          <w:sz w:val="22"/>
          <w:szCs w:val="22"/>
        </w:rPr>
        <w:t xml:space="preserve">Pēc 200 mg lielu </w:t>
      </w:r>
      <w:r w:rsidR="0021531E" w:rsidRPr="003C4FBE">
        <w:rPr>
          <w:sz w:val="22"/>
          <w:szCs w:val="22"/>
        </w:rPr>
        <w:t>aciklovīr</w:t>
      </w:r>
      <w:r w:rsidRPr="003C4FBE">
        <w:rPr>
          <w:sz w:val="22"/>
          <w:szCs w:val="22"/>
        </w:rPr>
        <w:t xml:space="preserve">a devu lietošanas 5 reizes dienā </w:t>
      </w:r>
      <w:r w:rsidR="0021531E" w:rsidRPr="003C4FBE">
        <w:rPr>
          <w:sz w:val="22"/>
          <w:szCs w:val="22"/>
        </w:rPr>
        <w:t>aciklovīr</w:t>
      </w:r>
      <w:r w:rsidRPr="003C4FBE">
        <w:rPr>
          <w:sz w:val="22"/>
          <w:szCs w:val="22"/>
        </w:rPr>
        <w:t xml:space="preserve">s ir konstatēts mātes pienā. Tā koncentrācija mātes pienā, salīdzinot ar koncentrāciju plazmā, bija 0,6 - 4,1 reizes lielāka. Šāda koncentrācija zīdaini potenciāli var pakļaut līdz 0,3 mg/kg lielas dienas devas iedarbībai, tādēļ gadījumos, kad </w:t>
      </w:r>
      <w:r w:rsidR="0021531E" w:rsidRPr="003C4FBE">
        <w:rPr>
          <w:sz w:val="22"/>
          <w:szCs w:val="22"/>
        </w:rPr>
        <w:t>aciklovīr</w:t>
      </w:r>
      <w:r w:rsidRPr="003C4FBE">
        <w:rPr>
          <w:sz w:val="22"/>
          <w:szCs w:val="22"/>
        </w:rPr>
        <w:t xml:space="preserve">u ordinē mātēm, kuras zīda bērnu, ir jāievēro piesardzība. </w:t>
      </w:r>
    </w:p>
    <w:p w14:paraId="444D8FF7" w14:textId="77777777" w:rsidR="003765C7" w:rsidRPr="003C4FBE" w:rsidRDefault="003765C7" w:rsidP="00B109A8">
      <w:pPr>
        <w:pStyle w:val="Default"/>
        <w:ind w:left="567" w:hanging="568"/>
        <w:rPr>
          <w:b/>
          <w:bCs/>
          <w:sz w:val="22"/>
          <w:szCs w:val="22"/>
        </w:rPr>
      </w:pPr>
    </w:p>
    <w:p w14:paraId="6E98C0C2" w14:textId="77777777" w:rsidR="003765C7" w:rsidRPr="003C4FBE" w:rsidRDefault="003765C7" w:rsidP="00B109A8">
      <w:pPr>
        <w:pStyle w:val="Default"/>
        <w:ind w:left="567" w:hanging="568"/>
        <w:rPr>
          <w:b/>
          <w:bCs/>
          <w:sz w:val="22"/>
          <w:szCs w:val="22"/>
        </w:rPr>
      </w:pPr>
    </w:p>
    <w:p w14:paraId="7527BDFF" w14:textId="77777777" w:rsidR="003765C7" w:rsidRPr="003C4FBE" w:rsidRDefault="003765C7" w:rsidP="00B109A8">
      <w:pPr>
        <w:pStyle w:val="Default"/>
        <w:ind w:left="567" w:hanging="568"/>
        <w:rPr>
          <w:sz w:val="22"/>
          <w:szCs w:val="22"/>
        </w:rPr>
      </w:pPr>
      <w:r w:rsidRPr="003C4FBE">
        <w:rPr>
          <w:b/>
          <w:bCs/>
          <w:sz w:val="22"/>
          <w:szCs w:val="22"/>
        </w:rPr>
        <w:t xml:space="preserve">4.7. Ietekme uz spēju vadīt transportlīdzekļus un apkalpot mehānismus </w:t>
      </w:r>
    </w:p>
    <w:p w14:paraId="10B0D2A8" w14:textId="77777777" w:rsidR="003765C7" w:rsidRPr="003C4FBE" w:rsidRDefault="003765C7" w:rsidP="00B109A8">
      <w:pPr>
        <w:pStyle w:val="Default"/>
        <w:rPr>
          <w:sz w:val="22"/>
          <w:szCs w:val="22"/>
        </w:rPr>
      </w:pPr>
    </w:p>
    <w:p w14:paraId="6A8E239C" w14:textId="77777777" w:rsidR="003765C7" w:rsidRPr="003C4FBE" w:rsidRDefault="003765C7" w:rsidP="00B109A8">
      <w:pPr>
        <w:pStyle w:val="Default"/>
        <w:rPr>
          <w:sz w:val="22"/>
          <w:szCs w:val="22"/>
        </w:rPr>
      </w:pPr>
      <w:r w:rsidRPr="003C4FBE">
        <w:rPr>
          <w:sz w:val="22"/>
          <w:szCs w:val="22"/>
        </w:rPr>
        <w:t xml:space="preserve">Apsverot pacienta spēju vadīt transportlīdzekļus un apkalpot mehānismus, jānovērtē pacienta klīniskais stāvoklis un </w:t>
      </w:r>
      <w:r w:rsidR="0021531E" w:rsidRPr="003C4FBE">
        <w:rPr>
          <w:sz w:val="22"/>
          <w:szCs w:val="22"/>
        </w:rPr>
        <w:t>aciklovīr</w:t>
      </w:r>
      <w:r w:rsidRPr="003C4FBE">
        <w:rPr>
          <w:sz w:val="22"/>
          <w:szCs w:val="22"/>
        </w:rPr>
        <w:t xml:space="preserve">am raksturīgais nevēlamo blakusparādību izpausmju profils. Pētījumi par </w:t>
      </w:r>
      <w:r w:rsidR="0021531E" w:rsidRPr="003C4FBE">
        <w:rPr>
          <w:sz w:val="22"/>
          <w:szCs w:val="22"/>
        </w:rPr>
        <w:t>aciklovīr</w:t>
      </w:r>
      <w:r w:rsidRPr="003C4FBE">
        <w:rPr>
          <w:sz w:val="22"/>
          <w:szCs w:val="22"/>
        </w:rPr>
        <w:t xml:space="preserve">a ietekmi uz pacienta spēju vadīt transportlīdzekļus un apkalpot mehānismus nav veikti. Turklāt, nevēlamu ietekmi uz pacienta spēju veikt šādas darbības nevar prognozēt, pamatojoties uz aktīvās vielas farmakoloģiskajām īpašībām. </w:t>
      </w:r>
    </w:p>
    <w:p w14:paraId="69F91ACB" w14:textId="77777777" w:rsidR="003765C7" w:rsidRPr="003C4FBE" w:rsidRDefault="003765C7" w:rsidP="00B109A8">
      <w:pPr>
        <w:pStyle w:val="Default"/>
        <w:ind w:left="570" w:hanging="570"/>
        <w:rPr>
          <w:b/>
          <w:bCs/>
          <w:sz w:val="22"/>
          <w:szCs w:val="22"/>
        </w:rPr>
      </w:pPr>
    </w:p>
    <w:p w14:paraId="1485D902" w14:textId="77777777" w:rsidR="003765C7" w:rsidRPr="003C4FBE" w:rsidRDefault="003765C7" w:rsidP="00B109A8">
      <w:pPr>
        <w:pStyle w:val="Default"/>
        <w:ind w:left="570" w:hanging="570"/>
        <w:rPr>
          <w:sz w:val="22"/>
          <w:szCs w:val="22"/>
        </w:rPr>
      </w:pPr>
      <w:r w:rsidRPr="003C4FBE">
        <w:rPr>
          <w:b/>
          <w:bCs/>
          <w:sz w:val="22"/>
          <w:szCs w:val="22"/>
        </w:rPr>
        <w:t xml:space="preserve">4.8. Nevēlamās blakusparādības </w:t>
      </w:r>
    </w:p>
    <w:p w14:paraId="6DE2CD7B" w14:textId="77777777" w:rsidR="003765C7" w:rsidRPr="003C4FBE" w:rsidRDefault="003765C7" w:rsidP="00B109A8">
      <w:pPr>
        <w:pStyle w:val="Default"/>
        <w:rPr>
          <w:sz w:val="22"/>
          <w:szCs w:val="22"/>
        </w:rPr>
      </w:pPr>
    </w:p>
    <w:p w14:paraId="30F1EAE2" w14:textId="77777777" w:rsidR="003765C7" w:rsidRPr="003C4FBE" w:rsidRDefault="003765C7" w:rsidP="00B109A8">
      <w:pPr>
        <w:pStyle w:val="Default"/>
        <w:rPr>
          <w:sz w:val="22"/>
          <w:szCs w:val="22"/>
        </w:rPr>
      </w:pPr>
      <w:r w:rsidRPr="003C4FBE">
        <w:rPr>
          <w:sz w:val="22"/>
          <w:szCs w:val="22"/>
        </w:rPr>
        <w:t xml:space="preserve">Turpmāk nosauktās nevēlamās blakusparādības ir sakārtotas atbilstoši to aprēķinātajam biežumam. Attiecībā uz vairumu nevēlamo blakusparādību to biežuma aprēķinam pietiekams datu apjoms nav pieejams. Turklāt nevēlamo blakusparādību biežums var mainīties atkarībā no preparāta lietošanas indikācijām. </w:t>
      </w:r>
    </w:p>
    <w:p w14:paraId="4BCCBC0A" w14:textId="77777777" w:rsidR="003765C7" w:rsidRPr="003C4FBE" w:rsidRDefault="003765C7" w:rsidP="00B109A8">
      <w:pPr>
        <w:pStyle w:val="Default"/>
        <w:rPr>
          <w:sz w:val="22"/>
          <w:szCs w:val="22"/>
        </w:rPr>
      </w:pPr>
      <w:r w:rsidRPr="003C4FBE">
        <w:rPr>
          <w:sz w:val="22"/>
          <w:szCs w:val="22"/>
        </w:rPr>
        <w:t xml:space="preserve">Nevēlamo blakusparādību iedalījumam atkarībā no to biežuma ir izmantoti šādi apzīmējumi: ļoti bieži: ≥ 1/10; bieži: no ≥ 1/100 līdz &lt; 1/10; retāk: no ≥ 1/1000 līdz &lt; 1/100; reti: no ≥ 1/10 000 līdz &lt;1/1000; ļoti reti: &lt;1/10 000. </w:t>
      </w:r>
    </w:p>
    <w:p w14:paraId="0856A09B" w14:textId="77777777" w:rsidR="003765C7" w:rsidRPr="003C4FBE" w:rsidRDefault="003765C7" w:rsidP="00B109A8">
      <w:pPr>
        <w:pStyle w:val="Default"/>
        <w:rPr>
          <w:i/>
          <w:iCs/>
          <w:sz w:val="22"/>
          <w:szCs w:val="22"/>
          <w:u w:val="single"/>
        </w:rPr>
      </w:pPr>
    </w:p>
    <w:p w14:paraId="7E5C0D08" w14:textId="77777777" w:rsidR="003765C7" w:rsidRPr="003C4FBE" w:rsidRDefault="003765C7" w:rsidP="00B109A8">
      <w:pPr>
        <w:pStyle w:val="Default"/>
        <w:rPr>
          <w:b/>
          <w:sz w:val="22"/>
          <w:szCs w:val="22"/>
        </w:rPr>
      </w:pPr>
      <w:r w:rsidRPr="003C4FBE">
        <w:rPr>
          <w:b/>
          <w:iCs/>
          <w:sz w:val="22"/>
          <w:szCs w:val="22"/>
        </w:rPr>
        <w:t xml:space="preserve">Asins un limfātiskās sistēmas traucējumi </w:t>
      </w:r>
    </w:p>
    <w:p w14:paraId="2C6CEAFC" w14:textId="77777777" w:rsidR="003765C7" w:rsidRPr="003C4FBE" w:rsidRDefault="003765C7" w:rsidP="00B109A8">
      <w:pPr>
        <w:pStyle w:val="Default"/>
        <w:rPr>
          <w:sz w:val="22"/>
          <w:szCs w:val="22"/>
        </w:rPr>
      </w:pPr>
      <w:r w:rsidRPr="003C4FBE">
        <w:rPr>
          <w:sz w:val="22"/>
          <w:szCs w:val="22"/>
        </w:rPr>
        <w:t xml:space="preserve">Ļoti reti: anēmija, leikopēnija, trombocitopēnija. </w:t>
      </w:r>
    </w:p>
    <w:p w14:paraId="697FA1C8" w14:textId="77777777" w:rsidR="003765C7" w:rsidRPr="003C4FBE" w:rsidRDefault="003765C7" w:rsidP="00B109A8">
      <w:pPr>
        <w:pStyle w:val="Default"/>
        <w:rPr>
          <w:i/>
          <w:iCs/>
          <w:sz w:val="22"/>
          <w:szCs w:val="22"/>
          <w:u w:val="single"/>
        </w:rPr>
      </w:pPr>
    </w:p>
    <w:p w14:paraId="606E667F" w14:textId="77777777" w:rsidR="003765C7" w:rsidRPr="003C4FBE" w:rsidRDefault="003765C7" w:rsidP="00B109A8">
      <w:pPr>
        <w:pStyle w:val="Default"/>
        <w:rPr>
          <w:b/>
          <w:iCs/>
          <w:sz w:val="22"/>
          <w:szCs w:val="22"/>
        </w:rPr>
      </w:pPr>
      <w:r w:rsidRPr="003C4FBE">
        <w:rPr>
          <w:b/>
          <w:iCs/>
          <w:sz w:val="22"/>
          <w:szCs w:val="22"/>
        </w:rPr>
        <w:t xml:space="preserve">Imūnās sistēmas traucējumi </w:t>
      </w:r>
    </w:p>
    <w:p w14:paraId="065F051C" w14:textId="77777777" w:rsidR="003765C7" w:rsidRPr="003C4FBE" w:rsidRDefault="003765C7" w:rsidP="00B109A8">
      <w:pPr>
        <w:pStyle w:val="Default"/>
        <w:rPr>
          <w:sz w:val="22"/>
          <w:szCs w:val="22"/>
        </w:rPr>
      </w:pPr>
      <w:r w:rsidRPr="003C4FBE">
        <w:rPr>
          <w:sz w:val="22"/>
          <w:szCs w:val="22"/>
        </w:rPr>
        <w:t xml:space="preserve">Reti: anafilakse. </w:t>
      </w:r>
    </w:p>
    <w:p w14:paraId="0653B707" w14:textId="77777777" w:rsidR="003765C7" w:rsidRPr="003C4FBE" w:rsidRDefault="003765C7" w:rsidP="00B109A8">
      <w:pPr>
        <w:pStyle w:val="Default"/>
        <w:rPr>
          <w:i/>
          <w:iCs/>
          <w:sz w:val="22"/>
          <w:szCs w:val="22"/>
          <w:u w:val="single"/>
        </w:rPr>
      </w:pPr>
    </w:p>
    <w:p w14:paraId="54A12F54" w14:textId="77777777" w:rsidR="003765C7" w:rsidRPr="003C4FBE" w:rsidRDefault="003765C7" w:rsidP="00B109A8">
      <w:pPr>
        <w:pStyle w:val="Default"/>
        <w:rPr>
          <w:b/>
          <w:iCs/>
          <w:sz w:val="22"/>
          <w:szCs w:val="22"/>
        </w:rPr>
      </w:pPr>
      <w:r w:rsidRPr="003C4FBE">
        <w:rPr>
          <w:b/>
          <w:iCs/>
          <w:sz w:val="22"/>
          <w:szCs w:val="22"/>
        </w:rPr>
        <w:t xml:space="preserve">Psihiskie un nervu sistēmas traucējumi </w:t>
      </w:r>
    </w:p>
    <w:p w14:paraId="46A194AA" w14:textId="77777777" w:rsidR="003765C7" w:rsidRPr="003C4FBE" w:rsidRDefault="003765C7" w:rsidP="00B109A8">
      <w:pPr>
        <w:pStyle w:val="Default"/>
        <w:rPr>
          <w:sz w:val="22"/>
          <w:szCs w:val="22"/>
        </w:rPr>
      </w:pPr>
      <w:r w:rsidRPr="003C4FBE">
        <w:rPr>
          <w:sz w:val="22"/>
          <w:szCs w:val="22"/>
        </w:rPr>
        <w:t xml:space="preserve">Bieži: galvassāpes, reibonis. </w:t>
      </w:r>
    </w:p>
    <w:p w14:paraId="3FD10DDB" w14:textId="77777777" w:rsidR="003765C7" w:rsidRPr="003C4FBE" w:rsidRDefault="003765C7" w:rsidP="00B109A8">
      <w:pPr>
        <w:pStyle w:val="Default"/>
        <w:rPr>
          <w:sz w:val="22"/>
          <w:szCs w:val="22"/>
        </w:rPr>
      </w:pPr>
      <w:r w:rsidRPr="003C4FBE">
        <w:rPr>
          <w:sz w:val="22"/>
          <w:szCs w:val="22"/>
        </w:rPr>
        <w:t xml:space="preserve">Ļoti reti: uzbudinājums, apjukums, trīce, ataksija, dizartrija, halucinācijas, psihozes simptomi, krampji, miegainība, encefalopātija, koma. </w:t>
      </w:r>
    </w:p>
    <w:p w14:paraId="520D6B11" w14:textId="77777777" w:rsidR="003765C7" w:rsidRPr="003C4FBE" w:rsidRDefault="003765C7" w:rsidP="00B109A8">
      <w:pPr>
        <w:pStyle w:val="Default"/>
        <w:rPr>
          <w:sz w:val="22"/>
          <w:szCs w:val="22"/>
        </w:rPr>
      </w:pPr>
      <w:r w:rsidRPr="003C4FBE">
        <w:rPr>
          <w:sz w:val="22"/>
          <w:szCs w:val="22"/>
        </w:rPr>
        <w:t xml:space="preserve">Minētās parādības parasti ir atgriezeniskas, un parasti tās ir aprakstītas pacientiem ar nieru darbības traucējumiem, kā arī pastāvot citiem predisponējošiem faktoriem (skatīt 4.4. apakšpunktu). </w:t>
      </w:r>
    </w:p>
    <w:p w14:paraId="67D14337" w14:textId="77777777" w:rsidR="003765C7" w:rsidRPr="003C4FBE" w:rsidRDefault="003765C7" w:rsidP="00B109A8">
      <w:pPr>
        <w:pStyle w:val="Default"/>
        <w:rPr>
          <w:i/>
          <w:iCs/>
          <w:sz w:val="22"/>
          <w:szCs w:val="22"/>
          <w:u w:val="single"/>
        </w:rPr>
      </w:pPr>
    </w:p>
    <w:p w14:paraId="620C7F3A" w14:textId="77777777" w:rsidR="003765C7" w:rsidRPr="003C4FBE" w:rsidRDefault="003765C7" w:rsidP="00B109A8">
      <w:pPr>
        <w:pStyle w:val="Default"/>
        <w:rPr>
          <w:b/>
          <w:iCs/>
          <w:sz w:val="22"/>
          <w:szCs w:val="22"/>
        </w:rPr>
      </w:pPr>
      <w:r w:rsidRPr="003C4FBE">
        <w:rPr>
          <w:b/>
          <w:iCs/>
          <w:sz w:val="22"/>
          <w:szCs w:val="22"/>
        </w:rPr>
        <w:t>Elpošanas sistēmas traucējumi, krūšu kurvja un videnes slimības</w:t>
      </w:r>
    </w:p>
    <w:p w14:paraId="1479C3A4" w14:textId="77777777" w:rsidR="003765C7" w:rsidRPr="003C4FBE" w:rsidRDefault="003765C7" w:rsidP="00B109A8">
      <w:pPr>
        <w:pStyle w:val="Default"/>
        <w:rPr>
          <w:sz w:val="22"/>
          <w:szCs w:val="22"/>
        </w:rPr>
      </w:pPr>
      <w:r w:rsidRPr="003C4FBE">
        <w:rPr>
          <w:sz w:val="22"/>
          <w:szCs w:val="22"/>
        </w:rPr>
        <w:t xml:space="preserve">Reti: elpas trūkums. </w:t>
      </w:r>
    </w:p>
    <w:p w14:paraId="1E532FD0" w14:textId="77777777" w:rsidR="003765C7" w:rsidRPr="003C4FBE" w:rsidRDefault="003765C7" w:rsidP="00B109A8">
      <w:pPr>
        <w:pStyle w:val="Default"/>
        <w:rPr>
          <w:i/>
          <w:iCs/>
          <w:sz w:val="22"/>
          <w:szCs w:val="22"/>
          <w:u w:val="single"/>
        </w:rPr>
      </w:pPr>
    </w:p>
    <w:p w14:paraId="785E121B" w14:textId="77777777" w:rsidR="003765C7" w:rsidRPr="003C4FBE" w:rsidRDefault="003765C7" w:rsidP="00B109A8">
      <w:pPr>
        <w:pStyle w:val="Default"/>
        <w:rPr>
          <w:b/>
          <w:iCs/>
          <w:sz w:val="22"/>
          <w:szCs w:val="22"/>
        </w:rPr>
      </w:pPr>
      <w:r w:rsidRPr="003C4FBE">
        <w:rPr>
          <w:b/>
          <w:iCs/>
          <w:sz w:val="22"/>
          <w:szCs w:val="22"/>
        </w:rPr>
        <w:t xml:space="preserve">Kuņģa-zarnu trakta traucējumi </w:t>
      </w:r>
    </w:p>
    <w:p w14:paraId="4BE983F4" w14:textId="77777777" w:rsidR="003765C7" w:rsidRPr="003C4FBE" w:rsidRDefault="003765C7" w:rsidP="00B109A8">
      <w:pPr>
        <w:pStyle w:val="Default"/>
        <w:rPr>
          <w:sz w:val="22"/>
          <w:szCs w:val="22"/>
        </w:rPr>
      </w:pPr>
      <w:r w:rsidRPr="003C4FBE">
        <w:rPr>
          <w:sz w:val="22"/>
          <w:szCs w:val="22"/>
        </w:rPr>
        <w:lastRenderedPageBreak/>
        <w:t xml:space="preserve">Bieži: slikta dūša, vemšana, caureja, sāpes vēderā. </w:t>
      </w:r>
    </w:p>
    <w:p w14:paraId="58780214" w14:textId="77777777" w:rsidR="003765C7" w:rsidRPr="003C4FBE" w:rsidRDefault="003765C7" w:rsidP="00B109A8">
      <w:pPr>
        <w:pStyle w:val="Default"/>
        <w:rPr>
          <w:i/>
          <w:iCs/>
          <w:sz w:val="22"/>
          <w:szCs w:val="22"/>
          <w:u w:val="single"/>
        </w:rPr>
      </w:pPr>
    </w:p>
    <w:p w14:paraId="0EF49C53" w14:textId="77777777" w:rsidR="003765C7" w:rsidRPr="003C4FBE" w:rsidRDefault="003765C7" w:rsidP="00B109A8">
      <w:pPr>
        <w:pStyle w:val="Default"/>
        <w:rPr>
          <w:b/>
          <w:iCs/>
          <w:sz w:val="22"/>
          <w:szCs w:val="22"/>
        </w:rPr>
      </w:pPr>
      <w:r w:rsidRPr="003C4FBE">
        <w:rPr>
          <w:b/>
          <w:iCs/>
          <w:sz w:val="22"/>
          <w:szCs w:val="22"/>
        </w:rPr>
        <w:t xml:space="preserve">Aknu un/vai žults izvades sistēmas traucējumi </w:t>
      </w:r>
    </w:p>
    <w:p w14:paraId="591DD492" w14:textId="77777777" w:rsidR="003765C7" w:rsidRPr="003C4FBE" w:rsidRDefault="003765C7" w:rsidP="00B109A8">
      <w:pPr>
        <w:pStyle w:val="Default"/>
        <w:rPr>
          <w:sz w:val="22"/>
          <w:szCs w:val="22"/>
        </w:rPr>
      </w:pPr>
      <w:r w:rsidRPr="003C4FBE">
        <w:rPr>
          <w:sz w:val="22"/>
          <w:szCs w:val="22"/>
        </w:rPr>
        <w:t xml:space="preserve">Reti: pārejoša bilirubīna un aknu enzīmu līmeņa paaugstināšanās. </w:t>
      </w:r>
    </w:p>
    <w:p w14:paraId="6870DC9F" w14:textId="77777777" w:rsidR="003765C7" w:rsidRPr="003C4FBE" w:rsidRDefault="003765C7" w:rsidP="00B109A8">
      <w:pPr>
        <w:pStyle w:val="Default"/>
        <w:rPr>
          <w:sz w:val="22"/>
          <w:szCs w:val="22"/>
        </w:rPr>
      </w:pPr>
      <w:r w:rsidRPr="003C4FBE">
        <w:rPr>
          <w:sz w:val="22"/>
          <w:szCs w:val="22"/>
        </w:rPr>
        <w:t xml:space="preserve">Ļoti reti: hepatīts, dzelte. </w:t>
      </w:r>
    </w:p>
    <w:p w14:paraId="4CCCBC11" w14:textId="77777777" w:rsidR="003765C7" w:rsidRPr="003C4FBE" w:rsidRDefault="003765C7" w:rsidP="00B109A8">
      <w:pPr>
        <w:pStyle w:val="Default"/>
        <w:rPr>
          <w:i/>
          <w:iCs/>
          <w:sz w:val="22"/>
          <w:szCs w:val="22"/>
          <w:u w:val="single"/>
        </w:rPr>
      </w:pPr>
    </w:p>
    <w:p w14:paraId="6557BF20" w14:textId="77777777" w:rsidR="003765C7" w:rsidRPr="003C4FBE" w:rsidRDefault="003765C7" w:rsidP="00B109A8">
      <w:pPr>
        <w:pStyle w:val="Default"/>
        <w:rPr>
          <w:b/>
          <w:iCs/>
          <w:sz w:val="22"/>
          <w:szCs w:val="22"/>
        </w:rPr>
      </w:pPr>
      <w:r w:rsidRPr="003C4FBE">
        <w:rPr>
          <w:b/>
          <w:iCs/>
          <w:sz w:val="22"/>
          <w:szCs w:val="22"/>
        </w:rPr>
        <w:t xml:space="preserve">Ādas un zemādas audu bojājumi </w:t>
      </w:r>
    </w:p>
    <w:p w14:paraId="724C1E7D" w14:textId="77777777" w:rsidR="003765C7" w:rsidRPr="003C4FBE" w:rsidRDefault="003765C7" w:rsidP="00B109A8">
      <w:pPr>
        <w:pStyle w:val="Default"/>
        <w:rPr>
          <w:sz w:val="22"/>
          <w:szCs w:val="22"/>
        </w:rPr>
      </w:pPr>
      <w:r w:rsidRPr="003C4FBE">
        <w:rPr>
          <w:sz w:val="22"/>
          <w:szCs w:val="22"/>
        </w:rPr>
        <w:t xml:space="preserve">Bieži: nieze, izsitumi (tostarp arī fotosensibilizācija). </w:t>
      </w:r>
    </w:p>
    <w:p w14:paraId="6D3AA8E1" w14:textId="77777777" w:rsidR="003765C7" w:rsidRPr="003C4FBE" w:rsidRDefault="003765C7" w:rsidP="00B109A8">
      <w:pPr>
        <w:pStyle w:val="Default"/>
        <w:rPr>
          <w:sz w:val="22"/>
          <w:szCs w:val="22"/>
        </w:rPr>
      </w:pPr>
      <w:r w:rsidRPr="003C4FBE">
        <w:rPr>
          <w:sz w:val="22"/>
          <w:szCs w:val="22"/>
        </w:rPr>
        <w:t xml:space="preserve">Retāk: nātrene. Paātrināta, difūza matu izkrišana. </w:t>
      </w:r>
    </w:p>
    <w:p w14:paraId="7E6DA929" w14:textId="77777777" w:rsidR="003765C7" w:rsidRPr="003C4FBE" w:rsidRDefault="003765C7" w:rsidP="00B109A8">
      <w:pPr>
        <w:pStyle w:val="Default"/>
        <w:rPr>
          <w:sz w:val="22"/>
          <w:szCs w:val="22"/>
        </w:rPr>
      </w:pPr>
      <w:r w:rsidRPr="003C4FBE">
        <w:rPr>
          <w:sz w:val="22"/>
          <w:szCs w:val="22"/>
        </w:rPr>
        <w:t xml:space="preserve">Paātrināta, difūza matu izkrišana ir saistīta ar ļoti dažādiem slimības procesiem un zāļu lietošanu. Šīs parādības saistība ar </w:t>
      </w:r>
      <w:r w:rsidR="0021531E" w:rsidRPr="003C4FBE">
        <w:rPr>
          <w:sz w:val="22"/>
          <w:szCs w:val="22"/>
        </w:rPr>
        <w:t>aciklovīr</w:t>
      </w:r>
      <w:r w:rsidRPr="003C4FBE">
        <w:rPr>
          <w:sz w:val="22"/>
          <w:szCs w:val="22"/>
        </w:rPr>
        <w:t xml:space="preserve">a lietošanu nav skaidra. </w:t>
      </w:r>
    </w:p>
    <w:p w14:paraId="4FFF799D" w14:textId="77777777" w:rsidR="003765C7" w:rsidRPr="003C4FBE" w:rsidRDefault="003765C7" w:rsidP="00B109A8">
      <w:pPr>
        <w:pStyle w:val="Default"/>
        <w:rPr>
          <w:sz w:val="22"/>
          <w:szCs w:val="22"/>
        </w:rPr>
      </w:pPr>
      <w:r w:rsidRPr="003C4FBE">
        <w:rPr>
          <w:sz w:val="22"/>
          <w:szCs w:val="22"/>
        </w:rPr>
        <w:t xml:space="preserve">Reti: angioneirotiska tūska. </w:t>
      </w:r>
    </w:p>
    <w:p w14:paraId="16E94F49" w14:textId="77777777" w:rsidR="003765C7" w:rsidRPr="003C4FBE" w:rsidRDefault="003765C7" w:rsidP="00B109A8">
      <w:pPr>
        <w:pStyle w:val="Default"/>
        <w:rPr>
          <w:i/>
          <w:iCs/>
          <w:sz w:val="22"/>
          <w:szCs w:val="22"/>
          <w:u w:val="single"/>
        </w:rPr>
      </w:pPr>
    </w:p>
    <w:p w14:paraId="0F934F6E" w14:textId="77777777" w:rsidR="003765C7" w:rsidRPr="003C4FBE" w:rsidRDefault="003765C7" w:rsidP="00B109A8">
      <w:pPr>
        <w:pStyle w:val="Default"/>
        <w:rPr>
          <w:b/>
          <w:iCs/>
          <w:sz w:val="22"/>
          <w:szCs w:val="22"/>
        </w:rPr>
      </w:pPr>
      <w:r w:rsidRPr="003C4FBE">
        <w:rPr>
          <w:b/>
          <w:iCs/>
          <w:sz w:val="22"/>
          <w:szCs w:val="22"/>
        </w:rPr>
        <w:t xml:space="preserve">Nieru un urīnizvades sistēmas traucējumi </w:t>
      </w:r>
    </w:p>
    <w:p w14:paraId="215AF35F" w14:textId="77777777" w:rsidR="003765C7" w:rsidRPr="003C4FBE" w:rsidRDefault="003765C7" w:rsidP="00B109A8">
      <w:pPr>
        <w:pStyle w:val="Default"/>
        <w:rPr>
          <w:sz w:val="22"/>
          <w:szCs w:val="22"/>
        </w:rPr>
      </w:pPr>
      <w:r w:rsidRPr="003C4FBE">
        <w:rPr>
          <w:sz w:val="22"/>
          <w:szCs w:val="22"/>
        </w:rPr>
        <w:t xml:space="preserve">Reti: urīnvielas un kreatinīna līmeņa paaugstināšanās asinīs. </w:t>
      </w:r>
    </w:p>
    <w:p w14:paraId="39375722" w14:textId="77777777" w:rsidR="003765C7" w:rsidRPr="003C4FBE" w:rsidRDefault="003765C7" w:rsidP="00B109A8">
      <w:pPr>
        <w:pStyle w:val="Default"/>
        <w:rPr>
          <w:sz w:val="22"/>
          <w:szCs w:val="22"/>
        </w:rPr>
      </w:pPr>
      <w:r w:rsidRPr="003C4FBE">
        <w:rPr>
          <w:sz w:val="22"/>
          <w:szCs w:val="22"/>
        </w:rPr>
        <w:t xml:space="preserve">Ļoti reti: akūta nieru mazspēja, nieru sāpes. </w:t>
      </w:r>
    </w:p>
    <w:p w14:paraId="1B16821B" w14:textId="77777777" w:rsidR="003765C7" w:rsidRPr="003C4FBE" w:rsidRDefault="003765C7" w:rsidP="00B109A8">
      <w:pPr>
        <w:pStyle w:val="Default"/>
        <w:rPr>
          <w:sz w:val="22"/>
          <w:szCs w:val="22"/>
        </w:rPr>
      </w:pPr>
    </w:p>
    <w:p w14:paraId="4989F59D" w14:textId="77777777" w:rsidR="003765C7" w:rsidRPr="003C4FBE" w:rsidRDefault="003765C7" w:rsidP="00B109A8">
      <w:pPr>
        <w:pStyle w:val="Default"/>
        <w:rPr>
          <w:sz w:val="22"/>
          <w:szCs w:val="22"/>
        </w:rPr>
      </w:pPr>
      <w:r w:rsidRPr="003C4FBE">
        <w:rPr>
          <w:sz w:val="22"/>
          <w:szCs w:val="22"/>
        </w:rPr>
        <w:t xml:space="preserve">Nieru sāpes var būt saistītas ar nieru mazspēju. </w:t>
      </w:r>
    </w:p>
    <w:p w14:paraId="4CA05D87" w14:textId="77777777" w:rsidR="003765C7" w:rsidRPr="003C4FBE" w:rsidRDefault="003765C7" w:rsidP="00B109A8">
      <w:pPr>
        <w:pStyle w:val="Default"/>
        <w:rPr>
          <w:i/>
          <w:iCs/>
          <w:sz w:val="22"/>
          <w:szCs w:val="22"/>
          <w:u w:val="single"/>
        </w:rPr>
      </w:pPr>
    </w:p>
    <w:p w14:paraId="3F30E78C" w14:textId="77777777" w:rsidR="003765C7" w:rsidRPr="003C4FBE" w:rsidRDefault="003765C7" w:rsidP="00B109A8">
      <w:pPr>
        <w:pStyle w:val="Default"/>
        <w:rPr>
          <w:sz w:val="22"/>
          <w:szCs w:val="22"/>
        </w:rPr>
      </w:pPr>
      <w:r w:rsidRPr="003C4FBE">
        <w:rPr>
          <w:b/>
          <w:iCs/>
          <w:sz w:val="22"/>
          <w:szCs w:val="22"/>
        </w:rPr>
        <w:t xml:space="preserve">Vispārēji traucējumi un reakcijas ievadīšanas vietā </w:t>
      </w:r>
    </w:p>
    <w:p w14:paraId="522FC817" w14:textId="77777777" w:rsidR="003765C7" w:rsidRPr="003C4FBE" w:rsidRDefault="003765C7" w:rsidP="00B109A8">
      <w:pPr>
        <w:pStyle w:val="Default"/>
        <w:rPr>
          <w:sz w:val="22"/>
          <w:szCs w:val="22"/>
        </w:rPr>
      </w:pPr>
      <w:r w:rsidRPr="003C4FBE">
        <w:rPr>
          <w:sz w:val="22"/>
          <w:szCs w:val="22"/>
        </w:rPr>
        <w:t xml:space="preserve">Bieži: nogurums, drudzis. </w:t>
      </w:r>
    </w:p>
    <w:p w14:paraId="0E1BF938" w14:textId="77777777" w:rsidR="003765C7" w:rsidRPr="003C4FBE" w:rsidRDefault="003765C7" w:rsidP="00B109A8">
      <w:pPr>
        <w:pStyle w:val="Default"/>
        <w:ind w:left="567" w:hanging="568"/>
        <w:rPr>
          <w:b/>
          <w:bCs/>
          <w:sz w:val="22"/>
          <w:szCs w:val="22"/>
        </w:rPr>
      </w:pPr>
    </w:p>
    <w:p w14:paraId="62348B2B" w14:textId="77777777" w:rsidR="003765C7" w:rsidRPr="003C4FBE" w:rsidRDefault="003765C7" w:rsidP="00B109A8">
      <w:pPr>
        <w:autoSpaceDE w:val="0"/>
        <w:autoSpaceDN w:val="0"/>
        <w:adjustRightInd w:val="0"/>
        <w:spacing w:after="0" w:line="240" w:lineRule="auto"/>
        <w:jc w:val="both"/>
        <w:rPr>
          <w:rFonts w:ascii="Times New Roman" w:hAnsi="Times New Roman"/>
          <w:u w:val="single"/>
        </w:rPr>
      </w:pPr>
      <w:r w:rsidRPr="003C4FBE">
        <w:rPr>
          <w:rFonts w:ascii="Times New Roman" w:hAnsi="Times New Roman"/>
          <w:u w:val="single"/>
        </w:rPr>
        <w:t>Ziņošana par iespējamām nevēlamām blakusparādībām</w:t>
      </w:r>
    </w:p>
    <w:p w14:paraId="5B4E5790" w14:textId="77777777" w:rsidR="009A0988" w:rsidRPr="00227B6F" w:rsidRDefault="009A0988" w:rsidP="009A0988">
      <w:pPr>
        <w:pStyle w:val="Default"/>
        <w:widowControl w:val="0"/>
        <w:rPr>
          <w:noProof/>
          <w:lang w:eastAsia="zh-CN"/>
        </w:rPr>
      </w:pPr>
      <w:r w:rsidRPr="00565EF5">
        <w:rPr>
          <w:sz w:val="22"/>
          <w:szCs w:val="22"/>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r w:rsidRPr="00227B6F">
        <w:rPr>
          <w:noProof/>
          <w:lang w:eastAsia="zh-CN"/>
        </w:rPr>
        <w:t xml:space="preserve">Zāļu valsts aģentūrai, </w:t>
      </w:r>
      <w:r w:rsidRPr="00227B6F">
        <w:rPr>
          <w:lang w:eastAsia="zh-CN"/>
        </w:rPr>
        <w:t xml:space="preserve">Jersikas ielā 15, </w:t>
      </w:r>
      <w:r w:rsidRPr="00227B6F">
        <w:rPr>
          <w:sz w:val="22"/>
          <w:szCs w:val="22"/>
          <w:lang w:eastAsia="zh-CN"/>
        </w:rPr>
        <w:t xml:space="preserve">Rīgā, LV 1003. </w:t>
      </w:r>
    </w:p>
    <w:p w14:paraId="67820B2C" w14:textId="77777777" w:rsidR="009A0988" w:rsidRPr="00565EF5" w:rsidRDefault="009A0988" w:rsidP="009A0988">
      <w:pPr>
        <w:widowControl w:val="0"/>
        <w:tabs>
          <w:tab w:val="left" w:pos="-720"/>
        </w:tabs>
        <w:spacing w:after="0"/>
        <w:rPr>
          <w:rFonts w:ascii="Times New Roman" w:hAnsi="Times New Roman"/>
          <w:noProof/>
          <w:lang w:val="sv-SE" w:eastAsia="zh-CN"/>
        </w:rPr>
      </w:pPr>
    </w:p>
    <w:p w14:paraId="02F38B5A" w14:textId="77777777" w:rsidR="009A0988" w:rsidRPr="00565EF5" w:rsidRDefault="009A0988" w:rsidP="009A0988">
      <w:pPr>
        <w:widowControl w:val="0"/>
        <w:tabs>
          <w:tab w:val="left" w:pos="-720"/>
          <w:tab w:val="left" w:pos="567"/>
        </w:tabs>
        <w:spacing w:after="0"/>
        <w:rPr>
          <w:rFonts w:ascii="Times New Roman" w:hAnsi="Times New Roman"/>
          <w:lang w:val="sv-SE" w:eastAsia="zh-CN"/>
        </w:rPr>
      </w:pPr>
      <w:r w:rsidRPr="00565EF5">
        <w:rPr>
          <w:rFonts w:ascii="Times New Roman" w:hAnsi="Times New Roman"/>
          <w:lang w:val="sv-SE" w:eastAsia="zh-CN"/>
        </w:rPr>
        <w:t>Tīmekļa vietne: www.zva.gov.lv</w:t>
      </w:r>
    </w:p>
    <w:p w14:paraId="6DAF0E29" w14:textId="77777777" w:rsidR="003765C7" w:rsidRPr="003C4FBE" w:rsidRDefault="003765C7" w:rsidP="00B109A8">
      <w:pPr>
        <w:pStyle w:val="Default"/>
        <w:ind w:left="567" w:hanging="568"/>
        <w:rPr>
          <w:b/>
          <w:bCs/>
          <w:sz w:val="22"/>
          <w:szCs w:val="22"/>
        </w:rPr>
      </w:pPr>
    </w:p>
    <w:p w14:paraId="6FBF273D" w14:textId="77777777" w:rsidR="003765C7" w:rsidRPr="003C4FBE" w:rsidRDefault="003765C7" w:rsidP="00B109A8">
      <w:pPr>
        <w:pStyle w:val="Default"/>
        <w:ind w:left="567" w:hanging="568"/>
        <w:rPr>
          <w:sz w:val="22"/>
          <w:szCs w:val="22"/>
        </w:rPr>
      </w:pPr>
      <w:r w:rsidRPr="003C4FBE">
        <w:rPr>
          <w:b/>
          <w:bCs/>
          <w:sz w:val="22"/>
          <w:szCs w:val="22"/>
        </w:rPr>
        <w:t xml:space="preserve">4.9. Pārdozēšana </w:t>
      </w:r>
    </w:p>
    <w:p w14:paraId="1351422E" w14:textId="77777777" w:rsidR="003765C7" w:rsidRPr="003C4FBE" w:rsidRDefault="003765C7" w:rsidP="00B109A8">
      <w:pPr>
        <w:pStyle w:val="Default"/>
        <w:rPr>
          <w:i/>
          <w:iCs/>
          <w:sz w:val="22"/>
          <w:szCs w:val="22"/>
        </w:rPr>
      </w:pPr>
    </w:p>
    <w:p w14:paraId="2F648B4B" w14:textId="77777777" w:rsidR="003765C7" w:rsidRPr="003C4FBE" w:rsidRDefault="003765C7" w:rsidP="00B109A8">
      <w:pPr>
        <w:pStyle w:val="Default"/>
        <w:rPr>
          <w:sz w:val="22"/>
          <w:szCs w:val="22"/>
        </w:rPr>
      </w:pPr>
      <w:r w:rsidRPr="003C4FBE">
        <w:rPr>
          <w:i/>
          <w:iCs/>
          <w:sz w:val="22"/>
          <w:szCs w:val="22"/>
        </w:rPr>
        <w:t>Simptomi un pazīmes</w:t>
      </w:r>
      <w:r w:rsidRPr="003C4FBE">
        <w:rPr>
          <w:sz w:val="22"/>
          <w:szCs w:val="22"/>
        </w:rPr>
        <w:t xml:space="preserve">: </w:t>
      </w:r>
      <w:r w:rsidR="0021531E" w:rsidRPr="003C4FBE">
        <w:rPr>
          <w:sz w:val="22"/>
          <w:szCs w:val="22"/>
        </w:rPr>
        <w:t>aciklovīr</w:t>
      </w:r>
      <w:r w:rsidRPr="003C4FBE">
        <w:rPr>
          <w:sz w:val="22"/>
          <w:szCs w:val="22"/>
        </w:rPr>
        <w:t xml:space="preserve">s no kuņģa – zarnu trakta absorbējas tikai daļēji. Pacientiem, kuri pārdozēšanas gadījumos vienā reizē ir lietojuši līdz pat 20 g lielas </w:t>
      </w:r>
      <w:r w:rsidR="0021531E" w:rsidRPr="003C4FBE">
        <w:rPr>
          <w:sz w:val="22"/>
          <w:szCs w:val="22"/>
        </w:rPr>
        <w:t>aciklovīr</w:t>
      </w:r>
      <w:r w:rsidRPr="003C4FBE">
        <w:rPr>
          <w:sz w:val="22"/>
          <w:szCs w:val="22"/>
        </w:rPr>
        <w:t xml:space="preserve">a devas, toksicitātes izpausmes parasti nav novērotas. Nejauša atkārtota vairākas dienas ilga perorāli lietojamo </w:t>
      </w:r>
      <w:r w:rsidR="0021531E" w:rsidRPr="003C4FBE">
        <w:rPr>
          <w:sz w:val="22"/>
          <w:szCs w:val="22"/>
        </w:rPr>
        <w:t>aciklovīr</w:t>
      </w:r>
      <w:r w:rsidRPr="003C4FBE">
        <w:rPr>
          <w:sz w:val="22"/>
          <w:szCs w:val="22"/>
        </w:rPr>
        <w:t xml:space="preserve">a zāļu formu pārdozēšana ir saistīta ar nevēlamām parādībām kuņģa – zarnu traktā (piemēram, sliktu dūšu un vemšanu) un neiroloģiska rakstura parādībām (galvassāpēm un apjukumu). Intravenozi ievadāmo </w:t>
      </w:r>
      <w:r w:rsidR="0021531E" w:rsidRPr="003C4FBE">
        <w:rPr>
          <w:sz w:val="22"/>
          <w:szCs w:val="22"/>
        </w:rPr>
        <w:t>aciklovīr</w:t>
      </w:r>
      <w:r w:rsidRPr="003C4FBE">
        <w:rPr>
          <w:sz w:val="22"/>
          <w:szCs w:val="22"/>
        </w:rPr>
        <w:t xml:space="preserve">a zāļu formu pārdozēšana ir izraisījusi kreatinīna un atlieku slāpekļa līmeņa paaugstināšanos serumā un sekojošu nieru mazspēju. Sakarā ar intravenozu zāļu pārdozēšanu ir aprakstītas neiroloģiska rakstura parādības, arī apjukums, halucinācijas, uzbudinājums, krampji un koma. </w:t>
      </w:r>
    </w:p>
    <w:p w14:paraId="3F409902" w14:textId="77777777" w:rsidR="003765C7" w:rsidRPr="003C4FBE" w:rsidRDefault="003765C7" w:rsidP="00B109A8">
      <w:pPr>
        <w:pStyle w:val="Default"/>
        <w:rPr>
          <w:sz w:val="22"/>
          <w:szCs w:val="22"/>
        </w:rPr>
      </w:pPr>
      <w:r w:rsidRPr="003C4FBE">
        <w:rPr>
          <w:i/>
          <w:iCs/>
          <w:sz w:val="22"/>
          <w:szCs w:val="22"/>
        </w:rPr>
        <w:t>Terapija: rūpīgi jākontrolē toksicitātes pazīmes p</w:t>
      </w:r>
      <w:r w:rsidRPr="003C4FBE">
        <w:rPr>
          <w:sz w:val="22"/>
          <w:szCs w:val="22"/>
        </w:rPr>
        <w:t xml:space="preserve">acientiem. Hemodialīze ievērojami pastiprina </w:t>
      </w:r>
      <w:r w:rsidR="0021531E" w:rsidRPr="003C4FBE">
        <w:rPr>
          <w:sz w:val="22"/>
          <w:szCs w:val="22"/>
        </w:rPr>
        <w:t>aciklovīr</w:t>
      </w:r>
      <w:r w:rsidRPr="003C4FBE">
        <w:rPr>
          <w:sz w:val="22"/>
          <w:szCs w:val="22"/>
        </w:rPr>
        <w:t xml:space="preserve">a izvadi no asinīm, tādējādi simptomātiskas preparāta pārdozēšanas gadījumā to var uzskatīt par vienu no iespējamajiem terapijas veidiem. </w:t>
      </w:r>
    </w:p>
    <w:p w14:paraId="2C3AB69F" w14:textId="77777777" w:rsidR="003765C7" w:rsidRPr="003C4FBE" w:rsidRDefault="003765C7" w:rsidP="00B109A8">
      <w:pPr>
        <w:pStyle w:val="Default"/>
        <w:ind w:left="567" w:hanging="568"/>
        <w:rPr>
          <w:b/>
          <w:bCs/>
          <w:sz w:val="22"/>
          <w:szCs w:val="22"/>
        </w:rPr>
      </w:pPr>
    </w:p>
    <w:p w14:paraId="637CC3E2" w14:textId="77777777" w:rsidR="003765C7" w:rsidRPr="003C4FBE" w:rsidRDefault="003765C7" w:rsidP="00B109A8">
      <w:pPr>
        <w:pStyle w:val="Default"/>
        <w:ind w:left="567" w:hanging="568"/>
        <w:rPr>
          <w:b/>
          <w:bCs/>
          <w:sz w:val="22"/>
          <w:szCs w:val="22"/>
        </w:rPr>
      </w:pPr>
    </w:p>
    <w:p w14:paraId="447391F0" w14:textId="77777777" w:rsidR="003765C7" w:rsidRPr="003C4FBE" w:rsidRDefault="003765C7" w:rsidP="00B109A8">
      <w:pPr>
        <w:pStyle w:val="Default"/>
        <w:ind w:left="567" w:hanging="568"/>
        <w:rPr>
          <w:sz w:val="22"/>
          <w:szCs w:val="22"/>
        </w:rPr>
      </w:pPr>
      <w:r w:rsidRPr="003C4FBE">
        <w:rPr>
          <w:b/>
          <w:bCs/>
          <w:sz w:val="22"/>
          <w:szCs w:val="22"/>
        </w:rPr>
        <w:t xml:space="preserve">5. FARMAKOLOĢISKĀS ĪPAŠĪBAS </w:t>
      </w:r>
    </w:p>
    <w:p w14:paraId="20B2800D" w14:textId="77777777" w:rsidR="003765C7" w:rsidRPr="003C4FBE" w:rsidRDefault="003765C7" w:rsidP="00B109A8">
      <w:pPr>
        <w:pStyle w:val="Default"/>
        <w:ind w:left="567" w:hanging="568"/>
        <w:rPr>
          <w:b/>
          <w:bCs/>
          <w:sz w:val="22"/>
          <w:szCs w:val="22"/>
        </w:rPr>
      </w:pPr>
    </w:p>
    <w:p w14:paraId="7AE740B8" w14:textId="77777777" w:rsidR="003765C7" w:rsidRPr="003C4FBE" w:rsidRDefault="003765C7" w:rsidP="00B109A8">
      <w:pPr>
        <w:pStyle w:val="Default"/>
        <w:ind w:left="567" w:hanging="568"/>
        <w:rPr>
          <w:sz w:val="22"/>
          <w:szCs w:val="22"/>
        </w:rPr>
      </w:pPr>
      <w:r w:rsidRPr="003C4FBE">
        <w:rPr>
          <w:b/>
          <w:bCs/>
          <w:sz w:val="22"/>
          <w:szCs w:val="22"/>
        </w:rPr>
        <w:t xml:space="preserve">5.1. Farmakodinamiskās īpašības </w:t>
      </w:r>
    </w:p>
    <w:p w14:paraId="14AAD66C" w14:textId="77777777" w:rsidR="003765C7" w:rsidRPr="003C4FBE" w:rsidRDefault="003765C7" w:rsidP="00B109A8">
      <w:pPr>
        <w:pStyle w:val="Default"/>
        <w:jc w:val="both"/>
        <w:rPr>
          <w:i/>
          <w:iCs/>
          <w:sz w:val="22"/>
          <w:szCs w:val="22"/>
        </w:rPr>
      </w:pPr>
    </w:p>
    <w:p w14:paraId="78F09F35" w14:textId="77777777" w:rsidR="003765C7" w:rsidRPr="003C4FBE" w:rsidRDefault="003765C7" w:rsidP="00B109A8">
      <w:pPr>
        <w:pStyle w:val="Default"/>
        <w:jc w:val="both"/>
        <w:rPr>
          <w:sz w:val="22"/>
          <w:szCs w:val="22"/>
        </w:rPr>
      </w:pPr>
      <w:r w:rsidRPr="003C4FBE">
        <w:rPr>
          <w:i/>
          <w:iCs/>
          <w:sz w:val="22"/>
          <w:szCs w:val="22"/>
        </w:rPr>
        <w:t xml:space="preserve">Farmakoterapeitiskā grupa: </w:t>
      </w:r>
      <w:r w:rsidRPr="003C4FBE">
        <w:rPr>
          <w:sz w:val="22"/>
          <w:szCs w:val="22"/>
        </w:rPr>
        <w:t xml:space="preserve">sistēmiski lietojamie pretvīrusu līdzekļi. </w:t>
      </w:r>
      <w:r w:rsidRPr="003C4FBE">
        <w:rPr>
          <w:i/>
          <w:iCs/>
          <w:sz w:val="22"/>
          <w:szCs w:val="22"/>
        </w:rPr>
        <w:t xml:space="preserve">ATĶ kods: </w:t>
      </w:r>
      <w:r w:rsidRPr="003C4FBE">
        <w:rPr>
          <w:sz w:val="22"/>
          <w:szCs w:val="22"/>
        </w:rPr>
        <w:t xml:space="preserve">J05A B01 </w:t>
      </w:r>
    </w:p>
    <w:p w14:paraId="4218BA60" w14:textId="77777777" w:rsidR="003765C7" w:rsidRPr="003C4FBE" w:rsidRDefault="003765C7" w:rsidP="00B109A8">
      <w:pPr>
        <w:pStyle w:val="Default"/>
        <w:jc w:val="both"/>
        <w:rPr>
          <w:sz w:val="22"/>
          <w:szCs w:val="22"/>
        </w:rPr>
      </w:pPr>
    </w:p>
    <w:p w14:paraId="49B2D41C" w14:textId="77777777" w:rsidR="003765C7" w:rsidRPr="003C4FBE" w:rsidRDefault="0021531E" w:rsidP="00B109A8">
      <w:pPr>
        <w:pStyle w:val="Default"/>
        <w:rPr>
          <w:sz w:val="22"/>
          <w:szCs w:val="22"/>
        </w:rPr>
      </w:pPr>
      <w:r w:rsidRPr="003C4FBE">
        <w:rPr>
          <w:sz w:val="22"/>
          <w:szCs w:val="22"/>
        </w:rPr>
        <w:t>Aciklovīr</w:t>
      </w:r>
      <w:r w:rsidR="003765C7" w:rsidRPr="003C4FBE">
        <w:rPr>
          <w:sz w:val="22"/>
          <w:szCs w:val="22"/>
        </w:rPr>
        <w:t xml:space="preserve">s ir sintētisks purīna nukleozīdu analogs, kam </w:t>
      </w:r>
      <w:r w:rsidR="003765C7" w:rsidRPr="003C4FBE">
        <w:rPr>
          <w:i/>
          <w:iCs/>
          <w:sz w:val="22"/>
          <w:szCs w:val="22"/>
        </w:rPr>
        <w:t xml:space="preserve">in vitro </w:t>
      </w:r>
      <w:r w:rsidR="003765C7" w:rsidRPr="003C4FBE">
        <w:rPr>
          <w:sz w:val="22"/>
          <w:szCs w:val="22"/>
        </w:rPr>
        <w:t xml:space="preserve">un </w:t>
      </w:r>
      <w:r w:rsidR="003765C7" w:rsidRPr="003C4FBE">
        <w:rPr>
          <w:i/>
          <w:iCs/>
          <w:sz w:val="22"/>
          <w:szCs w:val="22"/>
        </w:rPr>
        <w:t xml:space="preserve">in vivo </w:t>
      </w:r>
      <w:r w:rsidR="003765C7" w:rsidRPr="003C4FBE">
        <w:rPr>
          <w:sz w:val="22"/>
          <w:szCs w:val="22"/>
        </w:rPr>
        <w:t xml:space="preserve">ir raksturīga inhibējoša iedarbība uz cilvēka herpes vīrusiem, arī I un II tipa </w:t>
      </w:r>
      <w:r w:rsidR="003765C7" w:rsidRPr="003C4FBE">
        <w:rPr>
          <w:i/>
          <w:iCs/>
          <w:sz w:val="22"/>
          <w:szCs w:val="22"/>
        </w:rPr>
        <w:t xml:space="preserve">Herpes simplex </w:t>
      </w:r>
      <w:r w:rsidR="003765C7" w:rsidRPr="003C4FBE">
        <w:rPr>
          <w:sz w:val="22"/>
          <w:szCs w:val="22"/>
        </w:rPr>
        <w:t xml:space="preserve">vīrusiem (HSV), </w:t>
      </w:r>
      <w:r w:rsidR="003765C7" w:rsidRPr="003C4FBE">
        <w:rPr>
          <w:i/>
          <w:iCs/>
          <w:sz w:val="22"/>
          <w:szCs w:val="22"/>
        </w:rPr>
        <w:t xml:space="preserve">Varicella zoster </w:t>
      </w:r>
      <w:r w:rsidR="003765C7" w:rsidRPr="003C4FBE">
        <w:rPr>
          <w:sz w:val="22"/>
          <w:szCs w:val="22"/>
        </w:rPr>
        <w:t xml:space="preserve">vīrusu (VZV), Epšteina-Barra vīrusu (EBV) un citomegalovīrusu (CMV). Šūnu kultūrās </w:t>
      </w:r>
      <w:r w:rsidRPr="003C4FBE">
        <w:rPr>
          <w:sz w:val="22"/>
          <w:szCs w:val="22"/>
        </w:rPr>
        <w:t>aciklovīr</w:t>
      </w:r>
      <w:r w:rsidR="003765C7" w:rsidRPr="003C4FBE">
        <w:rPr>
          <w:sz w:val="22"/>
          <w:szCs w:val="22"/>
        </w:rPr>
        <w:t xml:space="preserve">am </w:t>
      </w:r>
      <w:r w:rsidR="003765C7" w:rsidRPr="003C4FBE">
        <w:rPr>
          <w:sz w:val="22"/>
          <w:szCs w:val="22"/>
        </w:rPr>
        <w:lastRenderedPageBreak/>
        <w:t xml:space="preserve">vislielākā pretvīrusu aktivitāte ir pret HSV-1 vīrusu, kam seko (aktivitātes samazināšanas secībā) HSV-2, VZV, EBV un CMV. </w:t>
      </w:r>
    </w:p>
    <w:p w14:paraId="6C800AD7" w14:textId="77777777" w:rsidR="003765C7" w:rsidRPr="003C4FBE" w:rsidRDefault="0021531E" w:rsidP="00B109A8">
      <w:pPr>
        <w:pStyle w:val="Default"/>
        <w:rPr>
          <w:sz w:val="22"/>
          <w:szCs w:val="22"/>
        </w:rPr>
      </w:pPr>
      <w:r w:rsidRPr="003C4FBE">
        <w:rPr>
          <w:sz w:val="22"/>
          <w:szCs w:val="22"/>
        </w:rPr>
        <w:t>Aciklovīr</w:t>
      </w:r>
      <w:r w:rsidR="003765C7" w:rsidRPr="003C4FBE">
        <w:rPr>
          <w:sz w:val="22"/>
          <w:szCs w:val="22"/>
        </w:rPr>
        <w:t xml:space="preserve">a inhibējošā aktivitāte attiecībā uz HSV I, HSV II, VZV, EBV un CMV ir ļoti selektīva. Normālās, neinficētās šūnās enzīms timidīnkināze (TK) </w:t>
      </w:r>
      <w:r w:rsidRPr="003C4FBE">
        <w:rPr>
          <w:sz w:val="22"/>
          <w:szCs w:val="22"/>
        </w:rPr>
        <w:t>aciklovīr</w:t>
      </w:r>
      <w:r w:rsidR="003765C7" w:rsidRPr="003C4FBE">
        <w:rPr>
          <w:sz w:val="22"/>
          <w:szCs w:val="22"/>
        </w:rPr>
        <w:t xml:space="preserve">u kā substrātu efektīvi neizmanto, tādēļ vielas toksicitāte attiecībā pret zīdītāju šūnām ir zema, bet ar HSV, VZV un EBV kodētā TK </w:t>
      </w:r>
      <w:r w:rsidRPr="003C4FBE">
        <w:rPr>
          <w:sz w:val="22"/>
          <w:szCs w:val="22"/>
        </w:rPr>
        <w:t>aciklovīr</w:t>
      </w:r>
      <w:r w:rsidR="003765C7" w:rsidRPr="003C4FBE">
        <w:rPr>
          <w:sz w:val="22"/>
          <w:szCs w:val="22"/>
        </w:rPr>
        <w:t xml:space="preserve">u pārvērš par </w:t>
      </w:r>
      <w:r w:rsidRPr="003C4FBE">
        <w:rPr>
          <w:sz w:val="22"/>
          <w:szCs w:val="22"/>
        </w:rPr>
        <w:t>aciklovīr</w:t>
      </w:r>
      <w:r w:rsidR="003765C7" w:rsidRPr="003C4FBE">
        <w:rPr>
          <w:sz w:val="22"/>
          <w:szCs w:val="22"/>
        </w:rPr>
        <w:t xml:space="preserve">a monofosfātu, kas ir nukleozīdu analogs un ko šūnu enzīmi pārvērš par difosfātu un visbeidzot par trifosfātu. </w:t>
      </w:r>
      <w:r w:rsidRPr="003C4FBE">
        <w:rPr>
          <w:sz w:val="22"/>
          <w:szCs w:val="22"/>
        </w:rPr>
        <w:t>Aciklovīr</w:t>
      </w:r>
      <w:r w:rsidR="003765C7" w:rsidRPr="003C4FBE">
        <w:rPr>
          <w:sz w:val="22"/>
          <w:szCs w:val="22"/>
        </w:rPr>
        <w:t xml:space="preserve">a trifosfāts nomāc vīrusu DNS polimerāzes aktivitāti un inhibē to DNS replikāciju, kā rezultātā pēc tā iekļaušanās vīrusa DNS pārtrūkst tās ķēdes veidošanās. </w:t>
      </w:r>
    </w:p>
    <w:p w14:paraId="072CBDB0" w14:textId="77777777" w:rsidR="003765C7" w:rsidRPr="003C4FBE" w:rsidRDefault="003765C7" w:rsidP="00B109A8">
      <w:pPr>
        <w:pStyle w:val="Default"/>
        <w:ind w:right="-2"/>
        <w:rPr>
          <w:sz w:val="22"/>
          <w:szCs w:val="22"/>
        </w:rPr>
      </w:pPr>
      <w:r w:rsidRPr="003C4FBE">
        <w:rPr>
          <w:sz w:val="22"/>
          <w:szCs w:val="22"/>
        </w:rPr>
        <w:t xml:space="preserve">Ilgstoši vai atkārtoti </w:t>
      </w:r>
      <w:r w:rsidR="0021531E" w:rsidRPr="003C4FBE">
        <w:rPr>
          <w:sz w:val="22"/>
          <w:szCs w:val="22"/>
        </w:rPr>
        <w:t>aciklovīr</w:t>
      </w:r>
      <w:r w:rsidRPr="003C4FBE">
        <w:rPr>
          <w:sz w:val="22"/>
          <w:szCs w:val="22"/>
        </w:rPr>
        <w:t xml:space="preserve">a terapijas kursi pacientu, kuriem ir smagi imūnās sistēmas darbības traucējumi, organismā var izraisīt pret </w:t>
      </w:r>
      <w:r w:rsidR="0021531E" w:rsidRPr="003C4FBE">
        <w:rPr>
          <w:sz w:val="22"/>
          <w:szCs w:val="22"/>
        </w:rPr>
        <w:t>aciklovīr</w:t>
      </w:r>
      <w:r w:rsidRPr="003C4FBE">
        <w:rPr>
          <w:sz w:val="22"/>
          <w:szCs w:val="22"/>
        </w:rPr>
        <w:t xml:space="preserve">u mazāk jutīgu vīrusu celmu selekciju, sakarā ar ko tie var nereaģēt uz turpmāku </w:t>
      </w:r>
      <w:r w:rsidR="0021531E" w:rsidRPr="003C4FBE">
        <w:rPr>
          <w:sz w:val="22"/>
          <w:szCs w:val="22"/>
        </w:rPr>
        <w:t>aciklovīr</w:t>
      </w:r>
      <w:r w:rsidRPr="003C4FBE">
        <w:rPr>
          <w:sz w:val="22"/>
          <w:szCs w:val="22"/>
        </w:rPr>
        <w:t xml:space="preserve">a terapiju. Vairumam no klīniskajā praksē izolētajiem vīrusu celmiem ar samazinātu jutību ir raksturīgs relatīvs virālās TK deficīts, tomēr ir aprakstīti arī celmi ar izmainītu virālo TK vai DNS polimerāzi. Izolēto HSV pakļaušana </w:t>
      </w:r>
      <w:r w:rsidR="0021531E" w:rsidRPr="003C4FBE">
        <w:rPr>
          <w:sz w:val="22"/>
          <w:szCs w:val="22"/>
        </w:rPr>
        <w:t>aciklovīr</w:t>
      </w:r>
      <w:r w:rsidRPr="003C4FBE">
        <w:rPr>
          <w:sz w:val="22"/>
          <w:szCs w:val="22"/>
        </w:rPr>
        <w:t xml:space="preserve">a iedarbībai </w:t>
      </w:r>
      <w:r w:rsidRPr="003C4FBE">
        <w:rPr>
          <w:i/>
          <w:iCs/>
          <w:sz w:val="22"/>
          <w:szCs w:val="22"/>
        </w:rPr>
        <w:t xml:space="preserve">in vitro </w:t>
      </w:r>
      <w:r w:rsidRPr="003C4FBE">
        <w:rPr>
          <w:sz w:val="22"/>
          <w:szCs w:val="22"/>
        </w:rPr>
        <w:t xml:space="preserve">arī var radīt mazāk jutīgus celmus. Sakarība starp </w:t>
      </w:r>
      <w:r w:rsidRPr="003C4FBE">
        <w:rPr>
          <w:i/>
          <w:iCs/>
          <w:sz w:val="22"/>
          <w:szCs w:val="22"/>
        </w:rPr>
        <w:t xml:space="preserve">in vitro </w:t>
      </w:r>
      <w:r w:rsidRPr="003C4FBE">
        <w:rPr>
          <w:sz w:val="22"/>
          <w:szCs w:val="22"/>
        </w:rPr>
        <w:t xml:space="preserve">noteikto izolēto HSV jutību un klīnisko atbildes reakciju uz </w:t>
      </w:r>
      <w:r w:rsidR="0021531E" w:rsidRPr="003C4FBE">
        <w:rPr>
          <w:sz w:val="22"/>
          <w:szCs w:val="22"/>
        </w:rPr>
        <w:t>aciklovīr</w:t>
      </w:r>
      <w:r w:rsidRPr="003C4FBE">
        <w:rPr>
          <w:sz w:val="22"/>
          <w:szCs w:val="22"/>
        </w:rPr>
        <w:t xml:space="preserve">a terapiju nav noskaidrota. </w:t>
      </w:r>
    </w:p>
    <w:p w14:paraId="5A75CBD9" w14:textId="77777777" w:rsidR="003765C7" w:rsidRPr="003C4FBE" w:rsidRDefault="003765C7" w:rsidP="00B109A8">
      <w:pPr>
        <w:pStyle w:val="Default"/>
        <w:ind w:left="567" w:hanging="568"/>
        <w:rPr>
          <w:b/>
          <w:bCs/>
          <w:sz w:val="22"/>
          <w:szCs w:val="22"/>
        </w:rPr>
      </w:pPr>
    </w:p>
    <w:p w14:paraId="741A2589" w14:textId="77777777" w:rsidR="003765C7" w:rsidRPr="003C4FBE" w:rsidRDefault="003765C7" w:rsidP="00B109A8">
      <w:pPr>
        <w:pStyle w:val="Default"/>
        <w:ind w:left="567" w:hanging="568"/>
        <w:rPr>
          <w:sz w:val="22"/>
          <w:szCs w:val="22"/>
        </w:rPr>
      </w:pPr>
      <w:r w:rsidRPr="003C4FBE">
        <w:rPr>
          <w:b/>
          <w:bCs/>
          <w:sz w:val="22"/>
          <w:szCs w:val="22"/>
        </w:rPr>
        <w:t xml:space="preserve">5.2. Farmakokinētiskās īpašības </w:t>
      </w:r>
    </w:p>
    <w:p w14:paraId="2A1EF394" w14:textId="77777777" w:rsidR="003765C7" w:rsidRPr="003C4FBE" w:rsidRDefault="003765C7" w:rsidP="00B109A8">
      <w:pPr>
        <w:pStyle w:val="Default"/>
        <w:rPr>
          <w:sz w:val="22"/>
          <w:szCs w:val="22"/>
        </w:rPr>
      </w:pPr>
    </w:p>
    <w:p w14:paraId="00734385" w14:textId="77777777" w:rsidR="003765C7" w:rsidRPr="003C4FBE" w:rsidRDefault="003765C7" w:rsidP="00B109A8">
      <w:pPr>
        <w:pStyle w:val="Default"/>
        <w:rPr>
          <w:sz w:val="22"/>
          <w:szCs w:val="22"/>
        </w:rPr>
      </w:pPr>
      <w:r w:rsidRPr="003C4FBE">
        <w:rPr>
          <w:sz w:val="22"/>
          <w:szCs w:val="22"/>
        </w:rPr>
        <w:t xml:space="preserve">No zarnu trakta </w:t>
      </w:r>
      <w:r w:rsidR="0021531E" w:rsidRPr="003C4FBE">
        <w:rPr>
          <w:sz w:val="22"/>
          <w:szCs w:val="22"/>
        </w:rPr>
        <w:t>aciklovīr</w:t>
      </w:r>
      <w:r w:rsidRPr="003C4FBE">
        <w:rPr>
          <w:sz w:val="22"/>
          <w:szCs w:val="22"/>
        </w:rPr>
        <w:t xml:space="preserve">s absorbējas tikai daļēji. Pēc </w:t>
      </w:r>
      <w:r w:rsidR="0021531E" w:rsidRPr="003C4FBE">
        <w:rPr>
          <w:sz w:val="22"/>
          <w:szCs w:val="22"/>
        </w:rPr>
        <w:t>aciklovīr</w:t>
      </w:r>
      <w:r w:rsidRPr="003C4FBE">
        <w:rPr>
          <w:sz w:val="22"/>
          <w:szCs w:val="22"/>
        </w:rPr>
        <w:t>a 200 mg devu lietošanas ar 4 stundu starplaiku līdzsvara stāvokļa vidējā maksimālā koncentrācija (C</w:t>
      </w:r>
      <w:r w:rsidRPr="003C4FBE">
        <w:rPr>
          <w:sz w:val="22"/>
          <w:szCs w:val="22"/>
          <w:vertAlign w:val="subscript"/>
        </w:rPr>
        <w:t>ssmax</w:t>
      </w:r>
      <w:r w:rsidRPr="003C4FBE">
        <w:rPr>
          <w:sz w:val="22"/>
          <w:szCs w:val="22"/>
        </w:rPr>
        <w:t>) plazmā bija 3,1 μmol/ml jeb 0,7 μg/ml, bet atbilstošā vidējā zemākā koncentrācija plazmā (</w:t>
      </w:r>
      <w:r w:rsidRPr="003C4FBE">
        <w:rPr>
          <w:sz w:val="22"/>
          <w:szCs w:val="22"/>
          <w:vertAlign w:val="subscript"/>
        </w:rPr>
        <w:t>Css min</w:t>
      </w:r>
      <w:r w:rsidRPr="003C4FBE">
        <w:rPr>
          <w:sz w:val="22"/>
          <w:szCs w:val="22"/>
        </w:rPr>
        <w:t>) bija 1,8 μmol/ml jeb 0,4 μg/ml. Pēc 400 mg un 800 mg lielu devu lietošanas ar 4 stundu starplaiku atbilstošās C</w:t>
      </w:r>
      <w:r w:rsidRPr="003C4FBE">
        <w:rPr>
          <w:sz w:val="22"/>
          <w:szCs w:val="22"/>
          <w:vertAlign w:val="subscript"/>
        </w:rPr>
        <w:t>ssmax</w:t>
      </w:r>
      <w:r w:rsidRPr="003C4FBE">
        <w:rPr>
          <w:sz w:val="22"/>
          <w:szCs w:val="22"/>
        </w:rPr>
        <w:t xml:space="preserve"> vērtības bija attiecīgi 5,3 μmol/1,2 μg/ml un 8 μmol/1,8 μg/ml, savukārt atbilstošās C</w:t>
      </w:r>
      <w:r w:rsidRPr="003C4FBE">
        <w:rPr>
          <w:sz w:val="22"/>
          <w:szCs w:val="22"/>
          <w:vertAlign w:val="subscript"/>
        </w:rPr>
        <w:t>ssmin</w:t>
      </w:r>
      <w:r w:rsidRPr="003C4FBE">
        <w:rPr>
          <w:sz w:val="22"/>
          <w:szCs w:val="22"/>
        </w:rPr>
        <w:t xml:space="preserve"> vērtības bija attiecīgi 2,7 μmol/0,6 μg/ml un 4 μmol/0,9 μg/ml. </w:t>
      </w:r>
    </w:p>
    <w:p w14:paraId="60F1F51E" w14:textId="77777777" w:rsidR="003765C7" w:rsidRPr="003C4FBE" w:rsidRDefault="003765C7" w:rsidP="00B109A8">
      <w:pPr>
        <w:pStyle w:val="Default"/>
        <w:rPr>
          <w:sz w:val="22"/>
          <w:szCs w:val="22"/>
        </w:rPr>
      </w:pPr>
    </w:p>
    <w:p w14:paraId="3D557BC2" w14:textId="77777777" w:rsidR="003765C7" w:rsidRPr="003C4FBE" w:rsidRDefault="003765C7" w:rsidP="00B109A8">
      <w:pPr>
        <w:pStyle w:val="Default"/>
        <w:rPr>
          <w:sz w:val="22"/>
          <w:szCs w:val="22"/>
        </w:rPr>
      </w:pPr>
      <w:r w:rsidRPr="003C4FBE">
        <w:rPr>
          <w:sz w:val="22"/>
          <w:szCs w:val="22"/>
        </w:rPr>
        <w:t xml:space="preserve">Pieaugušajiem pēc intravenozas </w:t>
      </w:r>
      <w:r w:rsidR="0021531E" w:rsidRPr="003C4FBE">
        <w:rPr>
          <w:sz w:val="22"/>
          <w:szCs w:val="22"/>
        </w:rPr>
        <w:t>aciklovīr</w:t>
      </w:r>
      <w:r w:rsidRPr="003C4FBE">
        <w:rPr>
          <w:sz w:val="22"/>
          <w:szCs w:val="22"/>
        </w:rPr>
        <w:t xml:space="preserve">a ievadīšanas terminālais plazmas pusperiods ir aptuveni 2,9 stundas. Vairums zāļu neizmainītā veidā tiek izvadīts caur nierēm. </w:t>
      </w:r>
      <w:r w:rsidR="0021531E" w:rsidRPr="003C4FBE">
        <w:rPr>
          <w:sz w:val="22"/>
          <w:szCs w:val="22"/>
        </w:rPr>
        <w:t>Aciklovīr</w:t>
      </w:r>
      <w:r w:rsidRPr="003C4FBE">
        <w:rPr>
          <w:sz w:val="22"/>
          <w:szCs w:val="22"/>
        </w:rPr>
        <w:t xml:space="preserve">a nieru klīrensa ātrums ievērojami pārsniedz kreatinīna klīrensa ātrumu – tas norāda, ka aktīvās vielas elimināciju caur nierēm papildus glomerulārajai filtrācijai nodrošina arī tubulārā sekrēcija. </w:t>
      </w:r>
    </w:p>
    <w:p w14:paraId="13798A16" w14:textId="77777777" w:rsidR="003765C7" w:rsidRPr="003C4FBE" w:rsidRDefault="003765C7" w:rsidP="00B109A8">
      <w:pPr>
        <w:pStyle w:val="Default"/>
        <w:rPr>
          <w:sz w:val="22"/>
          <w:szCs w:val="22"/>
        </w:rPr>
      </w:pPr>
      <w:r w:rsidRPr="003C4FBE">
        <w:rPr>
          <w:sz w:val="22"/>
          <w:szCs w:val="22"/>
        </w:rPr>
        <w:t xml:space="preserve">Vienīgais nozīmīgais </w:t>
      </w:r>
      <w:r w:rsidR="0021531E" w:rsidRPr="003C4FBE">
        <w:rPr>
          <w:sz w:val="22"/>
          <w:szCs w:val="22"/>
        </w:rPr>
        <w:t>aciklovīr</w:t>
      </w:r>
      <w:r w:rsidRPr="003C4FBE">
        <w:rPr>
          <w:sz w:val="22"/>
          <w:szCs w:val="22"/>
        </w:rPr>
        <w:t xml:space="preserve">a metabolīts ir 9-karboksimetoksimetilguanīns, kas veido aptuveni 10 - 15% no urīna izdalītās ievadītās devas daļas. Ja </w:t>
      </w:r>
      <w:r w:rsidR="0021531E" w:rsidRPr="003C4FBE">
        <w:rPr>
          <w:sz w:val="22"/>
          <w:szCs w:val="22"/>
        </w:rPr>
        <w:t>aciklovīr</w:t>
      </w:r>
      <w:r w:rsidRPr="003C4FBE">
        <w:rPr>
          <w:sz w:val="22"/>
          <w:szCs w:val="22"/>
        </w:rPr>
        <w:t xml:space="preserve">u lieto vienu stundu pēc 1 g probenecīda ievades, tā terminālā pusperioda ilgums un plazmas koncentrācijas-laika zemlīknes laukums palielinās par attiecīgi 18 un 40%. </w:t>
      </w:r>
    </w:p>
    <w:p w14:paraId="38B321D8" w14:textId="77777777" w:rsidR="007C6957" w:rsidRPr="003C4FBE" w:rsidRDefault="007C6957" w:rsidP="00B109A8">
      <w:pPr>
        <w:pStyle w:val="Default"/>
        <w:rPr>
          <w:sz w:val="22"/>
          <w:szCs w:val="22"/>
        </w:rPr>
      </w:pPr>
    </w:p>
    <w:p w14:paraId="4B26299E" w14:textId="77777777" w:rsidR="003765C7" w:rsidRPr="003C4FBE" w:rsidRDefault="003765C7" w:rsidP="00B109A8">
      <w:pPr>
        <w:pStyle w:val="Default"/>
        <w:rPr>
          <w:sz w:val="22"/>
          <w:szCs w:val="22"/>
        </w:rPr>
      </w:pPr>
      <w:r w:rsidRPr="003C4FBE">
        <w:rPr>
          <w:sz w:val="22"/>
          <w:szCs w:val="22"/>
        </w:rPr>
        <w:t>Konstatēts, ka jaundzimušajiem (līdz trīs mēnešu vecumam), kas ārstēti ar 10 mg/kg lielām devām, tās ik pēc astoņām stundām ievadot vienu stundu ilgas infūzijas veidā, C</w:t>
      </w:r>
      <w:r w:rsidRPr="003C4FBE">
        <w:rPr>
          <w:sz w:val="22"/>
          <w:szCs w:val="22"/>
          <w:vertAlign w:val="subscript"/>
        </w:rPr>
        <w:t>ssmax</w:t>
      </w:r>
      <w:r w:rsidRPr="003C4FBE">
        <w:rPr>
          <w:sz w:val="22"/>
          <w:szCs w:val="22"/>
        </w:rPr>
        <w:t xml:space="preserve"> ir 61,2 µmol (13,8 µg/ml), bet C</w:t>
      </w:r>
      <w:r w:rsidRPr="003C4FBE">
        <w:rPr>
          <w:sz w:val="22"/>
          <w:szCs w:val="22"/>
          <w:vertAlign w:val="subscript"/>
        </w:rPr>
        <w:t>ssmin</w:t>
      </w:r>
      <w:r w:rsidRPr="003C4FBE">
        <w:rPr>
          <w:sz w:val="22"/>
          <w:szCs w:val="22"/>
        </w:rPr>
        <w:t xml:space="preserve"> ir 10,1 µmol (2,3 µg/ml). Atsevišķā jaundzimušo grupā, kuri saņēma 15 mg/kg lielas devas, tās ievadot ik pēc astoņām stundām, tika novērota devas lielumam aptuveni proporcionāla koncentrācijas palielināšanās – C</w:t>
      </w:r>
      <w:r w:rsidRPr="003C4FBE">
        <w:rPr>
          <w:sz w:val="22"/>
          <w:szCs w:val="22"/>
          <w:vertAlign w:val="subscript"/>
        </w:rPr>
        <w:t>max</w:t>
      </w:r>
      <w:r w:rsidRPr="003C4FBE">
        <w:rPr>
          <w:sz w:val="22"/>
          <w:szCs w:val="22"/>
        </w:rPr>
        <w:t xml:space="preserve"> un C</w:t>
      </w:r>
      <w:r w:rsidRPr="003C4FBE">
        <w:rPr>
          <w:sz w:val="22"/>
          <w:szCs w:val="22"/>
          <w:vertAlign w:val="subscript"/>
        </w:rPr>
        <w:t>min</w:t>
      </w:r>
      <w:r w:rsidRPr="003C4FBE">
        <w:rPr>
          <w:sz w:val="22"/>
          <w:szCs w:val="22"/>
        </w:rPr>
        <w:t xml:space="preserve"> bija attiecīgi 83,5 µM (18,8 µg/ml) un 14,1 µM (3,2 µg/ml).</w:t>
      </w:r>
    </w:p>
    <w:p w14:paraId="12177D8D" w14:textId="77777777" w:rsidR="007C6957" w:rsidRPr="003C4FBE" w:rsidRDefault="007C6957" w:rsidP="00B109A8">
      <w:pPr>
        <w:pStyle w:val="Default"/>
        <w:rPr>
          <w:sz w:val="22"/>
          <w:szCs w:val="22"/>
        </w:rPr>
      </w:pPr>
    </w:p>
    <w:p w14:paraId="2A3833F6" w14:textId="77777777" w:rsidR="003765C7" w:rsidRPr="003C4FBE" w:rsidRDefault="003765C7" w:rsidP="00B109A8">
      <w:pPr>
        <w:pStyle w:val="Default"/>
        <w:rPr>
          <w:sz w:val="22"/>
          <w:szCs w:val="22"/>
        </w:rPr>
      </w:pPr>
      <w:r w:rsidRPr="003C4FBE">
        <w:rPr>
          <w:sz w:val="22"/>
          <w:szCs w:val="22"/>
        </w:rPr>
        <w:t xml:space="preserve">Gados vecākiem pacientiem, palielinoties vecumam, kopējā organisma klīrensa samazināšanās ir saistīta ar kreatinīna klīrensa samazinājumu, lai gan terminālā plazmas pusperioda samazinājums ir neliels. </w:t>
      </w:r>
    </w:p>
    <w:p w14:paraId="492E1E83" w14:textId="77777777" w:rsidR="003765C7" w:rsidRPr="003C4FBE" w:rsidRDefault="003765C7" w:rsidP="00B109A8">
      <w:pPr>
        <w:pStyle w:val="Default"/>
        <w:rPr>
          <w:sz w:val="22"/>
          <w:szCs w:val="22"/>
        </w:rPr>
      </w:pPr>
      <w:r w:rsidRPr="003C4FBE">
        <w:rPr>
          <w:sz w:val="22"/>
          <w:szCs w:val="22"/>
        </w:rPr>
        <w:t xml:space="preserve">Konstatēts, ka pacientiem ar hronisku nieru mazspēju zāļu vidējais terminālais pusperiods ir 19,5 stundas. Hemodialīzes laikā </w:t>
      </w:r>
      <w:r w:rsidR="0021531E" w:rsidRPr="003C4FBE">
        <w:rPr>
          <w:sz w:val="22"/>
          <w:szCs w:val="22"/>
        </w:rPr>
        <w:t>aciklovīr</w:t>
      </w:r>
      <w:r w:rsidRPr="003C4FBE">
        <w:rPr>
          <w:sz w:val="22"/>
          <w:szCs w:val="22"/>
        </w:rPr>
        <w:t xml:space="preserve">a vidējā pusperioda ilgums ir 5,7 stundas. Dialīzes laikā </w:t>
      </w:r>
      <w:r w:rsidR="0021531E" w:rsidRPr="003C4FBE">
        <w:rPr>
          <w:sz w:val="22"/>
          <w:szCs w:val="22"/>
        </w:rPr>
        <w:t>aciklovīr</w:t>
      </w:r>
      <w:r w:rsidRPr="003C4FBE">
        <w:rPr>
          <w:sz w:val="22"/>
          <w:szCs w:val="22"/>
        </w:rPr>
        <w:t xml:space="preserve">a koncentrācija plazmā samazinās par aptuveni 60%. </w:t>
      </w:r>
    </w:p>
    <w:p w14:paraId="09555FA2" w14:textId="77777777" w:rsidR="003765C7" w:rsidRPr="003C4FBE" w:rsidRDefault="003765C7" w:rsidP="00B109A8">
      <w:pPr>
        <w:pStyle w:val="Default"/>
        <w:rPr>
          <w:sz w:val="22"/>
          <w:szCs w:val="22"/>
        </w:rPr>
      </w:pPr>
      <w:r w:rsidRPr="003C4FBE">
        <w:rPr>
          <w:sz w:val="22"/>
          <w:szCs w:val="22"/>
        </w:rPr>
        <w:t xml:space="preserve">Vielas koncentrācija cerebrospinālajā šķidrumā ir aptuveni 50% no attiecīgās koncentrācijas plazmā. Vielas saistība ar plazmas proteīniem ir relatīvi neliela (9 - 33%), un ar aktīvās vielas izspiešanu no piesaistes vietas raksturīga zāļu mijiedarbība nav paredzama. </w:t>
      </w:r>
    </w:p>
    <w:p w14:paraId="2B428DBD" w14:textId="77777777" w:rsidR="003765C7" w:rsidRPr="003C4FBE" w:rsidRDefault="003765C7" w:rsidP="00B109A8">
      <w:pPr>
        <w:pStyle w:val="Default"/>
        <w:ind w:left="567" w:hanging="568"/>
        <w:rPr>
          <w:b/>
          <w:bCs/>
          <w:sz w:val="22"/>
          <w:szCs w:val="22"/>
        </w:rPr>
      </w:pPr>
    </w:p>
    <w:p w14:paraId="334454DE" w14:textId="77777777" w:rsidR="003765C7" w:rsidRPr="003C4FBE" w:rsidRDefault="003765C7" w:rsidP="00B109A8">
      <w:pPr>
        <w:pStyle w:val="Default"/>
        <w:ind w:left="567" w:hanging="568"/>
        <w:rPr>
          <w:sz w:val="22"/>
          <w:szCs w:val="22"/>
        </w:rPr>
      </w:pPr>
      <w:r w:rsidRPr="003C4FBE">
        <w:rPr>
          <w:b/>
          <w:bCs/>
          <w:sz w:val="22"/>
          <w:szCs w:val="22"/>
        </w:rPr>
        <w:t xml:space="preserve">5.3. Preklīniskie dati par drošumu </w:t>
      </w:r>
    </w:p>
    <w:p w14:paraId="5F788DE1" w14:textId="77777777" w:rsidR="003765C7" w:rsidRPr="003C4FBE" w:rsidRDefault="003765C7" w:rsidP="00B109A8">
      <w:pPr>
        <w:pStyle w:val="Default"/>
        <w:rPr>
          <w:sz w:val="22"/>
          <w:szCs w:val="22"/>
          <w:u w:val="single"/>
        </w:rPr>
      </w:pPr>
    </w:p>
    <w:p w14:paraId="2EE7EAA6" w14:textId="77777777" w:rsidR="003765C7" w:rsidRPr="003C4FBE" w:rsidRDefault="003765C7" w:rsidP="00B109A8">
      <w:pPr>
        <w:pStyle w:val="Default"/>
        <w:rPr>
          <w:sz w:val="22"/>
          <w:szCs w:val="22"/>
        </w:rPr>
      </w:pPr>
      <w:r w:rsidRPr="003C4FBE">
        <w:rPr>
          <w:sz w:val="22"/>
          <w:szCs w:val="22"/>
          <w:u w:val="single"/>
        </w:rPr>
        <w:t xml:space="preserve">Mutagenitāte </w:t>
      </w:r>
    </w:p>
    <w:p w14:paraId="1221AA17" w14:textId="77777777" w:rsidR="003765C7" w:rsidRPr="003C4FBE" w:rsidRDefault="003765C7" w:rsidP="00B109A8">
      <w:pPr>
        <w:pStyle w:val="Default"/>
        <w:rPr>
          <w:sz w:val="22"/>
          <w:szCs w:val="22"/>
        </w:rPr>
      </w:pPr>
      <w:r w:rsidRPr="003C4FBE">
        <w:rPr>
          <w:sz w:val="22"/>
          <w:szCs w:val="22"/>
        </w:rPr>
        <w:lastRenderedPageBreak/>
        <w:t xml:space="preserve">Plašu </w:t>
      </w:r>
      <w:r w:rsidRPr="003C4FBE">
        <w:rPr>
          <w:i/>
          <w:iCs/>
          <w:sz w:val="22"/>
          <w:szCs w:val="22"/>
        </w:rPr>
        <w:t xml:space="preserve">in vitro </w:t>
      </w:r>
      <w:r w:rsidRPr="003C4FBE">
        <w:rPr>
          <w:sz w:val="22"/>
          <w:szCs w:val="22"/>
        </w:rPr>
        <w:t xml:space="preserve">un </w:t>
      </w:r>
      <w:r w:rsidRPr="003C4FBE">
        <w:rPr>
          <w:i/>
          <w:iCs/>
          <w:sz w:val="22"/>
          <w:szCs w:val="22"/>
        </w:rPr>
        <w:t xml:space="preserve">in vivo </w:t>
      </w:r>
      <w:r w:rsidRPr="003C4FBE">
        <w:rPr>
          <w:sz w:val="22"/>
          <w:szCs w:val="22"/>
        </w:rPr>
        <w:t xml:space="preserve">veiktu mutagenitātes testu rezultāti norāda, ka ar </w:t>
      </w:r>
      <w:r w:rsidR="0021531E" w:rsidRPr="003C4FBE">
        <w:rPr>
          <w:sz w:val="22"/>
          <w:szCs w:val="22"/>
        </w:rPr>
        <w:t>aciklovīr</w:t>
      </w:r>
      <w:r w:rsidRPr="003C4FBE">
        <w:rPr>
          <w:sz w:val="22"/>
          <w:szCs w:val="22"/>
        </w:rPr>
        <w:t xml:space="preserve">a lietošanu saistīts ģenētiska rakstura risks cilvēkam ir maz ticams. </w:t>
      </w:r>
    </w:p>
    <w:p w14:paraId="3086E848" w14:textId="77777777" w:rsidR="003765C7" w:rsidRPr="003C4FBE" w:rsidRDefault="003765C7" w:rsidP="00B109A8">
      <w:pPr>
        <w:pStyle w:val="Default"/>
        <w:rPr>
          <w:sz w:val="22"/>
          <w:szCs w:val="22"/>
          <w:u w:val="single"/>
        </w:rPr>
      </w:pPr>
    </w:p>
    <w:p w14:paraId="4289E746" w14:textId="77777777" w:rsidR="003765C7" w:rsidRPr="003C4FBE" w:rsidRDefault="003765C7" w:rsidP="00B109A8">
      <w:pPr>
        <w:pStyle w:val="Default"/>
        <w:rPr>
          <w:sz w:val="22"/>
          <w:szCs w:val="22"/>
        </w:rPr>
      </w:pPr>
      <w:r w:rsidRPr="003C4FBE">
        <w:rPr>
          <w:sz w:val="22"/>
          <w:szCs w:val="22"/>
          <w:u w:val="single"/>
        </w:rPr>
        <w:t xml:space="preserve">Kancerogenitāte </w:t>
      </w:r>
    </w:p>
    <w:p w14:paraId="3F7A4F75" w14:textId="77777777" w:rsidR="003765C7" w:rsidRPr="003C4FBE" w:rsidRDefault="003765C7" w:rsidP="00B109A8">
      <w:pPr>
        <w:pStyle w:val="Default"/>
        <w:rPr>
          <w:sz w:val="22"/>
          <w:szCs w:val="22"/>
        </w:rPr>
      </w:pPr>
      <w:r w:rsidRPr="003C4FBE">
        <w:rPr>
          <w:sz w:val="22"/>
          <w:szCs w:val="22"/>
        </w:rPr>
        <w:t xml:space="preserve">Ilgtermiņa pētījumos ar žurkām un pelēm kancerogēna </w:t>
      </w:r>
      <w:r w:rsidR="0021531E" w:rsidRPr="003C4FBE">
        <w:rPr>
          <w:sz w:val="22"/>
          <w:szCs w:val="22"/>
        </w:rPr>
        <w:t>aciklovīr</w:t>
      </w:r>
      <w:r w:rsidRPr="003C4FBE">
        <w:rPr>
          <w:sz w:val="22"/>
          <w:szCs w:val="22"/>
        </w:rPr>
        <w:t xml:space="preserve">a ietekme nav konstatēta. </w:t>
      </w:r>
    </w:p>
    <w:p w14:paraId="52470BFA" w14:textId="77777777" w:rsidR="003765C7" w:rsidRPr="003C4FBE" w:rsidRDefault="003765C7" w:rsidP="00B109A8">
      <w:pPr>
        <w:pStyle w:val="Default"/>
        <w:rPr>
          <w:sz w:val="22"/>
          <w:szCs w:val="22"/>
          <w:u w:val="single"/>
        </w:rPr>
      </w:pPr>
    </w:p>
    <w:p w14:paraId="0AA352CF" w14:textId="77777777" w:rsidR="008A04FE" w:rsidRPr="003C4FBE" w:rsidRDefault="003765C7" w:rsidP="00B109A8">
      <w:pPr>
        <w:spacing w:after="0" w:line="240" w:lineRule="auto"/>
        <w:rPr>
          <w:rFonts w:ascii="Times New Roman" w:hAnsi="Times New Roman"/>
          <w:u w:val="single"/>
        </w:rPr>
      </w:pPr>
      <w:r w:rsidRPr="003C4FBE">
        <w:rPr>
          <w:rFonts w:ascii="Times New Roman" w:hAnsi="Times New Roman"/>
          <w:u w:val="single"/>
        </w:rPr>
        <w:t>Teratogenitāte</w:t>
      </w:r>
    </w:p>
    <w:p w14:paraId="36AC92A3" w14:textId="77777777" w:rsidR="003765C7" w:rsidRPr="003C4FBE" w:rsidRDefault="003765C7" w:rsidP="00B109A8">
      <w:pPr>
        <w:spacing w:after="0" w:line="240" w:lineRule="auto"/>
        <w:rPr>
          <w:rFonts w:ascii="Times New Roman" w:hAnsi="Times New Roman"/>
        </w:rPr>
      </w:pPr>
      <w:r w:rsidRPr="003C4FBE">
        <w:rPr>
          <w:rFonts w:ascii="Times New Roman" w:hAnsi="Times New Roman"/>
        </w:rPr>
        <w:t xml:space="preserve">Sistēmiska </w:t>
      </w:r>
      <w:r w:rsidR="0021531E" w:rsidRPr="003C4FBE">
        <w:rPr>
          <w:rFonts w:ascii="Times New Roman" w:hAnsi="Times New Roman"/>
        </w:rPr>
        <w:t>aciklovīr</w:t>
      </w:r>
      <w:r w:rsidRPr="003C4FBE">
        <w:rPr>
          <w:rFonts w:ascii="Times New Roman" w:hAnsi="Times New Roman"/>
        </w:rPr>
        <w:t>a lietošana starptautiski atzītu testu laikā embriotoksisku vai teratogēnu iedarbību uz žurkām, trušiem vai pelēm neizraisīja.</w:t>
      </w:r>
    </w:p>
    <w:p w14:paraId="15823CFA" w14:textId="77777777" w:rsidR="003765C7" w:rsidRPr="003C4FBE" w:rsidRDefault="003765C7" w:rsidP="00B109A8">
      <w:pPr>
        <w:spacing w:after="0" w:line="240" w:lineRule="auto"/>
        <w:rPr>
          <w:rFonts w:ascii="Times New Roman" w:hAnsi="Times New Roman"/>
          <w:b/>
          <w:i/>
        </w:rPr>
      </w:pPr>
    </w:p>
    <w:p w14:paraId="4069FA6B" w14:textId="77777777" w:rsidR="003765C7" w:rsidRPr="003C4FBE" w:rsidRDefault="003765C7" w:rsidP="00B109A8">
      <w:pPr>
        <w:spacing w:after="0" w:line="240" w:lineRule="auto"/>
        <w:rPr>
          <w:rFonts w:ascii="Times New Roman" w:hAnsi="Times New Roman"/>
        </w:rPr>
      </w:pPr>
      <w:r w:rsidRPr="003C4FBE">
        <w:rPr>
          <w:rFonts w:ascii="Times New Roman" w:hAnsi="Times New Roman"/>
        </w:rPr>
        <w:t>Nestandarta testā ar žurkām tika novērotas augļa anomālijas, tomēr tikai pēc tik lielām subkutāni ievadītām devām, ka tās bija toksiskas mātes organismam.</w:t>
      </w:r>
      <w:r w:rsidRPr="003C4FBE">
        <w:rPr>
          <w:rFonts w:ascii="Times New Roman" w:hAnsi="Times New Roman"/>
          <w:b/>
          <w:i/>
        </w:rPr>
        <w:t xml:space="preserve"> </w:t>
      </w:r>
      <w:r w:rsidRPr="003C4FBE">
        <w:rPr>
          <w:rFonts w:ascii="Times New Roman" w:hAnsi="Times New Roman"/>
        </w:rPr>
        <w:t>Šo konstatēto faktu klīniskā nozīme nav noskaidrota.</w:t>
      </w:r>
    </w:p>
    <w:p w14:paraId="3CB8AC2B" w14:textId="77777777" w:rsidR="003765C7" w:rsidRPr="003C4FBE" w:rsidRDefault="003765C7" w:rsidP="00B109A8">
      <w:pPr>
        <w:spacing w:after="0" w:line="240" w:lineRule="auto"/>
        <w:rPr>
          <w:rFonts w:ascii="Times New Roman" w:hAnsi="Times New Roman"/>
          <w:b/>
          <w:i/>
        </w:rPr>
      </w:pPr>
    </w:p>
    <w:p w14:paraId="13B1CA89" w14:textId="77777777" w:rsidR="003765C7" w:rsidRPr="003C4FBE" w:rsidRDefault="003765C7" w:rsidP="00B109A8">
      <w:pPr>
        <w:pStyle w:val="Default"/>
        <w:rPr>
          <w:sz w:val="22"/>
          <w:szCs w:val="22"/>
        </w:rPr>
      </w:pPr>
      <w:r w:rsidRPr="003C4FBE">
        <w:rPr>
          <w:sz w:val="22"/>
          <w:szCs w:val="22"/>
          <w:u w:val="single"/>
        </w:rPr>
        <w:t xml:space="preserve">Fertilitāte </w:t>
      </w:r>
    </w:p>
    <w:p w14:paraId="26B3A63D" w14:textId="77777777" w:rsidR="003765C7" w:rsidRPr="003C4FBE" w:rsidRDefault="003765C7" w:rsidP="00B109A8">
      <w:pPr>
        <w:pStyle w:val="Default"/>
        <w:rPr>
          <w:sz w:val="22"/>
          <w:szCs w:val="22"/>
        </w:rPr>
      </w:pPr>
      <w:r w:rsidRPr="003C4FBE">
        <w:rPr>
          <w:sz w:val="22"/>
          <w:szCs w:val="22"/>
        </w:rPr>
        <w:t xml:space="preserve">Nevēlama, galvenokārt, atgriezeniska ar vispārējo toksicitāti saistīta ietekme uz žurku un suņu spermatoģenēzi ir aprakstīta tikai gadījumos, kad tika izmantotas </w:t>
      </w:r>
      <w:r w:rsidR="0021531E" w:rsidRPr="003C4FBE">
        <w:rPr>
          <w:sz w:val="22"/>
          <w:szCs w:val="22"/>
        </w:rPr>
        <w:t>aciklovīr</w:t>
      </w:r>
      <w:r w:rsidRPr="003C4FBE">
        <w:rPr>
          <w:sz w:val="22"/>
          <w:szCs w:val="22"/>
        </w:rPr>
        <w:t xml:space="preserve">a devas, kas ievērojami pārsniedza terapeitiskajā praksē lietotās devas. </w:t>
      </w:r>
      <w:r w:rsidR="003C4FBE" w:rsidRPr="003C4FBE">
        <w:rPr>
          <w:sz w:val="22"/>
          <w:szCs w:val="22"/>
        </w:rPr>
        <w:t>Pētījumu ar divām peļu paaudzēm</w:t>
      </w:r>
      <w:r w:rsidRPr="003C4FBE">
        <w:rPr>
          <w:sz w:val="22"/>
          <w:szCs w:val="22"/>
        </w:rPr>
        <w:t xml:space="preserve"> rezultāti nekādu iekšķīgi lietota </w:t>
      </w:r>
      <w:r w:rsidR="0021531E" w:rsidRPr="003C4FBE">
        <w:rPr>
          <w:sz w:val="22"/>
          <w:szCs w:val="22"/>
        </w:rPr>
        <w:t>aciklovīr</w:t>
      </w:r>
      <w:r w:rsidRPr="003C4FBE">
        <w:rPr>
          <w:sz w:val="22"/>
          <w:szCs w:val="22"/>
        </w:rPr>
        <w:t xml:space="preserve">a ietekmi uz auglību nav atklājuši. </w:t>
      </w:r>
    </w:p>
    <w:p w14:paraId="54FD3C0A" w14:textId="77777777" w:rsidR="003765C7" w:rsidRPr="003C4FBE" w:rsidRDefault="003765C7" w:rsidP="00B109A8">
      <w:pPr>
        <w:pStyle w:val="Default"/>
        <w:rPr>
          <w:sz w:val="22"/>
          <w:szCs w:val="22"/>
        </w:rPr>
      </w:pPr>
    </w:p>
    <w:p w14:paraId="11F52939" w14:textId="77777777" w:rsidR="003765C7" w:rsidRPr="003C4FBE" w:rsidRDefault="003765C7" w:rsidP="00B109A8">
      <w:pPr>
        <w:pStyle w:val="Default"/>
        <w:ind w:left="567" w:hanging="568"/>
        <w:rPr>
          <w:b/>
          <w:bCs/>
          <w:sz w:val="22"/>
          <w:szCs w:val="22"/>
        </w:rPr>
      </w:pPr>
    </w:p>
    <w:p w14:paraId="053B1E2B" w14:textId="77777777" w:rsidR="003765C7" w:rsidRPr="003C4FBE" w:rsidRDefault="003765C7" w:rsidP="00B109A8">
      <w:pPr>
        <w:pStyle w:val="Default"/>
        <w:ind w:left="567" w:hanging="568"/>
        <w:rPr>
          <w:sz w:val="22"/>
          <w:szCs w:val="22"/>
        </w:rPr>
      </w:pPr>
      <w:r w:rsidRPr="003C4FBE">
        <w:rPr>
          <w:b/>
          <w:bCs/>
          <w:sz w:val="22"/>
          <w:szCs w:val="22"/>
        </w:rPr>
        <w:t xml:space="preserve">6. FARMACEITISKĀ INFORMĀCIJA </w:t>
      </w:r>
    </w:p>
    <w:p w14:paraId="4800FC69" w14:textId="77777777" w:rsidR="003765C7" w:rsidRPr="003C4FBE" w:rsidRDefault="003765C7" w:rsidP="00B109A8">
      <w:pPr>
        <w:pStyle w:val="Default"/>
        <w:ind w:left="567" w:hanging="568"/>
        <w:rPr>
          <w:b/>
          <w:bCs/>
          <w:sz w:val="22"/>
          <w:szCs w:val="22"/>
        </w:rPr>
      </w:pPr>
    </w:p>
    <w:p w14:paraId="68E02919" w14:textId="77777777" w:rsidR="003765C7" w:rsidRPr="003C4FBE" w:rsidRDefault="003765C7" w:rsidP="00B109A8">
      <w:pPr>
        <w:pStyle w:val="Default"/>
        <w:ind w:left="567" w:hanging="568"/>
        <w:rPr>
          <w:sz w:val="22"/>
          <w:szCs w:val="22"/>
        </w:rPr>
      </w:pPr>
      <w:r w:rsidRPr="003C4FBE">
        <w:rPr>
          <w:b/>
          <w:bCs/>
          <w:sz w:val="22"/>
          <w:szCs w:val="22"/>
        </w:rPr>
        <w:t xml:space="preserve">6.1. Palīgvielu saraksts </w:t>
      </w:r>
    </w:p>
    <w:p w14:paraId="7A95A5EE" w14:textId="77777777" w:rsidR="003765C7" w:rsidRPr="003C4FBE" w:rsidRDefault="003765C7" w:rsidP="00B109A8">
      <w:pPr>
        <w:pStyle w:val="Default"/>
        <w:jc w:val="both"/>
        <w:rPr>
          <w:sz w:val="22"/>
          <w:szCs w:val="22"/>
          <w:u w:val="single"/>
        </w:rPr>
      </w:pPr>
    </w:p>
    <w:p w14:paraId="5A0B9358" w14:textId="77777777" w:rsidR="003765C7" w:rsidRPr="003C4FBE" w:rsidRDefault="003765C7" w:rsidP="00B109A8">
      <w:pPr>
        <w:pStyle w:val="Default"/>
        <w:jc w:val="both"/>
        <w:rPr>
          <w:sz w:val="22"/>
          <w:szCs w:val="22"/>
          <w:u w:val="single"/>
        </w:rPr>
      </w:pPr>
      <w:r w:rsidRPr="003C4FBE">
        <w:rPr>
          <w:sz w:val="22"/>
          <w:szCs w:val="22"/>
          <w:u w:val="single"/>
        </w:rPr>
        <w:t xml:space="preserve">Tabletes kodols: </w:t>
      </w:r>
    </w:p>
    <w:p w14:paraId="092088CA" w14:textId="77777777" w:rsidR="003765C7" w:rsidRPr="003C4FBE" w:rsidRDefault="003765C7" w:rsidP="00B109A8">
      <w:pPr>
        <w:pStyle w:val="Default"/>
        <w:jc w:val="both"/>
        <w:rPr>
          <w:sz w:val="22"/>
          <w:szCs w:val="22"/>
        </w:rPr>
      </w:pPr>
      <w:r w:rsidRPr="003C4FBE">
        <w:rPr>
          <w:sz w:val="22"/>
          <w:szCs w:val="22"/>
        </w:rPr>
        <w:t>povidons;</w:t>
      </w:r>
    </w:p>
    <w:p w14:paraId="402C5D7D" w14:textId="77777777" w:rsidR="003765C7" w:rsidRPr="003C4FBE" w:rsidRDefault="003765C7" w:rsidP="00B109A8">
      <w:pPr>
        <w:pStyle w:val="Default"/>
        <w:jc w:val="both"/>
        <w:rPr>
          <w:sz w:val="22"/>
          <w:szCs w:val="22"/>
        </w:rPr>
      </w:pPr>
      <w:r w:rsidRPr="003C4FBE">
        <w:rPr>
          <w:sz w:val="22"/>
          <w:szCs w:val="22"/>
        </w:rPr>
        <w:t>nātrija cietes glikolāts (A tips);</w:t>
      </w:r>
    </w:p>
    <w:p w14:paraId="010B4F6B" w14:textId="77777777" w:rsidR="003765C7" w:rsidRPr="003C4FBE" w:rsidRDefault="003765C7" w:rsidP="00B109A8">
      <w:pPr>
        <w:pStyle w:val="Default"/>
        <w:jc w:val="both"/>
        <w:rPr>
          <w:sz w:val="22"/>
          <w:szCs w:val="22"/>
        </w:rPr>
      </w:pPr>
      <w:r w:rsidRPr="003C4FBE">
        <w:rPr>
          <w:sz w:val="22"/>
          <w:szCs w:val="22"/>
        </w:rPr>
        <w:t>mikrokristāliska celuloze;</w:t>
      </w:r>
    </w:p>
    <w:p w14:paraId="29F26888" w14:textId="77777777" w:rsidR="003765C7" w:rsidRPr="003C4FBE" w:rsidRDefault="003765C7" w:rsidP="00B109A8">
      <w:pPr>
        <w:pStyle w:val="Default"/>
        <w:jc w:val="both"/>
        <w:rPr>
          <w:sz w:val="22"/>
          <w:szCs w:val="22"/>
        </w:rPr>
      </w:pPr>
      <w:r w:rsidRPr="003C4FBE">
        <w:rPr>
          <w:sz w:val="22"/>
          <w:szCs w:val="22"/>
        </w:rPr>
        <w:t xml:space="preserve">magnija stearāts. </w:t>
      </w:r>
    </w:p>
    <w:p w14:paraId="53A0E6C6" w14:textId="77777777" w:rsidR="003765C7" w:rsidRPr="003C4FBE" w:rsidRDefault="003765C7" w:rsidP="00B109A8">
      <w:pPr>
        <w:pStyle w:val="Default"/>
        <w:ind w:left="2692" w:hanging="2693"/>
        <w:jc w:val="both"/>
        <w:rPr>
          <w:sz w:val="22"/>
          <w:szCs w:val="22"/>
        </w:rPr>
      </w:pPr>
    </w:p>
    <w:p w14:paraId="5EC21634" w14:textId="77777777" w:rsidR="003765C7" w:rsidRPr="003C4FBE" w:rsidRDefault="003765C7" w:rsidP="00B109A8">
      <w:pPr>
        <w:pStyle w:val="Default"/>
        <w:ind w:left="2692" w:hanging="2693"/>
        <w:jc w:val="both"/>
        <w:rPr>
          <w:sz w:val="22"/>
          <w:szCs w:val="22"/>
          <w:u w:val="single"/>
        </w:rPr>
      </w:pPr>
      <w:r w:rsidRPr="003C4FBE">
        <w:rPr>
          <w:sz w:val="22"/>
          <w:szCs w:val="22"/>
          <w:u w:val="single"/>
        </w:rPr>
        <w:t xml:space="preserve">Tabletes apvalks: </w:t>
      </w:r>
    </w:p>
    <w:p w14:paraId="56DAA9FF" w14:textId="77777777" w:rsidR="003765C7" w:rsidRPr="003C4FBE" w:rsidRDefault="003765C7" w:rsidP="00B109A8">
      <w:pPr>
        <w:pStyle w:val="Default"/>
        <w:ind w:left="2692" w:hanging="2693"/>
        <w:jc w:val="both"/>
        <w:rPr>
          <w:sz w:val="22"/>
          <w:szCs w:val="22"/>
        </w:rPr>
      </w:pPr>
      <w:r w:rsidRPr="003C4FBE">
        <w:rPr>
          <w:sz w:val="22"/>
          <w:szCs w:val="22"/>
        </w:rPr>
        <w:t>hipromeloze;</w:t>
      </w:r>
    </w:p>
    <w:p w14:paraId="1DB88510" w14:textId="77777777" w:rsidR="003765C7" w:rsidRPr="003C4FBE" w:rsidRDefault="003765C7" w:rsidP="00B109A8">
      <w:pPr>
        <w:pStyle w:val="Default"/>
        <w:ind w:left="2692" w:hanging="2693"/>
        <w:jc w:val="both"/>
        <w:rPr>
          <w:sz w:val="22"/>
          <w:szCs w:val="22"/>
        </w:rPr>
      </w:pPr>
      <w:r w:rsidRPr="003C4FBE">
        <w:rPr>
          <w:sz w:val="22"/>
          <w:szCs w:val="22"/>
        </w:rPr>
        <w:t>trietilcitrāts;</w:t>
      </w:r>
    </w:p>
    <w:p w14:paraId="4AD58018" w14:textId="77777777" w:rsidR="003765C7" w:rsidRPr="003C4FBE" w:rsidRDefault="003765C7" w:rsidP="00B109A8">
      <w:pPr>
        <w:pStyle w:val="Default"/>
        <w:ind w:left="2692" w:hanging="2693"/>
        <w:jc w:val="both"/>
        <w:rPr>
          <w:sz w:val="22"/>
          <w:szCs w:val="22"/>
        </w:rPr>
      </w:pPr>
      <w:r w:rsidRPr="003C4FBE">
        <w:rPr>
          <w:sz w:val="22"/>
          <w:szCs w:val="22"/>
        </w:rPr>
        <w:t>talks;</w:t>
      </w:r>
    </w:p>
    <w:p w14:paraId="7B9FE4EB" w14:textId="77777777" w:rsidR="003765C7" w:rsidRPr="003C4FBE" w:rsidRDefault="003765C7" w:rsidP="00B109A8">
      <w:pPr>
        <w:pStyle w:val="Default"/>
        <w:ind w:left="2692" w:hanging="2693"/>
        <w:jc w:val="both"/>
        <w:rPr>
          <w:sz w:val="22"/>
          <w:szCs w:val="22"/>
        </w:rPr>
      </w:pPr>
      <w:r w:rsidRPr="003C4FBE">
        <w:rPr>
          <w:sz w:val="22"/>
          <w:szCs w:val="22"/>
        </w:rPr>
        <w:t>titāna dioksīds (E 171);</w:t>
      </w:r>
    </w:p>
    <w:p w14:paraId="401E0129" w14:textId="77777777" w:rsidR="003765C7" w:rsidRPr="003C4FBE" w:rsidRDefault="003765C7" w:rsidP="00B109A8">
      <w:pPr>
        <w:pStyle w:val="Default"/>
        <w:ind w:left="2692" w:hanging="2693"/>
        <w:jc w:val="both"/>
        <w:rPr>
          <w:sz w:val="22"/>
          <w:szCs w:val="22"/>
        </w:rPr>
      </w:pPr>
      <w:r w:rsidRPr="003C4FBE">
        <w:rPr>
          <w:sz w:val="22"/>
          <w:szCs w:val="22"/>
        </w:rPr>
        <w:t xml:space="preserve">makrogols 6000. </w:t>
      </w:r>
    </w:p>
    <w:p w14:paraId="5A1F4A0D" w14:textId="77777777" w:rsidR="003765C7" w:rsidRPr="003C4FBE" w:rsidRDefault="003765C7" w:rsidP="00B109A8">
      <w:pPr>
        <w:pStyle w:val="Default"/>
        <w:ind w:left="567" w:hanging="568"/>
        <w:rPr>
          <w:b/>
          <w:bCs/>
          <w:sz w:val="22"/>
          <w:szCs w:val="22"/>
        </w:rPr>
      </w:pPr>
    </w:p>
    <w:p w14:paraId="7D68AB7C" w14:textId="77777777" w:rsidR="003765C7" w:rsidRPr="003C4FBE" w:rsidRDefault="003765C7" w:rsidP="00B109A8">
      <w:pPr>
        <w:pStyle w:val="Default"/>
        <w:ind w:left="567" w:hanging="568"/>
        <w:rPr>
          <w:sz w:val="22"/>
          <w:szCs w:val="22"/>
        </w:rPr>
      </w:pPr>
      <w:r w:rsidRPr="003C4FBE">
        <w:rPr>
          <w:b/>
          <w:bCs/>
          <w:sz w:val="22"/>
          <w:szCs w:val="22"/>
        </w:rPr>
        <w:t xml:space="preserve">6.2. Nesaderība </w:t>
      </w:r>
    </w:p>
    <w:p w14:paraId="3387C14A" w14:textId="77777777" w:rsidR="003765C7" w:rsidRPr="003C4FBE" w:rsidRDefault="003765C7" w:rsidP="00B109A8">
      <w:pPr>
        <w:pStyle w:val="Default"/>
        <w:rPr>
          <w:sz w:val="22"/>
          <w:szCs w:val="22"/>
        </w:rPr>
      </w:pPr>
    </w:p>
    <w:p w14:paraId="7A0EF67E" w14:textId="77777777" w:rsidR="003765C7" w:rsidRPr="003C4FBE" w:rsidRDefault="003765C7" w:rsidP="00B109A8">
      <w:pPr>
        <w:pStyle w:val="Default"/>
        <w:rPr>
          <w:sz w:val="22"/>
          <w:szCs w:val="22"/>
        </w:rPr>
      </w:pPr>
      <w:r w:rsidRPr="003C4FBE">
        <w:rPr>
          <w:sz w:val="22"/>
          <w:szCs w:val="22"/>
        </w:rPr>
        <w:t xml:space="preserve">Nav piemērojama. </w:t>
      </w:r>
    </w:p>
    <w:p w14:paraId="2B132BF9" w14:textId="77777777" w:rsidR="003765C7" w:rsidRPr="003C4FBE" w:rsidRDefault="003765C7" w:rsidP="00B109A8">
      <w:pPr>
        <w:pStyle w:val="Default"/>
        <w:ind w:left="567" w:hanging="568"/>
        <w:rPr>
          <w:b/>
          <w:bCs/>
          <w:sz w:val="22"/>
          <w:szCs w:val="22"/>
        </w:rPr>
      </w:pPr>
    </w:p>
    <w:p w14:paraId="198AAE06" w14:textId="77777777" w:rsidR="003765C7" w:rsidRPr="003C4FBE" w:rsidRDefault="003765C7" w:rsidP="00B109A8">
      <w:pPr>
        <w:pStyle w:val="Default"/>
        <w:ind w:left="567" w:hanging="568"/>
        <w:rPr>
          <w:sz w:val="22"/>
          <w:szCs w:val="22"/>
        </w:rPr>
      </w:pPr>
      <w:r w:rsidRPr="003C4FBE">
        <w:rPr>
          <w:b/>
          <w:bCs/>
          <w:sz w:val="22"/>
          <w:szCs w:val="22"/>
        </w:rPr>
        <w:t xml:space="preserve">6.3. Uzglabāšanas laiks </w:t>
      </w:r>
    </w:p>
    <w:p w14:paraId="7842E95A" w14:textId="77777777" w:rsidR="003765C7" w:rsidRPr="003C4FBE" w:rsidRDefault="003765C7" w:rsidP="00B109A8">
      <w:pPr>
        <w:pStyle w:val="Default"/>
        <w:rPr>
          <w:sz w:val="22"/>
          <w:szCs w:val="22"/>
        </w:rPr>
      </w:pPr>
    </w:p>
    <w:p w14:paraId="39FF2558" w14:textId="77777777" w:rsidR="003765C7" w:rsidRPr="003C4FBE" w:rsidRDefault="003765C7" w:rsidP="00B109A8">
      <w:pPr>
        <w:pStyle w:val="Default"/>
        <w:rPr>
          <w:sz w:val="22"/>
          <w:szCs w:val="22"/>
        </w:rPr>
      </w:pPr>
      <w:r w:rsidRPr="003C4FBE">
        <w:rPr>
          <w:sz w:val="22"/>
          <w:szCs w:val="22"/>
        </w:rPr>
        <w:t xml:space="preserve">3 gadi. </w:t>
      </w:r>
    </w:p>
    <w:p w14:paraId="0C48805B" w14:textId="77777777" w:rsidR="003765C7" w:rsidRPr="003C4FBE" w:rsidRDefault="003765C7" w:rsidP="00B109A8">
      <w:pPr>
        <w:pStyle w:val="Default"/>
        <w:ind w:left="567" w:hanging="568"/>
        <w:rPr>
          <w:b/>
          <w:bCs/>
          <w:sz w:val="22"/>
          <w:szCs w:val="22"/>
        </w:rPr>
      </w:pPr>
    </w:p>
    <w:p w14:paraId="5470DF4D" w14:textId="77777777" w:rsidR="003765C7" w:rsidRPr="003C4FBE" w:rsidRDefault="003765C7" w:rsidP="00B109A8">
      <w:pPr>
        <w:pStyle w:val="Default"/>
        <w:ind w:left="567" w:hanging="568"/>
        <w:rPr>
          <w:sz w:val="22"/>
          <w:szCs w:val="22"/>
        </w:rPr>
      </w:pPr>
      <w:r w:rsidRPr="003C4FBE">
        <w:rPr>
          <w:b/>
          <w:bCs/>
          <w:sz w:val="22"/>
          <w:szCs w:val="22"/>
        </w:rPr>
        <w:t xml:space="preserve">6.4. Īpaši uzglabāšanas nosacījumi </w:t>
      </w:r>
    </w:p>
    <w:p w14:paraId="09336850" w14:textId="77777777" w:rsidR="003765C7" w:rsidRPr="003C4FBE" w:rsidRDefault="003765C7" w:rsidP="00B109A8">
      <w:pPr>
        <w:pStyle w:val="Default"/>
        <w:rPr>
          <w:sz w:val="22"/>
          <w:szCs w:val="22"/>
        </w:rPr>
      </w:pPr>
    </w:p>
    <w:p w14:paraId="143588A7" w14:textId="77777777" w:rsidR="003765C7" w:rsidRPr="003C4FBE" w:rsidRDefault="003765C7" w:rsidP="00B109A8">
      <w:pPr>
        <w:pStyle w:val="Default"/>
        <w:rPr>
          <w:sz w:val="22"/>
          <w:szCs w:val="22"/>
        </w:rPr>
      </w:pPr>
      <w:r w:rsidRPr="003C4FBE">
        <w:rPr>
          <w:sz w:val="22"/>
          <w:szCs w:val="22"/>
        </w:rPr>
        <w:t xml:space="preserve">Uzglabāt temperatūrā līdz 25 °C. </w:t>
      </w:r>
    </w:p>
    <w:p w14:paraId="64C81BFF" w14:textId="77777777" w:rsidR="003765C7" w:rsidRPr="003C4FBE" w:rsidRDefault="003765C7" w:rsidP="00B109A8">
      <w:pPr>
        <w:pStyle w:val="Default"/>
        <w:rPr>
          <w:sz w:val="22"/>
          <w:szCs w:val="22"/>
        </w:rPr>
      </w:pPr>
      <w:r w:rsidRPr="003C4FBE">
        <w:rPr>
          <w:sz w:val="22"/>
          <w:szCs w:val="22"/>
        </w:rPr>
        <w:t xml:space="preserve">Lai sargātu no gaismas un mitruma, uzglabāt oriģinālajā iepakojumā. </w:t>
      </w:r>
    </w:p>
    <w:p w14:paraId="6BE701B7" w14:textId="77777777" w:rsidR="003765C7" w:rsidRPr="003C4FBE" w:rsidRDefault="003765C7" w:rsidP="00B109A8">
      <w:pPr>
        <w:pStyle w:val="Default"/>
        <w:ind w:left="570" w:hanging="570"/>
        <w:rPr>
          <w:b/>
          <w:bCs/>
          <w:sz w:val="22"/>
          <w:szCs w:val="22"/>
        </w:rPr>
      </w:pPr>
    </w:p>
    <w:p w14:paraId="1839C1E5" w14:textId="77777777" w:rsidR="003765C7" w:rsidRPr="003C4FBE" w:rsidRDefault="003765C7" w:rsidP="00B109A8">
      <w:pPr>
        <w:pStyle w:val="Default"/>
        <w:ind w:left="570" w:hanging="570"/>
        <w:rPr>
          <w:sz w:val="22"/>
          <w:szCs w:val="22"/>
        </w:rPr>
      </w:pPr>
      <w:r w:rsidRPr="003C4FBE">
        <w:rPr>
          <w:b/>
          <w:bCs/>
          <w:sz w:val="22"/>
          <w:szCs w:val="22"/>
        </w:rPr>
        <w:t xml:space="preserve">6.5. Iepakojuma veids un saturs </w:t>
      </w:r>
    </w:p>
    <w:p w14:paraId="7AD01DC5" w14:textId="77777777" w:rsidR="003765C7" w:rsidRPr="003C4FBE" w:rsidRDefault="003765C7" w:rsidP="00B109A8">
      <w:pPr>
        <w:pStyle w:val="Default"/>
        <w:jc w:val="both"/>
        <w:rPr>
          <w:sz w:val="22"/>
          <w:szCs w:val="22"/>
        </w:rPr>
      </w:pPr>
    </w:p>
    <w:p w14:paraId="1D12F585" w14:textId="77777777" w:rsidR="003765C7" w:rsidRPr="003C4FBE" w:rsidRDefault="003765C7" w:rsidP="00B109A8">
      <w:pPr>
        <w:pStyle w:val="Default"/>
        <w:jc w:val="both"/>
        <w:rPr>
          <w:sz w:val="22"/>
          <w:szCs w:val="22"/>
        </w:rPr>
      </w:pPr>
      <w:r w:rsidRPr="003C4FBE">
        <w:rPr>
          <w:sz w:val="22"/>
          <w:szCs w:val="22"/>
        </w:rPr>
        <w:t xml:space="preserve">Apdrukātā kartona kārbā iepakotas 30 apvalkotās tabletes (3 Al/PVH folijas blisteri pa 10 tabletēm) kopā ar lietošanas instrukciju. </w:t>
      </w:r>
    </w:p>
    <w:p w14:paraId="7B61B8F8" w14:textId="77777777" w:rsidR="003765C7" w:rsidRPr="003C4FBE" w:rsidRDefault="003765C7" w:rsidP="00B109A8">
      <w:pPr>
        <w:pStyle w:val="Default"/>
        <w:ind w:left="567" w:hanging="568"/>
        <w:rPr>
          <w:b/>
          <w:bCs/>
          <w:sz w:val="22"/>
          <w:szCs w:val="22"/>
        </w:rPr>
      </w:pPr>
    </w:p>
    <w:p w14:paraId="6F01F123" w14:textId="77777777" w:rsidR="003765C7" w:rsidRPr="003C4FBE" w:rsidRDefault="003765C7" w:rsidP="00B109A8">
      <w:pPr>
        <w:pStyle w:val="Default"/>
        <w:ind w:left="567" w:hanging="568"/>
        <w:rPr>
          <w:sz w:val="22"/>
          <w:szCs w:val="22"/>
        </w:rPr>
      </w:pPr>
      <w:r w:rsidRPr="003C4FBE">
        <w:rPr>
          <w:b/>
          <w:bCs/>
          <w:sz w:val="22"/>
          <w:szCs w:val="22"/>
        </w:rPr>
        <w:lastRenderedPageBreak/>
        <w:t xml:space="preserve">6.6. Īpaši norādījumi atkritumu likvidēšanai </w:t>
      </w:r>
    </w:p>
    <w:p w14:paraId="388CAD0C" w14:textId="77777777" w:rsidR="003765C7" w:rsidRPr="003C4FBE" w:rsidRDefault="003765C7" w:rsidP="00B109A8">
      <w:pPr>
        <w:pStyle w:val="Default"/>
        <w:rPr>
          <w:sz w:val="22"/>
          <w:szCs w:val="22"/>
        </w:rPr>
      </w:pPr>
    </w:p>
    <w:p w14:paraId="07D77D67" w14:textId="77777777" w:rsidR="003765C7" w:rsidRPr="003C4FBE" w:rsidRDefault="003765C7" w:rsidP="00B109A8">
      <w:pPr>
        <w:pStyle w:val="Default"/>
        <w:rPr>
          <w:sz w:val="22"/>
          <w:szCs w:val="22"/>
        </w:rPr>
      </w:pPr>
      <w:r w:rsidRPr="003C4FBE">
        <w:rPr>
          <w:sz w:val="22"/>
          <w:szCs w:val="22"/>
        </w:rPr>
        <w:t xml:space="preserve">Nav īpašu prasību. </w:t>
      </w:r>
    </w:p>
    <w:p w14:paraId="70F29C4D" w14:textId="77777777" w:rsidR="003765C7" w:rsidRPr="003C4FBE" w:rsidRDefault="003765C7" w:rsidP="00B109A8">
      <w:pPr>
        <w:pStyle w:val="Default"/>
        <w:ind w:left="567" w:hanging="568"/>
        <w:rPr>
          <w:b/>
          <w:bCs/>
          <w:sz w:val="22"/>
          <w:szCs w:val="22"/>
        </w:rPr>
      </w:pPr>
    </w:p>
    <w:p w14:paraId="2663258B" w14:textId="77777777" w:rsidR="003765C7" w:rsidRPr="003C4FBE" w:rsidRDefault="003765C7" w:rsidP="00B109A8">
      <w:pPr>
        <w:pStyle w:val="Default"/>
        <w:ind w:left="567" w:hanging="568"/>
        <w:rPr>
          <w:b/>
          <w:bCs/>
          <w:sz w:val="22"/>
          <w:szCs w:val="22"/>
        </w:rPr>
      </w:pPr>
    </w:p>
    <w:p w14:paraId="44A40ACE" w14:textId="77777777" w:rsidR="003765C7" w:rsidRPr="003C4FBE" w:rsidRDefault="003765C7" w:rsidP="00B109A8">
      <w:pPr>
        <w:pStyle w:val="Default"/>
        <w:ind w:left="567" w:hanging="568"/>
        <w:rPr>
          <w:sz w:val="22"/>
          <w:szCs w:val="22"/>
        </w:rPr>
      </w:pPr>
      <w:r w:rsidRPr="003C4FBE">
        <w:rPr>
          <w:b/>
          <w:bCs/>
          <w:sz w:val="22"/>
          <w:szCs w:val="22"/>
        </w:rPr>
        <w:t xml:space="preserve">7. REĢISTRĀCIJAS APLIECĪBAS ĪPAŠNIEKS </w:t>
      </w:r>
    </w:p>
    <w:p w14:paraId="643F5B59" w14:textId="77777777" w:rsidR="003765C7" w:rsidRPr="003C4FBE" w:rsidRDefault="003765C7" w:rsidP="00B109A8">
      <w:pPr>
        <w:pStyle w:val="Default"/>
        <w:rPr>
          <w:sz w:val="22"/>
          <w:szCs w:val="22"/>
        </w:rPr>
      </w:pPr>
    </w:p>
    <w:p w14:paraId="6DA04F5A" w14:textId="77777777" w:rsidR="003765C7" w:rsidRPr="003C4FBE" w:rsidRDefault="003765C7" w:rsidP="00B109A8">
      <w:pPr>
        <w:pStyle w:val="Default"/>
        <w:rPr>
          <w:sz w:val="22"/>
          <w:szCs w:val="22"/>
        </w:rPr>
      </w:pPr>
    </w:p>
    <w:p w14:paraId="3A1130B9" w14:textId="77777777" w:rsidR="003765C7" w:rsidRPr="003C4FBE" w:rsidRDefault="003765C7" w:rsidP="00B109A8">
      <w:pPr>
        <w:pStyle w:val="Default"/>
        <w:rPr>
          <w:sz w:val="22"/>
          <w:szCs w:val="22"/>
        </w:rPr>
      </w:pPr>
      <w:r w:rsidRPr="003C4FBE">
        <w:rPr>
          <w:sz w:val="22"/>
          <w:szCs w:val="22"/>
        </w:rPr>
        <w:t xml:space="preserve">Pharmaceutical Works POLPHARMA SA </w:t>
      </w:r>
    </w:p>
    <w:p w14:paraId="4086FAF4" w14:textId="77777777" w:rsidR="003765C7" w:rsidRPr="003C4FBE" w:rsidRDefault="003765C7" w:rsidP="00B109A8">
      <w:pPr>
        <w:pStyle w:val="Default"/>
        <w:rPr>
          <w:sz w:val="22"/>
          <w:szCs w:val="22"/>
        </w:rPr>
      </w:pPr>
      <w:r w:rsidRPr="003C4FBE">
        <w:rPr>
          <w:sz w:val="22"/>
          <w:szCs w:val="22"/>
        </w:rPr>
        <w:t xml:space="preserve">19 Pelplińska Street, 83-200 Starogard Gdański, Polija </w:t>
      </w:r>
    </w:p>
    <w:p w14:paraId="15564300" w14:textId="77777777" w:rsidR="003765C7" w:rsidRPr="003C4FBE" w:rsidRDefault="003765C7" w:rsidP="00B109A8">
      <w:pPr>
        <w:pStyle w:val="Default"/>
        <w:ind w:left="567" w:hanging="568"/>
        <w:rPr>
          <w:b/>
          <w:bCs/>
          <w:sz w:val="22"/>
          <w:szCs w:val="22"/>
        </w:rPr>
      </w:pPr>
    </w:p>
    <w:p w14:paraId="2955211B" w14:textId="77777777" w:rsidR="003765C7" w:rsidRPr="003C4FBE" w:rsidRDefault="003765C7" w:rsidP="00B109A8">
      <w:pPr>
        <w:pStyle w:val="Default"/>
        <w:ind w:left="567" w:hanging="568"/>
        <w:rPr>
          <w:b/>
          <w:bCs/>
          <w:sz w:val="22"/>
          <w:szCs w:val="22"/>
        </w:rPr>
      </w:pPr>
    </w:p>
    <w:p w14:paraId="41E3D4F0" w14:textId="77777777" w:rsidR="003765C7" w:rsidRPr="003C4FBE" w:rsidRDefault="003765C7" w:rsidP="00B109A8">
      <w:pPr>
        <w:pStyle w:val="Default"/>
        <w:ind w:left="567" w:hanging="568"/>
        <w:rPr>
          <w:sz w:val="22"/>
          <w:szCs w:val="22"/>
        </w:rPr>
      </w:pPr>
      <w:r w:rsidRPr="003C4FBE">
        <w:rPr>
          <w:b/>
          <w:bCs/>
          <w:sz w:val="22"/>
          <w:szCs w:val="22"/>
        </w:rPr>
        <w:t xml:space="preserve">8. REĢISTRĀCIJAS APLIECĪBAS NUMURS(-I) </w:t>
      </w:r>
    </w:p>
    <w:p w14:paraId="5C6CC3A4" w14:textId="77777777" w:rsidR="003765C7" w:rsidRPr="003C4FBE" w:rsidRDefault="003765C7" w:rsidP="00B109A8">
      <w:pPr>
        <w:pStyle w:val="Default"/>
        <w:rPr>
          <w:sz w:val="22"/>
          <w:szCs w:val="22"/>
        </w:rPr>
      </w:pPr>
    </w:p>
    <w:p w14:paraId="539A5D38" w14:textId="77777777" w:rsidR="003765C7" w:rsidRPr="003C4FBE" w:rsidRDefault="003765C7" w:rsidP="00B109A8">
      <w:pPr>
        <w:pStyle w:val="Default"/>
        <w:rPr>
          <w:sz w:val="22"/>
          <w:szCs w:val="22"/>
        </w:rPr>
      </w:pPr>
    </w:p>
    <w:p w14:paraId="63F703BC" w14:textId="77777777" w:rsidR="003765C7" w:rsidRPr="003C4FBE" w:rsidRDefault="003765C7" w:rsidP="00B109A8">
      <w:pPr>
        <w:pStyle w:val="Default"/>
        <w:rPr>
          <w:sz w:val="22"/>
          <w:szCs w:val="22"/>
        </w:rPr>
      </w:pPr>
      <w:r w:rsidRPr="003C4FBE">
        <w:rPr>
          <w:sz w:val="22"/>
          <w:szCs w:val="22"/>
        </w:rPr>
        <w:t xml:space="preserve">200 mg: 02-0446 </w:t>
      </w:r>
    </w:p>
    <w:p w14:paraId="16572DB3" w14:textId="77777777" w:rsidR="003765C7" w:rsidRPr="003C4FBE" w:rsidRDefault="003765C7" w:rsidP="00B109A8">
      <w:pPr>
        <w:pStyle w:val="Default"/>
        <w:rPr>
          <w:sz w:val="22"/>
          <w:szCs w:val="22"/>
        </w:rPr>
      </w:pPr>
      <w:r w:rsidRPr="003C4FBE">
        <w:rPr>
          <w:sz w:val="22"/>
          <w:szCs w:val="22"/>
        </w:rPr>
        <w:t xml:space="preserve">400 mg: 02-0447 </w:t>
      </w:r>
    </w:p>
    <w:p w14:paraId="2980DCCF" w14:textId="77777777" w:rsidR="003765C7" w:rsidRPr="003C4FBE" w:rsidRDefault="003765C7" w:rsidP="00B109A8">
      <w:pPr>
        <w:pStyle w:val="Default"/>
        <w:rPr>
          <w:sz w:val="22"/>
          <w:szCs w:val="22"/>
        </w:rPr>
      </w:pPr>
      <w:r w:rsidRPr="003C4FBE">
        <w:rPr>
          <w:sz w:val="22"/>
          <w:szCs w:val="22"/>
        </w:rPr>
        <w:t xml:space="preserve">800 mg: 02-0448 </w:t>
      </w:r>
    </w:p>
    <w:p w14:paraId="4FA3AE31" w14:textId="77777777" w:rsidR="003765C7" w:rsidRPr="003C4FBE" w:rsidRDefault="003765C7" w:rsidP="00B109A8">
      <w:pPr>
        <w:pStyle w:val="Default"/>
        <w:ind w:left="567" w:hanging="568"/>
        <w:rPr>
          <w:b/>
          <w:bCs/>
          <w:sz w:val="22"/>
          <w:szCs w:val="22"/>
        </w:rPr>
      </w:pPr>
    </w:p>
    <w:p w14:paraId="555E6218" w14:textId="77777777" w:rsidR="003765C7" w:rsidRPr="003C4FBE" w:rsidRDefault="003765C7" w:rsidP="00B109A8">
      <w:pPr>
        <w:pStyle w:val="Default"/>
        <w:ind w:left="567" w:hanging="568"/>
        <w:rPr>
          <w:b/>
          <w:bCs/>
          <w:sz w:val="22"/>
          <w:szCs w:val="22"/>
        </w:rPr>
      </w:pPr>
    </w:p>
    <w:p w14:paraId="20E619D3" w14:textId="77777777" w:rsidR="003765C7" w:rsidRPr="003C4FBE" w:rsidRDefault="003765C7" w:rsidP="00B109A8">
      <w:pPr>
        <w:pStyle w:val="Default"/>
        <w:ind w:left="569" w:hanging="568"/>
        <w:rPr>
          <w:sz w:val="22"/>
          <w:szCs w:val="22"/>
        </w:rPr>
      </w:pPr>
      <w:r w:rsidRPr="003C4FBE">
        <w:rPr>
          <w:b/>
          <w:bCs/>
          <w:sz w:val="22"/>
          <w:szCs w:val="22"/>
        </w:rPr>
        <w:t xml:space="preserve">9. PIRMĀS REĢISTRĀCIJAS / PĀRREĢISTRĀCIJAS DATUMS </w:t>
      </w:r>
    </w:p>
    <w:p w14:paraId="367964BB" w14:textId="77777777" w:rsidR="003765C7" w:rsidRPr="003C4FBE" w:rsidRDefault="003765C7" w:rsidP="00B109A8">
      <w:pPr>
        <w:pStyle w:val="Default"/>
        <w:ind w:left="2"/>
        <w:rPr>
          <w:sz w:val="22"/>
          <w:szCs w:val="22"/>
        </w:rPr>
      </w:pPr>
    </w:p>
    <w:p w14:paraId="6A1A32CC" w14:textId="77777777" w:rsidR="003765C7" w:rsidRPr="003C4FBE" w:rsidRDefault="003765C7" w:rsidP="00B109A8">
      <w:pPr>
        <w:spacing w:after="0" w:line="240" w:lineRule="auto"/>
        <w:ind w:left="2"/>
        <w:rPr>
          <w:rFonts w:ascii="Times New Roman" w:hAnsi="Times New Roman"/>
          <w:i/>
        </w:rPr>
      </w:pPr>
      <w:r w:rsidRPr="003C4FBE">
        <w:rPr>
          <w:rFonts w:ascii="Times New Roman" w:hAnsi="Times New Roman"/>
        </w:rPr>
        <w:t>Reģistrācijas datums: 15.01.2003.</w:t>
      </w:r>
    </w:p>
    <w:p w14:paraId="0A1BA649" w14:textId="77777777" w:rsidR="003765C7" w:rsidRPr="003C4FBE" w:rsidRDefault="003765C7" w:rsidP="00B109A8">
      <w:pPr>
        <w:pStyle w:val="Default"/>
        <w:ind w:left="2"/>
        <w:rPr>
          <w:sz w:val="22"/>
          <w:szCs w:val="22"/>
        </w:rPr>
      </w:pPr>
      <w:r w:rsidRPr="003C4FBE">
        <w:rPr>
          <w:sz w:val="22"/>
          <w:szCs w:val="22"/>
        </w:rPr>
        <w:t xml:space="preserve">Pēdējās pārreģistrācijas datums: 13.03.2008. </w:t>
      </w:r>
    </w:p>
    <w:p w14:paraId="61C700C1" w14:textId="77777777" w:rsidR="003765C7" w:rsidRPr="003C4FBE" w:rsidRDefault="003765C7" w:rsidP="00B109A8">
      <w:pPr>
        <w:spacing w:after="0" w:line="240" w:lineRule="auto"/>
        <w:ind w:left="2"/>
        <w:rPr>
          <w:rFonts w:ascii="Times New Roman" w:hAnsi="Times New Roman"/>
          <w:b/>
          <w:bCs/>
        </w:rPr>
      </w:pPr>
    </w:p>
    <w:p w14:paraId="2A74DBD5" w14:textId="77777777" w:rsidR="007C6957" w:rsidRPr="003C4FBE" w:rsidRDefault="007C6957" w:rsidP="00B109A8">
      <w:pPr>
        <w:spacing w:after="0" w:line="240" w:lineRule="auto"/>
        <w:ind w:left="2"/>
        <w:rPr>
          <w:rFonts w:ascii="Times New Roman" w:hAnsi="Times New Roman"/>
          <w:b/>
          <w:bCs/>
        </w:rPr>
      </w:pPr>
    </w:p>
    <w:p w14:paraId="60224D8C" w14:textId="77777777" w:rsidR="003765C7" w:rsidRPr="003C4FBE" w:rsidRDefault="003765C7" w:rsidP="00B109A8">
      <w:pPr>
        <w:spacing w:after="0" w:line="240" w:lineRule="auto"/>
        <w:ind w:left="2"/>
        <w:rPr>
          <w:rFonts w:ascii="Times New Roman" w:hAnsi="Times New Roman"/>
          <w:b/>
          <w:bCs/>
        </w:rPr>
      </w:pPr>
      <w:r w:rsidRPr="003C4FBE">
        <w:rPr>
          <w:rFonts w:ascii="Times New Roman" w:hAnsi="Times New Roman"/>
          <w:b/>
          <w:bCs/>
        </w:rPr>
        <w:t>10. TEKSTA PĀRSKATĪŠANAS DATUMS</w:t>
      </w:r>
    </w:p>
    <w:p w14:paraId="1F05E587" w14:textId="25187175" w:rsidR="003765C7" w:rsidRDefault="003765C7" w:rsidP="00B109A8">
      <w:pPr>
        <w:spacing w:after="0" w:line="240" w:lineRule="auto"/>
        <w:ind w:left="2"/>
        <w:rPr>
          <w:rFonts w:ascii="Times New Roman" w:hAnsi="Times New Roman"/>
        </w:rPr>
      </w:pPr>
    </w:p>
    <w:p w14:paraId="40433493" w14:textId="69DC4F56" w:rsidR="00C26195" w:rsidRPr="003C4FBE" w:rsidRDefault="00C26195" w:rsidP="00B109A8">
      <w:pPr>
        <w:spacing w:after="0" w:line="240" w:lineRule="auto"/>
        <w:ind w:left="2"/>
        <w:rPr>
          <w:rFonts w:ascii="Times New Roman" w:hAnsi="Times New Roman"/>
        </w:rPr>
      </w:pPr>
    </w:p>
    <w:sectPr w:rsidR="00C26195" w:rsidRPr="003C4FBE" w:rsidSect="00B109A8">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6070" w14:textId="77777777" w:rsidR="00C63538" w:rsidRDefault="00C63538">
      <w:pPr>
        <w:spacing w:after="0" w:line="240" w:lineRule="auto"/>
      </w:pPr>
      <w:r>
        <w:separator/>
      </w:r>
    </w:p>
  </w:endnote>
  <w:endnote w:type="continuationSeparator" w:id="0">
    <w:p w14:paraId="184B7D8D" w14:textId="77777777" w:rsidR="00C63538" w:rsidRDefault="00C6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AC0B" w14:textId="77777777" w:rsidR="00FB5428" w:rsidRDefault="00FB5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3B42" w14:textId="77777777" w:rsidR="00924BE5" w:rsidRPr="007C6957" w:rsidRDefault="00924BE5">
    <w:pPr>
      <w:pStyle w:val="Footer"/>
      <w:jc w:val="right"/>
      <w:rPr>
        <w:rFonts w:ascii="Times New Roman" w:hAnsi="Times New Roman"/>
      </w:rPr>
    </w:pPr>
    <w:r w:rsidRPr="007C6957">
      <w:rPr>
        <w:rFonts w:ascii="Times New Roman" w:hAnsi="Times New Roman"/>
      </w:rPr>
      <w:fldChar w:fldCharType="begin"/>
    </w:r>
    <w:r w:rsidRPr="007C6957">
      <w:rPr>
        <w:rFonts w:ascii="Times New Roman" w:hAnsi="Times New Roman"/>
      </w:rPr>
      <w:instrText>PAGE   \* MERGEFORMAT</w:instrText>
    </w:r>
    <w:r w:rsidRPr="007C6957">
      <w:rPr>
        <w:rFonts w:ascii="Times New Roman" w:hAnsi="Times New Roman"/>
      </w:rPr>
      <w:fldChar w:fldCharType="separate"/>
    </w:r>
    <w:r w:rsidR="002C29A7" w:rsidRPr="002C29A7">
      <w:rPr>
        <w:rFonts w:ascii="Times New Roman" w:hAnsi="Times New Roman"/>
        <w:noProof/>
        <w:lang w:val="pl-PL"/>
      </w:rPr>
      <w:t>1</w:t>
    </w:r>
    <w:r w:rsidRPr="007C6957">
      <w:rPr>
        <w:rFonts w:ascii="Times New Roman" w:hAnsi="Times New Roman"/>
      </w:rPr>
      <w:fldChar w:fldCharType="end"/>
    </w:r>
  </w:p>
  <w:p w14:paraId="2A5F1B95" w14:textId="77777777" w:rsidR="00924BE5" w:rsidRDefault="00924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7726" w14:textId="77777777" w:rsidR="00FB5428" w:rsidRDefault="00FB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1E3D" w14:textId="77777777" w:rsidR="00C63538" w:rsidRDefault="00C63538">
      <w:pPr>
        <w:spacing w:after="0" w:line="240" w:lineRule="auto"/>
      </w:pPr>
      <w:r>
        <w:separator/>
      </w:r>
    </w:p>
  </w:footnote>
  <w:footnote w:type="continuationSeparator" w:id="0">
    <w:p w14:paraId="1C1619D3" w14:textId="77777777" w:rsidR="00C63538" w:rsidRDefault="00C63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33E9" w14:textId="77777777" w:rsidR="00FB5428" w:rsidRDefault="00FB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0D94" w14:textId="2134E6D8" w:rsidR="0021680F" w:rsidRPr="0021680F" w:rsidRDefault="0021680F" w:rsidP="0021680F">
    <w:pPr>
      <w:pStyle w:val="Header"/>
      <w:jc w:val="right"/>
      <w:rPr>
        <w:rFonts w:ascii="Times New Roman" w:hAnsi="Times New Roman"/>
        <w:sz w:val="24"/>
        <w:szCs w:val="24"/>
      </w:rPr>
    </w:pPr>
    <w:r>
      <w:rPr>
        <w:rFonts w:ascii="Times New Roman" w:hAnsi="Times New Roman"/>
        <w:sz w:val="24"/>
        <w:szCs w:val="24"/>
      </w:rPr>
      <w:t>SASKAŅOTS ZVA</w:t>
    </w:r>
    <w:r w:rsidR="00FB5428">
      <w:rPr>
        <w:rFonts w:ascii="Times New Roman" w:hAnsi="Times New Roman"/>
        <w:sz w:val="24"/>
        <w:szCs w:val="24"/>
      </w:rPr>
      <w:t xml:space="preserve"> 30-04-2020</w:t>
    </w:r>
    <w:bookmarkStart w:id="0" w:name="_GoBack"/>
    <w:bookmarkEnd w:id="0"/>
    <w:r>
      <w:rPr>
        <w:rFonts w:ascii="Times New Roman" w:hAnsi="Times New Roman"/>
        <w:sz w:val="24"/>
        <w:szCs w:val="24"/>
      </w:rPr>
      <w:t xml:space="preserve"> </w:t>
    </w:r>
  </w:p>
  <w:p w14:paraId="3AECBBBC" w14:textId="77777777" w:rsidR="00924BE5" w:rsidRDefault="00924BE5">
    <w:pPr>
      <w:pStyle w:val="Default"/>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4F74" w14:textId="77777777" w:rsidR="00FB5428" w:rsidRDefault="00FB5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E5"/>
    <w:rsid w:val="000C03E5"/>
    <w:rsid w:val="00201DD1"/>
    <w:rsid w:val="0021531E"/>
    <w:rsid w:val="0021680F"/>
    <w:rsid w:val="002C29A7"/>
    <w:rsid w:val="002D66F4"/>
    <w:rsid w:val="003164D6"/>
    <w:rsid w:val="0033283C"/>
    <w:rsid w:val="00343840"/>
    <w:rsid w:val="003765C7"/>
    <w:rsid w:val="003C4FBE"/>
    <w:rsid w:val="003E4732"/>
    <w:rsid w:val="004A0D65"/>
    <w:rsid w:val="004B7E0E"/>
    <w:rsid w:val="00531E34"/>
    <w:rsid w:val="00544BC9"/>
    <w:rsid w:val="00553B67"/>
    <w:rsid w:val="00701D6C"/>
    <w:rsid w:val="00724361"/>
    <w:rsid w:val="007C6957"/>
    <w:rsid w:val="007F7B33"/>
    <w:rsid w:val="0089001F"/>
    <w:rsid w:val="008A04FE"/>
    <w:rsid w:val="00910045"/>
    <w:rsid w:val="00924BE5"/>
    <w:rsid w:val="0092698C"/>
    <w:rsid w:val="009A0988"/>
    <w:rsid w:val="009D0F2A"/>
    <w:rsid w:val="00A65A96"/>
    <w:rsid w:val="00A72AE2"/>
    <w:rsid w:val="00A96D02"/>
    <w:rsid w:val="00AE261D"/>
    <w:rsid w:val="00B109A8"/>
    <w:rsid w:val="00BF1726"/>
    <w:rsid w:val="00C26195"/>
    <w:rsid w:val="00C52725"/>
    <w:rsid w:val="00C60637"/>
    <w:rsid w:val="00C612C7"/>
    <w:rsid w:val="00C63538"/>
    <w:rsid w:val="00C819AD"/>
    <w:rsid w:val="00C94930"/>
    <w:rsid w:val="00D16AFC"/>
    <w:rsid w:val="00DD2199"/>
    <w:rsid w:val="00ED7147"/>
    <w:rsid w:val="00F5525E"/>
    <w:rsid w:val="00FB5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BB63C"/>
  <w15:chartTrackingRefBased/>
  <w15:docId w15:val="{3724E3EB-4C4B-4954-AB84-9217A2B6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val="lv-LV" w:eastAsia="en-US"/>
    </w:rPr>
  </w:style>
  <w:style w:type="paragraph" w:styleId="Header">
    <w:name w:val="header"/>
    <w:basedOn w:val="Normal"/>
    <w:uiPriority w:val="99"/>
    <w:unhideWhenUsed/>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link w:val="FooterChar1"/>
    <w:uiPriority w:val="99"/>
    <w:unhideWhenUsed/>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sz w:val="16"/>
      <w:szCs w:val="16"/>
      <w:lang w:eastAsia="x-none"/>
    </w:rPr>
  </w:style>
  <w:style w:type="character" w:customStyle="1" w:styleId="BalloonTextChar">
    <w:name w:val="Balloon Text Char"/>
    <w:semiHidden/>
    <w:rPr>
      <w:rFonts w:ascii="Tahoma" w:hAnsi="Tahoma" w:cs="Tahoma"/>
      <w:sz w:val="16"/>
      <w:szCs w:val="16"/>
      <w:lang w:val="lv-LV"/>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lang w:eastAsia="x-none"/>
    </w:rPr>
  </w:style>
  <w:style w:type="character" w:customStyle="1" w:styleId="CommentTextChar">
    <w:name w:val="Comment Text Char"/>
    <w:semiHidden/>
    <w:rPr>
      <w:lang w:val="lv-LV"/>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lv-LV"/>
    </w:rPr>
  </w:style>
  <w:style w:type="paragraph" w:styleId="Revision">
    <w:name w:val="Revision"/>
    <w:hidden/>
    <w:semiHidden/>
    <w:rPr>
      <w:sz w:val="22"/>
      <w:szCs w:val="22"/>
      <w:lang w:val="lv-LV"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Heading7Char">
    <w:name w:val="Heading 7 Char"/>
    <w:rPr>
      <w:rFonts w:ascii="Calibri" w:eastAsia="SimSun" w:hAnsi="Calibri"/>
      <w:snapToGrid w:val="0"/>
      <w:sz w:val="24"/>
      <w:szCs w:val="24"/>
      <w:lang w:val="en-GB"/>
    </w:rPr>
  </w:style>
  <w:style w:type="character" w:styleId="Hyperlink">
    <w:name w:val="Hyperlink"/>
    <w:semiHidden/>
    <w:rPr>
      <w:color w:val="0000FF"/>
      <w:u w:val="single"/>
    </w:rPr>
  </w:style>
  <w:style w:type="character" w:customStyle="1" w:styleId="FooterChar1">
    <w:name w:val="Footer Char1"/>
    <w:link w:val="Footer"/>
    <w:uiPriority w:val="99"/>
    <w:rsid w:val="00C612C7"/>
    <w:rPr>
      <w:sz w:val="22"/>
      <w:szCs w:val="22"/>
      <w:lang w:val="lv-LV" w:eastAsia="en-US"/>
    </w:rPr>
  </w:style>
  <w:style w:type="character" w:customStyle="1" w:styleId="tlid-translation">
    <w:name w:val="tlid-translation"/>
    <w:rsid w:val="003E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030">
      <w:bodyDiv w:val="1"/>
      <w:marLeft w:val="0"/>
      <w:marRight w:val="0"/>
      <w:marTop w:val="0"/>
      <w:marBottom w:val="0"/>
      <w:divBdr>
        <w:top w:val="none" w:sz="0" w:space="0" w:color="auto"/>
        <w:left w:val="none" w:sz="0" w:space="0" w:color="auto"/>
        <w:bottom w:val="none" w:sz="0" w:space="0" w:color="auto"/>
        <w:right w:val="none" w:sz="0" w:space="0" w:color="auto"/>
      </w:divBdr>
    </w:div>
    <w:div w:id="1415274746">
      <w:bodyDiv w:val="1"/>
      <w:marLeft w:val="0"/>
      <w:marRight w:val="0"/>
      <w:marTop w:val="0"/>
      <w:marBottom w:val="0"/>
      <w:divBdr>
        <w:top w:val="none" w:sz="0" w:space="0" w:color="auto"/>
        <w:left w:val="none" w:sz="0" w:space="0" w:color="auto"/>
        <w:bottom w:val="none" w:sz="0" w:space="0" w:color="auto"/>
        <w:right w:val="none" w:sz="0" w:space="0" w:color="auto"/>
      </w:divBdr>
      <w:divsChild>
        <w:div w:id="740248016">
          <w:marLeft w:val="0"/>
          <w:marRight w:val="0"/>
          <w:marTop w:val="0"/>
          <w:marBottom w:val="0"/>
          <w:divBdr>
            <w:top w:val="none" w:sz="0" w:space="0" w:color="auto"/>
            <w:left w:val="none" w:sz="0" w:space="0" w:color="auto"/>
            <w:bottom w:val="none" w:sz="0" w:space="0" w:color="auto"/>
            <w:right w:val="none" w:sz="0" w:space="0" w:color="auto"/>
          </w:divBdr>
          <w:divsChild>
            <w:div w:id="2021657879">
              <w:marLeft w:val="0"/>
              <w:marRight w:val="0"/>
              <w:marTop w:val="0"/>
              <w:marBottom w:val="0"/>
              <w:divBdr>
                <w:top w:val="none" w:sz="0" w:space="0" w:color="auto"/>
                <w:left w:val="none" w:sz="0" w:space="0" w:color="auto"/>
                <w:bottom w:val="none" w:sz="0" w:space="0" w:color="auto"/>
                <w:right w:val="none" w:sz="0" w:space="0" w:color="auto"/>
              </w:divBdr>
              <w:divsChild>
                <w:div w:id="1219051621">
                  <w:marLeft w:val="0"/>
                  <w:marRight w:val="0"/>
                  <w:marTop w:val="0"/>
                  <w:marBottom w:val="0"/>
                  <w:divBdr>
                    <w:top w:val="none" w:sz="0" w:space="0" w:color="auto"/>
                    <w:left w:val="none" w:sz="0" w:space="0" w:color="auto"/>
                    <w:bottom w:val="none" w:sz="0" w:space="0" w:color="auto"/>
                    <w:right w:val="none" w:sz="0" w:space="0" w:color="auto"/>
                  </w:divBdr>
                  <w:divsChild>
                    <w:div w:id="220677951">
                      <w:marLeft w:val="0"/>
                      <w:marRight w:val="0"/>
                      <w:marTop w:val="0"/>
                      <w:marBottom w:val="0"/>
                      <w:divBdr>
                        <w:top w:val="none" w:sz="0" w:space="0" w:color="auto"/>
                        <w:left w:val="none" w:sz="0" w:space="0" w:color="auto"/>
                        <w:bottom w:val="none" w:sz="0" w:space="0" w:color="auto"/>
                        <w:right w:val="none" w:sz="0" w:space="0" w:color="auto"/>
                      </w:divBdr>
                      <w:divsChild>
                        <w:div w:id="630595833">
                          <w:marLeft w:val="0"/>
                          <w:marRight w:val="0"/>
                          <w:marTop w:val="0"/>
                          <w:marBottom w:val="0"/>
                          <w:divBdr>
                            <w:top w:val="none" w:sz="0" w:space="0" w:color="auto"/>
                            <w:left w:val="none" w:sz="0" w:space="0" w:color="auto"/>
                            <w:bottom w:val="none" w:sz="0" w:space="0" w:color="auto"/>
                            <w:right w:val="none" w:sz="0" w:space="0" w:color="auto"/>
                          </w:divBdr>
                          <w:divsChild>
                            <w:div w:id="734279338">
                              <w:marLeft w:val="0"/>
                              <w:marRight w:val="0"/>
                              <w:marTop w:val="0"/>
                              <w:marBottom w:val="0"/>
                              <w:divBdr>
                                <w:top w:val="none" w:sz="0" w:space="0" w:color="auto"/>
                                <w:left w:val="none" w:sz="0" w:space="0" w:color="auto"/>
                                <w:bottom w:val="none" w:sz="0" w:space="0" w:color="auto"/>
                                <w:right w:val="none" w:sz="0" w:space="0" w:color="auto"/>
                              </w:divBdr>
                              <w:divsChild>
                                <w:div w:id="60637546">
                                  <w:marLeft w:val="0"/>
                                  <w:marRight w:val="0"/>
                                  <w:marTop w:val="0"/>
                                  <w:marBottom w:val="0"/>
                                  <w:divBdr>
                                    <w:top w:val="none" w:sz="0" w:space="0" w:color="auto"/>
                                    <w:left w:val="none" w:sz="0" w:space="0" w:color="auto"/>
                                    <w:bottom w:val="none" w:sz="0" w:space="0" w:color="auto"/>
                                    <w:right w:val="none" w:sz="0" w:space="0" w:color="auto"/>
                                  </w:divBdr>
                                  <w:divsChild>
                                    <w:div w:id="1172993616">
                                      <w:marLeft w:val="0"/>
                                      <w:marRight w:val="0"/>
                                      <w:marTop w:val="0"/>
                                      <w:marBottom w:val="0"/>
                                      <w:divBdr>
                                        <w:top w:val="none" w:sz="0" w:space="0" w:color="auto"/>
                                        <w:left w:val="none" w:sz="0" w:space="0" w:color="auto"/>
                                        <w:bottom w:val="none" w:sz="0" w:space="0" w:color="auto"/>
                                        <w:right w:val="none" w:sz="0" w:space="0" w:color="auto"/>
                                      </w:divBdr>
                                      <w:divsChild>
                                        <w:div w:id="312103536">
                                          <w:marLeft w:val="0"/>
                                          <w:marRight w:val="0"/>
                                          <w:marTop w:val="0"/>
                                          <w:marBottom w:val="0"/>
                                          <w:divBdr>
                                            <w:top w:val="none" w:sz="0" w:space="0" w:color="auto"/>
                                            <w:left w:val="none" w:sz="0" w:space="0" w:color="auto"/>
                                            <w:bottom w:val="none" w:sz="0" w:space="0" w:color="auto"/>
                                            <w:right w:val="none" w:sz="0" w:space="0" w:color="auto"/>
                                          </w:divBdr>
                                          <w:divsChild>
                                            <w:div w:id="940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Heviran</Trade_x0020_nam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85BF-62D1-41D1-BB8F-9F504093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97CAA-F3F1-4978-A0E4-167258C9ABB4}">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3.xml><?xml version="1.0" encoding="utf-8"?>
<ds:datastoreItem xmlns:ds="http://schemas.openxmlformats.org/officeDocument/2006/customXml" ds:itemID="{5560A7E6-B60A-4F9B-83FF-1F90C2165A4B}">
  <ds:schemaRefs>
    <ds:schemaRef ds:uri="http://schemas.microsoft.com/office/2006/metadata/longProperties"/>
  </ds:schemaRefs>
</ds:datastoreItem>
</file>

<file path=customXml/itemProps4.xml><?xml version="1.0" encoding="utf-8"?>
<ds:datastoreItem xmlns:ds="http://schemas.openxmlformats.org/officeDocument/2006/customXml" ds:itemID="{394480B2-E77E-4B8D-8F46-1DBADBEB4668}">
  <ds:schemaRefs>
    <ds:schemaRef ds:uri="http://schemas.microsoft.com/sharepoint/v3/contenttype/forms"/>
  </ds:schemaRefs>
</ds:datastoreItem>
</file>

<file path=customXml/itemProps5.xml><?xml version="1.0" encoding="utf-8"?>
<ds:datastoreItem xmlns:ds="http://schemas.openxmlformats.org/officeDocument/2006/customXml" ds:itemID="{F8F76480-14B2-4DE6-B01D-D5FDAD38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13243</Words>
  <Characters>7549</Characters>
  <Application>Microsoft Office Word</Application>
  <DocSecurity>0</DocSecurity>
  <Lines>62</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ZĀĻU APRAKSTS</vt:lpstr>
      <vt:lpstr>ZĀĻU APRAKSTS</vt:lpstr>
    </vt:vector>
  </TitlesOfParts>
  <Company>Polpharma</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subject/>
  <dc:creator>A3</dc:creator>
  <cp:keywords/>
  <cp:lastModifiedBy>Skaidrīte Lapsenīte</cp:lastModifiedBy>
  <cp:revision>4</cp:revision>
  <cp:lastPrinted>2013-01-18T12:42:00Z</cp:lastPrinted>
  <dcterms:created xsi:type="dcterms:W3CDTF">2020-01-14T15:00:00Z</dcterms:created>
  <dcterms:modified xsi:type="dcterms:W3CDTF">2020-04-29T11:44:00Z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ies>
</file>