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62" w:rsidRDefault="00050062" w:rsidP="00F63674">
      <w:pPr>
        <w:tabs>
          <w:tab w:val="clear" w:pos="567"/>
          <w:tab w:val="left" w:pos="0"/>
        </w:tabs>
        <w:spacing w:line="240" w:lineRule="auto"/>
        <w:ind w:left="567" w:hanging="567"/>
        <w:jc w:val="center"/>
        <w:rPr>
          <w:b/>
          <w:lang w:val="lv-LV"/>
        </w:rPr>
      </w:pPr>
      <w:bookmarkStart w:id="0" w:name="_GoBack"/>
      <w:bookmarkEnd w:id="0"/>
      <w:r>
        <w:rPr>
          <w:b/>
          <w:lang w:val="lv-LV"/>
        </w:rPr>
        <w:t>ZĀĻU APRAKSTS</w:t>
      </w:r>
    </w:p>
    <w:p w:rsidR="00050062" w:rsidRDefault="00050062" w:rsidP="00657D6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lang w:val="lv-LV"/>
        </w:rPr>
      </w:pPr>
    </w:p>
    <w:p w:rsidR="00050062" w:rsidRDefault="00050062" w:rsidP="00657D6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lang w:val="lv-LV"/>
        </w:rPr>
      </w:pPr>
    </w:p>
    <w:p w:rsidR="00680E81" w:rsidRPr="006D7FDE" w:rsidRDefault="004A50CF" w:rsidP="00657D6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lang w:val="lv-LV"/>
        </w:rPr>
      </w:pPr>
      <w:r w:rsidRPr="006D7FDE">
        <w:rPr>
          <w:b/>
          <w:lang w:val="lv-LV"/>
        </w:rPr>
        <w:t>1.</w:t>
      </w:r>
      <w:r w:rsidRPr="006D7FDE">
        <w:rPr>
          <w:b/>
          <w:lang w:val="lv-LV"/>
        </w:rPr>
        <w:tab/>
        <w:t>ZĀĻU NOSAUKUMS</w:t>
      </w:r>
    </w:p>
    <w:p w:rsidR="00017525" w:rsidRPr="006D7FDE" w:rsidRDefault="00017525">
      <w:pPr>
        <w:spacing w:line="240" w:lineRule="auto"/>
        <w:ind w:left="567" w:hanging="567"/>
        <w:rPr>
          <w:lang w:val="lv-LV"/>
        </w:rPr>
      </w:pPr>
    </w:p>
    <w:p w:rsidR="00017525" w:rsidRDefault="000819D5">
      <w:pPr>
        <w:spacing w:line="240" w:lineRule="auto"/>
        <w:ind w:left="567" w:hanging="567"/>
        <w:rPr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ROWACHOL </w:t>
      </w:r>
      <w:r>
        <w:rPr>
          <w:color w:val="000000"/>
          <w:szCs w:val="22"/>
        </w:rPr>
        <w:t>zarnās škīstošās mīkstās kapsulas</w:t>
      </w:r>
    </w:p>
    <w:p w:rsidR="000819D5" w:rsidRPr="006D7FDE" w:rsidRDefault="000819D5">
      <w:pPr>
        <w:spacing w:line="240" w:lineRule="auto"/>
        <w:ind w:left="567" w:hanging="567"/>
        <w:rPr>
          <w:lang w:val="lv-LV"/>
        </w:rPr>
      </w:pPr>
    </w:p>
    <w:p w:rsidR="00017525" w:rsidRPr="006D7FDE" w:rsidRDefault="00017525">
      <w:pPr>
        <w:spacing w:line="240" w:lineRule="auto"/>
        <w:ind w:left="567" w:hanging="567"/>
        <w:rPr>
          <w:lang w:val="lv-LV"/>
        </w:rPr>
      </w:pPr>
    </w:p>
    <w:p w:rsidR="00017525" w:rsidRPr="006D7FDE" w:rsidRDefault="004A50CF">
      <w:pPr>
        <w:spacing w:line="240" w:lineRule="auto"/>
        <w:ind w:left="567" w:hanging="567"/>
        <w:rPr>
          <w:b/>
          <w:lang w:val="lv-LV"/>
        </w:rPr>
      </w:pPr>
      <w:r w:rsidRPr="006D7FDE">
        <w:rPr>
          <w:b/>
          <w:lang w:val="lv-LV"/>
        </w:rPr>
        <w:t>2.</w:t>
      </w:r>
      <w:r w:rsidRPr="006D7FDE">
        <w:rPr>
          <w:b/>
          <w:lang w:val="lv-LV"/>
        </w:rPr>
        <w:tab/>
        <w:t>KVALITATĪVAIS UN KVANTITATĪVAIS SASTĀVS</w:t>
      </w:r>
    </w:p>
    <w:p w:rsidR="00017525" w:rsidRPr="006D7FDE" w:rsidRDefault="00017525">
      <w:pPr>
        <w:spacing w:line="240" w:lineRule="auto"/>
        <w:ind w:left="567" w:hanging="567"/>
        <w:rPr>
          <w:lang w:val="lv-LV"/>
        </w:rPr>
      </w:pPr>
    </w:p>
    <w:p w:rsidR="000819D5" w:rsidRDefault="000819D5" w:rsidP="000819D5">
      <w:pPr>
        <w:tabs>
          <w:tab w:val="clear" w:pos="567"/>
          <w:tab w:val="left" w:pos="0"/>
        </w:tabs>
        <w:spacing w:line="240" w:lineRule="auto"/>
        <w:rPr>
          <w:color w:val="000000"/>
          <w:szCs w:val="22"/>
        </w:rPr>
      </w:pPr>
      <w:r>
        <w:rPr>
          <w:color w:val="000000"/>
          <w:szCs w:val="22"/>
        </w:rPr>
        <w:t>1 kapsula satur: 17 mg α + β pinēna (Pinenum), 5 mg kamfēna (Camphenum), 2 mg cineola</w:t>
      </w:r>
      <w:r>
        <w:rPr>
          <w:color w:val="000000"/>
          <w:szCs w:val="22"/>
        </w:rPr>
        <w:br/>
        <w:t>(Cineolum), 6 mg mentona (Menthonum), 32 mg mentola (Mentholum), 5 mg borneola (Borneolum).</w:t>
      </w:r>
      <w:r>
        <w:rPr>
          <w:color w:val="000000"/>
          <w:szCs w:val="22"/>
        </w:rPr>
        <w:br/>
      </w:r>
    </w:p>
    <w:p w:rsidR="00017525" w:rsidRDefault="000819D5" w:rsidP="000819D5">
      <w:pPr>
        <w:tabs>
          <w:tab w:val="clear" w:pos="567"/>
          <w:tab w:val="left" w:pos="0"/>
        </w:tabs>
        <w:spacing w:line="240" w:lineRule="auto"/>
        <w:rPr>
          <w:color w:val="000000"/>
          <w:szCs w:val="22"/>
        </w:rPr>
      </w:pPr>
      <w:r w:rsidRPr="000819D5">
        <w:rPr>
          <w:lang w:val="lv-LV"/>
        </w:rPr>
        <w:t>Palīgvielas ar zināmu iedarbību</w:t>
      </w:r>
      <w:r w:rsidR="00E174C7">
        <w:rPr>
          <w:color w:val="000000"/>
          <w:szCs w:val="22"/>
        </w:rPr>
        <w:t>:</w:t>
      </w:r>
      <w:r>
        <w:rPr>
          <w:color w:val="000000"/>
          <w:szCs w:val="22"/>
        </w:rPr>
        <w:t xml:space="preserve"> 1 kapsula satur 0,23 mg nātrija etil-p-hidroksibenzoāta (E 215)</w:t>
      </w:r>
      <w:r w:rsidR="00E174C7">
        <w:rPr>
          <w:color w:val="000000"/>
          <w:szCs w:val="22"/>
        </w:rPr>
        <w:t xml:space="preserve"> un </w:t>
      </w:r>
      <w:r>
        <w:rPr>
          <w:color w:val="000000"/>
          <w:szCs w:val="22"/>
        </w:rPr>
        <w:t xml:space="preserve"> 0,11 mg nātrija propil-p-hidroksibenzoāta (E 217).</w:t>
      </w:r>
    </w:p>
    <w:p w:rsidR="00017525" w:rsidRPr="006D7FDE" w:rsidRDefault="00017525" w:rsidP="000819D5">
      <w:pPr>
        <w:spacing w:line="240" w:lineRule="auto"/>
        <w:rPr>
          <w:lang w:val="lv-LV"/>
        </w:rPr>
      </w:pPr>
    </w:p>
    <w:p w:rsidR="00017525" w:rsidRPr="006D7FDE" w:rsidRDefault="004A50CF">
      <w:pPr>
        <w:spacing w:line="240" w:lineRule="auto"/>
        <w:ind w:left="567" w:hanging="567"/>
        <w:rPr>
          <w:lang w:val="lv-LV"/>
        </w:rPr>
      </w:pPr>
      <w:r w:rsidRPr="006D7FDE">
        <w:rPr>
          <w:lang w:val="lv-LV"/>
        </w:rPr>
        <w:t>Pilnu palīgvielu sarakstu skatīt 6.1</w:t>
      </w:r>
      <w:r w:rsidR="005C4262" w:rsidRPr="006D7FDE">
        <w:rPr>
          <w:szCs w:val="22"/>
          <w:lang w:val="lv-LV"/>
        </w:rPr>
        <w:t>.</w:t>
      </w:r>
      <w:r w:rsidR="00F139F0" w:rsidRPr="006D7FDE">
        <w:rPr>
          <w:lang w:val="lv-LV"/>
        </w:rPr>
        <w:t> </w:t>
      </w:r>
      <w:r w:rsidR="000819D5">
        <w:rPr>
          <w:lang w:val="lv-LV"/>
        </w:rPr>
        <w:t>apakšpunktā.</w:t>
      </w:r>
    </w:p>
    <w:p w:rsidR="00017525" w:rsidRPr="006D7FDE" w:rsidRDefault="00017525">
      <w:pPr>
        <w:spacing w:line="240" w:lineRule="auto"/>
        <w:ind w:left="567" w:hanging="567"/>
        <w:rPr>
          <w:lang w:val="lv-LV"/>
        </w:rPr>
      </w:pPr>
    </w:p>
    <w:p w:rsidR="00017525" w:rsidRPr="006D7FDE" w:rsidRDefault="00017525">
      <w:pPr>
        <w:spacing w:line="240" w:lineRule="auto"/>
        <w:ind w:left="567" w:hanging="567"/>
        <w:rPr>
          <w:lang w:val="lv-LV"/>
        </w:rPr>
      </w:pPr>
    </w:p>
    <w:p w:rsidR="00017525" w:rsidRPr="006D7FDE" w:rsidRDefault="004A50CF">
      <w:pPr>
        <w:spacing w:line="240" w:lineRule="auto"/>
        <w:ind w:left="567" w:hanging="567"/>
        <w:rPr>
          <w:b/>
          <w:caps/>
          <w:lang w:val="lv-LV"/>
        </w:rPr>
      </w:pPr>
      <w:r w:rsidRPr="006D7FDE">
        <w:rPr>
          <w:b/>
          <w:lang w:val="lv-LV"/>
        </w:rPr>
        <w:t>3.</w:t>
      </w:r>
      <w:r w:rsidRPr="006D7FDE">
        <w:rPr>
          <w:b/>
          <w:lang w:val="lv-LV"/>
        </w:rPr>
        <w:tab/>
        <w:t>ZĀĻU FORMA</w:t>
      </w:r>
    </w:p>
    <w:p w:rsidR="00017525" w:rsidRPr="006D7FDE" w:rsidRDefault="00017525">
      <w:pPr>
        <w:spacing w:line="240" w:lineRule="auto"/>
        <w:ind w:left="567" w:hanging="567"/>
        <w:rPr>
          <w:lang w:val="lv-LV"/>
        </w:rPr>
      </w:pPr>
    </w:p>
    <w:p w:rsidR="00017525" w:rsidRPr="006D7FDE" w:rsidRDefault="000819D5">
      <w:pPr>
        <w:tabs>
          <w:tab w:val="clear" w:pos="567"/>
          <w:tab w:val="left" w:pos="0"/>
        </w:tabs>
        <w:spacing w:line="240" w:lineRule="auto"/>
        <w:rPr>
          <w:lang w:val="lv-LV"/>
        </w:rPr>
      </w:pPr>
      <w:r>
        <w:rPr>
          <w:color w:val="000000"/>
          <w:szCs w:val="22"/>
        </w:rPr>
        <w:t>Zarnās škīstošā mīkstā kapsula.</w:t>
      </w:r>
      <w:r>
        <w:rPr>
          <w:color w:val="000000"/>
          <w:szCs w:val="22"/>
        </w:rPr>
        <w:br/>
        <w:t xml:space="preserve">Zaļas, sfēriskas, zarnās škīstošas mīkstās </w:t>
      </w:r>
      <w:r w:rsidR="00484387">
        <w:rPr>
          <w:color w:val="000000"/>
          <w:szCs w:val="22"/>
        </w:rPr>
        <w:t>želatīna</w:t>
      </w:r>
      <w:r>
        <w:rPr>
          <w:color w:val="000000"/>
          <w:szCs w:val="22"/>
        </w:rPr>
        <w:t xml:space="preserve"> kapsulas, kuras s</w:t>
      </w:r>
      <w:r w:rsidR="00DF3BF1">
        <w:rPr>
          <w:color w:val="000000"/>
          <w:szCs w:val="22"/>
        </w:rPr>
        <w:t xml:space="preserve">atur gaiši dzeltenu vai zaļgani </w:t>
      </w:r>
      <w:r>
        <w:rPr>
          <w:color w:val="000000"/>
          <w:szCs w:val="22"/>
        </w:rPr>
        <w:t>dzeltenu eļļu.</w:t>
      </w:r>
    </w:p>
    <w:p w:rsidR="00017525" w:rsidRPr="006D7FDE" w:rsidRDefault="00017525">
      <w:pPr>
        <w:spacing w:line="240" w:lineRule="auto"/>
        <w:ind w:left="567" w:hanging="567"/>
        <w:rPr>
          <w:lang w:val="lv-LV"/>
        </w:rPr>
      </w:pPr>
    </w:p>
    <w:p w:rsidR="00017525" w:rsidRPr="006D7FDE" w:rsidRDefault="00017525">
      <w:pPr>
        <w:spacing w:line="240" w:lineRule="auto"/>
        <w:ind w:left="567" w:hanging="567"/>
        <w:rPr>
          <w:lang w:val="lv-LV"/>
        </w:rPr>
      </w:pPr>
    </w:p>
    <w:p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b/>
          <w:lang w:val="lv-LV"/>
        </w:rPr>
      </w:pPr>
      <w:r w:rsidRPr="006D7FDE">
        <w:rPr>
          <w:b/>
          <w:caps/>
          <w:lang w:val="lv-LV"/>
        </w:rPr>
        <w:t>4.</w:t>
      </w:r>
      <w:r w:rsidRPr="006D7FDE">
        <w:rPr>
          <w:b/>
          <w:caps/>
          <w:lang w:val="lv-LV"/>
        </w:rPr>
        <w:tab/>
        <w:t xml:space="preserve">KLĪNISKĀ INFORMĀCIJA </w:t>
      </w:r>
    </w:p>
    <w:p w:rsidR="00017525" w:rsidRPr="006D7FDE" w:rsidRDefault="00017525">
      <w:pPr>
        <w:spacing w:line="240" w:lineRule="auto"/>
        <w:ind w:left="567" w:hanging="567"/>
        <w:rPr>
          <w:lang w:val="lv-LV"/>
        </w:rPr>
      </w:pPr>
    </w:p>
    <w:p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b/>
          <w:lang w:val="lv-LV"/>
        </w:rPr>
        <w:t>4.1</w:t>
      </w:r>
      <w:r w:rsidR="008B15CD" w:rsidRPr="006D7FDE">
        <w:rPr>
          <w:b/>
          <w:szCs w:val="22"/>
          <w:lang w:val="lv-LV"/>
        </w:rPr>
        <w:t>.</w:t>
      </w:r>
      <w:r w:rsidRPr="006D7FDE">
        <w:rPr>
          <w:b/>
          <w:lang w:val="lv-LV"/>
        </w:rPr>
        <w:tab/>
        <w:t>Terapeitiskās indikācijas</w:t>
      </w:r>
    </w:p>
    <w:p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6D7FDE" w:rsidRDefault="000819D5" w:rsidP="000819D5">
      <w:pPr>
        <w:tabs>
          <w:tab w:val="clear" w:pos="567"/>
        </w:tabs>
        <w:spacing w:line="240" w:lineRule="auto"/>
        <w:rPr>
          <w:lang w:val="lv-LV"/>
        </w:rPr>
      </w:pPr>
      <w:r>
        <w:rPr>
          <w:color w:val="000000"/>
          <w:szCs w:val="22"/>
        </w:rPr>
        <w:t xml:space="preserve">Aknu un </w:t>
      </w:r>
      <w:r w:rsidR="004E402B">
        <w:rPr>
          <w:color w:val="000000"/>
          <w:szCs w:val="22"/>
        </w:rPr>
        <w:t>žultsceļu</w:t>
      </w:r>
      <w:r>
        <w:rPr>
          <w:color w:val="000000"/>
          <w:szCs w:val="22"/>
        </w:rPr>
        <w:t xml:space="preserve"> slimības, to vidū holelitiāze, holecistīts, </w:t>
      </w:r>
      <w:r w:rsidR="00484387">
        <w:rPr>
          <w:color w:val="000000"/>
          <w:szCs w:val="22"/>
        </w:rPr>
        <w:t>žultsceļu</w:t>
      </w:r>
      <w:r>
        <w:rPr>
          <w:color w:val="000000"/>
          <w:szCs w:val="22"/>
        </w:rPr>
        <w:t xml:space="preserve"> spazmas, </w:t>
      </w:r>
      <w:r w:rsidR="00484387">
        <w:rPr>
          <w:color w:val="000000"/>
          <w:szCs w:val="22"/>
        </w:rPr>
        <w:t>žultsvadu</w:t>
      </w:r>
      <w:r>
        <w:rPr>
          <w:color w:val="000000"/>
          <w:szCs w:val="22"/>
        </w:rPr>
        <w:t xml:space="preserve"> diskinēzija,</w:t>
      </w:r>
      <w:r>
        <w:rPr>
          <w:color w:val="000000"/>
          <w:szCs w:val="22"/>
        </w:rPr>
        <w:br/>
        <w:t xml:space="preserve">iekaisīgas aknu slimības. To ieteicams lietot arī aknu un </w:t>
      </w:r>
      <w:r w:rsidR="00CC56DF">
        <w:rPr>
          <w:color w:val="000000"/>
          <w:szCs w:val="22"/>
        </w:rPr>
        <w:t>žultsceļu</w:t>
      </w:r>
      <w:r>
        <w:rPr>
          <w:color w:val="000000"/>
          <w:szCs w:val="22"/>
        </w:rPr>
        <w:t xml:space="preserve"> ārstēšanai pirms un pēc operācijas,</w:t>
      </w:r>
      <w:r>
        <w:rPr>
          <w:color w:val="000000"/>
          <w:szCs w:val="22"/>
        </w:rPr>
        <w:br/>
        <w:t xml:space="preserve">kā arī lai novērstu </w:t>
      </w:r>
      <w:r w:rsidR="00CC56DF">
        <w:rPr>
          <w:color w:val="000000"/>
          <w:szCs w:val="22"/>
        </w:rPr>
        <w:t>žultsakmeņu</w:t>
      </w:r>
      <w:r>
        <w:rPr>
          <w:color w:val="000000"/>
          <w:szCs w:val="22"/>
        </w:rPr>
        <w:t xml:space="preserve"> atkārtotu veidošanos.</w:t>
      </w:r>
    </w:p>
    <w:p w:rsidR="00017525" w:rsidRPr="006D7FDE" w:rsidRDefault="00017525">
      <w:pPr>
        <w:tabs>
          <w:tab w:val="clear" w:pos="567"/>
        </w:tabs>
        <w:spacing w:line="240" w:lineRule="auto"/>
        <w:rPr>
          <w:lang w:val="lv-LV"/>
        </w:rPr>
      </w:pPr>
    </w:p>
    <w:p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b/>
          <w:lang w:val="lv-LV"/>
        </w:rPr>
        <w:t>4.2</w:t>
      </w:r>
      <w:r w:rsidR="001452C3" w:rsidRPr="006D7FDE">
        <w:rPr>
          <w:b/>
          <w:szCs w:val="22"/>
          <w:lang w:val="lv-LV"/>
        </w:rPr>
        <w:t>.</w:t>
      </w:r>
      <w:r w:rsidRPr="006D7FDE">
        <w:rPr>
          <w:b/>
          <w:lang w:val="lv-LV"/>
        </w:rPr>
        <w:tab/>
        <w:t>Devas un lietošanas veids</w:t>
      </w:r>
    </w:p>
    <w:p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6D7FDE" w:rsidRDefault="004A50CF">
      <w:pPr>
        <w:tabs>
          <w:tab w:val="clear" w:pos="567"/>
        </w:tabs>
        <w:spacing w:line="240" w:lineRule="auto"/>
        <w:rPr>
          <w:u w:val="single"/>
          <w:lang w:val="lv-LV"/>
        </w:rPr>
      </w:pPr>
      <w:r w:rsidRPr="006D7FDE">
        <w:rPr>
          <w:u w:val="single"/>
          <w:lang w:val="lv-LV"/>
        </w:rPr>
        <w:t xml:space="preserve">Devas </w:t>
      </w:r>
    </w:p>
    <w:p w:rsidR="00017525" w:rsidRPr="006D7FDE" w:rsidRDefault="00017525">
      <w:pPr>
        <w:tabs>
          <w:tab w:val="clear" w:pos="567"/>
        </w:tabs>
        <w:spacing w:line="240" w:lineRule="auto"/>
        <w:rPr>
          <w:u w:val="single"/>
          <w:lang w:val="lv-LV"/>
        </w:rPr>
      </w:pPr>
    </w:p>
    <w:p w:rsidR="000819D5" w:rsidRDefault="000819D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Pieaugušie: parastā deva ir 1 - 2 kapsulas trīs reizes dienā pirms ēšanas. Koliku gadījumā 2-3 kapsulas</w:t>
      </w:r>
      <w:r>
        <w:rPr>
          <w:color w:val="000000"/>
          <w:szCs w:val="22"/>
        </w:rPr>
        <w:br/>
        <w:t>5 reizes dienā.</w:t>
      </w:r>
    </w:p>
    <w:p w:rsidR="00017525" w:rsidRDefault="000819D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br/>
        <w:t>Nav ieteicams bērniem.</w:t>
      </w:r>
    </w:p>
    <w:p w:rsidR="000819D5" w:rsidRPr="006D7FDE" w:rsidRDefault="000819D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lang w:val="lv-LV"/>
        </w:rPr>
      </w:pPr>
    </w:p>
    <w:p w:rsidR="00017525" w:rsidRPr="006D7FDE" w:rsidRDefault="004A50CF">
      <w:pPr>
        <w:tabs>
          <w:tab w:val="clear" w:pos="567"/>
        </w:tabs>
        <w:spacing w:line="240" w:lineRule="auto"/>
        <w:rPr>
          <w:u w:val="single"/>
          <w:lang w:val="lv-LV"/>
        </w:rPr>
      </w:pPr>
      <w:r w:rsidRPr="006D7FDE">
        <w:rPr>
          <w:u w:val="single"/>
          <w:lang w:val="lv-LV"/>
        </w:rPr>
        <w:t>Lietošanas veids</w:t>
      </w:r>
    </w:p>
    <w:p w:rsidR="00017525" w:rsidRPr="006D7FDE" w:rsidRDefault="00017525">
      <w:pPr>
        <w:tabs>
          <w:tab w:val="clear" w:pos="567"/>
        </w:tabs>
        <w:spacing w:line="240" w:lineRule="auto"/>
        <w:rPr>
          <w:b/>
          <w:lang w:val="lv-LV"/>
        </w:rPr>
      </w:pPr>
    </w:p>
    <w:p w:rsidR="00017525" w:rsidRPr="006D7FDE" w:rsidRDefault="00B92232" w:rsidP="000819D5">
      <w:pPr>
        <w:tabs>
          <w:tab w:val="clear" w:pos="567"/>
        </w:tabs>
        <w:spacing w:line="240" w:lineRule="auto"/>
        <w:rPr>
          <w:lang w:val="lv-LV"/>
        </w:rPr>
      </w:pPr>
      <w:r>
        <w:rPr>
          <w:color w:val="000000"/>
          <w:szCs w:val="22"/>
        </w:rPr>
        <w:t>Iekšķīgai</w:t>
      </w:r>
      <w:r w:rsidR="008E0196">
        <w:rPr>
          <w:color w:val="000000"/>
          <w:szCs w:val="22"/>
        </w:rPr>
        <w:t>a</w:t>
      </w:r>
      <w:r w:rsidR="000819D5">
        <w:rPr>
          <w:color w:val="000000"/>
          <w:szCs w:val="22"/>
        </w:rPr>
        <w:t>i</w:t>
      </w:r>
      <w:r w:rsidR="008E0196">
        <w:rPr>
          <w:color w:val="000000"/>
          <w:szCs w:val="22"/>
        </w:rPr>
        <w:t xml:space="preserve"> lietošanai</w:t>
      </w:r>
      <w:r w:rsidR="000819D5">
        <w:rPr>
          <w:color w:val="000000"/>
          <w:szCs w:val="22"/>
        </w:rPr>
        <w:t>.</w:t>
      </w:r>
    </w:p>
    <w:p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b/>
          <w:lang w:val="lv-LV"/>
        </w:rPr>
        <w:t>4.3</w:t>
      </w:r>
      <w:r w:rsidR="0046466B" w:rsidRPr="006D7FDE">
        <w:rPr>
          <w:b/>
          <w:szCs w:val="22"/>
          <w:lang w:val="lv-LV"/>
        </w:rPr>
        <w:t>.</w:t>
      </w:r>
      <w:r w:rsidRPr="006D7FDE">
        <w:rPr>
          <w:b/>
          <w:lang w:val="lv-LV"/>
        </w:rPr>
        <w:tab/>
        <w:t xml:space="preserve">Kontrindikācijas </w:t>
      </w:r>
    </w:p>
    <w:p w:rsidR="00017525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819D5" w:rsidRDefault="000819D5">
      <w:pPr>
        <w:tabs>
          <w:tab w:val="clear" w:pos="567"/>
        </w:tabs>
        <w:spacing w:line="240" w:lineRule="auto"/>
        <w:ind w:left="567" w:hanging="567"/>
        <w:rPr>
          <w:color w:val="000000"/>
          <w:szCs w:val="22"/>
        </w:rPr>
      </w:pPr>
      <w:r>
        <w:rPr>
          <w:color w:val="000000"/>
          <w:szCs w:val="22"/>
        </w:rPr>
        <w:t xml:space="preserve">Paaugstināta jutība pret aktīvām vielām un/vai jebkuru no </w:t>
      </w:r>
      <w:r w:rsidR="00A327C4">
        <w:rPr>
          <w:color w:val="000000"/>
          <w:szCs w:val="22"/>
        </w:rPr>
        <w:t xml:space="preserve">6.1. apakšpunktā uzskaitītajām </w:t>
      </w:r>
      <w:r>
        <w:rPr>
          <w:color w:val="000000"/>
          <w:szCs w:val="22"/>
        </w:rPr>
        <w:t>palīgvielām.</w:t>
      </w:r>
    </w:p>
    <w:p w:rsidR="000819D5" w:rsidRDefault="000819D5">
      <w:pPr>
        <w:tabs>
          <w:tab w:val="clear" w:pos="567"/>
        </w:tabs>
        <w:spacing w:line="240" w:lineRule="auto"/>
        <w:ind w:left="567" w:hanging="567"/>
        <w:rPr>
          <w:color w:val="000000"/>
          <w:szCs w:val="22"/>
        </w:rPr>
      </w:pPr>
      <w:r>
        <w:rPr>
          <w:color w:val="000000"/>
          <w:szCs w:val="22"/>
        </w:rPr>
        <w:t>Holangīts, smaga aknu mazspēja, aknu ciroze.</w:t>
      </w:r>
    </w:p>
    <w:p w:rsidR="00017525" w:rsidRPr="006D7FDE" w:rsidRDefault="00017525" w:rsidP="000819D5">
      <w:pPr>
        <w:tabs>
          <w:tab w:val="clear" w:pos="567"/>
        </w:tabs>
        <w:spacing w:line="240" w:lineRule="auto"/>
        <w:rPr>
          <w:lang w:val="lv-LV"/>
        </w:rPr>
      </w:pPr>
    </w:p>
    <w:p w:rsidR="00017525" w:rsidRPr="00F63674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b/>
          <w:lang w:val="lv-LV"/>
        </w:rPr>
        <w:t>4.4</w:t>
      </w:r>
      <w:r w:rsidR="0046466B" w:rsidRPr="006D7FDE">
        <w:rPr>
          <w:b/>
          <w:szCs w:val="22"/>
          <w:lang w:val="lv-LV"/>
        </w:rPr>
        <w:t>.</w:t>
      </w:r>
      <w:r w:rsidRPr="006D7FDE">
        <w:rPr>
          <w:b/>
          <w:lang w:val="lv-LV"/>
        </w:rPr>
        <w:tab/>
      </w:r>
      <w:r w:rsidRPr="00F63674">
        <w:rPr>
          <w:b/>
          <w:lang w:val="lv-LV"/>
        </w:rPr>
        <w:t>Īpaši brīdinājumi un piesardzība lietošanā</w:t>
      </w:r>
    </w:p>
    <w:p w:rsidR="00017525" w:rsidRPr="00F63674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F63674" w:rsidRDefault="000819D5" w:rsidP="000819D5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F63674">
        <w:rPr>
          <w:color w:val="000000"/>
          <w:szCs w:val="22"/>
        </w:rPr>
        <w:t xml:space="preserve">Konservatīva kopējā </w:t>
      </w:r>
      <w:r w:rsidR="00A327C4" w:rsidRPr="00F63674">
        <w:rPr>
          <w:color w:val="000000"/>
          <w:szCs w:val="22"/>
        </w:rPr>
        <w:t>žultsvada</w:t>
      </w:r>
      <w:r w:rsidRPr="00F63674">
        <w:rPr>
          <w:color w:val="000000"/>
          <w:szCs w:val="22"/>
        </w:rPr>
        <w:t xml:space="preserve"> akmeņu ārstēšana jāsāk, atceroties, ka </w:t>
      </w:r>
      <w:r w:rsidR="00A327C4" w:rsidRPr="00F63674">
        <w:rPr>
          <w:color w:val="000000"/>
          <w:szCs w:val="22"/>
        </w:rPr>
        <w:t>žultsvadu</w:t>
      </w:r>
      <w:r w:rsidRPr="00F63674">
        <w:rPr>
          <w:color w:val="000000"/>
          <w:szCs w:val="22"/>
        </w:rPr>
        <w:t xml:space="preserve"> </w:t>
      </w:r>
      <w:r w:rsidR="00F63674" w:rsidRPr="00F63674">
        <w:rPr>
          <w:color w:val="000000"/>
          <w:szCs w:val="22"/>
        </w:rPr>
        <w:t xml:space="preserve">akmeņi var </w:t>
      </w:r>
      <w:r w:rsidRPr="00F63674">
        <w:rPr>
          <w:color w:val="000000"/>
          <w:szCs w:val="22"/>
        </w:rPr>
        <w:t>izraisīt</w:t>
      </w:r>
      <w:r w:rsidR="00F63674" w:rsidRPr="00F63674">
        <w:rPr>
          <w:color w:val="000000"/>
          <w:szCs w:val="22"/>
        </w:rPr>
        <w:t xml:space="preserve"> </w:t>
      </w:r>
      <w:r w:rsidRPr="00F63674">
        <w:rPr>
          <w:color w:val="000000"/>
          <w:szCs w:val="22"/>
        </w:rPr>
        <w:t>klīniskas komplikācijas, piemēram, obstruktīvu dzelti, ascendējošu holangītu, pankreatītu u.t.t., un</w:t>
      </w:r>
      <w:r w:rsidRPr="00F63674">
        <w:rPr>
          <w:color w:val="000000"/>
          <w:szCs w:val="22"/>
        </w:rPr>
        <w:br/>
        <w:t>ārstam jāsaņem pilnīga informācija (īpaši par gados veciem cilv</w:t>
      </w:r>
      <w:r w:rsidR="00286FED" w:rsidRPr="00F63674">
        <w:rPr>
          <w:color w:val="000000"/>
          <w:szCs w:val="22"/>
        </w:rPr>
        <w:t>ē</w:t>
      </w:r>
      <w:r w:rsidRPr="00F63674">
        <w:rPr>
          <w:color w:val="000000"/>
          <w:szCs w:val="22"/>
        </w:rPr>
        <w:t>kiem), lai varētu veikt nepieciešamos</w:t>
      </w:r>
      <w:r w:rsidR="00F63674" w:rsidRPr="00F63674">
        <w:rPr>
          <w:color w:val="000000"/>
          <w:szCs w:val="22"/>
        </w:rPr>
        <w:t xml:space="preserve"> </w:t>
      </w:r>
      <w:r w:rsidRPr="00F63674">
        <w:rPr>
          <w:color w:val="000000"/>
          <w:szCs w:val="22"/>
        </w:rPr>
        <w:lastRenderedPageBreak/>
        <w:t>pasākumus.</w:t>
      </w:r>
      <w:r w:rsidRPr="00F63674">
        <w:rPr>
          <w:color w:val="000000"/>
          <w:szCs w:val="22"/>
        </w:rPr>
        <w:br/>
        <w:t>Šīs zāles satur nātrija etil-p-hidroksibenzoātu (E 215), nātrija propil-p-hidroksibenzoātu</w:t>
      </w:r>
      <w:r w:rsidRPr="00F63674">
        <w:rPr>
          <w:color w:val="000000"/>
          <w:szCs w:val="22"/>
        </w:rPr>
        <w:br/>
        <w:t>(E 217), kas var izraisīt alerģiskas reakcijas (iespējams, aizkavētas).</w:t>
      </w:r>
    </w:p>
    <w:p w:rsidR="000819D5" w:rsidRPr="00F63674" w:rsidRDefault="000819D5" w:rsidP="000819D5">
      <w:pPr>
        <w:tabs>
          <w:tab w:val="clear" w:pos="567"/>
        </w:tabs>
        <w:spacing w:line="240" w:lineRule="auto"/>
        <w:rPr>
          <w:lang w:val="lv-LV"/>
        </w:rPr>
      </w:pPr>
    </w:p>
    <w:p w:rsidR="00017525" w:rsidRPr="00F63674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F63674">
        <w:rPr>
          <w:b/>
          <w:lang w:val="lv-LV"/>
        </w:rPr>
        <w:t>4.5</w:t>
      </w:r>
      <w:r w:rsidR="0055764D" w:rsidRPr="00F63674">
        <w:rPr>
          <w:b/>
          <w:lang w:val="lv-LV"/>
        </w:rPr>
        <w:t>.</w:t>
      </w:r>
      <w:r w:rsidRPr="00F63674">
        <w:rPr>
          <w:b/>
          <w:lang w:val="lv-LV"/>
        </w:rPr>
        <w:tab/>
        <w:t>Mijiedarbība ar citām zālēm un citi mijiedarbības veidi</w:t>
      </w:r>
    </w:p>
    <w:p w:rsidR="00017525" w:rsidRPr="00F63674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F63674" w:rsidRDefault="000819D5" w:rsidP="000819D5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F63674">
        <w:rPr>
          <w:color w:val="000000"/>
          <w:szCs w:val="22"/>
        </w:rPr>
        <w:t xml:space="preserve">Zāles uzmanīgi jālieto pacientiem, kuri saņem perorālos antikoagulantus vai </w:t>
      </w:r>
      <w:r w:rsidR="00286FED" w:rsidRPr="00F63674">
        <w:rPr>
          <w:color w:val="000000"/>
          <w:szCs w:val="22"/>
        </w:rPr>
        <w:t>citas</w:t>
      </w:r>
      <w:r w:rsidR="00AA6006">
        <w:rPr>
          <w:color w:val="000000"/>
          <w:szCs w:val="22"/>
        </w:rPr>
        <w:t xml:space="preserve"> </w:t>
      </w:r>
      <w:r w:rsidR="00286FED" w:rsidRPr="00F63674">
        <w:rPr>
          <w:color w:val="000000"/>
          <w:szCs w:val="22"/>
        </w:rPr>
        <w:t>zāles</w:t>
      </w:r>
      <w:r w:rsidRPr="00F63674">
        <w:rPr>
          <w:color w:val="000000"/>
          <w:szCs w:val="22"/>
        </w:rPr>
        <w:t xml:space="preserve">, </w:t>
      </w:r>
      <w:r w:rsidR="00F63674" w:rsidRPr="00F63674">
        <w:rPr>
          <w:color w:val="000000"/>
          <w:szCs w:val="22"/>
        </w:rPr>
        <w:t xml:space="preserve">kas </w:t>
      </w:r>
      <w:r w:rsidRPr="00F63674">
        <w:rPr>
          <w:color w:val="000000"/>
          <w:szCs w:val="22"/>
        </w:rPr>
        <w:t>metabolizējas aknās. Ieteicams samazināt holesterīna uzņemšanu ar uzturu.</w:t>
      </w:r>
    </w:p>
    <w:p w:rsidR="000819D5" w:rsidRPr="00F63674" w:rsidRDefault="000819D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F63674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F63674">
        <w:rPr>
          <w:b/>
          <w:lang w:val="lv-LV"/>
        </w:rPr>
        <w:t>4.6</w:t>
      </w:r>
      <w:r w:rsidR="0046466B" w:rsidRPr="00F63674">
        <w:rPr>
          <w:b/>
          <w:szCs w:val="22"/>
          <w:lang w:val="lv-LV"/>
        </w:rPr>
        <w:t>.</w:t>
      </w:r>
      <w:r w:rsidRPr="00F63674">
        <w:rPr>
          <w:b/>
          <w:lang w:val="lv-LV"/>
        </w:rPr>
        <w:tab/>
        <w:t xml:space="preserve">Fertilitāte, grūtniecība un </w:t>
      </w:r>
      <w:r w:rsidR="0046466B" w:rsidRPr="00F63674">
        <w:rPr>
          <w:b/>
          <w:szCs w:val="22"/>
          <w:lang w:val="lv-LV"/>
        </w:rPr>
        <w:t>barošana ar krūti</w:t>
      </w:r>
    </w:p>
    <w:p w:rsidR="00017525" w:rsidRPr="00F63674" w:rsidRDefault="00017525">
      <w:pPr>
        <w:tabs>
          <w:tab w:val="clear" w:pos="567"/>
        </w:tabs>
        <w:spacing w:line="240" w:lineRule="auto"/>
        <w:rPr>
          <w:lang w:val="lv-LV"/>
        </w:rPr>
      </w:pPr>
    </w:p>
    <w:p w:rsidR="00017525" w:rsidRPr="00F63674" w:rsidRDefault="000819D5">
      <w:pPr>
        <w:tabs>
          <w:tab w:val="clear" w:pos="567"/>
        </w:tabs>
        <w:spacing w:line="240" w:lineRule="auto"/>
        <w:ind w:left="567" w:hanging="567"/>
        <w:rPr>
          <w:u w:val="single"/>
          <w:lang w:val="lv-LV"/>
        </w:rPr>
      </w:pPr>
      <w:r w:rsidRPr="00F63674">
        <w:rPr>
          <w:u w:val="single"/>
          <w:lang w:val="lv-LV"/>
        </w:rPr>
        <w:t>Grūtniecība</w:t>
      </w:r>
    </w:p>
    <w:p w:rsidR="000819D5" w:rsidRPr="00F63674" w:rsidRDefault="000819D5" w:rsidP="000819D5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F63674">
        <w:rPr>
          <w:color w:val="000000"/>
          <w:szCs w:val="22"/>
        </w:rPr>
        <w:t>Kaut gan nav novērota teratogēna iedarbība dzīvniekiem, ROWACHOL nedrīkst lietot pirmajā</w:t>
      </w:r>
      <w:r w:rsidRPr="00F63674">
        <w:rPr>
          <w:color w:val="000000"/>
          <w:szCs w:val="22"/>
        </w:rPr>
        <w:br/>
        <w:t>grūtniecības trimestrī.</w:t>
      </w:r>
    </w:p>
    <w:p w:rsidR="000819D5" w:rsidRPr="00F63674" w:rsidRDefault="000819D5">
      <w:pPr>
        <w:tabs>
          <w:tab w:val="clear" w:pos="567"/>
        </w:tabs>
        <w:spacing w:line="240" w:lineRule="auto"/>
        <w:ind w:left="567" w:hanging="567"/>
        <w:rPr>
          <w:u w:val="single"/>
          <w:lang w:val="lv-LV"/>
        </w:rPr>
      </w:pPr>
    </w:p>
    <w:p w:rsidR="007D3108" w:rsidRPr="00F63674" w:rsidRDefault="004A50CF">
      <w:pPr>
        <w:tabs>
          <w:tab w:val="clear" w:pos="567"/>
        </w:tabs>
        <w:spacing w:line="240" w:lineRule="auto"/>
        <w:ind w:left="567" w:hanging="567"/>
        <w:rPr>
          <w:u w:val="single"/>
          <w:lang w:val="lv-LV"/>
        </w:rPr>
      </w:pPr>
      <w:r w:rsidRPr="00F63674">
        <w:rPr>
          <w:u w:val="single"/>
          <w:lang w:val="lv-LV"/>
        </w:rPr>
        <w:t>Barošana ar krūti</w:t>
      </w:r>
    </w:p>
    <w:p w:rsidR="007D3108" w:rsidRPr="00F63674" w:rsidRDefault="007D3108" w:rsidP="007D3108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F63674">
        <w:rPr>
          <w:color w:val="000000"/>
          <w:szCs w:val="22"/>
        </w:rPr>
        <w:t xml:space="preserve">Kaut gan nav pierādījumu par nelabvēlīgu iedarbību, ROWACHOL nedrīkst dot sievietēm </w:t>
      </w:r>
      <w:r w:rsidR="00863DA8" w:rsidRPr="00F63674">
        <w:rPr>
          <w:color w:val="000000"/>
          <w:szCs w:val="22"/>
        </w:rPr>
        <w:t>bērna barošanas ar krūti</w:t>
      </w:r>
      <w:r w:rsidR="00F63674" w:rsidRPr="00F63674">
        <w:rPr>
          <w:color w:val="000000"/>
          <w:szCs w:val="22"/>
        </w:rPr>
        <w:t xml:space="preserve"> </w:t>
      </w:r>
      <w:r w:rsidRPr="00F63674">
        <w:rPr>
          <w:color w:val="000000"/>
          <w:szCs w:val="22"/>
        </w:rPr>
        <w:t>laikā.</w:t>
      </w:r>
    </w:p>
    <w:p w:rsidR="007D3108" w:rsidRPr="00F63674" w:rsidRDefault="007D3108">
      <w:pPr>
        <w:tabs>
          <w:tab w:val="clear" w:pos="567"/>
        </w:tabs>
        <w:spacing w:line="240" w:lineRule="auto"/>
        <w:ind w:left="567" w:hanging="567"/>
        <w:rPr>
          <w:u w:val="single"/>
          <w:lang w:val="lv-LV"/>
        </w:rPr>
      </w:pPr>
    </w:p>
    <w:p w:rsidR="00017525" w:rsidRPr="00F63674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F63674">
        <w:rPr>
          <w:b/>
          <w:lang w:val="lv-LV"/>
        </w:rPr>
        <w:t>4.7</w:t>
      </w:r>
      <w:r w:rsidR="0046466B" w:rsidRPr="00F63674">
        <w:rPr>
          <w:b/>
          <w:szCs w:val="22"/>
          <w:lang w:val="lv-LV"/>
        </w:rPr>
        <w:t>.</w:t>
      </w:r>
      <w:r w:rsidRPr="00F63674">
        <w:rPr>
          <w:b/>
          <w:lang w:val="lv-LV"/>
        </w:rPr>
        <w:tab/>
        <w:t>Ietekme uz spēju vadīt transportlīdzekļus un apkalpot mehānismus</w:t>
      </w:r>
    </w:p>
    <w:p w:rsidR="00017525" w:rsidRPr="00F63674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F63674" w:rsidRDefault="003C482E">
      <w:pPr>
        <w:tabs>
          <w:tab w:val="clear" w:pos="567"/>
        </w:tabs>
        <w:spacing w:line="240" w:lineRule="auto"/>
        <w:ind w:left="567" w:hanging="567"/>
        <w:rPr>
          <w:color w:val="000000"/>
          <w:szCs w:val="22"/>
        </w:rPr>
      </w:pPr>
      <w:r w:rsidRPr="00F63674">
        <w:rPr>
          <w:color w:val="000000"/>
          <w:szCs w:val="22"/>
        </w:rPr>
        <w:t>ROWACHOL n</w:t>
      </w:r>
      <w:r w:rsidR="007D3108" w:rsidRPr="00F63674">
        <w:rPr>
          <w:color w:val="000000"/>
          <w:szCs w:val="22"/>
        </w:rPr>
        <w:t>eietekmē spēju vadīt transportlīdzekļus un apkalpot mehānismus.</w:t>
      </w:r>
    </w:p>
    <w:p w:rsidR="007D3108" w:rsidRPr="00F63674" w:rsidRDefault="007D3108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F63674" w:rsidRDefault="004A50CF">
      <w:pPr>
        <w:tabs>
          <w:tab w:val="clear" w:pos="567"/>
        </w:tabs>
        <w:spacing w:line="240" w:lineRule="auto"/>
        <w:ind w:left="567" w:hanging="567"/>
        <w:rPr>
          <w:b/>
          <w:lang w:val="lv-LV"/>
        </w:rPr>
      </w:pPr>
      <w:r w:rsidRPr="00F63674">
        <w:rPr>
          <w:b/>
          <w:lang w:val="lv-LV"/>
        </w:rPr>
        <w:t>4.8</w:t>
      </w:r>
      <w:r w:rsidR="0046466B" w:rsidRPr="00F63674">
        <w:rPr>
          <w:b/>
          <w:szCs w:val="22"/>
          <w:lang w:val="lv-LV"/>
        </w:rPr>
        <w:t>.</w:t>
      </w:r>
      <w:r w:rsidRPr="00F63674">
        <w:rPr>
          <w:b/>
          <w:lang w:val="lv-LV"/>
        </w:rPr>
        <w:tab/>
        <w:t>Nevēlamās blakusparādības</w:t>
      </w:r>
    </w:p>
    <w:p w:rsidR="00017525" w:rsidRPr="00F63674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F63674" w:rsidRDefault="007D3108" w:rsidP="007D3108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F63674">
        <w:rPr>
          <w:color w:val="000000"/>
          <w:szCs w:val="22"/>
        </w:rPr>
        <w:t>Ļoti retos gadījumos (&lt;1/10 000) iespējamas paaugstinātas jutības reakcijas. Pēc lietošanas mutē</w:t>
      </w:r>
      <w:r w:rsidRPr="00F63674">
        <w:rPr>
          <w:color w:val="000000"/>
          <w:szCs w:val="22"/>
        </w:rPr>
        <w:br/>
        <w:t xml:space="preserve">iespējama viegla piparmētru garša. </w:t>
      </w:r>
      <w:r w:rsidR="003C482E" w:rsidRPr="00F63674">
        <w:rPr>
          <w:color w:val="000000"/>
          <w:szCs w:val="22"/>
        </w:rPr>
        <w:t>Daži</w:t>
      </w:r>
      <w:r w:rsidRPr="00F63674">
        <w:rPr>
          <w:color w:val="000000"/>
          <w:szCs w:val="22"/>
        </w:rPr>
        <w:t xml:space="preserve"> pacienti sūdzējās par sāpēm mutes dobumā un čūlām vaigu</w:t>
      </w:r>
      <w:r w:rsidRPr="00F63674">
        <w:rPr>
          <w:color w:val="000000"/>
          <w:szCs w:val="22"/>
        </w:rPr>
        <w:br/>
        <w:t>gļotādā. Pārtraucot zāļu lietošanu, šīs blakusparādības var ātri novērst.</w:t>
      </w:r>
    </w:p>
    <w:p w:rsidR="007D3108" w:rsidRPr="00F63674" w:rsidRDefault="007D3108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:rsidR="00017525" w:rsidRPr="00F63674" w:rsidRDefault="00017525" w:rsidP="00657D6A">
      <w:pPr>
        <w:autoSpaceDE w:val="0"/>
        <w:autoSpaceDN w:val="0"/>
        <w:adjustRightInd w:val="0"/>
        <w:spacing w:line="240" w:lineRule="auto"/>
        <w:jc w:val="both"/>
        <w:rPr>
          <w:szCs w:val="22"/>
          <w:lang w:val="lv-LV"/>
        </w:rPr>
      </w:pPr>
      <w:r w:rsidRPr="00F63674">
        <w:rPr>
          <w:szCs w:val="22"/>
          <w:lang w:val="lv-LV"/>
        </w:rPr>
        <w:t>Ziņošana par iespējamām nevēlamām blakusparādībām</w:t>
      </w:r>
    </w:p>
    <w:p w:rsidR="00E4520C" w:rsidRPr="00F63674" w:rsidRDefault="00017525" w:rsidP="00E4520C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napToGrid/>
          <w:szCs w:val="22"/>
          <w:lang w:val="lv-LV" w:eastAsia="en-US"/>
        </w:rPr>
      </w:pPr>
      <w:r w:rsidRPr="00F63674">
        <w:rPr>
          <w:szCs w:val="22"/>
          <w:lang w:val="lv-LV"/>
        </w:rPr>
        <w:t>Ir svarīgi ziņot par iespējamām nevēlamām blakusparādībām pēc zāļu reģistrācijas.</w:t>
      </w:r>
      <w:r w:rsidR="00304EAC" w:rsidRPr="00F63674">
        <w:rPr>
          <w:szCs w:val="22"/>
          <w:lang w:val="lv-LV"/>
        </w:rPr>
        <w:t xml:space="preserve"> </w:t>
      </w:r>
      <w:r w:rsidRPr="00F63674">
        <w:rPr>
          <w:szCs w:val="22"/>
          <w:lang w:val="lv-LV"/>
        </w:rPr>
        <w:t>Tādējādi zāļu ieguvum</w:t>
      </w:r>
      <w:r w:rsidR="00D22F2C" w:rsidRPr="00F63674">
        <w:rPr>
          <w:szCs w:val="22"/>
          <w:lang w:val="lv-LV"/>
        </w:rPr>
        <w:t>a</w:t>
      </w:r>
      <w:r w:rsidRPr="00F63674">
        <w:rPr>
          <w:szCs w:val="22"/>
          <w:lang w:val="lv-LV"/>
        </w:rPr>
        <w:t xml:space="preserve">/riska attiecība tiek nepārtraukti </w:t>
      </w:r>
      <w:r w:rsidR="00BD6BF5" w:rsidRPr="00F63674">
        <w:rPr>
          <w:szCs w:val="22"/>
          <w:lang w:val="lv-LV"/>
        </w:rPr>
        <w:t>uzraudzīta.</w:t>
      </w:r>
      <w:r w:rsidR="00BF7459" w:rsidRPr="00F63674">
        <w:rPr>
          <w:szCs w:val="22"/>
          <w:lang w:val="lv-LV"/>
        </w:rPr>
        <w:t xml:space="preserve"> Veselības aprūpes speciālisti t</w:t>
      </w:r>
      <w:r w:rsidRPr="00F63674">
        <w:rPr>
          <w:szCs w:val="22"/>
          <w:lang w:val="lv-LV"/>
        </w:rPr>
        <w:t>iek lūgti ziņot par jebkādām iespējamām nevēlamām blakusparādībām</w:t>
      </w:r>
      <w:r w:rsidR="00E4520C" w:rsidRPr="00F63674">
        <w:rPr>
          <w:szCs w:val="22"/>
          <w:lang w:val="lv-LV"/>
        </w:rPr>
        <w:t xml:space="preserve"> </w:t>
      </w:r>
      <w:r w:rsidR="00E4520C" w:rsidRPr="00F63674">
        <w:rPr>
          <w:rFonts w:eastAsia="Calibri"/>
          <w:bCs/>
          <w:snapToGrid/>
          <w:szCs w:val="22"/>
          <w:lang w:val="lv-LV" w:eastAsia="en-US"/>
        </w:rPr>
        <w:t>Zāļu valsts aģentūrai, Jersikas ielā 15,</w:t>
      </w:r>
    </w:p>
    <w:p w:rsidR="00E4520C" w:rsidRPr="00F63674" w:rsidRDefault="00E4520C" w:rsidP="00E4520C">
      <w:pPr>
        <w:widowControl w:val="0"/>
        <w:tabs>
          <w:tab w:val="clear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napToGrid/>
          <w:szCs w:val="22"/>
          <w:lang w:val="lv-LV" w:eastAsia="en-US"/>
        </w:rPr>
      </w:pPr>
      <w:r w:rsidRPr="00F63674">
        <w:rPr>
          <w:rFonts w:eastAsia="Calibri"/>
          <w:bCs/>
          <w:snapToGrid/>
          <w:szCs w:val="22"/>
          <w:lang w:val="lv-LV" w:eastAsia="en-US"/>
        </w:rPr>
        <w:t xml:space="preserve">Rīgā, LV 1003. Tālr.: +371 67078400; Fakss: +371 67078428. Tīmekļa vietne: </w:t>
      </w:r>
      <w:hyperlink r:id="rId7" w:history="1">
        <w:r w:rsidRPr="00F63674">
          <w:rPr>
            <w:rFonts w:eastAsia="Calibri"/>
            <w:bCs/>
            <w:snapToGrid/>
            <w:szCs w:val="22"/>
            <w:lang w:val="lv-LV" w:eastAsia="en-US"/>
          </w:rPr>
          <w:t>www.zva.gov.lv</w:t>
        </w:r>
      </w:hyperlink>
    </w:p>
    <w:p w:rsidR="00017525" w:rsidRPr="00F63674" w:rsidRDefault="00017525" w:rsidP="007D3108">
      <w:pPr>
        <w:autoSpaceDE w:val="0"/>
        <w:autoSpaceDN w:val="0"/>
        <w:adjustRightInd w:val="0"/>
        <w:spacing w:line="240" w:lineRule="auto"/>
        <w:jc w:val="both"/>
        <w:rPr>
          <w:szCs w:val="22"/>
          <w:lang w:val="lv-LV"/>
        </w:rPr>
      </w:pPr>
    </w:p>
    <w:p w:rsidR="00AC289E" w:rsidRPr="00F63674" w:rsidRDefault="00AC289E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F63674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F63674">
        <w:rPr>
          <w:b/>
          <w:lang w:val="lv-LV"/>
        </w:rPr>
        <w:t>4.9</w:t>
      </w:r>
      <w:r w:rsidR="00243AC8" w:rsidRPr="00F63674">
        <w:rPr>
          <w:b/>
          <w:szCs w:val="22"/>
          <w:lang w:val="lv-LV"/>
        </w:rPr>
        <w:t>.</w:t>
      </w:r>
      <w:r w:rsidRPr="00F63674">
        <w:rPr>
          <w:b/>
          <w:lang w:val="lv-LV"/>
        </w:rPr>
        <w:tab/>
        <w:t>Pārdozēšana</w:t>
      </w:r>
    </w:p>
    <w:p w:rsidR="00017525" w:rsidRPr="00F63674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F63674" w:rsidRDefault="007D3108" w:rsidP="007D3108">
      <w:pPr>
        <w:tabs>
          <w:tab w:val="clear" w:pos="567"/>
          <w:tab w:val="center" w:pos="4536"/>
        </w:tabs>
        <w:spacing w:line="240" w:lineRule="auto"/>
        <w:rPr>
          <w:lang w:val="lv-LV"/>
        </w:rPr>
      </w:pPr>
      <w:r w:rsidRPr="00F63674">
        <w:rPr>
          <w:color w:val="000000"/>
          <w:szCs w:val="22"/>
        </w:rPr>
        <w:t>Ja zāles lietotas nesen, kuņģis jāiztukšo, veicot kuņģa skalošanu. Ja nepieciešams, jāveic</w:t>
      </w:r>
      <w:r w:rsidRPr="00F63674">
        <w:rPr>
          <w:color w:val="000000"/>
          <w:szCs w:val="22"/>
        </w:rPr>
        <w:br/>
        <w:t>simptomātiska ārstēšana. Ieteicams kontrolēt sirds, elpošanas orgānu, nieru un aknu darbību.Veicot</w:t>
      </w:r>
      <w:r w:rsidRPr="00F63674">
        <w:rPr>
          <w:color w:val="000000"/>
          <w:szCs w:val="22"/>
        </w:rPr>
        <w:br/>
        <w:t>toksikoloģijas pētījumus ar dzīvniekiem konstatēts, ka pēc ēterisko eļļu lietošanas lielās devās var</w:t>
      </w:r>
      <w:r w:rsidRPr="00F63674">
        <w:rPr>
          <w:color w:val="000000"/>
          <w:szCs w:val="22"/>
        </w:rPr>
        <w:br/>
        <w:t>attīstīties CNS nomākums, kā rezultātā attīstās stupors un elpošanas mazspēja, vai stimulācija, un</w:t>
      </w:r>
      <w:r w:rsidRPr="00F63674">
        <w:rPr>
          <w:color w:val="000000"/>
          <w:szCs w:val="22"/>
        </w:rPr>
        <w:br/>
        <w:t>rodas uzbudinājums un krampji. Var tikt kairināts kuņģis, tādēļ var būt slikta dūša, vemšana un</w:t>
      </w:r>
      <w:r w:rsidRPr="00F63674">
        <w:rPr>
          <w:color w:val="000000"/>
          <w:szCs w:val="22"/>
        </w:rPr>
        <w:br/>
        <w:t>caureja.</w:t>
      </w:r>
    </w:p>
    <w:p w:rsidR="00017525" w:rsidRPr="00F63674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7D3108" w:rsidRPr="00F63674" w:rsidRDefault="007D3108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F63674" w:rsidRDefault="004A50CF">
      <w:pPr>
        <w:tabs>
          <w:tab w:val="clear" w:pos="567"/>
        </w:tabs>
        <w:spacing w:line="240" w:lineRule="auto"/>
        <w:ind w:left="567" w:hanging="567"/>
        <w:rPr>
          <w:b/>
          <w:lang w:val="lv-LV"/>
        </w:rPr>
      </w:pPr>
      <w:r w:rsidRPr="00F63674">
        <w:rPr>
          <w:b/>
          <w:lang w:val="lv-LV"/>
        </w:rPr>
        <w:t>5.</w:t>
      </w:r>
      <w:r w:rsidRPr="00F63674">
        <w:rPr>
          <w:b/>
          <w:lang w:val="lv-LV"/>
        </w:rPr>
        <w:tab/>
        <w:t xml:space="preserve">FARMAKOLOĢISKĀS ĪPAŠĪBAS </w:t>
      </w:r>
    </w:p>
    <w:p w:rsidR="00017525" w:rsidRPr="00F63674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F63674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F63674">
        <w:rPr>
          <w:b/>
          <w:lang w:val="lv-LV"/>
        </w:rPr>
        <w:t>5.1</w:t>
      </w:r>
      <w:r w:rsidR="00243AC8" w:rsidRPr="00F63674">
        <w:rPr>
          <w:b/>
          <w:szCs w:val="22"/>
          <w:lang w:val="lv-LV"/>
        </w:rPr>
        <w:t>.</w:t>
      </w:r>
      <w:r w:rsidRPr="00F63674">
        <w:rPr>
          <w:b/>
          <w:lang w:val="lv-LV"/>
        </w:rPr>
        <w:tab/>
        <w:t>Farmakodinamiskās īpašības</w:t>
      </w:r>
    </w:p>
    <w:p w:rsidR="00017525" w:rsidRPr="00F63674" w:rsidRDefault="00017525">
      <w:pPr>
        <w:spacing w:line="240" w:lineRule="auto"/>
        <w:ind w:left="567" w:hanging="567"/>
        <w:rPr>
          <w:lang w:val="lv-LV"/>
        </w:rPr>
      </w:pPr>
    </w:p>
    <w:p w:rsidR="00017525" w:rsidRPr="00F63674" w:rsidRDefault="004A50CF" w:rsidP="007D3108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F63674">
        <w:rPr>
          <w:lang w:val="lv-LV"/>
        </w:rPr>
        <w:t xml:space="preserve">Farmakoterapeitiskā grupa: </w:t>
      </w:r>
      <w:r w:rsidR="007D3108" w:rsidRPr="00F63674">
        <w:rPr>
          <w:color w:val="000000"/>
          <w:szCs w:val="22"/>
        </w:rPr>
        <w:t xml:space="preserve">citas zāles </w:t>
      </w:r>
      <w:r w:rsidR="00437EB2" w:rsidRPr="00F63674">
        <w:rPr>
          <w:color w:val="000000"/>
          <w:szCs w:val="22"/>
        </w:rPr>
        <w:t>žults</w:t>
      </w:r>
      <w:r w:rsidR="007D3108" w:rsidRPr="00F63674">
        <w:rPr>
          <w:color w:val="000000"/>
          <w:szCs w:val="22"/>
        </w:rPr>
        <w:t xml:space="preserve"> veidošanās un izdales traucējumu ārstēšanai</w:t>
      </w:r>
      <w:r w:rsidRPr="00F63674">
        <w:rPr>
          <w:lang w:val="lv-LV"/>
        </w:rPr>
        <w:t xml:space="preserve">, ATĶ kods: </w:t>
      </w:r>
      <w:r w:rsidR="007D3108" w:rsidRPr="00F63674">
        <w:rPr>
          <w:color w:val="000000"/>
          <w:szCs w:val="22"/>
        </w:rPr>
        <w:t>A05AX.</w:t>
      </w:r>
    </w:p>
    <w:p w:rsidR="00243AC8" w:rsidRPr="00F63674" w:rsidRDefault="00243AC8" w:rsidP="007D3108">
      <w:pPr>
        <w:spacing w:line="240" w:lineRule="auto"/>
        <w:rPr>
          <w:szCs w:val="22"/>
          <w:u w:val="single"/>
          <w:lang w:val="lv-LV"/>
        </w:rPr>
      </w:pPr>
    </w:p>
    <w:p w:rsidR="00017525" w:rsidRPr="00F63674" w:rsidRDefault="007D3108" w:rsidP="007D3108">
      <w:pPr>
        <w:tabs>
          <w:tab w:val="clear" w:pos="567"/>
          <w:tab w:val="left" w:pos="0"/>
        </w:tabs>
        <w:spacing w:line="240" w:lineRule="auto"/>
        <w:rPr>
          <w:color w:val="000000"/>
          <w:szCs w:val="22"/>
        </w:rPr>
      </w:pPr>
      <w:r w:rsidRPr="00F63674">
        <w:rPr>
          <w:color w:val="000000"/>
          <w:szCs w:val="22"/>
        </w:rPr>
        <w:t xml:space="preserve">ROWACHOL ir līdzeklis </w:t>
      </w:r>
      <w:r w:rsidR="004D1DD4" w:rsidRPr="00F63674">
        <w:rPr>
          <w:color w:val="000000"/>
          <w:szCs w:val="22"/>
        </w:rPr>
        <w:t>žultsakmeņu</w:t>
      </w:r>
      <w:r w:rsidRPr="00F63674">
        <w:rPr>
          <w:color w:val="000000"/>
          <w:szCs w:val="22"/>
        </w:rPr>
        <w:t xml:space="preserve"> šķīdināšanai/sadalīšanai. ROWACHO</w:t>
      </w:r>
      <w:r w:rsidRPr="00F63674">
        <w:rPr>
          <w:i/>
          <w:iCs/>
          <w:color w:val="000000"/>
          <w:szCs w:val="22"/>
        </w:rPr>
        <w:t xml:space="preserve">L </w:t>
      </w:r>
      <w:r w:rsidRPr="00F63674">
        <w:rPr>
          <w:color w:val="000000"/>
          <w:szCs w:val="22"/>
        </w:rPr>
        <w:t>šķīdina holeste</w:t>
      </w:r>
      <w:r w:rsidR="00F63674" w:rsidRPr="00F63674">
        <w:rPr>
          <w:color w:val="000000"/>
          <w:szCs w:val="22"/>
        </w:rPr>
        <w:t xml:space="preserve">rīna </w:t>
      </w:r>
      <w:r w:rsidR="004D1DD4" w:rsidRPr="00F63674">
        <w:rPr>
          <w:color w:val="000000"/>
          <w:szCs w:val="22"/>
        </w:rPr>
        <w:t>žultsakmeņus</w:t>
      </w:r>
      <w:r w:rsidRPr="00F63674">
        <w:rPr>
          <w:color w:val="000000"/>
          <w:szCs w:val="22"/>
        </w:rPr>
        <w:t xml:space="preserve"> un mazina holesterīna daudzumu </w:t>
      </w:r>
      <w:r w:rsidR="00F82E0B" w:rsidRPr="00F63674">
        <w:rPr>
          <w:color w:val="000000"/>
          <w:szCs w:val="22"/>
        </w:rPr>
        <w:t>žultī</w:t>
      </w:r>
      <w:r w:rsidRPr="00F63674">
        <w:rPr>
          <w:color w:val="000000"/>
          <w:szCs w:val="22"/>
        </w:rPr>
        <w:t xml:space="preserve">. </w:t>
      </w:r>
      <w:r w:rsidR="00F82E0B" w:rsidRPr="00F63674">
        <w:rPr>
          <w:color w:val="000000"/>
          <w:szCs w:val="22"/>
        </w:rPr>
        <w:t>Zāles</w:t>
      </w:r>
      <w:r w:rsidRPr="00F63674">
        <w:rPr>
          <w:color w:val="000000"/>
          <w:szCs w:val="22"/>
        </w:rPr>
        <w:t xml:space="preserve"> ir spēcīgs holerētisks līdzeklis, kas</w:t>
      </w:r>
      <w:r w:rsidRPr="00F63674">
        <w:rPr>
          <w:color w:val="000000"/>
          <w:szCs w:val="22"/>
        </w:rPr>
        <w:br/>
        <w:t xml:space="preserve">palielina </w:t>
      </w:r>
      <w:r w:rsidR="0090515B" w:rsidRPr="00F63674">
        <w:rPr>
          <w:color w:val="000000"/>
          <w:szCs w:val="22"/>
        </w:rPr>
        <w:t>žults</w:t>
      </w:r>
      <w:r w:rsidRPr="00F63674">
        <w:rPr>
          <w:color w:val="000000"/>
          <w:szCs w:val="22"/>
        </w:rPr>
        <w:t xml:space="preserve"> sekrēciju un mazina stāzi </w:t>
      </w:r>
      <w:r w:rsidR="0090515B" w:rsidRPr="00F63674">
        <w:rPr>
          <w:color w:val="000000"/>
          <w:szCs w:val="22"/>
        </w:rPr>
        <w:t>žultsceļos</w:t>
      </w:r>
      <w:r w:rsidRPr="00F63674">
        <w:rPr>
          <w:color w:val="000000"/>
          <w:szCs w:val="22"/>
        </w:rPr>
        <w:t>, tas darbojas spazmolītski, mazinot spazmu</w:t>
      </w:r>
      <w:r w:rsidRPr="00F63674">
        <w:rPr>
          <w:color w:val="000000"/>
          <w:szCs w:val="22"/>
        </w:rPr>
        <w:br/>
        <w:t>izraisītas sāpes. Darbojoties nomācoši uz HMGCoA reduktāzi, tas mazina endogēno holesterīna</w:t>
      </w:r>
      <w:r w:rsidRPr="00F63674">
        <w:rPr>
          <w:color w:val="000000"/>
          <w:szCs w:val="22"/>
        </w:rPr>
        <w:br/>
      </w:r>
      <w:r w:rsidRPr="00F63674">
        <w:rPr>
          <w:color w:val="000000"/>
          <w:szCs w:val="22"/>
        </w:rPr>
        <w:lastRenderedPageBreak/>
        <w:t xml:space="preserve">veidošanos un </w:t>
      </w:r>
      <w:r w:rsidR="0090515B" w:rsidRPr="00F63674">
        <w:rPr>
          <w:color w:val="000000"/>
          <w:szCs w:val="22"/>
        </w:rPr>
        <w:t>žults</w:t>
      </w:r>
      <w:r w:rsidRPr="00F63674">
        <w:rPr>
          <w:color w:val="000000"/>
          <w:szCs w:val="22"/>
        </w:rPr>
        <w:t xml:space="preserve"> saturācijas indeksu, tādējādi veicinot holesterīna </w:t>
      </w:r>
      <w:r w:rsidR="0090515B" w:rsidRPr="00F63674">
        <w:rPr>
          <w:color w:val="000000"/>
          <w:szCs w:val="22"/>
        </w:rPr>
        <w:t>žultsakmeņu</w:t>
      </w:r>
      <w:r w:rsidRPr="00F63674">
        <w:rPr>
          <w:color w:val="000000"/>
          <w:szCs w:val="22"/>
        </w:rPr>
        <w:t xml:space="preserve"> šķīšanu un novēršot</w:t>
      </w:r>
      <w:r w:rsidRPr="00F63674">
        <w:rPr>
          <w:color w:val="000000"/>
          <w:szCs w:val="22"/>
        </w:rPr>
        <w:br/>
        <w:t>turpmāku akmeņu veidošanos. ROWACHOL ir efektīvs pret daudzām grampozitīvām un</w:t>
      </w:r>
      <w:r w:rsidRPr="00F63674">
        <w:rPr>
          <w:color w:val="000000"/>
          <w:szCs w:val="22"/>
        </w:rPr>
        <w:br/>
        <w:t>gramnegatīvām baktērijām.</w:t>
      </w:r>
    </w:p>
    <w:p w:rsidR="00017525" w:rsidRPr="00F63674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680E81" w:rsidRPr="00F63674" w:rsidRDefault="00F34762" w:rsidP="00657D6A">
      <w:pPr>
        <w:tabs>
          <w:tab w:val="clear" w:pos="567"/>
        </w:tabs>
        <w:spacing w:line="240" w:lineRule="auto"/>
        <w:rPr>
          <w:b/>
          <w:lang w:val="lv-LV"/>
        </w:rPr>
      </w:pPr>
      <w:r w:rsidRPr="00F63674">
        <w:rPr>
          <w:b/>
          <w:szCs w:val="22"/>
          <w:lang w:val="lv-LV"/>
        </w:rPr>
        <w:t>5.2.</w:t>
      </w:r>
      <w:r w:rsidR="00CE5FB6" w:rsidRPr="00F63674">
        <w:rPr>
          <w:b/>
          <w:szCs w:val="22"/>
          <w:lang w:val="lv-LV"/>
        </w:rPr>
        <w:tab/>
      </w:r>
      <w:r w:rsidR="004A50CF" w:rsidRPr="00F63674">
        <w:rPr>
          <w:b/>
          <w:lang w:val="lv-LV"/>
        </w:rPr>
        <w:t>Farmakokinētiskās īpašības</w:t>
      </w:r>
    </w:p>
    <w:p w:rsidR="00017525" w:rsidRPr="00F63674" w:rsidRDefault="00017525">
      <w:pPr>
        <w:tabs>
          <w:tab w:val="clear" w:pos="567"/>
        </w:tabs>
        <w:spacing w:line="240" w:lineRule="auto"/>
        <w:ind w:left="570"/>
        <w:rPr>
          <w:b/>
          <w:lang w:val="lv-LV"/>
        </w:rPr>
      </w:pPr>
    </w:p>
    <w:p w:rsidR="00017525" w:rsidRPr="00F63674" w:rsidRDefault="007D3108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F63674">
        <w:rPr>
          <w:color w:val="000000"/>
          <w:szCs w:val="22"/>
        </w:rPr>
        <w:t xml:space="preserve">Bioloģiskās pieejamības pētījumos pēc perorālas lietošanas konstatēta ātra </w:t>
      </w:r>
      <w:r w:rsidR="000354D3" w:rsidRPr="00F63674">
        <w:rPr>
          <w:color w:val="000000"/>
          <w:szCs w:val="22"/>
        </w:rPr>
        <w:t>zāļu</w:t>
      </w:r>
      <w:r w:rsidRPr="00F63674">
        <w:rPr>
          <w:color w:val="000000"/>
          <w:szCs w:val="22"/>
        </w:rPr>
        <w:t xml:space="preserve"> uzsūkšanās,</w:t>
      </w:r>
      <w:r w:rsidRPr="00F63674">
        <w:rPr>
          <w:color w:val="000000"/>
          <w:szCs w:val="22"/>
        </w:rPr>
        <w:br/>
        <w:t xml:space="preserve">piemēram, mentols ātri uzsūcas, metabolizējas aknās un izdalās ar urīnu un </w:t>
      </w:r>
      <w:r w:rsidR="000354D3" w:rsidRPr="00F63674">
        <w:rPr>
          <w:color w:val="000000"/>
          <w:szCs w:val="22"/>
        </w:rPr>
        <w:t>žulti</w:t>
      </w:r>
      <w:r w:rsidRPr="00F63674">
        <w:rPr>
          <w:color w:val="000000"/>
          <w:szCs w:val="22"/>
        </w:rPr>
        <w:t xml:space="preserve"> glikuronīdu veidā.</w:t>
      </w:r>
      <w:r w:rsidRPr="00F63674">
        <w:rPr>
          <w:color w:val="000000"/>
          <w:szCs w:val="22"/>
        </w:rPr>
        <w:br/>
        <w:t>Uzsūkšanās pusperiods T2-b ir 0,373 ± 0,081 stundas; savienojumu maksimālā koncentrācija plazmā</w:t>
      </w:r>
      <w:r w:rsidRPr="00F63674">
        <w:rPr>
          <w:color w:val="000000"/>
          <w:szCs w:val="22"/>
        </w:rPr>
        <w:br/>
        <w:t>ir 2,467 ± 0,663 mg/l; eliminācijas pusperiods T-2-b ir 0,861 ± 0,148 (vidējais lielums stundās ±</w:t>
      </w:r>
      <w:r w:rsidRPr="00F63674">
        <w:rPr>
          <w:color w:val="000000"/>
          <w:szCs w:val="22"/>
        </w:rPr>
        <w:br/>
        <w:t>mērijuma standartnovirze).</w:t>
      </w:r>
    </w:p>
    <w:p w:rsidR="007D3108" w:rsidRPr="00F63674" w:rsidRDefault="007D3108">
      <w:pPr>
        <w:tabs>
          <w:tab w:val="clear" w:pos="567"/>
        </w:tabs>
        <w:spacing w:line="240" w:lineRule="auto"/>
        <w:rPr>
          <w:lang w:val="lv-LV"/>
        </w:rPr>
      </w:pPr>
    </w:p>
    <w:p w:rsidR="00017525" w:rsidRPr="00F63674" w:rsidRDefault="004A50CF">
      <w:pPr>
        <w:tabs>
          <w:tab w:val="clear" w:pos="567"/>
        </w:tabs>
        <w:spacing w:line="240" w:lineRule="auto"/>
        <w:rPr>
          <w:lang w:val="lv-LV"/>
        </w:rPr>
      </w:pPr>
      <w:r w:rsidRPr="00F63674">
        <w:rPr>
          <w:b/>
          <w:lang w:val="lv-LV"/>
        </w:rPr>
        <w:t>5.3</w:t>
      </w:r>
      <w:r w:rsidR="00F34762" w:rsidRPr="00F63674">
        <w:rPr>
          <w:b/>
          <w:szCs w:val="22"/>
          <w:lang w:val="lv-LV"/>
        </w:rPr>
        <w:t>.</w:t>
      </w:r>
      <w:r w:rsidRPr="00F63674">
        <w:rPr>
          <w:b/>
          <w:lang w:val="lv-LV"/>
        </w:rPr>
        <w:tab/>
        <w:t>Preklīniskie dati par drošumu</w:t>
      </w:r>
    </w:p>
    <w:p w:rsidR="00017525" w:rsidRPr="00F63674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F63674" w:rsidRDefault="007D3108" w:rsidP="007D3108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F63674">
        <w:rPr>
          <w:color w:val="000000"/>
          <w:szCs w:val="22"/>
        </w:rPr>
        <w:t xml:space="preserve">Daudzos klīniskos pētījumos un vairākus gadus ordinējot </w:t>
      </w:r>
      <w:r w:rsidR="000354D3" w:rsidRPr="00F63674">
        <w:rPr>
          <w:color w:val="000000"/>
          <w:szCs w:val="22"/>
        </w:rPr>
        <w:t>zāles</w:t>
      </w:r>
      <w:r w:rsidRPr="00F63674">
        <w:rPr>
          <w:color w:val="000000"/>
          <w:szCs w:val="22"/>
        </w:rPr>
        <w:t xml:space="preserve"> pacientiem, pierādīts, ka</w:t>
      </w:r>
      <w:r w:rsidRPr="00F63674">
        <w:rPr>
          <w:color w:val="000000"/>
          <w:szCs w:val="22"/>
        </w:rPr>
        <w:br/>
        <w:t xml:space="preserve">ROWACHOL ir klīniski efektīvs līdzeklis vairāku aknu un </w:t>
      </w:r>
      <w:r w:rsidR="000354D3" w:rsidRPr="00F63674">
        <w:rPr>
          <w:color w:val="000000"/>
          <w:szCs w:val="22"/>
        </w:rPr>
        <w:t>žultsceļu</w:t>
      </w:r>
      <w:r w:rsidRPr="00F63674">
        <w:rPr>
          <w:color w:val="000000"/>
          <w:szCs w:val="22"/>
        </w:rPr>
        <w:t xml:space="preserve"> slimību ārstēšanai un šo slimību</w:t>
      </w:r>
      <w:r w:rsidRPr="00F63674">
        <w:rPr>
          <w:color w:val="000000"/>
          <w:szCs w:val="22"/>
        </w:rPr>
        <w:br/>
        <w:t xml:space="preserve">simptomu mazināšanai. </w:t>
      </w:r>
      <w:r w:rsidR="000354D3" w:rsidRPr="00F63674">
        <w:rPr>
          <w:color w:val="000000"/>
          <w:szCs w:val="22"/>
        </w:rPr>
        <w:t>Zāļu</w:t>
      </w:r>
      <w:r w:rsidRPr="00F63674">
        <w:rPr>
          <w:color w:val="000000"/>
          <w:szCs w:val="22"/>
        </w:rPr>
        <w:t xml:space="preserve"> panesamība ir laba, un blakusparādības ir minimālas.</w:t>
      </w:r>
    </w:p>
    <w:p w:rsidR="007D3108" w:rsidRPr="00F63674" w:rsidRDefault="007D3108" w:rsidP="007D3108">
      <w:pPr>
        <w:tabs>
          <w:tab w:val="clear" w:pos="567"/>
        </w:tabs>
        <w:spacing w:line="240" w:lineRule="auto"/>
        <w:rPr>
          <w:lang w:val="lv-LV"/>
        </w:rPr>
      </w:pPr>
    </w:p>
    <w:p w:rsidR="00017525" w:rsidRPr="00F63674" w:rsidRDefault="00017525" w:rsidP="007D3108">
      <w:pPr>
        <w:tabs>
          <w:tab w:val="clear" w:pos="567"/>
        </w:tabs>
        <w:spacing w:line="240" w:lineRule="auto"/>
        <w:rPr>
          <w:lang w:val="lv-LV"/>
        </w:rPr>
      </w:pPr>
    </w:p>
    <w:p w:rsidR="00017525" w:rsidRPr="00F63674" w:rsidRDefault="004A50CF">
      <w:pPr>
        <w:tabs>
          <w:tab w:val="clear" w:pos="567"/>
        </w:tabs>
        <w:spacing w:line="240" w:lineRule="auto"/>
        <w:ind w:left="567" w:hanging="567"/>
        <w:rPr>
          <w:b/>
          <w:lang w:val="lv-LV"/>
        </w:rPr>
      </w:pPr>
      <w:r w:rsidRPr="00F63674">
        <w:rPr>
          <w:b/>
          <w:lang w:val="lv-LV"/>
        </w:rPr>
        <w:t>6.</w:t>
      </w:r>
      <w:r w:rsidRPr="00F63674">
        <w:rPr>
          <w:b/>
          <w:lang w:val="lv-LV"/>
        </w:rPr>
        <w:tab/>
        <w:t>FARMACEITISKĀ INFORMĀCIJA</w:t>
      </w:r>
    </w:p>
    <w:p w:rsidR="00017525" w:rsidRPr="00F63674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F63674" w:rsidRDefault="004A50CF">
      <w:pPr>
        <w:tabs>
          <w:tab w:val="clear" w:pos="567"/>
        </w:tabs>
        <w:spacing w:line="240" w:lineRule="auto"/>
        <w:ind w:left="567" w:hanging="567"/>
        <w:rPr>
          <w:b/>
          <w:lang w:val="lv-LV"/>
        </w:rPr>
      </w:pPr>
      <w:r w:rsidRPr="00F63674">
        <w:rPr>
          <w:b/>
          <w:lang w:val="lv-LV"/>
        </w:rPr>
        <w:t>6.1</w:t>
      </w:r>
      <w:r w:rsidR="00F34762" w:rsidRPr="00F63674">
        <w:rPr>
          <w:b/>
          <w:szCs w:val="22"/>
          <w:lang w:val="lv-LV"/>
        </w:rPr>
        <w:t>.</w:t>
      </w:r>
      <w:r w:rsidRPr="00F63674">
        <w:rPr>
          <w:b/>
          <w:lang w:val="lv-LV"/>
        </w:rPr>
        <w:tab/>
        <w:t>Palīgvielu saraksts</w:t>
      </w:r>
    </w:p>
    <w:p w:rsidR="00017525" w:rsidRPr="00F63674" w:rsidRDefault="00017525">
      <w:pPr>
        <w:tabs>
          <w:tab w:val="clear" w:pos="567"/>
        </w:tabs>
        <w:spacing w:line="240" w:lineRule="auto"/>
        <w:ind w:left="567" w:hanging="567"/>
        <w:rPr>
          <w:b/>
          <w:lang w:val="lv-LV"/>
        </w:rPr>
      </w:pPr>
    </w:p>
    <w:p w:rsidR="007D3108" w:rsidRPr="00F63674" w:rsidRDefault="007D3108" w:rsidP="007D3108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F63674">
        <w:rPr>
          <w:color w:val="000000"/>
          <w:szCs w:val="22"/>
        </w:rPr>
        <w:t>Olīveļļa</w:t>
      </w:r>
    </w:p>
    <w:p w:rsidR="00017525" w:rsidRPr="00F63674" w:rsidRDefault="007D3108" w:rsidP="007D3108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F63674">
        <w:rPr>
          <w:color w:val="000000"/>
          <w:szCs w:val="22"/>
        </w:rPr>
        <w:br/>
      </w:r>
      <w:r w:rsidRPr="00F63674">
        <w:rPr>
          <w:color w:val="000000"/>
          <w:szCs w:val="22"/>
          <w:u w:val="single"/>
        </w:rPr>
        <w:t>Kapsulas apvalks:</w:t>
      </w:r>
      <w:r w:rsidRPr="00F63674">
        <w:rPr>
          <w:color w:val="000000"/>
          <w:szCs w:val="22"/>
          <w:u w:val="single"/>
        </w:rPr>
        <w:br/>
      </w:r>
      <w:r w:rsidR="00CE7AA6" w:rsidRPr="00F63674">
        <w:rPr>
          <w:color w:val="000000"/>
          <w:szCs w:val="22"/>
        </w:rPr>
        <w:t xml:space="preserve"> </w:t>
      </w:r>
      <w:r w:rsidR="002229F9" w:rsidRPr="00F63674">
        <w:rPr>
          <w:color w:val="000000"/>
          <w:szCs w:val="22"/>
        </w:rPr>
        <w:t>Ž</w:t>
      </w:r>
      <w:r w:rsidR="00CE7AA6" w:rsidRPr="00F63674">
        <w:rPr>
          <w:color w:val="000000"/>
          <w:szCs w:val="22"/>
        </w:rPr>
        <w:t>elatīns</w:t>
      </w:r>
      <w:r w:rsidRPr="00F63674">
        <w:rPr>
          <w:color w:val="000000"/>
          <w:szCs w:val="22"/>
        </w:rPr>
        <w:br/>
        <w:t>Glicerīns</w:t>
      </w:r>
      <w:r w:rsidRPr="00F63674">
        <w:rPr>
          <w:color w:val="000000"/>
          <w:szCs w:val="22"/>
        </w:rPr>
        <w:br/>
        <w:t>Etil-p-hidroksibenzoāta nātrija sāls (E 215)</w:t>
      </w:r>
      <w:r w:rsidRPr="00F63674">
        <w:rPr>
          <w:color w:val="000000"/>
          <w:szCs w:val="22"/>
        </w:rPr>
        <w:br/>
        <w:t>Propil-p-hidroksibenzoāta nātrija sāls (E 217)</w:t>
      </w:r>
      <w:r w:rsidRPr="00F63674">
        <w:rPr>
          <w:color w:val="000000"/>
          <w:szCs w:val="22"/>
        </w:rPr>
        <w:br/>
        <w:t>Ūdenī šķīstošs nātrija vara hlorofilīns</w:t>
      </w:r>
    </w:p>
    <w:p w:rsidR="007D3108" w:rsidRPr="00F63674" w:rsidRDefault="007D3108" w:rsidP="007D3108">
      <w:pPr>
        <w:tabs>
          <w:tab w:val="clear" w:pos="567"/>
        </w:tabs>
        <w:spacing w:line="240" w:lineRule="auto"/>
        <w:rPr>
          <w:lang w:val="lv-LV"/>
        </w:rPr>
      </w:pPr>
    </w:p>
    <w:p w:rsidR="00017525" w:rsidRPr="00F63674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F63674">
        <w:rPr>
          <w:b/>
          <w:lang w:val="lv-LV"/>
        </w:rPr>
        <w:t>6.2</w:t>
      </w:r>
      <w:r w:rsidR="00F34762" w:rsidRPr="00F63674">
        <w:rPr>
          <w:b/>
          <w:szCs w:val="22"/>
          <w:lang w:val="lv-LV"/>
        </w:rPr>
        <w:t>.</w:t>
      </w:r>
      <w:r w:rsidRPr="00F63674">
        <w:rPr>
          <w:b/>
          <w:lang w:val="lv-LV"/>
        </w:rPr>
        <w:tab/>
        <w:t>Nesaderība</w:t>
      </w:r>
    </w:p>
    <w:p w:rsidR="00017525" w:rsidRPr="00F63674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F63674" w:rsidRDefault="007D3108">
      <w:pPr>
        <w:tabs>
          <w:tab w:val="clear" w:pos="567"/>
        </w:tabs>
        <w:spacing w:line="240" w:lineRule="auto"/>
        <w:ind w:left="567" w:hanging="567"/>
        <w:rPr>
          <w:color w:val="000000"/>
          <w:szCs w:val="22"/>
        </w:rPr>
      </w:pPr>
      <w:r w:rsidRPr="00F63674">
        <w:rPr>
          <w:color w:val="000000"/>
          <w:szCs w:val="22"/>
        </w:rPr>
        <w:t>Nav zināma.</w:t>
      </w:r>
    </w:p>
    <w:p w:rsidR="007D3108" w:rsidRPr="00F63674" w:rsidRDefault="007D3108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F63674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F63674">
        <w:rPr>
          <w:b/>
          <w:lang w:val="lv-LV"/>
        </w:rPr>
        <w:t>6.3</w:t>
      </w:r>
      <w:r w:rsidR="00F34762" w:rsidRPr="00F63674">
        <w:rPr>
          <w:b/>
          <w:szCs w:val="22"/>
          <w:lang w:val="lv-LV"/>
        </w:rPr>
        <w:t>.</w:t>
      </w:r>
      <w:r w:rsidRPr="00F63674">
        <w:rPr>
          <w:b/>
          <w:lang w:val="lv-LV"/>
        </w:rPr>
        <w:tab/>
        <w:t>Uzglabāšanas laiks</w:t>
      </w:r>
    </w:p>
    <w:p w:rsidR="00017525" w:rsidRPr="00F63674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F63674" w:rsidRDefault="007D3108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F63674">
        <w:rPr>
          <w:lang w:val="lv-LV"/>
        </w:rPr>
        <w:t>5</w:t>
      </w:r>
      <w:r w:rsidR="001F0D52" w:rsidRPr="00F63674">
        <w:rPr>
          <w:lang w:val="lv-LV"/>
        </w:rPr>
        <w:t> </w:t>
      </w:r>
      <w:r w:rsidRPr="00F63674">
        <w:rPr>
          <w:lang w:val="lv-LV"/>
        </w:rPr>
        <w:t>gadi</w:t>
      </w:r>
    </w:p>
    <w:p w:rsidR="00017525" w:rsidRPr="00F63674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F63674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F63674">
        <w:rPr>
          <w:b/>
          <w:lang w:val="lv-LV"/>
        </w:rPr>
        <w:t>6.4</w:t>
      </w:r>
      <w:r w:rsidR="005B0C6F" w:rsidRPr="00F63674">
        <w:rPr>
          <w:b/>
          <w:szCs w:val="22"/>
          <w:lang w:val="lv-LV"/>
        </w:rPr>
        <w:t>.</w:t>
      </w:r>
      <w:r w:rsidRPr="00F63674">
        <w:rPr>
          <w:b/>
          <w:lang w:val="lv-LV"/>
        </w:rPr>
        <w:tab/>
        <w:t>Īpaši uzglabāšanas nosacījumi</w:t>
      </w:r>
    </w:p>
    <w:p w:rsidR="00017525" w:rsidRPr="00F63674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F63674" w:rsidRDefault="007D3108">
      <w:pPr>
        <w:tabs>
          <w:tab w:val="clear" w:pos="567"/>
        </w:tabs>
        <w:spacing w:line="240" w:lineRule="auto"/>
        <w:ind w:left="567" w:hanging="567"/>
        <w:rPr>
          <w:color w:val="000000"/>
          <w:szCs w:val="22"/>
        </w:rPr>
      </w:pPr>
      <w:r w:rsidRPr="00F63674">
        <w:rPr>
          <w:color w:val="000000"/>
          <w:szCs w:val="22"/>
        </w:rPr>
        <w:t>Uzglabāt temperatūrā līdz 25 °C.</w:t>
      </w:r>
    </w:p>
    <w:p w:rsidR="007D3108" w:rsidRPr="00F63674" w:rsidRDefault="007D3108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Default="004A50CF">
      <w:pPr>
        <w:tabs>
          <w:tab w:val="clear" w:pos="567"/>
        </w:tabs>
        <w:spacing w:line="240" w:lineRule="auto"/>
        <w:ind w:left="567" w:hanging="567"/>
        <w:rPr>
          <w:b/>
          <w:lang w:val="lv-LV"/>
        </w:rPr>
      </w:pPr>
      <w:r w:rsidRPr="00F63674">
        <w:rPr>
          <w:b/>
          <w:lang w:val="lv-LV"/>
        </w:rPr>
        <w:t>6.5</w:t>
      </w:r>
      <w:r w:rsidR="005B0C6F" w:rsidRPr="00F63674">
        <w:rPr>
          <w:b/>
          <w:szCs w:val="22"/>
          <w:lang w:val="lv-LV"/>
        </w:rPr>
        <w:t>.</w:t>
      </w:r>
      <w:r w:rsidRPr="00F63674">
        <w:rPr>
          <w:b/>
          <w:lang w:val="lv-LV"/>
        </w:rPr>
        <w:tab/>
        <w:t>Iepakojuma veids un saturs</w:t>
      </w:r>
      <w:r w:rsidRPr="006D7FDE">
        <w:rPr>
          <w:b/>
          <w:lang w:val="lv-LV"/>
        </w:rPr>
        <w:t xml:space="preserve"> </w:t>
      </w:r>
    </w:p>
    <w:p w:rsidR="005445B0" w:rsidRPr="006D7FDE" w:rsidRDefault="005445B0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Default="007D3108">
      <w:pPr>
        <w:tabs>
          <w:tab w:val="clear" w:pos="567"/>
        </w:tabs>
        <w:spacing w:line="240" w:lineRule="auto"/>
        <w:ind w:left="567" w:hanging="567"/>
        <w:rPr>
          <w:color w:val="000000"/>
          <w:szCs w:val="22"/>
        </w:rPr>
      </w:pPr>
      <w:r>
        <w:rPr>
          <w:color w:val="000000"/>
          <w:szCs w:val="22"/>
        </w:rPr>
        <w:t>Al/PVH/PVDH blisteri pa 10 kapsulām, kas iepakoti kartona k</w:t>
      </w:r>
      <w:r w:rsidR="00271497">
        <w:rPr>
          <w:color w:val="000000"/>
          <w:szCs w:val="22"/>
        </w:rPr>
        <w:t>astītē</w:t>
      </w:r>
      <w:r>
        <w:rPr>
          <w:color w:val="000000"/>
          <w:szCs w:val="22"/>
        </w:rPr>
        <w:t xml:space="preserve"> pa 50 un 100 kapsulām.</w:t>
      </w:r>
    </w:p>
    <w:p w:rsidR="007D3108" w:rsidRPr="006D7FDE" w:rsidRDefault="007D3108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b/>
          <w:color w:val="000000"/>
          <w:lang w:val="lv-LV"/>
        </w:rPr>
      </w:pPr>
      <w:r w:rsidRPr="006D7FDE">
        <w:rPr>
          <w:b/>
          <w:lang w:val="lv-LV"/>
        </w:rPr>
        <w:t>6.6</w:t>
      </w:r>
      <w:r w:rsidR="005B0C6F" w:rsidRPr="006D7FDE">
        <w:rPr>
          <w:b/>
          <w:szCs w:val="22"/>
          <w:lang w:val="lv-LV"/>
        </w:rPr>
        <w:t>.</w:t>
      </w:r>
      <w:r w:rsidRPr="006D7FDE">
        <w:rPr>
          <w:b/>
          <w:lang w:val="lv-LV"/>
        </w:rPr>
        <w:tab/>
      </w:r>
      <w:r w:rsidRPr="006D7FDE">
        <w:rPr>
          <w:b/>
          <w:color w:val="000000"/>
          <w:lang w:val="lv-LV"/>
        </w:rPr>
        <w:t xml:space="preserve">Īpaši norādījumi atkritumu likvidēšanai </w:t>
      </w:r>
    </w:p>
    <w:p w:rsidR="00017525" w:rsidRPr="006D7FDE" w:rsidRDefault="00017525" w:rsidP="007D3108">
      <w:pPr>
        <w:tabs>
          <w:tab w:val="clear" w:pos="567"/>
        </w:tabs>
        <w:spacing w:line="240" w:lineRule="auto"/>
        <w:rPr>
          <w:lang w:val="lv-LV"/>
        </w:rPr>
      </w:pPr>
    </w:p>
    <w:p w:rsidR="00017525" w:rsidRPr="006D7FDE" w:rsidRDefault="007D3108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>
        <w:rPr>
          <w:lang w:val="lv-LV"/>
        </w:rPr>
        <w:t xml:space="preserve">Nav īpašu </w:t>
      </w:r>
      <w:r w:rsidR="004A50CF" w:rsidRPr="006D7FDE">
        <w:rPr>
          <w:lang w:val="lv-LV"/>
        </w:rPr>
        <w:t>a</w:t>
      </w:r>
      <w:r>
        <w:rPr>
          <w:lang w:val="lv-LV"/>
        </w:rPr>
        <w:t>tkritumu likvidēšanas prasību.</w:t>
      </w:r>
    </w:p>
    <w:p w:rsidR="00017525" w:rsidRPr="006D7FDE" w:rsidRDefault="00017525" w:rsidP="007D3108">
      <w:pPr>
        <w:tabs>
          <w:tab w:val="clear" w:pos="567"/>
        </w:tabs>
        <w:spacing w:line="240" w:lineRule="auto"/>
        <w:rPr>
          <w:lang w:val="lv-LV"/>
        </w:rPr>
      </w:pPr>
    </w:p>
    <w:p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b/>
          <w:lang w:val="lv-LV"/>
        </w:rPr>
        <w:t>7.</w:t>
      </w:r>
      <w:r w:rsidRPr="006D7FDE">
        <w:rPr>
          <w:b/>
          <w:lang w:val="lv-LV"/>
        </w:rPr>
        <w:tab/>
        <w:t>REĢISTRĀCIJAS APLIECĪBAS ĪPAŠNIEKS</w:t>
      </w:r>
    </w:p>
    <w:p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6D7FDE" w:rsidRDefault="007D3108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>
        <w:rPr>
          <w:color w:val="000000"/>
          <w:szCs w:val="22"/>
        </w:rPr>
        <w:t>ROWA PHARMACEUTICALS LTD., Newtown, Bantry, Co. Cork , Īrija.</w:t>
      </w:r>
    </w:p>
    <w:p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6D7FDE" w:rsidRDefault="004A50CF" w:rsidP="00657D6A">
      <w:pPr>
        <w:spacing w:line="240" w:lineRule="auto"/>
        <w:rPr>
          <w:b/>
          <w:lang w:val="lv-LV"/>
        </w:rPr>
      </w:pPr>
      <w:r w:rsidRPr="006D7FDE">
        <w:rPr>
          <w:b/>
          <w:lang w:val="lv-LV"/>
        </w:rPr>
        <w:lastRenderedPageBreak/>
        <w:t>8.</w:t>
      </w:r>
      <w:r w:rsidRPr="006D7FDE">
        <w:rPr>
          <w:b/>
          <w:lang w:val="lv-LV"/>
        </w:rPr>
        <w:tab/>
        <w:t xml:space="preserve">REĢISTRĀCIJAS APLIECĪBAS NUMURS(-I) </w:t>
      </w:r>
    </w:p>
    <w:p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Default="007D3108">
      <w:pPr>
        <w:tabs>
          <w:tab w:val="clear" w:pos="567"/>
        </w:tabs>
        <w:spacing w:line="240" w:lineRule="auto"/>
        <w:ind w:left="567" w:hanging="567"/>
        <w:rPr>
          <w:color w:val="000000"/>
          <w:szCs w:val="22"/>
        </w:rPr>
      </w:pPr>
      <w:r>
        <w:rPr>
          <w:color w:val="000000"/>
          <w:szCs w:val="22"/>
        </w:rPr>
        <w:t>01-0021</w:t>
      </w:r>
    </w:p>
    <w:p w:rsidR="007D3108" w:rsidRDefault="007D3108">
      <w:pPr>
        <w:tabs>
          <w:tab w:val="clear" w:pos="567"/>
        </w:tabs>
        <w:spacing w:line="240" w:lineRule="auto"/>
        <w:ind w:left="567" w:hanging="567"/>
        <w:rPr>
          <w:color w:val="000000"/>
          <w:szCs w:val="22"/>
        </w:rPr>
      </w:pPr>
    </w:p>
    <w:p w:rsidR="007D3108" w:rsidRPr="006D7FDE" w:rsidRDefault="007D3108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b/>
          <w:lang w:val="lv-LV"/>
        </w:rPr>
        <w:t>9.</w:t>
      </w:r>
      <w:r w:rsidRPr="006D7FDE">
        <w:rPr>
          <w:b/>
          <w:lang w:val="lv-LV"/>
        </w:rPr>
        <w:tab/>
      </w:r>
      <w:r w:rsidR="005B0C6F" w:rsidRPr="006D7FDE">
        <w:rPr>
          <w:b/>
          <w:szCs w:val="22"/>
          <w:lang w:val="lv-LV"/>
        </w:rPr>
        <w:t xml:space="preserve">PIRMĀS </w:t>
      </w:r>
      <w:r w:rsidRPr="006D7FDE">
        <w:rPr>
          <w:b/>
          <w:lang w:val="lv-LV"/>
        </w:rPr>
        <w:t>REĢISTRĀCIJAS</w:t>
      </w:r>
      <w:r w:rsidR="00017525" w:rsidRPr="006D7FDE">
        <w:rPr>
          <w:b/>
          <w:szCs w:val="22"/>
          <w:lang w:val="lv-LV"/>
        </w:rPr>
        <w:t>/</w:t>
      </w:r>
      <w:r w:rsidRPr="006D7FDE">
        <w:rPr>
          <w:b/>
          <w:lang w:val="lv-LV"/>
        </w:rPr>
        <w:t>PĀRREĢISTRĀCIJAS DATUMS</w:t>
      </w:r>
    </w:p>
    <w:p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017525" w:rsidRDefault="004A50CF">
      <w:pPr>
        <w:tabs>
          <w:tab w:val="clear" w:pos="567"/>
        </w:tabs>
        <w:spacing w:line="240" w:lineRule="auto"/>
        <w:ind w:left="567" w:hanging="567"/>
        <w:rPr>
          <w:color w:val="000000"/>
          <w:szCs w:val="22"/>
        </w:rPr>
      </w:pPr>
      <w:r w:rsidRPr="006D7FDE">
        <w:rPr>
          <w:lang w:val="lv-LV"/>
        </w:rPr>
        <w:t xml:space="preserve">Reģistrācijas datums: </w:t>
      </w:r>
      <w:r w:rsidR="007F4634">
        <w:rPr>
          <w:color w:val="000000"/>
          <w:szCs w:val="22"/>
        </w:rPr>
        <w:t xml:space="preserve"> 2006 gada 1. augusts</w:t>
      </w:r>
    </w:p>
    <w:p w:rsidR="007F4634" w:rsidRPr="003E0E2E" w:rsidRDefault="001B0505" w:rsidP="007F4634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>
        <w:rPr>
          <w:color w:val="000000"/>
          <w:szCs w:val="22"/>
        </w:rPr>
        <w:t>Pēdējās p</w:t>
      </w:r>
      <w:r w:rsidR="007F4634">
        <w:rPr>
          <w:color w:val="000000"/>
          <w:szCs w:val="22"/>
        </w:rPr>
        <w:t>ārreģistrācijas datums: 2011. gada 26. oktobris</w:t>
      </w:r>
    </w:p>
    <w:p w:rsidR="00017525" w:rsidRPr="006D7FDE" w:rsidRDefault="00017525">
      <w:pPr>
        <w:tabs>
          <w:tab w:val="clear" w:pos="567"/>
        </w:tabs>
        <w:spacing w:line="240" w:lineRule="auto"/>
        <w:rPr>
          <w:lang w:val="lv-LV"/>
        </w:rPr>
      </w:pPr>
    </w:p>
    <w:p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:rsidR="00680E81" w:rsidRPr="00F63674" w:rsidRDefault="004A50CF" w:rsidP="00F63674">
      <w:pPr>
        <w:tabs>
          <w:tab w:val="clear" w:pos="567"/>
        </w:tabs>
        <w:spacing w:line="240" w:lineRule="auto"/>
        <w:ind w:left="567" w:hanging="567"/>
        <w:rPr>
          <w:b/>
          <w:lang w:val="lv-LV"/>
        </w:rPr>
      </w:pPr>
      <w:r w:rsidRPr="006D7FDE">
        <w:rPr>
          <w:b/>
          <w:lang w:val="lv-LV"/>
        </w:rPr>
        <w:t>10.</w:t>
      </w:r>
      <w:r w:rsidRPr="006D7FDE">
        <w:rPr>
          <w:b/>
          <w:lang w:val="lv-LV"/>
        </w:rPr>
        <w:tab/>
        <w:t>TEKSTA PĀRSKATĪŠANAS DATUMS</w:t>
      </w:r>
      <w:r w:rsidR="007F4634">
        <w:rPr>
          <w:b/>
          <w:lang w:val="lv-LV"/>
        </w:rPr>
        <w:t xml:space="preserve"> </w:t>
      </w:r>
      <w:r w:rsidR="007F4634">
        <w:rPr>
          <w:b/>
          <w:szCs w:val="22"/>
          <w:lang w:val="lv-LV"/>
        </w:rPr>
        <w:t>08/2016</w:t>
      </w:r>
    </w:p>
    <w:sectPr w:rsidR="00680E81" w:rsidRPr="00F63674" w:rsidSect="00016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94" w:rsidRDefault="004E799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4E7994" w:rsidRDefault="004E7994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4E7994" w:rsidRDefault="004E79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86" w:rsidRDefault="00C71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86" w:rsidRPr="00016DC7" w:rsidRDefault="00C71B86">
    <w:pPr>
      <w:tabs>
        <w:tab w:val="right" w:pos="8931"/>
      </w:tabs>
      <w:ind w:right="96"/>
      <w:jc w:val="center"/>
      <w:rPr>
        <w:rFonts w:ascii="Arial" w:hAnsi="Arial" w:cs="Arial"/>
        <w:sz w:val="16"/>
        <w:szCs w:val="16"/>
      </w:rPr>
    </w:pPr>
    <w:r w:rsidRPr="00016DC7">
      <w:rPr>
        <w:rFonts w:ascii="Arial" w:hAnsi="Arial" w:cs="Arial"/>
        <w:sz w:val="16"/>
        <w:szCs w:val="16"/>
      </w:rPr>
      <w:fldChar w:fldCharType="begin"/>
    </w:r>
    <w:r w:rsidRPr="00016DC7">
      <w:rPr>
        <w:rFonts w:ascii="Arial" w:hAnsi="Arial" w:cs="Arial"/>
        <w:sz w:val="16"/>
        <w:szCs w:val="16"/>
      </w:rPr>
      <w:instrText xml:space="preserve"> EQ </w:instrText>
    </w:r>
    <w:r w:rsidRPr="00016DC7">
      <w:rPr>
        <w:rFonts w:ascii="Arial" w:hAnsi="Arial" w:cs="Arial"/>
        <w:sz w:val="16"/>
        <w:szCs w:val="16"/>
      </w:rPr>
      <w:fldChar w:fldCharType="end"/>
    </w:r>
    <w:r w:rsidRPr="00016DC7">
      <w:rPr>
        <w:rStyle w:val="PageNumber"/>
        <w:rFonts w:ascii="Arial" w:hAnsi="Arial" w:cs="Arial"/>
        <w:sz w:val="16"/>
        <w:szCs w:val="16"/>
      </w:rPr>
      <w:fldChar w:fldCharType="begin"/>
    </w:r>
    <w:r w:rsidRPr="00016DC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016DC7">
      <w:rPr>
        <w:rStyle w:val="PageNumber"/>
        <w:rFonts w:ascii="Arial" w:hAnsi="Arial" w:cs="Arial"/>
        <w:sz w:val="16"/>
        <w:szCs w:val="16"/>
      </w:rPr>
      <w:fldChar w:fldCharType="separate"/>
    </w:r>
    <w:r w:rsidR="00E65C5F">
      <w:rPr>
        <w:rStyle w:val="PageNumber"/>
        <w:rFonts w:ascii="Arial" w:hAnsi="Arial" w:cs="Arial"/>
        <w:noProof/>
        <w:sz w:val="16"/>
        <w:szCs w:val="16"/>
      </w:rPr>
      <w:t>4</w:t>
    </w:r>
    <w:r w:rsidRPr="00016DC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86" w:rsidRDefault="00C71B86">
    <w:pPr>
      <w:tabs>
        <w:tab w:val="right" w:pos="8931"/>
      </w:tabs>
      <w:ind w:right="96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EQ </w:instrText>
    </w:r>
    <w:r>
      <w:rPr>
        <w:szCs w:val="24"/>
      </w:rPr>
      <w:fldChar w:fldCharType="end"/>
    </w:r>
    <w:r w:rsidRPr="00016DC7">
      <w:rPr>
        <w:rStyle w:val="PageNumber"/>
        <w:rFonts w:ascii="Arial" w:hAnsi="Arial" w:cs="Arial"/>
        <w:sz w:val="16"/>
        <w:szCs w:val="16"/>
      </w:rPr>
      <w:fldChar w:fldCharType="begin"/>
    </w:r>
    <w:r w:rsidRPr="00016DC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016DC7">
      <w:rPr>
        <w:rStyle w:val="PageNumber"/>
        <w:rFonts w:ascii="Arial" w:hAnsi="Arial" w:cs="Arial"/>
        <w:sz w:val="16"/>
        <w:szCs w:val="16"/>
      </w:rPr>
      <w:fldChar w:fldCharType="separate"/>
    </w:r>
    <w:r w:rsidR="00CD63E3">
      <w:rPr>
        <w:rStyle w:val="PageNumber"/>
        <w:rFonts w:ascii="Arial" w:hAnsi="Arial" w:cs="Arial"/>
        <w:noProof/>
        <w:sz w:val="16"/>
        <w:szCs w:val="16"/>
      </w:rPr>
      <w:t>1</w:t>
    </w:r>
    <w:r w:rsidRPr="00016DC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94" w:rsidRDefault="004E799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4E7994" w:rsidRDefault="004E7994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4E7994" w:rsidRDefault="004E799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86" w:rsidRDefault="00C71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86" w:rsidRPr="00104B5A" w:rsidRDefault="00104B5A" w:rsidP="00104B5A">
    <w:pPr>
      <w:pStyle w:val="Header"/>
      <w:jc w:val="right"/>
      <w:rPr>
        <w:sz w:val="24"/>
      </w:rPr>
    </w:pPr>
    <w:r>
      <w:rPr>
        <w:sz w:val="24"/>
      </w:rPr>
      <w:t>SASKAŅOTS ZVA 01-09-2016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86" w:rsidRPr="00104B5A" w:rsidRDefault="00104B5A" w:rsidP="00104B5A">
    <w:pPr>
      <w:pStyle w:val="Header"/>
      <w:jc w:val="right"/>
      <w:rPr>
        <w:sz w:val="24"/>
      </w:rPr>
    </w:pPr>
    <w:r>
      <w:rPr>
        <w:sz w:val="24"/>
      </w:rPr>
      <w:t>SASKAŅOTS ZVA 01-09-2016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001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0900ED"/>
    <w:multiLevelType w:val="hybridMultilevel"/>
    <w:tmpl w:val="3D08C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851495A"/>
    <w:multiLevelType w:val="multilevel"/>
    <w:tmpl w:val="66C06C5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9C44CC1"/>
    <w:multiLevelType w:val="hybridMultilevel"/>
    <w:tmpl w:val="7FF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66B22"/>
    <w:multiLevelType w:val="multilevel"/>
    <w:tmpl w:val="A2AE694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7" w15:restartNumberingAfterBreak="0">
    <w:nsid w:val="0F351A5E"/>
    <w:multiLevelType w:val="hybridMultilevel"/>
    <w:tmpl w:val="754424AA"/>
    <w:lvl w:ilvl="0" w:tplc="F784358C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B8B20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409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40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B0B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B23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F4B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528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FE5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B6D10"/>
    <w:multiLevelType w:val="hybridMultilevel"/>
    <w:tmpl w:val="05EC8B8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431F76"/>
    <w:multiLevelType w:val="hybridMultilevel"/>
    <w:tmpl w:val="69E614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1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19A3667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3645EBD"/>
    <w:multiLevelType w:val="hybridMultilevel"/>
    <w:tmpl w:val="A8CC254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135BD9"/>
    <w:multiLevelType w:val="hybridMultilevel"/>
    <w:tmpl w:val="DAD6C0E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31E3B65"/>
    <w:multiLevelType w:val="hybridMultilevel"/>
    <w:tmpl w:val="197AA068"/>
    <w:lvl w:ilvl="0" w:tplc="2C4E0D5A">
      <w:start w:val="1"/>
      <w:numFmt w:val="upperLetter"/>
      <w:lvlText w:val="%1."/>
      <w:lvlJc w:val="left"/>
      <w:pPr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33383BA1"/>
    <w:multiLevelType w:val="hybridMultilevel"/>
    <w:tmpl w:val="0766529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3F07F1"/>
    <w:multiLevelType w:val="hybridMultilevel"/>
    <w:tmpl w:val="7A2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E7422D0"/>
    <w:multiLevelType w:val="singleLevel"/>
    <w:tmpl w:val="FFFFFFFF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419D6658"/>
    <w:multiLevelType w:val="hybridMultilevel"/>
    <w:tmpl w:val="17F8F9DC"/>
    <w:lvl w:ilvl="0" w:tplc="F63E30C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ACE08F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1AD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8B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C6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302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E4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A2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94B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4" w15:restartNumberingAfterBreak="0">
    <w:nsid w:val="4BE54AFE"/>
    <w:multiLevelType w:val="hybridMultilevel"/>
    <w:tmpl w:val="B1A46980"/>
    <w:lvl w:ilvl="0" w:tplc="49F83186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488EFF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E1A38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DFEB4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398E4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B3468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7BC24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8844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844D7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F715EA8"/>
    <w:multiLevelType w:val="hybridMultilevel"/>
    <w:tmpl w:val="85242A24"/>
    <w:lvl w:ilvl="0" w:tplc="56A45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647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52A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66C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E46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18A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21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BCA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72F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7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80F5073"/>
    <w:multiLevelType w:val="hybridMultilevel"/>
    <w:tmpl w:val="2962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2" w15:restartNumberingAfterBreak="0">
    <w:nsid w:val="69E95A54"/>
    <w:multiLevelType w:val="hybridMultilevel"/>
    <w:tmpl w:val="3C18EFB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 w15:restartNumberingAfterBreak="0">
    <w:nsid w:val="6BBA03A8"/>
    <w:multiLevelType w:val="hybridMultilevel"/>
    <w:tmpl w:val="1436D45C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4F3A43"/>
    <w:multiLevelType w:val="hybridMultilevel"/>
    <w:tmpl w:val="44EA2960"/>
    <w:lvl w:ilvl="0" w:tplc="2BD26FD4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color w:val="auto"/>
      </w:rPr>
    </w:lvl>
    <w:lvl w:ilvl="1" w:tplc="9DF410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423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DBE9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2E6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08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C5A7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8E1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906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8" w15:restartNumberingAfterBreak="0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337DE"/>
    <w:multiLevelType w:val="hybridMultilevel"/>
    <w:tmpl w:val="7FF0AA2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AB50F1"/>
    <w:multiLevelType w:val="hybridMultilevel"/>
    <w:tmpl w:val="64CEA6C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2709E1"/>
    <w:multiLevelType w:val="hybridMultilevel"/>
    <w:tmpl w:val="440A813E"/>
    <w:lvl w:ilvl="0" w:tplc="531A8F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08D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4ED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121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5ED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EA9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0C8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D07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382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A100D28"/>
    <w:multiLevelType w:val="hybridMultilevel"/>
    <w:tmpl w:val="49EE9F1C"/>
    <w:lvl w:ilvl="0" w:tplc="FD788292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 w:tplc="BC80F8FA">
      <w:start w:val="17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F31E4"/>
    <w:multiLevelType w:val="hybridMultilevel"/>
    <w:tmpl w:val="8A5EA0D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FB52F6"/>
    <w:multiLevelType w:val="hybridMultilevel"/>
    <w:tmpl w:val="B7EC6880"/>
    <w:lvl w:ilvl="0" w:tplc="38AEE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EA4E3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93682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8CE01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0E48A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856E1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94FC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DC8AE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ACA79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9"/>
  </w:num>
  <w:num w:numId="3">
    <w:abstractNumId w:val="1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1"/>
  </w:num>
  <w:num w:numId="6">
    <w:abstractNumId w:val="27"/>
  </w:num>
  <w:num w:numId="7">
    <w:abstractNumId w:val="16"/>
  </w:num>
  <w:num w:numId="8">
    <w:abstractNumId w:val="21"/>
  </w:num>
  <w:num w:numId="9">
    <w:abstractNumId w:val="40"/>
  </w:num>
  <w:num w:numId="10">
    <w:abstractNumId w:val="2"/>
  </w:num>
  <w:num w:numId="11">
    <w:abstractNumId w:val="33"/>
  </w:num>
  <w:num w:numId="12">
    <w:abstractNumId w:val="20"/>
  </w:num>
  <w:num w:numId="13">
    <w:abstractNumId w:val="11"/>
  </w:num>
  <w:num w:numId="14">
    <w:abstractNumId w:val="5"/>
  </w:num>
  <w:num w:numId="15">
    <w:abstractNumId w:val="1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6">
    <w:abstractNumId w:val="37"/>
  </w:num>
  <w:num w:numId="17">
    <w:abstractNumId w:val="23"/>
  </w:num>
  <w:num w:numId="18">
    <w:abstractNumId w:val="26"/>
  </w:num>
  <w:num w:numId="19">
    <w:abstractNumId w:val="42"/>
  </w:num>
  <w:num w:numId="20">
    <w:abstractNumId w:val="28"/>
  </w:num>
  <w:num w:numId="21">
    <w:abstractNumId w:val="38"/>
  </w:num>
  <w:num w:numId="22">
    <w:abstractNumId w:val="32"/>
  </w:num>
  <w:num w:numId="23">
    <w:abstractNumId w:val="15"/>
  </w:num>
  <w:num w:numId="24">
    <w:abstractNumId w:val="38"/>
  </w:num>
  <w:num w:numId="25">
    <w:abstractNumId w:val="5"/>
  </w:num>
  <w:num w:numId="26">
    <w:abstractNumId w:val="1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7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4"/>
  </w:num>
  <w:num w:numId="29">
    <w:abstractNumId w:val="13"/>
  </w:num>
  <w:num w:numId="30">
    <w:abstractNumId w:val="38"/>
  </w:num>
  <w:num w:numId="31">
    <w:abstractNumId w:val="30"/>
  </w:num>
  <w:num w:numId="32">
    <w:abstractNumId w:val="35"/>
  </w:num>
  <w:num w:numId="33">
    <w:abstractNumId w:val="14"/>
  </w:num>
  <w:num w:numId="34">
    <w:abstractNumId w:val="10"/>
  </w:num>
  <w:num w:numId="35">
    <w:abstractNumId w:val="24"/>
  </w:num>
  <w:num w:numId="36">
    <w:abstractNumId w:val="36"/>
  </w:num>
  <w:num w:numId="37">
    <w:abstractNumId w:val="7"/>
  </w:num>
  <w:num w:numId="38">
    <w:abstractNumId w:val="12"/>
  </w:num>
  <w:num w:numId="39">
    <w:abstractNumId w:val="45"/>
  </w:num>
  <w:num w:numId="40">
    <w:abstractNumId w:val="41"/>
  </w:num>
  <w:num w:numId="41">
    <w:abstractNumId w:val="25"/>
  </w:num>
  <w:num w:numId="42">
    <w:abstractNumId w:val="22"/>
  </w:num>
  <w:num w:numId="43">
    <w:abstractNumId w:val="6"/>
  </w:num>
  <w:num w:numId="44">
    <w:abstractNumId w:val="44"/>
  </w:num>
  <w:num w:numId="45">
    <w:abstractNumId w:val="9"/>
  </w:num>
  <w:num w:numId="46">
    <w:abstractNumId w:val="39"/>
  </w:num>
  <w:num w:numId="47">
    <w:abstractNumId w:val="18"/>
  </w:num>
  <w:num w:numId="48">
    <w:abstractNumId w:val="34"/>
  </w:num>
  <w:num w:numId="49">
    <w:abstractNumId w:val="8"/>
  </w:num>
  <w:num w:numId="50">
    <w:abstractNumId w:val="0"/>
  </w:num>
  <w:num w:numId="51">
    <w:abstractNumId w:val="19"/>
  </w:num>
  <w:num w:numId="52">
    <w:abstractNumId w:val="17"/>
  </w:num>
  <w:num w:numId="53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597EEE"/>
    <w:rsid w:val="00000A54"/>
    <w:rsid w:val="00003248"/>
    <w:rsid w:val="000050BB"/>
    <w:rsid w:val="00006687"/>
    <w:rsid w:val="00012D37"/>
    <w:rsid w:val="00016DC7"/>
    <w:rsid w:val="00017525"/>
    <w:rsid w:val="00017A6B"/>
    <w:rsid w:val="00020AEC"/>
    <w:rsid w:val="0002321E"/>
    <w:rsid w:val="000354D3"/>
    <w:rsid w:val="00036422"/>
    <w:rsid w:val="00050062"/>
    <w:rsid w:val="000519CD"/>
    <w:rsid w:val="00054F2D"/>
    <w:rsid w:val="0005660E"/>
    <w:rsid w:val="000574DC"/>
    <w:rsid w:val="00061E9E"/>
    <w:rsid w:val="00062A23"/>
    <w:rsid w:val="00062EC3"/>
    <w:rsid w:val="00062F51"/>
    <w:rsid w:val="00065EC4"/>
    <w:rsid w:val="000718E1"/>
    <w:rsid w:val="00071EAD"/>
    <w:rsid w:val="00077906"/>
    <w:rsid w:val="00080091"/>
    <w:rsid w:val="00080C61"/>
    <w:rsid w:val="0008108A"/>
    <w:rsid w:val="000819D5"/>
    <w:rsid w:val="00086092"/>
    <w:rsid w:val="0009085F"/>
    <w:rsid w:val="000A059F"/>
    <w:rsid w:val="000A51FE"/>
    <w:rsid w:val="000A6475"/>
    <w:rsid w:val="000D1CF4"/>
    <w:rsid w:val="000D39E3"/>
    <w:rsid w:val="000E550A"/>
    <w:rsid w:val="000E5576"/>
    <w:rsid w:val="000E6FAB"/>
    <w:rsid w:val="000F23F8"/>
    <w:rsid w:val="000F3679"/>
    <w:rsid w:val="000F50BB"/>
    <w:rsid w:val="000F521D"/>
    <w:rsid w:val="000F760B"/>
    <w:rsid w:val="00104B5A"/>
    <w:rsid w:val="0010607F"/>
    <w:rsid w:val="00122EF1"/>
    <w:rsid w:val="00124CDE"/>
    <w:rsid w:val="00127995"/>
    <w:rsid w:val="00132B64"/>
    <w:rsid w:val="00143CE0"/>
    <w:rsid w:val="001452C3"/>
    <w:rsid w:val="00146927"/>
    <w:rsid w:val="00151A28"/>
    <w:rsid w:val="00156744"/>
    <w:rsid w:val="00161564"/>
    <w:rsid w:val="00166133"/>
    <w:rsid w:val="00171556"/>
    <w:rsid w:val="001745EE"/>
    <w:rsid w:val="001755CA"/>
    <w:rsid w:val="001830A0"/>
    <w:rsid w:val="00193726"/>
    <w:rsid w:val="00195A06"/>
    <w:rsid w:val="00195FAB"/>
    <w:rsid w:val="001A01E7"/>
    <w:rsid w:val="001A270B"/>
    <w:rsid w:val="001A4F89"/>
    <w:rsid w:val="001A5408"/>
    <w:rsid w:val="001A7421"/>
    <w:rsid w:val="001B0505"/>
    <w:rsid w:val="001B45B3"/>
    <w:rsid w:val="001B4DEA"/>
    <w:rsid w:val="001C1DD2"/>
    <w:rsid w:val="001C2CF7"/>
    <w:rsid w:val="001C3C4F"/>
    <w:rsid w:val="001D1FBE"/>
    <w:rsid w:val="001D2964"/>
    <w:rsid w:val="001E01D5"/>
    <w:rsid w:val="001E1CA3"/>
    <w:rsid w:val="001F0826"/>
    <w:rsid w:val="001F0D52"/>
    <w:rsid w:val="00202F26"/>
    <w:rsid w:val="00203192"/>
    <w:rsid w:val="002107C0"/>
    <w:rsid w:val="00211BE4"/>
    <w:rsid w:val="002165F0"/>
    <w:rsid w:val="002229F9"/>
    <w:rsid w:val="0023012A"/>
    <w:rsid w:val="002309CF"/>
    <w:rsid w:val="00230A3A"/>
    <w:rsid w:val="00243AC8"/>
    <w:rsid w:val="00244A3C"/>
    <w:rsid w:val="00247B5A"/>
    <w:rsid w:val="00250B74"/>
    <w:rsid w:val="00250C65"/>
    <w:rsid w:val="00263F30"/>
    <w:rsid w:val="00265331"/>
    <w:rsid w:val="002675D4"/>
    <w:rsid w:val="00271497"/>
    <w:rsid w:val="00273384"/>
    <w:rsid w:val="00273617"/>
    <w:rsid w:val="00273B42"/>
    <w:rsid w:val="00275AD8"/>
    <w:rsid w:val="00280037"/>
    <w:rsid w:val="00283196"/>
    <w:rsid w:val="00286FED"/>
    <w:rsid w:val="002915E8"/>
    <w:rsid w:val="00292696"/>
    <w:rsid w:val="002A10BA"/>
    <w:rsid w:val="002A15D1"/>
    <w:rsid w:val="002A1F76"/>
    <w:rsid w:val="002A235B"/>
    <w:rsid w:val="002A3015"/>
    <w:rsid w:val="002A35A2"/>
    <w:rsid w:val="002A7FF6"/>
    <w:rsid w:val="002B086A"/>
    <w:rsid w:val="002B29E7"/>
    <w:rsid w:val="002B2B65"/>
    <w:rsid w:val="002B3472"/>
    <w:rsid w:val="002B4E89"/>
    <w:rsid w:val="002C1904"/>
    <w:rsid w:val="002C2B93"/>
    <w:rsid w:val="002C4717"/>
    <w:rsid w:val="002C5706"/>
    <w:rsid w:val="002C7EDF"/>
    <w:rsid w:val="002D3BA7"/>
    <w:rsid w:val="002D426E"/>
    <w:rsid w:val="002D452D"/>
    <w:rsid w:val="002D72F5"/>
    <w:rsid w:val="002D7C26"/>
    <w:rsid w:val="002E087B"/>
    <w:rsid w:val="002E244F"/>
    <w:rsid w:val="002E430D"/>
    <w:rsid w:val="002E4DC1"/>
    <w:rsid w:val="002F4EA4"/>
    <w:rsid w:val="00304EAC"/>
    <w:rsid w:val="00313EDB"/>
    <w:rsid w:val="00320453"/>
    <w:rsid w:val="00320B16"/>
    <w:rsid w:val="00332592"/>
    <w:rsid w:val="00337B73"/>
    <w:rsid w:val="0034154F"/>
    <w:rsid w:val="00344375"/>
    <w:rsid w:val="00350119"/>
    <w:rsid w:val="0035262C"/>
    <w:rsid w:val="00353034"/>
    <w:rsid w:val="003544E2"/>
    <w:rsid w:val="00355827"/>
    <w:rsid w:val="00360701"/>
    <w:rsid w:val="00364E95"/>
    <w:rsid w:val="003708BE"/>
    <w:rsid w:val="003710BE"/>
    <w:rsid w:val="00372306"/>
    <w:rsid w:val="00377632"/>
    <w:rsid w:val="00380F74"/>
    <w:rsid w:val="00386033"/>
    <w:rsid w:val="003A27D1"/>
    <w:rsid w:val="003A7082"/>
    <w:rsid w:val="003A7D8E"/>
    <w:rsid w:val="003B5FE4"/>
    <w:rsid w:val="003C482E"/>
    <w:rsid w:val="003C55F9"/>
    <w:rsid w:val="003D1ACD"/>
    <w:rsid w:val="003D5DEA"/>
    <w:rsid w:val="003D7B36"/>
    <w:rsid w:val="003E30BA"/>
    <w:rsid w:val="003F253B"/>
    <w:rsid w:val="003F6B02"/>
    <w:rsid w:val="00400E02"/>
    <w:rsid w:val="0040561B"/>
    <w:rsid w:val="004130EF"/>
    <w:rsid w:val="00415447"/>
    <w:rsid w:val="00416FC5"/>
    <w:rsid w:val="00417882"/>
    <w:rsid w:val="00421769"/>
    <w:rsid w:val="00425420"/>
    <w:rsid w:val="0043161D"/>
    <w:rsid w:val="00431DA5"/>
    <w:rsid w:val="00434D11"/>
    <w:rsid w:val="00437EB2"/>
    <w:rsid w:val="0045003F"/>
    <w:rsid w:val="004500FA"/>
    <w:rsid w:val="00451B0A"/>
    <w:rsid w:val="00453633"/>
    <w:rsid w:val="00454B73"/>
    <w:rsid w:val="004568E4"/>
    <w:rsid w:val="00457A52"/>
    <w:rsid w:val="004629DF"/>
    <w:rsid w:val="0046466B"/>
    <w:rsid w:val="004654ED"/>
    <w:rsid w:val="00471935"/>
    <w:rsid w:val="00473800"/>
    <w:rsid w:val="0047548E"/>
    <w:rsid w:val="00482AD0"/>
    <w:rsid w:val="00483DA9"/>
    <w:rsid w:val="00484387"/>
    <w:rsid w:val="00487A5A"/>
    <w:rsid w:val="004931E3"/>
    <w:rsid w:val="004935C2"/>
    <w:rsid w:val="004A0E7F"/>
    <w:rsid w:val="004A307F"/>
    <w:rsid w:val="004A50CF"/>
    <w:rsid w:val="004A686D"/>
    <w:rsid w:val="004B033B"/>
    <w:rsid w:val="004B0F43"/>
    <w:rsid w:val="004B4836"/>
    <w:rsid w:val="004B4A40"/>
    <w:rsid w:val="004B69D4"/>
    <w:rsid w:val="004C2EB9"/>
    <w:rsid w:val="004C3C3C"/>
    <w:rsid w:val="004C4DB4"/>
    <w:rsid w:val="004C55AC"/>
    <w:rsid w:val="004C58E2"/>
    <w:rsid w:val="004C62DC"/>
    <w:rsid w:val="004D1DD4"/>
    <w:rsid w:val="004D2BF4"/>
    <w:rsid w:val="004D2C30"/>
    <w:rsid w:val="004D78C0"/>
    <w:rsid w:val="004E2864"/>
    <w:rsid w:val="004E402B"/>
    <w:rsid w:val="004E69BD"/>
    <w:rsid w:val="004E7994"/>
    <w:rsid w:val="004F5DFC"/>
    <w:rsid w:val="004F6BDE"/>
    <w:rsid w:val="00503F36"/>
    <w:rsid w:val="00510068"/>
    <w:rsid w:val="00515C79"/>
    <w:rsid w:val="005175A0"/>
    <w:rsid w:val="00520FD3"/>
    <w:rsid w:val="00521CBC"/>
    <w:rsid w:val="00523DB1"/>
    <w:rsid w:val="005241FA"/>
    <w:rsid w:val="00524878"/>
    <w:rsid w:val="005274B7"/>
    <w:rsid w:val="00541112"/>
    <w:rsid w:val="00542932"/>
    <w:rsid w:val="005445B0"/>
    <w:rsid w:val="00555111"/>
    <w:rsid w:val="00556E17"/>
    <w:rsid w:val="0055764D"/>
    <w:rsid w:val="00564ACD"/>
    <w:rsid w:val="00566779"/>
    <w:rsid w:val="00571FB4"/>
    <w:rsid w:val="0057303D"/>
    <w:rsid w:val="00574DB2"/>
    <w:rsid w:val="0057765E"/>
    <w:rsid w:val="005828EE"/>
    <w:rsid w:val="0058292F"/>
    <w:rsid w:val="00585F8D"/>
    <w:rsid w:val="005917A7"/>
    <w:rsid w:val="00591AB4"/>
    <w:rsid w:val="00594A37"/>
    <w:rsid w:val="00597EEE"/>
    <w:rsid w:val="005A11AC"/>
    <w:rsid w:val="005A3776"/>
    <w:rsid w:val="005A44D4"/>
    <w:rsid w:val="005B0C6F"/>
    <w:rsid w:val="005B22B2"/>
    <w:rsid w:val="005B54E4"/>
    <w:rsid w:val="005C3E33"/>
    <w:rsid w:val="005C4262"/>
    <w:rsid w:val="005C4E75"/>
    <w:rsid w:val="005C51D3"/>
    <w:rsid w:val="005C5BD3"/>
    <w:rsid w:val="005C6767"/>
    <w:rsid w:val="005D308E"/>
    <w:rsid w:val="005D62CB"/>
    <w:rsid w:val="005D7682"/>
    <w:rsid w:val="005E1F1E"/>
    <w:rsid w:val="005E6C1C"/>
    <w:rsid w:val="005E7CCA"/>
    <w:rsid w:val="005F03C8"/>
    <w:rsid w:val="005F1389"/>
    <w:rsid w:val="00605435"/>
    <w:rsid w:val="006124DB"/>
    <w:rsid w:val="0061304C"/>
    <w:rsid w:val="0061373B"/>
    <w:rsid w:val="00622357"/>
    <w:rsid w:val="00622E77"/>
    <w:rsid w:val="00623150"/>
    <w:rsid w:val="0062560B"/>
    <w:rsid w:val="006265D2"/>
    <w:rsid w:val="00631C63"/>
    <w:rsid w:val="00641A89"/>
    <w:rsid w:val="0064210F"/>
    <w:rsid w:val="00651AF4"/>
    <w:rsid w:val="00654C67"/>
    <w:rsid w:val="0065549F"/>
    <w:rsid w:val="00657D6A"/>
    <w:rsid w:val="006657F7"/>
    <w:rsid w:val="00680E81"/>
    <w:rsid w:val="00681914"/>
    <w:rsid w:val="006A736E"/>
    <w:rsid w:val="006B022D"/>
    <w:rsid w:val="006B1A9C"/>
    <w:rsid w:val="006C07C6"/>
    <w:rsid w:val="006C10BF"/>
    <w:rsid w:val="006C7915"/>
    <w:rsid w:val="006D1250"/>
    <w:rsid w:val="006D4448"/>
    <w:rsid w:val="006D75B2"/>
    <w:rsid w:val="006D7FDE"/>
    <w:rsid w:val="006E7302"/>
    <w:rsid w:val="006F4C81"/>
    <w:rsid w:val="006F4CE5"/>
    <w:rsid w:val="007022B4"/>
    <w:rsid w:val="00706DA3"/>
    <w:rsid w:val="00710559"/>
    <w:rsid w:val="0071252F"/>
    <w:rsid w:val="00716C15"/>
    <w:rsid w:val="00724942"/>
    <w:rsid w:val="007259C9"/>
    <w:rsid w:val="007300A9"/>
    <w:rsid w:val="00730349"/>
    <w:rsid w:val="00730F0E"/>
    <w:rsid w:val="00731DEE"/>
    <w:rsid w:val="007336FA"/>
    <w:rsid w:val="007449B5"/>
    <w:rsid w:val="0075427E"/>
    <w:rsid w:val="007606FA"/>
    <w:rsid w:val="0076149E"/>
    <w:rsid w:val="00776CD9"/>
    <w:rsid w:val="00780CA8"/>
    <w:rsid w:val="00782AD3"/>
    <w:rsid w:val="00783C92"/>
    <w:rsid w:val="0078500A"/>
    <w:rsid w:val="007918CE"/>
    <w:rsid w:val="007968BA"/>
    <w:rsid w:val="007A1F29"/>
    <w:rsid w:val="007A58C5"/>
    <w:rsid w:val="007A69B8"/>
    <w:rsid w:val="007A72E6"/>
    <w:rsid w:val="007B3823"/>
    <w:rsid w:val="007B6BD5"/>
    <w:rsid w:val="007C1008"/>
    <w:rsid w:val="007C2D19"/>
    <w:rsid w:val="007D1250"/>
    <w:rsid w:val="007D1BD7"/>
    <w:rsid w:val="007D3108"/>
    <w:rsid w:val="007D7666"/>
    <w:rsid w:val="007E1554"/>
    <w:rsid w:val="007E5371"/>
    <w:rsid w:val="007E5BAF"/>
    <w:rsid w:val="007F0F08"/>
    <w:rsid w:val="007F0FA6"/>
    <w:rsid w:val="007F4634"/>
    <w:rsid w:val="007F67D0"/>
    <w:rsid w:val="007F6941"/>
    <w:rsid w:val="008026B4"/>
    <w:rsid w:val="00812533"/>
    <w:rsid w:val="00814AA6"/>
    <w:rsid w:val="00814EE3"/>
    <w:rsid w:val="0081513C"/>
    <w:rsid w:val="00820405"/>
    <w:rsid w:val="00827D81"/>
    <w:rsid w:val="0083509A"/>
    <w:rsid w:val="00835D48"/>
    <w:rsid w:val="008405EB"/>
    <w:rsid w:val="008432B2"/>
    <w:rsid w:val="00846A99"/>
    <w:rsid w:val="00847CD1"/>
    <w:rsid w:val="0085399D"/>
    <w:rsid w:val="00863DA8"/>
    <w:rsid w:val="0086758B"/>
    <w:rsid w:val="00877E4A"/>
    <w:rsid w:val="008803A0"/>
    <w:rsid w:val="008830DB"/>
    <w:rsid w:val="00890130"/>
    <w:rsid w:val="00894358"/>
    <w:rsid w:val="00896405"/>
    <w:rsid w:val="008975AC"/>
    <w:rsid w:val="008A251B"/>
    <w:rsid w:val="008A68EA"/>
    <w:rsid w:val="008B0A06"/>
    <w:rsid w:val="008B15CD"/>
    <w:rsid w:val="008B3B34"/>
    <w:rsid w:val="008B6484"/>
    <w:rsid w:val="008D158C"/>
    <w:rsid w:val="008D1D16"/>
    <w:rsid w:val="008D302E"/>
    <w:rsid w:val="008D63F2"/>
    <w:rsid w:val="008E002B"/>
    <w:rsid w:val="008E0196"/>
    <w:rsid w:val="008E265D"/>
    <w:rsid w:val="008E2831"/>
    <w:rsid w:val="008E4267"/>
    <w:rsid w:val="008E7303"/>
    <w:rsid w:val="008F1047"/>
    <w:rsid w:val="008F6DBC"/>
    <w:rsid w:val="0090070E"/>
    <w:rsid w:val="00902CD2"/>
    <w:rsid w:val="0090515B"/>
    <w:rsid w:val="0090624D"/>
    <w:rsid w:val="00910B7A"/>
    <w:rsid w:val="0091141F"/>
    <w:rsid w:val="0091484A"/>
    <w:rsid w:val="009347D9"/>
    <w:rsid w:val="00940B31"/>
    <w:rsid w:val="00943EB9"/>
    <w:rsid w:val="0094758A"/>
    <w:rsid w:val="00955BAA"/>
    <w:rsid w:val="00957F85"/>
    <w:rsid w:val="0097181F"/>
    <w:rsid w:val="00972884"/>
    <w:rsid w:val="009738BA"/>
    <w:rsid w:val="0097403B"/>
    <w:rsid w:val="0098315C"/>
    <w:rsid w:val="0098455C"/>
    <w:rsid w:val="009A0C7F"/>
    <w:rsid w:val="009A0C91"/>
    <w:rsid w:val="009A3784"/>
    <w:rsid w:val="009B18B6"/>
    <w:rsid w:val="009B5F5D"/>
    <w:rsid w:val="009C0E09"/>
    <w:rsid w:val="009C3828"/>
    <w:rsid w:val="009D6BAC"/>
    <w:rsid w:val="009E3665"/>
    <w:rsid w:val="009E5070"/>
    <w:rsid w:val="009F03BE"/>
    <w:rsid w:val="009F1A01"/>
    <w:rsid w:val="009F390B"/>
    <w:rsid w:val="00A00CB7"/>
    <w:rsid w:val="00A049EC"/>
    <w:rsid w:val="00A10A31"/>
    <w:rsid w:val="00A124B7"/>
    <w:rsid w:val="00A1252D"/>
    <w:rsid w:val="00A13993"/>
    <w:rsid w:val="00A21A31"/>
    <w:rsid w:val="00A23278"/>
    <w:rsid w:val="00A327C4"/>
    <w:rsid w:val="00A42DF4"/>
    <w:rsid w:val="00A44A9E"/>
    <w:rsid w:val="00A5251F"/>
    <w:rsid w:val="00A56BCA"/>
    <w:rsid w:val="00A64BD0"/>
    <w:rsid w:val="00A71F35"/>
    <w:rsid w:val="00A777CE"/>
    <w:rsid w:val="00A80072"/>
    <w:rsid w:val="00A801A8"/>
    <w:rsid w:val="00A84B58"/>
    <w:rsid w:val="00A94730"/>
    <w:rsid w:val="00A9597E"/>
    <w:rsid w:val="00A95BCB"/>
    <w:rsid w:val="00AA0477"/>
    <w:rsid w:val="00AA475B"/>
    <w:rsid w:val="00AA6006"/>
    <w:rsid w:val="00AB0AEA"/>
    <w:rsid w:val="00AB6C9F"/>
    <w:rsid w:val="00AC0757"/>
    <w:rsid w:val="00AC289E"/>
    <w:rsid w:val="00AC391D"/>
    <w:rsid w:val="00AC4369"/>
    <w:rsid w:val="00AC4784"/>
    <w:rsid w:val="00AC6C5D"/>
    <w:rsid w:val="00AD6F01"/>
    <w:rsid w:val="00AE210A"/>
    <w:rsid w:val="00AE4664"/>
    <w:rsid w:val="00AF08E4"/>
    <w:rsid w:val="00AF3A17"/>
    <w:rsid w:val="00B03493"/>
    <w:rsid w:val="00B03750"/>
    <w:rsid w:val="00B065F2"/>
    <w:rsid w:val="00B113DC"/>
    <w:rsid w:val="00B23209"/>
    <w:rsid w:val="00B23621"/>
    <w:rsid w:val="00B27554"/>
    <w:rsid w:val="00B406B2"/>
    <w:rsid w:val="00B4311D"/>
    <w:rsid w:val="00B4463D"/>
    <w:rsid w:val="00B45930"/>
    <w:rsid w:val="00B63765"/>
    <w:rsid w:val="00B84565"/>
    <w:rsid w:val="00B84B25"/>
    <w:rsid w:val="00B8621A"/>
    <w:rsid w:val="00B86B59"/>
    <w:rsid w:val="00B87326"/>
    <w:rsid w:val="00B92232"/>
    <w:rsid w:val="00BA0458"/>
    <w:rsid w:val="00BA44ED"/>
    <w:rsid w:val="00BA64A6"/>
    <w:rsid w:val="00BB4393"/>
    <w:rsid w:val="00BB60A5"/>
    <w:rsid w:val="00BC0F8A"/>
    <w:rsid w:val="00BC50CB"/>
    <w:rsid w:val="00BD2761"/>
    <w:rsid w:val="00BD39D1"/>
    <w:rsid w:val="00BD5E2D"/>
    <w:rsid w:val="00BD6BF5"/>
    <w:rsid w:val="00BE735A"/>
    <w:rsid w:val="00BF3125"/>
    <w:rsid w:val="00BF5D72"/>
    <w:rsid w:val="00BF658A"/>
    <w:rsid w:val="00BF7459"/>
    <w:rsid w:val="00C00580"/>
    <w:rsid w:val="00C007EC"/>
    <w:rsid w:val="00C12D3E"/>
    <w:rsid w:val="00C14CF4"/>
    <w:rsid w:val="00C2327F"/>
    <w:rsid w:val="00C24DF1"/>
    <w:rsid w:val="00C268F0"/>
    <w:rsid w:val="00C31576"/>
    <w:rsid w:val="00C31677"/>
    <w:rsid w:val="00C32426"/>
    <w:rsid w:val="00C33560"/>
    <w:rsid w:val="00C338BF"/>
    <w:rsid w:val="00C42F8A"/>
    <w:rsid w:val="00C4342B"/>
    <w:rsid w:val="00C440E5"/>
    <w:rsid w:val="00C47ADB"/>
    <w:rsid w:val="00C53E60"/>
    <w:rsid w:val="00C60AAC"/>
    <w:rsid w:val="00C618E5"/>
    <w:rsid w:val="00C66B13"/>
    <w:rsid w:val="00C7070F"/>
    <w:rsid w:val="00C71B86"/>
    <w:rsid w:val="00C746F6"/>
    <w:rsid w:val="00C7628C"/>
    <w:rsid w:val="00C82B0A"/>
    <w:rsid w:val="00C83A6F"/>
    <w:rsid w:val="00C87573"/>
    <w:rsid w:val="00C901BF"/>
    <w:rsid w:val="00C91379"/>
    <w:rsid w:val="00C91726"/>
    <w:rsid w:val="00C95E80"/>
    <w:rsid w:val="00CA2CCB"/>
    <w:rsid w:val="00CC04AE"/>
    <w:rsid w:val="00CC0F30"/>
    <w:rsid w:val="00CC177E"/>
    <w:rsid w:val="00CC19EB"/>
    <w:rsid w:val="00CC312F"/>
    <w:rsid w:val="00CC4EF8"/>
    <w:rsid w:val="00CC56DF"/>
    <w:rsid w:val="00CD0F8C"/>
    <w:rsid w:val="00CD63E3"/>
    <w:rsid w:val="00CD6BC3"/>
    <w:rsid w:val="00CE33BA"/>
    <w:rsid w:val="00CE595E"/>
    <w:rsid w:val="00CE5FB6"/>
    <w:rsid w:val="00CE7AA6"/>
    <w:rsid w:val="00CF377D"/>
    <w:rsid w:val="00CF5CEA"/>
    <w:rsid w:val="00CF70A0"/>
    <w:rsid w:val="00D106A3"/>
    <w:rsid w:val="00D113B6"/>
    <w:rsid w:val="00D121D9"/>
    <w:rsid w:val="00D12D9E"/>
    <w:rsid w:val="00D1371A"/>
    <w:rsid w:val="00D1615E"/>
    <w:rsid w:val="00D17EB1"/>
    <w:rsid w:val="00D22F2C"/>
    <w:rsid w:val="00D3125F"/>
    <w:rsid w:val="00D32101"/>
    <w:rsid w:val="00D54EB9"/>
    <w:rsid w:val="00D54F8B"/>
    <w:rsid w:val="00D55AD3"/>
    <w:rsid w:val="00D55BDA"/>
    <w:rsid w:val="00D55EAC"/>
    <w:rsid w:val="00D56420"/>
    <w:rsid w:val="00D57698"/>
    <w:rsid w:val="00D608E7"/>
    <w:rsid w:val="00D61B98"/>
    <w:rsid w:val="00D64DC2"/>
    <w:rsid w:val="00D66459"/>
    <w:rsid w:val="00D73053"/>
    <w:rsid w:val="00D746DF"/>
    <w:rsid w:val="00D81D61"/>
    <w:rsid w:val="00D8700B"/>
    <w:rsid w:val="00D905C7"/>
    <w:rsid w:val="00D95B7B"/>
    <w:rsid w:val="00D972D2"/>
    <w:rsid w:val="00D97425"/>
    <w:rsid w:val="00DA300D"/>
    <w:rsid w:val="00DA59DA"/>
    <w:rsid w:val="00DA7D00"/>
    <w:rsid w:val="00DB00CB"/>
    <w:rsid w:val="00DB3F89"/>
    <w:rsid w:val="00DC02EC"/>
    <w:rsid w:val="00DC2956"/>
    <w:rsid w:val="00DC32EB"/>
    <w:rsid w:val="00DC513F"/>
    <w:rsid w:val="00DD1475"/>
    <w:rsid w:val="00DD320B"/>
    <w:rsid w:val="00DD49DB"/>
    <w:rsid w:val="00DD6BE1"/>
    <w:rsid w:val="00DD788B"/>
    <w:rsid w:val="00DE060A"/>
    <w:rsid w:val="00DE64A4"/>
    <w:rsid w:val="00DE7AAC"/>
    <w:rsid w:val="00DF27D2"/>
    <w:rsid w:val="00DF3BF1"/>
    <w:rsid w:val="00DF6FF9"/>
    <w:rsid w:val="00E14A8C"/>
    <w:rsid w:val="00E15E61"/>
    <w:rsid w:val="00E162DA"/>
    <w:rsid w:val="00E174C7"/>
    <w:rsid w:val="00E240A7"/>
    <w:rsid w:val="00E30FA5"/>
    <w:rsid w:val="00E316AE"/>
    <w:rsid w:val="00E34D87"/>
    <w:rsid w:val="00E36A9B"/>
    <w:rsid w:val="00E42D2B"/>
    <w:rsid w:val="00E4520C"/>
    <w:rsid w:val="00E4780E"/>
    <w:rsid w:val="00E5174D"/>
    <w:rsid w:val="00E52772"/>
    <w:rsid w:val="00E52E61"/>
    <w:rsid w:val="00E53C83"/>
    <w:rsid w:val="00E56E3D"/>
    <w:rsid w:val="00E56F05"/>
    <w:rsid w:val="00E6160A"/>
    <w:rsid w:val="00E6279D"/>
    <w:rsid w:val="00E65846"/>
    <w:rsid w:val="00E65C5F"/>
    <w:rsid w:val="00E664F2"/>
    <w:rsid w:val="00E67357"/>
    <w:rsid w:val="00E87253"/>
    <w:rsid w:val="00E90FE7"/>
    <w:rsid w:val="00E91E80"/>
    <w:rsid w:val="00E95BF7"/>
    <w:rsid w:val="00EA3A93"/>
    <w:rsid w:val="00EA4200"/>
    <w:rsid w:val="00EA4C9F"/>
    <w:rsid w:val="00EB370C"/>
    <w:rsid w:val="00EB4C50"/>
    <w:rsid w:val="00EC20A1"/>
    <w:rsid w:val="00EC6326"/>
    <w:rsid w:val="00ED27B1"/>
    <w:rsid w:val="00ED34C6"/>
    <w:rsid w:val="00ED3764"/>
    <w:rsid w:val="00EE0E09"/>
    <w:rsid w:val="00EF32C3"/>
    <w:rsid w:val="00EF370C"/>
    <w:rsid w:val="00EF3C86"/>
    <w:rsid w:val="00F05666"/>
    <w:rsid w:val="00F139F0"/>
    <w:rsid w:val="00F13A20"/>
    <w:rsid w:val="00F206F5"/>
    <w:rsid w:val="00F20DB3"/>
    <w:rsid w:val="00F20DC8"/>
    <w:rsid w:val="00F250F4"/>
    <w:rsid w:val="00F25BD9"/>
    <w:rsid w:val="00F25CD0"/>
    <w:rsid w:val="00F25CDB"/>
    <w:rsid w:val="00F26ABC"/>
    <w:rsid w:val="00F2707A"/>
    <w:rsid w:val="00F34762"/>
    <w:rsid w:val="00F352EB"/>
    <w:rsid w:val="00F41F98"/>
    <w:rsid w:val="00F44578"/>
    <w:rsid w:val="00F57F42"/>
    <w:rsid w:val="00F57FB3"/>
    <w:rsid w:val="00F63674"/>
    <w:rsid w:val="00F65E09"/>
    <w:rsid w:val="00F71961"/>
    <w:rsid w:val="00F71E43"/>
    <w:rsid w:val="00F73B4A"/>
    <w:rsid w:val="00F73CE4"/>
    <w:rsid w:val="00F82E0B"/>
    <w:rsid w:val="00F83D32"/>
    <w:rsid w:val="00F96022"/>
    <w:rsid w:val="00F973EE"/>
    <w:rsid w:val="00FA48DD"/>
    <w:rsid w:val="00FA557E"/>
    <w:rsid w:val="00FA5A3F"/>
    <w:rsid w:val="00FA69CA"/>
    <w:rsid w:val="00FB25FD"/>
    <w:rsid w:val="00FB4388"/>
    <w:rsid w:val="00FC3FDF"/>
    <w:rsid w:val="00FC77C8"/>
    <w:rsid w:val="00FD04DD"/>
    <w:rsid w:val="00FD4651"/>
    <w:rsid w:val="00FD4C86"/>
    <w:rsid w:val="00FD6C04"/>
    <w:rsid w:val="00FD7E8F"/>
    <w:rsid w:val="00FE1D44"/>
    <w:rsid w:val="00FE227A"/>
    <w:rsid w:val="00FE2F48"/>
    <w:rsid w:val="00FE38F0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00CCCE-DB70-44FD-BD76-13FF0D74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CF"/>
    <w:pPr>
      <w:tabs>
        <w:tab w:val="left" w:pos="567"/>
      </w:tabs>
      <w:spacing w:line="260" w:lineRule="exact"/>
    </w:pPr>
    <w:rPr>
      <w:snapToGrid w:val="0"/>
      <w:sz w:val="22"/>
      <w:lang w:val="en-GB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uiPriority w:val="9"/>
    <w:rsid w:val="004A50CF"/>
    <w:rPr>
      <w:rFonts w:ascii="Calibri" w:eastAsia="SimSun" w:hAnsi="Calibri"/>
      <w:snapToGrid w:val="0"/>
      <w:sz w:val="24"/>
      <w:szCs w:val="24"/>
      <w:lang w:val="en-GB"/>
    </w:rPr>
  </w:style>
  <w:style w:type="character" w:customStyle="1" w:styleId="FooterChar">
    <w:name w:val="Footer Char"/>
    <w:uiPriority w:val="99"/>
    <w:rsid w:val="004A50CF"/>
    <w:rPr>
      <w:snapToGrid w:val="0"/>
      <w:sz w:val="22"/>
      <w:lang w:val="en-GB"/>
    </w:rPr>
  </w:style>
  <w:style w:type="character" w:styleId="PageNumber">
    <w:name w:val="page number"/>
    <w:uiPriority w:val="99"/>
    <w:rsid w:val="004A50CF"/>
    <w:rPr>
      <w:rFonts w:cs="Times New Roman"/>
    </w:rPr>
  </w:style>
  <w:style w:type="character" w:styleId="Hyperlink">
    <w:name w:val="Hyperlink"/>
    <w:uiPriority w:val="99"/>
    <w:rsid w:val="004A50CF"/>
    <w:rPr>
      <w:color w:val="0000FF"/>
      <w:u w:val="single"/>
    </w:rPr>
  </w:style>
  <w:style w:type="paragraph" w:customStyle="1" w:styleId="BodytextAgency">
    <w:name w:val="Body text (Agency)"/>
    <w:basedOn w:val="Normal"/>
    <w:rsid w:val="004A50CF"/>
    <w:pPr>
      <w:tabs>
        <w:tab w:val="clear" w:pos="567"/>
      </w:tabs>
      <w:spacing w:after="140" w:line="280" w:lineRule="atLeast"/>
    </w:pPr>
    <w:rPr>
      <w:rFonts w:ascii="Verdana" w:hAnsi="Verdana"/>
      <w:sz w:val="18"/>
    </w:rPr>
  </w:style>
  <w:style w:type="character" w:customStyle="1" w:styleId="tw4winMark">
    <w:name w:val="tw4winMark"/>
    <w:uiPriority w:val="99"/>
    <w:rsid w:val="004A50CF"/>
    <w:rPr>
      <w:rFonts w:ascii="Courier New" w:hAnsi="Courier New"/>
      <w:vanish/>
      <w:color w:val="800080"/>
      <w:sz w:val="24"/>
      <w:vertAlign w:val="subscript"/>
    </w:rPr>
  </w:style>
  <w:style w:type="paragraph" w:customStyle="1" w:styleId="NormalAgency">
    <w:name w:val="Normal (Agency)"/>
    <w:rsid w:val="004A50CF"/>
    <w:rPr>
      <w:rFonts w:ascii="Verdana" w:hAnsi="Verdana"/>
      <w:snapToGrid w:val="0"/>
      <w:sz w:val="18"/>
      <w:lang w:val="en-GB" w:eastAsia="zh-CN"/>
    </w:rPr>
  </w:style>
  <w:style w:type="paragraph" w:customStyle="1" w:styleId="TabletextrowsAgency">
    <w:name w:val="Table text rows (Agency)"/>
    <w:basedOn w:val="Normal"/>
    <w:rsid w:val="004A50CF"/>
    <w:pPr>
      <w:tabs>
        <w:tab w:val="clear" w:pos="567"/>
      </w:tabs>
      <w:spacing w:line="280" w:lineRule="exact"/>
    </w:pPr>
    <w:rPr>
      <w:rFonts w:ascii="Verdana" w:hAnsi="Verdana"/>
      <w:sz w:val="18"/>
    </w:rPr>
  </w:style>
  <w:style w:type="character" w:customStyle="1" w:styleId="st">
    <w:name w:val="st"/>
    <w:rsid w:val="004A50CF"/>
    <w:rPr>
      <w:rFonts w:cs="Times New Roman"/>
    </w:rPr>
  </w:style>
  <w:style w:type="character" w:styleId="Emphasis">
    <w:name w:val="Emphasis"/>
    <w:qFormat/>
    <w:rsid w:val="004A50CF"/>
    <w:rPr>
      <w:rFonts w:cs="Times New Roman"/>
      <w:i/>
      <w:iCs/>
    </w:rPr>
  </w:style>
  <w:style w:type="character" w:customStyle="1" w:styleId="tw4winError">
    <w:name w:val="tw4winError"/>
    <w:uiPriority w:val="99"/>
    <w:rsid w:val="004A50C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4A50CF"/>
    <w:rPr>
      <w:color w:val="0000FF"/>
    </w:rPr>
  </w:style>
  <w:style w:type="character" w:customStyle="1" w:styleId="tw4winPopup">
    <w:name w:val="tw4winPopup"/>
    <w:uiPriority w:val="99"/>
    <w:rsid w:val="004A50C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4A50C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4A50C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4A50C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4A50CF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rsid w:val="00017525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017525"/>
    <w:rPr>
      <w:rFonts w:ascii="Tahoma" w:hAnsi="Tahoma" w:cs="Tahoma"/>
      <w:snapToGrid w:val="0"/>
      <w:sz w:val="16"/>
      <w:szCs w:val="16"/>
      <w:lang w:val="en-GB"/>
    </w:rPr>
  </w:style>
  <w:style w:type="paragraph" w:styleId="Header">
    <w:name w:val="header"/>
    <w:basedOn w:val="Normal"/>
    <w:rsid w:val="00E36A9B"/>
    <w:pPr>
      <w:tabs>
        <w:tab w:val="clear" w:pos="567"/>
        <w:tab w:val="center" w:pos="4320"/>
        <w:tab w:val="right" w:pos="8640"/>
      </w:tabs>
    </w:pPr>
  </w:style>
  <w:style w:type="character" w:customStyle="1" w:styleId="CommentTextChar">
    <w:name w:val="Comment Text Char"/>
    <w:rsid w:val="00F34762"/>
    <w:rPr>
      <w:lang w:val="lv-LV" w:eastAsia="en-US"/>
    </w:rPr>
  </w:style>
  <w:style w:type="character" w:customStyle="1" w:styleId="CommentSubjectChar">
    <w:name w:val="Comment Subject Char"/>
    <w:rsid w:val="005C5BD3"/>
    <w:rPr>
      <w:b/>
      <w:bCs/>
      <w:snapToGrid w:val="0"/>
      <w:lang w:val="en-GB" w:eastAsia="zh-CN"/>
    </w:rPr>
  </w:style>
  <w:style w:type="paragraph" w:styleId="Revision">
    <w:name w:val="Revision"/>
    <w:hidden/>
    <w:uiPriority w:val="99"/>
    <w:semiHidden/>
    <w:rsid w:val="0098315C"/>
    <w:rPr>
      <w:snapToGrid w:val="0"/>
      <w:sz w:val="22"/>
      <w:lang w:val="en-GB" w:eastAsia="zh-CN"/>
    </w:rPr>
  </w:style>
  <w:style w:type="character" w:styleId="CommentReference">
    <w:name w:val="annotation reference"/>
    <w:semiHidden/>
    <w:unhideWhenUsed/>
    <w:rsid w:val="0061373B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sid w:val="0061373B"/>
    <w:rPr>
      <w:sz w:val="20"/>
    </w:rPr>
  </w:style>
  <w:style w:type="character" w:customStyle="1" w:styleId="CommentTextChar1">
    <w:name w:val="Comment Text Char1"/>
    <w:link w:val="CommentText"/>
    <w:semiHidden/>
    <w:rsid w:val="0061373B"/>
    <w:rPr>
      <w:snapToGrid w:val="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61373B"/>
    <w:rPr>
      <w:b/>
      <w:bCs/>
    </w:rPr>
  </w:style>
  <w:style w:type="character" w:customStyle="1" w:styleId="CommentSubjectChar1">
    <w:name w:val="Comment Subject Char1"/>
    <w:link w:val="CommentSubject"/>
    <w:semiHidden/>
    <w:rsid w:val="0061373B"/>
    <w:rPr>
      <w:b/>
      <w:bCs/>
      <w:snapToGrid w:val="0"/>
      <w:lang w:val="en-GB" w:eastAsia="zh-CN"/>
    </w:rPr>
  </w:style>
  <w:style w:type="paragraph" w:styleId="Footer">
    <w:name w:val="footer"/>
    <w:basedOn w:val="Normal"/>
    <w:rsid w:val="00F206F5"/>
    <w:pPr>
      <w:tabs>
        <w:tab w:val="clear" w:pos="567"/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va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4030</Words>
  <Characters>2298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QRD Human Product Information Template</vt:lpstr>
      <vt:lpstr>EMA-2012-0479-00-00-ENLV</vt:lpstr>
    </vt:vector>
  </TitlesOfParts>
  <Company>Translation Centre</Company>
  <LinksUpToDate>false</LinksUpToDate>
  <CharactersWithSpaces>6316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 Human Product Information Template</dc:title>
  <dc:subject/>
  <dc:creator>European Medicines Agency</dc:creator>
  <cp:keywords/>
  <cp:lastModifiedBy>Agnese Gudrupe</cp:lastModifiedBy>
  <cp:revision>2</cp:revision>
  <cp:lastPrinted>2013-03-12T10:37:00Z</cp:lastPrinted>
  <dcterms:created xsi:type="dcterms:W3CDTF">2016-09-08T13:04:00Z</dcterms:created>
  <dcterms:modified xsi:type="dcterms:W3CDTF">2016-09-08T13:04:00Z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>_x000d_</vt:lpwstr>
  </property>
  <property fmtid="{D5CDD505-2E9C-101B-9397-08002B2CF9AE}" pid="3" name="DM_Authors">
    <vt:lpwstr>_x000d_</vt:lpwstr>
  </property>
  <property fmtid="{D5CDD505-2E9C-101B-9397-08002B2CF9AE}" pid="4" name="DM_Keywords">
    <vt:lpwstr>_x000d_</vt:lpwstr>
  </property>
  <property fmtid="{D5CDD505-2E9C-101B-9397-08002B2CF9AE}" pid="5" name="DM_Subject">
    <vt:lpwstr>General-EMA/423415/2010</vt:lpwstr>
  </property>
  <property fmtid="{D5CDD505-2E9C-101B-9397-08002B2CF9AE}" pid="6" name="DM_Title">
    <vt:lpwstr>_x000d_</vt:lpwstr>
  </property>
  <property fmtid="{D5CDD505-2E9C-101B-9397-08002B2CF9AE}" pid="7" name="DM_Language">
    <vt:lpwstr>_x000d_</vt:lpwstr>
  </property>
  <property fmtid="{D5CDD505-2E9C-101B-9397-08002B2CF9AE}" pid="8" name="DM_Owner">
    <vt:lpwstr>Espinasse Claire</vt:lpwstr>
  </property>
  <property fmtid="{D5CDD505-2E9C-101B-9397-08002B2CF9AE}" pid="9" name="DM_emea_cc">
    <vt:lpwstr>_x000d_</vt:lpwstr>
  </property>
  <property fmtid="{D5CDD505-2E9C-101B-9397-08002B2CF9AE}" pid="10" name="DM_emea_message_subject">
    <vt:lpwstr>_x000d_</vt:lpwstr>
  </property>
  <property fmtid="{D5CDD505-2E9C-101B-9397-08002B2CF9AE}" pid="11" name="DM_emea_doc_number">
    <vt:lpwstr>423415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>_x000d_</vt:lpwstr>
  </property>
  <property fmtid="{D5CDD505-2E9C-101B-9397-08002B2CF9AE}" pid="14" name="DM_emea_revision_label">
    <vt:lpwstr>_x000d_</vt:lpwstr>
  </property>
  <property fmtid="{D5CDD505-2E9C-101B-9397-08002B2CF9AE}" pid="15" name="DM_emea_to">
    <vt:lpwstr>_x000d_</vt:lpwstr>
  </property>
  <property fmtid="{D5CDD505-2E9C-101B-9397-08002B2CF9AE}" pid="16" name="DM_emea_bcc">
    <vt:lpwstr>_x000d_</vt:lpwstr>
  </property>
  <property fmtid="{D5CDD505-2E9C-101B-9397-08002B2CF9AE}" pid="17" name="DM_emea_doc_category">
    <vt:lpwstr>General</vt:lpwstr>
  </property>
  <property fmtid="{D5CDD505-2E9C-101B-9397-08002B2CF9AE}" pid="18" name="DM_emea_from">
    <vt:lpwstr>_x000d_</vt:lpwstr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>_x000d_</vt:lpwstr>
  </property>
  <property fmtid="{D5CDD505-2E9C-101B-9397-08002B2CF9AE}" pid="24" name="DM_emea_meeting_status">
    <vt:lpwstr>_x000d_</vt:lpwstr>
  </property>
  <property fmtid="{D5CDD505-2E9C-101B-9397-08002B2CF9AE}" pid="25" name="DM_emea_meeting_action">
    <vt:lpwstr>_x000d_</vt:lpwstr>
  </property>
  <property fmtid="{D5CDD505-2E9C-101B-9397-08002B2CF9AE}" pid="26" name="DM_emea_meeting_hyperlink">
    <vt:lpwstr>_x000d_</vt:lpwstr>
  </property>
  <property fmtid="{D5CDD505-2E9C-101B-9397-08002B2CF9AE}" pid="27" name="DM_emea_meeting_title">
    <vt:lpwstr>_x000d_</vt:lpwstr>
  </property>
  <property fmtid="{D5CDD505-2E9C-101B-9397-08002B2CF9AE}" pid="28" name="DM_emea_meeting_ref">
    <vt:lpwstr>_x000d_</vt:lpwstr>
  </property>
  <property fmtid="{D5CDD505-2E9C-101B-9397-08002B2CF9AE}" pid="29" name="DM_emea_meeting_flags">
    <vt:lpwstr>_x000d_</vt:lpwstr>
  </property>
  <property fmtid="{D5CDD505-2E9C-101B-9397-08002B2CF9AE}" pid="30" name="DM_Version">
    <vt:lpwstr>CURRENT,3.0</vt:lpwstr>
  </property>
  <property fmtid="{D5CDD505-2E9C-101B-9397-08002B2CF9AE}" pid="31" name="DM_Name">
    <vt:lpwstr>Hqrdtemplatecleanlv</vt:lpwstr>
  </property>
  <property fmtid="{D5CDD505-2E9C-101B-9397-08002B2CF9AE}" pid="32" name="DM_Creation_Date">
    <vt:lpwstr>05/02/2016 11:12:02</vt:lpwstr>
  </property>
  <property fmtid="{D5CDD505-2E9C-101B-9397-08002B2CF9AE}" pid="33" name="DM_Modify_Date">
    <vt:lpwstr>05/02/2016 11:12:02</vt:lpwstr>
  </property>
  <property fmtid="{D5CDD505-2E9C-101B-9397-08002B2CF9AE}" pid="34" name="DM_Creator_Name">
    <vt:lpwstr>Guardado Susana</vt:lpwstr>
  </property>
  <property fmtid="{D5CDD505-2E9C-101B-9397-08002B2CF9AE}" pid="35" name="DM_Modifier_Name">
    <vt:lpwstr>Guardado Susana</vt:lpwstr>
  </property>
  <property fmtid="{D5CDD505-2E9C-101B-9397-08002B2CF9AE}" pid="36" name="DM_Type">
    <vt:lpwstr>emea_document</vt:lpwstr>
  </property>
  <property fmtid="{D5CDD505-2E9C-101B-9397-08002B2CF9AE}" pid="37" name="DM_DocRefId">
    <vt:lpwstr>EMA/87455/2016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Templates/07 H-qrd template v10 (falsified legislation)/Publication Feb 2016/Clean language templates</vt:lpwstr>
  </property>
  <property fmtid="{D5CDD505-2E9C-101B-9397-08002B2CF9AE}" pid="40" name="DM_emea_doc_ref_id">
    <vt:lpwstr>EMA/87455/2016</vt:lpwstr>
  </property>
  <property fmtid="{D5CDD505-2E9C-101B-9397-08002B2CF9AE}" pid="41" name="DM_Modifer_Name">
    <vt:lpwstr>Guardado Susana</vt:lpwstr>
  </property>
  <property fmtid="{D5CDD505-2E9C-101B-9397-08002B2CF9AE}" pid="42" name="DM_Modified_Date">
    <vt:lpwstr>05/02/2016 11:12:02</vt:lpwstr>
  </property>
</Properties>
</file>