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0241" w14:textId="77777777" w:rsidR="005E7230" w:rsidRPr="004D3E0B" w:rsidRDefault="005E7230" w:rsidP="005E7230">
      <w:pPr>
        <w:tabs>
          <w:tab w:val="left" w:pos="567"/>
        </w:tabs>
        <w:spacing w:line="260" w:lineRule="exact"/>
        <w:jc w:val="center"/>
        <w:rPr>
          <w:b/>
          <w:szCs w:val="20"/>
          <w:lang w:val="lv-LV"/>
        </w:rPr>
      </w:pPr>
      <w:r w:rsidRPr="004D3E0B">
        <w:rPr>
          <w:b/>
          <w:noProof/>
          <w:szCs w:val="20"/>
          <w:lang w:val="lv-LV"/>
        </w:rPr>
        <w:t>Lietošanas instrukcija: informācija lietotājam</w:t>
      </w:r>
    </w:p>
    <w:p w14:paraId="517A3E0C" w14:textId="77777777" w:rsidR="0023125A" w:rsidRPr="004D3E0B" w:rsidRDefault="0023125A" w:rsidP="0023125A">
      <w:pPr>
        <w:autoSpaceDE w:val="0"/>
        <w:autoSpaceDN w:val="0"/>
        <w:adjustRightInd w:val="0"/>
        <w:jc w:val="center"/>
        <w:rPr>
          <w:b/>
          <w:bCs/>
          <w:lang w:val="lv-LV"/>
        </w:rPr>
      </w:pPr>
    </w:p>
    <w:p w14:paraId="59AB224E" w14:textId="77777777" w:rsidR="0023125A" w:rsidRPr="000E0CB9" w:rsidRDefault="0023125A" w:rsidP="0023125A">
      <w:pPr>
        <w:pStyle w:val="Heading5"/>
        <w:jc w:val="center"/>
        <w:rPr>
          <w:rFonts w:ascii="Times New Roman" w:hAnsi="Times New Roman"/>
          <w:bCs/>
          <w:lang w:val="lv-LV"/>
        </w:rPr>
      </w:pPr>
      <w:r w:rsidRPr="000E0CB9">
        <w:rPr>
          <w:rFonts w:ascii="Times New Roman" w:hAnsi="Times New Roman"/>
          <w:lang w:val="lv-LV"/>
        </w:rPr>
        <w:t xml:space="preserve">Discus compositum </w:t>
      </w:r>
      <w:r w:rsidRPr="000E0CB9">
        <w:rPr>
          <w:rFonts w:ascii="Times New Roman" w:hAnsi="Times New Roman"/>
          <w:w w:val="104"/>
          <w:lang w:val="lv-LV"/>
        </w:rPr>
        <w:t>šķīdums injekcijām</w:t>
      </w:r>
    </w:p>
    <w:p w14:paraId="15500346" w14:textId="77777777" w:rsidR="0023125A" w:rsidRDefault="0023125A" w:rsidP="0023125A">
      <w:pPr>
        <w:pStyle w:val="Heading1"/>
        <w:rPr>
          <w:rFonts w:ascii="Times New Roman" w:hAnsi="Times New Roman"/>
          <w:b w:val="0"/>
          <w:caps w:val="0"/>
          <w:w w:val="104"/>
          <w:lang w:val="lv-LV"/>
        </w:rPr>
      </w:pPr>
      <w:r w:rsidRPr="00E05840">
        <w:rPr>
          <w:rFonts w:ascii="Times New Roman" w:hAnsi="Times New Roman"/>
          <w:b w:val="0"/>
          <w:caps w:val="0"/>
          <w:w w:val="104"/>
          <w:lang w:val="lv-LV"/>
        </w:rPr>
        <w:t xml:space="preserve">Šķīdums injekcijām </w:t>
      </w:r>
      <w:r w:rsidRPr="00E05840">
        <w:rPr>
          <w:rFonts w:ascii="Times New Roman" w:hAnsi="Times New Roman"/>
          <w:b w:val="0"/>
          <w:caps w:val="0"/>
          <w:noProof/>
          <w:lang w:val="lv-LV"/>
        </w:rPr>
        <w:t>intramuskulārai (</w:t>
      </w:r>
      <w:r w:rsidRPr="00E05840">
        <w:rPr>
          <w:rFonts w:ascii="Times New Roman" w:hAnsi="Times New Roman"/>
          <w:b w:val="0"/>
          <w:caps w:val="0"/>
          <w:w w:val="104"/>
          <w:lang w:val="lv-LV"/>
        </w:rPr>
        <w:t>i.m.), subkutānai (s.c.) vai intradermālai lietošanai.</w:t>
      </w:r>
    </w:p>
    <w:p w14:paraId="399A4E5A" w14:textId="77777777" w:rsidR="000E0CB9" w:rsidRPr="000E0CB9" w:rsidRDefault="000E0CB9" w:rsidP="00E05840">
      <w:pPr>
        <w:rPr>
          <w:lang w:val="lv-LV"/>
        </w:rPr>
      </w:pPr>
    </w:p>
    <w:p w14:paraId="6FBC95D4" w14:textId="77777777" w:rsidR="0023125A" w:rsidRPr="005274A4" w:rsidRDefault="0023125A" w:rsidP="0023125A">
      <w:pPr>
        <w:autoSpaceDE w:val="0"/>
        <w:autoSpaceDN w:val="0"/>
        <w:adjustRightInd w:val="0"/>
        <w:jc w:val="center"/>
        <w:rPr>
          <w:lang w:val="lv-LV"/>
        </w:rPr>
      </w:pPr>
      <w:r w:rsidRPr="005274A4">
        <w:rPr>
          <w:lang w:val="lv-LV"/>
        </w:rPr>
        <w:t>Homeopātiskas zāles</w:t>
      </w:r>
    </w:p>
    <w:p w14:paraId="30CCDCA1" w14:textId="77777777" w:rsidR="0023125A" w:rsidRPr="005274A4" w:rsidRDefault="0023125A" w:rsidP="0023125A">
      <w:pPr>
        <w:autoSpaceDE w:val="0"/>
        <w:autoSpaceDN w:val="0"/>
        <w:adjustRightInd w:val="0"/>
        <w:jc w:val="both"/>
        <w:rPr>
          <w:b/>
          <w:bCs/>
          <w:lang w:val="lv-LV"/>
        </w:rPr>
      </w:pPr>
    </w:p>
    <w:p w14:paraId="3E38D4A5" w14:textId="77777777" w:rsidR="000E0CB9" w:rsidRDefault="000E0CB9" w:rsidP="0023125A">
      <w:pPr>
        <w:ind w:left="567" w:hanging="567"/>
        <w:rPr>
          <w:b/>
          <w:noProof/>
          <w:lang w:val="lv-LV"/>
        </w:rPr>
      </w:pPr>
      <w:r w:rsidRPr="004D7D59">
        <w:rPr>
          <w:b/>
          <w:noProof/>
          <w:lang w:val="lv-LV"/>
        </w:rPr>
        <w:t>Pirms zāļu lietošanas uzmanīgi izlasiet visu instrukciju, jo tā satur Jums svarīgu informāciju.</w:t>
      </w:r>
    </w:p>
    <w:p w14:paraId="254294B6" w14:textId="77777777" w:rsidR="0023125A" w:rsidRPr="005274A4" w:rsidRDefault="0023125A" w:rsidP="0023125A">
      <w:pPr>
        <w:ind w:left="567" w:hanging="567"/>
        <w:rPr>
          <w:noProof/>
          <w:lang w:val="lv-LV"/>
        </w:rPr>
      </w:pPr>
      <w:r w:rsidRPr="005274A4">
        <w:rPr>
          <w:noProof/>
          <w:lang w:val="lv-LV"/>
        </w:rPr>
        <w:t>-</w:t>
      </w:r>
      <w:r w:rsidRPr="005274A4">
        <w:rPr>
          <w:noProof/>
          <w:lang w:val="lv-LV"/>
        </w:rPr>
        <w:tab/>
        <w:t>Saglabājiet šo instrukciju! Iespējams, ka vēlāk to vajadzēs pārlasīt.</w:t>
      </w:r>
    </w:p>
    <w:p w14:paraId="064FCAA2" w14:textId="77777777" w:rsidR="0023125A" w:rsidRPr="005274A4" w:rsidRDefault="0023125A" w:rsidP="0023125A">
      <w:pPr>
        <w:ind w:left="567" w:hanging="567"/>
        <w:rPr>
          <w:noProof/>
          <w:lang w:val="lv-LV"/>
        </w:rPr>
      </w:pPr>
      <w:r w:rsidRPr="005274A4">
        <w:rPr>
          <w:noProof/>
          <w:lang w:val="lv-LV"/>
        </w:rPr>
        <w:t>-</w:t>
      </w:r>
      <w:r w:rsidRPr="005274A4">
        <w:rPr>
          <w:noProof/>
          <w:lang w:val="lv-LV"/>
        </w:rPr>
        <w:tab/>
        <w:t>Ja Jums rodas jebkādi jautājumi, vaicājiet ārstam vai farmaceitam.</w:t>
      </w:r>
    </w:p>
    <w:p w14:paraId="3E1D6B63" w14:textId="77777777" w:rsidR="0023125A" w:rsidRPr="005274A4" w:rsidRDefault="0023125A" w:rsidP="0023125A">
      <w:pPr>
        <w:ind w:left="567" w:hanging="567"/>
        <w:rPr>
          <w:noProof/>
          <w:lang w:val="lv-LV"/>
        </w:rPr>
      </w:pPr>
      <w:r w:rsidRPr="005274A4">
        <w:rPr>
          <w:noProof/>
          <w:lang w:val="lv-LV"/>
        </w:rPr>
        <w:t>-</w:t>
      </w:r>
      <w:r w:rsidRPr="005274A4">
        <w:rPr>
          <w:noProof/>
          <w:lang w:val="lv-LV"/>
        </w:rPr>
        <w:tab/>
        <w:t xml:space="preserve">Šīs zāles ir parakstītas </w:t>
      </w:r>
      <w:r w:rsidR="000E0CB9">
        <w:rPr>
          <w:noProof/>
          <w:lang w:val="lv-LV"/>
        </w:rPr>
        <w:t xml:space="preserve">tikai </w:t>
      </w:r>
      <w:r w:rsidR="004D7D59">
        <w:rPr>
          <w:noProof/>
          <w:lang w:val="lv-LV"/>
        </w:rPr>
        <w:t xml:space="preserve">Jums. </w:t>
      </w:r>
      <w:r w:rsidRPr="005274A4">
        <w:rPr>
          <w:noProof/>
          <w:lang w:val="lv-LV"/>
        </w:rPr>
        <w:t xml:space="preserve">Nedodiet tās citiem. Tās var nodarīt ļaunumu pat tad, ja šiem cilvēkiem </w:t>
      </w:r>
      <w:r w:rsidR="000E0CB9" w:rsidRPr="004D7D59">
        <w:rPr>
          <w:noProof/>
          <w:lang w:val="lv-LV"/>
        </w:rPr>
        <w:t>ir līdzīgas slimības pazīmes</w:t>
      </w:r>
      <w:r w:rsidRPr="005274A4">
        <w:rPr>
          <w:noProof/>
          <w:lang w:val="lv-LV"/>
        </w:rPr>
        <w:t>.</w:t>
      </w:r>
    </w:p>
    <w:p w14:paraId="09AD9A32" w14:textId="77777777" w:rsidR="00FF31CF" w:rsidRPr="004D7D59" w:rsidRDefault="0023125A" w:rsidP="00FF31CF">
      <w:pPr>
        <w:ind w:left="567" w:hanging="567"/>
        <w:rPr>
          <w:noProof/>
          <w:lang w:val="lv-LV"/>
        </w:rPr>
      </w:pPr>
      <w:r w:rsidRPr="005274A4">
        <w:rPr>
          <w:noProof/>
          <w:lang w:val="lv-LV"/>
        </w:rPr>
        <w:t>-</w:t>
      </w:r>
      <w:r w:rsidRPr="005274A4">
        <w:rPr>
          <w:noProof/>
          <w:lang w:val="lv-LV"/>
        </w:rPr>
        <w:tab/>
      </w:r>
      <w:r w:rsidR="00FF31CF" w:rsidRPr="004D7D59">
        <w:rPr>
          <w:noProof/>
          <w:lang w:val="lv-LV"/>
        </w:rPr>
        <w:t>Ja Jums rodas jebkādas blakusparādības, konsultējieties ar ārstu vai farmaceitu. Tas attiecas arī uz iespējamām blakusparādībām, kas nav minētas šajā instrukcijā. Skatīt 4. punktu.</w:t>
      </w:r>
    </w:p>
    <w:p w14:paraId="640132D9" w14:textId="77777777" w:rsidR="0023125A" w:rsidRPr="005274A4" w:rsidRDefault="0023125A" w:rsidP="0023125A">
      <w:pPr>
        <w:ind w:left="567" w:hanging="567"/>
        <w:rPr>
          <w:noProof/>
          <w:lang w:val="lv-LV"/>
        </w:rPr>
      </w:pPr>
    </w:p>
    <w:p w14:paraId="1D08A200" w14:textId="77777777" w:rsidR="0023125A" w:rsidRPr="005274A4" w:rsidRDefault="0023125A" w:rsidP="0023125A">
      <w:pPr>
        <w:rPr>
          <w:noProof/>
          <w:lang w:val="lv-LV"/>
        </w:rPr>
      </w:pPr>
    </w:p>
    <w:p w14:paraId="6F3B9471" w14:textId="77777777" w:rsidR="0023125A" w:rsidRPr="00FF31CF" w:rsidRDefault="0023125A" w:rsidP="0023125A">
      <w:pPr>
        <w:numPr>
          <w:ilvl w:val="12"/>
          <w:numId w:val="0"/>
        </w:numPr>
        <w:ind w:left="567" w:hanging="567"/>
        <w:rPr>
          <w:noProof/>
          <w:lang w:val="lv-LV"/>
        </w:rPr>
      </w:pPr>
      <w:r w:rsidRPr="004D7D59">
        <w:rPr>
          <w:b/>
          <w:noProof/>
          <w:lang w:val="lv-LV"/>
        </w:rPr>
        <w:t>Šajā instrukcijā varat uzzināt</w:t>
      </w:r>
      <w:r w:rsidRPr="00FF31CF">
        <w:rPr>
          <w:noProof/>
          <w:lang w:val="lv-LV"/>
        </w:rPr>
        <w:t xml:space="preserve">: </w:t>
      </w:r>
    </w:p>
    <w:p w14:paraId="5BBAA6F7" w14:textId="77777777" w:rsidR="0023125A" w:rsidRPr="004D7D59" w:rsidRDefault="0023125A" w:rsidP="0023125A">
      <w:pPr>
        <w:pStyle w:val="Heading5"/>
        <w:rPr>
          <w:rFonts w:ascii="Times New Roman" w:hAnsi="Times New Roman"/>
          <w:b w:val="0"/>
          <w:bCs/>
          <w:lang w:val="lv-LV"/>
        </w:rPr>
      </w:pPr>
      <w:r w:rsidRPr="004D7D59">
        <w:rPr>
          <w:rFonts w:ascii="Times New Roman" w:hAnsi="Times New Roman"/>
          <w:b w:val="0"/>
          <w:noProof/>
          <w:lang w:val="lv-LV"/>
        </w:rPr>
        <w:t xml:space="preserve">1.      Kas ir </w:t>
      </w:r>
      <w:r w:rsidRPr="004D7D59">
        <w:rPr>
          <w:rFonts w:ascii="Times New Roman" w:hAnsi="Times New Roman"/>
          <w:b w:val="0"/>
          <w:lang w:val="lv-LV"/>
        </w:rPr>
        <w:t>Discus compositum</w:t>
      </w:r>
      <w:r w:rsidRPr="004D7D59">
        <w:rPr>
          <w:rFonts w:ascii="Times New Roman" w:hAnsi="Times New Roman"/>
          <w:b w:val="0"/>
          <w:noProof/>
          <w:lang w:val="lv-LV"/>
        </w:rPr>
        <w:t xml:space="preserve"> un kādam nolūkam to lieto</w:t>
      </w:r>
    </w:p>
    <w:p w14:paraId="22A42B92" w14:textId="77777777" w:rsidR="0023125A" w:rsidRPr="005274A4" w:rsidRDefault="0023125A" w:rsidP="0023125A">
      <w:pPr>
        <w:ind w:left="567" w:hanging="567"/>
        <w:rPr>
          <w:noProof/>
          <w:lang w:val="lv-LV"/>
        </w:rPr>
      </w:pPr>
      <w:r w:rsidRPr="005274A4">
        <w:rPr>
          <w:noProof/>
          <w:lang w:val="lv-LV"/>
        </w:rPr>
        <w:t>2.</w:t>
      </w:r>
      <w:r w:rsidRPr="005274A4">
        <w:rPr>
          <w:noProof/>
          <w:lang w:val="lv-LV"/>
        </w:rPr>
        <w:tab/>
      </w:r>
      <w:r w:rsidR="00FF31CF">
        <w:rPr>
          <w:noProof/>
          <w:lang w:val="lv-LV"/>
        </w:rPr>
        <w:t>Kas Jums jāzina p</w:t>
      </w:r>
      <w:r w:rsidRPr="005274A4">
        <w:rPr>
          <w:noProof/>
          <w:lang w:val="lv-LV"/>
        </w:rPr>
        <w:t xml:space="preserve">irms </w:t>
      </w:r>
      <w:r w:rsidRPr="005274A4">
        <w:rPr>
          <w:lang w:val="lv-LV"/>
        </w:rPr>
        <w:t>Discus compositum</w:t>
      </w:r>
      <w:r w:rsidRPr="005274A4">
        <w:rPr>
          <w:noProof/>
          <w:lang w:val="lv-LV"/>
        </w:rPr>
        <w:t xml:space="preserve"> lietošanas</w:t>
      </w:r>
    </w:p>
    <w:p w14:paraId="0F2851B7" w14:textId="77777777" w:rsidR="0023125A" w:rsidRPr="005274A4" w:rsidRDefault="0023125A" w:rsidP="0023125A">
      <w:pPr>
        <w:ind w:left="567" w:hanging="567"/>
        <w:rPr>
          <w:noProof/>
          <w:lang w:val="lv-LV"/>
        </w:rPr>
      </w:pPr>
      <w:r w:rsidRPr="005274A4">
        <w:rPr>
          <w:noProof/>
          <w:lang w:val="lv-LV"/>
        </w:rPr>
        <w:t>3.</w:t>
      </w:r>
      <w:r w:rsidRPr="005274A4">
        <w:rPr>
          <w:noProof/>
          <w:lang w:val="lv-LV"/>
        </w:rPr>
        <w:tab/>
        <w:t xml:space="preserve">Kā lietot </w:t>
      </w:r>
      <w:r w:rsidRPr="005274A4">
        <w:rPr>
          <w:lang w:val="lv-LV"/>
        </w:rPr>
        <w:t>Discus compositum</w:t>
      </w:r>
      <w:r w:rsidRPr="005274A4">
        <w:rPr>
          <w:noProof/>
          <w:lang w:val="lv-LV"/>
        </w:rPr>
        <w:t xml:space="preserve"> </w:t>
      </w:r>
    </w:p>
    <w:p w14:paraId="18D38C82" w14:textId="77777777" w:rsidR="0023125A" w:rsidRPr="005274A4" w:rsidRDefault="0023125A" w:rsidP="0023125A">
      <w:pPr>
        <w:ind w:left="567" w:hanging="567"/>
        <w:rPr>
          <w:noProof/>
          <w:lang w:val="lv-LV"/>
        </w:rPr>
      </w:pPr>
      <w:r w:rsidRPr="005274A4">
        <w:rPr>
          <w:noProof/>
          <w:lang w:val="lv-LV"/>
        </w:rPr>
        <w:t>4.</w:t>
      </w:r>
      <w:r w:rsidRPr="005274A4">
        <w:rPr>
          <w:noProof/>
          <w:lang w:val="lv-LV"/>
        </w:rPr>
        <w:tab/>
        <w:t>Iespējamās blakusparādības</w:t>
      </w:r>
    </w:p>
    <w:p w14:paraId="06C22575" w14:textId="77777777" w:rsidR="0023125A" w:rsidRPr="005274A4" w:rsidRDefault="0023125A" w:rsidP="0023125A">
      <w:pPr>
        <w:ind w:left="567" w:hanging="567"/>
        <w:rPr>
          <w:noProof/>
          <w:lang w:val="lv-LV"/>
        </w:rPr>
      </w:pPr>
      <w:r w:rsidRPr="005274A4">
        <w:rPr>
          <w:noProof/>
          <w:lang w:val="lv-LV"/>
        </w:rPr>
        <w:t>5</w:t>
      </w:r>
      <w:r w:rsidRPr="005274A4">
        <w:rPr>
          <w:noProof/>
          <w:lang w:val="lv-LV"/>
        </w:rPr>
        <w:tab/>
        <w:t>Kā uzglabāt</w:t>
      </w:r>
      <w:r w:rsidRPr="005274A4">
        <w:rPr>
          <w:lang w:val="lv-LV"/>
        </w:rPr>
        <w:t xml:space="preserve"> Discus</w:t>
      </w:r>
      <w:r w:rsidRPr="005274A4">
        <w:rPr>
          <w:noProof/>
          <w:lang w:val="lv-LV"/>
        </w:rPr>
        <w:t xml:space="preserve"> </w:t>
      </w:r>
      <w:r w:rsidRPr="005274A4">
        <w:rPr>
          <w:lang w:val="lv-LV"/>
        </w:rPr>
        <w:t>compositum</w:t>
      </w:r>
      <w:r w:rsidRPr="005274A4">
        <w:rPr>
          <w:noProof/>
          <w:lang w:val="lv-LV"/>
        </w:rPr>
        <w:t xml:space="preserve"> </w:t>
      </w:r>
    </w:p>
    <w:p w14:paraId="61239EE4" w14:textId="77777777" w:rsidR="0023125A" w:rsidRPr="005274A4" w:rsidRDefault="0023125A" w:rsidP="0023125A">
      <w:pPr>
        <w:ind w:left="567" w:hanging="567"/>
        <w:rPr>
          <w:noProof/>
          <w:lang w:val="lv-LV"/>
        </w:rPr>
      </w:pPr>
      <w:r w:rsidRPr="005274A4">
        <w:rPr>
          <w:noProof/>
          <w:lang w:val="lv-LV"/>
        </w:rPr>
        <w:t>6.</w:t>
      </w:r>
      <w:r w:rsidRPr="005274A4">
        <w:rPr>
          <w:noProof/>
          <w:lang w:val="lv-LV"/>
        </w:rPr>
        <w:tab/>
      </w:r>
      <w:r w:rsidR="00FF31CF">
        <w:rPr>
          <w:noProof/>
          <w:lang w:val="lv-LV"/>
        </w:rPr>
        <w:t>Iepakojuma saturs un cita informācija</w:t>
      </w:r>
    </w:p>
    <w:p w14:paraId="2E93832C" w14:textId="77777777" w:rsidR="0023125A" w:rsidRDefault="0023125A" w:rsidP="0023125A">
      <w:pPr>
        <w:ind w:left="567" w:hanging="567"/>
        <w:rPr>
          <w:b/>
          <w:noProof/>
          <w:lang w:val="lv-LV"/>
        </w:rPr>
      </w:pPr>
    </w:p>
    <w:p w14:paraId="6C1BE980" w14:textId="77777777" w:rsidR="004D7D59" w:rsidRPr="005274A4" w:rsidRDefault="004D7D59" w:rsidP="0023125A">
      <w:pPr>
        <w:ind w:left="567" w:hanging="567"/>
        <w:rPr>
          <w:b/>
          <w:noProof/>
          <w:lang w:val="lv-LV"/>
        </w:rPr>
      </w:pPr>
    </w:p>
    <w:p w14:paraId="05D9CE63" w14:textId="77777777" w:rsidR="0023125A" w:rsidRPr="004D7D59" w:rsidRDefault="004D7D59" w:rsidP="004D7D59">
      <w:pPr>
        <w:widowControl w:val="0"/>
        <w:tabs>
          <w:tab w:val="left" w:pos="577"/>
        </w:tabs>
        <w:spacing w:after="240" w:line="274" w:lineRule="exact"/>
        <w:ind w:left="20" w:right="220"/>
        <w:rPr>
          <w:b/>
          <w:bCs/>
          <w:color w:val="000000"/>
          <w:lang w:val="lv" w:eastAsia="ja-JP"/>
        </w:rPr>
      </w:pPr>
      <w:r w:rsidRPr="00F62117">
        <w:rPr>
          <w:b/>
          <w:noProof/>
          <w:lang w:val="lv"/>
        </w:rPr>
        <w:t>1.</w:t>
      </w:r>
      <w:r w:rsidRPr="00F62117">
        <w:rPr>
          <w:b/>
          <w:noProof/>
          <w:lang w:val="lv"/>
        </w:rPr>
        <w:tab/>
      </w:r>
      <w:r w:rsidRPr="004D3E0B">
        <w:rPr>
          <w:b/>
          <w:noProof/>
          <w:lang w:val="lv-LV"/>
        </w:rPr>
        <w:t xml:space="preserve">Kas ir </w:t>
      </w:r>
      <w:r>
        <w:rPr>
          <w:b/>
          <w:iCs/>
          <w:color w:val="000000"/>
          <w:lang w:val="lv" w:eastAsia="ja-JP"/>
        </w:rPr>
        <w:t>Discus c</w:t>
      </w:r>
      <w:r w:rsidRPr="00F62117">
        <w:rPr>
          <w:b/>
          <w:iCs/>
          <w:color w:val="000000"/>
          <w:lang w:val="lv" w:eastAsia="ja-JP"/>
        </w:rPr>
        <w:t xml:space="preserve">ompositum </w:t>
      </w:r>
      <w:r w:rsidRPr="004D3E0B">
        <w:rPr>
          <w:b/>
          <w:noProof/>
          <w:lang w:val="lv-LV"/>
        </w:rPr>
        <w:t xml:space="preserve">un kādam nolūkam tos lieto </w:t>
      </w:r>
    </w:p>
    <w:p w14:paraId="0FCF5B3F" w14:textId="77777777" w:rsidR="0023125A" w:rsidRPr="005274A4" w:rsidRDefault="0023125A" w:rsidP="0023125A">
      <w:pPr>
        <w:autoSpaceDE w:val="0"/>
        <w:autoSpaceDN w:val="0"/>
        <w:adjustRightInd w:val="0"/>
        <w:rPr>
          <w:lang w:val="lv-LV"/>
        </w:rPr>
      </w:pPr>
      <w:r w:rsidRPr="005274A4">
        <w:rPr>
          <w:lang w:val="lv-LV"/>
        </w:rPr>
        <w:t>Discus compositum</w:t>
      </w:r>
      <w:r w:rsidRPr="005274A4">
        <w:rPr>
          <w:noProof/>
          <w:lang w:val="lv-LV"/>
        </w:rPr>
        <w:t xml:space="preserve"> </w:t>
      </w:r>
      <w:r w:rsidRPr="005274A4">
        <w:rPr>
          <w:w w:val="104"/>
          <w:lang w:val="lv-LV"/>
        </w:rPr>
        <w:t>ir homeopātiskas zāles, ko lieto, lai stimulētu endogēnās</w:t>
      </w:r>
      <w:r w:rsidRPr="005274A4">
        <w:rPr>
          <w:b/>
          <w:w w:val="104"/>
          <w:lang w:val="lv-LV"/>
        </w:rPr>
        <w:t xml:space="preserve"> </w:t>
      </w:r>
      <w:r w:rsidRPr="005274A4">
        <w:rPr>
          <w:lang w:val="lv-LV"/>
        </w:rPr>
        <w:t>aizsardzības reakcijas un iedarbotos uz homotoksisko zonu osteohondrozes, locītavu slimību (hroniska artrīta un artrozes) gadījumā, it īpaši mugurkaula apvidus neiralģisku/ reimatisku slimību gadījumā.</w:t>
      </w:r>
    </w:p>
    <w:p w14:paraId="20EC4AF8" w14:textId="77777777" w:rsidR="0023125A" w:rsidRDefault="0023125A" w:rsidP="0023125A">
      <w:pPr>
        <w:autoSpaceDE w:val="0"/>
        <w:autoSpaceDN w:val="0"/>
        <w:adjustRightInd w:val="0"/>
        <w:rPr>
          <w:lang w:val="lv-LV"/>
        </w:rPr>
      </w:pPr>
    </w:p>
    <w:p w14:paraId="2404BFB9" w14:textId="77777777" w:rsidR="004D7D59" w:rsidRPr="005274A4" w:rsidRDefault="004D7D59" w:rsidP="0023125A">
      <w:pPr>
        <w:autoSpaceDE w:val="0"/>
        <w:autoSpaceDN w:val="0"/>
        <w:adjustRightInd w:val="0"/>
        <w:rPr>
          <w:lang w:val="lv-LV"/>
        </w:rPr>
      </w:pPr>
    </w:p>
    <w:p w14:paraId="653BD573" w14:textId="77777777" w:rsidR="0023125A" w:rsidRPr="005274A4" w:rsidRDefault="0023125A" w:rsidP="0023125A">
      <w:pPr>
        <w:numPr>
          <w:ilvl w:val="12"/>
          <w:numId w:val="0"/>
        </w:numPr>
        <w:ind w:left="567" w:hanging="567"/>
        <w:rPr>
          <w:noProof/>
          <w:lang w:val="lv-LV"/>
        </w:rPr>
      </w:pPr>
      <w:r w:rsidRPr="005274A4">
        <w:rPr>
          <w:b/>
          <w:noProof/>
          <w:lang w:val="lv-LV"/>
        </w:rPr>
        <w:t>2.</w:t>
      </w:r>
      <w:r w:rsidRPr="005274A4">
        <w:rPr>
          <w:b/>
          <w:noProof/>
          <w:lang w:val="lv-LV"/>
        </w:rPr>
        <w:tab/>
      </w:r>
      <w:r w:rsidR="00FF31CF">
        <w:rPr>
          <w:b/>
          <w:noProof/>
          <w:lang w:val="lv-LV"/>
        </w:rPr>
        <w:t>Kas Jums jāzina pirms Discus compositum lietošanas</w:t>
      </w:r>
    </w:p>
    <w:p w14:paraId="4378944A" w14:textId="77777777" w:rsidR="00E65847" w:rsidRDefault="00E65847" w:rsidP="0023125A">
      <w:pPr>
        <w:numPr>
          <w:ilvl w:val="12"/>
          <w:numId w:val="0"/>
        </w:numPr>
        <w:ind w:left="567" w:hanging="567"/>
        <w:rPr>
          <w:b/>
          <w:noProof/>
          <w:lang w:val="lv-LV"/>
        </w:rPr>
      </w:pPr>
    </w:p>
    <w:p w14:paraId="03DDA9DC" w14:textId="77777777" w:rsidR="0023125A" w:rsidRPr="005274A4" w:rsidRDefault="0023125A" w:rsidP="0023125A">
      <w:pPr>
        <w:numPr>
          <w:ilvl w:val="12"/>
          <w:numId w:val="0"/>
        </w:numPr>
        <w:ind w:left="567" w:hanging="567"/>
        <w:rPr>
          <w:b/>
          <w:noProof/>
          <w:lang w:val="lv-LV"/>
        </w:rPr>
      </w:pPr>
      <w:r w:rsidRPr="005274A4">
        <w:rPr>
          <w:b/>
          <w:noProof/>
          <w:lang w:val="lv-LV"/>
        </w:rPr>
        <w:t xml:space="preserve">Nelietojiet </w:t>
      </w:r>
      <w:r w:rsidRPr="005274A4">
        <w:rPr>
          <w:b/>
          <w:lang w:val="lv-LV"/>
        </w:rPr>
        <w:t>Discus compositum</w:t>
      </w:r>
      <w:r w:rsidR="00FF31CF">
        <w:rPr>
          <w:b/>
          <w:lang w:val="lv-LV"/>
        </w:rPr>
        <w:t xml:space="preserve"> šādos gadījumos</w:t>
      </w:r>
      <w:r w:rsidRPr="005274A4">
        <w:rPr>
          <w:b/>
          <w:lang w:val="lv-LV"/>
        </w:rPr>
        <w:t>:</w:t>
      </w:r>
    </w:p>
    <w:p w14:paraId="69CA21A1" w14:textId="77777777" w:rsidR="00FF31CF" w:rsidRPr="00E65847" w:rsidRDefault="00E61162" w:rsidP="00E65847">
      <w:pPr>
        <w:pStyle w:val="ListParagraph"/>
        <w:numPr>
          <w:ilvl w:val="0"/>
          <w:numId w:val="2"/>
        </w:numPr>
        <w:rPr>
          <w:noProof/>
          <w:lang w:val="lv-LV"/>
        </w:rPr>
      </w:pPr>
      <w:r>
        <w:rPr>
          <w:noProof/>
          <w:lang w:val="lv-LV"/>
        </w:rPr>
        <w:t>j</w:t>
      </w:r>
      <w:r w:rsidR="00FF31CF" w:rsidRPr="00E65847">
        <w:rPr>
          <w:noProof/>
          <w:lang w:val="lv-LV"/>
        </w:rPr>
        <w:t>a Jums ir alerģija pret aktīv</w:t>
      </w:r>
      <w:r w:rsidR="00794193" w:rsidRPr="00E65847">
        <w:rPr>
          <w:noProof/>
          <w:lang w:val="lv-LV"/>
        </w:rPr>
        <w:t>a</w:t>
      </w:r>
      <w:r w:rsidR="00FF31CF" w:rsidRPr="00E65847">
        <w:rPr>
          <w:noProof/>
          <w:lang w:val="lv-LV"/>
        </w:rPr>
        <w:t>jām viel</w:t>
      </w:r>
      <w:r w:rsidR="00794193" w:rsidRPr="00E65847">
        <w:rPr>
          <w:noProof/>
          <w:lang w:val="lv-LV"/>
        </w:rPr>
        <w:t>ā</w:t>
      </w:r>
      <w:r w:rsidR="00FF31CF" w:rsidRPr="00E65847">
        <w:rPr>
          <w:noProof/>
          <w:lang w:val="lv-LV"/>
        </w:rPr>
        <w:t>m vai kādu citu (6. punktā minēto) šo zāļu sastāvdaļu.</w:t>
      </w:r>
    </w:p>
    <w:p w14:paraId="0A790CFC" w14:textId="77777777" w:rsidR="0023125A" w:rsidRPr="00E65847" w:rsidRDefault="00FF31CF" w:rsidP="00E65847">
      <w:pPr>
        <w:pStyle w:val="ListParagraph"/>
        <w:numPr>
          <w:ilvl w:val="0"/>
          <w:numId w:val="2"/>
        </w:numPr>
        <w:rPr>
          <w:noProof/>
          <w:lang w:val="lv-LV"/>
        </w:rPr>
      </w:pPr>
      <w:r w:rsidRPr="00E65847">
        <w:rPr>
          <w:noProof/>
          <w:lang w:val="lv-LV"/>
        </w:rPr>
        <w:t>b</w:t>
      </w:r>
      <w:r w:rsidR="0023125A" w:rsidRPr="00E65847">
        <w:rPr>
          <w:noProof/>
          <w:lang w:val="lv-LV"/>
        </w:rPr>
        <w:t>ērniem līdz 12 gadu vecumam.</w:t>
      </w:r>
    </w:p>
    <w:p w14:paraId="60F3DDD0" w14:textId="77777777" w:rsidR="0023125A" w:rsidRPr="005274A4" w:rsidRDefault="0023125A" w:rsidP="00E61162">
      <w:pPr>
        <w:rPr>
          <w:noProof/>
          <w:lang w:val="lv-LV"/>
        </w:rPr>
      </w:pPr>
    </w:p>
    <w:p w14:paraId="502DFA8B" w14:textId="77777777" w:rsidR="0092140E" w:rsidRPr="005D419C" w:rsidRDefault="0092140E" w:rsidP="0092140E">
      <w:pPr>
        <w:numPr>
          <w:ilvl w:val="12"/>
          <w:numId w:val="0"/>
        </w:numPr>
        <w:ind w:left="567" w:hanging="567"/>
        <w:rPr>
          <w:b/>
          <w:noProof/>
          <w:lang w:val="lv-LV"/>
        </w:rPr>
      </w:pPr>
      <w:r w:rsidRPr="005D419C">
        <w:rPr>
          <w:b/>
          <w:noProof/>
          <w:lang w:val="lv-LV"/>
        </w:rPr>
        <w:t>Brīdinājumi un piesardzība lietošanā</w:t>
      </w:r>
    </w:p>
    <w:p w14:paraId="21794759" w14:textId="7CB069AA" w:rsidR="0092140E" w:rsidRPr="0070043A" w:rsidRDefault="0092140E" w:rsidP="005C70A3">
      <w:pPr>
        <w:numPr>
          <w:ilvl w:val="12"/>
          <w:numId w:val="0"/>
        </w:numPr>
        <w:ind w:left="567" w:hanging="567"/>
        <w:rPr>
          <w:noProof/>
          <w:lang w:val="lv-LV"/>
        </w:rPr>
      </w:pPr>
      <w:r w:rsidRPr="00AB6ED1">
        <w:rPr>
          <w:noProof/>
          <w:lang w:val="lv-LV"/>
        </w:rPr>
        <w:t xml:space="preserve">Pirms </w:t>
      </w:r>
      <w:r w:rsidRPr="005274A4">
        <w:rPr>
          <w:lang w:val="lv-LV"/>
        </w:rPr>
        <w:t>Discus compositum</w:t>
      </w:r>
      <w:r w:rsidRPr="005274A4">
        <w:rPr>
          <w:noProof/>
          <w:lang w:val="lv-LV"/>
        </w:rPr>
        <w:t xml:space="preserve"> </w:t>
      </w:r>
      <w:r w:rsidRPr="00AB6ED1">
        <w:rPr>
          <w:noProof/>
          <w:lang w:val="lv-LV"/>
        </w:rPr>
        <w:t>lietošanas konsultējieties ar ārstu vai</w:t>
      </w:r>
      <w:r>
        <w:rPr>
          <w:noProof/>
          <w:lang w:val="lv-LV"/>
        </w:rPr>
        <w:t xml:space="preserve"> </w:t>
      </w:r>
      <w:r w:rsidRPr="00AB6ED1">
        <w:rPr>
          <w:noProof/>
          <w:lang w:val="lv-LV"/>
        </w:rPr>
        <w:t>farmaceitu</w:t>
      </w:r>
      <w:r>
        <w:rPr>
          <w:noProof/>
          <w:lang w:val="lv-LV"/>
        </w:rPr>
        <w:t>.</w:t>
      </w:r>
    </w:p>
    <w:p w14:paraId="44B2E6DE" w14:textId="77777777" w:rsidR="0092140E" w:rsidRDefault="0092140E" w:rsidP="0092140E">
      <w:pPr>
        <w:autoSpaceDE w:val="0"/>
        <w:autoSpaceDN w:val="0"/>
        <w:adjustRightInd w:val="0"/>
        <w:jc w:val="both"/>
        <w:rPr>
          <w:lang w:val="lv-LV"/>
        </w:rPr>
      </w:pPr>
      <w:r w:rsidRPr="00915519">
        <w:rPr>
          <w:lang w:val="lv-LV"/>
        </w:rPr>
        <w:t xml:space="preserve">Ja simptomi saglabājas vai pasliktinās, </w:t>
      </w:r>
      <w:r>
        <w:rPr>
          <w:lang w:val="lv-LV"/>
        </w:rPr>
        <w:t>J</w:t>
      </w:r>
      <w:r w:rsidRPr="00915519">
        <w:rPr>
          <w:lang w:val="lv-LV"/>
        </w:rPr>
        <w:t>ums jākonsultējas ar ārstu vai veselības aprūpes speciālistu.</w:t>
      </w:r>
    </w:p>
    <w:p w14:paraId="0810BA60" w14:textId="77777777" w:rsidR="0092140E" w:rsidRDefault="0092140E" w:rsidP="0023125A">
      <w:pPr>
        <w:numPr>
          <w:ilvl w:val="12"/>
          <w:numId w:val="0"/>
        </w:numPr>
        <w:ind w:left="567" w:hanging="567"/>
        <w:rPr>
          <w:b/>
          <w:noProof/>
          <w:lang w:val="lv-LV"/>
        </w:rPr>
      </w:pPr>
    </w:p>
    <w:p w14:paraId="06914C3C" w14:textId="4B43EE10" w:rsidR="0023125A" w:rsidRPr="005274A4" w:rsidRDefault="00FF31CF" w:rsidP="0023125A">
      <w:pPr>
        <w:numPr>
          <w:ilvl w:val="12"/>
          <w:numId w:val="0"/>
        </w:numPr>
        <w:ind w:left="567" w:hanging="567"/>
        <w:rPr>
          <w:b/>
          <w:noProof/>
          <w:lang w:val="lv-LV"/>
        </w:rPr>
      </w:pPr>
      <w:r>
        <w:rPr>
          <w:b/>
          <w:noProof/>
          <w:lang w:val="lv-LV"/>
        </w:rPr>
        <w:t>Citas zāles un Discus compositum</w:t>
      </w:r>
      <w:r w:rsidR="0023125A" w:rsidRPr="005274A4">
        <w:rPr>
          <w:b/>
          <w:noProof/>
          <w:lang w:val="lv-LV"/>
        </w:rPr>
        <w:t>:</w:t>
      </w:r>
    </w:p>
    <w:p w14:paraId="0F263AD8" w14:textId="77777777" w:rsidR="00D150F7" w:rsidRDefault="0023125A" w:rsidP="00D150F7">
      <w:pPr>
        <w:numPr>
          <w:ilvl w:val="12"/>
          <w:numId w:val="0"/>
        </w:numPr>
        <w:ind w:left="567" w:hanging="567"/>
        <w:rPr>
          <w:bCs/>
          <w:noProof/>
          <w:lang w:val="lv-LV"/>
        </w:rPr>
      </w:pPr>
      <w:r w:rsidRPr="005274A4">
        <w:rPr>
          <w:bCs/>
          <w:noProof/>
          <w:lang w:val="lv-LV"/>
        </w:rPr>
        <w:t>Mijiedarbība ar citām zālēm nav novērota.</w:t>
      </w:r>
    </w:p>
    <w:p w14:paraId="48AC27EA" w14:textId="77777777" w:rsidR="0023125A" w:rsidRDefault="00FF31CF" w:rsidP="0023125A">
      <w:pPr>
        <w:autoSpaceDE w:val="0"/>
        <w:autoSpaceDN w:val="0"/>
        <w:adjustRightInd w:val="0"/>
        <w:jc w:val="both"/>
        <w:rPr>
          <w:noProof/>
          <w:lang w:val="lv-LV"/>
        </w:rPr>
      </w:pPr>
      <w:r w:rsidRPr="00E60951">
        <w:rPr>
          <w:noProof/>
          <w:lang w:val="lv-LV"/>
        </w:rPr>
        <w:t>Pastāstiet ārstam par visām zālēm, kuras lietojat pēdējā laikā, esat lietojis vai varētu lietot.</w:t>
      </w:r>
    </w:p>
    <w:p w14:paraId="0F8425BC" w14:textId="77777777" w:rsidR="002A57AC" w:rsidRPr="005274A4" w:rsidRDefault="002A57AC" w:rsidP="0023125A">
      <w:pPr>
        <w:autoSpaceDE w:val="0"/>
        <w:autoSpaceDN w:val="0"/>
        <w:adjustRightInd w:val="0"/>
        <w:jc w:val="both"/>
        <w:rPr>
          <w:lang w:val="lv-LV"/>
        </w:rPr>
      </w:pPr>
    </w:p>
    <w:p w14:paraId="5BA85C16" w14:textId="3AFA8384" w:rsidR="0023125A" w:rsidRPr="005274A4" w:rsidRDefault="0023125A" w:rsidP="0023125A">
      <w:pPr>
        <w:numPr>
          <w:ilvl w:val="12"/>
          <w:numId w:val="0"/>
        </w:numPr>
        <w:ind w:left="567" w:hanging="567"/>
        <w:rPr>
          <w:b/>
          <w:noProof/>
          <w:lang w:val="lv-LV"/>
        </w:rPr>
      </w:pPr>
      <w:r w:rsidRPr="005274A4">
        <w:rPr>
          <w:b/>
          <w:noProof/>
          <w:lang w:val="lv-LV"/>
        </w:rPr>
        <w:t>Grūtniecība</w:t>
      </w:r>
      <w:r w:rsidR="0092140E">
        <w:rPr>
          <w:b/>
          <w:noProof/>
          <w:lang w:val="lv-LV"/>
        </w:rPr>
        <w:t>,</w:t>
      </w:r>
      <w:r w:rsidRPr="005274A4">
        <w:rPr>
          <w:b/>
          <w:noProof/>
          <w:lang w:val="lv-LV"/>
        </w:rPr>
        <w:t xml:space="preserve"> </w:t>
      </w:r>
      <w:r w:rsidR="00FF31CF">
        <w:rPr>
          <w:b/>
          <w:noProof/>
          <w:lang w:val="lv-LV"/>
        </w:rPr>
        <w:t>barošana ar krūti</w:t>
      </w:r>
      <w:r w:rsidR="0092140E">
        <w:rPr>
          <w:b/>
          <w:noProof/>
          <w:lang w:val="lv-LV"/>
        </w:rPr>
        <w:t xml:space="preserve"> un fertilitāte</w:t>
      </w:r>
    </w:p>
    <w:p w14:paraId="64E19A12" w14:textId="77777777" w:rsidR="00FF31CF" w:rsidRPr="002A07B1" w:rsidRDefault="00FF31CF" w:rsidP="00FF31CF">
      <w:pPr>
        <w:numPr>
          <w:ilvl w:val="12"/>
          <w:numId w:val="0"/>
        </w:numPr>
        <w:rPr>
          <w:noProof/>
          <w:lang w:val="lv-LV"/>
        </w:rPr>
      </w:pPr>
      <w:r w:rsidRPr="002A07B1">
        <w:rPr>
          <w:noProof/>
          <w:szCs w:val="22"/>
          <w:lang w:val="lv-LV"/>
        </w:rPr>
        <w:lastRenderedPageBreak/>
        <w:t>Ja Jūs esat grūtniece vai barojat bērnu ar krūti, ja domājat, ka Jums varētu būt grūtniecība vai plānojat grūtniecību, pirms šo zāļu lietošanas konsultējieties ar ārstu vai farmaceitu.</w:t>
      </w:r>
    </w:p>
    <w:p w14:paraId="3DE09BD3" w14:textId="77777777" w:rsidR="0023125A" w:rsidRPr="005274A4" w:rsidRDefault="0023125A" w:rsidP="0023125A">
      <w:pPr>
        <w:rPr>
          <w:lang w:val="lv-LV"/>
        </w:rPr>
      </w:pPr>
    </w:p>
    <w:p w14:paraId="6CC6CE15" w14:textId="77777777" w:rsidR="0023125A" w:rsidRPr="005274A4" w:rsidRDefault="0023125A" w:rsidP="0023125A">
      <w:pPr>
        <w:numPr>
          <w:ilvl w:val="12"/>
          <w:numId w:val="0"/>
        </w:numPr>
        <w:ind w:left="567" w:hanging="567"/>
        <w:rPr>
          <w:b/>
          <w:noProof/>
          <w:lang w:val="lv-LV"/>
        </w:rPr>
      </w:pPr>
      <w:r w:rsidRPr="005274A4">
        <w:rPr>
          <w:b/>
          <w:noProof/>
          <w:lang w:val="lv-LV"/>
        </w:rPr>
        <w:t>Transportlīdzekļu vadīšana un mehānismu apkalpošana</w:t>
      </w:r>
    </w:p>
    <w:p w14:paraId="21DCF311" w14:textId="77777777" w:rsidR="0023125A" w:rsidRPr="005274A4" w:rsidRDefault="00FA039E" w:rsidP="0023125A">
      <w:pPr>
        <w:numPr>
          <w:ilvl w:val="12"/>
          <w:numId w:val="0"/>
        </w:numPr>
        <w:rPr>
          <w:noProof/>
          <w:lang w:val="lv-LV"/>
        </w:rPr>
      </w:pPr>
      <w:r w:rsidRPr="002A07B1">
        <w:rPr>
          <w:noProof/>
          <w:lang w:val="lv-LV"/>
        </w:rPr>
        <w:t>Discus compositum</w:t>
      </w:r>
      <w:r w:rsidRPr="005274A4" w:rsidDel="00FA039E">
        <w:rPr>
          <w:noProof/>
          <w:lang w:val="lv-LV"/>
        </w:rPr>
        <w:t xml:space="preserve"> </w:t>
      </w:r>
      <w:r>
        <w:rPr>
          <w:noProof/>
          <w:lang w:val="lv-LV"/>
        </w:rPr>
        <w:t>n</w:t>
      </w:r>
      <w:r w:rsidR="0023125A" w:rsidRPr="005274A4">
        <w:rPr>
          <w:noProof/>
          <w:lang w:val="lv-LV"/>
        </w:rPr>
        <w:t>eietekmē spējas vadīt transportlīdzekļus un apkalpot mehānismus.</w:t>
      </w:r>
    </w:p>
    <w:p w14:paraId="34659B55" w14:textId="41BD73A0" w:rsidR="0023125A" w:rsidRDefault="0023125A" w:rsidP="0023125A">
      <w:pPr>
        <w:numPr>
          <w:ilvl w:val="12"/>
          <w:numId w:val="0"/>
        </w:numPr>
        <w:ind w:left="567" w:hanging="567"/>
        <w:rPr>
          <w:noProof/>
          <w:lang w:val="lv-LV"/>
        </w:rPr>
      </w:pPr>
    </w:p>
    <w:p w14:paraId="7ED315F7" w14:textId="4BBF53B1" w:rsidR="0092140E" w:rsidRDefault="0092140E" w:rsidP="0092140E">
      <w:pPr>
        <w:rPr>
          <w:b/>
          <w:noProof/>
          <w:lang w:val="lv-LV"/>
        </w:rPr>
      </w:pPr>
      <w:r>
        <w:rPr>
          <w:b/>
          <w:szCs w:val="28"/>
          <w:lang w:val="lv-LV"/>
        </w:rPr>
        <w:t xml:space="preserve">Discus </w:t>
      </w:r>
      <w:r w:rsidRPr="008F2267">
        <w:rPr>
          <w:b/>
          <w:szCs w:val="28"/>
          <w:lang w:val="lv-LV"/>
        </w:rPr>
        <w:t>compositum</w:t>
      </w:r>
      <w:r w:rsidRPr="008F2267">
        <w:rPr>
          <w:b/>
          <w:noProof/>
          <w:lang w:val="lv-LV"/>
        </w:rPr>
        <w:t xml:space="preserve"> </w:t>
      </w:r>
      <w:r>
        <w:rPr>
          <w:b/>
          <w:noProof/>
          <w:lang w:val="lv-LV"/>
        </w:rPr>
        <w:t>satur etilspirtu</w:t>
      </w:r>
    </w:p>
    <w:p w14:paraId="02FE9B1F" w14:textId="7C509B39" w:rsidR="0092140E" w:rsidRPr="005C70A3" w:rsidRDefault="0092140E" w:rsidP="0092140E">
      <w:pPr>
        <w:rPr>
          <w:lang w:val="lv-LV"/>
        </w:rPr>
      </w:pPr>
      <w:r w:rsidRPr="005C70A3">
        <w:rPr>
          <w:lang w:val="lv-LV"/>
        </w:rPr>
        <w:t>Šīs zāles satur 3,0 mg etilspirta (alkohola) katrā ampulā (0,1 % w/w).</w:t>
      </w:r>
    </w:p>
    <w:p w14:paraId="1C098623" w14:textId="4930DCE9" w:rsidR="0092140E" w:rsidRPr="005C70A3" w:rsidRDefault="00D9092C" w:rsidP="005C70A3">
      <w:pPr>
        <w:pStyle w:val="Heading5"/>
        <w:rPr>
          <w:bCs/>
          <w:lang w:val="lv-LV"/>
        </w:rPr>
      </w:pPr>
      <w:r>
        <w:rPr>
          <w:b w:val="0"/>
          <w:bCs/>
          <w:lang w:val="lv-LV"/>
        </w:rPr>
        <w:t>Šo zāļu</w:t>
      </w:r>
      <w:r w:rsidR="0092140E" w:rsidRPr="005C70A3">
        <w:rPr>
          <w:b w:val="0"/>
          <w:bCs/>
          <w:lang w:val="lv-LV"/>
        </w:rPr>
        <w:t xml:space="preserve"> daudzums vienā  ampulā ir līdzvērtīg</w:t>
      </w:r>
      <w:r>
        <w:rPr>
          <w:b w:val="0"/>
          <w:bCs/>
          <w:lang w:val="lv-LV"/>
        </w:rPr>
        <w:t>i</w:t>
      </w:r>
      <w:r w:rsidR="0092140E" w:rsidRPr="005C70A3">
        <w:rPr>
          <w:b w:val="0"/>
          <w:bCs/>
          <w:lang w:val="lv-LV"/>
        </w:rPr>
        <w:t xml:space="preserve"> </w:t>
      </w:r>
      <w:r>
        <w:rPr>
          <w:b w:val="0"/>
          <w:bCs/>
          <w:lang w:val="lv-LV"/>
        </w:rPr>
        <w:t>mazāk</w:t>
      </w:r>
      <w:r w:rsidR="0092140E" w:rsidRPr="005C70A3">
        <w:rPr>
          <w:b w:val="0"/>
          <w:bCs/>
          <w:lang w:val="lv-LV"/>
        </w:rPr>
        <w:t xml:space="preserve"> nekā 1 ml alus vai 1 ml vīna. Nelielais alkohola daudzums  zālēs </w:t>
      </w:r>
      <w:r>
        <w:rPr>
          <w:b w:val="0"/>
          <w:bCs/>
          <w:lang w:val="lv-LV"/>
        </w:rPr>
        <w:t>neizraisīs</w:t>
      </w:r>
      <w:r w:rsidR="0092140E" w:rsidRPr="005C70A3">
        <w:rPr>
          <w:b w:val="0"/>
          <w:bCs/>
          <w:lang w:val="lv-LV"/>
        </w:rPr>
        <w:t xml:space="preserve"> </w:t>
      </w:r>
      <w:r>
        <w:rPr>
          <w:b w:val="0"/>
          <w:bCs/>
          <w:lang w:val="lv-LV"/>
        </w:rPr>
        <w:t>ievērojamu ietekmi</w:t>
      </w:r>
      <w:r w:rsidR="0092140E" w:rsidRPr="005C70A3">
        <w:rPr>
          <w:b w:val="0"/>
          <w:bCs/>
          <w:lang w:val="lv-LV"/>
        </w:rPr>
        <w:t>.</w:t>
      </w:r>
    </w:p>
    <w:p w14:paraId="4BC127D9" w14:textId="77777777" w:rsidR="0092140E" w:rsidRPr="005274A4" w:rsidRDefault="0092140E" w:rsidP="0092140E">
      <w:pPr>
        <w:numPr>
          <w:ilvl w:val="12"/>
          <w:numId w:val="0"/>
        </w:numPr>
        <w:ind w:left="567" w:hanging="567"/>
        <w:rPr>
          <w:noProof/>
          <w:lang w:val="lv-LV"/>
        </w:rPr>
      </w:pPr>
    </w:p>
    <w:p w14:paraId="3904E2A6" w14:textId="77777777" w:rsidR="0023125A" w:rsidRPr="005274A4" w:rsidRDefault="00FF31CF" w:rsidP="0023125A">
      <w:pPr>
        <w:numPr>
          <w:ilvl w:val="12"/>
          <w:numId w:val="0"/>
        </w:numPr>
        <w:rPr>
          <w:noProof/>
          <w:lang w:val="lv-LV"/>
        </w:rPr>
      </w:pPr>
      <w:r>
        <w:rPr>
          <w:b/>
          <w:noProof/>
          <w:lang w:val="lv-LV"/>
        </w:rPr>
        <w:t>Discus compositium satur nātriju</w:t>
      </w:r>
    </w:p>
    <w:p w14:paraId="0B77BAD2" w14:textId="3FB95DF6" w:rsidR="0023125A" w:rsidRPr="005274A4" w:rsidRDefault="0023125A" w:rsidP="0023125A">
      <w:pPr>
        <w:autoSpaceDE w:val="0"/>
        <w:autoSpaceDN w:val="0"/>
        <w:adjustRightInd w:val="0"/>
        <w:jc w:val="both"/>
        <w:rPr>
          <w:lang w:val="lv-LV"/>
        </w:rPr>
      </w:pPr>
      <w:r w:rsidRPr="005274A4">
        <w:rPr>
          <w:lang w:val="lv-LV"/>
        </w:rPr>
        <w:t>Nātrija daudzums vienā ampulā ir 17,6 mg. Zāles satur mazāk par 1</w:t>
      </w:r>
      <w:r w:rsidR="00FF31CF">
        <w:rPr>
          <w:lang w:val="lv-LV"/>
        </w:rPr>
        <w:t xml:space="preserve"> </w:t>
      </w:r>
      <w:r w:rsidRPr="005274A4">
        <w:rPr>
          <w:lang w:val="lv-LV"/>
        </w:rPr>
        <w:t>mmol nātrija (23</w:t>
      </w:r>
      <w:r w:rsidR="006F644D">
        <w:rPr>
          <w:lang w:val="lv-LV"/>
        </w:rPr>
        <w:t xml:space="preserve"> </w:t>
      </w:r>
      <w:r w:rsidRPr="005274A4">
        <w:rPr>
          <w:lang w:val="lv-LV"/>
        </w:rPr>
        <w:t>mg) dienas devā</w:t>
      </w:r>
      <w:r w:rsidR="00D9092C">
        <w:rPr>
          <w:lang w:val="lv-LV"/>
        </w:rPr>
        <w:t>,</w:t>
      </w:r>
      <w:r w:rsidRPr="005274A4">
        <w:rPr>
          <w:lang w:val="lv-LV"/>
        </w:rPr>
        <w:t xml:space="preserve"> </w:t>
      </w:r>
      <w:r w:rsidR="00D9092C">
        <w:rPr>
          <w:lang w:val="lv-LV"/>
        </w:rPr>
        <w:t>b</w:t>
      </w:r>
      <w:r w:rsidRPr="005274A4">
        <w:rPr>
          <w:lang w:val="lv-LV"/>
        </w:rPr>
        <w:t xml:space="preserve">ūtībā tās ir </w:t>
      </w:r>
      <w:r w:rsidR="00D9092C">
        <w:rPr>
          <w:lang w:val="lv-LV"/>
        </w:rPr>
        <w:t>“</w:t>
      </w:r>
      <w:r w:rsidRPr="005274A4">
        <w:rPr>
          <w:lang w:val="lv-LV"/>
        </w:rPr>
        <w:t>nātriju nesaturošas</w:t>
      </w:r>
      <w:r w:rsidR="00D9092C">
        <w:rPr>
          <w:lang w:val="lv-LV"/>
        </w:rPr>
        <w:t>”</w:t>
      </w:r>
      <w:r w:rsidRPr="005274A4">
        <w:rPr>
          <w:lang w:val="lv-LV"/>
        </w:rPr>
        <w:t>.</w:t>
      </w:r>
    </w:p>
    <w:p w14:paraId="0B46CCD4" w14:textId="77777777" w:rsidR="0023125A" w:rsidRPr="005274A4" w:rsidRDefault="0023125A" w:rsidP="0023125A">
      <w:pPr>
        <w:autoSpaceDE w:val="0"/>
        <w:autoSpaceDN w:val="0"/>
        <w:adjustRightInd w:val="0"/>
        <w:jc w:val="both"/>
        <w:rPr>
          <w:lang w:val="lv-LV"/>
        </w:rPr>
      </w:pPr>
    </w:p>
    <w:p w14:paraId="362C9FE2" w14:textId="77777777" w:rsidR="0023125A" w:rsidRPr="005274A4" w:rsidRDefault="0023125A" w:rsidP="0023125A">
      <w:pPr>
        <w:numPr>
          <w:ilvl w:val="12"/>
          <w:numId w:val="0"/>
        </w:numPr>
        <w:ind w:left="567" w:hanging="567"/>
        <w:rPr>
          <w:b/>
          <w:noProof/>
          <w:lang w:val="lv-LV"/>
        </w:rPr>
      </w:pPr>
    </w:p>
    <w:p w14:paraId="68FE63C9" w14:textId="77777777" w:rsidR="0023125A" w:rsidRPr="005274A4" w:rsidRDefault="0023125A" w:rsidP="0023125A">
      <w:pPr>
        <w:numPr>
          <w:ilvl w:val="12"/>
          <w:numId w:val="0"/>
        </w:numPr>
        <w:ind w:left="567" w:hanging="567"/>
        <w:rPr>
          <w:noProof/>
          <w:lang w:val="lv-LV"/>
        </w:rPr>
      </w:pPr>
      <w:r w:rsidRPr="005274A4">
        <w:rPr>
          <w:b/>
          <w:noProof/>
          <w:lang w:val="lv-LV"/>
        </w:rPr>
        <w:t>3.</w:t>
      </w:r>
      <w:r w:rsidRPr="005274A4">
        <w:rPr>
          <w:b/>
          <w:noProof/>
          <w:lang w:val="lv-LV"/>
        </w:rPr>
        <w:tab/>
      </w:r>
      <w:r w:rsidR="00FF31CF">
        <w:rPr>
          <w:b/>
          <w:noProof/>
          <w:lang w:val="lv-LV"/>
        </w:rPr>
        <w:t xml:space="preserve">Kā lietot Discus </w:t>
      </w:r>
      <w:r w:rsidR="00FA039E">
        <w:rPr>
          <w:b/>
          <w:noProof/>
          <w:lang w:val="lv-LV"/>
        </w:rPr>
        <w:t>c</w:t>
      </w:r>
      <w:r w:rsidR="00FF31CF">
        <w:rPr>
          <w:b/>
          <w:noProof/>
          <w:lang w:val="lv-LV"/>
        </w:rPr>
        <w:t xml:space="preserve">ompositum </w:t>
      </w:r>
      <w:r w:rsidRPr="005274A4">
        <w:rPr>
          <w:noProof/>
          <w:lang w:val="lv-LV"/>
        </w:rPr>
        <w:t xml:space="preserve"> </w:t>
      </w:r>
    </w:p>
    <w:p w14:paraId="02470930" w14:textId="77777777" w:rsidR="007B74D7" w:rsidRDefault="007B74D7" w:rsidP="00546201">
      <w:pPr>
        <w:numPr>
          <w:ilvl w:val="12"/>
          <w:numId w:val="0"/>
        </w:numPr>
        <w:rPr>
          <w:noProof/>
          <w:lang w:val="lv-LV"/>
        </w:rPr>
      </w:pPr>
    </w:p>
    <w:p w14:paraId="7A3830E1" w14:textId="77777777" w:rsidR="00546201" w:rsidRDefault="00546201" w:rsidP="00546201">
      <w:pPr>
        <w:numPr>
          <w:ilvl w:val="12"/>
          <w:numId w:val="0"/>
        </w:numPr>
        <w:rPr>
          <w:noProof/>
          <w:lang w:val="lv-LV"/>
        </w:rPr>
      </w:pPr>
      <w:r w:rsidRPr="007B74D7">
        <w:rPr>
          <w:noProof/>
          <w:lang w:val="lv-LV"/>
        </w:rPr>
        <w:t xml:space="preserve">Vienmēr lietojiet šīs zāles tieši tā, kā </w:t>
      </w:r>
      <w:r w:rsidRPr="007B74D7">
        <w:rPr>
          <w:szCs w:val="22"/>
          <w:lang w:val="lv-LV"/>
        </w:rPr>
        <w:t xml:space="preserve">ārsts vai </w:t>
      </w:r>
      <w:r>
        <w:rPr>
          <w:szCs w:val="22"/>
          <w:lang w:val="lv-LV"/>
        </w:rPr>
        <w:t xml:space="preserve">farmaceits </w:t>
      </w:r>
      <w:r w:rsidRPr="007B74D7">
        <w:rPr>
          <w:szCs w:val="22"/>
          <w:lang w:val="lv-LV"/>
        </w:rPr>
        <w:t>Jums teicis.</w:t>
      </w:r>
      <w:r w:rsidRPr="007B74D7">
        <w:rPr>
          <w:lang w:val="lv-LV"/>
        </w:rPr>
        <w:t xml:space="preserve"> </w:t>
      </w:r>
      <w:r w:rsidRPr="007B74D7">
        <w:rPr>
          <w:noProof/>
          <w:lang w:val="lv-LV"/>
        </w:rPr>
        <w:t>Neskaidrību gadījumā vaicājiet ārsta</w:t>
      </w:r>
      <w:r>
        <w:rPr>
          <w:noProof/>
          <w:lang w:val="lv-LV"/>
        </w:rPr>
        <w:t>m</w:t>
      </w:r>
      <w:r w:rsidRPr="007B74D7">
        <w:rPr>
          <w:noProof/>
          <w:lang w:val="lv-LV"/>
        </w:rPr>
        <w:t xml:space="preserve"> vai farmaceitam. </w:t>
      </w:r>
    </w:p>
    <w:p w14:paraId="58B81BA7" w14:textId="77777777" w:rsidR="00546201" w:rsidRDefault="00546201" w:rsidP="00546201">
      <w:pPr>
        <w:numPr>
          <w:ilvl w:val="12"/>
          <w:numId w:val="0"/>
        </w:numPr>
        <w:rPr>
          <w:noProof/>
          <w:lang w:val="lv-LV"/>
        </w:rPr>
      </w:pPr>
    </w:p>
    <w:p w14:paraId="2A09C670" w14:textId="77777777" w:rsidR="007B74D7" w:rsidRPr="007B74D7" w:rsidRDefault="007B74D7" w:rsidP="007B74D7">
      <w:pPr>
        <w:numPr>
          <w:ilvl w:val="12"/>
          <w:numId w:val="0"/>
        </w:numPr>
        <w:rPr>
          <w:noProof/>
          <w:lang w:val="lv-LV"/>
        </w:rPr>
      </w:pPr>
      <w:r>
        <w:rPr>
          <w:noProof/>
          <w:lang w:val="lv-LV"/>
        </w:rPr>
        <w:t>Ieteicamā deva ir:</w:t>
      </w:r>
    </w:p>
    <w:p w14:paraId="540E7853" w14:textId="77777777" w:rsidR="0023125A" w:rsidRPr="005274A4" w:rsidRDefault="007B2411" w:rsidP="0023125A">
      <w:pPr>
        <w:autoSpaceDE w:val="0"/>
        <w:autoSpaceDN w:val="0"/>
        <w:adjustRightInd w:val="0"/>
        <w:jc w:val="both"/>
        <w:rPr>
          <w:lang w:val="lv-LV"/>
        </w:rPr>
      </w:pPr>
      <w:r>
        <w:rPr>
          <w:lang w:val="lv-LV"/>
        </w:rPr>
        <w:t>p</w:t>
      </w:r>
      <w:r w:rsidR="0023125A" w:rsidRPr="005274A4">
        <w:rPr>
          <w:lang w:val="lv-LV"/>
        </w:rPr>
        <w:t xml:space="preserve">ieaugušajiem un bērniem no 12 gadu vecuma: </w:t>
      </w:r>
      <w:r>
        <w:rPr>
          <w:lang w:val="lv-LV"/>
        </w:rPr>
        <w:t>i</w:t>
      </w:r>
      <w:r w:rsidR="0023125A" w:rsidRPr="005274A4">
        <w:rPr>
          <w:lang w:val="lv-LV"/>
        </w:rPr>
        <w:t xml:space="preserve">evadīt 1 ampulas saturu 1-3 reizes nedēļā. </w:t>
      </w:r>
    </w:p>
    <w:p w14:paraId="6AD9172F" w14:textId="5852129F" w:rsidR="0023125A" w:rsidRDefault="0023125A" w:rsidP="0023125A">
      <w:pPr>
        <w:autoSpaceDE w:val="0"/>
        <w:autoSpaceDN w:val="0"/>
        <w:adjustRightInd w:val="0"/>
        <w:jc w:val="both"/>
        <w:rPr>
          <w:lang w:val="lv-LV"/>
        </w:rPr>
      </w:pPr>
    </w:p>
    <w:p w14:paraId="22693C84" w14:textId="77777777" w:rsidR="0092140E" w:rsidRPr="005C70A3" w:rsidRDefault="0092140E" w:rsidP="0092140E">
      <w:pPr>
        <w:autoSpaceDE w:val="0"/>
        <w:autoSpaceDN w:val="0"/>
        <w:adjustRightInd w:val="0"/>
        <w:jc w:val="both"/>
        <w:rPr>
          <w:szCs w:val="22"/>
          <w:u w:val="single"/>
          <w:lang w:val="lv-LV"/>
        </w:rPr>
      </w:pPr>
      <w:r w:rsidRPr="005C70A3">
        <w:rPr>
          <w:szCs w:val="22"/>
          <w:u w:val="single"/>
          <w:lang w:val="lv-LV"/>
        </w:rPr>
        <w:t>Lietošanas veids</w:t>
      </w:r>
    </w:p>
    <w:p w14:paraId="3A43645A" w14:textId="147B5DDF" w:rsidR="0092140E" w:rsidRPr="00A72AA1" w:rsidRDefault="0092140E" w:rsidP="0092140E">
      <w:pPr>
        <w:autoSpaceDE w:val="0"/>
        <w:autoSpaceDN w:val="0"/>
        <w:adjustRightInd w:val="0"/>
        <w:jc w:val="both"/>
        <w:rPr>
          <w:szCs w:val="22"/>
          <w:lang w:val="lv-LV"/>
        </w:rPr>
      </w:pPr>
      <w:r w:rsidRPr="00A72AA1">
        <w:rPr>
          <w:szCs w:val="22"/>
          <w:lang w:val="lv-LV"/>
        </w:rPr>
        <w:t>Intramuskulārai, subkutānai</w:t>
      </w:r>
      <w:r>
        <w:rPr>
          <w:szCs w:val="22"/>
          <w:lang w:val="lv-LV"/>
        </w:rPr>
        <w:t xml:space="preserve"> vai </w:t>
      </w:r>
      <w:r w:rsidR="006F644D" w:rsidRPr="006F644D">
        <w:rPr>
          <w:szCs w:val="22"/>
          <w:lang w:val="lv-LV"/>
        </w:rPr>
        <w:t xml:space="preserve">intradermālai </w:t>
      </w:r>
      <w:r w:rsidRPr="00A72AA1">
        <w:rPr>
          <w:szCs w:val="22"/>
          <w:lang w:val="lv-LV"/>
        </w:rPr>
        <w:t>lietošanai.</w:t>
      </w:r>
    </w:p>
    <w:p w14:paraId="466DA6B7" w14:textId="77777777" w:rsidR="0092140E" w:rsidRDefault="0092140E" w:rsidP="0092140E">
      <w:pPr>
        <w:autoSpaceDE w:val="0"/>
        <w:autoSpaceDN w:val="0"/>
        <w:adjustRightInd w:val="0"/>
        <w:jc w:val="both"/>
        <w:rPr>
          <w:lang w:val="lv-LV"/>
        </w:rPr>
      </w:pPr>
    </w:p>
    <w:p w14:paraId="77A18209" w14:textId="77777777" w:rsidR="0092140E" w:rsidRPr="00C95AB8" w:rsidRDefault="0092140E" w:rsidP="0092140E">
      <w:pPr>
        <w:autoSpaceDE w:val="0"/>
        <w:autoSpaceDN w:val="0"/>
        <w:adjustRightInd w:val="0"/>
        <w:jc w:val="both"/>
      </w:pPr>
      <w:proofErr w:type="spellStart"/>
      <w:r w:rsidRPr="00C95AB8">
        <w:t>Norādījumi</w:t>
      </w:r>
      <w:proofErr w:type="spellEnd"/>
      <w:r w:rsidRPr="00C95AB8">
        <w:t xml:space="preserve"> </w:t>
      </w:r>
      <w:proofErr w:type="spellStart"/>
      <w:r w:rsidRPr="00C95AB8">
        <w:t>stikla</w:t>
      </w:r>
      <w:proofErr w:type="spellEnd"/>
      <w:r w:rsidRPr="00C95AB8">
        <w:t xml:space="preserve"> </w:t>
      </w:r>
      <w:proofErr w:type="spellStart"/>
      <w:r w:rsidRPr="00C95AB8">
        <w:t>ampulas</w:t>
      </w:r>
      <w:proofErr w:type="spellEnd"/>
      <w:r w:rsidRPr="00C95AB8">
        <w:t xml:space="preserve"> </w:t>
      </w:r>
      <w:proofErr w:type="spellStart"/>
      <w:r w:rsidRPr="00C95AB8">
        <w:t>atvēršanai</w:t>
      </w:r>
      <w:proofErr w:type="spellEnd"/>
      <w:r w:rsidRPr="00C95AB8">
        <w:t>:</w:t>
      </w:r>
    </w:p>
    <w:p w14:paraId="0A067F05" w14:textId="77777777" w:rsidR="0092140E" w:rsidRDefault="0092140E" w:rsidP="0092140E">
      <w:pPr>
        <w:ind w:left="567" w:hanging="567"/>
        <w:rPr>
          <w:szCs w:val="22"/>
        </w:rPr>
      </w:pPr>
    </w:p>
    <w:p w14:paraId="36439E16" w14:textId="77777777" w:rsidR="0092140E" w:rsidRPr="00BA0F8D" w:rsidRDefault="0092140E" w:rsidP="0092140E">
      <w:pPr>
        <w:ind w:left="567" w:hanging="567"/>
        <w:rPr>
          <w:szCs w:val="22"/>
        </w:rPr>
      </w:pPr>
      <w:r w:rsidRPr="00036B0A">
        <w:rPr>
          <w:rFonts w:ascii="Arial Unicode MS" w:eastAsia="Arial Unicode MS" w:hAnsi="Arial Unicode MS" w:cs="Arial Unicode MS"/>
          <w:noProof/>
          <w:lang w:val="en-GB"/>
        </w:rPr>
        <w:drawing>
          <wp:inline distT="0" distB="0" distL="0" distR="0" wp14:anchorId="3C6AF164" wp14:editId="6DBB5826">
            <wp:extent cx="2714625" cy="7810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781050"/>
                    </a:xfrm>
                    <a:prstGeom prst="rect">
                      <a:avLst/>
                    </a:prstGeom>
                    <a:noFill/>
                    <a:ln>
                      <a:noFill/>
                    </a:ln>
                  </pic:spPr>
                </pic:pic>
              </a:graphicData>
            </a:graphic>
          </wp:inline>
        </w:drawing>
      </w:r>
    </w:p>
    <w:p w14:paraId="5B147F77" w14:textId="77777777" w:rsidR="0092140E" w:rsidRDefault="0092140E" w:rsidP="0092140E">
      <w:proofErr w:type="spellStart"/>
      <w:r w:rsidRPr="00C95AB8">
        <w:t>Rīkoties</w:t>
      </w:r>
      <w:proofErr w:type="spellEnd"/>
      <w:r w:rsidRPr="00C95AB8">
        <w:t xml:space="preserve"> </w:t>
      </w:r>
      <w:proofErr w:type="spellStart"/>
      <w:r w:rsidRPr="00C95AB8">
        <w:t>uzmanīgi</w:t>
      </w:r>
      <w:proofErr w:type="spellEnd"/>
      <w:r w:rsidRPr="00C95AB8">
        <w:t xml:space="preserve">. </w:t>
      </w:r>
      <w:proofErr w:type="spellStart"/>
      <w:r>
        <w:t>I</w:t>
      </w:r>
      <w:r w:rsidRPr="00C95AB8">
        <w:t>evērojiet</w:t>
      </w:r>
      <w:proofErr w:type="spellEnd"/>
      <w:r w:rsidRPr="00C95AB8">
        <w:t xml:space="preserve"> </w:t>
      </w:r>
      <w:proofErr w:type="spellStart"/>
      <w:r w:rsidRPr="00C95AB8">
        <w:t>atvēršanas</w:t>
      </w:r>
      <w:proofErr w:type="spellEnd"/>
      <w:r w:rsidRPr="00C95AB8">
        <w:t xml:space="preserve"> </w:t>
      </w:r>
      <w:proofErr w:type="spellStart"/>
      <w:r w:rsidRPr="00C95AB8">
        <w:t>instrukcij</w:t>
      </w:r>
      <w:r>
        <w:t>u</w:t>
      </w:r>
      <w:proofErr w:type="spellEnd"/>
      <w:r w:rsidRPr="00C95AB8">
        <w:t xml:space="preserve">. </w:t>
      </w:r>
      <w:proofErr w:type="spellStart"/>
      <w:r w:rsidRPr="00C95AB8">
        <w:t>Stikla</w:t>
      </w:r>
      <w:proofErr w:type="spellEnd"/>
      <w:r w:rsidRPr="00C95AB8">
        <w:t xml:space="preserve"> </w:t>
      </w:r>
      <w:proofErr w:type="spellStart"/>
      <w:r w:rsidRPr="00C95AB8">
        <w:t>ampulas</w:t>
      </w:r>
      <w:proofErr w:type="spellEnd"/>
      <w:r w:rsidRPr="00C95AB8">
        <w:t xml:space="preserve"> </w:t>
      </w:r>
      <w:proofErr w:type="spellStart"/>
      <w:r w:rsidRPr="00C95AB8">
        <w:t>atgriešana</w:t>
      </w:r>
      <w:proofErr w:type="spellEnd"/>
      <w:r w:rsidRPr="00C95AB8">
        <w:t xml:space="preserve"> nav </w:t>
      </w:r>
      <w:proofErr w:type="spellStart"/>
      <w:r w:rsidRPr="00C95AB8">
        <w:t>nepieciešama</w:t>
      </w:r>
      <w:proofErr w:type="spellEnd"/>
      <w:r w:rsidRPr="00C95AB8">
        <w:t xml:space="preserve">. </w:t>
      </w:r>
      <w:proofErr w:type="spellStart"/>
      <w:r w:rsidRPr="00C95AB8">
        <w:t>Turiet</w:t>
      </w:r>
      <w:proofErr w:type="spellEnd"/>
      <w:r w:rsidRPr="00C95AB8">
        <w:t xml:space="preserve"> </w:t>
      </w:r>
      <w:proofErr w:type="spellStart"/>
      <w:r w:rsidRPr="00C95AB8">
        <w:t>ampulas</w:t>
      </w:r>
      <w:proofErr w:type="spellEnd"/>
      <w:r w:rsidRPr="00C95AB8">
        <w:t xml:space="preserve"> </w:t>
      </w:r>
      <w:proofErr w:type="spellStart"/>
      <w:r w:rsidRPr="00C95AB8">
        <w:t>galviņu</w:t>
      </w:r>
      <w:proofErr w:type="spellEnd"/>
      <w:r w:rsidRPr="00C95AB8">
        <w:t xml:space="preserve"> </w:t>
      </w:r>
      <w:proofErr w:type="spellStart"/>
      <w:r w:rsidRPr="00C95AB8">
        <w:t>uz</w:t>
      </w:r>
      <w:proofErr w:type="spellEnd"/>
      <w:r w:rsidRPr="00C95AB8">
        <w:t xml:space="preserve"> </w:t>
      </w:r>
      <w:proofErr w:type="spellStart"/>
      <w:r w:rsidRPr="00C95AB8">
        <w:t>augšu</w:t>
      </w:r>
      <w:proofErr w:type="spellEnd"/>
      <w:r w:rsidRPr="00C95AB8">
        <w:t xml:space="preserve"> </w:t>
      </w:r>
      <w:proofErr w:type="spellStart"/>
      <w:r w:rsidRPr="00C95AB8">
        <w:t>leņķī</w:t>
      </w:r>
      <w:proofErr w:type="spellEnd"/>
      <w:r w:rsidRPr="00C95AB8">
        <w:t xml:space="preserve"> un </w:t>
      </w:r>
      <w:proofErr w:type="spellStart"/>
      <w:r w:rsidRPr="00C95AB8">
        <w:t>piesitiet</w:t>
      </w:r>
      <w:proofErr w:type="spellEnd"/>
      <w:r w:rsidRPr="00C95AB8">
        <w:t>/</w:t>
      </w:r>
      <w:proofErr w:type="spellStart"/>
      <w:r w:rsidRPr="00C95AB8">
        <w:t>kratiet</w:t>
      </w:r>
      <w:proofErr w:type="spellEnd"/>
      <w:r w:rsidRPr="00C95AB8">
        <w:t xml:space="preserve"> </w:t>
      </w:r>
      <w:proofErr w:type="spellStart"/>
      <w:r w:rsidRPr="00C95AB8">
        <w:t>ampulas</w:t>
      </w:r>
      <w:proofErr w:type="spellEnd"/>
      <w:r w:rsidRPr="00C95AB8">
        <w:t xml:space="preserve"> </w:t>
      </w:r>
      <w:proofErr w:type="spellStart"/>
      <w:r w:rsidRPr="00C95AB8">
        <w:t>galviņā</w:t>
      </w:r>
      <w:proofErr w:type="spellEnd"/>
      <w:r w:rsidRPr="00C95AB8">
        <w:t xml:space="preserve"> </w:t>
      </w:r>
      <w:proofErr w:type="spellStart"/>
      <w:r w:rsidRPr="00C95AB8">
        <w:t>esošo</w:t>
      </w:r>
      <w:proofErr w:type="spellEnd"/>
      <w:r w:rsidRPr="00C95AB8">
        <w:t xml:space="preserve"> </w:t>
      </w:r>
      <w:proofErr w:type="spellStart"/>
      <w:r w:rsidRPr="00C95AB8">
        <w:t>šķīdumu</w:t>
      </w:r>
      <w:proofErr w:type="spellEnd"/>
      <w:r w:rsidRPr="00C95AB8">
        <w:t xml:space="preserve">. </w:t>
      </w:r>
      <w:proofErr w:type="spellStart"/>
      <w:r w:rsidRPr="00C95AB8">
        <w:t>Pēc</w:t>
      </w:r>
      <w:proofErr w:type="spellEnd"/>
      <w:r w:rsidRPr="00C95AB8">
        <w:t xml:space="preserve"> tam </w:t>
      </w:r>
      <w:proofErr w:type="spellStart"/>
      <w:r w:rsidRPr="00C95AB8">
        <w:t>nolauziet</w:t>
      </w:r>
      <w:proofErr w:type="spellEnd"/>
      <w:r w:rsidRPr="00C95AB8">
        <w:t xml:space="preserve"> </w:t>
      </w:r>
      <w:proofErr w:type="spellStart"/>
      <w:r w:rsidRPr="00C95AB8">
        <w:t>ampulas</w:t>
      </w:r>
      <w:proofErr w:type="spellEnd"/>
      <w:r w:rsidRPr="00C95AB8">
        <w:t xml:space="preserve"> </w:t>
      </w:r>
      <w:proofErr w:type="spellStart"/>
      <w:r>
        <w:t>galviņu</w:t>
      </w:r>
      <w:proofErr w:type="spellEnd"/>
      <w:r w:rsidRPr="00C95AB8">
        <w:t xml:space="preserve">, </w:t>
      </w:r>
      <w:proofErr w:type="spellStart"/>
      <w:r w:rsidRPr="00C95AB8">
        <w:t>spiežot</w:t>
      </w:r>
      <w:proofErr w:type="spellEnd"/>
      <w:r w:rsidRPr="00C95AB8">
        <w:t xml:space="preserve"> to prom no </w:t>
      </w:r>
      <w:proofErr w:type="spellStart"/>
      <w:r w:rsidRPr="00C95AB8">
        <w:t>krāsas</w:t>
      </w:r>
      <w:proofErr w:type="spellEnd"/>
      <w:r w:rsidRPr="00C95AB8">
        <w:t xml:space="preserve"> </w:t>
      </w:r>
      <w:proofErr w:type="spellStart"/>
      <w:r w:rsidRPr="00C95AB8">
        <w:t>punkta</w:t>
      </w:r>
      <w:proofErr w:type="spellEnd"/>
      <w:r w:rsidRPr="00C95AB8">
        <w:t xml:space="preserve">. </w:t>
      </w:r>
      <w:proofErr w:type="spellStart"/>
      <w:r>
        <w:t>Atlikušais</w:t>
      </w:r>
      <w:proofErr w:type="spellEnd"/>
      <w:r>
        <w:t xml:space="preserve"> </w:t>
      </w:r>
      <w:proofErr w:type="spellStart"/>
      <w:r>
        <w:t>ampulas</w:t>
      </w:r>
      <w:proofErr w:type="spellEnd"/>
      <w:r w:rsidRPr="00C95AB8">
        <w:t xml:space="preserve"> </w:t>
      </w:r>
      <w:proofErr w:type="spellStart"/>
      <w:r w:rsidRPr="00C95AB8">
        <w:t>saturs</w:t>
      </w:r>
      <w:proofErr w:type="spellEnd"/>
      <w:r w:rsidRPr="00C95AB8">
        <w:t xml:space="preserve"> </w:t>
      </w:r>
      <w:proofErr w:type="spellStart"/>
      <w:r w:rsidRPr="00C95AB8">
        <w:t>jāiznīcina</w:t>
      </w:r>
      <w:proofErr w:type="spellEnd"/>
      <w:r w:rsidRPr="00C95AB8">
        <w:t>.</w:t>
      </w:r>
    </w:p>
    <w:p w14:paraId="5FA13474" w14:textId="77777777" w:rsidR="0092140E" w:rsidRPr="005274A4" w:rsidRDefault="0092140E" w:rsidP="0023125A">
      <w:pPr>
        <w:autoSpaceDE w:val="0"/>
        <w:autoSpaceDN w:val="0"/>
        <w:adjustRightInd w:val="0"/>
        <w:jc w:val="both"/>
        <w:rPr>
          <w:lang w:val="lv-LV"/>
        </w:rPr>
      </w:pPr>
    </w:p>
    <w:p w14:paraId="255B54BF" w14:textId="77777777" w:rsidR="0023125A" w:rsidRPr="005274A4" w:rsidRDefault="0023125A" w:rsidP="0023125A">
      <w:pPr>
        <w:numPr>
          <w:ilvl w:val="12"/>
          <w:numId w:val="0"/>
        </w:numPr>
        <w:ind w:left="567" w:hanging="567"/>
        <w:rPr>
          <w:noProof/>
          <w:lang w:val="lv-LV"/>
        </w:rPr>
      </w:pPr>
      <w:r w:rsidRPr="005274A4">
        <w:rPr>
          <w:b/>
          <w:noProof/>
          <w:lang w:val="lv-LV"/>
        </w:rPr>
        <w:t xml:space="preserve">Ja esat lietojis </w:t>
      </w:r>
      <w:r w:rsidRPr="005274A4">
        <w:rPr>
          <w:b/>
          <w:lang w:val="lv-LV"/>
        </w:rPr>
        <w:t>Discus compositum</w:t>
      </w:r>
      <w:r w:rsidRPr="005274A4">
        <w:rPr>
          <w:noProof/>
          <w:lang w:val="lv-LV"/>
        </w:rPr>
        <w:t xml:space="preserve"> </w:t>
      </w:r>
      <w:r w:rsidRPr="005274A4">
        <w:rPr>
          <w:b/>
          <w:noProof/>
          <w:lang w:val="lv-LV"/>
        </w:rPr>
        <w:t>vairāk nekā noteikts</w:t>
      </w:r>
    </w:p>
    <w:p w14:paraId="3BCEE1CD" w14:textId="77777777" w:rsidR="0023125A" w:rsidRPr="005274A4" w:rsidRDefault="0023125A" w:rsidP="0023125A">
      <w:pPr>
        <w:numPr>
          <w:ilvl w:val="12"/>
          <w:numId w:val="0"/>
        </w:numPr>
        <w:ind w:left="567" w:hanging="567"/>
        <w:rPr>
          <w:noProof/>
          <w:lang w:val="lv-LV"/>
        </w:rPr>
      </w:pPr>
      <w:r w:rsidRPr="005274A4">
        <w:rPr>
          <w:noProof/>
          <w:lang w:val="lv-LV"/>
        </w:rPr>
        <w:t>Nav ziņojumu par pārdozēšanas gadījumiem.</w:t>
      </w:r>
    </w:p>
    <w:p w14:paraId="0AB95B14" w14:textId="77777777" w:rsidR="0023125A" w:rsidRPr="005274A4" w:rsidRDefault="0023125A" w:rsidP="0023125A">
      <w:pPr>
        <w:numPr>
          <w:ilvl w:val="12"/>
          <w:numId w:val="0"/>
        </w:numPr>
        <w:ind w:left="567" w:hanging="567"/>
        <w:rPr>
          <w:noProof/>
          <w:lang w:val="lv-LV"/>
        </w:rPr>
      </w:pPr>
    </w:p>
    <w:p w14:paraId="03E7CD6F" w14:textId="77777777" w:rsidR="0023125A" w:rsidRDefault="0023125A" w:rsidP="0023125A">
      <w:pPr>
        <w:numPr>
          <w:ilvl w:val="12"/>
          <w:numId w:val="0"/>
        </w:numPr>
        <w:ind w:left="567" w:hanging="567"/>
        <w:rPr>
          <w:noProof/>
          <w:lang w:val="lv-LV"/>
        </w:rPr>
      </w:pPr>
      <w:r w:rsidRPr="005274A4">
        <w:rPr>
          <w:b/>
          <w:noProof/>
          <w:lang w:val="lv-LV"/>
        </w:rPr>
        <w:t xml:space="preserve">Ja esat aizmirsis lietot </w:t>
      </w:r>
      <w:r w:rsidRPr="005274A4">
        <w:rPr>
          <w:b/>
          <w:lang w:val="lv-LV"/>
        </w:rPr>
        <w:t>Discus compositum</w:t>
      </w:r>
      <w:r w:rsidRPr="005274A4">
        <w:rPr>
          <w:noProof/>
          <w:lang w:val="lv-LV"/>
        </w:rPr>
        <w:t xml:space="preserve"> </w:t>
      </w:r>
    </w:p>
    <w:p w14:paraId="6EC0D385" w14:textId="77777777" w:rsidR="0023125A" w:rsidRPr="005274A4" w:rsidRDefault="0023125A" w:rsidP="0023125A">
      <w:pPr>
        <w:numPr>
          <w:ilvl w:val="12"/>
          <w:numId w:val="0"/>
        </w:numPr>
        <w:ind w:left="567" w:hanging="567"/>
        <w:rPr>
          <w:noProof/>
          <w:lang w:val="lv-LV"/>
        </w:rPr>
      </w:pPr>
      <w:r w:rsidRPr="005274A4">
        <w:rPr>
          <w:noProof/>
          <w:lang w:val="lv-LV"/>
        </w:rPr>
        <w:t>Nelietojiet dubultu devu, lai aizvietotu aizmirsto devu.</w:t>
      </w:r>
    </w:p>
    <w:p w14:paraId="767F77FE" w14:textId="77777777" w:rsidR="0023125A" w:rsidRPr="005274A4" w:rsidRDefault="0023125A" w:rsidP="0023125A">
      <w:pPr>
        <w:numPr>
          <w:ilvl w:val="12"/>
          <w:numId w:val="0"/>
        </w:numPr>
        <w:ind w:left="567" w:hanging="567"/>
        <w:rPr>
          <w:noProof/>
          <w:lang w:val="lv-LV"/>
        </w:rPr>
      </w:pPr>
    </w:p>
    <w:p w14:paraId="132B5405" w14:textId="77777777" w:rsidR="0023125A" w:rsidRDefault="0023125A" w:rsidP="0023125A">
      <w:pPr>
        <w:numPr>
          <w:ilvl w:val="12"/>
          <w:numId w:val="0"/>
        </w:numPr>
        <w:ind w:left="567" w:hanging="567"/>
        <w:rPr>
          <w:noProof/>
          <w:lang w:val="lv-LV"/>
        </w:rPr>
      </w:pPr>
      <w:r w:rsidRPr="005274A4">
        <w:rPr>
          <w:b/>
          <w:noProof/>
          <w:lang w:val="lv-LV"/>
        </w:rPr>
        <w:t xml:space="preserve">Ja pārtraucat lietot </w:t>
      </w:r>
      <w:r w:rsidRPr="005274A4">
        <w:rPr>
          <w:b/>
          <w:lang w:val="lv-LV"/>
        </w:rPr>
        <w:t>Discus compositum</w:t>
      </w:r>
      <w:r w:rsidRPr="005274A4">
        <w:rPr>
          <w:noProof/>
          <w:lang w:val="lv-LV"/>
        </w:rPr>
        <w:t xml:space="preserve"> </w:t>
      </w:r>
    </w:p>
    <w:p w14:paraId="00430A54" w14:textId="228CC269" w:rsidR="0023125A" w:rsidRPr="005274A4" w:rsidRDefault="0023125A" w:rsidP="0023125A">
      <w:pPr>
        <w:numPr>
          <w:ilvl w:val="12"/>
          <w:numId w:val="0"/>
        </w:numPr>
        <w:ind w:left="567" w:hanging="567"/>
        <w:rPr>
          <w:noProof/>
          <w:lang w:val="lv-LV"/>
        </w:rPr>
      </w:pPr>
      <w:r w:rsidRPr="005274A4">
        <w:rPr>
          <w:noProof/>
          <w:lang w:val="lv-LV"/>
        </w:rPr>
        <w:t>Ja Jums ir kādi jautājumi par šo zāļu lietošanu, jautājiet ārstam</w:t>
      </w:r>
      <w:r w:rsidRPr="005274A4">
        <w:rPr>
          <w:lang w:val="lv-LV"/>
        </w:rPr>
        <w:t xml:space="preserve"> vai farmaceitam</w:t>
      </w:r>
      <w:r w:rsidRPr="005274A4">
        <w:rPr>
          <w:noProof/>
          <w:lang w:val="lv-LV"/>
        </w:rPr>
        <w:t>.</w:t>
      </w:r>
    </w:p>
    <w:p w14:paraId="26EFE912" w14:textId="77777777" w:rsidR="0023125A" w:rsidRDefault="0023125A" w:rsidP="0023125A">
      <w:pPr>
        <w:numPr>
          <w:ilvl w:val="12"/>
          <w:numId w:val="0"/>
        </w:numPr>
        <w:rPr>
          <w:noProof/>
          <w:lang w:val="lv-LV"/>
        </w:rPr>
      </w:pPr>
    </w:p>
    <w:p w14:paraId="5CCD25FD" w14:textId="77777777" w:rsidR="003C4421" w:rsidRPr="005274A4" w:rsidRDefault="003C4421" w:rsidP="0023125A">
      <w:pPr>
        <w:numPr>
          <w:ilvl w:val="12"/>
          <w:numId w:val="0"/>
        </w:numPr>
        <w:rPr>
          <w:noProof/>
          <w:lang w:val="lv-LV"/>
        </w:rPr>
      </w:pPr>
    </w:p>
    <w:p w14:paraId="453749F4" w14:textId="77777777" w:rsidR="0023125A" w:rsidRDefault="0023125A" w:rsidP="0023125A">
      <w:pPr>
        <w:ind w:left="567" w:hanging="567"/>
        <w:jc w:val="both"/>
        <w:rPr>
          <w:b/>
          <w:noProof/>
          <w:lang w:val="lv-LV"/>
        </w:rPr>
      </w:pPr>
      <w:r w:rsidRPr="005274A4">
        <w:rPr>
          <w:b/>
          <w:noProof/>
          <w:lang w:val="lv-LV"/>
        </w:rPr>
        <w:t>4.</w:t>
      </w:r>
      <w:r w:rsidRPr="005274A4">
        <w:rPr>
          <w:b/>
          <w:noProof/>
          <w:lang w:val="lv-LV"/>
        </w:rPr>
        <w:tab/>
      </w:r>
      <w:r w:rsidR="00546201">
        <w:rPr>
          <w:b/>
          <w:noProof/>
          <w:lang w:val="lv-LV"/>
        </w:rPr>
        <w:t>Iespējamās blakusparādības</w:t>
      </w:r>
    </w:p>
    <w:p w14:paraId="751CF6D2" w14:textId="77777777" w:rsidR="003C4421" w:rsidRPr="005274A4" w:rsidRDefault="003C4421" w:rsidP="0023125A">
      <w:pPr>
        <w:ind w:left="567" w:hanging="567"/>
        <w:jc w:val="both"/>
        <w:rPr>
          <w:b/>
          <w:noProof/>
          <w:lang w:val="lv-LV"/>
        </w:rPr>
      </w:pPr>
    </w:p>
    <w:p w14:paraId="7335C6AE" w14:textId="77777777" w:rsidR="003C4421" w:rsidRDefault="00546201" w:rsidP="00546201">
      <w:pPr>
        <w:numPr>
          <w:ilvl w:val="12"/>
          <w:numId w:val="0"/>
        </w:numPr>
        <w:ind w:left="567" w:hanging="567"/>
        <w:rPr>
          <w:noProof/>
          <w:lang w:val="lv-LV"/>
        </w:rPr>
      </w:pPr>
      <w:r w:rsidRPr="003C4421">
        <w:rPr>
          <w:noProof/>
          <w:lang w:val="lv-LV"/>
        </w:rPr>
        <w:t xml:space="preserve">Tāpat kā visas zāles, šīs zāles var izraisīt blakusparādības, kaut arī ne </w:t>
      </w:r>
    </w:p>
    <w:p w14:paraId="7113ECBB" w14:textId="77777777" w:rsidR="00546201" w:rsidRPr="003C4421" w:rsidRDefault="00546201" w:rsidP="00546201">
      <w:pPr>
        <w:numPr>
          <w:ilvl w:val="12"/>
          <w:numId w:val="0"/>
        </w:numPr>
        <w:ind w:left="567" w:hanging="567"/>
        <w:rPr>
          <w:noProof/>
          <w:lang w:val="lv-LV"/>
        </w:rPr>
      </w:pPr>
      <w:r w:rsidRPr="003C4421">
        <w:rPr>
          <w:noProof/>
          <w:lang w:val="lv-LV"/>
        </w:rPr>
        <w:t>visiem tās izpaužas.</w:t>
      </w:r>
    </w:p>
    <w:p w14:paraId="246DB4F3" w14:textId="77777777" w:rsidR="00546201" w:rsidRDefault="00546201" w:rsidP="0023125A">
      <w:pPr>
        <w:jc w:val="both"/>
        <w:rPr>
          <w:noProof/>
          <w:lang w:val="lv-LV"/>
        </w:rPr>
      </w:pPr>
    </w:p>
    <w:p w14:paraId="1FC3A13A" w14:textId="77777777" w:rsidR="00FA039E" w:rsidRDefault="0023125A" w:rsidP="0023125A">
      <w:pPr>
        <w:jc w:val="both"/>
        <w:rPr>
          <w:spacing w:val="-3"/>
          <w:w w:val="104"/>
          <w:lang w:val="lv-LV"/>
        </w:rPr>
      </w:pPr>
      <w:r>
        <w:rPr>
          <w:spacing w:val="-3"/>
          <w:w w:val="104"/>
          <w:lang w:val="lv-LV"/>
        </w:rPr>
        <w:t>Ļoti r</w:t>
      </w:r>
      <w:r w:rsidRPr="005274A4">
        <w:rPr>
          <w:spacing w:val="-3"/>
          <w:w w:val="104"/>
          <w:lang w:val="lv-LV"/>
        </w:rPr>
        <w:t>etos gadījumos</w:t>
      </w:r>
      <w:r>
        <w:rPr>
          <w:spacing w:val="-3"/>
          <w:w w:val="104"/>
          <w:lang w:val="lv-LV"/>
        </w:rPr>
        <w:t xml:space="preserve"> (sastop mazāk nekā 1 pacientam no 10 000)</w:t>
      </w:r>
      <w:r w:rsidRPr="005274A4">
        <w:rPr>
          <w:spacing w:val="-3"/>
          <w:w w:val="104"/>
          <w:lang w:val="lv-LV"/>
        </w:rPr>
        <w:t xml:space="preserve"> pēc </w:t>
      </w:r>
      <w:r>
        <w:rPr>
          <w:spacing w:val="-3"/>
          <w:w w:val="104"/>
          <w:lang w:val="lv-LV"/>
        </w:rPr>
        <w:t xml:space="preserve">hinīnu saturošu </w:t>
      </w:r>
      <w:r w:rsidRPr="005274A4">
        <w:rPr>
          <w:spacing w:val="-3"/>
          <w:w w:val="104"/>
          <w:lang w:val="lv-LV"/>
        </w:rPr>
        <w:t xml:space="preserve">zāļu lietošanas, </w:t>
      </w:r>
      <w:r w:rsidRPr="005274A4">
        <w:rPr>
          <w:lang w:val="lv-LV"/>
        </w:rPr>
        <w:t>iespējamas</w:t>
      </w:r>
      <w:r w:rsidRPr="005274A4">
        <w:rPr>
          <w:spacing w:val="-3"/>
          <w:w w:val="104"/>
          <w:lang w:val="lv-LV"/>
        </w:rPr>
        <w:t xml:space="preserve"> paaugstinātas jutības reakcijas, </w:t>
      </w:r>
      <w:r>
        <w:rPr>
          <w:spacing w:val="-3"/>
          <w:w w:val="104"/>
          <w:lang w:val="lv-LV"/>
        </w:rPr>
        <w:t>piemēram,</w:t>
      </w:r>
      <w:r w:rsidRPr="005274A4">
        <w:rPr>
          <w:spacing w:val="-3"/>
          <w:w w:val="104"/>
          <w:lang w:val="lv-LV"/>
        </w:rPr>
        <w:t xml:space="preserve"> ādas alerģija vai drudzis. Šādos gadījumos jums jākonsultējas ar ārstu.</w:t>
      </w:r>
      <w:r w:rsidR="00546201">
        <w:rPr>
          <w:spacing w:val="-3"/>
          <w:w w:val="104"/>
          <w:lang w:val="lv-LV"/>
        </w:rPr>
        <w:t xml:space="preserve"> </w:t>
      </w:r>
    </w:p>
    <w:p w14:paraId="2F0CE478" w14:textId="77777777" w:rsidR="0023125A" w:rsidRDefault="0023125A" w:rsidP="0023125A">
      <w:pPr>
        <w:jc w:val="both"/>
        <w:rPr>
          <w:spacing w:val="-3"/>
          <w:w w:val="104"/>
          <w:lang w:val="lv-LV"/>
        </w:rPr>
      </w:pPr>
      <w:r w:rsidRPr="005274A4">
        <w:rPr>
          <w:spacing w:val="-3"/>
          <w:w w:val="104"/>
          <w:lang w:val="lv-LV"/>
        </w:rPr>
        <w:t>Piezīme:</w:t>
      </w:r>
      <w:r w:rsidRPr="005274A4">
        <w:rPr>
          <w:lang w:val="lv-LV"/>
        </w:rPr>
        <w:t xml:space="preserve"> </w:t>
      </w:r>
      <w:r w:rsidR="007B2411">
        <w:rPr>
          <w:lang w:val="lv-LV"/>
        </w:rPr>
        <w:t>i</w:t>
      </w:r>
      <w:r w:rsidRPr="005274A4">
        <w:rPr>
          <w:lang w:val="lv-LV"/>
        </w:rPr>
        <w:t>espējama</w:t>
      </w:r>
      <w:r w:rsidRPr="005274A4">
        <w:rPr>
          <w:spacing w:val="-3"/>
          <w:w w:val="104"/>
          <w:lang w:val="lv-LV"/>
        </w:rPr>
        <w:t xml:space="preserve"> </w:t>
      </w:r>
      <w:r>
        <w:rPr>
          <w:lang w:val="lv-LV"/>
        </w:rPr>
        <w:t>sensibilizācijas veidošanās</w:t>
      </w:r>
      <w:r w:rsidRPr="005274A4">
        <w:rPr>
          <w:lang w:val="lv-LV"/>
        </w:rPr>
        <w:t xml:space="preserve"> </w:t>
      </w:r>
      <w:r w:rsidRPr="005274A4">
        <w:rPr>
          <w:spacing w:val="-3"/>
          <w:w w:val="104"/>
          <w:lang w:val="lv-LV"/>
        </w:rPr>
        <w:t>pret hinīnu vai hinidīnu.</w:t>
      </w:r>
    </w:p>
    <w:p w14:paraId="1CA5A47D" w14:textId="77777777" w:rsidR="00546201" w:rsidRDefault="00546201" w:rsidP="0023125A">
      <w:pPr>
        <w:jc w:val="both"/>
        <w:rPr>
          <w:spacing w:val="-3"/>
          <w:w w:val="104"/>
          <w:lang w:val="lv-LV"/>
        </w:rPr>
      </w:pPr>
    </w:p>
    <w:p w14:paraId="19A42189" w14:textId="77777777" w:rsidR="00546201" w:rsidRPr="00EA79B1" w:rsidRDefault="00546201" w:rsidP="00546201">
      <w:pPr>
        <w:numPr>
          <w:ilvl w:val="12"/>
          <w:numId w:val="0"/>
        </w:numPr>
        <w:outlineLvl w:val="0"/>
        <w:rPr>
          <w:b/>
          <w:szCs w:val="22"/>
          <w:lang w:val="lv-LV"/>
        </w:rPr>
      </w:pPr>
      <w:r w:rsidRPr="00EA79B1">
        <w:rPr>
          <w:b/>
          <w:szCs w:val="22"/>
          <w:lang w:val="lv-LV"/>
        </w:rPr>
        <w:t>Ziņošana par blakusparādībām</w:t>
      </w:r>
    </w:p>
    <w:p w14:paraId="48A73B3E" w14:textId="0E845F81" w:rsidR="00FA039E" w:rsidRDefault="00FA039E" w:rsidP="00FA039E">
      <w:pPr>
        <w:widowControl w:val="0"/>
        <w:spacing w:after="236" w:line="274" w:lineRule="exact"/>
        <w:ind w:left="20" w:right="40"/>
        <w:rPr>
          <w:color w:val="000000"/>
          <w:lang w:val="lv" w:eastAsia="ja-JP"/>
        </w:rPr>
      </w:pPr>
      <w:r w:rsidRPr="00C510A5">
        <w:rPr>
          <w:color w:val="000000"/>
          <w:lang w:val="lv" w:eastAsia="ja-JP"/>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Tīmekļa vietne: www.zva.gov.lv. </w:t>
      </w:r>
    </w:p>
    <w:p w14:paraId="52989562" w14:textId="77777777" w:rsidR="00FA039E" w:rsidRDefault="00FA039E" w:rsidP="00FA039E">
      <w:pPr>
        <w:widowControl w:val="0"/>
        <w:tabs>
          <w:tab w:val="left" w:pos="582"/>
        </w:tabs>
        <w:spacing w:line="278" w:lineRule="exact"/>
        <w:rPr>
          <w:color w:val="000000"/>
          <w:lang w:val="lv" w:eastAsia="ja-JP"/>
        </w:rPr>
      </w:pPr>
      <w:r w:rsidRPr="00C510A5">
        <w:rPr>
          <w:color w:val="000000"/>
          <w:lang w:val="lv" w:eastAsia="ja-JP"/>
        </w:rPr>
        <w:t>Ziņojot par blakusparādībām, Jūs varat palīdzēt nodrošināt daudz plašāku informāciju par šo zāļu drošumu.</w:t>
      </w:r>
    </w:p>
    <w:p w14:paraId="42A7C4F7" w14:textId="77777777" w:rsidR="00EA79B1" w:rsidRDefault="00EA79B1" w:rsidP="0023125A">
      <w:pPr>
        <w:tabs>
          <w:tab w:val="left" w:pos="3660"/>
        </w:tabs>
        <w:autoSpaceDE w:val="0"/>
        <w:autoSpaceDN w:val="0"/>
        <w:adjustRightInd w:val="0"/>
        <w:jc w:val="both"/>
        <w:rPr>
          <w:lang w:val="lv-LV"/>
        </w:rPr>
      </w:pPr>
    </w:p>
    <w:p w14:paraId="5AF64092" w14:textId="77777777" w:rsidR="0023125A" w:rsidRPr="005274A4" w:rsidRDefault="0023125A" w:rsidP="0023125A">
      <w:pPr>
        <w:tabs>
          <w:tab w:val="left" w:pos="3660"/>
        </w:tabs>
        <w:autoSpaceDE w:val="0"/>
        <w:autoSpaceDN w:val="0"/>
        <w:adjustRightInd w:val="0"/>
        <w:jc w:val="both"/>
        <w:rPr>
          <w:lang w:val="lv-LV"/>
        </w:rPr>
      </w:pPr>
      <w:r w:rsidRPr="005274A4">
        <w:rPr>
          <w:lang w:val="lv-LV"/>
        </w:rPr>
        <w:tab/>
      </w:r>
    </w:p>
    <w:p w14:paraId="341813D5" w14:textId="77777777" w:rsidR="0023125A" w:rsidRDefault="0023125A" w:rsidP="0023125A">
      <w:pPr>
        <w:numPr>
          <w:ilvl w:val="12"/>
          <w:numId w:val="0"/>
        </w:numPr>
        <w:ind w:left="567" w:hanging="567"/>
        <w:rPr>
          <w:b/>
          <w:noProof/>
          <w:lang w:val="lv-LV"/>
        </w:rPr>
      </w:pPr>
      <w:r w:rsidRPr="005274A4">
        <w:rPr>
          <w:b/>
          <w:noProof/>
          <w:lang w:val="lv-LV"/>
        </w:rPr>
        <w:t>5.</w:t>
      </w:r>
      <w:r w:rsidRPr="005274A4">
        <w:rPr>
          <w:b/>
          <w:noProof/>
          <w:lang w:val="lv-LV"/>
        </w:rPr>
        <w:tab/>
      </w:r>
      <w:r w:rsidR="00546201">
        <w:rPr>
          <w:b/>
          <w:noProof/>
          <w:lang w:val="lv-LV"/>
        </w:rPr>
        <w:t xml:space="preserve">Kā uzglabāt Discus compositum </w:t>
      </w:r>
    </w:p>
    <w:p w14:paraId="1ABD9059" w14:textId="77777777" w:rsidR="00426B5A" w:rsidRPr="005274A4" w:rsidRDefault="00426B5A" w:rsidP="0023125A">
      <w:pPr>
        <w:numPr>
          <w:ilvl w:val="12"/>
          <w:numId w:val="0"/>
        </w:numPr>
        <w:ind w:left="567" w:hanging="567"/>
        <w:rPr>
          <w:b/>
          <w:noProof/>
          <w:lang w:val="lv-LV"/>
        </w:rPr>
      </w:pPr>
    </w:p>
    <w:p w14:paraId="7557621F" w14:textId="1C717E82" w:rsidR="0023125A" w:rsidRDefault="00546201" w:rsidP="00426B5A">
      <w:pPr>
        <w:numPr>
          <w:ilvl w:val="12"/>
          <w:numId w:val="0"/>
        </w:numPr>
        <w:rPr>
          <w:noProof/>
          <w:lang w:val="lv-LV"/>
        </w:rPr>
      </w:pPr>
      <w:r w:rsidRPr="00426B5A">
        <w:rPr>
          <w:noProof/>
          <w:lang w:val="lv-LV"/>
        </w:rPr>
        <w:t>Uzglabāt bērniem neredzamā un nepieejamā vietā.</w:t>
      </w:r>
    </w:p>
    <w:p w14:paraId="490F11A0" w14:textId="0D0AFF0E" w:rsidR="0092140E" w:rsidRPr="005274A4" w:rsidRDefault="000E4FAB" w:rsidP="005C70A3">
      <w:pPr>
        <w:autoSpaceDE w:val="0"/>
        <w:autoSpaceDN w:val="0"/>
        <w:adjustRightInd w:val="0"/>
        <w:jc w:val="both"/>
        <w:rPr>
          <w:noProof/>
          <w:lang w:val="lv-LV"/>
        </w:rPr>
      </w:pPr>
      <w:r>
        <w:rPr>
          <w:noProof/>
          <w:lang w:val="lv-LV"/>
        </w:rPr>
        <w:t>Šīm z</w:t>
      </w:r>
      <w:r w:rsidR="0092140E" w:rsidRPr="005274A4">
        <w:rPr>
          <w:noProof/>
          <w:lang w:val="lv-LV"/>
        </w:rPr>
        <w:t>ālēm nav nepieciešami īpaši uzglabāšanas apstākļi.</w:t>
      </w:r>
    </w:p>
    <w:p w14:paraId="345C3D84" w14:textId="3D2BAA72" w:rsidR="0089081F" w:rsidRDefault="0089081F" w:rsidP="0023125A">
      <w:pPr>
        <w:autoSpaceDE w:val="0"/>
        <w:autoSpaceDN w:val="0"/>
        <w:adjustRightInd w:val="0"/>
        <w:jc w:val="both"/>
        <w:rPr>
          <w:noProof/>
          <w:lang w:val="lv-LV"/>
        </w:rPr>
      </w:pPr>
      <w:r w:rsidRPr="0089081F">
        <w:rPr>
          <w:noProof/>
          <w:lang w:val="lv-LV"/>
        </w:rPr>
        <w:t>Nelietot pēc derīguma termiņa beigām, kas norādīts uz kastītes pēc “Derīgs līdz”</w:t>
      </w:r>
      <w:r w:rsidR="00A97F63">
        <w:rPr>
          <w:noProof/>
          <w:lang w:val="lv-LV"/>
        </w:rPr>
        <w:t xml:space="preserve"> un uzlīmes uz ampulas pēc “Der.līdz:”</w:t>
      </w:r>
      <w:r w:rsidRPr="0089081F">
        <w:rPr>
          <w:noProof/>
          <w:lang w:val="lv-LV"/>
        </w:rPr>
        <w:t>.</w:t>
      </w:r>
    </w:p>
    <w:p w14:paraId="51B0CD57" w14:textId="77777777" w:rsidR="0023125A" w:rsidRPr="00426B5A" w:rsidRDefault="00546201" w:rsidP="0023125A">
      <w:pPr>
        <w:autoSpaceDE w:val="0"/>
        <w:autoSpaceDN w:val="0"/>
        <w:adjustRightInd w:val="0"/>
        <w:jc w:val="both"/>
        <w:rPr>
          <w:noProof/>
          <w:lang w:val="lv-LV"/>
        </w:rPr>
      </w:pPr>
      <w:r w:rsidRPr="0089081F">
        <w:rPr>
          <w:noProof/>
          <w:lang w:val="lv-LV"/>
        </w:rPr>
        <w:t>Derīguma termiņš attiecas uz norādītā mēneša pēdējo dienu.</w:t>
      </w:r>
    </w:p>
    <w:p w14:paraId="06C25B06" w14:textId="77777777" w:rsidR="00546201" w:rsidRPr="005274A4" w:rsidRDefault="00546201" w:rsidP="0023125A">
      <w:pPr>
        <w:autoSpaceDE w:val="0"/>
        <w:autoSpaceDN w:val="0"/>
        <w:adjustRightInd w:val="0"/>
        <w:jc w:val="both"/>
        <w:rPr>
          <w:noProof/>
          <w:lang w:val="lv-LV"/>
        </w:rPr>
      </w:pPr>
    </w:p>
    <w:p w14:paraId="1B7E25FA" w14:textId="77777777" w:rsidR="00546201" w:rsidRPr="00426B5A" w:rsidRDefault="00546201" w:rsidP="00546201">
      <w:pPr>
        <w:numPr>
          <w:ilvl w:val="12"/>
          <w:numId w:val="0"/>
        </w:numPr>
        <w:rPr>
          <w:noProof/>
          <w:lang w:val="lv-LV"/>
        </w:rPr>
      </w:pPr>
      <w:r w:rsidRPr="00426B5A">
        <w:rPr>
          <w:noProof/>
          <w:lang w:val="lv-LV"/>
        </w:rPr>
        <w:t>Neizmetiet zāles kanalizācijā vai sadzīves atkritumos. Vaicājiet farmaceitam, kā izmest zāles, kuras vairs nelietojat. Šie pasākumi palīdzēs aizsargāt apkārtējo vidi.</w:t>
      </w:r>
    </w:p>
    <w:p w14:paraId="5183A9C2" w14:textId="77777777" w:rsidR="00546201" w:rsidRPr="005274A4" w:rsidRDefault="00546201" w:rsidP="0023125A">
      <w:pPr>
        <w:autoSpaceDE w:val="0"/>
        <w:autoSpaceDN w:val="0"/>
        <w:adjustRightInd w:val="0"/>
        <w:jc w:val="both"/>
        <w:rPr>
          <w:noProof/>
          <w:lang w:val="lv-LV"/>
        </w:rPr>
      </w:pPr>
    </w:p>
    <w:p w14:paraId="43144B52" w14:textId="77777777" w:rsidR="0023125A" w:rsidRPr="005274A4" w:rsidRDefault="0023125A" w:rsidP="0023125A">
      <w:pPr>
        <w:autoSpaceDE w:val="0"/>
        <w:autoSpaceDN w:val="0"/>
        <w:adjustRightInd w:val="0"/>
        <w:jc w:val="both"/>
        <w:rPr>
          <w:noProof/>
          <w:lang w:val="lv-LV"/>
        </w:rPr>
      </w:pPr>
    </w:p>
    <w:p w14:paraId="7C9A6C71" w14:textId="77777777" w:rsidR="00F27EF6" w:rsidRPr="00426B5A" w:rsidRDefault="0023125A" w:rsidP="00F27EF6">
      <w:pPr>
        <w:numPr>
          <w:ilvl w:val="12"/>
          <w:numId w:val="0"/>
        </w:numPr>
        <w:ind w:left="567" w:hanging="567"/>
        <w:rPr>
          <w:b/>
          <w:noProof/>
          <w:lang w:val="lv-LV"/>
        </w:rPr>
      </w:pPr>
      <w:r w:rsidRPr="005274A4">
        <w:rPr>
          <w:b/>
          <w:noProof/>
          <w:lang w:val="lv-LV"/>
        </w:rPr>
        <w:t>6.</w:t>
      </w:r>
      <w:r w:rsidRPr="005274A4">
        <w:rPr>
          <w:b/>
          <w:noProof/>
          <w:lang w:val="lv-LV"/>
        </w:rPr>
        <w:tab/>
      </w:r>
      <w:r w:rsidR="002A57AC">
        <w:rPr>
          <w:b/>
          <w:noProof/>
          <w:lang w:val="lv-LV"/>
        </w:rPr>
        <w:t>Iepakojuma saturs un cita</w:t>
      </w:r>
      <w:r w:rsidR="00426B5A" w:rsidRPr="00426B5A">
        <w:rPr>
          <w:b/>
          <w:noProof/>
          <w:lang w:val="lv-LV"/>
        </w:rPr>
        <w:t xml:space="preserve"> </w:t>
      </w:r>
      <w:r w:rsidR="00F27EF6" w:rsidRPr="00426B5A">
        <w:rPr>
          <w:b/>
          <w:noProof/>
          <w:lang w:val="lv-LV"/>
        </w:rPr>
        <w:t>informācija</w:t>
      </w:r>
      <w:r w:rsidR="00F27EF6" w:rsidRPr="00426B5A" w:rsidDel="00D6219F">
        <w:rPr>
          <w:b/>
          <w:noProof/>
          <w:lang w:val="lv-LV"/>
        </w:rPr>
        <w:t xml:space="preserve"> </w:t>
      </w:r>
    </w:p>
    <w:p w14:paraId="4B3F1B38" w14:textId="77777777" w:rsidR="0023125A" w:rsidRPr="005274A4" w:rsidRDefault="0023125A" w:rsidP="0023125A">
      <w:pPr>
        <w:numPr>
          <w:ilvl w:val="12"/>
          <w:numId w:val="0"/>
        </w:numPr>
        <w:ind w:left="567" w:hanging="567"/>
        <w:rPr>
          <w:b/>
          <w:noProof/>
          <w:lang w:val="lv-LV"/>
        </w:rPr>
      </w:pPr>
    </w:p>
    <w:p w14:paraId="4F040A09" w14:textId="77777777" w:rsidR="0023125A" w:rsidRPr="005274A4" w:rsidRDefault="0023125A" w:rsidP="0023125A">
      <w:pPr>
        <w:numPr>
          <w:ilvl w:val="12"/>
          <w:numId w:val="0"/>
        </w:numPr>
        <w:ind w:left="567" w:hanging="567"/>
        <w:rPr>
          <w:b/>
          <w:noProof/>
          <w:lang w:val="lv-LV"/>
        </w:rPr>
      </w:pPr>
      <w:r w:rsidRPr="005274A4">
        <w:rPr>
          <w:b/>
          <w:noProof/>
          <w:lang w:val="lv-LV"/>
        </w:rPr>
        <w:t xml:space="preserve">Ko </w:t>
      </w:r>
      <w:r w:rsidRPr="005274A4">
        <w:rPr>
          <w:b/>
          <w:lang w:val="lv-LV"/>
        </w:rPr>
        <w:t>Discus compositum</w:t>
      </w:r>
      <w:r w:rsidRPr="005274A4">
        <w:rPr>
          <w:b/>
          <w:noProof/>
          <w:lang w:val="lv-LV"/>
        </w:rPr>
        <w:t xml:space="preserve"> satur</w:t>
      </w:r>
    </w:p>
    <w:p w14:paraId="6901DB2D" w14:textId="77777777" w:rsidR="0023125A" w:rsidRPr="00426B5A" w:rsidRDefault="00FA039E" w:rsidP="002016A4">
      <w:pPr>
        <w:pStyle w:val="ListParagraph"/>
        <w:numPr>
          <w:ilvl w:val="0"/>
          <w:numId w:val="4"/>
        </w:numPr>
        <w:rPr>
          <w:lang w:val="lv-LV"/>
        </w:rPr>
      </w:pPr>
      <w:r w:rsidRPr="00426B5A">
        <w:rPr>
          <w:lang w:val="lv-LV"/>
        </w:rPr>
        <w:t xml:space="preserve">1 </w:t>
      </w:r>
      <w:r w:rsidR="0023125A" w:rsidRPr="00426B5A">
        <w:rPr>
          <w:lang w:val="lv-LV"/>
        </w:rPr>
        <w:t>ampula 2,2 ml (=2,2 g) satur aktīvās vielas:</w:t>
      </w:r>
    </w:p>
    <w:p w14:paraId="07423A5F" w14:textId="6082FE8A" w:rsidR="0023125A" w:rsidRDefault="0023125A" w:rsidP="002016A4">
      <w:pPr>
        <w:pStyle w:val="ListParagraph"/>
        <w:jc w:val="both"/>
        <w:rPr>
          <w:color w:val="000000"/>
          <w:lang w:val="lv-LV"/>
        </w:rPr>
      </w:pPr>
      <w:r w:rsidRPr="002016A4">
        <w:rPr>
          <w:color w:val="000000"/>
          <w:lang w:val="lv-LV"/>
        </w:rPr>
        <w:t>Discus intervertebralis suis D8 22 mg, Acidum ascorbicum</w:t>
      </w:r>
      <w:r w:rsidR="000E4FAB">
        <w:rPr>
          <w:color w:val="000000"/>
          <w:lang w:val="lv-LV"/>
        </w:rPr>
        <w:t xml:space="preserve"> </w:t>
      </w:r>
      <w:r w:rsidRPr="002016A4">
        <w:rPr>
          <w:color w:val="000000"/>
          <w:lang w:val="lv-LV"/>
        </w:rPr>
        <w:t>D6 22</w:t>
      </w:r>
      <w:r w:rsidR="000E4FAB">
        <w:rPr>
          <w:color w:val="000000"/>
          <w:lang w:val="lv-LV"/>
        </w:rPr>
        <w:t xml:space="preserve"> </w:t>
      </w:r>
      <w:r w:rsidRPr="002016A4">
        <w:rPr>
          <w:color w:val="000000"/>
          <w:lang w:val="lv-LV"/>
        </w:rPr>
        <w:t>mg, Thiaminum hydrochloricum D6 22 mg, Natrium riboflavinum phosphoricum D6 22 mg, Pyridoxinum hydrochloricum D6 22 mg, Nicotinamidum D6 22 mg, Funiculus umbilicalis suis D10 22</w:t>
      </w:r>
      <w:r w:rsidR="000E4FAB">
        <w:rPr>
          <w:color w:val="000000"/>
          <w:lang w:val="lv-LV"/>
        </w:rPr>
        <w:t> </w:t>
      </w:r>
      <w:r w:rsidRPr="002016A4">
        <w:rPr>
          <w:color w:val="000000"/>
          <w:lang w:val="lv-LV"/>
        </w:rPr>
        <w:t>mg, Cartilago suis D8 22 mg, Medulla ossis suis D10 22 mg, Embryo totalis suis D10 22</w:t>
      </w:r>
      <w:r w:rsidR="000E4FAB">
        <w:rPr>
          <w:color w:val="000000"/>
          <w:lang w:val="lv-LV"/>
        </w:rPr>
        <w:t> </w:t>
      </w:r>
      <w:r w:rsidRPr="002016A4">
        <w:rPr>
          <w:color w:val="000000"/>
          <w:lang w:val="lv-LV"/>
        </w:rPr>
        <w:t>mg, Glandula suprarenalis suis D10 22 mg, Pulsatilla pratensis D6 22 mg, Hydrargyrum oxydatum rubrum D10 22 mg, Sulfur D28 22 mg, Cimicifuga racemosa D4 22 mg, Ledum palustre D4 22 mg, Pseudognaphalium obtusifolium D3 22 mg, Citrullus colocynthis D4 22</w:t>
      </w:r>
      <w:r w:rsidR="000E4FAB">
        <w:rPr>
          <w:color w:val="000000"/>
          <w:lang w:val="lv-LV"/>
        </w:rPr>
        <w:t> </w:t>
      </w:r>
      <w:r w:rsidRPr="002016A4">
        <w:rPr>
          <w:color w:val="000000"/>
          <w:lang w:val="lv-LV"/>
        </w:rPr>
        <w:t>mg, Secale cornutum D6 22 mg, Argentum metallicum D10 22 mg, Zincum metallicum D10 22</w:t>
      </w:r>
      <w:r w:rsidR="000E4FAB">
        <w:rPr>
          <w:color w:val="000000"/>
          <w:lang w:val="lv-LV"/>
        </w:rPr>
        <w:t xml:space="preserve"> </w:t>
      </w:r>
      <w:r w:rsidRPr="002016A4">
        <w:rPr>
          <w:color w:val="000000"/>
          <w:lang w:val="lv-LV"/>
        </w:rPr>
        <w:t>mg,</w:t>
      </w:r>
      <w:r w:rsidR="000E4FAB">
        <w:rPr>
          <w:color w:val="000000"/>
          <w:lang w:val="lv-LV"/>
        </w:rPr>
        <w:t xml:space="preserve"> </w:t>
      </w:r>
      <w:r w:rsidRPr="002016A4">
        <w:rPr>
          <w:color w:val="000000"/>
          <w:lang w:val="lv-LV"/>
        </w:rPr>
        <w:t>Cuprum aceticum D6 22 mg, Aesculus hippocastanum</w:t>
      </w:r>
      <w:r w:rsidR="000E4FAB">
        <w:rPr>
          <w:color w:val="000000"/>
          <w:lang w:val="lv-LV"/>
        </w:rPr>
        <w:t xml:space="preserve"> </w:t>
      </w:r>
      <w:r w:rsidRPr="002016A4">
        <w:rPr>
          <w:color w:val="000000"/>
          <w:lang w:val="lv-LV"/>
        </w:rPr>
        <w:t>D6 22 mg, Medorrhinum-Nosode D18 22 mg, Ranunculus bulbosus D4 22 mg, Ammonium chloratum</w:t>
      </w:r>
      <w:r w:rsidR="000E4FAB">
        <w:rPr>
          <w:color w:val="000000"/>
          <w:lang w:val="lv-LV"/>
        </w:rPr>
        <w:t xml:space="preserve"> </w:t>
      </w:r>
      <w:r w:rsidRPr="002016A4">
        <w:rPr>
          <w:color w:val="000000"/>
          <w:lang w:val="lv-LV"/>
        </w:rPr>
        <w:t xml:space="preserve">D8 22 mg, Cinchona pubescens D4 22 mg, Kalium carbonicum D6 22 mg, Sepia officinalis D10 22 mg, Acidum picrinicum D6 22 mg, Berberis vulgaris D4 22 mg, Acidum silicicum D6 22 mg, </w:t>
      </w:r>
      <w:r w:rsidRPr="002016A4">
        <w:rPr>
          <w:color w:val="000000"/>
          <w:lang w:val="lv-LV"/>
        </w:rPr>
        <w:lastRenderedPageBreak/>
        <w:t>Calcium phosphoricum D10 22 mg, Acidum DL-alpha-liponicum D8 22 mg, Natrium diethyloxalaceticum D6 22 mg, Nadidum D6 22 mg, Coenzymum A D10 22 mg</w:t>
      </w:r>
      <w:r w:rsidR="00ED4CE3">
        <w:rPr>
          <w:color w:val="000000"/>
          <w:lang w:val="lv-LV"/>
        </w:rPr>
        <w:t>.</w:t>
      </w:r>
    </w:p>
    <w:p w14:paraId="52EDA592" w14:textId="1C6BE2E1" w:rsidR="0023125A" w:rsidRPr="00426B5A" w:rsidRDefault="0023125A" w:rsidP="002016A4">
      <w:pPr>
        <w:pStyle w:val="ListParagraph"/>
        <w:numPr>
          <w:ilvl w:val="0"/>
          <w:numId w:val="4"/>
        </w:numPr>
        <w:jc w:val="both"/>
        <w:rPr>
          <w:color w:val="000000"/>
          <w:lang w:val="lv-LV"/>
        </w:rPr>
      </w:pPr>
      <w:r w:rsidRPr="00426B5A">
        <w:rPr>
          <w:lang w:val="lv-LV"/>
        </w:rPr>
        <w:t>Citas sastāvdaļas</w:t>
      </w:r>
      <w:r w:rsidR="00FA039E" w:rsidRPr="00426B5A">
        <w:rPr>
          <w:lang w:val="lv-LV"/>
        </w:rPr>
        <w:t xml:space="preserve"> ir</w:t>
      </w:r>
      <w:r w:rsidRPr="00426B5A">
        <w:rPr>
          <w:lang w:val="lv-LV"/>
        </w:rPr>
        <w:t xml:space="preserve"> n</w:t>
      </w:r>
      <w:r w:rsidRPr="00426B5A">
        <w:rPr>
          <w:color w:val="000000"/>
          <w:w w:val="104"/>
          <w:lang w:val="lv-LV"/>
        </w:rPr>
        <w:t>ā</w:t>
      </w:r>
      <w:r w:rsidRPr="00426B5A">
        <w:rPr>
          <w:lang w:val="lv-LV"/>
        </w:rPr>
        <w:t>trija hlor</w:t>
      </w:r>
      <w:r w:rsidRPr="00426B5A">
        <w:rPr>
          <w:color w:val="000000"/>
          <w:w w:val="104"/>
          <w:lang w:val="lv-LV"/>
        </w:rPr>
        <w:t>īd</w:t>
      </w:r>
      <w:r w:rsidRPr="00426B5A">
        <w:rPr>
          <w:lang w:val="lv-LV"/>
        </w:rPr>
        <w:t>s, ūdens injekcijām.</w:t>
      </w:r>
    </w:p>
    <w:p w14:paraId="01F5B373" w14:textId="77777777" w:rsidR="0023125A" w:rsidRPr="005274A4" w:rsidRDefault="0023125A" w:rsidP="0023125A">
      <w:pPr>
        <w:autoSpaceDE w:val="0"/>
        <w:autoSpaceDN w:val="0"/>
        <w:adjustRightInd w:val="0"/>
        <w:rPr>
          <w:b/>
          <w:lang w:val="lv-LV"/>
        </w:rPr>
      </w:pPr>
    </w:p>
    <w:p w14:paraId="49F1FB59" w14:textId="77777777" w:rsidR="0023125A" w:rsidRPr="005274A4" w:rsidRDefault="0023125A" w:rsidP="0023125A">
      <w:pPr>
        <w:autoSpaceDE w:val="0"/>
        <w:autoSpaceDN w:val="0"/>
        <w:adjustRightInd w:val="0"/>
        <w:rPr>
          <w:b/>
          <w:noProof/>
          <w:lang w:val="lv-LV"/>
        </w:rPr>
      </w:pPr>
      <w:r w:rsidRPr="005274A4">
        <w:rPr>
          <w:b/>
          <w:lang w:val="lv-LV"/>
        </w:rPr>
        <w:t>Discus compositum</w:t>
      </w:r>
      <w:r w:rsidRPr="005274A4">
        <w:rPr>
          <w:noProof/>
          <w:lang w:val="lv-LV"/>
        </w:rPr>
        <w:t xml:space="preserve"> </w:t>
      </w:r>
      <w:r w:rsidRPr="005274A4">
        <w:rPr>
          <w:b/>
          <w:noProof/>
          <w:lang w:val="lv-LV"/>
        </w:rPr>
        <w:t>ārējais izskats un iepakojums</w:t>
      </w:r>
    </w:p>
    <w:p w14:paraId="379498F5" w14:textId="09F54A8D" w:rsidR="0023125A" w:rsidRDefault="0092140E" w:rsidP="0023125A">
      <w:pPr>
        <w:rPr>
          <w:lang w:val="lv-LV"/>
        </w:rPr>
      </w:pPr>
      <w:r w:rsidRPr="0092140E">
        <w:rPr>
          <w:lang w:val="lv-LV"/>
        </w:rPr>
        <w:t xml:space="preserve">Iepakojuma lielumi 10  vai 100 stikla (I klase) ampulas pa 2,2 ml </w:t>
      </w:r>
      <w:r w:rsidR="00E85773">
        <w:rPr>
          <w:lang w:val="lv-LV"/>
        </w:rPr>
        <w:t>katrā</w:t>
      </w:r>
      <w:r w:rsidRPr="0092140E">
        <w:rPr>
          <w:lang w:val="lv-LV"/>
        </w:rPr>
        <w:t xml:space="preserve"> ampulā. Ampulas iepakotas kartona kastē</w:t>
      </w:r>
      <w:r w:rsidR="005C70A3">
        <w:rPr>
          <w:lang w:val="lv-LV"/>
        </w:rPr>
        <w:t>.</w:t>
      </w:r>
    </w:p>
    <w:p w14:paraId="36F36844" w14:textId="77777777" w:rsidR="005C70A3" w:rsidRPr="005274A4" w:rsidRDefault="005C70A3" w:rsidP="0023125A">
      <w:pPr>
        <w:rPr>
          <w:bCs/>
          <w:noProof/>
          <w:color w:val="FF0000"/>
          <w:lang w:val="lv-LV"/>
        </w:rPr>
      </w:pPr>
    </w:p>
    <w:p w14:paraId="5ABCB24A" w14:textId="2239BB32" w:rsidR="0023125A" w:rsidRPr="005274A4" w:rsidRDefault="0023125A" w:rsidP="0023125A">
      <w:pPr>
        <w:autoSpaceDE w:val="0"/>
        <w:autoSpaceDN w:val="0"/>
        <w:adjustRightInd w:val="0"/>
        <w:rPr>
          <w:lang w:val="lv-LV"/>
        </w:rPr>
      </w:pPr>
      <w:r w:rsidRPr="005274A4">
        <w:rPr>
          <w:b/>
          <w:noProof/>
          <w:lang w:val="lv-LV"/>
        </w:rPr>
        <w:t xml:space="preserve">Reģistrācijas apliecības īpašnieks un ražotājs                        </w:t>
      </w:r>
    </w:p>
    <w:p w14:paraId="5CB33560" w14:textId="77777777" w:rsidR="0023125A" w:rsidRPr="005274A4" w:rsidRDefault="0023125A" w:rsidP="0023125A">
      <w:pPr>
        <w:autoSpaceDE w:val="0"/>
        <w:autoSpaceDN w:val="0"/>
        <w:adjustRightInd w:val="0"/>
        <w:rPr>
          <w:lang w:val="lv-LV"/>
        </w:rPr>
      </w:pPr>
      <w:r w:rsidRPr="005274A4">
        <w:rPr>
          <w:lang w:val="lv-LV"/>
        </w:rPr>
        <w:t xml:space="preserve">Biologische Heilmittel Heel GmbH                                              </w:t>
      </w:r>
      <w:r w:rsidR="00F55922">
        <w:rPr>
          <w:lang w:val="lv-LV"/>
        </w:rPr>
        <w:br/>
      </w:r>
      <w:r w:rsidRPr="005274A4">
        <w:rPr>
          <w:lang w:val="lv-LV"/>
        </w:rPr>
        <w:t xml:space="preserve">Dr.-Reckeweg-Str. 2-4,                                                                 </w:t>
      </w:r>
    </w:p>
    <w:p w14:paraId="62139AC9" w14:textId="77777777" w:rsidR="0023125A" w:rsidRPr="005274A4" w:rsidRDefault="0023125A" w:rsidP="0023125A">
      <w:pPr>
        <w:autoSpaceDE w:val="0"/>
        <w:autoSpaceDN w:val="0"/>
        <w:adjustRightInd w:val="0"/>
        <w:rPr>
          <w:lang w:val="lv-LV"/>
        </w:rPr>
      </w:pPr>
      <w:r w:rsidRPr="005274A4">
        <w:rPr>
          <w:lang w:val="lv-LV"/>
        </w:rPr>
        <w:t xml:space="preserve">76532 Baden-Baden                                                                      </w:t>
      </w:r>
    </w:p>
    <w:p w14:paraId="2525F4FA" w14:textId="77777777" w:rsidR="0023125A" w:rsidRPr="005274A4" w:rsidRDefault="0023125A" w:rsidP="0023125A">
      <w:pPr>
        <w:autoSpaceDE w:val="0"/>
        <w:autoSpaceDN w:val="0"/>
        <w:adjustRightInd w:val="0"/>
        <w:rPr>
          <w:lang w:val="lv-LV"/>
        </w:rPr>
      </w:pPr>
      <w:r w:rsidRPr="005274A4">
        <w:rPr>
          <w:lang w:val="lv-LV"/>
        </w:rPr>
        <w:t xml:space="preserve">Vācija                                                                                            </w:t>
      </w:r>
    </w:p>
    <w:p w14:paraId="3C33DA23" w14:textId="77777777" w:rsidR="0023125A" w:rsidRPr="005274A4" w:rsidRDefault="0023125A" w:rsidP="0023125A">
      <w:pPr>
        <w:autoSpaceDE w:val="0"/>
        <w:autoSpaceDN w:val="0"/>
        <w:adjustRightInd w:val="0"/>
        <w:rPr>
          <w:lang w:val="lv-LV" w:eastAsia="lv-LV"/>
        </w:rPr>
      </w:pPr>
      <w:r w:rsidRPr="005274A4">
        <w:rPr>
          <w:lang w:val="lv-LV" w:eastAsia="lv-LV"/>
        </w:rPr>
        <w:t>T</w:t>
      </w:r>
      <w:r>
        <w:rPr>
          <w:lang w:val="lv-LV" w:eastAsia="lv-LV"/>
        </w:rPr>
        <w:t>ālrunis</w:t>
      </w:r>
      <w:r w:rsidRPr="005274A4">
        <w:rPr>
          <w:lang w:val="lv-LV" w:eastAsia="lv-LV"/>
        </w:rPr>
        <w:t xml:space="preserve">: 0049 7221 501-00                                                   </w:t>
      </w:r>
    </w:p>
    <w:p w14:paraId="2C4436D9" w14:textId="77777777" w:rsidR="0023125A" w:rsidRPr="005274A4" w:rsidRDefault="0023125A" w:rsidP="0023125A">
      <w:pPr>
        <w:autoSpaceDE w:val="0"/>
        <w:autoSpaceDN w:val="0"/>
        <w:adjustRightInd w:val="0"/>
        <w:rPr>
          <w:lang w:val="lv-LV" w:eastAsia="lv-LV"/>
        </w:rPr>
      </w:pPr>
      <w:r>
        <w:rPr>
          <w:lang w:val="lv-LV" w:eastAsia="lv-LV"/>
        </w:rPr>
        <w:t>Fakss</w:t>
      </w:r>
      <w:r w:rsidRPr="005274A4">
        <w:rPr>
          <w:lang w:val="lv-LV" w:eastAsia="lv-LV"/>
        </w:rPr>
        <w:t xml:space="preserve">: 0049 7221 501 485                                                     </w:t>
      </w:r>
    </w:p>
    <w:p w14:paraId="4FF8FD45" w14:textId="32F3C701" w:rsidR="0023125A" w:rsidRPr="005274A4" w:rsidRDefault="0023125A" w:rsidP="0023125A">
      <w:pPr>
        <w:autoSpaceDE w:val="0"/>
        <w:autoSpaceDN w:val="0"/>
        <w:adjustRightInd w:val="0"/>
        <w:rPr>
          <w:lang w:val="lv-LV" w:eastAsia="lv-LV"/>
        </w:rPr>
      </w:pPr>
      <w:r w:rsidRPr="005274A4">
        <w:rPr>
          <w:lang w:val="lv-LV" w:eastAsia="lv-LV"/>
        </w:rPr>
        <w:t xml:space="preserve">E-pasts: </w:t>
      </w:r>
      <w:r w:rsidRPr="002A14B4">
        <w:rPr>
          <w:rFonts w:eastAsiaTheme="majorEastAsia"/>
          <w:lang w:val="lv-LV" w:eastAsia="lv-LV"/>
        </w:rPr>
        <w:t>info@heel.</w:t>
      </w:r>
      <w:r w:rsidR="0092140E">
        <w:rPr>
          <w:lang w:val="lv-LV" w:eastAsia="lv-LV"/>
        </w:rPr>
        <w:t>com</w:t>
      </w:r>
    </w:p>
    <w:p w14:paraId="1E192320" w14:textId="77777777" w:rsidR="0023125A" w:rsidRDefault="0023125A" w:rsidP="0023125A">
      <w:pPr>
        <w:jc w:val="both"/>
        <w:rPr>
          <w:lang w:val="lv-LV"/>
        </w:rPr>
      </w:pPr>
    </w:p>
    <w:p w14:paraId="45653B0C" w14:textId="77777777" w:rsidR="001958FF" w:rsidRDefault="001958FF" w:rsidP="0023125A">
      <w:pPr>
        <w:jc w:val="both"/>
        <w:rPr>
          <w:lang w:val="lv-LV"/>
        </w:rPr>
      </w:pPr>
    </w:p>
    <w:p w14:paraId="57970C95" w14:textId="5A52EDBE" w:rsidR="0023125A" w:rsidRPr="005274A4" w:rsidRDefault="00F55922" w:rsidP="0023125A">
      <w:pPr>
        <w:autoSpaceDE w:val="0"/>
        <w:autoSpaceDN w:val="0"/>
        <w:adjustRightInd w:val="0"/>
        <w:rPr>
          <w:lang w:val="lv-LV"/>
        </w:rPr>
      </w:pPr>
      <w:r w:rsidRPr="00EA13F3">
        <w:rPr>
          <w:b/>
          <w:noProof/>
          <w:lang w:val="lv-LV"/>
        </w:rPr>
        <w:t>Šī lietošanas instrukcija</w:t>
      </w:r>
      <w:r w:rsidRPr="00EA13F3">
        <w:rPr>
          <w:b/>
          <w:noProof/>
          <w:szCs w:val="22"/>
          <w:lang w:val="lv-LV"/>
        </w:rPr>
        <w:t xml:space="preserve"> pēdējo reizi</w:t>
      </w:r>
      <w:r w:rsidRPr="00EA13F3">
        <w:rPr>
          <w:b/>
          <w:noProof/>
          <w:lang w:val="lv-LV"/>
        </w:rPr>
        <w:t xml:space="preserve"> pārskatīta</w:t>
      </w:r>
      <w:r w:rsidR="0023125A" w:rsidRPr="005274A4">
        <w:rPr>
          <w:b/>
          <w:noProof/>
          <w:lang w:val="lv-LV"/>
        </w:rPr>
        <w:t xml:space="preserve"> </w:t>
      </w:r>
      <w:r w:rsidR="0092140E">
        <w:rPr>
          <w:b/>
          <w:noProof/>
          <w:lang w:val="lv-LV"/>
        </w:rPr>
        <w:t>0</w:t>
      </w:r>
      <w:r w:rsidR="00E85773">
        <w:rPr>
          <w:b/>
          <w:noProof/>
          <w:lang w:val="lv-LV"/>
        </w:rPr>
        <w:t>8</w:t>
      </w:r>
      <w:r w:rsidR="0092140E">
        <w:rPr>
          <w:b/>
          <w:noProof/>
          <w:lang w:val="lv-LV"/>
        </w:rPr>
        <w:t>/2022</w:t>
      </w:r>
    </w:p>
    <w:p w14:paraId="58CA8612" w14:textId="77777777" w:rsidR="0023125A" w:rsidRPr="005274A4" w:rsidRDefault="0023125A" w:rsidP="0023125A">
      <w:pPr>
        <w:autoSpaceDE w:val="0"/>
        <w:autoSpaceDN w:val="0"/>
        <w:adjustRightInd w:val="0"/>
        <w:rPr>
          <w:lang w:val="lv-LV"/>
        </w:rPr>
      </w:pPr>
    </w:p>
    <w:p w14:paraId="6C86477D" w14:textId="77777777" w:rsidR="0023125A" w:rsidRPr="005274A4" w:rsidRDefault="0023125A" w:rsidP="0023125A">
      <w:pPr>
        <w:autoSpaceDE w:val="0"/>
        <w:autoSpaceDN w:val="0"/>
        <w:adjustRightInd w:val="0"/>
        <w:rPr>
          <w:lang w:val="lv-LV"/>
        </w:rPr>
      </w:pPr>
    </w:p>
    <w:p w14:paraId="76717646" w14:textId="77777777" w:rsidR="0023125A" w:rsidRPr="005274A4" w:rsidRDefault="0023125A" w:rsidP="0023125A">
      <w:pPr>
        <w:autoSpaceDE w:val="0"/>
        <w:autoSpaceDN w:val="0"/>
        <w:adjustRightInd w:val="0"/>
        <w:rPr>
          <w:lang w:val="lv-LV"/>
        </w:rPr>
      </w:pPr>
    </w:p>
    <w:p w14:paraId="79D362F9" w14:textId="77777777" w:rsidR="0023125A" w:rsidRPr="005274A4" w:rsidRDefault="0023125A" w:rsidP="0023125A">
      <w:pPr>
        <w:autoSpaceDE w:val="0"/>
        <w:autoSpaceDN w:val="0"/>
        <w:adjustRightInd w:val="0"/>
        <w:rPr>
          <w:lang w:val="lv-LV"/>
        </w:rPr>
      </w:pPr>
    </w:p>
    <w:p w14:paraId="3D88DAED" w14:textId="77777777" w:rsidR="003814B4" w:rsidRPr="0023125A" w:rsidRDefault="003814B4">
      <w:pPr>
        <w:rPr>
          <w:lang w:val="lv-LV"/>
        </w:rPr>
      </w:pPr>
    </w:p>
    <w:sectPr w:rsidR="003814B4" w:rsidRPr="0023125A" w:rsidSect="00794193">
      <w:headerReference w:type="even" r:id="rId9"/>
      <w:headerReference w:type="default" r:id="rId10"/>
      <w:footerReference w:type="even" r:id="rId11"/>
      <w:footerReference w:type="default" r:id="rId12"/>
      <w:headerReference w:type="first" r:id="rId13"/>
      <w:footerReference w:type="first" r:id="rId14"/>
      <w:pgSz w:w="12240" w:h="15840"/>
      <w:pgMar w:top="1134" w:right="1260"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3FF8" w14:textId="77777777" w:rsidR="00BB4195" w:rsidRDefault="00BB4195" w:rsidP="005B0844">
      <w:r>
        <w:separator/>
      </w:r>
    </w:p>
  </w:endnote>
  <w:endnote w:type="continuationSeparator" w:id="0">
    <w:p w14:paraId="7F8F11A9" w14:textId="77777777" w:rsidR="00BB4195" w:rsidRDefault="00BB4195" w:rsidP="005B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207" w:usb1="00000000" w:usb2="00000000" w:usb3="00000000" w:csb0="00000085"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4DE2" w14:textId="77777777" w:rsidR="00012075" w:rsidRDefault="0001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8F55" w14:textId="77777777" w:rsidR="00012075" w:rsidRDefault="00012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86ED" w14:textId="77777777" w:rsidR="00012075" w:rsidRDefault="0001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5DC5" w14:textId="77777777" w:rsidR="00BB4195" w:rsidRDefault="00BB4195" w:rsidP="005B0844">
      <w:r>
        <w:separator/>
      </w:r>
    </w:p>
  </w:footnote>
  <w:footnote w:type="continuationSeparator" w:id="0">
    <w:p w14:paraId="0C5F88DC" w14:textId="77777777" w:rsidR="00BB4195" w:rsidRDefault="00BB4195" w:rsidP="005B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28B9" w14:textId="77777777" w:rsidR="00012075" w:rsidRDefault="00012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0DF6" w14:textId="77777777" w:rsidR="00012075" w:rsidRDefault="00012075" w:rsidP="00012075">
    <w:pPr>
      <w:pStyle w:val="Header"/>
      <w:jc w:val="right"/>
    </w:pPr>
    <w:r>
      <w:t>SASKAŅOTS ZVA 06-09-2022</w:t>
    </w:r>
  </w:p>
  <w:p w14:paraId="685F6B4E" w14:textId="718C4608" w:rsidR="005B0844" w:rsidRDefault="005B0844" w:rsidP="005B084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6CE1" w14:textId="77777777" w:rsidR="00012075" w:rsidRDefault="0001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E8F"/>
    <w:multiLevelType w:val="hybridMultilevel"/>
    <w:tmpl w:val="110691EA"/>
    <w:lvl w:ilvl="0" w:tplc="61E2AE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087B1B"/>
    <w:multiLevelType w:val="hybridMultilevel"/>
    <w:tmpl w:val="CEE475C2"/>
    <w:lvl w:ilvl="0" w:tplc="61E2AE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4644F9"/>
    <w:multiLevelType w:val="hybridMultilevel"/>
    <w:tmpl w:val="7A06DE4A"/>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963CCF"/>
    <w:multiLevelType w:val="hybridMultilevel"/>
    <w:tmpl w:val="FF2C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5A"/>
    <w:rsid w:val="00012075"/>
    <w:rsid w:val="0005300A"/>
    <w:rsid w:val="000E0CB9"/>
    <w:rsid w:val="000E4641"/>
    <w:rsid w:val="000E4FAB"/>
    <w:rsid w:val="0014719B"/>
    <w:rsid w:val="00150DCA"/>
    <w:rsid w:val="00163496"/>
    <w:rsid w:val="00173DB3"/>
    <w:rsid w:val="00174BBC"/>
    <w:rsid w:val="001879C0"/>
    <w:rsid w:val="001958FF"/>
    <w:rsid w:val="001D77F9"/>
    <w:rsid w:val="002016A4"/>
    <w:rsid w:val="00216F4A"/>
    <w:rsid w:val="0023125A"/>
    <w:rsid w:val="002566ED"/>
    <w:rsid w:val="00277CEE"/>
    <w:rsid w:val="002A07B1"/>
    <w:rsid w:val="002A14B4"/>
    <w:rsid w:val="002A57AC"/>
    <w:rsid w:val="002C5D74"/>
    <w:rsid w:val="002D5C1F"/>
    <w:rsid w:val="002E40C5"/>
    <w:rsid w:val="003215A8"/>
    <w:rsid w:val="003814B4"/>
    <w:rsid w:val="003C4421"/>
    <w:rsid w:val="003E0343"/>
    <w:rsid w:val="00426B5A"/>
    <w:rsid w:val="00440AC8"/>
    <w:rsid w:val="00460960"/>
    <w:rsid w:val="00466B77"/>
    <w:rsid w:val="004D3E0B"/>
    <w:rsid w:val="004D7D59"/>
    <w:rsid w:val="00505A3C"/>
    <w:rsid w:val="00546201"/>
    <w:rsid w:val="005476D7"/>
    <w:rsid w:val="00557148"/>
    <w:rsid w:val="005623F1"/>
    <w:rsid w:val="005A4CB1"/>
    <w:rsid w:val="005B0844"/>
    <w:rsid w:val="005C70A3"/>
    <w:rsid w:val="005E1E21"/>
    <w:rsid w:val="005E7230"/>
    <w:rsid w:val="006926FC"/>
    <w:rsid w:val="00697EA7"/>
    <w:rsid w:val="006F644D"/>
    <w:rsid w:val="00703F67"/>
    <w:rsid w:val="00741370"/>
    <w:rsid w:val="00794193"/>
    <w:rsid w:val="007B2411"/>
    <w:rsid w:val="007B74D7"/>
    <w:rsid w:val="007F3AC1"/>
    <w:rsid w:val="008126BA"/>
    <w:rsid w:val="0089081F"/>
    <w:rsid w:val="008A706E"/>
    <w:rsid w:val="008C5595"/>
    <w:rsid w:val="008F690C"/>
    <w:rsid w:val="0092140E"/>
    <w:rsid w:val="00930EA8"/>
    <w:rsid w:val="00A4540B"/>
    <w:rsid w:val="00A97F63"/>
    <w:rsid w:val="00AB0E75"/>
    <w:rsid w:val="00B21994"/>
    <w:rsid w:val="00BB4195"/>
    <w:rsid w:val="00BC5434"/>
    <w:rsid w:val="00BD7B39"/>
    <w:rsid w:val="00C45226"/>
    <w:rsid w:val="00CB252F"/>
    <w:rsid w:val="00CF3D17"/>
    <w:rsid w:val="00D06882"/>
    <w:rsid w:val="00D13A08"/>
    <w:rsid w:val="00D150F7"/>
    <w:rsid w:val="00D26961"/>
    <w:rsid w:val="00D51BA1"/>
    <w:rsid w:val="00D62C69"/>
    <w:rsid w:val="00D9092C"/>
    <w:rsid w:val="00DD4063"/>
    <w:rsid w:val="00E05840"/>
    <w:rsid w:val="00E24E9F"/>
    <w:rsid w:val="00E32588"/>
    <w:rsid w:val="00E51E2E"/>
    <w:rsid w:val="00E60951"/>
    <w:rsid w:val="00E61162"/>
    <w:rsid w:val="00E65847"/>
    <w:rsid w:val="00E85773"/>
    <w:rsid w:val="00EA13F3"/>
    <w:rsid w:val="00EA79B1"/>
    <w:rsid w:val="00ED3DDD"/>
    <w:rsid w:val="00ED4CE3"/>
    <w:rsid w:val="00F27EF6"/>
    <w:rsid w:val="00F55922"/>
    <w:rsid w:val="00FA039E"/>
    <w:rsid w:val="00FB3634"/>
    <w:rsid w:val="00FB5241"/>
    <w:rsid w:val="00FF31C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1D67C"/>
  <w15:docId w15:val="{378A891A-73DB-4F87-BC9D-C15B9549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2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4540B"/>
    <w:pPr>
      <w:keepNext/>
      <w:autoSpaceDE w:val="0"/>
      <w:autoSpaceDN w:val="0"/>
      <w:adjustRightInd w:val="0"/>
      <w:outlineLvl w:val="0"/>
    </w:pPr>
    <w:rPr>
      <w:rFonts w:ascii="TimesNewRoman,Bold" w:hAnsi="TimesNewRoman,Bold"/>
      <w:b/>
      <w:bCs/>
      <w:caps/>
    </w:rPr>
  </w:style>
  <w:style w:type="paragraph" w:styleId="Heading2">
    <w:name w:val="heading 2"/>
    <w:basedOn w:val="Normal"/>
    <w:next w:val="Normal"/>
    <w:link w:val="Heading2Char"/>
    <w:uiPriority w:val="9"/>
    <w:semiHidden/>
    <w:unhideWhenUsed/>
    <w:qFormat/>
    <w:rsid w:val="002312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125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4540B"/>
    <w:pPr>
      <w:keepNext/>
      <w:autoSpaceDE w:val="0"/>
      <w:autoSpaceDN w:val="0"/>
      <w:adjustRightInd w:val="0"/>
      <w:outlineLvl w:val="4"/>
    </w:pPr>
    <w:rPr>
      <w:rFonts w:ascii="TimesNewRoman" w:hAnsi="TimesNew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40B"/>
    <w:rPr>
      <w:rFonts w:ascii="TimesNewRoman,Bold" w:eastAsia="Times New Roman" w:hAnsi="TimesNewRoman,Bold" w:cs="Times New Roman"/>
      <w:b/>
      <w:bCs/>
      <w:caps/>
      <w:sz w:val="24"/>
      <w:szCs w:val="24"/>
      <w:lang w:val="en-US"/>
    </w:rPr>
  </w:style>
  <w:style w:type="character" w:customStyle="1" w:styleId="Heading5Char">
    <w:name w:val="Heading 5 Char"/>
    <w:basedOn w:val="DefaultParagraphFont"/>
    <w:link w:val="Heading5"/>
    <w:rsid w:val="00A4540B"/>
    <w:rPr>
      <w:rFonts w:ascii="TimesNewRoman" w:eastAsia="Times New Roman" w:hAnsi="TimesNewRoman" w:cs="Times New Roman"/>
      <w:b/>
      <w:iCs/>
      <w:sz w:val="24"/>
      <w:szCs w:val="24"/>
      <w:lang w:val="en-US"/>
    </w:rPr>
  </w:style>
  <w:style w:type="character" w:styleId="Hyperlink">
    <w:name w:val="Hyperlink"/>
    <w:basedOn w:val="DefaultParagraphFont"/>
    <w:rsid w:val="0023125A"/>
    <w:rPr>
      <w:color w:val="0000FF"/>
      <w:u w:val="single"/>
    </w:rPr>
  </w:style>
  <w:style w:type="character" w:customStyle="1" w:styleId="Heading2Char">
    <w:name w:val="Heading 2 Char"/>
    <w:basedOn w:val="DefaultParagraphFont"/>
    <w:link w:val="Heading2"/>
    <w:uiPriority w:val="9"/>
    <w:semiHidden/>
    <w:rsid w:val="0023125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23125A"/>
    <w:rPr>
      <w:rFonts w:asciiTheme="majorHAnsi" w:eastAsiaTheme="majorEastAsia" w:hAnsiTheme="majorHAnsi" w:cstheme="majorBidi"/>
      <w:b/>
      <w:bCs/>
      <w:color w:val="4F81BD" w:themeColor="accent1"/>
      <w:sz w:val="24"/>
      <w:szCs w:val="24"/>
      <w:lang w:val="en-US"/>
    </w:rPr>
  </w:style>
  <w:style w:type="paragraph" w:styleId="BodyText">
    <w:name w:val="Body Text"/>
    <w:basedOn w:val="Normal"/>
    <w:link w:val="BodyTextChar"/>
    <w:rsid w:val="0023125A"/>
    <w:pPr>
      <w:autoSpaceDE w:val="0"/>
      <w:autoSpaceDN w:val="0"/>
      <w:adjustRightInd w:val="0"/>
      <w:jc w:val="both"/>
    </w:pPr>
    <w:rPr>
      <w:lang w:val="lv-LV"/>
    </w:rPr>
  </w:style>
  <w:style w:type="character" w:customStyle="1" w:styleId="BodyTextChar">
    <w:name w:val="Body Text Char"/>
    <w:basedOn w:val="DefaultParagraphFont"/>
    <w:link w:val="BodyText"/>
    <w:rsid w:val="0023125A"/>
    <w:rPr>
      <w:rFonts w:ascii="Times New Roman" w:eastAsia="Times New Roman" w:hAnsi="Times New Roman" w:cs="Times New Roman"/>
      <w:sz w:val="24"/>
      <w:szCs w:val="24"/>
      <w:lang w:val="lv-LV"/>
    </w:rPr>
  </w:style>
  <w:style w:type="paragraph" w:styleId="BodyTextIndent">
    <w:name w:val="Body Text Indent"/>
    <w:basedOn w:val="Normal"/>
    <w:link w:val="BodyTextIndentChar"/>
    <w:rsid w:val="0023125A"/>
    <w:pPr>
      <w:spacing w:after="120"/>
      <w:ind w:left="360"/>
    </w:pPr>
  </w:style>
  <w:style w:type="character" w:customStyle="1" w:styleId="BodyTextIndentChar">
    <w:name w:val="Body Text Indent Char"/>
    <w:basedOn w:val="DefaultParagraphFont"/>
    <w:link w:val="BodyTextIndent"/>
    <w:rsid w:val="0023125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26BA"/>
    <w:rPr>
      <w:rFonts w:ascii="Tahoma" w:hAnsi="Tahoma" w:cs="Tahoma"/>
      <w:sz w:val="16"/>
      <w:szCs w:val="16"/>
    </w:rPr>
  </w:style>
  <w:style w:type="character" w:customStyle="1" w:styleId="BalloonTextChar">
    <w:name w:val="Balloon Text Char"/>
    <w:basedOn w:val="DefaultParagraphFont"/>
    <w:link w:val="BalloonText"/>
    <w:uiPriority w:val="99"/>
    <w:semiHidden/>
    <w:rsid w:val="008126B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E4641"/>
    <w:rPr>
      <w:sz w:val="16"/>
      <w:szCs w:val="16"/>
    </w:rPr>
  </w:style>
  <w:style w:type="paragraph" w:styleId="CommentText">
    <w:name w:val="annotation text"/>
    <w:basedOn w:val="Normal"/>
    <w:link w:val="CommentTextChar"/>
    <w:uiPriority w:val="99"/>
    <w:unhideWhenUsed/>
    <w:rsid w:val="000E4641"/>
    <w:rPr>
      <w:sz w:val="20"/>
      <w:szCs w:val="20"/>
    </w:rPr>
  </w:style>
  <w:style w:type="character" w:customStyle="1" w:styleId="CommentTextChar">
    <w:name w:val="Comment Text Char"/>
    <w:basedOn w:val="DefaultParagraphFont"/>
    <w:link w:val="CommentText"/>
    <w:uiPriority w:val="99"/>
    <w:rsid w:val="000E46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4641"/>
    <w:rPr>
      <w:b/>
      <w:bCs/>
    </w:rPr>
  </w:style>
  <w:style w:type="character" w:customStyle="1" w:styleId="CommentSubjectChar">
    <w:name w:val="Comment Subject Char"/>
    <w:basedOn w:val="CommentTextChar"/>
    <w:link w:val="CommentSubject"/>
    <w:uiPriority w:val="99"/>
    <w:semiHidden/>
    <w:rsid w:val="000E4641"/>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E65847"/>
    <w:pPr>
      <w:ind w:left="720"/>
      <w:contextualSpacing/>
    </w:pPr>
  </w:style>
  <w:style w:type="paragraph" w:styleId="NoSpacing">
    <w:name w:val="No Spacing"/>
    <w:uiPriority w:val="1"/>
    <w:qFormat/>
    <w:rsid w:val="001958F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B0844"/>
    <w:pPr>
      <w:tabs>
        <w:tab w:val="center" w:pos="4153"/>
        <w:tab w:val="right" w:pos="8306"/>
      </w:tabs>
    </w:pPr>
  </w:style>
  <w:style w:type="character" w:customStyle="1" w:styleId="HeaderChar">
    <w:name w:val="Header Char"/>
    <w:basedOn w:val="DefaultParagraphFont"/>
    <w:link w:val="Header"/>
    <w:uiPriority w:val="99"/>
    <w:rsid w:val="005B084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0844"/>
    <w:pPr>
      <w:tabs>
        <w:tab w:val="center" w:pos="4153"/>
        <w:tab w:val="right" w:pos="8306"/>
      </w:tabs>
    </w:pPr>
  </w:style>
  <w:style w:type="character" w:customStyle="1" w:styleId="FooterChar">
    <w:name w:val="Footer Char"/>
    <w:basedOn w:val="DefaultParagraphFont"/>
    <w:link w:val="Footer"/>
    <w:uiPriority w:val="99"/>
    <w:rsid w:val="005B0844"/>
    <w:rPr>
      <w:rFonts w:ascii="Times New Roman" w:eastAsia="Times New Roman" w:hAnsi="Times New Roman" w:cs="Times New Roman"/>
      <w:sz w:val="24"/>
      <w:szCs w:val="24"/>
      <w:lang w:val="en-US"/>
    </w:rPr>
  </w:style>
  <w:style w:type="paragraph" w:styleId="Revision">
    <w:name w:val="Revision"/>
    <w:hidden/>
    <w:uiPriority w:val="99"/>
    <w:semiHidden/>
    <w:rsid w:val="0092140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D0741-1A6F-4613-837C-8B1413DB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4652</Words>
  <Characters>2652</Characters>
  <Application>Microsoft Office Word</Application>
  <DocSecurity>0</DocSecurity>
  <Lines>22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Biologische Heilmittel Heel GmbH - Baden-Baden</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Skaidrīte Lapsenīte</cp:lastModifiedBy>
  <cp:revision>9</cp:revision>
  <dcterms:created xsi:type="dcterms:W3CDTF">2022-05-16T13:15:00Z</dcterms:created>
  <dcterms:modified xsi:type="dcterms:W3CDTF">2022-09-05T10:07:00Z</dcterms:modified>
</cp:coreProperties>
</file>